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6B" w:rsidRPr="001C2E9C" w:rsidRDefault="00F31C58" w:rsidP="00C07C81">
      <w:pPr>
        <w:widowControl/>
        <w:jc w:val="right"/>
      </w:pPr>
      <w:bookmarkStart w:id="0" w:name="_GoBack"/>
      <w:bookmarkEnd w:id="0"/>
      <w:r w:rsidRPr="001C2E9C">
        <w:t xml:space="preserve">DA </w:t>
      </w:r>
      <w:r w:rsidR="002B0195">
        <w:t>1</w:t>
      </w:r>
      <w:r w:rsidR="00886BCB">
        <w:t>3</w:t>
      </w:r>
      <w:r w:rsidRPr="001C2E9C">
        <w:t>-</w:t>
      </w:r>
      <w:r w:rsidR="004873B6">
        <w:t>1885</w:t>
      </w:r>
    </w:p>
    <w:p w:rsidR="00C82B6B" w:rsidRPr="00CA6286" w:rsidRDefault="00AF1348" w:rsidP="00C07C81">
      <w:pPr>
        <w:widowControl/>
        <w:jc w:val="right"/>
      </w:pPr>
      <w:r>
        <w:t>September</w:t>
      </w:r>
      <w:r w:rsidR="00886BCB">
        <w:t xml:space="preserve"> </w:t>
      </w:r>
      <w:r w:rsidR="004873B6">
        <w:t>13</w:t>
      </w:r>
      <w:r w:rsidR="00886BCB">
        <w:t>, 2013</w:t>
      </w:r>
    </w:p>
    <w:p w:rsidR="00C82B6B" w:rsidRPr="001C2E9C" w:rsidRDefault="00C82B6B" w:rsidP="00C07C81">
      <w:pPr>
        <w:widowControl/>
        <w:jc w:val="right"/>
        <w:rPr>
          <w:szCs w:val="22"/>
        </w:rPr>
      </w:pPr>
    </w:p>
    <w:p w:rsidR="00F31C58" w:rsidRPr="001C2E9C" w:rsidRDefault="00B8128E" w:rsidP="00C07C81">
      <w:pPr>
        <w:widowControl/>
        <w:jc w:val="center"/>
        <w:rPr>
          <w:b/>
          <w:szCs w:val="22"/>
        </w:rPr>
      </w:pPr>
      <w:r w:rsidRPr="001C2E9C">
        <w:rPr>
          <w:b/>
          <w:szCs w:val="22"/>
        </w:rPr>
        <w:t>A</w:t>
      </w:r>
      <w:r>
        <w:rPr>
          <w:b/>
          <w:szCs w:val="22"/>
        </w:rPr>
        <w:t>UCTION</w:t>
      </w:r>
      <w:r w:rsidRPr="001C2E9C">
        <w:rPr>
          <w:b/>
          <w:szCs w:val="22"/>
        </w:rPr>
        <w:t xml:space="preserve"> </w:t>
      </w:r>
      <w:r>
        <w:rPr>
          <w:b/>
          <w:szCs w:val="22"/>
        </w:rPr>
        <w:t>OF</w:t>
      </w:r>
      <w:r w:rsidRPr="001C2E9C">
        <w:rPr>
          <w:b/>
          <w:szCs w:val="22"/>
        </w:rPr>
        <w:t xml:space="preserve"> </w:t>
      </w:r>
      <w:r w:rsidR="00AF1348">
        <w:rPr>
          <w:b/>
          <w:szCs w:val="22"/>
        </w:rPr>
        <w:t>H BLOCK LICENSES IN THE 1915-1920 MHz and 1995-2000 MHz</w:t>
      </w:r>
      <w:r w:rsidR="00886BCB">
        <w:rPr>
          <w:b/>
          <w:szCs w:val="22"/>
        </w:rPr>
        <w:t xml:space="preserve"> BANDS </w:t>
      </w:r>
    </w:p>
    <w:p w:rsidR="00C82B6B" w:rsidRPr="001C2E9C" w:rsidRDefault="00B8128E" w:rsidP="00C07C81">
      <w:pPr>
        <w:widowControl/>
        <w:spacing w:after="240"/>
        <w:jc w:val="center"/>
        <w:rPr>
          <w:b/>
          <w:szCs w:val="22"/>
        </w:rPr>
      </w:pPr>
      <w:r>
        <w:rPr>
          <w:b/>
          <w:szCs w:val="22"/>
        </w:rPr>
        <w:t>SCHEDULED</w:t>
      </w:r>
      <w:r w:rsidRPr="001C2E9C">
        <w:rPr>
          <w:b/>
          <w:szCs w:val="22"/>
        </w:rPr>
        <w:t xml:space="preserve"> </w:t>
      </w:r>
      <w:r>
        <w:rPr>
          <w:b/>
          <w:szCs w:val="22"/>
        </w:rPr>
        <w:t>FOR</w:t>
      </w:r>
      <w:r w:rsidRPr="001C2E9C">
        <w:rPr>
          <w:b/>
          <w:szCs w:val="22"/>
        </w:rPr>
        <w:t xml:space="preserve"> </w:t>
      </w:r>
      <w:r w:rsidR="00AF1348">
        <w:rPr>
          <w:b/>
          <w:szCs w:val="22"/>
        </w:rPr>
        <w:t>JANUARY 14</w:t>
      </w:r>
      <w:r w:rsidR="002B0195">
        <w:rPr>
          <w:b/>
          <w:szCs w:val="22"/>
        </w:rPr>
        <w:t>, 201</w:t>
      </w:r>
      <w:r w:rsidR="00AF1348">
        <w:rPr>
          <w:b/>
          <w:szCs w:val="22"/>
        </w:rPr>
        <w:t>4</w:t>
      </w:r>
    </w:p>
    <w:p w:rsidR="00C82B6B" w:rsidRPr="001C2E9C" w:rsidRDefault="00B8128E" w:rsidP="00C07C81">
      <w:pPr>
        <w:widowControl/>
        <w:spacing w:after="240"/>
        <w:jc w:val="center"/>
        <w:rPr>
          <w:b/>
          <w:szCs w:val="22"/>
        </w:rPr>
      </w:pPr>
      <w:r w:rsidRPr="001C2E9C">
        <w:rPr>
          <w:b/>
          <w:szCs w:val="22"/>
        </w:rPr>
        <w:t xml:space="preserve">NOTICE AND FILING REQUIREMENTS, </w:t>
      </w:r>
      <w:r w:rsidR="00BE5B6D">
        <w:rPr>
          <w:b/>
          <w:szCs w:val="22"/>
        </w:rPr>
        <w:t xml:space="preserve">RESERVE PRICE, </w:t>
      </w:r>
      <w:r w:rsidRPr="001C2E9C">
        <w:rPr>
          <w:b/>
          <w:szCs w:val="22"/>
        </w:rPr>
        <w:t xml:space="preserve">MINIMUM OPENING BIDS, UPFRONT PAYMENTS, AND OTHER PROCEDURES FOR AUCTION </w:t>
      </w:r>
      <w:r w:rsidR="005C4548">
        <w:rPr>
          <w:b/>
          <w:szCs w:val="22"/>
        </w:rPr>
        <w:t>9</w:t>
      </w:r>
      <w:r w:rsidR="00AF1348">
        <w:rPr>
          <w:b/>
          <w:szCs w:val="22"/>
        </w:rPr>
        <w:t>6</w:t>
      </w:r>
    </w:p>
    <w:p w:rsidR="00C82B6B" w:rsidRDefault="00F31C58" w:rsidP="00C07C81">
      <w:pPr>
        <w:widowControl/>
        <w:jc w:val="center"/>
        <w:rPr>
          <w:b/>
          <w:szCs w:val="22"/>
        </w:rPr>
      </w:pPr>
      <w:r w:rsidRPr="001C2E9C">
        <w:rPr>
          <w:b/>
          <w:szCs w:val="22"/>
        </w:rPr>
        <w:t xml:space="preserve">AU Docket No. </w:t>
      </w:r>
      <w:r w:rsidR="002B0195">
        <w:rPr>
          <w:b/>
          <w:szCs w:val="22"/>
        </w:rPr>
        <w:t>1</w:t>
      </w:r>
      <w:r w:rsidR="00886BCB">
        <w:rPr>
          <w:b/>
          <w:szCs w:val="22"/>
        </w:rPr>
        <w:t>3</w:t>
      </w:r>
      <w:r w:rsidR="000144CD" w:rsidRPr="001C2E9C">
        <w:rPr>
          <w:b/>
          <w:szCs w:val="22"/>
        </w:rPr>
        <w:t>-</w:t>
      </w:r>
      <w:r w:rsidR="00886BCB">
        <w:rPr>
          <w:b/>
          <w:szCs w:val="22"/>
        </w:rPr>
        <w:t>1</w:t>
      </w:r>
      <w:r w:rsidR="00AF1348">
        <w:rPr>
          <w:b/>
          <w:szCs w:val="22"/>
        </w:rPr>
        <w:t>78</w:t>
      </w:r>
    </w:p>
    <w:p w:rsidR="001E1FF8" w:rsidRDefault="00F13860" w:rsidP="00F13860">
      <w:pPr>
        <w:pStyle w:val="TOCTitle"/>
      </w:pPr>
      <w:bookmarkStart w:id="1" w:name="TOChere"/>
      <w:r>
        <w:t>Table of Contents</w:t>
      </w:r>
    </w:p>
    <w:p w:rsidR="00F13860" w:rsidRDefault="00F13860" w:rsidP="00F13860">
      <w:pPr>
        <w:pStyle w:val="Paratitle"/>
      </w:pPr>
      <w:r>
        <w:t>Heading</w:t>
      </w:r>
      <w:r>
        <w:tab/>
        <w:t>Paragraph #</w:t>
      </w:r>
      <w:bookmarkStart w:id="2" w:name="start_here"/>
      <w:bookmarkEnd w:id="2"/>
    </w:p>
    <w:p w:rsidR="00F13860" w:rsidRDefault="00F13860" w:rsidP="00F13860">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GENERAL INFORMATION</w:t>
      </w:r>
      <w:r>
        <w:tab/>
        <w:t>1</w:t>
      </w:r>
    </w:p>
    <w:p w:rsidR="00F13860" w:rsidRDefault="00F13860" w:rsidP="00F1386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w:t>
      </w:r>
    </w:p>
    <w:p w:rsidR="00F13860" w:rsidRDefault="00F13860" w:rsidP="00F1386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Description of Licenses to be Offered in Auction 96</w:t>
      </w:r>
      <w:r>
        <w:tab/>
        <w:t>4</w:t>
      </w:r>
    </w:p>
    <w:p w:rsidR="00F13860" w:rsidRDefault="00F13860" w:rsidP="00F1386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Rules and Disclaimers</w:t>
      </w:r>
      <w:r>
        <w:tab/>
        <w:t>5</w:t>
      </w:r>
    </w:p>
    <w:p w:rsidR="00F13860" w:rsidRDefault="00F13860" w:rsidP="00F1386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Relevant Authority</w:t>
      </w:r>
      <w:r>
        <w:tab/>
        <w:t>5</w:t>
      </w:r>
    </w:p>
    <w:p w:rsidR="00F13860" w:rsidRDefault="00F13860" w:rsidP="00F1386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Prohibited Communications and Compliance with Antitrust Laws</w:t>
      </w:r>
      <w:r>
        <w:tab/>
        <w:t>7</w:t>
      </w:r>
    </w:p>
    <w:p w:rsidR="00F13860" w:rsidRDefault="00F13860" w:rsidP="00F13860">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Entities Subject to Section 1.2105</w:t>
      </w:r>
      <w:r>
        <w:tab/>
        <w:t>8</w:t>
      </w:r>
    </w:p>
    <w:p w:rsidR="00F13860" w:rsidRDefault="00F13860" w:rsidP="00F13860">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Prohibition Applies Until Down Payment Deadline</w:t>
      </w:r>
      <w:r>
        <w:tab/>
        <w:t>14</w:t>
      </w:r>
    </w:p>
    <w:p w:rsidR="00F13860" w:rsidRDefault="00F13860" w:rsidP="00F13860">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Prohibited Communications</w:t>
      </w:r>
      <w:r>
        <w:tab/>
        <w:t>15</w:t>
      </w:r>
    </w:p>
    <w:p w:rsidR="00F13860" w:rsidRDefault="00F13860" w:rsidP="00F13860">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Disclosure of Bidding Agreements and Arrangements</w:t>
      </w:r>
      <w:r>
        <w:tab/>
        <w:t>19</w:t>
      </w:r>
    </w:p>
    <w:p w:rsidR="00F13860" w:rsidRDefault="00F13860" w:rsidP="00F13860">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Section 1.2105(c) Certification</w:t>
      </w:r>
      <w:r>
        <w:tab/>
        <w:t>22</w:t>
      </w:r>
    </w:p>
    <w:p w:rsidR="00F13860" w:rsidRDefault="00F13860" w:rsidP="00F13860">
      <w:pPr>
        <w:pStyle w:val="TOC4"/>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Duty to Report Prohibited Communications</w:t>
      </w:r>
      <w:r>
        <w:tab/>
        <w:t>23</w:t>
      </w:r>
    </w:p>
    <w:p w:rsidR="00F13860" w:rsidRDefault="00F13860" w:rsidP="00F13860">
      <w:pPr>
        <w:pStyle w:val="TOC4"/>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Procedure for Reporting Prohibited Communications</w:t>
      </w:r>
      <w:r>
        <w:tab/>
        <w:t>26</w:t>
      </w:r>
    </w:p>
    <w:p w:rsidR="00F13860" w:rsidRDefault="00F13860" w:rsidP="00F13860">
      <w:pPr>
        <w:pStyle w:val="TOC4"/>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Winning Bidders Must Disclose Terms of Agreements</w:t>
      </w:r>
      <w:r>
        <w:tab/>
        <w:t>29</w:t>
      </w:r>
    </w:p>
    <w:p w:rsidR="00F13860" w:rsidRDefault="00F13860" w:rsidP="00F13860">
      <w:pPr>
        <w:pStyle w:val="TOC4"/>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Additional Information Concerning Rule Prohibiting Certain Communications</w:t>
      </w:r>
      <w:r>
        <w:tab/>
        <w:t>30</w:t>
      </w:r>
    </w:p>
    <w:p w:rsidR="00F13860" w:rsidRDefault="00F13860" w:rsidP="00F13860">
      <w:pPr>
        <w:pStyle w:val="TOC4"/>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Antitrust Laws</w:t>
      </w:r>
      <w:r>
        <w:tab/>
        <w:t>31</w:t>
      </w:r>
    </w:p>
    <w:p w:rsidR="00F13860" w:rsidRDefault="00F13860" w:rsidP="00F1386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Cost-Sharing Obligations</w:t>
      </w:r>
      <w:r>
        <w:tab/>
        <w:t>33</w:t>
      </w:r>
    </w:p>
    <w:p w:rsidR="00F13860" w:rsidRDefault="00F13860" w:rsidP="00F1386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International Coordination</w:t>
      </w:r>
      <w:r>
        <w:tab/>
        <w:t>39</w:t>
      </w:r>
    </w:p>
    <w:p w:rsidR="00F13860" w:rsidRDefault="00F13860" w:rsidP="00F13860">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Quiet Zones</w:t>
      </w:r>
      <w:r>
        <w:tab/>
        <w:t>40</w:t>
      </w:r>
    </w:p>
    <w:p w:rsidR="00F13860" w:rsidRDefault="00F13860" w:rsidP="00F13860">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Due Diligence</w:t>
      </w:r>
      <w:r>
        <w:tab/>
        <w:t>41</w:t>
      </w:r>
    </w:p>
    <w:p w:rsidR="00F13860" w:rsidRDefault="00F13860" w:rsidP="00F13860">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Use of Integrated Spectrum Auction System</w:t>
      </w:r>
      <w:r>
        <w:tab/>
        <w:t>46</w:t>
      </w:r>
    </w:p>
    <w:p w:rsidR="00F13860" w:rsidRDefault="00F13860" w:rsidP="00F13860">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Fraud Alert</w:t>
      </w:r>
      <w:r>
        <w:tab/>
        <w:t>47</w:t>
      </w:r>
    </w:p>
    <w:p w:rsidR="00F13860" w:rsidRDefault="00F13860" w:rsidP="00F13860">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Environmental Review Requirements</w:t>
      </w:r>
      <w:r>
        <w:tab/>
        <w:t>49</w:t>
      </w:r>
    </w:p>
    <w:p w:rsidR="00F13860" w:rsidRDefault="00F13860" w:rsidP="00F1386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Auction Specifics</w:t>
      </w:r>
      <w:r>
        <w:tab/>
        <w:t>50</w:t>
      </w:r>
    </w:p>
    <w:p w:rsidR="00F13860" w:rsidRDefault="00F13860" w:rsidP="00F1386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Auction Start Date</w:t>
      </w:r>
      <w:r>
        <w:tab/>
        <w:t>50</w:t>
      </w:r>
    </w:p>
    <w:p w:rsidR="00F13860" w:rsidRDefault="00F13860" w:rsidP="00F1386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Auction Title</w:t>
      </w:r>
      <w:r>
        <w:tab/>
        <w:t>52</w:t>
      </w:r>
    </w:p>
    <w:p w:rsidR="00F13860" w:rsidRDefault="00F13860" w:rsidP="00F1386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Bidding Methodology</w:t>
      </w:r>
      <w:r>
        <w:tab/>
        <w:t>53</w:t>
      </w:r>
    </w:p>
    <w:p w:rsidR="00F13860" w:rsidRDefault="00F13860" w:rsidP="00F1386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Pre-Auction Dates and Deadlines</w:t>
      </w:r>
      <w:r>
        <w:tab/>
        <w:t>54</w:t>
      </w:r>
    </w:p>
    <w:p w:rsidR="00F13860" w:rsidRDefault="00F13860" w:rsidP="00F13860">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Requirements for Participation</w:t>
      </w:r>
      <w:r>
        <w:tab/>
        <w:t>55</w:t>
      </w:r>
    </w:p>
    <w:p w:rsidR="00F13860" w:rsidRDefault="00F13860" w:rsidP="00F13860">
      <w:pPr>
        <w:pStyle w:val="TOC1"/>
        <w:rPr>
          <w:rFonts w:asciiTheme="minorHAnsi" w:eastAsiaTheme="minorEastAsia" w:hAnsiTheme="minorHAnsi" w:cstheme="minorBidi"/>
          <w:caps w:val="0"/>
          <w:snapToGrid/>
          <w:kern w:val="0"/>
          <w:szCs w:val="22"/>
        </w:rPr>
      </w:pPr>
      <w:r w:rsidRPr="00D60B86">
        <w:t>II.</w:t>
      </w:r>
      <w:r>
        <w:rPr>
          <w:rFonts w:asciiTheme="minorHAnsi" w:eastAsiaTheme="minorEastAsia" w:hAnsiTheme="minorHAnsi" w:cstheme="minorBidi"/>
          <w:caps w:val="0"/>
          <w:snapToGrid/>
          <w:kern w:val="0"/>
          <w:szCs w:val="22"/>
        </w:rPr>
        <w:tab/>
      </w:r>
      <w:r w:rsidRPr="00D60B86">
        <w:t>SHORT-FORM APPLICATION (FCC FORM 175) REQUIREMENTS</w:t>
      </w:r>
      <w:r>
        <w:tab/>
        <w:t>56</w:t>
      </w:r>
    </w:p>
    <w:p w:rsidR="00F13860" w:rsidRDefault="00F13860" w:rsidP="00F13860">
      <w:pPr>
        <w:pStyle w:val="TOC2"/>
        <w:tabs>
          <w:tab w:val="left" w:pos="360"/>
        </w:tabs>
        <w:rPr>
          <w:rFonts w:asciiTheme="minorHAnsi" w:eastAsiaTheme="minorEastAsia" w:hAnsiTheme="minorHAnsi" w:cstheme="minorBidi"/>
          <w:snapToGrid/>
          <w:kern w:val="0"/>
          <w:szCs w:val="22"/>
        </w:rPr>
      </w:pPr>
      <w:r>
        <w:lastRenderedPageBreak/>
        <w:t>A.</w:t>
      </w:r>
      <w:r>
        <w:rPr>
          <w:rFonts w:asciiTheme="minorHAnsi" w:eastAsiaTheme="minorEastAsia" w:hAnsiTheme="minorHAnsi" w:cstheme="minorBidi"/>
          <w:snapToGrid/>
          <w:kern w:val="0"/>
          <w:szCs w:val="22"/>
        </w:rPr>
        <w:tab/>
      </w:r>
      <w:r>
        <w:t>General Information Regarding Short-Form Applications</w:t>
      </w:r>
      <w:r>
        <w:tab/>
        <w:t>56</w:t>
      </w:r>
    </w:p>
    <w:p w:rsidR="00F13860" w:rsidRDefault="00F13860" w:rsidP="00F1386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License Selection</w:t>
      </w:r>
      <w:r>
        <w:tab/>
        <w:t>61</w:t>
      </w:r>
    </w:p>
    <w:p w:rsidR="00F13860" w:rsidRDefault="00F13860" w:rsidP="00F1386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Disclosure of Bidding Arrangements</w:t>
      </w:r>
      <w:r>
        <w:tab/>
        <w:t>62</w:t>
      </w:r>
    </w:p>
    <w:p w:rsidR="00F13860" w:rsidRDefault="00F13860" w:rsidP="00F1386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Ownership Disclosure Requirements</w:t>
      </w:r>
      <w:r>
        <w:tab/>
        <w:t>65</w:t>
      </w:r>
    </w:p>
    <w:p w:rsidR="00F13860" w:rsidRDefault="00F13860" w:rsidP="00F13860">
      <w:pPr>
        <w:pStyle w:val="TOC2"/>
        <w:tabs>
          <w:tab w:val="left" w:pos="360"/>
        </w:tabs>
        <w:rPr>
          <w:rFonts w:asciiTheme="minorHAnsi" w:eastAsiaTheme="minorEastAsia" w:hAnsiTheme="minorHAnsi" w:cstheme="minorBidi"/>
          <w:snapToGrid/>
          <w:kern w:val="0"/>
          <w:szCs w:val="22"/>
        </w:rPr>
      </w:pPr>
      <w:r w:rsidRPr="00D60B86">
        <w:t>E.</w:t>
      </w:r>
      <w:r>
        <w:rPr>
          <w:rFonts w:asciiTheme="minorHAnsi" w:eastAsiaTheme="minorEastAsia" w:hAnsiTheme="minorHAnsi" w:cstheme="minorBidi"/>
          <w:snapToGrid/>
          <w:kern w:val="0"/>
          <w:szCs w:val="22"/>
        </w:rPr>
        <w:tab/>
      </w:r>
      <w:r>
        <w:t>Foreign Ownership Disclosure Requirements</w:t>
      </w:r>
      <w:r>
        <w:tab/>
        <w:t>67</w:t>
      </w:r>
    </w:p>
    <w:p w:rsidR="00F13860" w:rsidRDefault="00F13860" w:rsidP="00F13860">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National Security Certification Requirement for Auction 96 Applicants</w:t>
      </w:r>
      <w:r>
        <w:tab/>
        <w:t>68</w:t>
      </w:r>
    </w:p>
    <w:p w:rsidR="00F13860" w:rsidRDefault="00F13860" w:rsidP="00F13860">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Designated Entity Provisions</w:t>
      </w:r>
      <w:r>
        <w:tab/>
        <w:t>69</w:t>
      </w:r>
    </w:p>
    <w:p w:rsidR="00F13860" w:rsidRDefault="00F13860" w:rsidP="00F1386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Bidding Credits for Small Businesses</w:t>
      </w:r>
      <w:r>
        <w:tab/>
        <w:t>70</w:t>
      </w:r>
    </w:p>
    <w:p w:rsidR="00F13860" w:rsidRDefault="00F13860" w:rsidP="00F13860">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Bidding Credit Eligibility Criteria</w:t>
      </w:r>
      <w:r>
        <w:tab/>
        <w:t>71</w:t>
      </w:r>
    </w:p>
    <w:p w:rsidR="00F13860" w:rsidRDefault="00F13860" w:rsidP="00F13860">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Revenue Disclosure on Short-Form Application</w:t>
      </w:r>
      <w:r>
        <w:tab/>
        <w:t>74</w:t>
      </w:r>
    </w:p>
    <w:p w:rsidR="00F13860" w:rsidRDefault="00F13860" w:rsidP="00F1386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Attributable Interests</w:t>
      </w:r>
      <w:r>
        <w:tab/>
        <w:t>75</w:t>
      </w:r>
    </w:p>
    <w:p w:rsidR="00F13860" w:rsidRDefault="00F13860" w:rsidP="00F13860">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Controlling Interests</w:t>
      </w:r>
      <w:r>
        <w:tab/>
        <w:t>75</w:t>
      </w:r>
    </w:p>
    <w:p w:rsidR="00F13860" w:rsidRDefault="00F13860" w:rsidP="00F13860">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Affiliates</w:t>
      </w:r>
      <w:r>
        <w:tab/>
        <w:t>77</w:t>
      </w:r>
    </w:p>
    <w:p w:rsidR="00F13860" w:rsidRDefault="00F13860" w:rsidP="00F13860">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Material Relationships</w:t>
      </w:r>
      <w:r>
        <w:tab/>
        <w:t>78</w:t>
      </w:r>
    </w:p>
    <w:p w:rsidR="00F13860" w:rsidRDefault="00F13860" w:rsidP="00F13860">
      <w:pPr>
        <w:pStyle w:val="TOC4"/>
        <w:tabs>
          <w:tab w:val="left" w:pos="360"/>
        </w:tabs>
        <w:rPr>
          <w:rFonts w:asciiTheme="minorHAnsi" w:eastAsiaTheme="minorEastAsia" w:hAnsiTheme="minorHAnsi" w:cstheme="minorBidi"/>
          <w:snapToGrid/>
          <w:kern w:val="0"/>
          <w:szCs w:val="22"/>
        </w:rPr>
      </w:pPr>
      <w:r>
        <w:rPr>
          <w:lang w:bidi="he-IL"/>
        </w:rPr>
        <w:t>d.</w:t>
      </w:r>
      <w:r>
        <w:rPr>
          <w:rFonts w:asciiTheme="minorHAnsi" w:eastAsiaTheme="minorEastAsia" w:hAnsiTheme="minorHAnsi" w:cstheme="minorBidi"/>
          <w:snapToGrid/>
          <w:kern w:val="0"/>
          <w:szCs w:val="22"/>
        </w:rPr>
        <w:tab/>
      </w:r>
      <w:r w:rsidRPr="00D60B86">
        <w:rPr>
          <w:shd w:val="clear" w:color="auto" w:fill="FFFFFF"/>
          <w:lang w:bidi="he-IL"/>
        </w:rPr>
        <w:t>Gross Revenue Exceptions</w:t>
      </w:r>
      <w:r>
        <w:tab/>
        <w:t>80</w:t>
      </w:r>
    </w:p>
    <w:p w:rsidR="00F13860" w:rsidRDefault="00F13860" w:rsidP="00F13860">
      <w:pPr>
        <w:pStyle w:val="TOC4"/>
        <w:tabs>
          <w:tab w:val="left" w:pos="360"/>
        </w:tabs>
        <w:rPr>
          <w:rFonts w:asciiTheme="minorHAnsi" w:eastAsiaTheme="minorEastAsia" w:hAnsiTheme="minorHAnsi" w:cstheme="minorBidi"/>
          <w:snapToGrid/>
          <w:kern w:val="0"/>
          <w:szCs w:val="22"/>
        </w:rPr>
      </w:pPr>
      <w:r w:rsidRPr="00D60B86">
        <w:rPr>
          <w:snapToGrid/>
        </w:rPr>
        <w:t>e.</w:t>
      </w:r>
      <w:r>
        <w:rPr>
          <w:rFonts w:asciiTheme="minorHAnsi" w:eastAsiaTheme="minorEastAsia" w:hAnsiTheme="minorHAnsi" w:cstheme="minorBidi"/>
          <w:snapToGrid/>
          <w:kern w:val="0"/>
          <w:szCs w:val="22"/>
        </w:rPr>
        <w:tab/>
      </w:r>
      <w:r w:rsidRPr="00D60B86">
        <w:rPr>
          <w:snapToGrid/>
        </w:rPr>
        <w:t>Bidding Consortia</w:t>
      </w:r>
      <w:r>
        <w:tab/>
        <w:t>82</w:t>
      </w:r>
    </w:p>
    <w:p w:rsidR="00F13860" w:rsidRDefault="00F13860" w:rsidP="00F1386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Installment Payments</w:t>
      </w:r>
      <w:r>
        <w:tab/>
        <w:t>83</w:t>
      </w:r>
    </w:p>
    <w:p w:rsidR="00F13860" w:rsidRDefault="00F13860" w:rsidP="00F13860">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Tribal Lands Bidding Credit</w:t>
      </w:r>
      <w:r>
        <w:tab/>
        <w:t>84</w:t>
      </w:r>
    </w:p>
    <w:p w:rsidR="00F13860" w:rsidRDefault="00F13860" w:rsidP="00F13860">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Provisions Regarding Former and Current Defaulters</w:t>
      </w:r>
      <w:r>
        <w:tab/>
        <w:t>85</w:t>
      </w:r>
    </w:p>
    <w:p w:rsidR="00F13860" w:rsidRDefault="00F13860" w:rsidP="00F13860">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Optional Applicant Status Identification</w:t>
      </w:r>
      <w:r>
        <w:tab/>
        <w:t>91</w:t>
      </w:r>
    </w:p>
    <w:p w:rsidR="00F13860" w:rsidRDefault="00F13860" w:rsidP="00F13860">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Minor Modifications to Short-Form Applications</w:t>
      </w:r>
      <w:r>
        <w:tab/>
        <w:t>92</w:t>
      </w:r>
    </w:p>
    <w:p w:rsidR="00F13860" w:rsidRDefault="00F13860" w:rsidP="00F13860">
      <w:pPr>
        <w:pStyle w:val="TOC2"/>
        <w:tabs>
          <w:tab w:val="left" w:pos="360"/>
        </w:tabs>
        <w:rPr>
          <w:rFonts w:asciiTheme="minorHAnsi" w:eastAsiaTheme="minorEastAsia" w:hAnsiTheme="minorHAnsi" w:cstheme="minorBidi"/>
          <w:snapToGrid/>
          <w:kern w:val="0"/>
          <w:szCs w:val="22"/>
        </w:rPr>
      </w:pPr>
      <w:r>
        <w:t>L.</w:t>
      </w:r>
      <w:r>
        <w:rPr>
          <w:rFonts w:asciiTheme="minorHAnsi" w:eastAsiaTheme="minorEastAsia" w:hAnsiTheme="minorHAnsi" w:cstheme="minorBidi"/>
          <w:snapToGrid/>
          <w:kern w:val="0"/>
          <w:szCs w:val="22"/>
        </w:rPr>
        <w:tab/>
      </w:r>
      <w:r>
        <w:t>Maintaining Current Information in Short-Form Applications</w:t>
      </w:r>
      <w:r>
        <w:tab/>
        <w:t>98</w:t>
      </w:r>
    </w:p>
    <w:p w:rsidR="00F13860" w:rsidRDefault="00F13860" w:rsidP="00F13860">
      <w:pPr>
        <w:pStyle w:val="TOC1"/>
        <w:rPr>
          <w:rFonts w:asciiTheme="minorHAnsi" w:eastAsiaTheme="minorEastAsia" w:hAnsiTheme="minorHAnsi" w:cstheme="minorBidi"/>
          <w:caps w:val="0"/>
          <w:snapToGrid/>
          <w:kern w:val="0"/>
          <w:szCs w:val="22"/>
        </w:rPr>
      </w:pPr>
      <w:r w:rsidRPr="00D60B86">
        <w:t>III.</w:t>
      </w:r>
      <w:r>
        <w:rPr>
          <w:rFonts w:asciiTheme="minorHAnsi" w:eastAsiaTheme="minorEastAsia" w:hAnsiTheme="minorHAnsi" w:cstheme="minorBidi"/>
          <w:caps w:val="0"/>
          <w:snapToGrid/>
          <w:kern w:val="0"/>
          <w:szCs w:val="22"/>
        </w:rPr>
        <w:tab/>
      </w:r>
      <w:r w:rsidRPr="00D60B86">
        <w:t>PRE-AUCTION PROCEDURES</w:t>
      </w:r>
      <w:r>
        <w:tab/>
        <w:t>99</w:t>
      </w:r>
    </w:p>
    <w:p w:rsidR="00F13860" w:rsidRDefault="00F13860" w:rsidP="00F1386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Online Auction Tutorial – Available October 23, 2013</w:t>
      </w:r>
      <w:r>
        <w:tab/>
        <w:t>99</w:t>
      </w:r>
    </w:p>
    <w:p w:rsidR="00F13860" w:rsidRDefault="00F13860" w:rsidP="00F1386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Short-Form Applications – Due Prior to 6:00 p.m. ET on November 5, 2013</w:t>
      </w:r>
      <w:r>
        <w:tab/>
        <w:t>102</w:t>
      </w:r>
    </w:p>
    <w:p w:rsidR="00F13860" w:rsidRDefault="00F13860" w:rsidP="00F1386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Application Processing and Minor Corrections</w:t>
      </w:r>
      <w:r>
        <w:tab/>
        <w:t>105</w:t>
      </w:r>
    </w:p>
    <w:p w:rsidR="00F13860" w:rsidRDefault="00F13860" w:rsidP="00F1386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Upfront Payments – Due December 11, 2013</w:t>
      </w:r>
      <w:r>
        <w:tab/>
        <w:t>108</w:t>
      </w:r>
    </w:p>
    <w:p w:rsidR="00F13860" w:rsidRDefault="00F13860" w:rsidP="00F1386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Making Upfront Payments by Wire Transfer</w:t>
      </w:r>
      <w:r>
        <w:tab/>
        <w:t>109</w:t>
      </w:r>
    </w:p>
    <w:p w:rsidR="00F13860" w:rsidRDefault="00F13860" w:rsidP="00F1386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FCC Form 159</w:t>
      </w:r>
      <w:r>
        <w:tab/>
        <w:t>113</w:t>
      </w:r>
    </w:p>
    <w:p w:rsidR="00F13860" w:rsidRDefault="00F13860" w:rsidP="00F1386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Upfront Payments and Bidding Eligibility</w:t>
      </w:r>
      <w:r>
        <w:tab/>
        <w:t>114</w:t>
      </w:r>
    </w:p>
    <w:p w:rsidR="00F13860" w:rsidRDefault="00F13860" w:rsidP="00F13860">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Applicant’s Wire Transfer Information for Purposes of Refunds of Upfront Payments</w:t>
      </w:r>
      <w:r>
        <w:tab/>
        <w:t>120</w:t>
      </w:r>
    </w:p>
    <w:p w:rsidR="00F13860" w:rsidRDefault="00F13860" w:rsidP="00F13860">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Auction Registration</w:t>
      </w:r>
      <w:r>
        <w:tab/>
        <w:t>121</w:t>
      </w:r>
    </w:p>
    <w:p w:rsidR="00F13860" w:rsidRDefault="00F13860" w:rsidP="00F13860">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Remote Electronic Bidding</w:t>
      </w:r>
      <w:r>
        <w:tab/>
        <w:t>125</w:t>
      </w:r>
    </w:p>
    <w:p w:rsidR="00F13860" w:rsidRDefault="00F13860" w:rsidP="00F13860">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Mock Auction – January 10, 2014</w:t>
      </w:r>
      <w:r>
        <w:tab/>
        <w:t>127</w:t>
      </w:r>
    </w:p>
    <w:p w:rsidR="00F13860" w:rsidRDefault="00F13860" w:rsidP="00F13860">
      <w:pPr>
        <w:pStyle w:val="TOC1"/>
        <w:rPr>
          <w:rFonts w:asciiTheme="minorHAnsi" w:eastAsiaTheme="minorEastAsia" w:hAnsiTheme="minorHAnsi" w:cstheme="minorBidi"/>
          <w:caps w:val="0"/>
          <w:snapToGrid/>
          <w:kern w:val="0"/>
          <w:szCs w:val="22"/>
        </w:rPr>
      </w:pPr>
      <w:r w:rsidRPr="00D60B86">
        <w:t>IV.</w:t>
      </w:r>
      <w:r>
        <w:rPr>
          <w:rFonts w:asciiTheme="minorHAnsi" w:eastAsiaTheme="minorEastAsia" w:hAnsiTheme="minorHAnsi" w:cstheme="minorBidi"/>
          <w:caps w:val="0"/>
          <w:snapToGrid/>
          <w:kern w:val="0"/>
          <w:szCs w:val="22"/>
        </w:rPr>
        <w:tab/>
      </w:r>
      <w:r w:rsidRPr="00D60B86">
        <w:t>AUCTION</w:t>
      </w:r>
      <w:r>
        <w:tab/>
        <w:t>128</w:t>
      </w:r>
    </w:p>
    <w:p w:rsidR="00F13860" w:rsidRDefault="00F13860" w:rsidP="00F1386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Auction Structure</w:t>
      </w:r>
      <w:r>
        <w:tab/>
        <w:t>129</w:t>
      </w:r>
    </w:p>
    <w:p w:rsidR="00F13860" w:rsidRDefault="00F13860" w:rsidP="00F1386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Simultaneous Multiple Round Auction Without Package Bidding</w:t>
      </w:r>
      <w:r>
        <w:tab/>
        <w:t>129</w:t>
      </w:r>
    </w:p>
    <w:p w:rsidR="00F13860" w:rsidRDefault="00F13860" w:rsidP="00F1386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Limited Information Disclosure Procedures: Information Available to Bidders Before and During the Auction</w:t>
      </w:r>
      <w:r>
        <w:tab/>
        <w:t>135</w:t>
      </w:r>
    </w:p>
    <w:p w:rsidR="00F13860" w:rsidRDefault="00F13860" w:rsidP="00F1386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Eligibility and Activity Rules</w:t>
      </w:r>
      <w:r>
        <w:tab/>
        <w:t>146</w:t>
      </w:r>
    </w:p>
    <w:p w:rsidR="00F13860" w:rsidRDefault="00F13860" w:rsidP="00F1386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Auction Stages</w:t>
      </w:r>
      <w:r>
        <w:tab/>
        <w:t>150</w:t>
      </w:r>
    </w:p>
    <w:p w:rsidR="00F13860" w:rsidRDefault="00F13860" w:rsidP="00F13860">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Stage Transitions</w:t>
      </w:r>
      <w:r>
        <w:tab/>
        <w:t>155</w:t>
      </w:r>
    </w:p>
    <w:p w:rsidR="00F13860" w:rsidRDefault="00F13860" w:rsidP="00F13860">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Activity Rule Waivers</w:t>
      </w:r>
      <w:r>
        <w:tab/>
        <w:t>157</w:t>
      </w:r>
    </w:p>
    <w:p w:rsidR="00F13860" w:rsidRDefault="00F13860" w:rsidP="00F13860">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Auction Stopping Rules</w:t>
      </w:r>
      <w:r>
        <w:tab/>
        <w:t>161</w:t>
      </w:r>
    </w:p>
    <w:p w:rsidR="00F13860" w:rsidRDefault="00F13860" w:rsidP="00F13860">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Auction Delay, Suspension, or Cancellation</w:t>
      </w:r>
      <w:r>
        <w:tab/>
        <w:t>164</w:t>
      </w:r>
    </w:p>
    <w:p w:rsidR="00F13860" w:rsidRDefault="00F13860" w:rsidP="00F1386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Bidding Procedures</w:t>
      </w:r>
      <w:r>
        <w:tab/>
        <w:t>166</w:t>
      </w:r>
    </w:p>
    <w:p w:rsidR="00F13860" w:rsidRDefault="00F13860" w:rsidP="00F1386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Round Structure</w:t>
      </w:r>
      <w:r>
        <w:tab/>
        <w:t>166</w:t>
      </w:r>
    </w:p>
    <w:p w:rsidR="00F13860" w:rsidRDefault="00F13860" w:rsidP="00F1386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Reserve Price and Minimum Opening Bids</w:t>
      </w:r>
      <w:r>
        <w:tab/>
        <w:t>168</w:t>
      </w:r>
    </w:p>
    <w:p w:rsidR="00F13860" w:rsidRDefault="00F13860" w:rsidP="00F13860">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Reserve Price</w:t>
      </w:r>
      <w:r>
        <w:tab/>
        <w:t>169</w:t>
      </w:r>
    </w:p>
    <w:p w:rsidR="00F13860" w:rsidRDefault="00F13860" w:rsidP="00F13860">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Minimum Opening Bids</w:t>
      </w:r>
      <w:r>
        <w:tab/>
        <w:t>175</w:t>
      </w:r>
    </w:p>
    <w:p w:rsidR="00F13860" w:rsidRDefault="00F13860" w:rsidP="00F1386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Bid Amounts</w:t>
      </w:r>
      <w:r>
        <w:tab/>
        <w:t>178</w:t>
      </w:r>
    </w:p>
    <w:p w:rsidR="00F13860" w:rsidRDefault="00F13860" w:rsidP="00F13860">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Minimum Acceptable Bids</w:t>
      </w:r>
      <w:r>
        <w:tab/>
        <w:t>179</w:t>
      </w:r>
    </w:p>
    <w:p w:rsidR="00F13860" w:rsidRDefault="00F13860" w:rsidP="00F13860">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Additional Bid Amounts</w:t>
      </w:r>
      <w:r>
        <w:tab/>
        <w:t>183</w:t>
      </w:r>
    </w:p>
    <w:p w:rsidR="00F13860" w:rsidRDefault="00F13860" w:rsidP="00F13860">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Bid Amount Changes</w:t>
      </w:r>
      <w:r>
        <w:tab/>
        <w:t>185</w:t>
      </w:r>
    </w:p>
    <w:p w:rsidR="00F13860" w:rsidRDefault="00F13860" w:rsidP="00F1386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Provisionally Winning Bids</w:t>
      </w:r>
      <w:r>
        <w:tab/>
        <w:t>187</w:t>
      </w:r>
    </w:p>
    <w:p w:rsidR="00F13860" w:rsidRDefault="00F13860" w:rsidP="00F13860">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Bidding</w:t>
      </w:r>
      <w:r>
        <w:tab/>
        <w:t>189</w:t>
      </w:r>
    </w:p>
    <w:p w:rsidR="00F13860" w:rsidRDefault="00F13860" w:rsidP="00F13860">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Bid Removal and Bid Withdrawal</w:t>
      </w:r>
      <w:r>
        <w:tab/>
        <w:t>196</w:t>
      </w:r>
    </w:p>
    <w:p w:rsidR="00F13860" w:rsidRDefault="00F13860" w:rsidP="00F13860">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Round Results</w:t>
      </w:r>
      <w:r>
        <w:tab/>
        <w:t>204</w:t>
      </w:r>
    </w:p>
    <w:p w:rsidR="00F13860" w:rsidRDefault="00F13860" w:rsidP="00F13860">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Auction Announcements</w:t>
      </w:r>
      <w:r>
        <w:tab/>
        <w:t>205</w:t>
      </w:r>
    </w:p>
    <w:p w:rsidR="00F13860" w:rsidRDefault="00F13860" w:rsidP="00F13860">
      <w:pPr>
        <w:pStyle w:val="TOC1"/>
        <w:rPr>
          <w:rFonts w:asciiTheme="minorHAnsi" w:eastAsiaTheme="minorEastAsia" w:hAnsiTheme="minorHAnsi" w:cstheme="minorBidi"/>
          <w:caps w:val="0"/>
          <w:snapToGrid/>
          <w:kern w:val="0"/>
          <w:szCs w:val="22"/>
        </w:rPr>
      </w:pPr>
      <w:r w:rsidRPr="00D60B86">
        <w:t>V.</w:t>
      </w:r>
      <w:r>
        <w:rPr>
          <w:rFonts w:asciiTheme="minorHAnsi" w:eastAsiaTheme="minorEastAsia" w:hAnsiTheme="minorHAnsi" w:cstheme="minorBidi"/>
          <w:caps w:val="0"/>
          <w:snapToGrid/>
          <w:kern w:val="0"/>
          <w:szCs w:val="22"/>
        </w:rPr>
        <w:tab/>
      </w:r>
      <w:r w:rsidRPr="00D60B86">
        <w:t>POST-AUCTION PROCEDURES</w:t>
      </w:r>
      <w:r>
        <w:tab/>
        <w:t>206</w:t>
      </w:r>
    </w:p>
    <w:p w:rsidR="00F13860" w:rsidRDefault="00F13860" w:rsidP="00F1386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Down Payments</w:t>
      </w:r>
      <w:r>
        <w:tab/>
        <w:t>207</w:t>
      </w:r>
    </w:p>
    <w:p w:rsidR="00F13860" w:rsidRDefault="00F13860" w:rsidP="00F1386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Payments</w:t>
      </w:r>
      <w:r>
        <w:tab/>
        <w:t>208</w:t>
      </w:r>
    </w:p>
    <w:p w:rsidR="00F13860" w:rsidRDefault="00F13860" w:rsidP="00F1386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Long-Form Application (FCC Form 601)</w:t>
      </w:r>
      <w:r>
        <w:tab/>
        <w:t>209</w:t>
      </w:r>
    </w:p>
    <w:p w:rsidR="00F13860" w:rsidRDefault="00F13860" w:rsidP="00F1386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Ownership Disclosure Information Report (FCC Form 602)</w:t>
      </w:r>
      <w:r>
        <w:tab/>
        <w:t>211</w:t>
      </w:r>
    </w:p>
    <w:p w:rsidR="00F13860" w:rsidRDefault="00F13860" w:rsidP="00F13860">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Tribal Lands Bidding Credit</w:t>
      </w:r>
      <w:r>
        <w:tab/>
        <w:t>214</w:t>
      </w:r>
    </w:p>
    <w:p w:rsidR="00F13860" w:rsidRDefault="00F13860" w:rsidP="00F13860">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Default and Disqualification</w:t>
      </w:r>
      <w:r>
        <w:tab/>
        <w:t>217</w:t>
      </w:r>
    </w:p>
    <w:p w:rsidR="00F13860" w:rsidRDefault="00F13860" w:rsidP="00F13860">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Refund of Remaining Upfront Payment Balance</w:t>
      </w:r>
      <w:r>
        <w:tab/>
        <w:t>220</w:t>
      </w:r>
    </w:p>
    <w:p w:rsidR="00F13860" w:rsidRDefault="00F13860" w:rsidP="00F13860">
      <w:pPr>
        <w:pStyle w:val="TOC1"/>
        <w:rPr>
          <w:rFonts w:asciiTheme="minorHAnsi" w:eastAsiaTheme="minorEastAsia" w:hAnsiTheme="minorHAnsi" w:cstheme="minorBidi"/>
          <w:caps w:val="0"/>
          <w:snapToGrid/>
          <w:kern w:val="0"/>
          <w:szCs w:val="22"/>
        </w:rPr>
      </w:pPr>
      <w:r w:rsidRPr="00D60B86">
        <w:t>VI.</w:t>
      </w:r>
      <w:r>
        <w:rPr>
          <w:rFonts w:asciiTheme="minorHAnsi" w:eastAsiaTheme="minorEastAsia" w:hAnsiTheme="minorHAnsi" w:cstheme="minorBidi"/>
          <w:caps w:val="0"/>
          <w:snapToGrid/>
          <w:kern w:val="0"/>
          <w:szCs w:val="22"/>
        </w:rPr>
        <w:tab/>
      </w:r>
      <w:r w:rsidRPr="00D60B86">
        <w:t>CONTACT INFORMATION</w:t>
      </w:r>
      <w:r>
        <w:tab/>
        <w:t>222</w:t>
      </w:r>
    </w:p>
    <w:p w:rsidR="0097277E" w:rsidRDefault="00F13860" w:rsidP="0097277E">
      <w:pPr>
        <w:pStyle w:val="TOC1"/>
      </w:pPr>
      <w:r w:rsidRPr="00F13860">
        <w:rPr>
          <w:caps w:val="0"/>
        </w:rPr>
        <w:t>A</w:t>
      </w:r>
      <w:r>
        <w:rPr>
          <w:caps w:val="0"/>
        </w:rPr>
        <w:t xml:space="preserve">ttachment A: </w:t>
      </w:r>
      <w:r w:rsidR="0097277E">
        <w:rPr>
          <w:caps w:val="0"/>
        </w:rPr>
        <w:t>Licenses to Be Auctioned</w:t>
      </w:r>
    </w:p>
    <w:p w:rsidR="0097277E" w:rsidRDefault="0097277E" w:rsidP="0097277E">
      <w:pPr>
        <w:pStyle w:val="TOC1"/>
      </w:pPr>
      <w:r w:rsidRPr="007C62E8">
        <w:rPr>
          <w:caps w:val="0"/>
        </w:rPr>
        <w:t>A</w:t>
      </w:r>
      <w:r>
        <w:rPr>
          <w:caps w:val="0"/>
        </w:rPr>
        <w:t>ttachment B: Minimum Acceptable Bid Formula</w:t>
      </w:r>
    </w:p>
    <w:p w:rsidR="0097277E" w:rsidRDefault="0097277E" w:rsidP="0097277E">
      <w:pPr>
        <w:pStyle w:val="TOC1"/>
      </w:pPr>
      <w:r w:rsidRPr="007C62E8">
        <w:rPr>
          <w:caps w:val="0"/>
        </w:rPr>
        <w:t>A</w:t>
      </w:r>
      <w:r>
        <w:rPr>
          <w:caps w:val="0"/>
        </w:rPr>
        <w:t>ttachment C: List of Parties</w:t>
      </w:r>
    </w:p>
    <w:p w:rsidR="0097277E" w:rsidRDefault="0097277E" w:rsidP="0097277E">
      <w:pPr>
        <w:pStyle w:val="TOC1"/>
      </w:pPr>
      <w:r w:rsidRPr="007C62E8">
        <w:rPr>
          <w:caps w:val="0"/>
        </w:rPr>
        <w:t>A</w:t>
      </w:r>
      <w:r>
        <w:rPr>
          <w:caps w:val="0"/>
        </w:rPr>
        <w:t>ttachment D: Short-Form Application Filing Instructions</w:t>
      </w:r>
    </w:p>
    <w:p w:rsidR="0097277E" w:rsidRDefault="0097277E" w:rsidP="0097277E">
      <w:pPr>
        <w:pStyle w:val="TOC1"/>
      </w:pPr>
      <w:r w:rsidRPr="007C62E8">
        <w:rPr>
          <w:caps w:val="0"/>
        </w:rPr>
        <w:t>A</w:t>
      </w:r>
      <w:r>
        <w:rPr>
          <w:caps w:val="0"/>
        </w:rPr>
        <w:t>ttachment E: Auction-Specific Instructions for FCC Remittance Advice (FCC Form 159)</w:t>
      </w:r>
    </w:p>
    <w:p w:rsidR="0097277E" w:rsidRDefault="0097277E" w:rsidP="0097277E">
      <w:pPr>
        <w:pStyle w:val="TOC1"/>
      </w:pPr>
      <w:r w:rsidRPr="007C62E8">
        <w:rPr>
          <w:caps w:val="0"/>
        </w:rPr>
        <w:t>A</w:t>
      </w:r>
      <w:r>
        <w:rPr>
          <w:caps w:val="0"/>
        </w:rPr>
        <w:t xml:space="preserve">ttachment F: Summary Listing of Judicial, Commission and Bureau Documents Addressing Application of the Rule Prohibiting Certain Communications, 47 C.F.R. </w:t>
      </w:r>
      <w:r>
        <w:t>§ 1.2105(</w:t>
      </w:r>
      <w:r>
        <w:rPr>
          <w:caps w:val="0"/>
        </w:rPr>
        <w:t>c</w:t>
      </w:r>
      <w:r>
        <w:t>)</w:t>
      </w:r>
    </w:p>
    <w:p w:rsidR="00F13860" w:rsidRDefault="00F13860" w:rsidP="00F13860">
      <w:pPr>
        <w:pStyle w:val="TOC1"/>
        <w:rPr>
          <w:rFonts w:asciiTheme="minorHAnsi" w:eastAsiaTheme="minorEastAsia" w:hAnsiTheme="minorHAnsi" w:cstheme="minorBidi"/>
          <w:caps w:val="0"/>
          <w:snapToGrid/>
          <w:kern w:val="0"/>
          <w:szCs w:val="22"/>
        </w:rPr>
      </w:pPr>
    </w:p>
    <w:p w:rsidR="00412FC5" w:rsidRPr="001C2E9C" w:rsidRDefault="00200CB4" w:rsidP="00C07C81">
      <w:pPr>
        <w:pStyle w:val="Heading1"/>
        <w:widowControl/>
      </w:pPr>
      <w:bookmarkStart w:id="3" w:name="_Toc366056467"/>
      <w:bookmarkStart w:id="4" w:name="_Toc366223670"/>
      <w:bookmarkStart w:id="5" w:name="_Toc366229383"/>
      <w:bookmarkStart w:id="6" w:name="_Toc366583427"/>
      <w:bookmarkEnd w:id="1"/>
      <w:r>
        <w:t>GENERAL INFORMATION</w:t>
      </w:r>
      <w:bookmarkEnd w:id="3"/>
      <w:bookmarkEnd w:id="4"/>
      <w:bookmarkEnd w:id="5"/>
      <w:bookmarkEnd w:id="6"/>
    </w:p>
    <w:p w:rsidR="008434F5" w:rsidRPr="001C2E9C" w:rsidRDefault="008434F5" w:rsidP="00C07C81">
      <w:pPr>
        <w:pStyle w:val="Heading2"/>
        <w:widowControl/>
      </w:pPr>
      <w:bookmarkStart w:id="7" w:name="_Toc148332849"/>
      <w:bookmarkStart w:id="8" w:name="_Toc148333051"/>
      <w:bookmarkStart w:id="9" w:name="_Toc148333184"/>
      <w:bookmarkStart w:id="10" w:name="_Toc148333605"/>
      <w:bookmarkStart w:id="11" w:name="_Toc148334218"/>
      <w:bookmarkStart w:id="12" w:name="_Toc148335732"/>
      <w:bookmarkStart w:id="13" w:name="_Toc148336265"/>
      <w:bookmarkStart w:id="14" w:name="_Toc148337706"/>
      <w:bookmarkStart w:id="15" w:name="_Toc148338029"/>
      <w:bookmarkStart w:id="16" w:name="_Toc148339739"/>
      <w:bookmarkStart w:id="17" w:name="_Toc148339836"/>
      <w:bookmarkStart w:id="18" w:name="_Toc149645542"/>
      <w:bookmarkStart w:id="19" w:name="_Toc149997846"/>
      <w:bookmarkStart w:id="20" w:name="_Toc158180722"/>
      <w:bookmarkStart w:id="21" w:name="_Toc158785571"/>
      <w:bookmarkStart w:id="22" w:name="_Toc178768465"/>
      <w:bookmarkStart w:id="23" w:name="_Toc179195906"/>
      <w:bookmarkStart w:id="24" w:name="_Toc179361848"/>
      <w:bookmarkStart w:id="25" w:name="_Toc179363632"/>
      <w:bookmarkStart w:id="26" w:name="_Toc197504882"/>
      <w:bookmarkStart w:id="27" w:name="_Toc198007654"/>
      <w:bookmarkStart w:id="28" w:name="_Toc198007805"/>
      <w:bookmarkStart w:id="29" w:name="_Toc198008157"/>
      <w:bookmarkStart w:id="30" w:name="_Toc198008294"/>
      <w:bookmarkStart w:id="31" w:name="_Toc198008841"/>
      <w:bookmarkStart w:id="32" w:name="_Toc198369737"/>
      <w:bookmarkStart w:id="33" w:name="_Toc198369874"/>
      <w:bookmarkStart w:id="34" w:name="_Toc198372786"/>
      <w:bookmarkStart w:id="35" w:name="_Toc198372889"/>
      <w:bookmarkStart w:id="36" w:name="_Toc198373019"/>
      <w:bookmarkStart w:id="37" w:name="_Toc198373187"/>
      <w:bookmarkStart w:id="38" w:name="_Toc198627101"/>
      <w:bookmarkStart w:id="39" w:name="_Toc198627207"/>
      <w:bookmarkStart w:id="40" w:name="_Toc216090697"/>
      <w:bookmarkStart w:id="41" w:name="_Toc226958203"/>
      <w:bookmarkStart w:id="42" w:name="_Toc227038263"/>
      <w:bookmarkStart w:id="43" w:name="_Toc254792559"/>
      <w:bookmarkStart w:id="44" w:name="_Toc256669681"/>
      <w:bookmarkStart w:id="45" w:name="_Toc257213214"/>
      <w:bookmarkStart w:id="46" w:name="_Toc257277727"/>
      <w:bookmarkStart w:id="47" w:name="_Toc257278688"/>
      <w:bookmarkStart w:id="48" w:name="_Toc257278898"/>
      <w:bookmarkStart w:id="49" w:name="_Toc257279266"/>
      <w:bookmarkStart w:id="50" w:name="_Toc257382899"/>
      <w:bookmarkStart w:id="51" w:name="_Toc274056159"/>
      <w:bookmarkStart w:id="52" w:name="_Toc276657564"/>
      <w:bookmarkStart w:id="53" w:name="_Toc278366410"/>
      <w:bookmarkStart w:id="54" w:name="_Toc307584006"/>
      <w:bookmarkStart w:id="55" w:name="_Toc307937280"/>
      <w:bookmarkStart w:id="56" w:name="_Toc348508725"/>
      <w:bookmarkStart w:id="57" w:name="_Toc362256712"/>
      <w:bookmarkStart w:id="58" w:name="_Toc366056468"/>
      <w:bookmarkStart w:id="59" w:name="_Toc366223671"/>
      <w:bookmarkStart w:id="60" w:name="_Toc366229384"/>
      <w:bookmarkStart w:id="61" w:name="_Toc366583428"/>
      <w:r w:rsidRPr="001C2E9C">
        <w:t>Introduction</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4D5EE9" w:rsidRPr="00BE180E" w:rsidRDefault="008E16F9" w:rsidP="00C07C81">
      <w:pPr>
        <w:pStyle w:val="ParaNum"/>
        <w:widowControl/>
        <w:tabs>
          <w:tab w:val="clear" w:pos="1260"/>
          <w:tab w:val="left" w:pos="1440"/>
        </w:tabs>
        <w:ind w:left="0"/>
        <w:rPr>
          <w:szCs w:val="22"/>
        </w:rPr>
      </w:pPr>
      <w:r w:rsidRPr="00BE180E">
        <w:rPr>
          <w:szCs w:val="22"/>
        </w:rPr>
        <w:t xml:space="preserve">By this Public Notice, </w:t>
      </w:r>
      <w:r w:rsidR="00031FDD" w:rsidRPr="00BE180E">
        <w:rPr>
          <w:szCs w:val="22"/>
        </w:rPr>
        <w:t>the Wireless Telecommunications Bureau (</w:t>
      </w:r>
      <w:r w:rsidR="007B24CC" w:rsidRPr="00BE180E">
        <w:rPr>
          <w:szCs w:val="22"/>
        </w:rPr>
        <w:t>“Bureau</w:t>
      </w:r>
      <w:r w:rsidR="00031FDD" w:rsidRPr="00BE180E">
        <w:rPr>
          <w:szCs w:val="22"/>
        </w:rPr>
        <w:t xml:space="preserve">”) </w:t>
      </w:r>
      <w:r w:rsidR="00FD1854" w:rsidRPr="00BE180E">
        <w:rPr>
          <w:szCs w:val="22"/>
        </w:rPr>
        <w:t>establish</w:t>
      </w:r>
      <w:r w:rsidR="007B24CC" w:rsidRPr="00BE180E">
        <w:rPr>
          <w:szCs w:val="22"/>
        </w:rPr>
        <w:t>es</w:t>
      </w:r>
      <w:r w:rsidR="00FD1854" w:rsidRPr="00BE180E">
        <w:rPr>
          <w:szCs w:val="22"/>
        </w:rPr>
        <w:t xml:space="preserve"> </w:t>
      </w:r>
      <w:r w:rsidR="002714CC" w:rsidRPr="00BE180E">
        <w:rPr>
          <w:szCs w:val="22"/>
        </w:rPr>
        <w:t>the procedures</w:t>
      </w:r>
      <w:r w:rsidR="001E07D4">
        <w:rPr>
          <w:szCs w:val="22"/>
        </w:rPr>
        <w:t>, reserve price,</w:t>
      </w:r>
      <w:r w:rsidR="002714CC" w:rsidRPr="00BE180E">
        <w:rPr>
          <w:szCs w:val="22"/>
        </w:rPr>
        <w:t xml:space="preserve"> and minimum opening bid amounts for the </w:t>
      </w:r>
      <w:r w:rsidR="00CC0081" w:rsidRPr="00BE180E">
        <w:rPr>
          <w:szCs w:val="22"/>
        </w:rPr>
        <w:t xml:space="preserve">upcoming </w:t>
      </w:r>
      <w:r w:rsidR="002714CC" w:rsidRPr="00BE180E">
        <w:rPr>
          <w:szCs w:val="22"/>
        </w:rPr>
        <w:t>auction</w:t>
      </w:r>
      <w:r w:rsidR="00CC0081" w:rsidRPr="00BE180E">
        <w:rPr>
          <w:szCs w:val="22"/>
        </w:rPr>
        <w:t xml:space="preserve"> of </w:t>
      </w:r>
      <w:r w:rsidR="00317A96">
        <w:rPr>
          <w:szCs w:val="22"/>
        </w:rPr>
        <w:t>licenses in the 1915-1920 MHz (“Lower H Block”) and 1995-2000 MHz (“Upper H Block”)</w:t>
      </w:r>
      <w:r w:rsidR="007B24CC" w:rsidRPr="00BE180E">
        <w:rPr>
          <w:szCs w:val="22"/>
        </w:rPr>
        <w:t xml:space="preserve"> bands </w:t>
      </w:r>
      <w:r w:rsidR="00317A96">
        <w:rPr>
          <w:szCs w:val="22"/>
        </w:rPr>
        <w:t>(collectively, the “H Block”)</w:t>
      </w:r>
      <w:r w:rsidR="002E0194" w:rsidRPr="00BE180E">
        <w:rPr>
          <w:szCs w:val="22"/>
        </w:rPr>
        <w:t>.</w:t>
      </w:r>
      <w:r w:rsidR="007B24CC">
        <w:rPr>
          <w:rStyle w:val="FootnoteReference"/>
          <w:szCs w:val="22"/>
        </w:rPr>
        <w:footnoteReference w:id="2"/>
      </w:r>
      <w:r w:rsidR="002E0194" w:rsidRPr="00BE180E">
        <w:rPr>
          <w:szCs w:val="22"/>
        </w:rPr>
        <w:t xml:space="preserve">  </w:t>
      </w:r>
      <w:r w:rsidR="00853152" w:rsidRPr="00BE180E">
        <w:rPr>
          <w:szCs w:val="22"/>
        </w:rPr>
        <w:t>This auction</w:t>
      </w:r>
      <w:r w:rsidR="002E0194" w:rsidRPr="00BE180E">
        <w:rPr>
          <w:szCs w:val="22"/>
        </w:rPr>
        <w:t>, which</w:t>
      </w:r>
      <w:r w:rsidR="00853152" w:rsidRPr="00BE180E">
        <w:rPr>
          <w:szCs w:val="22"/>
        </w:rPr>
        <w:t xml:space="preserve"> is designated as Auction </w:t>
      </w:r>
      <w:r w:rsidR="003D6CD1" w:rsidRPr="00BE180E">
        <w:rPr>
          <w:szCs w:val="22"/>
        </w:rPr>
        <w:t>9</w:t>
      </w:r>
      <w:r w:rsidR="00AF1348">
        <w:rPr>
          <w:szCs w:val="22"/>
        </w:rPr>
        <w:t>6</w:t>
      </w:r>
      <w:r w:rsidR="002E0194" w:rsidRPr="00BE180E">
        <w:rPr>
          <w:szCs w:val="22"/>
        </w:rPr>
        <w:t xml:space="preserve">, is scheduled </w:t>
      </w:r>
      <w:r w:rsidR="002714CC" w:rsidRPr="00BE180E">
        <w:rPr>
          <w:szCs w:val="22"/>
        </w:rPr>
        <w:t xml:space="preserve">to </w:t>
      </w:r>
      <w:r w:rsidR="00F513C2" w:rsidRPr="00BE180E">
        <w:rPr>
          <w:szCs w:val="22"/>
        </w:rPr>
        <w:t>start</w:t>
      </w:r>
      <w:r w:rsidR="00031FDD" w:rsidRPr="00BE180E">
        <w:rPr>
          <w:szCs w:val="22"/>
        </w:rPr>
        <w:t xml:space="preserve"> on</w:t>
      </w:r>
      <w:r w:rsidR="002E0194" w:rsidRPr="00BE180E">
        <w:rPr>
          <w:szCs w:val="22"/>
        </w:rPr>
        <w:t xml:space="preserve"> </w:t>
      </w:r>
      <w:r w:rsidR="007B24CC" w:rsidRPr="00BE180E">
        <w:rPr>
          <w:szCs w:val="22"/>
        </w:rPr>
        <w:t>J</w:t>
      </w:r>
      <w:r w:rsidR="00AF1348">
        <w:rPr>
          <w:szCs w:val="22"/>
        </w:rPr>
        <w:t>anuary</w:t>
      </w:r>
      <w:r w:rsidR="007B24CC" w:rsidRPr="00BE180E">
        <w:rPr>
          <w:szCs w:val="22"/>
        </w:rPr>
        <w:t xml:space="preserve"> 1</w:t>
      </w:r>
      <w:r w:rsidR="00AF1348">
        <w:rPr>
          <w:szCs w:val="22"/>
        </w:rPr>
        <w:t>4</w:t>
      </w:r>
      <w:r w:rsidR="002B0195" w:rsidRPr="00BE180E">
        <w:rPr>
          <w:szCs w:val="22"/>
        </w:rPr>
        <w:t>, 201</w:t>
      </w:r>
      <w:r w:rsidR="001342BB">
        <w:rPr>
          <w:szCs w:val="22"/>
        </w:rPr>
        <w:t>4</w:t>
      </w:r>
      <w:r w:rsidR="00853152" w:rsidRPr="00BE180E">
        <w:rPr>
          <w:szCs w:val="22"/>
        </w:rPr>
        <w:t>.</w:t>
      </w:r>
      <w:r w:rsidR="002B0195" w:rsidRPr="00BE180E">
        <w:rPr>
          <w:szCs w:val="22"/>
        </w:rPr>
        <w:t xml:space="preserve">  </w:t>
      </w:r>
      <w:bookmarkStart w:id="62" w:name="_Toc483218115"/>
      <w:r w:rsidR="00FD1854" w:rsidRPr="00BE180E">
        <w:rPr>
          <w:szCs w:val="22"/>
        </w:rPr>
        <w:t>This Public Notice provides an overview of the procedures, terms</w:t>
      </w:r>
      <w:r w:rsidR="008D5B51">
        <w:rPr>
          <w:szCs w:val="22"/>
        </w:rPr>
        <w:t>,</w:t>
      </w:r>
      <w:r w:rsidR="00FD1854" w:rsidRPr="00BE180E">
        <w:rPr>
          <w:szCs w:val="22"/>
        </w:rPr>
        <w:t xml:space="preserve"> and conditions governing Auction 9</w:t>
      </w:r>
      <w:r w:rsidR="00AF1348">
        <w:rPr>
          <w:szCs w:val="22"/>
        </w:rPr>
        <w:t>6</w:t>
      </w:r>
      <w:r w:rsidR="00FD1854" w:rsidRPr="00BE180E">
        <w:rPr>
          <w:szCs w:val="22"/>
        </w:rPr>
        <w:t xml:space="preserve"> and the post-auction application and payment processes.</w:t>
      </w:r>
      <w:r w:rsidR="004D5EE9" w:rsidRPr="00BE180E">
        <w:rPr>
          <w:szCs w:val="22"/>
        </w:rPr>
        <w:t xml:space="preserve">  </w:t>
      </w:r>
    </w:p>
    <w:p w:rsidR="00317A96" w:rsidRPr="00317A96" w:rsidRDefault="00317A96" w:rsidP="00BE20E8">
      <w:pPr>
        <w:pStyle w:val="ParaNum"/>
        <w:widowControl/>
        <w:tabs>
          <w:tab w:val="clear" w:pos="1260"/>
          <w:tab w:val="left" w:pos="1440"/>
        </w:tabs>
        <w:ind w:left="0"/>
      </w:pPr>
      <w:bookmarkStart w:id="63" w:name="_Toc109812218"/>
      <w:bookmarkStart w:id="64" w:name="_Toc124844724"/>
      <w:bookmarkStart w:id="65" w:name="_Toc124844855"/>
      <w:bookmarkStart w:id="66" w:name="_Toc124845514"/>
      <w:bookmarkStart w:id="67" w:name="_Toc124845782"/>
      <w:bookmarkStart w:id="68" w:name="_Toc124845853"/>
      <w:bookmarkStart w:id="69" w:name="_Toc124845927"/>
      <w:bookmarkStart w:id="70" w:name="_Toc124846099"/>
      <w:bookmarkStart w:id="71" w:name="_Toc124848222"/>
      <w:bookmarkStart w:id="72" w:name="_Toc124907473"/>
      <w:bookmarkStart w:id="73" w:name="_Toc129773438"/>
      <w:bookmarkStart w:id="74" w:name="_Toc130209976"/>
      <w:bookmarkStart w:id="75" w:name="_Toc130730905"/>
      <w:bookmarkStart w:id="76" w:name="_Toc130814132"/>
      <w:bookmarkStart w:id="77" w:name="_Toc130814454"/>
      <w:bookmarkStart w:id="78" w:name="_Toc130814586"/>
      <w:bookmarkStart w:id="79" w:name="_Toc130883470"/>
      <w:bookmarkStart w:id="80" w:name="_Toc130885578"/>
      <w:bookmarkStart w:id="81" w:name="_Toc131844557"/>
      <w:bookmarkStart w:id="82" w:name="_Toc148330495"/>
      <w:bookmarkStart w:id="83" w:name="_Toc148331214"/>
      <w:bookmarkStart w:id="84" w:name="_Toc148331673"/>
      <w:bookmarkStart w:id="85" w:name="_Toc148332098"/>
      <w:bookmarkStart w:id="86" w:name="_Toc148332170"/>
      <w:bookmarkStart w:id="87" w:name="_Toc148332242"/>
      <w:bookmarkStart w:id="88" w:name="_Toc148332319"/>
      <w:bookmarkStart w:id="89" w:name="_Toc148332396"/>
      <w:bookmarkStart w:id="90" w:name="_Toc148332473"/>
      <w:bookmarkStart w:id="91" w:name="_Toc148332550"/>
      <w:bookmarkStart w:id="92" w:name="_Toc148332623"/>
      <w:bookmarkStart w:id="93" w:name="_Toc148332719"/>
      <w:bookmarkStart w:id="94" w:name="_Toc148332851"/>
      <w:bookmarkStart w:id="95" w:name="_Toc148333053"/>
      <w:bookmarkStart w:id="96" w:name="_Toc148333186"/>
      <w:bookmarkStart w:id="97" w:name="_Toc148333607"/>
      <w:bookmarkStart w:id="98" w:name="_Toc148334220"/>
      <w:bookmarkStart w:id="99" w:name="_Toc148335734"/>
      <w:bookmarkStart w:id="100" w:name="_Toc148336267"/>
      <w:bookmarkStart w:id="101" w:name="_Toc148337708"/>
      <w:bookmarkStart w:id="102" w:name="_Toc148338031"/>
      <w:bookmarkStart w:id="103" w:name="_Toc148339741"/>
      <w:bookmarkStart w:id="104" w:name="_Toc148339838"/>
      <w:bookmarkStart w:id="105" w:name="_Toc149645544"/>
      <w:bookmarkStart w:id="106" w:name="_Toc149997848"/>
      <w:bookmarkStart w:id="107" w:name="_Toc158180724"/>
      <w:bookmarkStart w:id="108" w:name="_Toc158785573"/>
      <w:bookmarkStart w:id="109" w:name="_Toc178768467"/>
      <w:bookmarkStart w:id="110" w:name="_Toc179195908"/>
      <w:bookmarkStart w:id="111" w:name="_Toc179361850"/>
      <w:bookmarkStart w:id="112" w:name="_Toc179363634"/>
      <w:bookmarkStart w:id="113" w:name="_Toc197504884"/>
      <w:bookmarkStart w:id="114" w:name="_Toc198007656"/>
      <w:bookmarkStart w:id="115" w:name="_Toc198007807"/>
      <w:bookmarkStart w:id="116" w:name="_Toc198008159"/>
      <w:bookmarkStart w:id="117" w:name="_Toc198008296"/>
      <w:bookmarkStart w:id="118" w:name="_Toc198008843"/>
      <w:bookmarkStart w:id="119" w:name="_Toc198369739"/>
      <w:bookmarkStart w:id="120" w:name="_Toc198369876"/>
      <w:bookmarkStart w:id="121" w:name="_Toc198372788"/>
      <w:bookmarkStart w:id="122" w:name="_Toc198372891"/>
      <w:bookmarkStart w:id="123" w:name="_Toc198373021"/>
      <w:bookmarkStart w:id="124" w:name="_Toc198373189"/>
      <w:bookmarkStart w:id="125" w:name="_Toc198627103"/>
      <w:bookmarkStart w:id="126" w:name="_Toc198627209"/>
      <w:bookmarkStart w:id="127" w:name="_Toc216090698"/>
      <w:bookmarkStart w:id="128" w:name="_Toc226958204"/>
      <w:bookmarkStart w:id="129" w:name="_Toc227038264"/>
      <w:bookmarkStart w:id="130" w:name="_Toc254792561"/>
      <w:bookmarkStart w:id="131" w:name="_Toc256669683"/>
      <w:bookmarkStart w:id="132" w:name="_Toc257213216"/>
      <w:bookmarkStart w:id="133" w:name="_Toc257277729"/>
      <w:bookmarkStart w:id="134" w:name="_Toc257278690"/>
      <w:bookmarkStart w:id="135" w:name="_Toc257278900"/>
      <w:bookmarkStart w:id="136" w:name="_Toc257279268"/>
      <w:bookmarkStart w:id="137" w:name="_Toc257382901"/>
      <w:bookmarkStart w:id="138" w:name="_Toc274056160"/>
      <w:bookmarkStart w:id="139" w:name="_Toc276657565"/>
      <w:bookmarkStart w:id="140" w:name="_Toc278366411"/>
      <w:bookmarkStart w:id="141" w:name="_Toc307584007"/>
      <w:bookmarkStart w:id="142" w:name="_Toc307937281"/>
      <w:bookmarkEnd w:id="62"/>
      <w:r w:rsidRPr="0064234E">
        <w:t xml:space="preserve">The </w:t>
      </w:r>
      <w:r w:rsidR="001E07D4">
        <w:t>Federal Communications Commission (“</w:t>
      </w:r>
      <w:r w:rsidRPr="0064234E">
        <w:t>Commission</w:t>
      </w:r>
      <w:r w:rsidR="001E07D4">
        <w:t>” or “FCC”)</w:t>
      </w:r>
      <w:r w:rsidRPr="0064234E">
        <w:t xml:space="preserve"> is offering the licenses in Auction 96 pursuant to the Middle Class Tax Relief and Job Creation Act of 2012 (“Spectrum Act”).</w:t>
      </w:r>
      <w:r w:rsidRPr="0064234E">
        <w:rPr>
          <w:rStyle w:val="FootnoteReference"/>
        </w:rPr>
        <w:footnoteReference w:id="3"/>
      </w:r>
      <w:r w:rsidRPr="0064234E">
        <w:t xml:space="preserve">  The Spectrum Act requires, among other things, that the Commission allocate for commercial use and license spectrum in the H Block using a system of competitive bidding no later than February 23, 2015</w:t>
      </w:r>
      <w:r>
        <w:t>.</w:t>
      </w:r>
      <w:r>
        <w:rPr>
          <w:rStyle w:val="FootnoteReference"/>
        </w:rPr>
        <w:footnoteReference w:id="4"/>
      </w:r>
    </w:p>
    <w:p w:rsidR="00757971" w:rsidRPr="00BE180E" w:rsidRDefault="00BE180E" w:rsidP="00ED3911">
      <w:pPr>
        <w:pStyle w:val="ParaNum"/>
        <w:widowControl/>
        <w:tabs>
          <w:tab w:val="clear" w:pos="1260"/>
          <w:tab w:val="left" w:pos="1440"/>
        </w:tabs>
        <w:ind w:left="0"/>
      </w:pPr>
      <w:r>
        <w:rPr>
          <w:szCs w:val="22"/>
        </w:rPr>
        <w:t xml:space="preserve">On </w:t>
      </w:r>
      <w:r w:rsidR="00317A96">
        <w:rPr>
          <w:szCs w:val="22"/>
        </w:rPr>
        <w:t>July</w:t>
      </w:r>
      <w:r>
        <w:rPr>
          <w:szCs w:val="22"/>
        </w:rPr>
        <w:t xml:space="preserve"> 1</w:t>
      </w:r>
      <w:r w:rsidR="00317A96">
        <w:rPr>
          <w:szCs w:val="22"/>
        </w:rPr>
        <w:t>5</w:t>
      </w:r>
      <w:r>
        <w:rPr>
          <w:szCs w:val="22"/>
        </w:rPr>
        <w:t>, 2013, in accordance with section 309(j)(3) of the Communications Act of 1934, as amended,</w:t>
      </w:r>
      <w:r>
        <w:rPr>
          <w:rStyle w:val="FootnoteReference"/>
          <w:szCs w:val="22"/>
        </w:rPr>
        <w:footnoteReference w:id="5"/>
      </w:r>
      <w:r>
        <w:rPr>
          <w:szCs w:val="22"/>
        </w:rPr>
        <w:t xml:space="preserve"> the Bureau released a public notice seeking comment on competitive bidding procedures to be used in Aucti</w:t>
      </w:r>
      <w:r w:rsidR="00530B79">
        <w:rPr>
          <w:szCs w:val="22"/>
        </w:rPr>
        <w:t>on 96</w:t>
      </w:r>
      <w:r>
        <w:rPr>
          <w:szCs w:val="22"/>
        </w:rPr>
        <w:t>.</w:t>
      </w:r>
      <w:r>
        <w:rPr>
          <w:rStyle w:val="FootnoteReference"/>
          <w:szCs w:val="22"/>
        </w:rPr>
        <w:footnoteReference w:id="6"/>
      </w:r>
      <w:r>
        <w:rPr>
          <w:szCs w:val="22"/>
        </w:rPr>
        <w:t xml:space="preserve">  </w:t>
      </w:r>
      <w:r w:rsidR="005A04B8">
        <w:rPr>
          <w:szCs w:val="22"/>
        </w:rPr>
        <w:t>Twelve</w:t>
      </w:r>
      <w:r w:rsidR="00D727D6">
        <w:rPr>
          <w:szCs w:val="22"/>
        </w:rPr>
        <w:t xml:space="preserve"> </w:t>
      </w:r>
      <w:r w:rsidRPr="00206CE7">
        <w:rPr>
          <w:szCs w:val="22"/>
        </w:rPr>
        <w:t>comment</w:t>
      </w:r>
      <w:r w:rsidR="00AA1D6C" w:rsidRPr="00206CE7">
        <w:rPr>
          <w:szCs w:val="22"/>
        </w:rPr>
        <w:t>s</w:t>
      </w:r>
      <w:r w:rsidR="00206CE7">
        <w:rPr>
          <w:szCs w:val="22"/>
        </w:rPr>
        <w:t xml:space="preserve"> and </w:t>
      </w:r>
      <w:r w:rsidR="005A04B8">
        <w:rPr>
          <w:szCs w:val="22"/>
        </w:rPr>
        <w:t>ten</w:t>
      </w:r>
      <w:r w:rsidR="00206CE7">
        <w:rPr>
          <w:szCs w:val="22"/>
        </w:rPr>
        <w:t xml:space="preserve"> reply comments</w:t>
      </w:r>
      <w:r w:rsidRPr="00EF3D06">
        <w:rPr>
          <w:szCs w:val="22"/>
        </w:rPr>
        <w:t xml:space="preserve"> were submitted in response to the </w:t>
      </w:r>
      <w:r w:rsidRPr="00EF3D06">
        <w:rPr>
          <w:i/>
          <w:iCs/>
          <w:szCs w:val="22"/>
        </w:rPr>
        <w:t xml:space="preserve">Auction </w:t>
      </w:r>
      <w:r>
        <w:rPr>
          <w:i/>
          <w:iCs/>
          <w:szCs w:val="22"/>
        </w:rPr>
        <w:t>9</w:t>
      </w:r>
      <w:r w:rsidR="00530B79">
        <w:rPr>
          <w:i/>
          <w:iCs/>
          <w:szCs w:val="22"/>
        </w:rPr>
        <w:t>6</w:t>
      </w:r>
      <w:r>
        <w:rPr>
          <w:i/>
          <w:iCs/>
          <w:szCs w:val="22"/>
        </w:rPr>
        <w:t xml:space="preserve"> Comment Public Notice</w:t>
      </w:r>
      <w:r>
        <w:rPr>
          <w:iCs/>
          <w:szCs w:val="22"/>
        </w:rPr>
        <w: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D727D6">
        <w:rPr>
          <w:rStyle w:val="FootnoteReference"/>
          <w:iCs/>
          <w:szCs w:val="22"/>
        </w:rPr>
        <w:footnoteReference w:id="7"/>
      </w:r>
    </w:p>
    <w:p w:rsidR="00BE180E" w:rsidRDefault="003936F0" w:rsidP="003936F0">
      <w:pPr>
        <w:pStyle w:val="Heading2"/>
        <w:widowControl/>
      </w:pPr>
      <w:bookmarkStart w:id="143" w:name="_Toc348508728"/>
      <w:bookmarkStart w:id="144" w:name="_Toc362256713"/>
      <w:bookmarkStart w:id="145" w:name="_Toc366056469"/>
      <w:bookmarkStart w:id="146" w:name="_Toc366223672"/>
      <w:bookmarkStart w:id="147" w:name="_Toc366229385"/>
      <w:bookmarkStart w:id="148" w:name="_Toc366583429"/>
      <w:r>
        <w:t xml:space="preserve">Description of </w:t>
      </w:r>
      <w:r w:rsidR="00BE180E" w:rsidRPr="00BE180E">
        <w:t>License</w:t>
      </w:r>
      <w:r w:rsidR="00ED3911">
        <w:t>s to be Offered in Auction 96</w:t>
      </w:r>
      <w:bookmarkEnd w:id="143"/>
      <w:bookmarkEnd w:id="144"/>
      <w:bookmarkEnd w:id="145"/>
      <w:bookmarkEnd w:id="146"/>
      <w:bookmarkEnd w:id="147"/>
      <w:bookmarkEnd w:id="148"/>
    </w:p>
    <w:p w:rsidR="00ED3911" w:rsidRPr="0064234E" w:rsidRDefault="00ED3911" w:rsidP="00ED3911">
      <w:pPr>
        <w:pStyle w:val="ParaNum"/>
        <w:widowControl/>
        <w:tabs>
          <w:tab w:val="clear" w:pos="1260"/>
          <w:tab w:val="num" w:pos="1440"/>
        </w:tabs>
        <w:ind w:left="0"/>
      </w:pPr>
      <w:r w:rsidRPr="0064234E">
        <w:t xml:space="preserve">In the </w:t>
      </w:r>
      <w:r w:rsidRPr="0064234E">
        <w:rPr>
          <w:i/>
        </w:rPr>
        <w:t>H Block Report and Order</w:t>
      </w:r>
      <w:r w:rsidRPr="0064234E">
        <w:t>, the Commission concluded that licenses for H Block spectrum should be awarded on an Economic Areas (EA) basis in all areas, including the Gulf of Mexico.</w:t>
      </w:r>
      <w:r w:rsidRPr="0064234E">
        <w:rPr>
          <w:rStyle w:val="FootnoteReference"/>
        </w:rPr>
        <w:footnoteReference w:id="8"/>
      </w:r>
      <w:r w:rsidRPr="0064234E">
        <w:t xml:space="preserve">  Auction 96 will offer one license for each of the 176 EAs.  The H Block frequencies will be licensed as paired </w:t>
      </w:r>
      <w:r w:rsidRPr="0064234E">
        <w:rPr>
          <w:lang w:val="pt-BR"/>
        </w:rPr>
        <w:t xml:space="preserve">5 megahertz </w:t>
      </w:r>
      <w:r w:rsidRPr="0064234E">
        <w:t>blocks, with each license having a total bandwidth of 10 megahertz; 1915-1920 MHz for mobile and low power fixed (</w:t>
      </w:r>
      <w:r w:rsidRPr="00724DC5">
        <w:t>i.e.</w:t>
      </w:r>
      <w:r w:rsidRPr="0064234E">
        <w:t>, uplink) operations and 1995-2000 MHz for base station and fixed (</w:t>
      </w:r>
      <w:r w:rsidRPr="00724DC5">
        <w:t>i.e.</w:t>
      </w:r>
      <w:r w:rsidRPr="0064234E">
        <w:t>, downlink) operations.</w:t>
      </w:r>
      <w:r w:rsidRPr="0064234E">
        <w:rPr>
          <w:rStyle w:val="FootnoteReference"/>
        </w:rPr>
        <w:footnoteReference w:id="9"/>
      </w:r>
      <w:r w:rsidRPr="0064234E">
        <w:t xml:space="preserve">  Figure 1 shows the H Block band plan, and Table 1 contains summary information regarding H Block frequencies, total bandwidth, and geographic area type.  </w:t>
      </w:r>
    </w:p>
    <w:p w:rsidR="00ED3911" w:rsidRPr="0064234E" w:rsidRDefault="00ED3911" w:rsidP="00ED3911">
      <w:pPr>
        <w:pStyle w:val="ParaNum"/>
        <w:widowControl/>
        <w:numPr>
          <w:ilvl w:val="0"/>
          <w:numId w:val="0"/>
        </w:numPr>
        <w:tabs>
          <w:tab w:val="num" w:pos="1440"/>
        </w:tabs>
        <w:spacing w:after="0"/>
        <w:ind w:left="720"/>
        <w:jc w:val="center"/>
        <w:rPr>
          <w:b/>
          <w:u w:val="single"/>
        </w:rPr>
      </w:pPr>
    </w:p>
    <w:p w:rsidR="00ED3911" w:rsidRPr="0064234E" w:rsidRDefault="00ED3911" w:rsidP="00ED3911">
      <w:pPr>
        <w:pStyle w:val="ParaNum"/>
        <w:keepNext/>
        <w:widowControl/>
        <w:numPr>
          <w:ilvl w:val="0"/>
          <w:numId w:val="0"/>
        </w:numPr>
        <w:tabs>
          <w:tab w:val="num" w:pos="1440"/>
        </w:tabs>
        <w:spacing w:after="240"/>
        <w:jc w:val="center"/>
        <w:rPr>
          <w:b/>
          <w:u w:val="single"/>
        </w:rPr>
      </w:pPr>
      <w:r w:rsidRPr="0064234E">
        <w:rPr>
          <w:b/>
          <w:u w:val="single"/>
        </w:rPr>
        <w:t>Figure 1:  H Block Band Plan</w:t>
      </w:r>
    </w:p>
    <w:p w:rsidR="00ED3911" w:rsidRDefault="003C3D47" w:rsidP="00ED3911">
      <w:pPr>
        <w:pStyle w:val="ParaNum"/>
        <w:keepNext/>
        <w:widowControl/>
        <w:numPr>
          <w:ilvl w:val="0"/>
          <w:numId w:val="0"/>
        </w:numPr>
        <w:tabs>
          <w:tab w:val="left" w:pos="0"/>
        </w:tabs>
        <w:snapToGrid w:val="0"/>
        <w:jc w:val="center"/>
        <w:rPr>
          <w:noProof/>
          <w:snapToGrid/>
        </w:rPr>
      </w:pPr>
      <w:r>
        <w:rPr>
          <w:noProof/>
          <w:snapToGrid/>
        </w:rPr>
        <w:drawing>
          <wp:inline distT="0" distB="0" distL="0" distR="0" wp14:anchorId="349A3F17" wp14:editId="1C733544">
            <wp:extent cx="6296025" cy="1097280"/>
            <wp:effectExtent l="0" t="0" r="9525" b="762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6025" cy="1097280"/>
                    </a:xfrm>
                    <a:prstGeom prst="rect">
                      <a:avLst/>
                    </a:prstGeom>
                    <a:noFill/>
                    <a:ln>
                      <a:noFill/>
                    </a:ln>
                  </pic:spPr>
                </pic:pic>
              </a:graphicData>
            </a:graphic>
          </wp:inline>
        </w:drawing>
      </w:r>
    </w:p>
    <w:p w:rsidR="00ED3911" w:rsidRPr="0064234E" w:rsidRDefault="00ED3911" w:rsidP="00ED3911">
      <w:pPr>
        <w:pStyle w:val="ParaNum"/>
        <w:keepNext/>
        <w:widowControl/>
        <w:numPr>
          <w:ilvl w:val="0"/>
          <w:numId w:val="0"/>
        </w:numPr>
        <w:tabs>
          <w:tab w:val="num" w:pos="1440"/>
        </w:tabs>
        <w:spacing w:before="240" w:after="240"/>
        <w:jc w:val="center"/>
        <w:rPr>
          <w:b/>
          <w:u w:val="single"/>
        </w:rPr>
      </w:pPr>
      <w:r w:rsidRPr="0064234E">
        <w:rPr>
          <w:b/>
          <w:u w:val="single"/>
        </w:rPr>
        <w:t>Table 1:  H Block License Summary</w:t>
      </w: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005"/>
        <w:gridCol w:w="1161"/>
        <w:gridCol w:w="1078"/>
        <w:gridCol w:w="1122"/>
        <w:gridCol w:w="939"/>
      </w:tblGrid>
      <w:tr w:rsidR="00ED3911" w:rsidRPr="0064234E" w:rsidTr="006A53C4">
        <w:tc>
          <w:tcPr>
            <w:tcW w:w="0" w:type="auto"/>
            <w:shd w:val="clear" w:color="auto" w:fill="auto"/>
            <w:vAlign w:val="center"/>
          </w:tcPr>
          <w:p w:rsidR="00ED3911" w:rsidRPr="0064234E" w:rsidRDefault="00ED3911" w:rsidP="006A53C4">
            <w:pPr>
              <w:keepNext/>
              <w:widowControl/>
              <w:jc w:val="center"/>
              <w:rPr>
                <w:b/>
                <w:sz w:val="20"/>
              </w:rPr>
            </w:pPr>
            <w:r w:rsidRPr="0064234E">
              <w:rPr>
                <w:b/>
                <w:sz w:val="20"/>
              </w:rPr>
              <w:t>Block</w:t>
            </w:r>
          </w:p>
        </w:tc>
        <w:tc>
          <w:tcPr>
            <w:tcW w:w="0" w:type="auto"/>
            <w:shd w:val="clear" w:color="auto" w:fill="auto"/>
            <w:vAlign w:val="center"/>
          </w:tcPr>
          <w:p w:rsidR="00ED3911" w:rsidRPr="0064234E" w:rsidRDefault="00ED3911" w:rsidP="006A53C4">
            <w:pPr>
              <w:keepNext/>
              <w:widowControl/>
              <w:jc w:val="center"/>
              <w:rPr>
                <w:b/>
                <w:sz w:val="20"/>
              </w:rPr>
            </w:pPr>
            <w:r w:rsidRPr="0064234E">
              <w:rPr>
                <w:b/>
                <w:sz w:val="20"/>
              </w:rPr>
              <w:t>Frequencies (MHz)</w:t>
            </w:r>
          </w:p>
        </w:tc>
        <w:tc>
          <w:tcPr>
            <w:tcW w:w="0" w:type="auto"/>
            <w:shd w:val="clear" w:color="auto" w:fill="auto"/>
            <w:vAlign w:val="center"/>
          </w:tcPr>
          <w:p w:rsidR="00ED3911" w:rsidRPr="0064234E" w:rsidRDefault="00ED3911" w:rsidP="006A53C4">
            <w:pPr>
              <w:keepNext/>
              <w:widowControl/>
              <w:jc w:val="center"/>
              <w:rPr>
                <w:b/>
                <w:sz w:val="20"/>
              </w:rPr>
            </w:pPr>
            <w:r w:rsidRPr="0064234E">
              <w:rPr>
                <w:b/>
                <w:sz w:val="20"/>
              </w:rPr>
              <w:t>Bandwidth</w:t>
            </w:r>
          </w:p>
        </w:tc>
        <w:tc>
          <w:tcPr>
            <w:tcW w:w="0" w:type="auto"/>
            <w:shd w:val="clear" w:color="auto" w:fill="auto"/>
            <w:vAlign w:val="center"/>
          </w:tcPr>
          <w:p w:rsidR="00ED3911" w:rsidRPr="0064234E" w:rsidRDefault="00ED3911" w:rsidP="006A53C4">
            <w:pPr>
              <w:keepNext/>
              <w:widowControl/>
              <w:jc w:val="center"/>
              <w:rPr>
                <w:b/>
                <w:sz w:val="20"/>
              </w:rPr>
            </w:pPr>
            <w:r w:rsidRPr="0064234E">
              <w:rPr>
                <w:b/>
                <w:sz w:val="20"/>
              </w:rPr>
              <w:t>Pairing</w:t>
            </w:r>
          </w:p>
        </w:tc>
        <w:tc>
          <w:tcPr>
            <w:tcW w:w="0" w:type="auto"/>
            <w:shd w:val="clear" w:color="auto" w:fill="auto"/>
            <w:vAlign w:val="center"/>
          </w:tcPr>
          <w:p w:rsidR="00ED3911" w:rsidRPr="0064234E" w:rsidRDefault="00ED3911" w:rsidP="006A53C4">
            <w:pPr>
              <w:keepNext/>
              <w:widowControl/>
              <w:jc w:val="center"/>
              <w:rPr>
                <w:b/>
                <w:sz w:val="20"/>
              </w:rPr>
            </w:pPr>
            <w:r w:rsidRPr="0064234E">
              <w:rPr>
                <w:b/>
                <w:sz w:val="20"/>
              </w:rPr>
              <w:t>Area Type</w:t>
            </w:r>
          </w:p>
        </w:tc>
        <w:tc>
          <w:tcPr>
            <w:tcW w:w="0" w:type="auto"/>
            <w:shd w:val="clear" w:color="auto" w:fill="auto"/>
            <w:vAlign w:val="center"/>
          </w:tcPr>
          <w:p w:rsidR="00ED3911" w:rsidRPr="0064234E" w:rsidRDefault="00ED3911" w:rsidP="006A53C4">
            <w:pPr>
              <w:keepNext/>
              <w:widowControl/>
              <w:jc w:val="center"/>
              <w:rPr>
                <w:b/>
                <w:sz w:val="20"/>
              </w:rPr>
            </w:pPr>
            <w:r w:rsidRPr="0064234E">
              <w:rPr>
                <w:b/>
                <w:sz w:val="20"/>
              </w:rPr>
              <w:t>Licenses</w:t>
            </w:r>
          </w:p>
        </w:tc>
      </w:tr>
      <w:tr w:rsidR="00ED3911" w:rsidRPr="0064234E" w:rsidTr="006A53C4">
        <w:tc>
          <w:tcPr>
            <w:tcW w:w="0" w:type="auto"/>
            <w:shd w:val="clear" w:color="auto" w:fill="auto"/>
          </w:tcPr>
          <w:p w:rsidR="00ED3911" w:rsidRPr="0064234E" w:rsidRDefault="00ED3911" w:rsidP="006A53C4">
            <w:pPr>
              <w:keepNext/>
              <w:widowControl/>
              <w:jc w:val="center"/>
              <w:rPr>
                <w:sz w:val="20"/>
                <w:lang w:val="pt-BR"/>
              </w:rPr>
            </w:pPr>
            <w:r w:rsidRPr="0064234E">
              <w:rPr>
                <w:sz w:val="20"/>
                <w:lang w:val="pt-BR"/>
              </w:rPr>
              <w:t>H</w:t>
            </w:r>
          </w:p>
        </w:tc>
        <w:tc>
          <w:tcPr>
            <w:tcW w:w="0" w:type="auto"/>
            <w:shd w:val="clear" w:color="auto" w:fill="auto"/>
          </w:tcPr>
          <w:p w:rsidR="00ED3911" w:rsidRPr="0064234E" w:rsidRDefault="00ED3911" w:rsidP="006A53C4">
            <w:pPr>
              <w:keepNext/>
              <w:widowControl/>
              <w:jc w:val="center"/>
              <w:rPr>
                <w:sz w:val="20"/>
                <w:lang w:val="pt-BR"/>
              </w:rPr>
            </w:pPr>
            <w:r w:rsidRPr="0064234E">
              <w:rPr>
                <w:sz w:val="20"/>
                <w:lang w:val="pt-BR"/>
              </w:rPr>
              <w:t>1915-1920/1995-2000</w:t>
            </w:r>
          </w:p>
        </w:tc>
        <w:tc>
          <w:tcPr>
            <w:tcW w:w="0" w:type="auto"/>
            <w:shd w:val="clear" w:color="auto" w:fill="auto"/>
          </w:tcPr>
          <w:p w:rsidR="00ED3911" w:rsidRPr="0064234E" w:rsidRDefault="00ED3911" w:rsidP="006A53C4">
            <w:pPr>
              <w:keepNext/>
              <w:widowControl/>
              <w:jc w:val="center"/>
              <w:rPr>
                <w:sz w:val="20"/>
                <w:lang w:val="pt-BR"/>
              </w:rPr>
            </w:pPr>
            <w:r w:rsidRPr="0064234E">
              <w:rPr>
                <w:sz w:val="20"/>
                <w:lang w:val="pt-BR"/>
              </w:rPr>
              <w:t>10 MHz</w:t>
            </w:r>
          </w:p>
        </w:tc>
        <w:tc>
          <w:tcPr>
            <w:tcW w:w="0" w:type="auto"/>
            <w:shd w:val="clear" w:color="auto" w:fill="auto"/>
          </w:tcPr>
          <w:p w:rsidR="00ED3911" w:rsidRPr="0064234E" w:rsidRDefault="00ED3911" w:rsidP="006A53C4">
            <w:pPr>
              <w:keepNext/>
              <w:widowControl/>
              <w:jc w:val="center"/>
              <w:rPr>
                <w:sz w:val="20"/>
                <w:lang w:val="pt-BR"/>
              </w:rPr>
            </w:pPr>
            <w:r w:rsidRPr="0064234E">
              <w:rPr>
                <w:sz w:val="20"/>
                <w:lang w:val="pt-BR"/>
              </w:rPr>
              <w:t>2 x 5 MHz</w:t>
            </w:r>
          </w:p>
        </w:tc>
        <w:tc>
          <w:tcPr>
            <w:tcW w:w="0" w:type="auto"/>
            <w:shd w:val="clear" w:color="auto" w:fill="auto"/>
          </w:tcPr>
          <w:p w:rsidR="00ED3911" w:rsidRPr="0064234E" w:rsidRDefault="00ED3911" w:rsidP="006A53C4">
            <w:pPr>
              <w:keepNext/>
              <w:widowControl/>
              <w:tabs>
                <w:tab w:val="center" w:pos="720"/>
              </w:tabs>
              <w:jc w:val="center"/>
              <w:rPr>
                <w:sz w:val="20"/>
                <w:lang w:val="pt-BR"/>
              </w:rPr>
            </w:pPr>
            <w:r w:rsidRPr="0064234E">
              <w:rPr>
                <w:sz w:val="20"/>
                <w:lang w:val="pt-BR"/>
              </w:rPr>
              <w:t>EA</w:t>
            </w:r>
          </w:p>
        </w:tc>
        <w:tc>
          <w:tcPr>
            <w:tcW w:w="0" w:type="auto"/>
            <w:shd w:val="clear" w:color="auto" w:fill="auto"/>
          </w:tcPr>
          <w:p w:rsidR="00ED3911" w:rsidRPr="0064234E" w:rsidRDefault="00ED3911" w:rsidP="006A53C4">
            <w:pPr>
              <w:keepNext/>
              <w:widowControl/>
              <w:tabs>
                <w:tab w:val="decimal" w:pos="456"/>
              </w:tabs>
              <w:rPr>
                <w:sz w:val="20"/>
                <w:lang w:val="pt-BR"/>
              </w:rPr>
            </w:pPr>
            <w:r w:rsidRPr="0064234E">
              <w:rPr>
                <w:sz w:val="20"/>
                <w:lang w:val="pt-BR"/>
              </w:rPr>
              <w:t>176</w:t>
            </w:r>
          </w:p>
        </w:tc>
      </w:tr>
    </w:tbl>
    <w:p w:rsidR="00ED3911" w:rsidRPr="0064234E" w:rsidRDefault="00ED3911" w:rsidP="00ED3911">
      <w:pPr>
        <w:pStyle w:val="ParaNum"/>
        <w:widowControl/>
        <w:numPr>
          <w:ilvl w:val="0"/>
          <w:numId w:val="0"/>
        </w:numPr>
        <w:tabs>
          <w:tab w:val="num" w:pos="1440"/>
        </w:tabs>
        <w:ind w:left="720"/>
      </w:pPr>
    </w:p>
    <w:p w:rsidR="00ED3911" w:rsidRPr="0064234E" w:rsidRDefault="00ED3911" w:rsidP="00ED3911">
      <w:pPr>
        <w:spacing w:before="120" w:after="240"/>
      </w:pPr>
    </w:p>
    <w:p w:rsidR="00BE180E" w:rsidRDefault="00ED3911" w:rsidP="00510C4B">
      <w:pPr>
        <w:pStyle w:val="ParaNum"/>
        <w:widowControl/>
        <w:numPr>
          <w:ilvl w:val="0"/>
          <w:numId w:val="0"/>
        </w:numPr>
      </w:pPr>
      <w:r w:rsidRPr="0064234E">
        <w:t>A complete list of the licenses offered in Auction 96 is available in Attachment A to this Public Notice</w:t>
      </w:r>
      <w:r>
        <w:t>.</w:t>
      </w:r>
    </w:p>
    <w:p w:rsidR="00ED3911" w:rsidRPr="00763CFB" w:rsidRDefault="00C97651" w:rsidP="00724DC5">
      <w:pPr>
        <w:pStyle w:val="ParaNum"/>
        <w:widowControl/>
        <w:numPr>
          <w:ilvl w:val="0"/>
          <w:numId w:val="0"/>
        </w:numPr>
        <w:ind w:left="720"/>
      </w:pPr>
      <w:r>
        <w:t xml:space="preserve"> </w:t>
      </w:r>
    </w:p>
    <w:p w:rsidR="008434F5" w:rsidRPr="007659BB" w:rsidRDefault="008434F5" w:rsidP="00C07C81">
      <w:pPr>
        <w:pStyle w:val="Heading2"/>
        <w:widowControl/>
      </w:pPr>
      <w:bookmarkStart w:id="149" w:name="_Toc483218120"/>
      <w:bookmarkStart w:id="150" w:name="_Toc109812219"/>
      <w:bookmarkStart w:id="151" w:name="_Toc124844725"/>
      <w:bookmarkStart w:id="152" w:name="_Toc124844856"/>
      <w:bookmarkStart w:id="153" w:name="_Toc124845515"/>
      <w:bookmarkStart w:id="154" w:name="_Toc124845783"/>
      <w:bookmarkStart w:id="155" w:name="_Toc124845854"/>
      <w:bookmarkStart w:id="156" w:name="_Toc124845928"/>
      <w:bookmarkStart w:id="157" w:name="_Toc124846100"/>
      <w:bookmarkStart w:id="158" w:name="_Toc124848223"/>
      <w:bookmarkStart w:id="159" w:name="_Toc124907474"/>
      <w:bookmarkStart w:id="160" w:name="_Toc129773439"/>
      <w:bookmarkStart w:id="161" w:name="_Toc130209977"/>
      <w:bookmarkStart w:id="162" w:name="_Toc130730906"/>
      <w:bookmarkStart w:id="163" w:name="_Toc130814133"/>
      <w:bookmarkStart w:id="164" w:name="_Toc130814455"/>
      <w:bookmarkStart w:id="165" w:name="_Toc130814587"/>
      <w:bookmarkStart w:id="166" w:name="_Toc130883471"/>
      <w:bookmarkStart w:id="167" w:name="_Toc130885579"/>
      <w:bookmarkStart w:id="168" w:name="_Toc131844558"/>
      <w:bookmarkStart w:id="169" w:name="_Toc148330496"/>
      <w:bookmarkStart w:id="170" w:name="_Toc148331215"/>
      <w:bookmarkStart w:id="171" w:name="_Toc148331674"/>
      <w:bookmarkStart w:id="172" w:name="_Toc148332099"/>
      <w:bookmarkStart w:id="173" w:name="_Toc148332171"/>
      <w:bookmarkStart w:id="174" w:name="_Toc148332243"/>
      <w:bookmarkStart w:id="175" w:name="_Toc148332320"/>
      <w:bookmarkStart w:id="176" w:name="_Toc148332397"/>
      <w:bookmarkStart w:id="177" w:name="_Toc148332474"/>
      <w:bookmarkStart w:id="178" w:name="_Toc148332551"/>
      <w:bookmarkStart w:id="179" w:name="_Toc148332624"/>
      <w:bookmarkStart w:id="180" w:name="_Toc148332720"/>
      <w:bookmarkStart w:id="181" w:name="_Toc148332852"/>
      <w:bookmarkStart w:id="182" w:name="_Toc148333054"/>
      <w:bookmarkStart w:id="183" w:name="_Toc148333187"/>
      <w:bookmarkStart w:id="184" w:name="_Toc148333608"/>
      <w:bookmarkStart w:id="185" w:name="_Toc148334221"/>
      <w:bookmarkStart w:id="186" w:name="_Toc148335735"/>
      <w:bookmarkStart w:id="187" w:name="_Toc148336268"/>
      <w:bookmarkStart w:id="188" w:name="_Toc148337709"/>
      <w:bookmarkStart w:id="189" w:name="_Toc148338032"/>
      <w:bookmarkStart w:id="190" w:name="_Toc148339742"/>
      <w:bookmarkStart w:id="191" w:name="_Toc148339839"/>
      <w:bookmarkStart w:id="192" w:name="_Toc149645545"/>
      <w:bookmarkStart w:id="193" w:name="_Toc149997849"/>
      <w:bookmarkStart w:id="194" w:name="_Toc158180725"/>
      <w:bookmarkStart w:id="195" w:name="_Toc158785574"/>
      <w:bookmarkStart w:id="196" w:name="_Toc178768468"/>
      <w:bookmarkStart w:id="197" w:name="_Toc179195909"/>
      <w:bookmarkStart w:id="198" w:name="_Toc179361851"/>
      <w:bookmarkStart w:id="199" w:name="_Toc179363635"/>
      <w:bookmarkStart w:id="200" w:name="_Toc197504888"/>
      <w:bookmarkStart w:id="201" w:name="_Toc198007660"/>
      <w:bookmarkStart w:id="202" w:name="_Toc198007811"/>
      <w:bookmarkStart w:id="203" w:name="_Toc198008163"/>
      <w:bookmarkStart w:id="204" w:name="_Toc198008300"/>
      <w:bookmarkStart w:id="205" w:name="_Toc198008847"/>
      <w:bookmarkStart w:id="206" w:name="_Toc198369743"/>
      <w:bookmarkStart w:id="207" w:name="_Toc198369880"/>
      <w:bookmarkStart w:id="208" w:name="_Toc198372792"/>
      <w:bookmarkStart w:id="209" w:name="_Toc198372895"/>
      <w:bookmarkStart w:id="210" w:name="_Toc198373025"/>
      <w:bookmarkStart w:id="211" w:name="_Toc198373193"/>
      <w:bookmarkStart w:id="212" w:name="_Toc198627107"/>
      <w:bookmarkStart w:id="213" w:name="_Toc198627213"/>
      <w:bookmarkStart w:id="214" w:name="_Toc216090699"/>
      <w:bookmarkStart w:id="215" w:name="_Toc226958205"/>
      <w:bookmarkStart w:id="216" w:name="_Toc227038265"/>
      <w:bookmarkStart w:id="217" w:name="_Toc254792562"/>
      <w:bookmarkStart w:id="218" w:name="_Toc256669686"/>
      <w:bookmarkStart w:id="219" w:name="_Toc257213219"/>
      <w:bookmarkStart w:id="220" w:name="_Toc257277730"/>
      <w:bookmarkStart w:id="221" w:name="_Toc257278691"/>
      <w:bookmarkStart w:id="222" w:name="_Toc257278901"/>
      <w:bookmarkStart w:id="223" w:name="_Toc257279269"/>
      <w:bookmarkStart w:id="224" w:name="_Toc257382904"/>
      <w:bookmarkStart w:id="225" w:name="_Toc274056161"/>
      <w:bookmarkStart w:id="226" w:name="_Toc276657566"/>
      <w:bookmarkStart w:id="227" w:name="_Toc278366412"/>
      <w:bookmarkStart w:id="228" w:name="_Toc307584008"/>
      <w:bookmarkStart w:id="229" w:name="_Toc307937282"/>
      <w:bookmarkStart w:id="230" w:name="_Toc348508729"/>
      <w:bookmarkStart w:id="231" w:name="_Toc362256716"/>
      <w:bookmarkStart w:id="232" w:name="_Toc366056470"/>
      <w:bookmarkStart w:id="233" w:name="_Toc366223673"/>
      <w:bookmarkStart w:id="234" w:name="_Toc366229386"/>
      <w:bookmarkStart w:id="235" w:name="_Toc366583430"/>
      <w:r w:rsidRPr="007659BB">
        <w:t>Rules and Disclaimers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8434F5" w:rsidRPr="001C2E9C" w:rsidRDefault="008434F5" w:rsidP="00C07C81">
      <w:pPr>
        <w:pStyle w:val="Heading3"/>
        <w:widowControl/>
        <w:rPr>
          <w:szCs w:val="22"/>
        </w:rPr>
      </w:pPr>
      <w:bookmarkStart w:id="236" w:name="_Toc483218121"/>
      <w:bookmarkStart w:id="237" w:name="_Toc109812220"/>
      <w:bookmarkStart w:id="238" w:name="_Toc124844726"/>
      <w:bookmarkStart w:id="239" w:name="_Toc124844857"/>
      <w:bookmarkStart w:id="240" w:name="_Toc124845516"/>
      <w:bookmarkStart w:id="241" w:name="_Toc124845784"/>
      <w:bookmarkStart w:id="242" w:name="_Toc124845855"/>
      <w:bookmarkStart w:id="243" w:name="_Toc124845929"/>
      <w:bookmarkStart w:id="244" w:name="_Toc124846101"/>
      <w:bookmarkStart w:id="245" w:name="_Toc124848224"/>
      <w:bookmarkStart w:id="246" w:name="_Toc124907475"/>
      <w:bookmarkStart w:id="247" w:name="_Toc129773440"/>
      <w:bookmarkStart w:id="248" w:name="_Toc130209978"/>
      <w:bookmarkStart w:id="249" w:name="_Toc130730907"/>
      <w:bookmarkStart w:id="250" w:name="_Toc130814134"/>
      <w:bookmarkStart w:id="251" w:name="_Toc130814456"/>
      <w:bookmarkStart w:id="252" w:name="_Toc130814588"/>
      <w:bookmarkStart w:id="253" w:name="_Toc130883472"/>
      <w:bookmarkStart w:id="254" w:name="_Toc130885580"/>
      <w:bookmarkStart w:id="255" w:name="_Toc131844559"/>
      <w:bookmarkStart w:id="256" w:name="_Toc148330497"/>
      <w:bookmarkStart w:id="257" w:name="_Toc148331216"/>
      <w:bookmarkStart w:id="258" w:name="_Toc148331675"/>
      <w:bookmarkStart w:id="259" w:name="_Toc148332100"/>
      <w:bookmarkStart w:id="260" w:name="_Toc148332172"/>
      <w:bookmarkStart w:id="261" w:name="_Toc148332244"/>
      <w:bookmarkStart w:id="262" w:name="_Toc148332321"/>
      <w:bookmarkStart w:id="263" w:name="_Toc148332398"/>
      <w:bookmarkStart w:id="264" w:name="_Toc148332475"/>
      <w:bookmarkStart w:id="265" w:name="_Toc148332552"/>
      <w:bookmarkStart w:id="266" w:name="_Toc148332625"/>
      <w:bookmarkStart w:id="267" w:name="_Toc148332721"/>
      <w:bookmarkStart w:id="268" w:name="_Toc148332853"/>
      <w:bookmarkStart w:id="269" w:name="_Toc148333055"/>
      <w:bookmarkStart w:id="270" w:name="_Toc148333188"/>
      <w:bookmarkStart w:id="271" w:name="_Toc148333609"/>
      <w:bookmarkStart w:id="272" w:name="_Toc148334222"/>
      <w:bookmarkStart w:id="273" w:name="_Toc148335736"/>
      <w:bookmarkStart w:id="274" w:name="_Toc148336269"/>
      <w:bookmarkStart w:id="275" w:name="_Toc148337710"/>
      <w:bookmarkStart w:id="276" w:name="_Toc148338033"/>
      <w:bookmarkStart w:id="277" w:name="_Toc148339743"/>
      <w:bookmarkStart w:id="278" w:name="_Toc148339840"/>
      <w:bookmarkStart w:id="279" w:name="_Toc149645546"/>
      <w:bookmarkStart w:id="280" w:name="_Toc149997850"/>
      <w:bookmarkStart w:id="281" w:name="_Toc158180726"/>
      <w:bookmarkStart w:id="282" w:name="_Toc158785575"/>
      <w:bookmarkStart w:id="283" w:name="_Toc178768469"/>
      <w:bookmarkStart w:id="284" w:name="_Toc179195910"/>
      <w:bookmarkStart w:id="285" w:name="_Toc179361852"/>
      <w:bookmarkStart w:id="286" w:name="_Toc179363636"/>
      <w:bookmarkStart w:id="287" w:name="_Toc197504889"/>
      <w:bookmarkStart w:id="288" w:name="_Toc198007661"/>
      <w:bookmarkStart w:id="289" w:name="_Toc198007812"/>
      <w:bookmarkStart w:id="290" w:name="_Toc198008164"/>
      <w:bookmarkStart w:id="291" w:name="_Toc198008301"/>
      <w:bookmarkStart w:id="292" w:name="_Toc198008848"/>
      <w:bookmarkStart w:id="293" w:name="_Toc198369744"/>
      <w:bookmarkStart w:id="294" w:name="_Toc198369881"/>
      <w:bookmarkStart w:id="295" w:name="_Toc198372793"/>
      <w:bookmarkStart w:id="296" w:name="_Toc198372896"/>
      <w:bookmarkStart w:id="297" w:name="_Toc198373026"/>
      <w:bookmarkStart w:id="298" w:name="_Toc198373194"/>
      <w:bookmarkStart w:id="299" w:name="_Toc198627108"/>
      <w:bookmarkStart w:id="300" w:name="_Toc198627214"/>
      <w:bookmarkStart w:id="301" w:name="_Toc216090700"/>
      <w:bookmarkStart w:id="302" w:name="_Toc226958206"/>
      <w:bookmarkStart w:id="303" w:name="_Toc227038266"/>
      <w:bookmarkStart w:id="304" w:name="_Toc254792563"/>
      <w:bookmarkStart w:id="305" w:name="_Toc256669687"/>
      <w:bookmarkStart w:id="306" w:name="_Toc257213220"/>
      <w:bookmarkStart w:id="307" w:name="_Toc257277731"/>
      <w:bookmarkStart w:id="308" w:name="_Toc257278692"/>
      <w:bookmarkStart w:id="309" w:name="_Toc257278902"/>
      <w:bookmarkStart w:id="310" w:name="_Toc257279270"/>
      <w:bookmarkStart w:id="311" w:name="_Toc257382905"/>
      <w:bookmarkStart w:id="312" w:name="_Toc274056162"/>
      <w:bookmarkStart w:id="313" w:name="_Toc276657567"/>
      <w:bookmarkStart w:id="314" w:name="_Toc278366413"/>
      <w:bookmarkStart w:id="315" w:name="_Toc307584009"/>
      <w:bookmarkStart w:id="316" w:name="_Toc307937283"/>
      <w:bookmarkStart w:id="317" w:name="_Toc348508730"/>
      <w:bookmarkStart w:id="318" w:name="_Toc362256717"/>
      <w:bookmarkStart w:id="319" w:name="_Toc366056471"/>
      <w:bookmarkStart w:id="320" w:name="_Toc366223674"/>
      <w:bookmarkStart w:id="321" w:name="_Toc366229387"/>
      <w:bookmarkStart w:id="322" w:name="_Toc366583431"/>
      <w:r w:rsidRPr="001C2E9C">
        <w:rPr>
          <w:szCs w:val="22"/>
        </w:rPr>
        <w:t>Relevant Authority</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8434F5" w:rsidRPr="002774E9" w:rsidRDefault="00EA476A" w:rsidP="00C07C81">
      <w:pPr>
        <w:pStyle w:val="ParaNum"/>
        <w:widowControl/>
        <w:tabs>
          <w:tab w:val="clear" w:pos="1260"/>
          <w:tab w:val="num" w:pos="1440"/>
        </w:tabs>
        <w:ind w:left="0"/>
        <w:rPr>
          <w:szCs w:val="22"/>
        </w:rPr>
      </w:pPr>
      <w:r w:rsidRPr="00BD752F">
        <w:rPr>
          <w:szCs w:val="22"/>
        </w:rPr>
        <w:t>Prospective applicants must familiarize themselves thoroughly with the Commission’s general competitive bidding rules,</w:t>
      </w:r>
      <w:r w:rsidR="00F45F9A">
        <w:rPr>
          <w:rStyle w:val="FootnoteReference"/>
          <w:szCs w:val="22"/>
        </w:rPr>
        <w:footnoteReference w:id="10"/>
      </w:r>
      <w:r w:rsidRPr="00BD752F">
        <w:rPr>
          <w:szCs w:val="22"/>
        </w:rPr>
        <w:t xml:space="preserve"> </w:t>
      </w:r>
      <w:r w:rsidRPr="00463D88">
        <w:t>including</w:t>
      </w:r>
      <w:r w:rsidRPr="00BD752F">
        <w:rPr>
          <w:szCs w:val="22"/>
        </w:rPr>
        <w:t xml:space="preserve"> Commission decisions in proceedings regarding competitive bidding procedures, application requirements, and obligations of Commission licensees.</w:t>
      </w:r>
      <w:r w:rsidRPr="00BD752F">
        <w:rPr>
          <w:rStyle w:val="FootnoteReference"/>
          <w:szCs w:val="22"/>
        </w:rPr>
        <w:footnoteReference w:id="11"/>
      </w:r>
      <w:r w:rsidRPr="00BD752F">
        <w:rPr>
          <w:szCs w:val="22"/>
        </w:rPr>
        <w:t xml:space="preserve">  </w:t>
      </w:r>
      <w:r w:rsidR="000637C2">
        <w:rPr>
          <w:szCs w:val="22"/>
        </w:rPr>
        <w:t>Prospective bidders</w:t>
      </w:r>
      <w:r w:rsidRPr="00BD752F">
        <w:rPr>
          <w:szCs w:val="22"/>
        </w:rPr>
        <w:t xml:space="preserve"> should also familiarize themselves with the Commission’s </w:t>
      </w:r>
      <w:r w:rsidR="000637C2">
        <w:rPr>
          <w:szCs w:val="22"/>
        </w:rPr>
        <w:t xml:space="preserve">rules relating to the </w:t>
      </w:r>
      <w:r w:rsidR="00D5446B" w:rsidRPr="004460FC">
        <w:rPr>
          <w:szCs w:val="22"/>
        </w:rPr>
        <w:t>H Block</w:t>
      </w:r>
      <w:r w:rsidR="000637C2" w:rsidRPr="004460FC">
        <w:rPr>
          <w:szCs w:val="22"/>
        </w:rPr>
        <w:t xml:space="preserve"> </w:t>
      </w:r>
      <w:r w:rsidR="004460FC">
        <w:rPr>
          <w:szCs w:val="22"/>
        </w:rPr>
        <w:t>frequencies</w:t>
      </w:r>
      <w:r w:rsidR="00F45F9A">
        <w:rPr>
          <w:szCs w:val="22"/>
        </w:rPr>
        <w:t>,</w:t>
      </w:r>
      <w:r w:rsidR="00F45F9A">
        <w:rPr>
          <w:rStyle w:val="FootnoteReference"/>
          <w:szCs w:val="22"/>
        </w:rPr>
        <w:footnoteReference w:id="12"/>
      </w:r>
      <w:r w:rsidR="00F45F9A">
        <w:rPr>
          <w:szCs w:val="22"/>
        </w:rPr>
        <w:t xml:space="preserve"> </w:t>
      </w:r>
      <w:r w:rsidR="001303F0">
        <w:rPr>
          <w:szCs w:val="22"/>
        </w:rPr>
        <w:t xml:space="preserve">including cost-sharing obligations </w:t>
      </w:r>
      <w:r w:rsidR="008D405E">
        <w:rPr>
          <w:szCs w:val="22"/>
        </w:rPr>
        <w:t>for H Block licensees</w:t>
      </w:r>
      <w:r w:rsidR="001303F0">
        <w:rPr>
          <w:szCs w:val="22"/>
        </w:rPr>
        <w:t>,</w:t>
      </w:r>
      <w:r w:rsidR="001303F0">
        <w:rPr>
          <w:rStyle w:val="FootnoteReference"/>
          <w:szCs w:val="22"/>
        </w:rPr>
        <w:footnoteReference w:id="13"/>
      </w:r>
      <w:r w:rsidR="001303F0">
        <w:rPr>
          <w:szCs w:val="22"/>
        </w:rPr>
        <w:t xml:space="preserve"> </w:t>
      </w:r>
      <w:r w:rsidR="00F45F9A">
        <w:rPr>
          <w:szCs w:val="22"/>
        </w:rPr>
        <w:t>and rules relating to applications, environment, practice and procedure.</w:t>
      </w:r>
      <w:r w:rsidR="00F45F9A">
        <w:rPr>
          <w:rStyle w:val="FootnoteReference"/>
          <w:szCs w:val="22"/>
        </w:rPr>
        <w:footnoteReference w:id="14"/>
      </w:r>
      <w:r w:rsidR="0087681F">
        <w:rPr>
          <w:szCs w:val="22"/>
        </w:rPr>
        <w:t xml:space="preserve">  </w:t>
      </w:r>
      <w:r w:rsidR="007659BB">
        <w:t>All bidders must also be thoroughly familiar with the procedures, terms</w:t>
      </w:r>
      <w:r w:rsidR="000637C2">
        <w:rPr>
          <w:szCs w:val="22"/>
        </w:rPr>
        <w:t xml:space="preserve"> </w:t>
      </w:r>
      <w:r w:rsidR="007659BB" w:rsidRPr="00BD752F">
        <w:rPr>
          <w:szCs w:val="22"/>
        </w:rPr>
        <w:t>and conditions</w:t>
      </w:r>
      <w:r w:rsidR="007659BB">
        <w:rPr>
          <w:szCs w:val="22"/>
        </w:rPr>
        <w:t xml:space="preserve"> contained in this </w:t>
      </w:r>
      <w:r w:rsidR="005E16B9">
        <w:rPr>
          <w:szCs w:val="22"/>
        </w:rPr>
        <w:t>P</w:t>
      </w:r>
      <w:r w:rsidRPr="00BD752F">
        <w:rPr>
          <w:szCs w:val="22"/>
        </w:rPr>
        <w:t xml:space="preserve">ublic </w:t>
      </w:r>
      <w:r w:rsidR="005E16B9">
        <w:rPr>
          <w:szCs w:val="22"/>
        </w:rPr>
        <w:t>N</w:t>
      </w:r>
      <w:r w:rsidRPr="00BD752F">
        <w:rPr>
          <w:szCs w:val="22"/>
        </w:rPr>
        <w:t>otice</w:t>
      </w:r>
      <w:r w:rsidR="007659BB">
        <w:rPr>
          <w:szCs w:val="22"/>
        </w:rPr>
        <w:t xml:space="preserve"> and </w:t>
      </w:r>
      <w:r w:rsidR="00F45F9A">
        <w:rPr>
          <w:szCs w:val="22"/>
        </w:rPr>
        <w:t>any future public notices that may be issued in this proceeding</w:t>
      </w:r>
      <w:r w:rsidR="007659BB">
        <w:rPr>
          <w:szCs w:val="22"/>
        </w:rPr>
        <w:t>.</w:t>
      </w:r>
      <w:r w:rsidR="00170981">
        <w:rPr>
          <w:szCs w:val="22"/>
        </w:rPr>
        <w:t xml:space="preserve"> </w:t>
      </w:r>
    </w:p>
    <w:p w:rsidR="008A21AA" w:rsidRPr="001C2E9C" w:rsidRDefault="008434F5" w:rsidP="00C07C81">
      <w:pPr>
        <w:pStyle w:val="ParaNum"/>
        <w:widowControl/>
        <w:tabs>
          <w:tab w:val="clear" w:pos="1260"/>
          <w:tab w:val="num" w:pos="1440"/>
        </w:tabs>
        <w:ind w:left="0"/>
        <w:rPr>
          <w:szCs w:val="22"/>
        </w:rPr>
      </w:pPr>
      <w:r w:rsidRPr="002774E9">
        <w:rPr>
          <w:szCs w:val="22"/>
        </w:rPr>
        <w:t xml:space="preserve">The terms contained in the Commission’s rules, relevant orders, and public notices are not negotiable.  The Commission may amend or supplement the information contained in </w:t>
      </w:r>
      <w:r w:rsidR="004460FC">
        <w:rPr>
          <w:szCs w:val="22"/>
        </w:rPr>
        <w:t>its</w:t>
      </w:r>
      <w:r w:rsidRPr="002774E9">
        <w:rPr>
          <w:szCs w:val="22"/>
        </w:rPr>
        <w:t xml:space="preserve"> public</w:t>
      </w:r>
      <w:r w:rsidRPr="001C2E9C">
        <w:rPr>
          <w:szCs w:val="22"/>
        </w:rPr>
        <w:t xml:space="preserve"> notices at any time, and will issue public notices to convey any new or supplemental information to applicants.  It is the responsibility of all applicants to remain current with all Commission rules and with all public notices pertaining to </w:t>
      </w:r>
      <w:r w:rsidR="00A80016" w:rsidRPr="001C2E9C">
        <w:rPr>
          <w:szCs w:val="22"/>
        </w:rPr>
        <w:t>this auction</w:t>
      </w:r>
      <w:r w:rsidRPr="001C2E9C">
        <w:rPr>
          <w:szCs w:val="22"/>
        </w:rPr>
        <w:t xml:space="preserve">.  Copies of most auctions-related Commission documents, including public notices, can be retrieved from the FCC Auctions Internet site at </w:t>
      </w:r>
      <w:hyperlink r:id="rId9" w:history="1">
        <w:r w:rsidRPr="00AD23AD">
          <w:rPr>
            <w:rStyle w:val="Hyperlink"/>
            <w:szCs w:val="22"/>
          </w:rPr>
          <w:t>http://wireless.fcc.gov/auctions</w:t>
        </w:r>
      </w:hyperlink>
      <w:r w:rsidRPr="001C2E9C">
        <w:rPr>
          <w:szCs w:val="22"/>
        </w:rPr>
        <w:t xml:space="preserve">.  Additionally, documents are available for public inspection and copying between 8:00 a.m. and 4:30 p.m. Eastern Time (ET) Monday through Thursday or 8:00 a.m. to 11:30 a.m. ET Fridays at the FCC Reference Information Center, 445 12th Street, SW, Room CY-A257, Washington, DC 20554.  Documents may also be purchased from </w:t>
      </w:r>
      <w:r w:rsidR="00845EF0">
        <w:rPr>
          <w:szCs w:val="22"/>
        </w:rPr>
        <w:t xml:space="preserve">BCPI, </w:t>
      </w:r>
      <w:r w:rsidRPr="001C2E9C">
        <w:rPr>
          <w:szCs w:val="22"/>
        </w:rPr>
        <w:t>the Commission’s duplicating contractor.</w:t>
      </w:r>
      <w:r w:rsidRPr="00CA6286">
        <w:rPr>
          <w:rStyle w:val="FootnoteReference"/>
          <w:szCs w:val="22"/>
        </w:rPr>
        <w:footnoteReference w:id="15"/>
      </w:r>
      <w:bookmarkStart w:id="323" w:name="_Toc483218122"/>
      <w:bookmarkStart w:id="324" w:name="_Toc109812221"/>
      <w:bookmarkStart w:id="325" w:name="_Toc124844727"/>
      <w:bookmarkStart w:id="326" w:name="_Toc124844858"/>
      <w:bookmarkStart w:id="327" w:name="_Toc124845517"/>
      <w:bookmarkStart w:id="328" w:name="_Toc124845785"/>
      <w:bookmarkStart w:id="329" w:name="_Toc124845856"/>
      <w:bookmarkStart w:id="330" w:name="_Toc124845930"/>
      <w:bookmarkStart w:id="331" w:name="_Toc124846102"/>
      <w:bookmarkStart w:id="332" w:name="_Toc124848225"/>
      <w:bookmarkStart w:id="333" w:name="_Toc124907476"/>
      <w:bookmarkStart w:id="334" w:name="_Toc129773441"/>
      <w:bookmarkStart w:id="335" w:name="_Toc130209979"/>
      <w:bookmarkStart w:id="336" w:name="_Toc130730908"/>
      <w:bookmarkStart w:id="337" w:name="_Toc130814135"/>
      <w:bookmarkStart w:id="338" w:name="_Toc130814457"/>
      <w:bookmarkStart w:id="339" w:name="_Toc130814589"/>
      <w:bookmarkStart w:id="340" w:name="_Toc130883473"/>
      <w:bookmarkStart w:id="341" w:name="_Toc130885581"/>
      <w:bookmarkStart w:id="342" w:name="_Toc131844560"/>
      <w:bookmarkStart w:id="343" w:name="_Toc148330498"/>
      <w:bookmarkStart w:id="344" w:name="_Toc148331217"/>
      <w:bookmarkStart w:id="345" w:name="_Toc148331676"/>
      <w:bookmarkStart w:id="346" w:name="_Toc148332101"/>
      <w:bookmarkStart w:id="347" w:name="_Toc148332173"/>
      <w:bookmarkStart w:id="348" w:name="_Toc148332245"/>
      <w:bookmarkStart w:id="349" w:name="_Toc148332322"/>
      <w:bookmarkStart w:id="350" w:name="_Toc148332399"/>
      <w:bookmarkStart w:id="351" w:name="_Toc148332476"/>
      <w:bookmarkStart w:id="352" w:name="_Toc148332553"/>
      <w:bookmarkStart w:id="353" w:name="_Toc148332626"/>
      <w:bookmarkStart w:id="354" w:name="_Toc148332722"/>
      <w:bookmarkStart w:id="355" w:name="_Toc148332854"/>
      <w:bookmarkStart w:id="356" w:name="_Toc148333056"/>
      <w:bookmarkStart w:id="357" w:name="_Toc148333189"/>
      <w:bookmarkStart w:id="358" w:name="_Toc148333610"/>
      <w:bookmarkStart w:id="359" w:name="_Toc148334223"/>
      <w:bookmarkStart w:id="360" w:name="_Toc148335737"/>
      <w:bookmarkStart w:id="361" w:name="_Toc148336270"/>
      <w:bookmarkStart w:id="362" w:name="_Toc148337711"/>
      <w:bookmarkStart w:id="363" w:name="_Toc148338034"/>
      <w:bookmarkStart w:id="364" w:name="_Toc148339744"/>
      <w:bookmarkStart w:id="365" w:name="_Toc148339841"/>
      <w:bookmarkStart w:id="366" w:name="_Toc149645547"/>
      <w:bookmarkStart w:id="367" w:name="_Toc149997851"/>
      <w:bookmarkStart w:id="368" w:name="_Toc158180727"/>
      <w:bookmarkStart w:id="369" w:name="_Toc158785576"/>
      <w:bookmarkStart w:id="370" w:name="_Toc124844729"/>
      <w:bookmarkStart w:id="371" w:name="_Toc124845858"/>
      <w:bookmarkStart w:id="372" w:name="_Toc124845932"/>
      <w:bookmarkStart w:id="373" w:name="_Toc124846104"/>
      <w:bookmarkStart w:id="374" w:name="_Toc124848227"/>
      <w:bookmarkStart w:id="375" w:name="_Toc124907478"/>
      <w:r w:rsidR="00C515C2" w:rsidRPr="001C2E9C">
        <w:rPr>
          <w:szCs w:val="22"/>
        </w:rPr>
        <w:t xml:space="preserve"> </w:t>
      </w:r>
    </w:p>
    <w:p w:rsidR="008C3946" w:rsidRDefault="008434F5" w:rsidP="00C07C81">
      <w:pPr>
        <w:pStyle w:val="Heading3"/>
        <w:widowControl/>
        <w:rPr>
          <w:szCs w:val="22"/>
        </w:rPr>
      </w:pPr>
      <w:bookmarkStart w:id="376" w:name="_Toc178768470"/>
      <w:bookmarkStart w:id="377" w:name="_Toc179195911"/>
      <w:bookmarkStart w:id="378" w:name="_Toc179361853"/>
      <w:bookmarkStart w:id="379" w:name="_Toc179363637"/>
      <w:bookmarkStart w:id="380" w:name="_Toc197504890"/>
      <w:bookmarkStart w:id="381" w:name="_Toc198007662"/>
      <w:bookmarkStart w:id="382" w:name="_Toc198007813"/>
      <w:bookmarkStart w:id="383" w:name="_Toc198008165"/>
      <w:bookmarkStart w:id="384" w:name="_Toc198008302"/>
      <w:bookmarkStart w:id="385" w:name="_Toc198008849"/>
      <w:bookmarkStart w:id="386" w:name="_Toc198369745"/>
      <w:bookmarkStart w:id="387" w:name="_Toc198369882"/>
      <w:bookmarkStart w:id="388" w:name="_Toc198372794"/>
      <w:bookmarkStart w:id="389" w:name="_Toc198372897"/>
      <w:bookmarkStart w:id="390" w:name="_Toc198373027"/>
      <w:bookmarkStart w:id="391" w:name="_Toc198373195"/>
      <w:bookmarkStart w:id="392" w:name="_Toc198627109"/>
      <w:bookmarkStart w:id="393" w:name="_Toc198627215"/>
      <w:bookmarkStart w:id="394" w:name="_Toc216090701"/>
      <w:bookmarkStart w:id="395" w:name="_Toc226958207"/>
      <w:bookmarkStart w:id="396" w:name="_Toc227038267"/>
      <w:bookmarkStart w:id="397" w:name="_Toc254792564"/>
      <w:bookmarkStart w:id="398" w:name="_Toc256669688"/>
      <w:bookmarkStart w:id="399" w:name="_Toc257213221"/>
      <w:bookmarkStart w:id="400" w:name="_Toc257277732"/>
      <w:bookmarkStart w:id="401" w:name="_Toc257278693"/>
      <w:bookmarkStart w:id="402" w:name="_Toc257278903"/>
      <w:bookmarkStart w:id="403" w:name="_Toc257279271"/>
      <w:bookmarkStart w:id="404" w:name="_Toc257382906"/>
      <w:bookmarkStart w:id="405" w:name="_Toc274056163"/>
      <w:bookmarkStart w:id="406" w:name="_Toc276657568"/>
      <w:bookmarkStart w:id="407" w:name="_Toc278366414"/>
      <w:bookmarkStart w:id="408" w:name="_Toc307584010"/>
      <w:bookmarkStart w:id="409" w:name="_Toc307937284"/>
      <w:bookmarkStart w:id="410" w:name="_Toc348508731"/>
      <w:bookmarkStart w:id="411" w:name="_Toc362256718"/>
      <w:bookmarkStart w:id="412" w:name="_Toc366056472"/>
      <w:bookmarkStart w:id="413" w:name="_Toc366223675"/>
      <w:bookmarkStart w:id="414" w:name="_Toc366229388"/>
      <w:bookmarkStart w:id="415" w:name="_Toc366583432"/>
      <w:r w:rsidRPr="001C2E9C">
        <w:rPr>
          <w:szCs w:val="22"/>
        </w:rPr>
        <w:t>Prohibit</w:t>
      </w:r>
      <w:r w:rsidR="00EE234C">
        <w:rPr>
          <w:szCs w:val="22"/>
        </w:rPr>
        <w:t>ed</w:t>
      </w:r>
      <w:r w:rsidRPr="001C2E9C">
        <w:rPr>
          <w:szCs w:val="22"/>
        </w:rPr>
        <w:t xml:space="preserve"> </w:t>
      </w:r>
      <w:bookmarkEnd w:id="323"/>
      <w:bookmarkEnd w:id="324"/>
      <w:bookmarkEnd w:id="325"/>
      <w:bookmarkEnd w:id="326"/>
      <w:bookmarkEnd w:id="327"/>
      <w:bookmarkEnd w:id="328"/>
      <w:bookmarkEnd w:id="329"/>
      <w:bookmarkEnd w:id="330"/>
      <w:bookmarkEnd w:id="331"/>
      <w:bookmarkEnd w:id="332"/>
      <w:bookmarkEnd w:id="333"/>
      <w:r w:rsidR="00EE234C">
        <w:rPr>
          <w:szCs w:val="22"/>
        </w:rPr>
        <w:t>Communications</w:t>
      </w:r>
      <w:r w:rsidR="00F417C0" w:rsidRPr="007E4A5E">
        <w:rPr>
          <w:szCs w:val="22"/>
        </w:rPr>
        <w:t xml:space="preserve"> and</w:t>
      </w:r>
      <w:r w:rsidR="00956A2B" w:rsidRPr="007E4A5E">
        <w:rPr>
          <w:szCs w:val="22"/>
        </w:rPr>
        <w:t xml:space="preserve"> Compliance</w:t>
      </w:r>
      <w:r w:rsidR="00956A2B">
        <w:rPr>
          <w:szCs w:val="22"/>
        </w:rPr>
        <w:t xml:space="preserve"> with Antitrust Laws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EE234C" w:rsidRDefault="008C3946" w:rsidP="00C07C81">
      <w:pPr>
        <w:pStyle w:val="ParaNum"/>
        <w:widowControl/>
        <w:tabs>
          <w:tab w:val="clear" w:pos="1260"/>
          <w:tab w:val="num" w:pos="1440"/>
        </w:tabs>
        <w:ind w:left="0"/>
        <w:rPr>
          <w:szCs w:val="22"/>
        </w:rPr>
      </w:pPr>
      <w:r>
        <w:rPr>
          <w:szCs w:val="22"/>
        </w:rPr>
        <w:t xml:space="preserve">To ensure the </w:t>
      </w:r>
      <w:r w:rsidRPr="001C2E9C">
        <w:rPr>
          <w:szCs w:val="22"/>
        </w:rPr>
        <w:t xml:space="preserve">competitiveness of the auction process, </w:t>
      </w:r>
      <w:r w:rsidR="00415E2E">
        <w:rPr>
          <w:szCs w:val="22"/>
        </w:rPr>
        <w:t>s</w:t>
      </w:r>
      <w:r w:rsidRPr="001C2E9C">
        <w:rPr>
          <w:szCs w:val="22"/>
        </w:rPr>
        <w:t xml:space="preserve">ection 1.2105(c) of the Commission’s rules prohibits auction applicants for </w:t>
      </w:r>
      <w:r w:rsidR="007659BB">
        <w:rPr>
          <w:szCs w:val="22"/>
        </w:rPr>
        <w:t>licenses</w:t>
      </w:r>
      <w:r w:rsidRPr="001C2E9C">
        <w:rPr>
          <w:szCs w:val="22"/>
        </w:rPr>
        <w:t xml:space="preserve"> in any of the same </w:t>
      </w:r>
      <w:r w:rsidR="00980C44">
        <w:rPr>
          <w:szCs w:val="22"/>
        </w:rPr>
        <w:t xml:space="preserve">or overlapping </w:t>
      </w:r>
      <w:r w:rsidRPr="001C2E9C">
        <w:rPr>
          <w:szCs w:val="22"/>
        </w:rPr>
        <w:t xml:space="preserve">geographic </w:t>
      </w:r>
      <w:r w:rsidRPr="003023B4">
        <w:rPr>
          <w:szCs w:val="22"/>
        </w:rPr>
        <w:t>license areas</w:t>
      </w:r>
      <w:r w:rsidRPr="001C2E9C">
        <w:rPr>
          <w:szCs w:val="22"/>
        </w:rPr>
        <w:t xml:space="preserve"> from communicating with each other about bids, bidding strategies, or settlements unless such applicants have identified each other on their short-form applications (FCC Form 175) as parties with whom they have entered into agreements pursuant to </w:t>
      </w:r>
      <w:r w:rsidR="00415E2E">
        <w:rPr>
          <w:szCs w:val="22"/>
        </w:rPr>
        <w:t>s</w:t>
      </w:r>
      <w:r w:rsidRPr="001C2E9C">
        <w:rPr>
          <w:szCs w:val="22"/>
        </w:rPr>
        <w:t>ection 1.2105(a)(2)(viii).</w:t>
      </w:r>
      <w:r w:rsidRPr="00CA6286">
        <w:rPr>
          <w:rStyle w:val="FootnoteReference"/>
          <w:szCs w:val="22"/>
        </w:rPr>
        <w:footnoteReference w:id="16"/>
      </w:r>
    </w:p>
    <w:p w:rsidR="00EE234C" w:rsidRDefault="00EE234C" w:rsidP="00C07C81">
      <w:pPr>
        <w:pStyle w:val="Heading4"/>
        <w:widowControl/>
      </w:pPr>
      <w:bookmarkStart w:id="416" w:name="_Toc254792565"/>
      <w:bookmarkStart w:id="417" w:name="_Toc256669689"/>
      <w:bookmarkStart w:id="418" w:name="_Toc257213222"/>
      <w:bookmarkStart w:id="419" w:name="_Toc257382907"/>
      <w:bookmarkStart w:id="420" w:name="_Toc274056164"/>
      <w:bookmarkStart w:id="421" w:name="_Toc276657569"/>
      <w:bookmarkStart w:id="422" w:name="_Toc278366415"/>
      <w:bookmarkStart w:id="423" w:name="_Toc307584011"/>
      <w:bookmarkStart w:id="424" w:name="_Toc307937285"/>
      <w:bookmarkStart w:id="425" w:name="_Toc362256719"/>
      <w:bookmarkStart w:id="426" w:name="_Toc366056473"/>
      <w:bookmarkStart w:id="427" w:name="_Toc366223676"/>
      <w:bookmarkStart w:id="428" w:name="_Toc366229389"/>
      <w:bookmarkStart w:id="429" w:name="_Toc366583433"/>
      <w:r>
        <w:t>Entities Subject to Section 1.2105</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064A6C" w:rsidRDefault="00D72817" w:rsidP="00C07C81">
      <w:pPr>
        <w:pStyle w:val="ParaNum"/>
        <w:widowControl/>
        <w:tabs>
          <w:tab w:val="clear" w:pos="1260"/>
          <w:tab w:val="num" w:pos="1440"/>
        </w:tabs>
        <w:ind w:left="0"/>
        <w:rPr>
          <w:szCs w:val="22"/>
        </w:rPr>
      </w:pPr>
      <w:r>
        <w:rPr>
          <w:szCs w:val="22"/>
        </w:rPr>
        <w:t>Section 1.2105(c)’s</w:t>
      </w:r>
      <w:r w:rsidR="0097423A">
        <w:rPr>
          <w:szCs w:val="22"/>
        </w:rPr>
        <w:t xml:space="preserve"> prohibit</w:t>
      </w:r>
      <w:r>
        <w:rPr>
          <w:szCs w:val="22"/>
        </w:rPr>
        <w:t>ion on certain</w:t>
      </w:r>
      <w:r w:rsidR="0097423A">
        <w:rPr>
          <w:szCs w:val="22"/>
        </w:rPr>
        <w:t xml:space="preserve"> communication</w:t>
      </w:r>
      <w:r>
        <w:rPr>
          <w:szCs w:val="22"/>
        </w:rPr>
        <w:t>s</w:t>
      </w:r>
      <w:r w:rsidR="0097423A">
        <w:rPr>
          <w:szCs w:val="22"/>
        </w:rPr>
        <w:t xml:space="preserve"> will apply to any applicants that submit short-form applications seeking to participate in a Commission auction </w:t>
      </w:r>
      <w:r w:rsidR="00A5318B">
        <w:rPr>
          <w:szCs w:val="22"/>
        </w:rPr>
        <w:t xml:space="preserve">for </w:t>
      </w:r>
      <w:r w:rsidR="007659BB">
        <w:rPr>
          <w:szCs w:val="22"/>
        </w:rPr>
        <w:t>license</w:t>
      </w:r>
      <w:r w:rsidR="0097423A">
        <w:rPr>
          <w:szCs w:val="22"/>
        </w:rPr>
        <w:t xml:space="preserve">s in the same </w:t>
      </w:r>
      <w:r w:rsidR="00980C44">
        <w:rPr>
          <w:szCs w:val="22"/>
        </w:rPr>
        <w:t xml:space="preserve">or overlapping </w:t>
      </w:r>
      <w:r w:rsidR="0097423A">
        <w:rPr>
          <w:szCs w:val="22"/>
        </w:rPr>
        <w:t xml:space="preserve">geographic license area.  </w:t>
      </w:r>
      <w:r w:rsidR="008C3946" w:rsidRPr="00BD752F">
        <w:rPr>
          <w:szCs w:val="22"/>
        </w:rPr>
        <w:t xml:space="preserve">Thus, unless they have identified each other on their short-form applications as parties with whom they have entered into agreements under </w:t>
      </w:r>
      <w:r w:rsidR="00415E2E">
        <w:rPr>
          <w:szCs w:val="22"/>
        </w:rPr>
        <w:t>s</w:t>
      </w:r>
      <w:r w:rsidR="008C3946" w:rsidRPr="00BD752F">
        <w:rPr>
          <w:szCs w:val="22"/>
        </w:rPr>
        <w:t xml:space="preserve">ection 1.2105(a)(2)(viii), applicants for any of the same </w:t>
      </w:r>
      <w:r w:rsidR="00980C44">
        <w:rPr>
          <w:szCs w:val="22"/>
        </w:rPr>
        <w:t xml:space="preserve">or overlapping </w:t>
      </w:r>
      <w:r w:rsidR="008C3946" w:rsidRPr="00BD752F">
        <w:rPr>
          <w:szCs w:val="22"/>
        </w:rPr>
        <w:t>geographic license areas must affirmatively avoid all communications with or disclosures to each other that affect or have the potential to affect bids or bidding strategy.</w:t>
      </w:r>
      <w:r w:rsidR="008C3946">
        <w:rPr>
          <w:rStyle w:val="FootnoteReference"/>
          <w:szCs w:val="22"/>
        </w:rPr>
        <w:footnoteReference w:id="17"/>
      </w:r>
      <w:r w:rsidR="008C3946" w:rsidRPr="00BD752F">
        <w:rPr>
          <w:szCs w:val="22"/>
        </w:rPr>
        <w:t xml:space="preserve">  In some instances, this prohibition extends to communications regarding the post-auction market structure.  </w:t>
      </w:r>
      <w:r w:rsidR="008C3946" w:rsidRPr="00BD752F">
        <w:rPr>
          <w:b/>
          <w:szCs w:val="22"/>
        </w:rPr>
        <w:t xml:space="preserve">This prohibition </w:t>
      </w:r>
      <w:r w:rsidR="008C3946" w:rsidRPr="007E5680">
        <w:rPr>
          <w:b/>
          <w:szCs w:val="22"/>
        </w:rPr>
        <w:t xml:space="preserve">applies to all applicants </w:t>
      </w:r>
      <w:r w:rsidR="00CD79A7">
        <w:rPr>
          <w:b/>
          <w:szCs w:val="22"/>
        </w:rPr>
        <w:t xml:space="preserve">that submit short-form applications </w:t>
      </w:r>
      <w:r w:rsidR="008C3946" w:rsidRPr="007E5680">
        <w:rPr>
          <w:b/>
          <w:szCs w:val="22"/>
        </w:rPr>
        <w:t>regardless of whether such applicant</w:t>
      </w:r>
      <w:r w:rsidR="00E8471A">
        <w:rPr>
          <w:b/>
          <w:szCs w:val="22"/>
        </w:rPr>
        <w:t>s</w:t>
      </w:r>
      <w:r w:rsidR="008C3946" w:rsidRPr="007E5680">
        <w:rPr>
          <w:b/>
          <w:szCs w:val="22"/>
        </w:rPr>
        <w:t xml:space="preserve"> </w:t>
      </w:r>
      <w:r w:rsidR="009F5C46">
        <w:rPr>
          <w:b/>
          <w:szCs w:val="22"/>
        </w:rPr>
        <w:t xml:space="preserve">ultimately </w:t>
      </w:r>
      <w:r w:rsidR="008C3946" w:rsidRPr="007E5680">
        <w:rPr>
          <w:b/>
          <w:szCs w:val="22"/>
        </w:rPr>
        <w:t>become</w:t>
      </w:r>
      <w:r w:rsidR="0066410D">
        <w:rPr>
          <w:b/>
          <w:szCs w:val="22"/>
        </w:rPr>
        <w:t xml:space="preserve"> </w:t>
      </w:r>
      <w:r w:rsidR="008C3946" w:rsidRPr="007E5680">
        <w:rPr>
          <w:b/>
          <w:szCs w:val="22"/>
        </w:rPr>
        <w:t>qualified bidder</w:t>
      </w:r>
      <w:r w:rsidR="00E8471A">
        <w:rPr>
          <w:b/>
          <w:szCs w:val="22"/>
        </w:rPr>
        <w:t>s</w:t>
      </w:r>
      <w:r w:rsidR="008C3946" w:rsidRPr="007E5680">
        <w:rPr>
          <w:b/>
          <w:szCs w:val="22"/>
        </w:rPr>
        <w:t xml:space="preserve"> or actually bid.</w:t>
      </w:r>
      <w:r w:rsidR="008C3946" w:rsidRPr="004C0FE3">
        <w:rPr>
          <w:rStyle w:val="FootnoteReference"/>
          <w:szCs w:val="22"/>
        </w:rPr>
        <w:footnoteReference w:id="18"/>
      </w:r>
      <w:r w:rsidR="008141BC" w:rsidRPr="004C0FE3">
        <w:rPr>
          <w:szCs w:val="22"/>
        </w:rPr>
        <w:t xml:space="preserve"> </w:t>
      </w:r>
      <w:r w:rsidR="008C3946" w:rsidRPr="004C0FE3">
        <w:rPr>
          <w:szCs w:val="22"/>
        </w:rPr>
        <w:t xml:space="preserve"> </w:t>
      </w:r>
    </w:p>
    <w:p w:rsidR="00064A6C" w:rsidRPr="0023732E" w:rsidRDefault="00064A6C" w:rsidP="00C07C81">
      <w:pPr>
        <w:pStyle w:val="ParaNum"/>
        <w:widowControl/>
        <w:tabs>
          <w:tab w:val="clear" w:pos="1260"/>
          <w:tab w:val="num" w:pos="1440"/>
        </w:tabs>
        <w:ind w:left="0"/>
        <w:rPr>
          <w:szCs w:val="22"/>
        </w:rPr>
      </w:pPr>
      <w:r w:rsidRPr="007E5680">
        <w:rPr>
          <w:bCs/>
        </w:rPr>
        <w:t xml:space="preserve">Applicants are also reminded that, for purposes </w:t>
      </w:r>
      <w:r w:rsidRPr="007E5680">
        <w:t>of this prohibition</w:t>
      </w:r>
      <w:r>
        <w:t xml:space="preserve"> on certain communications</w:t>
      </w:r>
      <w:r w:rsidRPr="007E5680">
        <w:t xml:space="preserve">, </w:t>
      </w:r>
      <w:r w:rsidR="00415E2E">
        <w:t>s</w:t>
      </w:r>
      <w:r w:rsidRPr="007E5680">
        <w:t xml:space="preserve">ection 1.2105(c)(7)(i) defines “applicant” as including all officers and directors of the entity submitting a short-form </w:t>
      </w:r>
      <w:r w:rsidRPr="00463D88">
        <w:rPr>
          <w:szCs w:val="22"/>
        </w:rPr>
        <w:t>application</w:t>
      </w:r>
      <w:r w:rsidRPr="007E5680">
        <w:t xml:space="preserve"> to participate in the auction, all controlling interests of that entity, as well as all holders of partnership and other ownership interests and any stock interest amounting to 10 percent or more of the entity, or outstanding stock, or outstanding v</w:t>
      </w:r>
      <w:r w:rsidRPr="002774E9">
        <w:t>oting stock of the entity submitting a short-form application.</w:t>
      </w:r>
      <w:r w:rsidRPr="002774E9">
        <w:rPr>
          <w:rStyle w:val="FootnoteReference"/>
        </w:rPr>
        <w:footnoteReference w:id="19"/>
      </w:r>
      <w:r w:rsidR="00166E2A" w:rsidRPr="002774E9">
        <w:t xml:space="preserve">  </w:t>
      </w:r>
      <w:r w:rsidR="00F42E7E" w:rsidRPr="002774E9">
        <w:t>For example, w</w:t>
      </w:r>
      <w:r w:rsidR="00166E2A" w:rsidRPr="002774E9">
        <w:t>here an individual served</w:t>
      </w:r>
      <w:r w:rsidR="00166E2A" w:rsidRPr="007E5680">
        <w:t xml:space="preserve"> as an officer for two or more applicants, the Bureau ha</w:t>
      </w:r>
      <w:r w:rsidR="0023732E">
        <w:t>s</w:t>
      </w:r>
      <w:r w:rsidR="00166E2A" w:rsidRPr="007E5680">
        <w:t xml:space="preserve"> found that the bids and bidding strategies of one</w:t>
      </w:r>
      <w:r w:rsidR="00166E2A" w:rsidRPr="00F0102E">
        <w:t xml:space="preserve"> applicant are conveyed to the other applicant, and, absent a disclosed bidding agreement, an apparent violation of </w:t>
      </w:r>
      <w:r w:rsidR="00166E2A">
        <w:t>section 1.2105(c)</w:t>
      </w:r>
      <w:r w:rsidR="00166E2A" w:rsidRPr="00F0102E">
        <w:t xml:space="preserve"> occurs</w:t>
      </w:r>
      <w:r w:rsidR="00166E2A">
        <w:t>.</w:t>
      </w:r>
      <w:r w:rsidR="00166E2A">
        <w:rPr>
          <w:rStyle w:val="FootnoteReference"/>
        </w:rPr>
        <w:footnoteReference w:id="20"/>
      </w:r>
    </w:p>
    <w:p w:rsidR="0023732E" w:rsidRPr="00166E2A" w:rsidRDefault="0023732E" w:rsidP="00C07C81">
      <w:pPr>
        <w:pStyle w:val="ParaNum"/>
        <w:widowControl/>
        <w:tabs>
          <w:tab w:val="clear" w:pos="1260"/>
          <w:tab w:val="num" w:pos="1440"/>
        </w:tabs>
        <w:ind w:left="0"/>
        <w:rPr>
          <w:szCs w:val="22"/>
        </w:rPr>
      </w:pPr>
      <w:r>
        <w:rPr>
          <w:szCs w:val="22"/>
        </w:rPr>
        <w:t xml:space="preserve">As described </w:t>
      </w:r>
      <w:r w:rsidRPr="00206CE7">
        <w:rPr>
          <w:szCs w:val="22"/>
        </w:rPr>
        <w:t>in Section IV.A.2., below</w:t>
      </w:r>
      <w:r>
        <w:rPr>
          <w:szCs w:val="22"/>
        </w:rPr>
        <w:t>, information concerning applicants’ license selections will not be available to the public.  Therefore, the Commission will inform each applicant by letter of the identity of each of the other applicants that has applied for licenses covering any of the same or overlapping geographic areas as the licenses that it has selected in its short-form application.</w:t>
      </w:r>
      <w:r>
        <w:rPr>
          <w:rStyle w:val="FootnoteReference"/>
          <w:szCs w:val="22"/>
        </w:rPr>
        <w:footnoteReference w:id="21"/>
      </w:r>
    </w:p>
    <w:p w:rsidR="0003402A" w:rsidRPr="00A65F60" w:rsidRDefault="00166E2A" w:rsidP="00C07C81">
      <w:pPr>
        <w:pStyle w:val="ParaNum"/>
        <w:widowControl/>
        <w:tabs>
          <w:tab w:val="clear" w:pos="1260"/>
          <w:tab w:val="num" w:pos="1440"/>
        </w:tabs>
        <w:ind w:left="0"/>
        <w:rPr>
          <w:szCs w:val="22"/>
        </w:rPr>
      </w:pPr>
      <w:r w:rsidRPr="00A65F60">
        <w:t xml:space="preserve">Individuals and entities subject to section 1.2105(c) should take special care in circumstances where </w:t>
      </w:r>
      <w:r w:rsidR="00E8471A" w:rsidRPr="00A65F60">
        <w:t xml:space="preserve">their </w:t>
      </w:r>
      <w:r w:rsidRPr="00A65F60">
        <w:t>employee</w:t>
      </w:r>
      <w:r w:rsidR="00047062" w:rsidRPr="00A65F60">
        <w:t>s</w:t>
      </w:r>
      <w:r w:rsidRPr="00A65F60">
        <w:t xml:space="preserve"> may receive information directly or indirectly relating to any competing applicant’s bids or bidding strategies.  The Bureau ha</w:t>
      </w:r>
      <w:r w:rsidR="0023732E">
        <w:t>s</w:t>
      </w:r>
      <w:r w:rsidRPr="00A65F60">
        <w:t xml:space="preserve"> not addressed </w:t>
      </w:r>
      <w:r w:rsidR="00E8471A" w:rsidRPr="00A65F60">
        <w:t xml:space="preserve">a </w:t>
      </w:r>
      <w:r w:rsidRPr="00A65F60">
        <w:t xml:space="preserve">situation where </w:t>
      </w:r>
      <w:r w:rsidR="00F62815" w:rsidRPr="00A65F60">
        <w:t>non-prin</w:t>
      </w:r>
      <w:r w:rsidR="003023B4" w:rsidRPr="00A65F60">
        <w:t>c</w:t>
      </w:r>
      <w:r w:rsidR="00F62815" w:rsidRPr="00A65F60">
        <w:t>ipals</w:t>
      </w:r>
      <w:r w:rsidRPr="00A65F60">
        <w:t xml:space="preserve"> (</w:t>
      </w:r>
      <w:r w:rsidR="00F62815" w:rsidRPr="00A65F60">
        <w:t>i.e., those</w:t>
      </w:r>
      <w:r w:rsidRPr="00A65F60">
        <w:t xml:space="preserve"> who are not officers or directors</w:t>
      </w:r>
      <w:r w:rsidR="002847FA" w:rsidRPr="00A65F60">
        <w:t xml:space="preserve">, </w:t>
      </w:r>
      <w:r w:rsidR="00F62815" w:rsidRPr="00A65F60">
        <w:t>and thus not considered to be the applicant</w:t>
      </w:r>
      <w:r w:rsidRPr="00A65F60">
        <w:t>) receive information regarding a competing applicant’s bids or bidding strategies and whether that information</w:t>
      </w:r>
      <w:r w:rsidR="00E8471A" w:rsidRPr="00A65F60">
        <w:t xml:space="preserve"> </w:t>
      </w:r>
      <w:r w:rsidR="00092850">
        <w:t xml:space="preserve">should be presumed </w:t>
      </w:r>
      <w:r w:rsidR="00E8471A" w:rsidRPr="00A65F60">
        <w:t>to be</w:t>
      </w:r>
      <w:r w:rsidRPr="00A65F60">
        <w:t xml:space="preserve"> </w:t>
      </w:r>
      <w:r w:rsidR="00741444" w:rsidRPr="00A65F60">
        <w:t xml:space="preserve">communicated </w:t>
      </w:r>
      <w:r w:rsidRPr="00A65F60">
        <w:t xml:space="preserve">to the applicant.  </w:t>
      </w:r>
    </w:p>
    <w:p w:rsidR="00166E2A" w:rsidRPr="00166E2A" w:rsidRDefault="00D72817" w:rsidP="00C07C81">
      <w:pPr>
        <w:pStyle w:val="ParaNum"/>
        <w:widowControl/>
        <w:tabs>
          <w:tab w:val="clear" w:pos="1260"/>
          <w:tab w:val="num" w:pos="1440"/>
        </w:tabs>
        <w:ind w:left="0"/>
        <w:rPr>
          <w:szCs w:val="22"/>
        </w:rPr>
      </w:pPr>
      <w:r w:rsidRPr="00A65F60">
        <w:t>A</w:t>
      </w:r>
      <w:r w:rsidR="00166E2A" w:rsidRPr="00A65F60">
        <w:t>n exception to the prohibit</w:t>
      </w:r>
      <w:r w:rsidRPr="00A65F60">
        <w:t>ion on certain</w:t>
      </w:r>
      <w:r w:rsidR="00166E2A" w:rsidRPr="00A65F60">
        <w:t xml:space="preserve"> communications allow</w:t>
      </w:r>
      <w:r w:rsidRPr="00A65F60">
        <w:t>s</w:t>
      </w:r>
      <w:r w:rsidR="00166E2A" w:rsidRPr="00A65F60">
        <w:t xml:space="preserve"> non-controlling interest holders to </w:t>
      </w:r>
      <w:r w:rsidR="0024204C" w:rsidRPr="00A65F60">
        <w:t>obtain</w:t>
      </w:r>
      <w:r w:rsidR="00166E2A" w:rsidRPr="00A65F60">
        <w:t xml:space="preserve"> interests in more than one competing applicant without</w:t>
      </w:r>
      <w:r w:rsidR="00166E2A" w:rsidRPr="007E5680">
        <w:t xml:space="preserve"> violating </w:t>
      </w:r>
      <w:r w:rsidR="00166E2A">
        <w:t>section 1.2105(c)</w:t>
      </w:r>
      <w:r w:rsidR="00166E2A" w:rsidRPr="007E5680">
        <w:t xml:space="preserve"> provided specified conditions are met (including a certification that no prohibited communications have occurred or will occur), </w:t>
      </w:r>
      <w:r>
        <w:t xml:space="preserve">but that exception </w:t>
      </w:r>
      <w:r w:rsidR="00166E2A" w:rsidRPr="007E5680">
        <w:t>does not extend to controlling interest holders</w:t>
      </w:r>
      <w:r w:rsidR="00166E2A">
        <w:t>.</w:t>
      </w:r>
      <w:r w:rsidR="00166E2A">
        <w:rPr>
          <w:rStyle w:val="FootnoteReference"/>
        </w:rPr>
        <w:footnoteReference w:id="22"/>
      </w:r>
      <w:r w:rsidR="00C550C4" w:rsidRPr="004C660E">
        <w:rPr>
          <w:szCs w:val="22"/>
          <w:highlight w:val="lightGray"/>
        </w:rPr>
        <w:t xml:space="preserve"> </w:t>
      </w:r>
    </w:p>
    <w:p w:rsidR="00166E2A" w:rsidRPr="00E71C68" w:rsidRDefault="00166E2A" w:rsidP="00C07C81">
      <w:pPr>
        <w:pStyle w:val="ParaNum"/>
        <w:widowControl/>
        <w:tabs>
          <w:tab w:val="clear" w:pos="1260"/>
          <w:tab w:val="num" w:pos="1440"/>
        </w:tabs>
        <w:ind w:left="0"/>
        <w:rPr>
          <w:szCs w:val="22"/>
        </w:rPr>
      </w:pPr>
      <w:r w:rsidRPr="003F47FA">
        <w:t xml:space="preserve">Moreover, Auction </w:t>
      </w:r>
      <w:r w:rsidR="00CC0081">
        <w:t>9</w:t>
      </w:r>
      <w:r w:rsidR="00530B79">
        <w:t>6</w:t>
      </w:r>
      <w:r w:rsidRPr="003F47FA">
        <w:t xml:space="preserve"> applicants </w:t>
      </w:r>
      <w:r w:rsidR="007C5CAD">
        <w:t xml:space="preserve">selecting licenses for any of the same or overlapping geographic license areas </w:t>
      </w:r>
      <w:r w:rsidRPr="003F47FA">
        <w:t>are encouraged not to use the same individual as an authorized bidder.  A violation of section 1.2105(c) could occur if an individual acts as the authorized bidder for two or more competing applicants, and conveys information concerning the substance of bids or bidding strategies between such applicants</w:t>
      </w:r>
      <w:r w:rsidRPr="001209FA">
        <w:t xml:space="preserve">.  </w:t>
      </w:r>
      <w:r w:rsidR="00C17C9E" w:rsidRPr="005749A5">
        <w:t>Similarly</w:t>
      </w:r>
      <w:r w:rsidRPr="001209FA">
        <w:t>, if the authorized</w:t>
      </w:r>
      <w:r w:rsidRPr="003F47FA">
        <w:t xml:space="preserve"> bidders are different individuals employed by the same organization (e.g., law firm</w:t>
      </w:r>
      <w:r w:rsidR="001209FA">
        <w:t>,</w:t>
      </w:r>
      <w:r w:rsidRPr="003F47FA">
        <w:t xml:space="preserve"> engineering firm or consulting firm), a violation </w:t>
      </w:r>
      <w:r w:rsidR="009F5C46">
        <w:t>likewise</w:t>
      </w:r>
      <w:r w:rsidRPr="003F47FA">
        <w:t xml:space="preserve"> could occur.</w:t>
      </w:r>
      <w:r w:rsidRPr="00713BE8">
        <w:rPr>
          <w:rStyle w:val="FootnoteReference"/>
          <w:szCs w:val="22"/>
        </w:rPr>
        <w:footnoteReference w:id="23"/>
      </w:r>
      <w:r w:rsidRPr="003F47FA">
        <w:t xml:space="preserve">  In such a case, at a minimum, applicants should certify on their applications that precautionary steps have been taken to prevent communication between </w:t>
      </w:r>
      <w:r w:rsidRPr="00A65F60">
        <w:t>authorized bidders</w:t>
      </w:r>
      <w:r w:rsidR="00047062" w:rsidRPr="00A65F60">
        <w:t>,</w:t>
      </w:r>
      <w:r w:rsidRPr="00A65F60">
        <w:t xml:space="preserve"> and that </w:t>
      </w:r>
      <w:r w:rsidR="0066410D" w:rsidRPr="00A65F60">
        <w:t xml:space="preserve">the </w:t>
      </w:r>
      <w:r w:rsidRPr="003F47FA">
        <w:t xml:space="preserve">applicant and </w:t>
      </w:r>
      <w:r w:rsidR="00A84138">
        <w:t>its</w:t>
      </w:r>
      <w:r w:rsidR="0066410D">
        <w:t xml:space="preserve"> </w:t>
      </w:r>
      <w:r w:rsidR="00A84138">
        <w:t>bidders</w:t>
      </w:r>
      <w:r w:rsidRPr="003F47FA">
        <w:t xml:space="preserve"> will comply with section 1.2105(c)</w:t>
      </w:r>
      <w:r>
        <w:t>.</w:t>
      </w:r>
      <w:r>
        <w:rPr>
          <w:rStyle w:val="FootnoteReference"/>
        </w:rPr>
        <w:footnoteReference w:id="24"/>
      </w:r>
    </w:p>
    <w:p w:rsidR="00E71C68" w:rsidRDefault="00E71C68" w:rsidP="00C07C81">
      <w:pPr>
        <w:pStyle w:val="Heading4"/>
        <w:widowControl/>
      </w:pPr>
      <w:bookmarkStart w:id="430" w:name="_Toc254792566"/>
      <w:bookmarkStart w:id="431" w:name="_Toc256669690"/>
      <w:bookmarkStart w:id="432" w:name="_Toc257213223"/>
      <w:bookmarkStart w:id="433" w:name="_Toc257382908"/>
      <w:bookmarkStart w:id="434" w:name="_Toc274056165"/>
      <w:bookmarkStart w:id="435" w:name="_Toc276657570"/>
      <w:bookmarkStart w:id="436" w:name="_Toc278366416"/>
      <w:bookmarkStart w:id="437" w:name="_Toc307584012"/>
      <w:bookmarkStart w:id="438" w:name="_Toc307937286"/>
      <w:bookmarkStart w:id="439" w:name="_Toc362256720"/>
      <w:bookmarkStart w:id="440" w:name="_Toc366056474"/>
      <w:bookmarkStart w:id="441" w:name="_Toc366223677"/>
      <w:bookmarkStart w:id="442" w:name="_Toc366229390"/>
      <w:bookmarkStart w:id="443" w:name="_Toc366583434"/>
      <w:r>
        <w:t>Prohibition Applies Until Down Payment Deadline</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E71C68" w:rsidRPr="00E71C68" w:rsidRDefault="00FB11C9" w:rsidP="00C07C81">
      <w:pPr>
        <w:pStyle w:val="ParaNum"/>
        <w:widowControl/>
        <w:tabs>
          <w:tab w:val="clear" w:pos="1260"/>
          <w:tab w:val="num" w:pos="1440"/>
        </w:tabs>
        <w:ind w:left="0"/>
      </w:pPr>
      <w:r>
        <w:t>S</w:t>
      </w:r>
      <w:r w:rsidR="0024204C">
        <w:t>ection 1.2105(c)</w:t>
      </w:r>
      <w:r>
        <w:t>’s</w:t>
      </w:r>
      <w:r w:rsidR="0024204C">
        <w:t xml:space="preserve"> </w:t>
      </w:r>
      <w:r w:rsidR="00D72817">
        <w:t>prohibition on certain</w:t>
      </w:r>
      <w:r w:rsidR="00655DEC">
        <w:t xml:space="preserve"> </w:t>
      </w:r>
      <w:r w:rsidR="00166E2A">
        <w:t>communication</w:t>
      </w:r>
      <w:r w:rsidR="00D72817">
        <w:t>s</w:t>
      </w:r>
      <w:r w:rsidR="00166E2A" w:rsidRPr="00BD752F">
        <w:t xml:space="preserve"> begins at the short-form application filing deadline and ends at the down payment deadline </w:t>
      </w:r>
      <w:r w:rsidR="00166E2A" w:rsidRPr="00A65F60">
        <w:t>after the auction</w:t>
      </w:r>
      <w:r w:rsidR="0066410D" w:rsidRPr="00A65F60">
        <w:t xml:space="preserve"> closes</w:t>
      </w:r>
      <w:r w:rsidR="00166E2A" w:rsidRPr="00A65F60">
        <w:t>, which will</w:t>
      </w:r>
      <w:r w:rsidR="00166E2A" w:rsidRPr="007E5680">
        <w:t xml:space="preserve"> be announced in a future public notice</w:t>
      </w:r>
      <w:r w:rsidR="00166E2A">
        <w:rPr>
          <w:szCs w:val="22"/>
        </w:rPr>
        <w:t>.</w:t>
      </w:r>
      <w:r w:rsidR="00E71C68">
        <w:rPr>
          <w:rStyle w:val="FootnoteReference"/>
          <w:szCs w:val="22"/>
        </w:rPr>
        <w:footnoteReference w:id="25"/>
      </w:r>
    </w:p>
    <w:p w:rsidR="00E71C68" w:rsidRPr="00064A6C" w:rsidRDefault="00E71C68" w:rsidP="00C07C81">
      <w:pPr>
        <w:pStyle w:val="Heading4"/>
        <w:widowControl/>
      </w:pPr>
      <w:bookmarkStart w:id="444" w:name="_Toc254792567"/>
      <w:bookmarkStart w:id="445" w:name="_Toc256669691"/>
      <w:bookmarkStart w:id="446" w:name="_Toc257213224"/>
      <w:bookmarkStart w:id="447" w:name="_Toc257382909"/>
      <w:bookmarkStart w:id="448" w:name="_Toc274056166"/>
      <w:bookmarkStart w:id="449" w:name="_Toc276657571"/>
      <w:bookmarkStart w:id="450" w:name="_Toc278366417"/>
      <w:bookmarkStart w:id="451" w:name="_Toc307584013"/>
      <w:bookmarkStart w:id="452" w:name="_Toc307937287"/>
      <w:bookmarkStart w:id="453" w:name="_Toc362256721"/>
      <w:bookmarkStart w:id="454" w:name="_Toc366056475"/>
      <w:bookmarkStart w:id="455" w:name="_Toc366223678"/>
      <w:bookmarkStart w:id="456" w:name="_Toc366229391"/>
      <w:bookmarkStart w:id="457" w:name="_Toc366583435"/>
      <w:r>
        <w:t>Prohibited Communications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64A6C" w:rsidRPr="007E5680" w:rsidRDefault="00064A6C" w:rsidP="00C07C81">
      <w:pPr>
        <w:pStyle w:val="ParaNum"/>
        <w:widowControl/>
        <w:tabs>
          <w:tab w:val="clear" w:pos="1260"/>
          <w:tab w:val="num" w:pos="1440"/>
        </w:tabs>
        <w:ind w:left="0"/>
        <w:rPr>
          <w:szCs w:val="22"/>
        </w:rPr>
      </w:pPr>
      <w:r w:rsidRPr="007E5680">
        <w:t>Appli</w:t>
      </w:r>
      <w:r w:rsidRPr="007E5680">
        <w:rPr>
          <w:rStyle w:val="ParaNumChar1CharChar"/>
        </w:rPr>
        <w:t>c</w:t>
      </w:r>
      <w:r w:rsidRPr="007E5680">
        <w:t xml:space="preserve">ants must not communicate directly or indirectly about bids or bidding strategy to other </w:t>
      </w:r>
      <w:r w:rsidRPr="002774E9">
        <w:t>applicants</w:t>
      </w:r>
      <w:r w:rsidR="00415E2E" w:rsidRPr="002774E9">
        <w:t xml:space="preserve"> </w:t>
      </w:r>
      <w:r w:rsidR="00F42E7E" w:rsidRPr="002774E9">
        <w:t xml:space="preserve">in this auction </w:t>
      </w:r>
      <w:r w:rsidR="00960461" w:rsidRPr="002774E9">
        <w:t>(</w:t>
      </w:r>
      <w:r w:rsidR="00F42E7E" w:rsidRPr="002774E9">
        <w:t xml:space="preserve">as </w:t>
      </w:r>
      <w:r w:rsidR="00415E2E" w:rsidRPr="002774E9">
        <w:t>described above</w:t>
      </w:r>
      <w:r w:rsidR="00960461" w:rsidRPr="002774E9">
        <w:t>)</w:t>
      </w:r>
      <w:r w:rsidRPr="002774E9">
        <w:t>.</w:t>
      </w:r>
      <w:r w:rsidRPr="002774E9">
        <w:rPr>
          <w:rStyle w:val="FootnoteReference"/>
          <w:szCs w:val="22"/>
        </w:rPr>
        <w:footnoteReference w:id="26"/>
      </w:r>
      <w:r w:rsidRPr="007E5680">
        <w:t xml:space="preserve">  </w:t>
      </w:r>
      <w:r w:rsidR="00960461">
        <w:t>S</w:t>
      </w:r>
      <w:r w:rsidR="0097423A">
        <w:t>ection 1.2105(c)</w:t>
      </w:r>
      <w:r w:rsidRPr="007E5680">
        <w:t xml:space="preserve"> prohibits not only communication about an applicant’s own bids or bidding strategy, </w:t>
      </w:r>
      <w:r w:rsidR="00A84138">
        <w:t xml:space="preserve">it </w:t>
      </w:r>
      <w:r w:rsidRPr="007E5680">
        <w:t xml:space="preserve">also </w:t>
      </w:r>
      <w:r w:rsidR="00A84138">
        <w:t>prohibits</w:t>
      </w:r>
      <w:r w:rsidRPr="007E5680">
        <w:t xml:space="preserve"> communication of another applicant’s bids or bidding strategy.</w:t>
      </w:r>
      <w:r w:rsidRPr="007E5680">
        <w:rPr>
          <w:rStyle w:val="FootnoteReference"/>
        </w:rPr>
        <w:footnoteReference w:id="27"/>
      </w:r>
      <w:r w:rsidRPr="007E5680">
        <w:t xml:space="preserve">  While </w:t>
      </w:r>
      <w:r w:rsidR="0097423A">
        <w:t>section 1.2105(c)</w:t>
      </w:r>
      <w:r w:rsidRPr="007E5680">
        <w:t xml:space="preserve"> do</w:t>
      </w:r>
      <w:r w:rsidR="00960461">
        <w:t>es</w:t>
      </w:r>
      <w:r w:rsidRPr="007E5680">
        <w:t xml:space="preserve"> not prohibit </w:t>
      </w:r>
      <w:r w:rsidR="00901956">
        <w:t xml:space="preserve">non-auction-related </w:t>
      </w:r>
      <w:r w:rsidRPr="007E5680">
        <w:t xml:space="preserve">business negotiations among </w:t>
      </w:r>
      <w:r w:rsidRPr="00A65F60">
        <w:t xml:space="preserve">auction applicants, </w:t>
      </w:r>
      <w:r w:rsidR="0066410D" w:rsidRPr="00A65F60">
        <w:t xml:space="preserve">each applicant </w:t>
      </w:r>
      <w:r w:rsidRPr="00A65F60">
        <w:t>must remain</w:t>
      </w:r>
      <w:r w:rsidRPr="007E5680">
        <w:t xml:space="preserve"> vigilant so as not to directly or indirectly </w:t>
      </w:r>
      <w:r w:rsidR="0019542F" w:rsidRPr="007E5680">
        <w:t xml:space="preserve">communicate </w:t>
      </w:r>
      <w:r w:rsidRPr="007E5680">
        <w:t>information that affects, or could affect, bids</w:t>
      </w:r>
      <w:r w:rsidR="00B13807">
        <w:t>,</w:t>
      </w:r>
      <w:r w:rsidRPr="007E5680">
        <w:t xml:space="preserve"> bidding strategy, or the negotiation of settlement agreements.</w:t>
      </w:r>
      <w:r w:rsidR="00C24092">
        <w:rPr>
          <w:rStyle w:val="FootnoteReference"/>
        </w:rPr>
        <w:footnoteReference w:id="28"/>
      </w:r>
      <w:r w:rsidRPr="007E5680">
        <w:t xml:space="preserve">  </w:t>
      </w:r>
    </w:p>
    <w:p w:rsidR="008C3946" w:rsidRPr="007C5CAD" w:rsidRDefault="008C3946" w:rsidP="00C07C81">
      <w:pPr>
        <w:pStyle w:val="ParaNum"/>
        <w:widowControl/>
        <w:tabs>
          <w:tab w:val="clear" w:pos="1260"/>
          <w:tab w:val="num" w:pos="1440"/>
        </w:tabs>
        <w:ind w:left="0"/>
        <w:rPr>
          <w:szCs w:val="22"/>
        </w:rPr>
      </w:pPr>
      <w:r>
        <w:t>Applicants are cautioned that the Commission remains vigilant about prohibited communications taking place in other situations.  For example, the Commission has warned that prohibited “communications concerning bids and bidding strategies may include communications regarding capital calls or requests for additional funds in support of bids or bidding strategies to the extent such communications convey information concerning the bids and bidding strategies directly or indirectly.”</w:t>
      </w:r>
      <w:r>
        <w:rPr>
          <w:rStyle w:val="FootnoteReference"/>
        </w:rPr>
        <w:footnoteReference w:id="29"/>
      </w:r>
      <w:r w:rsidR="00DC1DB9">
        <w:t xml:space="preserve">  </w:t>
      </w:r>
      <w:r w:rsidR="00112159">
        <w:t xml:space="preserve">Moreover, the Commission has found a violation of </w:t>
      </w:r>
      <w:r w:rsidR="0097423A">
        <w:t>section 1.2105(c)</w:t>
      </w:r>
      <w:r w:rsidR="00112159">
        <w:t xml:space="preserve"> where an applicant used the Commission’s bidding system to disclose “its bidding strategy in a manner that explicitly invited other auction participants to cooperate and collaborate in specific markets,”</w:t>
      </w:r>
      <w:r w:rsidR="00112159">
        <w:rPr>
          <w:rStyle w:val="FootnoteReference"/>
          <w:szCs w:val="22"/>
        </w:rPr>
        <w:footnoteReference w:id="30"/>
      </w:r>
      <w:r w:rsidR="00112159">
        <w:t xml:space="preserve"> and has placed auction participants on notice that the use of its bidding system “to disclose market information to competitors will not be tolerated and will subject bidders to sanctions.”</w:t>
      </w:r>
      <w:r w:rsidR="00112159">
        <w:rPr>
          <w:rStyle w:val="FootnoteReference"/>
          <w:szCs w:val="22"/>
        </w:rPr>
        <w:footnoteReference w:id="31"/>
      </w:r>
      <w:r w:rsidR="00112159">
        <w:t xml:space="preserve">  </w:t>
      </w:r>
      <w:r w:rsidR="00DC1DB9">
        <w:t xml:space="preserve">Applicants </w:t>
      </w:r>
      <w:r w:rsidR="00112159">
        <w:t xml:space="preserve">also </w:t>
      </w:r>
      <w:r w:rsidR="00DC1DB9">
        <w:t>should use caution in their dealings with other parties, such as members of the press, financial analysts, or others who might become conduit</w:t>
      </w:r>
      <w:r w:rsidR="00112159">
        <w:t>s</w:t>
      </w:r>
      <w:r w:rsidR="00DC1DB9">
        <w:t xml:space="preserve"> for the communication of prohibited bidding information.  For example, </w:t>
      </w:r>
      <w:r w:rsidR="00824590">
        <w:t xml:space="preserve">where limited information disclosure procedures are in place, as </w:t>
      </w:r>
      <w:r w:rsidR="00036312">
        <w:t>is</w:t>
      </w:r>
      <w:r w:rsidR="00824590">
        <w:t xml:space="preserve"> the case for Auction 9</w:t>
      </w:r>
      <w:r w:rsidR="00530B79">
        <w:t>6</w:t>
      </w:r>
      <w:r w:rsidR="00824590">
        <w:t xml:space="preserve">, </w:t>
      </w:r>
      <w:r w:rsidR="00DC1DB9">
        <w:t xml:space="preserve">an applicant’s statement to the press that it </w:t>
      </w:r>
      <w:r w:rsidR="00824590">
        <w:t xml:space="preserve">has lost bidding eligibility and </w:t>
      </w:r>
      <w:r w:rsidR="00DC1DB9">
        <w:t>intends to stop bidding in the auction could give rise to a finding of a</w:t>
      </w:r>
      <w:r w:rsidR="0097423A">
        <w:t xml:space="preserve"> section 1.2105(c)</w:t>
      </w:r>
      <w:r w:rsidR="00DC1DB9">
        <w:t xml:space="preserve"> violation.</w:t>
      </w:r>
      <w:r w:rsidR="00DC1DB9">
        <w:rPr>
          <w:rStyle w:val="FootnoteReference"/>
        </w:rPr>
        <w:footnoteReference w:id="32"/>
      </w:r>
      <w:r w:rsidR="00DC1DB9">
        <w:t xml:space="preserve">  Similarly, a</w:t>
      </w:r>
      <w:r w:rsidR="000147DC">
        <w:t>n</w:t>
      </w:r>
      <w:r w:rsidR="00DC1DB9">
        <w:t xml:space="preserve"> applicant’s public statement of intent not to participate in Auction </w:t>
      </w:r>
      <w:r w:rsidR="00CC0081">
        <w:t>9</w:t>
      </w:r>
      <w:r w:rsidR="00530B79">
        <w:t>6</w:t>
      </w:r>
      <w:r w:rsidR="00DC1DB9">
        <w:t xml:space="preserve"> bidding could also violate the </w:t>
      </w:r>
      <w:r w:rsidR="00DC1DB9" w:rsidRPr="00A65F60">
        <w:t xml:space="preserve">rule. </w:t>
      </w:r>
      <w:r w:rsidR="004371A3" w:rsidRPr="00A65F60">
        <w:t xml:space="preserve"> </w:t>
      </w:r>
    </w:p>
    <w:p w:rsidR="007C5CAD" w:rsidRDefault="007C5CAD" w:rsidP="00C07C81">
      <w:pPr>
        <w:pStyle w:val="ParaNum"/>
        <w:widowControl/>
        <w:tabs>
          <w:tab w:val="clear" w:pos="1260"/>
          <w:tab w:val="num" w:pos="1440"/>
        </w:tabs>
        <w:ind w:left="0"/>
        <w:rPr>
          <w:szCs w:val="22"/>
        </w:rPr>
      </w:pPr>
      <w:r w:rsidRPr="002216FA">
        <w:rPr>
          <w:szCs w:val="22"/>
        </w:rPr>
        <w:t xml:space="preserve">Applicants are also hereby placed on notice that </w:t>
      </w:r>
      <w:r w:rsidR="00C76019">
        <w:rPr>
          <w:szCs w:val="22"/>
        </w:rPr>
        <w:t xml:space="preserve">public </w:t>
      </w:r>
      <w:r w:rsidRPr="002216FA">
        <w:rPr>
          <w:szCs w:val="22"/>
        </w:rPr>
        <w:t>disclosure of information relating to bidder interests and bidder identities that has not yet been made public by the Commission at the time of disclosure may violate the provisions of section 1.2105(c) that prohibit certain communications.</w:t>
      </w:r>
      <w:r w:rsidRPr="002216FA">
        <w:rPr>
          <w:rStyle w:val="FootnoteReference"/>
          <w:szCs w:val="22"/>
        </w:rPr>
        <w:footnoteReference w:id="33"/>
      </w:r>
      <w:r w:rsidRPr="002216FA">
        <w:rPr>
          <w:szCs w:val="22"/>
        </w:rPr>
        <w:t xml:space="preserve">  This is so even though similar types of information were revealed prior to and during other Commission auctions subject to different information procedures.</w:t>
      </w:r>
    </w:p>
    <w:p w:rsidR="00C76019" w:rsidRPr="00A65F60" w:rsidRDefault="00C76019" w:rsidP="00C07C81">
      <w:pPr>
        <w:pStyle w:val="ParaNum"/>
        <w:widowControl/>
        <w:tabs>
          <w:tab w:val="clear" w:pos="1260"/>
          <w:tab w:val="num" w:pos="1440"/>
        </w:tabs>
        <w:ind w:left="0"/>
        <w:rPr>
          <w:szCs w:val="22"/>
        </w:rPr>
      </w:pPr>
      <w:r w:rsidRPr="002216FA">
        <w:rPr>
          <w:szCs w:val="22"/>
        </w:rPr>
        <w:t>In addition, when completing short-form applications, applicants should avoid any statements or disclosures that may violate section 1.2105(c), particularly in light of the limited information procedures in effect for Auction 9</w:t>
      </w:r>
      <w:r w:rsidR="00530B79">
        <w:rPr>
          <w:szCs w:val="22"/>
        </w:rPr>
        <w:t>6</w:t>
      </w:r>
      <w:r w:rsidRPr="002216FA">
        <w:rPr>
          <w:szCs w:val="22"/>
        </w:rPr>
        <w:t>.</w:t>
      </w:r>
      <w:r w:rsidRPr="002216FA">
        <w:rPr>
          <w:rStyle w:val="FootnoteReference"/>
          <w:szCs w:val="22"/>
        </w:rPr>
        <w:footnoteReference w:id="34"/>
      </w:r>
      <w:r w:rsidRPr="002216FA">
        <w:rPr>
          <w:szCs w:val="22"/>
        </w:rPr>
        <w:t xml:space="preserve">  Specifically, applicants should avoid including any information in their short-form applications that might convey information regarding their license selection, such as using applicant names that refer to licenses being offered, referring to certain licenses or markets in describing bidding agreements, or including any information in attachments that may otherwise disclose applicants’ license selections.</w:t>
      </w:r>
    </w:p>
    <w:p w:rsidR="00E71C68" w:rsidRPr="00A65F60" w:rsidRDefault="00E71C68" w:rsidP="00C07C81">
      <w:pPr>
        <w:pStyle w:val="Heading4"/>
        <w:widowControl/>
      </w:pPr>
      <w:bookmarkStart w:id="458" w:name="_Toc254792568"/>
      <w:bookmarkStart w:id="459" w:name="_Toc256669692"/>
      <w:bookmarkStart w:id="460" w:name="_Toc257213225"/>
      <w:bookmarkStart w:id="461" w:name="_Toc257382910"/>
      <w:bookmarkStart w:id="462" w:name="_Toc274056167"/>
      <w:bookmarkStart w:id="463" w:name="_Toc276657572"/>
      <w:bookmarkStart w:id="464" w:name="_Toc278366418"/>
      <w:bookmarkStart w:id="465" w:name="_Toc307584014"/>
      <w:bookmarkStart w:id="466" w:name="_Toc307937288"/>
      <w:bookmarkStart w:id="467" w:name="_Toc362256722"/>
      <w:bookmarkStart w:id="468" w:name="_Toc366056476"/>
      <w:bookmarkStart w:id="469" w:name="_Toc366223679"/>
      <w:bookmarkStart w:id="470" w:name="_Toc366229392"/>
      <w:bookmarkStart w:id="471" w:name="_Toc366583436"/>
      <w:r w:rsidRPr="00A65F60">
        <w:t>Disclosure of Bidding Agreements and Arrangements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7E601F" w:rsidRPr="00A65F60" w:rsidRDefault="00D92F30" w:rsidP="00C07C81">
      <w:pPr>
        <w:pStyle w:val="ParaNum"/>
        <w:widowControl/>
        <w:tabs>
          <w:tab w:val="clear" w:pos="1260"/>
          <w:tab w:val="left" w:pos="1440"/>
        </w:tabs>
        <w:ind w:left="0"/>
        <w:rPr>
          <w:szCs w:val="22"/>
        </w:rPr>
      </w:pPr>
      <w:r w:rsidRPr="00A65F60">
        <w:rPr>
          <w:szCs w:val="22"/>
        </w:rPr>
        <w:t xml:space="preserve">The Commission’s rules do not prohibit applicants from entering into otherwise lawful bidding agreements before filing their short-form applications, as long as they disclose the existence of the agreement(s) in their short-form </w:t>
      </w:r>
      <w:r w:rsidRPr="00A65F60">
        <w:t>application</w:t>
      </w:r>
      <w:r w:rsidR="00B15925" w:rsidRPr="00A65F60">
        <w:t>s</w:t>
      </w:r>
      <w:r w:rsidRPr="00A65F60">
        <w:rPr>
          <w:szCs w:val="22"/>
        </w:rPr>
        <w:t>.</w:t>
      </w:r>
      <w:r w:rsidRPr="00A65F60">
        <w:rPr>
          <w:rStyle w:val="FootnoteReference"/>
          <w:szCs w:val="22"/>
        </w:rPr>
        <w:footnoteReference w:id="35"/>
      </w:r>
      <w:r w:rsidR="007E601F" w:rsidRPr="00A65F60">
        <w:rPr>
          <w:rStyle w:val="FootnoteReference"/>
          <w:szCs w:val="22"/>
        </w:rPr>
        <w:t xml:space="preserve"> </w:t>
      </w:r>
      <w:r w:rsidR="004C660E" w:rsidRPr="00A65F60">
        <w:rPr>
          <w:szCs w:val="22"/>
        </w:rPr>
        <w:t xml:space="preserve"> </w:t>
      </w:r>
      <w:r w:rsidR="004F0A34" w:rsidRPr="00A65F60">
        <w:rPr>
          <w:szCs w:val="22"/>
        </w:rPr>
        <w:t>A</w:t>
      </w:r>
      <w:r w:rsidR="007E601F" w:rsidRPr="00A65F60">
        <w:rPr>
          <w:szCs w:val="22"/>
        </w:rPr>
        <w:t>pplicant</w:t>
      </w:r>
      <w:r w:rsidR="00FA42EF" w:rsidRPr="00A65F60">
        <w:rPr>
          <w:szCs w:val="22"/>
        </w:rPr>
        <w:t>s</w:t>
      </w:r>
      <w:r w:rsidR="007E601F" w:rsidRPr="00A65F60">
        <w:rPr>
          <w:szCs w:val="22"/>
        </w:rPr>
        <w:t xml:space="preserve"> must identify in</w:t>
      </w:r>
      <w:r w:rsidR="00FA42EF" w:rsidRPr="00A65F60">
        <w:rPr>
          <w:szCs w:val="22"/>
        </w:rPr>
        <w:t xml:space="preserve"> their</w:t>
      </w:r>
      <w:r w:rsidR="007E601F" w:rsidRPr="00A65F60">
        <w:rPr>
          <w:szCs w:val="22"/>
        </w:rPr>
        <w:t xml:space="preserve"> short-form application</w:t>
      </w:r>
      <w:r w:rsidR="00FA42EF" w:rsidRPr="00A65F60">
        <w:rPr>
          <w:szCs w:val="22"/>
        </w:rPr>
        <w:t>s</w:t>
      </w:r>
      <w:r w:rsidR="007E601F" w:rsidRPr="00A65F60">
        <w:rPr>
          <w:szCs w:val="22"/>
        </w:rPr>
        <w:t xml:space="preserve"> all parties with whom </w:t>
      </w:r>
      <w:r w:rsidR="00FA42EF" w:rsidRPr="00A65F60">
        <w:rPr>
          <w:szCs w:val="22"/>
        </w:rPr>
        <w:t xml:space="preserve">they </w:t>
      </w:r>
      <w:r w:rsidR="007E601F" w:rsidRPr="00A65F60">
        <w:rPr>
          <w:szCs w:val="22"/>
        </w:rPr>
        <w:t>ha</w:t>
      </w:r>
      <w:r w:rsidR="00FA42EF" w:rsidRPr="00A65F60">
        <w:rPr>
          <w:szCs w:val="22"/>
        </w:rPr>
        <w:t>ve</w:t>
      </w:r>
      <w:r w:rsidR="007E601F" w:rsidRPr="00A65F60">
        <w:rPr>
          <w:szCs w:val="22"/>
        </w:rPr>
        <w:t xml:space="preserve"> entered into any agreements, arrangements, or understandings of any kind relating to the </w:t>
      </w:r>
      <w:r w:rsidR="0064691B">
        <w:rPr>
          <w:szCs w:val="22"/>
        </w:rPr>
        <w:t>licenses</w:t>
      </w:r>
      <w:r w:rsidR="007E601F" w:rsidRPr="00A65F60">
        <w:rPr>
          <w:szCs w:val="22"/>
        </w:rPr>
        <w:t xml:space="preserve"> being auctioned, including any agreements relating to post-auction market structure.</w:t>
      </w:r>
      <w:r w:rsidR="007E601F" w:rsidRPr="00A65F60">
        <w:rPr>
          <w:rStyle w:val="FootnoteReference"/>
          <w:szCs w:val="22"/>
        </w:rPr>
        <w:footnoteReference w:id="36"/>
      </w:r>
      <w:r w:rsidRPr="00A65F60">
        <w:rPr>
          <w:szCs w:val="22"/>
        </w:rPr>
        <w:t xml:space="preserve">  </w:t>
      </w:r>
    </w:p>
    <w:p w:rsidR="007E601F" w:rsidRPr="00A65F60" w:rsidRDefault="00D92F30" w:rsidP="00C07C81">
      <w:pPr>
        <w:pStyle w:val="ParaNum"/>
        <w:widowControl/>
        <w:tabs>
          <w:tab w:val="clear" w:pos="1260"/>
          <w:tab w:val="left" w:pos="1440"/>
        </w:tabs>
        <w:ind w:left="0"/>
        <w:rPr>
          <w:szCs w:val="22"/>
        </w:rPr>
      </w:pPr>
      <w:r w:rsidRPr="00A65F60">
        <w:rPr>
          <w:szCs w:val="22"/>
        </w:rPr>
        <w:t>If parties agree in principle on all material terms</w:t>
      </w:r>
      <w:r w:rsidRPr="007E5680">
        <w:rPr>
          <w:szCs w:val="22"/>
        </w:rPr>
        <w:t xml:space="preserve"> prior to the short-form </w:t>
      </w:r>
      <w:r w:rsidR="00907D23">
        <w:rPr>
          <w:szCs w:val="22"/>
        </w:rPr>
        <w:t>application</w:t>
      </w:r>
      <w:r w:rsidR="00907D23" w:rsidRPr="007E5680">
        <w:rPr>
          <w:szCs w:val="22"/>
        </w:rPr>
        <w:t xml:space="preserve"> </w:t>
      </w:r>
      <w:r w:rsidRPr="007E5680">
        <w:rPr>
          <w:szCs w:val="22"/>
        </w:rPr>
        <w:t>filing</w:t>
      </w:r>
      <w:r w:rsidR="000147DC">
        <w:rPr>
          <w:szCs w:val="22"/>
        </w:rPr>
        <w:t xml:space="preserve"> </w:t>
      </w:r>
      <w:r w:rsidRPr="007E5680">
        <w:rPr>
          <w:szCs w:val="22"/>
        </w:rPr>
        <w:t xml:space="preserve">deadline, each party to the agreement must identify the other party or parties to the agreement on its short-form application under </w:t>
      </w:r>
      <w:r w:rsidR="00415E2E">
        <w:rPr>
          <w:szCs w:val="22"/>
        </w:rPr>
        <w:t>s</w:t>
      </w:r>
      <w:r w:rsidRPr="007E5680">
        <w:rPr>
          <w:szCs w:val="22"/>
        </w:rPr>
        <w:t xml:space="preserve">ection 1.2105(c), even if the agreement has not been reduced to writing.  If the parties have not agreed in principle by the short-form filing deadline, they should not include the names of parties to discussions on their applications, and they may not continue negotiation, discussion or communication </w:t>
      </w:r>
      <w:r w:rsidRPr="00A65F60">
        <w:rPr>
          <w:szCs w:val="22"/>
        </w:rPr>
        <w:t xml:space="preserve">with any other applicants after the short-form </w:t>
      </w:r>
      <w:r w:rsidR="007B2533" w:rsidRPr="00A65F60">
        <w:rPr>
          <w:szCs w:val="22"/>
        </w:rPr>
        <w:t xml:space="preserve">application </w:t>
      </w:r>
      <w:r w:rsidRPr="00A65F60">
        <w:rPr>
          <w:szCs w:val="22"/>
        </w:rPr>
        <w:t>filing deadline.</w:t>
      </w:r>
      <w:r w:rsidRPr="00A65F60">
        <w:rPr>
          <w:rStyle w:val="FootnoteReference"/>
          <w:szCs w:val="22"/>
        </w:rPr>
        <w:footnoteReference w:id="37"/>
      </w:r>
      <w:r w:rsidR="007E601F" w:rsidRPr="00A65F60">
        <w:rPr>
          <w:szCs w:val="22"/>
        </w:rPr>
        <w:t xml:space="preserve">  </w:t>
      </w:r>
    </w:p>
    <w:p w:rsidR="00D92F30" w:rsidRPr="00A65F60" w:rsidRDefault="00FA42EF" w:rsidP="00C07C81">
      <w:pPr>
        <w:pStyle w:val="ParaNum"/>
        <w:widowControl/>
        <w:tabs>
          <w:tab w:val="clear" w:pos="1260"/>
          <w:tab w:val="num" w:pos="1440"/>
        </w:tabs>
        <w:ind w:left="0"/>
        <w:rPr>
          <w:szCs w:val="22"/>
        </w:rPr>
      </w:pPr>
      <w:r w:rsidRPr="00A65F60">
        <w:rPr>
          <w:szCs w:val="22"/>
        </w:rPr>
        <w:t>S</w:t>
      </w:r>
      <w:r w:rsidR="007E601F" w:rsidRPr="00A65F60">
        <w:rPr>
          <w:szCs w:val="22"/>
        </w:rPr>
        <w:t>ection 1.2105(c) does not prohibit non-auction-related business negotiations among auction applicants</w:t>
      </w:r>
      <w:r w:rsidRPr="00A65F60">
        <w:rPr>
          <w:szCs w:val="22"/>
        </w:rPr>
        <w:t>.</w:t>
      </w:r>
      <w:r w:rsidR="00FD1D03" w:rsidRPr="00A65F60">
        <w:rPr>
          <w:rStyle w:val="FootnoteReference"/>
          <w:szCs w:val="22"/>
        </w:rPr>
        <w:footnoteReference w:id="38"/>
      </w:r>
      <w:r w:rsidR="007E601F" w:rsidRPr="00A65F60">
        <w:rPr>
          <w:szCs w:val="22"/>
        </w:rPr>
        <w:t xml:space="preserve"> </w:t>
      </w:r>
      <w:r w:rsidR="00A06949">
        <w:rPr>
          <w:szCs w:val="22"/>
        </w:rPr>
        <w:t xml:space="preserve"> </w:t>
      </w:r>
      <w:r w:rsidRPr="00A65F60">
        <w:rPr>
          <w:szCs w:val="22"/>
        </w:rPr>
        <w:t xml:space="preserve">However, </w:t>
      </w:r>
      <w:r w:rsidR="007E601F" w:rsidRPr="00A65F60">
        <w:rPr>
          <w:szCs w:val="22"/>
        </w:rPr>
        <w:t>certain discussions or exchanges could touch upon impermissible subject matters because they may convey pricing information and bidding strategies.  Such subject areas include, but are not limited to, issues such as management</w:t>
      </w:r>
      <w:r w:rsidR="00A95360">
        <w:rPr>
          <w:szCs w:val="22"/>
        </w:rPr>
        <w:t>,</w:t>
      </w:r>
      <w:r w:rsidR="007E601F" w:rsidRPr="00A65F60">
        <w:rPr>
          <w:szCs w:val="22"/>
        </w:rPr>
        <w:t xml:space="preserve"> sales, local marketing agreements, and other transactional agreements.</w:t>
      </w:r>
      <w:r w:rsidR="007E601F" w:rsidRPr="00A65F60">
        <w:rPr>
          <w:rStyle w:val="FootnoteReference"/>
          <w:szCs w:val="22"/>
        </w:rPr>
        <w:footnoteReference w:id="39"/>
      </w:r>
      <w:r w:rsidR="007E601F" w:rsidRPr="00A65F60">
        <w:rPr>
          <w:szCs w:val="22"/>
        </w:rPr>
        <w:t xml:space="preserve">  </w:t>
      </w:r>
    </w:p>
    <w:p w:rsidR="00DB0A6A" w:rsidRPr="00A65F60" w:rsidRDefault="00DB0A6A" w:rsidP="00C07C81">
      <w:pPr>
        <w:pStyle w:val="Heading4"/>
        <w:widowControl/>
      </w:pPr>
      <w:bookmarkStart w:id="472" w:name="_Toc254792569"/>
      <w:bookmarkStart w:id="473" w:name="_Toc256669693"/>
      <w:bookmarkStart w:id="474" w:name="_Toc257213226"/>
      <w:bookmarkStart w:id="475" w:name="_Toc257382911"/>
      <w:bookmarkStart w:id="476" w:name="_Toc274056168"/>
      <w:bookmarkStart w:id="477" w:name="_Toc276657573"/>
      <w:bookmarkStart w:id="478" w:name="_Toc278366419"/>
      <w:bookmarkStart w:id="479" w:name="_Toc307584015"/>
      <w:bookmarkStart w:id="480" w:name="_Toc307937289"/>
      <w:bookmarkStart w:id="481" w:name="_Toc362256723"/>
      <w:bookmarkStart w:id="482" w:name="_Toc366056477"/>
      <w:bookmarkStart w:id="483" w:name="_Toc366223680"/>
      <w:bookmarkStart w:id="484" w:name="_Toc366229393"/>
      <w:bookmarkStart w:id="485" w:name="_Toc366583437"/>
      <w:r w:rsidRPr="00A65F60">
        <w:t>Section 1.2105(c) Certification</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8C3946" w:rsidRDefault="008C3946" w:rsidP="00C07C81">
      <w:pPr>
        <w:pStyle w:val="ParaNum"/>
        <w:widowControl/>
        <w:tabs>
          <w:tab w:val="clear" w:pos="1260"/>
          <w:tab w:val="num" w:pos="1440"/>
        </w:tabs>
        <w:ind w:left="0"/>
        <w:rPr>
          <w:szCs w:val="22"/>
        </w:rPr>
      </w:pPr>
      <w:r w:rsidRPr="00A65F60">
        <w:rPr>
          <w:szCs w:val="22"/>
        </w:rPr>
        <w:t xml:space="preserve">By electronically submitting </w:t>
      </w:r>
      <w:r w:rsidR="00013837" w:rsidRPr="00A65F60">
        <w:rPr>
          <w:szCs w:val="22"/>
        </w:rPr>
        <w:t>a</w:t>
      </w:r>
      <w:r w:rsidRPr="00A65F60">
        <w:rPr>
          <w:szCs w:val="22"/>
        </w:rPr>
        <w:t xml:space="preserve"> short-form application, each applicant in Auction </w:t>
      </w:r>
      <w:r w:rsidR="00CC0081" w:rsidRPr="00A65F60">
        <w:rPr>
          <w:szCs w:val="22"/>
        </w:rPr>
        <w:t>9</w:t>
      </w:r>
      <w:r w:rsidR="00530B79">
        <w:rPr>
          <w:szCs w:val="22"/>
        </w:rPr>
        <w:t>6</w:t>
      </w:r>
      <w:r w:rsidRPr="00A65F60">
        <w:rPr>
          <w:szCs w:val="22"/>
        </w:rPr>
        <w:t xml:space="preserve"> </w:t>
      </w:r>
      <w:r w:rsidR="007B2533" w:rsidRPr="00A65F60">
        <w:rPr>
          <w:szCs w:val="22"/>
        </w:rPr>
        <w:t>certifies</w:t>
      </w:r>
      <w:r w:rsidRPr="00A65F60">
        <w:rPr>
          <w:szCs w:val="22"/>
        </w:rPr>
        <w:t xml:space="preserve"> its compliance with </w:t>
      </w:r>
      <w:r w:rsidR="00415E2E" w:rsidRPr="00A65F60">
        <w:rPr>
          <w:szCs w:val="22"/>
        </w:rPr>
        <w:t>s</w:t>
      </w:r>
      <w:r w:rsidRPr="00A65F60">
        <w:rPr>
          <w:szCs w:val="22"/>
        </w:rPr>
        <w:t xml:space="preserve">ection 1.2105(c).  </w:t>
      </w:r>
      <w:r w:rsidR="004C660E" w:rsidRPr="00A65F60">
        <w:rPr>
          <w:szCs w:val="22"/>
        </w:rPr>
        <w:t xml:space="preserve">In particular, an applicant must certify under penalty of perjury </w:t>
      </w:r>
      <w:r w:rsidR="00FA42EF" w:rsidRPr="00A65F60">
        <w:rPr>
          <w:szCs w:val="22"/>
        </w:rPr>
        <w:t>it</w:t>
      </w:r>
      <w:r w:rsidR="004C660E" w:rsidRPr="00A65F60">
        <w:rPr>
          <w:szCs w:val="22"/>
        </w:rPr>
        <w:t xml:space="preserve"> has not entered and will not enter into any explicit or implicit agreements, arrangements or understandings of any kind with any parties, other than those identified in the application, regarding the amount of the applicant’s bids, bidding strategies, or the particular </w:t>
      </w:r>
      <w:r w:rsidR="00114FD7">
        <w:rPr>
          <w:szCs w:val="22"/>
        </w:rPr>
        <w:t>licenses</w:t>
      </w:r>
      <w:r w:rsidR="004C660E" w:rsidRPr="00A65F60">
        <w:rPr>
          <w:szCs w:val="22"/>
        </w:rPr>
        <w:t xml:space="preserve"> on which it will or will not bid.</w:t>
      </w:r>
      <w:r w:rsidR="004C660E" w:rsidRPr="00A65F60">
        <w:rPr>
          <w:rStyle w:val="FootnoteReference"/>
          <w:szCs w:val="22"/>
        </w:rPr>
        <w:footnoteReference w:id="40"/>
      </w:r>
      <w:r w:rsidR="004C660E" w:rsidRPr="00A65F60">
        <w:rPr>
          <w:szCs w:val="22"/>
        </w:rPr>
        <w:t xml:space="preserve">  </w:t>
      </w:r>
      <w:r w:rsidRPr="00A65F60">
        <w:rPr>
          <w:szCs w:val="22"/>
        </w:rPr>
        <w:t>However, the Bureau caution</w:t>
      </w:r>
      <w:r w:rsidR="00F50F17">
        <w:rPr>
          <w:szCs w:val="22"/>
        </w:rPr>
        <w:t>s</w:t>
      </w:r>
      <w:r w:rsidRPr="00A65F60">
        <w:rPr>
          <w:szCs w:val="22"/>
        </w:rPr>
        <w:t xml:space="preserve"> that merely filing a certifying statement as part of an application will not outweigh</w:t>
      </w:r>
      <w:r w:rsidRPr="007E5680">
        <w:rPr>
          <w:szCs w:val="22"/>
        </w:rPr>
        <w:t xml:space="preserve"> specific</w:t>
      </w:r>
      <w:r>
        <w:rPr>
          <w:szCs w:val="22"/>
        </w:rPr>
        <w:t xml:space="preserve"> evidence that </w:t>
      </w:r>
      <w:r w:rsidR="00960461">
        <w:rPr>
          <w:szCs w:val="22"/>
        </w:rPr>
        <w:t xml:space="preserve">a </w:t>
      </w:r>
      <w:r w:rsidR="007B2533">
        <w:rPr>
          <w:szCs w:val="22"/>
        </w:rPr>
        <w:t xml:space="preserve">prohibited </w:t>
      </w:r>
      <w:r w:rsidR="00907D23">
        <w:rPr>
          <w:szCs w:val="22"/>
        </w:rPr>
        <w:t xml:space="preserve">communication </w:t>
      </w:r>
      <w:r>
        <w:rPr>
          <w:szCs w:val="22"/>
        </w:rPr>
        <w:t>has occurred, nor will it preclude the initiation of an investigation when warranted.</w:t>
      </w:r>
      <w:r>
        <w:rPr>
          <w:rStyle w:val="FootnoteReference"/>
          <w:szCs w:val="22"/>
        </w:rPr>
        <w:footnoteReference w:id="41"/>
      </w:r>
      <w:r>
        <w:rPr>
          <w:szCs w:val="22"/>
        </w:rPr>
        <w:t xml:space="preserve">  The Commission has stated that it “intend[s] to scrutinize carefully any instances in which bidding patterns suggest that collusion may be occurring.”</w:t>
      </w:r>
      <w:r>
        <w:rPr>
          <w:rStyle w:val="FootnoteReference"/>
          <w:szCs w:val="22"/>
        </w:rPr>
        <w:footnoteReference w:id="42"/>
      </w:r>
      <w:r>
        <w:rPr>
          <w:szCs w:val="22"/>
        </w:rPr>
        <w:t xml:space="preserve">  Any applicant found to have violated </w:t>
      </w:r>
      <w:r w:rsidR="0097423A">
        <w:rPr>
          <w:szCs w:val="22"/>
        </w:rPr>
        <w:t>section 1.2105(c)</w:t>
      </w:r>
      <w:r>
        <w:rPr>
          <w:szCs w:val="22"/>
        </w:rPr>
        <w:t xml:space="preserve"> may be subject to sanctions.</w:t>
      </w:r>
      <w:r>
        <w:rPr>
          <w:rStyle w:val="FootnoteReference"/>
          <w:szCs w:val="22"/>
        </w:rPr>
        <w:footnoteReference w:id="43"/>
      </w:r>
    </w:p>
    <w:p w:rsidR="007B2533" w:rsidRDefault="007B2533" w:rsidP="00C07C81">
      <w:pPr>
        <w:pStyle w:val="Heading4"/>
        <w:widowControl/>
      </w:pPr>
      <w:bookmarkStart w:id="486" w:name="_Toc256669694"/>
      <w:bookmarkStart w:id="487" w:name="_Toc257213227"/>
      <w:bookmarkStart w:id="488" w:name="_Toc257382912"/>
      <w:bookmarkStart w:id="489" w:name="_Toc274056169"/>
      <w:bookmarkStart w:id="490" w:name="_Toc276657574"/>
      <w:bookmarkStart w:id="491" w:name="_Toc278366420"/>
      <w:bookmarkStart w:id="492" w:name="_Toc307584016"/>
      <w:bookmarkStart w:id="493" w:name="_Toc307937290"/>
      <w:bookmarkStart w:id="494" w:name="_Toc362256724"/>
      <w:bookmarkStart w:id="495" w:name="_Toc366056478"/>
      <w:bookmarkStart w:id="496" w:name="_Toc366223681"/>
      <w:bookmarkStart w:id="497" w:name="_Toc366229394"/>
      <w:bookmarkStart w:id="498" w:name="_Toc366583438"/>
      <w:r>
        <w:t>Duty to Report Prohibited Communications</w:t>
      </w:r>
      <w:bookmarkEnd w:id="486"/>
      <w:bookmarkEnd w:id="487"/>
      <w:bookmarkEnd w:id="488"/>
      <w:bookmarkEnd w:id="489"/>
      <w:bookmarkEnd w:id="490"/>
      <w:bookmarkEnd w:id="491"/>
      <w:bookmarkEnd w:id="492"/>
      <w:bookmarkEnd w:id="493"/>
      <w:bookmarkEnd w:id="494"/>
      <w:bookmarkEnd w:id="495"/>
      <w:bookmarkEnd w:id="496"/>
      <w:bookmarkEnd w:id="497"/>
      <w:bookmarkEnd w:id="498"/>
    </w:p>
    <w:p w:rsidR="00164DB5" w:rsidRPr="00164DB5" w:rsidRDefault="00164DB5" w:rsidP="00C07C81">
      <w:pPr>
        <w:pStyle w:val="ParaNum"/>
        <w:widowControl/>
        <w:tabs>
          <w:tab w:val="clear" w:pos="1260"/>
          <w:tab w:val="num" w:pos="1440"/>
        </w:tabs>
        <w:ind w:left="0"/>
        <w:rPr>
          <w:szCs w:val="22"/>
        </w:rPr>
      </w:pPr>
      <w:r>
        <w:t>Section 1.2105(c)(6) provides that any applicant that makes or receives a communication that appears to violate section 1.2105(c) must report such communication in writing to the Commission immediately, and in no case later than five business days after the communication occurs.</w:t>
      </w:r>
      <w:r>
        <w:rPr>
          <w:rStyle w:val="FootnoteReference"/>
          <w:szCs w:val="22"/>
        </w:rPr>
        <w:footnoteReference w:id="44"/>
      </w:r>
      <w:r>
        <w:t xml:space="preserve">  The Commission has clarified that each applicant’s obligation to report any such communication continues beyond the five-day period after the communication is made, even if the report is not made within the five</w:t>
      </w:r>
      <w:r w:rsidR="009A5816">
        <w:t>-</w:t>
      </w:r>
      <w:r>
        <w:t>day period.</w:t>
      </w:r>
      <w:r>
        <w:rPr>
          <w:rStyle w:val="FootnoteReference"/>
        </w:rPr>
        <w:footnoteReference w:id="45"/>
      </w:r>
    </w:p>
    <w:p w:rsidR="00164DB5" w:rsidRPr="00A65F60" w:rsidRDefault="00164DB5" w:rsidP="00C07C81">
      <w:pPr>
        <w:pStyle w:val="ParaNum"/>
        <w:widowControl/>
        <w:tabs>
          <w:tab w:val="clear" w:pos="1260"/>
          <w:tab w:val="num" w:pos="1440"/>
        </w:tabs>
        <w:ind w:left="0"/>
        <w:rPr>
          <w:szCs w:val="22"/>
        </w:rPr>
      </w:pPr>
      <w:r>
        <w:t xml:space="preserve">In addition, </w:t>
      </w:r>
      <w:r w:rsidR="00415E2E">
        <w:t>s</w:t>
      </w:r>
      <w:r>
        <w:t>ection 1.65 of the Commission’s rules requires an applicant to maintain the accuracy and completeness of information furnished in its pending application and to notify the Commission of any substantial change that may be of decisional significance to that application.</w:t>
      </w:r>
      <w:r>
        <w:rPr>
          <w:rStyle w:val="FootnoteReference"/>
          <w:szCs w:val="22"/>
        </w:rPr>
        <w:footnoteReference w:id="46"/>
      </w:r>
      <w:r>
        <w:t xml:space="preserve">  Thus, </w:t>
      </w:r>
      <w:r w:rsidR="00415E2E">
        <w:t>s</w:t>
      </w:r>
      <w:r>
        <w:t xml:space="preserve">ection 1.65 requires an auction applicant </w:t>
      </w:r>
      <w:r w:rsidRPr="00A65F60">
        <w:t xml:space="preserve">to notify the Commission of any substantial change to the information or certifications included in its pending short-form application.  An applicant is therefore required by </w:t>
      </w:r>
      <w:r w:rsidR="00415E2E" w:rsidRPr="00A65F60">
        <w:t>s</w:t>
      </w:r>
      <w:r w:rsidRPr="00A65F60">
        <w:t>ection 1.65 to report to the Commission any communication the</w:t>
      </w:r>
      <w:r w:rsidR="0066410D" w:rsidRPr="00A65F60">
        <w:t xml:space="preserve"> </w:t>
      </w:r>
      <w:r w:rsidRPr="00A65F60">
        <w:t xml:space="preserve">applicant has made to or received from another applicant after the short-form </w:t>
      </w:r>
      <w:r w:rsidR="00907D23" w:rsidRPr="00A65F60">
        <w:t xml:space="preserve">application </w:t>
      </w:r>
      <w:r w:rsidRPr="00A65F60">
        <w:t xml:space="preserve">filing deadline that affects or has the potential to affect bids or bidding strategy, unless such communication is made to or received from a party to an agreement identified under </w:t>
      </w:r>
      <w:r w:rsidR="00415E2E" w:rsidRPr="00A65F60">
        <w:t>s</w:t>
      </w:r>
      <w:r w:rsidRPr="00A65F60">
        <w:t>ection 1.2105(a)(2)(viii).</w:t>
      </w:r>
      <w:r w:rsidRPr="00A65F60">
        <w:rPr>
          <w:rStyle w:val="FootnoteReference"/>
        </w:rPr>
        <w:footnoteReference w:id="47"/>
      </w:r>
    </w:p>
    <w:p w:rsidR="0066410D" w:rsidRPr="00A65F60" w:rsidRDefault="00F00999" w:rsidP="00C07C81">
      <w:pPr>
        <w:pStyle w:val="ParaNum"/>
        <w:widowControl/>
        <w:tabs>
          <w:tab w:val="clear" w:pos="1260"/>
          <w:tab w:val="num" w:pos="1440"/>
        </w:tabs>
        <w:ind w:left="0"/>
        <w:rPr>
          <w:szCs w:val="22"/>
        </w:rPr>
      </w:pPr>
      <w:r w:rsidRPr="00A65F60">
        <w:t xml:space="preserve">Sections 1.65(a) and 1.2105(c) </w:t>
      </w:r>
      <w:r w:rsidR="00164DB5" w:rsidRPr="00A65F60">
        <w:t xml:space="preserve">require </w:t>
      </w:r>
      <w:r w:rsidR="0066410D" w:rsidRPr="00A65F60">
        <w:t xml:space="preserve">each </w:t>
      </w:r>
      <w:r w:rsidR="00164DB5" w:rsidRPr="00A65F60">
        <w:t xml:space="preserve">applicant in competitive bidding proceedings to furnish additional or corrected information within five days of a significant occurrence, or to amend </w:t>
      </w:r>
      <w:r w:rsidR="0066410D" w:rsidRPr="00A65F60">
        <w:t>its</w:t>
      </w:r>
      <w:r w:rsidR="00164DB5" w:rsidRPr="00A65F60">
        <w:t xml:space="preserve"> short-form application no more than five days after the</w:t>
      </w:r>
      <w:r w:rsidR="0066410D" w:rsidRPr="00A65F60">
        <w:t xml:space="preserve"> </w:t>
      </w:r>
      <w:r w:rsidR="00164DB5" w:rsidRPr="00A65F60">
        <w:t>applicant become</w:t>
      </w:r>
      <w:r w:rsidR="00B45841">
        <w:t>s</w:t>
      </w:r>
      <w:r w:rsidR="00164DB5" w:rsidRPr="00A65F60">
        <w:t xml:space="preserve"> aware of the need for amendment.</w:t>
      </w:r>
      <w:r w:rsidR="00164DB5" w:rsidRPr="00A65F60">
        <w:rPr>
          <w:rStyle w:val="FootnoteReference"/>
          <w:szCs w:val="22"/>
        </w:rPr>
        <w:footnoteReference w:id="48"/>
      </w:r>
      <w:r w:rsidR="00164DB5" w:rsidRPr="00A65F60">
        <w:t xml:space="preserve">  The</w:t>
      </w:r>
      <w:r w:rsidRPr="00A65F60">
        <w:t>se rules are intended</w:t>
      </w:r>
      <w:r w:rsidR="00164DB5" w:rsidRPr="00A65F60">
        <w:t xml:space="preserve"> to facilitate the auction process by making the information available promptly to all participants and </w:t>
      </w:r>
      <w:r w:rsidR="0019742F" w:rsidRPr="00A65F60">
        <w:t xml:space="preserve">to </w:t>
      </w:r>
      <w:r w:rsidR="00164DB5" w:rsidRPr="00A65F60">
        <w:t>enabl</w:t>
      </w:r>
      <w:r w:rsidR="0019742F" w:rsidRPr="00A65F60">
        <w:t>e</w:t>
      </w:r>
      <w:r w:rsidR="00164DB5" w:rsidRPr="00A65F60">
        <w:t xml:space="preserve"> the Bureau to act expeditiously on those changes when such action is necessary.</w:t>
      </w:r>
      <w:r w:rsidR="00164DB5" w:rsidRPr="00A65F60">
        <w:rPr>
          <w:rStyle w:val="FootnoteReference"/>
        </w:rPr>
        <w:footnoteReference w:id="49"/>
      </w:r>
    </w:p>
    <w:p w:rsidR="00164DB5" w:rsidRPr="00A65F60" w:rsidRDefault="0066410D" w:rsidP="00C07C81">
      <w:pPr>
        <w:pStyle w:val="Heading4"/>
        <w:widowControl/>
      </w:pPr>
      <w:bookmarkStart w:id="499" w:name="_Toc307584017"/>
      <w:bookmarkStart w:id="500" w:name="_Toc307937291"/>
      <w:bookmarkStart w:id="501" w:name="_Toc362256725"/>
      <w:bookmarkStart w:id="502" w:name="_Toc366056479"/>
      <w:bookmarkStart w:id="503" w:name="_Toc366223682"/>
      <w:bookmarkStart w:id="504" w:name="_Toc366229395"/>
      <w:bookmarkStart w:id="505" w:name="_Toc366583439"/>
      <w:r w:rsidRPr="00A65F60">
        <w:t>Procedure for Reporting Prohibited Communications</w:t>
      </w:r>
      <w:bookmarkEnd w:id="499"/>
      <w:bookmarkEnd w:id="500"/>
      <w:bookmarkEnd w:id="501"/>
      <w:bookmarkEnd w:id="502"/>
      <w:bookmarkEnd w:id="503"/>
      <w:bookmarkEnd w:id="504"/>
      <w:bookmarkEnd w:id="505"/>
      <w:r w:rsidR="00AD497F" w:rsidRPr="00A65F60">
        <w:t xml:space="preserve"> </w:t>
      </w:r>
    </w:p>
    <w:p w:rsidR="00164DB5" w:rsidRPr="00A65F60" w:rsidRDefault="00960461" w:rsidP="00C07C81">
      <w:pPr>
        <w:pStyle w:val="ParaNum"/>
        <w:widowControl/>
        <w:tabs>
          <w:tab w:val="clear" w:pos="1260"/>
          <w:tab w:val="num" w:pos="1440"/>
        </w:tabs>
        <w:ind w:left="0"/>
        <w:rPr>
          <w:szCs w:val="22"/>
        </w:rPr>
      </w:pPr>
      <w:r w:rsidRPr="00A65F60">
        <w:t>A p</w:t>
      </w:r>
      <w:r w:rsidR="008C3946" w:rsidRPr="00A65F60">
        <w:t>art</w:t>
      </w:r>
      <w:r w:rsidRPr="00A65F60">
        <w:t>y</w:t>
      </w:r>
      <w:r w:rsidR="008C3946" w:rsidRPr="00A65F60">
        <w:t xml:space="preserve"> reporting</w:t>
      </w:r>
      <w:r w:rsidRPr="00A65F60">
        <w:t xml:space="preserve"> any</w:t>
      </w:r>
      <w:r w:rsidR="008C3946" w:rsidRPr="00A65F60">
        <w:t xml:space="preserve"> communication pursuant to </w:t>
      </w:r>
      <w:r w:rsidR="00415E2E" w:rsidRPr="00A65F60">
        <w:t>s</w:t>
      </w:r>
      <w:r w:rsidR="008C3946" w:rsidRPr="00A65F60">
        <w:t xml:space="preserve">ections </w:t>
      </w:r>
      <w:r w:rsidR="00164DB5" w:rsidRPr="00A65F60">
        <w:t xml:space="preserve">1.65, </w:t>
      </w:r>
      <w:r w:rsidR="008C3946" w:rsidRPr="00A65F60">
        <w:t>1.2105(a)(2)</w:t>
      </w:r>
      <w:r w:rsidR="00F25338" w:rsidRPr="00A65F60">
        <w:t>,</w:t>
      </w:r>
      <w:r w:rsidR="008C3946" w:rsidRPr="00A65F60">
        <w:t xml:space="preserve"> or 1.2105(c</w:t>
      </w:r>
      <w:r w:rsidR="008C3946" w:rsidRPr="00A65F60">
        <w:rPr>
          <w:szCs w:val="22"/>
        </w:rPr>
        <w:t>)(6)</w:t>
      </w:r>
      <w:r w:rsidR="008C3946" w:rsidRPr="00A65F60">
        <w:t xml:space="preserve"> must take care to ensure that any report of </w:t>
      </w:r>
      <w:r w:rsidR="0019742F" w:rsidRPr="00A65F60">
        <w:t xml:space="preserve">a </w:t>
      </w:r>
      <w:r w:rsidR="008C3946" w:rsidRPr="00A65F60">
        <w:rPr>
          <w:szCs w:val="22"/>
        </w:rPr>
        <w:t>prohibited</w:t>
      </w:r>
      <w:r w:rsidR="008C3946" w:rsidRPr="00A65F60">
        <w:t xml:space="preserve"> communication do</w:t>
      </w:r>
      <w:r w:rsidR="0019742F" w:rsidRPr="00A65F60">
        <w:t>es</w:t>
      </w:r>
      <w:r w:rsidR="008C3946" w:rsidRPr="00A65F60">
        <w:t xml:space="preserve"> not </w:t>
      </w:r>
      <w:r w:rsidR="0019742F" w:rsidRPr="00A65F60">
        <w:t xml:space="preserve">itself </w:t>
      </w:r>
      <w:r w:rsidR="008C3946" w:rsidRPr="00A65F60">
        <w:t xml:space="preserve">give rise to a violation of </w:t>
      </w:r>
      <w:r w:rsidR="0097423A" w:rsidRPr="00A65F60">
        <w:t>section 1.2105(c)</w:t>
      </w:r>
      <w:r w:rsidR="008C3946" w:rsidRPr="00A65F60">
        <w:t>.  For example, a party’s report of a prohibited communication could violate the rule by communicating prohibited information to other applicants through the use of Commission filing procedures that would allow such materials to be made available for public inspection</w:t>
      </w:r>
      <w:r w:rsidR="00E62761" w:rsidRPr="00A65F60">
        <w:t xml:space="preserve">.  </w:t>
      </w:r>
    </w:p>
    <w:p w:rsidR="00164DB5" w:rsidRPr="00A65F60" w:rsidRDefault="00F00999" w:rsidP="00C07C81">
      <w:pPr>
        <w:pStyle w:val="ParaNum"/>
        <w:widowControl/>
        <w:tabs>
          <w:tab w:val="clear" w:pos="1260"/>
          <w:tab w:val="num" w:pos="1440"/>
        </w:tabs>
        <w:ind w:left="0"/>
        <w:rPr>
          <w:szCs w:val="22"/>
        </w:rPr>
      </w:pPr>
      <w:r w:rsidRPr="00A65F60">
        <w:t>S</w:t>
      </w:r>
      <w:r w:rsidR="00164DB5" w:rsidRPr="00A65F60">
        <w:t xml:space="preserve">ection 1.2105(c) </w:t>
      </w:r>
      <w:r w:rsidRPr="00A65F60">
        <w:t>requires</w:t>
      </w:r>
      <w:r w:rsidR="00164DB5" w:rsidRPr="00A65F60">
        <w:t xml:space="preserve"> parties to file only a single report </w:t>
      </w:r>
      <w:r w:rsidRPr="00A65F60">
        <w:t xml:space="preserve">concerning </w:t>
      </w:r>
      <w:r w:rsidR="00C67AF5">
        <w:t>a prohibited</w:t>
      </w:r>
      <w:r w:rsidRPr="00A65F60">
        <w:t xml:space="preserve"> communication </w:t>
      </w:r>
      <w:r w:rsidR="00164DB5" w:rsidRPr="00A65F60">
        <w:t>and to file that report with Commission personnel expressly</w:t>
      </w:r>
      <w:r w:rsidR="00164DB5">
        <w:t xml:space="preserve"> charged with administering the Commission’s auctions.</w:t>
      </w:r>
      <w:r w:rsidR="00164DB5">
        <w:rPr>
          <w:rStyle w:val="FootnoteReference"/>
          <w:szCs w:val="22"/>
        </w:rPr>
        <w:footnoteReference w:id="50"/>
      </w:r>
      <w:r w:rsidR="00164DB5">
        <w:t xml:space="preserve">  </w:t>
      </w:r>
      <w:r>
        <w:t xml:space="preserve">This rule is designed to minimize the risk of inadvertent dissemination of information in such reports.  </w:t>
      </w:r>
      <w:r w:rsidR="001B1AE9">
        <w:t>A</w:t>
      </w:r>
      <w:r w:rsidR="00164DB5">
        <w:t>ny reports required by section 1.2105(c) must be filed consistent with the instructions set forth in this Public Notice.</w:t>
      </w:r>
      <w:r w:rsidR="00164DB5">
        <w:rPr>
          <w:rStyle w:val="FootnoteReference"/>
          <w:szCs w:val="22"/>
        </w:rPr>
        <w:footnoteReference w:id="51"/>
      </w:r>
      <w:r w:rsidR="00164DB5">
        <w:t xml:space="preserve">  For Auction </w:t>
      </w:r>
      <w:r w:rsidR="00CC0081">
        <w:t>9</w:t>
      </w:r>
      <w:r w:rsidR="00530B79">
        <w:t>6</w:t>
      </w:r>
      <w:r w:rsidR="00164DB5">
        <w:t xml:space="preserve">, such reports </w:t>
      </w:r>
      <w:r w:rsidR="0019742F">
        <w:t>must</w:t>
      </w:r>
      <w:r w:rsidR="00164DB5">
        <w:t xml:space="preserve"> be filed with </w:t>
      </w:r>
      <w:r w:rsidR="00155BA1">
        <w:t xml:space="preserve">Margaret W. Wiener, </w:t>
      </w:r>
      <w:r w:rsidR="00164DB5">
        <w:t xml:space="preserve">the Chief of the Auctions </w:t>
      </w:r>
      <w:r w:rsidR="00164DB5" w:rsidRPr="00A65F60">
        <w:t xml:space="preserve">and Spectrum Access Division, Wireless Telecommunications Bureau, by the most expeditious means available.  </w:t>
      </w:r>
      <w:r w:rsidR="00B13807" w:rsidRPr="00A65F60">
        <w:t>A</w:t>
      </w:r>
      <w:r w:rsidR="00164DB5" w:rsidRPr="00A65F60">
        <w:t xml:space="preserve">ny such report </w:t>
      </w:r>
      <w:r w:rsidR="00B13807" w:rsidRPr="00A65F60">
        <w:t>should</w:t>
      </w:r>
      <w:r w:rsidR="00164DB5" w:rsidRPr="00A65F60">
        <w:t xml:space="preserve"> be submitted by e</w:t>
      </w:r>
      <w:r w:rsidR="00164DB5" w:rsidRPr="00A65F60">
        <w:noBreakHyphen/>
        <w:t xml:space="preserve">mail </w:t>
      </w:r>
      <w:r w:rsidR="00410BA6" w:rsidRPr="00A65F60">
        <w:t>to</w:t>
      </w:r>
      <w:r w:rsidR="004D0402">
        <w:t xml:space="preserve"> Ms. Wiener at the following e-mail address:</w:t>
      </w:r>
      <w:r w:rsidR="00164DB5" w:rsidRPr="00A65F60">
        <w:t xml:space="preserve"> </w:t>
      </w:r>
      <w:hyperlink r:id="rId10" w:history="1">
        <w:r w:rsidR="00530B79" w:rsidRPr="000C26E0">
          <w:rPr>
            <w:rStyle w:val="Hyperlink"/>
            <w:szCs w:val="22"/>
          </w:rPr>
          <w:t>auction96@fcc.gov</w:t>
        </w:r>
      </w:hyperlink>
      <w:r w:rsidR="0066410D" w:rsidRPr="00A65F60">
        <w:t xml:space="preserve">.  </w:t>
      </w:r>
      <w:r w:rsidR="006F5DDD">
        <w:t>If you choose instead to submit a report in hard copy, any such report must be delivered only to:</w:t>
      </w:r>
      <w:r w:rsidR="00164DB5" w:rsidRPr="00A65F60">
        <w:t xml:space="preserve"> </w:t>
      </w:r>
      <w:r w:rsidR="00164DB5" w:rsidRPr="00A65F60">
        <w:rPr>
          <w:color w:val="000000"/>
        </w:rPr>
        <w:t>Margaret W. Wiener, Chief, Auctions and Spectrum Access Division, Wireless Telecommunications Bureau, Federal Communications Commission, 445 12</w:t>
      </w:r>
      <w:r w:rsidR="00164DB5" w:rsidRPr="00A65F60">
        <w:rPr>
          <w:color w:val="000000"/>
          <w:vertAlign w:val="superscript"/>
        </w:rPr>
        <w:t>th</w:t>
      </w:r>
      <w:r w:rsidR="00164DB5" w:rsidRPr="00A65F60">
        <w:rPr>
          <w:color w:val="000000"/>
        </w:rPr>
        <w:t xml:space="preserve"> Street, SW, Room 6423, Washington, DC 20554</w:t>
      </w:r>
      <w:r w:rsidR="00164DB5" w:rsidRPr="00A65F60">
        <w:t>.</w:t>
      </w:r>
    </w:p>
    <w:p w:rsidR="00324AE3" w:rsidRDefault="008C3946" w:rsidP="00C07C81">
      <w:pPr>
        <w:pStyle w:val="ParaNum"/>
        <w:widowControl/>
        <w:tabs>
          <w:tab w:val="clear" w:pos="1260"/>
          <w:tab w:val="num" w:pos="1440"/>
        </w:tabs>
        <w:ind w:left="0"/>
        <w:rPr>
          <w:szCs w:val="22"/>
        </w:rPr>
      </w:pPr>
      <w:r w:rsidRPr="00A65F60">
        <w:t xml:space="preserve">A party seeking to report such </w:t>
      </w:r>
      <w:r w:rsidR="0019742F" w:rsidRPr="00A65F60">
        <w:t xml:space="preserve">a </w:t>
      </w:r>
      <w:r w:rsidRPr="00A65F60">
        <w:t>prohibited communication should consider submitting its report with a request that the report or portions of the submission be withheld from public inspection</w:t>
      </w:r>
      <w:r w:rsidR="005E4EF9" w:rsidRPr="00A65F60">
        <w:t xml:space="preserve"> by following the procedures specified in section 0.459 of the Commission’s rules</w:t>
      </w:r>
      <w:r w:rsidRPr="00A65F60">
        <w:t>.</w:t>
      </w:r>
      <w:r w:rsidRPr="00A65F60">
        <w:rPr>
          <w:rStyle w:val="FootnoteReference"/>
        </w:rPr>
        <w:footnoteReference w:id="52"/>
      </w:r>
      <w:r w:rsidRPr="00A65F60">
        <w:t xml:space="preserve">  Such parties also are encouraged to coordinate with the Auctions and Spectrum Access Division staff about the procedures for submitting such reports.</w:t>
      </w:r>
      <w:r w:rsidRPr="00A65F60">
        <w:rPr>
          <w:rStyle w:val="FootnoteReference"/>
        </w:rPr>
        <w:footnoteReference w:id="53"/>
      </w:r>
      <w:r w:rsidRPr="00A65F60">
        <w:t xml:space="preserve">  This Public Notice provides additional</w:t>
      </w:r>
      <w:r w:rsidRPr="007E5680">
        <w:t xml:space="preserve"> guidance on procedures for submitting application-related information below.</w:t>
      </w:r>
      <w:r w:rsidRPr="007E5680">
        <w:rPr>
          <w:rStyle w:val="FootnoteReference"/>
        </w:rPr>
        <w:footnoteReference w:id="54"/>
      </w:r>
      <w:r w:rsidRPr="007E5680">
        <w:rPr>
          <w:szCs w:val="22"/>
        </w:rPr>
        <w:t xml:space="preserve"> </w:t>
      </w:r>
    </w:p>
    <w:p w:rsidR="006F5A22" w:rsidRPr="007E5680" w:rsidRDefault="006F5A22" w:rsidP="00C07C81">
      <w:pPr>
        <w:pStyle w:val="Heading4"/>
        <w:widowControl/>
      </w:pPr>
      <w:bookmarkStart w:id="506" w:name="_Toc256669695"/>
      <w:bookmarkStart w:id="507" w:name="_Toc257213228"/>
      <w:bookmarkStart w:id="508" w:name="_Toc257382913"/>
      <w:bookmarkStart w:id="509" w:name="_Toc274056170"/>
      <w:bookmarkStart w:id="510" w:name="_Toc276657575"/>
      <w:bookmarkStart w:id="511" w:name="_Toc278366421"/>
      <w:bookmarkStart w:id="512" w:name="_Toc307584018"/>
      <w:bookmarkStart w:id="513" w:name="_Toc307937292"/>
      <w:bookmarkStart w:id="514" w:name="_Toc362256726"/>
      <w:bookmarkStart w:id="515" w:name="_Toc366056480"/>
      <w:bookmarkStart w:id="516" w:name="_Toc366223683"/>
      <w:bookmarkStart w:id="517" w:name="_Toc366229396"/>
      <w:bookmarkStart w:id="518" w:name="_Toc366583440"/>
      <w:r>
        <w:t>Winning Bidders Must Disclose Terms of Agreements</w:t>
      </w:r>
      <w:bookmarkEnd w:id="506"/>
      <w:bookmarkEnd w:id="507"/>
      <w:bookmarkEnd w:id="508"/>
      <w:bookmarkEnd w:id="509"/>
      <w:bookmarkEnd w:id="510"/>
      <w:bookmarkEnd w:id="511"/>
      <w:bookmarkEnd w:id="512"/>
      <w:bookmarkEnd w:id="513"/>
      <w:bookmarkEnd w:id="514"/>
      <w:bookmarkEnd w:id="515"/>
      <w:bookmarkEnd w:id="516"/>
      <w:bookmarkEnd w:id="517"/>
      <w:bookmarkEnd w:id="518"/>
    </w:p>
    <w:p w:rsidR="006F5A22" w:rsidRDefault="00B13807" w:rsidP="00C07C81">
      <w:pPr>
        <w:pStyle w:val="ParaNum"/>
        <w:widowControl/>
        <w:tabs>
          <w:tab w:val="clear" w:pos="1260"/>
          <w:tab w:val="num" w:pos="1440"/>
        </w:tabs>
        <w:ind w:left="0"/>
      </w:pPr>
      <w:r>
        <w:rPr>
          <w:szCs w:val="22"/>
        </w:rPr>
        <w:t>Each a</w:t>
      </w:r>
      <w:r w:rsidR="00324AE3" w:rsidRPr="007E5680">
        <w:rPr>
          <w:szCs w:val="22"/>
        </w:rPr>
        <w:t xml:space="preserve">pplicant that </w:t>
      </w:r>
      <w:r>
        <w:rPr>
          <w:szCs w:val="22"/>
        </w:rPr>
        <w:t>is a</w:t>
      </w:r>
      <w:r w:rsidR="00324AE3" w:rsidRPr="007E5680">
        <w:rPr>
          <w:szCs w:val="22"/>
        </w:rPr>
        <w:t xml:space="preserve"> winning bidder will be required to disclose in </w:t>
      </w:r>
      <w:r>
        <w:rPr>
          <w:szCs w:val="22"/>
        </w:rPr>
        <w:t>its</w:t>
      </w:r>
      <w:r w:rsidR="00324AE3" w:rsidRPr="007E5680">
        <w:rPr>
          <w:szCs w:val="22"/>
        </w:rPr>
        <w:t xml:space="preserve"> long-form applications the specific terms, conditions, and parties involved in </w:t>
      </w:r>
      <w:r>
        <w:rPr>
          <w:szCs w:val="22"/>
        </w:rPr>
        <w:t xml:space="preserve">any agreement it has entered into.  This applies to </w:t>
      </w:r>
      <w:r w:rsidR="00324AE3" w:rsidRPr="007E5680">
        <w:rPr>
          <w:szCs w:val="22"/>
        </w:rPr>
        <w:t>any bidding consortia, joint venture, partnership</w:t>
      </w:r>
      <w:r w:rsidR="0019742F">
        <w:rPr>
          <w:szCs w:val="22"/>
        </w:rPr>
        <w:t>,</w:t>
      </w:r>
      <w:r w:rsidR="00324AE3" w:rsidRPr="007E5680">
        <w:rPr>
          <w:szCs w:val="22"/>
        </w:rPr>
        <w:t xml:space="preserve"> or agreement</w:t>
      </w:r>
      <w:r w:rsidR="00C36122">
        <w:rPr>
          <w:szCs w:val="22"/>
        </w:rPr>
        <w:t>, understanding</w:t>
      </w:r>
      <w:r w:rsidR="00F25338">
        <w:rPr>
          <w:szCs w:val="22"/>
        </w:rPr>
        <w:t>,</w:t>
      </w:r>
      <w:r w:rsidR="00324AE3" w:rsidRPr="007E5680">
        <w:rPr>
          <w:szCs w:val="22"/>
        </w:rPr>
        <w:t xml:space="preserve"> or other arrangement entered into relating to the competitive bidding process</w:t>
      </w:r>
      <w:r w:rsidR="00C36122">
        <w:rPr>
          <w:szCs w:val="22"/>
        </w:rPr>
        <w:t>, including any agreement relating to the post-auction market structure</w:t>
      </w:r>
      <w:r w:rsidR="00324AE3" w:rsidRPr="007E5680">
        <w:rPr>
          <w:szCs w:val="22"/>
        </w:rPr>
        <w:t>.</w:t>
      </w:r>
      <w:r w:rsidR="00324AE3" w:rsidRPr="007E5680">
        <w:rPr>
          <w:rStyle w:val="FootnoteReference"/>
          <w:szCs w:val="22"/>
        </w:rPr>
        <w:footnoteReference w:id="55"/>
      </w:r>
      <w:r w:rsidR="008C3946" w:rsidRPr="007E5680">
        <w:rPr>
          <w:szCs w:val="22"/>
        </w:rPr>
        <w:t xml:space="preserve"> </w:t>
      </w:r>
      <w:r w:rsidR="00F25338">
        <w:t xml:space="preserve"> </w:t>
      </w:r>
      <w:r w:rsidR="00C27E2A">
        <w:t>F</w:t>
      </w:r>
      <w:r w:rsidR="008C3946" w:rsidRPr="007E5680">
        <w:t>ailure to comply with the Commission’s rules can result in enforcement action.</w:t>
      </w:r>
    </w:p>
    <w:p w:rsidR="006F5A22" w:rsidRDefault="006F5A22" w:rsidP="00C07C81">
      <w:pPr>
        <w:pStyle w:val="Heading4"/>
        <w:widowControl/>
      </w:pPr>
      <w:bookmarkStart w:id="519" w:name="_Toc256669696"/>
      <w:bookmarkStart w:id="520" w:name="_Toc257213229"/>
      <w:bookmarkStart w:id="521" w:name="_Toc257382914"/>
      <w:bookmarkStart w:id="522" w:name="_Toc274056171"/>
      <w:bookmarkStart w:id="523" w:name="_Toc276657576"/>
      <w:bookmarkStart w:id="524" w:name="_Toc278366422"/>
      <w:bookmarkStart w:id="525" w:name="_Toc307584019"/>
      <w:bookmarkStart w:id="526" w:name="_Toc307937293"/>
      <w:bookmarkStart w:id="527" w:name="_Toc362256727"/>
      <w:bookmarkStart w:id="528" w:name="_Toc366056481"/>
      <w:bookmarkStart w:id="529" w:name="_Toc366223684"/>
      <w:bookmarkStart w:id="530" w:name="_Toc366229397"/>
      <w:bookmarkStart w:id="531" w:name="_Toc366583441"/>
      <w:r>
        <w:t>Additional Information Concerning Rule Prohibiting Certain Communications</w:t>
      </w:r>
      <w:bookmarkEnd w:id="519"/>
      <w:bookmarkEnd w:id="520"/>
      <w:bookmarkEnd w:id="521"/>
      <w:bookmarkEnd w:id="522"/>
      <w:bookmarkEnd w:id="523"/>
      <w:bookmarkEnd w:id="524"/>
      <w:bookmarkEnd w:id="525"/>
      <w:bookmarkEnd w:id="526"/>
      <w:bookmarkEnd w:id="527"/>
      <w:bookmarkEnd w:id="528"/>
      <w:bookmarkEnd w:id="529"/>
      <w:bookmarkEnd w:id="530"/>
      <w:bookmarkEnd w:id="531"/>
    </w:p>
    <w:p w:rsidR="00A176F0" w:rsidRDefault="006F5A22" w:rsidP="00C07C81">
      <w:pPr>
        <w:pStyle w:val="ParaNum"/>
        <w:widowControl/>
        <w:tabs>
          <w:tab w:val="clear" w:pos="1260"/>
          <w:tab w:val="num" w:pos="1440"/>
        </w:tabs>
        <w:ind w:left="0"/>
      </w:pPr>
      <w:r w:rsidRPr="000E42CC">
        <w:rPr>
          <w:szCs w:val="22"/>
        </w:rPr>
        <w:t xml:space="preserve">A summary listing of documents issued by the Commission </w:t>
      </w:r>
      <w:r w:rsidR="00960461">
        <w:rPr>
          <w:szCs w:val="22"/>
        </w:rPr>
        <w:t>and the</w:t>
      </w:r>
      <w:r w:rsidRPr="000E42CC">
        <w:rPr>
          <w:szCs w:val="22"/>
        </w:rPr>
        <w:t xml:space="preserve"> Bureau addressing the application of </w:t>
      </w:r>
      <w:r w:rsidR="00415E2E">
        <w:rPr>
          <w:szCs w:val="22"/>
        </w:rPr>
        <w:t>s</w:t>
      </w:r>
      <w:r w:rsidRPr="000E42CC">
        <w:rPr>
          <w:szCs w:val="22"/>
        </w:rPr>
        <w:t xml:space="preserve">ection 1.2105(c) may be </w:t>
      </w:r>
      <w:r w:rsidRPr="00F77570">
        <w:rPr>
          <w:szCs w:val="22"/>
        </w:rPr>
        <w:t xml:space="preserve">found </w:t>
      </w:r>
      <w:r w:rsidRPr="00206CE7">
        <w:rPr>
          <w:szCs w:val="22"/>
        </w:rPr>
        <w:t xml:space="preserve">in Attachment </w:t>
      </w:r>
      <w:r w:rsidR="00206CE7" w:rsidRPr="00206CE7">
        <w:rPr>
          <w:szCs w:val="22"/>
        </w:rPr>
        <w:t>F</w:t>
      </w:r>
      <w:r w:rsidRPr="00206CE7">
        <w:rPr>
          <w:szCs w:val="22"/>
        </w:rPr>
        <w:t>.  These</w:t>
      </w:r>
      <w:r w:rsidRPr="000E42CC">
        <w:rPr>
          <w:szCs w:val="22"/>
        </w:rPr>
        <w:t xml:space="preserve"> documents are available on the Commission’s auction web page at</w:t>
      </w:r>
      <w:r>
        <w:rPr>
          <w:szCs w:val="22"/>
        </w:rPr>
        <w:t xml:space="preserve"> </w:t>
      </w:r>
      <w:hyperlink r:id="rId11" w:history="1">
        <w:r w:rsidR="00C27E2A" w:rsidRPr="00691CE4">
          <w:rPr>
            <w:rStyle w:val="Hyperlink"/>
          </w:rPr>
          <w:t>http://wireless.fcc.gov/auctions/prohibited_communications</w:t>
        </w:r>
      </w:hyperlink>
      <w:r>
        <w:rPr>
          <w:szCs w:val="22"/>
        </w:rPr>
        <w:t>.</w:t>
      </w:r>
      <w:r w:rsidR="008C3946" w:rsidRPr="007E5680">
        <w:t xml:space="preserve">  </w:t>
      </w:r>
    </w:p>
    <w:p w:rsidR="00DB0A6A" w:rsidRPr="007E5680" w:rsidRDefault="00DB0A6A" w:rsidP="00C07C81">
      <w:pPr>
        <w:pStyle w:val="Heading4"/>
        <w:widowControl/>
      </w:pPr>
      <w:bookmarkStart w:id="532" w:name="_Toc254792570"/>
      <w:bookmarkStart w:id="533" w:name="_Toc256669697"/>
      <w:bookmarkStart w:id="534" w:name="_Toc257213230"/>
      <w:bookmarkStart w:id="535" w:name="_Toc257382915"/>
      <w:bookmarkStart w:id="536" w:name="_Toc274056172"/>
      <w:bookmarkStart w:id="537" w:name="_Toc276657577"/>
      <w:bookmarkStart w:id="538" w:name="_Toc278366423"/>
      <w:bookmarkStart w:id="539" w:name="_Toc307584020"/>
      <w:bookmarkStart w:id="540" w:name="_Toc307937294"/>
      <w:bookmarkStart w:id="541" w:name="_Toc362256728"/>
      <w:bookmarkStart w:id="542" w:name="_Toc366056482"/>
      <w:bookmarkStart w:id="543" w:name="_Toc366223685"/>
      <w:bookmarkStart w:id="544" w:name="_Toc366229398"/>
      <w:bookmarkStart w:id="545" w:name="_Toc366583442"/>
      <w:r>
        <w:t>Antitrust Laws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A176F0" w:rsidRDefault="00E02E81" w:rsidP="00C07C81">
      <w:pPr>
        <w:pStyle w:val="ParaNum"/>
        <w:widowControl/>
        <w:tabs>
          <w:tab w:val="clear" w:pos="1260"/>
          <w:tab w:val="num" w:pos="1440"/>
        </w:tabs>
        <w:ind w:left="0"/>
        <w:rPr>
          <w:szCs w:val="22"/>
        </w:rPr>
      </w:pPr>
      <w:r>
        <w:t>R</w:t>
      </w:r>
      <w:r w:rsidR="006F5A22" w:rsidRPr="00DB0A6A">
        <w:t xml:space="preserve">egardless of compliance with the Commission’s rules, </w:t>
      </w:r>
      <w:r>
        <w:t>applicants</w:t>
      </w:r>
      <w:r w:rsidR="006F5A22" w:rsidRPr="00DB0A6A">
        <w:t xml:space="preserve"> remain subject to the antitrust laws, which are designed to prevent anticompetitive behavior in the marketplace.</w:t>
      </w:r>
      <w:r w:rsidR="006F5A22" w:rsidRPr="00DB0A6A">
        <w:rPr>
          <w:rStyle w:val="FootnoteReference"/>
          <w:szCs w:val="22"/>
        </w:rPr>
        <w:footnoteReference w:id="56"/>
      </w:r>
      <w:r w:rsidR="006F5A22" w:rsidRPr="00DB0A6A">
        <w:t xml:space="preserve">  Compliance with the disclosure requirements of </w:t>
      </w:r>
      <w:r w:rsidR="006F5A22">
        <w:t>section 1.2105(c)</w:t>
      </w:r>
      <w:r w:rsidR="006F5A22" w:rsidRPr="00DB0A6A">
        <w:t xml:space="preserve"> will not insulate a party from enforcement of the antitrust laws</w:t>
      </w:r>
      <w:r w:rsidR="006F5A22" w:rsidRPr="00CD1878">
        <w:t>.</w:t>
      </w:r>
      <w:r w:rsidR="006F5A22" w:rsidRPr="007E5680">
        <w:rPr>
          <w:rStyle w:val="FootnoteReference"/>
          <w:szCs w:val="22"/>
        </w:rPr>
        <w:footnoteReference w:id="57"/>
      </w:r>
      <w:r w:rsidR="006F5A22" w:rsidRPr="007E5680">
        <w:t xml:space="preserve">  For instance, a violation of the antitrust laws could arise out of actions taking place well before any party submitted a short-form application.</w:t>
      </w:r>
      <w:r w:rsidR="006F5A22" w:rsidRPr="007E5680">
        <w:rPr>
          <w:rStyle w:val="FootnoteReference"/>
          <w:szCs w:val="22"/>
        </w:rPr>
        <w:footnoteReference w:id="58"/>
      </w:r>
      <w:r w:rsidR="006F5A22" w:rsidRPr="007E5680">
        <w:t xml:space="preserve">  </w:t>
      </w:r>
      <w:r w:rsidR="0035074D">
        <w:t>The Commission has cited a number of examples of potentially anticompetitive actions that would be prohibited under antitrust laws: for example, actual or potential competitors may not agree to divide territories in order to minimize competition, regardless of whether they split a market in which they both do business, or whether they merely reserve one market for one and another market for the other.</w:t>
      </w:r>
      <w:r w:rsidR="0035074D">
        <w:rPr>
          <w:rStyle w:val="FootnoteReference"/>
        </w:rPr>
        <w:footnoteReference w:id="59"/>
      </w:r>
      <w:r w:rsidR="0035074D">
        <w:t xml:space="preserve">  </w:t>
      </w:r>
      <w:r w:rsidR="006F5A22" w:rsidRPr="00AA2B80">
        <w:t>Similarly, the Bureau previously reminded potential applicants and others that “[e]ven where the applicant discloses parties with whom it has reached an agreement on the short-form application, thereby permitting discussions with those parties, the applicant is nevertheless subject to existing antitrust laws</w:t>
      </w:r>
      <w:r w:rsidR="006F5A22">
        <w:t>.</w:t>
      </w:r>
      <w:r w:rsidR="008A19CF">
        <w:t>”</w:t>
      </w:r>
      <w:r w:rsidR="006F5A22">
        <w:rPr>
          <w:rStyle w:val="FootnoteReference"/>
        </w:rPr>
        <w:footnoteReference w:id="60"/>
      </w:r>
    </w:p>
    <w:p w:rsidR="00DB0A6A" w:rsidRPr="00DB0A6A" w:rsidRDefault="006F5A22" w:rsidP="00C07C81">
      <w:pPr>
        <w:pStyle w:val="ParaNum"/>
        <w:widowControl/>
        <w:tabs>
          <w:tab w:val="clear" w:pos="1260"/>
          <w:tab w:val="num" w:pos="1440"/>
        </w:tabs>
        <w:ind w:left="0"/>
      </w:pPr>
      <w:r w:rsidRPr="00AA2B80">
        <w:t>To the extent the Commission becomes aware of specific allegations that suggest that violations of the federal antitrust laws may have occurred, the Commission may refer such allegations to the United States Department of Justice for investigation.</w:t>
      </w:r>
      <w:r w:rsidRPr="00AA2B80">
        <w:rPr>
          <w:rStyle w:val="FootnoteReference"/>
          <w:szCs w:val="22"/>
        </w:rPr>
        <w:footnoteReference w:id="61"/>
      </w:r>
      <w:r w:rsidRPr="00AA2B80">
        <w:t xml:space="preserve">  If an applicant is found to have violated the antitrust laws or the Commission’s rules in connection with its participation in the competitive bidding process, it may be subject to forfeiture of its upfront payment, down payment, or full bid amount and may be prohibited from participating in future auctions, among other sanctions</w:t>
      </w:r>
      <w:r>
        <w:t>.</w:t>
      </w:r>
      <w:r>
        <w:rPr>
          <w:rStyle w:val="FootnoteReference"/>
        </w:rPr>
        <w:footnoteReference w:id="62"/>
      </w:r>
    </w:p>
    <w:p w:rsidR="00BE20E8" w:rsidRPr="00223DBC" w:rsidRDefault="00F06209" w:rsidP="00C07C81">
      <w:pPr>
        <w:pStyle w:val="Heading3"/>
        <w:widowControl/>
        <w:rPr>
          <w:szCs w:val="22"/>
        </w:rPr>
      </w:pPr>
      <w:bookmarkStart w:id="546" w:name="_Toc366056483"/>
      <w:bookmarkStart w:id="547" w:name="_Toc366223686"/>
      <w:bookmarkStart w:id="548" w:name="_Toc366229399"/>
      <w:bookmarkStart w:id="549" w:name="_Toc366583443"/>
      <w:bookmarkStart w:id="550" w:name="_Toc148330502"/>
      <w:bookmarkStart w:id="551" w:name="_Toc148331219"/>
      <w:bookmarkStart w:id="552" w:name="_Toc148331678"/>
      <w:bookmarkStart w:id="553" w:name="_Toc148332103"/>
      <w:bookmarkStart w:id="554" w:name="_Toc148332175"/>
      <w:bookmarkStart w:id="555" w:name="_Toc148332249"/>
      <w:bookmarkStart w:id="556" w:name="_Toc148332326"/>
      <w:bookmarkStart w:id="557" w:name="_Toc148332403"/>
      <w:bookmarkStart w:id="558" w:name="_Toc148332480"/>
      <w:bookmarkStart w:id="559" w:name="_Toc148332555"/>
      <w:bookmarkStart w:id="560" w:name="_Toc148332628"/>
      <w:bookmarkStart w:id="561" w:name="_Toc148332724"/>
      <w:bookmarkStart w:id="562" w:name="_Toc148332858"/>
      <w:bookmarkStart w:id="563" w:name="_Toc148333060"/>
      <w:bookmarkStart w:id="564" w:name="_Toc148333193"/>
      <w:bookmarkStart w:id="565" w:name="_Toc148333612"/>
      <w:bookmarkStart w:id="566" w:name="_Toc148334225"/>
      <w:bookmarkStart w:id="567" w:name="_Toc148335739"/>
      <w:bookmarkStart w:id="568" w:name="_Toc148336272"/>
      <w:bookmarkStart w:id="569" w:name="_Toc148337713"/>
      <w:bookmarkStart w:id="570" w:name="_Toc148338036"/>
      <w:bookmarkStart w:id="571" w:name="_Toc148339746"/>
      <w:bookmarkStart w:id="572" w:name="_Toc148339843"/>
      <w:bookmarkStart w:id="573" w:name="_Toc149645551"/>
      <w:bookmarkStart w:id="574" w:name="_Toc149997855"/>
      <w:bookmarkStart w:id="575" w:name="_Toc158180731"/>
      <w:bookmarkStart w:id="576" w:name="_Toc158785580"/>
      <w:bookmarkStart w:id="577" w:name="_Toc178768483"/>
      <w:bookmarkStart w:id="578" w:name="_Toc179195924"/>
      <w:bookmarkStart w:id="579" w:name="_Toc179361866"/>
      <w:bookmarkStart w:id="580" w:name="_Toc179363650"/>
      <w:bookmarkStart w:id="581" w:name="_Toc197504905"/>
      <w:bookmarkStart w:id="582" w:name="_Toc198007677"/>
      <w:bookmarkStart w:id="583" w:name="_Toc198007828"/>
      <w:bookmarkStart w:id="584" w:name="_Toc198008180"/>
      <w:bookmarkStart w:id="585" w:name="_Toc198008317"/>
      <w:bookmarkStart w:id="586" w:name="_Toc198008864"/>
      <w:bookmarkStart w:id="587" w:name="_Toc198369760"/>
      <w:bookmarkStart w:id="588" w:name="_Toc198369897"/>
      <w:bookmarkStart w:id="589" w:name="_Toc198372809"/>
      <w:bookmarkStart w:id="590" w:name="_Toc198372912"/>
      <w:bookmarkStart w:id="591" w:name="_Toc198373042"/>
      <w:bookmarkStart w:id="592" w:name="_Toc198373210"/>
      <w:bookmarkStart w:id="593" w:name="_Toc198627124"/>
      <w:bookmarkStart w:id="594" w:name="_Toc198627230"/>
      <w:bookmarkStart w:id="595" w:name="_Toc216090702"/>
      <w:bookmarkStart w:id="596" w:name="_Toc226958208"/>
      <w:bookmarkStart w:id="597" w:name="_Toc227038268"/>
      <w:bookmarkStart w:id="598" w:name="_Toc254792574"/>
      <w:bookmarkStart w:id="599" w:name="_Toc256669698"/>
      <w:bookmarkStart w:id="600" w:name="_Toc257213231"/>
      <w:bookmarkStart w:id="601" w:name="_Toc257277733"/>
      <w:bookmarkStart w:id="602" w:name="_Toc257278694"/>
      <w:bookmarkStart w:id="603" w:name="_Toc257278904"/>
      <w:bookmarkStart w:id="604" w:name="_Toc257279272"/>
      <w:bookmarkStart w:id="605" w:name="_Toc257382916"/>
      <w:bookmarkStart w:id="606" w:name="_Toc274056173"/>
      <w:bookmarkStart w:id="607" w:name="_Toc276657578"/>
      <w:bookmarkStart w:id="608" w:name="_Toc278366424"/>
      <w:bookmarkStart w:id="609" w:name="_Toc307584021"/>
      <w:bookmarkStart w:id="610" w:name="_Toc307937295"/>
      <w:bookmarkStart w:id="611" w:name="_Toc483218123"/>
      <w:bookmarkStart w:id="612" w:name="_Toc509971990"/>
      <w:bookmarkStart w:id="613" w:name="_Toc109812223"/>
      <w:bookmarkStart w:id="614" w:name="_Toc124844732"/>
      <w:bookmarkStart w:id="615" w:name="_Toc124844860"/>
      <w:bookmarkStart w:id="616" w:name="_Toc124845519"/>
      <w:bookmarkStart w:id="617" w:name="_Toc124845787"/>
      <w:bookmarkStart w:id="618" w:name="_Toc124845861"/>
      <w:bookmarkStart w:id="619" w:name="_Toc124845935"/>
      <w:bookmarkStart w:id="620" w:name="_Toc124846107"/>
      <w:bookmarkStart w:id="621" w:name="_Toc124848230"/>
      <w:bookmarkStart w:id="622" w:name="_Toc124907481"/>
      <w:bookmarkStart w:id="623" w:name="_Toc129773446"/>
      <w:bookmarkStart w:id="624" w:name="_Toc130209984"/>
      <w:bookmarkStart w:id="625" w:name="_Toc130730913"/>
      <w:bookmarkStart w:id="626" w:name="_Toc130814141"/>
      <w:bookmarkStart w:id="627" w:name="_Toc130814463"/>
      <w:bookmarkStart w:id="628" w:name="_Toc130814595"/>
      <w:bookmarkStart w:id="629" w:name="_Toc130883478"/>
      <w:bookmarkStart w:id="630" w:name="_Toc130885586"/>
      <w:bookmarkStart w:id="631" w:name="_Toc131844565"/>
      <w:bookmarkStart w:id="632" w:name="_Toc3797462"/>
      <w:bookmarkEnd w:id="370"/>
      <w:bookmarkEnd w:id="371"/>
      <w:bookmarkEnd w:id="372"/>
      <w:bookmarkEnd w:id="373"/>
      <w:bookmarkEnd w:id="374"/>
      <w:bookmarkEnd w:id="375"/>
      <w:r w:rsidRPr="00223DBC">
        <w:rPr>
          <w:szCs w:val="22"/>
        </w:rPr>
        <w:t>Cost-Sharing Obligations</w:t>
      </w:r>
      <w:bookmarkEnd w:id="546"/>
      <w:bookmarkEnd w:id="547"/>
      <w:bookmarkEnd w:id="548"/>
      <w:bookmarkEnd w:id="549"/>
    </w:p>
    <w:p w:rsidR="00F06209" w:rsidRDefault="00F06209" w:rsidP="00175517">
      <w:pPr>
        <w:pStyle w:val="ParaNum"/>
        <w:widowControl/>
        <w:tabs>
          <w:tab w:val="clear" w:pos="1260"/>
          <w:tab w:val="num" w:pos="1440"/>
        </w:tabs>
        <w:spacing w:after="0"/>
        <w:ind w:left="0"/>
      </w:pPr>
      <w:r w:rsidRPr="0064234E">
        <w:t xml:space="preserve">As noted in the </w:t>
      </w:r>
      <w:r w:rsidRPr="00922616">
        <w:rPr>
          <w:i/>
        </w:rPr>
        <w:t>H Block Report and Order</w:t>
      </w:r>
      <w:r w:rsidRPr="0064234E">
        <w:t>, the spectrum in the Lower H Block and the Upper H Block is subject to cost-sharing requirements related to the past clearing and relocation of incumbent users from these bands.</w:t>
      </w:r>
      <w:r w:rsidRPr="0064234E">
        <w:rPr>
          <w:rStyle w:val="FootnoteReference"/>
        </w:rPr>
        <w:footnoteReference w:id="63"/>
      </w:r>
      <w:r w:rsidRPr="0064234E">
        <w:t xml:space="preserve">  Consistent with its long-standing policy that cost-sharing obligations for both the Lower H Block and the Upper H Block be apportioned on a </w:t>
      </w:r>
      <w:r w:rsidRPr="00922616">
        <w:rPr>
          <w:i/>
        </w:rPr>
        <w:t xml:space="preserve">pro rata </w:t>
      </w:r>
      <w:r w:rsidRPr="0064234E">
        <w:t>basis against the relocation costs attributable to the particular band,</w:t>
      </w:r>
      <w:r w:rsidRPr="0064234E">
        <w:rPr>
          <w:rStyle w:val="FootnoteReference"/>
          <w:szCs w:val="22"/>
        </w:rPr>
        <w:footnoteReference w:id="64"/>
      </w:r>
      <w:r w:rsidRPr="0064234E">
        <w:t xml:space="preserve"> the Commission adopted cost-sharing rules in the </w:t>
      </w:r>
      <w:r w:rsidRPr="00175517">
        <w:rPr>
          <w:i/>
        </w:rPr>
        <w:t xml:space="preserve">H Block Report and Order </w:t>
      </w:r>
      <w:r w:rsidRPr="0064234E">
        <w:t xml:space="preserve">that require H Block licensees to pay a </w:t>
      </w:r>
      <w:r w:rsidRPr="00175517">
        <w:rPr>
          <w:i/>
        </w:rPr>
        <w:t>pro rata</w:t>
      </w:r>
      <w:r w:rsidRPr="0064234E">
        <w:t xml:space="preserve"> share of expenses previously incurred by UTAM, Inc. (“UTAM”) and by Sprint Nextel, Inc. (“Sprint”) in clearing incumbents from the Lower H Block and the Upper H Block, respectively.</w:t>
      </w:r>
      <w:r w:rsidRPr="0064234E">
        <w:rPr>
          <w:rStyle w:val="FootnoteReference"/>
        </w:rPr>
        <w:footnoteReference w:id="65"/>
      </w:r>
      <w:r w:rsidRPr="0064234E">
        <w:t xml:space="preserve">  </w:t>
      </w:r>
    </w:p>
    <w:p w:rsidR="00175517" w:rsidRPr="0064234E" w:rsidRDefault="00175517" w:rsidP="00175517">
      <w:pPr>
        <w:pStyle w:val="ParaNum"/>
        <w:widowControl/>
        <w:numPr>
          <w:ilvl w:val="0"/>
          <w:numId w:val="0"/>
        </w:numPr>
        <w:spacing w:after="0"/>
        <w:ind w:left="720"/>
      </w:pPr>
    </w:p>
    <w:p w:rsidR="00F06209" w:rsidRPr="0064234E" w:rsidRDefault="00F06209" w:rsidP="00F06209">
      <w:pPr>
        <w:pStyle w:val="ParaNum"/>
        <w:widowControl/>
        <w:tabs>
          <w:tab w:val="clear" w:pos="1260"/>
          <w:tab w:val="num" w:pos="1440"/>
        </w:tabs>
        <w:ind w:left="0"/>
      </w:pPr>
      <w:r w:rsidRPr="0064234E">
        <w:t xml:space="preserve">Under the cost sharing formula adopted in the </w:t>
      </w:r>
      <w:r w:rsidRPr="0064234E">
        <w:rPr>
          <w:i/>
        </w:rPr>
        <w:t>H Block Report and Order</w:t>
      </w:r>
      <w:r w:rsidRPr="0064234E">
        <w:t>, the reimbursement amount owed (“RN”) to UTAM with respect to the 1915-1920 MHz band will be determined by dividing the gross winning bid (“GWB”)</w:t>
      </w:r>
      <w:r w:rsidRPr="0064234E">
        <w:rPr>
          <w:rStyle w:val="FootnoteReference"/>
          <w:szCs w:val="22"/>
        </w:rPr>
        <w:t xml:space="preserve"> </w:t>
      </w:r>
      <w:r w:rsidRPr="0064234E">
        <w:t>for an H Block license by the sum of the gross winning bids for all H Block licenses won in Auction 96 and then multiplying that result by $12,629,857—the total amount owed to UTAM for clearing the Lower H Block.</w:t>
      </w:r>
      <w:r w:rsidRPr="0064234E">
        <w:rPr>
          <w:rStyle w:val="FootnoteReference"/>
        </w:rPr>
        <w:footnoteReference w:id="66"/>
      </w:r>
      <w:r w:rsidRPr="0064234E">
        <w:t xml:space="preserve">  The cost-sharing formula for the Lower H Block is as follows: </w:t>
      </w:r>
    </w:p>
    <w:p w:rsidR="00F06209" w:rsidRPr="0064234E" w:rsidRDefault="00F06209" w:rsidP="00F06209">
      <w:pPr>
        <w:widowControl/>
        <w:ind w:left="1440"/>
      </w:pPr>
      <w:r>
        <w:rPr>
          <w:noProof/>
          <w:snapToGrid/>
        </w:rPr>
        <mc:AlternateContent>
          <mc:Choice Requires="wpc">
            <w:drawing>
              <wp:inline distT="0" distB="0" distL="0" distR="0" wp14:anchorId="274A4F33" wp14:editId="68CD28F9">
                <wp:extent cx="3187065" cy="742950"/>
                <wp:effectExtent l="0" t="0" r="0" b="0"/>
                <wp:docPr id="38"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 name="Line 13"/>
                        <wps:cNvCnPr>
                          <a:cxnSpLocks noChangeShapeType="1"/>
                        </wps:cNvCnPr>
                        <wps:spPr bwMode="auto">
                          <a:xfrm>
                            <a:off x="849517" y="318521"/>
                            <a:ext cx="84951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4"/>
                        <wps:cNvSpPr txBox="1">
                          <a:spLocks noChangeArrowheads="1"/>
                        </wps:cNvSpPr>
                        <wps:spPr bwMode="auto">
                          <a:xfrm>
                            <a:off x="0" y="201014"/>
                            <a:ext cx="530911" cy="317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663" w:rsidRDefault="00FE4663" w:rsidP="00F06209">
                              <w:pPr>
                                <w:rPr>
                                  <w:szCs w:val="22"/>
                                </w:rPr>
                              </w:pPr>
                              <w:r>
                                <w:rPr>
                                  <w:i/>
                                  <w:szCs w:val="22"/>
                                </w:rPr>
                                <w:t>RN</w:t>
                              </w:r>
                              <w:r>
                                <w:rPr>
                                  <w:szCs w:val="22"/>
                                </w:rPr>
                                <w:t xml:space="preserve">  =</w:t>
                              </w:r>
                            </w:p>
                          </w:txbxContent>
                        </wps:txbx>
                        <wps:bodyPr rot="0" vert="horz" wrap="square" lIns="84166" tIns="42084" rIns="84166" bIns="42084" anchor="t" anchorCtr="0" upright="1">
                          <a:noAutofit/>
                        </wps:bodyPr>
                      </wps:wsp>
                      <wps:wsp>
                        <wps:cNvPr id="26" name="Text Box 15"/>
                        <wps:cNvSpPr txBox="1">
                          <a:spLocks noChangeArrowheads="1"/>
                        </wps:cNvSpPr>
                        <wps:spPr bwMode="auto">
                          <a:xfrm>
                            <a:off x="849517" y="0"/>
                            <a:ext cx="849517" cy="212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663" w:rsidRDefault="00FE4663" w:rsidP="00F06209">
                              <w:pPr>
                                <w:rPr>
                                  <w:sz w:val="20"/>
                                </w:rPr>
                              </w:pPr>
                              <w:r>
                                <w:rPr>
                                  <w:sz w:val="20"/>
                                </w:rPr>
                                <w:t>EA GWB</w:t>
                              </w:r>
                            </w:p>
                          </w:txbxContent>
                        </wps:txbx>
                        <wps:bodyPr rot="0" vert="horz" wrap="square" lIns="84166" tIns="42084" rIns="84166" bIns="42084" anchor="t" anchorCtr="0" upright="1">
                          <a:noAutofit/>
                        </wps:bodyPr>
                      </wps:wsp>
                      <wps:wsp>
                        <wps:cNvPr id="27" name="Text Box 16"/>
                        <wps:cNvSpPr txBox="1">
                          <a:spLocks noChangeArrowheads="1"/>
                        </wps:cNvSpPr>
                        <wps:spPr bwMode="auto">
                          <a:xfrm>
                            <a:off x="743315" y="424429"/>
                            <a:ext cx="1061922" cy="318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663" w:rsidRDefault="00FE4663" w:rsidP="00F06209">
                              <w:pPr>
                                <w:rPr>
                                  <w:sz w:val="20"/>
                                </w:rPr>
                              </w:pPr>
                              <w:r>
                                <w:rPr>
                                  <w:sz w:val="20"/>
                                </w:rPr>
                                <w:t>Sum of GWBs</w:t>
                              </w:r>
                            </w:p>
                          </w:txbxContent>
                        </wps:txbx>
                        <wps:bodyPr rot="0" vert="horz" wrap="square" lIns="84166" tIns="42084" rIns="84166" bIns="42084" anchor="t" anchorCtr="0" upright="1">
                          <a:noAutofit/>
                        </wps:bodyPr>
                      </wps:wsp>
                      <wps:wsp>
                        <wps:cNvPr id="28" name="Text Box 17"/>
                        <wps:cNvSpPr txBox="1">
                          <a:spLocks noChangeArrowheads="1"/>
                        </wps:cNvSpPr>
                        <wps:spPr bwMode="auto">
                          <a:xfrm>
                            <a:off x="424709" y="0"/>
                            <a:ext cx="318606"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663" w:rsidRDefault="00FE4663" w:rsidP="00F06209">
                              <w:pPr>
                                <w:rPr>
                                  <w:sz w:val="66"/>
                                  <w:szCs w:val="72"/>
                                </w:rPr>
                              </w:pPr>
                              <w:r>
                                <w:rPr>
                                  <w:rFonts w:ascii="Garamond" w:hAnsi="Garamond"/>
                                  <w:sz w:val="66"/>
                                  <w:szCs w:val="72"/>
                                </w:rPr>
                                <w:t>(</w:t>
                              </w:r>
                            </w:p>
                          </w:txbxContent>
                        </wps:txbx>
                        <wps:bodyPr rot="0" vert="horz" wrap="square" lIns="84166" tIns="42084" rIns="84166" bIns="42084" anchor="t" anchorCtr="0" upright="1">
                          <a:noAutofit/>
                        </wps:bodyPr>
                      </wps:wsp>
                      <wps:wsp>
                        <wps:cNvPr id="29" name="Text Box 18"/>
                        <wps:cNvSpPr txBox="1">
                          <a:spLocks noChangeArrowheads="1"/>
                        </wps:cNvSpPr>
                        <wps:spPr bwMode="auto">
                          <a:xfrm>
                            <a:off x="1699035" y="0"/>
                            <a:ext cx="318506"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663" w:rsidRDefault="00FE4663" w:rsidP="00F06209">
                              <w:pPr>
                                <w:rPr>
                                  <w:sz w:val="20"/>
                                </w:rPr>
                              </w:pPr>
                              <w:r>
                                <w:rPr>
                                  <w:rFonts w:ascii="Garamond" w:hAnsi="Garamond"/>
                                  <w:sz w:val="66"/>
                                  <w:szCs w:val="72"/>
                                </w:rPr>
                                <w:t>)</w:t>
                              </w:r>
                            </w:p>
                          </w:txbxContent>
                        </wps:txbx>
                        <wps:bodyPr rot="0" vert="horz" wrap="square" lIns="84166" tIns="42084" rIns="84166" bIns="42084" anchor="t" anchorCtr="0" upright="1">
                          <a:noAutofit/>
                        </wps:bodyPr>
                      </wps:wsp>
                      <wps:wsp>
                        <wps:cNvPr id="30" name="Text Box 19"/>
                        <wps:cNvSpPr txBox="1">
                          <a:spLocks noChangeArrowheads="1"/>
                        </wps:cNvSpPr>
                        <wps:spPr bwMode="auto">
                          <a:xfrm>
                            <a:off x="1912839" y="202914"/>
                            <a:ext cx="1274226" cy="31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663" w:rsidRDefault="00FE4663" w:rsidP="00F06209">
                              <w:pPr>
                                <w:rPr>
                                  <w:szCs w:val="22"/>
                                </w:rPr>
                              </w:pPr>
                              <w:r>
                                <w:rPr>
                                  <w:i/>
                                  <w:szCs w:val="22"/>
                                </w:rPr>
                                <w:t>x</w:t>
                              </w:r>
                              <w:r>
                                <w:rPr>
                                  <w:szCs w:val="22"/>
                                </w:rPr>
                                <w:t xml:space="preserve"> $12,629,857</w:t>
                              </w:r>
                            </w:p>
                          </w:txbxContent>
                        </wps:txbx>
                        <wps:bodyPr rot="0" vert="horz" wrap="square" lIns="84166" tIns="42084" rIns="84166" bIns="42084" anchor="t" anchorCtr="0" upright="1">
                          <a:noAutofit/>
                        </wps:bodyPr>
                      </wps:wsp>
                    </wpc:wpc>
                  </a:graphicData>
                </a:graphic>
              </wp:inline>
            </w:drawing>
          </mc:Choice>
          <mc:Fallback>
            <w:pict>
              <v:group id="Canvas 17" o:spid="_x0000_s1026" editas="canvas" style="width:250.95pt;height:58.5pt;mso-position-horizontal-relative:char;mso-position-vertical-relative:line" coordsize="3187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870;height:7429;visibility:visible;mso-wrap-style:square">
                  <v:fill o:detectmouseclick="t"/>
                  <v:path o:connecttype="none"/>
                </v:shape>
                <v:line id="Line 13" o:spid="_x0000_s1028" style="position:absolute;visibility:visible;mso-wrap-style:square" from="8495,3185" to="1699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type id="_x0000_t202" coordsize="21600,21600" o:spt="202" path="m,l,21600r21600,l21600,xe">
                  <v:stroke joinstyle="miter"/>
                  <v:path gradientshapeok="t" o:connecttype="rect"/>
                </v:shapetype>
                <v:shape id="Text Box 14" o:spid="_x0000_s1029" type="#_x0000_t202" style="position:absolute;top:2010;width:5309;height: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w/cIA&#10;AADbAAAADwAAAGRycy9kb3ducmV2LnhtbESPzYrCQBCE74LvMLTgTSdGNiRZR/EX9uLBuA/QZHqT&#10;sJmekBk1vr2zsOCxqKqvqNVmMK24U+8aywoW8wgEcWl1w5WC7+tploJwHllja5kUPMnBZj0erTDX&#10;9sEXuhe+EgHCLkcFtfddLqUrazLo5rYjDt6P7Q36IPtK6h4fAW5aGUdRIg02HBZq7GhfU/lb3IyC&#10;7RJTOhyTJtvRLU6yLD0nMlVqOhm2nyA8Df4d/m9/aQXxB/x9C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DD9wgAAANsAAAAPAAAAAAAAAAAAAAAAAJgCAABkcnMvZG93&#10;bnJldi54bWxQSwUGAAAAAAQABAD1AAAAhwMAAAAA&#10;" stroked="f">
                  <v:textbox inset="2.33794mm,1.169mm,2.33794mm,1.169mm">
                    <w:txbxContent>
                      <w:p w:rsidR="00FE4663" w:rsidRDefault="00FE4663" w:rsidP="00F06209">
                        <w:pPr>
                          <w:rPr>
                            <w:szCs w:val="22"/>
                          </w:rPr>
                        </w:pPr>
                        <w:r>
                          <w:rPr>
                            <w:i/>
                            <w:szCs w:val="22"/>
                          </w:rPr>
                          <w:t>RN</w:t>
                        </w:r>
                        <w:r>
                          <w:rPr>
                            <w:szCs w:val="22"/>
                          </w:rPr>
                          <w:t xml:space="preserve">  =</w:t>
                        </w:r>
                      </w:p>
                    </w:txbxContent>
                  </v:textbox>
                </v:shape>
                <v:shape id="Text Box 15" o:spid="_x0000_s1030" type="#_x0000_t202" style="position:absolute;left:8495;width:8495;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isIA&#10;AADbAAAADwAAAGRycy9kb3ducmV2LnhtbESPwWrDMBBE74X8g9hCb7VcB4TtRAlJm0AvPdTJByzW&#10;1ja1VsaSHffvo0Khx2Fm3jDb/WJ7MdPoO8caXpIUBHHtTMeNhuvl/JyD8AHZYO+YNPyQh/1u9bDF&#10;0rgbf9JchUZECPsSNbQhDKWUvm7Jok/cQBy9LzdaDFGOjTQj3iLc9jJLUyUtdhwXWhzotaX6u5qs&#10;hsMac3o7qa440pSposg/lMy1fnpcDhsQgZbwH/5rvxsNmYLfL/EH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9q6KwgAAANsAAAAPAAAAAAAAAAAAAAAAAJgCAABkcnMvZG93&#10;bnJldi54bWxQSwUGAAAAAAQABAD1AAAAhwMAAAAA&#10;" stroked="f">
                  <v:textbox inset="2.33794mm,1.169mm,2.33794mm,1.169mm">
                    <w:txbxContent>
                      <w:p w:rsidR="00FE4663" w:rsidRDefault="00FE4663" w:rsidP="00F06209">
                        <w:pPr>
                          <w:rPr>
                            <w:sz w:val="20"/>
                          </w:rPr>
                        </w:pPr>
                        <w:r>
                          <w:rPr>
                            <w:sz w:val="20"/>
                          </w:rPr>
                          <w:t>EA GWB</w:t>
                        </w:r>
                      </w:p>
                    </w:txbxContent>
                  </v:textbox>
                </v:shape>
                <v:shape id="Text Box 16" o:spid="_x0000_s1031" type="#_x0000_t202" style="position:absolute;left:7433;top:4244;width:10619;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LEcMA&#10;AADbAAAADwAAAGRycy9kb3ducmV2LnhtbESPQWuDQBSE74X+h+UFeqtrLFg1bkLappBLD03zAx7u&#10;i0rct+Ju1Pz7biCQ4zAz3zDlZjadGGlwrWUFyygGQVxZ3XKt4Pj3/ZqBcB5ZY2eZFFzJwWb9/FRi&#10;oe3EvzQefC0ChF2BChrv+0JKVzVk0EW2Jw7eyQ4GfZBDLfWAU4CbTiZxnEqDLYeFBnv6bKg6Hy5G&#10;wfYNM/rapW3+QZckzfPsJ5WZUi+LebsC4Wn2j/C9vdcKkne4fQ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oLEcMAAADbAAAADwAAAAAAAAAAAAAAAACYAgAAZHJzL2Rv&#10;d25yZXYueG1sUEsFBgAAAAAEAAQA9QAAAIgDAAAAAA==&#10;" stroked="f">
                  <v:textbox inset="2.33794mm,1.169mm,2.33794mm,1.169mm">
                    <w:txbxContent>
                      <w:p w:rsidR="00FE4663" w:rsidRDefault="00FE4663" w:rsidP="00F06209">
                        <w:pPr>
                          <w:rPr>
                            <w:sz w:val="20"/>
                          </w:rPr>
                        </w:pPr>
                        <w:r>
                          <w:rPr>
                            <w:sz w:val="20"/>
                          </w:rPr>
                          <w:t>Sum of GWBs</w:t>
                        </w:r>
                      </w:p>
                    </w:txbxContent>
                  </v:textbox>
                </v:shape>
                <v:shape id="Text Box 17" o:spid="_x0000_s1032" type="#_x0000_t202" style="position:absolute;left:4247;width:3186;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fY78A&#10;AADbAAAADwAAAGRycy9kb3ducmV2LnhtbERPy46CMBTdT+I/NNfE3VjEhABaiM9kNrMYZj7ghl6B&#10;SG8JrYp/bxcmszw57205mV7caXSdZQWrZQSCuLa640bB3+/5MwXhPLLG3jIpeJKDsph9bDHX9sE/&#10;dK98I0IIuxwVtN4PuZSubsmgW9qBOHAXOxr0AY6N1CM+QrjpZRxFiTTYcWhocaBDS/W1uhkFuzWm&#10;dDwlXbanW5xkWfqdyFSpxXzabUB4mvy/+O3+0griMDZ8CT9AF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JZ9jvwAAANsAAAAPAAAAAAAAAAAAAAAAAJgCAABkcnMvZG93bnJl&#10;di54bWxQSwUGAAAAAAQABAD1AAAAhAMAAAAA&#10;" stroked="f">
                  <v:textbox inset="2.33794mm,1.169mm,2.33794mm,1.169mm">
                    <w:txbxContent>
                      <w:p w:rsidR="00FE4663" w:rsidRDefault="00FE4663" w:rsidP="00F06209">
                        <w:pPr>
                          <w:rPr>
                            <w:sz w:val="66"/>
                            <w:szCs w:val="72"/>
                          </w:rPr>
                        </w:pPr>
                        <w:r>
                          <w:rPr>
                            <w:rFonts w:ascii="Garamond" w:hAnsi="Garamond"/>
                            <w:sz w:val="66"/>
                            <w:szCs w:val="72"/>
                          </w:rPr>
                          <w:t>(</w:t>
                        </w:r>
                      </w:p>
                    </w:txbxContent>
                  </v:textbox>
                </v:shape>
                <v:shape id="Text Box 18" o:spid="_x0000_s1033" type="#_x0000_t202" style="position:absolute;left:16990;width:3185;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6+MIA&#10;AADbAAAADwAAAGRycy9kb3ducmV2LnhtbESPzYrCQBCE7wu+w9CCt3VihJBExxD/YC97WPUBmkyb&#10;BDM9ITNqfHtnYWGPRVV9Ra2L0XTiQYNrLStYzCMQxJXVLdcKLufjZwrCeWSNnWVS8CIHxWbyscZc&#10;2yf/0OPkaxEg7HJU0Hjf51K6qiGDbm574uBd7WDQBznUUg/4DHDTyTiKEmmw5bDQYE+7hqrb6W4U&#10;lEtMaX9I2mxL9zjJsvQ7kalSs+lYrkB4Gv1/+K/9pRXEGfx+CT9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Tr4wgAAANsAAAAPAAAAAAAAAAAAAAAAAJgCAABkcnMvZG93&#10;bnJldi54bWxQSwUGAAAAAAQABAD1AAAAhwMAAAAA&#10;" stroked="f">
                  <v:textbox inset="2.33794mm,1.169mm,2.33794mm,1.169mm">
                    <w:txbxContent>
                      <w:p w:rsidR="00FE4663" w:rsidRDefault="00FE4663" w:rsidP="00F06209">
                        <w:pPr>
                          <w:rPr>
                            <w:sz w:val="20"/>
                          </w:rPr>
                        </w:pPr>
                        <w:r>
                          <w:rPr>
                            <w:rFonts w:ascii="Garamond" w:hAnsi="Garamond"/>
                            <w:sz w:val="66"/>
                            <w:szCs w:val="72"/>
                          </w:rPr>
                          <w:t>)</w:t>
                        </w:r>
                      </w:p>
                    </w:txbxContent>
                  </v:textbox>
                </v:shape>
                <v:shape id="Text Box 19" o:spid="_x0000_s1034" type="#_x0000_t202" style="position:absolute;left:19128;top:2029;width:12742;height:3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uLwA&#10;AADbAAAADwAAAGRycy9kb3ducmV2LnhtbERPSwrCMBDdC94hjOBOUxVKW43iF9y48HOAoRnbYjMp&#10;TdR6e7MQXD7ef7HqTC1e1LrKsoLJOAJBnFtdcaHgdj2MEhDOI2usLZOCDzlYLfu9BWbavvlMr4sv&#10;RAhhl6GC0vsmk9LlJRl0Y9sQB+5uW4M+wLaQusV3CDe1nEZRLA1WHBpKbGhbUv64PI2C9QwT2u3j&#10;Kt3QcxqnaXKKZaLUcNCt5yA8df4v/rmPWsEsrA9fw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6igW4vAAAANsAAAAPAAAAAAAAAAAAAAAAAJgCAABkcnMvZG93bnJldi54&#10;bWxQSwUGAAAAAAQABAD1AAAAgQMAAAAA&#10;" stroked="f">
                  <v:textbox inset="2.33794mm,1.169mm,2.33794mm,1.169mm">
                    <w:txbxContent>
                      <w:p w:rsidR="00FE4663" w:rsidRDefault="00FE4663" w:rsidP="00F06209">
                        <w:pPr>
                          <w:rPr>
                            <w:szCs w:val="22"/>
                          </w:rPr>
                        </w:pPr>
                        <w:r>
                          <w:rPr>
                            <w:i/>
                            <w:szCs w:val="22"/>
                          </w:rPr>
                          <w:t>x</w:t>
                        </w:r>
                        <w:r>
                          <w:rPr>
                            <w:szCs w:val="22"/>
                          </w:rPr>
                          <w:t xml:space="preserve"> $12,629,857</w:t>
                        </w:r>
                      </w:p>
                    </w:txbxContent>
                  </v:textbox>
                </v:shape>
                <w10:anchorlock/>
              </v:group>
            </w:pict>
          </mc:Fallback>
        </mc:AlternateContent>
      </w:r>
    </w:p>
    <w:p w:rsidR="00F06209" w:rsidRPr="0064234E" w:rsidRDefault="00F06209" w:rsidP="00F06209">
      <w:pPr>
        <w:pStyle w:val="ParaNum"/>
        <w:widowControl/>
        <w:tabs>
          <w:tab w:val="clear" w:pos="1260"/>
          <w:tab w:val="num" w:pos="1440"/>
        </w:tabs>
        <w:ind w:left="0"/>
      </w:pPr>
      <w:r w:rsidRPr="0064234E">
        <w:t xml:space="preserve">The </w:t>
      </w:r>
      <w:r w:rsidRPr="0064234E">
        <w:rPr>
          <w:i/>
        </w:rPr>
        <w:t>H Block Report and Order</w:t>
      </w:r>
      <w:r w:rsidRPr="0064234E">
        <w:t xml:space="preserve"> adopted the same cost-sharing formula for the Upper H Block (1995-2000 MHz band) related to Sprint’s clearing costs of $94,875,516:</w:t>
      </w:r>
      <w:r w:rsidRPr="0064234E">
        <w:rPr>
          <w:rStyle w:val="FootnoteReference"/>
        </w:rPr>
        <w:footnoteReference w:id="67"/>
      </w:r>
    </w:p>
    <w:p w:rsidR="00F06209" w:rsidRPr="0064234E" w:rsidRDefault="00F06209" w:rsidP="00F06209">
      <w:pPr>
        <w:pStyle w:val="ParaNum"/>
        <w:widowControl/>
        <w:numPr>
          <w:ilvl w:val="0"/>
          <w:numId w:val="0"/>
        </w:numPr>
        <w:ind w:left="720" w:firstLine="720"/>
      </w:pPr>
      <w:r>
        <w:rPr>
          <w:noProof/>
          <w:snapToGrid/>
        </w:rPr>
        <mc:AlternateContent>
          <mc:Choice Requires="wpc">
            <w:drawing>
              <wp:inline distT="0" distB="0" distL="0" distR="0" wp14:anchorId="21A9C34F" wp14:editId="08B661EE">
                <wp:extent cx="3187065" cy="742950"/>
                <wp:effectExtent l="0" t="0" r="0" b="0"/>
                <wp:docPr id="39"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Line 4"/>
                        <wps:cNvCnPr>
                          <a:cxnSpLocks noChangeShapeType="1"/>
                        </wps:cNvCnPr>
                        <wps:spPr bwMode="auto">
                          <a:xfrm>
                            <a:off x="849517" y="318521"/>
                            <a:ext cx="84951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5"/>
                        <wps:cNvSpPr txBox="1">
                          <a:spLocks noChangeArrowheads="1"/>
                        </wps:cNvSpPr>
                        <wps:spPr bwMode="auto">
                          <a:xfrm>
                            <a:off x="0" y="210614"/>
                            <a:ext cx="530911" cy="252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663" w:rsidRDefault="00FE4663" w:rsidP="00F06209">
                              <w:pPr>
                                <w:rPr>
                                  <w:szCs w:val="22"/>
                                </w:rPr>
                              </w:pPr>
                              <w:r>
                                <w:rPr>
                                  <w:i/>
                                  <w:szCs w:val="22"/>
                                </w:rPr>
                                <w:t>RN</w:t>
                              </w:r>
                              <w:r>
                                <w:rPr>
                                  <w:szCs w:val="22"/>
                                </w:rPr>
                                <w:t xml:space="preserve">  =</w:t>
                              </w:r>
                            </w:p>
                          </w:txbxContent>
                        </wps:txbx>
                        <wps:bodyPr rot="0" vert="horz" wrap="square" lIns="84166" tIns="42084" rIns="84166" bIns="42084" anchor="t" anchorCtr="0" upright="1">
                          <a:noAutofit/>
                        </wps:bodyPr>
                      </wps:wsp>
                      <wps:wsp>
                        <wps:cNvPr id="33" name="Text Box 6"/>
                        <wps:cNvSpPr txBox="1">
                          <a:spLocks noChangeArrowheads="1"/>
                        </wps:cNvSpPr>
                        <wps:spPr bwMode="auto">
                          <a:xfrm>
                            <a:off x="849517" y="0"/>
                            <a:ext cx="849517" cy="2125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663" w:rsidRDefault="00FE4663" w:rsidP="00F06209">
                              <w:pPr>
                                <w:rPr>
                                  <w:sz w:val="20"/>
                                </w:rPr>
                              </w:pPr>
                              <w:r>
                                <w:rPr>
                                  <w:sz w:val="20"/>
                                </w:rPr>
                                <w:t>EA GWB</w:t>
                              </w:r>
                            </w:p>
                          </w:txbxContent>
                        </wps:txbx>
                        <wps:bodyPr rot="0" vert="horz" wrap="square" lIns="84166" tIns="42084" rIns="84166" bIns="42084" anchor="t" anchorCtr="0" upright="1">
                          <a:noAutofit/>
                        </wps:bodyPr>
                      </wps:wsp>
                      <wps:wsp>
                        <wps:cNvPr id="34" name="Text Box 7"/>
                        <wps:cNvSpPr txBox="1">
                          <a:spLocks noChangeArrowheads="1"/>
                        </wps:cNvSpPr>
                        <wps:spPr bwMode="auto">
                          <a:xfrm>
                            <a:off x="743315" y="424429"/>
                            <a:ext cx="1061922" cy="318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663" w:rsidRDefault="00FE4663" w:rsidP="00F06209">
                              <w:pPr>
                                <w:rPr>
                                  <w:sz w:val="20"/>
                                </w:rPr>
                              </w:pPr>
                              <w:r>
                                <w:rPr>
                                  <w:sz w:val="20"/>
                                </w:rPr>
                                <w:t>Sum of GWBs</w:t>
                              </w:r>
                            </w:p>
                          </w:txbxContent>
                        </wps:txbx>
                        <wps:bodyPr rot="0" vert="horz" wrap="square" lIns="84166" tIns="42084" rIns="84166" bIns="42084" anchor="t" anchorCtr="0" upright="1">
                          <a:noAutofit/>
                        </wps:bodyPr>
                      </wps:wsp>
                      <wps:wsp>
                        <wps:cNvPr id="35" name="Text Box 8"/>
                        <wps:cNvSpPr txBox="1">
                          <a:spLocks noChangeArrowheads="1"/>
                        </wps:cNvSpPr>
                        <wps:spPr bwMode="auto">
                          <a:xfrm>
                            <a:off x="424709" y="0"/>
                            <a:ext cx="318606"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663" w:rsidRDefault="00FE4663" w:rsidP="00F06209">
                              <w:pPr>
                                <w:rPr>
                                  <w:sz w:val="66"/>
                                  <w:szCs w:val="72"/>
                                </w:rPr>
                              </w:pPr>
                              <w:r>
                                <w:rPr>
                                  <w:rFonts w:ascii="Garamond" w:hAnsi="Garamond"/>
                                  <w:sz w:val="66"/>
                                  <w:szCs w:val="72"/>
                                </w:rPr>
                                <w:t>(</w:t>
                              </w:r>
                            </w:p>
                          </w:txbxContent>
                        </wps:txbx>
                        <wps:bodyPr rot="0" vert="horz" wrap="square" lIns="84166" tIns="42084" rIns="84166" bIns="42084" anchor="t" anchorCtr="0" upright="1">
                          <a:noAutofit/>
                        </wps:bodyPr>
                      </wps:wsp>
                      <wps:wsp>
                        <wps:cNvPr id="36" name="Text Box 9"/>
                        <wps:cNvSpPr txBox="1">
                          <a:spLocks noChangeArrowheads="1"/>
                        </wps:cNvSpPr>
                        <wps:spPr bwMode="auto">
                          <a:xfrm>
                            <a:off x="1699035" y="0"/>
                            <a:ext cx="318506"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663" w:rsidRDefault="00FE4663" w:rsidP="00F06209">
                              <w:pPr>
                                <w:rPr>
                                  <w:sz w:val="20"/>
                                </w:rPr>
                              </w:pPr>
                              <w:r>
                                <w:rPr>
                                  <w:rFonts w:ascii="Garamond" w:hAnsi="Garamond"/>
                                  <w:sz w:val="66"/>
                                  <w:szCs w:val="72"/>
                                </w:rPr>
                                <w:t>)</w:t>
                              </w:r>
                            </w:p>
                          </w:txbxContent>
                        </wps:txbx>
                        <wps:bodyPr rot="0" vert="horz" wrap="square" lIns="84166" tIns="42084" rIns="84166" bIns="42084" anchor="t" anchorCtr="0" upright="1">
                          <a:noAutofit/>
                        </wps:bodyPr>
                      </wps:wsp>
                      <wps:wsp>
                        <wps:cNvPr id="37" name="Text Box 10"/>
                        <wps:cNvSpPr txBox="1">
                          <a:spLocks noChangeArrowheads="1"/>
                        </wps:cNvSpPr>
                        <wps:spPr bwMode="auto">
                          <a:xfrm>
                            <a:off x="1912839" y="202914"/>
                            <a:ext cx="1269326" cy="243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663" w:rsidRDefault="00FE4663" w:rsidP="00F06209">
                              <w:pPr>
                                <w:rPr>
                                  <w:sz w:val="20"/>
                                </w:rPr>
                              </w:pPr>
                              <w:r>
                                <w:rPr>
                                  <w:i/>
                                  <w:sz w:val="20"/>
                                </w:rPr>
                                <w:t>x</w:t>
                              </w:r>
                              <w:r>
                                <w:rPr>
                                  <w:sz w:val="20"/>
                                </w:rPr>
                                <w:t xml:space="preserve"> </w:t>
                              </w:r>
                              <w:r>
                                <w:t>$94,875,516</w:t>
                              </w:r>
                            </w:p>
                          </w:txbxContent>
                        </wps:txbx>
                        <wps:bodyPr rot="0" vert="horz" wrap="square" lIns="84166" tIns="42084" rIns="84166" bIns="42084" anchor="t" anchorCtr="0" upright="1">
                          <a:noAutofit/>
                        </wps:bodyPr>
                      </wps:wsp>
                    </wpc:wpc>
                  </a:graphicData>
                </a:graphic>
              </wp:inline>
            </w:drawing>
          </mc:Choice>
          <mc:Fallback>
            <w:pict>
              <v:group id="Canvas 9" o:spid="_x0000_s1035" editas="canvas" style="width:250.95pt;height:58.5pt;mso-position-horizontal-relative:char;mso-position-vertical-relative:line" coordsize="3187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">
                <v:shape id="_x0000_s1036" type="#_x0000_t75" style="position:absolute;width:31870;height:7429;visibility:visible;mso-wrap-style:square">
                  <v:fill o:detectmouseclick="t"/>
                  <v:path o:connecttype="none"/>
                </v:shape>
                <v:line id="Line 4" o:spid="_x0000_s1037" style="position:absolute;visibility:visible;mso-wrap-style:square" from="8495,3185" to="1699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_x0000_s1038" type="#_x0000_t202" style="position:absolute;top:2106;width:5309;height:2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VMMA&#10;AADbAAAADwAAAGRycy9kb3ducmV2LnhtbESPzWrDMBCE74G8g9hAb4lcG4ztWg7pTyCXHJL2ARZr&#10;a5taK2Mpsfv2USCQ4zAz3zDldja9uNLoOssKXjcRCOLa6o4bBT/f+3UGwnlkjb1lUvBPDrbVclFi&#10;oe3EJ7qefSMChF2BClrvh0JKV7dk0G3sQBy8Xzsa9EGOjdQjTgFuehlHUSoNdhwWWhzoo6X673wx&#10;CnYJZvT5lXb5O13iNM+zYyozpV5W8+4NhKfZP8OP9kErSGK4fwk/QF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Q+VMMAAADbAAAADwAAAAAAAAAAAAAAAACYAgAAZHJzL2Rv&#10;d25yZXYueG1sUEsFBgAAAAAEAAQA9QAAAIgDAAAAAA==&#10;" stroked="f">
                  <v:textbox inset="2.33794mm,1.169mm,2.33794mm,1.169mm">
                    <w:txbxContent>
                      <w:p w:rsidR="00FE4663" w:rsidRDefault="00FE4663" w:rsidP="00F06209">
                        <w:pPr>
                          <w:rPr>
                            <w:szCs w:val="22"/>
                          </w:rPr>
                        </w:pPr>
                        <w:r>
                          <w:rPr>
                            <w:i/>
                            <w:szCs w:val="22"/>
                          </w:rPr>
                          <w:t>RN</w:t>
                        </w:r>
                        <w:r>
                          <w:rPr>
                            <w:szCs w:val="22"/>
                          </w:rPr>
                          <w:t xml:space="preserve">  =</w:t>
                        </w:r>
                      </w:p>
                    </w:txbxContent>
                  </v:textbox>
                </v:shape>
                <v:shape id="Text Box 6" o:spid="_x0000_s1039" type="#_x0000_t202" style="position:absolute;left:8495;width:8495;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bz8IA&#10;AADbAAAADwAAAGRycy9kb3ducmV2LnhtbESPQYvCMBSE74L/ITzBm6ZrobTVWKq7C1486O4PeDTP&#10;tmzzUpqo9d9vBMHjMDPfMJtiNJ240eBaywo+lhEI4srqlmsFvz/fixSE88gaO8uk4EEOiu10ssFc&#10;2zuf6Hb2tQgQdjkqaLzvcyld1ZBBt7Q9cfAudjDogxxqqQe8B7jp5CqKEmmw5bDQYE/7hqq/89Uo&#10;KGNM6fMrabMdXVdJlqXHRKZKzWdjuQbhafTv8Kt90AriGJ5fw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JvPwgAAANsAAAAPAAAAAAAAAAAAAAAAAJgCAABkcnMvZG93&#10;bnJldi54bWxQSwUGAAAAAAQABAD1AAAAhwMAAAAA&#10;" stroked="f">
                  <v:textbox inset="2.33794mm,1.169mm,2.33794mm,1.169mm">
                    <w:txbxContent>
                      <w:p w:rsidR="00FE4663" w:rsidRDefault="00FE4663" w:rsidP="00F06209">
                        <w:pPr>
                          <w:rPr>
                            <w:sz w:val="20"/>
                          </w:rPr>
                        </w:pPr>
                        <w:r>
                          <w:rPr>
                            <w:sz w:val="20"/>
                          </w:rPr>
                          <w:t>EA GWB</w:t>
                        </w:r>
                      </w:p>
                    </w:txbxContent>
                  </v:textbox>
                </v:shape>
                <v:shape id="Text Box 7" o:spid="_x0000_s1040" type="#_x0000_t202" style="position:absolute;left:7433;top:4244;width:10619;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Du8EA&#10;AADbAAAADwAAAGRycy9kb3ducmV2LnhtbESPS6vCMBSE94L/IRzBnaY+KG01iq8Lbu7Cxw84NMe2&#10;2JyUJmr99zeCcJfDzHzDLNedqcWTWldZVjAZRyCIc6srLhRcLz+jBITzyBpry6TgTQ7Wq35viZm2&#10;Lz7R8+wLESDsMlRQet9kUrq8JINubBvi4N1sa9AH2RZSt/gKcFPLaRTF0mDFYaHEhnYl5ffzwyjY&#10;zDCh/SGu0i09pnGaJr+xTJQaDrrNAoSnzv+Hv+2jVjCbw+dL+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xA7vBAAAA2wAAAA8AAAAAAAAAAAAAAAAAmAIAAGRycy9kb3du&#10;cmV2LnhtbFBLBQYAAAAABAAEAPUAAACGAwAAAAA=&#10;" stroked="f">
                  <v:textbox inset="2.33794mm,1.169mm,2.33794mm,1.169mm">
                    <w:txbxContent>
                      <w:p w:rsidR="00FE4663" w:rsidRDefault="00FE4663" w:rsidP="00F06209">
                        <w:pPr>
                          <w:rPr>
                            <w:sz w:val="20"/>
                          </w:rPr>
                        </w:pPr>
                        <w:r>
                          <w:rPr>
                            <w:sz w:val="20"/>
                          </w:rPr>
                          <w:t>Sum of GWBs</w:t>
                        </w:r>
                      </w:p>
                    </w:txbxContent>
                  </v:textbox>
                </v:shape>
                <v:shape id="Text Box 8" o:spid="_x0000_s1041" type="#_x0000_t202" style="position:absolute;left:4247;width:3186;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2mIMEA&#10;AADbAAAADwAAAGRycy9kb3ducmV2LnhtbESPzarCMBSE94LvEI7gTlMVS1uN4t8FN3fhzwMcmmNb&#10;bE5KE7W+/Y0g3OUwM98wy3VnavGk1lWWFUzGEQji3OqKCwXXy88oAeE8ssbaMil4k4P1qt9bYqbt&#10;i0/0PPtCBAi7DBWU3jeZlC4vyaAb24Y4eDfbGvRBtoXULb4C3NRyGkWxNFhxWCixoV1J+f38MAo2&#10;M0xof4irdEuPaZymyW8sE6WGg26zAOGp8//hb/uoFczm8PkSf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9piDBAAAA2wAAAA8AAAAAAAAAAAAAAAAAmAIAAGRycy9kb3du&#10;cmV2LnhtbFBLBQYAAAAABAAEAPUAAACGAwAAAAA=&#10;" stroked="f">
                  <v:textbox inset="2.33794mm,1.169mm,2.33794mm,1.169mm">
                    <w:txbxContent>
                      <w:p w:rsidR="00FE4663" w:rsidRDefault="00FE4663" w:rsidP="00F06209">
                        <w:pPr>
                          <w:rPr>
                            <w:sz w:val="66"/>
                            <w:szCs w:val="72"/>
                          </w:rPr>
                        </w:pPr>
                        <w:r>
                          <w:rPr>
                            <w:rFonts w:ascii="Garamond" w:hAnsi="Garamond"/>
                            <w:sz w:val="66"/>
                            <w:szCs w:val="72"/>
                          </w:rPr>
                          <w:t>(</w:t>
                        </w:r>
                      </w:p>
                    </w:txbxContent>
                  </v:textbox>
                </v:shape>
                <v:shape id="Text Box 9" o:spid="_x0000_s1042" type="#_x0000_t202" style="position:absolute;left:16990;width:3185;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84V8EA&#10;AADbAAAADwAAAGRycy9kb3ducmV2LnhtbESP3YrCMBSE7xd8h3AE79ZUhdBWo/gLe7MXqz7AoTm2&#10;xeakNFHr25sFwcthZr5hFqveNuJOna8da5iMExDEhTM1lxrOp8N3CsIHZIONY9LwJA+r5eBrgblx&#10;D/6j+zGUIkLY56ihCqHNpfRFRRb92LXE0bu4zmKIsiul6fAR4baR0yRR0mLNcaHClrYVFdfjzWpY&#10;zzCl3V7V2YZuU5Vl6a+SqdajYb+egwjUh0/43f4xGmYK/r/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vOFfBAAAA2wAAAA8AAAAAAAAAAAAAAAAAmAIAAGRycy9kb3du&#10;cmV2LnhtbFBLBQYAAAAABAAEAPUAAACGAwAAAAA=&#10;" stroked="f">
                  <v:textbox inset="2.33794mm,1.169mm,2.33794mm,1.169mm">
                    <w:txbxContent>
                      <w:p w:rsidR="00FE4663" w:rsidRDefault="00FE4663" w:rsidP="00F06209">
                        <w:pPr>
                          <w:rPr>
                            <w:sz w:val="20"/>
                          </w:rPr>
                        </w:pPr>
                        <w:r>
                          <w:rPr>
                            <w:rFonts w:ascii="Garamond" w:hAnsi="Garamond"/>
                            <w:sz w:val="66"/>
                            <w:szCs w:val="72"/>
                          </w:rPr>
                          <w:t>)</w:t>
                        </w:r>
                      </w:p>
                    </w:txbxContent>
                  </v:textbox>
                </v:shape>
                <v:shape id="Text Box 10" o:spid="_x0000_s1043" type="#_x0000_t202" style="position:absolute;left:19128;top:2029;width:12693;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OdzMIA&#10;AADbAAAADwAAAGRycy9kb3ducmV2LnhtbESPzYrCQBCE74LvMLTgTSerkE2ymYi/sJc9+PMATaY3&#10;CZvpCZlR49s7grDHoqq+ovLVYFpxo941lhV8zCMQxKXVDVcKLufDLAHhPLLG1jIpeJCDVTEe5Zhp&#10;e+cj3U6+EgHCLkMFtfddJqUrazLo5rYjDt6v7Q36IPtK6h7vAW5auYiiWBpsOCzU2NG2pvLvdDUK&#10;1ktMaLePm3RD10WcpslPLBOlppNh/QXC0+D/w+/2t1aw/ITXl/ADZP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Y53MwgAAANsAAAAPAAAAAAAAAAAAAAAAAJgCAABkcnMvZG93&#10;bnJldi54bWxQSwUGAAAAAAQABAD1AAAAhwMAAAAA&#10;" stroked="f">
                  <v:textbox inset="2.33794mm,1.169mm,2.33794mm,1.169mm">
                    <w:txbxContent>
                      <w:p w:rsidR="00FE4663" w:rsidRDefault="00FE4663" w:rsidP="00F06209">
                        <w:pPr>
                          <w:rPr>
                            <w:sz w:val="20"/>
                          </w:rPr>
                        </w:pPr>
                        <w:r>
                          <w:rPr>
                            <w:i/>
                            <w:sz w:val="20"/>
                          </w:rPr>
                          <w:t>x</w:t>
                        </w:r>
                        <w:r>
                          <w:rPr>
                            <w:sz w:val="20"/>
                          </w:rPr>
                          <w:t xml:space="preserve"> </w:t>
                        </w:r>
                        <w:r>
                          <w:t>$94,875,516</w:t>
                        </w:r>
                      </w:p>
                    </w:txbxContent>
                  </v:textbox>
                </v:shape>
                <w10:anchorlock/>
              </v:group>
            </w:pict>
          </mc:Fallback>
        </mc:AlternateContent>
      </w:r>
    </w:p>
    <w:p w:rsidR="00F06209" w:rsidRPr="0064234E" w:rsidRDefault="00F06209" w:rsidP="00F06209">
      <w:pPr>
        <w:pStyle w:val="ParaNum"/>
        <w:widowControl/>
        <w:tabs>
          <w:tab w:val="clear" w:pos="1260"/>
          <w:tab w:val="num" w:pos="1440"/>
        </w:tabs>
        <w:snapToGrid w:val="0"/>
        <w:ind w:left="0"/>
      </w:pPr>
      <w:r w:rsidRPr="0064234E">
        <w:t>Winning bidders are required to pay UTAM and Sprint, as applicable, the reimbursement amounts owed within thirty days after the grant of the winning bidders’ long-form license applications.</w:t>
      </w:r>
      <w:r w:rsidRPr="0064234E">
        <w:rPr>
          <w:rStyle w:val="FootnoteReference"/>
          <w:szCs w:val="22"/>
        </w:rPr>
        <w:footnoteReference w:id="68"/>
      </w:r>
    </w:p>
    <w:p w:rsidR="00F06209" w:rsidRDefault="00F06209" w:rsidP="00F06209">
      <w:pPr>
        <w:pStyle w:val="ParaNum"/>
        <w:widowControl/>
        <w:tabs>
          <w:tab w:val="clear" w:pos="1260"/>
          <w:tab w:val="num" w:pos="1440"/>
        </w:tabs>
        <w:snapToGrid w:val="0"/>
        <w:ind w:left="0"/>
      </w:pPr>
      <w:r w:rsidRPr="0064234E">
        <w:rPr>
          <w:szCs w:val="22"/>
        </w:rPr>
        <w:t>T</w:t>
      </w:r>
      <w:r w:rsidRPr="0064234E">
        <w:t xml:space="preserve">he Commission also adopted a contingency plan in the </w:t>
      </w:r>
      <w:r w:rsidRPr="0064234E">
        <w:rPr>
          <w:i/>
        </w:rPr>
        <w:t>H Block Report and Order</w:t>
      </w:r>
      <w:r w:rsidRPr="0064234E">
        <w:t xml:space="preserve"> that will be triggered in the unlikely event that licenses won in this auction cover less than forty percent of the U.S. population.</w:t>
      </w:r>
      <w:r w:rsidRPr="0064234E">
        <w:rPr>
          <w:rStyle w:val="FootnoteReference"/>
        </w:rPr>
        <w:footnoteReference w:id="69"/>
      </w:r>
      <w:r w:rsidRPr="0064234E">
        <w:t xml:space="preserve">  If such an event occurs, winning bidders—in this auction and in subsequent H Block auctions—will be required to timely pay UTAM and Sprint, respectively, their </w:t>
      </w:r>
      <w:r w:rsidRPr="0064234E">
        <w:rPr>
          <w:i/>
        </w:rPr>
        <w:t>pro rata</w:t>
      </w:r>
      <w:r w:rsidRPr="0064234E">
        <w:t xml:space="preserve"> share calculated by dividing the population of the individual EA by the total U.S. population and then multiplying this quotient by $12,629,857 for UTAM and by $94,875,516 for Sprint.</w:t>
      </w:r>
      <w:r w:rsidRPr="0064234E">
        <w:rPr>
          <w:rStyle w:val="FootnoteReference"/>
        </w:rPr>
        <w:footnoteReference w:id="70"/>
      </w:r>
      <w:r w:rsidRPr="0064234E">
        <w:t xml:space="preserve">  </w:t>
      </w:r>
    </w:p>
    <w:p w:rsidR="00F06209" w:rsidRDefault="00F06209" w:rsidP="00F06209">
      <w:pPr>
        <w:pStyle w:val="ParaNum"/>
        <w:widowControl/>
        <w:tabs>
          <w:tab w:val="clear" w:pos="1260"/>
          <w:tab w:val="num" w:pos="1440"/>
        </w:tabs>
        <w:snapToGrid w:val="0"/>
        <w:spacing w:after="0"/>
        <w:ind w:left="0"/>
      </w:pPr>
      <w:r>
        <w:t xml:space="preserve">The cost-sharing rules and contingency plan adopted in the </w:t>
      </w:r>
      <w:r>
        <w:rPr>
          <w:i/>
        </w:rPr>
        <w:t>H Block Report and Order</w:t>
      </w:r>
      <w:r>
        <w:t xml:space="preserve"> are</w:t>
      </w:r>
    </w:p>
    <w:p w:rsidR="00F06209" w:rsidRPr="00BE20E8" w:rsidRDefault="00F06209" w:rsidP="00F06209">
      <w:pPr>
        <w:pStyle w:val="ParaNum"/>
        <w:widowControl/>
        <w:numPr>
          <w:ilvl w:val="0"/>
          <w:numId w:val="0"/>
        </w:numPr>
      </w:pPr>
      <w:r>
        <w:t xml:space="preserve">designed to ensure the UTAM and Sprint </w:t>
      </w:r>
      <w:r w:rsidRPr="0064234E">
        <w:t xml:space="preserve">receive full reimbursement after this auction </w:t>
      </w:r>
      <w:r w:rsidR="005A04B8">
        <w:t xml:space="preserve">even if some of the licenses are not sold.  The rules accomplish this </w:t>
      </w:r>
      <w:r w:rsidRPr="0064234E">
        <w:t>by apportioning the reimbursement costs associated with any unsold H Block licenses among the winning bidders, except in cases where the above-described contingency plan is triggered or a successful bidder’s long-form application is not filed or granted.  If any of the licenses won in this auction are not awarded, the license at issue will be deemed to have triggered a reimbursement obligation that will be paid by the licensee acquiring the license in a subsequent auction</w:t>
      </w:r>
      <w:r>
        <w:t>.</w:t>
      </w:r>
    </w:p>
    <w:p w:rsidR="00BE20E8" w:rsidRPr="00894960" w:rsidRDefault="00BE20E8" w:rsidP="00724DC5">
      <w:pPr>
        <w:pStyle w:val="Heading3"/>
        <w:widowControl/>
      </w:pPr>
      <w:bookmarkStart w:id="633" w:name="_Toc366056484"/>
      <w:bookmarkStart w:id="634" w:name="_Toc366223687"/>
      <w:bookmarkStart w:id="635" w:name="_Toc366229400"/>
      <w:bookmarkStart w:id="636" w:name="_Toc366583444"/>
      <w:bookmarkStart w:id="637" w:name="_Toc362256730"/>
      <w:r w:rsidRPr="00894960">
        <w:t>International Coordination</w:t>
      </w:r>
      <w:bookmarkEnd w:id="633"/>
      <w:bookmarkEnd w:id="634"/>
      <w:bookmarkEnd w:id="635"/>
      <w:bookmarkEnd w:id="636"/>
      <w:r w:rsidR="0062259B" w:rsidRPr="00894960">
        <w:t xml:space="preserve"> </w:t>
      </w:r>
      <w:bookmarkEnd w:id="637"/>
    </w:p>
    <w:p w:rsidR="00BE20E8" w:rsidRDefault="00BE20E8" w:rsidP="00510C4B">
      <w:pPr>
        <w:pStyle w:val="ParaNum"/>
        <w:widowControl/>
        <w:tabs>
          <w:tab w:val="clear" w:pos="1260"/>
          <w:tab w:val="num" w:pos="1440"/>
        </w:tabs>
        <w:snapToGrid w:val="0"/>
        <w:spacing w:after="0"/>
        <w:ind w:left="0"/>
      </w:pPr>
      <w:r w:rsidRPr="00464766">
        <w:t>Potential</w:t>
      </w:r>
      <w:r w:rsidRPr="000E42CC">
        <w:t xml:space="preserve"> bidders seeking licenses for geographic areas adjacent to the Canadian and Mexican border should be aware that the use of some or all of the </w:t>
      </w:r>
      <w:r w:rsidR="00894960">
        <w:t>H Block frequencies</w:t>
      </w:r>
      <w:r w:rsidRPr="000E42CC">
        <w:t xml:space="preserve"> they acquire in the auction </w:t>
      </w:r>
      <w:r w:rsidR="00894960">
        <w:t>is subject to international</w:t>
      </w:r>
      <w:r w:rsidRPr="000E42CC">
        <w:t xml:space="preserve"> agreements with Canada </w:t>
      </w:r>
      <w:r w:rsidR="00894960">
        <w:t>and</w:t>
      </w:r>
      <w:r w:rsidRPr="000E42CC">
        <w:t xml:space="preserve"> Mexico.</w:t>
      </w:r>
      <w:r>
        <w:rPr>
          <w:rStyle w:val="FootnoteReference"/>
        </w:rPr>
        <w:footnoteReference w:id="71"/>
      </w:r>
      <w:r w:rsidRPr="000E42CC">
        <w:t xml:space="preserve">  </w:t>
      </w:r>
      <w:r w:rsidR="00464766" w:rsidRPr="00D61335">
        <w:rPr>
          <w:szCs w:val="22"/>
        </w:rPr>
        <w:t>As the Commission</w:t>
      </w:r>
      <w:r w:rsidR="005F32EB" w:rsidRPr="00D61335">
        <w:rPr>
          <w:szCs w:val="22"/>
        </w:rPr>
        <w:t xml:space="preserve"> </w:t>
      </w:r>
      <w:r w:rsidR="00464766" w:rsidRPr="00D61335">
        <w:rPr>
          <w:szCs w:val="22"/>
        </w:rPr>
        <w:t xml:space="preserve">noted in the </w:t>
      </w:r>
      <w:r w:rsidR="00464766" w:rsidRPr="00D61335">
        <w:rPr>
          <w:i/>
          <w:szCs w:val="22"/>
        </w:rPr>
        <w:t xml:space="preserve">H Block Report and </w:t>
      </w:r>
      <w:r w:rsidR="00464766" w:rsidRPr="00590AF2">
        <w:rPr>
          <w:i/>
          <w:szCs w:val="22"/>
        </w:rPr>
        <w:t>O</w:t>
      </w:r>
      <w:r w:rsidR="00464766" w:rsidRPr="00FD31E4">
        <w:rPr>
          <w:i/>
          <w:szCs w:val="22"/>
        </w:rPr>
        <w:t>rder</w:t>
      </w:r>
      <w:r w:rsidR="00464766" w:rsidRPr="00FD31E4">
        <w:rPr>
          <w:szCs w:val="22"/>
        </w:rPr>
        <w:t xml:space="preserve">, </w:t>
      </w:r>
      <w:r w:rsidR="00464766" w:rsidRPr="004D62CC">
        <w:rPr>
          <w:szCs w:val="22"/>
        </w:rPr>
        <w:t>b</w:t>
      </w:r>
      <w:r w:rsidR="00464766" w:rsidRPr="007A0519">
        <w:rPr>
          <w:snapToGrid/>
          <w:kern w:val="0"/>
          <w:szCs w:val="22"/>
        </w:rPr>
        <w:t>ecause of our shared borders with Canada and Mexico, the Commission routinely works in</w:t>
      </w:r>
      <w:r w:rsidR="00464766" w:rsidRPr="00666DFB">
        <w:rPr>
          <w:snapToGrid/>
          <w:kern w:val="0"/>
          <w:szCs w:val="22"/>
        </w:rPr>
        <w:t xml:space="preserve"> </w:t>
      </w:r>
      <w:r w:rsidR="00464766" w:rsidRPr="00D61335">
        <w:rPr>
          <w:snapToGrid/>
          <w:kern w:val="0"/>
          <w:szCs w:val="22"/>
        </w:rPr>
        <w:t>conjunction with the United States Department of State and Canadian and Mexican government officials to ensure the efficient use of the spectrum as well as interference-free operations in the border areas.</w:t>
      </w:r>
      <w:r w:rsidR="005F32EB" w:rsidRPr="00D61335">
        <w:rPr>
          <w:rStyle w:val="FootnoteReference"/>
          <w:snapToGrid/>
          <w:kern w:val="0"/>
          <w:szCs w:val="22"/>
        </w:rPr>
        <w:footnoteReference w:id="72"/>
      </w:r>
      <w:r w:rsidR="00464766" w:rsidRPr="00D61335">
        <w:rPr>
          <w:snapToGrid/>
          <w:kern w:val="0"/>
          <w:szCs w:val="22"/>
        </w:rPr>
        <w:t xml:space="preserve">  Until such time as any adjusted agreements, as needed, between the United States, Mexico and/or Canada can be agreed to, operations </w:t>
      </w:r>
      <w:r w:rsidR="005F32EB" w:rsidRPr="00D61335">
        <w:rPr>
          <w:snapToGrid/>
          <w:kern w:val="0"/>
          <w:szCs w:val="22"/>
        </w:rPr>
        <w:t xml:space="preserve">in the H Block frequency bands </w:t>
      </w:r>
      <w:r w:rsidR="00464766" w:rsidRPr="00D61335">
        <w:rPr>
          <w:snapToGrid/>
          <w:kern w:val="0"/>
          <w:szCs w:val="22"/>
        </w:rPr>
        <w:t>must not cause harmful interference across the border, consistent with the terms of the agreements currently in force</w:t>
      </w:r>
      <w:r w:rsidRPr="00D61335">
        <w:rPr>
          <w:szCs w:val="22"/>
        </w:rPr>
        <w:t>.</w:t>
      </w:r>
      <w:r w:rsidRPr="00D61335">
        <w:rPr>
          <w:rStyle w:val="FootnoteReference"/>
          <w:szCs w:val="22"/>
        </w:rPr>
        <w:footnoteReference w:id="73"/>
      </w:r>
    </w:p>
    <w:p w:rsidR="005F32EB" w:rsidRDefault="005F32EB" w:rsidP="005F32EB">
      <w:pPr>
        <w:widowControl/>
        <w:autoSpaceDE w:val="0"/>
        <w:autoSpaceDN w:val="0"/>
        <w:adjustRightInd w:val="0"/>
      </w:pPr>
    </w:p>
    <w:p w:rsidR="00BE20E8" w:rsidRDefault="00BE20E8" w:rsidP="00724DC5">
      <w:pPr>
        <w:pStyle w:val="Heading3"/>
        <w:widowControl/>
      </w:pPr>
      <w:bookmarkStart w:id="638" w:name="_Toc362256731"/>
      <w:bookmarkStart w:id="639" w:name="_Toc366056485"/>
      <w:bookmarkStart w:id="640" w:name="_Toc366223688"/>
      <w:bookmarkStart w:id="641" w:name="_Toc366229401"/>
      <w:bookmarkStart w:id="642" w:name="_Toc366583445"/>
      <w:r>
        <w:t>Quiet Zones</w:t>
      </w:r>
      <w:bookmarkEnd w:id="638"/>
      <w:bookmarkEnd w:id="639"/>
      <w:bookmarkEnd w:id="640"/>
      <w:bookmarkEnd w:id="641"/>
      <w:bookmarkEnd w:id="642"/>
    </w:p>
    <w:p w:rsidR="00BE20E8" w:rsidRPr="00BE20E8" w:rsidRDefault="00B845C5" w:rsidP="00BE20E8">
      <w:pPr>
        <w:pStyle w:val="ParaNum"/>
        <w:widowControl/>
        <w:tabs>
          <w:tab w:val="clear" w:pos="1260"/>
          <w:tab w:val="num" w:pos="1440"/>
        </w:tabs>
        <w:ind w:left="0"/>
      </w:pPr>
      <w:r>
        <w:rPr>
          <w:szCs w:val="22"/>
        </w:rPr>
        <w:t>H Block</w:t>
      </w:r>
      <w:r w:rsidR="00BE20E8">
        <w:rPr>
          <w:szCs w:val="22"/>
        </w:rPr>
        <w:t xml:space="preserve"> licensees must individually apply for and receive a separate license for each transmitter if the proposed operation would affect the radio quiet zones set forth in the Commission’s rules.</w:t>
      </w:r>
      <w:r w:rsidR="00BE20E8">
        <w:rPr>
          <w:rStyle w:val="FootnoteReference"/>
          <w:szCs w:val="22"/>
        </w:rPr>
        <w:footnoteReference w:id="74"/>
      </w:r>
    </w:p>
    <w:p w:rsidR="008434F5" w:rsidRPr="00AA2B80" w:rsidRDefault="008434F5" w:rsidP="00C07C81">
      <w:pPr>
        <w:pStyle w:val="Heading3"/>
        <w:widowControl/>
        <w:rPr>
          <w:szCs w:val="22"/>
        </w:rPr>
      </w:pPr>
      <w:bookmarkStart w:id="643" w:name="_Toc348508733"/>
      <w:bookmarkStart w:id="644" w:name="_Toc362256732"/>
      <w:bookmarkStart w:id="645" w:name="_Toc366056486"/>
      <w:bookmarkStart w:id="646" w:name="_Toc366223689"/>
      <w:bookmarkStart w:id="647" w:name="_Toc366229402"/>
      <w:bookmarkStart w:id="648" w:name="_Toc366583446"/>
      <w:r w:rsidRPr="001B69D6">
        <w:rPr>
          <w:szCs w:val="22"/>
        </w:rPr>
        <w:t>Due D</w:t>
      </w:r>
      <w:r w:rsidRPr="00AA2B80">
        <w:rPr>
          <w:szCs w:val="22"/>
        </w:rPr>
        <w:t>iligence</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43"/>
      <w:bookmarkEnd w:id="644"/>
      <w:bookmarkEnd w:id="645"/>
      <w:bookmarkEnd w:id="646"/>
      <w:bookmarkEnd w:id="647"/>
      <w:bookmarkEnd w:id="648"/>
    </w:p>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rsidR="00191EB3" w:rsidRPr="00A65F60" w:rsidRDefault="00E02E81" w:rsidP="00C07C81">
      <w:pPr>
        <w:pStyle w:val="ParaNum"/>
        <w:widowControl/>
        <w:tabs>
          <w:tab w:val="clear" w:pos="1260"/>
          <w:tab w:val="num" w:pos="1440"/>
        </w:tabs>
        <w:ind w:left="0"/>
        <w:rPr>
          <w:szCs w:val="22"/>
        </w:rPr>
      </w:pPr>
      <w:r>
        <w:rPr>
          <w:szCs w:val="22"/>
        </w:rPr>
        <w:t>We remind e</w:t>
      </w:r>
      <w:r w:rsidR="00F32F4B">
        <w:rPr>
          <w:szCs w:val="22"/>
        </w:rPr>
        <w:t>ach p</w:t>
      </w:r>
      <w:r w:rsidR="000364CF" w:rsidRPr="00714D85">
        <w:rPr>
          <w:szCs w:val="22"/>
        </w:rPr>
        <w:t xml:space="preserve">otential </w:t>
      </w:r>
      <w:r w:rsidR="00F32F4B">
        <w:rPr>
          <w:szCs w:val="22"/>
        </w:rPr>
        <w:t xml:space="preserve">bidder </w:t>
      </w:r>
      <w:r w:rsidR="000364CF" w:rsidRPr="00714D85">
        <w:rPr>
          <w:szCs w:val="22"/>
        </w:rPr>
        <w:t xml:space="preserve">that </w:t>
      </w:r>
      <w:r w:rsidR="001B1AE9">
        <w:rPr>
          <w:szCs w:val="22"/>
        </w:rPr>
        <w:t>it is</w:t>
      </w:r>
      <w:r w:rsidR="000364CF" w:rsidRPr="00714D85">
        <w:rPr>
          <w:szCs w:val="22"/>
        </w:rPr>
        <w:t xml:space="preserve"> solely responsible for investigating and evaluating all technical and </w:t>
      </w:r>
      <w:r w:rsidR="000364CF" w:rsidRPr="005A52D9">
        <w:rPr>
          <w:szCs w:val="22"/>
        </w:rPr>
        <w:t>marketp</w:t>
      </w:r>
      <w:r w:rsidR="000364CF" w:rsidRPr="00714D85">
        <w:rPr>
          <w:szCs w:val="22"/>
        </w:rPr>
        <w:t xml:space="preserve">lace factors </w:t>
      </w:r>
      <w:r w:rsidR="000364CF" w:rsidRPr="002519AE">
        <w:rPr>
          <w:szCs w:val="22"/>
        </w:rPr>
        <w:t xml:space="preserve">that may have a bearing on the value of the </w:t>
      </w:r>
      <w:r w:rsidR="00791B09">
        <w:rPr>
          <w:szCs w:val="22"/>
        </w:rPr>
        <w:t>licenses</w:t>
      </w:r>
      <w:r w:rsidR="009E4047">
        <w:rPr>
          <w:szCs w:val="22"/>
        </w:rPr>
        <w:t xml:space="preserve"> </w:t>
      </w:r>
      <w:r w:rsidR="000B638E">
        <w:rPr>
          <w:szCs w:val="22"/>
        </w:rPr>
        <w:t>that it is</w:t>
      </w:r>
      <w:r w:rsidR="009E4047">
        <w:rPr>
          <w:szCs w:val="22"/>
        </w:rPr>
        <w:t xml:space="preserve"> seeking</w:t>
      </w:r>
      <w:r w:rsidR="000364CF" w:rsidRPr="002519AE">
        <w:rPr>
          <w:szCs w:val="22"/>
        </w:rPr>
        <w:t xml:space="preserve"> in this auction.  </w:t>
      </w:r>
      <w:r w:rsidR="00F32F4B">
        <w:rPr>
          <w:szCs w:val="22"/>
        </w:rPr>
        <w:t xml:space="preserve">Each bidder is </w:t>
      </w:r>
      <w:r w:rsidR="009E4047">
        <w:rPr>
          <w:szCs w:val="22"/>
        </w:rPr>
        <w:t xml:space="preserve">responsible for assuring that, if </w:t>
      </w:r>
      <w:r w:rsidR="00F32F4B">
        <w:rPr>
          <w:szCs w:val="22"/>
        </w:rPr>
        <w:t>it</w:t>
      </w:r>
      <w:r w:rsidR="009E4047">
        <w:rPr>
          <w:szCs w:val="22"/>
        </w:rPr>
        <w:t xml:space="preserve"> win</w:t>
      </w:r>
      <w:r w:rsidR="00F32F4B">
        <w:rPr>
          <w:szCs w:val="22"/>
        </w:rPr>
        <w:t>s</w:t>
      </w:r>
      <w:r w:rsidR="009E4047">
        <w:rPr>
          <w:szCs w:val="22"/>
        </w:rPr>
        <w:t xml:space="preserve"> a </w:t>
      </w:r>
      <w:r w:rsidR="00791B09">
        <w:rPr>
          <w:szCs w:val="22"/>
        </w:rPr>
        <w:t>license</w:t>
      </w:r>
      <w:r w:rsidR="009E4047">
        <w:rPr>
          <w:szCs w:val="22"/>
        </w:rPr>
        <w:t xml:space="preserve">, </w:t>
      </w:r>
      <w:r w:rsidR="00F32F4B">
        <w:rPr>
          <w:szCs w:val="22"/>
        </w:rPr>
        <w:t xml:space="preserve">it </w:t>
      </w:r>
      <w:r w:rsidR="009E4047">
        <w:rPr>
          <w:szCs w:val="22"/>
        </w:rPr>
        <w:t>will be able to build and</w:t>
      </w:r>
      <w:r w:rsidR="00842BAF">
        <w:rPr>
          <w:szCs w:val="22"/>
        </w:rPr>
        <w:t xml:space="preserve"> </w:t>
      </w:r>
      <w:r w:rsidR="009E4047">
        <w:rPr>
          <w:szCs w:val="22"/>
        </w:rPr>
        <w:t xml:space="preserve">operate facilities in accordance with the Commission’s rules.  </w:t>
      </w:r>
      <w:r w:rsidR="000364CF" w:rsidRPr="00510C4B">
        <w:rPr>
          <w:szCs w:val="22"/>
        </w:rPr>
        <w:t xml:space="preserve">The </w:t>
      </w:r>
      <w:r w:rsidR="000B638E" w:rsidRPr="00510C4B">
        <w:rPr>
          <w:szCs w:val="22"/>
        </w:rPr>
        <w:t>Commission</w:t>
      </w:r>
      <w:r w:rsidR="000364CF" w:rsidRPr="00510C4B">
        <w:rPr>
          <w:szCs w:val="22"/>
        </w:rPr>
        <w:t xml:space="preserve"> makes no representations or warranties about the use of this spectrum for particular services.  Applicants should be aware that a</w:t>
      </w:r>
      <w:r w:rsidR="000B638E" w:rsidRPr="00510C4B">
        <w:rPr>
          <w:szCs w:val="22"/>
        </w:rPr>
        <w:t xml:space="preserve"> Commission</w:t>
      </w:r>
      <w:r w:rsidR="000364CF" w:rsidRPr="00510C4B">
        <w:rPr>
          <w:szCs w:val="22"/>
        </w:rPr>
        <w:t xml:space="preserve"> auction repres</w:t>
      </w:r>
      <w:r w:rsidR="000B638E" w:rsidRPr="00510C4B">
        <w:rPr>
          <w:szCs w:val="22"/>
        </w:rPr>
        <w:t>ents an opportunity to become a Commission</w:t>
      </w:r>
      <w:r w:rsidR="000364CF" w:rsidRPr="00510C4B">
        <w:rPr>
          <w:szCs w:val="22"/>
        </w:rPr>
        <w:t xml:space="preserve"> </w:t>
      </w:r>
      <w:r w:rsidR="00791B09" w:rsidRPr="00510C4B">
        <w:rPr>
          <w:szCs w:val="22"/>
        </w:rPr>
        <w:t>licens</w:t>
      </w:r>
      <w:r w:rsidR="000364CF" w:rsidRPr="00510C4B">
        <w:rPr>
          <w:szCs w:val="22"/>
        </w:rPr>
        <w:t>ee</w:t>
      </w:r>
      <w:r w:rsidR="000B638E" w:rsidRPr="00510C4B">
        <w:rPr>
          <w:szCs w:val="22"/>
        </w:rPr>
        <w:t>,</w:t>
      </w:r>
      <w:r w:rsidR="000364CF" w:rsidRPr="00510C4B">
        <w:rPr>
          <w:szCs w:val="22"/>
        </w:rPr>
        <w:t xml:space="preserve"> subject to certain conditions and regulations</w:t>
      </w:r>
      <w:r w:rsidR="00BD7FD4">
        <w:rPr>
          <w:szCs w:val="22"/>
        </w:rPr>
        <w:t>, and that the Commission’s statutory authority, under the Communications Act, to add, modify and eliminate rules governing spectrum use, as the public interest warrants, applies equally to all licenses, whether acquired through the competitive bidding process or otherwise</w:t>
      </w:r>
      <w:r w:rsidR="000364CF" w:rsidRPr="00510C4B">
        <w:rPr>
          <w:szCs w:val="22"/>
        </w:rPr>
        <w:t>.</w:t>
      </w:r>
      <w:r w:rsidR="00BD7FD4">
        <w:rPr>
          <w:rStyle w:val="FootnoteReference"/>
          <w:szCs w:val="22"/>
        </w:rPr>
        <w:footnoteReference w:id="75"/>
      </w:r>
      <w:r w:rsidR="000364CF" w:rsidRPr="00510C4B">
        <w:rPr>
          <w:szCs w:val="22"/>
        </w:rPr>
        <w:t xml:space="preserve">  </w:t>
      </w:r>
      <w:r w:rsidR="00BD7FD4">
        <w:rPr>
          <w:szCs w:val="22"/>
        </w:rPr>
        <w:t>In addition, a</w:t>
      </w:r>
      <w:r w:rsidR="000B638E" w:rsidRPr="00510C4B">
        <w:rPr>
          <w:szCs w:val="22"/>
        </w:rPr>
        <w:t xml:space="preserve"> Commission</w:t>
      </w:r>
      <w:r w:rsidR="000364CF" w:rsidRPr="00510C4B">
        <w:rPr>
          <w:szCs w:val="22"/>
        </w:rPr>
        <w:t xml:space="preserve"> auction does not constitute an endorsement by the </w:t>
      </w:r>
      <w:r w:rsidR="000B638E" w:rsidRPr="00510C4B">
        <w:rPr>
          <w:szCs w:val="22"/>
        </w:rPr>
        <w:t>Commission</w:t>
      </w:r>
      <w:r w:rsidR="000364CF" w:rsidRPr="00510C4B">
        <w:rPr>
          <w:szCs w:val="22"/>
        </w:rPr>
        <w:t xml:space="preserve"> of any particular service, technology, or product, nor does a </w:t>
      </w:r>
      <w:r w:rsidR="003D1F78" w:rsidRPr="00510C4B">
        <w:rPr>
          <w:szCs w:val="22"/>
        </w:rPr>
        <w:t>Commission</w:t>
      </w:r>
      <w:r w:rsidR="000364CF" w:rsidRPr="00510C4B">
        <w:rPr>
          <w:szCs w:val="22"/>
        </w:rPr>
        <w:t xml:space="preserve"> license constitute a guarantee of business success.</w:t>
      </w:r>
      <w:r w:rsidR="000364CF" w:rsidRPr="00A65F60">
        <w:rPr>
          <w:szCs w:val="22"/>
        </w:rPr>
        <w:t xml:space="preserve">  </w:t>
      </w:r>
    </w:p>
    <w:p w:rsidR="000364CF" w:rsidRPr="00A65F60" w:rsidRDefault="00DB7355" w:rsidP="00C07C81">
      <w:pPr>
        <w:pStyle w:val="ParaNum"/>
        <w:widowControl/>
        <w:tabs>
          <w:tab w:val="clear" w:pos="1260"/>
          <w:tab w:val="num" w:pos="1440"/>
        </w:tabs>
        <w:ind w:left="0"/>
        <w:rPr>
          <w:szCs w:val="22"/>
        </w:rPr>
      </w:pPr>
      <w:r w:rsidRPr="00425C85">
        <w:rPr>
          <w:szCs w:val="22"/>
        </w:rPr>
        <w:t>An applicant should perform its due diligence research and analysis before proceeding, as it would with any new business venture.  In particular, the Bureau strongly encourage</w:t>
      </w:r>
      <w:r w:rsidR="00791B09">
        <w:rPr>
          <w:szCs w:val="22"/>
        </w:rPr>
        <w:t>s</w:t>
      </w:r>
      <w:r w:rsidRPr="00425C85">
        <w:rPr>
          <w:szCs w:val="22"/>
        </w:rPr>
        <w:t xml:space="preserve"> each potential bidder to review all Commission </w:t>
      </w:r>
      <w:r w:rsidRPr="001B69D6">
        <w:rPr>
          <w:szCs w:val="22"/>
        </w:rPr>
        <w:t>orders</w:t>
      </w:r>
      <w:r w:rsidR="004B4614">
        <w:rPr>
          <w:szCs w:val="22"/>
        </w:rPr>
        <w:t xml:space="preserve"> establishing rules and policies for the </w:t>
      </w:r>
      <w:r w:rsidR="000B638E" w:rsidRPr="003D1F78">
        <w:rPr>
          <w:szCs w:val="22"/>
        </w:rPr>
        <w:t>H Block</w:t>
      </w:r>
      <w:r w:rsidR="004B4614" w:rsidRPr="003D1F78">
        <w:rPr>
          <w:szCs w:val="22"/>
        </w:rPr>
        <w:t xml:space="preserve"> bands</w:t>
      </w:r>
      <w:r w:rsidR="00D157A6">
        <w:rPr>
          <w:szCs w:val="22"/>
        </w:rPr>
        <w:t>,</w:t>
      </w:r>
      <w:r w:rsidR="004B4614">
        <w:rPr>
          <w:rStyle w:val="FootnoteReference"/>
          <w:szCs w:val="22"/>
        </w:rPr>
        <w:footnoteReference w:id="76"/>
      </w:r>
      <w:r w:rsidR="00D157A6">
        <w:rPr>
          <w:szCs w:val="22"/>
        </w:rPr>
        <w:t xml:space="preserve"> including cost-sharing obligations </w:t>
      </w:r>
      <w:r w:rsidR="009D01E7">
        <w:rPr>
          <w:szCs w:val="22"/>
        </w:rPr>
        <w:t xml:space="preserve">for H Block </w:t>
      </w:r>
      <w:r w:rsidR="004830B2">
        <w:rPr>
          <w:szCs w:val="22"/>
        </w:rPr>
        <w:t>licensees</w:t>
      </w:r>
      <w:r w:rsidR="00BB6C19">
        <w:rPr>
          <w:szCs w:val="22"/>
        </w:rPr>
        <w:t>.</w:t>
      </w:r>
      <w:r w:rsidR="00D157A6">
        <w:rPr>
          <w:rStyle w:val="FootnoteReference"/>
          <w:szCs w:val="22"/>
        </w:rPr>
        <w:footnoteReference w:id="77"/>
      </w:r>
      <w:r w:rsidRPr="00DB7355">
        <w:rPr>
          <w:szCs w:val="22"/>
        </w:rPr>
        <w:t xml:space="preserve">  </w:t>
      </w:r>
      <w:r w:rsidRPr="005F4BFF">
        <w:rPr>
          <w:szCs w:val="22"/>
        </w:rPr>
        <w:t>Additionally</w:t>
      </w:r>
      <w:r w:rsidRPr="00425C85">
        <w:rPr>
          <w:szCs w:val="22"/>
        </w:rPr>
        <w:t>, each potential bidder should perform technical analyses or refresh their previous analyses to assure itself that, should it become a winning bidder for any Auction 9</w:t>
      </w:r>
      <w:r w:rsidR="00530B79">
        <w:rPr>
          <w:szCs w:val="22"/>
        </w:rPr>
        <w:t>6</w:t>
      </w:r>
      <w:r w:rsidRPr="00425C85">
        <w:rPr>
          <w:szCs w:val="22"/>
        </w:rPr>
        <w:t xml:space="preserve"> </w:t>
      </w:r>
      <w:r w:rsidR="00791B09">
        <w:rPr>
          <w:szCs w:val="22"/>
        </w:rPr>
        <w:t>license</w:t>
      </w:r>
      <w:r w:rsidRPr="00425C85">
        <w:rPr>
          <w:szCs w:val="22"/>
        </w:rPr>
        <w:t xml:space="preserve">, it will be able to build and operate facilities that will fully comply with all applicable technical and </w:t>
      </w:r>
      <w:r w:rsidR="000B638E">
        <w:rPr>
          <w:szCs w:val="22"/>
        </w:rPr>
        <w:t>regulatory</w:t>
      </w:r>
      <w:r w:rsidRPr="00425C85">
        <w:rPr>
          <w:szCs w:val="22"/>
        </w:rPr>
        <w:t xml:space="preserve"> requirements.  The Bureau strongly encourage</w:t>
      </w:r>
      <w:r w:rsidR="00791B09">
        <w:rPr>
          <w:szCs w:val="22"/>
        </w:rPr>
        <w:t>s</w:t>
      </w:r>
      <w:r w:rsidRPr="00425C85">
        <w:rPr>
          <w:szCs w:val="22"/>
        </w:rPr>
        <w:t xml:space="preserve"> each applicant to inspect any prospective transmitter sites located in, or near, the service area for which it plans to bid, confirm the availability of such sites, and to familiarize itself with the Commission’s rules regarding the National Environmental Policy Act</w:t>
      </w:r>
      <w:r w:rsidR="00191EB3" w:rsidRPr="00A65F60">
        <w:rPr>
          <w:szCs w:val="22"/>
        </w:rPr>
        <w:t>.</w:t>
      </w:r>
      <w:r w:rsidR="00191EB3" w:rsidRPr="00A65F60">
        <w:rPr>
          <w:rStyle w:val="FootnoteReference"/>
          <w:szCs w:val="22"/>
        </w:rPr>
        <w:footnoteReference w:id="78"/>
      </w:r>
    </w:p>
    <w:p w:rsidR="001047F7" w:rsidRPr="00A65F60" w:rsidRDefault="00483FF8" w:rsidP="00C07C81">
      <w:pPr>
        <w:pStyle w:val="ParaNum"/>
        <w:widowControl/>
        <w:tabs>
          <w:tab w:val="clear" w:pos="1260"/>
          <w:tab w:val="num" w:pos="1440"/>
        </w:tabs>
        <w:ind w:left="0"/>
        <w:rPr>
          <w:szCs w:val="22"/>
        </w:rPr>
      </w:pPr>
      <w:r w:rsidRPr="00A65F60">
        <w:rPr>
          <w:szCs w:val="22"/>
        </w:rPr>
        <w:t xml:space="preserve">The Bureau </w:t>
      </w:r>
      <w:r w:rsidR="000364CF" w:rsidRPr="00A65F60">
        <w:rPr>
          <w:szCs w:val="22"/>
        </w:rPr>
        <w:t>strongly encourage</w:t>
      </w:r>
      <w:r w:rsidR="00CE5A54">
        <w:rPr>
          <w:szCs w:val="22"/>
        </w:rPr>
        <w:t>s</w:t>
      </w:r>
      <w:r w:rsidR="000364CF" w:rsidRPr="00A65F60">
        <w:rPr>
          <w:szCs w:val="22"/>
        </w:rPr>
        <w:t xml:space="preserve"> </w:t>
      </w:r>
      <w:r w:rsidR="00DC4494" w:rsidRPr="00A65F60">
        <w:rPr>
          <w:szCs w:val="22"/>
        </w:rPr>
        <w:t xml:space="preserve">each applicant </w:t>
      </w:r>
      <w:r w:rsidR="000364CF" w:rsidRPr="00A65F60">
        <w:rPr>
          <w:szCs w:val="22"/>
        </w:rPr>
        <w:t xml:space="preserve">to conduct </w:t>
      </w:r>
      <w:r w:rsidR="00DC4494" w:rsidRPr="00A65F60">
        <w:rPr>
          <w:szCs w:val="22"/>
        </w:rPr>
        <w:t xml:space="preserve">its </w:t>
      </w:r>
      <w:r w:rsidR="000364CF" w:rsidRPr="00A65F60">
        <w:rPr>
          <w:szCs w:val="22"/>
        </w:rPr>
        <w:t xml:space="preserve">own research prior to Auction </w:t>
      </w:r>
      <w:r w:rsidR="00CC0081" w:rsidRPr="00A65F60">
        <w:rPr>
          <w:szCs w:val="22"/>
        </w:rPr>
        <w:t>9</w:t>
      </w:r>
      <w:r w:rsidR="00530B79">
        <w:rPr>
          <w:szCs w:val="22"/>
        </w:rPr>
        <w:t>6</w:t>
      </w:r>
      <w:r w:rsidR="000364CF" w:rsidRPr="00A65F60">
        <w:rPr>
          <w:szCs w:val="22"/>
        </w:rPr>
        <w:t xml:space="preserve"> in order to determine the existence of pending administrative or judicial proceedings</w:t>
      </w:r>
      <w:r w:rsidR="00842BAF" w:rsidRPr="00A65F60">
        <w:rPr>
          <w:szCs w:val="22"/>
        </w:rPr>
        <w:t>, including pending allocation rulemaking proceedings</w:t>
      </w:r>
      <w:r w:rsidR="00643156">
        <w:rPr>
          <w:szCs w:val="22"/>
        </w:rPr>
        <w:t>,</w:t>
      </w:r>
      <w:r w:rsidR="00842BAF" w:rsidRPr="00A65F60">
        <w:rPr>
          <w:szCs w:val="22"/>
        </w:rPr>
        <w:t xml:space="preserve"> </w:t>
      </w:r>
      <w:r w:rsidR="000364CF" w:rsidRPr="00A65F60">
        <w:rPr>
          <w:szCs w:val="22"/>
        </w:rPr>
        <w:t xml:space="preserve">that might affect </w:t>
      </w:r>
      <w:r w:rsidR="00DC4494" w:rsidRPr="00A65F60">
        <w:rPr>
          <w:szCs w:val="22"/>
        </w:rPr>
        <w:t xml:space="preserve">its </w:t>
      </w:r>
      <w:r w:rsidR="000364CF" w:rsidRPr="00A65F60">
        <w:rPr>
          <w:szCs w:val="22"/>
        </w:rPr>
        <w:t xml:space="preserve">decision to participate in the auction.  </w:t>
      </w:r>
      <w:r w:rsidRPr="00A65F60">
        <w:rPr>
          <w:szCs w:val="22"/>
        </w:rPr>
        <w:t xml:space="preserve">The Bureau </w:t>
      </w:r>
      <w:r w:rsidR="00DC4494" w:rsidRPr="00A65F60">
        <w:rPr>
          <w:szCs w:val="22"/>
        </w:rPr>
        <w:t>strongly encourage</w:t>
      </w:r>
      <w:r w:rsidR="00CE5A54">
        <w:rPr>
          <w:szCs w:val="22"/>
        </w:rPr>
        <w:t>s</w:t>
      </w:r>
      <w:r w:rsidR="00DC4494" w:rsidRPr="00A65F60">
        <w:rPr>
          <w:szCs w:val="22"/>
        </w:rPr>
        <w:t xml:space="preserve"> </w:t>
      </w:r>
      <w:r w:rsidR="00A433CC" w:rsidRPr="00A65F60">
        <w:rPr>
          <w:szCs w:val="22"/>
        </w:rPr>
        <w:t xml:space="preserve">each </w:t>
      </w:r>
      <w:r w:rsidR="00DC4494" w:rsidRPr="00A65F60">
        <w:rPr>
          <w:szCs w:val="22"/>
        </w:rPr>
        <w:t>p</w:t>
      </w:r>
      <w:r w:rsidR="000364CF" w:rsidRPr="00A65F60">
        <w:rPr>
          <w:szCs w:val="22"/>
        </w:rPr>
        <w:t xml:space="preserve">articipant in Auction </w:t>
      </w:r>
      <w:r w:rsidR="00CC0081" w:rsidRPr="00A65F60">
        <w:rPr>
          <w:szCs w:val="22"/>
        </w:rPr>
        <w:t>9</w:t>
      </w:r>
      <w:r w:rsidR="00530B79">
        <w:rPr>
          <w:szCs w:val="22"/>
        </w:rPr>
        <w:t>6</w:t>
      </w:r>
      <w:r w:rsidR="000364CF" w:rsidRPr="00A65F60">
        <w:rPr>
          <w:szCs w:val="22"/>
        </w:rPr>
        <w:t xml:space="preserve"> to continue such research throughout the auction.</w:t>
      </w:r>
      <w:r w:rsidR="001047F7" w:rsidRPr="00A65F60">
        <w:rPr>
          <w:szCs w:val="22"/>
        </w:rPr>
        <w:t xml:space="preserve">  The due diligence considerations mentioned in this Public Notice do not comprise an exhaustive list of steps that should be undertaken prior to participating in this auction.  As always, the burden is on the potential bidder to determine how much research to undertake, depending upon specific facts and circumstances</w:t>
      </w:r>
      <w:r w:rsidR="00DC4494" w:rsidRPr="00A65F60">
        <w:rPr>
          <w:szCs w:val="22"/>
        </w:rPr>
        <w:t xml:space="preserve"> related to its interests</w:t>
      </w:r>
      <w:r w:rsidR="001047F7" w:rsidRPr="00A65F60">
        <w:rPr>
          <w:szCs w:val="22"/>
        </w:rPr>
        <w:t xml:space="preserve">.  </w:t>
      </w:r>
    </w:p>
    <w:p w:rsidR="000364CF" w:rsidRDefault="00483FF8" w:rsidP="00C07C81">
      <w:pPr>
        <w:pStyle w:val="ParaNum"/>
        <w:widowControl/>
        <w:tabs>
          <w:tab w:val="clear" w:pos="1260"/>
          <w:tab w:val="num" w:pos="1440"/>
        </w:tabs>
        <w:ind w:left="0"/>
        <w:rPr>
          <w:szCs w:val="22"/>
        </w:rPr>
      </w:pPr>
      <w:r w:rsidRPr="00A65F60">
        <w:rPr>
          <w:szCs w:val="22"/>
        </w:rPr>
        <w:t>The Bureau also remind</w:t>
      </w:r>
      <w:r w:rsidR="00CE5A54">
        <w:rPr>
          <w:szCs w:val="22"/>
        </w:rPr>
        <w:t>s</w:t>
      </w:r>
      <w:r w:rsidRPr="00A65F60">
        <w:rPr>
          <w:szCs w:val="22"/>
        </w:rPr>
        <w:t xml:space="preserve"> </w:t>
      </w:r>
      <w:r w:rsidR="00A433CC" w:rsidRPr="00A65F60">
        <w:rPr>
          <w:szCs w:val="22"/>
        </w:rPr>
        <w:t xml:space="preserve">each </w:t>
      </w:r>
      <w:r w:rsidRPr="00A65F60">
        <w:rPr>
          <w:szCs w:val="22"/>
        </w:rPr>
        <w:t xml:space="preserve">applicant that pending and future judicial proceedings, as well as </w:t>
      </w:r>
      <w:r w:rsidR="000364CF" w:rsidRPr="00A65F60">
        <w:rPr>
          <w:szCs w:val="22"/>
        </w:rPr>
        <w:t>pending and future proceedings</w:t>
      </w:r>
      <w:r w:rsidR="008A19CF" w:rsidRPr="00A65F60">
        <w:rPr>
          <w:szCs w:val="22"/>
        </w:rPr>
        <w:t xml:space="preserve"> before the Commission</w:t>
      </w:r>
      <w:r w:rsidR="00CF16E6" w:rsidRPr="00A65F60">
        <w:rPr>
          <w:szCs w:val="22"/>
        </w:rPr>
        <w:t xml:space="preserve"> —</w:t>
      </w:r>
      <w:r w:rsidR="000364CF" w:rsidRPr="00A65F60">
        <w:rPr>
          <w:szCs w:val="22"/>
        </w:rPr>
        <w:t xml:space="preserve"> including applications</w:t>
      </w:r>
      <w:r w:rsidR="003A2044" w:rsidRPr="00A65F60">
        <w:rPr>
          <w:szCs w:val="22"/>
        </w:rPr>
        <w:t>,</w:t>
      </w:r>
      <w:r w:rsidR="000364CF" w:rsidRPr="00A65F60">
        <w:rPr>
          <w:szCs w:val="22"/>
        </w:rPr>
        <w:t xml:space="preserve"> </w:t>
      </w:r>
      <w:r w:rsidR="00112159" w:rsidRPr="00A65F60">
        <w:rPr>
          <w:szCs w:val="22"/>
        </w:rPr>
        <w:t>applications</w:t>
      </w:r>
      <w:r w:rsidR="000364CF" w:rsidRPr="00A65F60">
        <w:rPr>
          <w:szCs w:val="22"/>
        </w:rPr>
        <w:t xml:space="preserve"> for modification, rulemaking</w:t>
      </w:r>
      <w:r w:rsidR="002F2094">
        <w:rPr>
          <w:szCs w:val="22"/>
        </w:rPr>
        <w:t xml:space="preserve"> proceedings</w:t>
      </w:r>
      <w:r w:rsidR="000364CF" w:rsidRPr="00A65F60">
        <w:rPr>
          <w:szCs w:val="22"/>
        </w:rPr>
        <w:t>, requests for special temporary authority, waiver requests, petitions to deny, petitions for reconsideration, informal objections, and applications for review</w:t>
      </w:r>
      <w:r w:rsidR="00CF16E6" w:rsidRPr="00A65F60">
        <w:rPr>
          <w:szCs w:val="22"/>
        </w:rPr>
        <w:t xml:space="preserve"> —</w:t>
      </w:r>
      <w:r w:rsidR="000364CF" w:rsidRPr="00A65F60">
        <w:rPr>
          <w:szCs w:val="22"/>
        </w:rPr>
        <w:t xml:space="preserve"> may relate to particular applicants or the </w:t>
      </w:r>
      <w:r w:rsidR="00CE5A54">
        <w:rPr>
          <w:szCs w:val="22"/>
        </w:rPr>
        <w:t>licenses</w:t>
      </w:r>
      <w:r w:rsidR="000364CF" w:rsidRPr="00A65F60">
        <w:rPr>
          <w:szCs w:val="22"/>
        </w:rPr>
        <w:t xml:space="preserve"> available in Auction </w:t>
      </w:r>
      <w:r w:rsidR="00CC0081" w:rsidRPr="00A65F60">
        <w:rPr>
          <w:szCs w:val="22"/>
        </w:rPr>
        <w:t>9</w:t>
      </w:r>
      <w:r w:rsidR="00530B79">
        <w:rPr>
          <w:szCs w:val="22"/>
        </w:rPr>
        <w:t>6</w:t>
      </w:r>
      <w:r w:rsidR="002F2094">
        <w:rPr>
          <w:szCs w:val="22"/>
        </w:rPr>
        <w:t xml:space="preserve"> (or the terms and conditions thereof, including all applicable Commission rules and regulations)</w:t>
      </w:r>
      <w:r w:rsidR="000364CF" w:rsidRPr="00A65F60">
        <w:rPr>
          <w:szCs w:val="22"/>
        </w:rPr>
        <w:t xml:space="preserve">.  </w:t>
      </w:r>
      <w:r w:rsidR="00A433CC" w:rsidRPr="00A65F60">
        <w:rPr>
          <w:szCs w:val="22"/>
        </w:rPr>
        <w:t>Each p</w:t>
      </w:r>
      <w:r w:rsidR="000364CF" w:rsidRPr="00A65F60">
        <w:rPr>
          <w:szCs w:val="22"/>
        </w:rPr>
        <w:t xml:space="preserve">rospective applicant </w:t>
      </w:r>
      <w:r w:rsidR="00A433CC" w:rsidRPr="00A65F60">
        <w:rPr>
          <w:szCs w:val="22"/>
        </w:rPr>
        <w:t xml:space="preserve">is </w:t>
      </w:r>
      <w:r w:rsidR="000364CF" w:rsidRPr="00A65F60">
        <w:rPr>
          <w:szCs w:val="22"/>
        </w:rPr>
        <w:t>responsible for assessing the</w:t>
      </w:r>
      <w:r w:rsidR="000364CF" w:rsidRPr="00714D85">
        <w:rPr>
          <w:szCs w:val="22"/>
        </w:rPr>
        <w:t xml:space="preserve"> likelihood of the various possible outcomes and </w:t>
      </w:r>
      <w:r w:rsidR="00CF16E6">
        <w:rPr>
          <w:szCs w:val="22"/>
        </w:rPr>
        <w:t xml:space="preserve">for </w:t>
      </w:r>
      <w:r w:rsidR="000364CF" w:rsidRPr="00714D85">
        <w:rPr>
          <w:szCs w:val="22"/>
        </w:rPr>
        <w:t xml:space="preserve">considering the potential impact on </w:t>
      </w:r>
      <w:r w:rsidR="00CE5A54">
        <w:rPr>
          <w:szCs w:val="22"/>
        </w:rPr>
        <w:t>licenses</w:t>
      </w:r>
      <w:r w:rsidR="000364CF" w:rsidRPr="00714D85">
        <w:rPr>
          <w:szCs w:val="22"/>
        </w:rPr>
        <w:t xml:space="preserve"> available in this auction</w:t>
      </w:r>
      <w:r w:rsidR="000364CF">
        <w:rPr>
          <w:szCs w:val="22"/>
        </w:rPr>
        <w:t>.</w:t>
      </w:r>
    </w:p>
    <w:p w:rsidR="000364CF" w:rsidRPr="00E00277" w:rsidRDefault="000364CF" w:rsidP="00C07C81">
      <w:pPr>
        <w:pStyle w:val="ParaNum"/>
        <w:widowControl/>
        <w:tabs>
          <w:tab w:val="clear" w:pos="1260"/>
          <w:tab w:val="left" w:pos="1440"/>
        </w:tabs>
        <w:ind w:left="0"/>
        <w:rPr>
          <w:szCs w:val="22"/>
        </w:rPr>
      </w:pPr>
      <w:r w:rsidRPr="00510C4B">
        <w:rPr>
          <w:bCs/>
          <w:color w:val="000000"/>
          <w:szCs w:val="22"/>
        </w:rPr>
        <w:t xml:space="preserve">Applicants are solely responsible for identifying associated risks and for investigating and evaluating the degree to which such matters may affect their ability to bid on, otherwise acquire, or make use of the </w:t>
      </w:r>
      <w:r w:rsidR="00CE5A54" w:rsidRPr="00510C4B">
        <w:rPr>
          <w:bCs/>
          <w:color w:val="000000"/>
          <w:szCs w:val="22"/>
        </w:rPr>
        <w:t>licenses</w:t>
      </w:r>
      <w:r w:rsidRPr="00510C4B">
        <w:rPr>
          <w:bCs/>
          <w:color w:val="000000"/>
          <w:szCs w:val="22"/>
        </w:rPr>
        <w:t xml:space="preserve"> available in Auction </w:t>
      </w:r>
      <w:r w:rsidR="00CC0081" w:rsidRPr="00510C4B">
        <w:rPr>
          <w:bCs/>
          <w:color w:val="000000"/>
          <w:szCs w:val="22"/>
        </w:rPr>
        <w:t>9</w:t>
      </w:r>
      <w:r w:rsidR="00530B79" w:rsidRPr="00510C4B">
        <w:rPr>
          <w:bCs/>
          <w:color w:val="000000"/>
          <w:szCs w:val="22"/>
        </w:rPr>
        <w:t>6</w:t>
      </w:r>
      <w:r w:rsidRPr="00510C4B">
        <w:rPr>
          <w:bCs/>
          <w:color w:val="000000"/>
          <w:szCs w:val="22"/>
        </w:rPr>
        <w:t>.</w:t>
      </w:r>
      <w:r w:rsidR="00A433CC">
        <w:rPr>
          <w:b/>
          <w:bCs/>
          <w:color w:val="000000"/>
          <w:szCs w:val="22"/>
        </w:rPr>
        <w:t xml:space="preserve">  </w:t>
      </w:r>
      <w:r w:rsidR="00A433CC">
        <w:rPr>
          <w:bCs/>
          <w:color w:val="000000"/>
          <w:szCs w:val="22"/>
        </w:rPr>
        <w:t>E</w:t>
      </w:r>
      <w:r w:rsidR="00A433CC" w:rsidRPr="00A433CC">
        <w:rPr>
          <w:bCs/>
          <w:color w:val="000000"/>
          <w:szCs w:val="22"/>
        </w:rPr>
        <w:t xml:space="preserve">ach potential bidder </w:t>
      </w:r>
      <w:r w:rsidR="00A433CC">
        <w:rPr>
          <w:bCs/>
          <w:color w:val="000000"/>
          <w:szCs w:val="22"/>
        </w:rPr>
        <w:t>is responsible for undertaking</w:t>
      </w:r>
      <w:r w:rsidR="00A433CC" w:rsidRPr="00A433CC">
        <w:rPr>
          <w:bCs/>
          <w:color w:val="000000"/>
          <w:szCs w:val="22"/>
        </w:rPr>
        <w:t xml:space="preserve"> research to ensure that any </w:t>
      </w:r>
      <w:r w:rsidR="00CE5A54">
        <w:rPr>
          <w:bCs/>
          <w:color w:val="000000"/>
          <w:szCs w:val="22"/>
        </w:rPr>
        <w:t>licenses</w:t>
      </w:r>
      <w:r w:rsidR="00A433CC" w:rsidRPr="00A433CC">
        <w:rPr>
          <w:bCs/>
          <w:color w:val="000000"/>
          <w:szCs w:val="22"/>
        </w:rPr>
        <w:t xml:space="preserve"> won in this auction will be suitable for its business plans and needs.  Each potential bidder must undertake its own assessment of the relevance and importance of information gathered as part of its due diligence efforts.</w:t>
      </w:r>
      <w:r w:rsidR="00A433CC" w:rsidRPr="00A433CC">
        <w:rPr>
          <w:b/>
          <w:bCs/>
          <w:color w:val="000000"/>
          <w:szCs w:val="22"/>
        </w:rPr>
        <w:t xml:space="preserve">  </w:t>
      </w:r>
    </w:p>
    <w:p w:rsidR="008434F5" w:rsidRPr="001C2E9C" w:rsidRDefault="008434F5" w:rsidP="00C07C81">
      <w:pPr>
        <w:pStyle w:val="Heading3"/>
        <w:widowControl/>
        <w:rPr>
          <w:szCs w:val="22"/>
        </w:rPr>
      </w:pPr>
      <w:bookmarkStart w:id="649" w:name="_Toc129773447"/>
      <w:bookmarkStart w:id="650" w:name="_Toc130209985"/>
      <w:bookmarkStart w:id="651" w:name="_Toc130730914"/>
      <w:bookmarkStart w:id="652" w:name="_Toc130814142"/>
      <w:bookmarkStart w:id="653" w:name="_Toc130814464"/>
      <w:bookmarkStart w:id="654" w:name="_Toc130814596"/>
      <w:bookmarkStart w:id="655" w:name="_Toc130883479"/>
      <w:bookmarkStart w:id="656" w:name="_Toc130885587"/>
      <w:bookmarkStart w:id="657" w:name="_Toc131844566"/>
      <w:bookmarkStart w:id="658" w:name="_Toc148330503"/>
      <w:bookmarkStart w:id="659" w:name="_Toc148331220"/>
      <w:bookmarkStart w:id="660" w:name="_Toc148331679"/>
      <w:bookmarkStart w:id="661" w:name="_Toc148332104"/>
      <w:bookmarkStart w:id="662" w:name="_Toc148332176"/>
      <w:bookmarkStart w:id="663" w:name="_Toc148332250"/>
      <w:bookmarkStart w:id="664" w:name="_Toc148332327"/>
      <w:bookmarkStart w:id="665" w:name="_Toc148332404"/>
      <w:bookmarkStart w:id="666" w:name="_Toc148332481"/>
      <w:bookmarkStart w:id="667" w:name="_Toc148332556"/>
      <w:bookmarkStart w:id="668" w:name="_Toc148332629"/>
      <w:bookmarkStart w:id="669" w:name="_Toc148332725"/>
      <w:bookmarkStart w:id="670" w:name="_Toc148332859"/>
      <w:bookmarkStart w:id="671" w:name="_Toc148333061"/>
      <w:bookmarkStart w:id="672" w:name="_Toc148333194"/>
      <w:bookmarkStart w:id="673" w:name="_Toc148333613"/>
      <w:bookmarkStart w:id="674" w:name="_Toc148334226"/>
      <w:bookmarkStart w:id="675" w:name="_Toc148335740"/>
      <w:bookmarkStart w:id="676" w:name="_Toc148336273"/>
      <w:bookmarkStart w:id="677" w:name="_Toc148337714"/>
      <w:bookmarkStart w:id="678" w:name="_Toc148338037"/>
      <w:bookmarkStart w:id="679" w:name="_Toc148339747"/>
      <w:bookmarkStart w:id="680" w:name="_Toc148339844"/>
      <w:bookmarkStart w:id="681" w:name="_Toc149645552"/>
      <w:bookmarkStart w:id="682" w:name="_Toc149997856"/>
      <w:bookmarkStart w:id="683" w:name="_Toc158180732"/>
      <w:bookmarkStart w:id="684" w:name="_Toc158785581"/>
      <w:bookmarkStart w:id="685" w:name="_Toc178768484"/>
      <w:bookmarkStart w:id="686" w:name="_Toc179195925"/>
      <w:bookmarkStart w:id="687" w:name="_Toc179361867"/>
      <w:bookmarkStart w:id="688" w:name="_Toc179363651"/>
      <w:bookmarkStart w:id="689" w:name="_Toc197504906"/>
      <w:bookmarkStart w:id="690" w:name="_Toc198007678"/>
      <w:bookmarkStart w:id="691" w:name="_Toc198007829"/>
      <w:bookmarkStart w:id="692" w:name="_Toc198008181"/>
      <w:bookmarkStart w:id="693" w:name="_Toc198008318"/>
      <w:bookmarkStart w:id="694" w:name="_Toc198008865"/>
      <w:bookmarkStart w:id="695" w:name="_Toc198369761"/>
      <w:bookmarkStart w:id="696" w:name="_Toc198369898"/>
      <w:bookmarkStart w:id="697" w:name="_Toc198372810"/>
      <w:bookmarkStart w:id="698" w:name="_Toc198372913"/>
      <w:bookmarkStart w:id="699" w:name="_Toc198373043"/>
      <w:bookmarkStart w:id="700" w:name="_Toc198373211"/>
      <w:bookmarkStart w:id="701" w:name="_Toc198627125"/>
      <w:bookmarkStart w:id="702" w:name="_Toc198627231"/>
      <w:bookmarkStart w:id="703" w:name="_Toc216090703"/>
      <w:bookmarkStart w:id="704" w:name="_Toc226958209"/>
      <w:bookmarkStart w:id="705" w:name="_Toc227038269"/>
      <w:bookmarkStart w:id="706" w:name="_Toc254792575"/>
      <w:bookmarkStart w:id="707" w:name="_Toc256669699"/>
      <w:bookmarkStart w:id="708" w:name="_Toc257213232"/>
      <w:bookmarkStart w:id="709" w:name="_Toc257277734"/>
      <w:bookmarkStart w:id="710" w:name="_Toc257278695"/>
      <w:bookmarkStart w:id="711" w:name="_Toc257278905"/>
      <w:bookmarkStart w:id="712" w:name="_Toc257279273"/>
      <w:bookmarkStart w:id="713" w:name="_Toc257382917"/>
      <w:bookmarkStart w:id="714" w:name="_Toc274056174"/>
      <w:bookmarkStart w:id="715" w:name="_Toc276657579"/>
      <w:bookmarkStart w:id="716" w:name="_Toc278366425"/>
      <w:bookmarkStart w:id="717" w:name="_Toc307584022"/>
      <w:bookmarkStart w:id="718" w:name="_Toc307937296"/>
      <w:bookmarkStart w:id="719" w:name="_Toc348508734"/>
      <w:bookmarkStart w:id="720" w:name="_Toc362256733"/>
      <w:bookmarkStart w:id="721" w:name="_Toc366056487"/>
      <w:bookmarkStart w:id="722" w:name="_Toc366223690"/>
      <w:bookmarkStart w:id="723" w:name="_Toc366229403"/>
      <w:bookmarkStart w:id="724" w:name="_Toc366583447"/>
      <w:r w:rsidRPr="00047DA4">
        <w:rPr>
          <w:szCs w:val="22"/>
        </w:rPr>
        <w:t>Use of Integrated Spectrum Auction</w:t>
      </w:r>
      <w:r w:rsidRPr="001C2E9C">
        <w:rPr>
          <w:szCs w:val="22"/>
        </w:rPr>
        <w:t xml:space="preserve"> System</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rsidR="008434F5" w:rsidRPr="001C2E9C" w:rsidRDefault="00B13807" w:rsidP="00C07C81">
      <w:pPr>
        <w:pStyle w:val="ParaNum"/>
        <w:widowControl/>
        <w:tabs>
          <w:tab w:val="clear" w:pos="1260"/>
          <w:tab w:val="left" w:pos="1440"/>
        </w:tabs>
        <w:ind w:left="0"/>
        <w:rPr>
          <w:szCs w:val="22"/>
        </w:rPr>
      </w:pPr>
      <w:r>
        <w:rPr>
          <w:szCs w:val="22"/>
        </w:rPr>
        <w:t>B</w:t>
      </w:r>
      <w:r w:rsidR="008434F5" w:rsidRPr="001C2E9C">
        <w:rPr>
          <w:szCs w:val="22"/>
        </w:rPr>
        <w:t>idders</w:t>
      </w:r>
      <w:r>
        <w:rPr>
          <w:szCs w:val="22"/>
        </w:rPr>
        <w:t xml:space="preserve"> will be able</w:t>
      </w:r>
      <w:r w:rsidR="008434F5" w:rsidRPr="001C2E9C">
        <w:rPr>
          <w:szCs w:val="22"/>
        </w:rPr>
        <w:t xml:space="preserve"> to participate in Auction </w:t>
      </w:r>
      <w:r w:rsidR="00CC0081">
        <w:rPr>
          <w:szCs w:val="22"/>
        </w:rPr>
        <w:t>9</w:t>
      </w:r>
      <w:r w:rsidR="00530B79">
        <w:rPr>
          <w:szCs w:val="22"/>
        </w:rPr>
        <w:t>6</w:t>
      </w:r>
      <w:r w:rsidR="00DB1C33" w:rsidRPr="001C2E9C">
        <w:rPr>
          <w:szCs w:val="22"/>
        </w:rPr>
        <w:t xml:space="preserve"> </w:t>
      </w:r>
      <w:r w:rsidR="008434F5" w:rsidRPr="001C2E9C">
        <w:rPr>
          <w:szCs w:val="22"/>
        </w:rPr>
        <w:t xml:space="preserve">over the Internet using the Commission’s </w:t>
      </w:r>
      <w:r>
        <w:rPr>
          <w:szCs w:val="22"/>
        </w:rPr>
        <w:t xml:space="preserve">web-based </w:t>
      </w:r>
      <w:r w:rsidR="008434F5" w:rsidRPr="001C2E9C">
        <w:rPr>
          <w:szCs w:val="22"/>
        </w:rPr>
        <w:t xml:space="preserve">Integrated Spectrum Auction </w:t>
      </w:r>
      <w:r w:rsidR="008434F5" w:rsidRPr="00A65F60">
        <w:rPr>
          <w:szCs w:val="22"/>
        </w:rPr>
        <w:t>System (“ISAS” or “FCC Auction System”).  The Commission makes no warranty whatsoever with respect to the FCC Auction System.  In no event shall the Commission, or any of its officers, employees</w:t>
      </w:r>
      <w:r w:rsidR="00865981" w:rsidRPr="00A65F60">
        <w:rPr>
          <w:szCs w:val="22"/>
        </w:rPr>
        <w:t>,</w:t>
      </w:r>
      <w:r w:rsidR="008434F5" w:rsidRPr="00A65F60">
        <w:rPr>
          <w:szCs w:val="22"/>
        </w:rPr>
        <w:t xml:space="preserve"> or agents, be liable for any damages whatsoever (including, but not limited to, loss of business profits, business interruption, loss of business information, or any other loss) arising out of or relating to the existence, furnishing, functioning</w:t>
      </w:r>
      <w:r w:rsidR="00865981" w:rsidRPr="00A65F60">
        <w:rPr>
          <w:szCs w:val="22"/>
        </w:rPr>
        <w:t>,</w:t>
      </w:r>
      <w:r w:rsidR="008434F5" w:rsidRPr="00A65F60">
        <w:rPr>
          <w:szCs w:val="22"/>
        </w:rPr>
        <w:t xml:space="preserve"> or use of the FCC Auction System that is accessible to qualified bidders in connection with </w:t>
      </w:r>
      <w:r w:rsidR="001E3F8D" w:rsidRPr="00A65F60">
        <w:rPr>
          <w:szCs w:val="22"/>
        </w:rPr>
        <w:t>this auction</w:t>
      </w:r>
      <w:r w:rsidR="008434F5" w:rsidRPr="00A65F60">
        <w:rPr>
          <w:szCs w:val="22"/>
        </w:rPr>
        <w:t>.  Moreover, no obligation or liability will arise out of the Commission’s technical, programming</w:t>
      </w:r>
      <w:r w:rsidR="00865981" w:rsidRPr="00A65F60">
        <w:rPr>
          <w:szCs w:val="22"/>
        </w:rPr>
        <w:t>,</w:t>
      </w:r>
      <w:r w:rsidR="008434F5" w:rsidRPr="00A65F60">
        <w:rPr>
          <w:szCs w:val="22"/>
        </w:rPr>
        <w:t xml:space="preserve"> or other advice</w:t>
      </w:r>
      <w:r w:rsidR="008434F5" w:rsidRPr="001C2E9C">
        <w:rPr>
          <w:szCs w:val="22"/>
        </w:rPr>
        <w:t xml:space="preserve"> or service provided in connection with the FCC Auction System. </w:t>
      </w:r>
    </w:p>
    <w:p w:rsidR="008434F5" w:rsidRPr="008B16B9" w:rsidRDefault="007D07A7" w:rsidP="00C07C81">
      <w:pPr>
        <w:pStyle w:val="Heading3"/>
        <w:widowControl/>
        <w:rPr>
          <w:szCs w:val="22"/>
        </w:rPr>
      </w:pPr>
      <w:bookmarkStart w:id="725" w:name="_Toc109812224"/>
      <w:bookmarkStart w:id="726" w:name="_Toc124844733"/>
      <w:bookmarkStart w:id="727" w:name="_Toc124844861"/>
      <w:bookmarkStart w:id="728" w:name="_Toc124845520"/>
      <w:bookmarkStart w:id="729" w:name="_Toc124845788"/>
      <w:bookmarkStart w:id="730" w:name="_Toc124845862"/>
      <w:bookmarkStart w:id="731" w:name="_Toc124845936"/>
      <w:bookmarkStart w:id="732" w:name="_Toc124846108"/>
      <w:bookmarkStart w:id="733" w:name="_Toc124848231"/>
      <w:bookmarkStart w:id="734" w:name="_Toc124907482"/>
      <w:bookmarkStart w:id="735" w:name="_Toc129773448"/>
      <w:bookmarkStart w:id="736" w:name="_Toc130209986"/>
      <w:bookmarkStart w:id="737" w:name="_Toc130730915"/>
      <w:bookmarkStart w:id="738" w:name="_Toc130814143"/>
      <w:bookmarkStart w:id="739" w:name="_Toc130814465"/>
      <w:bookmarkStart w:id="740" w:name="_Toc130814597"/>
      <w:bookmarkStart w:id="741" w:name="_Toc130883480"/>
      <w:bookmarkStart w:id="742" w:name="_Toc130885588"/>
      <w:bookmarkStart w:id="743" w:name="_Toc131844567"/>
      <w:bookmarkStart w:id="744" w:name="_Toc148330504"/>
      <w:bookmarkStart w:id="745" w:name="_Toc148331221"/>
      <w:bookmarkStart w:id="746" w:name="_Toc148331680"/>
      <w:bookmarkStart w:id="747" w:name="_Toc148332105"/>
      <w:bookmarkStart w:id="748" w:name="_Toc148332177"/>
      <w:bookmarkStart w:id="749" w:name="_Toc148332251"/>
      <w:bookmarkStart w:id="750" w:name="_Toc148332328"/>
      <w:bookmarkStart w:id="751" w:name="_Toc148332405"/>
      <w:bookmarkStart w:id="752" w:name="_Toc148332482"/>
      <w:bookmarkStart w:id="753" w:name="_Toc148332557"/>
      <w:bookmarkStart w:id="754" w:name="_Toc148332630"/>
      <w:bookmarkStart w:id="755" w:name="_Toc148332726"/>
      <w:bookmarkStart w:id="756" w:name="_Toc148332860"/>
      <w:bookmarkStart w:id="757" w:name="_Toc148333062"/>
      <w:bookmarkStart w:id="758" w:name="_Toc148333195"/>
      <w:bookmarkStart w:id="759" w:name="_Toc148333614"/>
      <w:bookmarkStart w:id="760" w:name="_Toc148334227"/>
      <w:bookmarkStart w:id="761" w:name="_Toc148335741"/>
      <w:bookmarkStart w:id="762" w:name="_Toc148336274"/>
      <w:bookmarkStart w:id="763" w:name="_Toc148337715"/>
      <w:bookmarkStart w:id="764" w:name="_Toc148338038"/>
      <w:bookmarkStart w:id="765" w:name="_Toc148339748"/>
      <w:bookmarkStart w:id="766" w:name="_Toc148339845"/>
      <w:bookmarkStart w:id="767" w:name="_Toc149645553"/>
      <w:bookmarkStart w:id="768" w:name="_Toc149997857"/>
      <w:bookmarkStart w:id="769" w:name="_Toc158180733"/>
      <w:bookmarkStart w:id="770" w:name="_Toc158785582"/>
      <w:bookmarkStart w:id="771" w:name="_Toc178768485"/>
      <w:bookmarkStart w:id="772" w:name="_Toc179195926"/>
      <w:bookmarkStart w:id="773" w:name="_Toc179361868"/>
      <w:bookmarkStart w:id="774" w:name="_Toc179363652"/>
      <w:bookmarkStart w:id="775" w:name="_Toc197504907"/>
      <w:bookmarkStart w:id="776" w:name="_Toc198007679"/>
      <w:bookmarkStart w:id="777" w:name="_Toc198007830"/>
      <w:bookmarkStart w:id="778" w:name="_Toc198008182"/>
      <w:bookmarkStart w:id="779" w:name="_Toc198008319"/>
      <w:bookmarkStart w:id="780" w:name="_Toc198008866"/>
      <w:bookmarkStart w:id="781" w:name="_Toc198369762"/>
      <w:bookmarkStart w:id="782" w:name="_Toc198369899"/>
      <w:bookmarkStart w:id="783" w:name="_Toc198372811"/>
      <w:bookmarkStart w:id="784" w:name="_Toc198372914"/>
      <w:bookmarkStart w:id="785" w:name="_Toc198373044"/>
      <w:bookmarkStart w:id="786" w:name="_Toc198373212"/>
      <w:bookmarkStart w:id="787" w:name="_Toc198627126"/>
      <w:bookmarkStart w:id="788" w:name="_Toc198627232"/>
      <w:bookmarkStart w:id="789" w:name="_Toc216090704"/>
      <w:bookmarkStart w:id="790" w:name="_Toc226958210"/>
      <w:bookmarkStart w:id="791" w:name="_Toc227038270"/>
      <w:bookmarkStart w:id="792" w:name="_Toc254792576"/>
      <w:bookmarkStart w:id="793" w:name="_Toc256669700"/>
      <w:bookmarkStart w:id="794" w:name="_Toc257213233"/>
      <w:bookmarkStart w:id="795" w:name="_Toc257277735"/>
      <w:bookmarkStart w:id="796" w:name="_Toc257278696"/>
      <w:bookmarkStart w:id="797" w:name="_Toc257278906"/>
      <w:bookmarkStart w:id="798" w:name="_Toc257279274"/>
      <w:bookmarkStart w:id="799" w:name="_Toc257382918"/>
      <w:bookmarkStart w:id="800" w:name="_Toc274056175"/>
      <w:bookmarkStart w:id="801" w:name="_Toc276657580"/>
      <w:bookmarkStart w:id="802" w:name="_Toc278366426"/>
      <w:bookmarkStart w:id="803" w:name="_Toc307584023"/>
      <w:bookmarkStart w:id="804" w:name="_Toc307937297"/>
      <w:bookmarkStart w:id="805" w:name="_Toc348508735"/>
      <w:bookmarkStart w:id="806" w:name="_Toc362256734"/>
      <w:bookmarkStart w:id="807" w:name="_Toc366056488"/>
      <w:bookmarkStart w:id="808" w:name="_Toc366223691"/>
      <w:bookmarkStart w:id="809" w:name="_Toc366229404"/>
      <w:bookmarkStart w:id="810" w:name="_Toc366583448"/>
      <w:bookmarkEnd w:id="632"/>
      <w:r w:rsidRPr="008B16B9">
        <w:rPr>
          <w:szCs w:val="22"/>
        </w:rPr>
        <w:t>Fraud</w:t>
      </w:r>
      <w:r w:rsidR="008434F5" w:rsidRPr="008B16B9">
        <w:rPr>
          <w:szCs w:val="22"/>
        </w:rPr>
        <w:t xml:space="preserve"> Alert</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rsidR="008434F5" w:rsidRPr="001C2E9C" w:rsidRDefault="008434F5" w:rsidP="00C07C81">
      <w:pPr>
        <w:pStyle w:val="ParaNum"/>
        <w:widowControl/>
        <w:tabs>
          <w:tab w:val="clear" w:pos="1260"/>
          <w:tab w:val="left" w:pos="1440"/>
        </w:tabs>
        <w:ind w:left="0"/>
        <w:rPr>
          <w:szCs w:val="22"/>
        </w:rPr>
      </w:pPr>
      <w:r w:rsidRPr="001C2E9C">
        <w:rPr>
          <w:szCs w:val="22"/>
        </w:rPr>
        <w:t xml:space="preserve">As is the case with many business investment opportunities, some unscrupulous entrepreneurs may attempt to use Auction </w:t>
      </w:r>
      <w:r w:rsidR="00CC0081">
        <w:rPr>
          <w:szCs w:val="22"/>
        </w:rPr>
        <w:t>9</w:t>
      </w:r>
      <w:r w:rsidR="00530B79">
        <w:rPr>
          <w:szCs w:val="22"/>
        </w:rPr>
        <w:t>6</w:t>
      </w:r>
      <w:r w:rsidR="00D7644C" w:rsidRPr="001C2E9C">
        <w:rPr>
          <w:szCs w:val="22"/>
        </w:rPr>
        <w:t xml:space="preserve"> </w:t>
      </w:r>
      <w:r w:rsidRPr="001C2E9C">
        <w:rPr>
          <w:szCs w:val="22"/>
        </w:rPr>
        <w:t>to deceive and defraud unsuspecting investors.  Common warning signals of fraud include the following:</w:t>
      </w:r>
    </w:p>
    <w:p w:rsidR="008434F5" w:rsidRPr="00CA6286" w:rsidRDefault="008434F5" w:rsidP="00C07C81">
      <w:pPr>
        <w:pStyle w:val="BulletCharChar"/>
        <w:widowControl/>
        <w:tabs>
          <w:tab w:val="num" w:pos="720"/>
        </w:tabs>
        <w:ind w:left="720" w:hanging="360"/>
        <w:rPr>
          <w:szCs w:val="22"/>
        </w:rPr>
      </w:pPr>
      <w:r w:rsidRPr="00CA6286">
        <w:rPr>
          <w:szCs w:val="22"/>
        </w:rPr>
        <w:t>The first contact is a “cold call” from a telemarketer, or is made in response to an inquiry prompted by a radio or television infomercial.</w:t>
      </w:r>
    </w:p>
    <w:p w:rsidR="008434F5" w:rsidRPr="00CA6286" w:rsidRDefault="008434F5" w:rsidP="00C07C81">
      <w:pPr>
        <w:pStyle w:val="BulletCharChar"/>
        <w:widowControl/>
        <w:tabs>
          <w:tab w:val="num" w:pos="720"/>
        </w:tabs>
        <w:ind w:left="720" w:hanging="360"/>
        <w:rPr>
          <w:szCs w:val="22"/>
        </w:rPr>
      </w:pPr>
      <w:r w:rsidRPr="00CA6286">
        <w:rPr>
          <w:szCs w:val="22"/>
        </w:rPr>
        <w:t>The offering materials used to invest in the venture appear to be targeted at IRA funds, for example, by including all documents and papers needed for the transfer of funds maintained in IRA accounts.</w:t>
      </w:r>
    </w:p>
    <w:p w:rsidR="008434F5" w:rsidRPr="00CA6286" w:rsidRDefault="008434F5" w:rsidP="00C07C81">
      <w:pPr>
        <w:pStyle w:val="BulletCharChar"/>
        <w:widowControl/>
        <w:tabs>
          <w:tab w:val="num" w:pos="720"/>
        </w:tabs>
        <w:ind w:left="720" w:hanging="360"/>
        <w:rPr>
          <w:szCs w:val="22"/>
        </w:rPr>
      </w:pPr>
      <w:r w:rsidRPr="00CA6286">
        <w:rPr>
          <w:szCs w:val="22"/>
        </w:rPr>
        <w:t>The amount of investment is less than $25,000.</w:t>
      </w:r>
    </w:p>
    <w:p w:rsidR="008434F5" w:rsidRPr="00AA2B80" w:rsidRDefault="008434F5" w:rsidP="00C07C81">
      <w:pPr>
        <w:pStyle w:val="BulletCharChar"/>
        <w:widowControl/>
        <w:tabs>
          <w:tab w:val="num" w:pos="720"/>
        </w:tabs>
        <w:ind w:left="720" w:hanging="360"/>
        <w:rPr>
          <w:szCs w:val="22"/>
        </w:rPr>
      </w:pPr>
      <w:r w:rsidRPr="00CA6286">
        <w:rPr>
          <w:szCs w:val="22"/>
        </w:rPr>
        <w:t xml:space="preserve">The sales representative makes verbal representations that: (a) the Internal Revenue Service, Federal Trade Commission (“FTC”), Securities and Exchange Commission (“SEC”), FCC, or other government agency has approved the investment; (b) the investment is not subject to state or federal securities laws; or (c) the investment will yield unrealistically high short-term profits.  In addition, the offering materials often include copies of actual FCC releases, or quotes from FCC personnel, giving </w:t>
      </w:r>
      <w:r w:rsidRPr="00AA2B80">
        <w:rPr>
          <w:szCs w:val="22"/>
        </w:rPr>
        <w:t>the appearance of FCC knowledge or approval of the solicitation.</w:t>
      </w:r>
    </w:p>
    <w:p w:rsidR="00F05ABA" w:rsidRDefault="00CE4C18" w:rsidP="00C07C81">
      <w:pPr>
        <w:pStyle w:val="ParaNum"/>
        <w:widowControl/>
        <w:tabs>
          <w:tab w:val="clear" w:pos="1260"/>
          <w:tab w:val="left" w:pos="1440"/>
        </w:tabs>
        <w:ind w:left="0"/>
      </w:pPr>
      <w:r w:rsidRPr="00AA2B80">
        <w:t xml:space="preserve">Information about </w:t>
      </w:r>
      <w:r w:rsidRPr="00463D88">
        <w:rPr>
          <w:szCs w:val="22"/>
        </w:rPr>
        <w:t>deceptive</w:t>
      </w:r>
      <w:r w:rsidRPr="00AA2B80">
        <w:t xml:space="preserve"> telemarketing investment schemes is available from the </w:t>
      </w:r>
      <w:r w:rsidR="00AC12E0" w:rsidRPr="00AA2B80">
        <w:t>FCC</w:t>
      </w:r>
      <w:r w:rsidRPr="00AA2B80">
        <w:t xml:space="preserve"> as well as the FTC and SEC.  Additional sources of information for potential bidders and investors may be obtained from</w:t>
      </w:r>
      <w:r w:rsidR="00F05ABA">
        <w:t xml:space="preserve"> the following sources</w:t>
      </w:r>
      <w:r w:rsidRPr="00AA2B80">
        <w:t xml:space="preserve">: </w:t>
      </w:r>
    </w:p>
    <w:p w:rsidR="00F05ABA" w:rsidRDefault="00F05ABA" w:rsidP="00C07C81">
      <w:pPr>
        <w:pStyle w:val="BulletCharChar"/>
        <w:widowControl/>
        <w:tabs>
          <w:tab w:val="clear" w:pos="2160"/>
        </w:tabs>
        <w:spacing w:after="120"/>
        <w:ind w:left="1080" w:hanging="360"/>
      </w:pPr>
      <w:r>
        <w:t xml:space="preserve">the </w:t>
      </w:r>
      <w:r w:rsidRPr="004843C8">
        <w:rPr>
          <w:szCs w:val="22"/>
        </w:rPr>
        <w:t>FCC</w:t>
      </w:r>
      <w:r>
        <w:rPr>
          <w:szCs w:val="22"/>
        </w:rPr>
        <w:t>’s</w:t>
      </w:r>
      <w:r>
        <w:t xml:space="preserve"> Consumer Call Center at (888) 225-5322 or </w:t>
      </w:r>
      <w:r w:rsidR="004E4C79">
        <w:t xml:space="preserve">by </w:t>
      </w:r>
      <w:r>
        <w:t xml:space="preserve">visiting </w:t>
      </w:r>
      <w:hyperlink r:id="rId12" w:anchor="d36e37" w:history="1">
        <w:r w:rsidRPr="004843C8">
          <w:rPr>
            <w:rStyle w:val="Hyperlink"/>
            <w:szCs w:val="22"/>
          </w:rPr>
          <w:t>http://wireless.fcc.gov/csinfo#fraud</w:t>
        </w:r>
      </w:hyperlink>
      <w:r>
        <w:t xml:space="preserve"> </w:t>
      </w:r>
    </w:p>
    <w:p w:rsidR="00F05ABA" w:rsidRDefault="00F05ABA" w:rsidP="00C07C81">
      <w:pPr>
        <w:pStyle w:val="BulletCharChar"/>
        <w:widowControl/>
        <w:tabs>
          <w:tab w:val="clear" w:pos="2160"/>
        </w:tabs>
        <w:spacing w:after="120"/>
        <w:ind w:left="1080" w:hanging="360"/>
      </w:pPr>
      <w:r>
        <w:t xml:space="preserve">the FTC at (877) FTC-HELP ((877) 382-4357) or </w:t>
      </w:r>
      <w:r w:rsidR="004E4C79">
        <w:t xml:space="preserve">by </w:t>
      </w:r>
      <w:r>
        <w:t xml:space="preserve">visiting </w:t>
      </w:r>
      <w:hyperlink r:id="rId13" w:history="1">
        <w:r w:rsidRPr="004843C8">
          <w:rPr>
            <w:rStyle w:val="Hyperlink"/>
            <w:szCs w:val="22"/>
          </w:rPr>
          <w:t>http://ftc.gov/bcp/edu/pubs/consumer/invest/inv03.shtm</w:t>
        </w:r>
      </w:hyperlink>
      <w:r>
        <w:t xml:space="preserve"> </w:t>
      </w:r>
    </w:p>
    <w:p w:rsidR="00F05ABA" w:rsidRPr="00640E12" w:rsidRDefault="00F05ABA" w:rsidP="00C07C81">
      <w:pPr>
        <w:pStyle w:val="BulletCharChar"/>
        <w:widowControl/>
        <w:tabs>
          <w:tab w:val="clear" w:pos="2160"/>
        </w:tabs>
        <w:spacing w:after="120"/>
        <w:ind w:left="1080" w:hanging="360"/>
      </w:pPr>
      <w:r>
        <w:t>the SEC at (202) 942-7040 or by visiting</w:t>
      </w:r>
      <w:r>
        <w:br/>
      </w:r>
      <w:hyperlink r:id="rId14" w:history="1">
        <w:r w:rsidR="00B13807" w:rsidRPr="00640E12">
          <w:rPr>
            <w:rStyle w:val="Hyperlink"/>
            <w:szCs w:val="22"/>
          </w:rPr>
          <w:t>http://sec.gov/cgi-bin/txt-srch-sec?text=fraud&amp;section=Investor+Information</w:t>
        </w:r>
      </w:hyperlink>
      <w:r w:rsidRPr="00640E12">
        <w:rPr>
          <w:color w:val="000000"/>
          <w:szCs w:val="22"/>
        </w:rPr>
        <w:t>.</w:t>
      </w:r>
    </w:p>
    <w:p w:rsidR="008434F5" w:rsidRPr="001C2E9C" w:rsidRDefault="00F05ABA" w:rsidP="00C07C81">
      <w:pPr>
        <w:pStyle w:val="ParaNum"/>
        <w:widowControl/>
        <w:numPr>
          <w:ilvl w:val="0"/>
          <w:numId w:val="0"/>
        </w:numPr>
      </w:pPr>
      <w:r w:rsidRPr="004843C8">
        <w:t>Complaints about specific deceptive telemarketing investment schemes should be directed to the FTC, the SEC, or the National Fraud Information Center at (800) 876-7060</w:t>
      </w:r>
      <w:r>
        <w:t>.</w:t>
      </w:r>
    </w:p>
    <w:p w:rsidR="008434F5" w:rsidRPr="001C2E9C" w:rsidRDefault="008434F5" w:rsidP="00C07C81">
      <w:pPr>
        <w:pStyle w:val="Heading3"/>
        <w:widowControl/>
        <w:rPr>
          <w:szCs w:val="22"/>
        </w:rPr>
      </w:pPr>
      <w:bookmarkStart w:id="811" w:name="_Toc483218126"/>
      <w:bookmarkStart w:id="812" w:name="_Toc109812225"/>
      <w:bookmarkStart w:id="813" w:name="_Toc124844734"/>
      <w:bookmarkStart w:id="814" w:name="_Toc124844862"/>
      <w:bookmarkStart w:id="815" w:name="_Toc124845521"/>
      <w:bookmarkStart w:id="816" w:name="_Toc124845789"/>
      <w:bookmarkStart w:id="817" w:name="_Toc124845863"/>
      <w:bookmarkStart w:id="818" w:name="_Toc124845937"/>
      <w:bookmarkStart w:id="819" w:name="_Toc124846109"/>
      <w:bookmarkStart w:id="820" w:name="_Toc124848232"/>
      <w:bookmarkStart w:id="821" w:name="_Toc124907483"/>
      <w:bookmarkStart w:id="822" w:name="_Toc129773449"/>
      <w:bookmarkStart w:id="823" w:name="_Toc130209987"/>
      <w:bookmarkStart w:id="824" w:name="_Toc130730916"/>
      <w:bookmarkStart w:id="825" w:name="_Toc130814144"/>
      <w:bookmarkStart w:id="826" w:name="_Toc130814466"/>
      <w:bookmarkStart w:id="827" w:name="_Toc130814598"/>
      <w:bookmarkStart w:id="828" w:name="_Toc130883481"/>
      <w:bookmarkStart w:id="829" w:name="_Toc130885589"/>
      <w:bookmarkStart w:id="830" w:name="_Toc131844568"/>
      <w:bookmarkStart w:id="831" w:name="_Toc148330505"/>
      <w:bookmarkStart w:id="832" w:name="_Toc148331222"/>
      <w:bookmarkStart w:id="833" w:name="_Toc148331681"/>
      <w:bookmarkStart w:id="834" w:name="_Toc148332106"/>
      <w:bookmarkStart w:id="835" w:name="_Toc148332178"/>
      <w:bookmarkStart w:id="836" w:name="_Toc148332252"/>
      <w:bookmarkStart w:id="837" w:name="_Toc148332329"/>
      <w:bookmarkStart w:id="838" w:name="_Toc148332406"/>
      <w:bookmarkStart w:id="839" w:name="_Toc148332483"/>
      <w:bookmarkStart w:id="840" w:name="_Toc148332558"/>
      <w:bookmarkStart w:id="841" w:name="_Toc148332631"/>
      <w:bookmarkStart w:id="842" w:name="_Toc148332727"/>
      <w:bookmarkStart w:id="843" w:name="_Toc148332861"/>
      <w:bookmarkStart w:id="844" w:name="_Toc148333063"/>
      <w:bookmarkStart w:id="845" w:name="_Toc148333196"/>
      <w:bookmarkStart w:id="846" w:name="_Toc148333615"/>
      <w:bookmarkStart w:id="847" w:name="_Toc148334228"/>
      <w:bookmarkStart w:id="848" w:name="_Toc148335742"/>
      <w:bookmarkStart w:id="849" w:name="_Toc148336275"/>
      <w:bookmarkStart w:id="850" w:name="_Toc148337716"/>
      <w:bookmarkStart w:id="851" w:name="_Toc148338039"/>
      <w:bookmarkStart w:id="852" w:name="_Toc148339749"/>
      <w:bookmarkStart w:id="853" w:name="_Toc148339846"/>
      <w:bookmarkStart w:id="854" w:name="_Toc149645554"/>
      <w:bookmarkStart w:id="855" w:name="_Toc149997858"/>
      <w:bookmarkStart w:id="856" w:name="_Toc158180734"/>
      <w:bookmarkStart w:id="857" w:name="_Toc158785583"/>
      <w:bookmarkStart w:id="858" w:name="_Toc178768486"/>
      <w:bookmarkStart w:id="859" w:name="_Toc179195927"/>
      <w:bookmarkStart w:id="860" w:name="_Toc179361869"/>
      <w:bookmarkStart w:id="861" w:name="_Toc179363653"/>
      <w:bookmarkStart w:id="862" w:name="_Toc197504908"/>
      <w:bookmarkStart w:id="863" w:name="_Toc198007680"/>
      <w:bookmarkStart w:id="864" w:name="_Toc198007831"/>
      <w:bookmarkStart w:id="865" w:name="_Toc198008183"/>
      <w:bookmarkStart w:id="866" w:name="_Toc198008320"/>
      <w:bookmarkStart w:id="867" w:name="_Toc198008867"/>
      <w:bookmarkStart w:id="868" w:name="_Toc198369763"/>
      <w:bookmarkStart w:id="869" w:name="_Toc198369900"/>
      <w:bookmarkStart w:id="870" w:name="_Toc198372812"/>
      <w:bookmarkStart w:id="871" w:name="_Toc198372915"/>
      <w:bookmarkStart w:id="872" w:name="_Toc198373045"/>
      <w:bookmarkStart w:id="873" w:name="_Toc198373213"/>
      <w:bookmarkStart w:id="874" w:name="_Toc198627127"/>
      <w:bookmarkStart w:id="875" w:name="_Toc198627233"/>
      <w:bookmarkStart w:id="876" w:name="_Toc216090705"/>
      <w:bookmarkStart w:id="877" w:name="_Toc226958211"/>
      <w:bookmarkStart w:id="878" w:name="_Toc227038271"/>
      <w:bookmarkStart w:id="879" w:name="_Toc254792577"/>
      <w:bookmarkStart w:id="880" w:name="_Toc256669701"/>
      <w:bookmarkStart w:id="881" w:name="_Toc257213234"/>
      <w:bookmarkStart w:id="882" w:name="_Toc257277736"/>
      <w:bookmarkStart w:id="883" w:name="_Toc257278697"/>
      <w:bookmarkStart w:id="884" w:name="_Toc257278907"/>
      <w:bookmarkStart w:id="885" w:name="_Toc257279275"/>
      <w:bookmarkStart w:id="886" w:name="_Toc257382919"/>
      <w:bookmarkStart w:id="887" w:name="_Toc274056176"/>
      <w:bookmarkStart w:id="888" w:name="_Toc276657581"/>
      <w:bookmarkStart w:id="889" w:name="_Toc278366427"/>
      <w:bookmarkStart w:id="890" w:name="_Toc307584024"/>
      <w:bookmarkStart w:id="891" w:name="_Toc307937298"/>
      <w:bookmarkStart w:id="892" w:name="_Toc348508736"/>
      <w:bookmarkStart w:id="893" w:name="_Toc362256735"/>
      <w:bookmarkStart w:id="894" w:name="_Toc366056489"/>
      <w:bookmarkStart w:id="895" w:name="_Toc366223692"/>
      <w:bookmarkStart w:id="896" w:name="_Toc366229405"/>
      <w:bookmarkStart w:id="897" w:name="_Toc366583449"/>
      <w:r w:rsidRPr="001C2E9C">
        <w:rPr>
          <w:szCs w:val="22"/>
        </w:rPr>
        <w:t xml:space="preserve">Environmental </w:t>
      </w:r>
      <w:r w:rsidR="00945F77" w:rsidRPr="001C2E9C">
        <w:rPr>
          <w:szCs w:val="22"/>
        </w:rPr>
        <w:t xml:space="preserve">Review </w:t>
      </w:r>
      <w:r w:rsidRPr="001C2E9C">
        <w:rPr>
          <w:szCs w:val="22"/>
        </w:rPr>
        <w:t>Requirements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rsidR="008434F5" w:rsidRPr="001C2E9C" w:rsidRDefault="008B16B9" w:rsidP="00C07C81">
      <w:pPr>
        <w:pStyle w:val="ParaNum"/>
        <w:widowControl/>
        <w:tabs>
          <w:tab w:val="clear" w:pos="1260"/>
          <w:tab w:val="left" w:pos="1440"/>
        </w:tabs>
        <w:ind w:left="0"/>
        <w:rPr>
          <w:szCs w:val="22"/>
        </w:rPr>
      </w:pPr>
      <w:r>
        <w:rPr>
          <w:szCs w:val="22"/>
        </w:rPr>
        <w:t>L</w:t>
      </w:r>
      <w:r w:rsidR="008434F5" w:rsidRPr="001C2E9C">
        <w:rPr>
          <w:szCs w:val="22"/>
        </w:rPr>
        <w:t xml:space="preserve">icensees must comply with the Commission’s rules regarding implementation of the National Environmental Policy Act </w:t>
      </w:r>
      <w:r w:rsidR="00945F77" w:rsidRPr="001C2E9C">
        <w:rPr>
          <w:szCs w:val="22"/>
        </w:rPr>
        <w:t>and other federal environmental statutes</w:t>
      </w:r>
      <w:r w:rsidR="008434F5" w:rsidRPr="001C2E9C">
        <w:rPr>
          <w:szCs w:val="22"/>
        </w:rPr>
        <w:t>.</w:t>
      </w:r>
      <w:r w:rsidR="008434F5" w:rsidRPr="00CA6286">
        <w:rPr>
          <w:rStyle w:val="FootnoteReference"/>
          <w:szCs w:val="22"/>
        </w:rPr>
        <w:footnoteReference w:id="79"/>
      </w:r>
      <w:r w:rsidR="008434F5" w:rsidRPr="001C2E9C">
        <w:rPr>
          <w:szCs w:val="22"/>
        </w:rPr>
        <w:t xml:space="preserve">  The construction of a </w:t>
      </w:r>
      <w:r>
        <w:rPr>
          <w:szCs w:val="22"/>
        </w:rPr>
        <w:t>wireless antenna</w:t>
      </w:r>
      <w:r w:rsidR="008434F5" w:rsidRPr="001C2E9C">
        <w:rPr>
          <w:szCs w:val="22"/>
        </w:rPr>
        <w:t xml:space="preserve"> facility </w:t>
      </w:r>
      <w:r w:rsidR="008434F5" w:rsidRPr="00640E12">
        <w:rPr>
          <w:szCs w:val="22"/>
        </w:rPr>
        <w:t>is a federal action</w:t>
      </w:r>
      <w:r w:rsidR="00D14E5E" w:rsidRPr="00640E12">
        <w:rPr>
          <w:szCs w:val="22"/>
        </w:rPr>
        <w:t>,</w:t>
      </w:r>
      <w:r w:rsidR="008434F5" w:rsidRPr="00640E12">
        <w:rPr>
          <w:szCs w:val="22"/>
        </w:rPr>
        <w:t xml:space="preserve"> and the licensee</w:t>
      </w:r>
      <w:r w:rsidR="008434F5" w:rsidRPr="001C2E9C">
        <w:rPr>
          <w:szCs w:val="22"/>
        </w:rPr>
        <w:t xml:space="preserve"> must comply with the Commission’s </w:t>
      </w:r>
      <w:r w:rsidR="000A5F9F" w:rsidRPr="001C2E9C">
        <w:rPr>
          <w:szCs w:val="22"/>
        </w:rPr>
        <w:t xml:space="preserve">environmental </w:t>
      </w:r>
      <w:r w:rsidR="008434F5" w:rsidRPr="001C2E9C">
        <w:rPr>
          <w:szCs w:val="22"/>
        </w:rPr>
        <w:t>rules for each such facility.</w:t>
      </w:r>
      <w:r w:rsidR="008434F5" w:rsidRPr="00CA6286">
        <w:rPr>
          <w:rStyle w:val="FootnoteReference"/>
          <w:szCs w:val="22"/>
        </w:rPr>
        <w:footnoteReference w:id="80"/>
      </w:r>
      <w:r w:rsidR="008434F5" w:rsidRPr="001C2E9C">
        <w:rPr>
          <w:szCs w:val="22"/>
        </w:rPr>
        <w:t xml:space="preserve">  The</w:t>
      </w:r>
      <w:r w:rsidR="00C470F0">
        <w:rPr>
          <w:szCs w:val="22"/>
        </w:rPr>
        <w:t xml:space="preserve">se </w:t>
      </w:r>
      <w:r w:rsidR="000A5F9F" w:rsidRPr="001C2E9C">
        <w:rPr>
          <w:szCs w:val="22"/>
        </w:rPr>
        <w:t>environmental</w:t>
      </w:r>
      <w:r w:rsidR="008434F5" w:rsidRPr="001C2E9C">
        <w:rPr>
          <w:szCs w:val="22"/>
        </w:rPr>
        <w:t xml:space="preserve"> rules require, among other things, that the licensee consult with expert agencies having </w:t>
      </w:r>
      <w:r w:rsidR="000A5F9F" w:rsidRPr="001C2E9C">
        <w:rPr>
          <w:szCs w:val="22"/>
        </w:rPr>
        <w:t xml:space="preserve">environmental </w:t>
      </w:r>
      <w:r w:rsidR="008434F5" w:rsidRPr="001C2E9C">
        <w:rPr>
          <w:szCs w:val="22"/>
        </w:rPr>
        <w:t xml:space="preserve">responsibilities, </w:t>
      </w:r>
      <w:r w:rsidR="008434F5" w:rsidRPr="00A65F60">
        <w:rPr>
          <w:szCs w:val="22"/>
        </w:rPr>
        <w:t xml:space="preserve">including the U.S. Fish and Wildlife Service, the State Historic Preservation Office, the </w:t>
      </w:r>
      <w:r w:rsidR="002C6371" w:rsidRPr="00A65F60">
        <w:rPr>
          <w:szCs w:val="22"/>
        </w:rPr>
        <w:t xml:space="preserve">U.S. </w:t>
      </w:r>
      <w:r w:rsidR="008434F5" w:rsidRPr="00A65F60">
        <w:rPr>
          <w:szCs w:val="22"/>
        </w:rPr>
        <w:t>Army Corps of Engineers</w:t>
      </w:r>
      <w:r w:rsidR="009E1F46" w:rsidRPr="00A65F60">
        <w:rPr>
          <w:szCs w:val="22"/>
        </w:rPr>
        <w:t>,</w:t>
      </w:r>
      <w:r w:rsidR="008434F5" w:rsidRPr="00A65F60">
        <w:rPr>
          <w:szCs w:val="22"/>
        </w:rPr>
        <w:t xml:space="preserve"> and the Federal Emergency Management Agency (through the local authority with jurisdiction over floodplains).  In assessing the effect of facilit</w:t>
      </w:r>
      <w:r w:rsidR="006F350E" w:rsidRPr="00A65F60">
        <w:rPr>
          <w:szCs w:val="22"/>
        </w:rPr>
        <w:t>y</w:t>
      </w:r>
      <w:r w:rsidR="008434F5" w:rsidRPr="00A65F60">
        <w:rPr>
          <w:szCs w:val="22"/>
        </w:rPr>
        <w:t xml:space="preserve"> construction on historic properties, the licensee must follow the provisions of the </w:t>
      </w:r>
      <w:r w:rsidR="00AC12E0" w:rsidRPr="00A65F60">
        <w:rPr>
          <w:szCs w:val="22"/>
        </w:rPr>
        <w:t xml:space="preserve">FCC’s </w:t>
      </w:r>
      <w:r w:rsidR="008434F5" w:rsidRPr="00A65F60">
        <w:rPr>
          <w:szCs w:val="22"/>
        </w:rPr>
        <w:t>Nationwide Programmatic Agreement Regarding the Section 106 National Historic Preservation Act Review Process.</w:t>
      </w:r>
      <w:r w:rsidR="008434F5" w:rsidRPr="00A65F60">
        <w:rPr>
          <w:rStyle w:val="FootnoteReference"/>
          <w:szCs w:val="22"/>
        </w:rPr>
        <w:footnoteReference w:id="81"/>
      </w:r>
      <w:r w:rsidR="008434F5" w:rsidRPr="00A65F60">
        <w:rPr>
          <w:szCs w:val="22"/>
        </w:rPr>
        <w:t xml:space="preserve">  The</w:t>
      </w:r>
      <w:r w:rsidR="002C6371" w:rsidRPr="00A65F60">
        <w:rPr>
          <w:szCs w:val="22"/>
        </w:rPr>
        <w:t xml:space="preserve"> </w:t>
      </w:r>
      <w:r w:rsidR="008434F5" w:rsidRPr="00A65F60">
        <w:rPr>
          <w:szCs w:val="22"/>
        </w:rPr>
        <w:t xml:space="preserve">licensee must prepare environmental assessments for </w:t>
      </w:r>
      <w:r w:rsidR="006F350E" w:rsidRPr="00A65F60">
        <w:rPr>
          <w:szCs w:val="22"/>
        </w:rPr>
        <w:t xml:space="preserve">any </w:t>
      </w:r>
      <w:r w:rsidR="008434F5" w:rsidRPr="00A65F60">
        <w:rPr>
          <w:szCs w:val="22"/>
        </w:rPr>
        <w:t>facilit</w:t>
      </w:r>
      <w:r w:rsidR="006F350E" w:rsidRPr="00A65F60">
        <w:rPr>
          <w:szCs w:val="22"/>
        </w:rPr>
        <w:t>y</w:t>
      </w:r>
      <w:r w:rsidR="008434F5" w:rsidRPr="00A65F60">
        <w:rPr>
          <w:szCs w:val="22"/>
        </w:rPr>
        <w:t xml:space="preserve"> that may have a significant impact in or on wilderness areas, wildlife preserves, threatened or endangered species</w:t>
      </w:r>
      <w:r w:rsidR="009E1F46" w:rsidRPr="00A65F60">
        <w:rPr>
          <w:szCs w:val="22"/>
        </w:rPr>
        <w:t>,</w:t>
      </w:r>
      <w:r w:rsidR="008434F5" w:rsidRPr="00A65F60">
        <w:rPr>
          <w:szCs w:val="22"/>
        </w:rPr>
        <w:t xml:space="preserve"> or designated critical habitats, historical or archaeological sites, </w:t>
      </w:r>
      <w:r w:rsidR="00B6180C">
        <w:rPr>
          <w:szCs w:val="22"/>
        </w:rPr>
        <w:t>Native American</w:t>
      </w:r>
      <w:r w:rsidR="008434F5" w:rsidRPr="00A65F60">
        <w:rPr>
          <w:szCs w:val="22"/>
        </w:rPr>
        <w:t xml:space="preserve"> religious sites, floodplains, and surface features.  </w:t>
      </w:r>
      <w:r w:rsidR="00C470F0" w:rsidRPr="00A65F60">
        <w:rPr>
          <w:szCs w:val="22"/>
        </w:rPr>
        <w:t xml:space="preserve">In addition, </w:t>
      </w:r>
      <w:r w:rsidR="002C6371" w:rsidRPr="00A65F60">
        <w:rPr>
          <w:szCs w:val="22"/>
        </w:rPr>
        <w:t>t</w:t>
      </w:r>
      <w:r w:rsidR="008434F5" w:rsidRPr="00A65F60">
        <w:rPr>
          <w:szCs w:val="22"/>
        </w:rPr>
        <w:t>he licensee must prepare</w:t>
      </w:r>
      <w:r w:rsidR="002C6371" w:rsidRPr="00A65F60">
        <w:rPr>
          <w:szCs w:val="22"/>
        </w:rPr>
        <w:t xml:space="preserve"> </w:t>
      </w:r>
      <w:r w:rsidR="008434F5" w:rsidRPr="00A65F60">
        <w:rPr>
          <w:szCs w:val="22"/>
        </w:rPr>
        <w:t>environmental assessment</w:t>
      </w:r>
      <w:r w:rsidR="00C470F0" w:rsidRPr="00A65F60">
        <w:rPr>
          <w:szCs w:val="22"/>
        </w:rPr>
        <w:t>s</w:t>
      </w:r>
      <w:r w:rsidR="008434F5" w:rsidRPr="00A65F60">
        <w:rPr>
          <w:szCs w:val="22"/>
        </w:rPr>
        <w:t xml:space="preserve"> for facilities that include high intensity white lights in residential neighborhoods or excessive radio frequency</w:t>
      </w:r>
      <w:r w:rsidR="008434F5" w:rsidRPr="001C2E9C">
        <w:rPr>
          <w:szCs w:val="22"/>
        </w:rPr>
        <w:t xml:space="preserve"> emission.</w:t>
      </w:r>
    </w:p>
    <w:p w:rsidR="008434F5" w:rsidRPr="00AA2B80" w:rsidRDefault="008434F5" w:rsidP="00C07C81">
      <w:pPr>
        <w:pStyle w:val="Heading2"/>
        <w:widowControl/>
      </w:pPr>
      <w:bookmarkStart w:id="898" w:name="_Toc483218127"/>
      <w:bookmarkStart w:id="899" w:name="_Toc109812226"/>
      <w:bookmarkStart w:id="900" w:name="_Toc124844735"/>
      <w:bookmarkStart w:id="901" w:name="_Toc124844863"/>
      <w:bookmarkStart w:id="902" w:name="_Toc124845522"/>
      <w:bookmarkStart w:id="903" w:name="_Toc124845790"/>
      <w:bookmarkStart w:id="904" w:name="_Toc124845864"/>
      <w:bookmarkStart w:id="905" w:name="_Toc124845938"/>
      <w:bookmarkStart w:id="906" w:name="_Toc124846110"/>
      <w:bookmarkStart w:id="907" w:name="_Toc124848233"/>
      <w:bookmarkStart w:id="908" w:name="_Toc124907484"/>
      <w:bookmarkStart w:id="909" w:name="_Toc129773450"/>
      <w:bookmarkStart w:id="910" w:name="_Toc130209988"/>
      <w:bookmarkStart w:id="911" w:name="_Toc130730917"/>
      <w:bookmarkStart w:id="912" w:name="_Toc130814145"/>
      <w:bookmarkStart w:id="913" w:name="_Toc130814467"/>
      <w:bookmarkStart w:id="914" w:name="_Toc130814599"/>
      <w:bookmarkStart w:id="915" w:name="_Toc130883482"/>
      <w:bookmarkStart w:id="916" w:name="_Toc130885590"/>
      <w:bookmarkStart w:id="917" w:name="_Toc131844569"/>
      <w:bookmarkStart w:id="918" w:name="_Toc148330506"/>
      <w:bookmarkStart w:id="919" w:name="_Toc148331223"/>
      <w:bookmarkStart w:id="920" w:name="_Toc148331682"/>
      <w:bookmarkStart w:id="921" w:name="_Toc148332107"/>
      <w:bookmarkStart w:id="922" w:name="_Toc148332179"/>
      <w:bookmarkStart w:id="923" w:name="_Toc148332253"/>
      <w:bookmarkStart w:id="924" w:name="_Toc148332330"/>
      <w:bookmarkStart w:id="925" w:name="_Toc148332407"/>
      <w:bookmarkStart w:id="926" w:name="_Toc148332484"/>
      <w:bookmarkStart w:id="927" w:name="_Toc148332559"/>
      <w:bookmarkStart w:id="928" w:name="_Toc148332632"/>
      <w:bookmarkStart w:id="929" w:name="_Toc148332728"/>
      <w:bookmarkStart w:id="930" w:name="_Toc148332862"/>
      <w:bookmarkStart w:id="931" w:name="_Toc148333064"/>
      <w:bookmarkStart w:id="932" w:name="_Toc148333197"/>
      <w:bookmarkStart w:id="933" w:name="_Toc148333616"/>
      <w:bookmarkStart w:id="934" w:name="_Toc148334229"/>
      <w:bookmarkStart w:id="935" w:name="_Toc148335743"/>
      <w:bookmarkStart w:id="936" w:name="_Toc148336276"/>
      <w:bookmarkStart w:id="937" w:name="_Toc148337717"/>
      <w:bookmarkStart w:id="938" w:name="_Toc148338040"/>
      <w:bookmarkStart w:id="939" w:name="_Toc148339750"/>
      <w:bookmarkStart w:id="940" w:name="_Toc148339847"/>
      <w:bookmarkStart w:id="941" w:name="_Toc149645555"/>
      <w:bookmarkStart w:id="942" w:name="_Toc149997859"/>
      <w:bookmarkStart w:id="943" w:name="_Toc158180735"/>
      <w:bookmarkStart w:id="944" w:name="_Toc158785584"/>
      <w:bookmarkStart w:id="945" w:name="_Toc178768487"/>
      <w:bookmarkStart w:id="946" w:name="_Toc179195928"/>
      <w:bookmarkStart w:id="947" w:name="_Toc179361870"/>
      <w:bookmarkStart w:id="948" w:name="_Toc179363654"/>
      <w:bookmarkStart w:id="949" w:name="_Toc197504909"/>
      <w:bookmarkStart w:id="950" w:name="_Toc198007681"/>
      <w:bookmarkStart w:id="951" w:name="_Toc198007832"/>
      <w:bookmarkStart w:id="952" w:name="_Toc198008184"/>
      <w:bookmarkStart w:id="953" w:name="_Toc198008321"/>
      <w:bookmarkStart w:id="954" w:name="_Toc198008868"/>
      <w:bookmarkStart w:id="955" w:name="_Toc198369764"/>
      <w:bookmarkStart w:id="956" w:name="_Toc198369901"/>
      <w:bookmarkStart w:id="957" w:name="_Toc198372813"/>
      <w:bookmarkStart w:id="958" w:name="_Toc198372916"/>
      <w:bookmarkStart w:id="959" w:name="_Toc198373046"/>
      <w:bookmarkStart w:id="960" w:name="_Toc198373214"/>
      <w:bookmarkStart w:id="961" w:name="_Toc198627128"/>
      <w:bookmarkStart w:id="962" w:name="_Toc198627234"/>
      <w:bookmarkStart w:id="963" w:name="_Toc216090706"/>
      <w:bookmarkStart w:id="964" w:name="_Toc226958212"/>
      <w:bookmarkStart w:id="965" w:name="_Toc227038272"/>
      <w:bookmarkStart w:id="966" w:name="_Toc254792578"/>
      <w:bookmarkStart w:id="967" w:name="_Toc256669702"/>
      <w:bookmarkStart w:id="968" w:name="_Toc257213235"/>
      <w:bookmarkStart w:id="969" w:name="_Toc257277737"/>
      <w:bookmarkStart w:id="970" w:name="_Toc257278698"/>
      <w:bookmarkStart w:id="971" w:name="_Toc257278908"/>
      <w:bookmarkStart w:id="972" w:name="_Toc257279276"/>
      <w:bookmarkStart w:id="973" w:name="_Toc257382920"/>
      <w:bookmarkStart w:id="974" w:name="_Toc274056177"/>
      <w:bookmarkStart w:id="975" w:name="_Toc276657582"/>
      <w:bookmarkStart w:id="976" w:name="_Toc278366428"/>
      <w:bookmarkStart w:id="977" w:name="_Toc307584025"/>
      <w:bookmarkStart w:id="978" w:name="_Toc307937299"/>
      <w:bookmarkStart w:id="979" w:name="_Toc348508737"/>
      <w:bookmarkStart w:id="980" w:name="_Toc362256736"/>
      <w:bookmarkStart w:id="981" w:name="_Toc366056490"/>
      <w:bookmarkStart w:id="982" w:name="_Toc366223693"/>
      <w:bookmarkStart w:id="983" w:name="_Toc366229406"/>
      <w:bookmarkStart w:id="984" w:name="_Toc366583450"/>
      <w:r w:rsidRPr="00AA2B80">
        <w:t>Auction Specifics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rsidR="008434F5" w:rsidRPr="00AA2B80" w:rsidRDefault="008434F5" w:rsidP="00C07C81">
      <w:pPr>
        <w:pStyle w:val="Heading3"/>
        <w:widowControl/>
        <w:rPr>
          <w:szCs w:val="22"/>
        </w:rPr>
      </w:pPr>
      <w:bookmarkStart w:id="985" w:name="_Toc483218128"/>
      <w:bookmarkStart w:id="986" w:name="_Toc109812227"/>
      <w:bookmarkStart w:id="987" w:name="_Toc124844736"/>
      <w:bookmarkStart w:id="988" w:name="_Toc124844864"/>
      <w:bookmarkStart w:id="989" w:name="_Toc124845523"/>
      <w:bookmarkStart w:id="990" w:name="_Toc124845791"/>
      <w:bookmarkStart w:id="991" w:name="_Toc124845865"/>
      <w:bookmarkStart w:id="992" w:name="_Toc124845939"/>
      <w:bookmarkStart w:id="993" w:name="_Toc124846111"/>
      <w:bookmarkStart w:id="994" w:name="_Toc124848234"/>
      <w:bookmarkStart w:id="995" w:name="_Toc124907485"/>
      <w:bookmarkStart w:id="996" w:name="_Toc129773451"/>
      <w:bookmarkStart w:id="997" w:name="_Toc130209989"/>
      <w:bookmarkStart w:id="998" w:name="_Toc130730918"/>
      <w:bookmarkStart w:id="999" w:name="_Toc130814146"/>
      <w:bookmarkStart w:id="1000" w:name="_Toc130814468"/>
      <w:bookmarkStart w:id="1001" w:name="_Toc130814600"/>
      <w:bookmarkStart w:id="1002" w:name="_Toc130883483"/>
      <w:bookmarkStart w:id="1003" w:name="_Toc130885591"/>
      <w:bookmarkStart w:id="1004" w:name="_Toc131844570"/>
      <w:bookmarkStart w:id="1005" w:name="_Toc148330507"/>
      <w:bookmarkStart w:id="1006" w:name="_Toc148331224"/>
      <w:bookmarkStart w:id="1007" w:name="_Toc148331683"/>
      <w:bookmarkStart w:id="1008" w:name="_Toc148332108"/>
      <w:bookmarkStart w:id="1009" w:name="_Toc148332180"/>
      <w:bookmarkStart w:id="1010" w:name="_Toc148332254"/>
      <w:bookmarkStart w:id="1011" w:name="_Toc148332331"/>
      <w:bookmarkStart w:id="1012" w:name="_Toc148332408"/>
      <w:bookmarkStart w:id="1013" w:name="_Toc148332485"/>
      <w:bookmarkStart w:id="1014" w:name="_Toc148332560"/>
      <w:bookmarkStart w:id="1015" w:name="_Toc148332633"/>
      <w:bookmarkStart w:id="1016" w:name="_Toc148332729"/>
      <w:bookmarkStart w:id="1017" w:name="_Toc148332863"/>
      <w:bookmarkStart w:id="1018" w:name="_Toc148333065"/>
      <w:bookmarkStart w:id="1019" w:name="_Toc148333198"/>
      <w:bookmarkStart w:id="1020" w:name="_Toc148333617"/>
      <w:bookmarkStart w:id="1021" w:name="_Toc148334230"/>
      <w:bookmarkStart w:id="1022" w:name="_Toc148335744"/>
      <w:bookmarkStart w:id="1023" w:name="_Toc148336277"/>
      <w:bookmarkStart w:id="1024" w:name="_Toc148337718"/>
      <w:bookmarkStart w:id="1025" w:name="_Toc148338041"/>
      <w:bookmarkStart w:id="1026" w:name="_Toc148339751"/>
      <w:bookmarkStart w:id="1027" w:name="_Toc148339848"/>
      <w:bookmarkStart w:id="1028" w:name="_Toc149645556"/>
      <w:bookmarkStart w:id="1029" w:name="_Toc149997860"/>
      <w:bookmarkStart w:id="1030" w:name="_Toc158180736"/>
      <w:bookmarkStart w:id="1031" w:name="_Toc158785585"/>
      <w:bookmarkStart w:id="1032" w:name="_Toc178768488"/>
      <w:bookmarkStart w:id="1033" w:name="_Toc179195929"/>
      <w:bookmarkStart w:id="1034" w:name="_Toc179361871"/>
      <w:bookmarkStart w:id="1035" w:name="_Toc179363655"/>
      <w:bookmarkStart w:id="1036" w:name="_Toc197504910"/>
      <w:bookmarkStart w:id="1037" w:name="_Toc198007682"/>
      <w:bookmarkStart w:id="1038" w:name="_Toc198007833"/>
      <w:bookmarkStart w:id="1039" w:name="_Toc198008185"/>
      <w:bookmarkStart w:id="1040" w:name="_Toc198008322"/>
      <w:bookmarkStart w:id="1041" w:name="_Toc198008869"/>
      <w:bookmarkStart w:id="1042" w:name="_Toc198369765"/>
      <w:bookmarkStart w:id="1043" w:name="_Toc198369902"/>
      <w:bookmarkStart w:id="1044" w:name="_Toc198372814"/>
      <w:bookmarkStart w:id="1045" w:name="_Toc198372917"/>
      <w:bookmarkStart w:id="1046" w:name="_Toc198373047"/>
      <w:bookmarkStart w:id="1047" w:name="_Toc198373215"/>
      <w:bookmarkStart w:id="1048" w:name="_Toc198627129"/>
      <w:bookmarkStart w:id="1049" w:name="_Toc198627235"/>
      <w:bookmarkStart w:id="1050" w:name="_Toc216090707"/>
      <w:bookmarkStart w:id="1051" w:name="_Toc226958213"/>
      <w:bookmarkStart w:id="1052" w:name="_Toc227038273"/>
      <w:bookmarkStart w:id="1053" w:name="_Toc254792579"/>
      <w:bookmarkStart w:id="1054" w:name="_Toc256669703"/>
      <w:bookmarkStart w:id="1055" w:name="_Toc257213236"/>
      <w:bookmarkStart w:id="1056" w:name="_Toc257277738"/>
      <w:bookmarkStart w:id="1057" w:name="_Toc257278699"/>
      <w:bookmarkStart w:id="1058" w:name="_Toc257278909"/>
      <w:bookmarkStart w:id="1059" w:name="_Toc257279277"/>
      <w:bookmarkStart w:id="1060" w:name="_Toc257382921"/>
      <w:bookmarkStart w:id="1061" w:name="_Toc274056178"/>
      <w:bookmarkStart w:id="1062" w:name="_Toc276657583"/>
      <w:bookmarkStart w:id="1063" w:name="_Toc278366429"/>
      <w:bookmarkStart w:id="1064" w:name="_Toc307584026"/>
      <w:bookmarkStart w:id="1065" w:name="_Toc307937300"/>
      <w:bookmarkStart w:id="1066" w:name="_Toc348508738"/>
      <w:bookmarkStart w:id="1067" w:name="_Toc362256737"/>
      <w:bookmarkStart w:id="1068" w:name="_Toc366056491"/>
      <w:bookmarkStart w:id="1069" w:name="_Toc366223694"/>
      <w:bookmarkStart w:id="1070" w:name="_Toc366229407"/>
      <w:bookmarkStart w:id="1071" w:name="_Toc366583451"/>
      <w:r w:rsidRPr="00AA2B80">
        <w:rPr>
          <w:szCs w:val="22"/>
        </w:rPr>
        <w:t xml:space="preserve">Auction </w:t>
      </w:r>
      <w:r w:rsidR="00940765" w:rsidRPr="00AA2B80">
        <w:rPr>
          <w:szCs w:val="22"/>
        </w:rPr>
        <w:t xml:space="preserve">Start </w:t>
      </w:r>
      <w:r w:rsidRPr="00AA2B80">
        <w:rPr>
          <w:szCs w:val="22"/>
        </w:rPr>
        <w:t>Date</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rsidR="00841FAD" w:rsidRPr="001209FA" w:rsidRDefault="008434F5" w:rsidP="00C07C81">
      <w:pPr>
        <w:pStyle w:val="ParaNum"/>
        <w:widowControl/>
        <w:tabs>
          <w:tab w:val="clear" w:pos="1260"/>
          <w:tab w:val="left" w:pos="1440"/>
        </w:tabs>
        <w:ind w:left="0"/>
        <w:rPr>
          <w:szCs w:val="22"/>
        </w:rPr>
      </w:pPr>
      <w:r w:rsidRPr="001C2E9C">
        <w:rPr>
          <w:szCs w:val="22"/>
        </w:rPr>
        <w:t xml:space="preserve">Bidding in Auction </w:t>
      </w:r>
      <w:r w:rsidR="00CC0081">
        <w:rPr>
          <w:szCs w:val="22"/>
        </w:rPr>
        <w:t>9</w:t>
      </w:r>
      <w:r w:rsidR="00530B79">
        <w:rPr>
          <w:szCs w:val="22"/>
        </w:rPr>
        <w:t>6</w:t>
      </w:r>
      <w:r w:rsidR="00DB1C33" w:rsidRPr="001C2E9C">
        <w:rPr>
          <w:szCs w:val="22"/>
        </w:rPr>
        <w:t xml:space="preserve"> </w:t>
      </w:r>
      <w:r w:rsidRPr="001C2E9C">
        <w:rPr>
          <w:szCs w:val="22"/>
        </w:rPr>
        <w:t xml:space="preserve">will begin </w:t>
      </w:r>
      <w:r w:rsidRPr="009F0EEA">
        <w:rPr>
          <w:szCs w:val="22"/>
        </w:rPr>
        <w:t xml:space="preserve">on </w:t>
      </w:r>
      <w:r w:rsidR="00E955FF">
        <w:rPr>
          <w:szCs w:val="22"/>
        </w:rPr>
        <w:t>Tues</w:t>
      </w:r>
      <w:r w:rsidR="00E955FF" w:rsidRPr="009F0EEA">
        <w:rPr>
          <w:szCs w:val="22"/>
        </w:rPr>
        <w:t>day</w:t>
      </w:r>
      <w:r w:rsidR="00F513C2" w:rsidRPr="009F0EEA">
        <w:rPr>
          <w:szCs w:val="22"/>
        </w:rPr>
        <w:t>,</w:t>
      </w:r>
      <w:r w:rsidR="00F513C2">
        <w:rPr>
          <w:szCs w:val="22"/>
        </w:rPr>
        <w:t xml:space="preserve"> </w:t>
      </w:r>
      <w:r w:rsidR="000B638E">
        <w:rPr>
          <w:szCs w:val="22"/>
        </w:rPr>
        <w:t>Januar</w:t>
      </w:r>
      <w:r w:rsidR="008B16B9">
        <w:rPr>
          <w:szCs w:val="22"/>
        </w:rPr>
        <w:t>y 1</w:t>
      </w:r>
      <w:r w:rsidR="000B638E">
        <w:rPr>
          <w:szCs w:val="22"/>
        </w:rPr>
        <w:t>4</w:t>
      </w:r>
      <w:r w:rsidR="00561AB7">
        <w:rPr>
          <w:szCs w:val="22"/>
        </w:rPr>
        <w:t>, 201</w:t>
      </w:r>
      <w:r w:rsidR="001342BB">
        <w:rPr>
          <w:szCs w:val="22"/>
        </w:rPr>
        <w:t>4</w:t>
      </w:r>
      <w:r w:rsidR="0076442A">
        <w:rPr>
          <w:szCs w:val="22"/>
        </w:rPr>
        <w:t>.</w:t>
      </w:r>
      <w:r w:rsidR="00841FAD">
        <w:rPr>
          <w:szCs w:val="22"/>
        </w:rPr>
        <w:t xml:space="preserve">  Pre-auction dates </w:t>
      </w:r>
      <w:r w:rsidR="00841FAD" w:rsidRPr="001209FA">
        <w:rPr>
          <w:szCs w:val="22"/>
        </w:rPr>
        <w:t xml:space="preserve">and deadlines are listed below. </w:t>
      </w:r>
    </w:p>
    <w:p w:rsidR="008434F5" w:rsidRPr="00841FAD" w:rsidRDefault="0076442A" w:rsidP="00C07C81">
      <w:pPr>
        <w:pStyle w:val="ParaNum"/>
        <w:widowControl/>
        <w:tabs>
          <w:tab w:val="clear" w:pos="1260"/>
          <w:tab w:val="left" w:pos="1440"/>
        </w:tabs>
        <w:ind w:left="0"/>
        <w:rPr>
          <w:szCs w:val="22"/>
        </w:rPr>
      </w:pPr>
      <w:r w:rsidRPr="00841FAD">
        <w:rPr>
          <w:szCs w:val="22"/>
        </w:rPr>
        <w:t xml:space="preserve">The initial schedule for bidding </w:t>
      </w:r>
      <w:r w:rsidR="00EB3419" w:rsidRPr="00841FAD">
        <w:rPr>
          <w:szCs w:val="22"/>
        </w:rPr>
        <w:t xml:space="preserve">rounds </w:t>
      </w:r>
      <w:r w:rsidRPr="00841FAD">
        <w:rPr>
          <w:szCs w:val="22"/>
        </w:rPr>
        <w:t xml:space="preserve">will be announced by public notice at least one week before the </w:t>
      </w:r>
      <w:r w:rsidR="00C470F0" w:rsidRPr="00841FAD">
        <w:rPr>
          <w:szCs w:val="22"/>
        </w:rPr>
        <w:t xml:space="preserve">auction </w:t>
      </w:r>
      <w:r w:rsidRPr="00841FAD">
        <w:rPr>
          <w:szCs w:val="22"/>
        </w:rPr>
        <w:t>start</w:t>
      </w:r>
      <w:r w:rsidR="00C470F0" w:rsidRPr="00841FAD">
        <w:rPr>
          <w:szCs w:val="22"/>
        </w:rPr>
        <w:t>s</w:t>
      </w:r>
      <w:r w:rsidRPr="00841FAD">
        <w:rPr>
          <w:szCs w:val="22"/>
        </w:rPr>
        <w:t xml:space="preserve">.  </w:t>
      </w:r>
      <w:r w:rsidR="00841FAD">
        <w:rPr>
          <w:szCs w:val="22"/>
        </w:rPr>
        <w:t>Moreover, u</w:t>
      </w:r>
      <w:r w:rsidR="008434F5" w:rsidRPr="00841FAD">
        <w:rPr>
          <w:szCs w:val="22"/>
        </w:rPr>
        <w:t xml:space="preserve">nless otherwise announced, bidding on all </w:t>
      </w:r>
      <w:r w:rsidR="008B16B9">
        <w:rPr>
          <w:szCs w:val="22"/>
        </w:rPr>
        <w:t>licenses</w:t>
      </w:r>
      <w:r w:rsidR="009D2A37" w:rsidRPr="00841FAD">
        <w:rPr>
          <w:szCs w:val="22"/>
        </w:rPr>
        <w:t xml:space="preserve"> </w:t>
      </w:r>
      <w:r w:rsidR="008434F5" w:rsidRPr="00841FAD">
        <w:rPr>
          <w:szCs w:val="22"/>
        </w:rPr>
        <w:t xml:space="preserve">will be conducted on each business day until bidding has stopped on all </w:t>
      </w:r>
      <w:r w:rsidR="008B16B9">
        <w:rPr>
          <w:szCs w:val="22"/>
        </w:rPr>
        <w:t>licenses</w:t>
      </w:r>
      <w:r w:rsidR="008434F5" w:rsidRPr="00841FAD">
        <w:rPr>
          <w:szCs w:val="22"/>
        </w:rPr>
        <w:t>.</w:t>
      </w:r>
    </w:p>
    <w:p w:rsidR="008434F5" w:rsidRPr="001C2E9C" w:rsidRDefault="008434F5" w:rsidP="00C07C81">
      <w:pPr>
        <w:pStyle w:val="Heading3"/>
        <w:widowControl/>
        <w:rPr>
          <w:szCs w:val="22"/>
        </w:rPr>
      </w:pPr>
      <w:bookmarkStart w:id="1072" w:name="_Toc483218129"/>
      <w:bookmarkStart w:id="1073" w:name="_Toc109812228"/>
      <w:bookmarkStart w:id="1074" w:name="_Toc124844737"/>
      <w:bookmarkStart w:id="1075" w:name="_Toc124844865"/>
      <w:bookmarkStart w:id="1076" w:name="_Toc124845524"/>
      <w:bookmarkStart w:id="1077" w:name="_Toc124845792"/>
      <w:bookmarkStart w:id="1078" w:name="_Toc124845866"/>
      <w:bookmarkStart w:id="1079" w:name="_Toc124845940"/>
      <w:bookmarkStart w:id="1080" w:name="_Toc124846112"/>
      <w:bookmarkStart w:id="1081" w:name="_Toc124848235"/>
      <w:bookmarkStart w:id="1082" w:name="_Toc124907486"/>
      <w:bookmarkStart w:id="1083" w:name="_Toc129773452"/>
      <w:bookmarkStart w:id="1084" w:name="_Toc130209990"/>
      <w:bookmarkStart w:id="1085" w:name="_Toc130730919"/>
      <w:bookmarkStart w:id="1086" w:name="_Toc130814147"/>
      <w:bookmarkStart w:id="1087" w:name="_Toc130814469"/>
      <w:bookmarkStart w:id="1088" w:name="_Toc130814601"/>
      <w:bookmarkStart w:id="1089" w:name="_Toc130883484"/>
      <w:bookmarkStart w:id="1090" w:name="_Toc130885592"/>
      <w:bookmarkStart w:id="1091" w:name="_Toc131844571"/>
      <w:bookmarkStart w:id="1092" w:name="_Toc148330508"/>
      <w:bookmarkStart w:id="1093" w:name="_Toc148331225"/>
      <w:bookmarkStart w:id="1094" w:name="_Toc148331684"/>
      <w:bookmarkStart w:id="1095" w:name="_Toc148332109"/>
      <w:bookmarkStart w:id="1096" w:name="_Toc148332181"/>
      <w:bookmarkStart w:id="1097" w:name="_Toc148332255"/>
      <w:bookmarkStart w:id="1098" w:name="_Toc148332332"/>
      <w:bookmarkStart w:id="1099" w:name="_Toc148332409"/>
      <w:bookmarkStart w:id="1100" w:name="_Toc148332486"/>
      <w:bookmarkStart w:id="1101" w:name="_Toc148332561"/>
      <w:bookmarkStart w:id="1102" w:name="_Toc148332634"/>
      <w:bookmarkStart w:id="1103" w:name="_Toc148332730"/>
      <w:bookmarkStart w:id="1104" w:name="_Toc148332864"/>
      <w:bookmarkStart w:id="1105" w:name="_Toc148333066"/>
      <w:bookmarkStart w:id="1106" w:name="_Toc148333199"/>
      <w:bookmarkStart w:id="1107" w:name="_Toc148333618"/>
      <w:bookmarkStart w:id="1108" w:name="_Toc148334231"/>
      <w:bookmarkStart w:id="1109" w:name="_Toc148335745"/>
      <w:bookmarkStart w:id="1110" w:name="_Toc148336278"/>
      <w:bookmarkStart w:id="1111" w:name="_Toc148337719"/>
      <w:bookmarkStart w:id="1112" w:name="_Toc148338042"/>
      <w:bookmarkStart w:id="1113" w:name="_Toc148339752"/>
      <w:bookmarkStart w:id="1114" w:name="_Toc148339849"/>
      <w:bookmarkStart w:id="1115" w:name="_Toc149645557"/>
      <w:bookmarkStart w:id="1116" w:name="_Toc149997861"/>
      <w:bookmarkStart w:id="1117" w:name="_Toc158180737"/>
      <w:bookmarkStart w:id="1118" w:name="_Toc158785586"/>
      <w:bookmarkStart w:id="1119" w:name="_Toc178768489"/>
      <w:bookmarkStart w:id="1120" w:name="_Toc179195930"/>
      <w:bookmarkStart w:id="1121" w:name="_Toc179361872"/>
      <w:bookmarkStart w:id="1122" w:name="_Toc179363656"/>
      <w:bookmarkStart w:id="1123" w:name="_Toc197504911"/>
      <w:bookmarkStart w:id="1124" w:name="_Toc198007683"/>
      <w:bookmarkStart w:id="1125" w:name="_Toc198007834"/>
      <w:bookmarkStart w:id="1126" w:name="_Toc198008186"/>
      <w:bookmarkStart w:id="1127" w:name="_Toc198008323"/>
      <w:bookmarkStart w:id="1128" w:name="_Toc198008870"/>
      <w:bookmarkStart w:id="1129" w:name="_Toc198369766"/>
      <w:bookmarkStart w:id="1130" w:name="_Toc198369903"/>
      <w:bookmarkStart w:id="1131" w:name="_Toc198372815"/>
      <w:bookmarkStart w:id="1132" w:name="_Toc198372918"/>
      <w:bookmarkStart w:id="1133" w:name="_Toc198373048"/>
      <w:bookmarkStart w:id="1134" w:name="_Toc198373216"/>
      <w:bookmarkStart w:id="1135" w:name="_Toc198627130"/>
      <w:bookmarkStart w:id="1136" w:name="_Toc198627236"/>
      <w:bookmarkStart w:id="1137" w:name="_Toc216090708"/>
      <w:bookmarkStart w:id="1138" w:name="_Toc226958214"/>
      <w:bookmarkStart w:id="1139" w:name="_Toc227038274"/>
      <w:bookmarkStart w:id="1140" w:name="_Toc254792580"/>
      <w:bookmarkStart w:id="1141" w:name="_Toc256669704"/>
      <w:bookmarkStart w:id="1142" w:name="_Toc257213237"/>
      <w:bookmarkStart w:id="1143" w:name="_Toc257277739"/>
      <w:bookmarkStart w:id="1144" w:name="_Toc257278700"/>
      <w:bookmarkStart w:id="1145" w:name="_Toc257278910"/>
      <w:bookmarkStart w:id="1146" w:name="_Toc257279278"/>
      <w:bookmarkStart w:id="1147" w:name="_Toc257382922"/>
      <w:bookmarkStart w:id="1148" w:name="_Toc274056179"/>
      <w:bookmarkStart w:id="1149" w:name="_Toc276657584"/>
      <w:bookmarkStart w:id="1150" w:name="_Toc278366430"/>
      <w:bookmarkStart w:id="1151" w:name="_Toc307584027"/>
      <w:bookmarkStart w:id="1152" w:name="_Toc307937301"/>
      <w:bookmarkStart w:id="1153" w:name="_Toc348508739"/>
      <w:bookmarkStart w:id="1154" w:name="_Toc362256738"/>
      <w:bookmarkStart w:id="1155" w:name="_Toc366056492"/>
      <w:bookmarkStart w:id="1156" w:name="_Toc366223695"/>
      <w:bookmarkStart w:id="1157" w:name="_Toc366229408"/>
      <w:bookmarkStart w:id="1158" w:name="_Toc366583452"/>
      <w:r w:rsidRPr="001C2E9C">
        <w:rPr>
          <w:szCs w:val="22"/>
        </w:rPr>
        <w:t>Auction Title</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rsidR="008434F5" w:rsidRPr="001C2E9C" w:rsidRDefault="00FE2494" w:rsidP="00C07C81">
      <w:pPr>
        <w:pStyle w:val="ParaNum"/>
        <w:widowControl/>
        <w:tabs>
          <w:tab w:val="clear" w:pos="1260"/>
          <w:tab w:val="left" w:pos="1440"/>
        </w:tabs>
        <w:ind w:left="0"/>
        <w:rPr>
          <w:szCs w:val="22"/>
        </w:rPr>
      </w:pPr>
      <w:r>
        <w:rPr>
          <w:szCs w:val="22"/>
        </w:rPr>
        <w:t xml:space="preserve">Auction </w:t>
      </w:r>
      <w:r w:rsidR="00CC0081">
        <w:rPr>
          <w:szCs w:val="22"/>
        </w:rPr>
        <w:t>9</w:t>
      </w:r>
      <w:r w:rsidR="00530B79">
        <w:rPr>
          <w:szCs w:val="22"/>
        </w:rPr>
        <w:t>6</w:t>
      </w:r>
      <w:r w:rsidR="00162114">
        <w:rPr>
          <w:szCs w:val="22"/>
        </w:rPr>
        <w:t xml:space="preserve"> </w:t>
      </w:r>
      <w:r w:rsidR="00F312AA" w:rsidRPr="001C2E9C">
        <w:rPr>
          <w:szCs w:val="22"/>
        </w:rPr>
        <w:t xml:space="preserve">– </w:t>
      </w:r>
      <w:r w:rsidR="00961A35">
        <w:rPr>
          <w:szCs w:val="22"/>
        </w:rPr>
        <w:t>H Block</w:t>
      </w:r>
    </w:p>
    <w:p w:rsidR="008434F5" w:rsidRPr="001C2E9C" w:rsidRDefault="008434F5" w:rsidP="00C07C81">
      <w:pPr>
        <w:pStyle w:val="Heading3"/>
        <w:widowControl/>
        <w:rPr>
          <w:szCs w:val="22"/>
        </w:rPr>
      </w:pPr>
      <w:bookmarkStart w:id="1159" w:name="_Toc483218130"/>
      <w:bookmarkStart w:id="1160" w:name="_Toc109812229"/>
      <w:bookmarkStart w:id="1161" w:name="_Toc124844738"/>
      <w:bookmarkStart w:id="1162" w:name="_Toc124844866"/>
      <w:bookmarkStart w:id="1163" w:name="_Toc124845525"/>
      <w:bookmarkStart w:id="1164" w:name="_Toc124845793"/>
      <w:bookmarkStart w:id="1165" w:name="_Toc124845867"/>
      <w:bookmarkStart w:id="1166" w:name="_Toc124845941"/>
      <w:bookmarkStart w:id="1167" w:name="_Toc124846113"/>
      <w:bookmarkStart w:id="1168" w:name="_Toc124848236"/>
      <w:bookmarkStart w:id="1169" w:name="_Toc124907487"/>
      <w:bookmarkStart w:id="1170" w:name="_Toc129773453"/>
      <w:bookmarkStart w:id="1171" w:name="_Toc130209991"/>
      <w:bookmarkStart w:id="1172" w:name="_Toc130730920"/>
      <w:bookmarkStart w:id="1173" w:name="_Toc130814148"/>
      <w:bookmarkStart w:id="1174" w:name="_Toc130814470"/>
      <w:bookmarkStart w:id="1175" w:name="_Toc130814602"/>
      <w:bookmarkStart w:id="1176" w:name="_Toc130883485"/>
      <w:bookmarkStart w:id="1177" w:name="_Toc130885593"/>
      <w:bookmarkStart w:id="1178" w:name="_Toc131844572"/>
      <w:bookmarkStart w:id="1179" w:name="_Toc148330509"/>
      <w:bookmarkStart w:id="1180" w:name="_Toc148331226"/>
      <w:bookmarkStart w:id="1181" w:name="_Toc148331685"/>
      <w:bookmarkStart w:id="1182" w:name="_Toc148332110"/>
      <w:bookmarkStart w:id="1183" w:name="_Toc148332182"/>
      <w:bookmarkStart w:id="1184" w:name="_Toc148332256"/>
      <w:bookmarkStart w:id="1185" w:name="_Toc148332333"/>
      <w:bookmarkStart w:id="1186" w:name="_Toc148332410"/>
      <w:bookmarkStart w:id="1187" w:name="_Toc148332487"/>
      <w:bookmarkStart w:id="1188" w:name="_Toc148332562"/>
      <w:bookmarkStart w:id="1189" w:name="_Toc148332635"/>
      <w:bookmarkStart w:id="1190" w:name="_Toc148332731"/>
      <w:bookmarkStart w:id="1191" w:name="_Toc148332865"/>
      <w:bookmarkStart w:id="1192" w:name="_Toc148333067"/>
      <w:bookmarkStart w:id="1193" w:name="_Toc148333200"/>
      <w:bookmarkStart w:id="1194" w:name="_Toc148333619"/>
      <w:bookmarkStart w:id="1195" w:name="_Toc148334232"/>
      <w:bookmarkStart w:id="1196" w:name="_Toc148335746"/>
      <w:bookmarkStart w:id="1197" w:name="_Toc148336279"/>
      <w:bookmarkStart w:id="1198" w:name="_Toc148337720"/>
      <w:bookmarkStart w:id="1199" w:name="_Toc148338043"/>
      <w:bookmarkStart w:id="1200" w:name="_Toc148339753"/>
      <w:bookmarkStart w:id="1201" w:name="_Toc148339850"/>
      <w:bookmarkStart w:id="1202" w:name="_Toc149645558"/>
      <w:bookmarkStart w:id="1203" w:name="_Toc149997862"/>
      <w:bookmarkStart w:id="1204" w:name="_Toc158180738"/>
      <w:bookmarkStart w:id="1205" w:name="_Toc158785587"/>
      <w:bookmarkStart w:id="1206" w:name="_Toc178768490"/>
      <w:bookmarkStart w:id="1207" w:name="_Toc179195931"/>
      <w:bookmarkStart w:id="1208" w:name="_Toc179361873"/>
      <w:bookmarkStart w:id="1209" w:name="_Toc179363657"/>
      <w:bookmarkStart w:id="1210" w:name="_Toc197504912"/>
      <w:bookmarkStart w:id="1211" w:name="_Toc198007684"/>
      <w:bookmarkStart w:id="1212" w:name="_Toc198007835"/>
      <w:bookmarkStart w:id="1213" w:name="_Toc198008187"/>
      <w:bookmarkStart w:id="1214" w:name="_Toc198008324"/>
      <w:bookmarkStart w:id="1215" w:name="_Toc198008871"/>
      <w:bookmarkStart w:id="1216" w:name="_Toc198369767"/>
      <w:bookmarkStart w:id="1217" w:name="_Toc198369904"/>
      <w:bookmarkStart w:id="1218" w:name="_Toc198372816"/>
      <w:bookmarkStart w:id="1219" w:name="_Toc198372919"/>
      <w:bookmarkStart w:id="1220" w:name="_Toc198373049"/>
      <w:bookmarkStart w:id="1221" w:name="_Toc198373217"/>
      <w:bookmarkStart w:id="1222" w:name="_Toc198627131"/>
      <w:bookmarkStart w:id="1223" w:name="_Toc198627237"/>
      <w:bookmarkStart w:id="1224" w:name="_Toc216090709"/>
      <w:bookmarkStart w:id="1225" w:name="_Toc226958215"/>
      <w:bookmarkStart w:id="1226" w:name="_Toc227038275"/>
      <w:bookmarkStart w:id="1227" w:name="_Toc254792581"/>
      <w:bookmarkStart w:id="1228" w:name="_Toc256669705"/>
      <w:bookmarkStart w:id="1229" w:name="_Toc257213238"/>
      <w:bookmarkStart w:id="1230" w:name="_Toc257277740"/>
      <w:bookmarkStart w:id="1231" w:name="_Toc257278701"/>
      <w:bookmarkStart w:id="1232" w:name="_Toc257278911"/>
      <w:bookmarkStart w:id="1233" w:name="_Toc257279279"/>
      <w:bookmarkStart w:id="1234" w:name="_Toc257382923"/>
      <w:bookmarkStart w:id="1235" w:name="_Toc274056180"/>
      <w:bookmarkStart w:id="1236" w:name="_Toc276657585"/>
      <w:bookmarkStart w:id="1237" w:name="_Toc278366431"/>
      <w:bookmarkStart w:id="1238" w:name="_Toc307584028"/>
      <w:bookmarkStart w:id="1239" w:name="_Toc307937302"/>
      <w:bookmarkStart w:id="1240" w:name="_Toc348508740"/>
      <w:bookmarkStart w:id="1241" w:name="_Toc362256739"/>
      <w:bookmarkStart w:id="1242" w:name="_Toc366056493"/>
      <w:bookmarkStart w:id="1243" w:name="_Toc366223696"/>
      <w:bookmarkStart w:id="1244" w:name="_Toc366229409"/>
      <w:bookmarkStart w:id="1245" w:name="_Toc366583453"/>
      <w:r w:rsidRPr="001C2E9C">
        <w:rPr>
          <w:szCs w:val="22"/>
        </w:rPr>
        <w:t>Bidding Methodology</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rsidR="008434F5" w:rsidRPr="001C2E9C" w:rsidRDefault="008434F5" w:rsidP="00C07C81">
      <w:pPr>
        <w:pStyle w:val="ParaNum"/>
        <w:widowControl/>
        <w:tabs>
          <w:tab w:val="clear" w:pos="1260"/>
          <w:tab w:val="left" w:pos="1440"/>
        </w:tabs>
        <w:ind w:left="0"/>
        <w:rPr>
          <w:szCs w:val="22"/>
        </w:rPr>
      </w:pPr>
      <w:r w:rsidRPr="001C2E9C">
        <w:rPr>
          <w:szCs w:val="22"/>
        </w:rPr>
        <w:t xml:space="preserve">As </w:t>
      </w:r>
      <w:r w:rsidRPr="00A65F60">
        <w:rPr>
          <w:szCs w:val="22"/>
        </w:rPr>
        <w:t xml:space="preserve">discussed in more detail below, the bidding methodology for Auction </w:t>
      </w:r>
      <w:r w:rsidR="00CC0081" w:rsidRPr="00A65F60">
        <w:rPr>
          <w:szCs w:val="22"/>
        </w:rPr>
        <w:t>9</w:t>
      </w:r>
      <w:r w:rsidR="00530B79">
        <w:rPr>
          <w:szCs w:val="22"/>
        </w:rPr>
        <w:t>6</w:t>
      </w:r>
      <w:r w:rsidR="00D222ED" w:rsidRPr="00A65F60">
        <w:rPr>
          <w:szCs w:val="22"/>
        </w:rPr>
        <w:t xml:space="preserve"> </w:t>
      </w:r>
      <w:r w:rsidRPr="00A65F60">
        <w:rPr>
          <w:szCs w:val="22"/>
        </w:rPr>
        <w:t>will</w:t>
      </w:r>
      <w:r w:rsidR="009F18D5" w:rsidRPr="00A65F60">
        <w:rPr>
          <w:szCs w:val="22"/>
        </w:rPr>
        <w:t xml:space="preserve"> be </w:t>
      </w:r>
      <w:r w:rsidR="002E44F6" w:rsidRPr="00A65F60">
        <w:rPr>
          <w:szCs w:val="22"/>
        </w:rPr>
        <w:t xml:space="preserve">a </w:t>
      </w:r>
      <w:r w:rsidR="009F18D5" w:rsidRPr="0007683C">
        <w:rPr>
          <w:szCs w:val="22"/>
        </w:rPr>
        <w:t>simultaneous multiple round</w:t>
      </w:r>
      <w:r w:rsidR="002C6371" w:rsidRPr="0007683C">
        <w:rPr>
          <w:szCs w:val="22"/>
        </w:rPr>
        <w:t xml:space="preserve"> format</w:t>
      </w:r>
      <w:r w:rsidRPr="00A65F60">
        <w:rPr>
          <w:szCs w:val="22"/>
        </w:rPr>
        <w:t>.</w:t>
      </w:r>
      <w:r w:rsidRPr="00A65F60">
        <w:rPr>
          <w:rStyle w:val="FootnoteReference"/>
          <w:szCs w:val="22"/>
        </w:rPr>
        <w:footnoteReference w:id="82"/>
      </w:r>
      <w:r w:rsidRPr="00A65F60">
        <w:rPr>
          <w:szCs w:val="22"/>
        </w:rPr>
        <w:t xml:space="preserve">  </w:t>
      </w:r>
      <w:r w:rsidR="002C6371" w:rsidRPr="00A65F60">
        <w:rPr>
          <w:szCs w:val="22"/>
        </w:rPr>
        <w:t>Th</w:t>
      </w:r>
      <w:r w:rsidRPr="00A65F60">
        <w:rPr>
          <w:szCs w:val="22"/>
        </w:rPr>
        <w:t xml:space="preserve">e Commission will conduct </w:t>
      </w:r>
      <w:r w:rsidR="00F312AA" w:rsidRPr="00A65F60">
        <w:rPr>
          <w:szCs w:val="22"/>
        </w:rPr>
        <w:t>this a</w:t>
      </w:r>
      <w:r w:rsidR="001E585F" w:rsidRPr="00A65F60">
        <w:rPr>
          <w:szCs w:val="22"/>
        </w:rPr>
        <w:t xml:space="preserve">uction </w:t>
      </w:r>
      <w:r w:rsidRPr="00A65F60">
        <w:rPr>
          <w:szCs w:val="22"/>
        </w:rPr>
        <w:t>over the Internet using the FCC Auction System</w:t>
      </w:r>
      <w:r w:rsidR="00C434C1" w:rsidRPr="00A65F60">
        <w:rPr>
          <w:szCs w:val="22"/>
        </w:rPr>
        <w:t xml:space="preserve">.  </w:t>
      </w:r>
      <w:r w:rsidRPr="00A65F60">
        <w:rPr>
          <w:szCs w:val="22"/>
        </w:rPr>
        <w:t>Qualified bidders are permitted to bid electronically via the Internet or</w:t>
      </w:r>
      <w:r w:rsidRPr="001C2E9C">
        <w:rPr>
          <w:szCs w:val="22"/>
        </w:rPr>
        <w:t xml:space="preserve"> by telephone</w:t>
      </w:r>
      <w:r w:rsidR="00C434C1">
        <w:rPr>
          <w:szCs w:val="22"/>
        </w:rPr>
        <w:t xml:space="preserve"> using the telephonic bidding option</w:t>
      </w:r>
      <w:r w:rsidRPr="001C2E9C">
        <w:rPr>
          <w:szCs w:val="22"/>
        </w:rPr>
        <w:t>.  All telephone calls are recorded.</w:t>
      </w:r>
    </w:p>
    <w:p w:rsidR="008434F5" w:rsidRPr="001C2E9C" w:rsidRDefault="008434F5" w:rsidP="00C07C81">
      <w:pPr>
        <w:pStyle w:val="Heading3"/>
        <w:widowControl/>
        <w:rPr>
          <w:szCs w:val="22"/>
        </w:rPr>
      </w:pPr>
      <w:bookmarkStart w:id="1246" w:name="_Toc148330510"/>
      <w:bookmarkStart w:id="1247" w:name="_Toc148331227"/>
      <w:bookmarkStart w:id="1248" w:name="_Toc148331686"/>
      <w:bookmarkStart w:id="1249" w:name="_Toc148332111"/>
      <w:bookmarkStart w:id="1250" w:name="_Toc148332183"/>
      <w:bookmarkStart w:id="1251" w:name="_Toc148332257"/>
      <w:bookmarkStart w:id="1252" w:name="_Toc148332334"/>
      <w:bookmarkStart w:id="1253" w:name="_Toc148332411"/>
      <w:bookmarkStart w:id="1254" w:name="_Toc148332488"/>
      <w:bookmarkStart w:id="1255" w:name="_Toc148332563"/>
      <w:bookmarkStart w:id="1256" w:name="_Toc148332636"/>
      <w:bookmarkStart w:id="1257" w:name="_Toc148332732"/>
      <w:bookmarkStart w:id="1258" w:name="_Toc148332866"/>
      <w:bookmarkStart w:id="1259" w:name="_Toc148333068"/>
      <w:bookmarkStart w:id="1260" w:name="_Toc148333201"/>
      <w:bookmarkStart w:id="1261" w:name="_Toc148333620"/>
      <w:bookmarkStart w:id="1262" w:name="_Toc148334233"/>
      <w:bookmarkStart w:id="1263" w:name="_Toc148335747"/>
      <w:bookmarkStart w:id="1264" w:name="_Toc148336280"/>
      <w:bookmarkStart w:id="1265" w:name="_Toc148337721"/>
      <w:bookmarkStart w:id="1266" w:name="_Toc148338044"/>
      <w:bookmarkStart w:id="1267" w:name="_Toc148339754"/>
      <w:bookmarkStart w:id="1268" w:name="_Toc148339851"/>
      <w:bookmarkStart w:id="1269" w:name="_Toc149645559"/>
      <w:bookmarkStart w:id="1270" w:name="_Toc149997863"/>
      <w:bookmarkStart w:id="1271" w:name="_Toc158180739"/>
      <w:bookmarkStart w:id="1272" w:name="_Toc158785588"/>
      <w:bookmarkStart w:id="1273" w:name="_Toc178768491"/>
      <w:bookmarkStart w:id="1274" w:name="_Toc179195932"/>
      <w:bookmarkStart w:id="1275" w:name="_Toc179361874"/>
      <w:bookmarkStart w:id="1276" w:name="_Toc179363658"/>
      <w:bookmarkStart w:id="1277" w:name="_Toc197504913"/>
      <w:bookmarkStart w:id="1278" w:name="_Toc198007685"/>
      <w:bookmarkStart w:id="1279" w:name="_Toc198007836"/>
      <w:bookmarkStart w:id="1280" w:name="_Toc198008188"/>
      <w:bookmarkStart w:id="1281" w:name="_Toc198008325"/>
      <w:bookmarkStart w:id="1282" w:name="_Toc198008872"/>
      <w:bookmarkStart w:id="1283" w:name="_Toc198369768"/>
      <w:bookmarkStart w:id="1284" w:name="_Toc198369905"/>
      <w:bookmarkStart w:id="1285" w:name="_Toc198372817"/>
      <w:bookmarkStart w:id="1286" w:name="_Toc198372920"/>
      <w:bookmarkStart w:id="1287" w:name="_Toc198373050"/>
      <w:bookmarkStart w:id="1288" w:name="_Toc198373218"/>
      <w:bookmarkStart w:id="1289" w:name="_Toc198627132"/>
      <w:bookmarkStart w:id="1290" w:name="_Toc198627238"/>
      <w:bookmarkStart w:id="1291" w:name="_Toc216090710"/>
      <w:bookmarkStart w:id="1292" w:name="_Toc226958216"/>
      <w:bookmarkStart w:id="1293" w:name="_Toc227038276"/>
      <w:bookmarkStart w:id="1294" w:name="_Toc254792582"/>
      <w:bookmarkStart w:id="1295" w:name="_Toc256669706"/>
      <w:bookmarkStart w:id="1296" w:name="_Toc257213239"/>
      <w:bookmarkStart w:id="1297" w:name="_Toc257277741"/>
      <w:bookmarkStart w:id="1298" w:name="_Toc257278702"/>
      <w:bookmarkStart w:id="1299" w:name="_Toc257278912"/>
      <w:bookmarkStart w:id="1300" w:name="_Toc257279280"/>
      <w:bookmarkStart w:id="1301" w:name="_Toc257382924"/>
      <w:bookmarkStart w:id="1302" w:name="_Toc274056181"/>
      <w:bookmarkStart w:id="1303" w:name="_Toc276657586"/>
      <w:bookmarkStart w:id="1304" w:name="_Toc278366432"/>
      <w:bookmarkStart w:id="1305" w:name="_Toc307584029"/>
      <w:bookmarkStart w:id="1306" w:name="_Toc307937303"/>
      <w:bookmarkStart w:id="1307" w:name="_Toc348508741"/>
      <w:bookmarkStart w:id="1308" w:name="_Toc362256740"/>
      <w:bookmarkStart w:id="1309" w:name="_Toc366056494"/>
      <w:bookmarkStart w:id="1310" w:name="_Toc366223697"/>
      <w:bookmarkStart w:id="1311" w:name="_Toc366229410"/>
      <w:bookmarkStart w:id="1312" w:name="_Toc366583454"/>
      <w:r w:rsidRPr="001C2E9C">
        <w:rPr>
          <w:szCs w:val="22"/>
        </w:rPr>
        <w:t>Pre-Auction Dates and Deadlines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rsidR="008434F5" w:rsidRPr="001C2E9C" w:rsidRDefault="00214662" w:rsidP="00C07C81">
      <w:pPr>
        <w:pStyle w:val="ParaNum"/>
        <w:widowControl/>
        <w:tabs>
          <w:tab w:val="clear" w:pos="1260"/>
          <w:tab w:val="left" w:pos="1440"/>
        </w:tabs>
        <w:ind w:left="0"/>
        <w:rPr>
          <w:szCs w:val="22"/>
        </w:rPr>
      </w:pPr>
      <w:r w:rsidRPr="001C2E9C">
        <w:rPr>
          <w:szCs w:val="22"/>
        </w:rPr>
        <w:t>The following d</w:t>
      </w:r>
      <w:r w:rsidR="008434F5" w:rsidRPr="001C2E9C">
        <w:rPr>
          <w:szCs w:val="22"/>
        </w:rPr>
        <w:t xml:space="preserve">ates and </w:t>
      </w:r>
      <w:r w:rsidRPr="001C2E9C">
        <w:rPr>
          <w:szCs w:val="22"/>
        </w:rPr>
        <w:t>d</w:t>
      </w:r>
      <w:r w:rsidR="008434F5" w:rsidRPr="001C2E9C">
        <w:rPr>
          <w:szCs w:val="22"/>
        </w:rPr>
        <w:t>eadlines</w:t>
      </w:r>
      <w:r w:rsidRPr="001C2E9C">
        <w:rPr>
          <w:szCs w:val="22"/>
        </w:rPr>
        <w:t xml:space="preserve"> apply:</w:t>
      </w:r>
    </w:p>
    <w:p w:rsidR="00214662" w:rsidRPr="00CA6286" w:rsidRDefault="00214662" w:rsidP="00C07C81">
      <w:pPr>
        <w:widowControl/>
        <w:tabs>
          <w:tab w:val="left" w:leader="dot" w:pos="5040"/>
        </w:tabs>
        <w:spacing w:after="80"/>
        <w:rPr>
          <w:szCs w:val="22"/>
        </w:rPr>
      </w:pPr>
      <w:bookmarkStart w:id="1313" w:name="_Toc483218132"/>
      <w:bookmarkStart w:id="1314" w:name="_Toc109812231"/>
      <w:bookmarkStart w:id="1315" w:name="_Toc124844740"/>
      <w:bookmarkStart w:id="1316" w:name="_Toc124844868"/>
      <w:bookmarkStart w:id="1317" w:name="_Toc124845527"/>
      <w:bookmarkStart w:id="1318" w:name="_Toc124845795"/>
      <w:bookmarkStart w:id="1319" w:name="_Toc124845869"/>
      <w:bookmarkStart w:id="1320" w:name="_Toc124845943"/>
      <w:bookmarkStart w:id="1321" w:name="_Toc124846115"/>
      <w:bookmarkStart w:id="1322" w:name="_Toc124848238"/>
      <w:bookmarkStart w:id="1323" w:name="_Toc124907489"/>
      <w:bookmarkStart w:id="1324" w:name="_Toc129773455"/>
      <w:bookmarkStart w:id="1325" w:name="_Toc130209993"/>
      <w:bookmarkStart w:id="1326" w:name="_Toc130730922"/>
      <w:bookmarkStart w:id="1327" w:name="_Toc130814150"/>
      <w:bookmarkStart w:id="1328" w:name="_Toc130814472"/>
      <w:bookmarkStart w:id="1329" w:name="_Toc130814604"/>
      <w:bookmarkStart w:id="1330" w:name="_Toc130883487"/>
      <w:bookmarkStart w:id="1331" w:name="_Toc130885595"/>
      <w:bookmarkStart w:id="1332" w:name="_Toc131844574"/>
      <w:bookmarkStart w:id="1333" w:name="_Toc148330511"/>
      <w:bookmarkStart w:id="1334" w:name="_Toc148331228"/>
      <w:bookmarkStart w:id="1335" w:name="_Toc148331687"/>
      <w:bookmarkStart w:id="1336" w:name="_Toc148332112"/>
      <w:bookmarkStart w:id="1337" w:name="_Toc148332184"/>
      <w:bookmarkStart w:id="1338" w:name="_Toc148332258"/>
      <w:bookmarkStart w:id="1339" w:name="_Toc148332335"/>
      <w:bookmarkStart w:id="1340" w:name="_Toc148332412"/>
      <w:bookmarkStart w:id="1341" w:name="_Toc148332489"/>
      <w:bookmarkStart w:id="1342" w:name="_Toc148332564"/>
      <w:bookmarkStart w:id="1343" w:name="_Toc148332637"/>
      <w:bookmarkStart w:id="1344" w:name="_Toc148332733"/>
      <w:bookmarkStart w:id="1345" w:name="_Toc148332867"/>
      <w:bookmarkStart w:id="1346" w:name="_Toc148333069"/>
      <w:bookmarkStart w:id="1347" w:name="_Toc148333202"/>
      <w:bookmarkStart w:id="1348" w:name="_Toc148333621"/>
      <w:bookmarkStart w:id="1349" w:name="_Toc148334234"/>
      <w:bookmarkStart w:id="1350" w:name="_Toc148335748"/>
      <w:bookmarkStart w:id="1351" w:name="_Toc148336281"/>
      <w:bookmarkStart w:id="1352" w:name="_Toc148337722"/>
      <w:bookmarkStart w:id="1353" w:name="_Toc148338045"/>
      <w:bookmarkStart w:id="1354" w:name="_Toc148339755"/>
      <w:bookmarkStart w:id="1355" w:name="_Toc148339852"/>
      <w:bookmarkStart w:id="1356" w:name="_Toc149645560"/>
      <w:bookmarkStart w:id="1357" w:name="_Toc149997864"/>
      <w:bookmarkStart w:id="1358" w:name="_Toc158180740"/>
      <w:bookmarkStart w:id="1359" w:name="_Toc158785589"/>
      <w:r w:rsidRPr="00CA6286">
        <w:rPr>
          <w:szCs w:val="22"/>
        </w:rPr>
        <w:t xml:space="preserve">Auction </w:t>
      </w:r>
      <w:r w:rsidR="00561AB7">
        <w:rPr>
          <w:szCs w:val="22"/>
        </w:rPr>
        <w:t>Tutorial Available (via Internet)</w:t>
      </w:r>
      <w:r w:rsidRPr="00CA6286">
        <w:rPr>
          <w:szCs w:val="22"/>
        </w:rPr>
        <w:tab/>
      </w:r>
      <w:bookmarkStart w:id="1360" w:name="comebackhere"/>
      <w:bookmarkEnd w:id="1360"/>
      <w:r w:rsidR="00F95C5F">
        <w:rPr>
          <w:szCs w:val="22"/>
        </w:rPr>
        <w:t xml:space="preserve">October </w:t>
      </w:r>
      <w:r w:rsidR="00686754">
        <w:rPr>
          <w:szCs w:val="22"/>
        </w:rPr>
        <w:t>2</w:t>
      </w:r>
      <w:r w:rsidR="003D65BB">
        <w:rPr>
          <w:szCs w:val="22"/>
        </w:rPr>
        <w:t>3</w:t>
      </w:r>
      <w:r w:rsidR="00E802A1">
        <w:rPr>
          <w:szCs w:val="22"/>
        </w:rPr>
        <w:t xml:space="preserve">, </w:t>
      </w:r>
      <w:r w:rsidR="00A515B5">
        <w:rPr>
          <w:szCs w:val="22"/>
        </w:rPr>
        <w:t>2</w:t>
      </w:r>
      <w:r w:rsidRPr="00CA6286">
        <w:rPr>
          <w:szCs w:val="22"/>
        </w:rPr>
        <w:t>0</w:t>
      </w:r>
      <w:r w:rsidR="00561AB7">
        <w:rPr>
          <w:szCs w:val="22"/>
        </w:rPr>
        <w:t>1</w:t>
      </w:r>
      <w:r w:rsidR="005F6D1A">
        <w:rPr>
          <w:szCs w:val="22"/>
        </w:rPr>
        <w:t>3</w:t>
      </w:r>
    </w:p>
    <w:p w:rsidR="00F312AA" w:rsidRDefault="00214662" w:rsidP="00C07C81">
      <w:pPr>
        <w:keepNext/>
        <w:widowControl/>
        <w:tabs>
          <w:tab w:val="left" w:leader="dot" w:pos="5040"/>
        </w:tabs>
        <w:rPr>
          <w:szCs w:val="22"/>
        </w:rPr>
      </w:pPr>
      <w:r w:rsidRPr="00CA6286">
        <w:rPr>
          <w:szCs w:val="22"/>
        </w:rPr>
        <w:t xml:space="preserve">Short-Form Application (FCC Form 175) </w:t>
      </w:r>
    </w:p>
    <w:p w:rsidR="00214662" w:rsidRPr="00CA6286" w:rsidRDefault="00214662" w:rsidP="00C07C81">
      <w:pPr>
        <w:widowControl/>
        <w:tabs>
          <w:tab w:val="left" w:leader="dot" w:pos="5040"/>
        </w:tabs>
        <w:spacing w:after="80"/>
        <w:rPr>
          <w:szCs w:val="22"/>
        </w:rPr>
      </w:pPr>
      <w:r w:rsidRPr="00CA6286">
        <w:rPr>
          <w:szCs w:val="22"/>
        </w:rPr>
        <w:t>Filing Window Opens</w:t>
      </w:r>
      <w:r w:rsidRPr="00CA6286">
        <w:rPr>
          <w:szCs w:val="22"/>
        </w:rPr>
        <w:tab/>
      </w:r>
      <w:r w:rsidR="00686754">
        <w:rPr>
          <w:szCs w:val="22"/>
        </w:rPr>
        <w:t>October</w:t>
      </w:r>
      <w:r w:rsidR="008B16B9">
        <w:rPr>
          <w:szCs w:val="22"/>
        </w:rPr>
        <w:t xml:space="preserve"> </w:t>
      </w:r>
      <w:r w:rsidR="00686754">
        <w:rPr>
          <w:szCs w:val="22"/>
        </w:rPr>
        <w:t>2</w:t>
      </w:r>
      <w:r w:rsidR="003D65BB">
        <w:rPr>
          <w:szCs w:val="22"/>
        </w:rPr>
        <w:t>3</w:t>
      </w:r>
      <w:r w:rsidR="00561AB7">
        <w:rPr>
          <w:szCs w:val="22"/>
        </w:rPr>
        <w:t>, 201</w:t>
      </w:r>
      <w:r w:rsidR="005F6D1A">
        <w:rPr>
          <w:szCs w:val="22"/>
        </w:rPr>
        <w:t>3</w:t>
      </w:r>
      <w:r w:rsidRPr="00CA6286">
        <w:rPr>
          <w:szCs w:val="22"/>
        </w:rPr>
        <w:t>; 12:00 noon ET</w:t>
      </w:r>
    </w:p>
    <w:p w:rsidR="00F312AA" w:rsidRDefault="00214662" w:rsidP="00C07C81">
      <w:pPr>
        <w:keepNext/>
        <w:widowControl/>
        <w:tabs>
          <w:tab w:val="left" w:leader="dot" w:pos="5040"/>
        </w:tabs>
        <w:rPr>
          <w:szCs w:val="22"/>
        </w:rPr>
      </w:pPr>
      <w:r w:rsidRPr="00CA6286">
        <w:rPr>
          <w:szCs w:val="22"/>
        </w:rPr>
        <w:t xml:space="preserve">Short-Form Application (FCC Form 175) </w:t>
      </w:r>
    </w:p>
    <w:p w:rsidR="00214662" w:rsidRPr="00CA6286" w:rsidRDefault="00287AFF" w:rsidP="00C07C81">
      <w:pPr>
        <w:keepLines/>
        <w:widowControl/>
        <w:tabs>
          <w:tab w:val="left" w:leader="dot" w:pos="5040"/>
        </w:tabs>
        <w:spacing w:after="80"/>
        <w:rPr>
          <w:szCs w:val="22"/>
        </w:rPr>
      </w:pPr>
      <w:r>
        <w:rPr>
          <w:szCs w:val="22"/>
        </w:rPr>
        <w:t>Filing Window Deadline</w:t>
      </w:r>
      <w:r w:rsidR="00214662" w:rsidRPr="00CA6286">
        <w:rPr>
          <w:szCs w:val="22"/>
        </w:rPr>
        <w:tab/>
      </w:r>
      <w:r w:rsidR="00686754">
        <w:rPr>
          <w:szCs w:val="22"/>
        </w:rPr>
        <w:t>November</w:t>
      </w:r>
      <w:r w:rsidR="008B16B9">
        <w:rPr>
          <w:szCs w:val="22"/>
        </w:rPr>
        <w:t xml:space="preserve"> </w:t>
      </w:r>
      <w:r w:rsidR="00686754">
        <w:rPr>
          <w:szCs w:val="22"/>
        </w:rPr>
        <w:t>5</w:t>
      </w:r>
      <w:r w:rsidR="00561AB7">
        <w:rPr>
          <w:szCs w:val="22"/>
        </w:rPr>
        <w:t>, 201</w:t>
      </w:r>
      <w:r w:rsidR="005F6D1A">
        <w:rPr>
          <w:szCs w:val="22"/>
        </w:rPr>
        <w:t>3</w:t>
      </w:r>
      <w:r w:rsidR="00214662" w:rsidRPr="00CA6286">
        <w:rPr>
          <w:szCs w:val="22"/>
        </w:rPr>
        <w:t>; prior to 6:00 p.m. ET</w:t>
      </w:r>
    </w:p>
    <w:p w:rsidR="00214662" w:rsidRPr="00CA6286" w:rsidRDefault="00214662" w:rsidP="00C07C81">
      <w:pPr>
        <w:widowControl/>
        <w:tabs>
          <w:tab w:val="left" w:leader="dot" w:pos="5040"/>
        </w:tabs>
        <w:spacing w:after="80"/>
        <w:rPr>
          <w:szCs w:val="22"/>
        </w:rPr>
      </w:pPr>
      <w:r w:rsidRPr="00CA6286">
        <w:rPr>
          <w:szCs w:val="22"/>
        </w:rPr>
        <w:t>Upfront Payments (via wire transfer)</w:t>
      </w:r>
      <w:r w:rsidRPr="00CA6286">
        <w:rPr>
          <w:szCs w:val="22"/>
        </w:rPr>
        <w:tab/>
      </w:r>
      <w:r w:rsidR="00686754">
        <w:rPr>
          <w:szCs w:val="22"/>
        </w:rPr>
        <w:t>December</w:t>
      </w:r>
      <w:r w:rsidR="008B16B9">
        <w:rPr>
          <w:szCs w:val="22"/>
        </w:rPr>
        <w:t xml:space="preserve"> 1</w:t>
      </w:r>
      <w:r w:rsidR="003D65BB">
        <w:rPr>
          <w:szCs w:val="22"/>
        </w:rPr>
        <w:t>1</w:t>
      </w:r>
      <w:r w:rsidR="00306995">
        <w:rPr>
          <w:szCs w:val="22"/>
        </w:rPr>
        <w:t>, 20</w:t>
      </w:r>
      <w:r w:rsidR="00561AB7">
        <w:rPr>
          <w:szCs w:val="22"/>
        </w:rPr>
        <w:t>1</w:t>
      </w:r>
      <w:r w:rsidR="005F6D1A">
        <w:rPr>
          <w:szCs w:val="22"/>
        </w:rPr>
        <w:t>3</w:t>
      </w:r>
      <w:r w:rsidRPr="00CA6286">
        <w:rPr>
          <w:szCs w:val="22"/>
        </w:rPr>
        <w:t>; 6:00 p.m. ET</w:t>
      </w:r>
    </w:p>
    <w:p w:rsidR="00214662" w:rsidRPr="00CA6286" w:rsidRDefault="00214662" w:rsidP="00C07C81">
      <w:pPr>
        <w:widowControl/>
        <w:tabs>
          <w:tab w:val="left" w:leader="dot" w:pos="5040"/>
        </w:tabs>
        <w:spacing w:after="80"/>
        <w:rPr>
          <w:szCs w:val="22"/>
        </w:rPr>
      </w:pPr>
      <w:r w:rsidRPr="00CA6286">
        <w:rPr>
          <w:szCs w:val="22"/>
        </w:rPr>
        <w:t>Mock Auction</w:t>
      </w:r>
      <w:r w:rsidRPr="00CA6286">
        <w:rPr>
          <w:szCs w:val="22"/>
        </w:rPr>
        <w:tab/>
      </w:r>
      <w:r w:rsidR="00AE6C0B">
        <w:rPr>
          <w:szCs w:val="22"/>
        </w:rPr>
        <w:t>J</w:t>
      </w:r>
      <w:r w:rsidR="007B7E68">
        <w:rPr>
          <w:szCs w:val="22"/>
        </w:rPr>
        <w:t>anuary</w:t>
      </w:r>
      <w:r w:rsidR="00AE6C0B">
        <w:rPr>
          <w:szCs w:val="22"/>
        </w:rPr>
        <w:t xml:space="preserve"> 1</w:t>
      </w:r>
      <w:r w:rsidR="007B7E68">
        <w:rPr>
          <w:szCs w:val="22"/>
        </w:rPr>
        <w:t>0</w:t>
      </w:r>
      <w:r w:rsidRPr="00CA6286">
        <w:rPr>
          <w:szCs w:val="22"/>
        </w:rPr>
        <w:t>, 20</w:t>
      </w:r>
      <w:r w:rsidR="00561AB7">
        <w:rPr>
          <w:szCs w:val="22"/>
        </w:rPr>
        <w:t>1</w:t>
      </w:r>
      <w:r w:rsidR="001342BB">
        <w:rPr>
          <w:szCs w:val="22"/>
        </w:rPr>
        <w:t>4</w:t>
      </w:r>
    </w:p>
    <w:p w:rsidR="00214662" w:rsidRPr="001C2E9C" w:rsidRDefault="00214662" w:rsidP="00C07C81">
      <w:pPr>
        <w:widowControl/>
        <w:tabs>
          <w:tab w:val="left" w:leader="dot" w:pos="5040"/>
        </w:tabs>
        <w:rPr>
          <w:szCs w:val="22"/>
        </w:rPr>
      </w:pPr>
      <w:r w:rsidRPr="001C2E9C">
        <w:rPr>
          <w:szCs w:val="22"/>
        </w:rPr>
        <w:t>Auction Begins</w:t>
      </w:r>
      <w:r w:rsidRPr="001C2E9C">
        <w:rPr>
          <w:szCs w:val="22"/>
        </w:rPr>
        <w:tab/>
      </w:r>
      <w:r w:rsidR="00AE6C0B">
        <w:rPr>
          <w:szCs w:val="22"/>
        </w:rPr>
        <w:t>J</w:t>
      </w:r>
      <w:r w:rsidR="007B7E68">
        <w:rPr>
          <w:szCs w:val="22"/>
        </w:rPr>
        <w:t>anuar</w:t>
      </w:r>
      <w:r w:rsidR="00AE6C0B">
        <w:rPr>
          <w:szCs w:val="22"/>
        </w:rPr>
        <w:t>y 1</w:t>
      </w:r>
      <w:r w:rsidR="007B7E68">
        <w:rPr>
          <w:szCs w:val="22"/>
        </w:rPr>
        <w:t>4</w:t>
      </w:r>
      <w:r w:rsidR="00561AB7">
        <w:rPr>
          <w:szCs w:val="22"/>
        </w:rPr>
        <w:t>, 201</w:t>
      </w:r>
      <w:r w:rsidR="001342BB">
        <w:rPr>
          <w:szCs w:val="22"/>
        </w:rPr>
        <w:t>4</w:t>
      </w:r>
    </w:p>
    <w:p w:rsidR="00214662" w:rsidRPr="001C2E9C" w:rsidRDefault="00214662" w:rsidP="00C07C81">
      <w:pPr>
        <w:widowControl/>
        <w:tabs>
          <w:tab w:val="left" w:leader="dot" w:pos="5040"/>
        </w:tabs>
        <w:rPr>
          <w:szCs w:val="22"/>
        </w:rPr>
      </w:pPr>
    </w:p>
    <w:p w:rsidR="008434F5" w:rsidRPr="001C2E9C" w:rsidRDefault="008434F5" w:rsidP="00C07C81">
      <w:pPr>
        <w:pStyle w:val="Heading3"/>
        <w:widowControl/>
        <w:rPr>
          <w:szCs w:val="22"/>
        </w:rPr>
      </w:pPr>
      <w:bookmarkStart w:id="1361" w:name="_Toc178768492"/>
      <w:bookmarkStart w:id="1362" w:name="_Toc179195933"/>
      <w:bookmarkStart w:id="1363" w:name="_Toc197504914"/>
      <w:bookmarkStart w:id="1364" w:name="_Toc198007686"/>
      <w:bookmarkStart w:id="1365" w:name="_Toc198007837"/>
      <w:bookmarkStart w:id="1366" w:name="_Toc198008189"/>
      <w:bookmarkStart w:id="1367" w:name="_Toc198008326"/>
      <w:bookmarkStart w:id="1368" w:name="_Toc198008873"/>
      <w:bookmarkStart w:id="1369" w:name="_Toc198369769"/>
      <w:bookmarkStart w:id="1370" w:name="_Toc198369906"/>
      <w:bookmarkStart w:id="1371" w:name="_Toc198372818"/>
      <w:bookmarkStart w:id="1372" w:name="_Toc198372921"/>
      <w:bookmarkStart w:id="1373" w:name="_Toc198373051"/>
      <w:bookmarkStart w:id="1374" w:name="_Toc198373219"/>
      <w:bookmarkStart w:id="1375" w:name="_Toc198627133"/>
      <w:bookmarkStart w:id="1376" w:name="_Toc198627239"/>
      <w:bookmarkStart w:id="1377" w:name="_Toc216090711"/>
      <w:bookmarkStart w:id="1378" w:name="_Toc226958217"/>
      <w:bookmarkStart w:id="1379" w:name="_Toc227038277"/>
      <w:bookmarkStart w:id="1380" w:name="_Toc254792583"/>
      <w:bookmarkStart w:id="1381" w:name="_Toc256669707"/>
      <w:bookmarkStart w:id="1382" w:name="_Toc257213240"/>
      <w:bookmarkStart w:id="1383" w:name="_Toc257277742"/>
      <w:bookmarkStart w:id="1384" w:name="_Toc257278703"/>
      <w:bookmarkStart w:id="1385" w:name="_Toc257278913"/>
      <w:bookmarkStart w:id="1386" w:name="_Toc257279281"/>
      <w:bookmarkStart w:id="1387" w:name="_Toc257382925"/>
      <w:bookmarkStart w:id="1388" w:name="_Toc274056182"/>
      <w:bookmarkStart w:id="1389" w:name="_Toc276657587"/>
      <w:bookmarkStart w:id="1390" w:name="_Toc278366433"/>
      <w:bookmarkStart w:id="1391" w:name="_Toc307584030"/>
      <w:bookmarkStart w:id="1392" w:name="_Toc307937304"/>
      <w:bookmarkStart w:id="1393" w:name="_Toc348508742"/>
      <w:bookmarkStart w:id="1394" w:name="_Toc362256741"/>
      <w:bookmarkStart w:id="1395" w:name="_Toc366056495"/>
      <w:bookmarkStart w:id="1396" w:name="_Toc366223698"/>
      <w:bookmarkStart w:id="1397" w:name="_Toc366229411"/>
      <w:bookmarkStart w:id="1398" w:name="_Toc366583455"/>
      <w:bookmarkStart w:id="1399" w:name="_Toc179361875"/>
      <w:bookmarkStart w:id="1400" w:name="_Toc179363659"/>
      <w:r w:rsidRPr="001C2E9C">
        <w:rPr>
          <w:szCs w:val="22"/>
        </w:rPr>
        <w:t>Requirements for Participation</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rsidR="00940765" w:rsidRPr="001C2E9C">
        <w:rPr>
          <w:szCs w:val="22"/>
        </w:rPr>
        <w:t xml:space="preserve"> </w:t>
      </w:r>
      <w:bookmarkEnd w:id="1399"/>
      <w:bookmarkEnd w:id="1400"/>
    </w:p>
    <w:p w:rsidR="008434F5" w:rsidRPr="001C2E9C" w:rsidRDefault="008434F5" w:rsidP="00C07C81">
      <w:pPr>
        <w:pStyle w:val="ParaNum"/>
        <w:widowControl/>
        <w:tabs>
          <w:tab w:val="clear" w:pos="1260"/>
          <w:tab w:val="left" w:pos="1440"/>
        </w:tabs>
        <w:ind w:left="0"/>
        <w:rPr>
          <w:szCs w:val="22"/>
        </w:rPr>
      </w:pPr>
      <w:r w:rsidRPr="001C2E9C">
        <w:rPr>
          <w:szCs w:val="22"/>
        </w:rPr>
        <w:t xml:space="preserve">Those wishing to participate in </w:t>
      </w:r>
      <w:r w:rsidR="001E3F8D" w:rsidRPr="001C2E9C">
        <w:rPr>
          <w:szCs w:val="22"/>
        </w:rPr>
        <w:t>this auction</w:t>
      </w:r>
      <w:r w:rsidR="003541C7" w:rsidRPr="001C2E9C">
        <w:rPr>
          <w:szCs w:val="22"/>
        </w:rPr>
        <w:t xml:space="preserve"> </w:t>
      </w:r>
      <w:r w:rsidRPr="001C2E9C">
        <w:rPr>
          <w:szCs w:val="22"/>
        </w:rPr>
        <w:t xml:space="preserve">must:  </w:t>
      </w:r>
    </w:p>
    <w:p w:rsidR="00CB4986" w:rsidRPr="00AA371F" w:rsidRDefault="00CB4986" w:rsidP="00C07C81">
      <w:pPr>
        <w:widowControl/>
        <w:numPr>
          <w:ilvl w:val="0"/>
          <w:numId w:val="6"/>
        </w:numPr>
        <w:ind w:left="720" w:hanging="360"/>
        <w:rPr>
          <w:szCs w:val="22"/>
        </w:rPr>
      </w:pPr>
      <w:r w:rsidRPr="00AA371F">
        <w:rPr>
          <w:szCs w:val="22"/>
        </w:rPr>
        <w:t>S</w:t>
      </w:r>
      <w:r w:rsidR="008434F5" w:rsidRPr="00AA371F">
        <w:rPr>
          <w:szCs w:val="22"/>
        </w:rPr>
        <w:t xml:space="preserve">ubmit a short-form application (FCC Form 175) electronically </w:t>
      </w:r>
      <w:r w:rsidR="003C364E" w:rsidRPr="00AA371F">
        <w:rPr>
          <w:szCs w:val="22"/>
        </w:rPr>
        <w:t>prior to</w:t>
      </w:r>
      <w:r w:rsidR="008434F5" w:rsidRPr="00AA371F">
        <w:rPr>
          <w:szCs w:val="22"/>
        </w:rPr>
        <w:t xml:space="preserve"> 6:00 p.m.</w:t>
      </w:r>
      <w:r w:rsidRPr="00AA371F">
        <w:rPr>
          <w:szCs w:val="22"/>
        </w:rPr>
        <w:t xml:space="preserve"> ET</w:t>
      </w:r>
      <w:r w:rsidR="00586282" w:rsidRPr="00AA371F">
        <w:rPr>
          <w:szCs w:val="22"/>
        </w:rPr>
        <w:t>,</w:t>
      </w:r>
      <w:r w:rsidR="006255B2">
        <w:rPr>
          <w:szCs w:val="22"/>
        </w:rPr>
        <w:t xml:space="preserve"> on</w:t>
      </w:r>
    </w:p>
    <w:p w:rsidR="008434F5" w:rsidRPr="00D25662" w:rsidRDefault="007B7E68" w:rsidP="00C07C81">
      <w:pPr>
        <w:widowControl/>
        <w:ind w:left="720"/>
        <w:rPr>
          <w:szCs w:val="22"/>
        </w:rPr>
      </w:pPr>
      <w:r>
        <w:rPr>
          <w:szCs w:val="22"/>
        </w:rPr>
        <w:t>November</w:t>
      </w:r>
      <w:r w:rsidR="00AE6C0B">
        <w:rPr>
          <w:szCs w:val="22"/>
        </w:rPr>
        <w:t xml:space="preserve"> </w:t>
      </w:r>
      <w:r>
        <w:rPr>
          <w:szCs w:val="22"/>
        </w:rPr>
        <w:t>5</w:t>
      </w:r>
      <w:r w:rsidR="00561AB7">
        <w:rPr>
          <w:szCs w:val="22"/>
        </w:rPr>
        <w:t>, 201</w:t>
      </w:r>
      <w:r w:rsidR="00AF0068">
        <w:rPr>
          <w:szCs w:val="22"/>
        </w:rPr>
        <w:t>3</w:t>
      </w:r>
      <w:r w:rsidR="008434F5" w:rsidRPr="00D25662">
        <w:rPr>
          <w:szCs w:val="22"/>
        </w:rPr>
        <w:t xml:space="preserve">, following the electronic filing procedures set forth </w:t>
      </w:r>
      <w:r w:rsidR="008434F5" w:rsidRPr="00206CE7">
        <w:rPr>
          <w:szCs w:val="22"/>
        </w:rPr>
        <w:t xml:space="preserve">in Attachment </w:t>
      </w:r>
      <w:r w:rsidR="00206CE7" w:rsidRPr="00206CE7">
        <w:rPr>
          <w:szCs w:val="22"/>
        </w:rPr>
        <w:t>D</w:t>
      </w:r>
      <w:r w:rsidR="006F0971" w:rsidRPr="00206CE7">
        <w:rPr>
          <w:szCs w:val="22"/>
        </w:rPr>
        <w:t xml:space="preserve"> </w:t>
      </w:r>
      <w:r w:rsidR="008434F5" w:rsidRPr="00206CE7">
        <w:rPr>
          <w:szCs w:val="22"/>
        </w:rPr>
        <w:t>to this</w:t>
      </w:r>
      <w:r w:rsidR="008434F5" w:rsidRPr="00D25662">
        <w:rPr>
          <w:szCs w:val="22"/>
        </w:rPr>
        <w:t xml:space="preserve"> Public Notice</w:t>
      </w:r>
      <w:r w:rsidR="00F05ABA">
        <w:rPr>
          <w:szCs w:val="22"/>
        </w:rPr>
        <w:t>;</w:t>
      </w:r>
    </w:p>
    <w:p w:rsidR="00940765" w:rsidRPr="00D25662" w:rsidRDefault="00940765" w:rsidP="00C07C81">
      <w:pPr>
        <w:widowControl/>
        <w:ind w:left="360"/>
        <w:rPr>
          <w:szCs w:val="22"/>
        </w:rPr>
      </w:pPr>
    </w:p>
    <w:p w:rsidR="00B257E0" w:rsidRPr="00D25662" w:rsidRDefault="00CB4986" w:rsidP="00C07C81">
      <w:pPr>
        <w:widowControl/>
        <w:numPr>
          <w:ilvl w:val="0"/>
          <w:numId w:val="5"/>
        </w:numPr>
        <w:ind w:left="720" w:hanging="360"/>
        <w:rPr>
          <w:szCs w:val="22"/>
        </w:rPr>
      </w:pPr>
      <w:r w:rsidRPr="00D25662">
        <w:rPr>
          <w:szCs w:val="22"/>
        </w:rPr>
        <w:t>S</w:t>
      </w:r>
      <w:r w:rsidR="008434F5" w:rsidRPr="00D25662">
        <w:rPr>
          <w:szCs w:val="22"/>
        </w:rPr>
        <w:t>ubmit a sufficient upfront payment and an FCC Remittance Advice Form (FCC Form 159) b</w:t>
      </w:r>
      <w:r w:rsidR="00E15DD7" w:rsidRPr="00D25662">
        <w:rPr>
          <w:szCs w:val="22"/>
        </w:rPr>
        <w:t>y</w:t>
      </w:r>
      <w:r w:rsidR="008434F5" w:rsidRPr="00D25662">
        <w:rPr>
          <w:szCs w:val="22"/>
        </w:rPr>
        <w:t xml:space="preserve"> 6:00 p.m. ET, </w:t>
      </w:r>
      <w:r w:rsidR="006255B2">
        <w:rPr>
          <w:szCs w:val="22"/>
        </w:rPr>
        <w:t xml:space="preserve">on </w:t>
      </w:r>
      <w:r w:rsidR="007B7E68">
        <w:rPr>
          <w:szCs w:val="22"/>
        </w:rPr>
        <w:t>December</w:t>
      </w:r>
      <w:r w:rsidR="00AE6C0B">
        <w:rPr>
          <w:szCs w:val="22"/>
        </w:rPr>
        <w:t xml:space="preserve"> 1</w:t>
      </w:r>
      <w:r w:rsidR="003D65BB">
        <w:rPr>
          <w:szCs w:val="22"/>
        </w:rPr>
        <w:t>1</w:t>
      </w:r>
      <w:r w:rsidRPr="00D25662">
        <w:rPr>
          <w:szCs w:val="22"/>
        </w:rPr>
        <w:t>, 20</w:t>
      </w:r>
      <w:r w:rsidR="00561AB7">
        <w:rPr>
          <w:szCs w:val="22"/>
        </w:rPr>
        <w:t>1</w:t>
      </w:r>
      <w:r w:rsidR="00AF0068">
        <w:rPr>
          <w:szCs w:val="22"/>
        </w:rPr>
        <w:t>3</w:t>
      </w:r>
      <w:r w:rsidR="002F57BC" w:rsidRPr="00D25662">
        <w:rPr>
          <w:szCs w:val="22"/>
        </w:rPr>
        <w:t xml:space="preserve">, following the procedures and instructions set forth </w:t>
      </w:r>
      <w:r w:rsidR="002F57BC" w:rsidRPr="00F230BB">
        <w:rPr>
          <w:szCs w:val="22"/>
        </w:rPr>
        <w:t xml:space="preserve">in </w:t>
      </w:r>
      <w:r w:rsidR="002F57BC" w:rsidRPr="00206CE7">
        <w:rPr>
          <w:szCs w:val="22"/>
        </w:rPr>
        <w:t xml:space="preserve">Attachment </w:t>
      </w:r>
      <w:r w:rsidR="00206CE7" w:rsidRPr="00206CE7">
        <w:rPr>
          <w:szCs w:val="22"/>
        </w:rPr>
        <w:t>E</w:t>
      </w:r>
      <w:r w:rsidR="006F0971" w:rsidRPr="00206CE7">
        <w:rPr>
          <w:szCs w:val="22"/>
        </w:rPr>
        <w:t xml:space="preserve"> </w:t>
      </w:r>
      <w:r w:rsidR="002F57BC" w:rsidRPr="00206CE7">
        <w:rPr>
          <w:szCs w:val="22"/>
        </w:rPr>
        <w:t>to</w:t>
      </w:r>
      <w:r w:rsidR="002F57BC" w:rsidRPr="00F77570">
        <w:rPr>
          <w:szCs w:val="22"/>
        </w:rPr>
        <w:t xml:space="preserve"> this</w:t>
      </w:r>
      <w:r w:rsidR="002F57BC" w:rsidRPr="00D25662">
        <w:rPr>
          <w:szCs w:val="22"/>
        </w:rPr>
        <w:t xml:space="preserve"> Public Notice</w:t>
      </w:r>
      <w:r w:rsidR="00F05ABA">
        <w:rPr>
          <w:szCs w:val="22"/>
        </w:rPr>
        <w:t>; and</w:t>
      </w:r>
    </w:p>
    <w:p w:rsidR="00B257E0" w:rsidRPr="001C2E9C" w:rsidRDefault="00B257E0" w:rsidP="00C07C81">
      <w:pPr>
        <w:widowControl/>
        <w:ind w:left="360"/>
        <w:rPr>
          <w:szCs w:val="22"/>
        </w:rPr>
      </w:pPr>
    </w:p>
    <w:p w:rsidR="00B257E0" w:rsidRPr="001C2E9C" w:rsidRDefault="008434F5" w:rsidP="00C07C81">
      <w:pPr>
        <w:widowControl/>
        <w:numPr>
          <w:ilvl w:val="0"/>
          <w:numId w:val="5"/>
        </w:numPr>
        <w:ind w:left="720" w:hanging="360"/>
        <w:rPr>
          <w:szCs w:val="22"/>
        </w:rPr>
      </w:pPr>
      <w:r w:rsidRPr="001C2E9C">
        <w:rPr>
          <w:szCs w:val="22"/>
        </w:rPr>
        <w:t>Comply with all provisions outlined in this Public Notice and applicable Commission rules.</w:t>
      </w:r>
    </w:p>
    <w:p w:rsidR="00B257E0" w:rsidRPr="001C2E9C" w:rsidRDefault="00B257E0" w:rsidP="00C07C81">
      <w:pPr>
        <w:widowControl/>
        <w:rPr>
          <w:szCs w:val="22"/>
        </w:rPr>
      </w:pPr>
    </w:p>
    <w:p w:rsidR="008434F5" w:rsidRDefault="00200CB4" w:rsidP="00C07C81">
      <w:pPr>
        <w:pStyle w:val="Heading1"/>
        <w:widowControl/>
        <w:rPr>
          <w:rFonts w:ascii="Times New Roman" w:hAnsi="Times New Roman"/>
          <w:szCs w:val="22"/>
        </w:rPr>
      </w:pPr>
      <w:bookmarkStart w:id="1401" w:name="_Toc179361876"/>
      <w:bookmarkStart w:id="1402" w:name="_Toc179363660"/>
      <w:bookmarkStart w:id="1403" w:name="_Toc179361877"/>
      <w:bookmarkStart w:id="1404" w:name="_Toc179363661"/>
      <w:bookmarkStart w:id="1405" w:name="_Toc483218134"/>
      <w:bookmarkStart w:id="1406" w:name="_Toc109812233"/>
      <w:bookmarkStart w:id="1407" w:name="_Toc124844742"/>
      <w:bookmarkStart w:id="1408" w:name="_Toc124844870"/>
      <w:bookmarkStart w:id="1409" w:name="_Toc124845529"/>
      <w:bookmarkStart w:id="1410" w:name="_Toc124845797"/>
      <w:bookmarkStart w:id="1411" w:name="_Toc124845871"/>
      <w:bookmarkStart w:id="1412" w:name="_Toc124845945"/>
      <w:bookmarkStart w:id="1413" w:name="_Toc124846117"/>
      <w:bookmarkStart w:id="1414" w:name="_Toc124848240"/>
      <w:bookmarkStart w:id="1415" w:name="_Toc124907491"/>
      <w:bookmarkStart w:id="1416" w:name="_Toc129773457"/>
      <w:bookmarkStart w:id="1417" w:name="_Toc130209995"/>
      <w:bookmarkStart w:id="1418" w:name="_Toc130730924"/>
      <w:bookmarkStart w:id="1419" w:name="_Toc130814152"/>
      <w:bookmarkStart w:id="1420" w:name="_Toc130814474"/>
      <w:bookmarkStart w:id="1421" w:name="_Toc130814606"/>
      <w:bookmarkStart w:id="1422" w:name="_Toc130883489"/>
      <w:bookmarkStart w:id="1423" w:name="_Toc130885597"/>
      <w:bookmarkStart w:id="1424" w:name="_Toc131844576"/>
      <w:bookmarkStart w:id="1425" w:name="_Toc148330513"/>
      <w:bookmarkStart w:id="1426" w:name="_Toc148331230"/>
      <w:bookmarkStart w:id="1427" w:name="_Toc148331689"/>
      <w:bookmarkStart w:id="1428" w:name="_Toc148332114"/>
      <w:bookmarkStart w:id="1429" w:name="_Toc148332186"/>
      <w:bookmarkStart w:id="1430" w:name="_Toc148332260"/>
      <w:bookmarkStart w:id="1431" w:name="_Toc148332337"/>
      <w:bookmarkStart w:id="1432" w:name="_Toc148332414"/>
      <w:bookmarkStart w:id="1433" w:name="_Toc148332491"/>
      <w:bookmarkStart w:id="1434" w:name="_Toc148332566"/>
      <w:bookmarkStart w:id="1435" w:name="_Toc148332639"/>
      <w:bookmarkStart w:id="1436" w:name="_Toc148332735"/>
      <w:bookmarkStart w:id="1437" w:name="_Toc148332869"/>
      <w:bookmarkStart w:id="1438" w:name="_Toc148333071"/>
      <w:bookmarkStart w:id="1439" w:name="_Toc148333204"/>
      <w:bookmarkStart w:id="1440" w:name="_Toc148333623"/>
      <w:bookmarkStart w:id="1441" w:name="_Toc148334236"/>
      <w:bookmarkStart w:id="1442" w:name="_Toc148335750"/>
      <w:bookmarkStart w:id="1443" w:name="_Toc148336283"/>
      <w:bookmarkStart w:id="1444" w:name="_Toc148337724"/>
      <w:bookmarkStart w:id="1445" w:name="_Toc148338047"/>
      <w:bookmarkStart w:id="1446" w:name="_Toc148339757"/>
      <w:bookmarkStart w:id="1447" w:name="_Toc148339854"/>
      <w:bookmarkStart w:id="1448" w:name="_Toc149645562"/>
      <w:bookmarkStart w:id="1449" w:name="_Toc149997866"/>
      <w:bookmarkStart w:id="1450" w:name="_Toc158180742"/>
      <w:bookmarkStart w:id="1451" w:name="_Toc158785591"/>
      <w:bookmarkStart w:id="1452" w:name="_Toc178768494"/>
      <w:bookmarkStart w:id="1453" w:name="_Toc179195935"/>
      <w:bookmarkStart w:id="1454" w:name="_Toc179361879"/>
      <w:bookmarkStart w:id="1455" w:name="_Toc179363663"/>
      <w:bookmarkStart w:id="1456" w:name="_Toc197504915"/>
      <w:bookmarkStart w:id="1457" w:name="_Toc198007687"/>
      <w:bookmarkStart w:id="1458" w:name="_Toc198007838"/>
      <w:bookmarkStart w:id="1459" w:name="_Toc198008190"/>
      <w:bookmarkStart w:id="1460" w:name="_Toc198008327"/>
      <w:bookmarkStart w:id="1461" w:name="_Toc198008874"/>
      <w:bookmarkStart w:id="1462" w:name="_Toc198369770"/>
      <w:bookmarkStart w:id="1463" w:name="_Toc198369907"/>
      <w:bookmarkStart w:id="1464" w:name="_Toc198372819"/>
      <w:bookmarkStart w:id="1465" w:name="_Toc198372922"/>
      <w:bookmarkStart w:id="1466" w:name="_Toc198373052"/>
      <w:bookmarkStart w:id="1467" w:name="_Toc198373220"/>
      <w:bookmarkStart w:id="1468" w:name="_Toc198627134"/>
      <w:bookmarkStart w:id="1469" w:name="_Toc198627240"/>
      <w:bookmarkStart w:id="1470" w:name="_Toc216090712"/>
      <w:bookmarkStart w:id="1471" w:name="_Toc226958218"/>
      <w:bookmarkStart w:id="1472" w:name="_Toc227038278"/>
      <w:bookmarkStart w:id="1473" w:name="_Toc254792584"/>
      <w:bookmarkStart w:id="1474" w:name="_Toc256669708"/>
      <w:bookmarkStart w:id="1475" w:name="_Toc257213241"/>
      <w:bookmarkStart w:id="1476" w:name="_Toc257277743"/>
      <w:bookmarkStart w:id="1477" w:name="_Toc257278704"/>
      <w:bookmarkStart w:id="1478" w:name="_Toc257278914"/>
      <w:bookmarkStart w:id="1479" w:name="_Toc257279282"/>
      <w:bookmarkStart w:id="1480" w:name="_Toc257382926"/>
      <w:bookmarkStart w:id="1481" w:name="_Toc274056183"/>
      <w:bookmarkStart w:id="1482" w:name="_Toc276657588"/>
      <w:bookmarkStart w:id="1483" w:name="_Toc278366434"/>
      <w:bookmarkStart w:id="1484" w:name="_Toc307584031"/>
      <w:bookmarkStart w:id="1485" w:name="_Toc307937305"/>
      <w:bookmarkStart w:id="1486" w:name="_Toc348508743"/>
      <w:bookmarkStart w:id="1487" w:name="_Toc362256742"/>
      <w:bookmarkStart w:id="1488" w:name="_Toc366056496"/>
      <w:bookmarkStart w:id="1489" w:name="_Toc366223699"/>
      <w:bookmarkStart w:id="1490" w:name="_Toc366229412"/>
      <w:bookmarkStart w:id="1491" w:name="_Toc366583456"/>
      <w:bookmarkEnd w:id="1401"/>
      <w:bookmarkEnd w:id="1402"/>
      <w:bookmarkEnd w:id="1403"/>
      <w:bookmarkEnd w:id="1404"/>
      <w:r>
        <w:rPr>
          <w:rFonts w:ascii="Times New Roman" w:hAnsi="Times New Roman"/>
          <w:szCs w:val="22"/>
        </w:rPr>
        <w:t>SHORT-FORM APPLICATION</w:t>
      </w:r>
      <w:r w:rsidR="008434F5" w:rsidRPr="001C2E9C">
        <w:rPr>
          <w:rFonts w:ascii="Times New Roman" w:hAnsi="Times New Roman"/>
          <w:szCs w:val="22"/>
        </w:rPr>
        <w:t xml:space="preserve"> (FCC FORM 175) REQUIREMENTS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rsidR="000D72B7" w:rsidRDefault="000D72B7" w:rsidP="00C07C81">
      <w:pPr>
        <w:pStyle w:val="Heading2"/>
        <w:widowControl/>
      </w:pPr>
      <w:bookmarkStart w:id="1492" w:name="_Toc198007688"/>
      <w:bookmarkStart w:id="1493" w:name="_Toc198007839"/>
      <w:bookmarkStart w:id="1494" w:name="_Toc198008191"/>
      <w:bookmarkStart w:id="1495" w:name="_Toc198008328"/>
      <w:bookmarkStart w:id="1496" w:name="_Toc198008875"/>
      <w:bookmarkStart w:id="1497" w:name="_Toc198369771"/>
      <w:bookmarkStart w:id="1498" w:name="_Toc198369908"/>
      <w:bookmarkStart w:id="1499" w:name="_Toc198372820"/>
      <w:bookmarkStart w:id="1500" w:name="_Toc198372923"/>
      <w:bookmarkStart w:id="1501" w:name="_Toc198373053"/>
      <w:bookmarkStart w:id="1502" w:name="_Toc198373221"/>
      <w:bookmarkStart w:id="1503" w:name="_Toc198627135"/>
      <w:bookmarkStart w:id="1504" w:name="_Toc198627241"/>
      <w:bookmarkStart w:id="1505" w:name="_Toc216090713"/>
      <w:bookmarkStart w:id="1506" w:name="_Toc226958219"/>
      <w:bookmarkStart w:id="1507" w:name="_Toc227038279"/>
      <w:bookmarkStart w:id="1508" w:name="_Toc254792585"/>
      <w:bookmarkStart w:id="1509" w:name="_Toc256669709"/>
      <w:bookmarkStart w:id="1510" w:name="_Toc257213242"/>
      <w:bookmarkStart w:id="1511" w:name="_Toc257277744"/>
      <w:bookmarkStart w:id="1512" w:name="_Toc257278705"/>
      <w:bookmarkStart w:id="1513" w:name="_Toc257278915"/>
      <w:bookmarkStart w:id="1514" w:name="_Toc257279283"/>
      <w:bookmarkStart w:id="1515" w:name="_Toc257382927"/>
      <w:bookmarkStart w:id="1516" w:name="_Toc274056184"/>
      <w:bookmarkStart w:id="1517" w:name="_Toc276657589"/>
      <w:bookmarkStart w:id="1518" w:name="_Toc278366435"/>
      <w:bookmarkStart w:id="1519" w:name="_Toc307584032"/>
      <w:bookmarkStart w:id="1520" w:name="_Toc307937306"/>
      <w:bookmarkStart w:id="1521" w:name="_Toc348508744"/>
      <w:bookmarkStart w:id="1522" w:name="_Toc362256743"/>
      <w:bookmarkStart w:id="1523" w:name="_Toc366056497"/>
      <w:bookmarkStart w:id="1524" w:name="_Toc366223700"/>
      <w:bookmarkStart w:id="1525" w:name="_Toc366229413"/>
      <w:bookmarkStart w:id="1526" w:name="_Toc366583457"/>
      <w:r>
        <w:t>General Information Regarding Short-Form Applications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rsidR="000D72B7" w:rsidRPr="00A65F60" w:rsidRDefault="000D72B7" w:rsidP="00C07C81">
      <w:pPr>
        <w:pStyle w:val="ParaNum"/>
        <w:widowControl/>
        <w:tabs>
          <w:tab w:val="clear" w:pos="1260"/>
          <w:tab w:val="left" w:pos="1440"/>
        </w:tabs>
        <w:ind w:left="0"/>
        <w:rPr>
          <w:szCs w:val="22"/>
        </w:rPr>
      </w:pPr>
      <w:r w:rsidRPr="001C2E9C">
        <w:rPr>
          <w:szCs w:val="22"/>
        </w:rPr>
        <w:t xml:space="preserve">An application </w:t>
      </w:r>
      <w:r w:rsidRPr="00A65F60">
        <w:rPr>
          <w:szCs w:val="22"/>
        </w:rPr>
        <w:t xml:space="preserve">to participate in an FCC auction, referred to as a short-form application or FCC Form 175, provides information used </w:t>
      </w:r>
      <w:r w:rsidR="000048B1" w:rsidRPr="00A65F60">
        <w:rPr>
          <w:szCs w:val="22"/>
        </w:rPr>
        <w:t>to determine</w:t>
      </w:r>
      <w:r w:rsidRPr="00A65F60">
        <w:rPr>
          <w:szCs w:val="22"/>
        </w:rPr>
        <w:t xml:space="preserve"> whether the applicant is legally, technically, and financially qualified to participate in Commission auctions for licenses or permits.</w:t>
      </w:r>
      <w:r w:rsidRPr="00A65F60">
        <w:rPr>
          <w:rStyle w:val="FootnoteReference"/>
          <w:szCs w:val="22"/>
        </w:rPr>
        <w:footnoteReference w:id="83"/>
      </w:r>
      <w:r w:rsidRPr="00A65F60">
        <w:rPr>
          <w:szCs w:val="22"/>
        </w:rPr>
        <w:t xml:space="preserve">  The short-form application is the first part of the Commission’s two-phased auction application process.  In the first phase, parties desiring to participate in the auction must file </w:t>
      </w:r>
      <w:r w:rsidR="00C434C1" w:rsidRPr="00A65F60">
        <w:rPr>
          <w:szCs w:val="22"/>
        </w:rPr>
        <w:t xml:space="preserve">a </w:t>
      </w:r>
      <w:r w:rsidRPr="00A65F60">
        <w:rPr>
          <w:szCs w:val="22"/>
        </w:rPr>
        <w:t>streamlined, short-form application in which they certify under penalty of perjury as to their qualifications.</w:t>
      </w:r>
      <w:r w:rsidRPr="00A65F60">
        <w:rPr>
          <w:rStyle w:val="FootnoteReference"/>
          <w:szCs w:val="22"/>
        </w:rPr>
        <w:footnoteReference w:id="84"/>
      </w:r>
      <w:r w:rsidRPr="00A65F60">
        <w:rPr>
          <w:szCs w:val="22"/>
        </w:rPr>
        <w:t xml:space="preserve">  Eligibility to participate in bidding is based on the applicant</w:t>
      </w:r>
      <w:r w:rsidR="00047DA4" w:rsidRPr="00A65F60">
        <w:rPr>
          <w:szCs w:val="22"/>
        </w:rPr>
        <w:t>’</w:t>
      </w:r>
      <w:r w:rsidRPr="00A65F60">
        <w:rPr>
          <w:szCs w:val="22"/>
        </w:rPr>
        <w:t>s short-form application and certifications</w:t>
      </w:r>
      <w:r w:rsidR="00047DA4" w:rsidRPr="00A65F60">
        <w:rPr>
          <w:szCs w:val="22"/>
        </w:rPr>
        <w:t>,</w:t>
      </w:r>
      <w:r w:rsidRPr="00A65F60">
        <w:rPr>
          <w:szCs w:val="22"/>
        </w:rPr>
        <w:t xml:space="preserve"> </w:t>
      </w:r>
      <w:r w:rsidR="001209FA">
        <w:rPr>
          <w:szCs w:val="22"/>
        </w:rPr>
        <w:t>and on</w:t>
      </w:r>
      <w:r w:rsidRPr="00A65F60">
        <w:rPr>
          <w:szCs w:val="22"/>
        </w:rPr>
        <w:t xml:space="preserve"> </w:t>
      </w:r>
      <w:r w:rsidR="00047DA4" w:rsidRPr="00A65F60">
        <w:rPr>
          <w:szCs w:val="22"/>
        </w:rPr>
        <w:t>its</w:t>
      </w:r>
      <w:r w:rsidRPr="00A65F60">
        <w:rPr>
          <w:szCs w:val="22"/>
        </w:rPr>
        <w:t xml:space="preserve"> upfront payment, as explained below.</w:t>
      </w:r>
      <w:r w:rsidRPr="00A65F60">
        <w:rPr>
          <w:rStyle w:val="FootnoteReference"/>
          <w:szCs w:val="22"/>
        </w:rPr>
        <w:footnoteReference w:id="85"/>
      </w:r>
      <w:r w:rsidRPr="00A65F60">
        <w:rPr>
          <w:szCs w:val="22"/>
        </w:rPr>
        <w:t xml:space="preserve">  In the second phase of the process, </w:t>
      </w:r>
      <w:r w:rsidR="000048B1" w:rsidRPr="00A65F60">
        <w:rPr>
          <w:szCs w:val="22"/>
        </w:rPr>
        <w:t>each</w:t>
      </w:r>
      <w:r w:rsidR="00A433CC" w:rsidRPr="00A65F60">
        <w:rPr>
          <w:szCs w:val="22"/>
        </w:rPr>
        <w:t xml:space="preserve"> </w:t>
      </w:r>
      <w:r w:rsidRPr="00A65F60">
        <w:rPr>
          <w:szCs w:val="22"/>
        </w:rPr>
        <w:t xml:space="preserve">winning bidder must file </w:t>
      </w:r>
      <w:r w:rsidR="00A433CC" w:rsidRPr="00A65F60">
        <w:rPr>
          <w:szCs w:val="22"/>
        </w:rPr>
        <w:t xml:space="preserve">a </w:t>
      </w:r>
      <w:r w:rsidRPr="00A65F60">
        <w:rPr>
          <w:szCs w:val="22"/>
        </w:rPr>
        <w:t>more comprehensive long-form application</w:t>
      </w:r>
      <w:r w:rsidR="00F20270">
        <w:rPr>
          <w:szCs w:val="22"/>
        </w:rPr>
        <w:t xml:space="preserve"> (FCC Form 601) and have a complete and accurate ownership disclosure information report (FCC Form 602) on file with the Commission</w:t>
      </w:r>
      <w:r w:rsidRPr="00A65F60">
        <w:rPr>
          <w:szCs w:val="22"/>
        </w:rPr>
        <w:t>.</w:t>
      </w:r>
      <w:r w:rsidRPr="00A65F60">
        <w:rPr>
          <w:rStyle w:val="FootnoteReference"/>
          <w:szCs w:val="22"/>
        </w:rPr>
        <w:footnoteReference w:id="86"/>
      </w:r>
    </w:p>
    <w:p w:rsidR="006255B2" w:rsidRPr="00206CE7" w:rsidRDefault="00D54394" w:rsidP="00C07C81">
      <w:pPr>
        <w:pStyle w:val="ParaNum"/>
        <w:widowControl/>
        <w:tabs>
          <w:tab w:val="clear" w:pos="1260"/>
          <w:tab w:val="left" w:pos="1440"/>
        </w:tabs>
        <w:ind w:left="0"/>
        <w:rPr>
          <w:szCs w:val="22"/>
        </w:rPr>
      </w:pPr>
      <w:r w:rsidRPr="001C2E9C">
        <w:rPr>
          <w:szCs w:val="22"/>
        </w:rPr>
        <w:t>E</w:t>
      </w:r>
      <w:r w:rsidR="00A433CC">
        <w:rPr>
          <w:szCs w:val="22"/>
        </w:rPr>
        <w:t>very e</w:t>
      </w:r>
      <w:r w:rsidRPr="001C2E9C">
        <w:rPr>
          <w:szCs w:val="22"/>
        </w:rPr>
        <w:t>ntit</w:t>
      </w:r>
      <w:r w:rsidR="00A433CC">
        <w:rPr>
          <w:szCs w:val="22"/>
        </w:rPr>
        <w:t>y</w:t>
      </w:r>
      <w:r w:rsidRPr="001C2E9C">
        <w:rPr>
          <w:szCs w:val="22"/>
        </w:rPr>
        <w:t xml:space="preserve"> </w:t>
      </w:r>
      <w:r>
        <w:rPr>
          <w:szCs w:val="22"/>
        </w:rPr>
        <w:t xml:space="preserve">and individual </w:t>
      </w:r>
      <w:r w:rsidRPr="001C2E9C">
        <w:rPr>
          <w:szCs w:val="22"/>
        </w:rPr>
        <w:t xml:space="preserve">seeking </w:t>
      </w:r>
      <w:r w:rsidR="00A433CC">
        <w:rPr>
          <w:szCs w:val="22"/>
        </w:rPr>
        <w:t xml:space="preserve">a </w:t>
      </w:r>
      <w:r w:rsidR="00505099">
        <w:rPr>
          <w:szCs w:val="22"/>
        </w:rPr>
        <w:t>license</w:t>
      </w:r>
      <w:r w:rsidRPr="001C2E9C">
        <w:rPr>
          <w:szCs w:val="22"/>
        </w:rPr>
        <w:t xml:space="preserve"> available in Auction </w:t>
      </w:r>
      <w:r w:rsidR="00CC0081">
        <w:rPr>
          <w:szCs w:val="22"/>
        </w:rPr>
        <w:t>9</w:t>
      </w:r>
      <w:r w:rsidR="00530B79">
        <w:rPr>
          <w:szCs w:val="22"/>
        </w:rPr>
        <w:t>6</w:t>
      </w:r>
      <w:r w:rsidRPr="001C2E9C">
        <w:rPr>
          <w:szCs w:val="22"/>
        </w:rPr>
        <w:t xml:space="preserve"> must file a short-form application electronically via the FCC </w:t>
      </w:r>
      <w:r w:rsidRPr="00206CE7">
        <w:rPr>
          <w:szCs w:val="22"/>
        </w:rPr>
        <w:t xml:space="preserve">Auction System prior to 6:00 p.m. ET on </w:t>
      </w:r>
      <w:r w:rsidR="009157BE" w:rsidRPr="00206CE7">
        <w:rPr>
          <w:szCs w:val="22"/>
        </w:rPr>
        <w:t>November</w:t>
      </w:r>
      <w:r w:rsidR="00505099" w:rsidRPr="00206CE7">
        <w:rPr>
          <w:szCs w:val="22"/>
        </w:rPr>
        <w:t xml:space="preserve"> </w:t>
      </w:r>
      <w:r w:rsidR="009157BE" w:rsidRPr="00206CE7">
        <w:rPr>
          <w:szCs w:val="22"/>
        </w:rPr>
        <w:t>5</w:t>
      </w:r>
      <w:r w:rsidRPr="00206CE7">
        <w:rPr>
          <w:szCs w:val="22"/>
        </w:rPr>
        <w:t>, 201</w:t>
      </w:r>
      <w:r w:rsidR="00AF0068" w:rsidRPr="00206CE7">
        <w:rPr>
          <w:szCs w:val="22"/>
        </w:rPr>
        <w:t>3</w:t>
      </w:r>
      <w:r w:rsidRPr="00206CE7">
        <w:rPr>
          <w:szCs w:val="22"/>
        </w:rPr>
        <w:t>,</w:t>
      </w:r>
      <w:r w:rsidRPr="00206CE7">
        <w:rPr>
          <w:b/>
          <w:szCs w:val="22"/>
        </w:rPr>
        <w:t xml:space="preserve"> </w:t>
      </w:r>
      <w:r w:rsidRPr="00206CE7">
        <w:rPr>
          <w:szCs w:val="22"/>
        </w:rPr>
        <w:t xml:space="preserve">following the procedures prescribed in Attachment </w:t>
      </w:r>
      <w:r w:rsidR="00206CE7" w:rsidRPr="00206CE7">
        <w:rPr>
          <w:szCs w:val="22"/>
        </w:rPr>
        <w:t>D</w:t>
      </w:r>
      <w:r w:rsidRPr="00206CE7">
        <w:rPr>
          <w:szCs w:val="22"/>
        </w:rPr>
        <w:t xml:space="preserve"> to this Public Notice.  If an applicant claims eligibility for a bidding credit, the information provided in its FCC Form 175 will be used </w:t>
      </w:r>
      <w:r w:rsidR="000048B1" w:rsidRPr="00206CE7">
        <w:rPr>
          <w:szCs w:val="22"/>
        </w:rPr>
        <w:t>to determine</w:t>
      </w:r>
      <w:r w:rsidRPr="00206CE7">
        <w:rPr>
          <w:szCs w:val="22"/>
        </w:rPr>
        <w:t xml:space="preserve"> whether the applicant is eligible for the claimed bidding credit.  Applicants filing a short-form application are subject to the Commission’s anti-collusion rules beginning </w:t>
      </w:r>
      <w:r w:rsidR="00A84FD2" w:rsidRPr="00206CE7">
        <w:rPr>
          <w:szCs w:val="22"/>
        </w:rPr>
        <w:t>at</w:t>
      </w:r>
      <w:r w:rsidRPr="00206CE7">
        <w:rPr>
          <w:szCs w:val="22"/>
        </w:rPr>
        <w:t xml:space="preserve"> the deadline for filing, as described above</w:t>
      </w:r>
      <w:r w:rsidR="006255B2" w:rsidRPr="00206CE7">
        <w:t>.</w:t>
      </w:r>
    </w:p>
    <w:p w:rsidR="00152CD2" w:rsidRPr="00152CD2" w:rsidRDefault="00D54394" w:rsidP="00C07C81">
      <w:pPr>
        <w:pStyle w:val="ParaNum"/>
        <w:widowControl/>
        <w:tabs>
          <w:tab w:val="clear" w:pos="1260"/>
          <w:tab w:val="left" w:pos="1440"/>
        </w:tabs>
        <w:ind w:left="0"/>
        <w:rPr>
          <w:szCs w:val="22"/>
        </w:rPr>
      </w:pPr>
      <w:r w:rsidRPr="00206CE7">
        <w:rPr>
          <w:szCs w:val="22"/>
        </w:rPr>
        <w:t>Applicants bear full responsibility for submitting accurate, complete and timely short-form applications.  All applicants must certify on their short-form applications under penalty of perjury that they are legally, technically, financially and otherwise qualified to hold a license.</w:t>
      </w:r>
      <w:r w:rsidRPr="00206CE7">
        <w:rPr>
          <w:rStyle w:val="FootnoteReference"/>
          <w:szCs w:val="22"/>
        </w:rPr>
        <w:footnoteReference w:id="87"/>
      </w:r>
      <w:r w:rsidRPr="00206CE7">
        <w:rPr>
          <w:szCs w:val="22"/>
        </w:rPr>
        <w:t xml:space="preserve">  </w:t>
      </w:r>
      <w:r w:rsidR="00B6180C">
        <w:rPr>
          <w:szCs w:val="22"/>
        </w:rPr>
        <w:t>Each a</w:t>
      </w:r>
      <w:r w:rsidRPr="00206CE7">
        <w:rPr>
          <w:szCs w:val="22"/>
        </w:rPr>
        <w:t xml:space="preserve">pplicant should read </w:t>
      </w:r>
      <w:r w:rsidR="006F350E" w:rsidRPr="00206CE7">
        <w:rPr>
          <w:szCs w:val="22"/>
        </w:rPr>
        <w:t xml:space="preserve">carefully </w:t>
      </w:r>
      <w:r w:rsidRPr="00206CE7">
        <w:rPr>
          <w:szCs w:val="22"/>
        </w:rPr>
        <w:t xml:space="preserve">the instructions set forth in Attachment </w:t>
      </w:r>
      <w:r w:rsidR="00206CE7" w:rsidRPr="00206CE7">
        <w:rPr>
          <w:szCs w:val="22"/>
        </w:rPr>
        <w:t>D</w:t>
      </w:r>
      <w:r w:rsidRPr="00206CE7">
        <w:rPr>
          <w:szCs w:val="22"/>
        </w:rPr>
        <w:t xml:space="preserve"> to this Public Notice and should consult the Commission’s rules to ensure that, in addition to the materials described below</w:t>
      </w:r>
      <w:r w:rsidRPr="001C2E9C">
        <w:rPr>
          <w:szCs w:val="22"/>
        </w:rPr>
        <w:t>, all the information required is included with</w:t>
      </w:r>
      <w:r w:rsidR="006F350E">
        <w:rPr>
          <w:szCs w:val="22"/>
        </w:rPr>
        <w:t>in</w:t>
      </w:r>
      <w:r w:rsidRPr="001C2E9C">
        <w:rPr>
          <w:szCs w:val="22"/>
        </w:rPr>
        <w:t xml:space="preserve"> </w:t>
      </w:r>
      <w:r w:rsidR="008F5BEE">
        <w:rPr>
          <w:szCs w:val="22"/>
        </w:rPr>
        <w:t>its</w:t>
      </w:r>
      <w:r w:rsidRPr="001C2E9C">
        <w:rPr>
          <w:szCs w:val="22"/>
        </w:rPr>
        <w:t xml:space="preserve"> short-form application</w:t>
      </w:r>
      <w:r w:rsidR="006255B2">
        <w:t>.</w:t>
      </w:r>
    </w:p>
    <w:p w:rsidR="001C721C" w:rsidRDefault="001C721C" w:rsidP="00C07C81">
      <w:pPr>
        <w:pStyle w:val="ParaNum"/>
        <w:widowControl/>
        <w:tabs>
          <w:tab w:val="clear" w:pos="1260"/>
          <w:tab w:val="left" w:pos="1440"/>
        </w:tabs>
        <w:ind w:left="0"/>
        <w:rPr>
          <w:szCs w:val="22"/>
        </w:rPr>
      </w:pPr>
      <w:r w:rsidRPr="001C2E9C">
        <w:rPr>
          <w:szCs w:val="22"/>
        </w:rPr>
        <w:t xml:space="preserve">An </w:t>
      </w:r>
      <w:r w:rsidR="006F350E">
        <w:rPr>
          <w:szCs w:val="22"/>
        </w:rPr>
        <w:t xml:space="preserve">individual or </w:t>
      </w:r>
      <w:r w:rsidRPr="001C2E9C">
        <w:rPr>
          <w:szCs w:val="22"/>
        </w:rPr>
        <w:t xml:space="preserve">entity may not submit more than one short-form application for a single auction.  If a party submits multiple short-form </w:t>
      </w:r>
      <w:r w:rsidRPr="00AA2B80">
        <w:rPr>
          <w:szCs w:val="22"/>
        </w:rPr>
        <w:t>applications, only one application may be accepted for filing</w:t>
      </w:r>
      <w:r>
        <w:rPr>
          <w:szCs w:val="22"/>
        </w:rPr>
        <w:t>.</w:t>
      </w:r>
    </w:p>
    <w:p w:rsidR="000D72B7" w:rsidRPr="00713BE8" w:rsidRDefault="000D72B7" w:rsidP="00C07C81">
      <w:pPr>
        <w:pStyle w:val="ParaNum"/>
        <w:widowControl/>
        <w:tabs>
          <w:tab w:val="clear" w:pos="1260"/>
          <w:tab w:val="left" w:pos="1440"/>
        </w:tabs>
        <w:ind w:left="0"/>
        <w:rPr>
          <w:szCs w:val="22"/>
        </w:rPr>
      </w:pPr>
      <w:r w:rsidRPr="001C2E9C">
        <w:rPr>
          <w:szCs w:val="22"/>
        </w:rPr>
        <w:t xml:space="preserve">Applicants should note that submission of a short-form application (and any amendments thereto) constitutes a representation by the </w:t>
      </w:r>
      <w:r w:rsidR="00751E21">
        <w:rPr>
          <w:szCs w:val="22"/>
        </w:rPr>
        <w:t xml:space="preserve">person </w:t>
      </w:r>
      <w:r w:rsidRPr="001C2E9C">
        <w:rPr>
          <w:szCs w:val="22"/>
        </w:rPr>
        <w:t xml:space="preserve">certifying </w:t>
      </w:r>
      <w:r w:rsidR="00751E21">
        <w:rPr>
          <w:szCs w:val="22"/>
        </w:rPr>
        <w:t>the application</w:t>
      </w:r>
      <w:r w:rsidRPr="001C2E9C">
        <w:rPr>
          <w:szCs w:val="22"/>
        </w:rPr>
        <w:t xml:space="preserve"> that he or she is an authorized representative of the applicant</w:t>
      </w:r>
      <w:r w:rsidR="00751E21">
        <w:rPr>
          <w:szCs w:val="22"/>
        </w:rPr>
        <w:t xml:space="preserve"> with authority to bind the applicant</w:t>
      </w:r>
      <w:r w:rsidRPr="001C2E9C">
        <w:rPr>
          <w:szCs w:val="22"/>
        </w:rPr>
        <w:t xml:space="preserve">, that he or she has read the form’s instructions and certifications, and that the contents of the application, its certifications, and any attachments are true and correct.  </w:t>
      </w:r>
      <w:r w:rsidR="00075C08" w:rsidRPr="00BD752F">
        <w:rPr>
          <w:szCs w:val="22"/>
        </w:rPr>
        <w:t>Applicants are not permitted to make major modifications to their applications; such impermissible changes include a change of the certifying official to the application.</w:t>
      </w:r>
      <w:r w:rsidR="00075C08" w:rsidRPr="00BD752F">
        <w:rPr>
          <w:rStyle w:val="FootnoteReference"/>
          <w:szCs w:val="22"/>
        </w:rPr>
        <w:footnoteReference w:id="88"/>
      </w:r>
      <w:r w:rsidR="00075C08">
        <w:rPr>
          <w:szCs w:val="22"/>
        </w:rPr>
        <w:t xml:space="preserve">  </w:t>
      </w:r>
      <w:r w:rsidRPr="001C2E9C">
        <w:rPr>
          <w:szCs w:val="22"/>
        </w:rPr>
        <w:t xml:space="preserve">Submission of a false certification to the Commission </w:t>
      </w:r>
      <w:r w:rsidRPr="00713BE8">
        <w:rPr>
          <w:szCs w:val="22"/>
        </w:rPr>
        <w:t xml:space="preserve">may result in penalties, including monetary forfeitures, license forfeitures, ineligibility to participate in future auctions, and/or criminal prosecution. </w:t>
      </w:r>
      <w:r w:rsidR="00287AFF">
        <w:rPr>
          <w:szCs w:val="22"/>
        </w:rPr>
        <w:t xml:space="preserve"> </w:t>
      </w:r>
    </w:p>
    <w:p w:rsidR="000D72B7" w:rsidRPr="005125D4" w:rsidRDefault="00505099" w:rsidP="00C07C81">
      <w:pPr>
        <w:pStyle w:val="Heading2"/>
        <w:widowControl/>
      </w:pPr>
      <w:bookmarkStart w:id="1527" w:name="_Toc274056185"/>
      <w:bookmarkStart w:id="1528" w:name="_Toc276657590"/>
      <w:bookmarkStart w:id="1529" w:name="_Toc278366436"/>
      <w:bookmarkStart w:id="1530" w:name="_Toc307584033"/>
      <w:bookmarkStart w:id="1531" w:name="_Toc307937307"/>
      <w:bookmarkStart w:id="1532" w:name="_Toc348508745"/>
      <w:bookmarkStart w:id="1533" w:name="_Toc362256744"/>
      <w:bookmarkStart w:id="1534" w:name="_Toc366056498"/>
      <w:bookmarkStart w:id="1535" w:name="_Toc366223701"/>
      <w:bookmarkStart w:id="1536" w:name="_Toc366229414"/>
      <w:bookmarkStart w:id="1537" w:name="_Toc366583458"/>
      <w:r w:rsidRPr="005A04B8">
        <w:t>License</w:t>
      </w:r>
      <w:r w:rsidR="001C721C" w:rsidRPr="00204F1B">
        <w:t xml:space="preserve"> Selection</w:t>
      </w:r>
      <w:bookmarkEnd w:id="1527"/>
      <w:bookmarkEnd w:id="1528"/>
      <w:bookmarkEnd w:id="1529"/>
      <w:bookmarkEnd w:id="1530"/>
      <w:bookmarkEnd w:id="1531"/>
      <w:bookmarkEnd w:id="1532"/>
      <w:bookmarkEnd w:id="1533"/>
      <w:bookmarkEnd w:id="1534"/>
      <w:bookmarkEnd w:id="1535"/>
      <w:bookmarkEnd w:id="1536"/>
      <w:bookmarkEnd w:id="1537"/>
    </w:p>
    <w:p w:rsidR="000D72B7" w:rsidRPr="005749A5" w:rsidRDefault="001C721C" w:rsidP="002C26AA">
      <w:pPr>
        <w:pStyle w:val="ParaNum"/>
        <w:widowControl/>
        <w:tabs>
          <w:tab w:val="clear" w:pos="1260"/>
          <w:tab w:val="num" w:pos="1440"/>
        </w:tabs>
        <w:ind w:left="0"/>
      </w:pPr>
      <w:r w:rsidRPr="002C26AA">
        <w:rPr>
          <w:szCs w:val="22"/>
        </w:rPr>
        <w:t xml:space="preserve">An applicant must select the </w:t>
      </w:r>
      <w:r w:rsidR="00505099" w:rsidRPr="00E9723F">
        <w:rPr>
          <w:szCs w:val="22"/>
        </w:rPr>
        <w:t>licenses</w:t>
      </w:r>
      <w:r w:rsidRPr="00F249EC">
        <w:rPr>
          <w:szCs w:val="22"/>
        </w:rPr>
        <w:t xml:space="preserve"> on which it wants to bid from the “Eligible </w:t>
      </w:r>
      <w:r w:rsidR="00505099" w:rsidRPr="00F249EC">
        <w:rPr>
          <w:szCs w:val="22"/>
        </w:rPr>
        <w:t>License</w:t>
      </w:r>
      <w:r w:rsidRPr="00F249EC">
        <w:rPr>
          <w:szCs w:val="22"/>
        </w:rPr>
        <w:t xml:space="preserve">s” list on its short-form application.  Applicants must review and verify their </w:t>
      </w:r>
      <w:r w:rsidR="00505099" w:rsidRPr="00F249EC">
        <w:rPr>
          <w:szCs w:val="22"/>
        </w:rPr>
        <w:t>license</w:t>
      </w:r>
      <w:r w:rsidRPr="00F249EC">
        <w:rPr>
          <w:szCs w:val="22"/>
        </w:rPr>
        <w:t xml:space="preserve"> selections before the deadline for submitting short-form applications.  </w:t>
      </w:r>
      <w:r w:rsidR="00505099" w:rsidRPr="00F249EC">
        <w:rPr>
          <w:szCs w:val="22"/>
        </w:rPr>
        <w:t>License</w:t>
      </w:r>
      <w:r w:rsidR="006F350E" w:rsidRPr="00F249EC">
        <w:rPr>
          <w:szCs w:val="22"/>
        </w:rPr>
        <w:t xml:space="preserve"> selections </w:t>
      </w:r>
      <w:r w:rsidR="000C2100" w:rsidRPr="00F249EC">
        <w:rPr>
          <w:szCs w:val="22"/>
        </w:rPr>
        <w:t xml:space="preserve">cannot be changed </w:t>
      </w:r>
      <w:r w:rsidR="006F350E" w:rsidRPr="00F249EC">
        <w:rPr>
          <w:szCs w:val="22"/>
        </w:rPr>
        <w:t>after the short-form application filing deadline.</w:t>
      </w:r>
      <w:r w:rsidR="006F350E" w:rsidRPr="00A269FB">
        <w:rPr>
          <w:rStyle w:val="FootnoteReference"/>
          <w:szCs w:val="22"/>
        </w:rPr>
        <w:footnoteReference w:id="89"/>
      </w:r>
      <w:r w:rsidR="006F350E" w:rsidRPr="002C26AA">
        <w:rPr>
          <w:szCs w:val="22"/>
        </w:rPr>
        <w:t xml:space="preserve">  </w:t>
      </w:r>
      <w:r w:rsidRPr="00E9723F">
        <w:rPr>
          <w:szCs w:val="22"/>
        </w:rPr>
        <w:t>The FCC Auction System will</w:t>
      </w:r>
      <w:r w:rsidRPr="00F249EC">
        <w:rPr>
          <w:szCs w:val="22"/>
        </w:rPr>
        <w:t xml:space="preserve"> not accept bids on </w:t>
      </w:r>
      <w:r w:rsidR="00505099" w:rsidRPr="00F249EC">
        <w:rPr>
          <w:szCs w:val="22"/>
        </w:rPr>
        <w:t>licenses</w:t>
      </w:r>
      <w:r w:rsidRPr="00F249EC">
        <w:rPr>
          <w:szCs w:val="22"/>
        </w:rPr>
        <w:t xml:space="preserve"> that </w:t>
      </w:r>
      <w:r w:rsidR="000C2100" w:rsidRPr="00F249EC">
        <w:rPr>
          <w:szCs w:val="22"/>
        </w:rPr>
        <w:t xml:space="preserve">were </w:t>
      </w:r>
      <w:r w:rsidRPr="00F249EC">
        <w:rPr>
          <w:szCs w:val="22"/>
        </w:rPr>
        <w:t xml:space="preserve">not selected on </w:t>
      </w:r>
      <w:r w:rsidR="000C2100" w:rsidRPr="00F249EC">
        <w:rPr>
          <w:szCs w:val="22"/>
        </w:rPr>
        <w:t>the applicant</w:t>
      </w:r>
      <w:r w:rsidR="00A84FD2" w:rsidRPr="00F249EC">
        <w:rPr>
          <w:szCs w:val="22"/>
        </w:rPr>
        <w:t>’</w:t>
      </w:r>
      <w:r w:rsidR="000C2100" w:rsidRPr="00F249EC">
        <w:rPr>
          <w:szCs w:val="22"/>
        </w:rPr>
        <w:t>s</w:t>
      </w:r>
      <w:r w:rsidRPr="00F249EC">
        <w:rPr>
          <w:szCs w:val="22"/>
        </w:rPr>
        <w:t xml:space="preserve"> short-form application.</w:t>
      </w:r>
    </w:p>
    <w:p w:rsidR="0015678A" w:rsidRDefault="0015678A" w:rsidP="00C07C81">
      <w:pPr>
        <w:pStyle w:val="Heading2"/>
        <w:widowControl/>
      </w:pPr>
      <w:bookmarkStart w:id="1538" w:name="_Toc348508746"/>
      <w:bookmarkStart w:id="1539" w:name="_Toc362256745"/>
      <w:bookmarkStart w:id="1540" w:name="_Toc366056499"/>
      <w:bookmarkStart w:id="1541" w:name="_Toc366223702"/>
      <w:bookmarkStart w:id="1542" w:name="_Toc366229415"/>
      <w:bookmarkStart w:id="1543" w:name="_Toc366583459"/>
      <w:bookmarkStart w:id="1544" w:name="_Toc256669711"/>
      <w:bookmarkStart w:id="1545" w:name="_Toc257213244"/>
      <w:bookmarkStart w:id="1546" w:name="_Toc257277746"/>
      <w:bookmarkStart w:id="1547" w:name="_Toc257278707"/>
      <w:bookmarkStart w:id="1548" w:name="_Toc257278917"/>
      <w:bookmarkStart w:id="1549" w:name="_Toc257279285"/>
      <w:bookmarkStart w:id="1550" w:name="_Toc257382929"/>
      <w:bookmarkStart w:id="1551" w:name="_Toc274056186"/>
      <w:bookmarkStart w:id="1552" w:name="_Toc276657591"/>
      <w:bookmarkStart w:id="1553" w:name="_Toc278366437"/>
      <w:bookmarkStart w:id="1554" w:name="_Toc307584034"/>
      <w:bookmarkStart w:id="1555" w:name="_Toc307937308"/>
      <w:r>
        <w:t>Disclosure of Bidding Arrangements</w:t>
      </w:r>
      <w:bookmarkEnd w:id="1538"/>
      <w:bookmarkEnd w:id="1539"/>
      <w:bookmarkEnd w:id="1540"/>
      <w:bookmarkEnd w:id="1541"/>
      <w:bookmarkEnd w:id="1542"/>
      <w:bookmarkEnd w:id="1543"/>
    </w:p>
    <w:p w:rsidR="0015678A" w:rsidRDefault="00353674" w:rsidP="0015678A">
      <w:pPr>
        <w:pStyle w:val="ParaNum"/>
        <w:widowControl/>
        <w:tabs>
          <w:tab w:val="clear" w:pos="1260"/>
          <w:tab w:val="num" w:pos="1440"/>
        </w:tabs>
        <w:ind w:left="0"/>
        <w:rPr>
          <w:szCs w:val="22"/>
        </w:rPr>
      </w:pPr>
      <w:r>
        <w:rPr>
          <w:szCs w:val="22"/>
        </w:rPr>
        <w:t>An a</w:t>
      </w:r>
      <w:r w:rsidR="0015678A">
        <w:rPr>
          <w:szCs w:val="22"/>
        </w:rPr>
        <w:t xml:space="preserve">pplicant will be required to identify in </w:t>
      </w:r>
      <w:r>
        <w:rPr>
          <w:szCs w:val="22"/>
        </w:rPr>
        <w:t>its</w:t>
      </w:r>
      <w:r w:rsidR="0015678A">
        <w:rPr>
          <w:szCs w:val="22"/>
        </w:rPr>
        <w:t xml:space="preserve"> short-form application all </w:t>
      </w:r>
      <w:r>
        <w:rPr>
          <w:szCs w:val="22"/>
        </w:rPr>
        <w:t xml:space="preserve">real </w:t>
      </w:r>
      <w:r w:rsidR="0015678A">
        <w:rPr>
          <w:szCs w:val="22"/>
        </w:rPr>
        <w:t xml:space="preserve">parties </w:t>
      </w:r>
      <w:r>
        <w:rPr>
          <w:szCs w:val="22"/>
        </w:rPr>
        <w:t xml:space="preserve">in interest </w:t>
      </w:r>
      <w:r w:rsidR="0015678A">
        <w:rPr>
          <w:szCs w:val="22"/>
        </w:rPr>
        <w:t xml:space="preserve">with whom </w:t>
      </w:r>
      <w:r>
        <w:rPr>
          <w:szCs w:val="22"/>
        </w:rPr>
        <w:t>it has</w:t>
      </w:r>
      <w:r w:rsidR="0015678A">
        <w:rPr>
          <w:szCs w:val="22"/>
        </w:rPr>
        <w:t xml:space="preserve"> entered into any agreements, arrangements, or understandings of any kind relating to the licenses being auctioned, including any agreements relating to post-auction market structure.</w:t>
      </w:r>
      <w:r w:rsidR="0015678A">
        <w:rPr>
          <w:rStyle w:val="FootnoteReference"/>
          <w:szCs w:val="22"/>
        </w:rPr>
        <w:footnoteReference w:id="90"/>
      </w:r>
      <w:r w:rsidR="0015678A">
        <w:rPr>
          <w:szCs w:val="22"/>
        </w:rPr>
        <w:t xml:space="preserve">  </w:t>
      </w:r>
    </w:p>
    <w:p w:rsidR="0015678A" w:rsidRDefault="00353674" w:rsidP="0015678A">
      <w:pPr>
        <w:pStyle w:val="ParaNum"/>
        <w:widowControl/>
        <w:tabs>
          <w:tab w:val="clear" w:pos="1260"/>
          <w:tab w:val="num" w:pos="1440"/>
        </w:tabs>
        <w:ind w:left="0"/>
        <w:rPr>
          <w:szCs w:val="22"/>
        </w:rPr>
      </w:pPr>
      <w:r>
        <w:rPr>
          <w:szCs w:val="22"/>
        </w:rPr>
        <w:t>Each a</w:t>
      </w:r>
      <w:r w:rsidR="0015678A">
        <w:rPr>
          <w:szCs w:val="22"/>
        </w:rPr>
        <w:t xml:space="preserve">pplicant will </w:t>
      </w:r>
      <w:r>
        <w:rPr>
          <w:szCs w:val="22"/>
        </w:rPr>
        <w:t xml:space="preserve">also </w:t>
      </w:r>
      <w:r w:rsidR="0015678A">
        <w:rPr>
          <w:szCs w:val="22"/>
        </w:rPr>
        <w:t xml:space="preserve">be required to certify under penalty of perjury in </w:t>
      </w:r>
      <w:r w:rsidR="00A57602">
        <w:rPr>
          <w:szCs w:val="22"/>
        </w:rPr>
        <w:t>its</w:t>
      </w:r>
      <w:r w:rsidR="0015678A">
        <w:rPr>
          <w:szCs w:val="22"/>
        </w:rPr>
        <w:t xml:space="preserve"> short-form application that </w:t>
      </w:r>
      <w:r w:rsidR="00A57602">
        <w:rPr>
          <w:szCs w:val="22"/>
        </w:rPr>
        <w:t>it has</w:t>
      </w:r>
      <w:r w:rsidR="0015678A">
        <w:rPr>
          <w:szCs w:val="22"/>
        </w:rPr>
        <w:t xml:space="preserve"> not entered and will not enter into any explicit or implicit agreements, arrangements or understandings of any kind with any parties, other than those identified in the application, regarding the amount of </w:t>
      </w:r>
      <w:r w:rsidR="00FE1E61">
        <w:rPr>
          <w:szCs w:val="22"/>
        </w:rPr>
        <w:t>its</w:t>
      </w:r>
      <w:r w:rsidR="0015678A">
        <w:rPr>
          <w:szCs w:val="22"/>
        </w:rPr>
        <w:t xml:space="preserve"> bids, bidding strategies, or the particular licenses on which </w:t>
      </w:r>
      <w:r w:rsidR="00FE1E61">
        <w:rPr>
          <w:szCs w:val="22"/>
        </w:rPr>
        <w:t>it</w:t>
      </w:r>
      <w:r w:rsidR="0015678A">
        <w:rPr>
          <w:szCs w:val="22"/>
        </w:rPr>
        <w:t xml:space="preserve"> will or will not bid.</w:t>
      </w:r>
      <w:r w:rsidR="0015678A">
        <w:rPr>
          <w:rStyle w:val="FootnoteReference"/>
          <w:szCs w:val="22"/>
        </w:rPr>
        <w:footnoteReference w:id="91"/>
      </w:r>
      <w:r w:rsidR="0015678A">
        <w:rPr>
          <w:szCs w:val="22"/>
        </w:rPr>
        <w:t xml:space="preserve">  If an applicant has had discussions, but has not reached an agreement by the short-form application filing deadline, it should not include the names of parties to the discussions on its application and may not continue such discussions with any applicants after the deadline.</w:t>
      </w:r>
      <w:r w:rsidR="0015678A">
        <w:rPr>
          <w:rStyle w:val="FootnoteReference"/>
          <w:szCs w:val="22"/>
        </w:rPr>
        <w:footnoteReference w:id="92"/>
      </w:r>
      <w:r w:rsidR="0015678A">
        <w:rPr>
          <w:szCs w:val="22"/>
        </w:rPr>
        <w:t xml:space="preserve">  </w:t>
      </w:r>
    </w:p>
    <w:p w:rsidR="0015678A" w:rsidRPr="0015678A" w:rsidRDefault="0015678A" w:rsidP="00353674">
      <w:pPr>
        <w:pStyle w:val="ParaNum"/>
        <w:widowControl/>
        <w:tabs>
          <w:tab w:val="clear" w:pos="1260"/>
          <w:tab w:val="num" w:pos="1440"/>
        </w:tabs>
        <w:ind w:left="0"/>
      </w:pPr>
      <w:r>
        <w:rPr>
          <w:szCs w:val="22"/>
        </w:rPr>
        <w:t>After the filing of short-form applications, the Commission’s rules do not prohibit a party holding a non-controlling, attributable interest in one applicant from acquiring an ownership interest in or entering into a joint bidding arrangement with other applicants, provided that: (i) the attributable interest holder certifies that it has not and will not communicate with any party concerning the bids or bidding strategies of more than one of the applicants in which it holds an attributable interest, or with which it has entered into a joint bidding arrangement; and (ii) the arrangements do not result in a change in control of any of the applicants.</w:t>
      </w:r>
      <w:r>
        <w:rPr>
          <w:rStyle w:val="FootnoteReference"/>
          <w:szCs w:val="22"/>
        </w:rPr>
        <w:footnoteReference w:id="93"/>
      </w:r>
      <w:r>
        <w:rPr>
          <w:szCs w:val="22"/>
        </w:rPr>
        <w:t xml:space="preserve">  While section 1.2105(c) of the rules does not prohibit non-auction-related business negotiations among auction applicants, </w:t>
      </w:r>
      <w:r w:rsidR="00FE1E61">
        <w:rPr>
          <w:szCs w:val="22"/>
        </w:rPr>
        <w:t>we</w:t>
      </w:r>
      <w:r>
        <w:rPr>
          <w:szCs w:val="22"/>
        </w:rPr>
        <w:t xml:space="preserve"> remind</w:t>
      </w:r>
      <w:r w:rsidR="00FE1E61">
        <w:rPr>
          <w:szCs w:val="22"/>
        </w:rPr>
        <w:t xml:space="preserve"> applicants</w:t>
      </w:r>
      <w:r>
        <w:rPr>
          <w:szCs w:val="22"/>
        </w:rPr>
        <w:t xml:space="preserve"> that certain discussions or exchanges could touch upon impermissible subject matters because they may convey pricing information and bidding strategies.</w:t>
      </w:r>
      <w:r>
        <w:rPr>
          <w:rStyle w:val="FootnoteReference"/>
          <w:szCs w:val="22"/>
        </w:rPr>
        <w:footnoteReference w:id="94"/>
      </w:r>
      <w:r>
        <w:rPr>
          <w:szCs w:val="22"/>
        </w:rPr>
        <w:t xml:space="preserve">  Further, as discussed above, compliance with the disclosure requirements of section 1.2105(c) of the Commission’s rules will not insulate a party from enforcement of the antitrust laws.</w:t>
      </w:r>
      <w:r>
        <w:rPr>
          <w:rStyle w:val="FootnoteReference"/>
          <w:szCs w:val="22"/>
        </w:rPr>
        <w:footnoteReference w:id="95"/>
      </w:r>
    </w:p>
    <w:p w:rsidR="00460E0F" w:rsidRPr="00AA2B80" w:rsidRDefault="00353674" w:rsidP="00C07C81">
      <w:pPr>
        <w:pStyle w:val="Heading2"/>
        <w:widowControl/>
      </w:pPr>
      <w:bookmarkStart w:id="1556" w:name="_Toc348508747"/>
      <w:bookmarkStart w:id="1557" w:name="_Toc362256746"/>
      <w:bookmarkStart w:id="1558" w:name="_Toc366056500"/>
      <w:bookmarkStart w:id="1559" w:name="_Toc366223703"/>
      <w:bookmarkStart w:id="1560" w:name="_Toc366229416"/>
      <w:bookmarkStart w:id="1561" w:name="_Toc366583460"/>
      <w:bookmarkEnd w:id="1544"/>
      <w:bookmarkEnd w:id="1545"/>
      <w:bookmarkEnd w:id="1546"/>
      <w:bookmarkEnd w:id="1547"/>
      <w:bookmarkEnd w:id="1548"/>
      <w:bookmarkEnd w:id="1549"/>
      <w:bookmarkEnd w:id="1550"/>
      <w:bookmarkEnd w:id="1551"/>
      <w:bookmarkEnd w:id="1552"/>
      <w:bookmarkEnd w:id="1553"/>
      <w:bookmarkEnd w:id="1554"/>
      <w:bookmarkEnd w:id="1555"/>
      <w:r>
        <w:t>Ownership Disclosure Requirements</w:t>
      </w:r>
      <w:bookmarkEnd w:id="1556"/>
      <w:bookmarkEnd w:id="1557"/>
      <w:bookmarkEnd w:id="1558"/>
      <w:bookmarkEnd w:id="1559"/>
      <w:bookmarkEnd w:id="1560"/>
      <w:bookmarkEnd w:id="1561"/>
    </w:p>
    <w:p w:rsidR="00353674" w:rsidRDefault="001479AF" w:rsidP="00353674">
      <w:pPr>
        <w:pStyle w:val="ParaNum"/>
        <w:widowControl/>
        <w:tabs>
          <w:tab w:val="clear" w:pos="1260"/>
          <w:tab w:val="num" w:pos="1440"/>
        </w:tabs>
        <w:ind w:left="0"/>
        <w:rPr>
          <w:szCs w:val="22"/>
        </w:rPr>
      </w:pPr>
      <w:r>
        <w:rPr>
          <w:szCs w:val="22"/>
        </w:rPr>
        <w:t xml:space="preserve">Each </w:t>
      </w:r>
      <w:r w:rsidR="00353674">
        <w:rPr>
          <w:szCs w:val="22"/>
        </w:rPr>
        <w:t>applicant must comply with the uniform Part 1 ownership disclosure standards and provide information required by sections 1.2105 and 1.2112 of the Commission’s rules.</w:t>
      </w:r>
      <w:r w:rsidR="00353674">
        <w:rPr>
          <w:rStyle w:val="FootnoteReference"/>
          <w:szCs w:val="22"/>
        </w:rPr>
        <w:footnoteReference w:id="96"/>
      </w:r>
      <w:r w:rsidR="00353674">
        <w:rPr>
          <w:szCs w:val="22"/>
        </w:rPr>
        <w:t xml:space="preserve">  Specifically, in completing the short-form application, </w:t>
      </w:r>
      <w:r>
        <w:rPr>
          <w:szCs w:val="22"/>
        </w:rPr>
        <w:t xml:space="preserve">an </w:t>
      </w:r>
      <w:r w:rsidR="00353674">
        <w:rPr>
          <w:szCs w:val="22"/>
        </w:rPr>
        <w:t xml:space="preserve">applicant will be required to fully disclose information on the real party- or parties-in-interest and </w:t>
      </w:r>
      <w:r>
        <w:rPr>
          <w:szCs w:val="22"/>
        </w:rPr>
        <w:t xml:space="preserve">the </w:t>
      </w:r>
      <w:r w:rsidR="00353674">
        <w:rPr>
          <w:szCs w:val="22"/>
        </w:rPr>
        <w:t xml:space="preserve">ownership structure of the applicant, </w:t>
      </w:r>
      <w:r w:rsidR="00353674" w:rsidRPr="00510C4B">
        <w:rPr>
          <w:szCs w:val="22"/>
        </w:rPr>
        <w:t>including both direct and indirect ownership interests of 10 percent or more</w:t>
      </w:r>
      <w:r w:rsidRPr="008F5BEE">
        <w:rPr>
          <w:szCs w:val="22"/>
        </w:rPr>
        <w:t>,</w:t>
      </w:r>
      <w:r w:rsidR="00353674">
        <w:rPr>
          <w:szCs w:val="22"/>
        </w:rPr>
        <w:t xml:space="preserve"> </w:t>
      </w:r>
      <w:r>
        <w:rPr>
          <w:szCs w:val="22"/>
        </w:rPr>
        <w:t xml:space="preserve">as </w:t>
      </w:r>
      <w:r w:rsidR="00353674">
        <w:rPr>
          <w:szCs w:val="22"/>
        </w:rPr>
        <w:t>prescribed in sections 1.2105 and 1.2112 of the Commission’s rules.</w:t>
      </w:r>
      <w:r w:rsidR="00353674">
        <w:rPr>
          <w:rStyle w:val="FootnoteReference"/>
          <w:szCs w:val="22"/>
        </w:rPr>
        <w:footnoteReference w:id="97"/>
      </w:r>
      <w:r w:rsidR="00353674">
        <w:rPr>
          <w:szCs w:val="22"/>
        </w:rPr>
        <w:t xml:space="preserve">  Each applicant is responsible for </w:t>
      </w:r>
      <w:r>
        <w:rPr>
          <w:szCs w:val="22"/>
        </w:rPr>
        <w:t xml:space="preserve">ensuring that </w:t>
      </w:r>
      <w:r w:rsidR="00353674">
        <w:rPr>
          <w:szCs w:val="22"/>
        </w:rPr>
        <w:t xml:space="preserve">information submitted in its short-form application </w:t>
      </w:r>
      <w:r>
        <w:rPr>
          <w:szCs w:val="22"/>
        </w:rPr>
        <w:t xml:space="preserve">is </w:t>
      </w:r>
      <w:r w:rsidR="00353674">
        <w:rPr>
          <w:szCs w:val="22"/>
        </w:rPr>
        <w:t>complete and accurate.</w:t>
      </w:r>
    </w:p>
    <w:p w:rsidR="001479AF" w:rsidRPr="001479AF" w:rsidRDefault="00353674" w:rsidP="00353674">
      <w:pPr>
        <w:pStyle w:val="ParaNum"/>
        <w:widowControl/>
        <w:tabs>
          <w:tab w:val="clear" w:pos="1260"/>
          <w:tab w:val="left" w:pos="1440"/>
        </w:tabs>
        <w:ind w:left="0"/>
      </w:pPr>
      <w:r>
        <w:rPr>
          <w:szCs w:val="22"/>
        </w:rPr>
        <w:t xml:space="preserve">In certain circumstances, an applicant’s most current ownership information on file with the Commission, if in an electronic format compatible with the short-form application (FCC Form 175) (such as information submitted in an FCC Form 602 or in an FCC Form 175 filed for a previous auction using ISAS) will automatically be entered into the applicant’s short-form application.  Each applicant </w:t>
      </w:r>
      <w:r w:rsidR="001479AF">
        <w:rPr>
          <w:szCs w:val="22"/>
        </w:rPr>
        <w:t xml:space="preserve">must </w:t>
      </w:r>
      <w:r>
        <w:rPr>
          <w:szCs w:val="22"/>
        </w:rPr>
        <w:t xml:space="preserve">carefully review any information automatically entered to confirm that it is complete and accurate as of the deadline for filing the short-form application.  </w:t>
      </w:r>
      <w:r w:rsidR="001479AF">
        <w:rPr>
          <w:szCs w:val="22"/>
        </w:rPr>
        <w:t xml:space="preserve">Any information that needs to be corrected or </w:t>
      </w:r>
      <w:r>
        <w:rPr>
          <w:szCs w:val="22"/>
        </w:rPr>
        <w:t>update</w:t>
      </w:r>
      <w:r w:rsidR="001479AF">
        <w:rPr>
          <w:szCs w:val="22"/>
        </w:rPr>
        <w:t>d must be changed</w:t>
      </w:r>
      <w:r>
        <w:rPr>
          <w:szCs w:val="22"/>
        </w:rPr>
        <w:t xml:space="preserve"> directly in the short-form application</w:t>
      </w:r>
      <w:r w:rsidR="001479AF">
        <w:rPr>
          <w:szCs w:val="22"/>
        </w:rPr>
        <w:t>.</w:t>
      </w:r>
    </w:p>
    <w:p w:rsidR="00364B7D" w:rsidRDefault="00364B7D" w:rsidP="001479AF">
      <w:pPr>
        <w:pStyle w:val="Heading2"/>
        <w:rPr>
          <w:b w:val="0"/>
        </w:rPr>
      </w:pPr>
      <w:bookmarkStart w:id="1562" w:name="_Toc366056501"/>
      <w:bookmarkStart w:id="1563" w:name="_Toc366223704"/>
      <w:bookmarkStart w:id="1564" w:name="_Toc366229417"/>
      <w:bookmarkStart w:id="1565" w:name="_Toc366583461"/>
      <w:bookmarkStart w:id="1566" w:name="_Toc348508748"/>
      <w:bookmarkStart w:id="1567" w:name="_Toc362256747"/>
      <w:r>
        <w:t>Foreign Ownership</w:t>
      </w:r>
      <w:r w:rsidR="00DA2C1B">
        <w:t xml:space="preserve"> Disclosure Requirements</w:t>
      </w:r>
      <w:bookmarkEnd w:id="1562"/>
      <w:bookmarkEnd w:id="1563"/>
      <w:bookmarkEnd w:id="1564"/>
      <w:bookmarkEnd w:id="1565"/>
    </w:p>
    <w:p w:rsidR="00364B7D" w:rsidRPr="00DA2C1B" w:rsidRDefault="00364B7D" w:rsidP="00FE70ED">
      <w:pPr>
        <w:pStyle w:val="ParaNum"/>
        <w:rPr>
          <w:rFonts w:eastAsiaTheme="minorHAnsi"/>
          <w:color w:val="000000"/>
          <w:szCs w:val="22"/>
        </w:rPr>
      </w:pPr>
      <w:r w:rsidRPr="00364B7D">
        <w:rPr>
          <w:snapToGrid/>
          <w:kern w:val="0"/>
          <w:szCs w:val="22"/>
        </w:rPr>
        <w:t>Section</w:t>
      </w:r>
      <w:r>
        <w:t xml:space="preserve"> 310 of the Communications Act requires the Commission to review foreign investment in radio station licenses and imposes specific restrictions on who may hold certain types of radio licenses.</w:t>
      </w:r>
      <w:r>
        <w:rPr>
          <w:rStyle w:val="FootnoteReference"/>
        </w:rPr>
        <w:footnoteReference w:id="98"/>
      </w:r>
      <w:r>
        <w:t xml:space="preserve">  The provisions of section 310 apply to applications for initial radio licenses, applications for assignments and transfers of control of radio licenses, and spectrum leasing arrangements under the Commission’s secondary market rules.</w:t>
      </w:r>
      <w:r>
        <w:rPr>
          <w:rStyle w:val="FootnoteReference"/>
        </w:rPr>
        <w:footnoteReference w:id="99"/>
      </w:r>
      <w:r>
        <w:t xml:space="preserve">  </w:t>
      </w:r>
      <w:r>
        <w:rPr>
          <w:szCs w:val="22"/>
        </w:rPr>
        <w:t>In completing the short-form application</w:t>
      </w:r>
      <w:r w:rsidR="008F5BEE">
        <w:rPr>
          <w:szCs w:val="22"/>
        </w:rPr>
        <w:t xml:space="preserve"> </w:t>
      </w:r>
      <w:r w:rsidR="008F5BEE" w:rsidRPr="00B54C6C">
        <w:rPr>
          <w:szCs w:val="22"/>
        </w:rPr>
        <w:t>(FCC Form 175)</w:t>
      </w:r>
      <w:r>
        <w:rPr>
          <w:szCs w:val="22"/>
        </w:rPr>
        <w:t xml:space="preserve">, an applicant will be required to disclose information concerning </w:t>
      </w:r>
      <w:r w:rsidR="00DA2C1B">
        <w:rPr>
          <w:szCs w:val="22"/>
        </w:rPr>
        <w:t xml:space="preserve">any </w:t>
      </w:r>
      <w:r>
        <w:rPr>
          <w:szCs w:val="22"/>
        </w:rPr>
        <w:t xml:space="preserve">foreign ownership of the applicant.  </w:t>
      </w:r>
      <w:r w:rsidR="00DA2C1B">
        <w:rPr>
          <w:szCs w:val="22"/>
        </w:rPr>
        <w:t>An</w:t>
      </w:r>
      <w:r>
        <w:rPr>
          <w:szCs w:val="22"/>
        </w:rPr>
        <w:t xml:space="preserve"> applicant must </w:t>
      </w:r>
      <w:r w:rsidRPr="00B54C6C">
        <w:rPr>
          <w:szCs w:val="22"/>
        </w:rPr>
        <w:t xml:space="preserve">certify in its short-form application </w:t>
      </w:r>
      <w:r>
        <w:rPr>
          <w:szCs w:val="22"/>
        </w:rPr>
        <w:t xml:space="preserve">that, </w:t>
      </w:r>
      <w:r>
        <w:t xml:space="preserve">as of the deadline for filing a short-form application </w:t>
      </w:r>
      <w:r w:rsidR="009D01E7">
        <w:t>to participate in Au</w:t>
      </w:r>
      <w:r>
        <w:t>ction</w:t>
      </w:r>
      <w:r w:rsidR="009D01E7">
        <w:t xml:space="preserve"> 96</w:t>
      </w:r>
      <w:r>
        <w:t xml:space="preserve">, the applicant </w:t>
      </w:r>
      <w:r w:rsidR="009D01E7">
        <w:t xml:space="preserve">either </w:t>
      </w:r>
      <w:r>
        <w:t xml:space="preserve">is in compliance with the foreign ownership provisions of section 310 or has filed a </w:t>
      </w:r>
      <w:r w:rsidRPr="00B54C6C">
        <w:rPr>
          <w:szCs w:val="22"/>
        </w:rPr>
        <w:t xml:space="preserve">petition for declaratory ruling requesting </w:t>
      </w:r>
      <w:r w:rsidR="005125D4">
        <w:rPr>
          <w:szCs w:val="22"/>
        </w:rPr>
        <w:t xml:space="preserve">Commission approval to exceed the applicable foreign ownership limit or benchmark in </w:t>
      </w:r>
      <w:r>
        <w:t>section 310</w:t>
      </w:r>
      <w:r w:rsidR="004023B2">
        <w:t>(b)</w:t>
      </w:r>
      <w:r>
        <w:t xml:space="preserve"> that is pending </w:t>
      </w:r>
      <w:r>
        <w:rPr>
          <w:szCs w:val="22"/>
        </w:rPr>
        <w:t>before</w:t>
      </w:r>
      <w:r w:rsidRPr="00B54C6C">
        <w:rPr>
          <w:szCs w:val="22"/>
        </w:rPr>
        <w:t>, or has been granted by, the Commission.</w:t>
      </w:r>
      <w:r w:rsidRPr="00B54C6C">
        <w:rPr>
          <w:rStyle w:val="FootnoteReference"/>
          <w:szCs w:val="22"/>
        </w:rPr>
        <w:footnoteReference w:id="100"/>
      </w:r>
      <w:r w:rsidR="00DA2C1B">
        <w:rPr>
          <w:szCs w:val="22"/>
        </w:rPr>
        <w:t xml:space="preserve"> </w:t>
      </w:r>
    </w:p>
    <w:p w:rsidR="003C609F" w:rsidRDefault="00273051" w:rsidP="001479AF">
      <w:pPr>
        <w:pStyle w:val="Heading2"/>
      </w:pPr>
      <w:bookmarkStart w:id="1568" w:name="_Toc366056502"/>
      <w:bookmarkStart w:id="1569" w:name="_Toc366223705"/>
      <w:bookmarkStart w:id="1570" w:name="_Toc366229418"/>
      <w:bookmarkStart w:id="1571" w:name="_Toc366583462"/>
      <w:r>
        <w:t>National Security</w:t>
      </w:r>
      <w:r w:rsidR="003C609F">
        <w:t xml:space="preserve"> Certification</w:t>
      </w:r>
      <w:r w:rsidR="001D56AA">
        <w:t xml:space="preserve"> Requirement for Auction 96 Applicants</w:t>
      </w:r>
      <w:bookmarkEnd w:id="1568"/>
      <w:bookmarkEnd w:id="1569"/>
      <w:bookmarkEnd w:id="1570"/>
      <w:bookmarkEnd w:id="1571"/>
    </w:p>
    <w:p w:rsidR="004126F2" w:rsidRPr="00B40B3F" w:rsidRDefault="00273051" w:rsidP="00B40B3F">
      <w:pPr>
        <w:pStyle w:val="ParaNum"/>
        <w:widowControl/>
        <w:tabs>
          <w:tab w:val="clear" w:pos="1260"/>
          <w:tab w:val="left" w:pos="1440"/>
        </w:tabs>
        <w:autoSpaceDE w:val="0"/>
        <w:autoSpaceDN w:val="0"/>
        <w:adjustRightInd w:val="0"/>
        <w:ind w:left="0"/>
        <w:rPr>
          <w:szCs w:val="22"/>
        </w:rPr>
      </w:pPr>
      <w:r w:rsidRPr="00B40B3F">
        <w:rPr>
          <w:szCs w:val="22"/>
        </w:rPr>
        <w:t>Section 6004 of the Spectrum Act prohibits a person who has been, for reasons of national security, barred by any agency of the Federal Government from bidding on a contract, participating in an auction, or receiving a grant from participating in any auc</w:t>
      </w:r>
      <w:r w:rsidRPr="00721559">
        <w:rPr>
          <w:szCs w:val="22"/>
        </w:rPr>
        <w:t>tion that is re</w:t>
      </w:r>
      <w:r w:rsidRPr="00B972BE">
        <w:rPr>
          <w:szCs w:val="22"/>
        </w:rPr>
        <w:t>quired or authorized to be cond</w:t>
      </w:r>
      <w:r w:rsidRPr="00B6297A">
        <w:rPr>
          <w:szCs w:val="22"/>
        </w:rPr>
        <w:t xml:space="preserve">ucted pursuant to the </w:t>
      </w:r>
      <w:r w:rsidRPr="00BB5E4A">
        <w:rPr>
          <w:szCs w:val="22"/>
        </w:rPr>
        <w:t>Spectrum Act.</w:t>
      </w:r>
      <w:r w:rsidRPr="00BB5E4A">
        <w:rPr>
          <w:rStyle w:val="FootnoteReference"/>
          <w:szCs w:val="22"/>
        </w:rPr>
        <w:footnoteReference w:id="101"/>
      </w:r>
      <w:r w:rsidRPr="00BB5E4A">
        <w:rPr>
          <w:szCs w:val="22"/>
        </w:rPr>
        <w:t xml:space="preserve">  </w:t>
      </w:r>
      <w:r w:rsidRPr="0034008F">
        <w:rPr>
          <w:szCs w:val="22"/>
        </w:rPr>
        <w:t xml:space="preserve">In the </w:t>
      </w:r>
      <w:r w:rsidRPr="00D61335">
        <w:rPr>
          <w:i/>
          <w:szCs w:val="22"/>
        </w:rPr>
        <w:t xml:space="preserve">H </w:t>
      </w:r>
      <w:r w:rsidRPr="001D56AA">
        <w:rPr>
          <w:i/>
          <w:szCs w:val="22"/>
        </w:rPr>
        <w:t>Block Report and Order</w:t>
      </w:r>
      <w:r w:rsidRPr="001D56AA">
        <w:rPr>
          <w:szCs w:val="22"/>
        </w:rPr>
        <w:t xml:space="preserve">, the Commission </w:t>
      </w:r>
      <w:r w:rsidRPr="00590AF2">
        <w:rPr>
          <w:szCs w:val="22"/>
        </w:rPr>
        <w:t xml:space="preserve">implemented </w:t>
      </w:r>
      <w:r w:rsidR="000F163C" w:rsidRPr="00FD31E4">
        <w:rPr>
          <w:szCs w:val="22"/>
        </w:rPr>
        <w:t>the national security restriction</w:t>
      </w:r>
      <w:r w:rsidRPr="00FD31E4">
        <w:rPr>
          <w:szCs w:val="22"/>
        </w:rPr>
        <w:t xml:space="preserve"> </w:t>
      </w:r>
      <w:r w:rsidR="000F163C" w:rsidRPr="00FD31E4">
        <w:rPr>
          <w:szCs w:val="22"/>
        </w:rPr>
        <w:t xml:space="preserve">in Section 6004 </w:t>
      </w:r>
      <w:r w:rsidRPr="004D62CC">
        <w:rPr>
          <w:szCs w:val="22"/>
        </w:rPr>
        <w:t xml:space="preserve">by </w:t>
      </w:r>
      <w:r w:rsidR="000F163C" w:rsidRPr="007A0519">
        <w:rPr>
          <w:snapToGrid/>
          <w:kern w:val="0"/>
          <w:szCs w:val="22"/>
        </w:rPr>
        <w:t xml:space="preserve">adding a </w:t>
      </w:r>
      <w:r w:rsidR="000F163C" w:rsidRPr="00892C9D">
        <w:rPr>
          <w:snapToGrid/>
          <w:kern w:val="0"/>
          <w:szCs w:val="22"/>
        </w:rPr>
        <w:t xml:space="preserve">certification </w:t>
      </w:r>
      <w:r w:rsidR="004126F2" w:rsidRPr="00892C9D">
        <w:rPr>
          <w:snapToGrid/>
          <w:kern w:val="0"/>
          <w:szCs w:val="22"/>
        </w:rPr>
        <w:t xml:space="preserve">to the various other certifications that a party must make in any </w:t>
      </w:r>
      <w:r w:rsidR="00B972BE">
        <w:rPr>
          <w:snapToGrid/>
          <w:kern w:val="0"/>
          <w:szCs w:val="22"/>
        </w:rPr>
        <w:t xml:space="preserve">short-form </w:t>
      </w:r>
      <w:r w:rsidR="004126F2" w:rsidRPr="00B972BE">
        <w:rPr>
          <w:snapToGrid/>
          <w:kern w:val="0"/>
          <w:szCs w:val="22"/>
        </w:rPr>
        <w:t>application</w:t>
      </w:r>
      <w:r w:rsidR="002A18A3" w:rsidRPr="00B972BE">
        <w:rPr>
          <w:snapToGrid/>
          <w:kern w:val="0"/>
          <w:szCs w:val="22"/>
        </w:rPr>
        <w:t>.</w:t>
      </w:r>
      <w:r w:rsidR="002A18A3" w:rsidRPr="00B972BE">
        <w:rPr>
          <w:rStyle w:val="FootnoteReference"/>
          <w:snapToGrid/>
          <w:kern w:val="0"/>
          <w:szCs w:val="22"/>
        </w:rPr>
        <w:footnoteReference w:id="102"/>
      </w:r>
      <w:r w:rsidR="002A18A3" w:rsidRPr="00B972BE">
        <w:rPr>
          <w:snapToGrid/>
          <w:kern w:val="0"/>
          <w:szCs w:val="22"/>
        </w:rPr>
        <w:t xml:space="preserve">  This new</w:t>
      </w:r>
      <w:r w:rsidR="000553A3">
        <w:rPr>
          <w:snapToGrid/>
          <w:kern w:val="0"/>
          <w:szCs w:val="22"/>
        </w:rPr>
        <w:t>ly-adopted</w:t>
      </w:r>
      <w:r w:rsidR="002A18A3" w:rsidRPr="00B972BE">
        <w:rPr>
          <w:snapToGrid/>
          <w:kern w:val="0"/>
          <w:szCs w:val="22"/>
        </w:rPr>
        <w:t xml:space="preserve"> national </w:t>
      </w:r>
      <w:r w:rsidR="001D56AA">
        <w:rPr>
          <w:snapToGrid/>
          <w:kern w:val="0"/>
          <w:szCs w:val="22"/>
        </w:rPr>
        <w:t xml:space="preserve">security </w:t>
      </w:r>
      <w:r w:rsidR="002A18A3" w:rsidRPr="00B972BE">
        <w:rPr>
          <w:snapToGrid/>
          <w:kern w:val="0"/>
          <w:szCs w:val="22"/>
        </w:rPr>
        <w:t>certification requires</w:t>
      </w:r>
      <w:r w:rsidR="000F163C" w:rsidRPr="00D14EF9">
        <w:rPr>
          <w:szCs w:val="22"/>
        </w:rPr>
        <w:t xml:space="preserve"> </w:t>
      </w:r>
      <w:r w:rsidRPr="00D14EF9">
        <w:rPr>
          <w:szCs w:val="22"/>
        </w:rPr>
        <w:t>a</w:t>
      </w:r>
      <w:r w:rsidR="002A18A3" w:rsidRPr="00D14EF9">
        <w:rPr>
          <w:szCs w:val="22"/>
        </w:rPr>
        <w:t>ny</w:t>
      </w:r>
      <w:r w:rsidRPr="00D14EF9">
        <w:rPr>
          <w:szCs w:val="22"/>
        </w:rPr>
        <w:t xml:space="preserve"> </w:t>
      </w:r>
      <w:r w:rsidR="000553A3">
        <w:rPr>
          <w:szCs w:val="22"/>
        </w:rPr>
        <w:t>appl</w:t>
      </w:r>
      <w:r w:rsidR="008D045F">
        <w:rPr>
          <w:szCs w:val="22"/>
        </w:rPr>
        <w:t>i</w:t>
      </w:r>
      <w:r w:rsidR="000553A3">
        <w:rPr>
          <w:szCs w:val="22"/>
        </w:rPr>
        <w:t>cant</w:t>
      </w:r>
      <w:r w:rsidRPr="00D14EF9">
        <w:rPr>
          <w:szCs w:val="22"/>
        </w:rPr>
        <w:t xml:space="preserve"> seeking to participate in </w:t>
      </w:r>
      <w:r w:rsidR="000553A3">
        <w:rPr>
          <w:szCs w:val="22"/>
        </w:rPr>
        <w:t>A</w:t>
      </w:r>
      <w:r w:rsidRPr="00D14EF9">
        <w:rPr>
          <w:szCs w:val="22"/>
        </w:rPr>
        <w:t xml:space="preserve">uction </w:t>
      </w:r>
      <w:r w:rsidR="000553A3">
        <w:rPr>
          <w:szCs w:val="22"/>
        </w:rPr>
        <w:t>96</w:t>
      </w:r>
      <w:r w:rsidRPr="00B6297A">
        <w:rPr>
          <w:szCs w:val="22"/>
        </w:rPr>
        <w:t xml:space="preserve"> </w:t>
      </w:r>
      <w:r w:rsidR="00B972BE">
        <w:rPr>
          <w:szCs w:val="22"/>
        </w:rPr>
        <w:t xml:space="preserve">to </w:t>
      </w:r>
      <w:r w:rsidRPr="00B972BE">
        <w:rPr>
          <w:szCs w:val="22"/>
        </w:rPr>
        <w:t xml:space="preserve">certify in its </w:t>
      </w:r>
      <w:r w:rsidR="000553A3">
        <w:rPr>
          <w:szCs w:val="22"/>
        </w:rPr>
        <w:t xml:space="preserve">short-form </w:t>
      </w:r>
      <w:r w:rsidRPr="00B972BE">
        <w:rPr>
          <w:szCs w:val="22"/>
        </w:rPr>
        <w:t xml:space="preserve">application, under penalty of perjury, </w:t>
      </w:r>
      <w:r w:rsidR="00B972BE">
        <w:rPr>
          <w:szCs w:val="22"/>
        </w:rPr>
        <w:t xml:space="preserve">that </w:t>
      </w:r>
      <w:r w:rsidRPr="00B972BE">
        <w:rPr>
          <w:szCs w:val="22"/>
        </w:rPr>
        <w:t xml:space="preserve">the applicant and all of the related individuals and entities required to be disclosed on its application are not person(s) who have been, for reasons of national security, barred by any agency of the Federal Government </w:t>
      </w:r>
      <w:r w:rsidRPr="00B6297A">
        <w:rPr>
          <w:szCs w:val="22"/>
        </w:rPr>
        <w:t>from bidding on a contract, participating in an auction, or receiving a grant</w:t>
      </w:r>
      <w:r w:rsidR="00036312">
        <w:rPr>
          <w:szCs w:val="22"/>
        </w:rPr>
        <w:t>,</w:t>
      </w:r>
      <w:r w:rsidRPr="00BB5E4A">
        <w:rPr>
          <w:szCs w:val="22"/>
        </w:rPr>
        <w:t xml:space="preserve"> and </w:t>
      </w:r>
      <w:r w:rsidR="00036312">
        <w:rPr>
          <w:szCs w:val="22"/>
        </w:rPr>
        <w:t xml:space="preserve">who are </w:t>
      </w:r>
      <w:r w:rsidRPr="00BB5E4A">
        <w:rPr>
          <w:szCs w:val="22"/>
        </w:rPr>
        <w:t>thus</w:t>
      </w:r>
      <w:r w:rsidRPr="0034008F">
        <w:rPr>
          <w:szCs w:val="22"/>
        </w:rPr>
        <w:t xml:space="preserve"> statutorily prohibited from participating in such a Commission auction.</w:t>
      </w:r>
      <w:r w:rsidRPr="00D61335">
        <w:rPr>
          <w:rStyle w:val="FootnoteReference"/>
          <w:szCs w:val="22"/>
        </w:rPr>
        <w:footnoteReference w:id="103"/>
      </w:r>
      <w:r w:rsidR="000F163C" w:rsidRPr="001D56AA">
        <w:rPr>
          <w:szCs w:val="22"/>
        </w:rPr>
        <w:t xml:space="preserve">  </w:t>
      </w:r>
      <w:r w:rsidR="004126F2" w:rsidRPr="00B40B3F">
        <w:rPr>
          <w:snapToGrid/>
          <w:kern w:val="0"/>
          <w:szCs w:val="22"/>
        </w:rPr>
        <w:t>As with other required certifications, an auction</w:t>
      </w:r>
      <w:r w:rsidR="007A79FA" w:rsidRPr="00B40B3F">
        <w:rPr>
          <w:snapToGrid/>
          <w:kern w:val="0"/>
          <w:szCs w:val="22"/>
        </w:rPr>
        <w:t xml:space="preserve"> </w:t>
      </w:r>
      <w:r w:rsidR="004126F2" w:rsidRPr="00B40B3F">
        <w:rPr>
          <w:snapToGrid/>
          <w:kern w:val="0"/>
          <w:szCs w:val="22"/>
        </w:rPr>
        <w:t xml:space="preserve">applicant’s failure to include the required certification </w:t>
      </w:r>
      <w:r w:rsidR="001D56AA">
        <w:rPr>
          <w:snapToGrid/>
          <w:kern w:val="0"/>
          <w:szCs w:val="22"/>
        </w:rPr>
        <w:t xml:space="preserve">in its short-form application </w:t>
      </w:r>
      <w:r w:rsidR="004126F2" w:rsidRPr="00B40B3F">
        <w:rPr>
          <w:snapToGrid/>
          <w:kern w:val="0"/>
          <w:szCs w:val="22"/>
        </w:rPr>
        <w:t>by the applicable filing deadline would render its</w:t>
      </w:r>
      <w:r w:rsidR="007A79FA" w:rsidRPr="00B40B3F">
        <w:rPr>
          <w:snapToGrid/>
          <w:kern w:val="0"/>
          <w:szCs w:val="22"/>
        </w:rPr>
        <w:t xml:space="preserve"> </w:t>
      </w:r>
      <w:r w:rsidR="001D56AA">
        <w:rPr>
          <w:snapToGrid/>
          <w:kern w:val="0"/>
          <w:szCs w:val="22"/>
        </w:rPr>
        <w:t>a</w:t>
      </w:r>
      <w:r w:rsidR="004126F2" w:rsidRPr="00B40B3F">
        <w:rPr>
          <w:snapToGrid/>
          <w:kern w:val="0"/>
          <w:szCs w:val="22"/>
        </w:rPr>
        <w:t>pplication unacceptable for filing, and its application would be dismissed with prejudice.</w:t>
      </w:r>
      <w:r w:rsidR="00721559">
        <w:rPr>
          <w:rStyle w:val="FootnoteReference"/>
          <w:snapToGrid/>
          <w:kern w:val="0"/>
          <w:szCs w:val="22"/>
        </w:rPr>
        <w:footnoteReference w:id="104"/>
      </w:r>
    </w:p>
    <w:p w:rsidR="00460E0F" w:rsidRDefault="001479AF" w:rsidP="001479AF">
      <w:pPr>
        <w:pStyle w:val="Heading2"/>
      </w:pPr>
      <w:bookmarkStart w:id="1572" w:name="_Toc366056503"/>
      <w:bookmarkStart w:id="1573" w:name="_Toc366223706"/>
      <w:bookmarkStart w:id="1574" w:name="_Toc366229419"/>
      <w:bookmarkStart w:id="1575" w:name="_Toc366583463"/>
      <w:r>
        <w:t>Designated Entity Provisions</w:t>
      </w:r>
      <w:bookmarkEnd w:id="1566"/>
      <w:bookmarkEnd w:id="1567"/>
      <w:bookmarkEnd w:id="1572"/>
      <w:bookmarkEnd w:id="1573"/>
      <w:bookmarkEnd w:id="1574"/>
      <w:bookmarkEnd w:id="1575"/>
    </w:p>
    <w:p w:rsidR="001479AF" w:rsidRPr="001479AF" w:rsidRDefault="001479AF" w:rsidP="001479AF">
      <w:pPr>
        <w:pStyle w:val="ParaNum"/>
        <w:widowControl/>
        <w:tabs>
          <w:tab w:val="clear" w:pos="1260"/>
          <w:tab w:val="left" w:pos="1440"/>
        </w:tabs>
        <w:ind w:left="0"/>
      </w:pPr>
      <w:r>
        <w:rPr>
          <w:szCs w:val="22"/>
        </w:rPr>
        <w:t>Eligible applicants in Auction 9</w:t>
      </w:r>
      <w:r w:rsidR="00530B79">
        <w:rPr>
          <w:szCs w:val="22"/>
        </w:rPr>
        <w:t>6</w:t>
      </w:r>
      <w:r>
        <w:rPr>
          <w:szCs w:val="22"/>
        </w:rPr>
        <w:t xml:space="preserve"> may claim small business bidding credits.  In addition to the information provided below, applicants should review carefully the Commission’s decisions regarding the designated entity provisions.</w:t>
      </w:r>
      <w:r>
        <w:rPr>
          <w:rStyle w:val="FootnoteReference"/>
          <w:szCs w:val="22"/>
        </w:rPr>
        <w:footnoteReference w:id="105"/>
      </w:r>
    </w:p>
    <w:p w:rsidR="000A0DCA" w:rsidRDefault="000A0DCA" w:rsidP="00C07C81">
      <w:pPr>
        <w:pStyle w:val="Heading3"/>
        <w:widowControl/>
        <w:tabs>
          <w:tab w:val="left" w:pos="2160"/>
        </w:tabs>
      </w:pPr>
      <w:bookmarkStart w:id="1576" w:name="_Toc216090717"/>
      <w:bookmarkStart w:id="1577" w:name="_Toc226958223"/>
      <w:bookmarkStart w:id="1578" w:name="_Toc227038283"/>
      <w:bookmarkStart w:id="1579" w:name="_Toc254792589"/>
      <w:bookmarkStart w:id="1580" w:name="_Toc256669713"/>
      <w:bookmarkStart w:id="1581" w:name="_Toc257213246"/>
      <w:bookmarkStart w:id="1582" w:name="_Toc257277748"/>
      <w:bookmarkStart w:id="1583" w:name="_Toc257278709"/>
      <w:bookmarkStart w:id="1584" w:name="_Toc257278919"/>
      <w:bookmarkStart w:id="1585" w:name="_Toc257279287"/>
      <w:bookmarkStart w:id="1586" w:name="_Toc257382931"/>
      <w:bookmarkStart w:id="1587" w:name="_Toc274056188"/>
      <w:bookmarkStart w:id="1588" w:name="_Toc276657593"/>
      <w:bookmarkStart w:id="1589" w:name="_Toc278366439"/>
      <w:bookmarkStart w:id="1590" w:name="_Toc307584036"/>
      <w:bookmarkStart w:id="1591" w:name="_Toc307937310"/>
      <w:bookmarkStart w:id="1592" w:name="_Toc348508749"/>
      <w:bookmarkStart w:id="1593" w:name="_Toc362256748"/>
      <w:bookmarkStart w:id="1594" w:name="_Toc366056504"/>
      <w:bookmarkStart w:id="1595" w:name="_Toc366223707"/>
      <w:bookmarkStart w:id="1596" w:name="_Toc366229420"/>
      <w:bookmarkStart w:id="1597" w:name="_Toc366583464"/>
      <w:r>
        <w:t>Bidding Credits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r w:rsidR="001479AF">
        <w:t xml:space="preserve"> for Small Businesses</w:t>
      </w:r>
      <w:bookmarkEnd w:id="1592"/>
      <w:bookmarkEnd w:id="1593"/>
      <w:bookmarkEnd w:id="1594"/>
      <w:bookmarkEnd w:id="1595"/>
      <w:bookmarkEnd w:id="1596"/>
      <w:bookmarkEnd w:id="1597"/>
    </w:p>
    <w:p w:rsidR="000A0DCA" w:rsidRPr="001479AF" w:rsidRDefault="001479AF" w:rsidP="001479AF">
      <w:pPr>
        <w:pStyle w:val="ParaNum"/>
        <w:widowControl/>
        <w:tabs>
          <w:tab w:val="clear" w:pos="1260"/>
          <w:tab w:val="left" w:pos="1440"/>
        </w:tabs>
        <w:ind w:left="0"/>
      </w:pPr>
      <w:r>
        <w:rPr>
          <w:szCs w:val="22"/>
        </w:rPr>
        <w:t>A bidding credit represents an amount by which a bidder’s winning bid will be discounted.  For Auction 9</w:t>
      </w:r>
      <w:r w:rsidR="00530B79">
        <w:rPr>
          <w:szCs w:val="22"/>
        </w:rPr>
        <w:t>6</w:t>
      </w:r>
      <w:r>
        <w:rPr>
          <w:szCs w:val="22"/>
        </w:rPr>
        <w:t>, bidding credits will be available t</w:t>
      </w:r>
      <w:r w:rsidR="00F20270">
        <w:rPr>
          <w:szCs w:val="22"/>
        </w:rPr>
        <w:t>o small businesses</w:t>
      </w:r>
      <w:r w:rsidRPr="003B76A3">
        <w:rPr>
          <w:szCs w:val="22"/>
        </w:rPr>
        <w:t xml:space="preserve"> and consortia thereof.</w:t>
      </w:r>
    </w:p>
    <w:p w:rsidR="001479AF" w:rsidRPr="00A65F60" w:rsidRDefault="001479AF" w:rsidP="001479AF">
      <w:pPr>
        <w:pStyle w:val="Heading4"/>
      </w:pPr>
      <w:bookmarkStart w:id="1598" w:name="_Toc362256749"/>
      <w:bookmarkStart w:id="1599" w:name="_Toc366056505"/>
      <w:bookmarkStart w:id="1600" w:name="_Toc366223708"/>
      <w:bookmarkStart w:id="1601" w:name="_Toc366229421"/>
      <w:bookmarkStart w:id="1602" w:name="_Toc366583465"/>
      <w:r>
        <w:t>Bidding Credit Eligibility Criteria</w:t>
      </w:r>
      <w:bookmarkEnd w:id="1598"/>
      <w:bookmarkEnd w:id="1599"/>
      <w:bookmarkEnd w:id="1600"/>
      <w:bookmarkEnd w:id="1601"/>
      <w:bookmarkEnd w:id="1602"/>
    </w:p>
    <w:p w:rsidR="00E7005D" w:rsidRDefault="00E7005D" w:rsidP="00C07C81">
      <w:pPr>
        <w:pStyle w:val="ParaNum"/>
        <w:widowControl/>
        <w:tabs>
          <w:tab w:val="clear" w:pos="1260"/>
          <w:tab w:val="left" w:pos="1440"/>
        </w:tabs>
        <w:ind w:left="0"/>
      </w:pPr>
      <w:r>
        <w:t xml:space="preserve">In the </w:t>
      </w:r>
      <w:r w:rsidR="0062259B">
        <w:rPr>
          <w:i/>
        </w:rPr>
        <w:t xml:space="preserve">H Block </w:t>
      </w:r>
      <w:r>
        <w:rPr>
          <w:i/>
        </w:rPr>
        <w:t>Report and Order</w:t>
      </w:r>
      <w:r>
        <w:t xml:space="preserve">, the Commission adopted small business bidding credits to promote and facilitate the participation of small businesses in competitive bidding for licenses in the </w:t>
      </w:r>
      <w:r w:rsidR="0062259B">
        <w:t>H</w:t>
      </w:r>
      <w:r w:rsidR="004C7798">
        <w:t xml:space="preserve"> </w:t>
      </w:r>
      <w:r w:rsidR="0062259B">
        <w:t>Block</w:t>
      </w:r>
      <w:r>
        <w:t>.</w:t>
      </w:r>
      <w:r w:rsidRPr="001B7283">
        <w:rPr>
          <w:rStyle w:val="FootnoteReference"/>
        </w:rPr>
        <w:footnoteReference w:id="106"/>
      </w:r>
      <w:r>
        <w:t xml:space="preserve">  </w:t>
      </w:r>
    </w:p>
    <w:p w:rsidR="00E7005D" w:rsidRPr="00E7005D" w:rsidRDefault="00E7005D" w:rsidP="00E7005D">
      <w:pPr>
        <w:pStyle w:val="ParaNum"/>
        <w:widowControl/>
        <w:tabs>
          <w:tab w:val="clear" w:pos="1260"/>
          <w:tab w:val="left" w:pos="1440"/>
        </w:tabs>
        <w:ind w:left="0"/>
        <w:rPr>
          <w:szCs w:val="22"/>
        </w:rPr>
      </w:pPr>
      <w:r w:rsidRPr="00E7005D">
        <w:rPr>
          <w:szCs w:val="22"/>
        </w:rPr>
        <w:t xml:space="preserve">The level of bidding credit is determined as follows:  </w:t>
      </w:r>
    </w:p>
    <w:p w:rsidR="00E7005D" w:rsidRPr="00E7005D" w:rsidRDefault="00E7005D" w:rsidP="00E7005D">
      <w:pPr>
        <w:widowControl/>
        <w:numPr>
          <w:ilvl w:val="0"/>
          <w:numId w:val="1"/>
        </w:numPr>
        <w:tabs>
          <w:tab w:val="clear" w:pos="360"/>
        </w:tabs>
        <w:spacing w:after="120"/>
        <w:ind w:left="1080"/>
        <w:rPr>
          <w:szCs w:val="22"/>
        </w:rPr>
      </w:pPr>
      <w:r w:rsidRPr="00E7005D">
        <w:t>A bidder with attributed average annual gross revenues that do not exceed $</w:t>
      </w:r>
      <w:r w:rsidR="0062259B">
        <w:t>40</w:t>
      </w:r>
      <w:r w:rsidRPr="00E7005D">
        <w:t xml:space="preserve"> million for the preceding three years will receive a </w:t>
      </w:r>
      <w:r w:rsidR="0062259B">
        <w:t>1</w:t>
      </w:r>
      <w:r w:rsidRPr="00E7005D">
        <w:t>5 percent discount on its winning bid.</w:t>
      </w:r>
      <w:r w:rsidRPr="00E7005D">
        <w:rPr>
          <w:vertAlign w:val="superscript"/>
        </w:rPr>
        <w:footnoteReference w:id="107"/>
      </w:r>
    </w:p>
    <w:p w:rsidR="00E7005D" w:rsidRPr="00E7005D" w:rsidRDefault="00E7005D" w:rsidP="00E7005D">
      <w:pPr>
        <w:widowControl/>
        <w:numPr>
          <w:ilvl w:val="0"/>
          <w:numId w:val="1"/>
        </w:numPr>
        <w:tabs>
          <w:tab w:val="clear" w:pos="360"/>
        </w:tabs>
        <w:spacing w:after="120"/>
        <w:ind w:left="1080"/>
      </w:pPr>
      <w:r w:rsidRPr="00E7005D">
        <w:t>A bidder with attributed average annual gross revenues that do not exceed $</w:t>
      </w:r>
      <w:r w:rsidR="0062259B">
        <w:t>15</w:t>
      </w:r>
      <w:r w:rsidRPr="00E7005D">
        <w:t xml:space="preserve"> million for the preceding three years will receive a </w:t>
      </w:r>
      <w:r w:rsidR="0062259B">
        <w:t>2</w:t>
      </w:r>
      <w:r w:rsidRPr="00E7005D">
        <w:t>5 percent discount on its winning bid.</w:t>
      </w:r>
      <w:r w:rsidRPr="00E7005D">
        <w:rPr>
          <w:vertAlign w:val="superscript"/>
        </w:rPr>
        <w:footnoteReference w:id="108"/>
      </w:r>
    </w:p>
    <w:p w:rsidR="008E4B9E" w:rsidRPr="00262044" w:rsidRDefault="000A0DCA" w:rsidP="008E4B9E">
      <w:pPr>
        <w:pStyle w:val="ParaNum"/>
        <w:widowControl/>
        <w:tabs>
          <w:tab w:val="clear" w:pos="1260"/>
          <w:tab w:val="left" w:pos="1440"/>
        </w:tabs>
        <w:ind w:left="0"/>
      </w:pPr>
      <w:r w:rsidRPr="00764293">
        <w:rPr>
          <w:szCs w:val="22"/>
        </w:rPr>
        <w:t xml:space="preserve">Bidding credits are not cumulative; qualifying applicants receive either the </w:t>
      </w:r>
      <w:r w:rsidR="007D1FBE">
        <w:rPr>
          <w:szCs w:val="22"/>
        </w:rPr>
        <w:t>15</w:t>
      </w:r>
      <w:r w:rsidRPr="00764293">
        <w:rPr>
          <w:szCs w:val="22"/>
        </w:rPr>
        <w:t xml:space="preserve"> percent or the </w:t>
      </w:r>
      <w:r w:rsidR="007D1FBE">
        <w:rPr>
          <w:szCs w:val="22"/>
        </w:rPr>
        <w:t>25</w:t>
      </w:r>
      <w:r w:rsidRPr="00764293">
        <w:rPr>
          <w:szCs w:val="22"/>
        </w:rPr>
        <w:t xml:space="preserve"> percent bidding credit</w:t>
      </w:r>
      <w:r w:rsidR="00E7005D">
        <w:rPr>
          <w:szCs w:val="22"/>
        </w:rPr>
        <w:t xml:space="preserve"> on its winning bid</w:t>
      </w:r>
      <w:r w:rsidRPr="00764293">
        <w:rPr>
          <w:szCs w:val="22"/>
        </w:rPr>
        <w:t xml:space="preserve">, but not both.  </w:t>
      </w:r>
      <w:r w:rsidRPr="006B5883">
        <w:rPr>
          <w:szCs w:val="22"/>
        </w:rPr>
        <w:t>Applicants should note that unjust enrichment provisions apply to a winning bidder that utilizes a bidding credit and subsequently seeks to assign or transfer control of its license to an entity not qualifying for the same level of bidding credit</w:t>
      </w:r>
      <w:r>
        <w:rPr>
          <w:szCs w:val="22"/>
        </w:rPr>
        <w:t>.</w:t>
      </w:r>
      <w:r>
        <w:rPr>
          <w:rStyle w:val="FootnoteReference"/>
          <w:szCs w:val="22"/>
        </w:rPr>
        <w:footnoteReference w:id="109"/>
      </w:r>
    </w:p>
    <w:p w:rsidR="00262044" w:rsidRDefault="00262044" w:rsidP="00262044">
      <w:pPr>
        <w:pStyle w:val="Heading4"/>
      </w:pPr>
      <w:bookmarkStart w:id="1603" w:name="_Toc362256750"/>
      <w:bookmarkStart w:id="1604" w:name="_Toc366056506"/>
      <w:bookmarkStart w:id="1605" w:name="_Toc366223709"/>
      <w:bookmarkStart w:id="1606" w:name="_Toc366229422"/>
      <w:bookmarkStart w:id="1607" w:name="_Toc366583466"/>
      <w:r>
        <w:t>Revenue Disclosure on Short-Form Application</w:t>
      </w:r>
      <w:bookmarkEnd w:id="1603"/>
      <w:bookmarkEnd w:id="1604"/>
      <w:bookmarkEnd w:id="1605"/>
      <w:bookmarkEnd w:id="1606"/>
      <w:bookmarkEnd w:id="1607"/>
    </w:p>
    <w:p w:rsidR="00262044" w:rsidRPr="00262044" w:rsidRDefault="00262044" w:rsidP="00262044">
      <w:pPr>
        <w:pStyle w:val="ParaNum"/>
        <w:widowControl/>
        <w:tabs>
          <w:tab w:val="clear" w:pos="1260"/>
          <w:tab w:val="num" w:pos="1440"/>
        </w:tabs>
        <w:ind w:left="0"/>
      </w:pPr>
      <w:r w:rsidRPr="00262044">
        <w:rPr>
          <w:szCs w:val="22"/>
        </w:rPr>
        <w:t>An entity applying as a small business must provide gross revenues for the preceding three years of each of the following: (1) the applicant, (2) its affiliates, (3) its controlling interests, (4) the affiliates of its controlling interests, and (5) the entities with which it has an attributable material relationship.</w:t>
      </w:r>
      <w:r>
        <w:rPr>
          <w:rStyle w:val="FootnoteReference"/>
          <w:szCs w:val="22"/>
        </w:rPr>
        <w:footnoteReference w:id="110"/>
      </w:r>
      <w:r w:rsidRPr="00262044">
        <w:rPr>
          <w:szCs w:val="22"/>
        </w:rPr>
        <w:t xml:space="preserve">  Certification that the average annual gross revenues of such entities and individuals for the preceding three years do not exceed the applicable limit is not sufficient.  Additionally, if an applicant is applying as a consortium of small businesses, this information must be provided for each consortium member.</w:t>
      </w:r>
      <w:r>
        <w:rPr>
          <w:rStyle w:val="FootnoteReference"/>
          <w:szCs w:val="22"/>
        </w:rPr>
        <w:footnoteReference w:id="111"/>
      </w:r>
    </w:p>
    <w:p w:rsidR="00262044" w:rsidRDefault="00262044" w:rsidP="00C07C81">
      <w:pPr>
        <w:pStyle w:val="Heading3"/>
        <w:widowControl/>
      </w:pPr>
      <w:bookmarkStart w:id="1608" w:name="_Toc348508750"/>
      <w:bookmarkStart w:id="1609" w:name="_Toc362256751"/>
      <w:bookmarkStart w:id="1610" w:name="_Toc366056507"/>
      <w:bookmarkStart w:id="1611" w:name="_Toc366223710"/>
      <w:bookmarkStart w:id="1612" w:name="_Toc366229423"/>
      <w:bookmarkStart w:id="1613" w:name="_Toc366583467"/>
      <w:bookmarkStart w:id="1614" w:name="_Toc216090718"/>
      <w:bookmarkStart w:id="1615" w:name="_Toc226958224"/>
      <w:bookmarkStart w:id="1616" w:name="_Toc227038284"/>
      <w:bookmarkStart w:id="1617" w:name="_Toc254792590"/>
      <w:bookmarkStart w:id="1618" w:name="_Toc256669714"/>
      <w:bookmarkStart w:id="1619" w:name="_Toc257213247"/>
      <w:bookmarkStart w:id="1620" w:name="_Toc257277749"/>
      <w:bookmarkStart w:id="1621" w:name="_Toc257278710"/>
      <w:bookmarkStart w:id="1622" w:name="_Toc257278920"/>
      <w:bookmarkStart w:id="1623" w:name="_Toc257279288"/>
      <w:bookmarkStart w:id="1624" w:name="_Toc257382932"/>
      <w:bookmarkStart w:id="1625" w:name="_Toc274056189"/>
      <w:bookmarkStart w:id="1626" w:name="_Toc276657594"/>
      <w:bookmarkStart w:id="1627" w:name="_Toc278366440"/>
      <w:bookmarkStart w:id="1628" w:name="_Toc307584037"/>
      <w:bookmarkStart w:id="1629" w:name="_Toc307937311"/>
      <w:r>
        <w:t>Attributable Interests</w:t>
      </w:r>
      <w:bookmarkEnd w:id="1608"/>
      <w:bookmarkEnd w:id="1609"/>
      <w:bookmarkEnd w:id="1610"/>
      <w:bookmarkEnd w:id="1611"/>
      <w:bookmarkEnd w:id="1612"/>
      <w:bookmarkEnd w:id="1613"/>
    </w:p>
    <w:p w:rsidR="00262044" w:rsidRDefault="00262044" w:rsidP="00262044">
      <w:pPr>
        <w:pStyle w:val="Heading4"/>
      </w:pPr>
      <w:bookmarkStart w:id="1630" w:name="_Toc362256752"/>
      <w:bookmarkStart w:id="1631" w:name="_Toc366056508"/>
      <w:bookmarkStart w:id="1632" w:name="_Toc366223711"/>
      <w:bookmarkStart w:id="1633" w:name="_Toc366229424"/>
      <w:bookmarkStart w:id="1634" w:name="_Toc366583468"/>
      <w:r>
        <w:t>Controlling Interests</w:t>
      </w:r>
      <w:bookmarkEnd w:id="1630"/>
      <w:bookmarkEnd w:id="1631"/>
      <w:bookmarkEnd w:id="1632"/>
      <w:bookmarkEnd w:id="1633"/>
      <w:bookmarkEnd w:id="1634"/>
    </w:p>
    <w:p w:rsidR="00262044" w:rsidRPr="00262044" w:rsidRDefault="00262044" w:rsidP="00262044">
      <w:pPr>
        <w:pStyle w:val="ParaNum"/>
        <w:widowControl/>
        <w:tabs>
          <w:tab w:val="clear" w:pos="1260"/>
          <w:tab w:val="num" w:pos="1440"/>
        </w:tabs>
        <w:ind w:left="0"/>
        <w:rPr>
          <w:szCs w:val="22"/>
        </w:rPr>
      </w:pPr>
      <w:r w:rsidRPr="00262044">
        <w:rPr>
          <w:szCs w:val="22"/>
        </w:rPr>
        <w:t xml:space="preserve">Controlling interests of an applicant include individuals and entities with either </w:t>
      </w:r>
      <w:r w:rsidRPr="00262044">
        <w:rPr>
          <w:i/>
          <w:szCs w:val="22"/>
        </w:rPr>
        <w:t>de facto</w:t>
      </w:r>
      <w:r w:rsidRPr="00262044">
        <w:rPr>
          <w:szCs w:val="22"/>
        </w:rPr>
        <w:t xml:space="preserve"> or </w:t>
      </w:r>
      <w:r w:rsidRPr="00262044">
        <w:rPr>
          <w:i/>
          <w:szCs w:val="22"/>
        </w:rPr>
        <w:t>de jure</w:t>
      </w:r>
      <w:r w:rsidRPr="00262044">
        <w:rPr>
          <w:szCs w:val="22"/>
        </w:rPr>
        <w:t xml:space="preserve"> control of the applicant.  Typically, ownership of greater than 50 percent of an entity’s voting stock evidences </w:t>
      </w:r>
      <w:r w:rsidRPr="00262044">
        <w:rPr>
          <w:i/>
          <w:szCs w:val="22"/>
        </w:rPr>
        <w:t>de jure</w:t>
      </w:r>
      <w:r w:rsidRPr="00262044">
        <w:rPr>
          <w:szCs w:val="22"/>
        </w:rPr>
        <w:t xml:space="preserve"> control.  </w:t>
      </w:r>
      <w:r w:rsidRPr="00262044">
        <w:rPr>
          <w:i/>
          <w:szCs w:val="22"/>
        </w:rPr>
        <w:t>De facto</w:t>
      </w:r>
      <w:r w:rsidRPr="00262044">
        <w:rPr>
          <w:szCs w:val="22"/>
        </w:rPr>
        <w:t xml:space="preserve"> control is determined on a case-by-case basis.</w:t>
      </w:r>
      <w:r w:rsidRPr="00262044">
        <w:rPr>
          <w:szCs w:val="22"/>
          <w:vertAlign w:val="superscript"/>
        </w:rPr>
        <w:footnoteReference w:id="112"/>
      </w:r>
      <w:r w:rsidRPr="00262044">
        <w:rPr>
          <w:szCs w:val="22"/>
        </w:rPr>
        <w:t xml:space="preserve">  The following are some common indicia of </w:t>
      </w:r>
      <w:r w:rsidRPr="00262044">
        <w:rPr>
          <w:i/>
          <w:szCs w:val="22"/>
        </w:rPr>
        <w:t>de facto</w:t>
      </w:r>
      <w:r w:rsidRPr="00262044">
        <w:rPr>
          <w:szCs w:val="22"/>
        </w:rPr>
        <w:t xml:space="preserve"> control:</w:t>
      </w:r>
    </w:p>
    <w:p w:rsidR="00262044" w:rsidRPr="00262044" w:rsidRDefault="00262044" w:rsidP="00262044">
      <w:pPr>
        <w:widowControl/>
        <w:numPr>
          <w:ilvl w:val="0"/>
          <w:numId w:val="1"/>
        </w:numPr>
        <w:tabs>
          <w:tab w:val="clear" w:pos="360"/>
        </w:tabs>
        <w:spacing w:after="120"/>
        <w:ind w:left="1080"/>
        <w:rPr>
          <w:szCs w:val="22"/>
        </w:rPr>
      </w:pPr>
      <w:r w:rsidRPr="00262044">
        <w:rPr>
          <w:szCs w:val="22"/>
        </w:rPr>
        <w:t>the entity constitutes or appoints more than 50 percent of the board of directors or management committee;</w:t>
      </w:r>
    </w:p>
    <w:p w:rsidR="00262044" w:rsidRPr="00262044" w:rsidRDefault="00262044" w:rsidP="00262044">
      <w:pPr>
        <w:widowControl/>
        <w:numPr>
          <w:ilvl w:val="0"/>
          <w:numId w:val="1"/>
        </w:numPr>
        <w:tabs>
          <w:tab w:val="clear" w:pos="360"/>
        </w:tabs>
        <w:spacing w:after="120"/>
        <w:ind w:left="1080"/>
        <w:rPr>
          <w:szCs w:val="22"/>
        </w:rPr>
      </w:pPr>
      <w:r w:rsidRPr="00262044">
        <w:rPr>
          <w:szCs w:val="22"/>
        </w:rPr>
        <w:t xml:space="preserve">the entity has authority to appoint, promote, demote, and fire senior executives that control the day-to-day activities of the licensee; </w:t>
      </w:r>
    </w:p>
    <w:p w:rsidR="00262044" w:rsidRPr="00B749AB" w:rsidRDefault="00262044" w:rsidP="00B749AB">
      <w:pPr>
        <w:widowControl/>
        <w:numPr>
          <w:ilvl w:val="0"/>
          <w:numId w:val="1"/>
        </w:numPr>
        <w:tabs>
          <w:tab w:val="clear" w:pos="360"/>
        </w:tabs>
        <w:spacing w:after="120"/>
        <w:ind w:left="1080"/>
      </w:pPr>
      <w:r w:rsidRPr="00262044">
        <w:rPr>
          <w:szCs w:val="22"/>
        </w:rPr>
        <w:t>the entity plays an integral role in management decisions.</w:t>
      </w:r>
      <w:r w:rsidRPr="00262044">
        <w:rPr>
          <w:szCs w:val="22"/>
          <w:vertAlign w:val="superscript"/>
        </w:rPr>
        <w:footnoteReference w:id="113"/>
      </w:r>
    </w:p>
    <w:p w:rsidR="00B749AB" w:rsidRPr="00B749AB" w:rsidRDefault="00B749AB" w:rsidP="00B749AB">
      <w:pPr>
        <w:pStyle w:val="ParaNum"/>
        <w:widowControl/>
        <w:tabs>
          <w:tab w:val="clear" w:pos="1260"/>
          <w:tab w:val="num" w:pos="1440"/>
        </w:tabs>
        <w:ind w:left="0"/>
      </w:pPr>
      <w:r w:rsidRPr="00206CE7">
        <w:rPr>
          <w:szCs w:val="22"/>
        </w:rPr>
        <w:t xml:space="preserve">Applicants should refer to section 1.2110(c)(2) of the Commission’s rules and Attachment </w:t>
      </w:r>
      <w:r w:rsidR="00206CE7" w:rsidRPr="00206CE7">
        <w:rPr>
          <w:szCs w:val="22"/>
        </w:rPr>
        <w:t>D</w:t>
      </w:r>
      <w:r w:rsidRPr="00206CE7">
        <w:rPr>
          <w:szCs w:val="22"/>
        </w:rPr>
        <w:t xml:space="preserve"> of this Public</w:t>
      </w:r>
      <w:r>
        <w:rPr>
          <w:szCs w:val="22"/>
        </w:rPr>
        <w:t xml:space="preserve"> Notice to understand how certain interests are calculated in determining control.  For example, pursuant to section 1.2110(c)(2)(ii)(F), officers and directors of an applicant are considered to have controlling interest in the applicant.</w:t>
      </w:r>
      <w:r>
        <w:rPr>
          <w:rStyle w:val="FootnoteReference"/>
          <w:bCs/>
          <w:iCs/>
          <w:szCs w:val="22"/>
        </w:rPr>
        <w:footnoteReference w:id="114"/>
      </w:r>
    </w:p>
    <w:p w:rsidR="00B749AB" w:rsidRDefault="00B749AB" w:rsidP="00B749AB">
      <w:pPr>
        <w:pStyle w:val="Heading4"/>
      </w:pPr>
      <w:bookmarkStart w:id="1635" w:name="_Toc362256753"/>
      <w:bookmarkStart w:id="1636" w:name="_Toc366056509"/>
      <w:bookmarkStart w:id="1637" w:name="_Toc366223712"/>
      <w:bookmarkStart w:id="1638" w:name="_Toc366229425"/>
      <w:bookmarkStart w:id="1639" w:name="_Toc366583469"/>
      <w:r>
        <w:t>Affiliates</w:t>
      </w:r>
      <w:bookmarkEnd w:id="1635"/>
      <w:bookmarkEnd w:id="1636"/>
      <w:bookmarkEnd w:id="1637"/>
      <w:bookmarkEnd w:id="1638"/>
      <w:bookmarkEnd w:id="1639"/>
    </w:p>
    <w:p w:rsidR="00B749AB" w:rsidRPr="00B749AB" w:rsidRDefault="00B749AB" w:rsidP="00B749AB">
      <w:pPr>
        <w:pStyle w:val="ParaNum"/>
        <w:widowControl/>
        <w:tabs>
          <w:tab w:val="clear" w:pos="1260"/>
          <w:tab w:val="num" w:pos="1440"/>
        </w:tabs>
        <w:ind w:left="0"/>
      </w:pPr>
      <w:r>
        <w:t>Affiliates of an applicant or controlling interest include an individual or entity that: (1) directly or indirectly controls or has the power to control the applicant; (2) is directly or indirectly controlled by the applicant; (3) is directly or indirectly controlled by a third party that also controls or has the power to control the applicant; or (4) has an “identity of interest” with the applicant.</w:t>
      </w:r>
      <w:r>
        <w:rPr>
          <w:rStyle w:val="FootnoteReference"/>
          <w:rFonts w:cs="Arial"/>
        </w:rPr>
        <w:footnoteReference w:id="115"/>
      </w:r>
      <w:r>
        <w:t xml:space="preserve">  </w:t>
      </w:r>
      <w:r>
        <w:rPr>
          <w:szCs w:val="22"/>
        </w:rPr>
        <w:t>The Commission’s definition of an affiliate of the applicant encompasses both controlling interests of the applicant and affiliates of controlling interests of the applicant.</w:t>
      </w:r>
      <w:r>
        <w:rPr>
          <w:rStyle w:val="FootnoteReference"/>
          <w:szCs w:val="22"/>
        </w:rPr>
        <w:footnoteReference w:id="116"/>
      </w:r>
      <w:r>
        <w:rPr>
          <w:szCs w:val="22"/>
        </w:rPr>
        <w:t xml:space="preserve">  For more information regarding affiliates, applicants should refer to section 1.2110(c)(5) </w:t>
      </w:r>
      <w:r w:rsidRPr="00206CE7">
        <w:rPr>
          <w:szCs w:val="22"/>
        </w:rPr>
        <w:t xml:space="preserve">and Attachment </w:t>
      </w:r>
      <w:r w:rsidR="00206CE7" w:rsidRPr="00206CE7">
        <w:rPr>
          <w:szCs w:val="22"/>
        </w:rPr>
        <w:t>D</w:t>
      </w:r>
      <w:r w:rsidRPr="00206CE7">
        <w:rPr>
          <w:szCs w:val="22"/>
        </w:rPr>
        <w:t xml:space="preserve"> to this</w:t>
      </w:r>
      <w:r>
        <w:rPr>
          <w:szCs w:val="22"/>
        </w:rPr>
        <w:t xml:space="preserve"> Public Notice.</w:t>
      </w:r>
    </w:p>
    <w:p w:rsidR="00B749AB" w:rsidRDefault="00B749AB" w:rsidP="00B749AB">
      <w:pPr>
        <w:pStyle w:val="Heading4"/>
      </w:pPr>
      <w:bookmarkStart w:id="1640" w:name="_Toc362256754"/>
      <w:bookmarkStart w:id="1641" w:name="_Toc366056510"/>
      <w:bookmarkStart w:id="1642" w:name="_Toc366223713"/>
      <w:bookmarkStart w:id="1643" w:name="_Toc366229426"/>
      <w:bookmarkStart w:id="1644" w:name="_Toc366583470"/>
      <w:r>
        <w:t>Material Relationships</w:t>
      </w:r>
      <w:bookmarkEnd w:id="1640"/>
      <w:bookmarkEnd w:id="1641"/>
      <w:bookmarkEnd w:id="1642"/>
      <w:bookmarkEnd w:id="1643"/>
      <w:bookmarkEnd w:id="1644"/>
    </w:p>
    <w:p w:rsidR="00B749AB" w:rsidRDefault="00B749AB" w:rsidP="00B749AB">
      <w:pPr>
        <w:pStyle w:val="ParaNum"/>
        <w:widowControl/>
        <w:tabs>
          <w:tab w:val="clear" w:pos="1260"/>
          <w:tab w:val="num" w:pos="1440"/>
        </w:tabs>
        <w:ind w:left="0"/>
        <w:rPr>
          <w:szCs w:val="22"/>
        </w:rPr>
      </w:pPr>
      <w:r>
        <w:rPr>
          <w:szCs w:val="22"/>
        </w:rPr>
        <w:t>The Commission requires the consideration of certain leasing and resale (including wholesale) relationships – referred to as “attributable material relationships” – in determining designated entity eligibility for bidding credits.</w:t>
      </w:r>
      <w:r>
        <w:rPr>
          <w:rStyle w:val="FootnoteReference"/>
          <w:szCs w:val="22"/>
        </w:rPr>
        <w:footnoteReference w:id="117"/>
      </w:r>
      <w:r>
        <w:rPr>
          <w:szCs w:val="22"/>
        </w:rPr>
        <w:t xml:space="preserve">  </w:t>
      </w:r>
      <w:r>
        <w:rPr>
          <w:szCs w:val="22"/>
          <w:shd w:val="clear" w:color="auto" w:fill="FFFFFF"/>
          <w:lang w:bidi="he-IL"/>
        </w:rPr>
        <w:t xml:space="preserve">An applicant or licensee has an “attributable material relationship” when it has one or more agreements with any individual entity for the lease or resale (including under a wholesale agreement) of, on a cumulative basis, more than 25 percent of the spectrum capacity of any </w:t>
      </w:r>
      <w:r>
        <w:rPr>
          <w:szCs w:val="22"/>
        </w:rPr>
        <w:t>individual</w:t>
      </w:r>
      <w:r>
        <w:rPr>
          <w:szCs w:val="22"/>
          <w:shd w:val="clear" w:color="auto" w:fill="FFFFFF"/>
          <w:lang w:bidi="he-IL"/>
        </w:rPr>
        <w:t xml:space="preserve"> license held by the applicant or licensee.  The attributable material relationship will cause the gross revenues of that entity and its attributable </w:t>
      </w:r>
      <w:r>
        <w:rPr>
          <w:szCs w:val="22"/>
        </w:rPr>
        <w:t>interest</w:t>
      </w:r>
      <w:r>
        <w:rPr>
          <w:szCs w:val="22"/>
          <w:shd w:val="clear" w:color="auto" w:fill="FFFFFF"/>
          <w:lang w:bidi="he-IL"/>
        </w:rPr>
        <w:t xml:space="preserve"> holders to be attributed to the applicant or licensee for the purposes of determining the applicant’s or licensee’s (i) eligibility for designated entity benefits and (ii) liability for “unjust enrichment”</w:t>
      </w:r>
      <w:r>
        <w:rPr>
          <w:rStyle w:val="FootnoteReference"/>
          <w:szCs w:val="22"/>
          <w:shd w:val="clear" w:color="auto" w:fill="FFFFFF"/>
          <w:lang w:bidi="he-IL"/>
        </w:rPr>
        <w:footnoteReference w:id="118"/>
      </w:r>
      <w:r>
        <w:rPr>
          <w:szCs w:val="22"/>
          <w:shd w:val="clear" w:color="auto" w:fill="FFFFFF"/>
          <w:lang w:bidi="he-IL"/>
        </w:rPr>
        <w:t xml:space="preserve"> on a license-by-license basis.</w:t>
      </w:r>
      <w:r>
        <w:rPr>
          <w:rStyle w:val="FootnoteReference"/>
          <w:szCs w:val="22"/>
          <w:shd w:val="clear" w:color="auto" w:fill="FFFFFF"/>
          <w:lang w:bidi="he-IL"/>
        </w:rPr>
        <w:footnoteReference w:id="119"/>
      </w:r>
    </w:p>
    <w:p w:rsidR="00B749AB" w:rsidRPr="00B749AB" w:rsidRDefault="00B749AB" w:rsidP="00B749AB">
      <w:pPr>
        <w:pStyle w:val="ParaNum"/>
        <w:widowControl/>
        <w:tabs>
          <w:tab w:val="clear" w:pos="1260"/>
          <w:tab w:val="num" w:pos="1440"/>
        </w:tabs>
        <w:ind w:left="0"/>
      </w:pPr>
      <w:r>
        <w:rPr>
          <w:szCs w:val="22"/>
          <w:shd w:val="clear" w:color="auto" w:fill="FFFFFF"/>
          <w:lang w:bidi="he-IL"/>
        </w:rPr>
        <w:t xml:space="preserve">The Commission grandfathered material relationships in existence before the release of the </w:t>
      </w:r>
      <w:r>
        <w:rPr>
          <w:i/>
          <w:szCs w:val="22"/>
          <w:shd w:val="clear" w:color="auto" w:fill="FFFFFF"/>
          <w:lang w:bidi="he-IL"/>
        </w:rPr>
        <w:t xml:space="preserve">Designated Entity </w:t>
      </w:r>
      <w:r>
        <w:rPr>
          <w:i/>
          <w:iCs/>
          <w:szCs w:val="22"/>
          <w:shd w:val="clear" w:color="auto" w:fill="FFFFFF"/>
          <w:lang w:bidi="he-IL"/>
        </w:rPr>
        <w:t>Second Report and Order</w:t>
      </w:r>
      <w:r>
        <w:rPr>
          <w:szCs w:val="22"/>
          <w:shd w:val="clear" w:color="auto" w:fill="FFFFFF"/>
          <w:lang w:bidi="he-IL"/>
        </w:rPr>
        <w:t>, meaning that those preexisting relationships alone would not cause the Commission to examine a designated entity’s ongoing eligibility for existing benefits or its liability for unjust enrichment.  The Commission did not, however, grandfather preexisting material relationships for determinations of an applicant’s or licensee’s designated entity eligibility for future auctions or in the context of future assignments, transfers of control, spectrum leases, or other reportable eligibility events.  Rather, in such circumstances, the Commission reexamines the applicant’s or licensee’s designated entity eligibility, taking into account all existing material relationships, including those previously grandfathered.</w:t>
      </w:r>
      <w:r>
        <w:rPr>
          <w:rStyle w:val="FootnoteReference"/>
          <w:szCs w:val="22"/>
          <w:shd w:val="clear" w:color="auto" w:fill="FFFFFF"/>
          <w:lang w:bidi="he-IL"/>
        </w:rPr>
        <w:footnoteReference w:id="120"/>
      </w:r>
    </w:p>
    <w:p w:rsidR="00B749AB" w:rsidRDefault="00B749AB" w:rsidP="00B749AB">
      <w:pPr>
        <w:pStyle w:val="Heading4"/>
        <w:rPr>
          <w:shd w:val="clear" w:color="auto" w:fill="FFFFFF"/>
          <w:lang w:bidi="he-IL"/>
        </w:rPr>
      </w:pPr>
      <w:bookmarkStart w:id="1645" w:name="_Toc362256755"/>
      <w:bookmarkStart w:id="1646" w:name="_Toc366056511"/>
      <w:bookmarkStart w:id="1647" w:name="_Toc366223714"/>
      <w:bookmarkStart w:id="1648" w:name="_Toc366229427"/>
      <w:bookmarkStart w:id="1649" w:name="_Toc366583471"/>
      <w:r>
        <w:rPr>
          <w:shd w:val="clear" w:color="auto" w:fill="FFFFFF"/>
          <w:lang w:bidi="he-IL"/>
        </w:rPr>
        <w:t>Gross Revenue Exceptions</w:t>
      </w:r>
      <w:bookmarkEnd w:id="1645"/>
      <w:bookmarkEnd w:id="1646"/>
      <w:bookmarkEnd w:id="1647"/>
      <w:bookmarkEnd w:id="1648"/>
      <w:bookmarkEnd w:id="1649"/>
    </w:p>
    <w:p w:rsidR="00B749AB" w:rsidRDefault="00B749AB" w:rsidP="00B749AB">
      <w:pPr>
        <w:pStyle w:val="ParaNum"/>
        <w:widowControl/>
        <w:tabs>
          <w:tab w:val="clear" w:pos="1260"/>
          <w:tab w:val="num" w:pos="1440"/>
        </w:tabs>
        <w:ind w:left="0"/>
        <w:rPr>
          <w:szCs w:val="22"/>
        </w:rPr>
      </w:pPr>
      <w:r>
        <w:rPr>
          <w:szCs w:val="22"/>
        </w:rPr>
        <w:t>The Commission has also made other modifications to its rules governing the attribution of gross revenues for purposes of determining designated entity eligibility.  For example, the Commission has clarified that, in calculating an applicant’s gross revenues under the controlling interest standard, it will not attribute to the applicant the personal net worth, including personal income, of its officers and directors.</w:t>
      </w:r>
      <w:r>
        <w:rPr>
          <w:rStyle w:val="FootnoteReference"/>
          <w:szCs w:val="22"/>
        </w:rPr>
        <w:footnoteReference w:id="121"/>
      </w:r>
    </w:p>
    <w:p w:rsidR="00B749AB" w:rsidRPr="00B749AB" w:rsidRDefault="00B749AB" w:rsidP="00B749AB">
      <w:pPr>
        <w:pStyle w:val="ParaNum"/>
        <w:widowControl/>
        <w:tabs>
          <w:tab w:val="clear" w:pos="1260"/>
          <w:tab w:val="num" w:pos="1440"/>
        </w:tabs>
        <w:ind w:left="0"/>
        <w:rPr>
          <w:lang w:bidi="he-IL"/>
        </w:rPr>
      </w:pPr>
      <w:r>
        <w:rPr>
          <w:szCs w:val="22"/>
        </w:rPr>
        <w:t xml:space="preserve">The Commission has also exempted from attribution to the applicant the gross revenues of the affiliates of a rural telephone cooperative’s officers and directors, if certain conditions </w:t>
      </w:r>
      <w:r>
        <w:rPr>
          <w:snapToGrid/>
          <w:szCs w:val="22"/>
        </w:rPr>
        <w:t>specified in section 1.2110(b)(3)(iii) of the Commission’s rules</w:t>
      </w:r>
      <w:r>
        <w:rPr>
          <w:szCs w:val="22"/>
        </w:rPr>
        <w:t xml:space="preserve"> are met.</w:t>
      </w:r>
      <w:r>
        <w:rPr>
          <w:rStyle w:val="FootnoteReference"/>
          <w:szCs w:val="22"/>
        </w:rPr>
        <w:footnoteReference w:id="122"/>
      </w:r>
      <w:r>
        <w:rPr>
          <w:szCs w:val="22"/>
        </w:rPr>
        <w:t xml:space="preserve">  An a</w:t>
      </w:r>
      <w:r>
        <w:rPr>
          <w:snapToGrid/>
          <w:szCs w:val="22"/>
        </w:rPr>
        <w:t>pplicant claiming this exemption must provide, in an attachment, an affirmative statement that the applicant, affiliate and/or controlling interest is an eligible rural telephone cooperative within the meaning of section 1.2110(b)(3)(iii), and the applicant must supply any additional information as may be required to demonstrate eligibility for the exemption from the attribution rule.</w:t>
      </w:r>
      <w:r>
        <w:rPr>
          <w:rStyle w:val="FootnoteReference"/>
          <w:snapToGrid/>
          <w:szCs w:val="22"/>
        </w:rPr>
        <w:footnoteReference w:id="123"/>
      </w:r>
      <w:r>
        <w:rPr>
          <w:snapToGrid/>
          <w:szCs w:val="22"/>
        </w:rPr>
        <w:t xml:space="preserve">  Applicants seeking to claim this exemption must meet all of the conditions.</w:t>
      </w:r>
      <w:r>
        <w:rPr>
          <w:rStyle w:val="FootnoteReference"/>
          <w:snapToGrid/>
          <w:szCs w:val="22"/>
        </w:rPr>
        <w:footnoteReference w:id="124"/>
      </w:r>
      <w:r>
        <w:rPr>
          <w:snapToGrid/>
          <w:szCs w:val="22"/>
        </w:rPr>
        <w:t xml:space="preserve">  Additional guidance on claiming this exemption may be </w:t>
      </w:r>
      <w:r w:rsidRPr="00206CE7">
        <w:rPr>
          <w:snapToGrid/>
          <w:szCs w:val="22"/>
        </w:rPr>
        <w:t xml:space="preserve">found in Attachment </w:t>
      </w:r>
      <w:r w:rsidR="00206CE7" w:rsidRPr="00206CE7">
        <w:rPr>
          <w:snapToGrid/>
          <w:szCs w:val="22"/>
        </w:rPr>
        <w:t>D</w:t>
      </w:r>
      <w:r w:rsidRPr="00206CE7">
        <w:rPr>
          <w:snapToGrid/>
          <w:szCs w:val="22"/>
        </w:rPr>
        <w:t xml:space="preserve"> to this</w:t>
      </w:r>
      <w:r>
        <w:rPr>
          <w:snapToGrid/>
          <w:szCs w:val="22"/>
        </w:rPr>
        <w:t xml:space="preserve"> Public Notice.</w:t>
      </w:r>
    </w:p>
    <w:p w:rsidR="00B749AB" w:rsidRDefault="00B749AB" w:rsidP="00B749AB">
      <w:pPr>
        <w:pStyle w:val="Heading4"/>
        <w:rPr>
          <w:snapToGrid/>
        </w:rPr>
      </w:pPr>
      <w:bookmarkStart w:id="1650" w:name="_Toc362256756"/>
      <w:bookmarkStart w:id="1651" w:name="_Toc366056512"/>
      <w:bookmarkStart w:id="1652" w:name="_Toc366223715"/>
      <w:bookmarkStart w:id="1653" w:name="_Toc366229428"/>
      <w:bookmarkStart w:id="1654" w:name="_Toc366583472"/>
      <w:r>
        <w:rPr>
          <w:snapToGrid/>
        </w:rPr>
        <w:t>Bidding Consortia</w:t>
      </w:r>
      <w:bookmarkEnd w:id="1650"/>
      <w:bookmarkEnd w:id="1651"/>
      <w:bookmarkEnd w:id="1652"/>
      <w:bookmarkEnd w:id="1653"/>
      <w:bookmarkEnd w:id="1654"/>
    </w:p>
    <w:p w:rsidR="00B749AB" w:rsidRPr="00B749AB" w:rsidRDefault="00B749AB" w:rsidP="00B749AB">
      <w:pPr>
        <w:pStyle w:val="ParaNum"/>
        <w:widowControl/>
        <w:tabs>
          <w:tab w:val="clear" w:pos="1260"/>
          <w:tab w:val="left" w:pos="1440"/>
        </w:tabs>
        <w:ind w:left="0"/>
      </w:pPr>
      <w:r>
        <w:rPr>
          <w:szCs w:val="22"/>
        </w:rPr>
        <w:t>A consortium of small businesses is a conglomerate organization composed of two or more entities, each of which individually satisfies the definition of a small business.</w:t>
      </w:r>
      <w:r>
        <w:rPr>
          <w:rStyle w:val="FootnoteReference"/>
          <w:szCs w:val="22"/>
        </w:rPr>
        <w:footnoteReference w:id="125"/>
      </w:r>
      <w:r>
        <w:rPr>
          <w:szCs w:val="22"/>
        </w:rPr>
        <w:t xml:space="preserve">  Thus, each member of a consortium of small businesses that applies to participate in Auction 9</w:t>
      </w:r>
      <w:r w:rsidR="00530B79">
        <w:rPr>
          <w:szCs w:val="22"/>
        </w:rPr>
        <w:t>6</w:t>
      </w:r>
      <w:r>
        <w:rPr>
          <w:szCs w:val="22"/>
        </w:rPr>
        <w:t xml:space="preserve"> must individually meet the criteria for small businesses, as set forth above.</w:t>
      </w:r>
      <w:r>
        <w:rPr>
          <w:rStyle w:val="FootnoteReference"/>
          <w:szCs w:val="22"/>
        </w:rPr>
        <w:footnoteReference w:id="126"/>
      </w:r>
      <w:r>
        <w:rPr>
          <w:szCs w:val="22"/>
        </w:rPr>
        <w:t xml:space="preserve">  Each consortium member must disclose its gross revenues along with those of its affiliates, its controlling interests, the affiliates of its controlling interests, and any entities having an attributable material relationship with the member.  Although the gross revenues of the consortium members will not be aggregated for purposes of determining the consortium’s eligibility as a small business,</w:t>
      </w:r>
      <w:r>
        <w:rPr>
          <w:rStyle w:val="FootnoteReference"/>
          <w:szCs w:val="22"/>
        </w:rPr>
        <w:footnoteReference w:id="127"/>
      </w:r>
      <w:r>
        <w:rPr>
          <w:szCs w:val="22"/>
        </w:rPr>
        <w:t xml:space="preserve"> this information must be provided to ensure that each individual consortium member qualifies for any bidding credit awarded to the consortium.</w:t>
      </w:r>
      <w:r>
        <w:rPr>
          <w:rStyle w:val="FootnoteReference"/>
          <w:szCs w:val="22"/>
        </w:rPr>
        <w:footnoteReference w:id="128"/>
      </w:r>
    </w:p>
    <w:p w:rsidR="00CD6BC4" w:rsidRDefault="00CD6BC4" w:rsidP="00C07C81">
      <w:pPr>
        <w:pStyle w:val="Heading3"/>
        <w:widowControl/>
      </w:pPr>
      <w:bookmarkStart w:id="1655" w:name="_Toc348508751"/>
      <w:bookmarkStart w:id="1656" w:name="_Toc362256757"/>
      <w:bookmarkStart w:id="1657" w:name="_Toc366056513"/>
      <w:bookmarkStart w:id="1658" w:name="_Toc366223716"/>
      <w:bookmarkStart w:id="1659" w:name="_Toc366229429"/>
      <w:bookmarkStart w:id="1660" w:name="_Toc366583473"/>
      <w:r>
        <w:t>Installment Payments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55"/>
      <w:bookmarkEnd w:id="1656"/>
      <w:bookmarkEnd w:id="1657"/>
      <w:bookmarkEnd w:id="1658"/>
      <w:bookmarkEnd w:id="1659"/>
      <w:bookmarkEnd w:id="1660"/>
    </w:p>
    <w:p w:rsidR="00CD6BC4" w:rsidRPr="008757B8" w:rsidRDefault="00CD6BC4" w:rsidP="00C07C81">
      <w:pPr>
        <w:pStyle w:val="ParaNum"/>
        <w:widowControl/>
        <w:tabs>
          <w:tab w:val="clear" w:pos="1260"/>
          <w:tab w:val="left" w:pos="1440"/>
        </w:tabs>
        <w:ind w:left="0"/>
      </w:pPr>
      <w:r w:rsidRPr="001C2E9C">
        <w:rPr>
          <w:szCs w:val="22"/>
        </w:rPr>
        <w:t>Installment payment</w:t>
      </w:r>
      <w:r w:rsidR="001A5BB0">
        <w:rPr>
          <w:szCs w:val="22"/>
        </w:rPr>
        <w:t>s</w:t>
      </w:r>
      <w:r w:rsidRPr="001C2E9C">
        <w:rPr>
          <w:szCs w:val="22"/>
        </w:rPr>
        <w:t xml:space="preserve"> will not be available </w:t>
      </w:r>
      <w:r>
        <w:rPr>
          <w:szCs w:val="22"/>
        </w:rPr>
        <w:t xml:space="preserve">in Auction </w:t>
      </w:r>
      <w:r w:rsidR="00CC0081">
        <w:rPr>
          <w:szCs w:val="22"/>
        </w:rPr>
        <w:t>9</w:t>
      </w:r>
      <w:r w:rsidR="00530B79">
        <w:rPr>
          <w:szCs w:val="22"/>
        </w:rPr>
        <w:t>6</w:t>
      </w:r>
      <w:r>
        <w:rPr>
          <w:szCs w:val="22"/>
        </w:rPr>
        <w:t>.</w:t>
      </w:r>
    </w:p>
    <w:p w:rsidR="008757B8" w:rsidRDefault="008757B8" w:rsidP="008757B8">
      <w:pPr>
        <w:pStyle w:val="Heading2"/>
      </w:pPr>
      <w:bookmarkStart w:id="1661" w:name="_Toc348508752"/>
      <w:bookmarkStart w:id="1662" w:name="_Toc362256758"/>
      <w:bookmarkStart w:id="1663" w:name="_Toc366056514"/>
      <w:bookmarkStart w:id="1664" w:name="_Toc366223717"/>
      <w:bookmarkStart w:id="1665" w:name="_Toc366229430"/>
      <w:bookmarkStart w:id="1666" w:name="_Toc366583474"/>
      <w:r>
        <w:t>Tribal Lands Bidding Credit</w:t>
      </w:r>
      <w:bookmarkEnd w:id="1661"/>
      <w:bookmarkEnd w:id="1662"/>
      <w:bookmarkEnd w:id="1663"/>
      <w:bookmarkEnd w:id="1664"/>
      <w:bookmarkEnd w:id="1665"/>
      <w:bookmarkEnd w:id="1666"/>
    </w:p>
    <w:p w:rsidR="00CD6BC4" w:rsidRPr="008757B8" w:rsidRDefault="008757B8" w:rsidP="00C07C81">
      <w:pPr>
        <w:pStyle w:val="ParaNum"/>
        <w:widowControl/>
        <w:tabs>
          <w:tab w:val="clear" w:pos="1260"/>
          <w:tab w:val="left" w:pos="1440"/>
        </w:tabs>
        <w:ind w:left="0"/>
        <w:rPr>
          <w:szCs w:val="22"/>
        </w:rPr>
      </w:pPr>
      <w:r w:rsidRPr="008757B8">
        <w:rPr>
          <w:szCs w:val="22"/>
        </w:rPr>
        <w:t xml:space="preserve">To encourage the growth of wireless services in federally recognized tribal lands, the Commission has implemented a tribal lands bidding credit.  Applicants do not provide information regarding tribal lands bidding credits on their short-form applications.  Instead, winning bidders may apply for the tribal lands bidding credit after the auction when they file their more detailed, long-form applications.  This process is described </w:t>
      </w:r>
      <w:r w:rsidRPr="00F230BB">
        <w:rPr>
          <w:szCs w:val="22"/>
        </w:rPr>
        <w:t xml:space="preserve">in </w:t>
      </w:r>
      <w:r w:rsidRPr="00115B71">
        <w:rPr>
          <w:szCs w:val="22"/>
        </w:rPr>
        <w:t>Section V.E</w:t>
      </w:r>
      <w:r w:rsidRPr="00F230BB">
        <w:rPr>
          <w:szCs w:val="22"/>
        </w:rPr>
        <w:t>.</w:t>
      </w:r>
      <w:r w:rsidRPr="008757B8">
        <w:rPr>
          <w:szCs w:val="22"/>
        </w:rPr>
        <w:t xml:space="preserve"> “Tribal Lands Bidding Credit,” below.</w:t>
      </w:r>
      <w:r w:rsidR="00D20AED" w:rsidRPr="008757B8">
        <w:rPr>
          <w:szCs w:val="22"/>
        </w:rPr>
        <w:t xml:space="preserve"> </w:t>
      </w:r>
    </w:p>
    <w:p w:rsidR="000D72B7" w:rsidRPr="00654F09" w:rsidRDefault="000D72B7" w:rsidP="00C07C81">
      <w:pPr>
        <w:pStyle w:val="Heading2"/>
        <w:widowControl/>
      </w:pPr>
      <w:bookmarkStart w:id="1667" w:name="_Toc198007707"/>
      <w:bookmarkStart w:id="1668" w:name="_Toc198007858"/>
      <w:bookmarkStart w:id="1669" w:name="_Toc198008210"/>
      <w:bookmarkStart w:id="1670" w:name="_Toc198008347"/>
      <w:bookmarkStart w:id="1671" w:name="_Toc198008894"/>
      <w:bookmarkStart w:id="1672" w:name="_Toc198369790"/>
      <w:bookmarkStart w:id="1673" w:name="_Toc198369927"/>
      <w:bookmarkStart w:id="1674" w:name="_Toc198372839"/>
      <w:bookmarkStart w:id="1675" w:name="_Toc198372942"/>
      <w:bookmarkStart w:id="1676" w:name="_Toc198373072"/>
      <w:bookmarkStart w:id="1677" w:name="_Toc198373240"/>
      <w:bookmarkStart w:id="1678" w:name="_Toc198627154"/>
      <w:bookmarkStart w:id="1679" w:name="_Toc198627260"/>
      <w:bookmarkStart w:id="1680" w:name="_Toc216090721"/>
      <w:bookmarkStart w:id="1681" w:name="_Toc226958227"/>
      <w:bookmarkStart w:id="1682" w:name="_Toc227038287"/>
      <w:bookmarkStart w:id="1683" w:name="_Toc254792593"/>
      <w:bookmarkStart w:id="1684" w:name="_Toc256669717"/>
      <w:bookmarkStart w:id="1685" w:name="_Toc257213250"/>
      <w:bookmarkStart w:id="1686" w:name="_Toc257277752"/>
      <w:bookmarkStart w:id="1687" w:name="_Toc257278713"/>
      <w:bookmarkStart w:id="1688" w:name="_Toc257278923"/>
      <w:bookmarkStart w:id="1689" w:name="_Toc257279291"/>
      <w:bookmarkStart w:id="1690" w:name="_Toc257382935"/>
      <w:bookmarkStart w:id="1691" w:name="_Toc274056192"/>
      <w:bookmarkStart w:id="1692" w:name="_Toc276657597"/>
      <w:bookmarkStart w:id="1693" w:name="_Toc278366443"/>
      <w:bookmarkStart w:id="1694" w:name="_Toc307584039"/>
      <w:bookmarkStart w:id="1695" w:name="_Toc307937313"/>
      <w:bookmarkStart w:id="1696" w:name="_Toc348508753"/>
      <w:bookmarkStart w:id="1697" w:name="_Toc362256759"/>
      <w:bookmarkStart w:id="1698" w:name="_Toc366056515"/>
      <w:bookmarkStart w:id="1699" w:name="_Toc366223718"/>
      <w:bookmarkStart w:id="1700" w:name="_Toc366229431"/>
      <w:bookmarkStart w:id="1701" w:name="_Toc366583475"/>
      <w:r w:rsidRPr="00654F09">
        <w:t>Provisions Regarding Former and Current Defaulters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rsidR="000D72B7" w:rsidRPr="00AA2B80" w:rsidRDefault="000D72B7" w:rsidP="00C07C81">
      <w:pPr>
        <w:pStyle w:val="ParaNum"/>
        <w:widowControl/>
        <w:tabs>
          <w:tab w:val="clear" w:pos="1260"/>
          <w:tab w:val="left" w:pos="1440"/>
        </w:tabs>
        <w:ind w:left="0"/>
        <w:rPr>
          <w:szCs w:val="22"/>
        </w:rPr>
      </w:pPr>
      <w:r>
        <w:rPr>
          <w:szCs w:val="22"/>
        </w:rPr>
        <w:t xml:space="preserve">Current defaulters </w:t>
      </w:r>
      <w:r w:rsidR="00F970B8">
        <w:rPr>
          <w:szCs w:val="22"/>
        </w:rPr>
        <w:t xml:space="preserve">or delinquents </w:t>
      </w:r>
      <w:r w:rsidRPr="001C2E9C">
        <w:rPr>
          <w:szCs w:val="22"/>
        </w:rPr>
        <w:t>are</w:t>
      </w:r>
      <w:r>
        <w:rPr>
          <w:szCs w:val="22"/>
        </w:rPr>
        <w:t xml:space="preserve"> not eligible to participate in Auction </w:t>
      </w:r>
      <w:r w:rsidR="00CC0081">
        <w:rPr>
          <w:szCs w:val="22"/>
        </w:rPr>
        <w:t>9</w:t>
      </w:r>
      <w:r w:rsidR="00530B79">
        <w:rPr>
          <w:szCs w:val="22"/>
        </w:rPr>
        <w:t>6</w:t>
      </w:r>
      <w:r>
        <w:rPr>
          <w:szCs w:val="22"/>
        </w:rPr>
        <w:t xml:space="preserve">, but former defaulters </w:t>
      </w:r>
      <w:r w:rsidR="00F970B8">
        <w:rPr>
          <w:szCs w:val="22"/>
        </w:rPr>
        <w:t xml:space="preserve">or delinquents </w:t>
      </w:r>
      <w:r>
        <w:rPr>
          <w:szCs w:val="22"/>
        </w:rPr>
        <w:t xml:space="preserve">can </w:t>
      </w:r>
      <w:r w:rsidRPr="00183E39">
        <w:rPr>
          <w:szCs w:val="22"/>
        </w:rPr>
        <w:t xml:space="preserve">participate so long as they are otherwise qualified and, as discussed </w:t>
      </w:r>
      <w:r w:rsidRPr="00E00277">
        <w:rPr>
          <w:szCs w:val="22"/>
        </w:rPr>
        <w:t xml:space="preserve">in </w:t>
      </w:r>
      <w:r w:rsidRPr="00206CE7">
        <w:rPr>
          <w:szCs w:val="22"/>
        </w:rPr>
        <w:t>Section III.D.3.</w:t>
      </w:r>
      <w:r w:rsidRPr="00206CE7">
        <w:rPr>
          <w:i/>
          <w:szCs w:val="22"/>
        </w:rPr>
        <w:t xml:space="preserve"> </w:t>
      </w:r>
      <w:r w:rsidRPr="00206CE7">
        <w:rPr>
          <w:iCs/>
          <w:szCs w:val="22"/>
        </w:rPr>
        <w:t>below</w:t>
      </w:r>
      <w:r w:rsidRPr="00A36219">
        <w:rPr>
          <w:iCs/>
          <w:szCs w:val="22"/>
        </w:rPr>
        <w:t>, make</w:t>
      </w:r>
      <w:r w:rsidRPr="001C2E9C">
        <w:rPr>
          <w:szCs w:val="22"/>
        </w:rPr>
        <w:t xml:space="preserve"> upfront payments that are fifty </w:t>
      </w:r>
      <w:r w:rsidRPr="00AA2B80">
        <w:rPr>
          <w:szCs w:val="22"/>
        </w:rPr>
        <w:t xml:space="preserve">percent more than </w:t>
      </w:r>
      <w:r w:rsidR="000048B1">
        <w:rPr>
          <w:szCs w:val="22"/>
        </w:rPr>
        <w:t>would otherwise be necessary</w:t>
      </w:r>
      <w:r w:rsidRPr="00AA2B80">
        <w:rPr>
          <w:szCs w:val="22"/>
        </w:rPr>
        <w:t>.</w:t>
      </w:r>
      <w:r w:rsidRPr="00AA2B80">
        <w:rPr>
          <w:rStyle w:val="FootnoteReference"/>
          <w:szCs w:val="22"/>
        </w:rPr>
        <w:footnoteReference w:id="129"/>
      </w:r>
      <w:r w:rsidRPr="00AA2B80">
        <w:rPr>
          <w:szCs w:val="22"/>
        </w:rPr>
        <w:t xml:space="preserve">  An applicant is considered a “current defaulter” </w:t>
      </w:r>
      <w:r w:rsidR="00F970B8">
        <w:rPr>
          <w:szCs w:val="22"/>
        </w:rPr>
        <w:t xml:space="preserve">or a “current delinquent” </w:t>
      </w:r>
      <w:r w:rsidRPr="00AA2B80">
        <w:rPr>
          <w:szCs w:val="22"/>
        </w:rPr>
        <w:t xml:space="preserve">when it, </w:t>
      </w:r>
      <w:r w:rsidR="00F14260" w:rsidRPr="00AA2B80">
        <w:rPr>
          <w:szCs w:val="22"/>
        </w:rPr>
        <w:t xml:space="preserve">any of </w:t>
      </w:r>
      <w:r w:rsidRPr="00AA2B80">
        <w:rPr>
          <w:szCs w:val="22"/>
        </w:rPr>
        <w:t xml:space="preserve">its affiliates, </w:t>
      </w:r>
      <w:r w:rsidR="00F14260" w:rsidRPr="00AA2B80">
        <w:rPr>
          <w:szCs w:val="22"/>
        </w:rPr>
        <w:t xml:space="preserve">any of </w:t>
      </w:r>
      <w:r w:rsidRPr="00AA2B80">
        <w:rPr>
          <w:szCs w:val="22"/>
        </w:rPr>
        <w:t>its controlling interests, or</w:t>
      </w:r>
      <w:r w:rsidR="00F14260" w:rsidRPr="00AA2B80">
        <w:rPr>
          <w:szCs w:val="22"/>
        </w:rPr>
        <w:t xml:space="preserve"> any of</w:t>
      </w:r>
      <w:r w:rsidRPr="00AA2B80">
        <w:rPr>
          <w:szCs w:val="22"/>
        </w:rPr>
        <w:t xml:space="preserve"> the affiliates of its controlling interests, </w:t>
      </w:r>
      <w:r w:rsidR="00853699">
        <w:rPr>
          <w:szCs w:val="22"/>
        </w:rPr>
        <w:t>is</w:t>
      </w:r>
      <w:r w:rsidRPr="00AA2B80">
        <w:rPr>
          <w:szCs w:val="22"/>
        </w:rPr>
        <w:t xml:space="preserve"> in default on any payment for any Commission </w:t>
      </w:r>
      <w:r w:rsidR="00CD6BC4" w:rsidRPr="00AA2B80">
        <w:rPr>
          <w:szCs w:val="22"/>
        </w:rPr>
        <w:t xml:space="preserve">construction permit or </w:t>
      </w:r>
      <w:r w:rsidRPr="00AA2B80">
        <w:rPr>
          <w:szCs w:val="22"/>
        </w:rPr>
        <w:t xml:space="preserve">license (including </w:t>
      </w:r>
      <w:r w:rsidR="00902677">
        <w:rPr>
          <w:szCs w:val="22"/>
        </w:rPr>
        <w:t xml:space="preserve">a </w:t>
      </w:r>
      <w:r w:rsidRPr="00AA2B80">
        <w:rPr>
          <w:szCs w:val="22"/>
        </w:rPr>
        <w:t xml:space="preserve">down payment) or </w:t>
      </w:r>
      <w:r w:rsidR="00853699">
        <w:rPr>
          <w:szCs w:val="22"/>
        </w:rPr>
        <w:t>is</w:t>
      </w:r>
      <w:r w:rsidRPr="00AA2B80">
        <w:rPr>
          <w:szCs w:val="22"/>
        </w:rPr>
        <w:t xml:space="preserve"> delinquent on any non-tax debt owed to any Federal agency as of the filing deadline for short-form applications.  An applicant is considered a “former defaulter” </w:t>
      </w:r>
      <w:r w:rsidR="00F970B8">
        <w:rPr>
          <w:szCs w:val="22"/>
        </w:rPr>
        <w:t xml:space="preserve">or a “former delinquent” </w:t>
      </w:r>
      <w:r w:rsidRPr="00AA2B80">
        <w:rPr>
          <w:szCs w:val="22"/>
        </w:rPr>
        <w:t xml:space="preserve">when it, </w:t>
      </w:r>
      <w:r w:rsidR="00F14260" w:rsidRPr="00AA2B80">
        <w:rPr>
          <w:szCs w:val="22"/>
        </w:rPr>
        <w:t xml:space="preserve">any of </w:t>
      </w:r>
      <w:r w:rsidRPr="00AA2B80">
        <w:rPr>
          <w:szCs w:val="22"/>
        </w:rPr>
        <w:t xml:space="preserve">its affiliates, </w:t>
      </w:r>
      <w:r w:rsidR="00F14260" w:rsidRPr="00AA2B80">
        <w:rPr>
          <w:szCs w:val="22"/>
        </w:rPr>
        <w:t xml:space="preserve">any of </w:t>
      </w:r>
      <w:r w:rsidRPr="00AA2B80">
        <w:rPr>
          <w:szCs w:val="22"/>
        </w:rPr>
        <w:t>its controlling interests, or</w:t>
      </w:r>
      <w:r w:rsidR="00F14260" w:rsidRPr="00AA2B80">
        <w:rPr>
          <w:szCs w:val="22"/>
        </w:rPr>
        <w:t xml:space="preserve"> any of</w:t>
      </w:r>
      <w:r w:rsidRPr="00AA2B80">
        <w:rPr>
          <w:szCs w:val="22"/>
        </w:rPr>
        <w:t xml:space="preserve"> the affiliates of its controlling interests, have defaulted on any Commission </w:t>
      </w:r>
      <w:r w:rsidR="00CD6BC4" w:rsidRPr="00AA2B80">
        <w:rPr>
          <w:szCs w:val="22"/>
        </w:rPr>
        <w:t xml:space="preserve">construction permit or </w:t>
      </w:r>
      <w:r w:rsidRPr="00AA2B80">
        <w:rPr>
          <w:szCs w:val="22"/>
        </w:rPr>
        <w:t>license or been delinquent on any non-tax debt owed to any Federal agency, but have since remedied all such defaults and cured all of the outstanding non-tax delinquencies.</w:t>
      </w:r>
    </w:p>
    <w:p w:rsidR="000D72B7" w:rsidRPr="001C2E9C" w:rsidRDefault="000D72B7" w:rsidP="00C07C81">
      <w:pPr>
        <w:pStyle w:val="ParaNum"/>
        <w:widowControl/>
        <w:tabs>
          <w:tab w:val="clear" w:pos="1260"/>
          <w:tab w:val="left" w:pos="1440"/>
        </w:tabs>
        <w:ind w:left="0"/>
        <w:rPr>
          <w:szCs w:val="22"/>
        </w:rPr>
      </w:pPr>
      <w:r w:rsidRPr="00AA2B80">
        <w:rPr>
          <w:szCs w:val="22"/>
        </w:rPr>
        <w:t xml:space="preserve">On the short-form application, an applicant must certify under penalty of perjury that it, its affiliates, its controlling interests, and the affiliates of its controlling interests, as defined by </w:t>
      </w:r>
      <w:r w:rsidR="00415E2E">
        <w:rPr>
          <w:szCs w:val="22"/>
        </w:rPr>
        <w:t>s</w:t>
      </w:r>
      <w:r w:rsidRPr="00AA2B80">
        <w:rPr>
          <w:szCs w:val="22"/>
        </w:rPr>
        <w:t>ection 1.2110 of the Commission’s rules,</w:t>
      </w:r>
      <w:r w:rsidRPr="00AA2B80">
        <w:rPr>
          <w:rStyle w:val="FootnoteReference"/>
          <w:szCs w:val="22"/>
        </w:rPr>
        <w:footnoteReference w:id="130"/>
      </w:r>
      <w:r w:rsidRPr="00AA2B80">
        <w:rPr>
          <w:szCs w:val="22"/>
        </w:rPr>
        <w:t xml:space="preserve"> are not in default on any payment for </w:t>
      </w:r>
      <w:r w:rsidR="00367B3B" w:rsidRPr="00AA2B80">
        <w:rPr>
          <w:szCs w:val="22"/>
        </w:rPr>
        <w:t xml:space="preserve">a </w:t>
      </w:r>
      <w:r w:rsidRPr="00AA2B80">
        <w:rPr>
          <w:szCs w:val="22"/>
        </w:rPr>
        <w:t xml:space="preserve">Commission </w:t>
      </w:r>
      <w:r w:rsidR="00F14260" w:rsidRPr="00AA2B80">
        <w:rPr>
          <w:szCs w:val="22"/>
        </w:rPr>
        <w:t xml:space="preserve">construction permit or </w:t>
      </w:r>
      <w:r w:rsidRPr="00AA2B80">
        <w:rPr>
          <w:szCs w:val="22"/>
        </w:rPr>
        <w:t xml:space="preserve">license (including down payments) and that </w:t>
      </w:r>
      <w:r w:rsidR="00F14260" w:rsidRPr="00AA2B80">
        <w:rPr>
          <w:szCs w:val="22"/>
        </w:rPr>
        <w:t>it is</w:t>
      </w:r>
      <w:r w:rsidRPr="00AA2B80">
        <w:rPr>
          <w:szCs w:val="22"/>
        </w:rPr>
        <w:t xml:space="preserve"> not delinquent on any non-tax debt owed to any Federal agency.</w:t>
      </w:r>
      <w:r w:rsidRPr="00AA2B80">
        <w:rPr>
          <w:rStyle w:val="FootnoteReference"/>
          <w:szCs w:val="22"/>
        </w:rPr>
        <w:footnoteReference w:id="131"/>
      </w:r>
      <w:r w:rsidRPr="00AA2B80">
        <w:rPr>
          <w:szCs w:val="22"/>
        </w:rPr>
        <w:t xml:space="preserve">  Each applicant must also state under penalty of perjury whether it, its affiliates, its controlling interests, and the affiliates of its controlling interests, have ever been in default on any Commission </w:t>
      </w:r>
      <w:r w:rsidR="00CD6BC4" w:rsidRPr="00AA2B80">
        <w:rPr>
          <w:szCs w:val="22"/>
        </w:rPr>
        <w:t xml:space="preserve">construction permit or </w:t>
      </w:r>
      <w:r w:rsidRPr="00AA2B80">
        <w:rPr>
          <w:szCs w:val="22"/>
        </w:rPr>
        <w:t>license or have ever been delinquent on any non-tax debt owed to any Federal agency.</w:t>
      </w:r>
      <w:r w:rsidRPr="00AA2B80">
        <w:rPr>
          <w:rStyle w:val="FootnoteReference"/>
          <w:szCs w:val="22"/>
        </w:rPr>
        <w:footnoteReference w:id="132"/>
      </w:r>
      <w:r w:rsidRPr="00AA2B80">
        <w:rPr>
          <w:szCs w:val="22"/>
        </w:rPr>
        <w:t xml:space="preserve">  Prospective applicants are reminded that submission of a false</w:t>
      </w:r>
      <w:r w:rsidRPr="001C2E9C">
        <w:rPr>
          <w:szCs w:val="22"/>
        </w:rPr>
        <w:t xml:space="preserve"> certification to the Commission is a serious matter that may result in severe penalties, including monetary forfeitures, license revocations, exclusion from participation in future auctions, and/or criminal prosecution.  </w:t>
      </w:r>
    </w:p>
    <w:p w:rsidR="000D72B7" w:rsidRPr="00AA2B80" w:rsidRDefault="000D72B7" w:rsidP="00C07C81">
      <w:pPr>
        <w:pStyle w:val="ParaNum"/>
        <w:widowControl/>
        <w:tabs>
          <w:tab w:val="clear" w:pos="1260"/>
          <w:tab w:val="left" w:pos="1440"/>
        </w:tabs>
        <w:ind w:left="0"/>
        <w:rPr>
          <w:szCs w:val="22"/>
        </w:rPr>
      </w:pPr>
      <w:r w:rsidRPr="00915E0F">
        <w:rPr>
          <w:szCs w:val="22"/>
        </w:rPr>
        <w:t>Applicants are encouraged to review the Bureau</w:t>
      </w:r>
      <w:r w:rsidR="00CF0208">
        <w:rPr>
          <w:szCs w:val="22"/>
        </w:rPr>
        <w:t>’s</w:t>
      </w:r>
      <w:r w:rsidRPr="00915E0F">
        <w:rPr>
          <w:szCs w:val="22"/>
        </w:rPr>
        <w:t xml:space="preserve"> previous guidance on default and delinquency disclosure requirements in the context of the short-form application process.</w:t>
      </w:r>
      <w:r w:rsidRPr="00915E0F">
        <w:rPr>
          <w:rStyle w:val="FootnoteReference"/>
          <w:szCs w:val="22"/>
        </w:rPr>
        <w:footnoteReference w:id="133"/>
      </w:r>
      <w:r w:rsidRPr="00915E0F">
        <w:rPr>
          <w:szCs w:val="22"/>
        </w:rPr>
        <w:t xml:space="preserve">  For example, it has been determined that</w:t>
      </w:r>
      <w:r w:rsidR="00D20AED">
        <w:rPr>
          <w:szCs w:val="22"/>
        </w:rPr>
        <w:t>,</w:t>
      </w:r>
      <w:r w:rsidRPr="00915E0F">
        <w:rPr>
          <w:szCs w:val="22"/>
        </w:rPr>
        <w:t xml:space="preserve"> to the extent that Commission rules permit late payment of regulatory or application fees accompanied by late fees,</w:t>
      </w:r>
      <w:r w:rsidRPr="00915E0F">
        <w:rPr>
          <w:rStyle w:val="FootnoteReference"/>
          <w:szCs w:val="22"/>
        </w:rPr>
        <w:t xml:space="preserve"> </w:t>
      </w:r>
      <w:r w:rsidRPr="00915E0F">
        <w:rPr>
          <w:szCs w:val="22"/>
        </w:rPr>
        <w:t xml:space="preserve">such debts will become delinquent for purposes of </w:t>
      </w:r>
      <w:r w:rsidR="00415E2E">
        <w:rPr>
          <w:szCs w:val="22"/>
        </w:rPr>
        <w:t>s</w:t>
      </w:r>
      <w:r w:rsidRPr="00915E0F">
        <w:rPr>
          <w:szCs w:val="22"/>
        </w:rPr>
        <w:t>ections 1.2105(a) and 1.2106(a) only after the expiration of a final payment deadline.</w:t>
      </w:r>
      <w:r w:rsidRPr="00915E0F">
        <w:rPr>
          <w:rStyle w:val="FootnoteReference"/>
          <w:szCs w:val="22"/>
        </w:rPr>
        <w:footnoteReference w:id="134"/>
      </w:r>
      <w:r w:rsidRPr="00915E0F">
        <w:rPr>
          <w:szCs w:val="22"/>
        </w:rPr>
        <w:t xml:space="preserve">  Therefore, with respect to regulatory or application fees, the provisions of </w:t>
      </w:r>
      <w:r w:rsidR="00415E2E">
        <w:rPr>
          <w:szCs w:val="22"/>
        </w:rPr>
        <w:t>s</w:t>
      </w:r>
      <w:r w:rsidRPr="00915E0F">
        <w:rPr>
          <w:szCs w:val="22"/>
        </w:rPr>
        <w:t xml:space="preserve">ections 1.2105(a) and 1.2106(a) regarding default and delinquency in connection with competitive bidding are limited to circumstances in which the relevant party </w:t>
      </w:r>
      <w:r w:rsidRPr="00AA2B80">
        <w:rPr>
          <w:szCs w:val="22"/>
        </w:rPr>
        <w:t>has not complied with a final Commission payment deadline.</w:t>
      </w:r>
      <w:r w:rsidRPr="00AA2B80">
        <w:rPr>
          <w:rStyle w:val="FootnoteReference"/>
          <w:szCs w:val="22"/>
        </w:rPr>
        <w:footnoteReference w:id="135"/>
      </w:r>
      <w:r w:rsidRPr="00AA2B80">
        <w:rPr>
          <w:szCs w:val="22"/>
        </w:rPr>
        <w:t xml:space="preserve">  Parties are also encouraged to </w:t>
      </w:r>
      <w:r w:rsidR="00B85010">
        <w:rPr>
          <w:szCs w:val="22"/>
        </w:rPr>
        <w:t>consult</w:t>
      </w:r>
      <w:r w:rsidRPr="00AA2B80">
        <w:rPr>
          <w:szCs w:val="22"/>
        </w:rPr>
        <w:t xml:space="preserve"> with the </w:t>
      </w:r>
      <w:r w:rsidR="006D4E17" w:rsidRPr="00AA2B80">
        <w:rPr>
          <w:szCs w:val="22"/>
        </w:rPr>
        <w:t xml:space="preserve">Wireless Telecommunications </w:t>
      </w:r>
      <w:r w:rsidRPr="00AA2B80">
        <w:rPr>
          <w:szCs w:val="22"/>
        </w:rPr>
        <w:t>Bureau’s Auctions and Spectrum Access Division staff if they have any questions about default and delinquency disclosure requirements.</w:t>
      </w:r>
      <w:r w:rsidR="00C020D5">
        <w:rPr>
          <w:szCs w:val="22"/>
        </w:rPr>
        <w:t xml:space="preserve">  </w:t>
      </w:r>
    </w:p>
    <w:p w:rsidR="000D72B7" w:rsidRDefault="000D72B7" w:rsidP="00C07C81">
      <w:pPr>
        <w:pStyle w:val="ParaNum"/>
        <w:widowControl/>
        <w:tabs>
          <w:tab w:val="clear" w:pos="1260"/>
          <w:tab w:val="left" w:pos="1440"/>
        </w:tabs>
        <w:ind w:left="0"/>
        <w:rPr>
          <w:szCs w:val="22"/>
        </w:rPr>
      </w:pPr>
      <w:r w:rsidRPr="001C2E9C">
        <w:rPr>
          <w:szCs w:val="22"/>
        </w:rPr>
        <w:t xml:space="preserve">The Commission considers outstanding debts owed to the United States Government, in any amount, to be a serious matter.  The Commission adopted rules, including </w:t>
      </w:r>
      <w:r>
        <w:rPr>
          <w:szCs w:val="22"/>
        </w:rPr>
        <w:t>a provision referred to as the “</w:t>
      </w:r>
      <w:r w:rsidRPr="001C2E9C">
        <w:rPr>
          <w:szCs w:val="22"/>
        </w:rPr>
        <w:t>red light rule,</w:t>
      </w:r>
      <w:r>
        <w:rPr>
          <w:szCs w:val="22"/>
        </w:rPr>
        <w:t>”</w:t>
      </w:r>
      <w:r w:rsidRPr="001C2E9C">
        <w:rPr>
          <w:szCs w:val="22"/>
        </w:rPr>
        <w:t xml:space="preserve"> that implement </w:t>
      </w:r>
      <w:r w:rsidR="00D16814">
        <w:rPr>
          <w:szCs w:val="22"/>
        </w:rPr>
        <w:t xml:space="preserve">its </w:t>
      </w:r>
      <w:r w:rsidRPr="001C2E9C">
        <w:rPr>
          <w:szCs w:val="22"/>
        </w:rPr>
        <w:t xml:space="preserve">obligations under the Debt Collection Improvement Act of 1996, which governs </w:t>
      </w:r>
      <w:r w:rsidRPr="00A65F60">
        <w:rPr>
          <w:szCs w:val="22"/>
        </w:rPr>
        <w:t xml:space="preserve">the collection of </w:t>
      </w:r>
      <w:r w:rsidR="00657E92" w:rsidRPr="00A65F60">
        <w:rPr>
          <w:szCs w:val="22"/>
        </w:rPr>
        <w:t>debts</w:t>
      </w:r>
      <w:r w:rsidRPr="00A65F60">
        <w:rPr>
          <w:szCs w:val="22"/>
        </w:rPr>
        <w:t xml:space="preserve"> owed to the United States</w:t>
      </w:r>
      <w:r w:rsidRPr="001C2E9C">
        <w:rPr>
          <w:szCs w:val="22"/>
        </w:rPr>
        <w:t>.</w:t>
      </w:r>
      <w:r w:rsidRPr="00CA6286">
        <w:rPr>
          <w:rStyle w:val="FootnoteReference"/>
          <w:szCs w:val="22"/>
        </w:rPr>
        <w:footnoteReference w:id="136"/>
      </w:r>
      <w:r w:rsidRPr="001C2E9C">
        <w:rPr>
          <w:szCs w:val="22"/>
        </w:rPr>
        <w:t xml:space="preserve">  Under the red light rule, applications and other requests for benefits filed by parties that have outstanding debts owed to the Commission</w:t>
      </w:r>
      <w:r w:rsidR="00D16814">
        <w:rPr>
          <w:szCs w:val="22"/>
        </w:rPr>
        <w:t xml:space="preserve"> will not be processed</w:t>
      </w:r>
      <w:r w:rsidRPr="001C2E9C">
        <w:rPr>
          <w:szCs w:val="22"/>
        </w:rPr>
        <w:t xml:space="preserve">.  In the same rulemaking order, the Commission explicitly declared, however, that </w:t>
      </w:r>
      <w:r w:rsidR="00D16814">
        <w:rPr>
          <w:szCs w:val="22"/>
        </w:rPr>
        <w:t>its</w:t>
      </w:r>
      <w:r>
        <w:rPr>
          <w:szCs w:val="22"/>
        </w:rPr>
        <w:t xml:space="preserve"> competitive bidding rules “</w:t>
      </w:r>
      <w:r w:rsidRPr="001C2E9C">
        <w:rPr>
          <w:szCs w:val="22"/>
        </w:rPr>
        <w:t>are not affected</w:t>
      </w:r>
      <w:r>
        <w:rPr>
          <w:szCs w:val="22"/>
        </w:rPr>
        <w:t>”</w:t>
      </w:r>
      <w:r w:rsidRPr="001C2E9C">
        <w:rPr>
          <w:szCs w:val="22"/>
        </w:rPr>
        <w:t xml:space="preserve"> by the red light rule.</w:t>
      </w:r>
      <w:r w:rsidRPr="00CA6286">
        <w:rPr>
          <w:rStyle w:val="FootnoteReference"/>
          <w:szCs w:val="22"/>
        </w:rPr>
        <w:footnoteReference w:id="137"/>
      </w:r>
      <w:r w:rsidRPr="001C2E9C">
        <w:rPr>
          <w:szCs w:val="22"/>
        </w:rPr>
        <w:t xml:space="preserve">  As a consequence, the Commission</w:t>
      </w:r>
      <w:r w:rsidR="00601149">
        <w:rPr>
          <w:szCs w:val="22"/>
        </w:rPr>
        <w:t>’</w:t>
      </w:r>
      <w:r w:rsidRPr="001C2E9C">
        <w:rPr>
          <w:szCs w:val="22"/>
        </w:rPr>
        <w:t xml:space="preserve">s adoption of the red light rule does not alter the applicability of any of </w:t>
      </w:r>
      <w:r w:rsidR="00D16814">
        <w:rPr>
          <w:szCs w:val="22"/>
        </w:rPr>
        <w:t xml:space="preserve">its </w:t>
      </w:r>
      <w:r w:rsidRPr="001C2E9C">
        <w:rPr>
          <w:szCs w:val="22"/>
        </w:rPr>
        <w:t xml:space="preserve">competitive bidding rules, including the provisions and certifications of </w:t>
      </w:r>
      <w:r w:rsidR="00415E2E">
        <w:rPr>
          <w:szCs w:val="22"/>
        </w:rPr>
        <w:t>s</w:t>
      </w:r>
      <w:r w:rsidRPr="001C2E9C">
        <w:rPr>
          <w:szCs w:val="22"/>
        </w:rPr>
        <w:t>ections 1.2105 and 1.2106, with regard to current and former defaults or delinquencies.</w:t>
      </w:r>
    </w:p>
    <w:p w:rsidR="006D4E17" w:rsidRPr="00AA2B80" w:rsidRDefault="000D72B7" w:rsidP="00C07C81">
      <w:pPr>
        <w:pStyle w:val="ParaNum"/>
        <w:widowControl/>
        <w:tabs>
          <w:tab w:val="clear" w:pos="1260"/>
          <w:tab w:val="left" w:pos="1440"/>
        </w:tabs>
        <w:ind w:left="0"/>
        <w:rPr>
          <w:szCs w:val="22"/>
        </w:rPr>
      </w:pPr>
      <w:r w:rsidRPr="001C2E9C">
        <w:rPr>
          <w:szCs w:val="22"/>
        </w:rPr>
        <w:t xml:space="preserve">Applicants are reminded, however, that the Commission’s Red Light Display System, which provides information regarding debts </w:t>
      </w:r>
      <w:r w:rsidR="00DA0C1B">
        <w:rPr>
          <w:szCs w:val="22"/>
        </w:rPr>
        <w:t xml:space="preserve">currently </w:t>
      </w:r>
      <w:r w:rsidRPr="001C2E9C">
        <w:rPr>
          <w:szCs w:val="22"/>
        </w:rPr>
        <w:t xml:space="preserve">owed to the Commission, may not be determinative of an auction applicant’s ability to comply with the default and delinquency disclosure requirements of </w:t>
      </w:r>
      <w:r w:rsidR="00415E2E">
        <w:rPr>
          <w:szCs w:val="22"/>
        </w:rPr>
        <w:t>s</w:t>
      </w:r>
      <w:r w:rsidRPr="001C2E9C">
        <w:rPr>
          <w:szCs w:val="22"/>
        </w:rPr>
        <w:t>ection 1.2105.</w:t>
      </w:r>
      <w:r w:rsidRPr="00CA6286">
        <w:rPr>
          <w:rStyle w:val="FootnoteReference"/>
          <w:szCs w:val="22"/>
        </w:rPr>
        <w:footnoteReference w:id="138"/>
      </w:r>
      <w:r w:rsidRPr="001C2E9C">
        <w:rPr>
          <w:szCs w:val="22"/>
        </w:rPr>
        <w:t xml:space="preserve">  Thus, while the red light rule ultimately may prevent the processing of long-form applications </w:t>
      </w:r>
      <w:r w:rsidRPr="00AA2B80">
        <w:rPr>
          <w:szCs w:val="22"/>
        </w:rPr>
        <w:t xml:space="preserve">by auction winners, an auction applicant’s </w:t>
      </w:r>
      <w:r w:rsidR="00DA0C1B">
        <w:rPr>
          <w:szCs w:val="22"/>
        </w:rPr>
        <w:t xml:space="preserve">lack of current </w:t>
      </w:r>
      <w:r w:rsidRPr="00AA2B80">
        <w:rPr>
          <w:szCs w:val="22"/>
        </w:rPr>
        <w:t>“red light” status is not necessarily determinative of its eligibility to participate in an auction or of its upfront payment obligation.</w:t>
      </w:r>
    </w:p>
    <w:p w:rsidR="000D72B7" w:rsidRPr="00AA2B80" w:rsidRDefault="006D4E17" w:rsidP="00C07C81">
      <w:pPr>
        <w:pStyle w:val="ParaNum"/>
        <w:widowControl/>
        <w:tabs>
          <w:tab w:val="clear" w:pos="1260"/>
          <w:tab w:val="left" w:pos="1440"/>
        </w:tabs>
        <w:ind w:left="0"/>
        <w:rPr>
          <w:szCs w:val="22"/>
        </w:rPr>
      </w:pPr>
      <w:r w:rsidRPr="00AA2B80">
        <w:rPr>
          <w:szCs w:val="22"/>
        </w:rPr>
        <w:t xml:space="preserve">Moreover, prospective applicants in Auction </w:t>
      </w:r>
      <w:r w:rsidR="00CC0081">
        <w:rPr>
          <w:szCs w:val="22"/>
        </w:rPr>
        <w:t>9</w:t>
      </w:r>
      <w:r w:rsidR="00530B79">
        <w:rPr>
          <w:szCs w:val="22"/>
        </w:rPr>
        <w:t>6</w:t>
      </w:r>
      <w:r w:rsidRPr="00AA2B80">
        <w:rPr>
          <w:szCs w:val="22"/>
        </w:rPr>
        <w:t xml:space="preserve"> should note that any long-form applications filed after the close of bidding will be reviewed for compliance with the Commission’s red light rule,</w:t>
      </w:r>
      <w:r w:rsidRPr="00AA2B80">
        <w:rPr>
          <w:rStyle w:val="FootnoteReference"/>
          <w:szCs w:val="22"/>
        </w:rPr>
        <w:footnoteReference w:id="139"/>
      </w:r>
      <w:r w:rsidRPr="00AA2B80">
        <w:rPr>
          <w:szCs w:val="22"/>
        </w:rPr>
        <w:t xml:space="preserve"> and such review may result in the dismissal of a winning bidder’s long-form application.</w:t>
      </w:r>
      <w:r w:rsidRPr="00AA2B80">
        <w:rPr>
          <w:rStyle w:val="FootnoteReference"/>
          <w:szCs w:val="22"/>
        </w:rPr>
        <w:footnoteReference w:id="140"/>
      </w:r>
      <w:r w:rsidR="00F902F1" w:rsidRPr="00AA2B80" w:rsidDel="00F902F1">
        <w:rPr>
          <w:szCs w:val="22"/>
        </w:rPr>
        <w:t xml:space="preserve"> </w:t>
      </w:r>
    </w:p>
    <w:p w:rsidR="000D72B7" w:rsidRPr="00565537" w:rsidRDefault="000D72B7" w:rsidP="00C07C81">
      <w:pPr>
        <w:pStyle w:val="Heading2"/>
        <w:widowControl/>
      </w:pPr>
      <w:bookmarkStart w:id="1702" w:name="_Toc198007708"/>
      <w:bookmarkStart w:id="1703" w:name="_Toc198007859"/>
      <w:bookmarkStart w:id="1704" w:name="_Toc198008211"/>
      <w:bookmarkStart w:id="1705" w:name="_Toc198008348"/>
      <w:bookmarkStart w:id="1706" w:name="_Toc198008895"/>
      <w:bookmarkStart w:id="1707" w:name="_Toc198369791"/>
      <w:bookmarkStart w:id="1708" w:name="_Toc198369928"/>
      <w:bookmarkStart w:id="1709" w:name="_Toc198372840"/>
      <w:bookmarkStart w:id="1710" w:name="_Toc198372943"/>
      <w:bookmarkStart w:id="1711" w:name="_Toc198373073"/>
      <w:bookmarkStart w:id="1712" w:name="_Toc198373241"/>
      <w:bookmarkStart w:id="1713" w:name="_Toc198627155"/>
      <w:bookmarkStart w:id="1714" w:name="_Toc198627261"/>
      <w:bookmarkStart w:id="1715" w:name="_Toc216090722"/>
      <w:bookmarkStart w:id="1716" w:name="_Toc226958228"/>
      <w:bookmarkStart w:id="1717" w:name="_Toc227038288"/>
      <w:bookmarkStart w:id="1718" w:name="_Toc254792594"/>
      <w:bookmarkStart w:id="1719" w:name="_Toc256669718"/>
      <w:bookmarkStart w:id="1720" w:name="_Toc257213251"/>
      <w:bookmarkStart w:id="1721" w:name="_Toc257277753"/>
      <w:bookmarkStart w:id="1722" w:name="_Toc257278714"/>
      <w:bookmarkStart w:id="1723" w:name="_Toc257278924"/>
      <w:bookmarkStart w:id="1724" w:name="_Toc257279292"/>
      <w:bookmarkStart w:id="1725" w:name="_Toc257382936"/>
      <w:bookmarkStart w:id="1726" w:name="_Toc274056193"/>
      <w:bookmarkStart w:id="1727" w:name="_Toc276657598"/>
      <w:bookmarkStart w:id="1728" w:name="_Toc278366444"/>
      <w:bookmarkStart w:id="1729" w:name="_Toc307584040"/>
      <w:bookmarkStart w:id="1730" w:name="_Toc307937314"/>
      <w:bookmarkStart w:id="1731" w:name="_Toc348508754"/>
      <w:bookmarkStart w:id="1732" w:name="_Toc362256760"/>
      <w:bookmarkStart w:id="1733" w:name="_Toc366056516"/>
      <w:bookmarkStart w:id="1734" w:name="_Toc366223719"/>
      <w:bookmarkStart w:id="1735" w:name="_Toc366229432"/>
      <w:bookmarkStart w:id="1736" w:name="_Toc366583476"/>
      <w:r w:rsidRPr="00565537">
        <w:t>Optional Applicant Status Identification</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rsidR="007C3C8F" w:rsidRPr="00A65F60" w:rsidRDefault="000D72B7" w:rsidP="00C07C81">
      <w:pPr>
        <w:pStyle w:val="ParaNum"/>
        <w:widowControl/>
        <w:tabs>
          <w:tab w:val="clear" w:pos="1260"/>
          <w:tab w:val="left" w:pos="1440"/>
        </w:tabs>
        <w:ind w:left="0"/>
      </w:pPr>
      <w:r w:rsidRPr="00EA18D2">
        <w:rPr>
          <w:szCs w:val="22"/>
        </w:rPr>
        <w:t xml:space="preserve">Applicants owned by members of minority groups and/or women, as defined in </w:t>
      </w:r>
      <w:r w:rsidR="00415E2E" w:rsidRPr="00EA18D2">
        <w:rPr>
          <w:szCs w:val="22"/>
        </w:rPr>
        <w:t>s</w:t>
      </w:r>
      <w:r w:rsidRPr="00EA18D2">
        <w:rPr>
          <w:szCs w:val="22"/>
        </w:rPr>
        <w:t>ection 1.2110(c)(3),</w:t>
      </w:r>
      <w:bookmarkStart w:id="1737" w:name="OLE_LINK3"/>
      <w:r w:rsidRPr="00CA6286">
        <w:rPr>
          <w:rStyle w:val="FootnoteReference"/>
          <w:szCs w:val="22"/>
        </w:rPr>
        <w:footnoteReference w:id="141"/>
      </w:r>
      <w:bookmarkEnd w:id="1737"/>
      <w:r w:rsidRPr="00EA18D2">
        <w:rPr>
          <w:szCs w:val="22"/>
        </w:rPr>
        <w:t xml:space="preserve"> </w:t>
      </w:r>
      <w:r w:rsidR="002D5EAE" w:rsidRPr="00EA18D2">
        <w:rPr>
          <w:szCs w:val="22"/>
        </w:rPr>
        <w:t xml:space="preserve">and rural telephone companies, as defined in </w:t>
      </w:r>
      <w:r w:rsidR="00415E2E" w:rsidRPr="00EA18D2">
        <w:rPr>
          <w:szCs w:val="22"/>
        </w:rPr>
        <w:t>s</w:t>
      </w:r>
      <w:r w:rsidR="002D5EAE" w:rsidRPr="00EA18D2">
        <w:rPr>
          <w:szCs w:val="22"/>
        </w:rPr>
        <w:t>ection 1.2110(c)(4),</w:t>
      </w:r>
      <w:r w:rsidR="002D5EAE" w:rsidRPr="00EA18D2">
        <w:rPr>
          <w:rStyle w:val="FootnoteReference"/>
          <w:szCs w:val="22"/>
        </w:rPr>
        <w:t xml:space="preserve"> </w:t>
      </w:r>
      <w:r w:rsidR="002D5EAE" w:rsidRPr="00CA6286">
        <w:rPr>
          <w:rStyle w:val="FootnoteReference"/>
          <w:szCs w:val="22"/>
        </w:rPr>
        <w:footnoteReference w:id="142"/>
      </w:r>
      <w:r w:rsidR="002D5EAE" w:rsidRPr="00EA18D2">
        <w:rPr>
          <w:szCs w:val="22"/>
        </w:rPr>
        <w:t xml:space="preserve"> </w:t>
      </w:r>
      <w:r w:rsidRPr="00EA18D2">
        <w:rPr>
          <w:szCs w:val="22"/>
        </w:rPr>
        <w:t xml:space="preserve">may identify themselves </w:t>
      </w:r>
      <w:r w:rsidR="006D4E17" w:rsidRPr="00EA18D2">
        <w:rPr>
          <w:szCs w:val="22"/>
        </w:rPr>
        <w:t xml:space="preserve">regarding this status </w:t>
      </w:r>
      <w:r w:rsidRPr="00EA18D2">
        <w:rPr>
          <w:szCs w:val="22"/>
        </w:rPr>
        <w:t>in filling out their short-form applications.  This applicant status information is collected for statistical purposes only and assists the Commission in monitoring the participation of “designated entities” in its auctions.</w:t>
      </w:r>
      <w:r w:rsidRPr="00CA6286">
        <w:rPr>
          <w:rStyle w:val="FootnoteReference"/>
          <w:szCs w:val="22"/>
        </w:rPr>
        <w:footnoteReference w:id="143"/>
      </w:r>
      <w:r w:rsidRPr="00EA18D2">
        <w:rPr>
          <w:szCs w:val="22"/>
        </w:rPr>
        <w:t xml:space="preserve">  </w:t>
      </w:r>
      <w:bookmarkStart w:id="1738" w:name="_Toc198007709"/>
      <w:bookmarkStart w:id="1739" w:name="_Toc198007860"/>
      <w:bookmarkStart w:id="1740" w:name="_Toc198008212"/>
      <w:bookmarkStart w:id="1741" w:name="_Toc198008349"/>
      <w:bookmarkStart w:id="1742" w:name="_Toc198008896"/>
      <w:bookmarkStart w:id="1743" w:name="_Toc198369792"/>
      <w:bookmarkStart w:id="1744" w:name="_Toc198369929"/>
      <w:bookmarkStart w:id="1745" w:name="_Toc198372841"/>
      <w:bookmarkStart w:id="1746" w:name="_Toc198372944"/>
      <w:bookmarkStart w:id="1747" w:name="_Toc198373074"/>
      <w:bookmarkStart w:id="1748" w:name="_Toc198373242"/>
      <w:bookmarkStart w:id="1749" w:name="_Toc198627156"/>
      <w:bookmarkStart w:id="1750" w:name="_Toc198627262"/>
      <w:bookmarkStart w:id="1751" w:name="_Toc216090723"/>
      <w:bookmarkStart w:id="1752" w:name="_Toc226958229"/>
      <w:bookmarkStart w:id="1753" w:name="_Toc227038289"/>
      <w:bookmarkStart w:id="1754" w:name="_Toc254792595"/>
      <w:bookmarkStart w:id="1755" w:name="_Toc256669719"/>
      <w:bookmarkStart w:id="1756" w:name="_Toc257213252"/>
      <w:bookmarkStart w:id="1757" w:name="_Toc257277754"/>
      <w:bookmarkStart w:id="1758" w:name="_Toc257278715"/>
      <w:bookmarkStart w:id="1759" w:name="_Toc257278925"/>
      <w:bookmarkStart w:id="1760" w:name="_Toc257279293"/>
      <w:bookmarkStart w:id="1761" w:name="_Toc257382937"/>
      <w:bookmarkStart w:id="1762" w:name="_Toc274056194"/>
    </w:p>
    <w:p w:rsidR="000D72B7" w:rsidRPr="00AA2B80" w:rsidRDefault="000D72B7" w:rsidP="00C07C81">
      <w:pPr>
        <w:pStyle w:val="Heading2"/>
        <w:widowControl/>
      </w:pPr>
      <w:bookmarkStart w:id="1763" w:name="_Toc276657600"/>
      <w:bookmarkStart w:id="1764" w:name="_Toc278366446"/>
      <w:bookmarkStart w:id="1765" w:name="_Toc307584042"/>
      <w:bookmarkStart w:id="1766" w:name="_Toc307937316"/>
      <w:bookmarkStart w:id="1767" w:name="_Toc348508755"/>
      <w:bookmarkStart w:id="1768" w:name="_Toc362256761"/>
      <w:bookmarkStart w:id="1769" w:name="_Toc366056517"/>
      <w:bookmarkStart w:id="1770" w:name="_Toc366223720"/>
      <w:bookmarkStart w:id="1771" w:name="_Toc366229433"/>
      <w:bookmarkStart w:id="1772" w:name="_Toc366583477"/>
      <w:r w:rsidRPr="00AA2B80">
        <w:t>Minor Modifications to Short-Form Applications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rsidR="00B454BD" w:rsidRPr="002774E9" w:rsidRDefault="00E26DC3" w:rsidP="00C07C81">
      <w:pPr>
        <w:pStyle w:val="ParaNum"/>
        <w:widowControl/>
        <w:tabs>
          <w:tab w:val="clear" w:pos="1260"/>
          <w:tab w:val="left" w:pos="1440"/>
        </w:tabs>
        <w:ind w:left="0"/>
        <w:rPr>
          <w:szCs w:val="22"/>
        </w:rPr>
      </w:pPr>
      <w:r w:rsidRPr="00AA2B80">
        <w:rPr>
          <w:szCs w:val="22"/>
        </w:rPr>
        <w:t xml:space="preserve">After </w:t>
      </w:r>
      <w:r w:rsidRPr="002774E9">
        <w:rPr>
          <w:szCs w:val="22"/>
        </w:rPr>
        <w:t xml:space="preserve">the deadline for filing </w:t>
      </w:r>
      <w:r w:rsidR="00B85010" w:rsidRPr="002774E9">
        <w:rPr>
          <w:szCs w:val="22"/>
        </w:rPr>
        <w:t>initial applications</w:t>
      </w:r>
      <w:r w:rsidRPr="002774E9">
        <w:rPr>
          <w:szCs w:val="22"/>
        </w:rPr>
        <w:t xml:space="preserve">, </w:t>
      </w:r>
      <w:r w:rsidR="00B85010" w:rsidRPr="002774E9">
        <w:rPr>
          <w:szCs w:val="22"/>
        </w:rPr>
        <w:t xml:space="preserve">an Auction </w:t>
      </w:r>
      <w:r w:rsidR="00CC0081">
        <w:rPr>
          <w:szCs w:val="22"/>
        </w:rPr>
        <w:t>9</w:t>
      </w:r>
      <w:r w:rsidR="00530B79">
        <w:rPr>
          <w:szCs w:val="22"/>
        </w:rPr>
        <w:t>6</w:t>
      </w:r>
      <w:r w:rsidR="00B85010" w:rsidRPr="002774E9">
        <w:rPr>
          <w:szCs w:val="22"/>
        </w:rPr>
        <w:t xml:space="preserve"> </w:t>
      </w:r>
      <w:r w:rsidRPr="002774E9">
        <w:rPr>
          <w:szCs w:val="22"/>
        </w:rPr>
        <w:t xml:space="preserve">applicant </w:t>
      </w:r>
      <w:r w:rsidR="00B85010" w:rsidRPr="002774E9">
        <w:rPr>
          <w:szCs w:val="22"/>
        </w:rPr>
        <w:t>is</w:t>
      </w:r>
      <w:r w:rsidRPr="002774E9">
        <w:rPr>
          <w:szCs w:val="22"/>
        </w:rPr>
        <w:t xml:space="preserve"> permitted to make only minor changes to </w:t>
      </w:r>
      <w:r w:rsidR="00B85010" w:rsidRPr="002774E9">
        <w:rPr>
          <w:szCs w:val="22"/>
        </w:rPr>
        <w:t>its</w:t>
      </w:r>
      <w:r w:rsidRPr="002774E9">
        <w:rPr>
          <w:szCs w:val="22"/>
        </w:rPr>
        <w:t xml:space="preserve"> application.  </w:t>
      </w:r>
      <w:r w:rsidR="00F53DF5" w:rsidRPr="002774E9">
        <w:rPr>
          <w:szCs w:val="22"/>
        </w:rPr>
        <w:t xml:space="preserve">Permissible minor changes include, among other things, deletion and addition of authorized bidders (to a maximum of three) and revision of addresses and telephone numbers of the applicants and their contact persons.  </w:t>
      </w:r>
      <w:r w:rsidR="000D72B7" w:rsidRPr="002774E9">
        <w:rPr>
          <w:szCs w:val="22"/>
        </w:rPr>
        <w:t>A</w:t>
      </w:r>
      <w:r w:rsidR="00A410F3" w:rsidRPr="002774E9">
        <w:rPr>
          <w:szCs w:val="22"/>
        </w:rPr>
        <w:t>n a</w:t>
      </w:r>
      <w:r w:rsidR="000D72B7" w:rsidRPr="002774E9">
        <w:rPr>
          <w:szCs w:val="22"/>
        </w:rPr>
        <w:t xml:space="preserve">pplicant </w:t>
      </w:r>
      <w:r w:rsidR="00A410F3" w:rsidRPr="002774E9">
        <w:rPr>
          <w:szCs w:val="22"/>
        </w:rPr>
        <w:t>is</w:t>
      </w:r>
      <w:r w:rsidR="000D72B7" w:rsidRPr="002774E9">
        <w:rPr>
          <w:szCs w:val="22"/>
        </w:rPr>
        <w:t xml:space="preserve"> not permitted to make </w:t>
      </w:r>
      <w:r w:rsidR="00A410F3" w:rsidRPr="002774E9">
        <w:rPr>
          <w:szCs w:val="22"/>
        </w:rPr>
        <w:t xml:space="preserve">a </w:t>
      </w:r>
      <w:r w:rsidR="000D72B7" w:rsidRPr="002774E9">
        <w:rPr>
          <w:szCs w:val="22"/>
        </w:rPr>
        <w:t xml:space="preserve">major modification to </w:t>
      </w:r>
      <w:r w:rsidR="00A410F3" w:rsidRPr="002774E9">
        <w:rPr>
          <w:szCs w:val="22"/>
        </w:rPr>
        <w:t>its</w:t>
      </w:r>
      <w:r w:rsidR="000D72B7" w:rsidRPr="002774E9">
        <w:rPr>
          <w:szCs w:val="22"/>
        </w:rPr>
        <w:t xml:space="preserve"> application (e.g., </w:t>
      </w:r>
      <w:r w:rsidR="00906241">
        <w:rPr>
          <w:szCs w:val="22"/>
        </w:rPr>
        <w:t xml:space="preserve">change </w:t>
      </w:r>
      <w:r w:rsidR="008521C9">
        <w:rPr>
          <w:szCs w:val="22"/>
        </w:rPr>
        <w:t xml:space="preserve">of </w:t>
      </w:r>
      <w:r w:rsidR="0082752E">
        <w:rPr>
          <w:szCs w:val="22"/>
        </w:rPr>
        <w:t>license</w:t>
      </w:r>
      <w:r w:rsidR="00906241">
        <w:rPr>
          <w:szCs w:val="22"/>
        </w:rPr>
        <w:t xml:space="preserve"> selection, </w:t>
      </w:r>
      <w:r w:rsidR="000D72B7" w:rsidRPr="002774E9">
        <w:rPr>
          <w:szCs w:val="22"/>
        </w:rPr>
        <w:t xml:space="preserve">change control of the applicant, change the certifying official, </w:t>
      </w:r>
      <w:r w:rsidR="0082752E">
        <w:rPr>
          <w:szCs w:val="22"/>
        </w:rPr>
        <w:t xml:space="preserve">or </w:t>
      </w:r>
      <w:r w:rsidR="000D72B7" w:rsidRPr="002774E9">
        <w:rPr>
          <w:szCs w:val="22"/>
        </w:rPr>
        <w:t>claim eligibility for a higher</w:t>
      </w:r>
      <w:r w:rsidR="00B454BD" w:rsidRPr="002774E9">
        <w:rPr>
          <w:szCs w:val="22"/>
        </w:rPr>
        <w:t xml:space="preserve"> percentage of</w:t>
      </w:r>
      <w:r w:rsidR="000D72B7" w:rsidRPr="002774E9">
        <w:rPr>
          <w:szCs w:val="22"/>
        </w:rPr>
        <w:t xml:space="preserve"> bidding credit) after the </w:t>
      </w:r>
      <w:r w:rsidR="00B85010" w:rsidRPr="002774E9">
        <w:rPr>
          <w:szCs w:val="22"/>
        </w:rPr>
        <w:t>initial</w:t>
      </w:r>
      <w:r w:rsidR="000D72B7" w:rsidRPr="002774E9">
        <w:rPr>
          <w:szCs w:val="22"/>
        </w:rPr>
        <w:t xml:space="preserve"> application</w:t>
      </w:r>
      <w:r w:rsidR="00B85010" w:rsidRPr="002774E9">
        <w:rPr>
          <w:szCs w:val="22"/>
        </w:rPr>
        <w:t xml:space="preserve"> </w:t>
      </w:r>
      <w:r w:rsidR="00D74281" w:rsidRPr="002774E9">
        <w:rPr>
          <w:szCs w:val="22"/>
        </w:rPr>
        <w:t>filing</w:t>
      </w:r>
      <w:r w:rsidR="000D72B7" w:rsidRPr="002774E9">
        <w:rPr>
          <w:szCs w:val="22"/>
        </w:rPr>
        <w:t xml:space="preserve"> deadline.</w:t>
      </w:r>
      <w:r w:rsidR="000D72B7" w:rsidRPr="002774E9">
        <w:rPr>
          <w:rStyle w:val="FootnoteReference"/>
          <w:szCs w:val="22"/>
        </w:rPr>
        <w:footnoteReference w:id="144"/>
      </w:r>
      <w:r w:rsidR="000D72B7" w:rsidRPr="002774E9">
        <w:rPr>
          <w:szCs w:val="22"/>
        </w:rPr>
        <w:t xml:space="preserve">  Thus, </w:t>
      </w:r>
      <w:r w:rsidR="000D72B7" w:rsidRPr="00A65F60">
        <w:rPr>
          <w:szCs w:val="22"/>
        </w:rPr>
        <w:t>any change in control of an applicant</w:t>
      </w:r>
      <w:r w:rsidR="000048B1" w:rsidRPr="00A65F60">
        <w:rPr>
          <w:szCs w:val="22"/>
        </w:rPr>
        <w:t xml:space="preserve"> —</w:t>
      </w:r>
      <w:r w:rsidR="000D72B7" w:rsidRPr="00A65F60">
        <w:rPr>
          <w:szCs w:val="22"/>
        </w:rPr>
        <w:t xml:space="preserve"> resulting from a merger</w:t>
      </w:r>
      <w:r w:rsidR="000048B1" w:rsidRPr="00A65F60">
        <w:rPr>
          <w:szCs w:val="22"/>
        </w:rPr>
        <w:t>,</w:t>
      </w:r>
      <w:r w:rsidR="000D72B7" w:rsidRPr="00A65F60">
        <w:rPr>
          <w:szCs w:val="22"/>
        </w:rPr>
        <w:t xml:space="preserve"> for example</w:t>
      </w:r>
      <w:r w:rsidR="000048B1" w:rsidRPr="00A65F60">
        <w:rPr>
          <w:szCs w:val="22"/>
        </w:rPr>
        <w:t xml:space="preserve"> —</w:t>
      </w:r>
      <w:r w:rsidR="000D72B7" w:rsidRPr="00A65F60">
        <w:rPr>
          <w:szCs w:val="22"/>
        </w:rPr>
        <w:t xml:space="preserve"> will be considered a major modification</w:t>
      </w:r>
      <w:r w:rsidR="000048B1" w:rsidRPr="00A65F60">
        <w:rPr>
          <w:szCs w:val="22"/>
        </w:rPr>
        <w:t>,</w:t>
      </w:r>
      <w:r w:rsidR="0050561E" w:rsidRPr="00A65F60">
        <w:rPr>
          <w:szCs w:val="22"/>
        </w:rPr>
        <w:t xml:space="preserve"> and the application</w:t>
      </w:r>
      <w:r w:rsidR="000D72B7" w:rsidRPr="00A65F60">
        <w:rPr>
          <w:szCs w:val="22"/>
        </w:rPr>
        <w:t xml:space="preserve"> will consequently</w:t>
      </w:r>
      <w:r w:rsidR="000D72B7" w:rsidRPr="002774E9">
        <w:rPr>
          <w:szCs w:val="22"/>
        </w:rPr>
        <w:t xml:space="preserve"> be dismissed.</w:t>
      </w:r>
      <w:r w:rsidR="000D72B7" w:rsidRPr="002774E9">
        <w:rPr>
          <w:rStyle w:val="FootnoteReference"/>
          <w:szCs w:val="22"/>
        </w:rPr>
        <w:footnoteReference w:id="145"/>
      </w:r>
      <w:r w:rsidR="002130AD">
        <w:rPr>
          <w:szCs w:val="22"/>
        </w:rPr>
        <w:t xml:space="preserve"> </w:t>
      </w:r>
      <w:r w:rsidR="00EB3ADC" w:rsidRPr="002774E9">
        <w:rPr>
          <w:szCs w:val="22"/>
        </w:rPr>
        <w:t xml:space="preserve"> </w:t>
      </w:r>
    </w:p>
    <w:p w:rsidR="00DA0C1B" w:rsidRPr="002774E9" w:rsidRDefault="00DA0C1B" w:rsidP="00C07C81">
      <w:pPr>
        <w:pStyle w:val="ParaNum"/>
        <w:widowControl/>
        <w:tabs>
          <w:tab w:val="clear" w:pos="1260"/>
          <w:tab w:val="left" w:pos="1440"/>
        </w:tabs>
        <w:ind w:left="0"/>
        <w:rPr>
          <w:szCs w:val="22"/>
        </w:rPr>
      </w:pPr>
      <w:r w:rsidRPr="002774E9">
        <w:rPr>
          <w:szCs w:val="22"/>
        </w:rPr>
        <w:t xml:space="preserve">If an applicant wishes to make permissible minor changes to its short-form application, such changes should be made electronically to its short-form application using the FCC Auction System whenever possible.  </w:t>
      </w:r>
      <w:r w:rsidR="00D16814">
        <w:rPr>
          <w:szCs w:val="22"/>
        </w:rPr>
        <w:t>For the change to be submitted and considered by the Commission, be sure</w:t>
      </w:r>
      <w:r w:rsidRPr="002774E9">
        <w:rPr>
          <w:szCs w:val="22"/>
        </w:rPr>
        <w:t xml:space="preserve"> to click on the SUBMIT button</w:t>
      </w:r>
      <w:r w:rsidR="00D16814">
        <w:rPr>
          <w:szCs w:val="22"/>
        </w:rPr>
        <w:t>.</w:t>
      </w:r>
      <w:r w:rsidRPr="002774E9">
        <w:rPr>
          <w:szCs w:val="22"/>
        </w:rPr>
        <w:t xml:space="preserve">  After the revised application has been submitted, a confirmation page will be displayed stat</w:t>
      </w:r>
      <w:r w:rsidR="00103C2D">
        <w:rPr>
          <w:szCs w:val="22"/>
        </w:rPr>
        <w:t>ing</w:t>
      </w:r>
      <w:r w:rsidRPr="002774E9">
        <w:rPr>
          <w:szCs w:val="22"/>
        </w:rPr>
        <w:t xml:space="preserve"> the submission time</w:t>
      </w:r>
      <w:r w:rsidR="00EB3ADC" w:rsidRPr="002774E9">
        <w:rPr>
          <w:szCs w:val="22"/>
        </w:rPr>
        <w:t xml:space="preserve">, submission </w:t>
      </w:r>
      <w:r w:rsidRPr="002774E9">
        <w:rPr>
          <w:szCs w:val="22"/>
        </w:rPr>
        <w:t>date</w:t>
      </w:r>
      <w:r w:rsidR="00EB3ADC" w:rsidRPr="002774E9">
        <w:rPr>
          <w:szCs w:val="22"/>
        </w:rPr>
        <w:t xml:space="preserve">, and </w:t>
      </w:r>
      <w:r w:rsidRPr="002774E9">
        <w:rPr>
          <w:szCs w:val="22"/>
        </w:rPr>
        <w:t>a unique file number.</w:t>
      </w:r>
      <w:r w:rsidRPr="002774E9">
        <w:rPr>
          <w:rStyle w:val="FootnoteReference"/>
          <w:szCs w:val="22"/>
        </w:rPr>
        <w:footnoteReference w:id="146"/>
      </w:r>
      <w:r w:rsidRPr="002774E9">
        <w:rPr>
          <w:szCs w:val="22"/>
        </w:rPr>
        <w:t xml:space="preserve">  </w:t>
      </w:r>
    </w:p>
    <w:p w:rsidR="00DA0C1B" w:rsidRPr="00341DD7" w:rsidRDefault="00DA0C1B" w:rsidP="00C07C81">
      <w:pPr>
        <w:pStyle w:val="ParaNum"/>
        <w:widowControl/>
        <w:tabs>
          <w:tab w:val="clear" w:pos="1260"/>
          <w:tab w:val="left" w:pos="1440"/>
        </w:tabs>
        <w:ind w:left="0"/>
        <w:rPr>
          <w:szCs w:val="22"/>
        </w:rPr>
      </w:pPr>
      <w:r w:rsidRPr="002774E9">
        <w:rPr>
          <w:snapToGrid/>
          <w:szCs w:val="22"/>
        </w:rPr>
        <w:t>An applicant cannot use the FCC Auction System outside of the initial and resubmission</w:t>
      </w:r>
      <w:r w:rsidRPr="00341DD7">
        <w:rPr>
          <w:snapToGrid/>
          <w:szCs w:val="22"/>
        </w:rPr>
        <w:t xml:space="preserve"> filing windows to make changes </w:t>
      </w:r>
      <w:r w:rsidRPr="00341DD7">
        <w:rPr>
          <w:szCs w:val="22"/>
        </w:rPr>
        <w:t>to</w:t>
      </w:r>
      <w:r w:rsidRPr="00341DD7">
        <w:rPr>
          <w:snapToGrid/>
          <w:szCs w:val="22"/>
        </w:rPr>
        <w:t xml:space="preserve"> its short-form </w:t>
      </w:r>
      <w:r w:rsidRPr="00640E12">
        <w:rPr>
          <w:snapToGrid/>
          <w:szCs w:val="22"/>
        </w:rPr>
        <w:t xml:space="preserve">application </w:t>
      </w:r>
      <w:r w:rsidR="00103C2D" w:rsidRPr="00640E12">
        <w:rPr>
          <w:snapToGrid/>
          <w:szCs w:val="22"/>
        </w:rPr>
        <w:t xml:space="preserve">for </w:t>
      </w:r>
      <w:r w:rsidRPr="00640E12">
        <w:rPr>
          <w:snapToGrid/>
          <w:szCs w:val="22"/>
        </w:rPr>
        <w:t>other than administrative changes (e.g.</w:t>
      </w:r>
      <w:r w:rsidR="00F36AF6" w:rsidRPr="00640E12">
        <w:rPr>
          <w:snapToGrid/>
          <w:szCs w:val="22"/>
        </w:rPr>
        <w:t>,</w:t>
      </w:r>
      <w:r w:rsidRPr="00640E12">
        <w:rPr>
          <w:snapToGrid/>
          <w:szCs w:val="22"/>
        </w:rPr>
        <w:t xml:space="preserve"> changing certain contact information</w:t>
      </w:r>
      <w:r w:rsidR="00EB3ADC" w:rsidRPr="00640E12">
        <w:rPr>
          <w:snapToGrid/>
          <w:szCs w:val="22"/>
        </w:rPr>
        <w:t xml:space="preserve"> or the name of an authorized bidder</w:t>
      </w:r>
      <w:r w:rsidRPr="00640E12">
        <w:rPr>
          <w:snapToGrid/>
          <w:szCs w:val="22"/>
        </w:rPr>
        <w:t>).  If these or other permissible minor changes need to be made outside of these windows, the</w:t>
      </w:r>
      <w:r w:rsidRPr="00640E12">
        <w:rPr>
          <w:szCs w:val="22"/>
        </w:rPr>
        <w:t xml:space="preserve"> applicant must submit a letter briefly summarizing the changes and subsequently update its short-form application in </w:t>
      </w:r>
      <w:r w:rsidR="00103C2D" w:rsidRPr="00640E12">
        <w:rPr>
          <w:szCs w:val="22"/>
        </w:rPr>
        <w:t>the FCC Auction System</w:t>
      </w:r>
      <w:r w:rsidRPr="00341DD7">
        <w:rPr>
          <w:szCs w:val="22"/>
        </w:rPr>
        <w:t xml:space="preserve"> once </w:t>
      </w:r>
      <w:r w:rsidR="007F6847">
        <w:rPr>
          <w:szCs w:val="22"/>
        </w:rPr>
        <w:t xml:space="preserve">it </w:t>
      </w:r>
      <w:r w:rsidRPr="00341DD7">
        <w:rPr>
          <w:szCs w:val="22"/>
        </w:rPr>
        <w:t xml:space="preserve">is available.  </w:t>
      </w:r>
      <w:r w:rsidR="00906241">
        <w:rPr>
          <w:szCs w:val="22"/>
        </w:rPr>
        <w:t xml:space="preserve">Moreover, after the filing window has closed, </w:t>
      </w:r>
      <w:r w:rsidR="007F6847">
        <w:rPr>
          <w:szCs w:val="22"/>
        </w:rPr>
        <w:t>the system</w:t>
      </w:r>
      <w:r w:rsidR="00906241">
        <w:rPr>
          <w:szCs w:val="22"/>
        </w:rPr>
        <w:t xml:space="preserve"> will not permit applicants to make certain changes, such as the applicant’s legal classification and </w:t>
      </w:r>
      <w:r w:rsidR="0082752E">
        <w:rPr>
          <w:szCs w:val="22"/>
        </w:rPr>
        <w:t>license selections</w:t>
      </w:r>
      <w:r w:rsidR="00906241">
        <w:rPr>
          <w:szCs w:val="22"/>
        </w:rPr>
        <w:t>.</w:t>
      </w:r>
    </w:p>
    <w:p w:rsidR="000D72B7" w:rsidRPr="001C2E9C" w:rsidRDefault="000D72B7" w:rsidP="00C07C81">
      <w:pPr>
        <w:pStyle w:val="ParaNum"/>
        <w:widowControl/>
        <w:tabs>
          <w:tab w:val="clear" w:pos="1260"/>
          <w:tab w:val="left" w:pos="1440"/>
        </w:tabs>
        <w:ind w:left="0"/>
        <w:rPr>
          <w:szCs w:val="22"/>
        </w:rPr>
      </w:pPr>
      <w:r w:rsidRPr="00341DD7">
        <w:rPr>
          <w:szCs w:val="22"/>
        </w:rPr>
        <w:t xml:space="preserve">Any letter </w:t>
      </w:r>
      <w:r w:rsidRPr="00A65F60">
        <w:rPr>
          <w:szCs w:val="22"/>
        </w:rPr>
        <w:t xml:space="preserve">describing changes to an applicant’s short-form application </w:t>
      </w:r>
      <w:r w:rsidR="00657E92" w:rsidRPr="00A65F60">
        <w:rPr>
          <w:szCs w:val="22"/>
        </w:rPr>
        <w:t>must</w:t>
      </w:r>
      <w:r w:rsidRPr="00A65F60">
        <w:rPr>
          <w:szCs w:val="22"/>
        </w:rPr>
        <w:t xml:space="preserve"> be submitted by e</w:t>
      </w:r>
      <w:r w:rsidRPr="00A65F60">
        <w:rPr>
          <w:szCs w:val="22"/>
        </w:rPr>
        <w:noBreakHyphen/>
        <w:t xml:space="preserve">mail to </w:t>
      </w:r>
      <w:hyperlink r:id="rId15" w:history="1">
        <w:r w:rsidR="00530B79" w:rsidRPr="000C26E0">
          <w:rPr>
            <w:rStyle w:val="Hyperlink"/>
            <w:szCs w:val="22"/>
          </w:rPr>
          <w:t>auction96@fcc.gov</w:t>
        </w:r>
      </w:hyperlink>
      <w:r w:rsidRPr="00A65F60">
        <w:rPr>
          <w:szCs w:val="22"/>
        </w:rPr>
        <w:t>.  The e</w:t>
      </w:r>
      <w:r w:rsidRPr="00A65F60">
        <w:rPr>
          <w:szCs w:val="22"/>
        </w:rPr>
        <w:noBreakHyphen/>
        <w:t xml:space="preserve">mail summarizing the changes must include a subject or caption referring to Auction </w:t>
      </w:r>
      <w:r w:rsidR="00CC0081" w:rsidRPr="00A65F60">
        <w:rPr>
          <w:szCs w:val="22"/>
        </w:rPr>
        <w:t>9</w:t>
      </w:r>
      <w:r w:rsidR="00530B79">
        <w:rPr>
          <w:szCs w:val="22"/>
        </w:rPr>
        <w:t>6</w:t>
      </w:r>
      <w:r w:rsidRPr="00A65F60">
        <w:rPr>
          <w:szCs w:val="22"/>
        </w:rPr>
        <w:t xml:space="preserve"> and the name of the applicant</w:t>
      </w:r>
      <w:r w:rsidR="00870375" w:rsidRPr="00A65F60">
        <w:rPr>
          <w:szCs w:val="22"/>
        </w:rPr>
        <w:t>,</w:t>
      </w:r>
      <w:r w:rsidRPr="00A65F60">
        <w:rPr>
          <w:szCs w:val="22"/>
        </w:rPr>
        <w:t xml:space="preserve"> for example, “R</w:t>
      </w:r>
      <w:r w:rsidR="007A1B6B" w:rsidRPr="00A65F60">
        <w:rPr>
          <w:szCs w:val="22"/>
        </w:rPr>
        <w:t>e</w:t>
      </w:r>
      <w:r w:rsidRPr="00A65F60">
        <w:rPr>
          <w:szCs w:val="22"/>
        </w:rPr>
        <w:t xml:space="preserve">: Changes to Auction </w:t>
      </w:r>
      <w:r w:rsidR="00D504B9" w:rsidRPr="00A65F60">
        <w:rPr>
          <w:szCs w:val="22"/>
        </w:rPr>
        <w:t>9</w:t>
      </w:r>
      <w:r w:rsidR="00530B79">
        <w:rPr>
          <w:szCs w:val="22"/>
        </w:rPr>
        <w:t>6</w:t>
      </w:r>
      <w:r w:rsidRPr="001C2E9C">
        <w:rPr>
          <w:szCs w:val="22"/>
        </w:rPr>
        <w:t xml:space="preserve"> Short-Form Application of ABC Corp.”  The Bureau request</w:t>
      </w:r>
      <w:r w:rsidR="00F50F17">
        <w:rPr>
          <w:szCs w:val="22"/>
        </w:rPr>
        <w:t>s</w:t>
      </w:r>
      <w:r w:rsidRPr="001C2E9C">
        <w:rPr>
          <w:szCs w:val="22"/>
        </w:rPr>
        <w:t xml:space="preserve"> that parties format any attachments to </w:t>
      </w:r>
      <w:r>
        <w:rPr>
          <w:szCs w:val="22"/>
        </w:rPr>
        <w:t>e-</w:t>
      </w:r>
      <w:r w:rsidRPr="001C2E9C">
        <w:rPr>
          <w:szCs w:val="22"/>
        </w:rPr>
        <w:t>mail as Adobe</w:t>
      </w:r>
      <w:r w:rsidRPr="001C2E9C">
        <w:rPr>
          <w:szCs w:val="22"/>
          <w:vertAlign w:val="superscript"/>
        </w:rPr>
        <w:t>®</w:t>
      </w:r>
      <w:r w:rsidRPr="001C2E9C">
        <w:rPr>
          <w:szCs w:val="22"/>
        </w:rPr>
        <w:t xml:space="preserve"> Acrobat</w:t>
      </w:r>
      <w:r w:rsidRPr="001C2E9C">
        <w:rPr>
          <w:szCs w:val="22"/>
          <w:vertAlign w:val="superscript"/>
        </w:rPr>
        <w:t>®</w:t>
      </w:r>
      <w:r w:rsidRPr="001C2E9C">
        <w:rPr>
          <w:szCs w:val="22"/>
        </w:rPr>
        <w:t xml:space="preserve"> (pdf) or Microsoft</w:t>
      </w:r>
      <w:r w:rsidRPr="001C2E9C">
        <w:rPr>
          <w:szCs w:val="22"/>
          <w:vertAlign w:val="superscript"/>
        </w:rPr>
        <w:t>®</w:t>
      </w:r>
      <w:r w:rsidRPr="001C2E9C">
        <w:rPr>
          <w:szCs w:val="22"/>
        </w:rPr>
        <w:t xml:space="preserve"> Word documents.  Questions about short-form application amendments should be directed to the Auctions and Spectrum Access Division at (202) 418-0660.  </w:t>
      </w:r>
    </w:p>
    <w:p w:rsidR="004830B2" w:rsidRPr="00751E21" w:rsidRDefault="00B919B9" w:rsidP="00751E21">
      <w:pPr>
        <w:pStyle w:val="ParaNum"/>
        <w:widowControl/>
        <w:tabs>
          <w:tab w:val="clear" w:pos="1260"/>
          <w:tab w:val="left" w:pos="1440"/>
        </w:tabs>
        <w:ind w:left="0"/>
        <w:rPr>
          <w:szCs w:val="22"/>
        </w:rPr>
      </w:pPr>
      <w:r>
        <w:rPr>
          <w:szCs w:val="22"/>
        </w:rPr>
        <w:t>As with the short-form application, a</w:t>
      </w:r>
      <w:r w:rsidR="00DA0C1B" w:rsidRPr="000E3CA6">
        <w:rPr>
          <w:szCs w:val="22"/>
        </w:rPr>
        <w:t>ny application amendment and related statements of fact must be certified</w:t>
      </w:r>
      <w:r w:rsidR="00751E21">
        <w:rPr>
          <w:szCs w:val="22"/>
        </w:rPr>
        <w:t xml:space="preserve"> by </w:t>
      </w:r>
      <w:r>
        <w:rPr>
          <w:szCs w:val="22"/>
        </w:rPr>
        <w:t xml:space="preserve">an authorized representative of the applicant with </w:t>
      </w:r>
      <w:r w:rsidR="00751E21">
        <w:rPr>
          <w:szCs w:val="22"/>
        </w:rPr>
        <w:t>authority to bind the applicant</w:t>
      </w:r>
      <w:r w:rsidR="00DA0C1B" w:rsidRPr="002774E9">
        <w:rPr>
          <w:szCs w:val="22"/>
        </w:rPr>
        <w:t>.</w:t>
      </w:r>
      <w:r w:rsidR="00751E21">
        <w:rPr>
          <w:szCs w:val="22"/>
        </w:rPr>
        <w:t xml:space="preserve">  </w:t>
      </w:r>
      <w:r w:rsidR="00751E21" w:rsidRPr="001C2E9C">
        <w:rPr>
          <w:szCs w:val="22"/>
        </w:rPr>
        <w:t>Applicants should note that submission of a</w:t>
      </w:r>
      <w:r w:rsidR="00751E21">
        <w:rPr>
          <w:szCs w:val="22"/>
        </w:rPr>
        <w:t>ny</w:t>
      </w:r>
      <w:r w:rsidR="00751E21" w:rsidRPr="001C2E9C">
        <w:rPr>
          <w:szCs w:val="22"/>
        </w:rPr>
        <w:t xml:space="preserve"> </w:t>
      </w:r>
      <w:r w:rsidR="00751E21">
        <w:rPr>
          <w:szCs w:val="22"/>
        </w:rPr>
        <w:t xml:space="preserve">such amendment or related statement of fact </w:t>
      </w:r>
      <w:r w:rsidR="00751E21" w:rsidRPr="001C2E9C">
        <w:rPr>
          <w:szCs w:val="22"/>
        </w:rPr>
        <w:t xml:space="preserve">constitutes a representation by the </w:t>
      </w:r>
      <w:r w:rsidR="00751E21">
        <w:rPr>
          <w:szCs w:val="22"/>
        </w:rPr>
        <w:t xml:space="preserve">person </w:t>
      </w:r>
      <w:r w:rsidR="00751E21" w:rsidRPr="001C2E9C">
        <w:rPr>
          <w:szCs w:val="22"/>
        </w:rPr>
        <w:t xml:space="preserve">certifying </w:t>
      </w:r>
      <w:r w:rsidR="00751E21">
        <w:rPr>
          <w:szCs w:val="22"/>
        </w:rPr>
        <w:t xml:space="preserve">that he or she </w:t>
      </w:r>
      <w:r>
        <w:rPr>
          <w:szCs w:val="22"/>
        </w:rPr>
        <w:t>is an authorized representative with</w:t>
      </w:r>
      <w:r w:rsidR="00751E21">
        <w:rPr>
          <w:szCs w:val="22"/>
        </w:rPr>
        <w:t xml:space="preserve"> such authority</w:t>
      </w:r>
      <w:r>
        <w:rPr>
          <w:szCs w:val="22"/>
        </w:rPr>
        <w:t>,</w:t>
      </w:r>
      <w:r w:rsidR="00751E21">
        <w:rPr>
          <w:szCs w:val="22"/>
        </w:rPr>
        <w:t xml:space="preserve"> and that </w:t>
      </w:r>
      <w:r w:rsidR="00751E21" w:rsidRPr="001C2E9C">
        <w:rPr>
          <w:szCs w:val="22"/>
        </w:rPr>
        <w:t xml:space="preserve">the contents of the </w:t>
      </w:r>
      <w:r w:rsidR="00751E21">
        <w:rPr>
          <w:szCs w:val="22"/>
        </w:rPr>
        <w:t xml:space="preserve">amendment or statement of fact </w:t>
      </w:r>
      <w:r w:rsidR="00751E21" w:rsidRPr="001C2E9C">
        <w:rPr>
          <w:szCs w:val="22"/>
        </w:rPr>
        <w:t>are true and correct.</w:t>
      </w:r>
      <w:r w:rsidR="004830B2" w:rsidRPr="00751E21">
        <w:rPr>
          <w:szCs w:val="22"/>
        </w:rPr>
        <w:t xml:space="preserve">  </w:t>
      </w:r>
    </w:p>
    <w:p w:rsidR="000D72B7" w:rsidRPr="002774E9" w:rsidRDefault="00EB3ADC" w:rsidP="00C07C81">
      <w:pPr>
        <w:pStyle w:val="ParaNum"/>
        <w:widowControl/>
        <w:tabs>
          <w:tab w:val="clear" w:pos="1260"/>
          <w:tab w:val="left" w:pos="1440"/>
        </w:tabs>
        <w:ind w:left="0"/>
        <w:rPr>
          <w:szCs w:val="22"/>
        </w:rPr>
      </w:pPr>
      <w:r w:rsidRPr="002774E9">
        <w:rPr>
          <w:szCs w:val="22"/>
        </w:rPr>
        <w:t xml:space="preserve">Applicants must not submit application-specific material through the Commission’s Electronic Comment Filing System, which was used for submitting comments regarding Auction </w:t>
      </w:r>
      <w:r w:rsidR="00CC0081">
        <w:rPr>
          <w:szCs w:val="22"/>
        </w:rPr>
        <w:t>9</w:t>
      </w:r>
      <w:r w:rsidR="00530B79">
        <w:rPr>
          <w:szCs w:val="22"/>
        </w:rPr>
        <w:t>6</w:t>
      </w:r>
      <w:r w:rsidR="00EE4D99" w:rsidRPr="002774E9">
        <w:rPr>
          <w:szCs w:val="22"/>
        </w:rPr>
        <w:t>.</w:t>
      </w:r>
      <w:r w:rsidR="00366E9A">
        <w:rPr>
          <w:szCs w:val="22"/>
        </w:rPr>
        <w:t xml:space="preserve">  Further, as discussed above, parties submitting information related to their applications should use caution to ensure that their submissions do not contain confidential information or communicate information that would violate section 1.2105(c) or the limited information procedures adopted for Auction 9</w:t>
      </w:r>
      <w:r w:rsidR="00530B79">
        <w:rPr>
          <w:szCs w:val="22"/>
        </w:rPr>
        <w:t>6</w:t>
      </w:r>
      <w:r w:rsidR="00366E9A">
        <w:rPr>
          <w:szCs w:val="22"/>
        </w:rPr>
        <w:t>.</w:t>
      </w:r>
      <w:r w:rsidR="00366E9A">
        <w:rPr>
          <w:rStyle w:val="FootnoteReference"/>
          <w:szCs w:val="22"/>
        </w:rPr>
        <w:footnoteReference w:id="147"/>
      </w:r>
      <w:r w:rsidR="00366E9A">
        <w:rPr>
          <w:szCs w:val="22"/>
        </w:rPr>
        <w:t xml:space="preserve">  A party seeking to submit information that might reflect non-public information, such as an applicant’s license selections, upfront payment amount, or bidding eligibility, should consider submitting any such information along with a request that the filing or portions of the filing be withheld from public inspection until the end of the prohibition of certain communications pursuant to section 1.2105(c).</w:t>
      </w:r>
      <w:r w:rsidR="000D72B7" w:rsidRPr="002774E9">
        <w:rPr>
          <w:szCs w:val="22"/>
        </w:rPr>
        <w:t xml:space="preserve">  </w:t>
      </w:r>
    </w:p>
    <w:p w:rsidR="000D72B7" w:rsidRPr="001C2E9C" w:rsidRDefault="000D72B7" w:rsidP="00C07C81">
      <w:pPr>
        <w:pStyle w:val="Heading2"/>
        <w:widowControl/>
      </w:pPr>
      <w:bookmarkStart w:id="1773" w:name="_Toc198007710"/>
      <w:bookmarkStart w:id="1774" w:name="_Toc198007861"/>
      <w:bookmarkStart w:id="1775" w:name="_Toc198008213"/>
      <w:bookmarkStart w:id="1776" w:name="_Toc198008350"/>
      <w:bookmarkStart w:id="1777" w:name="_Toc198008897"/>
      <w:bookmarkStart w:id="1778" w:name="_Toc198369793"/>
      <w:bookmarkStart w:id="1779" w:name="_Toc198369930"/>
      <w:bookmarkStart w:id="1780" w:name="_Toc198372842"/>
      <w:bookmarkStart w:id="1781" w:name="_Toc198372945"/>
      <w:bookmarkStart w:id="1782" w:name="_Toc198373075"/>
      <w:bookmarkStart w:id="1783" w:name="_Toc198373243"/>
      <w:bookmarkStart w:id="1784" w:name="_Toc198627157"/>
      <w:bookmarkStart w:id="1785" w:name="_Toc198627263"/>
      <w:bookmarkStart w:id="1786" w:name="_Toc216090724"/>
      <w:bookmarkStart w:id="1787" w:name="_Toc226958230"/>
      <w:bookmarkStart w:id="1788" w:name="_Toc227038290"/>
      <w:bookmarkStart w:id="1789" w:name="_Toc254792596"/>
      <w:bookmarkStart w:id="1790" w:name="_Toc256669720"/>
      <w:bookmarkStart w:id="1791" w:name="_Toc257213253"/>
      <w:bookmarkStart w:id="1792" w:name="_Toc257277755"/>
      <w:bookmarkStart w:id="1793" w:name="_Toc257278716"/>
      <w:bookmarkStart w:id="1794" w:name="_Toc257278926"/>
      <w:bookmarkStart w:id="1795" w:name="_Toc257279294"/>
      <w:bookmarkStart w:id="1796" w:name="_Toc257382938"/>
      <w:bookmarkStart w:id="1797" w:name="_Toc274056195"/>
      <w:bookmarkStart w:id="1798" w:name="_Toc276657601"/>
      <w:bookmarkStart w:id="1799" w:name="_Toc278366447"/>
      <w:bookmarkStart w:id="1800" w:name="_Toc307584043"/>
      <w:bookmarkStart w:id="1801" w:name="_Toc307937317"/>
      <w:bookmarkStart w:id="1802" w:name="_Toc348508756"/>
      <w:bookmarkStart w:id="1803" w:name="_Toc362256762"/>
      <w:bookmarkStart w:id="1804" w:name="_Toc366056518"/>
      <w:bookmarkStart w:id="1805" w:name="_Toc366223721"/>
      <w:bookmarkStart w:id="1806" w:name="_Toc366229434"/>
      <w:bookmarkStart w:id="1807" w:name="_Toc366583478"/>
      <w:r w:rsidRPr="001C2E9C">
        <w:t>Maintaining Current Information in Short-Form Applications</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rsidR="00A51CBD" w:rsidRPr="000D72B7" w:rsidRDefault="000D72B7" w:rsidP="00C07C81">
      <w:pPr>
        <w:pStyle w:val="ParaNum"/>
        <w:widowControl/>
        <w:tabs>
          <w:tab w:val="clear" w:pos="1260"/>
          <w:tab w:val="left" w:pos="1440"/>
        </w:tabs>
        <w:ind w:left="0"/>
      </w:pPr>
      <w:r w:rsidRPr="00764293">
        <w:rPr>
          <w:szCs w:val="22"/>
        </w:rPr>
        <w:t>Section</w:t>
      </w:r>
      <w:r w:rsidR="00901956" w:rsidRPr="00764293">
        <w:rPr>
          <w:szCs w:val="22"/>
        </w:rPr>
        <w:t>s</w:t>
      </w:r>
      <w:r w:rsidRPr="00764293">
        <w:rPr>
          <w:szCs w:val="22"/>
        </w:rPr>
        <w:t xml:space="preserve"> 1.65</w:t>
      </w:r>
      <w:r w:rsidR="00901956" w:rsidRPr="00764293">
        <w:rPr>
          <w:szCs w:val="22"/>
        </w:rPr>
        <w:t xml:space="preserve"> and 1.2105(b)</w:t>
      </w:r>
      <w:r w:rsidRPr="00764293">
        <w:rPr>
          <w:szCs w:val="22"/>
        </w:rPr>
        <w:t xml:space="preserve"> of the Commission</w:t>
      </w:r>
      <w:r w:rsidR="00B638D4" w:rsidRPr="00764293">
        <w:rPr>
          <w:szCs w:val="22"/>
        </w:rPr>
        <w:t>’</w:t>
      </w:r>
      <w:r w:rsidRPr="00764293">
        <w:rPr>
          <w:szCs w:val="22"/>
        </w:rPr>
        <w:t xml:space="preserve">s rules require an applicant to maintain the accuracy and completeness of information furnished in its pending application and </w:t>
      </w:r>
      <w:r w:rsidR="006276D6" w:rsidRPr="00764293">
        <w:rPr>
          <w:szCs w:val="22"/>
        </w:rPr>
        <w:t>in competitive bidding proceedings to furnish additional or corrected information</w:t>
      </w:r>
      <w:r w:rsidR="00901956" w:rsidRPr="00764293">
        <w:rPr>
          <w:szCs w:val="22"/>
        </w:rPr>
        <w:t xml:space="preserve"> to the Commission</w:t>
      </w:r>
      <w:r w:rsidR="006276D6" w:rsidRPr="00764293">
        <w:rPr>
          <w:szCs w:val="22"/>
        </w:rPr>
        <w:t xml:space="preserve"> within five days of a significant occurrence,</w:t>
      </w:r>
      <w:r w:rsidR="00586BC0">
        <w:rPr>
          <w:rStyle w:val="FootnoteReference"/>
          <w:szCs w:val="22"/>
        </w:rPr>
        <w:footnoteReference w:id="148"/>
      </w:r>
      <w:r w:rsidR="006276D6" w:rsidRPr="00764293">
        <w:rPr>
          <w:szCs w:val="22"/>
        </w:rPr>
        <w:t xml:space="preserve"> or to amend a short form application no more than five days after the applicant becomes aware of the need for the amendment</w:t>
      </w:r>
      <w:r w:rsidRPr="00764293">
        <w:rPr>
          <w:szCs w:val="22"/>
        </w:rPr>
        <w:t>.</w:t>
      </w:r>
      <w:r w:rsidRPr="00764293">
        <w:rPr>
          <w:rStyle w:val="FootnoteReference"/>
          <w:szCs w:val="22"/>
        </w:rPr>
        <w:footnoteReference w:id="149"/>
      </w:r>
      <w:r w:rsidRPr="00764293">
        <w:rPr>
          <w:szCs w:val="22"/>
        </w:rPr>
        <w:t xml:space="preserve">  Changes that cause a loss of or reduction in</w:t>
      </w:r>
      <w:r w:rsidR="00B454BD" w:rsidRPr="00764293">
        <w:rPr>
          <w:szCs w:val="22"/>
        </w:rPr>
        <w:t xml:space="preserve"> the percentage of</w:t>
      </w:r>
      <w:r w:rsidRPr="00764293">
        <w:rPr>
          <w:szCs w:val="22"/>
        </w:rPr>
        <w:t xml:space="preserve"> bidding credit</w:t>
      </w:r>
      <w:r w:rsidR="00B454BD" w:rsidRPr="00764293">
        <w:rPr>
          <w:szCs w:val="22"/>
        </w:rPr>
        <w:t xml:space="preserve"> specified on the originally</w:t>
      </w:r>
      <w:r w:rsidR="00657E92">
        <w:rPr>
          <w:szCs w:val="22"/>
        </w:rPr>
        <w:t>-</w:t>
      </w:r>
      <w:r w:rsidR="00B454BD" w:rsidRPr="00764293">
        <w:rPr>
          <w:szCs w:val="22"/>
        </w:rPr>
        <w:t xml:space="preserve">submitted </w:t>
      </w:r>
      <w:r w:rsidR="00DA70D7" w:rsidRPr="00764293">
        <w:rPr>
          <w:szCs w:val="22"/>
        </w:rPr>
        <w:t xml:space="preserve">application </w:t>
      </w:r>
      <w:r w:rsidRPr="00764293">
        <w:rPr>
          <w:szCs w:val="22"/>
        </w:rPr>
        <w:t>must be reported immediately</w:t>
      </w:r>
      <w:r w:rsidR="00F351E4" w:rsidRPr="00764293">
        <w:rPr>
          <w:szCs w:val="22"/>
        </w:rPr>
        <w:t>, and no later than five business days after the change occurs</w:t>
      </w:r>
      <w:r w:rsidRPr="00764293">
        <w:rPr>
          <w:szCs w:val="22"/>
        </w:rPr>
        <w:t xml:space="preserve">.  If an amendment reporting changes is a “major amendment,” as defined by </w:t>
      </w:r>
      <w:r w:rsidR="00415E2E" w:rsidRPr="00764293">
        <w:rPr>
          <w:szCs w:val="22"/>
        </w:rPr>
        <w:t>s</w:t>
      </w:r>
      <w:r w:rsidRPr="00764293">
        <w:rPr>
          <w:szCs w:val="22"/>
        </w:rPr>
        <w:t>ection 1.2105, the major amendment will not be accepted and may result in the dismissal of the application.</w:t>
      </w:r>
      <w:r w:rsidRPr="00764293">
        <w:rPr>
          <w:rStyle w:val="FootnoteReference"/>
          <w:szCs w:val="22"/>
        </w:rPr>
        <w:footnoteReference w:id="150"/>
      </w:r>
      <w:r w:rsidR="00F351E4" w:rsidRPr="00764293">
        <w:rPr>
          <w:szCs w:val="22"/>
        </w:rPr>
        <w:t xml:space="preserve">  </w:t>
      </w:r>
      <w:r w:rsidRPr="00764293">
        <w:rPr>
          <w:szCs w:val="22"/>
        </w:rPr>
        <w:t xml:space="preserve">As noted above, after the </w:t>
      </w:r>
      <w:r w:rsidR="007F6847">
        <w:rPr>
          <w:szCs w:val="22"/>
        </w:rPr>
        <w:t>short-form</w:t>
      </w:r>
      <w:r w:rsidR="00C739B8" w:rsidRPr="00764293">
        <w:rPr>
          <w:szCs w:val="22"/>
        </w:rPr>
        <w:t xml:space="preserve"> </w:t>
      </w:r>
      <w:r w:rsidRPr="00764293">
        <w:rPr>
          <w:szCs w:val="22"/>
        </w:rPr>
        <w:t xml:space="preserve">filing deadline, applicants may make only minor changes to their applications.  </w:t>
      </w:r>
      <w:r w:rsidR="007F6847">
        <w:rPr>
          <w:szCs w:val="22"/>
        </w:rPr>
        <w:t>F</w:t>
      </w:r>
      <w:r w:rsidR="007F6847" w:rsidRPr="00AA2B80">
        <w:rPr>
          <w:szCs w:val="22"/>
        </w:rPr>
        <w:t>or changes to be submitted and considered by the Commission</w:t>
      </w:r>
      <w:r w:rsidR="007F6847">
        <w:rPr>
          <w:szCs w:val="22"/>
        </w:rPr>
        <w:t xml:space="preserve">, be sure to </w:t>
      </w:r>
      <w:r w:rsidRPr="00764293">
        <w:rPr>
          <w:szCs w:val="22"/>
        </w:rPr>
        <w:t>click</w:t>
      </w:r>
      <w:r w:rsidRPr="00AA2B80">
        <w:rPr>
          <w:szCs w:val="22"/>
        </w:rPr>
        <w:t xml:space="preserve"> on the SUBMIT button in the FCC Auction System.  In addition, </w:t>
      </w:r>
      <w:r w:rsidR="00C739B8" w:rsidRPr="00AA2B80">
        <w:rPr>
          <w:szCs w:val="22"/>
        </w:rPr>
        <w:t xml:space="preserve">an applicant cannot update its </w:t>
      </w:r>
      <w:r w:rsidR="00C739B8" w:rsidRPr="00A65F60">
        <w:rPr>
          <w:szCs w:val="22"/>
        </w:rPr>
        <w:t xml:space="preserve">short-form application using the FCC Auction System after the initial and resubmission filing windows close.  If </w:t>
      </w:r>
      <w:r w:rsidR="0050561E" w:rsidRPr="00A65F60">
        <w:rPr>
          <w:szCs w:val="22"/>
        </w:rPr>
        <w:t xml:space="preserve">information </w:t>
      </w:r>
      <w:r w:rsidR="00C739B8" w:rsidRPr="00A65F60">
        <w:rPr>
          <w:szCs w:val="22"/>
        </w:rPr>
        <w:t>need</w:t>
      </w:r>
      <w:r w:rsidR="0050561E" w:rsidRPr="00A65F60">
        <w:rPr>
          <w:szCs w:val="22"/>
        </w:rPr>
        <w:t>s to be submitted</w:t>
      </w:r>
      <w:r w:rsidR="00C739B8" w:rsidRPr="00A65F60">
        <w:rPr>
          <w:szCs w:val="22"/>
        </w:rPr>
        <w:t xml:space="preserve"> </w:t>
      </w:r>
      <w:r w:rsidR="007A1B6B" w:rsidRPr="00A65F60">
        <w:rPr>
          <w:szCs w:val="22"/>
        </w:rPr>
        <w:t>pursuant to section</w:t>
      </w:r>
      <w:r w:rsidR="007A1B6B" w:rsidRPr="00AA2B80">
        <w:rPr>
          <w:szCs w:val="22"/>
        </w:rPr>
        <w:t xml:space="preserve"> 1.65 </w:t>
      </w:r>
      <w:r w:rsidR="00C739B8" w:rsidRPr="00AA2B80">
        <w:rPr>
          <w:szCs w:val="22"/>
        </w:rPr>
        <w:t xml:space="preserve">after these windows close, </w:t>
      </w:r>
      <w:r w:rsidRPr="00AA2B80">
        <w:rPr>
          <w:szCs w:val="22"/>
        </w:rPr>
        <w:t>a letter briefly summarizing the changes</w:t>
      </w:r>
      <w:r w:rsidR="007F6847">
        <w:rPr>
          <w:szCs w:val="22"/>
        </w:rPr>
        <w:t xml:space="preserve"> must be submitted</w:t>
      </w:r>
      <w:r w:rsidRPr="00AA2B80">
        <w:rPr>
          <w:szCs w:val="22"/>
        </w:rPr>
        <w:t xml:space="preserve"> by e</w:t>
      </w:r>
      <w:r w:rsidRPr="00AA2B80">
        <w:rPr>
          <w:szCs w:val="22"/>
        </w:rPr>
        <w:noBreakHyphen/>
        <w:t xml:space="preserve">mail </w:t>
      </w:r>
      <w:r w:rsidR="003827FD">
        <w:rPr>
          <w:szCs w:val="22"/>
        </w:rPr>
        <w:t>to</w:t>
      </w:r>
      <w:r w:rsidRPr="00AA2B80">
        <w:rPr>
          <w:szCs w:val="22"/>
        </w:rPr>
        <w:t xml:space="preserve"> </w:t>
      </w:r>
      <w:bookmarkStart w:id="1808" w:name="OLE_LINK1"/>
      <w:bookmarkStart w:id="1809" w:name="OLE_LINK2"/>
      <w:r w:rsidR="00530B79">
        <w:rPr>
          <w:szCs w:val="22"/>
        </w:rPr>
        <w:fldChar w:fldCharType="begin"/>
      </w:r>
      <w:r w:rsidR="003B770F">
        <w:rPr>
          <w:szCs w:val="22"/>
        </w:rPr>
        <w:instrText>HYPERLINK "mailto:auction96@fcc.gov"</w:instrText>
      </w:r>
      <w:r w:rsidR="003B770F">
        <w:rPr>
          <w:szCs w:val="22"/>
        </w:rPr>
      </w:r>
      <w:r w:rsidR="00530B79">
        <w:rPr>
          <w:szCs w:val="22"/>
        </w:rPr>
        <w:fldChar w:fldCharType="separate"/>
      </w:r>
      <w:r w:rsidR="00530B79" w:rsidRPr="000C26E0">
        <w:rPr>
          <w:rStyle w:val="Hyperlink"/>
          <w:szCs w:val="22"/>
        </w:rPr>
        <w:t>auction96@fcc.gov</w:t>
      </w:r>
      <w:bookmarkEnd w:id="1808"/>
      <w:bookmarkEnd w:id="1809"/>
      <w:r w:rsidR="00530B79">
        <w:rPr>
          <w:szCs w:val="22"/>
        </w:rPr>
        <w:fldChar w:fldCharType="end"/>
      </w:r>
      <w:r w:rsidRPr="00AA2B80">
        <w:rPr>
          <w:szCs w:val="22"/>
        </w:rPr>
        <w:t xml:space="preserve">.  </w:t>
      </w:r>
      <w:r w:rsidR="007F6847" w:rsidRPr="00AA2B80">
        <w:rPr>
          <w:szCs w:val="22"/>
        </w:rPr>
        <w:t>Th</w:t>
      </w:r>
      <w:r w:rsidR="007F6847">
        <w:rPr>
          <w:szCs w:val="22"/>
        </w:rPr>
        <w:t xml:space="preserve">is </w:t>
      </w:r>
      <w:r w:rsidRPr="00AA2B80">
        <w:rPr>
          <w:szCs w:val="22"/>
        </w:rPr>
        <w:t>e</w:t>
      </w:r>
      <w:r w:rsidRPr="00AA2B80">
        <w:rPr>
          <w:szCs w:val="22"/>
        </w:rPr>
        <w:noBreakHyphen/>
        <w:t xml:space="preserve">mail must include a subject or caption referring to Auction </w:t>
      </w:r>
      <w:r w:rsidR="00364ED4">
        <w:rPr>
          <w:szCs w:val="22"/>
        </w:rPr>
        <w:t>9</w:t>
      </w:r>
      <w:r w:rsidR="00530B79">
        <w:rPr>
          <w:szCs w:val="22"/>
        </w:rPr>
        <w:t>6</w:t>
      </w:r>
      <w:r w:rsidRPr="00AA2B80">
        <w:rPr>
          <w:szCs w:val="22"/>
        </w:rPr>
        <w:t xml:space="preserve"> and the name of the applicant.  The Bureau request</w:t>
      </w:r>
      <w:r w:rsidR="00F50F17">
        <w:rPr>
          <w:szCs w:val="22"/>
        </w:rPr>
        <w:t>s</w:t>
      </w:r>
      <w:r w:rsidRPr="00AA2B80">
        <w:rPr>
          <w:szCs w:val="22"/>
        </w:rPr>
        <w:t xml:space="preserve"> that parties format any attachments</w:t>
      </w:r>
      <w:r w:rsidRPr="001C2E9C">
        <w:rPr>
          <w:szCs w:val="22"/>
        </w:rPr>
        <w:t xml:space="preserve"> to </w:t>
      </w:r>
      <w:r>
        <w:rPr>
          <w:szCs w:val="22"/>
        </w:rPr>
        <w:t>e</w:t>
      </w:r>
      <w:r>
        <w:rPr>
          <w:szCs w:val="22"/>
        </w:rPr>
        <w:noBreakHyphen/>
        <w:t>mail</w:t>
      </w:r>
      <w:r w:rsidRPr="001C2E9C">
        <w:rPr>
          <w:szCs w:val="22"/>
        </w:rPr>
        <w:t xml:space="preserve"> as Adobe</w:t>
      </w:r>
      <w:r w:rsidRPr="001C2E9C">
        <w:rPr>
          <w:szCs w:val="22"/>
          <w:vertAlign w:val="superscript"/>
        </w:rPr>
        <w:t>®</w:t>
      </w:r>
      <w:r w:rsidRPr="001C2E9C">
        <w:rPr>
          <w:szCs w:val="22"/>
        </w:rPr>
        <w:t xml:space="preserve"> Acrobat</w:t>
      </w:r>
      <w:r w:rsidRPr="001C2E9C">
        <w:rPr>
          <w:szCs w:val="22"/>
          <w:vertAlign w:val="superscript"/>
        </w:rPr>
        <w:t>®</w:t>
      </w:r>
      <w:r w:rsidRPr="001C2E9C">
        <w:rPr>
          <w:szCs w:val="22"/>
        </w:rPr>
        <w:t xml:space="preserve"> (pdf) or Microsoft</w:t>
      </w:r>
      <w:r w:rsidRPr="001C2E9C">
        <w:rPr>
          <w:szCs w:val="22"/>
          <w:vertAlign w:val="superscript"/>
        </w:rPr>
        <w:t>®</w:t>
      </w:r>
      <w:r w:rsidRPr="001C2E9C">
        <w:rPr>
          <w:szCs w:val="22"/>
        </w:rPr>
        <w:t xml:space="preserve"> Word documents.</w:t>
      </w:r>
      <w:r w:rsidR="00366E9A">
        <w:rPr>
          <w:szCs w:val="22"/>
        </w:rPr>
        <w:t xml:space="preserve">  A party seeking to submit information that might reflect non-public information, such as an applicant’s license selections, upfront payment amount, or bidding eligibility, should consider submitting any such information along with a request that the filing or portions of the filing be withheld from public inspection until the end of the prohibition of certain communications pursuant to section 1.2105(c).</w:t>
      </w:r>
    </w:p>
    <w:p w:rsidR="008434F5" w:rsidRPr="001C2E9C" w:rsidRDefault="008434F5" w:rsidP="00C07C81">
      <w:pPr>
        <w:pStyle w:val="Heading1"/>
        <w:widowControl/>
        <w:rPr>
          <w:rFonts w:ascii="Times New Roman" w:hAnsi="Times New Roman"/>
          <w:szCs w:val="22"/>
        </w:rPr>
      </w:pPr>
      <w:bookmarkStart w:id="1810" w:name="_Toc483218144"/>
      <w:bookmarkStart w:id="1811" w:name="_Toc109812247"/>
      <w:bookmarkStart w:id="1812" w:name="_Toc124844756"/>
      <w:bookmarkStart w:id="1813" w:name="_Toc124844884"/>
      <w:bookmarkStart w:id="1814" w:name="_Toc124845543"/>
      <w:bookmarkStart w:id="1815" w:name="_Toc124845811"/>
      <w:bookmarkStart w:id="1816" w:name="_Toc124845885"/>
      <w:bookmarkStart w:id="1817" w:name="_Toc124845959"/>
      <w:bookmarkStart w:id="1818" w:name="_Toc124846131"/>
      <w:bookmarkStart w:id="1819" w:name="_Toc124848254"/>
      <w:bookmarkStart w:id="1820" w:name="_Toc124907505"/>
      <w:bookmarkStart w:id="1821" w:name="_Toc129773470"/>
      <w:bookmarkStart w:id="1822" w:name="_Toc130210008"/>
      <w:bookmarkStart w:id="1823" w:name="_Toc130730937"/>
      <w:bookmarkStart w:id="1824" w:name="_Toc130814165"/>
      <w:bookmarkStart w:id="1825" w:name="_Toc130814487"/>
      <w:bookmarkStart w:id="1826" w:name="_Toc130814619"/>
      <w:bookmarkStart w:id="1827" w:name="_Toc130883502"/>
      <w:bookmarkStart w:id="1828" w:name="_Toc130885610"/>
      <w:bookmarkStart w:id="1829" w:name="_Toc131844589"/>
      <w:bookmarkStart w:id="1830" w:name="_Toc148330527"/>
      <w:bookmarkStart w:id="1831" w:name="_Toc148331244"/>
      <w:bookmarkStart w:id="1832" w:name="_Toc148331703"/>
      <w:bookmarkStart w:id="1833" w:name="_Toc148332128"/>
      <w:bookmarkStart w:id="1834" w:name="_Toc148332200"/>
      <w:bookmarkStart w:id="1835" w:name="_Toc148332274"/>
      <w:bookmarkStart w:id="1836" w:name="_Toc148332351"/>
      <w:bookmarkStart w:id="1837" w:name="_Toc148332428"/>
      <w:bookmarkStart w:id="1838" w:name="_Toc148332505"/>
      <w:bookmarkStart w:id="1839" w:name="_Toc148332580"/>
      <w:bookmarkStart w:id="1840" w:name="_Toc148332653"/>
      <w:bookmarkStart w:id="1841" w:name="_Toc148332749"/>
      <w:bookmarkStart w:id="1842" w:name="_Toc148332883"/>
      <w:bookmarkStart w:id="1843" w:name="_Toc148333085"/>
      <w:bookmarkStart w:id="1844" w:name="_Toc148333218"/>
      <w:bookmarkStart w:id="1845" w:name="_Toc148333637"/>
      <w:bookmarkStart w:id="1846" w:name="_Toc148334250"/>
      <w:bookmarkStart w:id="1847" w:name="_Toc148335764"/>
      <w:bookmarkStart w:id="1848" w:name="_Toc148336297"/>
      <w:bookmarkStart w:id="1849" w:name="_Toc148337738"/>
      <w:bookmarkStart w:id="1850" w:name="_Toc148338061"/>
      <w:bookmarkStart w:id="1851" w:name="_Toc148339771"/>
      <w:bookmarkStart w:id="1852" w:name="_Toc148339868"/>
      <w:bookmarkStart w:id="1853" w:name="_Toc149645576"/>
      <w:bookmarkStart w:id="1854" w:name="_Toc149997879"/>
      <w:bookmarkStart w:id="1855" w:name="_Toc158180756"/>
      <w:bookmarkStart w:id="1856" w:name="_Toc158785604"/>
      <w:bookmarkStart w:id="1857" w:name="_Toc178768507"/>
      <w:bookmarkStart w:id="1858" w:name="_Toc179195948"/>
      <w:bookmarkStart w:id="1859" w:name="_Toc179361892"/>
      <w:bookmarkStart w:id="1860" w:name="_Toc179363676"/>
      <w:bookmarkStart w:id="1861" w:name="_Toc197504930"/>
      <w:bookmarkStart w:id="1862" w:name="_Toc198007711"/>
      <w:bookmarkStart w:id="1863" w:name="_Toc198007862"/>
      <w:bookmarkStart w:id="1864" w:name="_Toc198008214"/>
      <w:bookmarkStart w:id="1865" w:name="_Toc198008351"/>
      <w:bookmarkStart w:id="1866" w:name="_Toc198008898"/>
      <w:bookmarkStart w:id="1867" w:name="_Toc198369794"/>
      <w:bookmarkStart w:id="1868" w:name="_Toc198369931"/>
      <w:bookmarkStart w:id="1869" w:name="_Toc198372843"/>
      <w:bookmarkStart w:id="1870" w:name="_Toc198372946"/>
      <w:bookmarkStart w:id="1871" w:name="_Toc198373076"/>
      <w:bookmarkStart w:id="1872" w:name="_Toc198373244"/>
      <w:bookmarkStart w:id="1873" w:name="_Toc198627158"/>
      <w:bookmarkStart w:id="1874" w:name="_Toc198627264"/>
      <w:bookmarkStart w:id="1875" w:name="_Toc216090725"/>
      <w:bookmarkStart w:id="1876" w:name="_Toc226958231"/>
      <w:bookmarkStart w:id="1877" w:name="_Toc227038291"/>
      <w:bookmarkStart w:id="1878" w:name="_Toc254792597"/>
      <w:bookmarkStart w:id="1879" w:name="_Toc256669721"/>
      <w:bookmarkStart w:id="1880" w:name="_Toc257213254"/>
      <w:bookmarkStart w:id="1881" w:name="_Toc257277756"/>
      <w:bookmarkStart w:id="1882" w:name="_Toc257278717"/>
      <w:bookmarkStart w:id="1883" w:name="_Toc257278927"/>
      <w:bookmarkStart w:id="1884" w:name="_Toc257279295"/>
      <w:bookmarkStart w:id="1885" w:name="_Toc257382939"/>
      <w:bookmarkStart w:id="1886" w:name="_Toc274056196"/>
      <w:bookmarkStart w:id="1887" w:name="_Toc276657602"/>
      <w:bookmarkStart w:id="1888" w:name="_Toc278366448"/>
      <w:bookmarkStart w:id="1889" w:name="_Toc307584044"/>
      <w:bookmarkStart w:id="1890" w:name="_Toc307937318"/>
      <w:bookmarkStart w:id="1891" w:name="_Toc348508757"/>
      <w:bookmarkStart w:id="1892" w:name="_Toc362256763"/>
      <w:bookmarkStart w:id="1893" w:name="_Toc366056519"/>
      <w:bookmarkStart w:id="1894" w:name="_Toc366223722"/>
      <w:bookmarkStart w:id="1895" w:name="_Toc366229435"/>
      <w:bookmarkStart w:id="1896" w:name="_Toc366583479"/>
      <w:r w:rsidRPr="001C2E9C">
        <w:rPr>
          <w:rFonts w:ascii="Times New Roman" w:hAnsi="Times New Roman"/>
          <w:szCs w:val="22"/>
        </w:rPr>
        <w:t>PRE-AUCTION PROCEDURES</w:t>
      </w:r>
      <w:bookmarkStart w:id="1897" w:name="_Toc483218145"/>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rsidR="008434F5" w:rsidRPr="007E4A5E" w:rsidRDefault="00A13012" w:rsidP="00C07C81">
      <w:pPr>
        <w:pStyle w:val="Heading2"/>
        <w:widowControl/>
      </w:pPr>
      <w:bookmarkStart w:id="1898" w:name="_Toc109812248"/>
      <w:bookmarkStart w:id="1899" w:name="_Toc124844757"/>
      <w:bookmarkStart w:id="1900" w:name="_Toc124844885"/>
      <w:bookmarkStart w:id="1901" w:name="_Toc124845544"/>
      <w:bookmarkStart w:id="1902" w:name="_Toc124845812"/>
      <w:bookmarkStart w:id="1903" w:name="_Toc124845886"/>
      <w:bookmarkStart w:id="1904" w:name="_Toc124845960"/>
      <w:bookmarkStart w:id="1905" w:name="_Toc124846132"/>
      <w:bookmarkStart w:id="1906" w:name="_Toc124848255"/>
      <w:bookmarkStart w:id="1907" w:name="_Toc124907506"/>
      <w:bookmarkStart w:id="1908" w:name="_Toc129773471"/>
      <w:bookmarkStart w:id="1909" w:name="_Toc130210009"/>
      <w:bookmarkStart w:id="1910" w:name="_Toc130730938"/>
      <w:bookmarkStart w:id="1911" w:name="_Toc130814166"/>
      <w:bookmarkStart w:id="1912" w:name="_Toc130814488"/>
      <w:bookmarkStart w:id="1913" w:name="_Toc130814620"/>
      <w:bookmarkStart w:id="1914" w:name="_Toc130883503"/>
      <w:bookmarkStart w:id="1915" w:name="_Toc130885611"/>
      <w:bookmarkStart w:id="1916" w:name="_Toc131844590"/>
      <w:bookmarkStart w:id="1917" w:name="_Toc148330528"/>
      <w:bookmarkStart w:id="1918" w:name="_Toc148331245"/>
      <w:bookmarkStart w:id="1919" w:name="_Toc148331704"/>
      <w:bookmarkStart w:id="1920" w:name="_Toc148332129"/>
      <w:bookmarkStart w:id="1921" w:name="_Toc148332201"/>
      <w:bookmarkStart w:id="1922" w:name="_Toc148332275"/>
      <w:bookmarkStart w:id="1923" w:name="_Toc148332352"/>
      <w:bookmarkStart w:id="1924" w:name="_Toc148332429"/>
      <w:bookmarkStart w:id="1925" w:name="_Toc148332506"/>
      <w:bookmarkStart w:id="1926" w:name="_Toc148332581"/>
      <w:bookmarkStart w:id="1927" w:name="_Toc148332654"/>
      <w:bookmarkStart w:id="1928" w:name="_Toc148332750"/>
      <w:bookmarkStart w:id="1929" w:name="_Toc148332884"/>
      <w:bookmarkStart w:id="1930" w:name="_Toc148333086"/>
      <w:bookmarkStart w:id="1931" w:name="_Toc148333219"/>
      <w:bookmarkStart w:id="1932" w:name="_Toc148333638"/>
      <w:bookmarkStart w:id="1933" w:name="_Toc148334251"/>
      <w:bookmarkStart w:id="1934" w:name="_Toc148335765"/>
      <w:bookmarkStart w:id="1935" w:name="_Toc148336298"/>
      <w:bookmarkStart w:id="1936" w:name="_Toc148337739"/>
      <w:bookmarkStart w:id="1937" w:name="_Toc148338062"/>
      <w:bookmarkStart w:id="1938" w:name="_Toc148339772"/>
      <w:bookmarkStart w:id="1939" w:name="_Toc148339869"/>
      <w:bookmarkStart w:id="1940" w:name="_Toc149645577"/>
      <w:bookmarkStart w:id="1941" w:name="_Toc149997880"/>
      <w:bookmarkStart w:id="1942" w:name="_Toc158180757"/>
      <w:bookmarkStart w:id="1943" w:name="_Toc158785605"/>
      <w:bookmarkStart w:id="1944" w:name="_Toc178768508"/>
      <w:bookmarkStart w:id="1945" w:name="_Toc179195949"/>
      <w:bookmarkStart w:id="1946" w:name="_Toc179361893"/>
      <w:bookmarkStart w:id="1947" w:name="_Toc179363677"/>
      <w:bookmarkStart w:id="1948" w:name="_Toc197504931"/>
      <w:bookmarkStart w:id="1949" w:name="_Toc198007712"/>
      <w:bookmarkStart w:id="1950" w:name="_Toc198007863"/>
      <w:bookmarkStart w:id="1951" w:name="_Toc198008215"/>
      <w:bookmarkStart w:id="1952" w:name="_Toc198008352"/>
      <w:bookmarkStart w:id="1953" w:name="_Toc198008899"/>
      <w:bookmarkStart w:id="1954" w:name="_Toc198369795"/>
      <w:bookmarkStart w:id="1955" w:name="_Toc198369932"/>
      <w:bookmarkStart w:id="1956" w:name="_Toc198372844"/>
      <w:bookmarkStart w:id="1957" w:name="_Toc198372947"/>
      <w:bookmarkStart w:id="1958" w:name="_Toc198373077"/>
      <w:bookmarkStart w:id="1959" w:name="_Toc198373245"/>
      <w:bookmarkStart w:id="1960" w:name="_Toc198627159"/>
      <w:bookmarkStart w:id="1961" w:name="_Toc198627265"/>
      <w:bookmarkStart w:id="1962" w:name="_Toc216090726"/>
      <w:bookmarkStart w:id="1963" w:name="_Toc226958232"/>
      <w:bookmarkStart w:id="1964" w:name="_Toc227038292"/>
      <w:bookmarkStart w:id="1965" w:name="_Toc254792598"/>
      <w:bookmarkStart w:id="1966" w:name="_Toc256669722"/>
      <w:bookmarkStart w:id="1967" w:name="_Toc257213255"/>
      <w:bookmarkStart w:id="1968" w:name="_Toc257277757"/>
      <w:bookmarkStart w:id="1969" w:name="_Toc257278718"/>
      <w:bookmarkStart w:id="1970" w:name="_Toc257278928"/>
      <w:bookmarkStart w:id="1971" w:name="_Toc257279296"/>
      <w:bookmarkStart w:id="1972" w:name="_Toc257382940"/>
      <w:bookmarkStart w:id="1973" w:name="_Toc274056197"/>
      <w:bookmarkStart w:id="1974" w:name="_Toc276657603"/>
      <w:bookmarkStart w:id="1975" w:name="_Toc278366449"/>
      <w:bookmarkStart w:id="1976" w:name="_Toc307584045"/>
      <w:bookmarkStart w:id="1977" w:name="_Toc307937319"/>
      <w:bookmarkStart w:id="1978" w:name="_Toc348508758"/>
      <w:bookmarkStart w:id="1979" w:name="_Toc362256764"/>
      <w:bookmarkStart w:id="1980" w:name="_Toc366056520"/>
      <w:bookmarkStart w:id="1981" w:name="_Toc366223723"/>
      <w:bookmarkStart w:id="1982" w:name="_Toc366229436"/>
      <w:bookmarkStart w:id="1983" w:name="_Toc366583480"/>
      <w:r>
        <w:t xml:space="preserve">Online </w:t>
      </w:r>
      <w:r w:rsidR="008434F5" w:rsidRPr="001C2E9C">
        <w:t xml:space="preserve">Auction </w:t>
      </w:r>
      <w:bookmarkEnd w:id="1897"/>
      <w:r>
        <w:t>Tutorial</w:t>
      </w:r>
      <w:r w:rsidR="008434F5" w:rsidRPr="007E4A5E">
        <w:t xml:space="preserve"> </w:t>
      </w:r>
      <w:r w:rsidR="000C360D" w:rsidRPr="007E4A5E">
        <w:t>–</w:t>
      </w:r>
      <w:r w:rsidR="007D39F0" w:rsidRPr="007E4A5E">
        <w:t xml:space="preserve"> </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r>
        <w:t xml:space="preserve">Available </w:t>
      </w:r>
      <w:bookmarkEnd w:id="1962"/>
      <w:bookmarkEnd w:id="1963"/>
      <w:bookmarkEnd w:id="1964"/>
      <w:r w:rsidR="00645679">
        <w:t>October</w:t>
      </w:r>
      <w:r w:rsidR="00426AFA">
        <w:t xml:space="preserve"> </w:t>
      </w:r>
      <w:r w:rsidR="00645679">
        <w:t>2</w:t>
      </w:r>
      <w:r w:rsidR="003D65BB">
        <w:t>3</w:t>
      </w:r>
      <w:r>
        <w:t>, 201</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r w:rsidR="00AF0068">
        <w:t>3</w:t>
      </w:r>
      <w:bookmarkEnd w:id="1978"/>
      <w:bookmarkEnd w:id="1979"/>
      <w:bookmarkEnd w:id="1980"/>
      <w:bookmarkEnd w:id="1981"/>
      <w:bookmarkEnd w:id="1982"/>
      <w:bookmarkEnd w:id="1983"/>
    </w:p>
    <w:p w:rsidR="008434F5" w:rsidRPr="00A65F60" w:rsidRDefault="00366E9A" w:rsidP="00C07C81">
      <w:pPr>
        <w:pStyle w:val="ParaNum"/>
        <w:widowControl/>
        <w:tabs>
          <w:tab w:val="clear" w:pos="1260"/>
          <w:tab w:val="left" w:pos="1440"/>
        </w:tabs>
        <w:ind w:left="0"/>
        <w:rPr>
          <w:szCs w:val="22"/>
        </w:rPr>
      </w:pPr>
      <w:r>
        <w:rPr>
          <w:szCs w:val="22"/>
        </w:rPr>
        <w:t xml:space="preserve">No later than </w:t>
      </w:r>
      <w:r w:rsidR="00426AFA">
        <w:rPr>
          <w:szCs w:val="22"/>
        </w:rPr>
        <w:t>Tues</w:t>
      </w:r>
      <w:r w:rsidR="0023256E">
        <w:rPr>
          <w:szCs w:val="22"/>
        </w:rPr>
        <w:t>day</w:t>
      </w:r>
      <w:r w:rsidR="00A13012">
        <w:rPr>
          <w:szCs w:val="22"/>
        </w:rPr>
        <w:t xml:space="preserve">, </w:t>
      </w:r>
      <w:r w:rsidR="00645679">
        <w:rPr>
          <w:szCs w:val="22"/>
        </w:rPr>
        <w:t>October</w:t>
      </w:r>
      <w:r w:rsidR="00426AFA">
        <w:rPr>
          <w:szCs w:val="22"/>
        </w:rPr>
        <w:t xml:space="preserve"> </w:t>
      </w:r>
      <w:r w:rsidR="00645679">
        <w:rPr>
          <w:szCs w:val="22"/>
        </w:rPr>
        <w:t>2</w:t>
      </w:r>
      <w:r w:rsidR="003D65BB">
        <w:rPr>
          <w:szCs w:val="22"/>
        </w:rPr>
        <w:t>3</w:t>
      </w:r>
      <w:r w:rsidR="00A13012">
        <w:rPr>
          <w:szCs w:val="22"/>
        </w:rPr>
        <w:t>, 201</w:t>
      </w:r>
      <w:r w:rsidR="00AF0068">
        <w:rPr>
          <w:szCs w:val="22"/>
        </w:rPr>
        <w:t>3</w:t>
      </w:r>
      <w:r w:rsidR="00A13012">
        <w:rPr>
          <w:szCs w:val="22"/>
        </w:rPr>
        <w:t xml:space="preserve">, an auction tutorial </w:t>
      </w:r>
      <w:r w:rsidR="00340ABE">
        <w:rPr>
          <w:szCs w:val="22"/>
        </w:rPr>
        <w:t xml:space="preserve">will be available </w:t>
      </w:r>
      <w:r w:rsidR="00A13012">
        <w:rPr>
          <w:szCs w:val="22"/>
        </w:rPr>
        <w:t xml:space="preserve">on the Auction </w:t>
      </w:r>
      <w:r w:rsidR="00CC0081">
        <w:rPr>
          <w:szCs w:val="22"/>
        </w:rPr>
        <w:t>9</w:t>
      </w:r>
      <w:r w:rsidR="00530B79">
        <w:rPr>
          <w:szCs w:val="22"/>
        </w:rPr>
        <w:t>6</w:t>
      </w:r>
      <w:r w:rsidR="00A13012">
        <w:rPr>
          <w:szCs w:val="22"/>
        </w:rPr>
        <w:t xml:space="preserve"> web page for prospective bidders to familiarize themselves with the auction process.  This online tutorial will provide information about pre-auction procedures, completing short-form applications, auction conduct, the FCC Auction Bidding System, auction rules, and </w:t>
      </w:r>
      <w:r w:rsidR="00645679">
        <w:rPr>
          <w:szCs w:val="22"/>
        </w:rPr>
        <w:t>H Block</w:t>
      </w:r>
      <w:r w:rsidR="00A13012">
        <w:rPr>
          <w:szCs w:val="22"/>
        </w:rPr>
        <w:t xml:space="preserve"> </w:t>
      </w:r>
      <w:r w:rsidR="00FB576F">
        <w:rPr>
          <w:szCs w:val="22"/>
        </w:rPr>
        <w:t xml:space="preserve">service </w:t>
      </w:r>
      <w:r w:rsidR="00A13012">
        <w:rPr>
          <w:szCs w:val="22"/>
        </w:rPr>
        <w:t xml:space="preserve">rules.  The tutorial will also provide an avenue to ask </w:t>
      </w:r>
      <w:r w:rsidR="006A7DCB">
        <w:rPr>
          <w:szCs w:val="22"/>
        </w:rPr>
        <w:t>Commission</w:t>
      </w:r>
      <w:r w:rsidR="00CB3054">
        <w:rPr>
          <w:szCs w:val="22"/>
        </w:rPr>
        <w:t xml:space="preserve"> staff </w:t>
      </w:r>
      <w:r w:rsidR="00A13012">
        <w:rPr>
          <w:szCs w:val="22"/>
        </w:rPr>
        <w:t xml:space="preserve">questions </w:t>
      </w:r>
      <w:r w:rsidR="00CB3054">
        <w:rPr>
          <w:szCs w:val="22"/>
        </w:rPr>
        <w:t xml:space="preserve">about </w:t>
      </w:r>
      <w:r w:rsidR="00A13012">
        <w:rPr>
          <w:szCs w:val="22"/>
        </w:rPr>
        <w:t xml:space="preserve">the auction, auction procedures, filing </w:t>
      </w:r>
      <w:r w:rsidR="00A13012" w:rsidRPr="00A65F60">
        <w:rPr>
          <w:szCs w:val="22"/>
        </w:rPr>
        <w:t>requirements, and other matters related to this auction</w:t>
      </w:r>
      <w:r w:rsidR="008434F5" w:rsidRPr="00A65F60">
        <w:rPr>
          <w:szCs w:val="22"/>
        </w:rPr>
        <w:t xml:space="preserve">.  </w:t>
      </w:r>
    </w:p>
    <w:p w:rsidR="008434F5" w:rsidRPr="001C2E9C" w:rsidRDefault="00A13012" w:rsidP="00C07C81">
      <w:pPr>
        <w:pStyle w:val="ParaNum"/>
        <w:widowControl/>
        <w:tabs>
          <w:tab w:val="clear" w:pos="1260"/>
          <w:tab w:val="left" w:pos="1440"/>
        </w:tabs>
        <w:ind w:left="0"/>
        <w:rPr>
          <w:szCs w:val="22"/>
        </w:rPr>
      </w:pPr>
      <w:r w:rsidRPr="00A65F60">
        <w:rPr>
          <w:szCs w:val="22"/>
        </w:rPr>
        <w:t>The Bureau believe</w:t>
      </w:r>
      <w:r w:rsidR="00F50F17">
        <w:rPr>
          <w:szCs w:val="22"/>
        </w:rPr>
        <w:t>s</w:t>
      </w:r>
      <w:r w:rsidRPr="00A65F60">
        <w:rPr>
          <w:szCs w:val="22"/>
        </w:rPr>
        <w:t xml:space="preserve"> parties </w:t>
      </w:r>
      <w:r w:rsidRPr="00A65F60">
        <w:t xml:space="preserve">interested in participating in </w:t>
      </w:r>
      <w:r w:rsidR="00340ABE" w:rsidRPr="00A65F60">
        <w:t xml:space="preserve">this auction </w:t>
      </w:r>
      <w:r w:rsidRPr="00A65F60">
        <w:t xml:space="preserve">will find </w:t>
      </w:r>
      <w:r w:rsidRPr="00A65F60">
        <w:rPr>
          <w:szCs w:val="22"/>
        </w:rPr>
        <w:t>th</w:t>
      </w:r>
      <w:r w:rsidR="00340ABE" w:rsidRPr="00A65F60">
        <w:rPr>
          <w:szCs w:val="22"/>
        </w:rPr>
        <w:t xml:space="preserve">e </w:t>
      </w:r>
      <w:r w:rsidRPr="00A65F60">
        <w:rPr>
          <w:szCs w:val="22"/>
        </w:rPr>
        <w:t>interactive, online tutorial a</w:t>
      </w:r>
      <w:r w:rsidR="00F97FC2">
        <w:rPr>
          <w:szCs w:val="22"/>
        </w:rPr>
        <w:t>n</w:t>
      </w:r>
      <w:r w:rsidRPr="00A65F60">
        <w:rPr>
          <w:szCs w:val="22"/>
        </w:rPr>
        <w:t xml:space="preserve"> </w:t>
      </w:r>
      <w:r w:rsidRPr="00A65F60">
        <w:t xml:space="preserve">efficient and effective way to further their understanding of </w:t>
      </w:r>
      <w:bookmarkStart w:id="1984" w:name="OLE_LINK9"/>
      <w:bookmarkStart w:id="1985" w:name="OLE_LINK10"/>
      <w:r w:rsidRPr="00A65F60">
        <w:t>the auction process</w:t>
      </w:r>
      <w:bookmarkEnd w:id="1984"/>
      <w:bookmarkEnd w:id="1985"/>
      <w:r w:rsidRPr="00A65F60">
        <w:t xml:space="preserve">.  </w:t>
      </w:r>
      <w:r w:rsidR="00D504B9" w:rsidRPr="00A65F60">
        <w:rPr>
          <w:szCs w:val="22"/>
        </w:rPr>
        <w:t xml:space="preserve">The </w:t>
      </w:r>
      <w:r w:rsidRPr="00A65F60">
        <w:rPr>
          <w:szCs w:val="22"/>
        </w:rPr>
        <w:t>tutorial will allow viewers to navigate the presentation outline, review written notes, listen to audio</w:t>
      </w:r>
      <w:r w:rsidR="00657E92" w:rsidRPr="00A65F60">
        <w:rPr>
          <w:szCs w:val="22"/>
        </w:rPr>
        <w:t xml:space="preserve"> rec</w:t>
      </w:r>
      <w:r w:rsidR="00621B3B" w:rsidRPr="00A65F60">
        <w:rPr>
          <w:szCs w:val="22"/>
        </w:rPr>
        <w:t>ordings</w:t>
      </w:r>
      <w:r w:rsidRPr="00A65F60">
        <w:rPr>
          <w:szCs w:val="22"/>
        </w:rPr>
        <w:t xml:space="preserve"> of the notes, and search for topics using a text search function.  Additional features of this web-based tool include links to auction</w:t>
      </w:r>
      <w:r w:rsidRPr="00846B0A">
        <w:rPr>
          <w:szCs w:val="22"/>
        </w:rPr>
        <w:t>-specific Commission releases, e</w:t>
      </w:r>
      <w:r>
        <w:rPr>
          <w:szCs w:val="22"/>
        </w:rPr>
        <w:t>-</w:t>
      </w:r>
      <w:r w:rsidRPr="00846B0A">
        <w:rPr>
          <w:szCs w:val="22"/>
        </w:rPr>
        <w:t>mail links for contacting Commission</w:t>
      </w:r>
      <w:r>
        <w:rPr>
          <w:szCs w:val="22"/>
        </w:rPr>
        <w:t xml:space="preserve"> </w:t>
      </w:r>
      <w:r w:rsidRPr="00846B0A">
        <w:rPr>
          <w:szCs w:val="22"/>
        </w:rPr>
        <w:t xml:space="preserve">licensing and auctions staff, </w:t>
      </w:r>
      <w:r>
        <w:rPr>
          <w:szCs w:val="22"/>
        </w:rPr>
        <w:t xml:space="preserve">a </w:t>
      </w:r>
      <w:r w:rsidRPr="00846B0A">
        <w:rPr>
          <w:szCs w:val="22"/>
        </w:rPr>
        <w:t>timeline with deadlines for auction preparation, and screen shots of the online application and bidding</w:t>
      </w:r>
      <w:r>
        <w:rPr>
          <w:szCs w:val="22"/>
        </w:rPr>
        <w:t xml:space="preserve"> system.  </w:t>
      </w:r>
      <w:r>
        <w:t>The tutorial will be accessible through a web browser with Adobe Flash Player.</w:t>
      </w:r>
      <w:r>
        <w:rPr>
          <w:rStyle w:val="FootnoteReference"/>
        </w:rPr>
        <w:footnoteReference w:id="151"/>
      </w:r>
      <w:r>
        <w:t xml:space="preserve">  </w:t>
      </w:r>
    </w:p>
    <w:p w:rsidR="008434F5" w:rsidRPr="001C2E9C" w:rsidRDefault="00A13012" w:rsidP="00C07C81">
      <w:pPr>
        <w:pStyle w:val="ParaNum"/>
        <w:widowControl/>
        <w:tabs>
          <w:tab w:val="clear" w:pos="1260"/>
          <w:tab w:val="left" w:pos="1440"/>
        </w:tabs>
        <w:ind w:left="0"/>
        <w:rPr>
          <w:szCs w:val="22"/>
        </w:rPr>
      </w:pPr>
      <w:r>
        <w:rPr>
          <w:szCs w:val="22"/>
        </w:rPr>
        <w:t xml:space="preserve">The auction tutorial will be accessible from the </w:t>
      </w:r>
      <w:r w:rsidR="00E77AC9">
        <w:rPr>
          <w:szCs w:val="22"/>
        </w:rPr>
        <w:t>Commission</w:t>
      </w:r>
      <w:r>
        <w:rPr>
          <w:szCs w:val="22"/>
        </w:rPr>
        <w:t xml:space="preserve">’s Auction </w:t>
      </w:r>
      <w:r w:rsidR="00D504B9">
        <w:rPr>
          <w:szCs w:val="22"/>
        </w:rPr>
        <w:t>9</w:t>
      </w:r>
      <w:r w:rsidR="00530B79">
        <w:rPr>
          <w:szCs w:val="22"/>
        </w:rPr>
        <w:t>6</w:t>
      </w:r>
      <w:r>
        <w:rPr>
          <w:szCs w:val="22"/>
        </w:rPr>
        <w:t xml:space="preserve"> web page at </w:t>
      </w:r>
      <w:hyperlink r:id="rId16" w:history="1">
        <w:r w:rsidR="00530B79" w:rsidRPr="000C26E0">
          <w:rPr>
            <w:rStyle w:val="Hyperlink"/>
          </w:rPr>
          <w:t>http://wireless.fcc.gov/auctions/96/</w:t>
        </w:r>
      </w:hyperlink>
      <w:r>
        <w:rPr>
          <w:szCs w:val="22"/>
        </w:rPr>
        <w:t xml:space="preserve"> through an “Auction Tutorial” link.  </w:t>
      </w:r>
      <w:r w:rsidRPr="003C1151">
        <w:rPr>
          <w:szCs w:val="22"/>
        </w:rPr>
        <w:t xml:space="preserve">Once posted, this tutorial will remain </w:t>
      </w:r>
      <w:r w:rsidRPr="003C1151">
        <w:t xml:space="preserve">available </w:t>
      </w:r>
      <w:r w:rsidR="00BF3983">
        <w:t xml:space="preserve">and accessible anytime </w:t>
      </w:r>
      <w:r w:rsidRPr="003C1151">
        <w:t>for reference in connection with the procedures outlined in this Public Notice</w:t>
      </w:r>
      <w:r w:rsidR="008434F5" w:rsidRPr="001C2E9C">
        <w:rPr>
          <w:szCs w:val="22"/>
        </w:rPr>
        <w:t>.</w:t>
      </w:r>
      <w:r w:rsidR="00657E92" w:rsidRPr="001C2E9C">
        <w:rPr>
          <w:szCs w:val="22"/>
        </w:rPr>
        <w:t xml:space="preserve"> </w:t>
      </w:r>
    </w:p>
    <w:p w:rsidR="008434F5" w:rsidRPr="007E4A5E" w:rsidRDefault="008434F5" w:rsidP="00C07C81">
      <w:pPr>
        <w:pStyle w:val="Heading2"/>
        <w:widowControl/>
      </w:pPr>
      <w:bookmarkStart w:id="1986" w:name="_Toc483218146"/>
      <w:bookmarkStart w:id="1987" w:name="_Toc109812249"/>
      <w:bookmarkStart w:id="1988" w:name="_Toc124844758"/>
      <w:bookmarkStart w:id="1989" w:name="_Toc124844886"/>
      <w:bookmarkStart w:id="1990" w:name="_Toc124845545"/>
      <w:bookmarkStart w:id="1991" w:name="_Toc124845813"/>
      <w:bookmarkStart w:id="1992" w:name="_Toc124845887"/>
      <w:bookmarkStart w:id="1993" w:name="_Toc124845961"/>
      <w:bookmarkStart w:id="1994" w:name="_Toc124846133"/>
      <w:bookmarkStart w:id="1995" w:name="_Toc124848256"/>
      <w:bookmarkStart w:id="1996" w:name="_Toc124907507"/>
      <w:bookmarkStart w:id="1997" w:name="_Toc129773472"/>
      <w:bookmarkStart w:id="1998" w:name="_Toc130210010"/>
      <w:bookmarkStart w:id="1999" w:name="_Toc130730939"/>
      <w:bookmarkStart w:id="2000" w:name="_Toc130814167"/>
      <w:bookmarkStart w:id="2001" w:name="_Toc130814489"/>
      <w:bookmarkStart w:id="2002" w:name="_Toc130814621"/>
      <w:bookmarkStart w:id="2003" w:name="_Toc130883504"/>
      <w:bookmarkStart w:id="2004" w:name="_Toc130885612"/>
      <w:bookmarkStart w:id="2005" w:name="_Toc131844591"/>
      <w:bookmarkStart w:id="2006" w:name="_Toc148330529"/>
      <w:bookmarkStart w:id="2007" w:name="_Toc148331246"/>
      <w:bookmarkStart w:id="2008" w:name="_Toc148331705"/>
      <w:bookmarkStart w:id="2009" w:name="_Toc148332130"/>
      <w:bookmarkStart w:id="2010" w:name="_Toc148332202"/>
      <w:bookmarkStart w:id="2011" w:name="_Toc148332276"/>
      <w:bookmarkStart w:id="2012" w:name="_Toc148332353"/>
      <w:bookmarkStart w:id="2013" w:name="_Toc148332430"/>
      <w:bookmarkStart w:id="2014" w:name="_Toc148332507"/>
      <w:bookmarkStart w:id="2015" w:name="_Toc148332582"/>
      <w:bookmarkStart w:id="2016" w:name="_Toc148332655"/>
      <w:bookmarkStart w:id="2017" w:name="_Toc148332751"/>
      <w:bookmarkStart w:id="2018" w:name="_Toc148332885"/>
      <w:bookmarkStart w:id="2019" w:name="_Toc148333087"/>
      <w:bookmarkStart w:id="2020" w:name="_Toc148333220"/>
      <w:bookmarkStart w:id="2021" w:name="_Toc148333639"/>
      <w:bookmarkStart w:id="2022" w:name="_Toc148334252"/>
      <w:bookmarkStart w:id="2023" w:name="_Toc148335766"/>
      <w:bookmarkStart w:id="2024" w:name="_Toc148336299"/>
      <w:bookmarkStart w:id="2025" w:name="_Toc148337740"/>
      <w:bookmarkStart w:id="2026" w:name="_Toc148338063"/>
      <w:bookmarkStart w:id="2027" w:name="_Toc148339773"/>
      <w:bookmarkStart w:id="2028" w:name="_Toc148339870"/>
      <w:bookmarkStart w:id="2029" w:name="_Toc149645578"/>
      <w:bookmarkStart w:id="2030" w:name="_Toc149997881"/>
      <w:bookmarkStart w:id="2031" w:name="_Toc158180758"/>
      <w:bookmarkStart w:id="2032" w:name="_Toc158785606"/>
      <w:bookmarkStart w:id="2033" w:name="_Toc178768509"/>
      <w:bookmarkStart w:id="2034" w:name="_Toc179195950"/>
      <w:bookmarkStart w:id="2035" w:name="_Toc179361894"/>
      <w:bookmarkStart w:id="2036" w:name="_Toc179363678"/>
      <w:bookmarkStart w:id="2037" w:name="_Toc197504932"/>
      <w:bookmarkStart w:id="2038" w:name="_Toc198007713"/>
      <w:bookmarkStart w:id="2039" w:name="_Toc198007864"/>
      <w:bookmarkStart w:id="2040" w:name="_Toc198008216"/>
      <w:bookmarkStart w:id="2041" w:name="_Toc198008353"/>
      <w:bookmarkStart w:id="2042" w:name="_Toc198008900"/>
      <w:bookmarkStart w:id="2043" w:name="_Toc198369796"/>
      <w:bookmarkStart w:id="2044" w:name="_Toc198369933"/>
      <w:bookmarkStart w:id="2045" w:name="_Toc198372845"/>
      <w:bookmarkStart w:id="2046" w:name="_Toc198372948"/>
      <w:bookmarkStart w:id="2047" w:name="_Toc198373078"/>
      <w:bookmarkStart w:id="2048" w:name="_Toc198373246"/>
      <w:bookmarkStart w:id="2049" w:name="_Toc198627160"/>
      <w:bookmarkStart w:id="2050" w:name="_Toc198627266"/>
      <w:bookmarkStart w:id="2051" w:name="_Toc216090727"/>
      <w:bookmarkStart w:id="2052" w:name="_Toc226958233"/>
      <w:bookmarkStart w:id="2053" w:name="_Toc227038293"/>
      <w:bookmarkStart w:id="2054" w:name="_Toc254792599"/>
      <w:bookmarkStart w:id="2055" w:name="_Toc256669723"/>
      <w:bookmarkStart w:id="2056" w:name="_Toc257213256"/>
      <w:bookmarkStart w:id="2057" w:name="_Toc257277758"/>
      <w:bookmarkStart w:id="2058" w:name="_Toc257278719"/>
      <w:bookmarkStart w:id="2059" w:name="_Toc257278929"/>
      <w:bookmarkStart w:id="2060" w:name="_Toc257279297"/>
      <w:bookmarkStart w:id="2061" w:name="_Toc257382941"/>
      <w:bookmarkStart w:id="2062" w:name="_Toc274056198"/>
      <w:bookmarkStart w:id="2063" w:name="_Toc276657604"/>
      <w:bookmarkStart w:id="2064" w:name="_Toc278366450"/>
      <w:bookmarkStart w:id="2065" w:name="_Toc307584046"/>
      <w:bookmarkStart w:id="2066" w:name="_Toc307937320"/>
      <w:bookmarkStart w:id="2067" w:name="_Toc348508759"/>
      <w:bookmarkStart w:id="2068" w:name="_Toc362256765"/>
      <w:bookmarkStart w:id="2069" w:name="_Toc366056521"/>
      <w:bookmarkStart w:id="2070" w:name="_Toc366223724"/>
      <w:bookmarkStart w:id="2071" w:name="_Toc366229437"/>
      <w:bookmarkStart w:id="2072" w:name="_Toc366583481"/>
      <w:r w:rsidRPr="001C2E9C">
        <w:t>Short-Form Application</w:t>
      </w:r>
      <w:r w:rsidR="00940765" w:rsidRPr="001C2E9C">
        <w:t>s</w:t>
      </w:r>
      <w:r w:rsidRPr="001C2E9C">
        <w:t xml:space="preserve"> </w:t>
      </w:r>
      <w:r w:rsidR="000C360D">
        <w:t>–</w:t>
      </w:r>
      <w:r>
        <w:t xml:space="preserve"> </w:t>
      </w:r>
      <w:r w:rsidRPr="001C2E9C">
        <w:t>Due</w:t>
      </w:r>
      <w:bookmarkEnd w:id="1986"/>
      <w:r w:rsidRPr="001C2E9C">
        <w:t xml:space="preserve"> </w:t>
      </w:r>
      <w:r w:rsidR="003C364E" w:rsidRPr="001C2E9C">
        <w:t>Prior to</w:t>
      </w:r>
      <w:r w:rsidRPr="001C2E9C">
        <w:t xml:space="preserve"> 6:00 p.m. ET</w:t>
      </w:r>
      <w:r w:rsidR="00BA711C" w:rsidRPr="001C2E9C">
        <w:t xml:space="preserve"> </w:t>
      </w:r>
      <w:r w:rsidR="00BA711C" w:rsidRPr="007E4A5E">
        <w:t xml:space="preserve">on </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r w:rsidR="00645679">
        <w:t>November 5</w:t>
      </w:r>
      <w:r w:rsidR="00A13012">
        <w:t xml:space="preserve">, </w:t>
      </w:r>
      <w:r w:rsidR="00A13012" w:rsidRPr="00D67B60">
        <w:t>201</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r w:rsidR="00AF0068">
        <w:t>3</w:t>
      </w:r>
      <w:bookmarkEnd w:id="2067"/>
      <w:bookmarkEnd w:id="2068"/>
      <w:bookmarkEnd w:id="2069"/>
      <w:bookmarkEnd w:id="2070"/>
      <w:bookmarkEnd w:id="2071"/>
      <w:bookmarkEnd w:id="2072"/>
    </w:p>
    <w:p w:rsidR="008434F5" w:rsidRPr="00D25662" w:rsidRDefault="008434F5" w:rsidP="00C07C81">
      <w:pPr>
        <w:pStyle w:val="ParaNum"/>
        <w:widowControl/>
        <w:tabs>
          <w:tab w:val="clear" w:pos="1260"/>
          <w:tab w:val="left" w:pos="1440"/>
        </w:tabs>
        <w:ind w:left="0"/>
        <w:rPr>
          <w:szCs w:val="22"/>
        </w:rPr>
      </w:pPr>
      <w:r w:rsidRPr="001C2E9C">
        <w:rPr>
          <w:szCs w:val="22"/>
        </w:rPr>
        <w:t xml:space="preserve">In order to be eligible to bid in </w:t>
      </w:r>
      <w:r w:rsidR="000120E4" w:rsidRPr="001C2E9C">
        <w:rPr>
          <w:szCs w:val="22"/>
        </w:rPr>
        <w:t>this auction</w:t>
      </w:r>
      <w:r w:rsidRPr="001C2E9C">
        <w:rPr>
          <w:szCs w:val="22"/>
        </w:rPr>
        <w:t xml:space="preserve">, applicants must first </w:t>
      </w:r>
      <w:r w:rsidR="007F2007" w:rsidRPr="001C2E9C">
        <w:rPr>
          <w:szCs w:val="22"/>
        </w:rPr>
        <w:t xml:space="preserve">follow the procedures </w:t>
      </w:r>
      <w:r w:rsidR="007F2007" w:rsidRPr="00AA371F">
        <w:rPr>
          <w:szCs w:val="22"/>
        </w:rPr>
        <w:t xml:space="preserve">set forth </w:t>
      </w:r>
      <w:r w:rsidR="007F2007" w:rsidRPr="00206CE7">
        <w:rPr>
          <w:szCs w:val="22"/>
        </w:rPr>
        <w:t xml:space="preserve">in Attachment </w:t>
      </w:r>
      <w:r w:rsidR="00206CE7" w:rsidRPr="00206CE7">
        <w:rPr>
          <w:szCs w:val="22"/>
        </w:rPr>
        <w:t>D</w:t>
      </w:r>
      <w:r w:rsidR="00940765" w:rsidRPr="00206CE7">
        <w:rPr>
          <w:szCs w:val="22"/>
        </w:rPr>
        <w:t xml:space="preserve"> </w:t>
      </w:r>
      <w:r w:rsidR="007F2007" w:rsidRPr="00206CE7">
        <w:rPr>
          <w:szCs w:val="22"/>
        </w:rPr>
        <w:t>to this Public</w:t>
      </w:r>
      <w:r w:rsidR="007F2007" w:rsidRPr="00AA371F">
        <w:rPr>
          <w:szCs w:val="22"/>
        </w:rPr>
        <w:t xml:space="preserve"> Notice to </w:t>
      </w:r>
      <w:r w:rsidRPr="00AA371F">
        <w:rPr>
          <w:szCs w:val="22"/>
        </w:rPr>
        <w:t xml:space="preserve">submit </w:t>
      </w:r>
      <w:r w:rsidR="000C360D" w:rsidRPr="00AA371F">
        <w:rPr>
          <w:szCs w:val="22"/>
        </w:rPr>
        <w:t xml:space="preserve">a short-form </w:t>
      </w:r>
      <w:r w:rsidRPr="00AA371F">
        <w:rPr>
          <w:szCs w:val="22"/>
        </w:rPr>
        <w:t xml:space="preserve">application </w:t>
      </w:r>
      <w:r w:rsidR="000C360D" w:rsidRPr="00AA371F">
        <w:rPr>
          <w:szCs w:val="22"/>
        </w:rPr>
        <w:t>(FCC Form 175)</w:t>
      </w:r>
      <w:r w:rsidR="000C360D">
        <w:rPr>
          <w:szCs w:val="22"/>
        </w:rPr>
        <w:t xml:space="preserve"> </w:t>
      </w:r>
      <w:r w:rsidRPr="001C2E9C">
        <w:rPr>
          <w:szCs w:val="22"/>
        </w:rPr>
        <w:t>electronically via the FCC Auction System.</w:t>
      </w:r>
      <w:r w:rsidRPr="00CA6286">
        <w:rPr>
          <w:rStyle w:val="FootnoteReference"/>
          <w:szCs w:val="22"/>
        </w:rPr>
        <w:footnoteReference w:id="152"/>
      </w:r>
      <w:r w:rsidRPr="001C2E9C">
        <w:rPr>
          <w:szCs w:val="22"/>
        </w:rPr>
        <w:t xml:space="preserve">  </w:t>
      </w:r>
      <w:r w:rsidRPr="002774E9">
        <w:rPr>
          <w:szCs w:val="22"/>
        </w:rPr>
        <w:t xml:space="preserve">This </w:t>
      </w:r>
      <w:r w:rsidR="00EB3ADC" w:rsidRPr="002774E9">
        <w:rPr>
          <w:szCs w:val="22"/>
        </w:rPr>
        <w:t xml:space="preserve">short-form </w:t>
      </w:r>
      <w:r w:rsidRPr="002774E9">
        <w:rPr>
          <w:szCs w:val="22"/>
        </w:rPr>
        <w:t>application must be</w:t>
      </w:r>
      <w:r w:rsidRPr="001C2E9C">
        <w:rPr>
          <w:szCs w:val="22"/>
        </w:rPr>
        <w:t xml:space="preserve"> </w:t>
      </w:r>
      <w:r w:rsidR="00061BF3">
        <w:rPr>
          <w:szCs w:val="22"/>
        </w:rPr>
        <w:t xml:space="preserve">submitted </w:t>
      </w:r>
      <w:r w:rsidR="003C364E" w:rsidRPr="001C2E9C">
        <w:rPr>
          <w:szCs w:val="22"/>
        </w:rPr>
        <w:t>prior to</w:t>
      </w:r>
      <w:r w:rsidRPr="001C2E9C">
        <w:rPr>
          <w:szCs w:val="22"/>
        </w:rPr>
        <w:t xml:space="preserve"> 6:00 p.m. ET</w:t>
      </w:r>
      <w:r w:rsidR="00BA711C" w:rsidRPr="001C2E9C">
        <w:rPr>
          <w:szCs w:val="22"/>
        </w:rPr>
        <w:t xml:space="preserve"> on </w:t>
      </w:r>
      <w:r w:rsidR="009C6980">
        <w:rPr>
          <w:szCs w:val="22"/>
        </w:rPr>
        <w:t>November 5</w:t>
      </w:r>
      <w:r w:rsidR="00A13012">
        <w:rPr>
          <w:szCs w:val="22"/>
        </w:rPr>
        <w:t>, 201</w:t>
      </w:r>
      <w:r w:rsidR="00AF0068">
        <w:rPr>
          <w:szCs w:val="22"/>
        </w:rPr>
        <w:t>3</w:t>
      </w:r>
      <w:r w:rsidRPr="00D25662">
        <w:rPr>
          <w:szCs w:val="22"/>
        </w:rPr>
        <w:t xml:space="preserve">.  </w:t>
      </w:r>
      <w:r w:rsidRPr="00D25662">
        <w:rPr>
          <w:b/>
          <w:szCs w:val="22"/>
        </w:rPr>
        <w:t>Late applications will not be accepted.</w:t>
      </w:r>
      <w:r w:rsidRPr="00D25662">
        <w:rPr>
          <w:szCs w:val="22"/>
        </w:rPr>
        <w:t xml:space="preserve">  </w:t>
      </w:r>
      <w:r w:rsidR="00340ABE">
        <w:rPr>
          <w:szCs w:val="22"/>
        </w:rPr>
        <w:t>N</w:t>
      </w:r>
      <w:r w:rsidRPr="00D25662">
        <w:rPr>
          <w:szCs w:val="22"/>
        </w:rPr>
        <w:t xml:space="preserve">o </w:t>
      </w:r>
      <w:r w:rsidRPr="00DF7948">
        <w:rPr>
          <w:szCs w:val="22"/>
        </w:rPr>
        <w:t xml:space="preserve">application fee </w:t>
      </w:r>
      <w:r w:rsidR="000E45A2" w:rsidRPr="00DF7948">
        <w:rPr>
          <w:szCs w:val="22"/>
        </w:rPr>
        <w:t>is</w:t>
      </w:r>
      <w:r w:rsidR="000E45A2">
        <w:rPr>
          <w:szCs w:val="22"/>
        </w:rPr>
        <w:t xml:space="preserve"> </w:t>
      </w:r>
      <w:r w:rsidRPr="00D25662">
        <w:rPr>
          <w:szCs w:val="22"/>
        </w:rPr>
        <w:t>required</w:t>
      </w:r>
      <w:r w:rsidR="001B133F" w:rsidRPr="00D25662">
        <w:rPr>
          <w:szCs w:val="22"/>
        </w:rPr>
        <w:t xml:space="preserve">, but </w:t>
      </w:r>
      <w:r w:rsidRPr="00D25662">
        <w:rPr>
          <w:szCs w:val="22"/>
        </w:rPr>
        <w:t>an applicant must submit a</w:t>
      </w:r>
      <w:r w:rsidR="00C739B8" w:rsidRPr="00D25662">
        <w:rPr>
          <w:szCs w:val="22"/>
        </w:rPr>
        <w:t xml:space="preserve"> timely</w:t>
      </w:r>
      <w:r w:rsidRPr="00D25662">
        <w:rPr>
          <w:szCs w:val="22"/>
        </w:rPr>
        <w:t xml:space="preserve"> upfront payment</w:t>
      </w:r>
      <w:r w:rsidR="001B133F" w:rsidRPr="00D25662">
        <w:rPr>
          <w:szCs w:val="22"/>
        </w:rPr>
        <w:t xml:space="preserve"> to be eligible to bid</w:t>
      </w:r>
      <w:r w:rsidRPr="00D25662">
        <w:rPr>
          <w:szCs w:val="22"/>
        </w:rPr>
        <w:t>.</w:t>
      </w:r>
      <w:r w:rsidRPr="00D25662">
        <w:rPr>
          <w:rStyle w:val="FootnoteReference"/>
          <w:szCs w:val="22"/>
        </w:rPr>
        <w:footnoteReference w:id="153"/>
      </w:r>
    </w:p>
    <w:p w:rsidR="008434F5" w:rsidRPr="00D25662" w:rsidRDefault="008434F5" w:rsidP="00C07C81">
      <w:pPr>
        <w:pStyle w:val="ParaNum"/>
        <w:widowControl/>
        <w:tabs>
          <w:tab w:val="clear" w:pos="1260"/>
          <w:tab w:val="left" w:pos="1440"/>
        </w:tabs>
        <w:ind w:left="0"/>
        <w:rPr>
          <w:szCs w:val="22"/>
        </w:rPr>
      </w:pPr>
      <w:r w:rsidRPr="00D25662">
        <w:rPr>
          <w:szCs w:val="22"/>
        </w:rPr>
        <w:t xml:space="preserve">Applications may generally be filed at any time beginning at noon ET on </w:t>
      </w:r>
      <w:r w:rsidR="009C6980">
        <w:rPr>
          <w:szCs w:val="22"/>
        </w:rPr>
        <w:t>October 2</w:t>
      </w:r>
      <w:r w:rsidR="003D65BB">
        <w:rPr>
          <w:szCs w:val="22"/>
        </w:rPr>
        <w:t>3</w:t>
      </w:r>
      <w:r w:rsidR="00A13012">
        <w:rPr>
          <w:szCs w:val="22"/>
        </w:rPr>
        <w:t>, 201</w:t>
      </w:r>
      <w:r w:rsidR="00AF0068">
        <w:rPr>
          <w:szCs w:val="22"/>
        </w:rPr>
        <w:t>3</w:t>
      </w:r>
      <w:r w:rsidRPr="00D25662">
        <w:rPr>
          <w:szCs w:val="22"/>
        </w:rPr>
        <w:t xml:space="preserve">, </w:t>
      </w:r>
      <w:r w:rsidR="000C360D" w:rsidRPr="00D25662">
        <w:rPr>
          <w:szCs w:val="22"/>
        </w:rPr>
        <w:t xml:space="preserve">until </w:t>
      </w:r>
      <w:r w:rsidR="00ED0962" w:rsidRPr="00D25662">
        <w:rPr>
          <w:szCs w:val="22"/>
        </w:rPr>
        <w:t xml:space="preserve">the filing window </w:t>
      </w:r>
      <w:r w:rsidR="000C360D" w:rsidRPr="00D25662">
        <w:rPr>
          <w:szCs w:val="22"/>
        </w:rPr>
        <w:t>c</w:t>
      </w:r>
      <w:r w:rsidR="00ED0962" w:rsidRPr="00D25662">
        <w:rPr>
          <w:szCs w:val="22"/>
        </w:rPr>
        <w:t>lose</w:t>
      </w:r>
      <w:r w:rsidR="000C360D" w:rsidRPr="00D25662">
        <w:rPr>
          <w:szCs w:val="22"/>
        </w:rPr>
        <w:t>s at</w:t>
      </w:r>
      <w:r w:rsidR="00ED0962" w:rsidRPr="00D25662">
        <w:rPr>
          <w:szCs w:val="22"/>
        </w:rPr>
        <w:t xml:space="preserve"> </w:t>
      </w:r>
      <w:r w:rsidRPr="00D25662">
        <w:rPr>
          <w:szCs w:val="22"/>
        </w:rPr>
        <w:t>6:00 p.m. ET</w:t>
      </w:r>
      <w:r w:rsidR="00BA711C" w:rsidRPr="00D25662">
        <w:rPr>
          <w:szCs w:val="22"/>
        </w:rPr>
        <w:t xml:space="preserve"> on </w:t>
      </w:r>
      <w:r w:rsidR="009C6980">
        <w:rPr>
          <w:szCs w:val="22"/>
        </w:rPr>
        <w:t>November 5</w:t>
      </w:r>
      <w:r w:rsidR="00A13012">
        <w:rPr>
          <w:szCs w:val="22"/>
        </w:rPr>
        <w:t>, 201</w:t>
      </w:r>
      <w:r w:rsidR="00AF0068">
        <w:rPr>
          <w:szCs w:val="22"/>
        </w:rPr>
        <w:t>3</w:t>
      </w:r>
      <w:r w:rsidRPr="00D25662">
        <w:rPr>
          <w:szCs w:val="22"/>
        </w:rPr>
        <w:t>.  Applicants are strongly encourage</w:t>
      </w:r>
      <w:r w:rsidRPr="001C2E9C">
        <w:rPr>
          <w:szCs w:val="22"/>
        </w:rPr>
        <w:t xml:space="preserve">d to file early and are responsible for allowing adequate time for filing their applications.  </w:t>
      </w:r>
      <w:r w:rsidR="00340ABE">
        <w:rPr>
          <w:szCs w:val="22"/>
        </w:rPr>
        <w:t xml:space="preserve">Applications can be </w:t>
      </w:r>
      <w:r w:rsidRPr="001C2E9C">
        <w:rPr>
          <w:szCs w:val="22"/>
        </w:rPr>
        <w:t>update</w:t>
      </w:r>
      <w:r w:rsidR="00340ABE">
        <w:rPr>
          <w:szCs w:val="22"/>
        </w:rPr>
        <w:t>d</w:t>
      </w:r>
      <w:r w:rsidRPr="001C2E9C">
        <w:rPr>
          <w:szCs w:val="22"/>
        </w:rPr>
        <w:t xml:space="preserve"> or amend</w:t>
      </w:r>
      <w:r w:rsidR="00340ABE">
        <w:rPr>
          <w:szCs w:val="22"/>
        </w:rPr>
        <w:t xml:space="preserve">ed </w:t>
      </w:r>
      <w:r w:rsidRPr="001C2E9C">
        <w:rPr>
          <w:szCs w:val="22"/>
        </w:rPr>
        <w:t>multiple times until t</w:t>
      </w:r>
      <w:r w:rsidR="00BA711C" w:rsidRPr="001C2E9C">
        <w:rPr>
          <w:szCs w:val="22"/>
        </w:rPr>
        <w:t xml:space="preserve">he filing deadline </w:t>
      </w:r>
      <w:r w:rsidR="00BA711C" w:rsidRPr="00D25662">
        <w:rPr>
          <w:szCs w:val="22"/>
        </w:rPr>
        <w:t xml:space="preserve">on </w:t>
      </w:r>
      <w:r w:rsidR="009C6980">
        <w:rPr>
          <w:szCs w:val="22"/>
        </w:rPr>
        <w:t>November 5</w:t>
      </w:r>
      <w:r w:rsidR="00A13012">
        <w:rPr>
          <w:szCs w:val="22"/>
        </w:rPr>
        <w:t>, 201</w:t>
      </w:r>
      <w:r w:rsidR="00AF0068">
        <w:rPr>
          <w:szCs w:val="22"/>
        </w:rPr>
        <w:t>3</w:t>
      </w:r>
      <w:r w:rsidRPr="00D25662">
        <w:rPr>
          <w:szCs w:val="22"/>
        </w:rPr>
        <w:t>.</w:t>
      </w:r>
    </w:p>
    <w:p w:rsidR="008434F5" w:rsidRPr="001C2E9C" w:rsidRDefault="008A7A6E" w:rsidP="00C07C81">
      <w:pPr>
        <w:pStyle w:val="ParaNum"/>
        <w:widowControl/>
        <w:tabs>
          <w:tab w:val="clear" w:pos="1260"/>
          <w:tab w:val="left" w:pos="1440"/>
        </w:tabs>
        <w:ind w:left="0"/>
        <w:rPr>
          <w:szCs w:val="22"/>
        </w:rPr>
      </w:pPr>
      <w:r>
        <w:rPr>
          <w:szCs w:val="22"/>
        </w:rPr>
        <w:t>An a</w:t>
      </w:r>
      <w:r w:rsidR="008434F5" w:rsidRPr="001C2E9C">
        <w:rPr>
          <w:szCs w:val="22"/>
        </w:rPr>
        <w:t xml:space="preserve">pplicant must always click on the SUBMIT button on the </w:t>
      </w:r>
      <w:r>
        <w:rPr>
          <w:szCs w:val="22"/>
        </w:rPr>
        <w:t>“</w:t>
      </w:r>
      <w:r w:rsidR="008434F5" w:rsidRPr="001C2E9C">
        <w:rPr>
          <w:szCs w:val="22"/>
        </w:rPr>
        <w:t>Certify &amp; Su</w:t>
      </w:r>
      <w:r w:rsidR="008434F5">
        <w:rPr>
          <w:szCs w:val="22"/>
        </w:rPr>
        <w:t>bmit</w:t>
      </w:r>
      <w:r>
        <w:rPr>
          <w:szCs w:val="22"/>
        </w:rPr>
        <w:t>”</w:t>
      </w:r>
      <w:r w:rsidR="008434F5">
        <w:rPr>
          <w:szCs w:val="22"/>
        </w:rPr>
        <w:t xml:space="preserve"> screen </w:t>
      </w:r>
      <w:r w:rsidR="008434F5" w:rsidRPr="001C2E9C">
        <w:rPr>
          <w:szCs w:val="22"/>
        </w:rPr>
        <w:t xml:space="preserve">to successfully submit </w:t>
      </w:r>
      <w:r>
        <w:rPr>
          <w:szCs w:val="22"/>
        </w:rPr>
        <w:t xml:space="preserve">its </w:t>
      </w:r>
      <w:r w:rsidR="007707AC">
        <w:rPr>
          <w:szCs w:val="22"/>
        </w:rPr>
        <w:t>FCC Form 175</w:t>
      </w:r>
      <w:r>
        <w:rPr>
          <w:szCs w:val="22"/>
        </w:rPr>
        <w:t xml:space="preserve"> and any modifications</w:t>
      </w:r>
      <w:r w:rsidR="003A2044">
        <w:rPr>
          <w:szCs w:val="22"/>
        </w:rPr>
        <w:t>;</w:t>
      </w:r>
      <w:r w:rsidR="000C360D">
        <w:rPr>
          <w:szCs w:val="22"/>
        </w:rPr>
        <w:t xml:space="preserve"> otherwise the application or changes to the application</w:t>
      </w:r>
      <w:r w:rsidR="008434F5">
        <w:rPr>
          <w:szCs w:val="22"/>
        </w:rPr>
        <w:t xml:space="preserve"> will not be </w:t>
      </w:r>
      <w:r w:rsidR="004723A4">
        <w:rPr>
          <w:szCs w:val="22"/>
        </w:rPr>
        <w:t xml:space="preserve">received or </w:t>
      </w:r>
      <w:r w:rsidR="008434F5">
        <w:rPr>
          <w:szCs w:val="22"/>
        </w:rPr>
        <w:t>reviewed</w:t>
      </w:r>
      <w:r w:rsidR="00315705">
        <w:rPr>
          <w:szCs w:val="22"/>
        </w:rPr>
        <w:t xml:space="preserve"> </w:t>
      </w:r>
      <w:r w:rsidR="00315705" w:rsidRPr="00DF7948">
        <w:rPr>
          <w:szCs w:val="22"/>
        </w:rPr>
        <w:t>by Commission staff</w:t>
      </w:r>
      <w:r w:rsidR="008434F5" w:rsidRPr="00DF7948">
        <w:rPr>
          <w:szCs w:val="22"/>
        </w:rPr>
        <w:t xml:space="preserve">.  </w:t>
      </w:r>
      <w:r w:rsidR="004E5EDE" w:rsidRPr="00DF7948">
        <w:rPr>
          <w:szCs w:val="22"/>
        </w:rPr>
        <w:t>Additional i</w:t>
      </w:r>
      <w:r w:rsidR="008434F5" w:rsidRPr="00DF7948">
        <w:rPr>
          <w:szCs w:val="22"/>
        </w:rPr>
        <w:t xml:space="preserve">nformation about accessing, completing, and viewing the FCC Form 175 is </w:t>
      </w:r>
      <w:r w:rsidR="008434F5" w:rsidRPr="00206CE7">
        <w:rPr>
          <w:szCs w:val="22"/>
        </w:rPr>
        <w:t xml:space="preserve">included in Attachment </w:t>
      </w:r>
      <w:r w:rsidR="00206CE7" w:rsidRPr="00206CE7">
        <w:rPr>
          <w:szCs w:val="22"/>
        </w:rPr>
        <w:t>D</w:t>
      </w:r>
      <w:r w:rsidR="008434F5" w:rsidRPr="00206CE7">
        <w:rPr>
          <w:szCs w:val="22"/>
        </w:rPr>
        <w:t>.  FCC</w:t>
      </w:r>
      <w:r w:rsidR="008434F5" w:rsidRPr="00A36219">
        <w:rPr>
          <w:szCs w:val="22"/>
        </w:rPr>
        <w:t xml:space="preserve"> Auctions</w:t>
      </w:r>
      <w:r w:rsidR="008434F5" w:rsidRPr="00AA371F">
        <w:rPr>
          <w:szCs w:val="22"/>
        </w:rPr>
        <w:t xml:space="preserve"> Technical Support is available at</w:t>
      </w:r>
      <w:r w:rsidR="008434F5" w:rsidRPr="001C2E9C">
        <w:rPr>
          <w:szCs w:val="22"/>
        </w:rPr>
        <w:t xml:space="preserve"> (877) 480-3201, option nine; (202) 414-1250; or (202) 414-1255 (text </w:t>
      </w:r>
      <w:r w:rsidR="000048B1">
        <w:rPr>
          <w:szCs w:val="22"/>
        </w:rPr>
        <w:t>telephone</w:t>
      </w:r>
      <w:r w:rsidR="008434F5" w:rsidRPr="001C2E9C">
        <w:rPr>
          <w:szCs w:val="22"/>
        </w:rPr>
        <w:t xml:space="preserve"> (TTY)); hours of service are Monday through Friday, from 8:00 a.m. to 6:00 p.m. ET.  In order to provide better service to the public, all calls to Technical Support are recorded.  </w:t>
      </w:r>
    </w:p>
    <w:p w:rsidR="008434F5" w:rsidRPr="002774E9" w:rsidRDefault="008434F5" w:rsidP="00C07C81">
      <w:pPr>
        <w:pStyle w:val="Heading2"/>
        <w:widowControl/>
      </w:pPr>
      <w:bookmarkStart w:id="2073" w:name="_Toc483218150"/>
      <w:bookmarkStart w:id="2074" w:name="_Toc109812250"/>
      <w:bookmarkStart w:id="2075" w:name="_Toc124844759"/>
      <w:bookmarkStart w:id="2076" w:name="_Toc124844887"/>
      <w:bookmarkStart w:id="2077" w:name="_Toc124845546"/>
      <w:bookmarkStart w:id="2078" w:name="_Toc124845814"/>
      <w:bookmarkStart w:id="2079" w:name="_Toc124845888"/>
      <w:bookmarkStart w:id="2080" w:name="_Toc124845962"/>
      <w:bookmarkStart w:id="2081" w:name="_Toc124846134"/>
      <w:bookmarkStart w:id="2082" w:name="_Toc124848257"/>
      <w:bookmarkStart w:id="2083" w:name="_Toc124907508"/>
      <w:bookmarkStart w:id="2084" w:name="_Toc129773473"/>
      <w:bookmarkStart w:id="2085" w:name="_Toc130210011"/>
      <w:bookmarkStart w:id="2086" w:name="_Toc130730940"/>
      <w:bookmarkStart w:id="2087" w:name="_Toc130814168"/>
      <w:bookmarkStart w:id="2088" w:name="_Toc130814490"/>
      <w:bookmarkStart w:id="2089" w:name="_Toc130814622"/>
      <w:bookmarkStart w:id="2090" w:name="_Toc130883505"/>
      <w:bookmarkStart w:id="2091" w:name="_Toc130885613"/>
      <w:bookmarkStart w:id="2092" w:name="_Toc131844592"/>
      <w:bookmarkStart w:id="2093" w:name="_Toc148330530"/>
      <w:bookmarkStart w:id="2094" w:name="_Toc148331247"/>
      <w:bookmarkStart w:id="2095" w:name="_Toc148331706"/>
      <w:bookmarkStart w:id="2096" w:name="_Toc148332131"/>
      <w:bookmarkStart w:id="2097" w:name="_Toc148332203"/>
      <w:bookmarkStart w:id="2098" w:name="_Toc148332277"/>
      <w:bookmarkStart w:id="2099" w:name="_Toc148332354"/>
      <w:bookmarkStart w:id="2100" w:name="_Toc148332431"/>
      <w:bookmarkStart w:id="2101" w:name="_Toc148332508"/>
      <w:bookmarkStart w:id="2102" w:name="_Toc148332583"/>
      <w:bookmarkStart w:id="2103" w:name="_Toc148332656"/>
      <w:bookmarkStart w:id="2104" w:name="_Toc148332752"/>
      <w:bookmarkStart w:id="2105" w:name="_Toc148332886"/>
      <w:bookmarkStart w:id="2106" w:name="_Toc148333088"/>
      <w:bookmarkStart w:id="2107" w:name="_Toc148333221"/>
      <w:bookmarkStart w:id="2108" w:name="_Toc148333640"/>
      <w:bookmarkStart w:id="2109" w:name="_Toc148334253"/>
      <w:bookmarkStart w:id="2110" w:name="_Toc148335767"/>
      <w:bookmarkStart w:id="2111" w:name="_Toc148336300"/>
      <w:bookmarkStart w:id="2112" w:name="_Toc148337741"/>
      <w:bookmarkStart w:id="2113" w:name="_Toc148338064"/>
      <w:bookmarkStart w:id="2114" w:name="_Toc148339774"/>
      <w:bookmarkStart w:id="2115" w:name="_Toc148339871"/>
      <w:bookmarkStart w:id="2116" w:name="_Toc149645579"/>
      <w:bookmarkStart w:id="2117" w:name="_Toc149997882"/>
      <w:bookmarkStart w:id="2118" w:name="_Toc158180759"/>
      <w:bookmarkStart w:id="2119" w:name="_Toc158785607"/>
      <w:bookmarkStart w:id="2120" w:name="_Toc178768510"/>
      <w:bookmarkStart w:id="2121" w:name="_Toc179195951"/>
      <w:bookmarkStart w:id="2122" w:name="_Toc179361895"/>
      <w:bookmarkStart w:id="2123" w:name="_Toc179363679"/>
      <w:bookmarkStart w:id="2124" w:name="_Toc197504933"/>
      <w:bookmarkStart w:id="2125" w:name="_Toc198007714"/>
      <w:bookmarkStart w:id="2126" w:name="_Toc198007865"/>
      <w:bookmarkStart w:id="2127" w:name="_Toc198008217"/>
      <w:bookmarkStart w:id="2128" w:name="_Toc198008354"/>
      <w:bookmarkStart w:id="2129" w:name="_Toc198008901"/>
      <w:bookmarkStart w:id="2130" w:name="_Toc198369797"/>
      <w:bookmarkStart w:id="2131" w:name="_Toc198369934"/>
      <w:bookmarkStart w:id="2132" w:name="_Toc198372846"/>
      <w:bookmarkStart w:id="2133" w:name="_Toc198372949"/>
      <w:bookmarkStart w:id="2134" w:name="_Toc198373079"/>
      <w:bookmarkStart w:id="2135" w:name="_Toc198373247"/>
      <w:bookmarkStart w:id="2136" w:name="_Toc198627161"/>
      <w:bookmarkStart w:id="2137" w:name="_Toc198627267"/>
      <w:bookmarkStart w:id="2138" w:name="_Toc216090728"/>
      <w:bookmarkStart w:id="2139" w:name="_Toc226958234"/>
      <w:bookmarkStart w:id="2140" w:name="_Toc227038294"/>
      <w:bookmarkStart w:id="2141" w:name="_Toc254792600"/>
      <w:bookmarkStart w:id="2142" w:name="_Toc256669724"/>
      <w:bookmarkStart w:id="2143" w:name="_Toc257213257"/>
      <w:bookmarkStart w:id="2144" w:name="_Toc257277759"/>
      <w:bookmarkStart w:id="2145" w:name="_Toc257278720"/>
      <w:bookmarkStart w:id="2146" w:name="_Toc257278930"/>
      <w:bookmarkStart w:id="2147" w:name="_Toc257279298"/>
      <w:bookmarkStart w:id="2148" w:name="_Toc257382942"/>
      <w:bookmarkStart w:id="2149" w:name="_Toc274056199"/>
      <w:bookmarkStart w:id="2150" w:name="_Toc276657605"/>
      <w:bookmarkStart w:id="2151" w:name="_Toc278366451"/>
      <w:bookmarkStart w:id="2152" w:name="_Toc307584047"/>
      <w:bookmarkStart w:id="2153" w:name="_Toc307937321"/>
      <w:bookmarkStart w:id="2154" w:name="_Toc348508760"/>
      <w:bookmarkStart w:id="2155" w:name="_Toc362256766"/>
      <w:bookmarkStart w:id="2156" w:name="_Toc366056522"/>
      <w:bookmarkStart w:id="2157" w:name="_Toc366223725"/>
      <w:bookmarkStart w:id="2158" w:name="_Toc366229438"/>
      <w:bookmarkStart w:id="2159" w:name="_Toc366583482"/>
      <w:r w:rsidRPr="001C2E9C">
        <w:t xml:space="preserve">Application Processing </w:t>
      </w:r>
      <w:r w:rsidRPr="002774E9">
        <w:t>and Minor Corrections</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rsidR="00782245" w:rsidRDefault="008434F5" w:rsidP="00C07C81">
      <w:pPr>
        <w:pStyle w:val="ParaNum"/>
        <w:widowControl/>
        <w:tabs>
          <w:tab w:val="clear" w:pos="1260"/>
          <w:tab w:val="left" w:pos="1440"/>
        </w:tabs>
        <w:ind w:left="0"/>
        <w:rPr>
          <w:szCs w:val="22"/>
        </w:rPr>
      </w:pPr>
      <w:r w:rsidRPr="002774E9">
        <w:rPr>
          <w:szCs w:val="22"/>
        </w:rPr>
        <w:t xml:space="preserve">After the deadline for filing </w:t>
      </w:r>
      <w:r w:rsidR="004169A3">
        <w:rPr>
          <w:szCs w:val="22"/>
        </w:rPr>
        <w:t>short-form</w:t>
      </w:r>
      <w:r w:rsidRPr="002774E9">
        <w:rPr>
          <w:szCs w:val="22"/>
        </w:rPr>
        <w:t xml:space="preserve"> applications, the </w:t>
      </w:r>
      <w:r w:rsidR="001B133F" w:rsidRPr="002774E9">
        <w:rPr>
          <w:szCs w:val="22"/>
        </w:rPr>
        <w:t xml:space="preserve">Commission </w:t>
      </w:r>
      <w:r w:rsidRPr="002774E9">
        <w:rPr>
          <w:szCs w:val="22"/>
        </w:rPr>
        <w:t xml:space="preserve">will process all timely submitted applications to determine which are </w:t>
      </w:r>
      <w:r w:rsidR="000120E4" w:rsidRPr="002774E9">
        <w:rPr>
          <w:szCs w:val="22"/>
        </w:rPr>
        <w:t>complete</w:t>
      </w:r>
      <w:r w:rsidRPr="002774E9">
        <w:rPr>
          <w:szCs w:val="22"/>
        </w:rPr>
        <w:t xml:space="preserve">, and subsequently will issue a public notice identifying (1) those </w:t>
      </w:r>
      <w:r w:rsidR="000120E4" w:rsidRPr="002774E9">
        <w:rPr>
          <w:szCs w:val="22"/>
        </w:rPr>
        <w:t>that are complete</w:t>
      </w:r>
      <w:r w:rsidRPr="002774E9">
        <w:rPr>
          <w:szCs w:val="22"/>
        </w:rPr>
        <w:t xml:space="preserve">; (2) those </w:t>
      </w:r>
      <w:r w:rsidR="004723A4" w:rsidRPr="002774E9">
        <w:rPr>
          <w:szCs w:val="22"/>
        </w:rPr>
        <w:t xml:space="preserve">that are </w:t>
      </w:r>
      <w:r w:rsidRPr="002774E9">
        <w:rPr>
          <w:szCs w:val="22"/>
        </w:rPr>
        <w:t xml:space="preserve">rejected; and (3) those </w:t>
      </w:r>
      <w:r w:rsidR="000120E4" w:rsidRPr="002774E9">
        <w:rPr>
          <w:szCs w:val="22"/>
        </w:rPr>
        <w:t xml:space="preserve">that are incomplete </w:t>
      </w:r>
      <w:r w:rsidR="00315705" w:rsidRPr="00DF7948">
        <w:rPr>
          <w:szCs w:val="22"/>
        </w:rPr>
        <w:t>or def</w:t>
      </w:r>
      <w:r w:rsidR="004D0402">
        <w:rPr>
          <w:szCs w:val="22"/>
        </w:rPr>
        <w:t>i</w:t>
      </w:r>
      <w:r w:rsidR="00315705" w:rsidRPr="00DF7948">
        <w:rPr>
          <w:szCs w:val="22"/>
        </w:rPr>
        <w:t>c</w:t>
      </w:r>
      <w:r w:rsidR="00B95DD8" w:rsidRPr="00DF7948">
        <w:rPr>
          <w:szCs w:val="22"/>
        </w:rPr>
        <w:t>ient</w:t>
      </w:r>
      <w:r w:rsidR="00315705" w:rsidRPr="00DF7948">
        <w:rPr>
          <w:szCs w:val="22"/>
        </w:rPr>
        <w:t xml:space="preserve"> </w:t>
      </w:r>
      <w:r w:rsidR="000120E4" w:rsidRPr="00DF7948">
        <w:rPr>
          <w:szCs w:val="22"/>
        </w:rPr>
        <w:t>because</w:t>
      </w:r>
      <w:r w:rsidR="000120E4" w:rsidRPr="002774E9">
        <w:rPr>
          <w:szCs w:val="22"/>
        </w:rPr>
        <w:t xml:space="preserve"> of</w:t>
      </w:r>
      <w:r w:rsidRPr="002774E9">
        <w:rPr>
          <w:szCs w:val="22"/>
        </w:rPr>
        <w:t xml:space="preserve"> minor defects that may be corrected</w:t>
      </w:r>
      <w:r w:rsidR="008A7A6E" w:rsidRPr="002774E9">
        <w:rPr>
          <w:szCs w:val="22"/>
        </w:rPr>
        <w:t xml:space="preserve">.  </w:t>
      </w:r>
      <w:r w:rsidR="0069175B">
        <w:rPr>
          <w:szCs w:val="22"/>
        </w:rPr>
        <w:t>The</w:t>
      </w:r>
      <w:r w:rsidR="0069175B" w:rsidRPr="002774E9">
        <w:rPr>
          <w:szCs w:val="22"/>
        </w:rPr>
        <w:t xml:space="preserve"> </w:t>
      </w:r>
      <w:r w:rsidR="008A7A6E" w:rsidRPr="002774E9">
        <w:rPr>
          <w:szCs w:val="22"/>
        </w:rPr>
        <w:t>public notice will include</w:t>
      </w:r>
      <w:r w:rsidRPr="002774E9">
        <w:rPr>
          <w:szCs w:val="22"/>
        </w:rPr>
        <w:t xml:space="preserve"> the deadline for resubmitting corrected applications.</w:t>
      </w:r>
    </w:p>
    <w:p w:rsidR="00D80778" w:rsidRDefault="008434F5" w:rsidP="00C07C81">
      <w:pPr>
        <w:pStyle w:val="ParaNum"/>
        <w:widowControl/>
        <w:tabs>
          <w:tab w:val="clear" w:pos="1260"/>
          <w:tab w:val="left" w:pos="1440"/>
        </w:tabs>
        <w:ind w:left="0"/>
        <w:rPr>
          <w:szCs w:val="22"/>
        </w:rPr>
      </w:pPr>
      <w:r w:rsidRPr="00AA2B80">
        <w:rPr>
          <w:szCs w:val="22"/>
        </w:rPr>
        <w:t xml:space="preserve">As described </w:t>
      </w:r>
      <w:r w:rsidR="000C360D" w:rsidRPr="00AA2B80">
        <w:rPr>
          <w:szCs w:val="22"/>
        </w:rPr>
        <w:t>above</w:t>
      </w:r>
      <w:r w:rsidRPr="00AA2B80">
        <w:rPr>
          <w:szCs w:val="22"/>
        </w:rPr>
        <w:t xml:space="preserve">, after the </w:t>
      </w:r>
      <w:r w:rsidR="00C739B8" w:rsidRPr="00AA2B80">
        <w:rPr>
          <w:szCs w:val="22"/>
        </w:rPr>
        <w:t>application</w:t>
      </w:r>
      <w:r w:rsidR="00C739B8">
        <w:rPr>
          <w:szCs w:val="22"/>
        </w:rPr>
        <w:t xml:space="preserve"> </w:t>
      </w:r>
      <w:r w:rsidRPr="001C2E9C">
        <w:rPr>
          <w:szCs w:val="22"/>
        </w:rPr>
        <w:t xml:space="preserve">filing </w:t>
      </w:r>
      <w:r w:rsidRPr="00AA2B80">
        <w:rPr>
          <w:szCs w:val="22"/>
        </w:rPr>
        <w:t>deadline</w:t>
      </w:r>
      <w:r w:rsidR="00C739B8" w:rsidRPr="00AA2B80">
        <w:rPr>
          <w:szCs w:val="22"/>
        </w:rPr>
        <w:t xml:space="preserve"> </w:t>
      </w:r>
      <w:r w:rsidR="00762645">
        <w:rPr>
          <w:szCs w:val="22"/>
        </w:rPr>
        <w:t xml:space="preserve">on </w:t>
      </w:r>
      <w:r w:rsidR="009C6980">
        <w:rPr>
          <w:szCs w:val="22"/>
        </w:rPr>
        <w:t>November 5</w:t>
      </w:r>
      <w:r w:rsidR="00762645">
        <w:rPr>
          <w:szCs w:val="22"/>
        </w:rPr>
        <w:t>, 201</w:t>
      </w:r>
      <w:r w:rsidR="00C17F19">
        <w:rPr>
          <w:szCs w:val="22"/>
        </w:rPr>
        <w:t>3</w:t>
      </w:r>
      <w:r w:rsidRPr="00D25662">
        <w:rPr>
          <w:szCs w:val="22"/>
        </w:rPr>
        <w:t>,</w:t>
      </w:r>
      <w:r w:rsidRPr="001C2E9C">
        <w:rPr>
          <w:szCs w:val="22"/>
        </w:rPr>
        <w:t xml:space="preserve"> applicants </w:t>
      </w:r>
      <w:r w:rsidR="00713DAD">
        <w:rPr>
          <w:szCs w:val="22"/>
        </w:rPr>
        <w:t xml:space="preserve">can </w:t>
      </w:r>
      <w:r w:rsidRPr="001C2E9C">
        <w:rPr>
          <w:szCs w:val="22"/>
        </w:rPr>
        <w:t>make only minor corrections to their applications.</w:t>
      </w:r>
      <w:r w:rsidR="000C360D">
        <w:rPr>
          <w:rStyle w:val="FootnoteReference"/>
          <w:szCs w:val="22"/>
        </w:rPr>
        <w:footnoteReference w:id="154"/>
      </w:r>
      <w:r w:rsidRPr="001C2E9C">
        <w:rPr>
          <w:szCs w:val="22"/>
        </w:rPr>
        <w:t xml:space="preserve">  </w:t>
      </w:r>
      <w:r w:rsidR="00713DAD">
        <w:rPr>
          <w:szCs w:val="22"/>
        </w:rPr>
        <w:t>They</w:t>
      </w:r>
      <w:r w:rsidRPr="001C2E9C">
        <w:rPr>
          <w:szCs w:val="22"/>
        </w:rPr>
        <w:t xml:space="preserve"> will not be permitted to make major modifications </w:t>
      </w:r>
      <w:r w:rsidRPr="002774E9">
        <w:rPr>
          <w:szCs w:val="22"/>
        </w:rPr>
        <w:t>(e.g</w:t>
      </w:r>
      <w:r w:rsidRPr="002774E9">
        <w:rPr>
          <w:i/>
          <w:szCs w:val="22"/>
        </w:rPr>
        <w:t>.</w:t>
      </w:r>
      <w:r w:rsidRPr="002774E9">
        <w:rPr>
          <w:szCs w:val="22"/>
        </w:rPr>
        <w:t xml:space="preserve">, </w:t>
      </w:r>
      <w:r w:rsidR="00782245">
        <w:rPr>
          <w:szCs w:val="22"/>
        </w:rPr>
        <w:t xml:space="preserve">change </w:t>
      </w:r>
      <w:r w:rsidR="00426AFA">
        <w:rPr>
          <w:szCs w:val="22"/>
        </w:rPr>
        <w:t>license</w:t>
      </w:r>
      <w:r w:rsidR="00782245">
        <w:rPr>
          <w:szCs w:val="22"/>
        </w:rPr>
        <w:t xml:space="preserve"> selection, </w:t>
      </w:r>
      <w:r w:rsidRPr="002774E9">
        <w:rPr>
          <w:szCs w:val="22"/>
        </w:rPr>
        <w:t xml:space="preserve">change control of the applicant, </w:t>
      </w:r>
      <w:r w:rsidR="00374C6E" w:rsidRPr="002774E9">
        <w:rPr>
          <w:szCs w:val="22"/>
        </w:rPr>
        <w:t xml:space="preserve">change </w:t>
      </w:r>
      <w:r w:rsidR="00596680" w:rsidRPr="002774E9">
        <w:rPr>
          <w:szCs w:val="22"/>
        </w:rPr>
        <w:t xml:space="preserve">the </w:t>
      </w:r>
      <w:r w:rsidR="00374C6E" w:rsidRPr="002774E9">
        <w:rPr>
          <w:szCs w:val="22"/>
        </w:rPr>
        <w:t xml:space="preserve">certifying official, </w:t>
      </w:r>
      <w:r w:rsidR="00426AFA">
        <w:rPr>
          <w:szCs w:val="22"/>
        </w:rPr>
        <w:t xml:space="preserve">or </w:t>
      </w:r>
      <w:r w:rsidRPr="002774E9">
        <w:rPr>
          <w:szCs w:val="22"/>
        </w:rPr>
        <w:t>claim eligibility for a higher</w:t>
      </w:r>
      <w:r w:rsidR="003C34D4" w:rsidRPr="002774E9">
        <w:rPr>
          <w:szCs w:val="22"/>
        </w:rPr>
        <w:t xml:space="preserve"> percentage of</w:t>
      </w:r>
      <w:r w:rsidRPr="002774E9">
        <w:rPr>
          <w:szCs w:val="22"/>
        </w:rPr>
        <w:t xml:space="preserve"> bidding</w:t>
      </w:r>
      <w:r w:rsidRPr="001C2E9C">
        <w:rPr>
          <w:szCs w:val="22"/>
        </w:rPr>
        <w:t xml:space="preserve"> credit</w:t>
      </w:r>
      <w:r w:rsidR="006F0679">
        <w:rPr>
          <w:szCs w:val="22"/>
        </w:rPr>
        <w:t>)</w:t>
      </w:r>
      <w:r w:rsidRPr="001C2E9C">
        <w:rPr>
          <w:szCs w:val="22"/>
        </w:rPr>
        <w:t>.</w:t>
      </w:r>
      <w:r w:rsidR="00700D38">
        <w:rPr>
          <w:rStyle w:val="FootnoteReference"/>
          <w:szCs w:val="22"/>
        </w:rPr>
        <w:footnoteReference w:id="155"/>
      </w:r>
      <w:r w:rsidR="00644E5A" w:rsidRPr="001C2E9C">
        <w:rPr>
          <w:szCs w:val="22"/>
        </w:rPr>
        <w:t xml:space="preserve">  </w:t>
      </w:r>
    </w:p>
    <w:p w:rsidR="008434F5" w:rsidRPr="007E4A5E" w:rsidRDefault="00D80778" w:rsidP="00C07C81">
      <w:pPr>
        <w:pStyle w:val="ParaNum"/>
        <w:widowControl/>
        <w:tabs>
          <w:tab w:val="clear" w:pos="1260"/>
          <w:tab w:val="left" w:pos="1440"/>
        </w:tabs>
        <w:ind w:left="0"/>
        <w:rPr>
          <w:szCs w:val="22"/>
        </w:rPr>
      </w:pPr>
      <w:r>
        <w:rPr>
          <w:szCs w:val="22"/>
        </w:rPr>
        <w:t>Commission staff</w:t>
      </w:r>
      <w:r w:rsidR="0069757D" w:rsidRPr="001C2E9C">
        <w:rPr>
          <w:szCs w:val="22"/>
        </w:rPr>
        <w:t xml:space="preserve"> will communicate only with an </w:t>
      </w:r>
      <w:r w:rsidR="00317922" w:rsidRPr="001C2E9C">
        <w:rPr>
          <w:szCs w:val="22"/>
        </w:rPr>
        <w:t>applicant’s</w:t>
      </w:r>
      <w:r w:rsidR="0069757D" w:rsidRPr="001C2E9C">
        <w:rPr>
          <w:szCs w:val="22"/>
        </w:rPr>
        <w:t xml:space="preserve"> contact person or certifying official</w:t>
      </w:r>
      <w:r w:rsidR="00317922" w:rsidRPr="001C2E9C">
        <w:rPr>
          <w:szCs w:val="22"/>
        </w:rPr>
        <w:t xml:space="preserve">, as designated on the </w:t>
      </w:r>
      <w:r>
        <w:rPr>
          <w:szCs w:val="22"/>
        </w:rPr>
        <w:t>short-form application</w:t>
      </w:r>
      <w:r w:rsidR="00317922" w:rsidRPr="001C2E9C">
        <w:rPr>
          <w:szCs w:val="22"/>
        </w:rPr>
        <w:t xml:space="preserve">, </w:t>
      </w:r>
      <w:r w:rsidR="00317922" w:rsidRPr="00DF7948">
        <w:rPr>
          <w:szCs w:val="22"/>
        </w:rPr>
        <w:t xml:space="preserve">unless the applicant’s </w:t>
      </w:r>
      <w:r w:rsidR="0069757D" w:rsidRPr="00DF7948">
        <w:rPr>
          <w:szCs w:val="22"/>
        </w:rPr>
        <w:t>certifying official</w:t>
      </w:r>
      <w:r w:rsidR="0069757D" w:rsidRPr="001C2E9C">
        <w:rPr>
          <w:szCs w:val="22"/>
        </w:rPr>
        <w:t xml:space="preserve"> or contact person</w:t>
      </w:r>
      <w:r w:rsidR="00317922" w:rsidRPr="001C2E9C">
        <w:rPr>
          <w:szCs w:val="22"/>
        </w:rPr>
        <w:t xml:space="preserve"> </w:t>
      </w:r>
      <w:r w:rsidR="001B133F" w:rsidRPr="001C2E9C">
        <w:rPr>
          <w:szCs w:val="22"/>
        </w:rPr>
        <w:t>notifies the Commission</w:t>
      </w:r>
      <w:r w:rsidR="00317922" w:rsidRPr="001C2E9C">
        <w:rPr>
          <w:szCs w:val="22"/>
        </w:rPr>
        <w:t xml:space="preserve"> in writing </w:t>
      </w:r>
      <w:r w:rsidR="001B133F" w:rsidRPr="001C2E9C">
        <w:rPr>
          <w:szCs w:val="22"/>
        </w:rPr>
        <w:t>that</w:t>
      </w:r>
      <w:r w:rsidR="00317922" w:rsidRPr="001C2E9C">
        <w:rPr>
          <w:szCs w:val="22"/>
        </w:rPr>
        <w:t xml:space="preserve"> applicant’s </w:t>
      </w:r>
      <w:r w:rsidR="00317922" w:rsidRPr="007E4A5E">
        <w:rPr>
          <w:szCs w:val="22"/>
        </w:rPr>
        <w:t>counsel or other representative</w:t>
      </w:r>
      <w:r w:rsidR="001B133F" w:rsidRPr="007E4A5E">
        <w:rPr>
          <w:szCs w:val="22"/>
        </w:rPr>
        <w:t xml:space="preserve"> is authorized to speak on its behalf</w:t>
      </w:r>
      <w:r w:rsidR="0069757D" w:rsidRPr="007E4A5E">
        <w:rPr>
          <w:szCs w:val="22"/>
        </w:rPr>
        <w:t>.</w:t>
      </w:r>
      <w:r w:rsidR="00A57B8A" w:rsidRPr="007E4A5E">
        <w:rPr>
          <w:rStyle w:val="FootnoteReference"/>
          <w:szCs w:val="22"/>
        </w:rPr>
        <w:footnoteReference w:id="156"/>
      </w:r>
      <w:r w:rsidRPr="007E4A5E">
        <w:rPr>
          <w:szCs w:val="22"/>
        </w:rPr>
        <w:t xml:space="preserve">  Authorizations may be </w:t>
      </w:r>
      <w:r w:rsidR="00197ADE" w:rsidRPr="007E4A5E">
        <w:rPr>
          <w:szCs w:val="22"/>
        </w:rPr>
        <w:t xml:space="preserve">sent </w:t>
      </w:r>
      <w:r w:rsidRPr="007E4A5E">
        <w:rPr>
          <w:szCs w:val="22"/>
        </w:rPr>
        <w:t xml:space="preserve">by e-mail </w:t>
      </w:r>
      <w:r w:rsidR="00197ADE" w:rsidRPr="007E4A5E">
        <w:rPr>
          <w:szCs w:val="22"/>
        </w:rPr>
        <w:t xml:space="preserve">to </w:t>
      </w:r>
      <w:hyperlink r:id="rId17" w:history="1">
        <w:r w:rsidR="00530B79" w:rsidRPr="000C26E0">
          <w:rPr>
            <w:rStyle w:val="Hyperlink"/>
            <w:szCs w:val="22"/>
          </w:rPr>
          <w:t>auction96@fcc.gov</w:t>
        </w:r>
      </w:hyperlink>
      <w:r w:rsidRPr="007E4A5E">
        <w:rPr>
          <w:szCs w:val="22"/>
        </w:rPr>
        <w:t>.</w:t>
      </w:r>
      <w:r w:rsidR="00315705">
        <w:rPr>
          <w:szCs w:val="22"/>
        </w:rPr>
        <w:t xml:space="preserve"> </w:t>
      </w:r>
    </w:p>
    <w:p w:rsidR="008434F5" w:rsidRPr="007E4A5E" w:rsidRDefault="008434F5" w:rsidP="00C07C81">
      <w:pPr>
        <w:pStyle w:val="Heading2"/>
        <w:widowControl/>
      </w:pPr>
      <w:bookmarkStart w:id="2160" w:name="_Toc483218151"/>
      <w:bookmarkStart w:id="2161" w:name="_Toc109812251"/>
      <w:bookmarkStart w:id="2162" w:name="_Toc124844760"/>
      <w:bookmarkStart w:id="2163" w:name="_Toc124844888"/>
      <w:bookmarkStart w:id="2164" w:name="_Toc124845547"/>
      <w:bookmarkStart w:id="2165" w:name="_Toc124845815"/>
      <w:bookmarkStart w:id="2166" w:name="_Toc124845889"/>
      <w:bookmarkStart w:id="2167" w:name="_Toc124845963"/>
      <w:bookmarkStart w:id="2168" w:name="_Toc124846135"/>
      <w:bookmarkStart w:id="2169" w:name="_Toc124848258"/>
      <w:bookmarkStart w:id="2170" w:name="_Toc124907509"/>
      <w:bookmarkStart w:id="2171" w:name="_Toc129773474"/>
      <w:bookmarkStart w:id="2172" w:name="_Toc130210012"/>
      <w:bookmarkStart w:id="2173" w:name="_Toc130730941"/>
      <w:bookmarkStart w:id="2174" w:name="_Toc130814169"/>
      <w:bookmarkStart w:id="2175" w:name="_Toc130814491"/>
      <w:bookmarkStart w:id="2176" w:name="_Toc130814623"/>
      <w:bookmarkStart w:id="2177" w:name="_Toc130883506"/>
      <w:bookmarkStart w:id="2178" w:name="_Toc130885614"/>
      <w:bookmarkStart w:id="2179" w:name="_Toc131844593"/>
      <w:bookmarkStart w:id="2180" w:name="_Toc148330531"/>
      <w:bookmarkStart w:id="2181" w:name="_Toc148331248"/>
      <w:bookmarkStart w:id="2182" w:name="_Toc148331707"/>
      <w:bookmarkStart w:id="2183" w:name="_Toc148332132"/>
      <w:bookmarkStart w:id="2184" w:name="_Toc148332204"/>
      <w:bookmarkStart w:id="2185" w:name="_Toc148332278"/>
      <w:bookmarkStart w:id="2186" w:name="_Toc148332355"/>
      <w:bookmarkStart w:id="2187" w:name="_Toc148332432"/>
      <w:bookmarkStart w:id="2188" w:name="_Toc148332509"/>
      <w:bookmarkStart w:id="2189" w:name="_Toc148332584"/>
      <w:bookmarkStart w:id="2190" w:name="_Toc148332657"/>
      <w:bookmarkStart w:id="2191" w:name="_Toc148332753"/>
      <w:bookmarkStart w:id="2192" w:name="_Toc148332887"/>
      <w:bookmarkStart w:id="2193" w:name="_Toc148333089"/>
      <w:bookmarkStart w:id="2194" w:name="_Toc148333222"/>
      <w:bookmarkStart w:id="2195" w:name="_Toc148333641"/>
      <w:bookmarkStart w:id="2196" w:name="_Toc148334254"/>
      <w:bookmarkStart w:id="2197" w:name="_Toc148335768"/>
      <w:bookmarkStart w:id="2198" w:name="_Toc148336301"/>
      <w:bookmarkStart w:id="2199" w:name="_Toc148337742"/>
      <w:bookmarkStart w:id="2200" w:name="_Toc148338065"/>
      <w:bookmarkStart w:id="2201" w:name="_Toc148339775"/>
      <w:bookmarkStart w:id="2202" w:name="_Toc148339872"/>
      <w:bookmarkStart w:id="2203" w:name="_Toc149645580"/>
      <w:bookmarkStart w:id="2204" w:name="_Toc149997883"/>
      <w:bookmarkStart w:id="2205" w:name="_Toc158180760"/>
      <w:bookmarkStart w:id="2206" w:name="_Toc158785608"/>
      <w:bookmarkStart w:id="2207" w:name="_Toc178768511"/>
      <w:bookmarkStart w:id="2208" w:name="_Toc179195952"/>
      <w:bookmarkStart w:id="2209" w:name="_Toc179361896"/>
      <w:bookmarkStart w:id="2210" w:name="_Toc179363680"/>
      <w:bookmarkStart w:id="2211" w:name="_Toc197504934"/>
      <w:bookmarkStart w:id="2212" w:name="_Toc198007715"/>
      <w:bookmarkStart w:id="2213" w:name="_Toc198007866"/>
      <w:bookmarkStart w:id="2214" w:name="_Toc198008218"/>
      <w:bookmarkStart w:id="2215" w:name="_Toc198008355"/>
      <w:bookmarkStart w:id="2216" w:name="_Toc198008902"/>
      <w:bookmarkStart w:id="2217" w:name="_Toc198369798"/>
      <w:bookmarkStart w:id="2218" w:name="_Toc198369935"/>
      <w:bookmarkStart w:id="2219" w:name="_Toc198372847"/>
      <w:bookmarkStart w:id="2220" w:name="_Toc198372950"/>
      <w:bookmarkStart w:id="2221" w:name="_Toc198373080"/>
      <w:bookmarkStart w:id="2222" w:name="_Toc198373248"/>
      <w:bookmarkStart w:id="2223" w:name="_Toc198627162"/>
      <w:bookmarkStart w:id="2224" w:name="_Toc198627268"/>
      <w:bookmarkStart w:id="2225" w:name="_Toc216090729"/>
      <w:bookmarkStart w:id="2226" w:name="_Toc226958235"/>
      <w:bookmarkStart w:id="2227" w:name="_Toc227038295"/>
      <w:bookmarkStart w:id="2228" w:name="_Toc254792601"/>
      <w:bookmarkStart w:id="2229" w:name="_Toc256669725"/>
      <w:bookmarkStart w:id="2230" w:name="_Toc257213258"/>
      <w:bookmarkStart w:id="2231" w:name="_Toc257277760"/>
      <w:bookmarkStart w:id="2232" w:name="_Toc257278721"/>
      <w:bookmarkStart w:id="2233" w:name="_Toc257278931"/>
      <w:bookmarkStart w:id="2234" w:name="_Toc257279299"/>
      <w:bookmarkStart w:id="2235" w:name="_Toc257382943"/>
      <w:bookmarkStart w:id="2236" w:name="_Toc274056200"/>
      <w:bookmarkStart w:id="2237" w:name="_Toc276657606"/>
      <w:bookmarkStart w:id="2238" w:name="_Toc278366452"/>
      <w:bookmarkStart w:id="2239" w:name="_Toc307584048"/>
      <w:bookmarkStart w:id="2240" w:name="_Toc307937322"/>
      <w:bookmarkStart w:id="2241" w:name="_Toc348508761"/>
      <w:bookmarkStart w:id="2242" w:name="_Toc362256767"/>
      <w:bookmarkStart w:id="2243" w:name="_Toc366056523"/>
      <w:bookmarkStart w:id="2244" w:name="_Toc366223726"/>
      <w:bookmarkStart w:id="2245" w:name="_Toc366229439"/>
      <w:bookmarkStart w:id="2246" w:name="_Toc366583483"/>
      <w:r w:rsidRPr="007E4A5E">
        <w:t xml:space="preserve">Upfront Payments </w:t>
      </w:r>
      <w:r w:rsidR="000C360D" w:rsidRPr="007E4A5E">
        <w:t>–</w:t>
      </w:r>
      <w:r w:rsidRPr="007E4A5E">
        <w:t xml:space="preserve"> Due</w:t>
      </w:r>
      <w:bookmarkEnd w:id="2160"/>
      <w:r w:rsidRPr="007E4A5E">
        <w:t xml:space="preserve"> </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r w:rsidR="009C6980">
        <w:t>December 1</w:t>
      </w:r>
      <w:r w:rsidR="003D65BB">
        <w:t>1</w:t>
      </w:r>
      <w:r w:rsidR="00762645">
        <w:t>, 201</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r w:rsidR="00C17F19">
        <w:t>3</w:t>
      </w:r>
      <w:bookmarkEnd w:id="2241"/>
      <w:bookmarkEnd w:id="2242"/>
      <w:bookmarkEnd w:id="2243"/>
      <w:bookmarkEnd w:id="2244"/>
      <w:bookmarkEnd w:id="2245"/>
      <w:bookmarkEnd w:id="2246"/>
    </w:p>
    <w:p w:rsidR="008434F5" w:rsidRPr="00D25662" w:rsidRDefault="008434F5" w:rsidP="00C07C81">
      <w:pPr>
        <w:pStyle w:val="ParaNum"/>
        <w:widowControl/>
        <w:tabs>
          <w:tab w:val="clear" w:pos="1260"/>
          <w:tab w:val="left" w:pos="1440"/>
        </w:tabs>
        <w:ind w:left="0"/>
        <w:rPr>
          <w:szCs w:val="22"/>
        </w:rPr>
      </w:pPr>
      <w:r w:rsidRPr="000C360D">
        <w:rPr>
          <w:szCs w:val="22"/>
        </w:rPr>
        <w:t xml:space="preserve">In order to be eligible to bid in </w:t>
      </w:r>
      <w:r w:rsidR="000120E4" w:rsidRPr="000C360D">
        <w:rPr>
          <w:szCs w:val="22"/>
        </w:rPr>
        <w:t>this auction</w:t>
      </w:r>
      <w:r w:rsidRPr="000C360D">
        <w:rPr>
          <w:szCs w:val="22"/>
        </w:rPr>
        <w:t xml:space="preserve">, an upfront payment </w:t>
      </w:r>
      <w:r w:rsidR="00713DAD">
        <w:rPr>
          <w:szCs w:val="22"/>
        </w:rPr>
        <w:t xml:space="preserve">must be submitted and </w:t>
      </w:r>
      <w:r w:rsidRPr="000C360D">
        <w:rPr>
          <w:szCs w:val="22"/>
        </w:rPr>
        <w:t>accompanied by an FCC Remittance Advice Form (FCC Form 159).  After completing</w:t>
      </w:r>
      <w:r w:rsidR="00D80778">
        <w:rPr>
          <w:szCs w:val="22"/>
        </w:rPr>
        <w:t xml:space="preserve"> its short-form application, an </w:t>
      </w:r>
      <w:r w:rsidR="000C360D">
        <w:rPr>
          <w:szCs w:val="22"/>
        </w:rPr>
        <w:t>applicant</w:t>
      </w:r>
      <w:r w:rsidRPr="000C360D">
        <w:rPr>
          <w:szCs w:val="22"/>
        </w:rPr>
        <w:t xml:space="preserve"> will have access to an electronic version of the FCC Form 159 that can be printed and sent by </w:t>
      </w:r>
      <w:r w:rsidR="000C360D">
        <w:rPr>
          <w:szCs w:val="22"/>
        </w:rPr>
        <w:t>fax</w:t>
      </w:r>
      <w:r w:rsidRPr="000C360D">
        <w:rPr>
          <w:szCs w:val="22"/>
        </w:rPr>
        <w:t xml:space="preserve"> to </w:t>
      </w:r>
      <w:r w:rsidR="00C06F74">
        <w:rPr>
          <w:szCs w:val="22"/>
        </w:rPr>
        <w:t>U.S.</w:t>
      </w:r>
      <w:r w:rsidRPr="000C360D">
        <w:rPr>
          <w:szCs w:val="22"/>
        </w:rPr>
        <w:t xml:space="preserve"> Bank in </w:t>
      </w:r>
      <w:r w:rsidR="00C06F74">
        <w:rPr>
          <w:szCs w:val="22"/>
        </w:rPr>
        <w:t>St. Louis, Missouri</w:t>
      </w:r>
      <w:r w:rsidRPr="000C360D">
        <w:rPr>
          <w:szCs w:val="22"/>
        </w:rPr>
        <w:t xml:space="preserve">.  </w:t>
      </w:r>
      <w:r w:rsidRPr="00C06F74">
        <w:rPr>
          <w:b/>
          <w:szCs w:val="22"/>
        </w:rPr>
        <w:t xml:space="preserve">All upfront payments must be </w:t>
      </w:r>
      <w:r w:rsidR="00422C8E">
        <w:rPr>
          <w:b/>
          <w:szCs w:val="22"/>
        </w:rPr>
        <w:t xml:space="preserve">made as instructed in this Public Notice and must be </w:t>
      </w:r>
      <w:r w:rsidRPr="00C06F74">
        <w:rPr>
          <w:b/>
          <w:szCs w:val="22"/>
        </w:rPr>
        <w:t xml:space="preserve">received in the proper account at </w:t>
      </w:r>
      <w:r w:rsidR="00C06F74" w:rsidRPr="00C06F74">
        <w:rPr>
          <w:b/>
          <w:szCs w:val="22"/>
        </w:rPr>
        <w:t>U.S.</w:t>
      </w:r>
      <w:r w:rsidRPr="00C06F74">
        <w:rPr>
          <w:b/>
          <w:szCs w:val="22"/>
        </w:rPr>
        <w:t xml:space="preserve"> Bank </w:t>
      </w:r>
      <w:r w:rsidR="00C06F74" w:rsidRPr="00C06F74">
        <w:rPr>
          <w:b/>
          <w:szCs w:val="22"/>
        </w:rPr>
        <w:t>before</w:t>
      </w:r>
      <w:r w:rsidRPr="00C06F74">
        <w:rPr>
          <w:b/>
          <w:szCs w:val="22"/>
        </w:rPr>
        <w:t xml:space="preserve"> 6:00 p.m. ET </w:t>
      </w:r>
      <w:r w:rsidRPr="00D25662">
        <w:rPr>
          <w:b/>
          <w:szCs w:val="22"/>
        </w:rPr>
        <w:t xml:space="preserve">on </w:t>
      </w:r>
      <w:r w:rsidR="00E27EC4">
        <w:rPr>
          <w:b/>
          <w:szCs w:val="22"/>
        </w:rPr>
        <w:t>December 1</w:t>
      </w:r>
      <w:r w:rsidR="003D65BB">
        <w:rPr>
          <w:b/>
          <w:szCs w:val="22"/>
        </w:rPr>
        <w:t>1</w:t>
      </w:r>
      <w:r w:rsidR="00762645">
        <w:rPr>
          <w:b/>
          <w:szCs w:val="22"/>
        </w:rPr>
        <w:t>, 201</w:t>
      </w:r>
      <w:r w:rsidR="00C17F19">
        <w:rPr>
          <w:b/>
          <w:szCs w:val="22"/>
        </w:rPr>
        <w:t>3</w:t>
      </w:r>
      <w:r w:rsidRPr="00D25662">
        <w:rPr>
          <w:b/>
          <w:szCs w:val="22"/>
        </w:rPr>
        <w:t>.</w:t>
      </w:r>
      <w:r w:rsidR="000120E4" w:rsidRPr="00D25662">
        <w:rPr>
          <w:szCs w:val="22"/>
        </w:rPr>
        <w:t xml:space="preserve">  </w:t>
      </w:r>
    </w:p>
    <w:p w:rsidR="008434F5" w:rsidRPr="001C2E9C" w:rsidRDefault="008434F5" w:rsidP="00C07C81">
      <w:pPr>
        <w:pStyle w:val="Heading3"/>
        <w:widowControl/>
        <w:rPr>
          <w:szCs w:val="22"/>
        </w:rPr>
      </w:pPr>
      <w:bookmarkStart w:id="2247" w:name="_Toc483218152"/>
      <w:bookmarkStart w:id="2248" w:name="_Toc109812252"/>
      <w:bookmarkStart w:id="2249" w:name="_Toc124844761"/>
      <w:bookmarkStart w:id="2250" w:name="_Toc124844889"/>
      <w:bookmarkStart w:id="2251" w:name="_Toc124845548"/>
      <w:bookmarkStart w:id="2252" w:name="_Toc124845816"/>
      <w:bookmarkStart w:id="2253" w:name="_Toc124845890"/>
      <w:bookmarkStart w:id="2254" w:name="_Toc124845964"/>
      <w:bookmarkStart w:id="2255" w:name="_Toc124846136"/>
      <w:bookmarkStart w:id="2256" w:name="_Toc124848259"/>
      <w:bookmarkStart w:id="2257" w:name="_Toc124907510"/>
      <w:bookmarkStart w:id="2258" w:name="_Toc129773475"/>
      <w:bookmarkStart w:id="2259" w:name="_Toc130210013"/>
      <w:bookmarkStart w:id="2260" w:name="_Toc130730942"/>
      <w:bookmarkStart w:id="2261" w:name="_Toc130814170"/>
      <w:bookmarkStart w:id="2262" w:name="_Toc130814492"/>
      <w:bookmarkStart w:id="2263" w:name="_Toc130814624"/>
      <w:bookmarkStart w:id="2264" w:name="_Toc130883507"/>
      <w:bookmarkStart w:id="2265" w:name="_Toc130885615"/>
      <w:bookmarkStart w:id="2266" w:name="_Toc131844594"/>
      <w:bookmarkStart w:id="2267" w:name="_Toc148330532"/>
      <w:bookmarkStart w:id="2268" w:name="_Toc148331249"/>
      <w:bookmarkStart w:id="2269" w:name="_Toc148331708"/>
      <w:bookmarkStart w:id="2270" w:name="_Toc148332133"/>
      <w:bookmarkStart w:id="2271" w:name="_Toc148332205"/>
      <w:bookmarkStart w:id="2272" w:name="_Toc148332279"/>
      <w:bookmarkStart w:id="2273" w:name="_Toc148332356"/>
      <w:bookmarkStart w:id="2274" w:name="_Toc148332433"/>
      <w:bookmarkStart w:id="2275" w:name="_Toc148332510"/>
      <w:bookmarkStart w:id="2276" w:name="_Toc148332585"/>
      <w:bookmarkStart w:id="2277" w:name="_Toc148332658"/>
      <w:bookmarkStart w:id="2278" w:name="_Toc148332754"/>
      <w:bookmarkStart w:id="2279" w:name="_Toc148332888"/>
      <w:bookmarkStart w:id="2280" w:name="_Toc148333090"/>
      <w:bookmarkStart w:id="2281" w:name="_Toc148333223"/>
      <w:bookmarkStart w:id="2282" w:name="_Toc148333642"/>
      <w:bookmarkStart w:id="2283" w:name="_Toc148334255"/>
      <w:bookmarkStart w:id="2284" w:name="_Toc148335769"/>
      <w:bookmarkStart w:id="2285" w:name="_Toc148336302"/>
      <w:bookmarkStart w:id="2286" w:name="_Toc148337743"/>
      <w:bookmarkStart w:id="2287" w:name="_Toc148338066"/>
      <w:bookmarkStart w:id="2288" w:name="_Toc148339776"/>
      <w:bookmarkStart w:id="2289" w:name="_Toc148339873"/>
      <w:bookmarkStart w:id="2290" w:name="_Toc149645581"/>
      <w:bookmarkStart w:id="2291" w:name="_Toc149997884"/>
      <w:bookmarkStart w:id="2292" w:name="_Toc158180761"/>
      <w:bookmarkStart w:id="2293" w:name="_Toc158785609"/>
      <w:bookmarkStart w:id="2294" w:name="_Toc178768512"/>
      <w:bookmarkStart w:id="2295" w:name="_Toc179195953"/>
      <w:bookmarkStart w:id="2296" w:name="_Toc179361897"/>
      <w:bookmarkStart w:id="2297" w:name="_Toc179363681"/>
      <w:bookmarkStart w:id="2298" w:name="_Toc197504935"/>
      <w:bookmarkStart w:id="2299" w:name="_Toc198007716"/>
      <w:bookmarkStart w:id="2300" w:name="_Toc198007867"/>
      <w:bookmarkStart w:id="2301" w:name="_Toc198008219"/>
      <w:bookmarkStart w:id="2302" w:name="_Toc198008356"/>
      <w:bookmarkStart w:id="2303" w:name="_Toc198008903"/>
      <w:bookmarkStart w:id="2304" w:name="_Toc198369799"/>
      <w:bookmarkStart w:id="2305" w:name="_Toc198369936"/>
      <w:bookmarkStart w:id="2306" w:name="_Toc198372848"/>
      <w:bookmarkStart w:id="2307" w:name="_Toc198372951"/>
      <w:bookmarkStart w:id="2308" w:name="_Toc198373081"/>
      <w:bookmarkStart w:id="2309" w:name="_Toc198373249"/>
      <w:bookmarkStart w:id="2310" w:name="_Toc198627163"/>
      <w:bookmarkStart w:id="2311" w:name="_Toc198627269"/>
      <w:bookmarkStart w:id="2312" w:name="_Toc216090730"/>
      <w:bookmarkStart w:id="2313" w:name="_Toc226958236"/>
      <w:bookmarkStart w:id="2314" w:name="_Toc227038296"/>
      <w:bookmarkStart w:id="2315" w:name="_Toc254792602"/>
      <w:bookmarkStart w:id="2316" w:name="_Toc256669726"/>
      <w:bookmarkStart w:id="2317" w:name="_Toc257213259"/>
      <w:bookmarkStart w:id="2318" w:name="_Toc257277761"/>
      <w:bookmarkStart w:id="2319" w:name="_Toc257278722"/>
      <w:bookmarkStart w:id="2320" w:name="_Toc257278932"/>
      <w:bookmarkStart w:id="2321" w:name="_Toc257279300"/>
      <w:bookmarkStart w:id="2322" w:name="_Toc257382944"/>
      <w:bookmarkStart w:id="2323" w:name="_Toc274056201"/>
      <w:bookmarkStart w:id="2324" w:name="_Toc276657607"/>
      <w:bookmarkStart w:id="2325" w:name="_Toc278366453"/>
      <w:bookmarkStart w:id="2326" w:name="_Toc307584049"/>
      <w:bookmarkStart w:id="2327" w:name="_Toc307937323"/>
      <w:bookmarkStart w:id="2328" w:name="_Toc348508762"/>
      <w:bookmarkStart w:id="2329" w:name="_Toc362256768"/>
      <w:bookmarkStart w:id="2330" w:name="_Toc366056524"/>
      <w:bookmarkStart w:id="2331" w:name="_Toc366223727"/>
      <w:bookmarkStart w:id="2332" w:name="_Toc366229440"/>
      <w:bookmarkStart w:id="2333" w:name="_Toc366583484"/>
      <w:r w:rsidRPr="001C2E9C">
        <w:rPr>
          <w:szCs w:val="22"/>
        </w:rPr>
        <w:t xml:space="preserve">Making </w:t>
      </w:r>
      <w:r w:rsidR="002E5E24" w:rsidRPr="001C2E9C">
        <w:rPr>
          <w:szCs w:val="22"/>
        </w:rPr>
        <w:t>Upfront</w:t>
      </w:r>
      <w:r w:rsidRPr="001C2E9C">
        <w:rPr>
          <w:szCs w:val="22"/>
        </w:rPr>
        <w:t xml:space="preserve"> Payments by Wire Transfer</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r w:rsidRPr="001C2E9C">
        <w:rPr>
          <w:szCs w:val="22"/>
        </w:rPr>
        <w:t xml:space="preserve"> </w:t>
      </w:r>
    </w:p>
    <w:p w:rsidR="008434F5" w:rsidRPr="001C2E9C" w:rsidRDefault="008434F5" w:rsidP="00C07C81">
      <w:pPr>
        <w:pStyle w:val="ParaNum"/>
        <w:widowControl/>
        <w:tabs>
          <w:tab w:val="clear" w:pos="1260"/>
          <w:tab w:val="left" w:pos="1440"/>
        </w:tabs>
        <w:ind w:left="0"/>
        <w:rPr>
          <w:szCs w:val="22"/>
        </w:rPr>
      </w:pPr>
      <w:r w:rsidRPr="001C2E9C">
        <w:rPr>
          <w:szCs w:val="22"/>
        </w:rPr>
        <w:t xml:space="preserve">Wire transfer payments must be received </w:t>
      </w:r>
      <w:r w:rsidR="00C06F74">
        <w:rPr>
          <w:szCs w:val="22"/>
        </w:rPr>
        <w:t>before</w:t>
      </w:r>
      <w:r w:rsidRPr="001C2E9C">
        <w:rPr>
          <w:szCs w:val="22"/>
        </w:rPr>
        <w:t xml:space="preserve"> 6:00 p.m. ET </w:t>
      </w:r>
      <w:r w:rsidRPr="00D25662">
        <w:rPr>
          <w:szCs w:val="22"/>
        </w:rPr>
        <w:t xml:space="preserve">on </w:t>
      </w:r>
      <w:r w:rsidR="00E27EC4">
        <w:rPr>
          <w:szCs w:val="22"/>
        </w:rPr>
        <w:t>December 1</w:t>
      </w:r>
      <w:r w:rsidR="003D65BB">
        <w:rPr>
          <w:szCs w:val="22"/>
        </w:rPr>
        <w:t>1</w:t>
      </w:r>
      <w:r w:rsidR="00762645">
        <w:rPr>
          <w:szCs w:val="22"/>
        </w:rPr>
        <w:t>, 201</w:t>
      </w:r>
      <w:r w:rsidR="00C17F19">
        <w:rPr>
          <w:szCs w:val="22"/>
        </w:rPr>
        <w:t>3</w:t>
      </w:r>
      <w:r w:rsidRPr="00D25662">
        <w:rPr>
          <w:szCs w:val="22"/>
        </w:rPr>
        <w:t>.</w:t>
      </w:r>
      <w:r w:rsidR="00D86FBE" w:rsidRPr="00D25662">
        <w:rPr>
          <w:rStyle w:val="FootnoteReference"/>
          <w:szCs w:val="22"/>
        </w:rPr>
        <w:footnoteReference w:id="157"/>
      </w:r>
      <w:r w:rsidRPr="001C2E9C">
        <w:rPr>
          <w:szCs w:val="22"/>
        </w:rPr>
        <w:t xml:space="preserve">  </w:t>
      </w:r>
      <w:r w:rsidR="00E64696" w:rsidRPr="000C360D">
        <w:rPr>
          <w:szCs w:val="22"/>
        </w:rPr>
        <w:t>No other payment method is acceptable.</w:t>
      </w:r>
      <w:r w:rsidR="00E64696" w:rsidRPr="001C2E9C">
        <w:rPr>
          <w:rStyle w:val="FootnoteReference"/>
          <w:szCs w:val="22"/>
        </w:rPr>
        <w:footnoteReference w:id="158"/>
      </w:r>
      <w:r w:rsidR="00E64696" w:rsidRPr="001C2E9C">
        <w:rPr>
          <w:szCs w:val="22"/>
        </w:rPr>
        <w:t xml:space="preserve">  </w:t>
      </w:r>
      <w:r w:rsidRPr="001C2E9C">
        <w:rPr>
          <w:szCs w:val="22"/>
        </w:rPr>
        <w:t>To avoid untimely payments, applicants should discuss arrangements (including bank closing schedules) with their banker</w:t>
      </w:r>
      <w:r w:rsidR="004723A4">
        <w:rPr>
          <w:szCs w:val="22"/>
        </w:rPr>
        <w:t>s</w:t>
      </w:r>
      <w:r w:rsidRPr="001C2E9C">
        <w:rPr>
          <w:szCs w:val="22"/>
        </w:rPr>
        <w:t xml:space="preserve"> several days before they plan to make the wire transfer, and allow sufficient time for the transfer to be initiated and completed before the deadline.  </w:t>
      </w:r>
      <w:r w:rsidR="00713DAD">
        <w:rPr>
          <w:szCs w:val="22"/>
        </w:rPr>
        <w:t xml:space="preserve">The </w:t>
      </w:r>
      <w:r w:rsidRPr="001C2E9C">
        <w:rPr>
          <w:szCs w:val="22"/>
        </w:rPr>
        <w:t>following information</w:t>
      </w:r>
      <w:r w:rsidR="00713DAD">
        <w:rPr>
          <w:szCs w:val="22"/>
        </w:rPr>
        <w:t xml:space="preserve"> will be needed</w:t>
      </w:r>
      <w:r w:rsidRPr="001C2E9C">
        <w:rPr>
          <w:szCs w:val="22"/>
        </w:rPr>
        <w:t>:</w:t>
      </w:r>
    </w:p>
    <w:p w:rsidR="008434F5" w:rsidRPr="00CA6286" w:rsidRDefault="008434F5" w:rsidP="00C07C81">
      <w:pPr>
        <w:widowControl/>
        <w:ind w:left="720"/>
        <w:jc w:val="both"/>
        <w:rPr>
          <w:szCs w:val="22"/>
        </w:rPr>
      </w:pPr>
      <w:r w:rsidRPr="00CA6286">
        <w:rPr>
          <w:szCs w:val="22"/>
        </w:rPr>
        <w:t>ABA Routing Number:</w:t>
      </w:r>
      <w:r w:rsidRPr="00CA6286">
        <w:rPr>
          <w:szCs w:val="22"/>
        </w:rPr>
        <w:tab/>
      </w:r>
      <w:r w:rsidR="00C6270B">
        <w:rPr>
          <w:szCs w:val="22"/>
        </w:rPr>
        <w:t>081000210</w:t>
      </w:r>
    </w:p>
    <w:p w:rsidR="008434F5" w:rsidRPr="003E17DD" w:rsidRDefault="00B95428" w:rsidP="00C07C81">
      <w:pPr>
        <w:widowControl/>
        <w:ind w:left="720"/>
        <w:jc w:val="both"/>
        <w:rPr>
          <w:szCs w:val="22"/>
        </w:rPr>
      </w:pPr>
      <w:r>
        <w:rPr>
          <w:szCs w:val="22"/>
        </w:rPr>
        <w:t>Receiving Bank:</w:t>
      </w:r>
      <w:r w:rsidR="008434F5" w:rsidRPr="00CA6286">
        <w:rPr>
          <w:szCs w:val="22"/>
        </w:rPr>
        <w:tab/>
      </w:r>
      <w:r w:rsidR="00C06F74">
        <w:rPr>
          <w:szCs w:val="22"/>
        </w:rPr>
        <w:t>U.S. Bank</w:t>
      </w:r>
    </w:p>
    <w:p w:rsidR="00FD1932" w:rsidRDefault="00FD1932" w:rsidP="00C07C81">
      <w:pPr>
        <w:widowControl/>
        <w:ind w:left="2160" w:firstLine="720"/>
        <w:jc w:val="both"/>
        <w:rPr>
          <w:szCs w:val="22"/>
        </w:rPr>
      </w:pPr>
      <w:r>
        <w:rPr>
          <w:szCs w:val="22"/>
        </w:rPr>
        <w:t>1005 Convention Plaza</w:t>
      </w:r>
    </w:p>
    <w:p w:rsidR="008434F5" w:rsidRPr="00CA6286" w:rsidRDefault="00C06F74" w:rsidP="00C07C81">
      <w:pPr>
        <w:widowControl/>
        <w:ind w:left="2160" w:firstLine="720"/>
        <w:jc w:val="both"/>
        <w:rPr>
          <w:szCs w:val="22"/>
        </w:rPr>
      </w:pPr>
      <w:r>
        <w:rPr>
          <w:szCs w:val="22"/>
        </w:rPr>
        <w:t>St. Louis, MO</w:t>
      </w:r>
      <w:r w:rsidR="00FD1932">
        <w:rPr>
          <w:szCs w:val="22"/>
        </w:rPr>
        <w:t xml:space="preserve"> 63101</w:t>
      </w:r>
    </w:p>
    <w:p w:rsidR="008434F5" w:rsidRPr="00CA6286" w:rsidRDefault="008434F5" w:rsidP="00C07C81">
      <w:pPr>
        <w:widowControl/>
        <w:ind w:left="720"/>
        <w:jc w:val="both"/>
        <w:rPr>
          <w:szCs w:val="22"/>
        </w:rPr>
      </w:pPr>
      <w:r w:rsidRPr="00CA6286">
        <w:rPr>
          <w:szCs w:val="22"/>
        </w:rPr>
        <w:t xml:space="preserve">BENEFICIARY:  FCC/Account </w:t>
      </w:r>
      <w:r w:rsidRPr="003E17DD">
        <w:rPr>
          <w:szCs w:val="22"/>
        </w:rPr>
        <w:t xml:space="preserve"># </w:t>
      </w:r>
      <w:r w:rsidR="00615AA2">
        <w:rPr>
          <w:szCs w:val="22"/>
        </w:rPr>
        <w:t>152307774819</w:t>
      </w:r>
    </w:p>
    <w:p w:rsidR="008434F5" w:rsidRPr="00CA6286" w:rsidRDefault="008434F5" w:rsidP="00C07C81">
      <w:pPr>
        <w:widowControl/>
        <w:ind w:left="720"/>
        <w:jc w:val="both"/>
        <w:rPr>
          <w:szCs w:val="22"/>
        </w:rPr>
      </w:pPr>
      <w:r w:rsidRPr="00CA6286">
        <w:rPr>
          <w:szCs w:val="22"/>
        </w:rPr>
        <w:t>Originating Bank Information (OBI Field):  (Skip one space between each information item)</w:t>
      </w:r>
    </w:p>
    <w:p w:rsidR="008434F5" w:rsidRPr="00CA6286" w:rsidRDefault="008434F5" w:rsidP="00C07C81">
      <w:pPr>
        <w:widowControl/>
        <w:ind w:left="720"/>
        <w:jc w:val="both"/>
        <w:rPr>
          <w:szCs w:val="22"/>
        </w:rPr>
      </w:pPr>
      <w:r w:rsidRPr="00CA6286">
        <w:rPr>
          <w:szCs w:val="22"/>
        </w:rPr>
        <w:t>“AUCTIONPAY”</w:t>
      </w:r>
    </w:p>
    <w:p w:rsidR="008434F5" w:rsidRPr="00CA6286" w:rsidRDefault="008434F5" w:rsidP="00C07C81">
      <w:pPr>
        <w:widowControl/>
        <w:ind w:left="720"/>
        <w:jc w:val="both"/>
        <w:rPr>
          <w:szCs w:val="22"/>
        </w:rPr>
      </w:pPr>
      <w:r w:rsidRPr="00CA6286">
        <w:rPr>
          <w:szCs w:val="22"/>
        </w:rPr>
        <w:t>APPLICANT FCC REGISTRATION NUMBER (FRN):  (same as FCC Form 159, block 21)</w:t>
      </w:r>
    </w:p>
    <w:p w:rsidR="008434F5" w:rsidRPr="00CA6286" w:rsidRDefault="008434F5" w:rsidP="00C07C81">
      <w:pPr>
        <w:widowControl/>
        <w:ind w:left="720"/>
        <w:jc w:val="both"/>
        <w:rPr>
          <w:szCs w:val="22"/>
        </w:rPr>
      </w:pPr>
      <w:r w:rsidRPr="00CA6286">
        <w:rPr>
          <w:szCs w:val="22"/>
        </w:rPr>
        <w:t>PAYMENT TYPE CODE: (same as FCC Form 159, block 24A: “</w:t>
      </w:r>
      <w:r w:rsidR="00123C7A">
        <w:rPr>
          <w:szCs w:val="22"/>
        </w:rPr>
        <w:t>U0</w:t>
      </w:r>
      <w:r w:rsidR="00CC0081">
        <w:rPr>
          <w:szCs w:val="22"/>
        </w:rPr>
        <w:t>9</w:t>
      </w:r>
      <w:r w:rsidR="00530B79">
        <w:rPr>
          <w:szCs w:val="22"/>
        </w:rPr>
        <w:t>6</w:t>
      </w:r>
      <w:r w:rsidRPr="00CA6286">
        <w:rPr>
          <w:szCs w:val="22"/>
        </w:rPr>
        <w:t>”)</w:t>
      </w:r>
    </w:p>
    <w:p w:rsidR="008434F5" w:rsidRPr="00CA6286" w:rsidRDefault="008434F5" w:rsidP="00C07C81">
      <w:pPr>
        <w:widowControl/>
        <w:ind w:left="720"/>
        <w:jc w:val="both"/>
        <w:rPr>
          <w:szCs w:val="22"/>
        </w:rPr>
      </w:pPr>
      <w:r w:rsidRPr="00CA6286">
        <w:rPr>
          <w:szCs w:val="22"/>
        </w:rPr>
        <w:t>FCC CODE 1: (same as FCC Form 159, block 28A: “</w:t>
      </w:r>
      <w:r w:rsidR="00364ED4">
        <w:rPr>
          <w:szCs w:val="22"/>
        </w:rPr>
        <w:t>9</w:t>
      </w:r>
      <w:r w:rsidR="00530B79">
        <w:rPr>
          <w:szCs w:val="22"/>
        </w:rPr>
        <w:t>6</w:t>
      </w:r>
      <w:r w:rsidRPr="00CA6286">
        <w:rPr>
          <w:szCs w:val="22"/>
        </w:rPr>
        <w:t>”)</w:t>
      </w:r>
    </w:p>
    <w:p w:rsidR="008434F5" w:rsidRPr="00CA6286" w:rsidRDefault="008434F5" w:rsidP="00C07C81">
      <w:pPr>
        <w:widowControl/>
        <w:ind w:left="720"/>
        <w:jc w:val="both"/>
        <w:rPr>
          <w:szCs w:val="22"/>
        </w:rPr>
      </w:pPr>
      <w:r w:rsidRPr="00CA6286">
        <w:rPr>
          <w:szCs w:val="22"/>
        </w:rPr>
        <w:t>PAYER NAME: (same as FCC Form 159, block 2)</w:t>
      </w:r>
    </w:p>
    <w:p w:rsidR="008434F5" w:rsidRPr="00C27711" w:rsidRDefault="008434F5" w:rsidP="00C07C81">
      <w:pPr>
        <w:widowControl/>
        <w:ind w:left="720"/>
        <w:jc w:val="both"/>
        <w:rPr>
          <w:b/>
          <w:szCs w:val="22"/>
        </w:rPr>
      </w:pPr>
      <w:r w:rsidRPr="00C27711">
        <w:rPr>
          <w:szCs w:val="22"/>
        </w:rPr>
        <w:t>LOCKBOX NO</w:t>
      </w:r>
      <w:r w:rsidR="001F32EF" w:rsidRPr="0023256E">
        <w:rPr>
          <w:szCs w:val="22"/>
        </w:rPr>
        <w:t>:</w:t>
      </w:r>
      <w:r w:rsidRPr="0023256E">
        <w:rPr>
          <w:szCs w:val="22"/>
        </w:rPr>
        <w:t xml:space="preserve"> # </w:t>
      </w:r>
      <w:r w:rsidR="00C06F74" w:rsidRPr="0023256E">
        <w:rPr>
          <w:szCs w:val="22"/>
        </w:rPr>
        <w:t>979085</w:t>
      </w:r>
      <w:r w:rsidR="00F215B3" w:rsidRPr="00C27711">
        <w:rPr>
          <w:szCs w:val="22"/>
        </w:rPr>
        <w:t xml:space="preserve">  </w:t>
      </w:r>
    </w:p>
    <w:p w:rsidR="008434F5" w:rsidRPr="00CA6286" w:rsidRDefault="008434F5" w:rsidP="00C07C81">
      <w:pPr>
        <w:widowControl/>
        <w:jc w:val="both"/>
        <w:rPr>
          <w:szCs w:val="22"/>
        </w:rPr>
      </w:pPr>
    </w:p>
    <w:p w:rsidR="008434F5" w:rsidRPr="00CA6286" w:rsidRDefault="008434F5" w:rsidP="00C07C81">
      <w:pPr>
        <w:widowControl/>
        <w:spacing w:after="120"/>
        <w:rPr>
          <w:szCs w:val="22"/>
        </w:rPr>
      </w:pPr>
      <w:r w:rsidRPr="00183276">
        <w:rPr>
          <w:bCs/>
          <w:szCs w:val="22"/>
        </w:rPr>
        <w:t>NOTE:</w:t>
      </w:r>
      <w:r w:rsidRPr="00183276">
        <w:rPr>
          <w:szCs w:val="22"/>
        </w:rPr>
        <w:t xml:space="preserve">  The BNF and Lockbox number are specific to the upfront payments for </w:t>
      </w:r>
      <w:r w:rsidR="00E15A7D" w:rsidRPr="00183276">
        <w:rPr>
          <w:szCs w:val="22"/>
        </w:rPr>
        <w:t>this auction</w:t>
      </w:r>
      <w:r w:rsidR="0069770D" w:rsidRPr="00183276">
        <w:rPr>
          <w:szCs w:val="22"/>
        </w:rPr>
        <w:t>.  D</w:t>
      </w:r>
      <w:r w:rsidRPr="00183276">
        <w:rPr>
          <w:szCs w:val="22"/>
        </w:rPr>
        <w:t>o not use BNF or Lockbox numbers from previous auctions.</w:t>
      </w:r>
      <w:r w:rsidR="0069770D" w:rsidRPr="00CA6286">
        <w:rPr>
          <w:szCs w:val="22"/>
        </w:rPr>
        <w:t xml:space="preserve">  </w:t>
      </w:r>
    </w:p>
    <w:p w:rsidR="00B820EF" w:rsidRDefault="00C06F74" w:rsidP="00C07C81">
      <w:pPr>
        <w:pStyle w:val="ParaNum"/>
        <w:widowControl/>
        <w:tabs>
          <w:tab w:val="clear" w:pos="1260"/>
          <w:tab w:val="left" w:pos="1440"/>
        </w:tabs>
        <w:ind w:left="0"/>
        <w:rPr>
          <w:szCs w:val="22"/>
        </w:rPr>
      </w:pPr>
      <w:r>
        <w:rPr>
          <w:szCs w:val="22"/>
        </w:rPr>
        <w:t xml:space="preserve">At least one hour before placing the order for the wire transfer (but on the same business </w:t>
      </w:r>
      <w:r w:rsidRPr="00F650FA">
        <w:rPr>
          <w:szCs w:val="22"/>
        </w:rPr>
        <w:t>day), a</w:t>
      </w:r>
      <w:r w:rsidR="00D80778" w:rsidRPr="00F650FA">
        <w:rPr>
          <w:szCs w:val="22"/>
        </w:rPr>
        <w:t>pplicant</w:t>
      </w:r>
      <w:r w:rsidRPr="00F650FA">
        <w:rPr>
          <w:szCs w:val="22"/>
        </w:rPr>
        <w:t>s</w:t>
      </w:r>
      <w:r w:rsidR="00D80778" w:rsidRPr="00F650FA">
        <w:rPr>
          <w:szCs w:val="22"/>
        </w:rPr>
        <w:t xml:space="preserve"> must fax a completed FCC Form 159 (Revised </w:t>
      </w:r>
      <w:r w:rsidR="00C6270B" w:rsidRPr="00F650FA">
        <w:rPr>
          <w:szCs w:val="22"/>
        </w:rPr>
        <w:t>2/03</w:t>
      </w:r>
      <w:r w:rsidR="00D80778" w:rsidRPr="00F650FA">
        <w:rPr>
          <w:szCs w:val="22"/>
        </w:rPr>
        <w:t xml:space="preserve">) to </w:t>
      </w:r>
      <w:r w:rsidRPr="00F650FA">
        <w:rPr>
          <w:szCs w:val="22"/>
        </w:rPr>
        <w:t>U.S.</w:t>
      </w:r>
      <w:r w:rsidR="00D80778" w:rsidRPr="00F650FA">
        <w:rPr>
          <w:szCs w:val="22"/>
        </w:rPr>
        <w:t xml:space="preserve"> Bank at (</w:t>
      </w:r>
      <w:r w:rsidRPr="00F650FA">
        <w:rPr>
          <w:szCs w:val="22"/>
        </w:rPr>
        <w:t>314</w:t>
      </w:r>
      <w:r w:rsidR="00D80778" w:rsidRPr="00F650FA">
        <w:rPr>
          <w:szCs w:val="22"/>
        </w:rPr>
        <w:t xml:space="preserve">) </w:t>
      </w:r>
      <w:r w:rsidRPr="00F650FA">
        <w:rPr>
          <w:szCs w:val="22"/>
        </w:rPr>
        <w:t>418</w:t>
      </w:r>
      <w:r w:rsidR="00D80778" w:rsidRPr="00F650FA">
        <w:rPr>
          <w:szCs w:val="22"/>
        </w:rPr>
        <w:t>-</w:t>
      </w:r>
      <w:r w:rsidRPr="00F650FA">
        <w:rPr>
          <w:szCs w:val="22"/>
        </w:rPr>
        <w:t>4232</w:t>
      </w:r>
      <w:r w:rsidR="00D80778" w:rsidRPr="00F650FA">
        <w:rPr>
          <w:szCs w:val="22"/>
        </w:rPr>
        <w:t>.</w:t>
      </w:r>
      <w:r w:rsidR="00D80778">
        <w:rPr>
          <w:szCs w:val="22"/>
        </w:rPr>
        <w:t xml:space="preserve">  </w:t>
      </w:r>
      <w:r w:rsidR="008434F5" w:rsidRPr="001C2E9C">
        <w:rPr>
          <w:szCs w:val="22"/>
        </w:rPr>
        <w:t xml:space="preserve">On the </w:t>
      </w:r>
      <w:r w:rsidR="000C360D">
        <w:rPr>
          <w:szCs w:val="22"/>
        </w:rPr>
        <w:t xml:space="preserve">fax </w:t>
      </w:r>
      <w:r w:rsidR="008434F5" w:rsidRPr="001C2E9C">
        <w:rPr>
          <w:szCs w:val="22"/>
        </w:rPr>
        <w:t xml:space="preserve">cover sheet, write “Wire Transfer </w:t>
      </w:r>
      <w:r w:rsidR="000C360D">
        <w:rPr>
          <w:szCs w:val="22"/>
        </w:rPr>
        <w:t>–</w:t>
      </w:r>
      <w:r w:rsidR="008434F5">
        <w:rPr>
          <w:szCs w:val="22"/>
        </w:rPr>
        <w:t xml:space="preserve"> </w:t>
      </w:r>
      <w:r w:rsidR="008434F5" w:rsidRPr="001C2E9C">
        <w:rPr>
          <w:szCs w:val="22"/>
        </w:rPr>
        <w:t xml:space="preserve">Auction Payment for Auction </w:t>
      </w:r>
      <w:r w:rsidR="00CC0081">
        <w:rPr>
          <w:szCs w:val="22"/>
        </w:rPr>
        <w:t>9</w:t>
      </w:r>
      <w:r w:rsidR="00530B79">
        <w:rPr>
          <w:szCs w:val="22"/>
        </w:rPr>
        <w:t>6</w:t>
      </w:r>
      <w:r w:rsidR="008434F5" w:rsidRPr="001C2E9C">
        <w:rPr>
          <w:szCs w:val="22"/>
        </w:rPr>
        <w:t xml:space="preserve">.”  In order to meet the upfront payment deadline, an applicant’s payment must be credited to the Commission's account </w:t>
      </w:r>
      <w:r w:rsidR="00ED64E6">
        <w:rPr>
          <w:szCs w:val="22"/>
        </w:rPr>
        <w:t xml:space="preserve">for Auction </w:t>
      </w:r>
      <w:r w:rsidR="00700D38">
        <w:rPr>
          <w:szCs w:val="22"/>
        </w:rPr>
        <w:t>9</w:t>
      </w:r>
      <w:r w:rsidR="00530B79">
        <w:rPr>
          <w:szCs w:val="22"/>
        </w:rPr>
        <w:t>6</w:t>
      </w:r>
      <w:r w:rsidR="00DD3A1C">
        <w:rPr>
          <w:szCs w:val="22"/>
        </w:rPr>
        <w:t xml:space="preserve"> </w:t>
      </w:r>
      <w:r w:rsidR="008434F5" w:rsidRPr="001C2E9C">
        <w:rPr>
          <w:szCs w:val="22"/>
        </w:rPr>
        <w:t>before the deadline.</w:t>
      </w:r>
      <w:r w:rsidR="008434F5" w:rsidRPr="003E17DD">
        <w:rPr>
          <w:rStyle w:val="FootnoteReference"/>
          <w:szCs w:val="22"/>
        </w:rPr>
        <w:footnoteReference w:id="159"/>
      </w:r>
      <w:r w:rsidR="008434F5" w:rsidRPr="001C2E9C">
        <w:rPr>
          <w:szCs w:val="22"/>
        </w:rPr>
        <w:t xml:space="preserve">  </w:t>
      </w:r>
    </w:p>
    <w:p w:rsidR="008434F5" w:rsidRDefault="00B820EF" w:rsidP="00C07C81">
      <w:pPr>
        <w:pStyle w:val="ParaNum"/>
        <w:widowControl/>
        <w:tabs>
          <w:tab w:val="clear" w:pos="1260"/>
          <w:tab w:val="num" w:pos="1080"/>
          <w:tab w:val="num" w:pos="1440"/>
        </w:tabs>
        <w:ind w:left="0"/>
        <w:rPr>
          <w:szCs w:val="22"/>
        </w:rPr>
      </w:pPr>
      <w:r>
        <w:t>Each applicant is responsible for ensuring timely submission of its upfront payment and for timely filing of an accurate and complete FCC Remittance Advice Form (FCC Form 159).  An applicant should coordinate with its financial institution well ahead of the due date regarding its wire transfer and allow sufficient time for the transfer to be initiated and completed prior to the deadline.  The Commission repeatedly has cautioned auction participants about the importance of planning ahead to prepare for unforeseen last-minute difficulties in making payments by wire transfer.</w:t>
      </w:r>
      <w:r>
        <w:rPr>
          <w:rStyle w:val="FootnoteReference"/>
        </w:rPr>
        <w:footnoteReference w:id="160"/>
      </w:r>
      <w:r>
        <w:t xml:space="preserve">  </w:t>
      </w:r>
      <w:r w:rsidRPr="000F7B18">
        <w:rPr>
          <w:b/>
        </w:rPr>
        <w:t xml:space="preserve">Each applicant also is </w:t>
      </w:r>
      <w:r w:rsidRPr="00DF7948">
        <w:rPr>
          <w:b/>
        </w:rPr>
        <w:t xml:space="preserve">responsible for obtaining confirmation from its financial institution that its wire transfer to U.S. Bank was successful and from Commission staff that </w:t>
      </w:r>
      <w:r w:rsidR="00713DAD" w:rsidRPr="00DF7948">
        <w:rPr>
          <w:b/>
        </w:rPr>
        <w:t xml:space="preserve">its </w:t>
      </w:r>
      <w:r w:rsidRPr="00DF7948">
        <w:rPr>
          <w:b/>
        </w:rPr>
        <w:t>upfront payment</w:t>
      </w:r>
      <w:r w:rsidR="00713DAD" w:rsidRPr="00DF7948">
        <w:rPr>
          <w:b/>
        </w:rPr>
        <w:t xml:space="preserve"> was timely received</w:t>
      </w:r>
      <w:r w:rsidRPr="00DF7948">
        <w:rPr>
          <w:b/>
        </w:rPr>
        <w:t xml:space="preserve"> and </w:t>
      </w:r>
      <w:r w:rsidR="00785A14" w:rsidRPr="00DF7948">
        <w:rPr>
          <w:b/>
        </w:rPr>
        <w:t xml:space="preserve">that </w:t>
      </w:r>
      <w:r w:rsidR="00B95DD8" w:rsidRPr="00DF7948">
        <w:rPr>
          <w:b/>
        </w:rPr>
        <w:t xml:space="preserve">it was </w:t>
      </w:r>
      <w:r w:rsidRPr="00DF7948">
        <w:rPr>
          <w:b/>
        </w:rPr>
        <w:t>deposited into the proper account</w:t>
      </w:r>
      <w:r w:rsidRPr="00DF7948">
        <w:t xml:space="preserve">.  </w:t>
      </w:r>
      <w:r w:rsidR="00E87572" w:rsidRPr="00DF7948">
        <w:t xml:space="preserve">To receive </w:t>
      </w:r>
      <w:r w:rsidRPr="00DF7948">
        <w:t xml:space="preserve">confirmation </w:t>
      </w:r>
      <w:r w:rsidR="00E87572" w:rsidRPr="00DF7948">
        <w:t xml:space="preserve">from Commission staff, </w:t>
      </w:r>
      <w:r w:rsidRPr="00DF7948">
        <w:t>contact Gail Glasser of the Office</w:t>
      </w:r>
      <w:r>
        <w:t xml:space="preserve"> of Managing Director’s Auctions Accounting Group at (202) 418-0578, or alternatively, Theresa Meeks at (202) 418-2945.</w:t>
      </w:r>
    </w:p>
    <w:p w:rsidR="008434F5" w:rsidRPr="001C2E9C" w:rsidRDefault="008434F5" w:rsidP="00C07C81">
      <w:pPr>
        <w:pStyle w:val="ParaNum"/>
        <w:widowControl/>
        <w:tabs>
          <w:tab w:val="clear" w:pos="1260"/>
          <w:tab w:val="left" w:pos="1080"/>
          <w:tab w:val="left" w:pos="1440"/>
        </w:tabs>
        <w:ind w:left="0"/>
        <w:rPr>
          <w:szCs w:val="22"/>
        </w:rPr>
      </w:pPr>
      <w:r w:rsidRPr="001C2E9C">
        <w:rPr>
          <w:szCs w:val="22"/>
        </w:rPr>
        <w:t xml:space="preserve">Please note </w:t>
      </w:r>
      <w:r w:rsidR="00FD1932">
        <w:rPr>
          <w:szCs w:val="22"/>
        </w:rPr>
        <w:t>the following information regarding upfront payments</w:t>
      </w:r>
      <w:r w:rsidRPr="001C2E9C">
        <w:rPr>
          <w:szCs w:val="22"/>
        </w:rPr>
        <w:t>:</w:t>
      </w:r>
    </w:p>
    <w:p w:rsidR="008434F5" w:rsidRPr="00CA6286" w:rsidRDefault="008434F5" w:rsidP="00C07C81">
      <w:pPr>
        <w:pStyle w:val="BulletCharChar"/>
        <w:keepNext/>
        <w:keepLines/>
        <w:widowControl/>
        <w:tabs>
          <w:tab w:val="num" w:pos="1080"/>
        </w:tabs>
        <w:spacing w:after="120"/>
        <w:ind w:left="1080" w:hanging="360"/>
        <w:rPr>
          <w:szCs w:val="22"/>
        </w:rPr>
      </w:pPr>
      <w:r w:rsidRPr="00CA6286">
        <w:rPr>
          <w:szCs w:val="22"/>
        </w:rPr>
        <w:t>All payments must be made in U.S. dollars.</w:t>
      </w:r>
    </w:p>
    <w:p w:rsidR="008434F5" w:rsidRPr="00CA6286" w:rsidRDefault="008434F5" w:rsidP="00C07C81">
      <w:pPr>
        <w:pStyle w:val="BulletCharChar"/>
        <w:keepNext/>
        <w:keepLines/>
        <w:widowControl/>
        <w:tabs>
          <w:tab w:val="num" w:pos="1080"/>
        </w:tabs>
        <w:spacing w:after="120"/>
        <w:ind w:left="1080" w:hanging="360"/>
        <w:rPr>
          <w:szCs w:val="22"/>
        </w:rPr>
      </w:pPr>
      <w:r w:rsidRPr="00CA6286">
        <w:rPr>
          <w:szCs w:val="22"/>
        </w:rPr>
        <w:t>All payments must be made by wire transfer.</w:t>
      </w:r>
    </w:p>
    <w:p w:rsidR="008434F5" w:rsidRPr="00CA6286" w:rsidRDefault="008434F5" w:rsidP="00C07C81">
      <w:pPr>
        <w:pStyle w:val="BulletCharChar"/>
        <w:widowControl/>
        <w:tabs>
          <w:tab w:val="num" w:pos="1080"/>
        </w:tabs>
        <w:spacing w:after="120"/>
        <w:ind w:left="1080" w:hanging="360"/>
        <w:rPr>
          <w:szCs w:val="22"/>
        </w:rPr>
      </w:pPr>
      <w:r w:rsidRPr="00CA6286">
        <w:rPr>
          <w:szCs w:val="22"/>
        </w:rPr>
        <w:t xml:space="preserve">Upfront payments for Auction </w:t>
      </w:r>
      <w:r w:rsidR="00700D38">
        <w:rPr>
          <w:szCs w:val="22"/>
        </w:rPr>
        <w:t>9</w:t>
      </w:r>
      <w:r w:rsidR="00530B79">
        <w:rPr>
          <w:szCs w:val="22"/>
        </w:rPr>
        <w:t>6</w:t>
      </w:r>
      <w:r w:rsidR="00B02D18" w:rsidRPr="00CA6286">
        <w:rPr>
          <w:szCs w:val="22"/>
        </w:rPr>
        <w:t xml:space="preserve"> </w:t>
      </w:r>
      <w:r w:rsidRPr="00CA6286">
        <w:rPr>
          <w:szCs w:val="22"/>
        </w:rPr>
        <w:t xml:space="preserve">go to a lockbox number different from the lockboxes used in previous </w:t>
      </w:r>
      <w:r w:rsidR="00E77AC9">
        <w:rPr>
          <w:szCs w:val="22"/>
        </w:rPr>
        <w:t>Commission</w:t>
      </w:r>
      <w:r w:rsidRPr="00CA6286">
        <w:rPr>
          <w:szCs w:val="22"/>
        </w:rPr>
        <w:t xml:space="preserve"> auctions.</w:t>
      </w:r>
    </w:p>
    <w:p w:rsidR="008434F5" w:rsidRPr="00CA6286" w:rsidRDefault="008434F5" w:rsidP="00C07C81">
      <w:pPr>
        <w:pStyle w:val="BulletCharChar"/>
        <w:widowControl/>
        <w:tabs>
          <w:tab w:val="num" w:pos="1080"/>
        </w:tabs>
        <w:spacing w:after="120"/>
        <w:ind w:left="1080" w:hanging="360"/>
        <w:rPr>
          <w:szCs w:val="22"/>
        </w:rPr>
      </w:pPr>
      <w:r w:rsidRPr="00CA6286">
        <w:rPr>
          <w:szCs w:val="22"/>
        </w:rPr>
        <w:t xml:space="preserve">Failure to deliver </w:t>
      </w:r>
      <w:r w:rsidR="00FD1932">
        <w:rPr>
          <w:szCs w:val="22"/>
        </w:rPr>
        <w:t>a sufficient</w:t>
      </w:r>
      <w:r w:rsidRPr="00CA6286">
        <w:rPr>
          <w:szCs w:val="22"/>
        </w:rPr>
        <w:t xml:space="preserve"> upfront payment </w:t>
      </w:r>
      <w:r w:rsidR="004E5EDE" w:rsidRPr="00CA6286">
        <w:rPr>
          <w:szCs w:val="22"/>
        </w:rPr>
        <w:t xml:space="preserve">as instructed </w:t>
      </w:r>
      <w:r w:rsidRPr="00CA6286">
        <w:rPr>
          <w:szCs w:val="22"/>
        </w:rPr>
        <w:t xml:space="preserve">by </w:t>
      </w:r>
      <w:r w:rsidRPr="00D25662">
        <w:rPr>
          <w:szCs w:val="22"/>
        </w:rPr>
        <w:t xml:space="preserve">the </w:t>
      </w:r>
      <w:r w:rsidR="00E27EC4">
        <w:rPr>
          <w:szCs w:val="22"/>
        </w:rPr>
        <w:t>December 1</w:t>
      </w:r>
      <w:r w:rsidR="003D65BB">
        <w:rPr>
          <w:szCs w:val="22"/>
        </w:rPr>
        <w:t>1</w:t>
      </w:r>
      <w:r w:rsidR="00762645">
        <w:rPr>
          <w:szCs w:val="22"/>
        </w:rPr>
        <w:t>, 201</w:t>
      </w:r>
      <w:r w:rsidR="00C17F19">
        <w:rPr>
          <w:szCs w:val="22"/>
        </w:rPr>
        <w:t>3</w:t>
      </w:r>
      <w:r w:rsidR="0026484C" w:rsidRPr="00D25662">
        <w:rPr>
          <w:szCs w:val="22"/>
        </w:rPr>
        <w:t>,</w:t>
      </w:r>
      <w:r w:rsidRPr="00D25662">
        <w:rPr>
          <w:szCs w:val="22"/>
        </w:rPr>
        <w:t xml:space="preserve"> deadline</w:t>
      </w:r>
      <w:r w:rsidRPr="00CA6286">
        <w:rPr>
          <w:szCs w:val="22"/>
        </w:rPr>
        <w:t xml:space="preserve"> will result in dismissal of the </w:t>
      </w:r>
      <w:r w:rsidR="00FD1932">
        <w:rPr>
          <w:szCs w:val="22"/>
        </w:rPr>
        <w:t xml:space="preserve">short-form </w:t>
      </w:r>
      <w:r w:rsidRPr="00CA6286">
        <w:rPr>
          <w:szCs w:val="22"/>
        </w:rPr>
        <w:t>application and disqualification from participation in the auction.</w:t>
      </w:r>
    </w:p>
    <w:p w:rsidR="008434F5" w:rsidRPr="001C2E9C" w:rsidRDefault="008434F5" w:rsidP="00C07C81">
      <w:pPr>
        <w:pStyle w:val="Heading3"/>
        <w:widowControl/>
        <w:rPr>
          <w:szCs w:val="22"/>
        </w:rPr>
      </w:pPr>
      <w:bookmarkStart w:id="2334" w:name="_Toc483218153"/>
      <w:bookmarkStart w:id="2335" w:name="_Toc109812253"/>
      <w:bookmarkStart w:id="2336" w:name="_Toc124844762"/>
      <w:bookmarkStart w:id="2337" w:name="_Toc124844890"/>
      <w:bookmarkStart w:id="2338" w:name="_Toc124845549"/>
      <w:bookmarkStart w:id="2339" w:name="_Toc124845817"/>
      <w:bookmarkStart w:id="2340" w:name="_Toc124845891"/>
      <w:bookmarkStart w:id="2341" w:name="_Toc124845965"/>
      <w:bookmarkStart w:id="2342" w:name="_Toc124846137"/>
      <w:bookmarkStart w:id="2343" w:name="_Toc124848260"/>
      <w:bookmarkStart w:id="2344" w:name="_Toc124907511"/>
      <w:bookmarkStart w:id="2345" w:name="_Toc129773476"/>
      <w:bookmarkStart w:id="2346" w:name="_Toc130210014"/>
      <w:bookmarkStart w:id="2347" w:name="_Toc130730943"/>
      <w:bookmarkStart w:id="2348" w:name="_Toc130814171"/>
      <w:bookmarkStart w:id="2349" w:name="_Toc130814493"/>
      <w:bookmarkStart w:id="2350" w:name="_Toc130814625"/>
      <w:bookmarkStart w:id="2351" w:name="_Toc130883508"/>
      <w:bookmarkStart w:id="2352" w:name="_Toc130885616"/>
      <w:bookmarkStart w:id="2353" w:name="_Toc131844595"/>
      <w:bookmarkStart w:id="2354" w:name="_Toc148330533"/>
      <w:bookmarkStart w:id="2355" w:name="_Toc148331250"/>
      <w:bookmarkStart w:id="2356" w:name="_Toc148331709"/>
      <w:bookmarkStart w:id="2357" w:name="_Toc148332134"/>
      <w:bookmarkStart w:id="2358" w:name="_Toc148332206"/>
      <w:bookmarkStart w:id="2359" w:name="_Toc148332280"/>
      <w:bookmarkStart w:id="2360" w:name="_Toc148332357"/>
      <w:bookmarkStart w:id="2361" w:name="_Toc148332434"/>
      <w:bookmarkStart w:id="2362" w:name="_Toc148332511"/>
      <w:bookmarkStart w:id="2363" w:name="_Toc148332586"/>
      <w:bookmarkStart w:id="2364" w:name="_Toc148332659"/>
      <w:bookmarkStart w:id="2365" w:name="_Toc148332755"/>
      <w:bookmarkStart w:id="2366" w:name="_Toc148332889"/>
      <w:bookmarkStart w:id="2367" w:name="_Toc148333091"/>
      <w:bookmarkStart w:id="2368" w:name="_Toc148333224"/>
      <w:bookmarkStart w:id="2369" w:name="_Toc148333643"/>
      <w:bookmarkStart w:id="2370" w:name="_Toc148334256"/>
      <w:bookmarkStart w:id="2371" w:name="_Toc148335770"/>
      <w:bookmarkStart w:id="2372" w:name="_Toc148336303"/>
      <w:bookmarkStart w:id="2373" w:name="_Toc148337744"/>
      <w:bookmarkStart w:id="2374" w:name="_Toc148338067"/>
      <w:bookmarkStart w:id="2375" w:name="_Toc148339777"/>
      <w:bookmarkStart w:id="2376" w:name="_Toc148339874"/>
      <w:bookmarkStart w:id="2377" w:name="_Toc149645582"/>
      <w:bookmarkStart w:id="2378" w:name="_Toc149997885"/>
      <w:bookmarkStart w:id="2379" w:name="_Toc158180762"/>
      <w:bookmarkStart w:id="2380" w:name="_Toc158785610"/>
      <w:bookmarkStart w:id="2381" w:name="_Toc178768513"/>
      <w:bookmarkStart w:id="2382" w:name="_Toc179195954"/>
      <w:bookmarkStart w:id="2383" w:name="_Toc179361898"/>
      <w:bookmarkStart w:id="2384" w:name="_Toc179363682"/>
      <w:bookmarkStart w:id="2385" w:name="_Toc197504936"/>
      <w:bookmarkStart w:id="2386" w:name="_Toc198007717"/>
      <w:bookmarkStart w:id="2387" w:name="_Toc198007868"/>
      <w:bookmarkStart w:id="2388" w:name="_Toc198008220"/>
      <w:bookmarkStart w:id="2389" w:name="_Toc198008357"/>
      <w:bookmarkStart w:id="2390" w:name="_Toc198008904"/>
      <w:bookmarkStart w:id="2391" w:name="_Toc198369800"/>
      <w:bookmarkStart w:id="2392" w:name="_Toc198369937"/>
      <w:bookmarkStart w:id="2393" w:name="_Toc198372849"/>
      <w:bookmarkStart w:id="2394" w:name="_Toc198372952"/>
      <w:bookmarkStart w:id="2395" w:name="_Toc198373082"/>
      <w:bookmarkStart w:id="2396" w:name="_Toc198373250"/>
      <w:bookmarkStart w:id="2397" w:name="_Toc198627164"/>
      <w:bookmarkStart w:id="2398" w:name="_Toc198627270"/>
      <w:bookmarkStart w:id="2399" w:name="_Toc216090731"/>
      <w:bookmarkStart w:id="2400" w:name="_Toc226958237"/>
      <w:bookmarkStart w:id="2401" w:name="_Toc227038297"/>
      <w:bookmarkStart w:id="2402" w:name="_Toc254792603"/>
      <w:bookmarkStart w:id="2403" w:name="_Toc256669727"/>
      <w:bookmarkStart w:id="2404" w:name="_Toc257213260"/>
      <w:bookmarkStart w:id="2405" w:name="_Toc257277762"/>
      <w:bookmarkStart w:id="2406" w:name="_Toc257278723"/>
      <w:bookmarkStart w:id="2407" w:name="_Toc257278933"/>
      <w:bookmarkStart w:id="2408" w:name="_Toc257279301"/>
      <w:bookmarkStart w:id="2409" w:name="_Toc257382945"/>
      <w:bookmarkStart w:id="2410" w:name="_Toc274056202"/>
      <w:bookmarkStart w:id="2411" w:name="_Toc276657608"/>
      <w:bookmarkStart w:id="2412" w:name="_Toc278366454"/>
      <w:bookmarkStart w:id="2413" w:name="_Toc307584050"/>
      <w:bookmarkStart w:id="2414" w:name="_Toc307937324"/>
      <w:bookmarkStart w:id="2415" w:name="_Toc348508763"/>
      <w:bookmarkStart w:id="2416" w:name="_Toc362256769"/>
      <w:bookmarkStart w:id="2417" w:name="_Toc366056525"/>
      <w:bookmarkStart w:id="2418" w:name="_Toc366223728"/>
      <w:bookmarkStart w:id="2419" w:name="_Toc366229441"/>
      <w:bookmarkStart w:id="2420" w:name="_Toc366583485"/>
      <w:r w:rsidRPr="001C2E9C">
        <w:rPr>
          <w:szCs w:val="22"/>
        </w:rPr>
        <w:t>FCC Form 159</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rsidR="008434F5" w:rsidRPr="001C2E9C" w:rsidRDefault="008434F5" w:rsidP="00C07C81">
      <w:pPr>
        <w:pStyle w:val="ParaNum"/>
        <w:widowControl/>
        <w:tabs>
          <w:tab w:val="clear" w:pos="1260"/>
          <w:tab w:val="left" w:pos="1080"/>
          <w:tab w:val="left" w:pos="1440"/>
        </w:tabs>
        <w:ind w:left="0"/>
        <w:rPr>
          <w:szCs w:val="22"/>
        </w:rPr>
      </w:pPr>
      <w:r w:rsidRPr="00DF7948">
        <w:rPr>
          <w:szCs w:val="22"/>
        </w:rPr>
        <w:t>A</w:t>
      </w:r>
      <w:r w:rsidR="00785A14" w:rsidRPr="00DF7948">
        <w:rPr>
          <w:szCs w:val="22"/>
        </w:rPr>
        <w:t>n accurate and</w:t>
      </w:r>
      <w:r w:rsidRPr="00DF7948">
        <w:rPr>
          <w:szCs w:val="22"/>
        </w:rPr>
        <w:t xml:space="preserve"> complete FCC Remittance</w:t>
      </w:r>
      <w:r w:rsidRPr="001C2E9C">
        <w:rPr>
          <w:szCs w:val="22"/>
        </w:rPr>
        <w:t xml:space="preserve"> Advice Form (FCC Form 159</w:t>
      </w:r>
      <w:r w:rsidRPr="0023256E">
        <w:rPr>
          <w:szCs w:val="22"/>
        </w:rPr>
        <w:t xml:space="preserve">, Revised </w:t>
      </w:r>
      <w:r w:rsidR="00C6270B" w:rsidRPr="0023256E">
        <w:rPr>
          <w:szCs w:val="22"/>
        </w:rPr>
        <w:t>2/03</w:t>
      </w:r>
      <w:r w:rsidRPr="0023256E">
        <w:rPr>
          <w:szCs w:val="22"/>
        </w:rPr>
        <w:t>)</w:t>
      </w:r>
      <w:r w:rsidRPr="001C2E9C">
        <w:rPr>
          <w:szCs w:val="22"/>
        </w:rPr>
        <w:t xml:space="preserve"> must be </w:t>
      </w:r>
      <w:r w:rsidR="007A4F71">
        <w:rPr>
          <w:szCs w:val="22"/>
        </w:rPr>
        <w:t>faxed</w:t>
      </w:r>
      <w:r w:rsidRPr="001C2E9C">
        <w:rPr>
          <w:szCs w:val="22"/>
        </w:rPr>
        <w:t xml:space="preserve"> to </w:t>
      </w:r>
      <w:r w:rsidR="00C06F74">
        <w:rPr>
          <w:szCs w:val="22"/>
        </w:rPr>
        <w:t>U.S.</w:t>
      </w:r>
      <w:r w:rsidRPr="001C2E9C">
        <w:rPr>
          <w:szCs w:val="22"/>
        </w:rPr>
        <w:t xml:space="preserve"> Bank to accompany each upfront payment.  Proper completion of </w:t>
      </w:r>
      <w:r w:rsidR="00E87572">
        <w:rPr>
          <w:szCs w:val="22"/>
        </w:rPr>
        <w:t xml:space="preserve">this form </w:t>
      </w:r>
      <w:r w:rsidRPr="001C2E9C">
        <w:rPr>
          <w:szCs w:val="22"/>
        </w:rPr>
        <w:t xml:space="preserve">is critical to ensuring correct crediting of upfront payments.  Detailed instructions for completion of FCC </w:t>
      </w:r>
      <w:r w:rsidRPr="00AA371F">
        <w:rPr>
          <w:szCs w:val="22"/>
        </w:rPr>
        <w:t xml:space="preserve">Form 159 are included </w:t>
      </w:r>
      <w:r w:rsidRPr="00206CE7">
        <w:rPr>
          <w:szCs w:val="22"/>
        </w:rPr>
        <w:t xml:space="preserve">in Attachment </w:t>
      </w:r>
      <w:r w:rsidR="00206CE7" w:rsidRPr="00206CE7">
        <w:rPr>
          <w:szCs w:val="22"/>
        </w:rPr>
        <w:t>E</w:t>
      </w:r>
      <w:r w:rsidRPr="00206CE7">
        <w:rPr>
          <w:szCs w:val="22"/>
        </w:rPr>
        <w:t>.  An electronic</w:t>
      </w:r>
      <w:r w:rsidRPr="00AA371F">
        <w:rPr>
          <w:szCs w:val="22"/>
        </w:rPr>
        <w:t xml:space="preserve"> pre-filled version of the FCC</w:t>
      </w:r>
      <w:r w:rsidRPr="001C2E9C">
        <w:rPr>
          <w:szCs w:val="22"/>
        </w:rPr>
        <w:t xml:space="preserve"> Form 159 is available after submitting the </w:t>
      </w:r>
      <w:r w:rsidR="00C06F74">
        <w:rPr>
          <w:szCs w:val="22"/>
        </w:rPr>
        <w:t>FCC Form 175</w:t>
      </w:r>
      <w:r w:rsidRPr="001C2E9C">
        <w:rPr>
          <w:szCs w:val="22"/>
        </w:rPr>
        <w:t>.  Pay</w:t>
      </w:r>
      <w:r w:rsidR="00AE01D7">
        <w:rPr>
          <w:szCs w:val="22"/>
        </w:rPr>
        <w:t>e</w:t>
      </w:r>
      <w:r w:rsidRPr="001C2E9C">
        <w:rPr>
          <w:szCs w:val="22"/>
        </w:rPr>
        <w:t xml:space="preserve">rs using </w:t>
      </w:r>
      <w:r w:rsidR="007A4F71">
        <w:rPr>
          <w:szCs w:val="22"/>
        </w:rPr>
        <w:t>the</w:t>
      </w:r>
      <w:r w:rsidR="007A4F71" w:rsidRPr="001C2E9C">
        <w:rPr>
          <w:szCs w:val="22"/>
        </w:rPr>
        <w:t xml:space="preserve"> </w:t>
      </w:r>
      <w:r w:rsidRPr="001C2E9C">
        <w:rPr>
          <w:szCs w:val="22"/>
        </w:rPr>
        <w:t xml:space="preserve">pre-filled FCC Form 159 are responsible for ensuring that all of the information on the form, including payment amounts, is accurate.  The FCC Form 159 can be completed electronically, but </w:t>
      </w:r>
      <w:r w:rsidR="0069175B">
        <w:rPr>
          <w:szCs w:val="22"/>
        </w:rPr>
        <w:t xml:space="preserve">it </w:t>
      </w:r>
      <w:r w:rsidRPr="001C2E9C">
        <w:rPr>
          <w:szCs w:val="22"/>
        </w:rPr>
        <w:t xml:space="preserve">must be filed </w:t>
      </w:r>
      <w:r>
        <w:rPr>
          <w:szCs w:val="22"/>
        </w:rPr>
        <w:t xml:space="preserve">with </w:t>
      </w:r>
      <w:r w:rsidR="002D4AF3">
        <w:rPr>
          <w:szCs w:val="22"/>
        </w:rPr>
        <w:t>U.S.</w:t>
      </w:r>
      <w:r>
        <w:rPr>
          <w:szCs w:val="22"/>
        </w:rPr>
        <w:t xml:space="preserve"> Bank </w:t>
      </w:r>
      <w:r w:rsidR="000C360D">
        <w:rPr>
          <w:szCs w:val="22"/>
        </w:rPr>
        <w:t>by fax</w:t>
      </w:r>
      <w:r w:rsidRPr="001C2E9C">
        <w:rPr>
          <w:szCs w:val="22"/>
        </w:rPr>
        <w:t>.</w:t>
      </w:r>
    </w:p>
    <w:p w:rsidR="008434F5" w:rsidRPr="00E77AC9" w:rsidRDefault="008434F5" w:rsidP="00C07C81">
      <w:pPr>
        <w:pStyle w:val="Heading3"/>
        <w:widowControl/>
        <w:rPr>
          <w:szCs w:val="22"/>
        </w:rPr>
      </w:pPr>
      <w:bookmarkStart w:id="2421" w:name="_Toc483218154"/>
      <w:bookmarkStart w:id="2422" w:name="_Toc109812254"/>
      <w:bookmarkStart w:id="2423" w:name="_Toc124844763"/>
      <w:bookmarkStart w:id="2424" w:name="_Toc124844891"/>
      <w:bookmarkStart w:id="2425" w:name="_Toc124845550"/>
      <w:bookmarkStart w:id="2426" w:name="_Toc124845818"/>
      <w:bookmarkStart w:id="2427" w:name="_Toc124845892"/>
      <w:bookmarkStart w:id="2428" w:name="_Toc124845966"/>
      <w:bookmarkStart w:id="2429" w:name="_Toc124846138"/>
      <w:bookmarkStart w:id="2430" w:name="_Toc124848261"/>
      <w:bookmarkStart w:id="2431" w:name="_Toc124907512"/>
      <w:bookmarkStart w:id="2432" w:name="_Toc129773477"/>
      <w:bookmarkStart w:id="2433" w:name="_Toc130210015"/>
      <w:bookmarkStart w:id="2434" w:name="_Toc130730944"/>
      <w:bookmarkStart w:id="2435" w:name="_Toc130814172"/>
      <w:bookmarkStart w:id="2436" w:name="_Toc130814494"/>
      <w:bookmarkStart w:id="2437" w:name="_Toc130814626"/>
      <w:bookmarkStart w:id="2438" w:name="_Toc130883509"/>
      <w:bookmarkStart w:id="2439" w:name="_Toc130885617"/>
      <w:bookmarkStart w:id="2440" w:name="_Toc131844596"/>
      <w:bookmarkStart w:id="2441" w:name="_Toc148330534"/>
      <w:bookmarkStart w:id="2442" w:name="_Toc148331251"/>
      <w:bookmarkStart w:id="2443" w:name="_Toc148331710"/>
      <w:bookmarkStart w:id="2444" w:name="_Toc148332135"/>
      <w:bookmarkStart w:id="2445" w:name="_Toc148332207"/>
      <w:bookmarkStart w:id="2446" w:name="_Toc148332281"/>
      <w:bookmarkStart w:id="2447" w:name="_Toc148332358"/>
      <w:bookmarkStart w:id="2448" w:name="_Toc148332435"/>
      <w:bookmarkStart w:id="2449" w:name="_Toc148332512"/>
      <w:bookmarkStart w:id="2450" w:name="_Toc148332587"/>
      <w:bookmarkStart w:id="2451" w:name="_Toc148332660"/>
      <w:bookmarkStart w:id="2452" w:name="_Toc148332756"/>
      <w:bookmarkStart w:id="2453" w:name="_Toc148332890"/>
      <w:bookmarkStart w:id="2454" w:name="_Toc148333092"/>
      <w:bookmarkStart w:id="2455" w:name="_Toc148333225"/>
      <w:bookmarkStart w:id="2456" w:name="_Toc148333644"/>
      <w:bookmarkStart w:id="2457" w:name="_Toc148334257"/>
      <w:bookmarkStart w:id="2458" w:name="_Toc148335771"/>
      <w:bookmarkStart w:id="2459" w:name="_Toc148336304"/>
      <w:bookmarkStart w:id="2460" w:name="_Toc148337745"/>
      <w:bookmarkStart w:id="2461" w:name="_Toc148338068"/>
      <w:bookmarkStart w:id="2462" w:name="_Toc148339778"/>
      <w:bookmarkStart w:id="2463" w:name="_Toc148339875"/>
      <w:bookmarkStart w:id="2464" w:name="_Toc149645583"/>
      <w:bookmarkStart w:id="2465" w:name="_Toc149997886"/>
      <w:bookmarkStart w:id="2466" w:name="_Toc158180763"/>
      <w:bookmarkStart w:id="2467" w:name="_Toc158785611"/>
      <w:bookmarkStart w:id="2468" w:name="_Toc178768514"/>
      <w:bookmarkStart w:id="2469" w:name="_Toc179195955"/>
      <w:bookmarkStart w:id="2470" w:name="_Toc179361899"/>
      <w:bookmarkStart w:id="2471" w:name="_Toc179363683"/>
      <w:bookmarkStart w:id="2472" w:name="_Toc197504937"/>
      <w:bookmarkStart w:id="2473" w:name="_Toc198007718"/>
      <w:bookmarkStart w:id="2474" w:name="_Toc198007869"/>
      <w:bookmarkStart w:id="2475" w:name="_Toc198008221"/>
      <w:bookmarkStart w:id="2476" w:name="_Toc198008358"/>
      <w:bookmarkStart w:id="2477" w:name="_Toc198008905"/>
      <w:bookmarkStart w:id="2478" w:name="_Toc198369801"/>
      <w:bookmarkStart w:id="2479" w:name="_Toc198369938"/>
      <w:bookmarkStart w:id="2480" w:name="_Toc198372850"/>
      <w:bookmarkStart w:id="2481" w:name="_Toc198372953"/>
      <w:bookmarkStart w:id="2482" w:name="_Toc198373083"/>
      <w:bookmarkStart w:id="2483" w:name="_Toc198373251"/>
      <w:bookmarkStart w:id="2484" w:name="_Toc198627165"/>
      <w:bookmarkStart w:id="2485" w:name="_Toc198627271"/>
      <w:bookmarkStart w:id="2486" w:name="_Toc216090732"/>
      <w:bookmarkStart w:id="2487" w:name="_Toc226958238"/>
      <w:bookmarkStart w:id="2488" w:name="_Toc227038298"/>
      <w:bookmarkStart w:id="2489" w:name="_Toc254792604"/>
      <w:bookmarkStart w:id="2490" w:name="_Toc256669728"/>
      <w:bookmarkStart w:id="2491" w:name="_Toc257213261"/>
      <w:bookmarkStart w:id="2492" w:name="_Toc257277763"/>
      <w:bookmarkStart w:id="2493" w:name="_Toc257278724"/>
      <w:bookmarkStart w:id="2494" w:name="_Toc257278934"/>
      <w:bookmarkStart w:id="2495" w:name="_Toc257279302"/>
      <w:bookmarkStart w:id="2496" w:name="_Toc257382946"/>
      <w:bookmarkStart w:id="2497" w:name="_Toc274056203"/>
      <w:bookmarkStart w:id="2498" w:name="_Toc276657609"/>
      <w:bookmarkStart w:id="2499" w:name="_Toc278366455"/>
      <w:bookmarkStart w:id="2500" w:name="_Toc307584051"/>
      <w:bookmarkStart w:id="2501" w:name="_Toc307937325"/>
      <w:bookmarkStart w:id="2502" w:name="_Toc348508764"/>
      <w:bookmarkStart w:id="2503" w:name="_Toc366056526"/>
      <w:bookmarkStart w:id="2504" w:name="_Toc366223729"/>
      <w:bookmarkStart w:id="2505" w:name="_Toc366229442"/>
      <w:bookmarkStart w:id="2506" w:name="_Toc366583486"/>
      <w:bookmarkStart w:id="2507" w:name="_Toc362256770"/>
      <w:r w:rsidRPr="00E77AC9">
        <w:rPr>
          <w:szCs w:val="22"/>
        </w:rPr>
        <w:t>Upfront Payment</w:t>
      </w:r>
      <w:bookmarkEnd w:id="2421"/>
      <w:bookmarkEnd w:id="2422"/>
      <w:bookmarkEnd w:id="2423"/>
      <w:bookmarkEnd w:id="2424"/>
      <w:bookmarkEnd w:id="2425"/>
      <w:bookmarkEnd w:id="2426"/>
      <w:bookmarkEnd w:id="2427"/>
      <w:bookmarkEnd w:id="2428"/>
      <w:bookmarkEnd w:id="2429"/>
      <w:bookmarkEnd w:id="2430"/>
      <w:bookmarkEnd w:id="2431"/>
      <w:r w:rsidRPr="00E77AC9">
        <w:rPr>
          <w:szCs w:val="22"/>
        </w:rPr>
        <w:t>s and Bidding Eligibility</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r w:rsidR="000209DB" w:rsidRPr="00E77AC9">
        <w:rPr>
          <w:szCs w:val="22"/>
        </w:rPr>
        <w:t xml:space="preserve"> </w:t>
      </w:r>
      <w:bookmarkEnd w:id="2507"/>
    </w:p>
    <w:p w:rsidR="007A4F71" w:rsidRDefault="007A4F71" w:rsidP="00C07C81">
      <w:pPr>
        <w:pStyle w:val="ParaNum"/>
        <w:widowControl/>
        <w:tabs>
          <w:tab w:val="clear" w:pos="1260"/>
          <w:tab w:val="left" w:pos="1440"/>
        </w:tabs>
        <w:ind w:left="0"/>
        <w:rPr>
          <w:szCs w:val="22"/>
        </w:rPr>
      </w:pPr>
      <w:r>
        <w:rPr>
          <w:szCs w:val="22"/>
        </w:rPr>
        <w:t>T</w:t>
      </w:r>
      <w:r w:rsidR="008434F5" w:rsidRPr="001C2E9C">
        <w:rPr>
          <w:szCs w:val="22"/>
        </w:rPr>
        <w:t>he</w:t>
      </w:r>
      <w:r w:rsidR="008434F5" w:rsidRPr="001C2E9C">
        <w:rPr>
          <w:i/>
          <w:szCs w:val="22"/>
        </w:rPr>
        <w:t xml:space="preserve"> </w:t>
      </w:r>
      <w:r w:rsidR="008434F5" w:rsidRPr="001C2E9C">
        <w:rPr>
          <w:szCs w:val="22"/>
        </w:rPr>
        <w:t xml:space="preserve">Commission </w:t>
      </w:r>
      <w:r>
        <w:rPr>
          <w:szCs w:val="22"/>
        </w:rPr>
        <w:t xml:space="preserve">has </w:t>
      </w:r>
      <w:r w:rsidR="008434F5" w:rsidRPr="001C2E9C">
        <w:rPr>
          <w:szCs w:val="22"/>
        </w:rPr>
        <w:t>delegated to the Bureau the authority and discretion to determine appropriate upfront payments for each auction.</w:t>
      </w:r>
      <w:r w:rsidR="008434F5" w:rsidRPr="00CA6286">
        <w:rPr>
          <w:rStyle w:val="FootnoteReference"/>
          <w:szCs w:val="22"/>
        </w:rPr>
        <w:footnoteReference w:id="161"/>
      </w:r>
      <w:r w:rsidR="008434F5" w:rsidRPr="001C2E9C">
        <w:rPr>
          <w:szCs w:val="22"/>
        </w:rPr>
        <w:t xml:space="preserve">  </w:t>
      </w:r>
      <w:r w:rsidR="00E77AC9">
        <w:rPr>
          <w:szCs w:val="22"/>
        </w:rPr>
        <w:t xml:space="preserve">An upfront payment is a refundable deposit made by each bidder to establish its eligibility to bid on licenses.  </w:t>
      </w:r>
      <w:r w:rsidR="000C360D" w:rsidRPr="001C2E9C">
        <w:rPr>
          <w:szCs w:val="22"/>
        </w:rPr>
        <w:t>Upfront payments help deter frivolous or insincere bidding</w:t>
      </w:r>
      <w:r>
        <w:rPr>
          <w:szCs w:val="22"/>
        </w:rPr>
        <w:t xml:space="preserve">, and </w:t>
      </w:r>
      <w:r w:rsidR="000C360D" w:rsidRPr="001C2E9C">
        <w:rPr>
          <w:szCs w:val="22"/>
        </w:rPr>
        <w:t>provide the Commission with a source of funds in the event that the bidder incurs liability during the auction.</w:t>
      </w:r>
      <w:r w:rsidR="008434F5" w:rsidRPr="001C2E9C">
        <w:rPr>
          <w:szCs w:val="22"/>
        </w:rPr>
        <w:t xml:space="preserve">  </w:t>
      </w:r>
    </w:p>
    <w:p w:rsidR="00BF553A" w:rsidRPr="001C2E9C" w:rsidRDefault="007A4F71" w:rsidP="00C07C81">
      <w:pPr>
        <w:pStyle w:val="ParaNum"/>
        <w:widowControl/>
        <w:tabs>
          <w:tab w:val="clear" w:pos="1260"/>
          <w:tab w:val="left" w:pos="1440"/>
        </w:tabs>
        <w:ind w:left="0"/>
        <w:rPr>
          <w:szCs w:val="22"/>
        </w:rPr>
      </w:pPr>
      <w:r>
        <w:rPr>
          <w:szCs w:val="22"/>
        </w:rPr>
        <w:t>A</w:t>
      </w:r>
      <w:r w:rsidR="008434F5" w:rsidRPr="001C2E9C">
        <w:rPr>
          <w:szCs w:val="22"/>
        </w:rPr>
        <w:t>pplicants that are former defaulters</w:t>
      </w:r>
      <w:r>
        <w:rPr>
          <w:szCs w:val="22"/>
        </w:rPr>
        <w:t>, as described above, must</w:t>
      </w:r>
      <w:r w:rsidR="008434F5" w:rsidRPr="001C2E9C">
        <w:rPr>
          <w:szCs w:val="22"/>
        </w:rPr>
        <w:t xml:space="preserve"> </w:t>
      </w:r>
      <w:r w:rsidR="00147AB8">
        <w:rPr>
          <w:szCs w:val="22"/>
        </w:rPr>
        <w:t>make</w:t>
      </w:r>
      <w:r w:rsidR="008434F5" w:rsidRPr="001C2E9C">
        <w:rPr>
          <w:szCs w:val="22"/>
        </w:rPr>
        <w:t xml:space="preserve"> upfront payments </w:t>
      </w:r>
      <w:r w:rsidR="00147AB8">
        <w:rPr>
          <w:szCs w:val="22"/>
        </w:rPr>
        <w:t>that are fifty</w:t>
      </w:r>
      <w:r w:rsidR="008434F5" w:rsidRPr="001C2E9C">
        <w:rPr>
          <w:szCs w:val="22"/>
        </w:rPr>
        <w:t xml:space="preserve"> percent greater than non-former defaulters.</w:t>
      </w:r>
      <w:r w:rsidR="008434F5" w:rsidRPr="00CA6286">
        <w:rPr>
          <w:rStyle w:val="FootnoteReference"/>
          <w:szCs w:val="22"/>
        </w:rPr>
        <w:footnoteReference w:id="162"/>
      </w:r>
      <w:r w:rsidR="008434F5" w:rsidRPr="001C2E9C">
        <w:rPr>
          <w:szCs w:val="22"/>
        </w:rPr>
        <w:t xml:space="preserve">  For purposes of this calculation, the “applicant” includes the applicant itself, its affiliates, its controlling interests, and affiliates of its controlling interests, as defined by </w:t>
      </w:r>
      <w:r w:rsidR="00415E2E">
        <w:rPr>
          <w:szCs w:val="22"/>
        </w:rPr>
        <w:t>s</w:t>
      </w:r>
      <w:r w:rsidR="008434F5" w:rsidRPr="001C2E9C">
        <w:rPr>
          <w:szCs w:val="22"/>
        </w:rPr>
        <w:t>ection 1.2110 of the Commission’s rules.</w:t>
      </w:r>
      <w:r w:rsidR="008434F5" w:rsidRPr="00CA6286">
        <w:rPr>
          <w:rStyle w:val="FootnoteReference"/>
          <w:szCs w:val="22"/>
        </w:rPr>
        <w:footnoteReference w:id="163"/>
      </w:r>
    </w:p>
    <w:p w:rsidR="008434F5" w:rsidRPr="00AA2B80" w:rsidRDefault="00BF553A" w:rsidP="00C07C81">
      <w:pPr>
        <w:pStyle w:val="ParaNum"/>
        <w:widowControl/>
        <w:tabs>
          <w:tab w:val="clear" w:pos="1260"/>
          <w:tab w:val="left" w:pos="1440"/>
        </w:tabs>
        <w:ind w:left="0"/>
        <w:rPr>
          <w:szCs w:val="22"/>
        </w:rPr>
      </w:pPr>
      <w:r w:rsidRPr="000C360D">
        <w:rPr>
          <w:szCs w:val="22"/>
        </w:rPr>
        <w:t xml:space="preserve">Applicants must make upfront payments </w:t>
      </w:r>
      <w:r w:rsidR="00FD1932">
        <w:rPr>
          <w:szCs w:val="22"/>
        </w:rPr>
        <w:t xml:space="preserve">sufficient </w:t>
      </w:r>
      <w:r w:rsidRPr="000C360D">
        <w:rPr>
          <w:szCs w:val="22"/>
        </w:rPr>
        <w:t>to obtain bidding eligibility</w:t>
      </w:r>
      <w:r w:rsidR="00FD1932">
        <w:rPr>
          <w:szCs w:val="22"/>
        </w:rPr>
        <w:t xml:space="preserve"> on the </w:t>
      </w:r>
      <w:r w:rsidR="00DD3A1C">
        <w:rPr>
          <w:szCs w:val="22"/>
        </w:rPr>
        <w:t>licenses</w:t>
      </w:r>
      <w:r w:rsidR="00FD1932">
        <w:rPr>
          <w:szCs w:val="22"/>
        </w:rPr>
        <w:t xml:space="preserve"> on which they </w:t>
      </w:r>
      <w:r w:rsidR="00E22430">
        <w:rPr>
          <w:szCs w:val="22"/>
        </w:rPr>
        <w:t xml:space="preserve">will </w:t>
      </w:r>
      <w:r w:rsidR="00FD1932">
        <w:rPr>
          <w:szCs w:val="22"/>
        </w:rPr>
        <w:t>bid</w:t>
      </w:r>
      <w:r w:rsidRPr="000C360D">
        <w:rPr>
          <w:szCs w:val="22"/>
        </w:rPr>
        <w:t xml:space="preserve">. </w:t>
      </w:r>
      <w:r w:rsidR="008434F5" w:rsidRPr="000C360D">
        <w:rPr>
          <w:szCs w:val="22"/>
        </w:rPr>
        <w:t xml:space="preserve"> </w:t>
      </w:r>
      <w:r w:rsidR="000C360D">
        <w:rPr>
          <w:szCs w:val="22"/>
        </w:rPr>
        <w:t>The Bureau proposed i</w:t>
      </w:r>
      <w:r w:rsidR="008434F5" w:rsidRPr="000C360D">
        <w:rPr>
          <w:szCs w:val="22"/>
        </w:rPr>
        <w:t xml:space="preserve">n the </w:t>
      </w:r>
      <w:r w:rsidR="008B3F0F" w:rsidRPr="000C360D">
        <w:rPr>
          <w:i/>
          <w:szCs w:val="22"/>
        </w:rPr>
        <w:t>Auction</w:t>
      </w:r>
      <w:r w:rsidR="008B3F0F" w:rsidRPr="000C360D" w:rsidDel="008B3F0F">
        <w:rPr>
          <w:i/>
          <w:szCs w:val="22"/>
        </w:rPr>
        <w:t xml:space="preserve"> </w:t>
      </w:r>
      <w:r w:rsidR="00EB6D41">
        <w:rPr>
          <w:i/>
          <w:szCs w:val="22"/>
        </w:rPr>
        <w:t>9</w:t>
      </w:r>
      <w:r w:rsidR="00530B79">
        <w:rPr>
          <w:i/>
          <w:szCs w:val="22"/>
        </w:rPr>
        <w:t>6</w:t>
      </w:r>
      <w:r w:rsidR="009D40D6" w:rsidRPr="000C360D">
        <w:rPr>
          <w:i/>
          <w:szCs w:val="22"/>
        </w:rPr>
        <w:t xml:space="preserve"> Comment </w:t>
      </w:r>
      <w:r w:rsidR="008434F5" w:rsidRPr="000C360D">
        <w:rPr>
          <w:i/>
          <w:szCs w:val="22"/>
        </w:rPr>
        <w:t>Public Notice</w:t>
      </w:r>
      <w:r w:rsidR="008434F5" w:rsidRPr="000C360D">
        <w:rPr>
          <w:szCs w:val="22"/>
        </w:rPr>
        <w:t xml:space="preserve"> that the amount of the upfront payment would determine a bidder’s initial bidding eligibility,</w:t>
      </w:r>
      <w:r w:rsidR="008C6B7D">
        <w:rPr>
          <w:szCs w:val="22"/>
        </w:rPr>
        <w:t xml:space="preserve"> i.e.,</w:t>
      </w:r>
      <w:r w:rsidR="008434F5" w:rsidRPr="000C360D">
        <w:rPr>
          <w:szCs w:val="22"/>
        </w:rPr>
        <w:t xml:space="preserve"> the maximum number of bidding units on which a bidder may place bids.</w:t>
      </w:r>
      <w:r w:rsidR="008434F5" w:rsidRPr="000C360D">
        <w:rPr>
          <w:rStyle w:val="FootnoteReference"/>
          <w:szCs w:val="22"/>
        </w:rPr>
        <w:footnoteReference w:id="164"/>
      </w:r>
      <w:r w:rsidR="008434F5" w:rsidRPr="000C360D">
        <w:rPr>
          <w:szCs w:val="22"/>
        </w:rPr>
        <w:t xml:space="preserve"> </w:t>
      </w:r>
      <w:r w:rsidR="007A4F71">
        <w:rPr>
          <w:szCs w:val="22"/>
        </w:rPr>
        <w:t xml:space="preserve"> </w:t>
      </w:r>
      <w:r w:rsidR="001A7B9E" w:rsidRPr="000C360D">
        <w:rPr>
          <w:szCs w:val="22"/>
        </w:rPr>
        <w:t>Under the Bureau</w:t>
      </w:r>
      <w:r w:rsidR="00DD3A1C">
        <w:rPr>
          <w:szCs w:val="22"/>
        </w:rPr>
        <w:t>’</w:t>
      </w:r>
      <w:r w:rsidR="002D4AF3">
        <w:rPr>
          <w:szCs w:val="22"/>
        </w:rPr>
        <w:t>s</w:t>
      </w:r>
      <w:r w:rsidR="001A7B9E" w:rsidRPr="000C360D">
        <w:rPr>
          <w:szCs w:val="22"/>
        </w:rPr>
        <w:t xml:space="preserve"> proposal</w:t>
      </w:r>
      <w:r w:rsidR="00EA3DF0" w:rsidRPr="000C360D">
        <w:rPr>
          <w:szCs w:val="22"/>
        </w:rPr>
        <w:t xml:space="preserve">, in order to bid on a particular </w:t>
      </w:r>
      <w:r w:rsidR="00DD3A1C">
        <w:rPr>
          <w:szCs w:val="22"/>
        </w:rPr>
        <w:t>license</w:t>
      </w:r>
      <w:r w:rsidR="00EA3DF0" w:rsidRPr="000C360D">
        <w:rPr>
          <w:szCs w:val="22"/>
        </w:rPr>
        <w:t>,</w:t>
      </w:r>
      <w:r w:rsidR="001A7B9E" w:rsidRPr="000C360D">
        <w:rPr>
          <w:szCs w:val="22"/>
        </w:rPr>
        <w:t xml:space="preserve"> </w:t>
      </w:r>
      <w:r w:rsidR="000C360D" w:rsidRPr="000C360D">
        <w:rPr>
          <w:szCs w:val="22"/>
        </w:rPr>
        <w:t xml:space="preserve">a </w:t>
      </w:r>
      <w:r w:rsidR="008434F5" w:rsidRPr="000C360D">
        <w:rPr>
          <w:szCs w:val="22"/>
        </w:rPr>
        <w:t xml:space="preserve">qualified bidder </w:t>
      </w:r>
      <w:r w:rsidR="00EA3DF0" w:rsidRPr="000C360D">
        <w:rPr>
          <w:szCs w:val="22"/>
        </w:rPr>
        <w:t xml:space="preserve">must </w:t>
      </w:r>
      <w:r w:rsidR="00EB6D41">
        <w:rPr>
          <w:szCs w:val="22"/>
        </w:rPr>
        <w:t>have selected</w:t>
      </w:r>
      <w:r w:rsidR="001B389F">
        <w:rPr>
          <w:szCs w:val="22"/>
        </w:rPr>
        <w:t xml:space="preserve"> </w:t>
      </w:r>
      <w:r w:rsidR="00144FAC" w:rsidRPr="000C360D">
        <w:rPr>
          <w:szCs w:val="22"/>
        </w:rPr>
        <w:t xml:space="preserve">the </w:t>
      </w:r>
      <w:r w:rsidR="00DD3A1C">
        <w:rPr>
          <w:szCs w:val="22"/>
        </w:rPr>
        <w:t>license</w:t>
      </w:r>
      <w:r w:rsidR="008434F5" w:rsidRPr="000C360D">
        <w:rPr>
          <w:szCs w:val="22"/>
        </w:rPr>
        <w:t xml:space="preserve"> </w:t>
      </w:r>
      <w:r w:rsidR="00EB6D41">
        <w:rPr>
          <w:szCs w:val="22"/>
        </w:rPr>
        <w:t>on its FCC Form 175</w:t>
      </w:r>
      <w:r w:rsidR="008434F5" w:rsidRPr="000C360D">
        <w:rPr>
          <w:szCs w:val="22"/>
        </w:rPr>
        <w:t xml:space="preserve"> </w:t>
      </w:r>
      <w:r w:rsidR="00EA3DF0" w:rsidRPr="000C360D">
        <w:rPr>
          <w:szCs w:val="22"/>
        </w:rPr>
        <w:t xml:space="preserve">and </w:t>
      </w:r>
      <w:r w:rsidR="008434F5" w:rsidRPr="000C360D">
        <w:rPr>
          <w:szCs w:val="22"/>
        </w:rPr>
        <w:t xml:space="preserve">must have a current eligibility level that meets or exceeds the number of bidding units assigned to that </w:t>
      </w:r>
      <w:r w:rsidR="00DD3A1C">
        <w:rPr>
          <w:szCs w:val="22"/>
        </w:rPr>
        <w:t>license</w:t>
      </w:r>
      <w:r w:rsidR="008434F5" w:rsidRPr="000C360D">
        <w:rPr>
          <w:szCs w:val="22"/>
        </w:rPr>
        <w:t xml:space="preserve">.  </w:t>
      </w:r>
      <w:r w:rsidR="008434F5" w:rsidRPr="000C360D">
        <w:rPr>
          <w:b/>
          <w:szCs w:val="22"/>
        </w:rPr>
        <w:t xml:space="preserve">At a minimum, therefore, an applicant’s total upfront payment must be enough to establish </w:t>
      </w:r>
      <w:r w:rsidR="00E27EC4">
        <w:rPr>
          <w:b/>
          <w:szCs w:val="22"/>
        </w:rPr>
        <w:t xml:space="preserve">eligibility to bid on </w:t>
      </w:r>
      <w:r w:rsidR="00DD3A1C">
        <w:rPr>
          <w:b/>
          <w:szCs w:val="22"/>
        </w:rPr>
        <w:t xml:space="preserve">at least </w:t>
      </w:r>
      <w:r w:rsidR="008434F5" w:rsidRPr="000C360D">
        <w:rPr>
          <w:b/>
          <w:szCs w:val="22"/>
        </w:rPr>
        <w:t xml:space="preserve">one of the </w:t>
      </w:r>
      <w:r w:rsidR="00DD3A1C">
        <w:rPr>
          <w:b/>
          <w:szCs w:val="22"/>
        </w:rPr>
        <w:t>licenses</w:t>
      </w:r>
      <w:r w:rsidR="008434F5" w:rsidRPr="000C360D">
        <w:rPr>
          <w:b/>
          <w:szCs w:val="22"/>
        </w:rPr>
        <w:t xml:space="preserve"> </w:t>
      </w:r>
      <w:r w:rsidR="00EB6D41">
        <w:rPr>
          <w:b/>
          <w:szCs w:val="22"/>
        </w:rPr>
        <w:t>selected on its FCC Form 175</w:t>
      </w:r>
      <w:r w:rsidR="00E27EC4">
        <w:rPr>
          <w:b/>
          <w:szCs w:val="22"/>
        </w:rPr>
        <w:t xml:space="preserve"> for Auction 96</w:t>
      </w:r>
      <w:r w:rsidR="008434F5" w:rsidRPr="000C360D">
        <w:rPr>
          <w:b/>
          <w:szCs w:val="22"/>
        </w:rPr>
        <w:t xml:space="preserve">, or else the applicant will not be eligible to participate in </w:t>
      </w:r>
      <w:r w:rsidR="0005175D" w:rsidRPr="000C360D">
        <w:rPr>
          <w:b/>
          <w:szCs w:val="22"/>
        </w:rPr>
        <w:t>the a</w:t>
      </w:r>
      <w:r w:rsidR="008434F5" w:rsidRPr="000C360D">
        <w:rPr>
          <w:b/>
          <w:szCs w:val="22"/>
        </w:rPr>
        <w:t>uction.</w:t>
      </w:r>
      <w:r w:rsidR="00444FFF" w:rsidRPr="000C360D">
        <w:rPr>
          <w:szCs w:val="22"/>
        </w:rPr>
        <w:t xml:space="preserve">  </w:t>
      </w:r>
      <w:r w:rsidR="008434F5" w:rsidRPr="000C360D">
        <w:rPr>
          <w:szCs w:val="22"/>
        </w:rPr>
        <w:t xml:space="preserve">An applicant does not have to make an upfront payment to cover all </w:t>
      </w:r>
      <w:r w:rsidR="00DD3A1C">
        <w:rPr>
          <w:szCs w:val="22"/>
        </w:rPr>
        <w:t>licenses</w:t>
      </w:r>
      <w:r w:rsidR="008434F5" w:rsidRPr="000C360D">
        <w:rPr>
          <w:szCs w:val="22"/>
        </w:rPr>
        <w:t xml:space="preserve"> </w:t>
      </w:r>
      <w:r w:rsidR="00EB6D41">
        <w:rPr>
          <w:szCs w:val="22"/>
        </w:rPr>
        <w:t>the</w:t>
      </w:r>
      <w:r w:rsidR="008434F5" w:rsidRPr="000C360D">
        <w:rPr>
          <w:szCs w:val="22"/>
        </w:rPr>
        <w:t xml:space="preserve"> applicant </w:t>
      </w:r>
      <w:r w:rsidR="00EB6D41">
        <w:rPr>
          <w:szCs w:val="22"/>
        </w:rPr>
        <w:t>selected on its FCC Form 175</w:t>
      </w:r>
      <w:r w:rsidR="008434F5" w:rsidRPr="000C360D">
        <w:rPr>
          <w:szCs w:val="22"/>
        </w:rPr>
        <w:t xml:space="preserve">, but </w:t>
      </w:r>
      <w:r w:rsidR="000C360D">
        <w:rPr>
          <w:szCs w:val="22"/>
        </w:rPr>
        <w:t>only enough</w:t>
      </w:r>
      <w:r w:rsidR="008434F5" w:rsidRPr="000C360D">
        <w:rPr>
          <w:szCs w:val="22"/>
        </w:rPr>
        <w:t xml:space="preserve"> to cover the maximum number of bidding units that are associated with </w:t>
      </w:r>
      <w:r w:rsidR="00DD3A1C">
        <w:rPr>
          <w:szCs w:val="22"/>
        </w:rPr>
        <w:t>licenses</w:t>
      </w:r>
      <w:r w:rsidR="008434F5" w:rsidRPr="00AA2B80">
        <w:rPr>
          <w:szCs w:val="22"/>
        </w:rPr>
        <w:t xml:space="preserve"> on which </w:t>
      </w:r>
      <w:r w:rsidR="008A7909">
        <w:rPr>
          <w:szCs w:val="22"/>
        </w:rPr>
        <w:t>it</w:t>
      </w:r>
      <w:r w:rsidR="00804AEE">
        <w:rPr>
          <w:szCs w:val="22"/>
        </w:rPr>
        <w:t xml:space="preserve"> </w:t>
      </w:r>
      <w:r w:rsidR="008434F5" w:rsidRPr="00AA2B80">
        <w:rPr>
          <w:szCs w:val="22"/>
        </w:rPr>
        <w:t>wish</w:t>
      </w:r>
      <w:r w:rsidR="008A7909">
        <w:rPr>
          <w:szCs w:val="22"/>
        </w:rPr>
        <w:t>es</w:t>
      </w:r>
      <w:r w:rsidR="008434F5" w:rsidRPr="00AA2B80">
        <w:rPr>
          <w:szCs w:val="22"/>
        </w:rPr>
        <w:t xml:space="preserve"> to place bids and hold provisionally winning bids </w:t>
      </w:r>
      <w:r w:rsidR="00AC09B5">
        <w:rPr>
          <w:szCs w:val="22"/>
        </w:rPr>
        <w:t>in</w:t>
      </w:r>
      <w:r w:rsidR="008434F5" w:rsidRPr="00AA2B80">
        <w:rPr>
          <w:szCs w:val="22"/>
        </w:rPr>
        <w:t xml:space="preserve"> any given </w:t>
      </w:r>
      <w:r w:rsidR="00AC09B5">
        <w:rPr>
          <w:szCs w:val="22"/>
        </w:rPr>
        <w:t>round</w:t>
      </w:r>
      <w:r w:rsidR="008434F5" w:rsidRPr="00AA2B80">
        <w:rPr>
          <w:szCs w:val="22"/>
        </w:rPr>
        <w:t>.</w:t>
      </w:r>
      <w:r w:rsidR="008434F5" w:rsidRPr="00AA2B80">
        <w:rPr>
          <w:rStyle w:val="FootnoteReference"/>
          <w:szCs w:val="22"/>
        </w:rPr>
        <w:footnoteReference w:id="165"/>
      </w:r>
      <w:r w:rsidR="00884535">
        <w:rPr>
          <w:szCs w:val="22"/>
        </w:rPr>
        <w:t xml:space="preserve">  </w:t>
      </w:r>
      <w:r w:rsidR="00804AEE">
        <w:rPr>
          <w:szCs w:val="22"/>
        </w:rPr>
        <w:t xml:space="preserve">The </w:t>
      </w:r>
      <w:r w:rsidR="00884535" w:rsidRPr="00884535">
        <w:rPr>
          <w:szCs w:val="22"/>
        </w:rPr>
        <w:t xml:space="preserve">total upfront payment does not affect the total dollar amount </w:t>
      </w:r>
      <w:r w:rsidR="00884535">
        <w:rPr>
          <w:szCs w:val="22"/>
        </w:rPr>
        <w:t>the</w:t>
      </w:r>
      <w:r w:rsidR="00884535" w:rsidRPr="00884535">
        <w:rPr>
          <w:szCs w:val="22"/>
        </w:rPr>
        <w:t xml:space="preserve"> bidder may bid on any given </w:t>
      </w:r>
      <w:r w:rsidR="00DD3A1C">
        <w:rPr>
          <w:szCs w:val="22"/>
        </w:rPr>
        <w:t>license</w:t>
      </w:r>
      <w:r w:rsidR="00884535" w:rsidRPr="00884535">
        <w:rPr>
          <w:szCs w:val="22"/>
        </w:rPr>
        <w:t>.</w:t>
      </w:r>
    </w:p>
    <w:p w:rsidR="00AF71B8" w:rsidRDefault="008434F5" w:rsidP="00C07C81">
      <w:pPr>
        <w:pStyle w:val="ParaNum"/>
        <w:widowControl/>
        <w:tabs>
          <w:tab w:val="clear" w:pos="1260"/>
          <w:tab w:val="num" w:pos="1440"/>
        </w:tabs>
        <w:ind w:left="0"/>
      </w:pPr>
      <w:r w:rsidRPr="000C360D">
        <w:t xml:space="preserve">In the </w:t>
      </w:r>
      <w:r w:rsidR="008B3F0F" w:rsidRPr="000C360D">
        <w:rPr>
          <w:i/>
        </w:rPr>
        <w:t>Auction</w:t>
      </w:r>
      <w:r w:rsidR="008B3F0F" w:rsidRPr="000C360D" w:rsidDel="008B3F0F">
        <w:rPr>
          <w:i/>
        </w:rPr>
        <w:t xml:space="preserve"> </w:t>
      </w:r>
      <w:r w:rsidR="00EB6D41">
        <w:rPr>
          <w:i/>
        </w:rPr>
        <w:t>9</w:t>
      </w:r>
      <w:r w:rsidR="00530B79">
        <w:rPr>
          <w:i/>
        </w:rPr>
        <w:t>6</w:t>
      </w:r>
      <w:r w:rsidR="000D48B0" w:rsidRPr="000C360D">
        <w:rPr>
          <w:i/>
        </w:rPr>
        <w:t xml:space="preserve"> Comment </w:t>
      </w:r>
      <w:r w:rsidRPr="000C360D">
        <w:rPr>
          <w:i/>
        </w:rPr>
        <w:t>Public Notice</w:t>
      </w:r>
      <w:r w:rsidRPr="000C360D">
        <w:t xml:space="preserve">, </w:t>
      </w:r>
      <w:r w:rsidRPr="00DF7948">
        <w:t xml:space="preserve">the Bureau proposed </w:t>
      </w:r>
      <w:r w:rsidR="00DD3A1C">
        <w:t>to make the upfront payments equal to the minimum opening bids.</w:t>
      </w:r>
      <w:r w:rsidR="00B6297A">
        <w:rPr>
          <w:rStyle w:val="FootnoteReference"/>
        </w:rPr>
        <w:footnoteReference w:id="166"/>
      </w:r>
      <w:r w:rsidR="00DD3A1C">
        <w:t xml:space="preserve">  The Bureau further proposed that each license be assigned a specific number of bidding units equal to the upfront payment listed for the license, on a bidding unit for dollar basis.</w:t>
      </w:r>
      <w:r w:rsidR="00DD3A1C">
        <w:rPr>
          <w:rStyle w:val="FootnoteReference"/>
        </w:rPr>
        <w:footnoteReference w:id="167"/>
      </w:r>
      <w:r w:rsidR="00DD3A1C">
        <w:t xml:space="preserve">  </w:t>
      </w:r>
      <w:r w:rsidR="0044529C">
        <w:t>The bidding unit level for each license will remain constant throughout the auction.</w:t>
      </w:r>
      <w:r w:rsidR="002D4AF3" w:rsidRPr="00DF7948">
        <w:t xml:space="preserve">  </w:t>
      </w:r>
      <w:r w:rsidR="008F745B" w:rsidRPr="00DF7948">
        <w:t>T</w:t>
      </w:r>
      <w:r w:rsidR="00ED64E6" w:rsidRPr="00DF7948">
        <w:t>he Bureau</w:t>
      </w:r>
      <w:r w:rsidR="00ED64E6" w:rsidRPr="000E45A2">
        <w:t xml:space="preserve"> </w:t>
      </w:r>
      <w:r w:rsidR="00ED64E6" w:rsidRPr="00F03BE1">
        <w:t xml:space="preserve">received </w:t>
      </w:r>
      <w:r w:rsidR="00ED64E6" w:rsidRPr="00115B71">
        <w:t xml:space="preserve">no </w:t>
      </w:r>
      <w:r w:rsidR="00BB5E4A">
        <w:t xml:space="preserve">specific </w:t>
      </w:r>
      <w:r w:rsidR="00ED64E6" w:rsidRPr="00115B71">
        <w:t>comments</w:t>
      </w:r>
      <w:r w:rsidR="00ED64E6" w:rsidRPr="00F03BE1">
        <w:t xml:space="preserve"> on the proposal</w:t>
      </w:r>
      <w:r w:rsidR="00BB5E4A">
        <w:t>,</w:t>
      </w:r>
      <w:r w:rsidR="00BB5E4A">
        <w:rPr>
          <w:rStyle w:val="FootnoteReference"/>
        </w:rPr>
        <w:footnoteReference w:id="168"/>
      </w:r>
      <w:r w:rsidR="00BB5E4A">
        <w:t xml:space="preserve"> and thus</w:t>
      </w:r>
      <w:r w:rsidR="00B95DD8" w:rsidRPr="00F03BE1">
        <w:t xml:space="preserve"> </w:t>
      </w:r>
      <w:r w:rsidR="0044529C">
        <w:t xml:space="preserve">adopts its proposed upfront payments.  </w:t>
      </w:r>
      <w:r w:rsidR="00615AA2">
        <w:t>T</w:t>
      </w:r>
      <w:r w:rsidR="0044529C">
        <w:t>he complete list of licenses for Auction 9</w:t>
      </w:r>
      <w:r w:rsidR="00530B79">
        <w:t>6</w:t>
      </w:r>
      <w:r w:rsidR="008167D5">
        <w:t xml:space="preserve"> </w:t>
      </w:r>
      <w:r w:rsidR="00CA33E7">
        <w:t xml:space="preserve">and the specific upfront payments and bidding units for each license </w:t>
      </w:r>
      <w:r w:rsidR="000A228F">
        <w:t>are</w:t>
      </w:r>
      <w:r w:rsidR="0044529C">
        <w:t xml:space="preserve"> available as separate “</w:t>
      </w:r>
      <w:r w:rsidR="002D4AF3" w:rsidRPr="000E45A2">
        <w:t>Attachment A</w:t>
      </w:r>
      <w:r w:rsidR="0044529C">
        <w:t xml:space="preserve">” files at </w:t>
      </w:r>
      <w:hyperlink r:id="rId18" w:history="1">
        <w:r w:rsidR="00E246D2" w:rsidRPr="000C26E0">
          <w:rPr>
            <w:rStyle w:val="Hyperlink"/>
          </w:rPr>
          <w:t>http://wireless.fcc.gov/auctions/96/</w:t>
        </w:r>
      </w:hyperlink>
      <w:r w:rsidR="002D4AF3" w:rsidRPr="000E45A2">
        <w:t>.</w:t>
      </w:r>
    </w:p>
    <w:p w:rsidR="008434F5" w:rsidRPr="00CA6286" w:rsidRDefault="008434F5" w:rsidP="00C07C81">
      <w:pPr>
        <w:pStyle w:val="ParaNum"/>
        <w:widowControl/>
        <w:tabs>
          <w:tab w:val="clear" w:pos="1260"/>
          <w:tab w:val="left" w:pos="1440"/>
        </w:tabs>
        <w:spacing w:after="240"/>
        <w:ind w:left="0"/>
      </w:pPr>
      <w:r w:rsidRPr="00C07C81">
        <w:rPr>
          <w:szCs w:val="22"/>
        </w:rPr>
        <w:t xml:space="preserve">In calculating its upfront payment amount, </w:t>
      </w:r>
      <w:r w:rsidR="005145E9" w:rsidRPr="00C07C81">
        <w:rPr>
          <w:szCs w:val="22"/>
        </w:rPr>
        <w:t xml:space="preserve">an </w:t>
      </w:r>
      <w:r w:rsidRPr="00C07C81">
        <w:rPr>
          <w:szCs w:val="22"/>
        </w:rPr>
        <w:t>applicant</w:t>
      </w:r>
      <w:r w:rsidR="000B12E4" w:rsidRPr="00C07C81">
        <w:rPr>
          <w:szCs w:val="22"/>
        </w:rPr>
        <w:t xml:space="preserve"> </w:t>
      </w:r>
      <w:r w:rsidRPr="00C07C81">
        <w:rPr>
          <w:szCs w:val="22"/>
        </w:rPr>
        <w:t xml:space="preserve">should determine the </w:t>
      </w:r>
      <w:r w:rsidRPr="00C07C81">
        <w:rPr>
          <w:b/>
          <w:szCs w:val="22"/>
        </w:rPr>
        <w:t>maximum</w:t>
      </w:r>
      <w:r w:rsidRPr="00C07C81">
        <w:rPr>
          <w:szCs w:val="22"/>
        </w:rPr>
        <w:t xml:space="preserve"> number of bidding units on which it may wish to be active (bid on or hold provisionally winning bids on) in any single round, and submit an upfront payment amount covering that number of bidding units.</w:t>
      </w:r>
      <w:r w:rsidRPr="00CA6286">
        <w:rPr>
          <w:rStyle w:val="FootnoteReference"/>
          <w:szCs w:val="22"/>
        </w:rPr>
        <w:footnoteReference w:id="169"/>
      </w:r>
      <w:r w:rsidRPr="00C07C81">
        <w:rPr>
          <w:szCs w:val="22"/>
        </w:rPr>
        <w:t xml:space="preserve">  In order to make this calculation, an applicant should add together the </w:t>
      </w:r>
      <w:r w:rsidR="00BF4D7D" w:rsidRPr="00C07C81">
        <w:rPr>
          <w:szCs w:val="22"/>
        </w:rPr>
        <w:t xml:space="preserve">bidding units </w:t>
      </w:r>
      <w:r w:rsidRPr="00C07C81">
        <w:rPr>
          <w:szCs w:val="22"/>
        </w:rPr>
        <w:t xml:space="preserve">for </w:t>
      </w:r>
      <w:r w:rsidR="00235C01" w:rsidRPr="00C07C81">
        <w:rPr>
          <w:szCs w:val="22"/>
        </w:rPr>
        <w:t xml:space="preserve">all </w:t>
      </w:r>
      <w:r w:rsidR="0044529C">
        <w:rPr>
          <w:szCs w:val="22"/>
        </w:rPr>
        <w:t>licenses</w:t>
      </w:r>
      <w:r w:rsidR="00235C01" w:rsidRPr="00C07C81">
        <w:rPr>
          <w:szCs w:val="22"/>
        </w:rPr>
        <w:t xml:space="preserve"> </w:t>
      </w:r>
      <w:r w:rsidRPr="00C07C81">
        <w:rPr>
          <w:szCs w:val="22"/>
        </w:rPr>
        <w:t>on which it seeks to be active in any given round.</w:t>
      </w:r>
      <w:r w:rsidR="00402F57" w:rsidRPr="00C07C81">
        <w:rPr>
          <w:szCs w:val="22"/>
        </w:rPr>
        <w:t xml:space="preserve">  </w:t>
      </w:r>
      <w:r w:rsidRPr="00C07C81">
        <w:rPr>
          <w:b/>
          <w:szCs w:val="22"/>
        </w:rPr>
        <w:t>Applicants should check their calculations carefully, as there is no provision for increasing a bidder’s eligibility after the upfront payment deadline.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970"/>
        <w:gridCol w:w="1980"/>
        <w:gridCol w:w="2340"/>
      </w:tblGrid>
      <w:tr w:rsidR="008434F5" w:rsidRPr="00CA6286" w:rsidTr="00B655E1">
        <w:trPr>
          <w:cantSplit/>
          <w:trHeight w:val="403"/>
        </w:trPr>
        <w:tc>
          <w:tcPr>
            <w:tcW w:w="9360" w:type="dxa"/>
            <w:gridSpan w:val="4"/>
            <w:tcBorders>
              <w:bottom w:val="single" w:sz="4" w:space="0" w:color="auto"/>
            </w:tcBorders>
            <w:vAlign w:val="center"/>
          </w:tcPr>
          <w:p w:rsidR="00C07C81" w:rsidRPr="00CA6286" w:rsidRDefault="00570F3B" w:rsidP="00C07C81">
            <w:pPr>
              <w:keepNext/>
              <w:widowControl/>
              <w:rPr>
                <w:b/>
                <w:szCs w:val="22"/>
              </w:rPr>
            </w:pPr>
            <w:r>
              <w:rPr>
                <w:b/>
                <w:szCs w:val="22"/>
              </w:rPr>
              <w:t>Table 2</w:t>
            </w:r>
            <w:r w:rsidR="008434F5" w:rsidRPr="00CA6286">
              <w:rPr>
                <w:b/>
                <w:szCs w:val="22"/>
              </w:rPr>
              <w:t>: Upfront Payments</w:t>
            </w:r>
            <w:r>
              <w:rPr>
                <w:b/>
                <w:szCs w:val="22"/>
              </w:rPr>
              <w:t>, Bidding Eligibility,</w:t>
            </w:r>
            <w:r w:rsidR="008434F5" w:rsidRPr="00CA6286">
              <w:rPr>
                <w:b/>
                <w:szCs w:val="22"/>
              </w:rPr>
              <w:t xml:space="preserve"> and Bidding Flexibility</w:t>
            </w:r>
            <w:r>
              <w:rPr>
                <w:b/>
                <w:szCs w:val="22"/>
              </w:rPr>
              <w:t xml:space="preserve"> Example</w:t>
            </w:r>
          </w:p>
        </w:tc>
      </w:tr>
      <w:tr w:rsidR="008434F5" w:rsidRPr="00CA6286" w:rsidTr="00915BEA">
        <w:trPr>
          <w:cantSplit/>
          <w:trHeight w:val="269"/>
        </w:trPr>
        <w:tc>
          <w:tcPr>
            <w:tcW w:w="2070" w:type="dxa"/>
            <w:tcBorders>
              <w:top w:val="single" w:sz="4" w:space="0" w:color="auto"/>
            </w:tcBorders>
            <w:shd w:val="pct35" w:color="000000" w:fill="FFFFFF"/>
            <w:vAlign w:val="center"/>
          </w:tcPr>
          <w:p w:rsidR="008434F5" w:rsidRDefault="008434F5" w:rsidP="00C07C81">
            <w:pPr>
              <w:keepNext/>
              <w:widowControl/>
              <w:jc w:val="center"/>
              <w:rPr>
                <w:b/>
                <w:szCs w:val="22"/>
              </w:rPr>
            </w:pPr>
          </w:p>
          <w:p w:rsidR="00615AA2" w:rsidRPr="00CA6286" w:rsidRDefault="00615AA2" w:rsidP="00C07C81">
            <w:pPr>
              <w:keepNext/>
              <w:widowControl/>
              <w:jc w:val="center"/>
              <w:rPr>
                <w:b/>
                <w:szCs w:val="22"/>
              </w:rPr>
            </w:pPr>
            <w:r>
              <w:rPr>
                <w:b/>
                <w:szCs w:val="22"/>
              </w:rPr>
              <w:t>License</w:t>
            </w:r>
          </w:p>
        </w:tc>
        <w:tc>
          <w:tcPr>
            <w:tcW w:w="2970" w:type="dxa"/>
            <w:shd w:val="pct35" w:color="000000" w:fill="FFFFFF"/>
            <w:vAlign w:val="center"/>
          </w:tcPr>
          <w:p w:rsidR="008434F5" w:rsidRPr="00CA6286" w:rsidRDefault="008434F5" w:rsidP="00C07C81">
            <w:pPr>
              <w:keepNext/>
              <w:widowControl/>
              <w:jc w:val="center"/>
              <w:rPr>
                <w:b/>
                <w:szCs w:val="22"/>
              </w:rPr>
            </w:pPr>
            <w:r w:rsidRPr="00CA6286">
              <w:rPr>
                <w:b/>
                <w:szCs w:val="22"/>
              </w:rPr>
              <w:t>Market Name</w:t>
            </w:r>
          </w:p>
        </w:tc>
        <w:tc>
          <w:tcPr>
            <w:tcW w:w="1980" w:type="dxa"/>
            <w:shd w:val="pct35" w:color="000000" w:fill="FFFFFF"/>
            <w:vAlign w:val="center"/>
          </w:tcPr>
          <w:p w:rsidR="008434F5" w:rsidRPr="00CA6286" w:rsidRDefault="008434F5" w:rsidP="00C07C81">
            <w:pPr>
              <w:keepNext/>
              <w:widowControl/>
              <w:jc w:val="center"/>
              <w:rPr>
                <w:b/>
                <w:szCs w:val="22"/>
              </w:rPr>
            </w:pPr>
            <w:r w:rsidRPr="00CA6286">
              <w:rPr>
                <w:b/>
                <w:szCs w:val="22"/>
              </w:rPr>
              <w:t>Bidding Units</w:t>
            </w:r>
          </w:p>
        </w:tc>
        <w:tc>
          <w:tcPr>
            <w:tcW w:w="2340" w:type="dxa"/>
            <w:shd w:val="pct35" w:color="000000" w:fill="FFFFFF"/>
            <w:vAlign w:val="center"/>
          </w:tcPr>
          <w:p w:rsidR="008434F5" w:rsidRPr="00CA6286" w:rsidRDefault="008434F5" w:rsidP="00C07C81">
            <w:pPr>
              <w:keepNext/>
              <w:widowControl/>
              <w:jc w:val="center"/>
              <w:rPr>
                <w:b/>
                <w:szCs w:val="22"/>
              </w:rPr>
            </w:pPr>
            <w:r w:rsidRPr="00CA6286">
              <w:rPr>
                <w:b/>
                <w:szCs w:val="22"/>
              </w:rPr>
              <w:t>Upfront Payment</w:t>
            </w:r>
          </w:p>
        </w:tc>
      </w:tr>
      <w:tr w:rsidR="000209DB" w:rsidRPr="00CA6286" w:rsidTr="00915BEA">
        <w:trPr>
          <w:cantSplit/>
          <w:trHeight w:val="323"/>
        </w:trPr>
        <w:tc>
          <w:tcPr>
            <w:tcW w:w="2070" w:type="dxa"/>
            <w:tcBorders>
              <w:top w:val="single" w:sz="4" w:space="0" w:color="auto"/>
            </w:tcBorders>
            <w:vAlign w:val="center"/>
          </w:tcPr>
          <w:p w:rsidR="000209DB" w:rsidRPr="0044529C" w:rsidRDefault="007468F9" w:rsidP="007468F9">
            <w:pPr>
              <w:keepNext/>
              <w:widowControl/>
              <w:jc w:val="center"/>
              <w:rPr>
                <w:b/>
                <w:szCs w:val="22"/>
                <w:highlight w:val="yellow"/>
              </w:rPr>
            </w:pPr>
            <w:r>
              <w:rPr>
                <w:szCs w:val="22"/>
              </w:rPr>
              <w:t>AH-</w:t>
            </w:r>
            <w:r w:rsidR="00615AA2" w:rsidRPr="00115B71">
              <w:rPr>
                <w:szCs w:val="22"/>
              </w:rPr>
              <w:t>BEA0</w:t>
            </w:r>
            <w:r>
              <w:rPr>
                <w:szCs w:val="22"/>
              </w:rPr>
              <w:t>09</w:t>
            </w:r>
            <w:r w:rsidR="00615AA2" w:rsidRPr="00115B71">
              <w:rPr>
                <w:szCs w:val="22"/>
              </w:rPr>
              <w:t>-</w:t>
            </w:r>
            <w:r>
              <w:rPr>
                <w:szCs w:val="22"/>
              </w:rPr>
              <w:t>H</w:t>
            </w:r>
          </w:p>
        </w:tc>
        <w:tc>
          <w:tcPr>
            <w:tcW w:w="2970" w:type="dxa"/>
            <w:vAlign w:val="center"/>
          </w:tcPr>
          <w:p w:rsidR="000209DB" w:rsidRPr="0044529C" w:rsidRDefault="007468F9" w:rsidP="00C07C81">
            <w:pPr>
              <w:keepNext/>
              <w:widowControl/>
              <w:jc w:val="center"/>
              <w:rPr>
                <w:szCs w:val="22"/>
                <w:highlight w:val="yellow"/>
              </w:rPr>
            </w:pPr>
            <w:r>
              <w:rPr>
                <w:szCs w:val="22"/>
              </w:rPr>
              <w:t>State College, PA</w:t>
            </w:r>
          </w:p>
        </w:tc>
        <w:tc>
          <w:tcPr>
            <w:tcW w:w="1980" w:type="dxa"/>
            <w:vAlign w:val="center"/>
          </w:tcPr>
          <w:p w:rsidR="000209DB" w:rsidRPr="00CA6286" w:rsidRDefault="007468F9" w:rsidP="00C07C81">
            <w:pPr>
              <w:keepNext/>
              <w:widowControl/>
              <w:ind w:right="612"/>
              <w:jc w:val="right"/>
              <w:rPr>
                <w:szCs w:val="22"/>
              </w:rPr>
            </w:pPr>
            <w:r>
              <w:rPr>
                <w:szCs w:val="22"/>
              </w:rPr>
              <w:t>212,000</w:t>
            </w:r>
          </w:p>
        </w:tc>
        <w:tc>
          <w:tcPr>
            <w:tcW w:w="2340" w:type="dxa"/>
            <w:vAlign w:val="center"/>
          </w:tcPr>
          <w:p w:rsidR="000209DB" w:rsidRPr="00CA6286" w:rsidRDefault="000209DB" w:rsidP="007468F9">
            <w:pPr>
              <w:keepNext/>
              <w:widowControl/>
              <w:ind w:right="702"/>
              <w:jc w:val="right"/>
              <w:rPr>
                <w:b/>
                <w:szCs w:val="22"/>
              </w:rPr>
            </w:pPr>
            <w:r w:rsidRPr="00CA6286">
              <w:rPr>
                <w:szCs w:val="22"/>
              </w:rPr>
              <w:t>$</w:t>
            </w:r>
            <w:r w:rsidR="007468F9">
              <w:rPr>
                <w:szCs w:val="22"/>
              </w:rPr>
              <w:t>212,000</w:t>
            </w:r>
          </w:p>
        </w:tc>
      </w:tr>
      <w:tr w:rsidR="000209DB" w:rsidRPr="00CA6286" w:rsidTr="00915BEA">
        <w:trPr>
          <w:cantSplit/>
          <w:trHeight w:val="350"/>
        </w:trPr>
        <w:tc>
          <w:tcPr>
            <w:tcW w:w="2070" w:type="dxa"/>
            <w:tcBorders>
              <w:top w:val="single" w:sz="4" w:space="0" w:color="auto"/>
            </w:tcBorders>
            <w:vAlign w:val="center"/>
          </w:tcPr>
          <w:p w:rsidR="000209DB" w:rsidRPr="0044529C" w:rsidRDefault="007468F9" w:rsidP="007468F9">
            <w:pPr>
              <w:keepNext/>
              <w:widowControl/>
              <w:jc w:val="center"/>
              <w:rPr>
                <w:b/>
                <w:szCs w:val="22"/>
                <w:highlight w:val="yellow"/>
              </w:rPr>
            </w:pPr>
            <w:r>
              <w:rPr>
                <w:szCs w:val="22"/>
              </w:rPr>
              <w:t>AH</w:t>
            </w:r>
            <w:r w:rsidR="00615AA2" w:rsidRPr="00115B71">
              <w:rPr>
                <w:szCs w:val="22"/>
              </w:rPr>
              <w:t>-BEA0</w:t>
            </w:r>
            <w:r>
              <w:rPr>
                <w:szCs w:val="22"/>
              </w:rPr>
              <w:t>68</w:t>
            </w:r>
            <w:r w:rsidR="00615AA2" w:rsidRPr="00115B71">
              <w:rPr>
                <w:szCs w:val="22"/>
              </w:rPr>
              <w:t>-H</w:t>
            </w:r>
          </w:p>
        </w:tc>
        <w:tc>
          <w:tcPr>
            <w:tcW w:w="2970" w:type="dxa"/>
            <w:vAlign w:val="center"/>
          </w:tcPr>
          <w:p w:rsidR="000209DB" w:rsidRPr="0044529C" w:rsidRDefault="007468F9" w:rsidP="00C07C81">
            <w:pPr>
              <w:keepNext/>
              <w:widowControl/>
              <w:jc w:val="center"/>
              <w:rPr>
                <w:szCs w:val="22"/>
                <w:highlight w:val="yellow"/>
              </w:rPr>
            </w:pPr>
            <w:r>
              <w:rPr>
                <w:szCs w:val="22"/>
              </w:rPr>
              <w:t>Champaign-Urbana, IL</w:t>
            </w:r>
          </w:p>
        </w:tc>
        <w:tc>
          <w:tcPr>
            <w:tcW w:w="1980" w:type="dxa"/>
            <w:vAlign w:val="center"/>
          </w:tcPr>
          <w:p w:rsidR="000209DB" w:rsidRPr="00764293" w:rsidRDefault="007468F9" w:rsidP="0044529C">
            <w:pPr>
              <w:keepNext/>
              <w:widowControl/>
              <w:ind w:right="612"/>
              <w:jc w:val="right"/>
              <w:rPr>
                <w:szCs w:val="22"/>
              </w:rPr>
            </w:pPr>
            <w:r>
              <w:rPr>
                <w:szCs w:val="22"/>
              </w:rPr>
              <w:t>109,0</w:t>
            </w:r>
            <w:r w:rsidR="00EA0DA7">
              <w:rPr>
                <w:szCs w:val="22"/>
              </w:rPr>
              <w:t>00</w:t>
            </w:r>
          </w:p>
        </w:tc>
        <w:tc>
          <w:tcPr>
            <w:tcW w:w="2340" w:type="dxa"/>
            <w:vAlign w:val="center"/>
          </w:tcPr>
          <w:p w:rsidR="000209DB" w:rsidRPr="00764293" w:rsidRDefault="000209DB" w:rsidP="007468F9">
            <w:pPr>
              <w:keepNext/>
              <w:widowControl/>
              <w:ind w:right="702"/>
              <w:jc w:val="right"/>
              <w:rPr>
                <w:b/>
                <w:szCs w:val="22"/>
              </w:rPr>
            </w:pPr>
            <w:r w:rsidRPr="00764293">
              <w:rPr>
                <w:szCs w:val="22"/>
              </w:rPr>
              <w:t>$</w:t>
            </w:r>
            <w:r w:rsidR="007468F9">
              <w:rPr>
                <w:szCs w:val="22"/>
              </w:rPr>
              <w:t>109,0</w:t>
            </w:r>
            <w:r w:rsidRPr="00764293">
              <w:rPr>
                <w:szCs w:val="22"/>
              </w:rPr>
              <w:t>00</w:t>
            </w:r>
          </w:p>
        </w:tc>
      </w:tr>
      <w:tr w:rsidR="008434F5" w:rsidRPr="00CA6286" w:rsidTr="00143362">
        <w:trPr>
          <w:cantSplit/>
          <w:trHeight w:val="1610"/>
        </w:trPr>
        <w:tc>
          <w:tcPr>
            <w:tcW w:w="9360" w:type="dxa"/>
            <w:gridSpan w:val="4"/>
            <w:tcBorders>
              <w:top w:val="single" w:sz="4" w:space="0" w:color="auto"/>
            </w:tcBorders>
            <w:vAlign w:val="center"/>
          </w:tcPr>
          <w:p w:rsidR="00C07C81" w:rsidRPr="00764293" w:rsidRDefault="00EA0DA7" w:rsidP="007468F9">
            <w:pPr>
              <w:keepNext/>
              <w:widowControl/>
              <w:rPr>
                <w:szCs w:val="22"/>
              </w:rPr>
            </w:pPr>
            <w:r>
              <w:rPr>
                <w:szCs w:val="22"/>
              </w:rPr>
              <w:t xml:space="preserve">If a bidder wishes to bid on both </w:t>
            </w:r>
            <w:r w:rsidR="00143362">
              <w:rPr>
                <w:szCs w:val="22"/>
              </w:rPr>
              <w:t>licenses</w:t>
            </w:r>
            <w:r>
              <w:rPr>
                <w:szCs w:val="22"/>
              </w:rPr>
              <w:t xml:space="preserve"> in a round, it must have selected both on its FCC Form 175 and purchased at least </w:t>
            </w:r>
            <w:r w:rsidR="007468F9">
              <w:rPr>
                <w:szCs w:val="22"/>
              </w:rPr>
              <w:t>321</w:t>
            </w:r>
            <w:r w:rsidR="00143362">
              <w:rPr>
                <w:szCs w:val="22"/>
              </w:rPr>
              <w:t>,0</w:t>
            </w:r>
            <w:r>
              <w:rPr>
                <w:szCs w:val="22"/>
              </w:rPr>
              <w:t>00 bidding units (</w:t>
            </w:r>
            <w:r w:rsidR="007468F9">
              <w:rPr>
                <w:szCs w:val="22"/>
              </w:rPr>
              <w:t>212,0</w:t>
            </w:r>
            <w:r>
              <w:rPr>
                <w:szCs w:val="22"/>
              </w:rPr>
              <w:t xml:space="preserve">00 + </w:t>
            </w:r>
            <w:r w:rsidR="007468F9">
              <w:rPr>
                <w:szCs w:val="22"/>
              </w:rPr>
              <w:t>109,0</w:t>
            </w:r>
            <w:r>
              <w:rPr>
                <w:szCs w:val="22"/>
              </w:rPr>
              <w:t xml:space="preserve">00) of bidding eligibility.  If </w:t>
            </w:r>
            <w:r w:rsidR="007468F9">
              <w:rPr>
                <w:szCs w:val="22"/>
              </w:rPr>
              <w:t>a bidder</w:t>
            </w:r>
            <w:r>
              <w:rPr>
                <w:szCs w:val="22"/>
              </w:rPr>
              <w:t xml:space="preserve"> only wishes to bid on one, but not both, purchasing </w:t>
            </w:r>
            <w:r w:rsidR="007468F9">
              <w:rPr>
                <w:szCs w:val="22"/>
              </w:rPr>
              <w:t>212,0</w:t>
            </w:r>
            <w:r>
              <w:rPr>
                <w:szCs w:val="22"/>
              </w:rPr>
              <w:t xml:space="preserve">00 bidding units would meet the eligibility requirement for either </w:t>
            </w:r>
            <w:r w:rsidR="00143362">
              <w:rPr>
                <w:szCs w:val="22"/>
              </w:rPr>
              <w:t>license</w:t>
            </w:r>
            <w:r>
              <w:rPr>
                <w:szCs w:val="22"/>
              </w:rPr>
              <w:t xml:space="preserve">.  The bidder would be able to bid on either </w:t>
            </w:r>
            <w:r w:rsidR="00143362">
              <w:rPr>
                <w:szCs w:val="22"/>
              </w:rPr>
              <w:t>license</w:t>
            </w:r>
            <w:r>
              <w:rPr>
                <w:szCs w:val="22"/>
              </w:rPr>
              <w:t>, but not both at the same time.</w:t>
            </w:r>
            <w:r w:rsidR="007468F9">
              <w:rPr>
                <w:szCs w:val="22"/>
              </w:rPr>
              <w:t xml:space="preserve">  If the bidder purchased only 109,000 bidding units, it would have enough eligibility for the Champaign</w:t>
            </w:r>
            <w:r w:rsidR="00570F3B">
              <w:rPr>
                <w:szCs w:val="22"/>
              </w:rPr>
              <w:t>-Urbana license but not the State College license.</w:t>
            </w:r>
            <w:r>
              <w:rPr>
                <w:szCs w:val="22"/>
              </w:rPr>
              <w:t xml:space="preserve">  </w:t>
            </w:r>
          </w:p>
        </w:tc>
      </w:tr>
    </w:tbl>
    <w:p w:rsidR="008434F5" w:rsidRPr="00CA6286" w:rsidRDefault="008434F5" w:rsidP="00C07C81">
      <w:pPr>
        <w:widowControl/>
      </w:pPr>
    </w:p>
    <w:p w:rsidR="008434F5" w:rsidRPr="00AA2B80" w:rsidRDefault="007A4F71" w:rsidP="00C07C81">
      <w:pPr>
        <w:pStyle w:val="ParaNum"/>
        <w:widowControl/>
        <w:tabs>
          <w:tab w:val="clear" w:pos="1260"/>
          <w:tab w:val="left" w:pos="1440"/>
        </w:tabs>
        <w:ind w:left="0"/>
        <w:rPr>
          <w:szCs w:val="22"/>
        </w:rPr>
      </w:pPr>
      <w:r>
        <w:rPr>
          <w:szCs w:val="22"/>
        </w:rPr>
        <w:t>If an applicant is a f</w:t>
      </w:r>
      <w:r w:rsidR="000617D4" w:rsidRPr="000C360D">
        <w:rPr>
          <w:szCs w:val="22"/>
        </w:rPr>
        <w:t xml:space="preserve">ormer </w:t>
      </w:r>
      <w:r w:rsidR="002534A2" w:rsidRPr="000C360D">
        <w:rPr>
          <w:szCs w:val="22"/>
        </w:rPr>
        <w:t>defaulter</w:t>
      </w:r>
      <w:r>
        <w:rPr>
          <w:szCs w:val="22"/>
        </w:rPr>
        <w:t>, it</w:t>
      </w:r>
      <w:r w:rsidR="002534A2" w:rsidRPr="000C360D">
        <w:rPr>
          <w:szCs w:val="22"/>
        </w:rPr>
        <w:t xml:space="preserve"> must</w:t>
      </w:r>
      <w:r w:rsidR="008434F5" w:rsidRPr="000C360D">
        <w:rPr>
          <w:szCs w:val="22"/>
        </w:rPr>
        <w:t xml:space="preserve"> calculate </w:t>
      </w:r>
      <w:r>
        <w:rPr>
          <w:szCs w:val="22"/>
        </w:rPr>
        <w:t>its</w:t>
      </w:r>
      <w:r w:rsidRPr="000C360D">
        <w:rPr>
          <w:szCs w:val="22"/>
        </w:rPr>
        <w:t xml:space="preserve"> </w:t>
      </w:r>
      <w:r w:rsidR="008434F5" w:rsidRPr="000C360D">
        <w:rPr>
          <w:szCs w:val="22"/>
        </w:rPr>
        <w:t xml:space="preserve">upfront payment </w:t>
      </w:r>
      <w:r w:rsidR="008434F5" w:rsidRPr="001F60FA">
        <w:rPr>
          <w:szCs w:val="22"/>
        </w:rPr>
        <w:t xml:space="preserve">for all </w:t>
      </w:r>
      <w:r w:rsidR="00C739B8" w:rsidRPr="001F60FA">
        <w:rPr>
          <w:szCs w:val="22"/>
        </w:rPr>
        <w:t xml:space="preserve">of its </w:t>
      </w:r>
      <w:r w:rsidR="00DB1D50">
        <w:rPr>
          <w:szCs w:val="22"/>
        </w:rPr>
        <w:t>identified</w:t>
      </w:r>
      <w:r w:rsidR="00C739B8" w:rsidRPr="00AA2B80">
        <w:rPr>
          <w:szCs w:val="22"/>
        </w:rPr>
        <w:t xml:space="preserve"> </w:t>
      </w:r>
      <w:r w:rsidR="00143362">
        <w:rPr>
          <w:szCs w:val="22"/>
        </w:rPr>
        <w:t>licenses</w:t>
      </w:r>
      <w:r w:rsidR="008434F5" w:rsidRPr="00AA2B80">
        <w:rPr>
          <w:szCs w:val="22"/>
        </w:rPr>
        <w:t xml:space="preserve"> by multiplying the number of bidding units on which </w:t>
      </w:r>
      <w:r w:rsidRPr="00AA2B80">
        <w:rPr>
          <w:szCs w:val="22"/>
        </w:rPr>
        <w:t xml:space="preserve">it </w:t>
      </w:r>
      <w:r w:rsidR="008434F5" w:rsidRPr="00AA2B80">
        <w:rPr>
          <w:szCs w:val="22"/>
        </w:rPr>
        <w:t>wish</w:t>
      </w:r>
      <w:r w:rsidRPr="00AA2B80">
        <w:rPr>
          <w:szCs w:val="22"/>
        </w:rPr>
        <w:t>es</w:t>
      </w:r>
      <w:r w:rsidR="008434F5" w:rsidRPr="00AA2B80">
        <w:rPr>
          <w:szCs w:val="22"/>
        </w:rPr>
        <w:t xml:space="preserve"> to be active by 1.5.</w:t>
      </w:r>
      <w:r w:rsidR="008434F5" w:rsidRPr="00AA2B80">
        <w:rPr>
          <w:rStyle w:val="FootnoteReference"/>
          <w:szCs w:val="22"/>
        </w:rPr>
        <w:footnoteReference w:id="170"/>
      </w:r>
      <w:r w:rsidR="008434F5" w:rsidRPr="00AA2B80">
        <w:rPr>
          <w:szCs w:val="22"/>
        </w:rPr>
        <w:t xml:space="preserve">  In order to calculate the number of bidding units to assign to former defaulters, the Commission will divide the upfront payment received by 1.5 and round the result up to the nearest bidding unit.</w:t>
      </w:r>
      <w:r w:rsidR="003B1283" w:rsidRPr="00AA2B80">
        <w:rPr>
          <w:rStyle w:val="FootnoteReference"/>
          <w:szCs w:val="22"/>
        </w:rPr>
        <w:footnoteReference w:id="171"/>
      </w:r>
    </w:p>
    <w:p w:rsidR="00DB1D50" w:rsidRPr="00DB118D" w:rsidRDefault="00DB1D50" w:rsidP="00C07C81">
      <w:pPr>
        <w:pStyle w:val="Heading2"/>
        <w:widowControl/>
      </w:pPr>
      <w:bookmarkStart w:id="2508" w:name="_Toc254792605"/>
      <w:bookmarkStart w:id="2509" w:name="_Toc256669729"/>
      <w:bookmarkStart w:id="2510" w:name="_Toc257213262"/>
      <w:bookmarkStart w:id="2511" w:name="_Toc257277764"/>
      <w:bookmarkStart w:id="2512" w:name="_Toc257278725"/>
      <w:bookmarkStart w:id="2513" w:name="_Toc257278935"/>
      <w:bookmarkStart w:id="2514" w:name="_Toc257279303"/>
      <w:bookmarkStart w:id="2515" w:name="_Toc257382947"/>
      <w:bookmarkStart w:id="2516" w:name="_Toc274056204"/>
      <w:bookmarkStart w:id="2517" w:name="_Toc276657610"/>
      <w:bookmarkStart w:id="2518" w:name="_Toc278366456"/>
      <w:bookmarkStart w:id="2519" w:name="_Toc307584052"/>
      <w:bookmarkStart w:id="2520" w:name="_Toc307937326"/>
      <w:bookmarkStart w:id="2521" w:name="_Toc348508765"/>
      <w:bookmarkStart w:id="2522" w:name="_Toc362256771"/>
      <w:bookmarkStart w:id="2523" w:name="_Toc366056527"/>
      <w:bookmarkStart w:id="2524" w:name="_Toc366223730"/>
      <w:bookmarkStart w:id="2525" w:name="_Toc366229443"/>
      <w:bookmarkStart w:id="2526" w:name="_Toc366583487"/>
      <w:bookmarkStart w:id="2527" w:name="_Toc483218156"/>
      <w:bookmarkStart w:id="2528" w:name="_Toc109812256"/>
      <w:bookmarkStart w:id="2529" w:name="_Toc124844765"/>
      <w:bookmarkStart w:id="2530" w:name="_Toc124844893"/>
      <w:bookmarkStart w:id="2531" w:name="_Toc124845552"/>
      <w:bookmarkStart w:id="2532" w:name="_Toc124845820"/>
      <w:bookmarkStart w:id="2533" w:name="_Toc124845894"/>
      <w:bookmarkStart w:id="2534" w:name="_Toc124845968"/>
      <w:bookmarkStart w:id="2535" w:name="_Toc124846140"/>
      <w:bookmarkStart w:id="2536" w:name="_Toc124848263"/>
      <w:bookmarkStart w:id="2537" w:name="_Toc124907514"/>
      <w:bookmarkStart w:id="2538" w:name="_Toc129773479"/>
      <w:bookmarkStart w:id="2539" w:name="_Toc130210017"/>
      <w:bookmarkStart w:id="2540" w:name="_Toc130730946"/>
      <w:bookmarkStart w:id="2541" w:name="_Toc130814174"/>
      <w:bookmarkStart w:id="2542" w:name="_Toc130814496"/>
      <w:bookmarkStart w:id="2543" w:name="_Toc130814628"/>
      <w:bookmarkStart w:id="2544" w:name="_Toc130883511"/>
      <w:bookmarkStart w:id="2545" w:name="_Toc130885619"/>
      <w:bookmarkStart w:id="2546" w:name="_Toc131844598"/>
      <w:bookmarkStart w:id="2547" w:name="_Toc148330536"/>
      <w:bookmarkStart w:id="2548" w:name="_Toc148332137"/>
      <w:bookmarkStart w:id="2549" w:name="_Toc148332209"/>
      <w:bookmarkStart w:id="2550" w:name="_Toc148332283"/>
      <w:bookmarkStart w:id="2551" w:name="_Toc148332360"/>
      <w:bookmarkStart w:id="2552" w:name="_Toc148332437"/>
      <w:bookmarkStart w:id="2553" w:name="_Toc148332514"/>
      <w:bookmarkStart w:id="2554" w:name="_Toc148332589"/>
      <w:bookmarkStart w:id="2555" w:name="_Toc148332662"/>
      <w:bookmarkStart w:id="2556" w:name="_Toc148332758"/>
      <w:bookmarkStart w:id="2557" w:name="_Toc148332892"/>
      <w:bookmarkStart w:id="2558" w:name="_Toc148333094"/>
      <w:bookmarkStart w:id="2559" w:name="_Toc148333227"/>
      <w:bookmarkStart w:id="2560" w:name="_Toc148333646"/>
      <w:bookmarkStart w:id="2561" w:name="_Toc148334259"/>
      <w:bookmarkStart w:id="2562" w:name="_Toc148335773"/>
      <w:bookmarkStart w:id="2563" w:name="_Toc148336306"/>
      <w:bookmarkStart w:id="2564" w:name="_Toc148337747"/>
      <w:bookmarkStart w:id="2565" w:name="_Toc148338070"/>
      <w:bookmarkStart w:id="2566" w:name="_Toc148339780"/>
      <w:bookmarkStart w:id="2567" w:name="_Toc148339877"/>
      <w:bookmarkStart w:id="2568" w:name="_Toc149645585"/>
      <w:bookmarkStart w:id="2569" w:name="_Toc149997888"/>
      <w:bookmarkStart w:id="2570" w:name="_Toc158180765"/>
      <w:bookmarkStart w:id="2571" w:name="_Toc158785613"/>
      <w:bookmarkStart w:id="2572" w:name="_Toc178768516"/>
      <w:bookmarkStart w:id="2573" w:name="_Toc179195957"/>
      <w:bookmarkStart w:id="2574" w:name="_Toc179361901"/>
      <w:bookmarkStart w:id="2575" w:name="_Toc179363685"/>
      <w:bookmarkStart w:id="2576" w:name="_Toc197504941"/>
      <w:bookmarkStart w:id="2577" w:name="_Toc198007722"/>
      <w:bookmarkStart w:id="2578" w:name="_Toc198007873"/>
      <w:bookmarkStart w:id="2579" w:name="_Toc198008225"/>
      <w:bookmarkStart w:id="2580" w:name="_Toc198008362"/>
      <w:bookmarkStart w:id="2581" w:name="_Toc198008909"/>
      <w:bookmarkStart w:id="2582" w:name="_Toc198369805"/>
      <w:bookmarkStart w:id="2583" w:name="_Toc198369942"/>
      <w:bookmarkStart w:id="2584" w:name="_Toc198372854"/>
      <w:bookmarkStart w:id="2585" w:name="_Toc198372957"/>
      <w:bookmarkStart w:id="2586" w:name="_Toc198373087"/>
      <w:bookmarkStart w:id="2587" w:name="_Toc198373255"/>
      <w:bookmarkStart w:id="2588" w:name="_Toc198627169"/>
      <w:bookmarkStart w:id="2589" w:name="_Toc198627275"/>
      <w:bookmarkStart w:id="2590" w:name="_Toc216090734"/>
      <w:bookmarkStart w:id="2591" w:name="_Toc226958239"/>
      <w:bookmarkStart w:id="2592" w:name="_Toc227038299"/>
      <w:r w:rsidRPr="00DB118D">
        <w:t>Applicant’s Wire Transfer Information for Purposes of Refunds of Upfront Payments</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rsidR="00DB1D50" w:rsidRDefault="00DB1D50" w:rsidP="00C07C81">
      <w:pPr>
        <w:pStyle w:val="ParaNum"/>
        <w:widowControl/>
        <w:tabs>
          <w:tab w:val="clear" w:pos="1260"/>
          <w:tab w:val="left" w:pos="1440"/>
        </w:tabs>
        <w:ind w:left="0"/>
      </w:pPr>
      <w:r>
        <w:t xml:space="preserve">To ensure that refunds of upfront payments are processed in an expeditious manner, the Commission is requesting that all </w:t>
      </w:r>
      <w:r w:rsidRPr="00893034">
        <w:rPr>
          <w:szCs w:val="22"/>
        </w:rPr>
        <w:t>pertinent</w:t>
      </w:r>
      <w:r>
        <w:t xml:space="preserve"> information listed below be supplied.  Applicants can provide the information electronically during the initial short-form application filing window after the form has been submitted.  (Applicants are reminded that information submitted as part of an FCC Form 175 will be available to the public; for that reason, wire transfer information should not be included in an FCC Form 175.)  Wire Transfer Instructions can also be faxed to the FCC, Financial Operations, Auctions Accounting Group, Attn: Gail Glasser, at (202) 418-</w:t>
      </w:r>
      <w:r w:rsidR="007E794F">
        <w:t>2980</w:t>
      </w:r>
      <w:r>
        <w:t xml:space="preserve">.  Eligibility for refunds is discussed </w:t>
      </w:r>
      <w:r w:rsidRPr="00206CE7">
        <w:t>in Section V.</w:t>
      </w:r>
      <w:r w:rsidR="00C15957" w:rsidRPr="00206CE7" w:rsidDel="00C15957">
        <w:t xml:space="preserve"> </w:t>
      </w:r>
      <w:r w:rsidR="004256DA">
        <w:t>G</w:t>
      </w:r>
      <w:r w:rsidRPr="00206CE7">
        <w:t>., below.  All refunds will be returned to the pay</w:t>
      </w:r>
      <w:r w:rsidR="00AE01D7" w:rsidRPr="00206CE7">
        <w:t>e</w:t>
      </w:r>
      <w:r w:rsidRPr="00206CE7">
        <w:t>r of record as identified on the FCC Form 159 unless the pay</w:t>
      </w:r>
      <w:r w:rsidR="00AE01D7" w:rsidRPr="00206CE7">
        <w:t>e</w:t>
      </w:r>
      <w:r w:rsidRPr="00206CE7">
        <w:t>r submits written authorization instructing otherwise.  For additional information, please</w:t>
      </w:r>
      <w:r>
        <w:t xml:space="preserve"> call Gail Glasser at (202) 418-0578.</w:t>
      </w:r>
      <w:r w:rsidRPr="00DB1D50">
        <w:t xml:space="preserve"> </w:t>
      </w:r>
    </w:p>
    <w:p w:rsidR="00DB1D50" w:rsidRDefault="00DB1D50" w:rsidP="00275377">
      <w:pPr>
        <w:widowControl/>
        <w:ind w:left="2520"/>
        <w:jc w:val="both"/>
        <w:rPr>
          <w:szCs w:val="22"/>
        </w:rPr>
      </w:pPr>
      <w:r>
        <w:rPr>
          <w:szCs w:val="22"/>
        </w:rPr>
        <w:t>Name of Bank</w:t>
      </w:r>
    </w:p>
    <w:p w:rsidR="00DB1D50" w:rsidRDefault="00DB1D50" w:rsidP="00275377">
      <w:pPr>
        <w:widowControl/>
        <w:ind w:left="2520"/>
        <w:jc w:val="both"/>
        <w:rPr>
          <w:szCs w:val="22"/>
        </w:rPr>
      </w:pPr>
      <w:r>
        <w:rPr>
          <w:szCs w:val="22"/>
        </w:rPr>
        <w:t>ABA Number</w:t>
      </w:r>
    </w:p>
    <w:p w:rsidR="00DB1D50" w:rsidRDefault="00DB1D50" w:rsidP="00275377">
      <w:pPr>
        <w:widowControl/>
        <w:ind w:left="2520"/>
        <w:jc w:val="both"/>
        <w:rPr>
          <w:szCs w:val="22"/>
        </w:rPr>
      </w:pPr>
      <w:r>
        <w:rPr>
          <w:szCs w:val="22"/>
        </w:rPr>
        <w:t>Address of Bank</w:t>
      </w:r>
    </w:p>
    <w:p w:rsidR="00DB1D50" w:rsidRDefault="00DB1D50" w:rsidP="00275377">
      <w:pPr>
        <w:widowControl/>
        <w:ind w:left="2520"/>
        <w:jc w:val="both"/>
        <w:rPr>
          <w:szCs w:val="22"/>
        </w:rPr>
      </w:pPr>
      <w:r w:rsidRPr="00DF7948">
        <w:rPr>
          <w:szCs w:val="22"/>
        </w:rPr>
        <w:t xml:space="preserve">Contact and </w:t>
      </w:r>
      <w:r w:rsidR="00160A48">
        <w:rPr>
          <w:szCs w:val="22"/>
        </w:rPr>
        <w:t>P</w:t>
      </w:r>
      <w:r w:rsidRPr="00DF7948">
        <w:rPr>
          <w:szCs w:val="22"/>
        </w:rPr>
        <w:t>hone Number</w:t>
      </w:r>
    </w:p>
    <w:p w:rsidR="00DB1D50" w:rsidRDefault="00DB1D50" w:rsidP="00275377">
      <w:pPr>
        <w:widowControl/>
        <w:ind w:left="2520"/>
        <w:jc w:val="both"/>
        <w:rPr>
          <w:szCs w:val="22"/>
        </w:rPr>
      </w:pPr>
      <w:r>
        <w:rPr>
          <w:szCs w:val="22"/>
        </w:rPr>
        <w:t>Account Number to Credit</w:t>
      </w:r>
    </w:p>
    <w:p w:rsidR="00DB1D50" w:rsidRDefault="00DB1D50" w:rsidP="00275377">
      <w:pPr>
        <w:widowControl/>
        <w:ind w:left="2520"/>
        <w:jc w:val="both"/>
        <w:rPr>
          <w:szCs w:val="22"/>
        </w:rPr>
      </w:pPr>
      <w:r>
        <w:rPr>
          <w:szCs w:val="22"/>
        </w:rPr>
        <w:t>Name of Account Holder</w:t>
      </w:r>
    </w:p>
    <w:p w:rsidR="00DB1D50" w:rsidRDefault="00DB1D50" w:rsidP="00275377">
      <w:pPr>
        <w:widowControl/>
        <w:ind w:left="2520"/>
        <w:jc w:val="both"/>
        <w:rPr>
          <w:szCs w:val="22"/>
        </w:rPr>
      </w:pPr>
      <w:r>
        <w:rPr>
          <w:szCs w:val="22"/>
        </w:rPr>
        <w:t>FCC Registration Number (FRN)</w:t>
      </w:r>
    </w:p>
    <w:p w:rsidR="00DB1D50" w:rsidRDefault="00DB1D50" w:rsidP="00275377">
      <w:pPr>
        <w:widowControl/>
        <w:ind w:left="2520"/>
        <w:jc w:val="both"/>
        <w:rPr>
          <w:szCs w:val="22"/>
        </w:rPr>
      </w:pPr>
      <w:r>
        <w:rPr>
          <w:szCs w:val="22"/>
        </w:rPr>
        <w:t>Correspondent Bank (if applicable)</w:t>
      </w:r>
    </w:p>
    <w:p w:rsidR="00DB1D50" w:rsidRDefault="00DB1D50" w:rsidP="00275377">
      <w:pPr>
        <w:widowControl/>
        <w:ind w:left="2520"/>
        <w:jc w:val="both"/>
        <w:rPr>
          <w:szCs w:val="22"/>
        </w:rPr>
      </w:pPr>
      <w:r>
        <w:rPr>
          <w:szCs w:val="22"/>
        </w:rPr>
        <w:t>ABA Number</w:t>
      </w:r>
    </w:p>
    <w:p w:rsidR="00DB1D50" w:rsidRPr="00DB1D50" w:rsidRDefault="00DB1D50" w:rsidP="00275377">
      <w:pPr>
        <w:widowControl/>
        <w:spacing w:after="240"/>
        <w:ind w:left="2520"/>
      </w:pPr>
      <w:r>
        <w:t>Account Numbe</w:t>
      </w:r>
      <w:r w:rsidR="00FC71A7">
        <w:t>r</w:t>
      </w:r>
    </w:p>
    <w:p w:rsidR="008434F5" w:rsidRPr="00AA2B80" w:rsidRDefault="008434F5" w:rsidP="00C07C81">
      <w:pPr>
        <w:pStyle w:val="Heading2"/>
        <w:widowControl/>
      </w:pPr>
      <w:bookmarkStart w:id="2593" w:name="_Toc254792606"/>
      <w:bookmarkStart w:id="2594" w:name="_Toc256669730"/>
      <w:bookmarkStart w:id="2595" w:name="_Toc257213263"/>
      <w:bookmarkStart w:id="2596" w:name="_Toc257277765"/>
      <w:bookmarkStart w:id="2597" w:name="_Toc257278726"/>
      <w:bookmarkStart w:id="2598" w:name="_Toc257278936"/>
      <w:bookmarkStart w:id="2599" w:name="_Toc257279304"/>
      <w:bookmarkStart w:id="2600" w:name="_Toc257382948"/>
      <w:bookmarkStart w:id="2601" w:name="_Toc274056205"/>
      <w:bookmarkStart w:id="2602" w:name="_Toc276657611"/>
      <w:bookmarkStart w:id="2603" w:name="_Toc278366457"/>
      <w:bookmarkStart w:id="2604" w:name="_Toc307584053"/>
      <w:bookmarkStart w:id="2605" w:name="_Toc307937327"/>
      <w:bookmarkStart w:id="2606" w:name="_Toc348508766"/>
      <w:bookmarkStart w:id="2607" w:name="_Toc362256772"/>
      <w:bookmarkStart w:id="2608" w:name="_Toc366056528"/>
      <w:bookmarkStart w:id="2609" w:name="_Toc366223731"/>
      <w:bookmarkStart w:id="2610" w:name="_Toc366229444"/>
      <w:bookmarkStart w:id="2611" w:name="_Toc366583488"/>
      <w:r w:rsidRPr="00AA2B80">
        <w:t>Auction Registration</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rsidR="008434F5" w:rsidRPr="002774E9" w:rsidRDefault="008434F5" w:rsidP="00C07C81">
      <w:pPr>
        <w:pStyle w:val="ParaNum"/>
        <w:widowControl/>
        <w:tabs>
          <w:tab w:val="clear" w:pos="1260"/>
          <w:tab w:val="left" w:pos="1440"/>
        </w:tabs>
        <w:ind w:left="0"/>
        <w:rPr>
          <w:szCs w:val="22"/>
        </w:rPr>
      </w:pPr>
      <w:r w:rsidRPr="00AA2B80">
        <w:rPr>
          <w:szCs w:val="22"/>
        </w:rPr>
        <w:t xml:space="preserve">Approximately ten days before the auction, the </w:t>
      </w:r>
      <w:r w:rsidR="007B590B" w:rsidRPr="00AA2B80">
        <w:rPr>
          <w:szCs w:val="22"/>
        </w:rPr>
        <w:t>Bureau</w:t>
      </w:r>
      <w:r w:rsidRPr="00AA2B80">
        <w:rPr>
          <w:szCs w:val="22"/>
        </w:rPr>
        <w:t xml:space="preserve"> will issue a public notice announcing all </w:t>
      </w:r>
      <w:r w:rsidRPr="002774E9">
        <w:rPr>
          <w:szCs w:val="22"/>
        </w:rPr>
        <w:t xml:space="preserve">qualified bidders for </w:t>
      </w:r>
      <w:r w:rsidR="001E3F8D" w:rsidRPr="002774E9">
        <w:rPr>
          <w:szCs w:val="22"/>
        </w:rPr>
        <w:t>the a</w:t>
      </w:r>
      <w:r w:rsidRPr="002774E9">
        <w:rPr>
          <w:szCs w:val="22"/>
        </w:rPr>
        <w:t xml:space="preserve">uction.  Qualified bidders are those applicants </w:t>
      </w:r>
      <w:r w:rsidR="007B34BD" w:rsidRPr="002774E9">
        <w:rPr>
          <w:szCs w:val="22"/>
        </w:rPr>
        <w:t xml:space="preserve">with submitted </w:t>
      </w:r>
      <w:r w:rsidR="004169A3">
        <w:rPr>
          <w:szCs w:val="22"/>
        </w:rPr>
        <w:t>short-form</w:t>
      </w:r>
      <w:r w:rsidR="00020D04" w:rsidRPr="002774E9">
        <w:rPr>
          <w:szCs w:val="22"/>
        </w:rPr>
        <w:t xml:space="preserve"> applications</w:t>
      </w:r>
      <w:r w:rsidRPr="002774E9">
        <w:rPr>
          <w:szCs w:val="22"/>
        </w:rPr>
        <w:t xml:space="preserve"> </w:t>
      </w:r>
      <w:r w:rsidR="007B34BD" w:rsidRPr="002774E9">
        <w:rPr>
          <w:szCs w:val="22"/>
        </w:rPr>
        <w:t xml:space="preserve">that are deemed </w:t>
      </w:r>
      <w:r w:rsidR="0085441E" w:rsidRPr="002774E9">
        <w:rPr>
          <w:szCs w:val="22"/>
        </w:rPr>
        <w:t>timely-filed, accurate</w:t>
      </w:r>
      <w:r w:rsidR="00A219B1" w:rsidRPr="002774E9">
        <w:rPr>
          <w:szCs w:val="22"/>
        </w:rPr>
        <w:t>,</w:t>
      </w:r>
      <w:r w:rsidR="0085441E" w:rsidRPr="002774E9">
        <w:rPr>
          <w:szCs w:val="22"/>
        </w:rPr>
        <w:t xml:space="preserve"> and </w:t>
      </w:r>
      <w:r w:rsidR="007B34BD" w:rsidRPr="002774E9">
        <w:rPr>
          <w:szCs w:val="22"/>
        </w:rPr>
        <w:t>complete</w:t>
      </w:r>
      <w:r w:rsidR="00061BF3" w:rsidRPr="002774E9">
        <w:rPr>
          <w:szCs w:val="22"/>
        </w:rPr>
        <w:t xml:space="preserve">, provided that such applicants have </w:t>
      </w:r>
      <w:r w:rsidR="00C739B8" w:rsidRPr="002774E9">
        <w:rPr>
          <w:szCs w:val="22"/>
        </w:rPr>
        <w:t xml:space="preserve">timely </w:t>
      </w:r>
      <w:r w:rsidR="001F6C9F" w:rsidRPr="002774E9">
        <w:rPr>
          <w:szCs w:val="22"/>
        </w:rPr>
        <w:t xml:space="preserve">submitted </w:t>
      </w:r>
      <w:r w:rsidR="00061BF3" w:rsidRPr="002774E9">
        <w:rPr>
          <w:szCs w:val="22"/>
        </w:rPr>
        <w:t xml:space="preserve">an </w:t>
      </w:r>
      <w:r w:rsidRPr="002774E9">
        <w:rPr>
          <w:szCs w:val="22"/>
        </w:rPr>
        <w:t xml:space="preserve">upfront payment </w:t>
      </w:r>
      <w:r w:rsidR="00061BF3" w:rsidRPr="002774E9">
        <w:rPr>
          <w:szCs w:val="22"/>
        </w:rPr>
        <w:t>that is</w:t>
      </w:r>
      <w:r w:rsidR="007B34BD" w:rsidRPr="002774E9">
        <w:rPr>
          <w:szCs w:val="22"/>
        </w:rPr>
        <w:t xml:space="preserve"> </w:t>
      </w:r>
      <w:r w:rsidRPr="002774E9">
        <w:rPr>
          <w:szCs w:val="22"/>
        </w:rPr>
        <w:t xml:space="preserve">sufficient to </w:t>
      </w:r>
      <w:r w:rsidR="001F6C9F" w:rsidRPr="002774E9">
        <w:rPr>
          <w:szCs w:val="22"/>
        </w:rPr>
        <w:t>qualify</w:t>
      </w:r>
      <w:r w:rsidRPr="002774E9">
        <w:rPr>
          <w:szCs w:val="22"/>
        </w:rPr>
        <w:t xml:space="preserve"> them to bid.</w:t>
      </w:r>
    </w:p>
    <w:p w:rsidR="008434F5" w:rsidRPr="001C2E9C" w:rsidRDefault="008434F5" w:rsidP="00C07C81">
      <w:pPr>
        <w:pStyle w:val="ParaNum"/>
        <w:widowControl/>
        <w:tabs>
          <w:tab w:val="clear" w:pos="1260"/>
          <w:tab w:val="left" w:pos="1440"/>
        </w:tabs>
        <w:ind w:left="0"/>
        <w:rPr>
          <w:szCs w:val="22"/>
        </w:rPr>
      </w:pPr>
      <w:r w:rsidRPr="002774E9">
        <w:rPr>
          <w:szCs w:val="22"/>
        </w:rPr>
        <w:t xml:space="preserve">All qualified bidders are automatically registered for the auction.  Registration materials will be distributed prior to the auction by overnight mail.  The mailing will be sent only to the contact person at the contact address listed in the </w:t>
      </w:r>
      <w:r w:rsidR="00020D04" w:rsidRPr="002774E9">
        <w:rPr>
          <w:szCs w:val="22"/>
        </w:rPr>
        <w:t>FCC Form 175</w:t>
      </w:r>
      <w:r w:rsidRPr="002774E9">
        <w:rPr>
          <w:szCs w:val="22"/>
        </w:rPr>
        <w:t xml:space="preserve"> and will include the SecurID</w:t>
      </w:r>
      <w:r w:rsidR="00836F8E" w:rsidRPr="002774E9">
        <w:rPr>
          <w:szCs w:val="22"/>
          <w:vertAlign w:val="superscript"/>
        </w:rPr>
        <w:t>®</w:t>
      </w:r>
      <w:r w:rsidRPr="002774E9">
        <w:rPr>
          <w:szCs w:val="22"/>
        </w:rPr>
        <w:t xml:space="preserve"> </w:t>
      </w:r>
      <w:r w:rsidR="004E5EDE" w:rsidRPr="002774E9">
        <w:rPr>
          <w:szCs w:val="22"/>
        </w:rPr>
        <w:t>token</w:t>
      </w:r>
      <w:r w:rsidRPr="002774E9">
        <w:rPr>
          <w:szCs w:val="22"/>
        </w:rPr>
        <w:t>s that</w:t>
      </w:r>
      <w:r w:rsidRPr="001C2E9C">
        <w:rPr>
          <w:szCs w:val="22"/>
        </w:rPr>
        <w:t xml:space="preserve"> will be required to place bids, the </w:t>
      </w:r>
      <w:r w:rsidR="00981EA6">
        <w:rPr>
          <w:szCs w:val="22"/>
        </w:rPr>
        <w:t>“</w:t>
      </w:r>
      <w:r w:rsidRPr="001C2E9C">
        <w:rPr>
          <w:szCs w:val="22"/>
        </w:rPr>
        <w:t>Integrated Spectrum Auction System (ISAS) Bidder’s Guide,</w:t>
      </w:r>
      <w:r w:rsidR="00981EA6">
        <w:rPr>
          <w:szCs w:val="22"/>
        </w:rPr>
        <w:t>”</w:t>
      </w:r>
      <w:r w:rsidRPr="001C2E9C">
        <w:rPr>
          <w:szCs w:val="22"/>
        </w:rPr>
        <w:t xml:space="preserve"> and the Auction Bidder Line phone number.</w:t>
      </w:r>
    </w:p>
    <w:p w:rsidR="008434F5" w:rsidRPr="001C2E9C" w:rsidRDefault="008434F5" w:rsidP="00C07C81">
      <w:pPr>
        <w:pStyle w:val="ParaNum"/>
        <w:widowControl/>
        <w:tabs>
          <w:tab w:val="clear" w:pos="1260"/>
          <w:tab w:val="left" w:pos="1440"/>
        </w:tabs>
        <w:ind w:left="0"/>
        <w:rPr>
          <w:szCs w:val="22"/>
        </w:rPr>
      </w:pPr>
      <w:r w:rsidRPr="001C2E9C">
        <w:rPr>
          <w:szCs w:val="22"/>
        </w:rPr>
        <w:t xml:space="preserve">Qualified bidders that do not receive this registration mailing will not be able to submit bids.  Therefore, </w:t>
      </w:r>
      <w:r w:rsidR="00804AEE">
        <w:rPr>
          <w:szCs w:val="22"/>
        </w:rPr>
        <w:t xml:space="preserve">if </w:t>
      </w:r>
      <w:r w:rsidRPr="001C2E9C">
        <w:rPr>
          <w:szCs w:val="22"/>
        </w:rPr>
        <w:t xml:space="preserve">this mailing </w:t>
      </w:r>
      <w:r w:rsidR="00804AEE">
        <w:rPr>
          <w:szCs w:val="22"/>
        </w:rPr>
        <w:t xml:space="preserve">is not received </w:t>
      </w:r>
      <w:r w:rsidRPr="001C2E9C">
        <w:rPr>
          <w:szCs w:val="22"/>
        </w:rPr>
        <w:t xml:space="preserve">by noon </w:t>
      </w:r>
      <w:r w:rsidRPr="0023256E">
        <w:rPr>
          <w:szCs w:val="22"/>
        </w:rPr>
        <w:t xml:space="preserve">on </w:t>
      </w:r>
      <w:r w:rsidR="00FF1EEA">
        <w:rPr>
          <w:szCs w:val="22"/>
        </w:rPr>
        <w:t>Wednesday</w:t>
      </w:r>
      <w:r w:rsidR="00A3408A" w:rsidRPr="0023256E">
        <w:rPr>
          <w:szCs w:val="22"/>
        </w:rPr>
        <w:t xml:space="preserve">, </w:t>
      </w:r>
      <w:r w:rsidR="00217EE2">
        <w:rPr>
          <w:szCs w:val="22"/>
        </w:rPr>
        <w:t>J</w:t>
      </w:r>
      <w:r w:rsidR="00570F3B">
        <w:rPr>
          <w:szCs w:val="22"/>
        </w:rPr>
        <w:t>anuar</w:t>
      </w:r>
      <w:r w:rsidR="00217EE2">
        <w:rPr>
          <w:szCs w:val="22"/>
        </w:rPr>
        <w:t xml:space="preserve">y </w:t>
      </w:r>
      <w:r w:rsidR="00570F3B">
        <w:rPr>
          <w:szCs w:val="22"/>
        </w:rPr>
        <w:t>8</w:t>
      </w:r>
      <w:r w:rsidR="00A3408A" w:rsidRPr="0023256E">
        <w:rPr>
          <w:szCs w:val="22"/>
        </w:rPr>
        <w:t>, 20</w:t>
      </w:r>
      <w:r w:rsidR="00085620" w:rsidRPr="0023256E">
        <w:rPr>
          <w:szCs w:val="22"/>
        </w:rPr>
        <w:t>1</w:t>
      </w:r>
      <w:r w:rsidR="001342BB">
        <w:rPr>
          <w:szCs w:val="22"/>
        </w:rPr>
        <w:t>4</w:t>
      </w:r>
      <w:r w:rsidRPr="0023256E">
        <w:rPr>
          <w:szCs w:val="22"/>
        </w:rPr>
        <w:t xml:space="preserve">, call </w:t>
      </w:r>
      <w:r w:rsidR="00CD2338" w:rsidRPr="0023256E">
        <w:rPr>
          <w:szCs w:val="22"/>
        </w:rPr>
        <w:t>the</w:t>
      </w:r>
      <w:r w:rsidR="00CD2338">
        <w:rPr>
          <w:szCs w:val="22"/>
        </w:rPr>
        <w:t xml:space="preserve"> Auctions Hotline at </w:t>
      </w:r>
      <w:r w:rsidRPr="00D25662">
        <w:rPr>
          <w:szCs w:val="22"/>
        </w:rPr>
        <w:t>(717) 338-2868.  Receipt of this registration mailing is critical to participating in the auction, and each applicant is responsible for ensuring it has received all of the registration material</w:t>
      </w:r>
      <w:r w:rsidRPr="001C2E9C">
        <w:rPr>
          <w:szCs w:val="22"/>
        </w:rPr>
        <w:t>.</w:t>
      </w:r>
    </w:p>
    <w:p w:rsidR="008434F5" w:rsidRPr="001C2E9C" w:rsidRDefault="008434F5" w:rsidP="00C07C81">
      <w:pPr>
        <w:pStyle w:val="ParaNum"/>
        <w:widowControl/>
        <w:tabs>
          <w:tab w:val="clear" w:pos="1260"/>
          <w:tab w:val="left" w:pos="1440"/>
        </w:tabs>
        <w:ind w:left="0"/>
        <w:rPr>
          <w:szCs w:val="22"/>
        </w:rPr>
      </w:pPr>
      <w:r w:rsidRPr="001C2E9C">
        <w:rPr>
          <w:szCs w:val="22"/>
        </w:rPr>
        <w:t>In the event that SecurID</w:t>
      </w:r>
      <w:r w:rsidRPr="00CA6286">
        <w:rPr>
          <w:szCs w:val="22"/>
          <w:vertAlign w:val="superscript"/>
        </w:rPr>
        <w:t>®</w:t>
      </w:r>
      <w:r w:rsidRPr="001C2E9C">
        <w:rPr>
          <w:szCs w:val="22"/>
        </w:rPr>
        <w:t xml:space="preserve"> </w:t>
      </w:r>
      <w:r w:rsidR="004E5EDE" w:rsidRPr="001C2E9C">
        <w:rPr>
          <w:szCs w:val="22"/>
        </w:rPr>
        <w:t>token</w:t>
      </w:r>
      <w:r w:rsidRPr="001C2E9C">
        <w:rPr>
          <w:szCs w:val="22"/>
        </w:rPr>
        <w:t>s are lost or damaged, only a person who has been designated as an authorized bidder, the contact person, or the certifying official on the applicant’s short-form application may request replacement</w:t>
      </w:r>
      <w:r w:rsidR="00610458" w:rsidRPr="001C2E9C">
        <w:rPr>
          <w:szCs w:val="22"/>
        </w:rPr>
        <w:t>s</w:t>
      </w:r>
      <w:r w:rsidRPr="001C2E9C">
        <w:rPr>
          <w:szCs w:val="22"/>
        </w:rPr>
        <w:t xml:space="preserve">.  </w:t>
      </w:r>
      <w:r w:rsidR="00CD2338">
        <w:rPr>
          <w:szCs w:val="22"/>
        </w:rPr>
        <w:t xml:space="preserve">To request </w:t>
      </w:r>
      <w:r w:rsidRPr="001C2E9C">
        <w:rPr>
          <w:szCs w:val="22"/>
        </w:rPr>
        <w:t>replacement of these items</w:t>
      </w:r>
      <w:r w:rsidR="00CD2338">
        <w:rPr>
          <w:szCs w:val="22"/>
        </w:rPr>
        <w:t xml:space="preserve">, </w:t>
      </w:r>
      <w:r w:rsidRPr="001C2E9C">
        <w:rPr>
          <w:szCs w:val="22"/>
        </w:rPr>
        <w:t>call Technical Support at (877) 480-3201, option nine; (202) 414-1250; or (202) 414-1255 (TTY).</w:t>
      </w:r>
    </w:p>
    <w:p w:rsidR="008434F5" w:rsidRPr="001C2E9C" w:rsidRDefault="008434F5" w:rsidP="00C07C81">
      <w:pPr>
        <w:pStyle w:val="Heading2"/>
        <w:widowControl/>
      </w:pPr>
      <w:bookmarkStart w:id="2612" w:name="_Toc483218157"/>
      <w:bookmarkStart w:id="2613" w:name="_Toc109812257"/>
      <w:bookmarkStart w:id="2614" w:name="_Toc124844766"/>
      <w:bookmarkStart w:id="2615" w:name="_Toc124844894"/>
      <w:bookmarkStart w:id="2616" w:name="_Toc124845553"/>
      <w:bookmarkStart w:id="2617" w:name="_Toc124845821"/>
      <w:bookmarkStart w:id="2618" w:name="_Toc124845895"/>
      <w:bookmarkStart w:id="2619" w:name="_Toc124845969"/>
      <w:bookmarkStart w:id="2620" w:name="_Toc124846141"/>
      <w:bookmarkStart w:id="2621" w:name="_Toc124848264"/>
      <w:bookmarkStart w:id="2622" w:name="_Toc124907515"/>
      <w:bookmarkStart w:id="2623" w:name="_Toc129773480"/>
      <w:bookmarkStart w:id="2624" w:name="_Toc130210018"/>
      <w:bookmarkStart w:id="2625" w:name="_Toc130730947"/>
      <w:bookmarkStart w:id="2626" w:name="_Toc130814175"/>
      <w:bookmarkStart w:id="2627" w:name="_Toc130814497"/>
      <w:bookmarkStart w:id="2628" w:name="_Toc130814629"/>
      <w:bookmarkStart w:id="2629" w:name="_Toc130883512"/>
      <w:bookmarkStart w:id="2630" w:name="_Toc130885620"/>
      <w:bookmarkStart w:id="2631" w:name="_Toc131844599"/>
      <w:bookmarkStart w:id="2632" w:name="_Toc148330537"/>
      <w:bookmarkStart w:id="2633" w:name="_Toc148332138"/>
      <w:bookmarkStart w:id="2634" w:name="_Toc148332210"/>
      <w:bookmarkStart w:id="2635" w:name="_Toc148332284"/>
      <w:bookmarkStart w:id="2636" w:name="_Toc148332361"/>
      <w:bookmarkStart w:id="2637" w:name="_Toc148332438"/>
      <w:bookmarkStart w:id="2638" w:name="_Toc148332515"/>
      <w:bookmarkStart w:id="2639" w:name="_Toc148332590"/>
      <w:bookmarkStart w:id="2640" w:name="_Toc148332663"/>
      <w:bookmarkStart w:id="2641" w:name="_Toc148332759"/>
      <w:bookmarkStart w:id="2642" w:name="_Toc148332893"/>
      <w:bookmarkStart w:id="2643" w:name="_Toc148333095"/>
      <w:bookmarkStart w:id="2644" w:name="_Toc148333228"/>
      <w:bookmarkStart w:id="2645" w:name="_Toc148333647"/>
      <w:bookmarkStart w:id="2646" w:name="_Toc148334260"/>
      <w:bookmarkStart w:id="2647" w:name="_Toc148335774"/>
      <w:bookmarkStart w:id="2648" w:name="_Toc148336307"/>
      <w:bookmarkStart w:id="2649" w:name="_Toc148337748"/>
      <w:bookmarkStart w:id="2650" w:name="_Toc148338071"/>
      <w:bookmarkStart w:id="2651" w:name="_Toc148339781"/>
      <w:bookmarkStart w:id="2652" w:name="_Toc148339878"/>
      <w:bookmarkStart w:id="2653" w:name="_Toc149645586"/>
      <w:bookmarkStart w:id="2654" w:name="_Toc149997889"/>
      <w:bookmarkStart w:id="2655" w:name="_Toc158180766"/>
      <w:bookmarkStart w:id="2656" w:name="_Toc158785614"/>
      <w:bookmarkStart w:id="2657" w:name="_Toc178768517"/>
      <w:bookmarkStart w:id="2658" w:name="_Toc179195958"/>
      <w:bookmarkStart w:id="2659" w:name="_Toc179361902"/>
      <w:bookmarkStart w:id="2660" w:name="_Toc179363686"/>
      <w:bookmarkStart w:id="2661" w:name="_Toc197504942"/>
      <w:bookmarkStart w:id="2662" w:name="_Toc198007723"/>
      <w:bookmarkStart w:id="2663" w:name="_Toc198007874"/>
      <w:bookmarkStart w:id="2664" w:name="_Toc198008226"/>
      <w:bookmarkStart w:id="2665" w:name="_Toc198008363"/>
      <w:bookmarkStart w:id="2666" w:name="_Toc198008910"/>
      <w:bookmarkStart w:id="2667" w:name="_Toc198369806"/>
      <w:bookmarkStart w:id="2668" w:name="_Toc198369943"/>
      <w:bookmarkStart w:id="2669" w:name="_Toc198372855"/>
      <w:bookmarkStart w:id="2670" w:name="_Toc198372958"/>
      <w:bookmarkStart w:id="2671" w:name="_Toc198373088"/>
      <w:bookmarkStart w:id="2672" w:name="_Toc198373256"/>
      <w:bookmarkStart w:id="2673" w:name="_Toc198627170"/>
      <w:bookmarkStart w:id="2674" w:name="_Toc198627276"/>
      <w:bookmarkStart w:id="2675" w:name="_Toc216090735"/>
      <w:bookmarkStart w:id="2676" w:name="_Toc226958240"/>
      <w:bookmarkStart w:id="2677" w:name="_Toc227038300"/>
      <w:bookmarkStart w:id="2678" w:name="_Toc254792607"/>
      <w:bookmarkStart w:id="2679" w:name="_Toc256669731"/>
      <w:bookmarkStart w:id="2680" w:name="_Toc257213264"/>
      <w:bookmarkStart w:id="2681" w:name="_Toc257277766"/>
      <w:bookmarkStart w:id="2682" w:name="_Toc257278727"/>
      <w:bookmarkStart w:id="2683" w:name="_Toc257278937"/>
      <w:bookmarkStart w:id="2684" w:name="_Toc257279305"/>
      <w:bookmarkStart w:id="2685" w:name="_Toc257382949"/>
      <w:bookmarkStart w:id="2686" w:name="_Toc274056206"/>
      <w:bookmarkStart w:id="2687" w:name="_Toc276657612"/>
      <w:bookmarkStart w:id="2688" w:name="_Toc278366458"/>
      <w:bookmarkStart w:id="2689" w:name="_Toc307584054"/>
      <w:bookmarkStart w:id="2690" w:name="_Toc307937328"/>
      <w:bookmarkStart w:id="2691" w:name="_Toc348508767"/>
      <w:bookmarkStart w:id="2692" w:name="_Toc362256773"/>
      <w:bookmarkStart w:id="2693" w:name="_Toc366056529"/>
      <w:bookmarkStart w:id="2694" w:name="_Toc366223732"/>
      <w:bookmarkStart w:id="2695" w:name="_Toc366229445"/>
      <w:bookmarkStart w:id="2696" w:name="_Toc366583489"/>
      <w:r w:rsidRPr="001C2E9C">
        <w:t>Remote Electronic Bidding</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rsidR="008434F5" w:rsidRPr="001C2E9C" w:rsidRDefault="008434F5" w:rsidP="00C07C81">
      <w:pPr>
        <w:pStyle w:val="ParaNum"/>
        <w:widowControl/>
        <w:tabs>
          <w:tab w:val="clear" w:pos="1260"/>
          <w:tab w:val="left" w:pos="1440"/>
        </w:tabs>
        <w:ind w:left="0"/>
        <w:rPr>
          <w:szCs w:val="22"/>
        </w:rPr>
      </w:pPr>
      <w:r w:rsidRPr="001C2E9C">
        <w:rPr>
          <w:szCs w:val="22"/>
        </w:rPr>
        <w:t xml:space="preserve">The Commission will conduct </w:t>
      </w:r>
      <w:r w:rsidR="001E3F8D" w:rsidRPr="001C2E9C">
        <w:rPr>
          <w:szCs w:val="22"/>
        </w:rPr>
        <w:t>this auction</w:t>
      </w:r>
      <w:r w:rsidRPr="001C2E9C">
        <w:rPr>
          <w:szCs w:val="22"/>
        </w:rPr>
        <w:t xml:space="preserve"> over the Internet, and telephonic bidding will be available as well.  </w:t>
      </w:r>
      <w:r w:rsidR="00610458" w:rsidRPr="001C2E9C">
        <w:rPr>
          <w:szCs w:val="22"/>
        </w:rPr>
        <w:t>Only q</w:t>
      </w:r>
      <w:r w:rsidRPr="001C2E9C">
        <w:rPr>
          <w:szCs w:val="22"/>
        </w:rPr>
        <w:t>ualified bidders are permitted to bid.  Each applicant should indicate its bidding preference</w:t>
      </w:r>
      <w:r w:rsidR="0065795E">
        <w:rPr>
          <w:szCs w:val="22"/>
        </w:rPr>
        <w:t xml:space="preserve"> </w:t>
      </w:r>
      <w:r w:rsidR="00F94129">
        <w:rPr>
          <w:szCs w:val="22"/>
        </w:rPr>
        <w:t>—</w:t>
      </w:r>
      <w:r w:rsidR="0065795E">
        <w:rPr>
          <w:szCs w:val="22"/>
        </w:rPr>
        <w:t xml:space="preserve"> </w:t>
      </w:r>
      <w:r w:rsidRPr="001C2E9C">
        <w:rPr>
          <w:szCs w:val="22"/>
        </w:rPr>
        <w:t>electronic or telephonic</w:t>
      </w:r>
      <w:r w:rsidR="0065795E">
        <w:rPr>
          <w:szCs w:val="22"/>
        </w:rPr>
        <w:t xml:space="preserve"> —</w:t>
      </w:r>
      <w:r w:rsidR="0065795E" w:rsidRPr="001C2E9C">
        <w:rPr>
          <w:szCs w:val="22"/>
        </w:rPr>
        <w:t xml:space="preserve"> </w:t>
      </w:r>
      <w:r w:rsidRPr="001C2E9C">
        <w:rPr>
          <w:szCs w:val="22"/>
        </w:rPr>
        <w:t xml:space="preserve">on </w:t>
      </w:r>
      <w:r w:rsidR="00443EEC">
        <w:rPr>
          <w:szCs w:val="22"/>
        </w:rPr>
        <w:t>its</w:t>
      </w:r>
      <w:r w:rsidRPr="001C2E9C">
        <w:rPr>
          <w:szCs w:val="22"/>
        </w:rPr>
        <w:t xml:space="preserve"> </w:t>
      </w:r>
      <w:r w:rsidR="00020D04">
        <w:rPr>
          <w:szCs w:val="22"/>
        </w:rPr>
        <w:t>FCC Form 175</w:t>
      </w:r>
      <w:r w:rsidRPr="001C2E9C">
        <w:rPr>
          <w:szCs w:val="22"/>
        </w:rPr>
        <w:t>.  In either case, each authorized bidder must have its own SecurID</w:t>
      </w:r>
      <w:r w:rsidR="004A28C3" w:rsidRPr="00CA6286">
        <w:rPr>
          <w:szCs w:val="22"/>
          <w:vertAlign w:val="superscript"/>
        </w:rPr>
        <w:t>®</w:t>
      </w:r>
      <w:r w:rsidRPr="001C2E9C">
        <w:rPr>
          <w:szCs w:val="22"/>
        </w:rPr>
        <w:t xml:space="preserve"> </w:t>
      </w:r>
      <w:r w:rsidR="00182541" w:rsidRPr="001C2E9C">
        <w:rPr>
          <w:szCs w:val="22"/>
        </w:rPr>
        <w:t>token</w:t>
      </w:r>
      <w:r w:rsidRPr="001C2E9C">
        <w:rPr>
          <w:szCs w:val="22"/>
        </w:rPr>
        <w:t xml:space="preserve">, which the </w:t>
      </w:r>
      <w:r w:rsidR="00443EEC">
        <w:rPr>
          <w:szCs w:val="22"/>
        </w:rPr>
        <w:t>Commission</w:t>
      </w:r>
      <w:r w:rsidRPr="001C2E9C">
        <w:rPr>
          <w:szCs w:val="22"/>
        </w:rPr>
        <w:t xml:space="preserve"> will provide at no charge.  Each applicant with one authorized bidder will be issued two SecurID</w:t>
      </w:r>
      <w:r w:rsidR="00BD1A2F" w:rsidRPr="00CA6286">
        <w:rPr>
          <w:szCs w:val="22"/>
          <w:vertAlign w:val="superscript"/>
        </w:rPr>
        <w:t>®</w:t>
      </w:r>
      <w:r w:rsidRPr="001C2E9C">
        <w:rPr>
          <w:szCs w:val="22"/>
        </w:rPr>
        <w:t xml:space="preserve"> </w:t>
      </w:r>
      <w:r w:rsidR="00182541" w:rsidRPr="001C2E9C">
        <w:rPr>
          <w:szCs w:val="22"/>
        </w:rPr>
        <w:t>tokens</w:t>
      </w:r>
      <w:r w:rsidRPr="001C2E9C">
        <w:rPr>
          <w:szCs w:val="22"/>
        </w:rPr>
        <w:t xml:space="preserve">, while applicants with two or three authorized bidders will be issued three </w:t>
      </w:r>
      <w:r w:rsidR="00182541" w:rsidRPr="001C2E9C">
        <w:rPr>
          <w:szCs w:val="22"/>
        </w:rPr>
        <w:t>tokens</w:t>
      </w:r>
      <w:r w:rsidRPr="001C2E9C">
        <w:rPr>
          <w:szCs w:val="22"/>
        </w:rPr>
        <w:t xml:space="preserve">.  </w:t>
      </w:r>
      <w:r w:rsidRPr="001C2E9C">
        <w:rPr>
          <w:b/>
          <w:szCs w:val="22"/>
        </w:rPr>
        <w:t>For security purposes, the SecurID</w:t>
      </w:r>
      <w:r w:rsidR="004A28C3" w:rsidRPr="00CA6286">
        <w:rPr>
          <w:szCs w:val="22"/>
          <w:vertAlign w:val="superscript"/>
        </w:rPr>
        <w:t>®</w:t>
      </w:r>
      <w:r w:rsidRPr="001C2E9C">
        <w:rPr>
          <w:b/>
          <w:szCs w:val="22"/>
        </w:rPr>
        <w:t xml:space="preserve"> </w:t>
      </w:r>
      <w:r w:rsidR="00182541" w:rsidRPr="001C2E9C">
        <w:rPr>
          <w:b/>
          <w:szCs w:val="22"/>
        </w:rPr>
        <w:t>token</w:t>
      </w:r>
      <w:r w:rsidRPr="001C2E9C">
        <w:rPr>
          <w:b/>
          <w:szCs w:val="22"/>
        </w:rPr>
        <w:t xml:space="preserve">s, the telephonic bidding telephone number, and the </w:t>
      </w:r>
      <w:r w:rsidR="00981EA6">
        <w:rPr>
          <w:b/>
          <w:szCs w:val="22"/>
        </w:rPr>
        <w:t>“</w:t>
      </w:r>
      <w:r w:rsidRPr="001C2E9C">
        <w:rPr>
          <w:b/>
          <w:szCs w:val="22"/>
        </w:rPr>
        <w:t>Integrated Spectrum Auction System (ISAS) Bidder’s Guide</w:t>
      </w:r>
      <w:r w:rsidR="00981EA6">
        <w:rPr>
          <w:b/>
          <w:szCs w:val="22"/>
        </w:rPr>
        <w:t>”</w:t>
      </w:r>
      <w:r w:rsidRPr="001C2E9C">
        <w:rPr>
          <w:b/>
          <w:szCs w:val="22"/>
        </w:rPr>
        <w:t xml:space="preserve"> are only mailed to the contact person at the contact address listed on the </w:t>
      </w:r>
      <w:r w:rsidR="00020D04">
        <w:rPr>
          <w:b/>
          <w:szCs w:val="22"/>
        </w:rPr>
        <w:t>FCC Form 175</w:t>
      </w:r>
      <w:r w:rsidRPr="001C2E9C">
        <w:rPr>
          <w:b/>
          <w:szCs w:val="22"/>
        </w:rPr>
        <w:t>.</w:t>
      </w:r>
      <w:r>
        <w:rPr>
          <w:szCs w:val="22"/>
        </w:rPr>
        <w:t xml:space="preserve">  </w:t>
      </w:r>
      <w:r w:rsidR="00443EEC">
        <w:rPr>
          <w:szCs w:val="22"/>
        </w:rPr>
        <w:t>Each</w:t>
      </w:r>
      <w:r w:rsidRPr="001C2E9C">
        <w:rPr>
          <w:szCs w:val="22"/>
        </w:rPr>
        <w:t xml:space="preserve"> SecurID</w:t>
      </w:r>
      <w:r w:rsidR="004A28C3" w:rsidRPr="00CA6286">
        <w:rPr>
          <w:szCs w:val="22"/>
          <w:vertAlign w:val="superscript"/>
        </w:rPr>
        <w:t>®</w:t>
      </w:r>
      <w:r w:rsidRPr="001C2E9C">
        <w:rPr>
          <w:szCs w:val="22"/>
        </w:rPr>
        <w:t xml:space="preserve"> </w:t>
      </w:r>
      <w:r w:rsidR="00182541" w:rsidRPr="001C2E9C">
        <w:rPr>
          <w:szCs w:val="22"/>
        </w:rPr>
        <w:t>token</w:t>
      </w:r>
      <w:r w:rsidRPr="001C2E9C">
        <w:rPr>
          <w:szCs w:val="22"/>
        </w:rPr>
        <w:t xml:space="preserve"> is</w:t>
      </w:r>
      <w:r>
        <w:rPr>
          <w:szCs w:val="22"/>
        </w:rPr>
        <w:t xml:space="preserve"> tailored to a specific auction</w:t>
      </w:r>
      <w:r w:rsidR="00443EEC">
        <w:rPr>
          <w:szCs w:val="22"/>
        </w:rPr>
        <w:t xml:space="preserve">. </w:t>
      </w:r>
      <w:r>
        <w:rPr>
          <w:szCs w:val="22"/>
        </w:rPr>
        <w:t xml:space="preserve"> </w:t>
      </w:r>
      <w:r w:rsidRPr="001C2E9C">
        <w:rPr>
          <w:szCs w:val="22"/>
        </w:rPr>
        <w:t>SecurID</w:t>
      </w:r>
      <w:r w:rsidR="004A28C3" w:rsidRPr="00CA6286">
        <w:rPr>
          <w:szCs w:val="22"/>
          <w:vertAlign w:val="superscript"/>
        </w:rPr>
        <w:t>®</w:t>
      </w:r>
      <w:r w:rsidRPr="001C2E9C">
        <w:rPr>
          <w:szCs w:val="22"/>
        </w:rPr>
        <w:t xml:space="preserve"> </w:t>
      </w:r>
      <w:r w:rsidR="00182541" w:rsidRPr="001C2E9C">
        <w:rPr>
          <w:szCs w:val="22"/>
        </w:rPr>
        <w:t>token</w:t>
      </w:r>
      <w:r w:rsidRPr="001C2E9C">
        <w:rPr>
          <w:szCs w:val="22"/>
        </w:rPr>
        <w:t xml:space="preserve">s issued for other auctions or obtained from a source other than the FCC will not work for Auction </w:t>
      </w:r>
      <w:r w:rsidR="002F3391">
        <w:rPr>
          <w:szCs w:val="22"/>
        </w:rPr>
        <w:t>9</w:t>
      </w:r>
      <w:r w:rsidR="00530B79">
        <w:rPr>
          <w:szCs w:val="22"/>
        </w:rPr>
        <w:t>6</w:t>
      </w:r>
      <w:r w:rsidRPr="001C2E9C">
        <w:rPr>
          <w:szCs w:val="22"/>
        </w:rPr>
        <w:t xml:space="preserve">.  </w:t>
      </w:r>
    </w:p>
    <w:p w:rsidR="008434F5" w:rsidRPr="00DF7948" w:rsidRDefault="008434F5" w:rsidP="00C07C81">
      <w:pPr>
        <w:pStyle w:val="ParaNum"/>
        <w:widowControl/>
        <w:tabs>
          <w:tab w:val="clear" w:pos="1260"/>
          <w:tab w:val="left" w:pos="1440"/>
        </w:tabs>
        <w:ind w:left="0"/>
        <w:rPr>
          <w:szCs w:val="22"/>
        </w:rPr>
      </w:pPr>
      <w:r w:rsidRPr="00DF7948">
        <w:rPr>
          <w:szCs w:val="22"/>
        </w:rPr>
        <w:t>Please note that the SecurID</w:t>
      </w:r>
      <w:r w:rsidR="004A28C3" w:rsidRPr="00DF7948">
        <w:rPr>
          <w:szCs w:val="22"/>
          <w:vertAlign w:val="superscript"/>
        </w:rPr>
        <w:t>®</w:t>
      </w:r>
      <w:r w:rsidRPr="00DF7948">
        <w:rPr>
          <w:szCs w:val="22"/>
        </w:rPr>
        <w:t xml:space="preserve"> </w:t>
      </w:r>
      <w:r w:rsidR="00182541" w:rsidRPr="00DF7948">
        <w:rPr>
          <w:szCs w:val="22"/>
        </w:rPr>
        <w:t>token</w:t>
      </w:r>
      <w:r w:rsidRPr="00DF7948">
        <w:rPr>
          <w:szCs w:val="22"/>
        </w:rPr>
        <w:t xml:space="preserve">s can be recycled, and </w:t>
      </w:r>
      <w:r w:rsidR="0008447A" w:rsidRPr="00DF7948">
        <w:rPr>
          <w:szCs w:val="22"/>
        </w:rPr>
        <w:t>the Bureau</w:t>
      </w:r>
      <w:r w:rsidRPr="00DF7948">
        <w:rPr>
          <w:szCs w:val="22"/>
        </w:rPr>
        <w:t xml:space="preserve"> encourage</w:t>
      </w:r>
      <w:r w:rsidR="00F50F17">
        <w:rPr>
          <w:szCs w:val="22"/>
        </w:rPr>
        <w:t>s</w:t>
      </w:r>
      <w:r w:rsidRPr="00DF7948">
        <w:rPr>
          <w:szCs w:val="22"/>
        </w:rPr>
        <w:t xml:space="preserve"> bidders to return the </w:t>
      </w:r>
      <w:r w:rsidR="00182541" w:rsidRPr="00DF7948">
        <w:rPr>
          <w:szCs w:val="22"/>
        </w:rPr>
        <w:t>token</w:t>
      </w:r>
      <w:r w:rsidRPr="00DF7948">
        <w:rPr>
          <w:szCs w:val="22"/>
        </w:rPr>
        <w:t xml:space="preserve">s to the FCC.  </w:t>
      </w:r>
      <w:r w:rsidR="00CD2338" w:rsidRPr="00DF7948">
        <w:rPr>
          <w:szCs w:val="22"/>
        </w:rPr>
        <w:t>P</w:t>
      </w:r>
      <w:r w:rsidRPr="00DF7948">
        <w:rPr>
          <w:szCs w:val="22"/>
        </w:rPr>
        <w:t xml:space="preserve">re-addressed envelopes </w:t>
      </w:r>
      <w:r w:rsidR="00CD2338" w:rsidRPr="00DF7948">
        <w:rPr>
          <w:szCs w:val="22"/>
        </w:rPr>
        <w:t xml:space="preserve">will be provided </w:t>
      </w:r>
      <w:r w:rsidRPr="00DF7948">
        <w:rPr>
          <w:szCs w:val="22"/>
        </w:rPr>
        <w:t xml:space="preserve">to return the </w:t>
      </w:r>
      <w:r w:rsidR="00182541" w:rsidRPr="00DF7948">
        <w:rPr>
          <w:szCs w:val="22"/>
        </w:rPr>
        <w:t>token</w:t>
      </w:r>
      <w:r w:rsidRPr="00DF7948">
        <w:rPr>
          <w:szCs w:val="22"/>
        </w:rPr>
        <w:t xml:space="preserve">s once </w:t>
      </w:r>
      <w:r w:rsidR="00785A14" w:rsidRPr="00DF7948">
        <w:rPr>
          <w:szCs w:val="22"/>
        </w:rPr>
        <w:t>bidding has closed</w:t>
      </w:r>
      <w:r w:rsidRPr="00DF7948">
        <w:rPr>
          <w:szCs w:val="22"/>
        </w:rPr>
        <w:t>.</w:t>
      </w:r>
    </w:p>
    <w:p w:rsidR="008434F5" w:rsidRPr="007E4A5E" w:rsidRDefault="008434F5" w:rsidP="00C07C81">
      <w:pPr>
        <w:pStyle w:val="Heading2"/>
        <w:widowControl/>
      </w:pPr>
      <w:bookmarkStart w:id="2697" w:name="_Toc483218158"/>
      <w:bookmarkStart w:id="2698" w:name="_Toc109812258"/>
      <w:bookmarkStart w:id="2699" w:name="_Toc124844767"/>
      <w:bookmarkStart w:id="2700" w:name="_Toc124844895"/>
      <w:bookmarkStart w:id="2701" w:name="_Toc124845554"/>
      <w:bookmarkStart w:id="2702" w:name="_Toc124845822"/>
      <w:bookmarkStart w:id="2703" w:name="_Toc124845896"/>
      <w:bookmarkStart w:id="2704" w:name="_Toc124845970"/>
      <w:bookmarkStart w:id="2705" w:name="_Toc124846142"/>
      <w:bookmarkStart w:id="2706" w:name="_Toc124848265"/>
      <w:bookmarkStart w:id="2707" w:name="_Toc124907516"/>
      <w:bookmarkStart w:id="2708" w:name="_Toc129773481"/>
      <w:bookmarkStart w:id="2709" w:name="_Toc130210019"/>
      <w:bookmarkStart w:id="2710" w:name="_Toc130730948"/>
      <w:bookmarkStart w:id="2711" w:name="_Toc130814176"/>
      <w:bookmarkStart w:id="2712" w:name="_Toc130814498"/>
      <w:bookmarkStart w:id="2713" w:name="_Toc130814630"/>
      <w:bookmarkStart w:id="2714" w:name="_Toc130883513"/>
      <w:bookmarkStart w:id="2715" w:name="_Toc130885621"/>
      <w:bookmarkStart w:id="2716" w:name="_Toc131844600"/>
      <w:bookmarkStart w:id="2717" w:name="_Toc148330538"/>
      <w:bookmarkStart w:id="2718" w:name="_Toc148332139"/>
      <w:bookmarkStart w:id="2719" w:name="_Toc148332211"/>
      <w:bookmarkStart w:id="2720" w:name="_Toc148332285"/>
      <w:bookmarkStart w:id="2721" w:name="_Toc148332362"/>
      <w:bookmarkStart w:id="2722" w:name="_Toc148332439"/>
      <w:bookmarkStart w:id="2723" w:name="_Toc148332516"/>
      <w:bookmarkStart w:id="2724" w:name="_Toc148332591"/>
      <w:bookmarkStart w:id="2725" w:name="_Toc148332664"/>
      <w:bookmarkStart w:id="2726" w:name="_Toc148332760"/>
      <w:bookmarkStart w:id="2727" w:name="_Toc148332894"/>
      <w:bookmarkStart w:id="2728" w:name="_Toc148333096"/>
      <w:bookmarkStart w:id="2729" w:name="_Toc148333229"/>
      <w:bookmarkStart w:id="2730" w:name="_Toc148333648"/>
      <w:bookmarkStart w:id="2731" w:name="_Toc148334261"/>
      <w:bookmarkStart w:id="2732" w:name="_Toc148335775"/>
      <w:bookmarkStart w:id="2733" w:name="_Toc148336308"/>
      <w:bookmarkStart w:id="2734" w:name="_Toc148337749"/>
      <w:bookmarkStart w:id="2735" w:name="_Toc148338072"/>
      <w:bookmarkStart w:id="2736" w:name="_Toc148339782"/>
      <w:bookmarkStart w:id="2737" w:name="_Toc148339879"/>
      <w:bookmarkStart w:id="2738" w:name="_Toc149645587"/>
      <w:bookmarkStart w:id="2739" w:name="_Toc149997890"/>
      <w:bookmarkStart w:id="2740" w:name="_Toc158180767"/>
      <w:bookmarkStart w:id="2741" w:name="_Toc158785615"/>
      <w:bookmarkStart w:id="2742" w:name="_Toc178768518"/>
      <w:bookmarkStart w:id="2743" w:name="_Toc179195959"/>
      <w:bookmarkStart w:id="2744" w:name="_Toc179361903"/>
      <w:bookmarkStart w:id="2745" w:name="_Toc179363687"/>
      <w:bookmarkStart w:id="2746" w:name="_Toc197504943"/>
      <w:bookmarkStart w:id="2747" w:name="_Toc198007724"/>
      <w:bookmarkStart w:id="2748" w:name="_Toc198007875"/>
      <w:bookmarkStart w:id="2749" w:name="_Toc198008227"/>
      <w:bookmarkStart w:id="2750" w:name="_Toc198008364"/>
      <w:bookmarkStart w:id="2751" w:name="_Toc198008911"/>
      <w:bookmarkStart w:id="2752" w:name="_Toc198369807"/>
      <w:bookmarkStart w:id="2753" w:name="_Toc198369944"/>
      <w:bookmarkStart w:id="2754" w:name="_Toc198372856"/>
      <w:bookmarkStart w:id="2755" w:name="_Toc198372959"/>
      <w:bookmarkStart w:id="2756" w:name="_Toc198373089"/>
      <w:bookmarkStart w:id="2757" w:name="_Toc198373257"/>
      <w:bookmarkStart w:id="2758" w:name="_Toc198627171"/>
      <w:bookmarkStart w:id="2759" w:name="_Toc198627277"/>
      <w:bookmarkStart w:id="2760" w:name="_Toc216090736"/>
      <w:bookmarkStart w:id="2761" w:name="_Toc226958241"/>
      <w:bookmarkStart w:id="2762" w:name="_Toc227038301"/>
      <w:bookmarkStart w:id="2763" w:name="_Toc254792608"/>
      <w:bookmarkStart w:id="2764" w:name="_Toc256669732"/>
      <w:bookmarkStart w:id="2765" w:name="_Toc257213265"/>
      <w:bookmarkStart w:id="2766" w:name="_Toc257277767"/>
      <w:bookmarkStart w:id="2767" w:name="_Toc257278728"/>
      <w:bookmarkStart w:id="2768" w:name="_Toc257278938"/>
      <w:bookmarkStart w:id="2769" w:name="_Toc257279306"/>
      <w:bookmarkStart w:id="2770" w:name="_Toc257382950"/>
      <w:bookmarkStart w:id="2771" w:name="_Toc274056207"/>
      <w:bookmarkStart w:id="2772" w:name="_Toc276657613"/>
      <w:bookmarkStart w:id="2773" w:name="_Toc278366459"/>
      <w:bookmarkStart w:id="2774" w:name="_Toc307584055"/>
      <w:bookmarkStart w:id="2775" w:name="_Toc307937329"/>
      <w:bookmarkStart w:id="2776" w:name="_Toc348508768"/>
      <w:bookmarkStart w:id="2777" w:name="_Toc362256774"/>
      <w:bookmarkStart w:id="2778" w:name="_Toc366056530"/>
      <w:bookmarkStart w:id="2779" w:name="_Toc366223733"/>
      <w:bookmarkStart w:id="2780" w:name="_Toc366229446"/>
      <w:bookmarkStart w:id="2781" w:name="_Toc366583490"/>
      <w:r w:rsidRPr="001C2E9C">
        <w:t xml:space="preserve">Mock </w:t>
      </w:r>
      <w:r w:rsidRPr="007E4A5E">
        <w:t>Auction</w:t>
      </w:r>
      <w:bookmarkEnd w:id="2697"/>
      <w:r w:rsidRPr="007E4A5E">
        <w:t xml:space="preserve"> </w:t>
      </w:r>
      <w:r w:rsidR="00443EEC" w:rsidRPr="007E4A5E">
        <w:t>–</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r w:rsidR="00276658">
        <w:t xml:space="preserve"> </w:t>
      </w:r>
      <w:r w:rsidR="00570F3B">
        <w:t>January 10</w:t>
      </w:r>
      <w:r w:rsidR="00085620">
        <w:t>, 201</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r w:rsidR="00570F3B">
        <w:t>4</w:t>
      </w:r>
      <w:bookmarkEnd w:id="2777"/>
      <w:bookmarkEnd w:id="2778"/>
      <w:bookmarkEnd w:id="2779"/>
      <w:bookmarkEnd w:id="2780"/>
      <w:bookmarkEnd w:id="2781"/>
    </w:p>
    <w:p w:rsidR="008434F5" w:rsidRPr="001C2E9C" w:rsidRDefault="008434F5" w:rsidP="00C07C81">
      <w:pPr>
        <w:pStyle w:val="ParaNum"/>
        <w:widowControl/>
        <w:tabs>
          <w:tab w:val="clear" w:pos="1260"/>
          <w:tab w:val="left" w:pos="1440"/>
        </w:tabs>
        <w:ind w:left="0"/>
        <w:rPr>
          <w:szCs w:val="22"/>
        </w:rPr>
      </w:pPr>
      <w:r w:rsidRPr="001C2E9C">
        <w:rPr>
          <w:szCs w:val="22"/>
        </w:rPr>
        <w:t xml:space="preserve">All qualified bidders will be eligible to participate in a mock </w:t>
      </w:r>
      <w:r w:rsidRPr="00D25662">
        <w:rPr>
          <w:szCs w:val="22"/>
        </w:rPr>
        <w:t xml:space="preserve">auction </w:t>
      </w:r>
      <w:r w:rsidRPr="0023256E">
        <w:rPr>
          <w:szCs w:val="22"/>
        </w:rPr>
        <w:t xml:space="preserve">on </w:t>
      </w:r>
      <w:r w:rsidR="006B627A" w:rsidRPr="0023256E">
        <w:rPr>
          <w:szCs w:val="22"/>
        </w:rPr>
        <w:t>Fri</w:t>
      </w:r>
      <w:r w:rsidR="00603F6F" w:rsidRPr="0023256E">
        <w:rPr>
          <w:szCs w:val="22"/>
        </w:rPr>
        <w:t>day</w:t>
      </w:r>
      <w:r w:rsidR="000144CD" w:rsidRPr="0023256E">
        <w:rPr>
          <w:szCs w:val="22"/>
        </w:rPr>
        <w:t>,</w:t>
      </w:r>
      <w:r w:rsidR="000144CD" w:rsidRPr="00D25662">
        <w:rPr>
          <w:szCs w:val="22"/>
        </w:rPr>
        <w:t xml:space="preserve"> </w:t>
      </w:r>
      <w:r w:rsidR="005A1C76">
        <w:rPr>
          <w:szCs w:val="22"/>
        </w:rPr>
        <w:t>J</w:t>
      </w:r>
      <w:r w:rsidR="00570F3B">
        <w:rPr>
          <w:szCs w:val="22"/>
        </w:rPr>
        <w:t>anuar</w:t>
      </w:r>
      <w:r w:rsidR="005A1C76">
        <w:rPr>
          <w:szCs w:val="22"/>
        </w:rPr>
        <w:t>y 1</w:t>
      </w:r>
      <w:r w:rsidR="00570F3B">
        <w:rPr>
          <w:szCs w:val="22"/>
        </w:rPr>
        <w:t>0</w:t>
      </w:r>
      <w:r w:rsidR="00085620">
        <w:rPr>
          <w:szCs w:val="22"/>
        </w:rPr>
        <w:t>, 201</w:t>
      </w:r>
      <w:r w:rsidR="00570F3B">
        <w:rPr>
          <w:szCs w:val="22"/>
        </w:rPr>
        <w:t>4</w:t>
      </w:r>
      <w:r w:rsidRPr="00D25662">
        <w:rPr>
          <w:szCs w:val="22"/>
        </w:rPr>
        <w:t xml:space="preserve">.  </w:t>
      </w:r>
      <w:r w:rsidRPr="00DF7948">
        <w:rPr>
          <w:szCs w:val="22"/>
        </w:rPr>
        <w:t xml:space="preserve">The mock auction will enable </w:t>
      </w:r>
      <w:r w:rsidR="00F94129" w:rsidRPr="00DF7948">
        <w:rPr>
          <w:szCs w:val="22"/>
        </w:rPr>
        <w:t xml:space="preserve">bidders </w:t>
      </w:r>
      <w:r w:rsidRPr="00DF7948">
        <w:rPr>
          <w:szCs w:val="22"/>
        </w:rPr>
        <w:t xml:space="preserve">to become familiar with the FCC Auction System prior to the auction.  </w:t>
      </w:r>
      <w:r w:rsidR="00785A14" w:rsidRPr="00DF7948">
        <w:rPr>
          <w:szCs w:val="22"/>
        </w:rPr>
        <w:t>The Bureau strongly recommend</w:t>
      </w:r>
      <w:r w:rsidR="005A1C76">
        <w:rPr>
          <w:szCs w:val="22"/>
        </w:rPr>
        <w:t>s</w:t>
      </w:r>
      <w:r w:rsidR="00785A14" w:rsidRPr="00DF7948">
        <w:rPr>
          <w:szCs w:val="22"/>
        </w:rPr>
        <w:t xml:space="preserve"> that all bidders participate in </w:t>
      </w:r>
      <w:r w:rsidR="005921EA" w:rsidRPr="00DF7948">
        <w:rPr>
          <w:szCs w:val="22"/>
        </w:rPr>
        <w:t xml:space="preserve">the </w:t>
      </w:r>
      <w:r w:rsidR="00785A14" w:rsidRPr="00DF7948">
        <w:rPr>
          <w:szCs w:val="22"/>
        </w:rPr>
        <w:t>mock auction.</w:t>
      </w:r>
      <w:r w:rsidR="00785A14">
        <w:rPr>
          <w:szCs w:val="22"/>
        </w:rPr>
        <w:t xml:space="preserve">  </w:t>
      </w:r>
      <w:r w:rsidRPr="001C2E9C">
        <w:rPr>
          <w:szCs w:val="22"/>
        </w:rPr>
        <w:t>Details will be announced by public notice.</w:t>
      </w:r>
    </w:p>
    <w:p w:rsidR="008434F5" w:rsidRPr="001C2E9C" w:rsidRDefault="008434F5" w:rsidP="00C07C81">
      <w:pPr>
        <w:pStyle w:val="Heading1"/>
        <w:widowControl/>
        <w:rPr>
          <w:rFonts w:ascii="Times New Roman" w:hAnsi="Times New Roman"/>
          <w:szCs w:val="22"/>
        </w:rPr>
      </w:pPr>
      <w:bookmarkStart w:id="2782" w:name="_Toc278366460"/>
      <w:bookmarkStart w:id="2783" w:name="_Toc307584056"/>
      <w:bookmarkStart w:id="2784" w:name="_Toc307937330"/>
      <w:bookmarkStart w:id="2785" w:name="_Toc348508769"/>
      <w:bookmarkStart w:id="2786" w:name="_Toc362256775"/>
      <w:bookmarkStart w:id="2787" w:name="_Toc366056531"/>
      <w:bookmarkStart w:id="2788" w:name="_Toc366223734"/>
      <w:bookmarkStart w:id="2789" w:name="_Toc366229447"/>
      <w:bookmarkStart w:id="2790" w:name="_Toc366583491"/>
      <w:bookmarkStart w:id="2791" w:name="_Toc483218159"/>
      <w:bookmarkStart w:id="2792" w:name="_Toc109812259"/>
      <w:bookmarkStart w:id="2793" w:name="_Toc124844768"/>
      <w:bookmarkStart w:id="2794" w:name="_Toc124844896"/>
      <w:bookmarkStart w:id="2795" w:name="_Toc124845555"/>
      <w:bookmarkStart w:id="2796" w:name="_Toc124845823"/>
      <w:bookmarkStart w:id="2797" w:name="_Toc124845897"/>
      <w:bookmarkStart w:id="2798" w:name="_Toc124845971"/>
      <w:bookmarkStart w:id="2799" w:name="_Toc124846143"/>
      <w:bookmarkStart w:id="2800" w:name="_Toc124848266"/>
      <w:bookmarkStart w:id="2801" w:name="_Toc124907517"/>
      <w:bookmarkStart w:id="2802" w:name="_Toc129773482"/>
      <w:bookmarkStart w:id="2803" w:name="_Toc130210020"/>
      <w:bookmarkStart w:id="2804" w:name="_Toc130730949"/>
      <w:bookmarkStart w:id="2805" w:name="_Toc130814177"/>
      <w:bookmarkStart w:id="2806" w:name="_Toc130814499"/>
      <w:bookmarkStart w:id="2807" w:name="_Toc130814631"/>
      <w:bookmarkStart w:id="2808" w:name="_Toc130883514"/>
      <w:bookmarkStart w:id="2809" w:name="_Toc130885622"/>
      <w:bookmarkStart w:id="2810" w:name="_Toc131844601"/>
      <w:bookmarkStart w:id="2811" w:name="_Toc148330539"/>
      <w:bookmarkStart w:id="2812" w:name="_Toc148332140"/>
      <w:bookmarkStart w:id="2813" w:name="_Toc148332212"/>
      <w:bookmarkStart w:id="2814" w:name="_Toc148332286"/>
      <w:bookmarkStart w:id="2815" w:name="_Toc148332363"/>
      <w:bookmarkStart w:id="2816" w:name="_Toc148332440"/>
      <w:bookmarkStart w:id="2817" w:name="_Toc148332517"/>
      <w:bookmarkStart w:id="2818" w:name="_Toc148332592"/>
      <w:bookmarkStart w:id="2819" w:name="_Toc148332665"/>
      <w:bookmarkStart w:id="2820" w:name="_Toc148332761"/>
      <w:bookmarkStart w:id="2821" w:name="_Toc148332895"/>
      <w:bookmarkStart w:id="2822" w:name="_Toc148333097"/>
      <w:bookmarkStart w:id="2823" w:name="_Toc148333230"/>
      <w:bookmarkStart w:id="2824" w:name="_Toc148333649"/>
      <w:bookmarkStart w:id="2825" w:name="_Toc148334262"/>
      <w:bookmarkStart w:id="2826" w:name="_Toc148335776"/>
      <w:bookmarkStart w:id="2827" w:name="_Toc148336309"/>
      <w:bookmarkStart w:id="2828" w:name="_Toc148337750"/>
      <w:bookmarkStart w:id="2829" w:name="_Toc148338073"/>
      <w:bookmarkStart w:id="2830" w:name="_Toc148339783"/>
      <w:bookmarkStart w:id="2831" w:name="_Toc148339880"/>
      <w:bookmarkStart w:id="2832" w:name="_Toc149645588"/>
      <w:bookmarkStart w:id="2833" w:name="_Toc149997891"/>
      <w:bookmarkStart w:id="2834" w:name="_Toc158180768"/>
      <w:bookmarkStart w:id="2835" w:name="_Toc158785616"/>
      <w:bookmarkStart w:id="2836" w:name="_Toc178768519"/>
      <w:bookmarkStart w:id="2837" w:name="_Toc179195960"/>
      <w:bookmarkStart w:id="2838" w:name="_Toc179361904"/>
      <w:bookmarkStart w:id="2839" w:name="_Toc179363688"/>
      <w:bookmarkStart w:id="2840" w:name="_Toc197504944"/>
      <w:bookmarkStart w:id="2841" w:name="_Toc198007725"/>
      <w:bookmarkStart w:id="2842" w:name="_Toc198007876"/>
      <w:bookmarkStart w:id="2843" w:name="_Toc198008228"/>
      <w:bookmarkStart w:id="2844" w:name="_Toc198008365"/>
      <w:bookmarkStart w:id="2845" w:name="_Toc198008912"/>
      <w:bookmarkStart w:id="2846" w:name="_Toc198369808"/>
      <w:bookmarkStart w:id="2847" w:name="_Toc198369945"/>
      <w:bookmarkStart w:id="2848" w:name="_Toc198372857"/>
      <w:bookmarkStart w:id="2849" w:name="_Toc198372960"/>
      <w:bookmarkStart w:id="2850" w:name="_Toc198373090"/>
      <w:bookmarkStart w:id="2851" w:name="_Toc198373258"/>
      <w:bookmarkStart w:id="2852" w:name="_Toc198627172"/>
      <w:bookmarkStart w:id="2853" w:name="_Toc198627278"/>
      <w:bookmarkStart w:id="2854" w:name="_Toc216090737"/>
      <w:bookmarkStart w:id="2855" w:name="_Toc226958242"/>
      <w:bookmarkStart w:id="2856" w:name="_Toc227038302"/>
      <w:bookmarkStart w:id="2857" w:name="_Toc254792609"/>
      <w:bookmarkStart w:id="2858" w:name="_Toc256669733"/>
      <w:bookmarkStart w:id="2859" w:name="_Toc257213266"/>
      <w:bookmarkStart w:id="2860" w:name="_Toc257277768"/>
      <w:bookmarkStart w:id="2861" w:name="_Toc257278729"/>
      <w:bookmarkStart w:id="2862" w:name="_Toc257278939"/>
      <w:bookmarkStart w:id="2863" w:name="_Toc257279307"/>
      <w:bookmarkStart w:id="2864" w:name="_Toc257382951"/>
      <w:bookmarkStart w:id="2865" w:name="_Toc274056208"/>
      <w:bookmarkStart w:id="2866" w:name="_Toc276657614"/>
      <w:r w:rsidRPr="001C2E9C">
        <w:rPr>
          <w:rFonts w:ascii="Times New Roman" w:hAnsi="Times New Roman"/>
          <w:szCs w:val="22"/>
        </w:rPr>
        <w:t>AUCTION</w:t>
      </w:r>
      <w:bookmarkEnd w:id="2782"/>
      <w:bookmarkEnd w:id="2783"/>
      <w:bookmarkEnd w:id="2784"/>
      <w:bookmarkEnd w:id="2785"/>
      <w:bookmarkEnd w:id="2786"/>
      <w:bookmarkEnd w:id="2787"/>
      <w:bookmarkEnd w:id="2788"/>
      <w:bookmarkEnd w:id="2789"/>
      <w:bookmarkEnd w:id="2790"/>
      <w:r w:rsidRPr="001C2E9C">
        <w:rPr>
          <w:rFonts w:ascii="Times New Roman" w:hAnsi="Times New Roman"/>
          <w:szCs w:val="22"/>
        </w:rPr>
        <w:t xml:space="preserve"> </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rsidR="008434F5" w:rsidRPr="001C2E9C" w:rsidRDefault="008434F5" w:rsidP="00C07C81">
      <w:pPr>
        <w:pStyle w:val="ParaNum"/>
        <w:widowControl/>
        <w:tabs>
          <w:tab w:val="clear" w:pos="1260"/>
          <w:tab w:val="left" w:pos="1440"/>
        </w:tabs>
        <w:ind w:left="0"/>
        <w:rPr>
          <w:szCs w:val="22"/>
        </w:rPr>
      </w:pPr>
      <w:r w:rsidRPr="001C2E9C">
        <w:rPr>
          <w:szCs w:val="22"/>
        </w:rPr>
        <w:t xml:space="preserve">The first round of bidding for Auction </w:t>
      </w:r>
      <w:r w:rsidR="002F3391">
        <w:rPr>
          <w:szCs w:val="22"/>
        </w:rPr>
        <w:t>9</w:t>
      </w:r>
      <w:r w:rsidR="00530B79">
        <w:rPr>
          <w:szCs w:val="22"/>
        </w:rPr>
        <w:t>6</w:t>
      </w:r>
      <w:r w:rsidR="00301209" w:rsidRPr="001C2E9C">
        <w:rPr>
          <w:szCs w:val="22"/>
        </w:rPr>
        <w:t xml:space="preserve"> </w:t>
      </w:r>
      <w:r w:rsidRPr="001C2E9C">
        <w:rPr>
          <w:szCs w:val="22"/>
        </w:rPr>
        <w:t xml:space="preserve">will begin </w:t>
      </w:r>
      <w:r w:rsidRPr="0023256E">
        <w:rPr>
          <w:szCs w:val="22"/>
        </w:rPr>
        <w:t xml:space="preserve">on </w:t>
      </w:r>
      <w:r w:rsidR="00E955FF">
        <w:rPr>
          <w:szCs w:val="22"/>
        </w:rPr>
        <w:t>Tues</w:t>
      </w:r>
      <w:r w:rsidR="00E955FF" w:rsidRPr="0023256E">
        <w:rPr>
          <w:szCs w:val="22"/>
        </w:rPr>
        <w:t>day</w:t>
      </w:r>
      <w:r w:rsidRPr="0023256E">
        <w:rPr>
          <w:szCs w:val="22"/>
        </w:rPr>
        <w:t>,</w:t>
      </w:r>
      <w:r w:rsidRPr="00D25662">
        <w:rPr>
          <w:szCs w:val="22"/>
        </w:rPr>
        <w:t xml:space="preserve"> </w:t>
      </w:r>
      <w:r w:rsidR="005A1C76">
        <w:rPr>
          <w:szCs w:val="22"/>
        </w:rPr>
        <w:t>J</w:t>
      </w:r>
      <w:r w:rsidR="00570F3B">
        <w:rPr>
          <w:szCs w:val="22"/>
        </w:rPr>
        <w:t>anuar</w:t>
      </w:r>
      <w:r w:rsidR="005A1C76">
        <w:rPr>
          <w:szCs w:val="22"/>
        </w:rPr>
        <w:t>y 1</w:t>
      </w:r>
      <w:r w:rsidR="00570F3B">
        <w:rPr>
          <w:szCs w:val="22"/>
        </w:rPr>
        <w:t>4</w:t>
      </w:r>
      <w:r w:rsidR="00085620">
        <w:rPr>
          <w:szCs w:val="22"/>
        </w:rPr>
        <w:t>, 201</w:t>
      </w:r>
      <w:r w:rsidR="001342BB">
        <w:rPr>
          <w:szCs w:val="22"/>
        </w:rPr>
        <w:t>4</w:t>
      </w:r>
      <w:r w:rsidRPr="00D25662">
        <w:rPr>
          <w:szCs w:val="22"/>
        </w:rPr>
        <w:t>.</w:t>
      </w:r>
      <w:r w:rsidRPr="001C2E9C">
        <w:rPr>
          <w:szCs w:val="22"/>
        </w:rPr>
        <w:t xml:space="preserve">  The initial bidding schedule will be announced in a public notice listing the qualified bidders, which is  released approximately 10 days be</w:t>
      </w:r>
      <w:r>
        <w:rPr>
          <w:szCs w:val="22"/>
        </w:rPr>
        <w:t>fore the start of the auction.</w:t>
      </w:r>
    </w:p>
    <w:p w:rsidR="008434F5" w:rsidRPr="001C2E9C" w:rsidRDefault="008434F5" w:rsidP="00C07C81">
      <w:pPr>
        <w:pStyle w:val="Heading2"/>
        <w:widowControl/>
      </w:pPr>
      <w:bookmarkStart w:id="2867" w:name="_Toc483218160"/>
      <w:bookmarkStart w:id="2868" w:name="_Toc109812260"/>
      <w:bookmarkStart w:id="2869" w:name="_Toc124844769"/>
      <w:bookmarkStart w:id="2870" w:name="_Toc124844897"/>
      <w:bookmarkStart w:id="2871" w:name="_Toc124845556"/>
      <w:bookmarkStart w:id="2872" w:name="_Toc124845824"/>
      <w:bookmarkStart w:id="2873" w:name="_Toc124845898"/>
      <w:bookmarkStart w:id="2874" w:name="_Toc124845972"/>
      <w:bookmarkStart w:id="2875" w:name="_Toc124846144"/>
      <w:bookmarkStart w:id="2876" w:name="_Toc124848267"/>
      <w:bookmarkStart w:id="2877" w:name="_Toc124907518"/>
      <w:bookmarkStart w:id="2878" w:name="_Toc129773483"/>
      <w:bookmarkStart w:id="2879" w:name="_Toc130210021"/>
      <w:bookmarkStart w:id="2880" w:name="_Toc130730950"/>
      <w:bookmarkStart w:id="2881" w:name="_Toc130814178"/>
      <w:bookmarkStart w:id="2882" w:name="_Toc130814500"/>
      <w:bookmarkStart w:id="2883" w:name="_Toc130814632"/>
      <w:bookmarkStart w:id="2884" w:name="_Toc130883515"/>
      <w:bookmarkStart w:id="2885" w:name="_Toc130885623"/>
      <w:bookmarkStart w:id="2886" w:name="_Toc131844602"/>
      <w:bookmarkStart w:id="2887" w:name="_Toc148330540"/>
      <w:bookmarkStart w:id="2888" w:name="_Toc148332141"/>
      <w:bookmarkStart w:id="2889" w:name="_Toc148332213"/>
      <w:bookmarkStart w:id="2890" w:name="_Toc148332287"/>
      <w:bookmarkStart w:id="2891" w:name="_Toc148332364"/>
      <w:bookmarkStart w:id="2892" w:name="_Toc148332441"/>
      <w:bookmarkStart w:id="2893" w:name="_Toc148332518"/>
      <w:bookmarkStart w:id="2894" w:name="_Toc148332593"/>
      <w:bookmarkStart w:id="2895" w:name="_Toc148332666"/>
      <w:bookmarkStart w:id="2896" w:name="_Toc148332762"/>
      <w:bookmarkStart w:id="2897" w:name="_Toc148332896"/>
      <w:bookmarkStart w:id="2898" w:name="_Toc148333098"/>
      <w:bookmarkStart w:id="2899" w:name="_Toc148333231"/>
      <w:bookmarkStart w:id="2900" w:name="_Toc148333650"/>
      <w:bookmarkStart w:id="2901" w:name="_Toc148334263"/>
      <w:bookmarkStart w:id="2902" w:name="_Toc148335777"/>
      <w:bookmarkStart w:id="2903" w:name="_Toc148336310"/>
      <w:bookmarkStart w:id="2904" w:name="_Toc148337751"/>
      <w:bookmarkStart w:id="2905" w:name="_Toc148338074"/>
      <w:bookmarkStart w:id="2906" w:name="_Toc148339784"/>
      <w:bookmarkStart w:id="2907" w:name="_Toc148339881"/>
      <w:bookmarkStart w:id="2908" w:name="_Toc149645589"/>
      <w:bookmarkStart w:id="2909" w:name="_Toc149997892"/>
      <w:bookmarkStart w:id="2910" w:name="_Toc158180769"/>
      <w:bookmarkStart w:id="2911" w:name="_Toc158785617"/>
      <w:bookmarkStart w:id="2912" w:name="_Toc178768520"/>
      <w:bookmarkStart w:id="2913" w:name="_Toc179195961"/>
      <w:bookmarkStart w:id="2914" w:name="_Toc179361905"/>
      <w:bookmarkStart w:id="2915" w:name="_Toc179363689"/>
      <w:bookmarkStart w:id="2916" w:name="_Toc197504945"/>
      <w:bookmarkStart w:id="2917" w:name="_Toc198007726"/>
      <w:bookmarkStart w:id="2918" w:name="_Toc198007877"/>
      <w:bookmarkStart w:id="2919" w:name="_Toc198008229"/>
      <w:bookmarkStart w:id="2920" w:name="_Toc198008366"/>
      <w:bookmarkStart w:id="2921" w:name="_Toc198008913"/>
      <w:bookmarkStart w:id="2922" w:name="_Toc198369809"/>
      <w:bookmarkStart w:id="2923" w:name="_Toc198369946"/>
      <w:bookmarkStart w:id="2924" w:name="_Toc198372858"/>
      <w:bookmarkStart w:id="2925" w:name="_Toc198372961"/>
      <w:bookmarkStart w:id="2926" w:name="_Toc198373091"/>
      <w:bookmarkStart w:id="2927" w:name="_Toc198373259"/>
      <w:bookmarkStart w:id="2928" w:name="_Toc198627173"/>
      <w:bookmarkStart w:id="2929" w:name="_Toc198627279"/>
      <w:bookmarkStart w:id="2930" w:name="_Toc216090738"/>
      <w:bookmarkStart w:id="2931" w:name="_Toc226958243"/>
      <w:bookmarkStart w:id="2932" w:name="_Toc227038303"/>
      <w:bookmarkStart w:id="2933" w:name="_Toc254792610"/>
      <w:bookmarkStart w:id="2934" w:name="_Toc256669734"/>
      <w:bookmarkStart w:id="2935" w:name="_Toc257213267"/>
      <w:bookmarkStart w:id="2936" w:name="_Toc257277769"/>
      <w:bookmarkStart w:id="2937" w:name="_Toc257278730"/>
      <w:bookmarkStart w:id="2938" w:name="_Toc257278940"/>
      <w:bookmarkStart w:id="2939" w:name="_Toc257279308"/>
      <w:bookmarkStart w:id="2940" w:name="_Toc257382952"/>
      <w:bookmarkStart w:id="2941" w:name="_Toc274056209"/>
      <w:bookmarkStart w:id="2942" w:name="_Toc276657615"/>
      <w:bookmarkStart w:id="2943" w:name="_Toc278366461"/>
      <w:bookmarkStart w:id="2944" w:name="_Toc307584057"/>
      <w:bookmarkStart w:id="2945" w:name="_Toc307937331"/>
      <w:bookmarkStart w:id="2946" w:name="_Toc348508770"/>
      <w:bookmarkStart w:id="2947" w:name="_Toc362256776"/>
      <w:bookmarkStart w:id="2948" w:name="_Toc366056532"/>
      <w:bookmarkStart w:id="2949" w:name="_Toc366223735"/>
      <w:bookmarkStart w:id="2950" w:name="_Toc366229448"/>
      <w:bookmarkStart w:id="2951" w:name="_Toc366583492"/>
      <w:r w:rsidRPr="001C2E9C">
        <w:t>Auction Structure</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rsidR="0094175F" w:rsidRPr="00D77520" w:rsidRDefault="0094175F" w:rsidP="001342BB">
      <w:pPr>
        <w:pStyle w:val="Heading3"/>
        <w:widowControl/>
      </w:pPr>
      <w:bookmarkStart w:id="2952" w:name="_Toc366229449"/>
      <w:bookmarkStart w:id="2953" w:name="_Toc149997893"/>
      <w:bookmarkStart w:id="2954" w:name="_Toc158180770"/>
      <w:bookmarkStart w:id="2955" w:name="_Toc158785618"/>
      <w:bookmarkStart w:id="2956" w:name="_Toc178768521"/>
      <w:bookmarkStart w:id="2957" w:name="_Toc179195962"/>
      <w:bookmarkStart w:id="2958" w:name="_Toc179361906"/>
      <w:bookmarkStart w:id="2959" w:name="_Toc179363690"/>
      <w:bookmarkStart w:id="2960" w:name="_Toc197504946"/>
      <w:bookmarkStart w:id="2961" w:name="_Toc198007727"/>
      <w:bookmarkStart w:id="2962" w:name="_Toc198007878"/>
      <w:bookmarkStart w:id="2963" w:name="_Toc198008230"/>
      <w:bookmarkStart w:id="2964" w:name="_Toc198008367"/>
      <w:bookmarkStart w:id="2965" w:name="_Toc198008914"/>
      <w:bookmarkStart w:id="2966" w:name="_Toc198369810"/>
      <w:bookmarkStart w:id="2967" w:name="_Toc198369947"/>
      <w:bookmarkStart w:id="2968" w:name="_Toc198372859"/>
      <w:bookmarkStart w:id="2969" w:name="_Toc198372962"/>
      <w:bookmarkStart w:id="2970" w:name="_Toc198373092"/>
      <w:bookmarkStart w:id="2971" w:name="_Toc198373260"/>
      <w:bookmarkStart w:id="2972" w:name="_Toc198627174"/>
      <w:bookmarkStart w:id="2973" w:name="_Toc198627280"/>
      <w:bookmarkStart w:id="2974" w:name="_Toc216090739"/>
      <w:bookmarkStart w:id="2975" w:name="_Toc226958244"/>
      <w:bookmarkStart w:id="2976" w:name="_Toc227038304"/>
      <w:bookmarkStart w:id="2977" w:name="_Toc254792611"/>
      <w:bookmarkStart w:id="2978" w:name="_Toc256669735"/>
      <w:bookmarkStart w:id="2979" w:name="_Toc257213268"/>
      <w:bookmarkStart w:id="2980" w:name="_Toc257277770"/>
      <w:bookmarkStart w:id="2981" w:name="_Toc257278731"/>
      <w:bookmarkStart w:id="2982" w:name="_Toc257278941"/>
      <w:bookmarkStart w:id="2983" w:name="_Toc257279309"/>
      <w:bookmarkStart w:id="2984" w:name="_Toc257382953"/>
      <w:bookmarkStart w:id="2985" w:name="_Toc274056210"/>
      <w:bookmarkStart w:id="2986" w:name="_Toc276657616"/>
      <w:bookmarkStart w:id="2987" w:name="_Toc278366462"/>
      <w:bookmarkStart w:id="2988" w:name="_Toc307584058"/>
      <w:bookmarkStart w:id="2989" w:name="_Toc307937332"/>
      <w:bookmarkStart w:id="2990" w:name="_Toc348508771"/>
      <w:bookmarkStart w:id="2991" w:name="_Toc366056534"/>
      <w:bookmarkStart w:id="2992" w:name="_Toc366223737"/>
      <w:bookmarkStart w:id="2993" w:name="_Toc366229450"/>
      <w:bookmarkStart w:id="2994" w:name="_Toc366583493"/>
      <w:bookmarkStart w:id="2995" w:name="_Toc362256777"/>
      <w:bookmarkEnd w:id="2952"/>
      <w:r w:rsidRPr="00D77520">
        <w:t>Simultaneous Multiple Round Auction</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r w:rsidR="008A7909">
        <w:t xml:space="preserve"> Without Package Bidding</w:t>
      </w:r>
      <w:bookmarkEnd w:id="2992"/>
      <w:bookmarkEnd w:id="2993"/>
      <w:bookmarkEnd w:id="2994"/>
      <w:r w:rsidR="00570F3B" w:rsidRPr="00D77520">
        <w:t xml:space="preserve">  </w:t>
      </w:r>
      <w:bookmarkEnd w:id="2995"/>
    </w:p>
    <w:p w:rsidR="00652011" w:rsidRPr="00652011" w:rsidRDefault="00AA0293" w:rsidP="00C07C81">
      <w:pPr>
        <w:pStyle w:val="ParaNum"/>
        <w:widowControl/>
        <w:tabs>
          <w:tab w:val="clear" w:pos="1260"/>
          <w:tab w:val="left" w:pos="1440"/>
        </w:tabs>
        <w:ind w:left="0"/>
      </w:pPr>
      <w:r w:rsidRPr="001C2E9C">
        <w:rPr>
          <w:szCs w:val="22"/>
        </w:rPr>
        <w:t xml:space="preserve">In the </w:t>
      </w:r>
      <w:r w:rsidR="008B3F0F" w:rsidRPr="001C2E9C">
        <w:rPr>
          <w:i/>
          <w:szCs w:val="22"/>
        </w:rPr>
        <w:t>Auction</w:t>
      </w:r>
      <w:r w:rsidR="008B3F0F" w:rsidRPr="001C2E9C" w:rsidDel="008B3F0F">
        <w:rPr>
          <w:i/>
          <w:szCs w:val="22"/>
        </w:rPr>
        <w:t xml:space="preserve"> </w:t>
      </w:r>
      <w:r w:rsidR="002F3391">
        <w:rPr>
          <w:i/>
          <w:szCs w:val="22"/>
        </w:rPr>
        <w:t>9</w:t>
      </w:r>
      <w:r w:rsidR="00530B79">
        <w:rPr>
          <w:i/>
          <w:szCs w:val="22"/>
        </w:rPr>
        <w:t>6</w:t>
      </w:r>
      <w:r w:rsidR="00610458" w:rsidRPr="001C2E9C">
        <w:rPr>
          <w:i/>
          <w:szCs w:val="22"/>
        </w:rPr>
        <w:t xml:space="preserve"> Comment </w:t>
      </w:r>
      <w:r w:rsidRPr="001C2E9C">
        <w:rPr>
          <w:i/>
          <w:szCs w:val="22"/>
        </w:rPr>
        <w:t>Public Notice</w:t>
      </w:r>
      <w:r w:rsidRPr="001C2E9C">
        <w:rPr>
          <w:szCs w:val="22"/>
        </w:rPr>
        <w:t xml:space="preserve">, </w:t>
      </w:r>
      <w:r w:rsidR="0008447A" w:rsidRPr="001C2E9C">
        <w:rPr>
          <w:szCs w:val="22"/>
        </w:rPr>
        <w:t>the Bureau</w:t>
      </w:r>
      <w:r w:rsidRPr="001C2E9C">
        <w:rPr>
          <w:szCs w:val="22"/>
        </w:rPr>
        <w:t xml:space="preserve"> proposed </w:t>
      </w:r>
      <w:r w:rsidR="00610458" w:rsidRPr="001C2E9C">
        <w:rPr>
          <w:szCs w:val="22"/>
        </w:rPr>
        <w:t xml:space="preserve">to auction all </w:t>
      </w:r>
      <w:r w:rsidR="005A1C76">
        <w:rPr>
          <w:szCs w:val="22"/>
        </w:rPr>
        <w:t>licenses</w:t>
      </w:r>
      <w:r w:rsidR="00610458" w:rsidRPr="001C2E9C">
        <w:rPr>
          <w:szCs w:val="22"/>
        </w:rPr>
        <w:t xml:space="preserve"> in Auction </w:t>
      </w:r>
      <w:r w:rsidR="002F3391">
        <w:rPr>
          <w:szCs w:val="22"/>
        </w:rPr>
        <w:t>9</w:t>
      </w:r>
      <w:r w:rsidR="00530B79">
        <w:rPr>
          <w:szCs w:val="22"/>
        </w:rPr>
        <w:t>6</w:t>
      </w:r>
      <w:r w:rsidR="00610458" w:rsidRPr="001C2E9C">
        <w:rPr>
          <w:szCs w:val="22"/>
        </w:rPr>
        <w:t xml:space="preserve"> in a single auction </w:t>
      </w:r>
      <w:r w:rsidRPr="001C2E9C">
        <w:rPr>
          <w:szCs w:val="22"/>
        </w:rPr>
        <w:t xml:space="preserve">using </w:t>
      </w:r>
      <w:r w:rsidR="0012542B">
        <w:rPr>
          <w:szCs w:val="22"/>
        </w:rPr>
        <w:t>a</w:t>
      </w:r>
      <w:r w:rsidR="009F18D5">
        <w:rPr>
          <w:szCs w:val="22"/>
        </w:rPr>
        <w:t xml:space="preserve"> simultaneous multiple-round</w:t>
      </w:r>
      <w:r w:rsidRPr="001C2E9C">
        <w:rPr>
          <w:szCs w:val="22"/>
        </w:rPr>
        <w:t xml:space="preserve"> </w:t>
      </w:r>
      <w:r w:rsidR="00D77520">
        <w:rPr>
          <w:szCs w:val="22"/>
        </w:rPr>
        <w:t xml:space="preserve">(“SMR”) </w:t>
      </w:r>
      <w:r w:rsidRPr="001C2E9C">
        <w:rPr>
          <w:szCs w:val="22"/>
        </w:rPr>
        <w:t>auction format.</w:t>
      </w:r>
      <w:r w:rsidRPr="00CA6286">
        <w:rPr>
          <w:rStyle w:val="FootnoteReference"/>
          <w:szCs w:val="22"/>
        </w:rPr>
        <w:footnoteReference w:id="172"/>
      </w:r>
      <w:r w:rsidRPr="001C2E9C">
        <w:rPr>
          <w:szCs w:val="22"/>
        </w:rPr>
        <w:t xml:space="preserve">  </w:t>
      </w:r>
      <w:r w:rsidR="00610458" w:rsidRPr="001C2E9C">
        <w:rPr>
          <w:szCs w:val="22"/>
        </w:rPr>
        <w:t xml:space="preserve">This type of </w:t>
      </w:r>
      <w:r w:rsidRPr="001C2E9C">
        <w:rPr>
          <w:szCs w:val="22"/>
        </w:rPr>
        <w:t xml:space="preserve">auction offers every </w:t>
      </w:r>
      <w:r w:rsidR="005A1C76">
        <w:rPr>
          <w:szCs w:val="22"/>
        </w:rPr>
        <w:t>license</w:t>
      </w:r>
      <w:r w:rsidRPr="001C2E9C">
        <w:rPr>
          <w:szCs w:val="22"/>
        </w:rPr>
        <w:t xml:space="preserve"> for bid at the same time and consists of successive bidding rounds in which eligible bidders may place bids on individual </w:t>
      </w:r>
      <w:r w:rsidR="005A1C76">
        <w:rPr>
          <w:szCs w:val="22"/>
        </w:rPr>
        <w:t>licenses</w:t>
      </w:r>
      <w:r w:rsidRPr="001C2E9C">
        <w:rPr>
          <w:szCs w:val="22"/>
        </w:rPr>
        <w:t xml:space="preserve">. </w:t>
      </w:r>
      <w:r w:rsidR="00C9558E">
        <w:rPr>
          <w:szCs w:val="22"/>
        </w:rPr>
        <w:t xml:space="preserve"> </w:t>
      </w:r>
      <w:r w:rsidRPr="001C2E9C">
        <w:rPr>
          <w:szCs w:val="22"/>
        </w:rPr>
        <w:t xml:space="preserve">A bidder may bid on, and potentially win, any number of </w:t>
      </w:r>
      <w:r w:rsidR="005A1C76">
        <w:rPr>
          <w:szCs w:val="22"/>
        </w:rPr>
        <w:t>licenses</w:t>
      </w:r>
      <w:r w:rsidR="005B525B" w:rsidRPr="00AA2B80">
        <w:rPr>
          <w:szCs w:val="22"/>
        </w:rPr>
        <w:t>.</w:t>
      </w:r>
      <w:r w:rsidR="00BA4732" w:rsidRPr="00AA2B80">
        <w:rPr>
          <w:szCs w:val="22"/>
        </w:rPr>
        <w:t xml:space="preserve">  </w:t>
      </w:r>
    </w:p>
    <w:p w:rsidR="008A7909" w:rsidRPr="008A7909" w:rsidRDefault="00652011" w:rsidP="00F957EE">
      <w:pPr>
        <w:pStyle w:val="ParaNum"/>
        <w:widowControl/>
        <w:tabs>
          <w:tab w:val="clear" w:pos="1260"/>
          <w:tab w:val="left" w:pos="1440"/>
        </w:tabs>
        <w:ind w:left="0"/>
      </w:pPr>
      <w:r w:rsidRPr="00DD0C81">
        <w:rPr>
          <w:szCs w:val="22"/>
        </w:rPr>
        <w:t xml:space="preserve">The Bureau also </w:t>
      </w:r>
      <w:r w:rsidR="00D77520">
        <w:rPr>
          <w:szCs w:val="22"/>
        </w:rPr>
        <w:t>proposed</w:t>
      </w:r>
      <w:r w:rsidRPr="00DD0C81">
        <w:rPr>
          <w:szCs w:val="22"/>
        </w:rPr>
        <w:t xml:space="preserve"> to incorporate provisions for a </w:t>
      </w:r>
      <w:r w:rsidR="00D77520">
        <w:rPr>
          <w:szCs w:val="22"/>
        </w:rPr>
        <w:t xml:space="preserve">simple </w:t>
      </w:r>
      <w:r w:rsidRPr="00DD0C81">
        <w:rPr>
          <w:szCs w:val="22"/>
        </w:rPr>
        <w:t>form of package bidding</w:t>
      </w:r>
      <w:r w:rsidR="006C395B" w:rsidRPr="00DD0C81">
        <w:rPr>
          <w:szCs w:val="22"/>
        </w:rPr>
        <w:t xml:space="preserve"> called hierarchical package bidding (</w:t>
      </w:r>
      <w:r w:rsidR="00B04A98">
        <w:rPr>
          <w:szCs w:val="22"/>
        </w:rPr>
        <w:t>“</w:t>
      </w:r>
      <w:r w:rsidR="006C395B" w:rsidRPr="00DD0C81">
        <w:rPr>
          <w:szCs w:val="22"/>
        </w:rPr>
        <w:t>HPB</w:t>
      </w:r>
      <w:r w:rsidR="00B04A98">
        <w:rPr>
          <w:szCs w:val="22"/>
        </w:rPr>
        <w:t>”</w:t>
      </w:r>
      <w:r w:rsidR="006C395B" w:rsidRPr="00DD0C81">
        <w:rPr>
          <w:szCs w:val="22"/>
        </w:rPr>
        <w:t>)</w:t>
      </w:r>
      <w:r w:rsidR="00D77520">
        <w:rPr>
          <w:szCs w:val="22"/>
        </w:rPr>
        <w:t xml:space="preserve"> into the SMR auction</w:t>
      </w:r>
      <w:r w:rsidR="002B0C19" w:rsidRPr="00E03F14">
        <w:rPr>
          <w:szCs w:val="22"/>
        </w:rPr>
        <w:t xml:space="preserve"> </w:t>
      </w:r>
      <w:r w:rsidR="00A45426">
        <w:rPr>
          <w:szCs w:val="22"/>
        </w:rPr>
        <w:t>under which, in addition to being able to bid on individual licenses,</w:t>
      </w:r>
      <w:r w:rsidR="002B0C19" w:rsidRPr="00E03F14">
        <w:rPr>
          <w:szCs w:val="22"/>
        </w:rPr>
        <w:t xml:space="preserve"> </w:t>
      </w:r>
      <w:r w:rsidR="00DD0C81" w:rsidRPr="00E03F14">
        <w:rPr>
          <w:szCs w:val="22"/>
        </w:rPr>
        <w:t>bidders would be able to bid on certain tiered, non-overlapping packages of licenses.</w:t>
      </w:r>
      <w:r w:rsidR="00590AF2">
        <w:rPr>
          <w:rStyle w:val="FootnoteReference"/>
          <w:szCs w:val="22"/>
        </w:rPr>
        <w:footnoteReference w:id="173"/>
      </w:r>
      <w:r w:rsidR="00DD0C81" w:rsidRPr="00E03F14">
        <w:rPr>
          <w:szCs w:val="22"/>
        </w:rPr>
        <w:t xml:space="preserve">  </w:t>
      </w:r>
      <w:r w:rsidR="00590AF2">
        <w:rPr>
          <w:szCs w:val="22"/>
        </w:rPr>
        <w:t xml:space="preserve">We proposed that the basic bidding tier under HPB would be EA licenses, with </w:t>
      </w:r>
      <w:r w:rsidR="00A45426">
        <w:rPr>
          <w:szCs w:val="22"/>
        </w:rPr>
        <w:t xml:space="preserve">possible </w:t>
      </w:r>
      <w:r w:rsidR="00590AF2">
        <w:rPr>
          <w:szCs w:val="22"/>
        </w:rPr>
        <w:t xml:space="preserve">predefined </w:t>
      </w:r>
      <w:r w:rsidR="00A96015">
        <w:rPr>
          <w:szCs w:val="22"/>
        </w:rPr>
        <w:t xml:space="preserve">packages of </w:t>
      </w:r>
      <w:r w:rsidR="00590AF2">
        <w:rPr>
          <w:szCs w:val="22"/>
        </w:rPr>
        <w:t xml:space="preserve">EAs </w:t>
      </w:r>
      <w:r w:rsidR="00A45426">
        <w:rPr>
          <w:szCs w:val="22"/>
        </w:rPr>
        <w:t xml:space="preserve">corresponding to </w:t>
      </w:r>
      <w:r w:rsidR="003117D5">
        <w:rPr>
          <w:szCs w:val="22"/>
        </w:rPr>
        <w:t>Major Economic Areas (“MEAs”)</w:t>
      </w:r>
      <w:r w:rsidR="00A45426">
        <w:rPr>
          <w:szCs w:val="22"/>
        </w:rPr>
        <w:t>,</w:t>
      </w:r>
      <w:r w:rsidR="003117D5">
        <w:rPr>
          <w:szCs w:val="22"/>
        </w:rPr>
        <w:t xml:space="preserve"> Regional Economic Area Groupings (“REAGs”)</w:t>
      </w:r>
      <w:r w:rsidR="00A96015">
        <w:rPr>
          <w:szCs w:val="22"/>
        </w:rPr>
        <w:t xml:space="preserve">, </w:t>
      </w:r>
      <w:r w:rsidR="00A45426">
        <w:rPr>
          <w:szCs w:val="22"/>
        </w:rPr>
        <w:t>and/or</w:t>
      </w:r>
      <w:r w:rsidR="00590AF2">
        <w:rPr>
          <w:szCs w:val="22"/>
        </w:rPr>
        <w:t xml:space="preserve"> all markets in the contiguous 48 states.</w:t>
      </w:r>
      <w:r w:rsidR="00A96015">
        <w:rPr>
          <w:szCs w:val="22"/>
        </w:rPr>
        <w:t xml:space="preserve"> </w:t>
      </w:r>
      <w:r w:rsidR="003117D5">
        <w:rPr>
          <w:szCs w:val="22"/>
        </w:rPr>
        <w:t>We sought comment</w:t>
      </w:r>
      <w:r w:rsidR="008C3A97">
        <w:rPr>
          <w:szCs w:val="22"/>
        </w:rPr>
        <w:t xml:space="preserve"> generally on the proposed SMR format with HPB, including what </w:t>
      </w:r>
      <w:r w:rsidR="003117D5">
        <w:rPr>
          <w:szCs w:val="22"/>
        </w:rPr>
        <w:t>predefined packages</w:t>
      </w:r>
      <w:r w:rsidR="008C3A97">
        <w:rPr>
          <w:szCs w:val="22"/>
        </w:rPr>
        <w:t xml:space="preserve"> should be available for various tiers.</w:t>
      </w:r>
      <w:r w:rsidR="004D62CC">
        <w:rPr>
          <w:rStyle w:val="FootnoteReference"/>
          <w:szCs w:val="22"/>
        </w:rPr>
        <w:footnoteReference w:id="174"/>
      </w:r>
      <w:r w:rsidR="008C3A97">
        <w:rPr>
          <w:szCs w:val="22"/>
        </w:rPr>
        <w:t xml:space="preserve"> </w:t>
      </w:r>
      <w:r w:rsidR="00FD31E4">
        <w:rPr>
          <w:szCs w:val="22"/>
        </w:rPr>
        <w:t xml:space="preserve"> </w:t>
      </w:r>
    </w:p>
    <w:p w:rsidR="009C68B7" w:rsidRDefault="005A1C76" w:rsidP="00F957EE">
      <w:pPr>
        <w:pStyle w:val="ParaNum"/>
        <w:widowControl/>
        <w:tabs>
          <w:tab w:val="clear" w:pos="1260"/>
          <w:tab w:val="left" w:pos="1440"/>
        </w:tabs>
        <w:ind w:left="0"/>
      </w:pPr>
      <w:r w:rsidRPr="009E659F">
        <w:rPr>
          <w:szCs w:val="22"/>
        </w:rPr>
        <w:t>The Bureau</w:t>
      </w:r>
      <w:r w:rsidR="00C9558E" w:rsidRPr="009E659F">
        <w:rPr>
          <w:szCs w:val="22"/>
        </w:rPr>
        <w:t xml:space="preserve"> received </w:t>
      </w:r>
      <w:r w:rsidR="006B48F2" w:rsidRPr="009E659F">
        <w:rPr>
          <w:szCs w:val="22"/>
        </w:rPr>
        <w:t xml:space="preserve">significant </w:t>
      </w:r>
      <w:r w:rsidR="00C9558E" w:rsidRPr="007F688E">
        <w:rPr>
          <w:szCs w:val="22"/>
        </w:rPr>
        <w:t xml:space="preserve">comment on </w:t>
      </w:r>
      <w:r w:rsidR="00892C9D" w:rsidRPr="007F688E">
        <w:rPr>
          <w:szCs w:val="22"/>
        </w:rPr>
        <w:t>its</w:t>
      </w:r>
      <w:r w:rsidR="00C9558E" w:rsidRPr="007F688E">
        <w:rPr>
          <w:szCs w:val="22"/>
        </w:rPr>
        <w:t xml:space="preserve"> proposal</w:t>
      </w:r>
      <w:r w:rsidR="00892C9D" w:rsidRPr="007F688E">
        <w:rPr>
          <w:szCs w:val="22"/>
        </w:rPr>
        <w:t>s</w:t>
      </w:r>
      <w:r w:rsidR="00160A48" w:rsidRPr="007F688E">
        <w:rPr>
          <w:szCs w:val="22"/>
        </w:rPr>
        <w:t xml:space="preserve">.  </w:t>
      </w:r>
      <w:r w:rsidR="00892C9D" w:rsidRPr="007F688E">
        <w:rPr>
          <w:szCs w:val="22"/>
        </w:rPr>
        <w:t xml:space="preserve">While all parties that commented </w:t>
      </w:r>
      <w:r w:rsidR="0012542B" w:rsidRPr="007F688E">
        <w:rPr>
          <w:szCs w:val="22"/>
        </w:rPr>
        <w:t xml:space="preserve">on this topic </w:t>
      </w:r>
      <w:r w:rsidR="0009298D" w:rsidRPr="007F688E">
        <w:rPr>
          <w:szCs w:val="22"/>
        </w:rPr>
        <w:t xml:space="preserve">generally </w:t>
      </w:r>
      <w:r w:rsidR="00892C9D" w:rsidRPr="007F688E">
        <w:rPr>
          <w:szCs w:val="22"/>
        </w:rPr>
        <w:t xml:space="preserve">support </w:t>
      </w:r>
      <w:r w:rsidR="007F688E">
        <w:rPr>
          <w:szCs w:val="22"/>
        </w:rPr>
        <w:t>our</w:t>
      </w:r>
      <w:r w:rsidR="00892C9D" w:rsidRPr="007F688E">
        <w:rPr>
          <w:szCs w:val="22"/>
        </w:rPr>
        <w:t xml:space="preserve"> proposal to use </w:t>
      </w:r>
      <w:r w:rsidR="007F688E">
        <w:rPr>
          <w:szCs w:val="22"/>
        </w:rPr>
        <w:t xml:space="preserve">the </w:t>
      </w:r>
      <w:r w:rsidR="00892C9D" w:rsidRPr="007F688E">
        <w:rPr>
          <w:szCs w:val="22"/>
        </w:rPr>
        <w:t>SMR</w:t>
      </w:r>
      <w:r w:rsidR="007F688E">
        <w:rPr>
          <w:szCs w:val="22"/>
        </w:rPr>
        <w:t xml:space="preserve"> format</w:t>
      </w:r>
      <w:r w:rsidR="00892C9D" w:rsidRPr="007F688E">
        <w:rPr>
          <w:szCs w:val="22"/>
        </w:rPr>
        <w:t>,</w:t>
      </w:r>
      <w:r w:rsidR="0009298D">
        <w:rPr>
          <w:rStyle w:val="FootnoteReference"/>
          <w:szCs w:val="22"/>
        </w:rPr>
        <w:footnoteReference w:id="175"/>
      </w:r>
      <w:r w:rsidR="00892C9D" w:rsidRPr="009E659F">
        <w:rPr>
          <w:szCs w:val="22"/>
        </w:rPr>
        <w:t xml:space="preserve"> </w:t>
      </w:r>
      <w:r w:rsidR="001E7F6A">
        <w:rPr>
          <w:szCs w:val="22"/>
        </w:rPr>
        <w:t>most</w:t>
      </w:r>
      <w:r w:rsidR="00892C9D" w:rsidRPr="009E659F">
        <w:rPr>
          <w:szCs w:val="22"/>
        </w:rPr>
        <w:t xml:space="preserve"> oppose implementing any form of package bidding</w:t>
      </w:r>
      <w:r w:rsidR="007F688E">
        <w:rPr>
          <w:szCs w:val="22"/>
        </w:rPr>
        <w:t xml:space="preserve"> in Auction 96</w:t>
      </w:r>
      <w:r w:rsidR="00892C9D" w:rsidRPr="009E659F">
        <w:rPr>
          <w:szCs w:val="22"/>
        </w:rPr>
        <w:t>.</w:t>
      </w:r>
      <w:r w:rsidR="00945859">
        <w:rPr>
          <w:rStyle w:val="FootnoteReference"/>
          <w:szCs w:val="22"/>
        </w:rPr>
        <w:footnoteReference w:id="176"/>
      </w:r>
      <w:r w:rsidR="00892C9D" w:rsidRPr="009E659F">
        <w:rPr>
          <w:szCs w:val="22"/>
        </w:rPr>
        <w:t xml:space="preserve">  </w:t>
      </w:r>
      <w:r w:rsidR="008A7909">
        <w:rPr>
          <w:szCs w:val="22"/>
        </w:rPr>
        <w:t>We conclude, based on the record, that we will use a standard SMR auction format in Auction 96, without HPB.</w:t>
      </w:r>
      <w:r w:rsidR="00892C9D" w:rsidRPr="009E659F">
        <w:rPr>
          <w:rFonts w:cs="Calibri"/>
        </w:rPr>
        <w:t xml:space="preserve">  </w:t>
      </w:r>
    </w:p>
    <w:p w:rsidR="00D11A8B" w:rsidRPr="00892C9D" w:rsidRDefault="002458DD" w:rsidP="00E7626F">
      <w:pPr>
        <w:pStyle w:val="ParaNum"/>
        <w:widowControl/>
        <w:tabs>
          <w:tab w:val="clear" w:pos="1260"/>
          <w:tab w:val="left" w:pos="1440"/>
        </w:tabs>
        <w:ind w:left="0"/>
      </w:pPr>
      <w:r w:rsidRPr="008A7909">
        <w:rPr>
          <w:rFonts w:cstheme="minorHAnsi"/>
        </w:rPr>
        <w:t xml:space="preserve">Commenters that oppose implementing </w:t>
      </w:r>
      <w:r w:rsidR="007E2CA7" w:rsidRPr="008A7909">
        <w:rPr>
          <w:rFonts w:cstheme="minorHAnsi"/>
        </w:rPr>
        <w:t xml:space="preserve">any form of </w:t>
      </w:r>
      <w:r w:rsidRPr="008A7909">
        <w:rPr>
          <w:rFonts w:cstheme="minorHAnsi"/>
        </w:rPr>
        <w:t>package bidding, including HPB, claim that it creates competitive issues by (1) a</w:t>
      </w:r>
      <w:r w:rsidRPr="003822EE">
        <w:rPr>
          <w:rFonts w:cstheme="minorHAnsi"/>
          <w:color w:val="000000"/>
        </w:rPr>
        <w:t>dding unnecessary complexity to the auction</w:t>
      </w:r>
      <w:r w:rsidR="00AB341F" w:rsidRPr="003822EE">
        <w:rPr>
          <w:rFonts w:cstheme="minorHAnsi"/>
          <w:color w:val="000000"/>
        </w:rPr>
        <w:t xml:space="preserve">, which </w:t>
      </w:r>
      <w:r w:rsidR="009E659F" w:rsidRPr="003822EE">
        <w:rPr>
          <w:rFonts w:cstheme="minorHAnsi"/>
          <w:color w:val="000000"/>
        </w:rPr>
        <w:t xml:space="preserve">would be most felt by </w:t>
      </w:r>
      <w:r w:rsidR="009E659F" w:rsidRPr="00AB341F">
        <w:t>smaller bidders</w:t>
      </w:r>
      <w:r w:rsidRPr="008A7909">
        <w:rPr>
          <w:rFonts w:cstheme="minorHAnsi"/>
          <w:color w:val="000000"/>
        </w:rPr>
        <w:t>, (2) tilting the playing field in favor of larger/incumbent carriers to the detriment of small, r</w:t>
      </w:r>
      <w:r w:rsidRPr="003822EE">
        <w:rPr>
          <w:rFonts w:cstheme="minorHAnsi"/>
          <w:color w:val="000000"/>
        </w:rPr>
        <w:t xml:space="preserve">ural, and new entrant carriers, (3) potentially allowing certain licenses to be acquired at a discount, and (4) </w:t>
      </w:r>
      <w:r w:rsidRPr="003702FD">
        <w:rPr>
          <w:rFonts w:cstheme="minorHAnsi"/>
        </w:rPr>
        <w:t xml:space="preserve">adding uncertainty for bidders </w:t>
      </w:r>
      <w:r w:rsidRPr="00FC57E4">
        <w:rPr>
          <w:rFonts w:cstheme="minorHAnsi"/>
        </w:rPr>
        <w:t>that bid on any collection of licenses smaller than the largest package being bid</w:t>
      </w:r>
      <w:r w:rsidR="0012542B" w:rsidRPr="00FC57E4">
        <w:rPr>
          <w:rFonts w:cstheme="minorHAnsi"/>
        </w:rPr>
        <w:t>.</w:t>
      </w:r>
      <w:r w:rsidR="0012542B">
        <w:rPr>
          <w:rStyle w:val="FootnoteReference"/>
          <w:rFonts w:cstheme="minorHAnsi"/>
        </w:rPr>
        <w:footnoteReference w:id="177"/>
      </w:r>
      <w:r w:rsidR="0012542B" w:rsidRPr="008A7909">
        <w:rPr>
          <w:rFonts w:cstheme="minorHAnsi"/>
        </w:rPr>
        <w:t xml:space="preserve">  </w:t>
      </w:r>
      <w:r w:rsidR="008A7909" w:rsidRPr="008A7909">
        <w:rPr>
          <w:rFonts w:cstheme="minorHAnsi"/>
        </w:rPr>
        <w:t xml:space="preserve">Because we are not implementing package bidding for Auction 96, we need not address each of these comments in detail.  The commenters that </w:t>
      </w:r>
      <w:r w:rsidR="00E37018" w:rsidRPr="00D43CF2">
        <w:rPr>
          <w:rFonts w:cs="Calibri"/>
        </w:rPr>
        <w:t xml:space="preserve">favor </w:t>
      </w:r>
      <w:r w:rsidR="00E37018">
        <w:rPr>
          <w:rFonts w:cs="Calibri"/>
        </w:rPr>
        <w:t xml:space="preserve">incorporating HPB into an SMR </w:t>
      </w:r>
      <w:r w:rsidR="00E37018" w:rsidRPr="00D43CF2">
        <w:rPr>
          <w:rFonts w:cs="Calibri"/>
        </w:rPr>
        <w:t>auction with package bidding</w:t>
      </w:r>
      <w:r w:rsidR="008A7909">
        <w:rPr>
          <w:rFonts w:cs="Calibri"/>
        </w:rPr>
        <w:t>, AT&amp;T, Holt and Goeree, and T-Mobile</w:t>
      </w:r>
      <w:r w:rsidR="000A228F">
        <w:rPr>
          <w:rFonts w:cs="Calibri"/>
        </w:rPr>
        <w:t>,</w:t>
      </w:r>
      <w:r w:rsidR="00E37018">
        <w:rPr>
          <w:rFonts w:cs="Calibri"/>
        </w:rPr>
        <w:t xml:space="preserve"> maintain that an SMR-HPB auction p</w:t>
      </w:r>
      <w:r w:rsidR="00E37018">
        <w:rPr>
          <w:rFonts w:cstheme="minorHAnsi"/>
        </w:rPr>
        <w:t>rovides flexibility by allowing</w:t>
      </w:r>
      <w:r w:rsidR="00E37018" w:rsidRPr="00045DCB">
        <w:rPr>
          <w:rFonts w:cstheme="minorHAnsi"/>
        </w:rPr>
        <w:t xml:space="preserve"> smaller companies to bid on “bite size” licenses, </w:t>
      </w:r>
      <w:r w:rsidR="00E37018">
        <w:rPr>
          <w:rFonts w:cstheme="minorHAnsi"/>
        </w:rPr>
        <w:t>while</w:t>
      </w:r>
      <w:r w:rsidR="00E37018" w:rsidRPr="00045DCB">
        <w:rPr>
          <w:rFonts w:cstheme="minorHAnsi"/>
        </w:rPr>
        <w:t xml:space="preserve"> offer</w:t>
      </w:r>
      <w:r w:rsidR="00E37018">
        <w:rPr>
          <w:rFonts w:cstheme="minorHAnsi"/>
        </w:rPr>
        <w:t>ing</w:t>
      </w:r>
      <w:r w:rsidR="00E37018" w:rsidRPr="00045DCB">
        <w:rPr>
          <w:rFonts w:cstheme="minorHAnsi"/>
        </w:rPr>
        <w:t xml:space="preserve"> major providers the chance to establish a regional or national footprint with a winning package bid</w:t>
      </w:r>
      <w:r w:rsidR="00E37018">
        <w:rPr>
          <w:rFonts w:cstheme="minorHAnsi"/>
        </w:rPr>
        <w:t>.</w:t>
      </w:r>
      <w:r w:rsidR="00BF5BC5">
        <w:rPr>
          <w:rStyle w:val="FootnoteReference"/>
          <w:rFonts w:cstheme="minorHAnsi"/>
        </w:rPr>
        <w:footnoteReference w:id="178"/>
      </w:r>
      <w:r w:rsidR="00E37018">
        <w:rPr>
          <w:rFonts w:cstheme="minorHAnsi"/>
        </w:rPr>
        <w:t xml:space="preserve">  </w:t>
      </w:r>
      <w:r w:rsidR="00154DB3">
        <w:rPr>
          <w:rFonts w:cstheme="minorHAnsi"/>
        </w:rPr>
        <w:t xml:space="preserve">Holt and </w:t>
      </w:r>
      <w:r w:rsidR="00664AB4">
        <w:rPr>
          <w:rFonts w:cstheme="minorHAnsi"/>
        </w:rPr>
        <w:t>Goeree</w:t>
      </w:r>
      <w:r w:rsidR="00664AB4" w:rsidRPr="003762F3">
        <w:rPr>
          <w:rFonts w:cstheme="minorHAnsi"/>
        </w:rPr>
        <w:t xml:space="preserve"> </w:t>
      </w:r>
      <w:r w:rsidR="008A7909">
        <w:rPr>
          <w:rFonts w:cstheme="minorHAnsi"/>
        </w:rPr>
        <w:t>explain</w:t>
      </w:r>
      <w:r w:rsidR="00D11A8B">
        <w:rPr>
          <w:rFonts w:cstheme="minorHAnsi"/>
        </w:rPr>
        <w:t xml:space="preserve"> that</w:t>
      </w:r>
      <w:r w:rsidR="00154DB3">
        <w:rPr>
          <w:rFonts w:cstheme="minorHAnsi"/>
        </w:rPr>
        <w:t xml:space="preserve"> the</w:t>
      </w:r>
      <w:r w:rsidR="00D11A8B">
        <w:rPr>
          <w:rFonts w:cstheme="minorHAnsi"/>
        </w:rPr>
        <w:t xml:space="preserve"> </w:t>
      </w:r>
      <w:r w:rsidR="00664AB4" w:rsidRPr="003762F3">
        <w:rPr>
          <w:rFonts w:cstheme="minorHAnsi"/>
        </w:rPr>
        <w:t xml:space="preserve">SMR-HPB </w:t>
      </w:r>
      <w:r w:rsidR="00154DB3">
        <w:rPr>
          <w:rFonts w:cstheme="minorHAnsi"/>
        </w:rPr>
        <w:t xml:space="preserve">format </w:t>
      </w:r>
      <w:r w:rsidR="00664AB4" w:rsidRPr="003762F3">
        <w:rPr>
          <w:rFonts w:cstheme="minorHAnsi"/>
        </w:rPr>
        <w:t>is simple and transparent</w:t>
      </w:r>
      <w:r w:rsidR="00664AB4">
        <w:rPr>
          <w:rFonts w:cstheme="minorHAnsi"/>
        </w:rPr>
        <w:t>,</w:t>
      </w:r>
      <w:r w:rsidR="00664AB4" w:rsidRPr="003762F3">
        <w:rPr>
          <w:rFonts w:cstheme="minorHAnsi"/>
        </w:rPr>
        <w:t xml:space="preserve"> and</w:t>
      </w:r>
      <w:r w:rsidR="00664AB4">
        <w:rPr>
          <w:rFonts w:cstheme="minorHAnsi"/>
        </w:rPr>
        <w:t xml:space="preserve"> </w:t>
      </w:r>
      <w:r w:rsidR="00154DB3">
        <w:rPr>
          <w:rFonts w:cstheme="minorHAnsi"/>
        </w:rPr>
        <w:t xml:space="preserve">that </w:t>
      </w:r>
      <w:r w:rsidR="00664AB4">
        <w:rPr>
          <w:rFonts w:cstheme="minorHAnsi"/>
        </w:rPr>
        <w:t>a</w:t>
      </w:r>
      <w:r w:rsidR="00664AB4" w:rsidRPr="003762F3">
        <w:rPr>
          <w:rFonts w:cstheme="minorHAnsi"/>
        </w:rPr>
        <w:t xml:space="preserve"> structure with one or more middle tiers of regional packages offers flexibility advantages without significant increases in complexity or reductions in transparency or computational complexity</w:t>
      </w:r>
      <w:r w:rsidR="00D11A8B">
        <w:rPr>
          <w:rFonts w:cstheme="minorHAnsi"/>
        </w:rPr>
        <w:t>.</w:t>
      </w:r>
      <w:r w:rsidR="00154DB3">
        <w:rPr>
          <w:rStyle w:val="FootnoteReference"/>
          <w:rFonts w:cstheme="minorHAnsi"/>
        </w:rPr>
        <w:footnoteReference w:id="179"/>
      </w:r>
      <w:r w:rsidR="00D11A8B">
        <w:rPr>
          <w:rFonts w:cstheme="minorHAnsi"/>
        </w:rPr>
        <w:t xml:space="preserve">  </w:t>
      </w:r>
      <w:r w:rsidR="00FC54ED">
        <w:rPr>
          <w:rFonts w:cstheme="minorHAnsi"/>
        </w:rPr>
        <w:t xml:space="preserve">Both </w:t>
      </w:r>
      <w:r w:rsidR="00E7626F">
        <w:t xml:space="preserve">AT&amp;T and Holt and Goeree </w:t>
      </w:r>
      <w:r w:rsidR="008A7909">
        <w:rPr>
          <w:rFonts w:cstheme="minorHAnsi"/>
        </w:rPr>
        <w:t>observe</w:t>
      </w:r>
      <w:r w:rsidR="00E7626F">
        <w:rPr>
          <w:rFonts w:cstheme="minorHAnsi"/>
        </w:rPr>
        <w:t xml:space="preserve"> that the</w:t>
      </w:r>
      <w:r w:rsidR="00E7626F" w:rsidRPr="00E7626F">
        <w:rPr>
          <w:rFonts w:cstheme="minorHAnsi"/>
        </w:rPr>
        <w:t xml:space="preserve"> proposed multi-round HPB auction format goes a long way towards solving </w:t>
      </w:r>
      <w:r w:rsidR="003F2FFD">
        <w:rPr>
          <w:rFonts w:cstheme="minorHAnsi"/>
        </w:rPr>
        <w:t xml:space="preserve">an </w:t>
      </w:r>
      <w:r w:rsidR="00E7626F" w:rsidRPr="00E7626F">
        <w:rPr>
          <w:rFonts w:cstheme="minorHAnsi"/>
        </w:rPr>
        <w:t>exposure pro</w:t>
      </w:r>
      <w:r w:rsidR="00950D1B">
        <w:rPr>
          <w:rFonts w:cstheme="minorHAnsi"/>
        </w:rPr>
        <w:t>blem, especially if more than two</w:t>
      </w:r>
      <w:r w:rsidR="00E7626F" w:rsidRPr="00E7626F">
        <w:rPr>
          <w:rFonts w:cstheme="minorHAnsi"/>
        </w:rPr>
        <w:t xml:space="preserve"> tiers are used</w:t>
      </w:r>
      <w:r w:rsidR="00E7626F">
        <w:rPr>
          <w:rFonts w:cstheme="minorHAnsi"/>
        </w:rPr>
        <w:t>.</w:t>
      </w:r>
      <w:r w:rsidR="00E7626F">
        <w:rPr>
          <w:rStyle w:val="FootnoteReference"/>
          <w:rFonts w:cstheme="minorHAnsi"/>
        </w:rPr>
        <w:footnoteReference w:id="180"/>
      </w:r>
      <w:r w:rsidR="00E7626F">
        <w:rPr>
          <w:rFonts w:cstheme="minorHAnsi"/>
        </w:rPr>
        <w:t xml:space="preserve">  </w:t>
      </w:r>
      <w:r w:rsidR="00D11A8B">
        <w:rPr>
          <w:rFonts w:cstheme="minorHAnsi"/>
        </w:rPr>
        <w:t xml:space="preserve">AT&amp;T further notes that </w:t>
      </w:r>
      <w:r w:rsidR="000A228F">
        <w:rPr>
          <w:rFonts w:cstheme="minorHAnsi"/>
        </w:rPr>
        <w:t xml:space="preserve">our proposal to </w:t>
      </w:r>
      <w:r w:rsidR="00D11A8B">
        <w:rPr>
          <w:rFonts w:cstheme="minorHAnsi"/>
        </w:rPr>
        <w:t>o</w:t>
      </w:r>
      <w:r w:rsidR="00D11A8B" w:rsidRPr="00D866C6">
        <w:rPr>
          <w:rFonts w:cstheme="minorHAnsi"/>
        </w:rPr>
        <w:t xml:space="preserve">ffer </w:t>
      </w:r>
      <w:r w:rsidR="000A228F">
        <w:rPr>
          <w:rFonts w:cstheme="minorHAnsi"/>
        </w:rPr>
        <w:t xml:space="preserve">pre-defined, </w:t>
      </w:r>
      <w:r w:rsidR="00D11A8B" w:rsidRPr="00D866C6">
        <w:rPr>
          <w:rFonts w:cstheme="minorHAnsi"/>
        </w:rPr>
        <w:t>non-overlapping packages would greatly simplify the process of determining the provisionally winning bid in a</w:t>
      </w:r>
      <w:r w:rsidR="00D11A8B">
        <w:rPr>
          <w:rFonts w:cstheme="minorHAnsi"/>
        </w:rPr>
        <w:t>n</w:t>
      </w:r>
      <w:r w:rsidR="00D11A8B" w:rsidRPr="00D866C6">
        <w:rPr>
          <w:rFonts w:cstheme="minorHAnsi"/>
        </w:rPr>
        <w:t xml:space="preserve"> EA</w:t>
      </w:r>
      <w:r w:rsidR="000A228F">
        <w:rPr>
          <w:rFonts w:cstheme="minorHAnsi"/>
        </w:rPr>
        <w:t xml:space="preserve"> (as compared to other package bidding formats)</w:t>
      </w:r>
      <w:r w:rsidR="00D11A8B" w:rsidRPr="00D866C6">
        <w:rPr>
          <w:rFonts w:cstheme="minorHAnsi"/>
        </w:rPr>
        <w:t xml:space="preserve"> </w:t>
      </w:r>
      <w:r w:rsidR="00D11A8B">
        <w:rPr>
          <w:rFonts w:cstheme="minorHAnsi"/>
        </w:rPr>
        <w:t xml:space="preserve">and </w:t>
      </w:r>
      <w:r w:rsidR="00E7626F">
        <w:rPr>
          <w:rFonts w:cstheme="minorHAnsi"/>
        </w:rPr>
        <w:t xml:space="preserve">that </w:t>
      </w:r>
      <w:r w:rsidR="00D11A8B">
        <w:rPr>
          <w:rFonts w:cstheme="minorHAnsi"/>
        </w:rPr>
        <w:t>this</w:t>
      </w:r>
      <w:r w:rsidR="00D11A8B" w:rsidRPr="00D866C6">
        <w:rPr>
          <w:rFonts w:cstheme="minorHAnsi"/>
        </w:rPr>
        <w:t xml:space="preserve"> reduced computational complexity should prov</w:t>
      </w:r>
      <w:r w:rsidR="00D11A8B">
        <w:rPr>
          <w:rFonts w:cstheme="minorHAnsi"/>
        </w:rPr>
        <w:t>ide for transparency</w:t>
      </w:r>
      <w:r w:rsidR="00E7626F">
        <w:rPr>
          <w:rFonts w:cstheme="minorHAnsi"/>
        </w:rPr>
        <w:t>.</w:t>
      </w:r>
      <w:r w:rsidR="00E7626F">
        <w:rPr>
          <w:rStyle w:val="FootnoteReference"/>
          <w:rFonts w:cstheme="minorHAnsi"/>
        </w:rPr>
        <w:footnoteReference w:id="181"/>
      </w:r>
      <w:r w:rsidR="00E7626F">
        <w:t xml:space="preserve">  </w:t>
      </w:r>
    </w:p>
    <w:p w:rsidR="00C83CA0" w:rsidRDefault="003822EE" w:rsidP="00F06450">
      <w:pPr>
        <w:pStyle w:val="ParaNum"/>
        <w:widowControl/>
        <w:tabs>
          <w:tab w:val="clear" w:pos="1260"/>
          <w:tab w:val="left" w:pos="1440"/>
        </w:tabs>
        <w:ind w:left="0"/>
      </w:pPr>
      <w:r>
        <w:rPr>
          <w:rFonts w:cs="Calibri"/>
          <w:bCs/>
        </w:rPr>
        <w:t>W</w:t>
      </w:r>
      <w:r w:rsidR="0086346F">
        <w:rPr>
          <w:rFonts w:cs="Calibri"/>
          <w:bCs/>
        </w:rPr>
        <w:t xml:space="preserve">e conclude based </w:t>
      </w:r>
      <w:r w:rsidR="009F0405" w:rsidRPr="00D43CF2">
        <w:rPr>
          <w:rFonts w:cs="Calibri"/>
          <w:bCs/>
        </w:rPr>
        <w:t xml:space="preserve">on the record </w:t>
      </w:r>
      <w:r w:rsidR="009F0405">
        <w:rPr>
          <w:rFonts w:cs="Calibri"/>
          <w:bCs/>
        </w:rPr>
        <w:t xml:space="preserve">and </w:t>
      </w:r>
      <w:r w:rsidR="00892C9D">
        <w:rPr>
          <w:szCs w:val="22"/>
        </w:rPr>
        <w:t>i</w:t>
      </w:r>
      <w:r w:rsidR="00160A48" w:rsidRPr="007A0519">
        <w:rPr>
          <w:szCs w:val="22"/>
        </w:rPr>
        <w:t xml:space="preserve">n </w:t>
      </w:r>
      <w:r w:rsidR="00892C9D">
        <w:rPr>
          <w:szCs w:val="22"/>
        </w:rPr>
        <w:t xml:space="preserve">light of </w:t>
      </w:r>
      <w:r w:rsidR="00160A48" w:rsidRPr="007A0519">
        <w:rPr>
          <w:szCs w:val="22"/>
        </w:rPr>
        <w:t xml:space="preserve">our experience with previous spectrum auctions, </w:t>
      </w:r>
      <w:r w:rsidR="009F0405">
        <w:rPr>
          <w:szCs w:val="22"/>
        </w:rPr>
        <w:t>including auctions of A</w:t>
      </w:r>
      <w:r w:rsidR="00C405BF">
        <w:rPr>
          <w:szCs w:val="22"/>
        </w:rPr>
        <w:t xml:space="preserve">dvanced </w:t>
      </w:r>
      <w:r w:rsidR="009F0405">
        <w:rPr>
          <w:szCs w:val="22"/>
        </w:rPr>
        <w:t>W</w:t>
      </w:r>
      <w:r w:rsidR="00C405BF">
        <w:rPr>
          <w:szCs w:val="22"/>
        </w:rPr>
        <w:t xml:space="preserve">ireless Service </w:t>
      </w:r>
      <w:r w:rsidR="0086346F">
        <w:rPr>
          <w:szCs w:val="22"/>
        </w:rPr>
        <w:t xml:space="preserve">(“AWS”) </w:t>
      </w:r>
      <w:r w:rsidR="009F0405">
        <w:rPr>
          <w:szCs w:val="22"/>
        </w:rPr>
        <w:t>and P</w:t>
      </w:r>
      <w:r w:rsidR="00C405BF">
        <w:rPr>
          <w:szCs w:val="22"/>
        </w:rPr>
        <w:t xml:space="preserve">ersonal </w:t>
      </w:r>
      <w:r w:rsidR="009F0405">
        <w:rPr>
          <w:szCs w:val="22"/>
        </w:rPr>
        <w:t>C</w:t>
      </w:r>
      <w:r w:rsidR="00C405BF">
        <w:rPr>
          <w:szCs w:val="22"/>
        </w:rPr>
        <w:t xml:space="preserve">ommunications </w:t>
      </w:r>
      <w:r w:rsidR="009F0405">
        <w:rPr>
          <w:szCs w:val="22"/>
        </w:rPr>
        <w:t>S</w:t>
      </w:r>
      <w:r w:rsidR="00C405BF">
        <w:rPr>
          <w:szCs w:val="22"/>
        </w:rPr>
        <w:t>ervice</w:t>
      </w:r>
      <w:r w:rsidR="0086346F">
        <w:rPr>
          <w:szCs w:val="22"/>
        </w:rPr>
        <w:t xml:space="preserve"> (“PCS”)</w:t>
      </w:r>
      <w:r w:rsidR="009F0405">
        <w:rPr>
          <w:szCs w:val="22"/>
        </w:rPr>
        <w:t xml:space="preserve"> licenses, that </w:t>
      </w:r>
      <w:r w:rsidR="00C405BF">
        <w:rPr>
          <w:szCs w:val="22"/>
        </w:rPr>
        <w:t>a</w:t>
      </w:r>
      <w:r w:rsidR="009F0405">
        <w:rPr>
          <w:szCs w:val="22"/>
        </w:rPr>
        <w:t xml:space="preserve"> </w:t>
      </w:r>
      <w:r w:rsidR="009F0405">
        <w:rPr>
          <w:rFonts w:cs="Calibri"/>
          <w:bCs/>
        </w:rPr>
        <w:t xml:space="preserve">standard </w:t>
      </w:r>
      <w:r w:rsidR="009F0405" w:rsidRPr="00D43CF2">
        <w:rPr>
          <w:rFonts w:cs="Calibri"/>
          <w:bCs/>
        </w:rPr>
        <w:t xml:space="preserve">SMR auction </w:t>
      </w:r>
      <w:r w:rsidR="00160A48" w:rsidRPr="007A0519">
        <w:rPr>
          <w:szCs w:val="22"/>
        </w:rPr>
        <w:t xml:space="preserve">format </w:t>
      </w:r>
      <w:r w:rsidR="0086346F">
        <w:rPr>
          <w:szCs w:val="22"/>
        </w:rPr>
        <w:t xml:space="preserve">will </w:t>
      </w:r>
      <w:r w:rsidR="00A721A6" w:rsidRPr="00D43CF2">
        <w:rPr>
          <w:rFonts w:cs="Calibri"/>
          <w:bCs/>
        </w:rPr>
        <w:t xml:space="preserve">offer </w:t>
      </w:r>
      <w:r w:rsidR="0040241C">
        <w:rPr>
          <w:rFonts w:cs="Calibri"/>
          <w:bCs/>
        </w:rPr>
        <w:t xml:space="preserve">adequate </w:t>
      </w:r>
      <w:r w:rsidR="002458DD" w:rsidRPr="00D43CF2">
        <w:rPr>
          <w:rFonts w:cs="Calibri"/>
        </w:rPr>
        <w:t>opportunit</w:t>
      </w:r>
      <w:r w:rsidR="00207A04">
        <w:rPr>
          <w:rFonts w:cs="Calibri"/>
        </w:rPr>
        <w:t>y</w:t>
      </w:r>
      <w:r w:rsidR="002458DD" w:rsidRPr="00D43CF2">
        <w:rPr>
          <w:rFonts w:cs="Calibri"/>
        </w:rPr>
        <w:t xml:space="preserve"> for bidders to aggregate licenses in order to obtain </w:t>
      </w:r>
      <w:r w:rsidR="002458DD">
        <w:rPr>
          <w:rFonts w:cs="Calibri"/>
        </w:rPr>
        <w:t>the level of</w:t>
      </w:r>
      <w:r w:rsidR="002458DD" w:rsidRPr="00D43CF2">
        <w:rPr>
          <w:rFonts w:cs="Calibri"/>
        </w:rPr>
        <w:t xml:space="preserve"> coverage</w:t>
      </w:r>
      <w:r w:rsidR="002458DD">
        <w:rPr>
          <w:rFonts w:cs="Calibri"/>
        </w:rPr>
        <w:t xml:space="preserve"> they desire consistent with their business plans</w:t>
      </w:r>
      <w:r w:rsidR="00264F7D" w:rsidRPr="00666DFB">
        <w:rPr>
          <w:szCs w:val="22"/>
        </w:rPr>
        <w:t>.</w:t>
      </w:r>
      <w:r w:rsidR="002B0C15" w:rsidRPr="00666DFB">
        <w:rPr>
          <w:szCs w:val="22"/>
        </w:rPr>
        <w:t xml:space="preserve"> </w:t>
      </w:r>
      <w:r w:rsidR="00892C9D">
        <w:rPr>
          <w:szCs w:val="22"/>
        </w:rPr>
        <w:t xml:space="preserve"> Accordingly</w:t>
      </w:r>
      <w:r w:rsidR="00264F7D" w:rsidRPr="00666DFB">
        <w:rPr>
          <w:szCs w:val="22"/>
        </w:rPr>
        <w:t xml:space="preserve">, </w:t>
      </w:r>
      <w:r w:rsidR="00160A48" w:rsidRPr="00666DFB">
        <w:rPr>
          <w:szCs w:val="22"/>
        </w:rPr>
        <w:t xml:space="preserve">we </w:t>
      </w:r>
      <w:r w:rsidR="0086346F">
        <w:rPr>
          <w:szCs w:val="22"/>
        </w:rPr>
        <w:t xml:space="preserve">decline to implement </w:t>
      </w:r>
      <w:r w:rsidR="00FC54ED">
        <w:rPr>
          <w:szCs w:val="22"/>
        </w:rPr>
        <w:t xml:space="preserve">HPB, and </w:t>
      </w:r>
      <w:r w:rsidR="00892C9D">
        <w:rPr>
          <w:szCs w:val="22"/>
        </w:rPr>
        <w:t>will use</w:t>
      </w:r>
      <w:r w:rsidR="00160A48" w:rsidRPr="00666DFB">
        <w:rPr>
          <w:szCs w:val="22"/>
        </w:rPr>
        <w:t xml:space="preserve"> a </w:t>
      </w:r>
      <w:r w:rsidR="00FC54ED">
        <w:rPr>
          <w:szCs w:val="22"/>
        </w:rPr>
        <w:t xml:space="preserve">standard </w:t>
      </w:r>
      <w:r w:rsidR="001E0C26">
        <w:rPr>
          <w:szCs w:val="22"/>
        </w:rPr>
        <w:t>SMR</w:t>
      </w:r>
      <w:r w:rsidR="00160A48" w:rsidRPr="00666DFB">
        <w:rPr>
          <w:szCs w:val="22"/>
        </w:rPr>
        <w:t xml:space="preserve"> auction format</w:t>
      </w:r>
      <w:r w:rsidR="00160A48" w:rsidRPr="006B48F2" w:rsidDel="00160A48">
        <w:rPr>
          <w:szCs w:val="22"/>
        </w:rPr>
        <w:t xml:space="preserve"> </w:t>
      </w:r>
      <w:r w:rsidR="00160A48" w:rsidRPr="006B48F2">
        <w:rPr>
          <w:szCs w:val="22"/>
        </w:rPr>
        <w:t>for Auction 9</w:t>
      </w:r>
      <w:r w:rsidR="00530B79" w:rsidRPr="006B48F2">
        <w:rPr>
          <w:szCs w:val="22"/>
        </w:rPr>
        <w:t>6</w:t>
      </w:r>
      <w:r w:rsidR="00C9558E" w:rsidRPr="006B48F2">
        <w:rPr>
          <w:szCs w:val="22"/>
        </w:rPr>
        <w:t>.</w:t>
      </w:r>
      <w:r w:rsidR="00AA3CA6">
        <w:rPr>
          <w:rStyle w:val="FootnoteReference"/>
          <w:szCs w:val="22"/>
        </w:rPr>
        <w:footnoteReference w:id="182"/>
      </w:r>
      <w:r w:rsidR="00C9558E" w:rsidRPr="006B48F2">
        <w:rPr>
          <w:szCs w:val="22"/>
        </w:rPr>
        <w:t xml:space="preserve">  </w:t>
      </w:r>
      <w:r>
        <w:t>B</w:t>
      </w:r>
      <w:r w:rsidR="00487A53" w:rsidRPr="00AA2B80">
        <w:t xml:space="preserve">ids will be accepted on all </w:t>
      </w:r>
      <w:r w:rsidR="005A1C76">
        <w:t>licenses</w:t>
      </w:r>
      <w:r w:rsidR="00487A53" w:rsidRPr="00AA2B80">
        <w:t xml:space="preserve"> in each round of the auction until bidding stops on every </w:t>
      </w:r>
      <w:r w:rsidR="005A1C76">
        <w:t>license</w:t>
      </w:r>
      <w:r>
        <w:t xml:space="preserve"> unless otherwise announced</w:t>
      </w:r>
      <w:r w:rsidR="00AA0293" w:rsidRPr="001C2E9C">
        <w:t>.</w:t>
      </w:r>
      <w:bookmarkStart w:id="2996" w:name="_Toc483218162"/>
      <w:bookmarkStart w:id="2997" w:name="_Toc109812262"/>
      <w:bookmarkStart w:id="2998" w:name="_Toc124844771"/>
      <w:bookmarkStart w:id="2999" w:name="_Toc124844899"/>
      <w:bookmarkStart w:id="3000" w:name="_Toc124845558"/>
      <w:bookmarkStart w:id="3001" w:name="_Toc124845826"/>
      <w:bookmarkStart w:id="3002" w:name="_Toc124845900"/>
      <w:bookmarkStart w:id="3003" w:name="_Toc124845974"/>
      <w:bookmarkStart w:id="3004" w:name="_Toc124846146"/>
      <w:bookmarkStart w:id="3005" w:name="_Toc124848269"/>
      <w:bookmarkStart w:id="3006" w:name="_Toc124907520"/>
      <w:bookmarkStart w:id="3007" w:name="_Toc129773486"/>
      <w:bookmarkStart w:id="3008" w:name="_Toc130210024"/>
      <w:bookmarkStart w:id="3009" w:name="_Toc130730953"/>
      <w:bookmarkStart w:id="3010" w:name="_Toc130814181"/>
      <w:bookmarkStart w:id="3011" w:name="_Toc130814503"/>
      <w:bookmarkStart w:id="3012" w:name="_Toc130814635"/>
      <w:bookmarkStart w:id="3013" w:name="_Toc130883518"/>
      <w:bookmarkStart w:id="3014" w:name="_Toc130885626"/>
      <w:bookmarkStart w:id="3015" w:name="_Toc131844605"/>
      <w:bookmarkStart w:id="3016" w:name="_Toc148330543"/>
      <w:bookmarkStart w:id="3017" w:name="_Toc148332144"/>
      <w:bookmarkStart w:id="3018" w:name="_Toc148332216"/>
      <w:bookmarkStart w:id="3019" w:name="_Toc148332290"/>
      <w:bookmarkStart w:id="3020" w:name="_Toc148332367"/>
      <w:bookmarkStart w:id="3021" w:name="_Toc148332444"/>
      <w:bookmarkStart w:id="3022" w:name="_Toc148332521"/>
      <w:bookmarkStart w:id="3023" w:name="_Toc148332596"/>
      <w:bookmarkStart w:id="3024" w:name="_Toc148332669"/>
      <w:bookmarkStart w:id="3025" w:name="_Toc148332765"/>
      <w:bookmarkStart w:id="3026" w:name="_Toc148332899"/>
      <w:bookmarkStart w:id="3027" w:name="_Toc148333101"/>
      <w:bookmarkStart w:id="3028" w:name="_Toc148333234"/>
      <w:bookmarkStart w:id="3029" w:name="_Toc148333653"/>
      <w:bookmarkStart w:id="3030" w:name="_Toc148334266"/>
      <w:bookmarkStart w:id="3031" w:name="_Toc148335780"/>
      <w:bookmarkStart w:id="3032" w:name="_Toc148336313"/>
      <w:bookmarkStart w:id="3033" w:name="_Toc148337754"/>
      <w:bookmarkStart w:id="3034" w:name="_Toc148338077"/>
      <w:bookmarkStart w:id="3035" w:name="_Toc148339787"/>
      <w:bookmarkStart w:id="3036" w:name="_Toc148339884"/>
      <w:bookmarkStart w:id="3037" w:name="_Toc149645592"/>
      <w:bookmarkStart w:id="3038" w:name="_Toc149997895"/>
      <w:bookmarkStart w:id="3039" w:name="_Toc158180772"/>
      <w:bookmarkStart w:id="3040" w:name="_Toc158785620"/>
      <w:bookmarkStart w:id="3041" w:name="_Toc178768523"/>
      <w:bookmarkStart w:id="3042" w:name="_Toc179195964"/>
      <w:bookmarkStart w:id="3043" w:name="_Toc179361908"/>
      <w:bookmarkStart w:id="3044" w:name="_Toc179363692"/>
      <w:r>
        <w:rPr>
          <w:rStyle w:val="FootnoteReference"/>
        </w:rPr>
        <w:footnoteReference w:id="183"/>
      </w:r>
      <w:r w:rsidR="009F0405">
        <w:t xml:space="preserve">  </w:t>
      </w:r>
    </w:p>
    <w:p w:rsidR="001E0C26" w:rsidRDefault="003822EE" w:rsidP="003822EE">
      <w:pPr>
        <w:pStyle w:val="ParaNum"/>
        <w:widowControl/>
        <w:tabs>
          <w:tab w:val="clear" w:pos="1260"/>
          <w:tab w:val="left" w:pos="1440"/>
        </w:tabs>
        <w:ind w:left="0"/>
      </w:pPr>
      <w:r w:rsidRPr="003822EE">
        <w:rPr>
          <w:szCs w:val="22"/>
        </w:rPr>
        <w:t>I</w:t>
      </w:r>
      <w:r w:rsidR="00F06450" w:rsidRPr="003822EE">
        <w:rPr>
          <w:szCs w:val="22"/>
        </w:rPr>
        <w:t xml:space="preserve">n the </w:t>
      </w:r>
      <w:r w:rsidR="00F06450" w:rsidRPr="003822EE">
        <w:rPr>
          <w:i/>
          <w:szCs w:val="22"/>
        </w:rPr>
        <w:t>Auction</w:t>
      </w:r>
      <w:r w:rsidR="00F06450" w:rsidRPr="003822EE" w:rsidDel="008B3F0F">
        <w:rPr>
          <w:i/>
          <w:szCs w:val="22"/>
        </w:rPr>
        <w:t xml:space="preserve"> </w:t>
      </w:r>
      <w:r w:rsidR="00F06450" w:rsidRPr="003822EE">
        <w:rPr>
          <w:i/>
          <w:szCs w:val="22"/>
        </w:rPr>
        <w:t>96 Comment Public Notice</w:t>
      </w:r>
      <w:r w:rsidRPr="003822EE">
        <w:rPr>
          <w:szCs w:val="22"/>
        </w:rPr>
        <w:t>, the Bureau alternatively proposed</w:t>
      </w:r>
      <w:r w:rsidR="00F06450" w:rsidRPr="003822EE">
        <w:rPr>
          <w:szCs w:val="22"/>
        </w:rPr>
        <w:t xml:space="preserve"> to conduct Auction 96 as a single round sealed bid </w:t>
      </w:r>
      <w:r w:rsidR="007F7A14" w:rsidRPr="003702FD">
        <w:rPr>
          <w:szCs w:val="22"/>
        </w:rPr>
        <w:t xml:space="preserve">(“SRSB”) </w:t>
      </w:r>
      <w:r w:rsidR="00F06450" w:rsidRPr="00FC57E4">
        <w:rPr>
          <w:szCs w:val="22"/>
        </w:rPr>
        <w:t xml:space="preserve">auction, </w:t>
      </w:r>
      <w:r w:rsidR="007A0519" w:rsidRPr="00FC57E4">
        <w:rPr>
          <w:szCs w:val="22"/>
        </w:rPr>
        <w:t xml:space="preserve">given that Auction 96 offers only a single spectrum block and </w:t>
      </w:r>
      <w:r w:rsidR="00617FCD" w:rsidRPr="00A95726">
        <w:rPr>
          <w:szCs w:val="22"/>
        </w:rPr>
        <w:t xml:space="preserve">that </w:t>
      </w:r>
      <w:r w:rsidR="007A0519" w:rsidRPr="00A95726">
        <w:rPr>
          <w:szCs w:val="22"/>
        </w:rPr>
        <w:t xml:space="preserve">a single round auction </w:t>
      </w:r>
      <w:r w:rsidR="008B38E6">
        <w:rPr>
          <w:szCs w:val="22"/>
        </w:rPr>
        <w:t>might</w:t>
      </w:r>
      <w:r w:rsidR="007A0519" w:rsidRPr="00A95726">
        <w:rPr>
          <w:szCs w:val="22"/>
        </w:rPr>
        <w:t xml:space="preserve"> simpl</w:t>
      </w:r>
      <w:r w:rsidR="00617FCD" w:rsidRPr="00A95726">
        <w:rPr>
          <w:szCs w:val="22"/>
        </w:rPr>
        <w:t>if</w:t>
      </w:r>
      <w:r w:rsidR="007A0519" w:rsidRPr="00A95726">
        <w:rPr>
          <w:szCs w:val="22"/>
        </w:rPr>
        <w:t>y the process for bidders and reduce auction participation costs.</w:t>
      </w:r>
      <w:r w:rsidR="007A0519">
        <w:rPr>
          <w:rStyle w:val="FootnoteReference"/>
          <w:szCs w:val="22"/>
        </w:rPr>
        <w:footnoteReference w:id="184"/>
      </w:r>
      <w:r w:rsidR="007A0519" w:rsidRPr="003822EE">
        <w:rPr>
          <w:szCs w:val="22"/>
        </w:rPr>
        <w:t xml:space="preserve"> </w:t>
      </w:r>
      <w:r w:rsidRPr="003822EE">
        <w:rPr>
          <w:szCs w:val="22"/>
        </w:rPr>
        <w:t xml:space="preserve"> </w:t>
      </w:r>
      <w:r w:rsidR="00617FCD" w:rsidRPr="003822EE">
        <w:rPr>
          <w:szCs w:val="22"/>
        </w:rPr>
        <w:t xml:space="preserve">The Bureau </w:t>
      </w:r>
      <w:r w:rsidR="00C83134" w:rsidRPr="003822EE">
        <w:rPr>
          <w:szCs w:val="22"/>
        </w:rPr>
        <w:t>sought comment on</w:t>
      </w:r>
      <w:r w:rsidR="00910904" w:rsidRPr="003822EE">
        <w:rPr>
          <w:szCs w:val="22"/>
        </w:rPr>
        <w:t xml:space="preserve"> </w:t>
      </w:r>
      <w:r w:rsidR="00C83134" w:rsidRPr="003822EE">
        <w:rPr>
          <w:szCs w:val="22"/>
        </w:rPr>
        <w:t xml:space="preserve">this alternative </w:t>
      </w:r>
      <w:r w:rsidR="00910904" w:rsidRPr="003822EE">
        <w:rPr>
          <w:szCs w:val="22"/>
        </w:rPr>
        <w:t xml:space="preserve">format </w:t>
      </w:r>
      <w:r w:rsidR="00C83134" w:rsidRPr="003822EE">
        <w:rPr>
          <w:szCs w:val="22"/>
        </w:rPr>
        <w:t xml:space="preserve">and on any others </w:t>
      </w:r>
      <w:r w:rsidR="00617FCD" w:rsidRPr="003822EE">
        <w:rPr>
          <w:szCs w:val="22"/>
        </w:rPr>
        <w:t>it</w:t>
      </w:r>
      <w:r w:rsidR="00C83134" w:rsidRPr="003822EE">
        <w:rPr>
          <w:szCs w:val="22"/>
        </w:rPr>
        <w:t xml:space="preserve"> should consider.</w:t>
      </w:r>
      <w:r w:rsidRPr="003822EE">
        <w:rPr>
          <w:szCs w:val="22"/>
        </w:rPr>
        <w:t xml:space="preserve">  </w:t>
      </w:r>
      <w:r w:rsidR="005840C2" w:rsidRPr="003822EE">
        <w:rPr>
          <w:rFonts w:cstheme="minorHAnsi"/>
        </w:rPr>
        <w:t xml:space="preserve">The four parties that took a position on our alternative </w:t>
      </w:r>
      <w:r w:rsidR="007F7A14" w:rsidRPr="003822EE">
        <w:rPr>
          <w:rFonts w:cstheme="minorHAnsi"/>
        </w:rPr>
        <w:t>SRSB</w:t>
      </w:r>
      <w:r w:rsidR="005840C2" w:rsidRPr="003822EE">
        <w:rPr>
          <w:rFonts w:cstheme="minorHAnsi"/>
        </w:rPr>
        <w:t xml:space="preserve"> auction format proposal </w:t>
      </w:r>
      <w:r w:rsidR="008B38E6">
        <w:rPr>
          <w:rFonts w:cstheme="minorHAnsi"/>
        </w:rPr>
        <w:t xml:space="preserve">all </w:t>
      </w:r>
      <w:r w:rsidR="00FF563E" w:rsidRPr="003822EE">
        <w:rPr>
          <w:rFonts w:cstheme="minorHAnsi"/>
        </w:rPr>
        <w:t>oppose it</w:t>
      </w:r>
      <w:r w:rsidR="005840C2" w:rsidRPr="003822EE">
        <w:rPr>
          <w:rFonts w:cstheme="minorHAnsi"/>
        </w:rPr>
        <w:t>.</w:t>
      </w:r>
      <w:r w:rsidR="00B50E57">
        <w:rPr>
          <w:rStyle w:val="FootnoteReference"/>
          <w:rFonts w:cstheme="minorHAnsi"/>
        </w:rPr>
        <w:footnoteReference w:id="185"/>
      </w:r>
      <w:r w:rsidR="005840C2" w:rsidRPr="003822EE">
        <w:rPr>
          <w:rFonts w:cstheme="minorHAnsi"/>
        </w:rPr>
        <w:t xml:space="preserve">  </w:t>
      </w:r>
      <w:r w:rsidR="007F7A14" w:rsidRPr="003822EE">
        <w:rPr>
          <w:szCs w:val="22"/>
        </w:rPr>
        <w:t>Given both t</w:t>
      </w:r>
      <w:r w:rsidR="001E0C26" w:rsidRPr="003822EE">
        <w:rPr>
          <w:szCs w:val="22"/>
        </w:rPr>
        <w:t>he lack of support in the record</w:t>
      </w:r>
      <w:r w:rsidR="00C511FB" w:rsidRPr="003822EE">
        <w:rPr>
          <w:szCs w:val="22"/>
        </w:rPr>
        <w:t xml:space="preserve"> for our</w:t>
      </w:r>
      <w:r w:rsidR="001E0C26" w:rsidRPr="003822EE">
        <w:rPr>
          <w:szCs w:val="22"/>
        </w:rPr>
        <w:t xml:space="preserve"> alternative </w:t>
      </w:r>
      <w:r w:rsidR="007F7A14" w:rsidRPr="003822EE">
        <w:rPr>
          <w:rFonts w:cstheme="minorHAnsi"/>
        </w:rPr>
        <w:t>SRSB</w:t>
      </w:r>
      <w:r w:rsidR="001E0C26" w:rsidRPr="003822EE">
        <w:rPr>
          <w:rFonts w:cstheme="minorHAnsi"/>
        </w:rPr>
        <w:t xml:space="preserve"> </w:t>
      </w:r>
      <w:r w:rsidR="007F7A14" w:rsidRPr="003822EE">
        <w:rPr>
          <w:rFonts w:cstheme="minorHAnsi"/>
        </w:rPr>
        <w:t xml:space="preserve">auction proposal and the overwhelming record support for the </w:t>
      </w:r>
      <w:r w:rsidR="007F7A14" w:rsidRPr="003702FD">
        <w:rPr>
          <w:szCs w:val="22"/>
        </w:rPr>
        <w:t xml:space="preserve">SMR </w:t>
      </w:r>
      <w:r w:rsidR="007F7A14" w:rsidRPr="00FC57E4">
        <w:rPr>
          <w:szCs w:val="22"/>
        </w:rPr>
        <w:t xml:space="preserve">auction format, we will not conduct Auction 96 as a SRSB </w:t>
      </w:r>
      <w:r w:rsidR="007F7A14" w:rsidRPr="00A95726">
        <w:rPr>
          <w:szCs w:val="22"/>
        </w:rPr>
        <w:t xml:space="preserve">auction, and will </w:t>
      </w:r>
      <w:r w:rsidR="00922318" w:rsidRPr="00A95726">
        <w:rPr>
          <w:szCs w:val="22"/>
        </w:rPr>
        <w:t>conduct the auction using</w:t>
      </w:r>
      <w:r w:rsidR="007F7A14" w:rsidRPr="00A95726">
        <w:rPr>
          <w:szCs w:val="22"/>
        </w:rPr>
        <w:t xml:space="preserve"> </w:t>
      </w:r>
      <w:r w:rsidR="00922318" w:rsidRPr="00137735">
        <w:rPr>
          <w:szCs w:val="22"/>
        </w:rPr>
        <w:t>a</w:t>
      </w:r>
      <w:r w:rsidR="007F7A14" w:rsidRPr="00137735">
        <w:rPr>
          <w:szCs w:val="22"/>
        </w:rPr>
        <w:t xml:space="preserve"> standard SMR format as discussed above</w:t>
      </w:r>
      <w:r w:rsidR="001E0C26" w:rsidRPr="00137735">
        <w:rPr>
          <w:rFonts w:cstheme="minorHAnsi"/>
        </w:rPr>
        <w:t>.</w:t>
      </w:r>
      <w:r w:rsidR="001E0C26" w:rsidRPr="00137735">
        <w:rPr>
          <w:szCs w:val="22"/>
        </w:rPr>
        <w:t xml:space="preserve"> </w:t>
      </w:r>
    </w:p>
    <w:p w:rsidR="005A1C76" w:rsidRDefault="005A1C76" w:rsidP="005A1C76">
      <w:pPr>
        <w:pStyle w:val="Heading3"/>
      </w:pPr>
      <w:bookmarkStart w:id="3045" w:name="_Toc348508772"/>
      <w:bookmarkStart w:id="3046" w:name="_Toc362256778"/>
      <w:bookmarkStart w:id="3047" w:name="_Toc366056536"/>
      <w:bookmarkStart w:id="3048" w:name="_Toc366223738"/>
      <w:bookmarkStart w:id="3049" w:name="_Toc366229451"/>
      <w:bookmarkStart w:id="3050" w:name="_Toc366583494"/>
      <w:r>
        <w:t>Limited Information Disclosure Procedures: Information Available to Bidders Before and During the Auction</w:t>
      </w:r>
      <w:bookmarkEnd w:id="3045"/>
      <w:bookmarkEnd w:id="3046"/>
      <w:bookmarkEnd w:id="3047"/>
      <w:bookmarkEnd w:id="3048"/>
      <w:bookmarkEnd w:id="3049"/>
      <w:bookmarkEnd w:id="3050"/>
    </w:p>
    <w:p w:rsidR="005A1C76" w:rsidRDefault="00950D1B" w:rsidP="005A1C76">
      <w:pPr>
        <w:pStyle w:val="ParaNum"/>
        <w:widowControl/>
        <w:tabs>
          <w:tab w:val="clear" w:pos="1260"/>
          <w:tab w:val="num" w:pos="1440"/>
        </w:tabs>
        <w:ind w:left="0"/>
        <w:rPr>
          <w:szCs w:val="22"/>
        </w:rPr>
      </w:pPr>
      <w:r>
        <w:rPr>
          <w:szCs w:val="22"/>
        </w:rPr>
        <w:t>Consistent with its practice in several prior wireless spectrum auctions, the Bureau proposed i</w:t>
      </w:r>
      <w:r w:rsidR="005A1C76">
        <w:rPr>
          <w:szCs w:val="22"/>
        </w:rPr>
        <w:t xml:space="preserve">n the </w:t>
      </w:r>
      <w:r w:rsidR="005A1C76">
        <w:rPr>
          <w:i/>
          <w:szCs w:val="22"/>
        </w:rPr>
        <w:t xml:space="preserve">Auction </w:t>
      </w:r>
      <w:r w:rsidR="00101BBC">
        <w:rPr>
          <w:i/>
          <w:szCs w:val="22"/>
        </w:rPr>
        <w:t>9</w:t>
      </w:r>
      <w:r w:rsidR="00530B79">
        <w:rPr>
          <w:i/>
          <w:szCs w:val="22"/>
        </w:rPr>
        <w:t>6</w:t>
      </w:r>
      <w:r w:rsidR="005A1C76">
        <w:rPr>
          <w:i/>
          <w:szCs w:val="22"/>
        </w:rPr>
        <w:t xml:space="preserve"> Comment Public Notice</w:t>
      </w:r>
      <w:r w:rsidR="005A1C76">
        <w:rPr>
          <w:szCs w:val="22"/>
        </w:rPr>
        <w:t xml:space="preserve"> to withhold, until after the close of bidding, public release of (1) bidders’ license selections on their short-form applications (FCC Form 175), (2) the amounts of bidders’ upfront payments and bidding eligibility, and (3) information that may reveal the identities of bidders placing bids and taking other bidding-related actions.</w:t>
      </w:r>
      <w:r w:rsidR="005A1C76">
        <w:rPr>
          <w:rStyle w:val="FootnoteReference"/>
          <w:szCs w:val="22"/>
        </w:rPr>
        <w:footnoteReference w:id="186"/>
      </w:r>
      <w:r w:rsidR="005A1C76">
        <w:rPr>
          <w:szCs w:val="22"/>
        </w:rPr>
        <w:t xml:space="preserve">  The Bureau sought comment on the proposal to implement anonymous bidding and on any alternatives for Auction 9</w:t>
      </w:r>
      <w:r w:rsidR="00530B79">
        <w:rPr>
          <w:szCs w:val="22"/>
        </w:rPr>
        <w:t>6</w:t>
      </w:r>
      <w:r w:rsidR="005A1C76">
        <w:rPr>
          <w:szCs w:val="22"/>
        </w:rPr>
        <w:t>.</w:t>
      </w:r>
      <w:r w:rsidR="005A1C76">
        <w:rPr>
          <w:rStyle w:val="FootnoteReference"/>
          <w:szCs w:val="22"/>
        </w:rPr>
        <w:footnoteReference w:id="187"/>
      </w:r>
    </w:p>
    <w:p w:rsidR="004A38D0" w:rsidRPr="008E49AE" w:rsidRDefault="00171574" w:rsidP="0005191E">
      <w:pPr>
        <w:pStyle w:val="ParaNum"/>
        <w:widowControl/>
        <w:tabs>
          <w:tab w:val="clear" w:pos="1260"/>
          <w:tab w:val="num" w:pos="1440"/>
        </w:tabs>
        <w:ind w:left="0"/>
      </w:pPr>
      <w:r w:rsidRPr="0005191E">
        <w:rPr>
          <w:szCs w:val="22"/>
        </w:rPr>
        <w:t xml:space="preserve">The Bureau received </w:t>
      </w:r>
      <w:r w:rsidR="00823B7C" w:rsidRPr="0005191E">
        <w:rPr>
          <w:szCs w:val="22"/>
        </w:rPr>
        <w:t>several</w:t>
      </w:r>
      <w:r w:rsidRPr="0005191E">
        <w:rPr>
          <w:szCs w:val="22"/>
        </w:rPr>
        <w:t xml:space="preserve"> comment</w:t>
      </w:r>
      <w:r w:rsidR="00823B7C" w:rsidRPr="0005191E">
        <w:rPr>
          <w:szCs w:val="22"/>
        </w:rPr>
        <w:t>s</w:t>
      </w:r>
      <w:r w:rsidRPr="0005191E">
        <w:rPr>
          <w:szCs w:val="22"/>
        </w:rPr>
        <w:t xml:space="preserve"> on </w:t>
      </w:r>
      <w:r w:rsidR="00823B7C" w:rsidRPr="0005191E">
        <w:rPr>
          <w:szCs w:val="22"/>
        </w:rPr>
        <w:t>its</w:t>
      </w:r>
      <w:r w:rsidRPr="0005191E">
        <w:rPr>
          <w:szCs w:val="22"/>
        </w:rPr>
        <w:t xml:space="preserve"> proposal</w:t>
      </w:r>
      <w:r w:rsidR="00823B7C" w:rsidRPr="0005191E">
        <w:rPr>
          <w:szCs w:val="22"/>
        </w:rPr>
        <w:t xml:space="preserve"> to use anonymous bidding procedures for Auction 96</w:t>
      </w:r>
      <w:r w:rsidR="00C14F2F" w:rsidRPr="0005191E">
        <w:rPr>
          <w:szCs w:val="22"/>
        </w:rPr>
        <w:t>,</w:t>
      </w:r>
      <w:r w:rsidR="00C14F2F" w:rsidRPr="0005191E">
        <w:rPr>
          <w:rFonts w:cs="Calibri"/>
        </w:rPr>
        <w:t xml:space="preserve"> both in support</w:t>
      </w:r>
      <w:r w:rsidR="00040F00">
        <w:rPr>
          <w:rStyle w:val="FootnoteReference"/>
          <w:rFonts w:cs="Calibri"/>
        </w:rPr>
        <w:footnoteReference w:id="188"/>
      </w:r>
      <w:r w:rsidR="00C14F2F" w:rsidRPr="0005191E">
        <w:rPr>
          <w:rFonts w:cs="Calibri"/>
        </w:rPr>
        <w:t xml:space="preserve"> and </w:t>
      </w:r>
      <w:r w:rsidR="00300099" w:rsidRPr="0005191E">
        <w:rPr>
          <w:rFonts w:cs="Calibri"/>
        </w:rPr>
        <w:t xml:space="preserve">in </w:t>
      </w:r>
      <w:r w:rsidR="00C14F2F" w:rsidRPr="0005191E">
        <w:rPr>
          <w:rFonts w:cs="Calibri"/>
        </w:rPr>
        <w:t>oppos</w:t>
      </w:r>
      <w:r w:rsidR="00300099" w:rsidRPr="0005191E">
        <w:rPr>
          <w:rFonts w:cs="Calibri"/>
        </w:rPr>
        <w:t>ition</w:t>
      </w:r>
      <w:r w:rsidRPr="0005191E">
        <w:rPr>
          <w:szCs w:val="22"/>
        </w:rPr>
        <w:t>.</w:t>
      </w:r>
      <w:r w:rsidR="00040F00">
        <w:rPr>
          <w:rStyle w:val="FootnoteReference"/>
          <w:szCs w:val="22"/>
        </w:rPr>
        <w:footnoteReference w:id="189"/>
      </w:r>
      <w:r w:rsidRPr="0005191E">
        <w:rPr>
          <w:szCs w:val="22"/>
        </w:rPr>
        <w:t xml:space="preserve">  </w:t>
      </w:r>
      <w:r w:rsidR="003822EE" w:rsidRPr="0005191E">
        <w:rPr>
          <w:rFonts w:cstheme="minorHAnsi"/>
        </w:rPr>
        <w:t xml:space="preserve">After carefully considering the record on this issue, we conclude that we will employ our standard anonymous bidding procedures </w:t>
      </w:r>
      <w:r w:rsidR="003822EE" w:rsidRPr="003702FD">
        <w:rPr>
          <w:rFonts w:cstheme="minorHAnsi"/>
        </w:rPr>
        <w:t>in Auction 96.</w:t>
      </w:r>
      <w:r w:rsidR="003822EE" w:rsidRPr="00FC57E4">
        <w:rPr>
          <w:rFonts w:cstheme="minorHAnsi"/>
        </w:rPr>
        <w:t xml:space="preserve">  We agree with commenters that assert that the anonymous bidding procedures used in past auctions help protect against </w:t>
      </w:r>
      <w:r w:rsidR="003822EE" w:rsidRPr="00A95726">
        <w:rPr>
          <w:rFonts w:cstheme="minorHAnsi"/>
        </w:rPr>
        <w:t>potential anticompetitive behavior such as</w:t>
      </w:r>
      <w:r w:rsidR="00040F00" w:rsidRPr="00A95726">
        <w:rPr>
          <w:rFonts w:cstheme="minorHAnsi"/>
        </w:rPr>
        <w:t xml:space="preserve"> retaliatory bidding</w:t>
      </w:r>
      <w:r w:rsidR="003822EE" w:rsidRPr="00137735">
        <w:rPr>
          <w:rFonts w:cstheme="minorHAnsi"/>
        </w:rPr>
        <w:t xml:space="preserve"> and collusion</w:t>
      </w:r>
      <w:r w:rsidR="00040F00" w:rsidRPr="00137735">
        <w:rPr>
          <w:rFonts w:cstheme="minorHAnsi"/>
        </w:rPr>
        <w:t>.</w:t>
      </w:r>
      <w:r w:rsidR="00040F00">
        <w:rPr>
          <w:rStyle w:val="FootnoteReference"/>
          <w:rFonts w:cstheme="minorHAnsi"/>
        </w:rPr>
        <w:footnoteReference w:id="190"/>
      </w:r>
      <w:r w:rsidR="00194AA6" w:rsidRPr="0005191E">
        <w:rPr>
          <w:rFonts w:cstheme="minorHAnsi"/>
        </w:rPr>
        <w:t xml:space="preserve">  </w:t>
      </w:r>
      <w:r w:rsidR="002137AC" w:rsidRPr="0005191E">
        <w:rPr>
          <w:rFonts w:cstheme="minorHAnsi"/>
        </w:rPr>
        <w:t>We find that the competitive benefits associated with anonymous bidding outweigh the potential benefits of full information disclosure</w:t>
      </w:r>
      <w:r w:rsidR="009C55D8">
        <w:rPr>
          <w:rFonts w:cstheme="minorHAnsi"/>
        </w:rPr>
        <w:t>, particularly in this case where we offer one block of spectrum licenses,</w:t>
      </w:r>
      <w:r w:rsidR="002137AC" w:rsidRPr="0005191E">
        <w:rPr>
          <w:rFonts w:cstheme="minorHAnsi"/>
        </w:rPr>
        <w:t xml:space="preserve"> and th</w:t>
      </w:r>
      <w:r w:rsidR="002137AC" w:rsidRPr="003702FD">
        <w:rPr>
          <w:rFonts w:cstheme="minorHAnsi"/>
        </w:rPr>
        <w:t>erefore reject the assertions of opponents of anonymous bidding, who argue that anonymous bidding procedures are</w:t>
      </w:r>
      <w:r w:rsidR="002137AC" w:rsidRPr="00FC57E4">
        <w:rPr>
          <w:rFonts w:cstheme="minorHAnsi"/>
        </w:rPr>
        <w:t xml:space="preserve"> unnecessary or harmful to smaller bidders</w:t>
      </w:r>
      <w:r w:rsidR="00194AA6" w:rsidRPr="007164D5">
        <w:t>.</w:t>
      </w:r>
      <w:r w:rsidR="00194AA6" w:rsidRPr="007164D5">
        <w:rPr>
          <w:rStyle w:val="FootnoteReference"/>
        </w:rPr>
        <w:footnoteReference w:id="191"/>
      </w:r>
      <w:r w:rsidR="003058B2">
        <w:t xml:space="preserve"> </w:t>
      </w:r>
    </w:p>
    <w:p w:rsidR="00030A32" w:rsidRPr="00886406" w:rsidRDefault="0041422C" w:rsidP="00886406">
      <w:pPr>
        <w:pStyle w:val="ParaNum"/>
        <w:widowControl/>
        <w:tabs>
          <w:tab w:val="clear" w:pos="1260"/>
          <w:tab w:val="num" w:pos="1440"/>
        </w:tabs>
        <w:ind w:left="0"/>
        <w:rPr>
          <w:szCs w:val="22"/>
        </w:rPr>
      </w:pPr>
      <w:r>
        <w:rPr>
          <w:szCs w:val="22"/>
        </w:rPr>
        <w:t xml:space="preserve">We therefore </w:t>
      </w:r>
      <w:r w:rsidR="005A1C76" w:rsidRPr="00886406">
        <w:rPr>
          <w:szCs w:val="22"/>
        </w:rPr>
        <w:t xml:space="preserve">adopt the limited information procedures proposed in the </w:t>
      </w:r>
      <w:r w:rsidR="005A1C76" w:rsidRPr="00886406">
        <w:rPr>
          <w:i/>
          <w:szCs w:val="22"/>
        </w:rPr>
        <w:t>Auction 9</w:t>
      </w:r>
      <w:r w:rsidR="00530B79" w:rsidRPr="00886406">
        <w:rPr>
          <w:i/>
          <w:szCs w:val="22"/>
        </w:rPr>
        <w:t>6</w:t>
      </w:r>
      <w:r w:rsidR="005A1C76" w:rsidRPr="00886406">
        <w:rPr>
          <w:i/>
          <w:szCs w:val="22"/>
        </w:rPr>
        <w:t xml:space="preserve"> Comment Public Notice</w:t>
      </w:r>
      <w:r w:rsidR="005A1C76" w:rsidRPr="00886406">
        <w:rPr>
          <w:szCs w:val="22"/>
        </w:rPr>
        <w:t>.</w:t>
      </w:r>
      <w:r w:rsidR="005A1C76">
        <w:rPr>
          <w:rStyle w:val="FootnoteReference"/>
          <w:szCs w:val="22"/>
        </w:rPr>
        <w:footnoteReference w:id="192"/>
      </w:r>
      <w:r w:rsidR="005A1C76" w:rsidRPr="00886406">
        <w:rPr>
          <w:szCs w:val="22"/>
        </w:rPr>
        <w:t xml:space="preserve">  </w:t>
      </w:r>
      <w:r w:rsidR="00886406">
        <w:rPr>
          <w:rFonts w:cs="Calibri"/>
        </w:rPr>
        <w:t>Nothing in the record persuades us that we should depart from the now-established Commission practice of implementing anonymous bidding procedures in wireless spectrum auctions.</w:t>
      </w:r>
      <w:r w:rsidR="00FC3A4F">
        <w:rPr>
          <w:rStyle w:val="FootnoteReference"/>
          <w:rFonts w:cs="Calibri"/>
        </w:rPr>
        <w:footnoteReference w:id="193"/>
      </w:r>
      <w:r w:rsidR="00886406">
        <w:rPr>
          <w:rFonts w:cs="Calibri"/>
        </w:rPr>
        <w:t xml:space="preserve"> </w:t>
      </w:r>
      <w:r w:rsidR="00636854">
        <w:rPr>
          <w:rFonts w:cs="Calibri"/>
        </w:rPr>
        <w:t xml:space="preserve"> </w:t>
      </w:r>
      <w:r w:rsidR="005A1C76" w:rsidRPr="00636854">
        <w:rPr>
          <w:szCs w:val="22"/>
        </w:rPr>
        <w:t>Thus</w:t>
      </w:r>
      <w:r w:rsidR="005A1C76" w:rsidRPr="00886406">
        <w:rPr>
          <w:szCs w:val="22"/>
        </w:rPr>
        <w:t>, after the conclusion of each round, the Bureau will disclose all relevant information about the bids placed and/or withdrawn except the identities of the bidders performing the actions and the net amounts of the bids placed or withdrawn.  As in past auctions conducted with limited information procedures, the Bureau will indicate, for each license, the minimum acceptable bid amount for the next round and whether the license has a provisionally winning bid.  After each round, the Bureau will also release, for each license, the number of bidders that placed a bid on the license.  Furthermore, the Bureau will indicate whether any proactive waivers were submitted in each round, and the Bureau will release the stage transition percentage – the percentages of licenses (as measured in bidding units) on which there were new bids – for the round.  In addition, bidders can log in to the FCC Auction System to see, after each round, whether their own bids are provisionally winning.  The Bureau will provide descriptions and/or samples of publicly-available and bidder-specific (non-public) results files prior to the start of the auction.</w:t>
      </w:r>
    </w:p>
    <w:p w:rsidR="005A1C76" w:rsidRDefault="005A1C76" w:rsidP="005A1C76">
      <w:pPr>
        <w:pStyle w:val="ParaNum"/>
        <w:widowControl/>
        <w:tabs>
          <w:tab w:val="clear" w:pos="1260"/>
          <w:tab w:val="num" w:pos="1440"/>
        </w:tabs>
        <w:ind w:left="0"/>
        <w:rPr>
          <w:szCs w:val="22"/>
        </w:rPr>
      </w:pPr>
      <w:r>
        <w:t>T</w:t>
      </w:r>
      <w:r w:rsidRPr="00B35C87">
        <w:rPr>
          <w:szCs w:val="22"/>
        </w:rPr>
        <w:t>he Bureau</w:t>
      </w:r>
      <w:r>
        <w:rPr>
          <w:szCs w:val="22"/>
        </w:rPr>
        <w:t>, however, retains</w:t>
      </w:r>
      <w:r w:rsidRPr="00B35C87">
        <w:rPr>
          <w:szCs w:val="22"/>
        </w:rPr>
        <w:t xml:space="preserve"> the discretion not to use limited information procedures if</w:t>
      </w:r>
      <w:r>
        <w:rPr>
          <w:szCs w:val="22"/>
        </w:rPr>
        <w:t xml:space="preserve"> the Bureau, after examining the level of potential competition </w:t>
      </w:r>
      <w:r w:rsidR="0005191E">
        <w:rPr>
          <w:szCs w:val="22"/>
        </w:rPr>
        <w:t>based</w:t>
      </w:r>
      <w:r>
        <w:rPr>
          <w:szCs w:val="22"/>
        </w:rPr>
        <w:t xml:space="preserve"> on the short-form applications filed for Auction 9</w:t>
      </w:r>
      <w:r w:rsidR="00530B79">
        <w:rPr>
          <w:szCs w:val="22"/>
        </w:rPr>
        <w:t>6</w:t>
      </w:r>
      <w:r>
        <w:rPr>
          <w:szCs w:val="22"/>
        </w:rPr>
        <w:t>,</w:t>
      </w:r>
      <w:r w:rsidRPr="00B35C87">
        <w:rPr>
          <w:szCs w:val="22"/>
        </w:rPr>
        <w:t xml:space="preserve"> </w:t>
      </w:r>
      <w:r>
        <w:rPr>
          <w:szCs w:val="22"/>
        </w:rPr>
        <w:t xml:space="preserve">determines that the </w:t>
      </w:r>
      <w:r w:rsidRPr="00B35C87">
        <w:rPr>
          <w:szCs w:val="22"/>
        </w:rPr>
        <w:t>circumstances indicate that limited information procedures would not be an effective tool for deterring anti-competitive behavior</w:t>
      </w:r>
      <w:r w:rsidRPr="00766F92">
        <w:rPr>
          <w:szCs w:val="22"/>
        </w:rPr>
        <w:t>.  For example, if only two applicants become qualified to participate in the bidding, limited inf</w:t>
      </w:r>
      <w:r w:rsidRPr="00B35C87">
        <w:rPr>
          <w:szCs w:val="22"/>
        </w:rPr>
        <w:t>ormation procedures would be ineffective in preventing bidders from knowing the identity of the competing bidder and, therefore, limited information procedures would not serve to deter attempts at signaling and retaliatory bidding behavior</w:t>
      </w:r>
      <w:r>
        <w:rPr>
          <w:szCs w:val="22"/>
        </w:rPr>
        <w:t>.</w:t>
      </w:r>
    </w:p>
    <w:p w:rsidR="005A1C76" w:rsidRDefault="005A1C76" w:rsidP="005A1C76">
      <w:pPr>
        <w:pStyle w:val="ParaNum"/>
        <w:widowControl/>
        <w:tabs>
          <w:tab w:val="clear" w:pos="1260"/>
          <w:tab w:val="num" w:pos="1440"/>
        </w:tabs>
        <w:ind w:left="0"/>
        <w:rPr>
          <w:szCs w:val="22"/>
        </w:rPr>
      </w:pPr>
      <w:r>
        <w:rPr>
          <w:i/>
          <w:szCs w:val="22"/>
        </w:rPr>
        <w:t>Other Issues.</w:t>
      </w:r>
      <w:r>
        <w:rPr>
          <w:szCs w:val="22"/>
        </w:rPr>
        <w:t xml:space="preserve">  Information disclosure procedures established for this auction will not interfere with the administration of</w:t>
      </w:r>
      <w:r w:rsidR="008B38E6">
        <w:rPr>
          <w:szCs w:val="22"/>
        </w:rPr>
        <w:t>,</w:t>
      </w:r>
      <w:r>
        <w:rPr>
          <w:szCs w:val="22"/>
        </w:rPr>
        <w:t xml:space="preserve"> or compliance with</w:t>
      </w:r>
      <w:r w:rsidR="008B38E6">
        <w:rPr>
          <w:szCs w:val="22"/>
        </w:rPr>
        <w:t>,</w:t>
      </w:r>
      <w:r>
        <w:rPr>
          <w:szCs w:val="22"/>
        </w:rPr>
        <w:t xml:space="preserve"> the Commission’s prohibition of certain communications.  As described in more detail above, section 1.2105(c)(1) of the Commission’s rules provides that, after the short-form application filing deadline, all applicants for licenses in any of the same</w:t>
      </w:r>
      <w:r w:rsidR="00B17BD4">
        <w:rPr>
          <w:szCs w:val="22"/>
        </w:rPr>
        <w:t xml:space="preserve"> or overlapping</w:t>
      </w:r>
      <w:r>
        <w:rPr>
          <w:szCs w:val="22"/>
        </w:rPr>
        <w:t xml:space="preserve"> geographic license areas are prohibited from disclosing to each other in any manner the substance of bids or bidding strategies until after the down payment deadline, subject to specified exceptions.</w:t>
      </w:r>
      <w:r>
        <w:rPr>
          <w:rStyle w:val="FootnoteReference"/>
          <w:szCs w:val="22"/>
        </w:rPr>
        <w:footnoteReference w:id="194"/>
      </w:r>
      <w:r>
        <w:rPr>
          <w:szCs w:val="22"/>
        </w:rPr>
        <w:t xml:space="preserve">  </w:t>
      </w:r>
    </w:p>
    <w:p w:rsidR="005A1C76" w:rsidRDefault="005A1C76" w:rsidP="005A1C76">
      <w:pPr>
        <w:pStyle w:val="ParaNum"/>
        <w:widowControl/>
        <w:tabs>
          <w:tab w:val="clear" w:pos="1260"/>
          <w:tab w:val="num" w:pos="1440"/>
        </w:tabs>
        <w:ind w:left="0"/>
        <w:rPr>
          <w:szCs w:val="22"/>
        </w:rPr>
      </w:pPr>
      <w:r>
        <w:rPr>
          <w:szCs w:val="22"/>
        </w:rPr>
        <w:t>In Auction 9</w:t>
      </w:r>
      <w:r w:rsidR="00530B79">
        <w:rPr>
          <w:szCs w:val="22"/>
        </w:rPr>
        <w:t>6</w:t>
      </w:r>
      <w:r>
        <w:rPr>
          <w:szCs w:val="22"/>
        </w:rPr>
        <w:t xml:space="preserve">, the Commission will not disclose information regarding license selection or the amounts of bidders’ upfront payments and bidding eligibility.  </w:t>
      </w:r>
      <w:r w:rsidR="008B38E6">
        <w:rPr>
          <w:szCs w:val="22"/>
        </w:rPr>
        <w:t>T</w:t>
      </w:r>
      <w:r>
        <w:rPr>
          <w:szCs w:val="22"/>
        </w:rPr>
        <w:t>he Commission will disclose the other portions of applicants’ short-form applications through its online database, and certain application-based information through public notices.</w:t>
      </w:r>
    </w:p>
    <w:p w:rsidR="005A1C76" w:rsidRDefault="005A1C76" w:rsidP="005A1C76">
      <w:pPr>
        <w:pStyle w:val="ParaNum"/>
        <w:widowControl/>
        <w:tabs>
          <w:tab w:val="clear" w:pos="1260"/>
          <w:tab w:val="num" w:pos="1440"/>
        </w:tabs>
        <w:ind w:left="0"/>
        <w:rPr>
          <w:szCs w:val="22"/>
        </w:rPr>
      </w:pPr>
      <w:r>
        <w:rPr>
          <w:szCs w:val="22"/>
        </w:rPr>
        <w:t>To assist applicants in identifying other parties subject to section 1.2105(c), the Bureau will notify separately each applicant in Auction 9</w:t>
      </w:r>
      <w:r w:rsidR="00530B79">
        <w:rPr>
          <w:szCs w:val="22"/>
        </w:rPr>
        <w:t>6</w:t>
      </w:r>
      <w:r>
        <w:rPr>
          <w:szCs w:val="22"/>
        </w:rPr>
        <w:t xml:space="preserve"> whether applicants with short-form applications to participate in pending auctions, including but not limited to Auction 9</w:t>
      </w:r>
      <w:r w:rsidR="00530B79">
        <w:rPr>
          <w:szCs w:val="22"/>
        </w:rPr>
        <w:t>6</w:t>
      </w:r>
      <w:r>
        <w:rPr>
          <w:szCs w:val="22"/>
        </w:rPr>
        <w:t xml:space="preserve">, have applied for licenses in any of the same </w:t>
      </w:r>
      <w:r w:rsidR="00B17BD4">
        <w:rPr>
          <w:szCs w:val="22"/>
        </w:rPr>
        <w:t xml:space="preserve">or overlapping </w:t>
      </w:r>
      <w:r>
        <w:rPr>
          <w:szCs w:val="22"/>
        </w:rPr>
        <w:t>geographic areas as that applicant.  Specifically, after the Bureau conducts its initial review of applications to participate in Auction 9</w:t>
      </w:r>
      <w:r w:rsidR="00530B79">
        <w:rPr>
          <w:szCs w:val="22"/>
        </w:rPr>
        <w:t>6</w:t>
      </w:r>
      <w:r>
        <w:rPr>
          <w:szCs w:val="22"/>
        </w:rPr>
        <w:t>, it will send to each applicant in Auction 9</w:t>
      </w:r>
      <w:r w:rsidR="00530B79">
        <w:rPr>
          <w:szCs w:val="22"/>
        </w:rPr>
        <w:t>6</w:t>
      </w:r>
      <w:r>
        <w:rPr>
          <w:szCs w:val="22"/>
        </w:rPr>
        <w:t xml:space="preserve"> a letter that lists the other applicants that have pending short-form applications for licenses in any of the same </w:t>
      </w:r>
      <w:r w:rsidR="00B17BD4">
        <w:rPr>
          <w:szCs w:val="22"/>
        </w:rPr>
        <w:t xml:space="preserve">or overlapping </w:t>
      </w:r>
      <w:r>
        <w:rPr>
          <w:szCs w:val="22"/>
        </w:rPr>
        <w:t>geographic areas.  The list will identify the other applicants by name but will not list their license selections.  As in past auctions, additional information regarding other applicants that is needed to comply with section 1.2105(c) – such as the identities of other applicants’ controlling interests and entities with a greater than ten percent ownership interest – will be available through the publicly</w:t>
      </w:r>
      <w:r w:rsidR="00204F1B">
        <w:rPr>
          <w:szCs w:val="22"/>
        </w:rPr>
        <w:t>-</w:t>
      </w:r>
      <w:r>
        <w:rPr>
          <w:szCs w:val="22"/>
        </w:rPr>
        <w:t>accessible online short-form application database.</w:t>
      </w:r>
      <w:r>
        <w:rPr>
          <w:rStyle w:val="FootnoteReference"/>
          <w:szCs w:val="22"/>
        </w:rPr>
        <w:footnoteReference w:id="195"/>
      </w:r>
    </w:p>
    <w:p w:rsidR="005A1C76" w:rsidRDefault="005A1C76" w:rsidP="005A1C76">
      <w:pPr>
        <w:pStyle w:val="ParaNum"/>
        <w:widowControl/>
        <w:tabs>
          <w:tab w:val="clear" w:pos="1260"/>
          <w:tab w:val="num" w:pos="1440"/>
        </w:tabs>
        <w:ind w:left="0"/>
        <w:rPr>
          <w:szCs w:val="22"/>
        </w:rPr>
      </w:pPr>
      <w:r>
        <w:rPr>
          <w:szCs w:val="22"/>
        </w:rPr>
        <w:t>When completing short-form applications, applicants should avoid any statements or disclosures that may violate the Commission’s prohibition of certain communications, pursuant to section 1.2105(c), particularly in light of the Commission’s procedures regarding the availability of certain information in Auction 9</w:t>
      </w:r>
      <w:r w:rsidR="00530B79">
        <w:rPr>
          <w:szCs w:val="22"/>
        </w:rPr>
        <w:t>6</w:t>
      </w:r>
      <w:r>
        <w:rPr>
          <w:szCs w:val="22"/>
        </w:rPr>
        <w:t>.  While applicants’ license selections will not be disclosed until after Auction 9</w:t>
      </w:r>
      <w:r w:rsidR="00530B79">
        <w:rPr>
          <w:szCs w:val="22"/>
        </w:rPr>
        <w:t>6</w:t>
      </w:r>
      <w:r>
        <w:rPr>
          <w:szCs w:val="22"/>
        </w:rPr>
        <w:t xml:space="preserve"> closes, the Commission will disclose other portions of short-form applications through its online database and public notices.  Accordingly, applicants should avoid including any information in their short-form applications that might convey information regarding license selections.  For example, applicants should avoid using applicant names that refer to licenses being offered, referring to certain licenses or markets in describing bidding agreements, or including any information in attachments that may otherwise disclose applicants’ license selections.  </w:t>
      </w:r>
    </w:p>
    <w:p w:rsidR="005A1C76" w:rsidRDefault="005A1C76" w:rsidP="005A1C76">
      <w:pPr>
        <w:pStyle w:val="ParaNum"/>
        <w:widowControl/>
        <w:tabs>
          <w:tab w:val="clear" w:pos="1260"/>
          <w:tab w:val="num" w:pos="1440"/>
        </w:tabs>
        <w:ind w:left="0"/>
        <w:rPr>
          <w:szCs w:val="22"/>
        </w:rPr>
      </w:pPr>
      <w:r>
        <w:rPr>
          <w:szCs w:val="22"/>
        </w:rPr>
        <w:t xml:space="preserve">If an applicant is found to have violated the Commission’s rules or </w:t>
      </w:r>
      <w:r w:rsidR="008B38E6">
        <w:rPr>
          <w:szCs w:val="22"/>
        </w:rPr>
        <w:t xml:space="preserve">the </w:t>
      </w:r>
      <w:r>
        <w:rPr>
          <w:szCs w:val="22"/>
        </w:rPr>
        <w:t>antitrust laws in connection with its participation in the competitive bidding process, the applicant may be subject to various sanctions, including forfeiture of its upfront payment, down payment, or full bid amount and prohibition from participating in future auctions.</w:t>
      </w:r>
      <w:r>
        <w:rPr>
          <w:rStyle w:val="FootnoteReference"/>
          <w:szCs w:val="22"/>
        </w:rPr>
        <w:footnoteReference w:id="196"/>
      </w:r>
      <w:r>
        <w:rPr>
          <w:szCs w:val="22"/>
        </w:rPr>
        <w:t xml:space="preserve">  </w:t>
      </w:r>
    </w:p>
    <w:p w:rsidR="005A1C76" w:rsidRPr="00724DC5" w:rsidRDefault="005A1C76" w:rsidP="005A1C76">
      <w:pPr>
        <w:pStyle w:val="ParaNum"/>
        <w:widowControl/>
        <w:tabs>
          <w:tab w:val="clear" w:pos="1260"/>
          <w:tab w:val="left" w:pos="1440"/>
        </w:tabs>
        <w:ind w:left="0"/>
      </w:pPr>
      <w:r>
        <w:rPr>
          <w:szCs w:val="22"/>
        </w:rPr>
        <w:t xml:space="preserve">The Bureau hereby warns applicants that the direct or indirect communication to other applicants or the public disclosure of non-public information (e.g., </w:t>
      </w:r>
      <w:r w:rsidRPr="00724DC5">
        <w:rPr>
          <w:szCs w:val="22"/>
        </w:rPr>
        <w:t>bid withdrawals</w:t>
      </w:r>
      <w:r>
        <w:rPr>
          <w:szCs w:val="22"/>
        </w:rPr>
        <w:t>, proactive waivers submitted, reductions in eligibility) could violate the Commission’s anonymous bidding procedures and section 1.2105(c).</w:t>
      </w:r>
      <w:r>
        <w:rPr>
          <w:rStyle w:val="FootnoteReference"/>
          <w:szCs w:val="22"/>
        </w:rPr>
        <w:footnoteReference w:id="197"/>
      </w:r>
      <w:r>
        <w:rPr>
          <w:szCs w:val="22"/>
        </w:rPr>
        <w:t xml:space="preserve">  </w:t>
      </w:r>
      <w:r>
        <w:rPr>
          <w:b/>
          <w:szCs w:val="22"/>
        </w:rPr>
        <w:t xml:space="preserve">To the extent an applicant believes that such a disclosure is required by law or regulation, including regulations issued by the </w:t>
      </w:r>
      <w:r w:rsidR="00D22F43">
        <w:rPr>
          <w:b/>
          <w:szCs w:val="22"/>
        </w:rPr>
        <w:t>SEC</w:t>
      </w:r>
      <w:r>
        <w:rPr>
          <w:b/>
          <w:szCs w:val="22"/>
        </w:rPr>
        <w:t>, the Bureau strongly urges that the applicant consult with the Commission staff in the Auctions and Spectrum Access Division before making such disclosure.</w:t>
      </w:r>
    </w:p>
    <w:p w:rsidR="00AA0F2D" w:rsidRPr="005A1C76" w:rsidRDefault="00AA0F2D" w:rsidP="00EF267B">
      <w:pPr>
        <w:pStyle w:val="ParaNum"/>
        <w:widowControl/>
        <w:tabs>
          <w:tab w:val="clear" w:pos="1260"/>
          <w:tab w:val="left" w:pos="1440"/>
        </w:tabs>
        <w:ind w:left="0"/>
      </w:pPr>
      <w:r>
        <w:t xml:space="preserve">In </w:t>
      </w:r>
      <w:r w:rsidR="003702FD">
        <w:rPr>
          <w:rFonts w:cstheme="minorHAnsi"/>
          <w:color w:val="000000"/>
        </w:rPr>
        <w:t>opposing the use of</w:t>
      </w:r>
      <w:r>
        <w:rPr>
          <w:rFonts w:cstheme="minorHAnsi"/>
          <w:color w:val="000000"/>
        </w:rPr>
        <w:t xml:space="preserve"> anonymous bidding procedures for Auction 96, </w:t>
      </w:r>
      <w:r>
        <w:t>US Cellular claims that s</w:t>
      </w:r>
      <w:r w:rsidRPr="0013663D">
        <w:rPr>
          <w:rFonts w:cstheme="minorHAnsi"/>
          <w:color w:val="000000"/>
        </w:rPr>
        <w:t xml:space="preserve">maller bidders face greater legal risks </w:t>
      </w:r>
      <w:r>
        <w:rPr>
          <w:rFonts w:cstheme="minorHAnsi"/>
          <w:color w:val="000000"/>
        </w:rPr>
        <w:t xml:space="preserve">and potential consequences </w:t>
      </w:r>
      <w:r w:rsidRPr="0013663D">
        <w:rPr>
          <w:rFonts w:cstheme="minorHAnsi"/>
          <w:color w:val="000000"/>
        </w:rPr>
        <w:t xml:space="preserve">because of the inherent conflict between </w:t>
      </w:r>
      <w:r>
        <w:rPr>
          <w:rFonts w:cstheme="minorHAnsi"/>
          <w:color w:val="000000"/>
        </w:rPr>
        <w:t>anonymous</w:t>
      </w:r>
      <w:r w:rsidRPr="0013663D">
        <w:rPr>
          <w:rFonts w:cstheme="minorHAnsi"/>
          <w:color w:val="000000"/>
        </w:rPr>
        <w:t xml:space="preserve"> bidding and the public disclosure requirements of the </w:t>
      </w:r>
      <w:r w:rsidR="00EF267B">
        <w:rPr>
          <w:rFonts w:cstheme="minorHAnsi"/>
          <w:color w:val="000000"/>
        </w:rPr>
        <w:t>SEC concerning financially-material information</w:t>
      </w:r>
      <w:r>
        <w:rPr>
          <w:rFonts w:cstheme="minorHAnsi"/>
          <w:color w:val="000000"/>
        </w:rPr>
        <w:t>.</w:t>
      </w:r>
      <w:r>
        <w:rPr>
          <w:rStyle w:val="FootnoteReference"/>
          <w:rFonts w:cstheme="minorHAnsi"/>
        </w:rPr>
        <w:footnoteReference w:id="198"/>
      </w:r>
      <w:r>
        <w:rPr>
          <w:rFonts w:cstheme="minorHAnsi"/>
          <w:color w:val="000000"/>
        </w:rPr>
        <w:t xml:space="preserve">  W</w:t>
      </w:r>
      <w:r w:rsidRPr="00D43CF2">
        <w:t xml:space="preserve">e </w:t>
      </w:r>
      <w:r w:rsidR="003702FD">
        <w:t>are not persuaded by</w:t>
      </w:r>
      <w:r w:rsidR="00EF267B">
        <w:t xml:space="preserve"> US Cellular’s suggestion</w:t>
      </w:r>
      <w:r w:rsidRPr="00D43CF2">
        <w:t xml:space="preserve"> that SEC rules requiring bidders to disclose financial</w:t>
      </w:r>
      <w:r w:rsidR="00EF267B">
        <w:t>ly-material</w:t>
      </w:r>
      <w:r w:rsidRPr="00D43CF2">
        <w:t xml:space="preserve"> information </w:t>
      </w:r>
      <w:r w:rsidR="00D70253">
        <w:t>may force</w:t>
      </w:r>
      <w:r w:rsidRPr="00D43CF2">
        <w:t xml:space="preserve"> bidders to disclose bidding information during the auction.</w:t>
      </w:r>
      <w:r w:rsidR="00EF267B">
        <w:rPr>
          <w:rStyle w:val="FootnoteReference"/>
        </w:rPr>
        <w:footnoteReference w:id="199"/>
      </w:r>
      <w:r w:rsidR="00EF267B">
        <w:t xml:space="preserve">  </w:t>
      </w:r>
      <w:r w:rsidRPr="00D43CF2">
        <w:t xml:space="preserve">US Cellular </w:t>
      </w:r>
      <w:r w:rsidR="00CF5C58">
        <w:t>has raised this issue in the past,</w:t>
      </w:r>
      <w:r w:rsidR="00CF5C58">
        <w:rPr>
          <w:rStyle w:val="FootnoteReference"/>
        </w:rPr>
        <w:footnoteReference w:id="200"/>
      </w:r>
      <w:r w:rsidR="00CF5C58">
        <w:t xml:space="preserve"> </w:t>
      </w:r>
      <w:r w:rsidR="003702FD">
        <w:t>but has</w:t>
      </w:r>
      <w:r w:rsidR="00CF5C58">
        <w:t xml:space="preserve"> fail</w:t>
      </w:r>
      <w:r w:rsidR="003702FD">
        <w:t>ed</w:t>
      </w:r>
      <w:r w:rsidR="00CF5C58">
        <w:t xml:space="preserve"> to</w:t>
      </w:r>
      <w:r w:rsidR="00EF267B">
        <w:t xml:space="preserve"> </w:t>
      </w:r>
      <w:r w:rsidRPr="00D43CF2">
        <w:t xml:space="preserve">cite any specific SEC </w:t>
      </w:r>
      <w:r w:rsidR="00D70253">
        <w:t>rule</w:t>
      </w:r>
      <w:r w:rsidRPr="00D43CF2">
        <w:t xml:space="preserve"> that explicitly requires disclosure of bidding information.  Until the SEC addresses the issue, </w:t>
      </w:r>
      <w:r w:rsidR="00EF267B">
        <w:t>we</w:t>
      </w:r>
      <w:r w:rsidRPr="00D43CF2">
        <w:t xml:space="preserve"> will not presume that SEC rules require public disclosure of information about bidding while an auction is still underway.</w:t>
      </w:r>
    </w:p>
    <w:p w:rsidR="008434F5" w:rsidRPr="00724DC5" w:rsidRDefault="008434F5" w:rsidP="00C07C81">
      <w:pPr>
        <w:pStyle w:val="Heading3"/>
        <w:widowControl/>
        <w:rPr>
          <w:szCs w:val="22"/>
        </w:rPr>
      </w:pPr>
      <w:bookmarkStart w:id="3051" w:name="_Toc197504948"/>
      <w:bookmarkStart w:id="3052" w:name="_Toc198007729"/>
      <w:bookmarkStart w:id="3053" w:name="_Toc198007880"/>
      <w:bookmarkStart w:id="3054" w:name="_Toc198008232"/>
      <w:bookmarkStart w:id="3055" w:name="_Toc198008369"/>
      <w:bookmarkStart w:id="3056" w:name="_Toc198008916"/>
      <w:bookmarkStart w:id="3057" w:name="_Toc198369812"/>
      <w:bookmarkStart w:id="3058" w:name="_Toc198369949"/>
      <w:bookmarkStart w:id="3059" w:name="_Toc198372861"/>
      <w:bookmarkStart w:id="3060" w:name="_Toc198372964"/>
      <w:bookmarkStart w:id="3061" w:name="_Toc198373094"/>
      <w:bookmarkStart w:id="3062" w:name="_Toc198373262"/>
      <w:bookmarkStart w:id="3063" w:name="_Toc198627176"/>
      <w:bookmarkStart w:id="3064" w:name="_Toc198627282"/>
      <w:bookmarkStart w:id="3065" w:name="_Toc216090740"/>
      <w:bookmarkStart w:id="3066" w:name="_Toc226958245"/>
      <w:bookmarkStart w:id="3067" w:name="_Toc227038305"/>
      <w:bookmarkStart w:id="3068" w:name="_Toc254792612"/>
      <w:bookmarkStart w:id="3069" w:name="_Toc256669736"/>
      <w:bookmarkStart w:id="3070" w:name="_Toc257213269"/>
      <w:bookmarkStart w:id="3071" w:name="_Toc257277771"/>
      <w:bookmarkStart w:id="3072" w:name="_Toc257278732"/>
      <w:bookmarkStart w:id="3073" w:name="_Toc257278942"/>
      <w:bookmarkStart w:id="3074" w:name="_Toc257279310"/>
      <w:bookmarkStart w:id="3075" w:name="_Toc257382954"/>
      <w:bookmarkStart w:id="3076" w:name="_Toc274056211"/>
      <w:bookmarkStart w:id="3077" w:name="_Toc276657617"/>
      <w:bookmarkStart w:id="3078" w:name="_Toc278366463"/>
      <w:bookmarkStart w:id="3079" w:name="_Toc307584059"/>
      <w:bookmarkStart w:id="3080" w:name="_Toc307937333"/>
      <w:bookmarkStart w:id="3081" w:name="_Toc348508773"/>
      <w:bookmarkStart w:id="3082" w:name="_Toc366056537"/>
      <w:bookmarkStart w:id="3083" w:name="_Toc366223739"/>
      <w:bookmarkStart w:id="3084" w:name="_Toc366229452"/>
      <w:bookmarkStart w:id="3085" w:name="_Toc366583495"/>
      <w:bookmarkStart w:id="3086" w:name="_Toc362256779"/>
      <w:r w:rsidRPr="00814575">
        <w:rPr>
          <w:szCs w:val="22"/>
        </w:rPr>
        <w:t>Eligibility and Activity Rules</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r w:rsidR="00E03F14" w:rsidRPr="00814575">
        <w:rPr>
          <w:szCs w:val="22"/>
        </w:rPr>
        <w:t xml:space="preserve"> </w:t>
      </w:r>
      <w:bookmarkEnd w:id="3086"/>
    </w:p>
    <w:p w:rsidR="008434F5" w:rsidRPr="001C2E9C" w:rsidRDefault="00954FE3" w:rsidP="00C07C81">
      <w:pPr>
        <w:pStyle w:val="ParaNum"/>
        <w:widowControl/>
        <w:tabs>
          <w:tab w:val="clear" w:pos="1260"/>
          <w:tab w:val="left" w:pos="1440"/>
        </w:tabs>
        <w:ind w:left="0"/>
        <w:rPr>
          <w:szCs w:val="22"/>
        </w:rPr>
      </w:pPr>
      <w:r w:rsidRPr="001C2E9C">
        <w:rPr>
          <w:szCs w:val="22"/>
        </w:rPr>
        <w:t xml:space="preserve">As discussed above, </w:t>
      </w:r>
      <w:r w:rsidR="0085441E">
        <w:rPr>
          <w:szCs w:val="22"/>
        </w:rPr>
        <w:t>the Bureau</w:t>
      </w:r>
      <w:r w:rsidRPr="001C2E9C">
        <w:rPr>
          <w:szCs w:val="22"/>
        </w:rPr>
        <w:t xml:space="preserve"> </w:t>
      </w:r>
      <w:r w:rsidR="006D589A" w:rsidRPr="001C2E9C">
        <w:rPr>
          <w:szCs w:val="22"/>
        </w:rPr>
        <w:t>will</w:t>
      </w:r>
      <w:r w:rsidR="008434F5" w:rsidRPr="001C2E9C">
        <w:rPr>
          <w:szCs w:val="22"/>
        </w:rPr>
        <w:t xml:space="preserve"> use upfront payments to determine initial (maximum) eligibility (as measured in bidding units) for Auction </w:t>
      </w:r>
      <w:r w:rsidR="002F3391">
        <w:rPr>
          <w:szCs w:val="22"/>
        </w:rPr>
        <w:t>9</w:t>
      </w:r>
      <w:r w:rsidR="00530B79">
        <w:rPr>
          <w:szCs w:val="22"/>
        </w:rPr>
        <w:t>6</w:t>
      </w:r>
      <w:r w:rsidR="008434F5" w:rsidRPr="001C2E9C">
        <w:rPr>
          <w:szCs w:val="22"/>
        </w:rPr>
        <w:t>.</w:t>
      </w:r>
      <w:r w:rsidRPr="001C2E9C">
        <w:rPr>
          <w:rStyle w:val="FootnoteReference"/>
          <w:szCs w:val="22"/>
        </w:rPr>
        <w:footnoteReference w:id="201"/>
      </w:r>
      <w:r w:rsidR="008434F5" w:rsidRPr="001C2E9C">
        <w:rPr>
          <w:szCs w:val="22"/>
        </w:rPr>
        <w:t xml:space="preserve">  The amount of the upfront payment submitted by a bidder determines initial bidding eligibility, the maximum number of bidding units on </w:t>
      </w:r>
      <w:r w:rsidR="008434F5" w:rsidRPr="00DF7948">
        <w:rPr>
          <w:szCs w:val="22"/>
        </w:rPr>
        <w:t xml:space="preserve">which a bidder may be active.  As noted earlier, each </w:t>
      </w:r>
      <w:r w:rsidR="005A1C76">
        <w:rPr>
          <w:szCs w:val="22"/>
        </w:rPr>
        <w:t>license</w:t>
      </w:r>
      <w:r w:rsidR="008434F5" w:rsidRPr="00DF7948">
        <w:rPr>
          <w:szCs w:val="22"/>
        </w:rPr>
        <w:t xml:space="preserve"> is assigned a specific number of bidding units </w:t>
      </w:r>
      <w:r w:rsidR="00785A14" w:rsidRPr="00DF7948">
        <w:rPr>
          <w:szCs w:val="22"/>
        </w:rPr>
        <w:t xml:space="preserve">as </w:t>
      </w:r>
      <w:r w:rsidR="008434F5" w:rsidRPr="00DF7948">
        <w:rPr>
          <w:szCs w:val="22"/>
        </w:rPr>
        <w:t xml:space="preserve">listed in </w:t>
      </w:r>
      <w:r w:rsidR="005A1C76">
        <w:rPr>
          <w:szCs w:val="22"/>
        </w:rPr>
        <w:t>the complete list of licenses available as separate “</w:t>
      </w:r>
      <w:r w:rsidR="008434F5" w:rsidRPr="00DF7948">
        <w:rPr>
          <w:szCs w:val="22"/>
        </w:rPr>
        <w:t>Attachment</w:t>
      </w:r>
      <w:r w:rsidR="008434F5" w:rsidRPr="001C2E9C">
        <w:rPr>
          <w:szCs w:val="22"/>
        </w:rPr>
        <w:t xml:space="preserve"> A</w:t>
      </w:r>
      <w:r w:rsidR="005A1C76">
        <w:rPr>
          <w:szCs w:val="22"/>
        </w:rPr>
        <w:t xml:space="preserve">” files at </w:t>
      </w:r>
      <w:hyperlink r:id="rId19" w:history="1">
        <w:r w:rsidR="00530B79" w:rsidRPr="000C26E0">
          <w:rPr>
            <w:rStyle w:val="Hyperlink"/>
          </w:rPr>
          <w:t>http://wireless.fcc.gov/auctions/96/</w:t>
        </w:r>
      </w:hyperlink>
      <w:r w:rsidR="008434F5" w:rsidRPr="001C2E9C">
        <w:rPr>
          <w:szCs w:val="22"/>
        </w:rPr>
        <w:t xml:space="preserve">.  Bidding units </w:t>
      </w:r>
      <w:r w:rsidR="002B0C15">
        <w:rPr>
          <w:szCs w:val="22"/>
        </w:rPr>
        <w:t xml:space="preserve">assigned to each </w:t>
      </w:r>
      <w:r w:rsidR="005A1C76">
        <w:rPr>
          <w:szCs w:val="22"/>
        </w:rPr>
        <w:t>license</w:t>
      </w:r>
      <w:r w:rsidR="008434F5" w:rsidRPr="001C2E9C">
        <w:rPr>
          <w:szCs w:val="22"/>
        </w:rPr>
        <w:t xml:space="preserve"> do not change as prices </w:t>
      </w:r>
      <w:r w:rsidR="00204F1B">
        <w:rPr>
          <w:szCs w:val="22"/>
        </w:rPr>
        <w:t>change</w:t>
      </w:r>
      <w:r w:rsidR="008434F5" w:rsidRPr="001C2E9C">
        <w:rPr>
          <w:szCs w:val="22"/>
        </w:rPr>
        <w:t xml:space="preserve"> during the auction.  </w:t>
      </w:r>
      <w:r w:rsidR="002B0C15">
        <w:rPr>
          <w:szCs w:val="22"/>
        </w:rPr>
        <w:t>U</w:t>
      </w:r>
      <w:r w:rsidR="008434F5" w:rsidRPr="001C2E9C">
        <w:rPr>
          <w:szCs w:val="22"/>
        </w:rPr>
        <w:t>pfront payment</w:t>
      </w:r>
      <w:r w:rsidR="002B0C15">
        <w:rPr>
          <w:szCs w:val="22"/>
        </w:rPr>
        <w:t>s</w:t>
      </w:r>
      <w:r w:rsidR="008434F5" w:rsidRPr="001C2E9C">
        <w:rPr>
          <w:szCs w:val="22"/>
        </w:rPr>
        <w:t xml:space="preserve"> </w:t>
      </w:r>
      <w:r w:rsidR="002B0C15">
        <w:rPr>
          <w:szCs w:val="22"/>
        </w:rPr>
        <w:t>are</w:t>
      </w:r>
      <w:r w:rsidR="008434F5" w:rsidRPr="001C2E9C">
        <w:rPr>
          <w:szCs w:val="22"/>
        </w:rPr>
        <w:t xml:space="preserve"> not attributed to specific </w:t>
      </w:r>
      <w:r w:rsidR="005A1C76">
        <w:rPr>
          <w:szCs w:val="22"/>
        </w:rPr>
        <w:t>licenses</w:t>
      </w:r>
      <w:r w:rsidR="008434F5" w:rsidRPr="001C2E9C">
        <w:rPr>
          <w:szCs w:val="22"/>
        </w:rPr>
        <w:t xml:space="preserve">.  Rather, a bidder may place bids on any </w:t>
      </w:r>
      <w:r w:rsidR="0095499C" w:rsidRPr="001C2E9C">
        <w:rPr>
          <w:szCs w:val="22"/>
        </w:rPr>
        <w:t xml:space="preserve">of the </w:t>
      </w:r>
      <w:r w:rsidR="005A1C76">
        <w:rPr>
          <w:szCs w:val="22"/>
        </w:rPr>
        <w:t>licenses</w:t>
      </w:r>
      <w:r w:rsidR="0095499C" w:rsidRPr="001C2E9C">
        <w:rPr>
          <w:szCs w:val="22"/>
        </w:rPr>
        <w:t xml:space="preserve"> </w:t>
      </w:r>
      <w:r w:rsidR="002F3391">
        <w:rPr>
          <w:szCs w:val="22"/>
        </w:rPr>
        <w:t>selected on its FCC Form 175</w:t>
      </w:r>
      <w:r w:rsidR="0085441E">
        <w:rPr>
          <w:szCs w:val="22"/>
        </w:rPr>
        <w:t xml:space="preserve"> </w:t>
      </w:r>
      <w:r w:rsidR="0095499C" w:rsidRPr="001C2E9C">
        <w:rPr>
          <w:szCs w:val="22"/>
        </w:rPr>
        <w:t xml:space="preserve">as long as the total number of bidding units associated with those </w:t>
      </w:r>
      <w:r w:rsidR="005A1C76">
        <w:rPr>
          <w:szCs w:val="22"/>
        </w:rPr>
        <w:t>licenses</w:t>
      </w:r>
      <w:r w:rsidR="0095499C" w:rsidRPr="001C2E9C">
        <w:rPr>
          <w:szCs w:val="22"/>
        </w:rPr>
        <w:t xml:space="preserve"> does not exceed its current eligibility</w:t>
      </w:r>
      <w:r w:rsidR="008434F5" w:rsidRPr="001C2E9C">
        <w:rPr>
          <w:szCs w:val="22"/>
        </w:rPr>
        <w:t>.</w:t>
      </w:r>
      <w:r w:rsidR="00980C44">
        <w:rPr>
          <w:szCs w:val="22"/>
        </w:rPr>
        <w:t xml:space="preserve">  Eligibility cannot be increased during the auction; it can only remain the same or decrease.  Thus, in calculating its upfront payment amount, an applicant must determine the maximum number of bidding units it may wish to bid on or hold provisionally winning bids on in any single round, and submit an upfront payment amount covering that total number of bidding units.  At a minimum, an applicant’s upfront payment must cover the bidding units for at least one of the licenses it selected on its FCC Form 175.  The total upfront payment does not affect the total dollar amount a bidder may bid on any given license.</w:t>
      </w:r>
      <w:r w:rsidR="008434F5" w:rsidRPr="001C2E9C">
        <w:rPr>
          <w:szCs w:val="22"/>
        </w:rPr>
        <w:t xml:space="preserve">  </w:t>
      </w:r>
    </w:p>
    <w:p w:rsidR="00F03BE1" w:rsidRPr="00B122F7" w:rsidRDefault="008434F5" w:rsidP="00C07C81">
      <w:pPr>
        <w:pStyle w:val="ParaNum"/>
        <w:widowControl/>
        <w:tabs>
          <w:tab w:val="clear" w:pos="1260"/>
          <w:tab w:val="left" w:pos="1440"/>
        </w:tabs>
        <w:ind w:left="0"/>
        <w:rPr>
          <w:szCs w:val="22"/>
        </w:rPr>
      </w:pPr>
      <w:r w:rsidRPr="001C2E9C">
        <w:rPr>
          <w:szCs w:val="22"/>
        </w:rPr>
        <w:t xml:space="preserve">In order to ensure that an auction closes within a reasonable period of time, an activity rule </w:t>
      </w:r>
      <w:r w:rsidRPr="00AA2B80">
        <w:rPr>
          <w:szCs w:val="22"/>
        </w:rPr>
        <w:t xml:space="preserve">requires bidders to bid actively throughout the auction, rather than wait until late in the auction before participating.  Bidders are required to be </w:t>
      </w:r>
      <w:r w:rsidRPr="00DF7948">
        <w:rPr>
          <w:szCs w:val="22"/>
        </w:rPr>
        <w:t>active on a specific percentage of their current bidding eligibility during each round of the auction.</w:t>
      </w:r>
      <w:r w:rsidR="00735C30" w:rsidRPr="00DF7948">
        <w:rPr>
          <w:szCs w:val="22"/>
        </w:rPr>
        <w:t xml:space="preserve">  </w:t>
      </w:r>
      <w:r w:rsidRPr="00DF7948">
        <w:rPr>
          <w:szCs w:val="22"/>
        </w:rPr>
        <w:t xml:space="preserve">A bidder’s activity level in a round is the sum of the bidding units associated with </w:t>
      </w:r>
      <w:r w:rsidR="00980C44">
        <w:rPr>
          <w:szCs w:val="22"/>
        </w:rPr>
        <w:t>licenses</w:t>
      </w:r>
      <w:r w:rsidRPr="00DF7948">
        <w:rPr>
          <w:szCs w:val="22"/>
        </w:rPr>
        <w:t xml:space="preserve"> </w:t>
      </w:r>
      <w:r w:rsidR="00666151" w:rsidRPr="00DF7948">
        <w:rPr>
          <w:szCs w:val="22"/>
        </w:rPr>
        <w:t xml:space="preserve">covered by </w:t>
      </w:r>
      <w:r w:rsidR="00BD270F" w:rsidRPr="00DF7948">
        <w:rPr>
          <w:szCs w:val="22"/>
        </w:rPr>
        <w:t xml:space="preserve">the bidder’s </w:t>
      </w:r>
      <w:r w:rsidR="00666151" w:rsidRPr="00DF7948">
        <w:rPr>
          <w:szCs w:val="22"/>
        </w:rPr>
        <w:t>new and provisionally winning bids</w:t>
      </w:r>
      <w:r w:rsidR="00FC7827" w:rsidRPr="00DF7948">
        <w:rPr>
          <w:szCs w:val="22"/>
        </w:rPr>
        <w:t>.</w:t>
      </w:r>
      <w:r w:rsidR="00E65BD2" w:rsidRPr="00DF7948">
        <w:rPr>
          <w:rStyle w:val="FootnoteReference"/>
          <w:szCs w:val="22"/>
        </w:rPr>
        <w:footnoteReference w:id="202"/>
      </w:r>
      <w:r w:rsidR="00E65BD2" w:rsidRPr="00DF7948">
        <w:rPr>
          <w:szCs w:val="22"/>
        </w:rPr>
        <w:t xml:space="preserve"> </w:t>
      </w:r>
      <w:r w:rsidR="00F31CE3" w:rsidRPr="00DF7948">
        <w:rPr>
          <w:szCs w:val="22"/>
        </w:rPr>
        <w:t xml:space="preserve"> </w:t>
      </w:r>
    </w:p>
    <w:p w:rsidR="00A81516" w:rsidRPr="00206CE7" w:rsidRDefault="00A81516" w:rsidP="00C07C81">
      <w:pPr>
        <w:pStyle w:val="ParaNum"/>
        <w:widowControl/>
        <w:tabs>
          <w:tab w:val="clear" w:pos="1260"/>
          <w:tab w:val="left" w:pos="1440"/>
        </w:tabs>
        <w:ind w:left="0"/>
        <w:rPr>
          <w:szCs w:val="22"/>
        </w:rPr>
      </w:pPr>
      <w:r>
        <w:rPr>
          <w:szCs w:val="22"/>
        </w:rPr>
        <w:t xml:space="preserve">A bidder is considered active on a license in the current round if it is either the provisionally winning bidder at the end of the previous bidding round and does not </w:t>
      </w:r>
      <w:r w:rsidRPr="00724DC5">
        <w:rPr>
          <w:szCs w:val="22"/>
        </w:rPr>
        <w:t>withdraw</w:t>
      </w:r>
      <w:r>
        <w:rPr>
          <w:szCs w:val="22"/>
        </w:rPr>
        <w:t xml:space="preserve"> the provisionally winning bid in the current round, or if it submits a bid in the current round (</w:t>
      </w:r>
      <w:r>
        <w:rPr>
          <w:i/>
          <w:szCs w:val="22"/>
        </w:rPr>
        <w:t>see</w:t>
      </w:r>
      <w:r>
        <w:rPr>
          <w:szCs w:val="22"/>
        </w:rPr>
        <w:t xml:space="preserve"> “Bid Amounts” </w:t>
      </w:r>
      <w:r w:rsidRPr="00206CE7">
        <w:rPr>
          <w:szCs w:val="22"/>
        </w:rPr>
        <w:t>in Section IV.B.3., below).</w:t>
      </w:r>
    </w:p>
    <w:p w:rsidR="00FC576C" w:rsidRDefault="00A81516" w:rsidP="00FC576C">
      <w:pPr>
        <w:pStyle w:val="ParaNum"/>
        <w:widowControl/>
        <w:tabs>
          <w:tab w:val="clear" w:pos="1260"/>
          <w:tab w:val="left" w:pos="1440"/>
        </w:tabs>
        <w:ind w:left="0"/>
        <w:rPr>
          <w:szCs w:val="22"/>
        </w:rPr>
      </w:pPr>
      <w:r>
        <w:rPr>
          <w:szCs w:val="22"/>
        </w:rPr>
        <w:t xml:space="preserve">The minimum required activity is expressed as a percentage of the bidder’s current eligibility, and increases by stage as the auction progresses.  Because these procedures (as set forth under “Auction Stages” </w:t>
      </w:r>
      <w:r w:rsidRPr="00A34F95">
        <w:rPr>
          <w:szCs w:val="22"/>
        </w:rPr>
        <w:t>in Section IV.A.4. and “Stage Transitions” in Section IV.A.5. below</w:t>
      </w:r>
      <w:r w:rsidRPr="00C15957">
        <w:rPr>
          <w:szCs w:val="22"/>
        </w:rPr>
        <w:t>) have proven successful in maintaining the pace of previous auctions, the Bureau adopts them</w:t>
      </w:r>
      <w:r>
        <w:rPr>
          <w:szCs w:val="22"/>
        </w:rPr>
        <w:t xml:space="preserve"> for Auction 9</w:t>
      </w:r>
      <w:r w:rsidR="00530B79">
        <w:rPr>
          <w:szCs w:val="22"/>
        </w:rPr>
        <w:t>6</w:t>
      </w:r>
      <w:r>
        <w:rPr>
          <w:szCs w:val="22"/>
        </w:rPr>
        <w:t>.  Failure to maintain the requisite activity level will result in the use of an activity rule waiver, if any remain, or a reduction in the bidder’s eligibility, possibly curtailing or eliminating the bidder’s ability to place additional bids in the auction.</w:t>
      </w:r>
      <w:r>
        <w:rPr>
          <w:rStyle w:val="FootnoteReference"/>
          <w:szCs w:val="22"/>
        </w:rPr>
        <w:footnoteReference w:id="203"/>
      </w:r>
    </w:p>
    <w:p w:rsidR="00FC576C" w:rsidRDefault="00FC576C" w:rsidP="00FC576C">
      <w:pPr>
        <w:pStyle w:val="Heading3"/>
      </w:pPr>
      <w:bookmarkStart w:id="3087" w:name="_Toc348508774"/>
      <w:bookmarkStart w:id="3088" w:name="_Toc362256780"/>
      <w:bookmarkStart w:id="3089" w:name="_Toc366056538"/>
      <w:bookmarkStart w:id="3090" w:name="_Toc366223740"/>
      <w:bookmarkStart w:id="3091" w:name="_Toc366229453"/>
      <w:bookmarkStart w:id="3092" w:name="_Toc366583496"/>
      <w:r>
        <w:t>Auction Stages</w:t>
      </w:r>
      <w:bookmarkEnd w:id="3087"/>
      <w:bookmarkEnd w:id="3088"/>
      <w:bookmarkEnd w:id="3089"/>
      <w:bookmarkEnd w:id="3090"/>
      <w:bookmarkEnd w:id="3091"/>
      <w:bookmarkEnd w:id="3092"/>
    </w:p>
    <w:p w:rsidR="009A363C" w:rsidRPr="00FC576C" w:rsidRDefault="009A363C" w:rsidP="00FC576C">
      <w:pPr>
        <w:pStyle w:val="ParaNum"/>
        <w:widowControl/>
        <w:tabs>
          <w:tab w:val="clear" w:pos="1260"/>
          <w:tab w:val="left" w:pos="1440"/>
        </w:tabs>
        <w:ind w:left="0"/>
      </w:pPr>
      <w:r w:rsidRPr="00FC576C">
        <w:t xml:space="preserve"> </w:t>
      </w:r>
      <w:r w:rsidR="00FC576C">
        <w:rPr>
          <w:szCs w:val="22"/>
        </w:rPr>
        <w:t xml:space="preserve">In the </w:t>
      </w:r>
      <w:r w:rsidR="00FC576C">
        <w:rPr>
          <w:i/>
          <w:szCs w:val="22"/>
        </w:rPr>
        <w:t>Auction 9</w:t>
      </w:r>
      <w:r w:rsidR="00530B79">
        <w:rPr>
          <w:i/>
          <w:szCs w:val="22"/>
        </w:rPr>
        <w:t>6</w:t>
      </w:r>
      <w:r w:rsidR="00FC576C">
        <w:rPr>
          <w:i/>
          <w:szCs w:val="22"/>
        </w:rPr>
        <w:t xml:space="preserve"> Comment Public Notice</w:t>
      </w:r>
      <w:r w:rsidR="00FC576C">
        <w:rPr>
          <w:szCs w:val="22"/>
        </w:rPr>
        <w:t>, the Bureau proposed to conduct the auction in two stages and employ an activity rule.</w:t>
      </w:r>
      <w:r w:rsidR="00FC576C">
        <w:rPr>
          <w:rStyle w:val="FootnoteReference"/>
          <w:szCs w:val="22"/>
        </w:rPr>
        <w:footnoteReference w:id="204"/>
      </w:r>
      <w:r w:rsidR="00FC576C">
        <w:rPr>
          <w:szCs w:val="22"/>
        </w:rPr>
        <w:t xml:space="preserve">  Under the Bureau’s proposal, a bidder desiring to maintain its current bidding eligibility would be required to be active on licenses representing at least 80 percent of its current bidding eligibility, during each round of Stage One, and at least 95 percent of its current bidding eligibility in Stage Two.  </w:t>
      </w:r>
      <w:r w:rsidR="00FC576C" w:rsidRPr="00A26D0C">
        <w:rPr>
          <w:szCs w:val="22"/>
        </w:rPr>
        <w:t xml:space="preserve">The Commission received </w:t>
      </w:r>
      <w:r w:rsidR="00FC576C" w:rsidRPr="00115B71">
        <w:rPr>
          <w:szCs w:val="22"/>
        </w:rPr>
        <w:t xml:space="preserve">no </w:t>
      </w:r>
      <w:r w:rsidR="00042D54">
        <w:rPr>
          <w:szCs w:val="22"/>
        </w:rPr>
        <w:t xml:space="preserve">specific </w:t>
      </w:r>
      <w:r w:rsidR="00FC576C" w:rsidRPr="00115B71">
        <w:rPr>
          <w:szCs w:val="22"/>
        </w:rPr>
        <w:t>comments</w:t>
      </w:r>
      <w:r w:rsidR="00FC576C" w:rsidRPr="00B52154">
        <w:rPr>
          <w:szCs w:val="22"/>
        </w:rPr>
        <w:t xml:space="preserve"> on t</w:t>
      </w:r>
      <w:r w:rsidR="00FC576C" w:rsidRPr="00A26D0C">
        <w:rPr>
          <w:szCs w:val="22"/>
        </w:rPr>
        <w:t>his proposal.</w:t>
      </w:r>
      <w:r w:rsidR="00042D54">
        <w:rPr>
          <w:rStyle w:val="FootnoteReference"/>
          <w:szCs w:val="22"/>
        </w:rPr>
        <w:footnoteReference w:id="205"/>
      </w:r>
    </w:p>
    <w:p w:rsidR="00FC576C" w:rsidRPr="00FC576C" w:rsidRDefault="00FC576C" w:rsidP="00FC576C">
      <w:pPr>
        <w:pStyle w:val="ParaNum"/>
        <w:widowControl/>
        <w:tabs>
          <w:tab w:val="clear" w:pos="1260"/>
          <w:tab w:val="left" w:pos="1440"/>
        </w:tabs>
        <w:ind w:left="0"/>
      </w:pPr>
      <w:r>
        <w:rPr>
          <w:szCs w:val="22"/>
        </w:rPr>
        <w:t>The Bureau finds</w:t>
      </w:r>
      <w:r w:rsidR="00324DF6">
        <w:rPr>
          <w:szCs w:val="22"/>
        </w:rPr>
        <w:t xml:space="preserve"> that</w:t>
      </w:r>
      <w:r>
        <w:rPr>
          <w:szCs w:val="22"/>
        </w:rPr>
        <w:t xml:space="preserve">, for now, </w:t>
      </w:r>
      <w:r w:rsidR="0057757D">
        <w:rPr>
          <w:szCs w:val="22"/>
        </w:rPr>
        <w:t xml:space="preserve">a </w:t>
      </w:r>
      <w:r>
        <w:rPr>
          <w:szCs w:val="22"/>
        </w:rPr>
        <w:t>two</w:t>
      </w:r>
      <w:r w:rsidR="0057757D">
        <w:rPr>
          <w:szCs w:val="22"/>
        </w:rPr>
        <w:t>-</w:t>
      </w:r>
      <w:r>
        <w:rPr>
          <w:szCs w:val="22"/>
        </w:rPr>
        <w:t>stage activity requirement adequately balances the desire to conclude the auction quickly with giving sufficient time for bidders to consider the status of the bidding and to place bids.  Therefore, the Bureau adopts the two stages as described in more detail immediately below.</w:t>
      </w:r>
    </w:p>
    <w:p w:rsidR="0019632B" w:rsidRDefault="0019632B" w:rsidP="00C07C81">
      <w:pPr>
        <w:pStyle w:val="ParaNum"/>
        <w:widowControl/>
        <w:tabs>
          <w:tab w:val="clear" w:pos="1260"/>
          <w:tab w:val="left" w:pos="1440"/>
        </w:tabs>
        <w:ind w:left="0"/>
        <w:rPr>
          <w:szCs w:val="22"/>
        </w:rPr>
      </w:pPr>
      <w:r>
        <w:rPr>
          <w:b/>
          <w:szCs w:val="22"/>
        </w:rPr>
        <w:t xml:space="preserve">Stage One: </w:t>
      </w:r>
      <w:r>
        <w:rPr>
          <w:szCs w:val="22"/>
        </w:rPr>
        <w:t>During the first stage of the auction, a bidder desiring to maintain its current bidding eligibility will be required to be active on licenses representing at least 80 percent of its current bidding eligibility in each bidding round.  Failure to maintain the required activity level will result in the use of an activity rule waiver or, if the bidder has no activity rule waivers remaining, a reduction in the bidder’s bidding eligibility in the next round.  During Stage One, reduced eligibility for the next round will be calculated by multiplying the bidder’s current round activity (the sum of bidding units of the bidder’s provisionally winning bids and bids during the current round) by five-fourths (5/4).</w:t>
      </w:r>
    </w:p>
    <w:p w:rsidR="0019632B" w:rsidRDefault="0019632B" w:rsidP="00C07C81">
      <w:pPr>
        <w:pStyle w:val="ParaNum"/>
        <w:widowControl/>
        <w:tabs>
          <w:tab w:val="clear" w:pos="1260"/>
          <w:tab w:val="num" w:pos="1440"/>
        </w:tabs>
        <w:ind w:left="0"/>
        <w:rPr>
          <w:szCs w:val="22"/>
        </w:rPr>
      </w:pPr>
      <w:r>
        <w:rPr>
          <w:b/>
          <w:szCs w:val="22"/>
        </w:rPr>
        <w:t xml:space="preserve">Stage Two: </w:t>
      </w:r>
      <w:r>
        <w:rPr>
          <w:szCs w:val="22"/>
        </w:rPr>
        <w:t>During the second stage of the auction, a bidder desiring to maintain its current bidding eligibility is required to be active on 95 percent of its current bidding eligibility.  Failure to maintain the required activity level will result in the use of an activity rule waiver or, if the bidder has no activity rule waivers remaining, a reduction in the bidder’s bidding eligibility in the next round.  During Stage Two, reduced eligibility for the next round will be calculated by multiplying the bidder’s current round activity (the sum of bidding units of the bidder’s provisionally winning bids and bids during the current round) by twenty-nineteenths (20/19).</w:t>
      </w:r>
      <w:r w:rsidRPr="0019632B">
        <w:rPr>
          <w:szCs w:val="22"/>
        </w:rPr>
        <w:t xml:space="preserve"> </w:t>
      </w:r>
    </w:p>
    <w:p w:rsidR="0019632B" w:rsidRDefault="0019632B" w:rsidP="00C07C81">
      <w:pPr>
        <w:pStyle w:val="ParaNum"/>
        <w:widowControl/>
        <w:numPr>
          <w:ilvl w:val="0"/>
          <w:numId w:val="0"/>
        </w:numPr>
        <w:ind w:left="720"/>
        <w:rPr>
          <w:szCs w:val="22"/>
        </w:rPr>
      </w:pPr>
      <w:r>
        <w:rPr>
          <w:szCs w:val="22"/>
        </w:rPr>
        <w:t>CAUTION:  Since activity requirements increase in Stage Two, bidders must carefully check their activity during the first round following a stage transition to ensure that they are meeting the increased activity requirement.  This is especially critical for bidders that have provisionally winning bids and do not plan to submit new bids.  In past auctions, some bidders have inadvertently lost bidding eligibility or used an activity rule waiver because they did not re-verify their activity status at stage transitions.  Bidders may check their activity against the required activity level by logging into the FCC Auction System</w:t>
      </w:r>
    </w:p>
    <w:p w:rsidR="0019632B" w:rsidRDefault="00F52572" w:rsidP="00C07C81">
      <w:pPr>
        <w:pStyle w:val="ParaNum"/>
        <w:widowControl/>
        <w:tabs>
          <w:tab w:val="clear" w:pos="1260"/>
          <w:tab w:val="num" w:pos="1440"/>
        </w:tabs>
        <w:ind w:left="0"/>
        <w:rPr>
          <w:szCs w:val="22"/>
        </w:rPr>
      </w:pPr>
      <w:r>
        <w:rPr>
          <w:szCs w:val="22"/>
        </w:rPr>
        <w:t>When the Bureau move</w:t>
      </w:r>
      <w:r w:rsidR="00FC576C">
        <w:rPr>
          <w:szCs w:val="22"/>
        </w:rPr>
        <w:t>s</w:t>
      </w:r>
      <w:r>
        <w:rPr>
          <w:szCs w:val="22"/>
        </w:rPr>
        <w:t xml:space="preserve"> the auction from Stage One to Stage Two, we will first alert bidders by announcement in the bidding system.  </w:t>
      </w:r>
      <w:r w:rsidR="0019632B">
        <w:rPr>
          <w:szCs w:val="22"/>
        </w:rPr>
        <w:t>The Bureau ha</w:t>
      </w:r>
      <w:r w:rsidR="00FC576C">
        <w:rPr>
          <w:szCs w:val="22"/>
        </w:rPr>
        <w:t>s</w:t>
      </w:r>
      <w:r w:rsidR="0019632B">
        <w:rPr>
          <w:szCs w:val="22"/>
        </w:rPr>
        <w:t xml:space="preserve"> the discretion to further alter the activity requirements before and/or during the auction as circumstances warrant.</w:t>
      </w:r>
    </w:p>
    <w:p w:rsidR="00FC576C" w:rsidRDefault="00FC576C" w:rsidP="00FC576C">
      <w:pPr>
        <w:pStyle w:val="Heading3"/>
      </w:pPr>
      <w:bookmarkStart w:id="3093" w:name="_Toc348508775"/>
      <w:bookmarkStart w:id="3094" w:name="_Toc362256781"/>
      <w:bookmarkStart w:id="3095" w:name="_Toc366056539"/>
      <w:bookmarkStart w:id="3096" w:name="_Toc366223741"/>
      <w:bookmarkStart w:id="3097" w:name="_Toc366229454"/>
      <w:bookmarkStart w:id="3098" w:name="_Toc366583497"/>
      <w:r>
        <w:t>Stage Transitions</w:t>
      </w:r>
      <w:bookmarkEnd w:id="3093"/>
      <w:bookmarkEnd w:id="3094"/>
      <w:bookmarkEnd w:id="3095"/>
      <w:bookmarkEnd w:id="3096"/>
      <w:bookmarkEnd w:id="3097"/>
      <w:bookmarkEnd w:id="3098"/>
    </w:p>
    <w:p w:rsidR="00FC576C" w:rsidRPr="00FC576C" w:rsidRDefault="00FC576C" w:rsidP="00FC576C">
      <w:pPr>
        <w:pStyle w:val="ParaNum"/>
        <w:widowControl/>
        <w:tabs>
          <w:tab w:val="clear" w:pos="1260"/>
          <w:tab w:val="num" w:pos="1440"/>
        </w:tabs>
        <w:ind w:left="0"/>
      </w:pPr>
      <w:r>
        <w:rPr>
          <w:szCs w:val="22"/>
        </w:rPr>
        <w:t xml:space="preserve">In the </w:t>
      </w:r>
      <w:r>
        <w:rPr>
          <w:i/>
          <w:szCs w:val="22"/>
        </w:rPr>
        <w:t>Auction 9</w:t>
      </w:r>
      <w:r w:rsidR="00530B79">
        <w:rPr>
          <w:i/>
          <w:szCs w:val="22"/>
        </w:rPr>
        <w:t>6</w:t>
      </w:r>
      <w:r>
        <w:rPr>
          <w:i/>
          <w:szCs w:val="22"/>
        </w:rPr>
        <w:t xml:space="preserve"> Comment Public Notice</w:t>
      </w:r>
      <w:r>
        <w:rPr>
          <w:szCs w:val="22"/>
        </w:rPr>
        <w:t>, the Bureau proposed that it would advance the auction to the next stage (i.e., from Stage One to Stage Two) after considering a variety of measures of auction activity, including, but not limited to, the percentages of licenses (as measured in bidding units) on which there are new bids, the number of new bids, and the increase in revenue.</w:t>
      </w:r>
      <w:r>
        <w:rPr>
          <w:rStyle w:val="FootnoteReference"/>
          <w:szCs w:val="22"/>
        </w:rPr>
        <w:footnoteReference w:id="206"/>
      </w:r>
      <w:r>
        <w:rPr>
          <w:szCs w:val="22"/>
        </w:rPr>
        <w:t xml:space="preserve">  The Bureau further proposed that it would retain the discretion to change the activity requirements during the auction.  For example, the Bureau could decide not to transition to Stage Two if it believes the auction is progressing satisfactorily under the Stage One activity requirement, or to transition to Stage Two with an activity requirement that is higher or lower than 95 percent.</w:t>
      </w:r>
      <w:r>
        <w:rPr>
          <w:rStyle w:val="FootnoteReference"/>
          <w:szCs w:val="22"/>
        </w:rPr>
        <w:footnoteReference w:id="207"/>
      </w:r>
      <w:r>
        <w:rPr>
          <w:szCs w:val="22"/>
        </w:rPr>
        <w:t xml:space="preserve">  The Bureau proposed to alert bidders of stage advancements by announcement during the auction.  The Bureau </w:t>
      </w:r>
      <w:r w:rsidRPr="00C15957">
        <w:rPr>
          <w:szCs w:val="22"/>
        </w:rPr>
        <w:t xml:space="preserve">received </w:t>
      </w:r>
      <w:r w:rsidRPr="00115B71">
        <w:rPr>
          <w:szCs w:val="22"/>
        </w:rPr>
        <w:t xml:space="preserve">no </w:t>
      </w:r>
      <w:r w:rsidR="00042D54">
        <w:rPr>
          <w:szCs w:val="22"/>
        </w:rPr>
        <w:t xml:space="preserve">specific </w:t>
      </w:r>
      <w:r w:rsidRPr="00115B71">
        <w:rPr>
          <w:szCs w:val="22"/>
        </w:rPr>
        <w:t>comments</w:t>
      </w:r>
      <w:r w:rsidRPr="00614390">
        <w:rPr>
          <w:szCs w:val="22"/>
        </w:rPr>
        <w:t xml:space="preserve"> on this issue.</w:t>
      </w:r>
      <w:r w:rsidR="00042D54">
        <w:rPr>
          <w:rStyle w:val="FootnoteReference"/>
          <w:szCs w:val="22"/>
        </w:rPr>
        <w:footnoteReference w:id="208"/>
      </w:r>
    </w:p>
    <w:p w:rsidR="00FC576C" w:rsidRPr="00FC576C" w:rsidRDefault="00FC576C" w:rsidP="00FC576C">
      <w:pPr>
        <w:pStyle w:val="ParaNum"/>
        <w:widowControl/>
        <w:tabs>
          <w:tab w:val="clear" w:pos="1260"/>
          <w:tab w:val="num" w:pos="1440"/>
        </w:tabs>
        <w:ind w:left="0"/>
      </w:pPr>
      <w:r>
        <w:rPr>
          <w:szCs w:val="22"/>
        </w:rPr>
        <w:t>We adopt our proposal for stage transitions.  Thus, the auction will start in Stage One.</w:t>
      </w:r>
      <w:r>
        <w:rPr>
          <w:rStyle w:val="FootnoteReference"/>
          <w:szCs w:val="22"/>
        </w:rPr>
        <w:footnoteReference w:id="209"/>
      </w:r>
      <w:r>
        <w:rPr>
          <w:szCs w:val="22"/>
        </w:rPr>
        <w:t xml:space="preserve">  The Bureau will regulate the pace of the auction by announcement.  The Bureau retains the discretion to transition the auction to Stage Two, to add an additional stage with a higher activity requirement, not to transition to Stage Two, and to transition to Stage Two with an activity requirement that is higher or lower than 95 percent.  This determination will be based on a variety of measures of auction activity, including, but not limited to, the number of new bids and the percentages of licenses (as measured in bidding units) on which there are new bids.</w:t>
      </w:r>
      <w:r>
        <w:rPr>
          <w:rStyle w:val="FootnoteReference"/>
          <w:szCs w:val="22"/>
        </w:rPr>
        <w:footnoteReference w:id="210"/>
      </w:r>
    </w:p>
    <w:p w:rsidR="008434F5" w:rsidRPr="001C2E9C" w:rsidRDefault="008434F5" w:rsidP="00C07C81">
      <w:pPr>
        <w:pStyle w:val="Heading3"/>
        <w:widowControl/>
        <w:rPr>
          <w:szCs w:val="22"/>
        </w:rPr>
      </w:pPr>
      <w:bookmarkStart w:id="3099" w:name="_Toc483218163"/>
      <w:bookmarkStart w:id="3100" w:name="_Toc109812265"/>
      <w:bookmarkStart w:id="3101" w:name="_Toc124844774"/>
      <w:bookmarkStart w:id="3102" w:name="_Toc124844902"/>
      <w:bookmarkStart w:id="3103" w:name="_Toc124845561"/>
      <w:bookmarkStart w:id="3104" w:name="_Toc124845829"/>
      <w:bookmarkStart w:id="3105" w:name="_Toc124845903"/>
      <w:bookmarkStart w:id="3106" w:name="_Toc124845977"/>
      <w:bookmarkStart w:id="3107" w:name="_Toc124846149"/>
      <w:bookmarkStart w:id="3108" w:name="_Toc124848272"/>
      <w:bookmarkStart w:id="3109" w:name="_Toc124907523"/>
      <w:bookmarkStart w:id="3110" w:name="_Toc129773489"/>
      <w:bookmarkStart w:id="3111" w:name="_Toc130210027"/>
      <w:bookmarkStart w:id="3112" w:name="_Toc130730956"/>
      <w:bookmarkStart w:id="3113" w:name="_Toc130814184"/>
      <w:bookmarkStart w:id="3114" w:name="_Toc130814506"/>
      <w:bookmarkStart w:id="3115" w:name="_Toc130814638"/>
      <w:bookmarkStart w:id="3116" w:name="_Toc130883521"/>
      <w:bookmarkStart w:id="3117" w:name="_Toc130885629"/>
      <w:bookmarkStart w:id="3118" w:name="_Toc131844608"/>
      <w:bookmarkStart w:id="3119" w:name="_Toc148330546"/>
      <w:bookmarkStart w:id="3120" w:name="_Toc148332147"/>
      <w:bookmarkStart w:id="3121" w:name="_Toc148332219"/>
      <w:bookmarkStart w:id="3122" w:name="_Toc148332293"/>
      <w:bookmarkStart w:id="3123" w:name="_Toc148332370"/>
      <w:bookmarkStart w:id="3124" w:name="_Toc148332447"/>
      <w:bookmarkStart w:id="3125" w:name="_Toc148332524"/>
      <w:bookmarkStart w:id="3126" w:name="_Toc148332599"/>
      <w:bookmarkStart w:id="3127" w:name="_Toc148332672"/>
      <w:bookmarkStart w:id="3128" w:name="_Toc148332768"/>
      <w:bookmarkStart w:id="3129" w:name="_Toc148332902"/>
      <w:bookmarkStart w:id="3130" w:name="_Toc148333104"/>
      <w:bookmarkStart w:id="3131" w:name="_Toc148333237"/>
      <w:bookmarkStart w:id="3132" w:name="_Toc148333656"/>
      <w:bookmarkStart w:id="3133" w:name="_Toc148334269"/>
      <w:bookmarkStart w:id="3134" w:name="_Toc148335783"/>
      <w:bookmarkStart w:id="3135" w:name="_Toc148336316"/>
      <w:bookmarkStart w:id="3136" w:name="_Toc148337757"/>
      <w:bookmarkStart w:id="3137" w:name="_Toc148338080"/>
      <w:bookmarkStart w:id="3138" w:name="_Toc148339790"/>
      <w:bookmarkStart w:id="3139" w:name="_Toc148339887"/>
      <w:bookmarkStart w:id="3140" w:name="_Toc149645595"/>
      <w:bookmarkStart w:id="3141" w:name="_Toc149997898"/>
      <w:bookmarkStart w:id="3142" w:name="_Toc158180775"/>
      <w:bookmarkStart w:id="3143" w:name="_Toc158785623"/>
      <w:bookmarkStart w:id="3144" w:name="_Toc178768526"/>
      <w:bookmarkStart w:id="3145" w:name="_Toc179195967"/>
      <w:bookmarkStart w:id="3146" w:name="_Toc179361911"/>
      <w:bookmarkStart w:id="3147" w:name="_Toc179363695"/>
      <w:bookmarkStart w:id="3148" w:name="_Toc197504951"/>
      <w:bookmarkStart w:id="3149" w:name="_Toc198007732"/>
      <w:bookmarkStart w:id="3150" w:name="_Toc198007883"/>
      <w:bookmarkStart w:id="3151" w:name="_Toc198008235"/>
      <w:bookmarkStart w:id="3152" w:name="_Toc198008372"/>
      <w:bookmarkStart w:id="3153" w:name="_Toc198008919"/>
      <w:bookmarkStart w:id="3154" w:name="_Toc198369815"/>
      <w:bookmarkStart w:id="3155" w:name="_Toc198369952"/>
      <w:bookmarkStart w:id="3156" w:name="_Toc198372864"/>
      <w:bookmarkStart w:id="3157" w:name="_Toc198372967"/>
      <w:bookmarkStart w:id="3158" w:name="_Toc198373097"/>
      <w:bookmarkStart w:id="3159" w:name="_Toc198373265"/>
      <w:bookmarkStart w:id="3160" w:name="_Toc198627179"/>
      <w:bookmarkStart w:id="3161" w:name="_Toc198627285"/>
      <w:bookmarkStart w:id="3162" w:name="_Toc216090743"/>
      <w:bookmarkStart w:id="3163" w:name="_Toc226958248"/>
      <w:bookmarkStart w:id="3164" w:name="_Toc227038308"/>
      <w:bookmarkStart w:id="3165" w:name="_Toc254792613"/>
      <w:bookmarkStart w:id="3166" w:name="_Toc256669737"/>
      <w:bookmarkStart w:id="3167" w:name="_Toc257213270"/>
      <w:bookmarkStart w:id="3168" w:name="_Toc257277772"/>
      <w:bookmarkStart w:id="3169" w:name="_Toc257278733"/>
      <w:bookmarkStart w:id="3170" w:name="_Toc257278943"/>
      <w:bookmarkStart w:id="3171" w:name="_Toc257279311"/>
      <w:bookmarkStart w:id="3172" w:name="_Toc257382955"/>
      <w:bookmarkStart w:id="3173" w:name="_Toc274056214"/>
      <w:bookmarkStart w:id="3174" w:name="_Toc276657620"/>
      <w:bookmarkStart w:id="3175" w:name="_Toc278366466"/>
      <w:bookmarkStart w:id="3176" w:name="_Toc307584060"/>
      <w:bookmarkStart w:id="3177" w:name="_Toc307937334"/>
      <w:bookmarkStart w:id="3178" w:name="_Toc348508776"/>
      <w:bookmarkStart w:id="3179" w:name="_Toc362256782"/>
      <w:bookmarkStart w:id="3180" w:name="_Toc366056540"/>
      <w:bookmarkStart w:id="3181" w:name="_Toc366223742"/>
      <w:bookmarkStart w:id="3182" w:name="_Toc366229455"/>
      <w:bookmarkStart w:id="3183" w:name="_Toc366583498"/>
      <w:r w:rsidRPr="001C2E9C">
        <w:rPr>
          <w:szCs w:val="22"/>
        </w:rPr>
        <w:t>Activity Rule Waivers</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p>
    <w:p w:rsidR="008434F5" w:rsidRPr="009D4319" w:rsidRDefault="009D4319" w:rsidP="009D4319">
      <w:pPr>
        <w:pStyle w:val="ParaNum"/>
        <w:widowControl/>
        <w:tabs>
          <w:tab w:val="clear" w:pos="1260"/>
          <w:tab w:val="left" w:pos="1440"/>
        </w:tabs>
        <w:ind w:left="0"/>
        <w:rPr>
          <w:szCs w:val="22"/>
        </w:rPr>
      </w:pPr>
      <w:r w:rsidRPr="009D4319">
        <w:rPr>
          <w:szCs w:val="22"/>
        </w:rPr>
        <w:t>T</w:t>
      </w:r>
      <w:r w:rsidR="00370605" w:rsidRPr="009D4319">
        <w:rPr>
          <w:szCs w:val="22"/>
        </w:rPr>
        <w:t xml:space="preserve">he Bureau </w:t>
      </w:r>
      <w:r w:rsidR="008434F5" w:rsidRPr="009D4319">
        <w:rPr>
          <w:szCs w:val="22"/>
        </w:rPr>
        <w:t>proposed</w:t>
      </w:r>
      <w:r w:rsidRPr="009D4319">
        <w:rPr>
          <w:szCs w:val="22"/>
        </w:rPr>
        <w:t xml:space="preserve"> in the </w:t>
      </w:r>
      <w:r w:rsidRPr="009D4319">
        <w:rPr>
          <w:i/>
          <w:szCs w:val="22"/>
        </w:rPr>
        <w:t>Auction</w:t>
      </w:r>
      <w:r w:rsidRPr="009D4319" w:rsidDel="008B3F0F">
        <w:rPr>
          <w:i/>
          <w:szCs w:val="22"/>
        </w:rPr>
        <w:t xml:space="preserve"> </w:t>
      </w:r>
      <w:r w:rsidRPr="009D4319">
        <w:rPr>
          <w:i/>
          <w:szCs w:val="22"/>
        </w:rPr>
        <w:t>96 Comment Public Notice</w:t>
      </w:r>
      <w:r w:rsidR="008434F5" w:rsidRPr="009D4319">
        <w:rPr>
          <w:szCs w:val="22"/>
        </w:rPr>
        <w:t xml:space="preserve"> that each bidder in the auction be provided with three activity rule waivers.</w:t>
      </w:r>
      <w:r w:rsidR="008434F5" w:rsidRPr="00CA6286">
        <w:rPr>
          <w:rStyle w:val="FootnoteReference"/>
          <w:szCs w:val="22"/>
        </w:rPr>
        <w:footnoteReference w:id="211"/>
      </w:r>
      <w:r w:rsidR="008434F5" w:rsidRPr="009D4319">
        <w:rPr>
          <w:szCs w:val="22"/>
        </w:rPr>
        <w:t xml:space="preserve">  </w:t>
      </w:r>
      <w:r w:rsidR="0085441E" w:rsidRPr="009D4319">
        <w:rPr>
          <w:szCs w:val="22"/>
        </w:rPr>
        <w:t>The Bureau</w:t>
      </w:r>
      <w:r w:rsidR="00AE17F9" w:rsidRPr="009D4319">
        <w:rPr>
          <w:szCs w:val="22"/>
        </w:rPr>
        <w:t xml:space="preserve"> received no </w:t>
      </w:r>
      <w:r w:rsidR="00042D54" w:rsidRPr="009D4319">
        <w:rPr>
          <w:szCs w:val="22"/>
        </w:rPr>
        <w:t xml:space="preserve">specific </w:t>
      </w:r>
      <w:r w:rsidR="00AE17F9" w:rsidRPr="009D4319">
        <w:rPr>
          <w:szCs w:val="22"/>
        </w:rPr>
        <w:t>comments on this issue.</w:t>
      </w:r>
      <w:r w:rsidR="00042D54">
        <w:rPr>
          <w:rStyle w:val="FootnoteReference"/>
          <w:szCs w:val="22"/>
        </w:rPr>
        <w:footnoteReference w:id="212"/>
      </w:r>
      <w:r w:rsidRPr="009D4319" w:rsidDel="009D4319">
        <w:rPr>
          <w:szCs w:val="22"/>
        </w:rPr>
        <w:t xml:space="preserve"> </w:t>
      </w:r>
      <w:r>
        <w:rPr>
          <w:szCs w:val="22"/>
        </w:rPr>
        <w:t xml:space="preserve"> </w:t>
      </w:r>
      <w:r w:rsidR="0032440F" w:rsidRPr="009D4319">
        <w:rPr>
          <w:szCs w:val="22"/>
        </w:rPr>
        <w:t xml:space="preserve">Therefore, </w:t>
      </w:r>
      <w:r w:rsidR="0085441E" w:rsidRPr="009D4319">
        <w:rPr>
          <w:szCs w:val="22"/>
        </w:rPr>
        <w:t>the Bureau</w:t>
      </w:r>
      <w:r w:rsidR="0032440F" w:rsidRPr="009D4319">
        <w:rPr>
          <w:szCs w:val="22"/>
        </w:rPr>
        <w:t xml:space="preserve"> adopt</w:t>
      </w:r>
      <w:r w:rsidR="00A81516" w:rsidRPr="009D4319">
        <w:rPr>
          <w:szCs w:val="22"/>
        </w:rPr>
        <w:t>s</w:t>
      </w:r>
      <w:r w:rsidR="0032440F" w:rsidRPr="009D4319">
        <w:rPr>
          <w:szCs w:val="22"/>
        </w:rPr>
        <w:t xml:space="preserve"> </w:t>
      </w:r>
      <w:r>
        <w:rPr>
          <w:szCs w:val="22"/>
        </w:rPr>
        <w:t>it</w:t>
      </w:r>
      <w:r w:rsidR="0085441E" w:rsidRPr="009D4319">
        <w:rPr>
          <w:szCs w:val="22"/>
        </w:rPr>
        <w:t>s</w:t>
      </w:r>
      <w:r w:rsidR="0032440F" w:rsidRPr="009D4319">
        <w:rPr>
          <w:szCs w:val="22"/>
        </w:rPr>
        <w:t xml:space="preserve"> proposal to provide bidders with three activity rule waivers.  </w:t>
      </w:r>
      <w:r w:rsidR="008434F5" w:rsidRPr="009D4319">
        <w:rPr>
          <w:szCs w:val="22"/>
        </w:rPr>
        <w:t>Bidders may use an activity rule waiver in any round during the course of t</w:t>
      </w:r>
      <w:r w:rsidR="008434F5" w:rsidRPr="00153DA4">
        <w:rPr>
          <w:szCs w:val="22"/>
        </w:rPr>
        <w:t>he auction.  Use of a</w:t>
      </w:r>
      <w:r w:rsidR="00A455FD" w:rsidRPr="00B35D00">
        <w:rPr>
          <w:szCs w:val="22"/>
        </w:rPr>
        <w:t>n</w:t>
      </w:r>
      <w:r w:rsidR="002B0C15" w:rsidRPr="009D4319">
        <w:rPr>
          <w:szCs w:val="22"/>
        </w:rPr>
        <w:t xml:space="preserve"> </w:t>
      </w:r>
      <w:r w:rsidR="00A455FD" w:rsidRPr="009D4319">
        <w:rPr>
          <w:szCs w:val="22"/>
        </w:rPr>
        <w:t>activity</w:t>
      </w:r>
      <w:r w:rsidR="008434F5" w:rsidRPr="009D4319">
        <w:rPr>
          <w:szCs w:val="22"/>
        </w:rPr>
        <w:t xml:space="preserve"> rule waiver preserves the bidder’s eligibility despite </w:t>
      </w:r>
      <w:r w:rsidR="002B0C15" w:rsidRPr="009D4319">
        <w:rPr>
          <w:szCs w:val="22"/>
        </w:rPr>
        <w:t xml:space="preserve">its </w:t>
      </w:r>
      <w:r w:rsidR="008434F5" w:rsidRPr="009D4319">
        <w:rPr>
          <w:szCs w:val="22"/>
        </w:rPr>
        <w:t xml:space="preserve">activity in the current round being below the required minimum activity level.  An activity rule waiver applies to an entire round of bidding and not to a particular </w:t>
      </w:r>
      <w:r w:rsidR="00FC576C" w:rsidRPr="009D4319">
        <w:rPr>
          <w:szCs w:val="22"/>
        </w:rPr>
        <w:t>license</w:t>
      </w:r>
      <w:r w:rsidR="008434F5" w:rsidRPr="009D4319">
        <w:rPr>
          <w:szCs w:val="22"/>
        </w:rPr>
        <w:t xml:space="preserve">.  </w:t>
      </w:r>
      <w:r w:rsidR="002B0C15" w:rsidRPr="009D4319">
        <w:rPr>
          <w:szCs w:val="22"/>
        </w:rPr>
        <w:t>W</w:t>
      </w:r>
      <w:r w:rsidR="008434F5" w:rsidRPr="009D4319">
        <w:rPr>
          <w:szCs w:val="22"/>
        </w:rPr>
        <w:t xml:space="preserve">aivers can be either proactive or automatic and are principally a mechanism for auction participants to avoid the loss of bidding eligibility in the event that exigent circumstances prevent them from placing a bid in a particular round.  </w:t>
      </w:r>
    </w:p>
    <w:p w:rsidR="008434F5" w:rsidRPr="001C2E9C" w:rsidRDefault="008434F5" w:rsidP="00C07C81">
      <w:pPr>
        <w:pStyle w:val="ParaNum"/>
        <w:widowControl/>
        <w:tabs>
          <w:tab w:val="clear" w:pos="1260"/>
          <w:tab w:val="left" w:pos="1440"/>
        </w:tabs>
        <w:ind w:left="0"/>
        <w:rPr>
          <w:szCs w:val="22"/>
        </w:rPr>
      </w:pPr>
      <w:r w:rsidRPr="001C2E9C">
        <w:rPr>
          <w:szCs w:val="22"/>
        </w:rPr>
        <w:t xml:space="preserve">The FCC Auction System assumes that </w:t>
      </w:r>
      <w:r w:rsidR="002B0C15">
        <w:rPr>
          <w:szCs w:val="22"/>
        </w:rPr>
        <w:t xml:space="preserve">a </w:t>
      </w:r>
      <w:r w:rsidRPr="001C2E9C">
        <w:rPr>
          <w:szCs w:val="22"/>
        </w:rPr>
        <w:t xml:space="preserve">bidder with insufficient activity would prefer to apply an activity rule waiver (if available) rather than lose bidding eligibility.  Therefore, the system will automatically apply a waiver at the end of any bidding round </w:t>
      </w:r>
      <w:r w:rsidR="00EA408B">
        <w:rPr>
          <w:szCs w:val="22"/>
        </w:rPr>
        <w:t xml:space="preserve">in which </w:t>
      </w:r>
      <w:r w:rsidRPr="001C2E9C">
        <w:rPr>
          <w:szCs w:val="22"/>
        </w:rPr>
        <w:t>a bidder’s activity level is below the minimum required unless (1) the</w:t>
      </w:r>
      <w:r w:rsidR="00EA408B">
        <w:rPr>
          <w:szCs w:val="22"/>
        </w:rPr>
        <w:t xml:space="preserve"> bidder has </w:t>
      </w:r>
      <w:r w:rsidRPr="001C2E9C">
        <w:rPr>
          <w:szCs w:val="22"/>
        </w:rPr>
        <w:t xml:space="preserve">no </w:t>
      </w:r>
      <w:r w:rsidR="00EA408B">
        <w:rPr>
          <w:szCs w:val="22"/>
        </w:rPr>
        <w:t xml:space="preserve">activity rule </w:t>
      </w:r>
      <w:r w:rsidRPr="001C2E9C">
        <w:rPr>
          <w:szCs w:val="22"/>
        </w:rPr>
        <w:t xml:space="preserve">waivers </w:t>
      </w:r>
      <w:r w:rsidR="00EA408B">
        <w:rPr>
          <w:szCs w:val="22"/>
        </w:rPr>
        <w:t xml:space="preserve">remaining </w:t>
      </w:r>
      <w:r w:rsidRPr="001C2E9C">
        <w:rPr>
          <w:szCs w:val="22"/>
        </w:rPr>
        <w:t>or (2) the bidder overrides the automatic application of a waiver by reducing eligibility.  If no waivers remain and the activity requirement</w:t>
      </w:r>
      <w:r w:rsidR="002B0C15">
        <w:rPr>
          <w:szCs w:val="22"/>
        </w:rPr>
        <w:t xml:space="preserve"> is not satisfied</w:t>
      </w:r>
      <w:r w:rsidRPr="001C2E9C">
        <w:rPr>
          <w:szCs w:val="22"/>
        </w:rPr>
        <w:t xml:space="preserve">, the FCC Auction System will permanently reduce the bidder’s eligibility, possibly curtailing or eliminating </w:t>
      </w:r>
      <w:r w:rsidR="00EA408B">
        <w:rPr>
          <w:szCs w:val="22"/>
        </w:rPr>
        <w:t>the</w:t>
      </w:r>
      <w:r w:rsidR="00161419">
        <w:rPr>
          <w:szCs w:val="22"/>
        </w:rPr>
        <w:t xml:space="preserve"> </w:t>
      </w:r>
      <w:r w:rsidRPr="001C2E9C">
        <w:rPr>
          <w:szCs w:val="22"/>
        </w:rPr>
        <w:t>ability to place additional bids in the auction.</w:t>
      </w:r>
    </w:p>
    <w:p w:rsidR="008434F5" w:rsidRPr="001C2E9C" w:rsidRDefault="008434F5" w:rsidP="00C07C81">
      <w:pPr>
        <w:pStyle w:val="ParaNum"/>
        <w:widowControl/>
        <w:tabs>
          <w:tab w:val="clear" w:pos="1260"/>
          <w:tab w:val="left" w:pos="1440"/>
        </w:tabs>
        <w:ind w:left="0"/>
        <w:rPr>
          <w:szCs w:val="22"/>
        </w:rPr>
      </w:pPr>
      <w:r w:rsidRPr="001C2E9C">
        <w:rPr>
          <w:szCs w:val="22"/>
        </w:rPr>
        <w:t xml:space="preserve">A bidder with insufficient activity </w:t>
      </w:r>
      <w:r w:rsidR="00EA408B">
        <w:rPr>
          <w:szCs w:val="22"/>
        </w:rPr>
        <w:t xml:space="preserve">may wish </w:t>
      </w:r>
      <w:r w:rsidRPr="001C2E9C">
        <w:rPr>
          <w:szCs w:val="22"/>
        </w:rPr>
        <w:t xml:space="preserve">to reduce </w:t>
      </w:r>
      <w:r w:rsidR="00EA408B">
        <w:rPr>
          <w:szCs w:val="22"/>
        </w:rPr>
        <w:t xml:space="preserve">its </w:t>
      </w:r>
      <w:r w:rsidRPr="001C2E9C">
        <w:rPr>
          <w:szCs w:val="22"/>
        </w:rPr>
        <w:t>bidding eligibility rather than use an activity rule waiver</w:t>
      </w:r>
      <w:r w:rsidR="00EA408B">
        <w:rPr>
          <w:szCs w:val="22"/>
        </w:rPr>
        <w:t>.  If so, the bidder</w:t>
      </w:r>
      <w:r w:rsidRPr="001C2E9C">
        <w:rPr>
          <w:szCs w:val="22"/>
        </w:rPr>
        <w:t xml:space="preserve"> must affirmatively override the automatic waiver mechanism during the bidding round by using the “reduce eligibility” function in the FCC Auction System.  In this case, the bidder’s eligibility is </w:t>
      </w:r>
      <w:r w:rsidRPr="00B15925">
        <w:rPr>
          <w:szCs w:val="22"/>
        </w:rPr>
        <w:t xml:space="preserve">permanently reduced to bring </w:t>
      </w:r>
      <w:r w:rsidR="002B0C15">
        <w:rPr>
          <w:szCs w:val="22"/>
        </w:rPr>
        <w:t>it</w:t>
      </w:r>
      <w:r w:rsidRPr="00B15925">
        <w:rPr>
          <w:szCs w:val="22"/>
        </w:rPr>
        <w:t xml:space="preserve"> into compliance with the activity rule</w:t>
      </w:r>
      <w:r w:rsidR="002D05D0">
        <w:rPr>
          <w:szCs w:val="22"/>
        </w:rPr>
        <w:t xml:space="preserve"> </w:t>
      </w:r>
      <w:r w:rsidRPr="00B15925">
        <w:rPr>
          <w:szCs w:val="22"/>
        </w:rPr>
        <w:t xml:space="preserve">described </w:t>
      </w:r>
      <w:r w:rsidRPr="005E52E0">
        <w:rPr>
          <w:szCs w:val="22"/>
        </w:rPr>
        <w:t>above.</w:t>
      </w:r>
      <w:r w:rsidRPr="00183E39">
        <w:rPr>
          <w:szCs w:val="22"/>
        </w:rPr>
        <w:t xml:space="preserve">  </w:t>
      </w:r>
      <w:r w:rsidR="00EA408B">
        <w:rPr>
          <w:szCs w:val="22"/>
        </w:rPr>
        <w:t>Reducing eligibility is an irreversible action; o</w:t>
      </w:r>
      <w:r w:rsidRPr="00183E39">
        <w:rPr>
          <w:szCs w:val="22"/>
        </w:rPr>
        <w:t>nce eligibility has been reduced, a bidder</w:t>
      </w:r>
      <w:r w:rsidRPr="001C2E9C">
        <w:rPr>
          <w:szCs w:val="22"/>
        </w:rPr>
        <w:t xml:space="preserve"> will not be permitted to regain its lost bidding eligibility</w:t>
      </w:r>
      <w:r w:rsidR="00EA408B">
        <w:rPr>
          <w:szCs w:val="22"/>
        </w:rPr>
        <w:t>,</w:t>
      </w:r>
      <w:r w:rsidRPr="001C2E9C">
        <w:rPr>
          <w:szCs w:val="22"/>
        </w:rPr>
        <w:t xml:space="preserve"> even if the round has not yet </w:t>
      </w:r>
      <w:r w:rsidR="00EA408B">
        <w:rPr>
          <w:szCs w:val="22"/>
        </w:rPr>
        <w:t>closed</w:t>
      </w:r>
      <w:r w:rsidRPr="001C2E9C">
        <w:rPr>
          <w:szCs w:val="22"/>
        </w:rPr>
        <w:t>.</w:t>
      </w:r>
    </w:p>
    <w:p w:rsidR="008434F5" w:rsidRPr="001C2E9C" w:rsidRDefault="008434F5" w:rsidP="00C07C81">
      <w:pPr>
        <w:pStyle w:val="ParaNum"/>
        <w:widowControl/>
        <w:tabs>
          <w:tab w:val="clear" w:pos="1260"/>
          <w:tab w:val="left" w:pos="1440"/>
        </w:tabs>
        <w:ind w:left="0"/>
        <w:rPr>
          <w:szCs w:val="22"/>
        </w:rPr>
      </w:pPr>
      <w:r w:rsidRPr="001C2E9C">
        <w:rPr>
          <w:szCs w:val="22"/>
        </w:rPr>
        <w:t xml:space="preserve">Finally, a bidder may apply an activity rule waiver proactively as a means to keep the auction open without placing a bid.  If a proactive waiver </w:t>
      </w:r>
      <w:r w:rsidR="002B0C15">
        <w:rPr>
          <w:szCs w:val="22"/>
        </w:rPr>
        <w:t xml:space="preserve">is applied </w:t>
      </w:r>
      <w:r w:rsidRPr="001C2E9C">
        <w:rPr>
          <w:szCs w:val="22"/>
        </w:rPr>
        <w:t xml:space="preserve">(using the “apply waiver” function in the FCC Auction System) during a bidding round in which no bids </w:t>
      </w:r>
      <w:r w:rsidR="003F3314" w:rsidRPr="001C2E9C">
        <w:rPr>
          <w:szCs w:val="22"/>
        </w:rPr>
        <w:t>are placed</w:t>
      </w:r>
      <w:r w:rsidR="00C272E9">
        <w:rPr>
          <w:szCs w:val="22"/>
        </w:rPr>
        <w:t xml:space="preserve"> or </w:t>
      </w:r>
      <w:r w:rsidR="00C272E9" w:rsidRPr="00724DC5">
        <w:rPr>
          <w:szCs w:val="22"/>
        </w:rPr>
        <w:t>withdrawn</w:t>
      </w:r>
      <w:r w:rsidR="003C4F90">
        <w:rPr>
          <w:szCs w:val="22"/>
        </w:rPr>
        <w:t>,</w:t>
      </w:r>
      <w:r w:rsidR="00161419">
        <w:rPr>
          <w:szCs w:val="22"/>
        </w:rPr>
        <w:t xml:space="preserve"> </w:t>
      </w:r>
      <w:r w:rsidRPr="001C2E9C">
        <w:rPr>
          <w:szCs w:val="22"/>
        </w:rPr>
        <w:t>the auction will remain open and the bidder’s eligibility will be preserved.  However, an automatic waiver applied by the FCC Auction System in a round in which there are no new bids</w:t>
      </w:r>
      <w:r w:rsidR="00C272E9">
        <w:rPr>
          <w:szCs w:val="22"/>
        </w:rPr>
        <w:t xml:space="preserve">, </w:t>
      </w:r>
      <w:r w:rsidR="00C272E9" w:rsidRPr="00724DC5">
        <w:rPr>
          <w:szCs w:val="22"/>
        </w:rPr>
        <w:t>withdrawals</w:t>
      </w:r>
      <w:r w:rsidR="00C272E9" w:rsidRPr="00814575">
        <w:rPr>
          <w:szCs w:val="22"/>
        </w:rPr>
        <w:t>,</w:t>
      </w:r>
      <w:r w:rsidRPr="001C2E9C">
        <w:rPr>
          <w:szCs w:val="22"/>
        </w:rPr>
        <w:t xml:space="preserve"> or proactive waivers will not keep the auction open.  A bidder cannot submit a proactive waiver after </w:t>
      </w:r>
      <w:r w:rsidR="00EA408B">
        <w:rPr>
          <w:szCs w:val="22"/>
        </w:rPr>
        <w:t xml:space="preserve">bidding </w:t>
      </w:r>
      <w:r w:rsidRPr="001C2E9C">
        <w:rPr>
          <w:szCs w:val="22"/>
        </w:rPr>
        <w:t>in a round</w:t>
      </w:r>
      <w:r w:rsidR="00EA408B">
        <w:rPr>
          <w:szCs w:val="22"/>
        </w:rPr>
        <w:t xml:space="preserve">, and applying </w:t>
      </w:r>
      <w:r w:rsidRPr="001C2E9C">
        <w:rPr>
          <w:szCs w:val="22"/>
        </w:rPr>
        <w:t xml:space="preserve">a proactive waiver will preclude </w:t>
      </w:r>
      <w:r w:rsidR="00EA408B">
        <w:rPr>
          <w:szCs w:val="22"/>
        </w:rPr>
        <w:t xml:space="preserve">it </w:t>
      </w:r>
      <w:r w:rsidRPr="001C2E9C">
        <w:rPr>
          <w:szCs w:val="22"/>
        </w:rPr>
        <w:t xml:space="preserve">from placing any bids in that round.  </w:t>
      </w:r>
      <w:r w:rsidR="00EA408B">
        <w:rPr>
          <w:b/>
          <w:szCs w:val="22"/>
        </w:rPr>
        <w:t>A</w:t>
      </w:r>
      <w:r w:rsidRPr="001C2E9C">
        <w:rPr>
          <w:b/>
          <w:szCs w:val="22"/>
        </w:rPr>
        <w:t>pplying a waiver is irreversible</w:t>
      </w:r>
      <w:r w:rsidR="00EA408B">
        <w:rPr>
          <w:b/>
          <w:szCs w:val="22"/>
        </w:rPr>
        <w:t>; o</w:t>
      </w:r>
      <w:r w:rsidRPr="001C2E9C">
        <w:rPr>
          <w:b/>
          <w:szCs w:val="22"/>
        </w:rPr>
        <w:t>nce</w:t>
      </w:r>
      <w:r w:rsidR="003C4F90" w:rsidRPr="003C4F90">
        <w:rPr>
          <w:b/>
          <w:szCs w:val="22"/>
        </w:rPr>
        <w:t xml:space="preserve"> </w:t>
      </w:r>
      <w:r w:rsidR="003C4F90">
        <w:rPr>
          <w:b/>
          <w:szCs w:val="22"/>
        </w:rPr>
        <w:t>a bidder submits a proactive waiver, the bidder cannot unsubmit the waiver even if the round has not yet ended</w:t>
      </w:r>
      <w:r w:rsidRPr="001C2E9C">
        <w:rPr>
          <w:b/>
          <w:szCs w:val="22"/>
        </w:rPr>
        <w:t>.</w:t>
      </w:r>
    </w:p>
    <w:p w:rsidR="008434F5" w:rsidRPr="00724DC5" w:rsidRDefault="008434F5" w:rsidP="00C07C81">
      <w:pPr>
        <w:pStyle w:val="Heading3"/>
        <w:widowControl/>
        <w:rPr>
          <w:szCs w:val="22"/>
        </w:rPr>
      </w:pPr>
      <w:bookmarkStart w:id="3184" w:name="_Toc483218166"/>
      <w:bookmarkStart w:id="3185" w:name="_Toc109812266"/>
      <w:bookmarkStart w:id="3186" w:name="_Toc124844775"/>
      <w:bookmarkStart w:id="3187" w:name="_Toc124844903"/>
      <w:bookmarkStart w:id="3188" w:name="_Toc124845562"/>
      <w:bookmarkStart w:id="3189" w:name="_Toc124845830"/>
      <w:bookmarkStart w:id="3190" w:name="_Toc124845904"/>
      <w:bookmarkStart w:id="3191" w:name="_Toc124845978"/>
      <w:bookmarkStart w:id="3192" w:name="_Toc124846150"/>
      <w:bookmarkStart w:id="3193" w:name="_Toc124848273"/>
      <w:bookmarkStart w:id="3194" w:name="_Toc124907524"/>
      <w:bookmarkStart w:id="3195" w:name="_Toc129773490"/>
      <w:bookmarkStart w:id="3196" w:name="_Toc130210028"/>
      <w:bookmarkStart w:id="3197" w:name="_Toc130730957"/>
      <w:bookmarkStart w:id="3198" w:name="_Toc130814185"/>
      <w:bookmarkStart w:id="3199" w:name="_Toc130814507"/>
      <w:bookmarkStart w:id="3200" w:name="_Toc130814639"/>
      <w:bookmarkStart w:id="3201" w:name="_Toc130883522"/>
      <w:bookmarkStart w:id="3202" w:name="_Toc130885630"/>
      <w:bookmarkStart w:id="3203" w:name="_Toc131844609"/>
      <w:bookmarkStart w:id="3204" w:name="_Toc148330547"/>
      <w:bookmarkStart w:id="3205" w:name="_Toc148332148"/>
      <w:bookmarkStart w:id="3206" w:name="_Toc148332220"/>
      <w:bookmarkStart w:id="3207" w:name="_Toc148332294"/>
      <w:bookmarkStart w:id="3208" w:name="_Toc148332371"/>
      <w:bookmarkStart w:id="3209" w:name="_Toc148332448"/>
      <w:bookmarkStart w:id="3210" w:name="_Toc148332525"/>
      <w:bookmarkStart w:id="3211" w:name="_Toc148332600"/>
      <w:bookmarkStart w:id="3212" w:name="_Toc148332673"/>
      <w:bookmarkStart w:id="3213" w:name="_Toc148332769"/>
      <w:bookmarkStart w:id="3214" w:name="_Toc148332903"/>
      <w:bookmarkStart w:id="3215" w:name="_Toc148333105"/>
      <w:bookmarkStart w:id="3216" w:name="_Toc148333238"/>
      <w:bookmarkStart w:id="3217" w:name="_Toc148333657"/>
      <w:bookmarkStart w:id="3218" w:name="_Toc148334270"/>
      <w:bookmarkStart w:id="3219" w:name="_Toc148335784"/>
      <w:bookmarkStart w:id="3220" w:name="_Toc148336317"/>
      <w:bookmarkStart w:id="3221" w:name="_Toc148337758"/>
      <w:bookmarkStart w:id="3222" w:name="_Toc148338081"/>
      <w:bookmarkStart w:id="3223" w:name="_Toc148339791"/>
      <w:bookmarkStart w:id="3224" w:name="_Toc148339888"/>
      <w:bookmarkStart w:id="3225" w:name="_Toc149645596"/>
      <w:bookmarkStart w:id="3226" w:name="_Toc149997899"/>
      <w:bookmarkStart w:id="3227" w:name="_Toc158180776"/>
      <w:bookmarkStart w:id="3228" w:name="_Toc158785624"/>
      <w:bookmarkStart w:id="3229" w:name="_Toc178768527"/>
      <w:bookmarkStart w:id="3230" w:name="_Toc179195968"/>
      <w:bookmarkStart w:id="3231" w:name="_Toc179361912"/>
      <w:bookmarkStart w:id="3232" w:name="_Toc179363696"/>
      <w:bookmarkStart w:id="3233" w:name="_Toc197504952"/>
      <w:bookmarkStart w:id="3234" w:name="_Toc198007733"/>
      <w:bookmarkStart w:id="3235" w:name="_Toc198007884"/>
      <w:bookmarkStart w:id="3236" w:name="_Toc198008236"/>
      <w:bookmarkStart w:id="3237" w:name="_Toc198008373"/>
      <w:bookmarkStart w:id="3238" w:name="_Toc198008920"/>
      <w:bookmarkStart w:id="3239" w:name="_Toc198369816"/>
      <w:bookmarkStart w:id="3240" w:name="_Toc198369953"/>
      <w:bookmarkStart w:id="3241" w:name="_Toc198372865"/>
      <w:bookmarkStart w:id="3242" w:name="_Toc198372968"/>
      <w:bookmarkStart w:id="3243" w:name="_Toc198373098"/>
      <w:bookmarkStart w:id="3244" w:name="_Toc198373266"/>
      <w:bookmarkStart w:id="3245" w:name="_Toc198627180"/>
      <w:bookmarkStart w:id="3246" w:name="_Toc198627286"/>
      <w:bookmarkStart w:id="3247" w:name="_Toc216090744"/>
      <w:bookmarkStart w:id="3248" w:name="_Toc226958249"/>
      <w:bookmarkStart w:id="3249" w:name="_Toc227038309"/>
      <w:bookmarkStart w:id="3250" w:name="_Toc254792614"/>
      <w:bookmarkStart w:id="3251" w:name="_Toc256669738"/>
      <w:bookmarkStart w:id="3252" w:name="_Toc257213271"/>
      <w:bookmarkStart w:id="3253" w:name="_Toc257277773"/>
      <w:bookmarkStart w:id="3254" w:name="_Toc257278734"/>
      <w:bookmarkStart w:id="3255" w:name="_Toc257278944"/>
      <w:bookmarkStart w:id="3256" w:name="_Toc257279312"/>
      <w:bookmarkStart w:id="3257" w:name="_Toc257382956"/>
      <w:bookmarkStart w:id="3258" w:name="_Toc274056215"/>
      <w:bookmarkStart w:id="3259" w:name="_Toc276657621"/>
      <w:bookmarkStart w:id="3260" w:name="_Toc278366467"/>
      <w:bookmarkStart w:id="3261" w:name="_Toc307584061"/>
      <w:bookmarkStart w:id="3262" w:name="_Toc307937335"/>
      <w:bookmarkStart w:id="3263" w:name="_Toc348508777"/>
      <w:bookmarkStart w:id="3264" w:name="_Toc366056541"/>
      <w:bookmarkStart w:id="3265" w:name="_Toc366223743"/>
      <w:bookmarkStart w:id="3266" w:name="_Toc366229456"/>
      <w:bookmarkStart w:id="3267" w:name="_Toc366583499"/>
      <w:bookmarkStart w:id="3268" w:name="_Toc362256783"/>
      <w:r w:rsidRPr="006002A0">
        <w:rPr>
          <w:szCs w:val="22"/>
        </w:rPr>
        <w:t>Auction Stopping Rules</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00242B9B" w:rsidRPr="006002A0">
        <w:rPr>
          <w:szCs w:val="22"/>
        </w:rPr>
        <w:t xml:space="preserve"> </w:t>
      </w:r>
      <w:bookmarkEnd w:id="3268"/>
    </w:p>
    <w:p w:rsidR="00A86AFE" w:rsidRPr="001C2E9C" w:rsidRDefault="009D4319" w:rsidP="00C07C81">
      <w:pPr>
        <w:pStyle w:val="ParaNum"/>
        <w:widowControl/>
        <w:tabs>
          <w:tab w:val="clear" w:pos="1260"/>
          <w:tab w:val="left" w:pos="1440"/>
        </w:tabs>
        <w:ind w:left="0"/>
        <w:rPr>
          <w:szCs w:val="22"/>
        </w:rPr>
      </w:pPr>
      <w:r w:rsidRPr="009D4319">
        <w:rPr>
          <w:szCs w:val="22"/>
        </w:rPr>
        <w:t xml:space="preserve"> </w:t>
      </w:r>
      <w:r w:rsidRPr="001C2E9C">
        <w:rPr>
          <w:szCs w:val="22"/>
        </w:rPr>
        <w:t xml:space="preserve">In the </w:t>
      </w:r>
      <w:r w:rsidRPr="001C2E9C">
        <w:rPr>
          <w:i/>
          <w:szCs w:val="22"/>
        </w:rPr>
        <w:t>Auction</w:t>
      </w:r>
      <w:r w:rsidRPr="001C2E9C" w:rsidDel="008B3F0F">
        <w:rPr>
          <w:i/>
          <w:szCs w:val="22"/>
        </w:rPr>
        <w:t xml:space="preserve"> </w:t>
      </w:r>
      <w:r>
        <w:rPr>
          <w:i/>
          <w:szCs w:val="22"/>
        </w:rPr>
        <w:t>96</w:t>
      </w:r>
      <w:r w:rsidRPr="001C2E9C">
        <w:rPr>
          <w:i/>
          <w:szCs w:val="22"/>
        </w:rPr>
        <w:t xml:space="preserve"> </w:t>
      </w:r>
      <w:r w:rsidRPr="0085441E">
        <w:rPr>
          <w:i/>
          <w:szCs w:val="22"/>
        </w:rPr>
        <w:t>Comment</w:t>
      </w:r>
      <w:r w:rsidRPr="001C2E9C">
        <w:rPr>
          <w:i/>
          <w:szCs w:val="22"/>
        </w:rPr>
        <w:t xml:space="preserve"> Public Notice</w:t>
      </w:r>
      <w:r w:rsidR="008434F5" w:rsidRPr="001C2E9C">
        <w:rPr>
          <w:szCs w:val="22"/>
        </w:rPr>
        <w:t xml:space="preserve">, the Bureau proposed to employ a </w:t>
      </w:r>
      <w:r w:rsidR="008434F5" w:rsidRPr="00112AE6">
        <w:rPr>
          <w:szCs w:val="22"/>
        </w:rPr>
        <w:t>simultaneous stoppi</w:t>
      </w:r>
      <w:r w:rsidR="008434F5" w:rsidRPr="001C2E9C">
        <w:rPr>
          <w:szCs w:val="22"/>
        </w:rPr>
        <w:t xml:space="preserve">ng rule </w:t>
      </w:r>
      <w:r w:rsidR="00447416">
        <w:rPr>
          <w:szCs w:val="22"/>
        </w:rPr>
        <w:t>under its SMR proposal.</w:t>
      </w:r>
      <w:r w:rsidR="00447416" w:rsidRPr="00CA6286">
        <w:rPr>
          <w:rStyle w:val="FootnoteReference"/>
          <w:szCs w:val="22"/>
        </w:rPr>
        <w:footnoteReference w:id="213"/>
      </w:r>
      <w:r w:rsidR="00D836FF">
        <w:rPr>
          <w:szCs w:val="22"/>
        </w:rPr>
        <w:t xml:space="preserve"> </w:t>
      </w:r>
      <w:r w:rsidR="00447416">
        <w:rPr>
          <w:szCs w:val="22"/>
        </w:rPr>
        <w:t xml:space="preserve"> Under this rule, </w:t>
      </w:r>
      <w:r w:rsidR="00D836FF">
        <w:rPr>
          <w:szCs w:val="22"/>
        </w:rPr>
        <w:t xml:space="preserve">all </w:t>
      </w:r>
      <w:r w:rsidR="00CD4F54">
        <w:rPr>
          <w:szCs w:val="22"/>
        </w:rPr>
        <w:t>licenses</w:t>
      </w:r>
      <w:r w:rsidR="00D836FF">
        <w:rPr>
          <w:szCs w:val="22"/>
        </w:rPr>
        <w:t xml:space="preserve"> remain available for bidding until bidding stops simultaneously on every </w:t>
      </w:r>
      <w:r w:rsidR="00CD4F54">
        <w:rPr>
          <w:szCs w:val="22"/>
        </w:rPr>
        <w:t>license</w:t>
      </w:r>
      <w:r w:rsidR="008434F5" w:rsidRPr="001C2E9C">
        <w:rPr>
          <w:szCs w:val="22"/>
        </w:rPr>
        <w:t>.</w:t>
      </w:r>
      <w:r w:rsidR="008434F5" w:rsidRPr="00CA6286">
        <w:rPr>
          <w:rStyle w:val="FootnoteReference"/>
          <w:szCs w:val="22"/>
        </w:rPr>
        <w:footnoteReference w:id="214"/>
      </w:r>
      <w:r w:rsidR="008434F5" w:rsidRPr="001C2E9C">
        <w:rPr>
          <w:szCs w:val="22"/>
        </w:rPr>
        <w:t xml:space="preserve">  </w:t>
      </w:r>
      <w:r w:rsidR="003F3314" w:rsidRPr="001C2E9C">
        <w:rPr>
          <w:szCs w:val="22"/>
        </w:rPr>
        <w:t xml:space="preserve">More specifically, bidding will close on all </w:t>
      </w:r>
      <w:r w:rsidR="00CD4F54">
        <w:rPr>
          <w:szCs w:val="22"/>
        </w:rPr>
        <w:t>licenses</w:t>
      </w:r>
      <w:r w:rsidR="003F3314" w:rsidRPr="001C2E9C">
        <w:rPr>
          <w:szCs w:val="22"/>
        </w:rPr>
        <w:t xml:space="preserve"> after the first round in which no bidder submits any new bids</w:t>
      </w:r>
      <w:r w:rsidR="00C272E9">
        <w:rPr>
          <w:szCs w:val="22"/>
        </w:rPr>
        <w:t>,</w:t>
      </w:r>
      <w:r w:rsidR="003F3314" w:rsidRPr="001C2E9C">
        <w:rPr>
          <w:szCs w:val="22"/>
        </w:rPr>
        <w:t xml:space="preserve"> applies a proactive waiver</w:t>
      </w:r>
      <w:r w:rsidR="00C272E9">
        <w:rPr>
          <w:szCs w:val="22"/>
        </w:rPr>
        <w:t xml:space="preserve">, or </w:t>
      </w:r>
      <w:r w:rsidR="00C272E9" w:rsidRPr="00724DC5">
        <w:rPr>
          <w:szCs w:val="22"/>
        </w:rPr>
        <w:t>withdraws</w:t>
      </w:r>
      <w:r w:rsidR="00C272E9">
        <w:rPr>
          <w:szCs w:val="22"/>
        </w:rPr>
        <w:t xml:space="preserve"> any provisionally winning bids</w:t>
      </w:r>
      <w:r w:rsidR="00A86AFE" w:rsidRPr="001C2E9C">
        <w:rPr>
          <w:szCs w:val="22"/>
        </w:rPr>
        <w:t>.</w:t>
      </w:r>
      <w:r w:rsidR="00447416">
        <w:rPr>
          <w:szCs w:val="22"/>
        </w:rPr>
        <w:t xml:space="preserve">  </w:t>
      </w:r>
      <w:r w:rsidR="00447416" w:rsidRPr="0064234E">
        <w:t>Thus, under our SMR proposal, unless we announce alternative stopping procedures, the simultaneous stopping rule will be used in this auction, and bidding will remain open on all licenses until bidding stops on every license, regardless of whether bids are placed on individual licenses or packages of licenses.</w:t>
      </w:r>
      <w:r w:rsidR="00447416">
        <w:rPr>
          <w:szCs w:val="22"/>
        </w:rPr>
        <w:t xml:space="preserve"> </w:t>
      </w:r>
    </w:p>
    <w:p w:rsidR="006E6FA3" w:rsidRPr="001C2E9C" w:rsidRDefault="00D836FF" w:rsidP="00C07C81">
      <w:pPr>
        <w:pStyle w:val="ParaNum"/>
        <w:widowControl/>
        <w:tabs>
          <w:tab w:val="clear" w:pos="1260"/>
          <w:tab w:val="left" w:pos="1440"/>
        </w:tabs>
        <w:ind w:left="0"/>
        <w:rPr>
          <w:szCs w:val="22"/>
        </w:rPr>
      </w:pPr>
      <w:r>
        <w:rPr>
          <w:szCs w:val="22"/>
        </w:rPr>
        <w:t>We</w:t>
      </w:r>
      <w:r w:rsidR="008434F5" w:rsidRPr="001C2E9C">
        <w:rPr>
          <w:szCs w:val="22"/>
        </w:rPr>
        <w:t xml:space="preserve"> also </w:t>
      </w:r>
      <w:r w:rsidR="00AF13D1">
        <w:rPr>
          <w:szCs w:val="22"/>
        </w:rPr>
        <w:t>proposed that the Bureau retain discretion to exercise any of the following</w:t>
      </w:r>
      <w:r w:rsidR="008434F5" w:rsidRPr="001C2E9C">
        <w:rPr>
          <w:szCs w:val="22"/>
        </w:rPr>
        <w:t xml:space="preserve"> </w:t>
      </w:r>
      <w:r w:rsidR="00136D10" w:rsidRPr="001C2E9C">
        <w:rPr>
          <w:szCs w:val="22"/>
        </w:rPr>
        <w:t>alternative</w:t>
      </w:r>
      <w:r w:rsidR="008434F5" w:rsidRPr="001C2E9C">
        <w:rPr>
          <w:szCs w:val="22"/>
        </w:rPr>
        <w:t xml:space="preserve"> version</w:t>
      </w:r>
      <w:r w:rsidR="00136D10" w:rsidRPr="001C2E9C">
        <w:rPr>
          <w:szCs w:val="22"/>
        </w:rPr>
        <w:t>s</w:t>
      </w:r>
      <w:r w:rsidR="008434F5" w:rsidRPr="001C2E9C">
        <w:rPr>
          <w:szCs w:val="22"/>
        </w:rPr>
        <w:t xml:space="preserve"> of the simultaneous stopping rule </w:t>
      </w:r>
      <w:r w:rsidR="00136D10" w:rsidRPr="001C2E9C">
        <w:rPr>
          <w:szCs w:val="22"/>
        </w:rPr>
        <w:t xml:space="preserve">for Auction </w:t>
      </w:r>
      <w:r w:rsidR="00CC0081">
        <w:rPr>
          <w:szCs w:val="22"/>
        </w:rPr>
        <w:t>9</w:t>
      </w:r>
      <w:r w:rsidR="00530B79">
        <w:rPr>
          <w:szCs w:val="22"/>
        </w:rPr>
        <w:t>6</w:t>
      </w:r>
      <w:r w:rsidR="006E6FA3" w:rsidRPr="001C2E9C">
        <w:rPr>
          <w:szCs w:val="22"/>
        </w:rPr>
        <w:t>:</w:t>
      </w:r>
    </w:p>
    <w:p w:rsidR="005140D2" w:rsidRDefault="006E6FA3" w:rsidP="00C07C81">
      <w:pPr>
        <w:widowControl/>
        <w:spacing w:after="120"/>
        <w:ind w:left="720"/>
      </w:pPr>
      <w:r w:rsidRPr="001C2E9C">
        <w:t xml:space="preserve">Option 1.  </w:t>
      </w:r>
      <w:r w:rsidR="008434F5" w:rsidRPr="001C2E9C">
        <w:t xml:space="preserve">The </w:t>
      </w:r>
      <w:r w:rsidRPr="001C2E9C">
        <w:t>auction</w:t>
      </w:r>
      <w:r w:rsidR="008434F5" w:rsidRPr="001C2E9C">
        <w:t xml:space="preserve"> would close for all </w:t>
      </w:r>
      <w:r w:rsidR="00CD4F54">
        <w:t>licenses</w:t>
      </w:r>
      <w:r w:rsidR="008434F5" w:rsidRPr="001C2E9C">
        <w:t xml:space="preserve"> after the first round in which no bidder applies </w:t>
      </w:r>
      <w:r w:rsidR="003D55C6">
        <w:t xml:space="preserve">a </w:t>
      </w:r>
      <w:r w:rsidR="008434F5" w:rsidRPr="001C2E9C">
        <w:t>waiver</w:t>
      </w:r>
      <w:r w:rsidR="00C272E9">
        <w:t xml:space="preserve">, </w:t>
      </w:r>
      <w:r w:rsidR="00C272E9" w:rsidRPr="00724DC5">
        <w:t>withdraws a provisionally winning bid</w:t>
      </w:r>
      <w:r w:rsidR="00C272E9">
        <w:t>,</w:t>
      </w:r>
      <w:r w:rsidR="008434F5" w:rsidRPr="001C2E9C">
        <w:t xml:space="preserve"> or </w:t>
      </w:r>
      <w:r w:rsidR="00A86AFE" w:rsidRPr="001C2E9C">
        <w:t>places</w:t>
      </w:r>
      <w:r w:rsidR="008434F5" w:rsidRPr="001C2E9C">
        <w:t xml:space="preserve"> any new bids on </w:t>
      </w:r>
      <w:r w:rsidR="00242B9B">
        <w:t>a</w:t>
      </w:r>
      <w:r w:rsidR="008434F5" w:rsidRPr="001C2E9C">
        <w:t xml:space="preserve"> </w:t>
      </w:r>
      <w:r w:rsidR="00CD4F54">
        <w:t>license</w:t>
      </w:r>
      <w:r w:rsidR="00242B9B">
        <w:t xml:space="preserve"> for</w:t>
      </w:r>
      <w:r w:rsidR="008434F5" w:rsidRPr="001C2E9C">
        <w:t xml:space="preserve"> which it is not the provisionally winning bidder.  Thus, absent any other bidding activity, a bidder placing a new bid on a </w:t>
      </w:r>
      <w:r w:rsidR="00CD4F54">
        <w:t>license</w:t>
      </w:r>
      <w:r w:rsidR="00ED6556" w:rsidRPr="001C2E9C">
        <w:t xml:space="preserve"> </w:t>
      </w:r>
      <w:r w:rsidR="008434F5" w:rsidRPr="001C2E9C">
        <w:t>for which it is the provisionally winning bidder would not keep the auction open under this modified stopping rule.</w:t>
      </w:r>
    </w:p>
    <w:p w:rsidR="00E138DF" w:rsidRDefault="00E138DF" w:rsidP="00C07C81">
      <w:pPr>
        <w:widowControl/>
        <w:spacing w:after="120"/>
        <w:ind w:left="720"/>
      </w:pPr>
      <w:r w:rsidRPr="001C2E9C">
        <w:t xml:space="preserve">Option 2.  </w:t>
      </w:r>
      <w:r>
        <w:t>T</w:t>
      </w:r>
      <w:r w:rsidRPr="00CC3AEE">
        <w:rPr>
          <w:szCs w:val="22"/>
        </w:rPr>
        <w:t>he auction</w:t>
      </w:r>
      <w:r>
        <w:rPr>
          <w:szCs w:val="22"/>
        </w:rPr>
        <w:t xml:space="preserve"> would close</w:t>
      </w:r>
      <w:r w:rsidRPr="00CC3AEE">
        <w:rPr>
          <w:szCs w:val="22"/>
        </w:rPr>
        <w:t xml:space="preserve"> for all </w:t>
      </w:r>
      <w:r w:rsidR="00CD4F54">
        <w:rPr>
          <w:szCs w:val="22"/>
        </w:rPr>
        <w:t>licenses</w:t>
      </w:r>
      <w:r w:rsidRPr="00CC3AEE">
        <w:rPr>
          <w:szCs w:val="22"/>
        </w:rPr>
        <w:t xml:space="preserve"> after the first round in w</w:t>
      </w:r>
      <w:r>
        <w:rPr>
          <w:szCs w:val="22"/>
        </w:rPr>
        <w:t>hich no bidder applies a waiver</w:t>
      </w:r>
      <w:r w:rsidR="00C272E9">
        <w:rPr>
          <w:szCs w:val="22"/>
        </w:rPr>
        <w:t xml:space="preserve">, </w:t>
      </w:r>
      <w:r w:rsidR="00C272E9" w:rsidRPr="00724DC5">
        <w:rPr>
          <w:szCs w:val="22"/>
        </w:rPr>
        <w:t>withdraws a provisionally winning bid</w:t>
      </w:r>
      <w:r w:rsidR="00C272E9">
        <w:rPr>
          <w:szCs w:val="22"/>
        </w:rPr>
        <w:t>,</w:t>
      </w:r>
      <w:r w:rsidRPr="00CC3AEE">
        <w:rPr>
          <w:szCs w:val="22"/>
        </w:rPr>
        <w:t xml:space="preserve"> or places any new bids on </w:t>
      </w:r>
      <w:r w:rsidR="00242B9B">
        <w:rPr>
          <w:szCs w:val="22"/>
        </w:rPr>
        <w:t>a</w:t>
      </w:r>
      <w:r w:rsidRPr="00CC3AEE">
        <w:rPr>
          <w:szCs w:val="22"/>
        </w:rPr>
        <w:t xml:space="preserve"> </w:t>
      </w:r>
      <w:r w:rsidR="00CD4F54">
        <w:rPr>
          <w:szCs w:val="22"/>
        </w:rPr>
        <w:t>license</w:t>
      </w:r>
      <w:r w:rsidR="00242B9B">
        <w:rPr>
          <w:szCs w:val="22"/>
        </w:rPr>
        <w:t xml:space="preserve"> </w:t>
      </w:r>
      <w:r>
        <w:rPr>
          <w:szCs w:val="22"/>
        </w:rPr>
        <w:t>that is not FCC</w:t>
      </w:r>
      <w:r w:rsidR="00242B9B">
        <w:rPr>
          <w:szCs w:val="22"/>
        </w:rPr>
        <w:t>-</w:t>
      </w:r>
      <w:r>
        <w:rPr>
          <w:szCs w:val="22"/>
        </w:rPr>
        <w:t>held</w:t>
      </w:r>
      <w:r w:rsidRPr="00CC3AEE">
        <w:rPr>
          <w:szCs w:val="22"/>
        </w:rPr>
        <w:t xml:space="preserve">.  Thus, absent any other bidding activity, a bidder placing a new bid on a </w:t>
      </w:r>
      <w:r w:rsidR="00CD4F54">
        <w:rPr>
          <w:szCs w:val="22"/>
        </w:rPr>
        <w:t>license</w:t>
      </w:r>
      <w:r w:rsidRPr="00CC3AEE">
        <w:rPr>
          <w:szCs w:val="22"/>
        </w:rPr>
        <w:t xml:space="preserve"> </w:t>
      </w:r>
      <w:r>
        <w:rPr>
          <w:szCs w:val="22"/>
        </w:rPr>
        <w:t>that does not already have a provisionally winning bid</w:t>
      </w:r>
      <w:r w:rsidRPr="00CC3AEE">
        <w:rPr>
          <w:szCs w:val="22"/>
        </w:rPr>
        <w:t xml:space="preserve"> </w:t>
      </w:r>
      <w:r>
        <w:rPr>
          <w:szCs w:val="22"/>
        </w:rPr>
        <w:t xml:space="preserve">(an “FCC-held” </w:t>
      </w:r>
      <w:r w:rsidR="00CD4F54">
        <w:rPr>
          <w:szCs w:val="22"/>
        </w:rPr>
        <w:t>license</w:t>
      </w:r>
      <w:r>
        <w:rPr>
          <w:szCs w:val="22"/>
        </w:rPr>
        <w:t xml:space="preserve">) </w:t>
      </w:r>
      <w:r w:rsidRPr="00CC3AEE">
        <w:rPr>
          <w:szCs w:val="22"/>
        </w:rPr>
        <w:t xml:space="preserve">would not keep the auction open under this modified stopping </w:t>
      </w:r>
      <w:r w:rsidRPr="00B96E31">
        <w:rPr>
          <w:color w:val="000000"/>
          <w:szCs w:val="22"/>
        </w:rPr>
        <w:t>rule</w:t>
      </w:r>
      <w:r w:rsidRPr="001C2E9C">
        <w:t>.</w:t>
      </w:r>
    </w:p>
    <w:p w:rsidR="00E138DF" w:rsidRPr="001C2E9C" w:rsidRDefault="00E138DF" w:rsidP="00C07C81">
      <w:pPr>
        <w:widowControl/>
        <w:spacing w:after="120"/>
        <w:ind w:left="720"/>
      </w:pPr>
      <w:r w:rsidRPr="001C2E9C">
        <w:t xml:space="preserve">Option </w:t>
      </w:r>
      <w:r>
        <w:t>3</w:t>
      </w:r>
      <w:r w:rsidRPr="001C2E9C">
        <w:t xml:space="preserve">.  </w:t>
      </w:r>
      <w:r>
        <w:t>The auction would close u</w:t>
      </w:r>
      <w:r w:rsidRPr="00CC3AEE">
        <w:rPr>
          <w:szCs w:val="22"/>
        </w:rPr>
        <w:t>s</w:t>
      </w:r>
      <w:r>
        <w:rPr>
          <w:szCs w:val="22"/>
        </w:rPr>
        <w:t>ing</w:t>
      </w:r>
      <w:r w:rsidRPr="00CC3AEE">
        <w:rPr>
          <w:szCs w:val="22"/>
        </w:rPr>
        <w:t xml:space="preserve"> a modified version of the simultaneous stopping rule</w:t>
      </w:r>
      <w:r>
        <w:rPr>
          <w:szCs w:val="22"/>
        </w:rPr>
        <w:t xml:space="preserve"> that combines (a) and (b) above</w:t>
      </w:r>
      <w:r w:rsidRPr="001C2E9C">
        <w:t>.</w:t>
      </w:r>
    </w:p>
    <w:p w:rsidR="006E6FA3" w:rsidRDefault="00E138DF" w:rsidP="00C07C81">
      <w:pPr>
        <w:widowControl/>
        <w:spacing w:after="120"/>
        <w:ind w:left="720"/>
      </w:pPr>
      <w:r>
        <w:t>Option 4</w:t>
      </w:r>
      <w:r w:rsidR="006E6FA3" w:rsidRPr="001C2E9C">
        <w:t>.  The auction would end after a specified number of additional rounds</w:t>
      </w:r>
      <w:r w:rsidR="00FF45E0">
        <w:t xml:space="preserve"> (“special stopping rule”)</w:t>
      </w:r>
      <w:r w:rsidR="006E6FA3" w:rsidRPr="001C2E9C">
        <w:t>.  If the Bureau invoke</w:t>
      </w:r>
      <w:r w:rsidR="00CD4F54">
        <w:t>s</w:t>
      </w:r>
      <w:r w:rsidR="006E6FA3" w:rsidRPr="001C2E9C">
        <w:t xml:space="preserve"> this special stopping rule, it will accept bids in the specified final round(s)</w:t>
      </w:r>
      <w:r w:rsidR="00D836FF">
        <w:t xml:space="preserve">, after which </w:t>
      </w:r>
      <w:r w:rsidR="006E6FA3" w:rsidRPr="001C2E9C">
        <w:t>the auction will close.</w:t>
      </w:r>
    </w:p>
    <w:p w:rsidR="003E0477" w:rsidRPr="001C2E9C" w:rsidRDefault="00E138DF" w:rsidP="00C07C81">
      <w:pPr>
        <w:widowControl/>
        <w:spacing w:after="120"/>
        <w:ind w:left="720"/>
      </w:pPr>
      <w:r>
        <w:t>Option 5</w:t>
      </w:r>
      <w:r w:rsidR="006E6FA3" w:rsidRPr="001C2E9C">
        <w:t xml:space="preserve">.  </w:t>
      </w:r>
      <w:r w:rsidR="008434F5" w:rsidRPr="001C2E9C">
        <w:t xml:space="preserve">The auction </w:t>
      </w:r>
      <w:r w:rsidR="006E6FA3" w:rsidRPr="001C2E9C">
        <w:t xml:space="preserve">would remain </w:t>
      </w:r>
      <w:r w:rsidR="008434F5" w:rsidRPr="001C2E9C">
        <w:t xml:space="preserve">open even if no </w:t>
      </w:r>
      <w:r w:rsidR="00A86AFE" w:rsidRPr="001C2E9C">
        <w:t xml:space="preserve">bidder places any </w:t>
      </w:r>
      <w:r w:rsidR="008434F5" w:rsidRPr="001C2E9C">
        <w:t>new bids</w:t>
      </w:r>
      <w:r w:rsidR="00C272E9">
        <w:t xml:space="preserve">, </w:t>
      </w:r>
      <w:r w:rsidR="00A86AFE" w:rsidRPr="001C2E9C">
        <w:t>applies a</w:t>
      </w:r>
      <w:r w:rsidR="008434F5" w:rsidRPr="001C2E9C">
        <w:t xml:space="preserve"> waiver</w:t>
      </w:r>
      <w:r w:rsidR="00C272E9">
        <w:t xml:space="preserve">, or </w:t>
      </w:r>
      <w:r w:rsidR="00C272E9" w:rsidRPr="00724DC5">
        <w:t>withdraws any provisionally winning bids</w:t>
      </w:r>
      <w:r w:rsidR="008434F5" w:rsidRPr="001C2E9C">
        <w:t>.  In this event, the effect will be the same as if a bidder had applied a waiver.  Thus, the activity rule will apply as usual, and a bidder with insufficient activity will either lose bidding eligibility</w:t>
      </w:r>
      <w:r w:rsidR="003C47AF" w:rsidRPr="001C2E9C">
        <w:t xml:space="preserve"> or use a waiver</w:t>
      </w:r>
      <w:r w:rsidR="008434F5" w:rsidRPr="001C2E9C">
        <w:t>.</w:t>
      </w:r>
    </w:p>
    <w:p w:rsidR="002A5487" w:rsidRPr="00AA2B80" w:rsidRDefault="00D836FF" w:rsidP="00C07C81">
      <w:pPr>
        <w:pStyle w:val="ParaNum"/>
        <w:widowControl/>
        <w:tabs>
          <w:tab w:val="clear" w:pos="1260"/>
          <w:tab w:val="left" w:pos="1440"/>
        </w:tabs>
        <w:ind w:left="0"/>
        <w:rPr>
          <w:szCs w:val="22"/>
        </w:rPr>
      </w:pPr>
      <w:r>
        <w:rPr>
          <w:szCs w:val="22"/>
        </w:rPr>
        <w:t>We</w:t>
      </w:r>
      <w:r w:rsidR="00370605" w:rsidRPr="001C2E9C">
        <w:rPr>
          <w:szCs w:val="22"/>
        </w:rPr>
        <w:t xml:space="preserve"> </w:t>
      </w:r>
      <w:r w:rsidR="008434F5" w:rsidRPr="001C2E9C">
        <w:rPr>
          <w:szCs w:val="22"/>
        </w:rPr>
        <w:t xml:space="preserve">proposed to exercise these </w:t>
      </w:r>
      <w:r w:rsidR="00435F97" w:rsidRPr="001C2E9C">
        <w:rPr>
          <w:szCs w:val="22"/>
        </w:rPr>
        <w:t>alternative versions of the simultaneous stopping rule</w:t>
      </w:r>
      <w:r w:rsidR="008434F5" w:rsidRPr="001C2E9C">
        <w:rPr>
          <w:szCs w:val="22"/>
        </w:rPr>
        <w:t xml:space="preserve"> only in </w:t>
      </w:r>
      <w:r>
        <w:rPr>
          <w:szCs w:val="22"/>
        </w:rPr>
        <w:t xml:space="preserve">certain </w:t>
      </w:r>
      <w:r w:rsidR="008434F5" w:rsidRPr="001C2E9C">
        <w:rPr>
          <w:szCs w:val="22"/>
        </w:rPr>
        <w:t>circumstances</w:t>
      </w:r>
      <w:r>
        <w:rPr>
          <w:szCs w:val="22"/>
        </w:rPr>
        <w:t xml:space="preserve">, for example, </w:t>
      </w:r>
      <w:r w:rsidR="008434F5" w:rsidRPr="001C2E9C">
        <w:rPr>
          <w:szCs w:val="22"/>
        </w:rPr>
        <w:t xml:space="preserve">where the auction is proceeding </w:t>
      </w:r>
      <w:r w:rsidR="00ED6556" w:rsidRPr="001C2E9C">
        <w:rPr>
          <w:szCs w:val="22"/>
        </w:rPr>
        <w:t xml:space="preserve">unusually </w:t>
      </w:r>
      <w:r w:rsidR="008434F5" w:rsidRPr="001C2E9C">
        <w:rPr>
          <w:szCs w:val="22"/>
        </w:rPr>
        <w:t>slowly</w:t>
      </w:r>
      <w:r w:rsidR="00ED6556" w:rsidRPr="001C2E9C">
        <w:rPr>
          <w:szCs w:val="22"/>
        </w:rPr>
        <w:t xml:space="preserve"> or quickly</w:t>
      </w:r>
      <w:r w:rsidR="008434F5" w:rsidRPr="001C2E9C">
        <w:rPr>
          <w:szCs w:val="22"/>
        </w:rPr>
        <w:t>, there is minimal overall bidding activity</w:t>
      </w:r>
      <w:r w:rsidR="0060045B" w:rsidRPr="001C2E9C">
        <w:rPr>
          <w:szCs w:val="22"/>
        </w:rPr>
        <w:t>,</w:t>
      </w:r>
      <w:r w:rsidR="008434F5" w:rsidRPr="001C2E9C">
        <w:rPr>
          <w:szCs w:val="22"/>
        </w:rPr>
        <w:t xml:space="preserve"> or it appears likely that the auction will not close within a reasonable period of time</w:t>
      </w:r>
      <w:r w:rsidR="00ED6556" w:rsidRPr="001C2E9C">
        <w:rPr>
          <w:szCs w:val="22"/>
        </w:rPr>
        <w:t xml:space="preserve"> or will close prematurely</w:t>
      </w:r>
      <w:r w:rsidR="008434F5" w:rsidRPr="001C2E9C">
        <w:rPr>
          <w:szCs w:val="22"/>
        </w:rPr>
        <w:t>.</w:t>
      </w:r>
      <w:r w:rsidR="008434F5" w:rsidRPr="00CA6286">
        <w:rPr>
          <w:rStyle w:val="FootnoteReference"/>
          <w:szCs w:val="22"/>
        </w:rPr>
        <w:footnoteReference w:id="215"/>
      </w:r>
      <w:r w:rsidR="008434F5" w:rsidRPr="001C2E9C">
        <w:rPr>
          <w:szCs w:val="22"/>
        </w:rPr>
        <w:t xml:space="preserve">  </w:t>
      </w:r>
      <w:r>
        <w:rPr>
          <w:szCs w:val="22"/>
        </w:rPr>
        <w:t>B</w:t>
      </w:r>
      <w:r w:rsidR="008434F5" w:rsidRPr="00AA2B80">
        <w:rPr>
          <w:szCs w:val="22"/>
        </w:rPr>
        <w:t xml:space="preserve">efore exercising these options, </w:t>
      </w:r>
      <w:r>
        <w:rPr>
          <w:szCs w:val="22"/>
        </w:rPr>
        <w:t>we</w:t>
      </w:r>
      <w:r w:rsidR="0034409C" w:rsidRPr="00AA2B80">
        <w:rPr>
          <w:szCs w:val="22"/>
        </w:rPr>
        <w:t xml:space="preserve"> are</w:t>
      </w:r>
      <w:r w:rsidR="008434F5" w:rsidRPr="00AA2B80">
        <w:rPr>
          <w:szCs w:val="22"/>
        </w:rPr>
        <w:t xml:space="preserve"> likely to attempt to </w:t>
      </w:r>
      <w:r w:rsidR="00F85873" w:rsidRPr="00AA2B80">
        <w:rPr>
          <w:szCs w:val="22"/>
        </w:rPr>
        <w:t xml:space="preserve">change </w:t>
      </w:r>
      <w:r w:rsidR="008434F5" w:rsidRPr="00AA2B80">
        <w:rPr>
          <w:szCs w:val="22"/>
        </w:rPr>
        <w:t>the pace of the auction</w:t>
      </w:r>
      <w:r w:rsidR="00FF45E0">
        <w:rPr>
          <w:szCs w:val="22"/>
        </w:rPr>
        <w:t xml:space="preserve"> by, for example, </w:t>
      </w:r>
      <w:r w:rsidR="00ED6556" w:rsidRPr="00AA2B80">
        <w:rPr>
          <w:szCs w:val="22"/>
        </w:rPr>
        <w:t xml:space="preserve">changing </w:t>
      </w:r>
      <w:r w:rsidR="008434F5" w:rsidRPr="00AA2B80">
        <w:rPr>
          <w:szCs w:val="22"/>
        </w:rPr>
        <w:t xml:space="preserve">the number of bidding rounds per day and/or </w:t>
      </w:r>
      <w:r w:rsidR="0010078C">
        <w:rPr>
          <w:szCs w:val="22"/>
        </w:rPr>
        <w:t xml:space="preserve">the </w:t>
      </w:r>
      <w:r w:rsidR="008738DB" w:rsidRPr="00AA2B80">
        <w:rPr>
          <w:szCs w:val="22"/>
        </w:rPr>
        <w:t xml:space="preserve">minimum acceptable </w:t>
      </w:r>
      <w:r w:rsidR="008434F5" w:rsidRPr="00AA2B80">
        <w:rPr>
          <w:szCs w:val="22"/>
        </w:rPr>
        <w:t>bid</w:t>
      </w:r>
      <w:r w:rsidR="008738DB" w:rsidRPr="00AA2B80">
        <w:rPr>
          <w:szCs w:val="22"/>
        </w:rPr>
        <w:t>s</w:t>
      </w:r>
      <w:r w:rsidR="008434F5" w:rsidRPr="00AA2B80">
        <w:rPr>
          <w:szCs w:val="22"/>
        </w:rPr>
        <w:t>.</w:t>
      </w:r>
      <w:r w:rsidR="006E6FA3" w:rsidRPr="00AA2B80">
        <w:rPr>
          <w:rStyle w:val="FootnoteReference"/>
          <w:szCs w:val="22"/>
        </w:rPr>
        <w:footnoteReference w:id="216"/>
      </w:r>
      <w:r w:rsidR="005140D2">
        <w:rPr>
          <w:szCs w:val="22"/>
        </w:rPr>
        <w:t xml:space="preserve">  </w:t>
      </w:r>
      <w:r w:rsidR="0010078C">
        <w:rPr>
          <w:szCs w:val="22"/>
        </w:rPr>
        <w:t>We</w:t>
      </w:r>
      <w:r w:rsidR="005140D2">
        <w:rPr>
          <w:color w:val="000000"/>
        </w:rPr>
        <w:t xml:space="preserve"> </w:t>
      </w:r>
      <w:r w:rsidR="00435F97">
        <w:rPr>
          <w:color w:val="000000"/>
        </w:rPr>
        <w:t xml:space="preserve">also </w:t>
      </w:r>
      <w:r w:rsidR="005140D2">
        <w:rPr>
          <w:color w:val="000000"/>
        </w:rPr>
        <w:t>proposed to retain the discretion to exercise any of these options with or without prior announcement during the auction.</w:t>
      </w:r>
      <w:r w:rsidR="005140D2">
        <w:rPr>
          <w:rStyle w:val="FootnoteReference"/>
        </w:rPr>
        <w:footnoteReference w:id="217"/>
      </w:r>
      <w:r w:rsidR="005140D2">
        <w:rPr>
          <w:color w:val="000000"/>
        </w:rPr>
        <w:t xml:space="preserve">  </w:t>
      </w:r>
      <w:r w:rsidR="002A5DA3">
        <w:rPr>
          <w:color w:val="000000"/>
        </w:rPr>
        <w:t>Sp</w:t>
      </w:r>
      <w:r w:rsidR="00042D54">
        <w:rPr>
          <w:color w:val="000000"/>
        </w:rPr>
        <w:t>r</w:t>
      </w:r>
      <w:r w:rsidR="002A5DA3">
        <w:rPr>
          <w:color w:val="000000"/>
        </w:rPr>
        <w:t>int</w:t>
      </w:r>
      <w:r w:rsidR="005D57EA">
        <w:rPr>
          <w:color w:val="000000"/>
        </w:rPr>
        <w:t>,</w:t>
      </w:r>
      <w:r w:rsidR="00204F1B">
        <w:rPr>
          <w:color w:val="000000"/>
        </w:rPr>
        <w:t xml:space="preserve"> </w:t>
      </w:r>
      <w:r w:rsidR="001E04A4">
        <w:rPr>
          <w:color w:val="000000"/>
        </w:rPr>
        <w:t xml:space="preserve">the only party that </w:t>
      </w:r>
      <w:r w:rsidR="005140D2" w:rsidRPr="00115B71">
        <w:rPr>
          <w:color w:val="000000"/>
        </w:rPr>
        <w:t>comment</w:t>
      </w:r>
      <w:r w:rsidR="001E04A4">
        <w:rPr>
          <w:color w:val="000000"/>
        </w:rPr>
        <w:t>ed</w:t>
      </w:r>
      <w:r w:rsidR="005140D2">
        <w:rPr>
          <w:color w:val="000000"/>
        </w:rPr>
        <w:t xml:space="preserve"> on the</w:t>
      </w:r>
      <w:r w:rsidR="00204F1B">
        <w:rPr>
          <w:color w:val="000000"/>
        </w:rPr>
        <w:t xml:space="preserve"> stopping rules</w:t>
      </w:r>
      <w:r w:rsidR="005D57EA">
        <w:rPr>
          <w:color w:val="000000"/>
        </w:rPr>
        <w:t>,</w:t>
      </w:r>
      <w:r w:rsidR="00204F1B">
        <w:rPr>
          <w:color w:val="000000"/>
        </w:rPr>
        <w:t xml:space="preserve"> supported them.</w:t>
      </w:r>
      <w:r w:rsidR="00112AE6">
        <w:rPr>
          <w:rStyle w:val="FootnoteReference"/>
        </w:rPr>
        <w:footnoteReference w:id="218"/>
      </w:r>
      <w:r w:rsidR="00112AE6">
        <w:rPr>
          <w:color w:val="000000"/>
        </w:rPr>
        <w:t xml:space="preserve"> </w:t>
      </w:r>
      <w:r w:rsidR="00204F1B">
        <w:rPr>
          <w:color w:val="000000"/>
        </w:rPr>
        <w:t xml:space="preserve"> W</w:t>
      </w:r>
      <w:r w:rsidR="00112AE6">
        <w:rPr>
          <w:color w:val="000000"/>
        </w:rPr>
        <w:t xml:space="preserve">e </w:t>
      </w:r>
      <w:r w:rsidR="005140D2">
        <w:rPr>
          <w:color w:val="000000"/>
        </w:rPr>
        <w:t xml:space="preserve">adopt </w:t>
      </w:r>
      <w:r w:rsidR="00204F1B">
        <w:rPr>
          <w:color w:val="000000"/>
        </w:rPr>
        <w:t>our proposals</w:t>
      </w:r>
      <w:r w:rsidR="005140D2">
        <w:rPr>
          <w:color w:val="000000"/>
        </w:rPr>
        <w:t xml:space="preserve"> for Auction </w:t>
      </w:r>
      <w:r w:rsidR="00E138DF">
        <w:rPr>
          <w:color w:val="000000"/>
        </w:rPr>
        <w:t>9</w:t>
      </w:r>
      <w:r w:rsidR="00530B79">
        <w:rPr>
          <w:color w:val="000000"/>
        </w:rPr>
        <w:t>6</w:t>
      </w:r>
      <w:r w:rsidR="005140D2">
        <w:rPr>
          <w:color w:val="000000"/>
        </w:rPr>
        <w:t>.</w:t>
      </w:r>
    </w:p>
    <w:p w:rsidR="008434F5" w:rsidRPr="001C2E9C" w:rsidRDefault="008434F5" w:rsidP="00C07C81">
      <w:pPr>
        <w:pStyle w:val="Heading3"/>
        <w:widowControl/>
        <w:rPr>
          <w:szCs w:val="22"/>
        </w:rPr>
      </w:pPr>
      <w:bookmarkStart w:id="3269" w:name="_Toc483218167"/>
      <w:bookmarkStart w:id="3270" w:name="_Toc109812267"/>
      <w:bookmarkStart w:id="3271" w:name="_Toc124844776"/>
      <w:bookmarkStart w:id="3272" w:name="_Toc124844904"/>
      <w:bookmarkStart w:id="3273" w:name="_Toc124845563"/>
      <w:bookmarkStart w:id="3274" w:name="_Toc124845831"/>
      <w:bookmarkStart w:id="3275" w:name="_Toc124845905"/>
      <w:bookmarkStart w:id="3276" w:name="_Toc124845979"/>
      <w:bookmarkStart w:id="3277" w:name="_Toc124846151"/>
      <w:bookmarkStart w:id="3278" w:name="_Toc124848274"/>
      <w:bookmarkStart w:id="3279" w:name="_Toc124907525"/>
      <w:bookmarkStart w:id="3280" w:name="_Toc129773491"/>
      <w:bookmarkStart w:id="3281" w:name="_Toc130210029"/>
      <w:bookmarkStart w:id="3282" w:name="_Toc130730958"/>
      <w:bookmarkStart w:id="3283" w:name="_Toc130814186"/>
      <w:bookmarkStart w:id="3284" w:name="_Toc130814508"/>
      <w:bookmarkStart w:id="3285" w:name="_Toc130814640"/>
      <w:bookmarkStart w:id="3286" w:name="_Toc130883523"/>
      <w:bookmarkStart w:id="3287" w:name="_Toc130885631"/>
      <w:bookmarkStart w:id="3288" w:name="_Toc131844610"/>
      <w:bookmarkStart w:id="3289" w:name="_Toc148330548"/>
      <w:bookmarkStart w:id="3290" w:name="_Toc148332149"/>
      <w:bookmarkStart w:id="3291" w:name="_Toc148332221"/>
      <w:bookmarkStart w:id="3292" w:name="_Toc148332295"/>
      <w:bookmarkStart w:id="3293" w:name="_Toc148332372"/>
      <w:bookmarkStart w:id="3294" w:name="_Toc148332449"/>
      <w:bookmarkStart w:id="3295" w:name="_Toc148332526"/>
      <w:bookmarkStart w:id="3296" w:name="_Toc148332601"/>
      <w:bookmarkStart w:id="3297" w:name="_Toc148332674"/>
      <w:bookmarkStart w:id="3298" w:name="_Toc148332770"/>
      <w:bookmarkStart w:id="3299" w:name="_Toc148332904"/>
      <w:bookmarkStart w:id="3300" w:name="_Toc148333106"/>
      <w:bookmarkStart w:id="3301" w:name="_Toc148333239"/>
      <w:bookmarkStart w:id="3302" w:name="_Toc148333658"/>
      <w:bookmarkStart w:id="3303" w:name="_Toc148334271"/>
      <w:bookmarkStart w:id="3304" w:name="_Toc148335785"/>
      <w:bookmarkStart w:id="3305" w:name="_Toc148336318"/>
      <w:bookmarkStart w:id="3306" w:name="_Toc148337759"/>
      <w:bookmarkStart w:id="3307" w:name="_Toc148338082"/>
      <w:bookmarkStart w:id="3308" w:name="_Toc148339792"/>
      <w:bookmarkStart w:id="3309" w:name="_Toc148339889"/>
      <w:bookmarkStart w:id="3310" w:name="_Toc149645597"/>
      <w:bookmarkStart w:id="3311" w:name="_Toc149997900"/>
      <w:bookmarkStart w:id="3312" w:name="_Toc158180777"/>
      <w:bookmarkStart w:id="3313" w:name="_Toc158785625"/>
      <w:bookmarkStart w:id="3314" w:name="_Toc178768528"/>
      <w:bookmarkStart w:id="3315" w:name="_Toc179195969"/>
      <w:bookmarkStart w:id="3316" w:name="_Toc179361913"/>
      <w:bookmarkStart w:id="3317" w:name="_Toc179363697"/>
      <w:bookmarkStart w:id="3318" w:name="_Toc197504953"/>
      <w:bookmarkStart w:id="3319" w:name="_Toc198007734"/>
      <w:bookmarkStart w:id="3320" w:name="_Toc198007885"/>
      <w:bookmarkStart w:id="3321" w:name="_Toc198008237"/>
      <w:bookmarkStart w:id="3322" w:name="_Toc198008374"/>
      <w:bookmarkStart w:id="3323" w:name="_Toc198008921"/>
      <w:bookmarkStart w:id="3324" w:name="_Toc198369817"/>
      <w:bookmarkStart w:id="3325" w:name="_Toc198369954"/>
      <w:bookmarkStart w:id="3326" w:name="_Toc198372866"/>
      <w:bookmarkStart w:id="3327" w:name="_Toc198372969"/>
      <w:bookmarkStart w:id="3328" w:name="_Toc198373099"/>
      <w:bookmarkStart w:id="3329" w:name="_Toc198373267"/>
      <w:bookmarkStart w:id="3330" w:name="_Toc198627181"/>
      <w:bookmarkStart w:id="3331" w:name="_Toc198627287"/>
      <w:bookmarkStart w:id="3332" w:name="_Toc216090745"/>
      <w:bookmarkStart w:id="3333" w:name="_Toc226958250"/>
      <w:bookmarkStart w:id="3334" w:name="_Toc227038310"/>
      <w:bookmarkStart w:id="3335" w:name="_Toc254792615"/>
      <w:bookmarkStart w:id="3336" w:name="_Toc256669739"/>
      <w:bookmarkStart w:id="3337" w:name="_Toc257213272"/>
      <w:bookmarkStart w:id="3338" w:name="_Toc257277774"/>
      <w:bookmarkStart w:id="3339" w:name="_Toc257278735"/>
      <w:bookmarkStart w:id="3340" w:name="_Toc257278945"/>
      <w:bookmarkStart w:id="3341" w:name="_Toc257279313"/>
      <w:bookmarkStart w:id="3342" w:name="_Toc257382957"/>
      <w:bookmarkStart w:id="3343" w:name="_Toc274056216"/>
      <w:bookmarkStart w:id="3344" w:name="_Toc276657622"/>
      <w:bookmarkStart w:id="3345" w:name="_Toc278366468"/>
      <w:bookmarkStart w:id="3346" w:name="_Toc307584062"/>
      <w:bookmarkStart w:id="3347" w:name="_Toc307937336"/>
      <w:bookmarkStart w:id="3348" w:name="_Toc348508778"/>
      <w:bookmarkStart w:id="3349" w:name="_Toc362256784"/>
      <w:bookmarkStart w:id="3350" w:name="_Toc366056542"/>
      <w:bookmarkStart w:id="3351" w:name="_Toc366223744"/>
      <w:bookmarkStart w:id="3352" w:name="_Toc366229457"/>
      <w:bookmarkStart w:id="3353" w:name="_Toc366583500"/>
      <w:r w:rsidRPr="001C2E9C">
        <w:rPr>
          <w:szCs w:val="22"/>
        </w:rPr>
        <w:t>Auction Delay, Suspension, or Cancellation</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rsidR="008434F5" w:rsidRPr="001C2E9C" w:rsidRDefault="008434F5" w:rsidP="00C07C81">
      <w:pPr>
        <w:pStyle w:val="ParaNum"/>
        <w:widowControl/>
        <w:tabs>
          <w:tab w:val="clear" w:pos="1260"/>
          <w:tab w:val="left" w:pos="1440"/>
        </w:tabs>
        <w:ind w:left="0"/>
        <w:rPr>
          <w:szCs w:val="22"/>
        </w:rPr>
      </w:pPr>
      <w:r w:rsidRPr="001C2E9C">
        <w:rPr>
          <w:szCs w:val="22"/>
        </w:rPr>
        <w:t xml:space="preserve">In the </w:t>
      </w:r>
      <w:r w:rsidR="008B3F0F" w:rsidRPr="001C2E9C">
        <w:rPr>
          <w:i/>
          <w:szCs w:val="22"/>
        </w:rPr>
        <w:t>Auction</w:t>
      </w:r>
      <w:r w:rsidR="008B3F0F" w:rsidRPr="001C2E9C" w:rsidDel="008B3F0F">
        <w:rPr>
          <w:i/>
          <w:szCs w:val="22"/>
        </w:rPr>
        <w:t xml:space="preserve"> </w:t>
      </w:r>
      <w:r w:rsidR="00E138DF">
        <w:rPr>
          <w:i/>
          <w:szCs w:val="22"/>
        </w:rPr>
        <w:t>9</w:t>
      </w:r>
      <w:r w:rsidR="00530B79">
        <w:rPr>
          <w:i/>
          <w:szCs w:val="22"/>
        </w:rPr>
        <w:t>6</w:t>
      </w:r>
      <w:r w:rsidR="0034409C" w:rsidRPr="001C2E9C">
        <w:rPr>
          <w:i/>
          <w:szCs w:val="22"/>
        </w:rPr>
        <w:t xml:space="preserve"> </w:t>
      </w:r>
      <w:r w:rsidR="003C47AF" w:rsidRPr="001C2E9C">
        <w:rPr>
          <w:i/>
          <w:szCs w:val="22"/>
        </w:rPr>
        <w:t xml:space="preserve">Comment </w:t>
      </w:r>
      <w:r w:rsidRPr="001C2E9C">
        <w:rPr>
          <w:i/>
          <w:szCs w:val="22"/>
        </w:rPr>
        <w:t>Public Notice</w:t>
      </w:r>
      <w:r w:rsidRPr="001C2E9C">
        <w:rPr>
          <w:szCs w:val="22"/>
        </w:rPr>
        <w:t xml:space="preserve">, </w:t>
      </w:r>
      <w:r w:rsidR="00370605" w:rsidRPr="001C2E9C">
        <w:rPr>
          <w:szCs w:val="22"/>
        </w:rPr>
        <w:t xml:space="preserve">the Bureau </w:t>
      </w:r>
      <w:r w:rsidRPr="001C2E9C">
        <w:rPr>
          <w:szCs w:val="22"/>
        </w:rPr>
        <w:t xml:space="preserve">proposed that, by public notice or by announcement during the auction, </w:t>
      </w:r>
      <w:r w:rsidR="00CD4F54">
        <w:rPr>
          <w:szCs w:val="22"/>
        </w:rPr>
        <w:t>it</w:t>
      </w:r>
      <w:r w:rsidRPr="001C2E9C">
        <w:rPr>
          <w:szCs w:val="22"/>
        </w:rPr>
        <w:t xml:space="preserve"> may delay, suspend, or cancel the auction in the event of natural disaster, technical obstacle, </w:t>
      </w:r>
      <w:r w:rsidR="008738DB" w:rsidRPr="001C2E9C">
        <w:rPr>
          <w:szCs w:val="22"/>
        </w:rPr>
        <w:t xml:space="preserve">administrative or weather necessity, </w:t>
      </w:r>
      <w:r w:rsidRPr="001C2E9C">
        <w:rPr>
          <w:szCs w:val="22"/>
        </w:rPr>
        <w:t>evidence of an auction security breach</w:t>
      </w:r>
      <w:r w:rsidR="008738DB" w:rsidRPr="001C2E9C">
        <w:rPr>
          <w:szCs w:val="22"/>
        </w:rPr>
        <w:t xml:space="preserve"> or</w:t>
      </w:r>
      <w:r w:rsidRPr="001C2E9C">
        <w:rPr>
          <w:szCs w:val="22"/>
        </w:rPr>
        <w:t xml:space="preserve"> unlawful bidding activity, or for any other reason that affects the fair </w:t>
      </w:r>
      <w:r w:rsidR="008738DB" w:rsidRPr="001C2E9C">
        <w:rPr>
          <w:szCs w:val="22"/>
        </w:rPr>
        <w:t xml:space="preserve">and efficient </w:t>
      </w:r>
      <w:r w:rsidRPr="001C2E9C">
        <w:rPr>
          <w:szCs w:val="22"/>
        </w:rPr>
        <w:t>conduct of competitive bidding.</w:t>
      </w:r>
      <w:r w:rsidRPr="00CA6286">
        <w:rPr>
          <w:rStyle w:val="FootnoteReference"/>
          <w:szCs w:val="22"/>
        </w:rPr>
        <w:footnoteReference w:id="219"/>
      </w:r>
      <w:r w:rsidRPr="001C2E9C">
        <w:rPr>
          <w:szCs w:val="22"/>
        </w:rPr>
        <w:t xml:space="preserve">  </w:t>
      </w:r>
      <w:r w:rsidR="0010078C">
        <w:rPr>
          <w:szCs w:val="22"/>
        </w:rPr>
        <w:t xml:space="preserve">We </w:t>
      </w:r>
      <w:r w:rsidRPr="00C15957">
        <w:rPr>
          <w:szCs w:val="22"/>
        </w:rPr>
        <w:t xml:space="preserve">received </w:t>
      </w:r>
      <w:r w:rsidRPr="00115B71">
        <w:rPr>
          <w:szCs w:val="22"/>
        </w:rPr>
        <w:t xml:space="preserve">no </w:t>
      </w:r>
      <w:r w:rsidR="00042D54">
        <w:rPr>
          <w:szCs w:val="22"/>
        </w:rPr>
        <w:t xml:space="preserve">specific </w:t>
      </w:r>
      <w:r w:rsidRPr="00115B71">
        <w:rPr>
          <w:szCs w:val="22"/>
        </w:rPr>
        <w:t>comment</w:t>
      </w:r>
      <w:r w:rsidRPr="001C2E9C">
        <w:rPr>
          <w:szCs w:val="22"/>
        </w:rPr>
        <w:t xml:space="preserve"> on this issue.</w:t>
      </w:r>
      <w:r w:rsidR="00042D54">
        <w:rPr>
          <w:rStyle w:val="FootnoteReference"/>
          <w:szCs w:val="22"/>
        </w:rPr>
        <w:footnoteReference w:id="220"/>
      </w:r>
    </w:p>
    <w:p w:rsidR="008434F5" w:rsidRPr="001C2E9C" w:rsidRDefault="008434F5" w:rsidP="00C07C81">
      <w:pPr>
        <w:pStyle w:val="ParaNum"/>
        <w:widowControl/>
        <w:tabs>
          <w:tab w:val="clear" w:pos="1260"/>
          <w:tab w:val="left" w:pos="1440"/>
        </w:tabs>
        <w:ind w:left="0"/>
        <w:rPr>
          <w:szCs w:val="22"/>
        </w:rPr>
      </w:pPr>
      <w:r w:rsidRPr="001C2E9C">
        <w:rPr>
          <w:szCs w:val="22"/>
        </w:rPr>
        <w:t xml:space="preserve">Because </w:t>
      </w:r>
      <w:r w:rsidR="0085441E">
        <w:rPr>
          <w:szCs w:val="22"/>
        </w:rPr>
        <w:t>this</w:t>
      </w:r>
      <w:r w:rsidRPr="001C2E9C">
        <w:rPr>
          <w:szCs w:val="22"/>
        </w:rPr>
        <w:t xml:space="preserve"> approach has proven effective in resolving exigent circumstances in previous auctions, </w:t>
      </w:r>
      <w:r w:rsidR="00370605" w:rsidRPr="001C2E9C">
        <w:rPr>
          <w:szCs w:val="22"/>
        </w:rPr>
        <w:t>the Bureau</w:t>
      </w:r>
      <w:r w:rsidR="0085441E">
        <w:rPr>
          <w:szCs w:val="22"/>
        </w:rPr>
        <w:t xml:space="preserve"> adopt</w:t>
      </w:r>
      <w:r w:rsidR="00CD4F54">
        <w:rPr>
          <w:szCs w:val="22"/>
        </w:rPr>
        <w:t>s</w:t>
      </w:r>
      <w:r w:rsidR="0085441E">
        <w:rPr>
          <w:szCs w:val="22"/>
        </w:rPr>
        <w:t xml:space="preserve"> these</w:t>
      </w:r>
      <w:r w:rsidRPr="001C2E9C">
        <w:rPr>
          <w:szCs w:val="22"/>
        </w:rPr>
        <w:t xml:space="preserve"> propos</w:t>
      </w:r>
      <w:r w:rsidR="002E0794">
        <w:rPr>
          <w:szCs w:val="22"/>
        </w:rPr>
        <w:t>als</w:t>
      </w:r>
      <w:r w:rsidRPr="001C2E9C">
        <w:rPr>
          <w:szCs w:val="22"/>
        </w:rPr>
        <w:t xml:space="preserve"> regarding auction delay, suspension, or cancellation.  By public notice or by announcement during the auction, </w:t>
      </w:r>
      <w:r w:rsidR="0010078C">
        <w:rPr>
          <w:szCs w:val="22"/>
        </w:rPr>
        <w:t xml:space="preserve">we </w:t>
      </w:r>
      <w:r w:rsidRPr="001C2E9C">
        <w:rPr>
          <w:szCs w:val="22"/>
        </w:rPr>
        <w:t xml:space="preserve">may delay, suspend, or cancel the auction in the event of natural disaster, technical obstacle, </w:t>
      </w:r>
      <w:r w:rsidR="008738DB" w:rsidRPr="001C2E9C">
        <w:rPr>
          <w:szCs w:val="22"/>
        </w:rPr>
        <w:t xml:space="preserve">administrative or weather necessity, </w:t>
      </w:r>
      <w:r w:rsidRPr="001C2E9C">
        <w:rPr>
          <w:szCs w:val="22"/>
        </w:rPr>
        <w:t>evidence of an auction security breach</w:t>
      </w:r>
      <w:r w:rsidR="00AF7A97" w:rsidRPr="001C2E9C">
        <w:rPr>
          <w:szCs w:val="22"/>
        </w:rPr>
        <w:t xml:space="preserve"> or</w:t>
      </w:r>
      <w:r w:rsidRPr="001C2E9C">
        <w:rPr>
          <w:szCs w:val="22"/>
        </w:rPr>
        <w:t xml:space="preserve"> unlawful bidding activity, or for any other reason that affects the fair and </w:t>
      </w:r>
      <w:r w:rsidR="00AF7A97" w:rsidRPr="001C2E9C">
        <w:rPr>
          <w:szCs w:val="22"/>
        </w:rPr>
        <w:t>efficient</w:t>
      </w:r>
      <w:r w:rsidRPr="001C2E9C">
        <w:rPr>
          <w:szCs w:val="22"/>
        </w:rPr>
        <w:t xml:space="preserve"> conduct of competitive bidding.  In such cases, the Bureau, in </w:t>
      </w:r>
      <w:r w:rsidR="00CD4F54">
        <w:rPr>
          <w:szCs w:val="22"/>
        </w:rPr>
        <w:t>its</w:t>
      </w:r>
      <w:r w:rsidRPr="001C2E9C">
        <w:rPr>
          <w:szCs w:val="22"/>
        </w:rPr>
        <w:t xml:space="preserve"> sole discretion, may elect to resume the auction starting from the beginning of the current round</w:t>
      </w:r>
      <w:r w:rsidR="0010078C">
        <w:rPr>
          <w:szCs w:val="22"/>
        </w:rPr>
        <w:t xml:space="preserve"> or </w:t>
      </w:r>
      <w:r w:rsidRPr="001C2E9C">
        <w:rPr>
          <w:szCs w:val="22"/>
        </w:rPr>
        <w:t xml:space="preserve">from some previous round, or cancel the auction in its entirety.  Network interruption may cause the Bureau to delay or suspend the auction.  </w:t>
      </w:r>
      <w:r w:rsidR="0010078C">
        <w:rPr>
          <w:szCs w:val="22"/>
        </w:rPr>
        <w:t xml:space="preserve">We </w:t>
      </w:r>
      <w:r w:rsidRPr="001C2E9C">
        <w:rPr>
          <w:szCs w:val="22"/>
        </w:rPr>
        <w:t xml:space="preserve">emphasize that </w:t>
      </w:r>
      <w:r w:rsidR="0010078C">
        <w:rPr>
          <w:szCs w:val="22"/>
        </w:rPr>
        <w:t xml:space="preserve">we will </w:t>
      </w:r>
      <w:r w:rsidRPr="001C2E9C">
        <w:rPr>
          <w:szCs w:val="22"/>
        </w:rPr>
        <w:t xml:space="preserve">exercise of this authority solely </w:t>
      </w:r>
      <w:r w:rsidR="0010078C">
        <w:rPr>
          <w:szCs w:val="22"/>
        </w:rPr>
        <w:t>at our</w:t>
      </w:r>
      <w:r w:rsidRPr="001C2E9C">
        <w:rPr>
          <w:szCs w:val="22"/>
        </w:rPr>
        <w:t xml:space="preserve"> discretion, and not</w:t>
      </w:r>
      <w:r w:rsidR="0010078C">
        <w:rPr>
          <w:szCs w:val="22"/>
        </w:rPr>
        <w:t xml:space="preserve"> as a </w:t>
      </w:r>
      <w:r w:rsidRPr="001C2E9C">
        <w:rPr>
          <w:szCs w:val="22"/>
        </w:rPr>
        <w:t>substitute for situations in which bidders may wish to apply their activity rule waivers.</w:t>
      </w:r>
    </w:p>
    <w:p w:rsidR="008434F5" w:rsidRPr="001C2E9C" w:rsidRDefault="008434F5" w:rsidP="00C07C81">
      <w:pPr>
        <w:pStyle w:val="Heading2"/>
        <w:widowControl/>
      </w:pPr>
      <w:bookmarkStart w:id="3354" w:name="_Toc483218168"/>
      <w:bookmarkStart w:id="3355" w:name="_Toc109812268"/>
      <w:bookmarkStart w:id="3356" w:name="_Toc124844777"/>
      <w:bookmarkStart w:id="3357" w:name="_Toc124844905"/>
      <w:bookmarkStart w:id="3358" w:name="_Toc124845564"/>
      <w:bookmarkStart w:id="3359" w:name="_Toc124845832"/>
      <w:bookmarkStart w:id="3360" w:name="_Toc124845906"/>
      <w:bookmarkStart w:id="3361" w:name="_Toc124845980"/>
      <w:bookmarkStart w:id="3362" w:name="_Toc124846152"/>
      <w:bookmarkStart w:id="3363" w:name="_Toc124848275"/>
      <w:bookmarkStart w:id="3364" w:name="_Toc124907526"/>
      <w:bookmarkStart w:id="3365" w:name="_Toc129773492"/>
      <w:bookmarkStart w:id="3366" w:name="_Toc130210030"/>
      <w:bookmarkStart w:id="3367" w:name="_Toc130730959"/>
      <w:bookmarkStart w:id="3368" w:name="_Toc130814187"/>
      <w:bookmarkStart w:id="3369" w:name="_Toc130814509"/>
      <w:bookmarkStart w:id="3370" w:name="_Toc130814641"/>
      <w:bookmarkStart w:id="3371" w:name="_Toc130883524"/>
      <w:bookmarkStart w:id="3372" w:name="_Toc130885632"/>
      <w:bookmarkStart w:id="3373" w:name="_Toc131844611"/>
      <w:bookmarkStart w:id="3374" w:name="_Toc148330549"/>
      <w:bookmarkStart w:id="3375" w:name="_Toc148332150"/>
      <w:bookmarkStart w:id="3376" w:name="_Toc148332222"/>
      <w:bookmarkStart w:id="3377" w:name="_Toc148332296"/>
      <w:bookmarkStart w:id="3378" w:name="_Toc148332373"/>
      <w:bookmarkStart w:id="3379" w:name="_Toc148332450"/>
      <w:bookmarkStart w:id="3380" w:name="_Toc148332527"/>
      <w:bookmarkStart w:id="3381" w:name="_Toc148332602"/>
      <w:bookmarkStart w:id="3382" w:name="_Toc148332675"/>
      <w:bookmarkStart w:id="3383" w:name="_Toc148332771"/>
      <w:bookmarkStart w:id="3384" w:name="_Toc148332905"/>
      <w:bookmarkStart w:id="3385" w:name="_Toc148333107"/>
      <w:bookmarkStart w:id="3386" w:name="_Toc148333240"/>
      <w:bookmarkStart w:id="3387" w:name="_Toc148333659"/>
      <w:bookmarkStart w:id="3388" w:name="_Toc148334272"/>
      <w:bookmarkStart w:id="3389" w:name="_Toc148335786"/>
      <w:bookmarkStart w:id="3390" w:name="_Toc148336319"/>
      <w:bookmarkStart w:id="3391" w:name="_Toc148337760"/>
      <w:bookmarkStart w:id="3392" w:name="_Toc148338083"/>
      <w:bookmarkStart w:id="3393" w:name="_Toc148339793"/>
      <w:bookmarkStart w:id="3394" w:name="_Toc148339890"/>
      <w:bookmarkStart w:id="3395" w:name="_Toc149645598"/>
      <w:bookmarkStart w:id="3396" w:name="_Toc149997901"/>
      <w:bookmarkStart w:id="3397" w:name="_Toc158180778"/>
      <w:bookmarkStart w:id="3398" w:name="_Toc158785626"/>
      <w:bookmarkStart w:id="3399" w:name="_Toc178768529"/>
      <w:bookmarkStart w:id="3400" w:name="_Toc179195970"/>
      <w:bookmarkStart w:id="3401" w:name="_Toc179361914"/>
      <w:bookmarkStart w:id="3402" w:name="_Toc179363698"/>
      <w:bookmarkStart w:id="3403" w:name="_Toc197504954"/>
      <w:bookmarkStart w:id="3404" w:name="_Toc198007735"/>
      <w:bookmarkStart w:id="3405" w:name="_Toc198007886"/>
      <w:bookmarkStart w:id="3406" w:name="_Toc198008238"/>
      <w:bookmarkStart w:id="3407" w:name="_Toc198008375"/>
      <w:bookmarkStart w:id="3408" w:name="_Toc198008922"/>
      <w:bookmarkStart w:id="3409" w:name="_Toc198369818"/>
      <w:bookmarkStart w:id="3410" w:name="_Toc198369955"/>
      <w:bookmarkStart w:id="3411" w:name="_Toc198372867"/>
      <w:bookmarkStart w:id="3412" w:name="_Toc198372970"/>
      <w:bookmarkStart w:id="3413" w:name="_Toc198373100"/>
      <w:bookmarkStart w:id="3414" w:name="_Toc198373268"/>
      <w:bookmarkStart w:id="3415" w:name="_Toc198627182"/>
      <w:bookmarkStart w:id="3416" w:name="_Toc198627288"/>
      <w:bookmarkStart w:id="3417" w:name="_Toc216090746"/>
      <w:bookmarkStart w:id="3418" w:name="_Toc226958251"/>
      <w:bookmarkStart w:id="3419" w:name="_Toc227038311"/>
      <w:bookmarkStart w:id="3420" w:name="_Toc254792616"/>
      <w:bookmarkStart w:id="3421" w:name="_Toc256669740"/>
      <w:bookmarkStart w:id="3422" w:name="_Toc257213273"/>
      <w:bookmarkStart w:id="3423" w:name="_Toc257277775"/>
      <w:bookmarkStart w:id="3424" w:name="_Toc257278736"/>
      <w:bookmarkStart w:id="3425" w:name="_Toc257278946"/>
      <w:bookmarkStart w:id="3426" w:name="_Toc257279314"/>
      <w:bookmarkStart w:id="3427" w:name="_Toc257382958"/>
      <w:bookmarkStart w:id="3428" w:name="_Toc274056217"/>
      <w:bookmarkStart w:id="3429" w:name="_Toc276657623"/>
      <w:bookmarkStart w:id="3430" w:name="_Toc278366469"/>
      <w:bookmarkStart w:id="3431" w:name="_Toc307584063"/>
      <w:bookmarkStart w:id="3432" w:name="_Toc307937337"/>
      <w:bookmarkStart w:id="3433" w:name="_Toc348508779"/>
      <w:bookmarkStart w:id="3434" w:name="_Toc362256785"/>
      <w:bookmarkStart w:id="3435" w:name="_Toc366056543"/>
      <w:bookmarkStart w:id="3436" w:name="_Toc366223745"/>
      <w:bookmarkStart w:id="3437" w:name="_Toc366229458"/>
      <w:bookmarkStart w:id="3438" w:name="_Toc366583501"/>
      <w:r w:rsidRPr="001C2E9C">
        <w:t>Bidding Procedures</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p>
    <w:p w:rsidR="008434F5" w:rsidRPr="001C2E9C" w:rsidRDefault="008434F5" w:rsidP="00C07C81">
      <w:pPr>
        <w:pStyle w:val="Heading3"/>
        <w:widowControl/>
        <w:rPr>
          <w:szCs w:val="22"/>
        </w:rPr>
      </w:pPr>
      <w:bookmarkStart w:id="3439" w:name="_Toc483218169"/>
      <w:bookmarkStart w:id="3440" w:name="_Toc109812269"/>
      <w:bookmarkStart w:id="3441" w:name="_Toc124844778"/>
      <w:bookmarkStart w:id="3442" w:name="_Toc124844906"/>
      <w:bookmarkStart w:id="3443" w:name="_Toc124845565"/>
      <w:bookmarkStart w:id="3444" w:name="_Toc124845833"/>
      <w:bookmarkStart w:id="3445" w:name="_Toc124845907"/>
      <w:bookmarkStart w:id="3446" w:name="_Toc124845981"/>
      <w:bookmarkStart w:id="3447" w:name="_Toc124846153"/>
      <w:bookmarkStart w:id="3448" w:name="_Toc124848276"/>
      <w:bookmarkStart w:id="3449" w:name="_Toc124907527"/>
      <w:bookmarkStart w:id="3450" w:name="_Toc129773493"/>
      <w:bookmarkStart w:id="3451" w:name="_Toc130210031"/>
      <w:bookmarkStart w:id="3452" w:name="_Toc130730960"/>
      <w:bookmarkStart w:id="3453" w:name="_Toc130814188"/>
      <w:bookmarkStart w:id="3454" w:name="_Toc130814510"/>
      <w:bookmarkStart w:id="3455" w:name="_Toc130814642"/>
      <w:bookmarkStart w:id="3456" w:name="_Toc130883525"/>
      <w:bookmarkStart w:id="3457" w:name="_Toc130885633"/>
      <w:bookmarkStart w:id="3458" w:name="_Toc131844612"/>
      <w:bookmarkStart w:id="3459" w:name="_Toc148330550"/>
      <w:bookmarkStart w:id="3460" w:name="_Toc148332151"/>
      <w:bookmarkStart w:id="3461" w:name="_Toc148332223"/>
      <w:bookmarkStart w:id="3462" w:name="_Toc148332297"/>
      <w:bookmarkStart w:id="3463" w:name="_Toc148332374"/>
      <w:bookmarkStart w:id="3464" w:name="_Toc148332451"/>
      <w:bookmarkStart w:id="3465" w:name="_Toc148332528"/>
      <w:bookmarkStart w:id="3466" w:name="_Toc148332603"/>
      <w:bookmarkStart w:id="3467" w:name="_Toc148332676"/>
      <w:bookmarkStart w:id="3468" w:name="_Toc148332772"/>
      <w:bookmarkStart w:id="3469" w:name="_Toc148332906"/>
      <w:bookmarkStart w:id="3470" w:name="_Toc148333108"/>
      <w:bookmarkStart w:id="3471" w:name="_Toc148333241"/>
      <w:bookmarkStart w:id="3472" w:name="_Toc148333660"/>
      <w:bookmarkStart w:id="3473" w:name="_Toc148334273"/>
      <w:bookmarkStart w:id="3474" w:name="_Toc148335787"/>
      <w:bookmarkStart w:id="3475" w:name="_Toc148336320"/>
      <w:bookmarkStart w:id="3476" w:name="_Toc148337761"/>
      <w:bookmarkStart w:id="3477" w:name="_Toc148338084"/>
      <w:bookmarkStart w:id="3478" w:name="_Toc148339794"/>
      <w:bookmarkStart w:id="3479" w:name="_Toc148339891"/>
      <w:bookmarkStart w:id="3480" w:name="_Toc149645599"/>
      <w:bookmarkStart w:id="3481" w:name="_Toc149997902"/>
      <w:bookmarkStart w:id="3482" w:name="_Toc158180779"/>
      <w:bookmarkStart w:id="3483" w:name="_Toc158785627"/>
      <w:bookmarkStart w:id="3484" w:name="_Toc178768530"/>
      <w:bookmarkStart w:id="3485" w:name="_Toc179195971"/>
      <w:bookmarkStart w:id="3486" w:name="_Toc179361915"/>
      <w:bookmarkStart w:id="3487" w:name="_Toc179363699"/>
      <w:bookmarkStart w:id="3488" w:name="_Toc197504955"/>
      <w:bookmarkStart w:id="3489" w:name="_Toc198007736"/>
      <w:bookmarkStart w:id="3490" w:name="_Toc198007887"/>
      <w:bookmarkStart w:id="3491" w:name="_Toc198008239"/>
      <w:bookmarkStart w:id="3492" w:name="_Toc198008376"/>
      <w:bookmarkStart w:id="3493" w:name="_Toc198008923"/>
      <w:bookmarkStart w:id="3494" w:name="_Toc198369819"/>
      <w:bookmarkStart w:id="3495" w:name="_Toc198369956"/>
      <w:bookmarkStart w:id="3496" w:name="_Toc198372868"/>
      <w:bookmarkStart w:id="3497" w:name="_Toc198372971"/>
      <w:bookmarkStart w:id="3498" w:name="_Toc198373101"/>
      <w:bookmarkStart w:id="3499" w:name="_Toc198373269"/>
      <w:bookmarkStart w:id="3500" w:name="_Toc198627183"/>
      <w:bookmarkStart w:id="3501" w:name="_Toc198627289"/>
      <w:bookmarkStart w:id="3502" w:name="_Toc216090747"/>
      <w:bookmarkStart w:id="3503" w:name="_Toc226958252"/>
      <w:bookmarkStart w:id="3504" w:name="_Toc227038312"/>
      <w:bookmarkStart w:id="3505" w:name="_Toc254792617"/>
      <w:bookmarkStart w:id="3506" w:name="_Toc256669741"/>
      <w:bookmarkStart w:id="3507" w:name="_Toc257213274"/>
      <w:bookmarkStart w:id="3508" w:name="_Toc257277776"/>
      <w:bookmarkStart w:id="3509" w:name="_Toc257278737"/>
      <w:bookmarkStart w:id="3510" w:name="_Toc257278947"/>
      <w:bookmarkStart w:id="3511" w:name="_Toc257279315"/>
      <w:bookmarkStart w:id="3512" w:name="_Toc257382959"/>
      <w:bookmarkStart w:id="3513" w:name="_Toc274056218"/>
      <w:bookmarkStart w:id="3514" w:name="_Toc276657624"/>
      <w:bookmarkStart w:id="3515" w:name="_Toc278366470"/>
      <w:bookmarkStart w:id="3516" w:name="_Toc307584064"/>
      <w:bookmarkStart w:id="3517" w:name="_Toc307937338"/>
      <w:bookmarkStart w:id="3518" w:name="_Toc348508780"/>
      <w:bookmarkStart w:id="3519" w:name="_Toc362256786"/>
      <w:bookmarkStart w:id="3520" w:name="_Toc366056544"/>
      <w:bookmarkStart w:id="3521" w:name="_Toc366223746"/>
      <w:bookmarkStart w:id="3522" w:name="_Toc366229459"/>
      <w:bookmarkStart w:id="3523" w:name="_Toc366583502"/>
      <w:r w:rsidRPr="001C2E9C">
        <w:rPr>
          <w:szCs w:val="22"/>
        </w:rPr>
        <w:t>Round Structure</w:t>
      </w:r>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p>
    <w:p w:rsidR="008434F5" w:rsidRPr="001C2E9C" w:rsidRDefault="008434F5" w:rsidP="00C07C81">
      <w:pPr>
        <w:pStyle w:val="ParaNum"/>
        <w:widowControl/>
        <w:tabs>
          <w:tab w:val="clear" w:pos="1260"/>
          <w:tab w:val="left" w:pos="1440"/>
        </w:tabs>
        <w:ind w:left="0"/>
        <w:rPr>
          <w:szCs w:val="22"/>
        </w:rPr>
      </w:pPr>
      <w:r w:rsidRPr="001C2E9C">
        <w:rPr>
          <w:szCs w:val="22"/>
        </w:rPr>
        <w:t xml:space="preserve">The initial schedule of bidding rounds will be announced in the public notice listing the qualified bidders, which is released approximately </w:t>
      </w:r>
      <w:r w:rsidR="00F55818">
        <w:rPr>
          <w:szCs w:val="22"/>
        </w:rPr>
        <w:t>ten</w:t>
      </w:r>
      <w:r w:rsidRPr="001C2E9C">
        <w:rPr>
          <w:szCs w:val="22"/>
        </w:rPr>
        <w:t xml:space="preserve"> days before the start of the auction.  Each bidding round is followed by the release of round results.  </w:t>
      </w:r>
      <w:r w:rsidR="00CC3BF0">
        <w:rPr>
          <w:szCs w:val="22"/>
        </w:rPr>
        <w:t xml:space="preserve">Details regarding </w:t>
      </w:r>
      <w:r w:rsidR="00C356F9">
        <w:rPr>
          <w:szCs w:val="22"/>
        </w:rPr>
        <w:t xml:space="preserve">formats and locations of </w:t>
      </w:r>
      <w:r w:rsidR="00CC3BF0">
        <w:rPr>
          <w:szCs w:val="22"/>
        </w:rPr>
        <w:t xml:space="preserve">round results will also be included in the qualified bidders public notice.  </w:t>
      </w:r>
      <w:r w:rsidRPr="001C2E9C">
        <w:rPr>
          <w:szCs w:val="22"/>
        </w:rPr>
        <w:t xml:space="preserve">Multiple bidding rounds may be conducted </w:t>
      </w:r>
      <w:r w:rsidR="0010078C">
        <w:rPr>
          <w:szCs w:val="22"/>
        </w:rPr>
        <w:t xml:space="preserve">each </w:t>
      </w:r>
      <w:r w:rsidRPr="001C2E9C">
        <w:rPr>
          <w:szCs w:val="22"/>
        </w:rPr>
        <w:t>day.</w:t>
      </w:r>
      <w:r w:rsidR="00CC3BF0">
        <w:rPr>
          <w:szCs w:val="22"/>
        </w:rPr>
        <w:t xml:space="preserve">  </w:t>
      </w:r>
    </w:p>
    <w:p w:rsidR="00975586" w:rsidRPr="00AA2B80" w:rsidRDefault="008434F5" w:rsidP="00C07C81">
      <w:pPr>
        <w:pStyle w:val="ParaNum"/>
        <w:widowControl/>
        <w:tabs>
          <w:tab w:val="clear" w:pos="1260"/>
          <w:tab w:val="left" w:pos="1440"/>
        </w:tabs>
        <w:ind w:left="0"/>
        <w:rPr>
          <w:szCs w:val="22"/>
        </w:rPr>
      </w:pPr>
      <w:r w:rsidRPr="001C2E9C">
        <w:rPr>
          <w:szCs w:val="22"/>
        </w:rPr>
        <w:t>The Bureau ha</w:t>
      </w:r>
      <w:r w:rsidR="00CD4F54">
        <w:rPr>
          <w:szCs w:val="22"/>
        </w:rPr>
        <w:t>s</w:t>
      </w:r>
      <w:r w:rsidR="000E4924">
        <w:rPr>
          <w:szCs w:val="22"/>
        </w:rPr>
        <w:t xml:space="preserve"> the</w:t>
      </w:r>
      <w:r w:rsidRPr="001C2E9C">
        <w:rPr>
          <w:szCs w:val="22"/>
        </w:rPr>
        <w:t xml:space="preserve"> discretion to change the bidding schedule in order to foster an auction pace that reasonably balances speed with the bidders’ need</w:t>
      </w:r>
      <w:r w:rsidR="00792B48">
        <w:rPr>
          <w:szCs w:val="22"/>
        </w:rPr>
        <w:t>s</w:t>
      </w:r>
      <w:r w:rsidRPr="001C2E9C">
        <w:rPr>
          <w:szCs w:val="22"/>
        </w:rPr>
        <w:t xml:space="preserve"> to study round results and adjust their bidding strategies.  </w:t>
      </w:r>
      <w:r w:rsidR="0010078C">
        <w:rPr>
          <w:szCs w:val="22"/>
        </w:rPr>
        <w:t xml:space="preserve">We </w:t>
      </w:r>
      <w:r w:rsidRPr="001C2E9C">
        <w:rPr>
          <w:szCs w:val="22"/>
        </w:rPr>
        <w:t xml:space="preserve">may </w:t>
      </w:r>
      <w:r w:rsidR="0010078C">
        <w:rPr>
          <w:szCs w:val="22"/>
        </w:rPr>
        <w:t xml:space="preserve">change </w:t>
      </w:r>
      <w:r w:rsidRPr="001C2E9C">
        <w:rPr>
          <w:szCs w:val="22"/>
        </w:rPr>
        <w:t xml:space="preserve">the amount of time for </w:t>
      </w:r>
      <w:r w:rsidR="0010078C">
        <w:rPr>
          <w:szCs w:val="22"/>
        </w:rPr>
        <w:t xml:space="preserve">the </w:t>
      </w:r>
      <w:r w:rsidRPr="001C2E9C">
        <w:rPr>
          <w:szCs w:val="22"/>
        </w:rPr>
        <w:t>bidding rounds</w:t>
      </w:r>
      <w:r w:rsidR="00AF7A97" w:rsidRPr="001C2E9C">
        <w:rPr>
          <w:szCs w:val="22"/>
        </w:rPr>
        <w:t xml:space="preserve">, the </w:t>
      </w:r>
      <w:r w:rsidR="00AF7A97" w:rsidRPr="00AA2B80">
        <w:rPr>
          <w:szCs w:val="22"/>
        </w:rPr>
        <w:t>amount of time between round</w:t>
      </w:r>
      <w:r w:rsidR="00BD1A2F" w:rsidRPr="00AA2B80">
        <w:rPr>
          <w:szCs w:val="22"/>
        </w:rPr>
        <w:t>s</w:t>
      </w:r>
      <w:r w:rsidRPr="00AA2B80">
        <w:rPr>
          <w:szCs w:val="22"/>
        </w:rPr>
        <w:t>, or the number of rounds per day, depending upon bidding activity and other factors.</w:t>
      </w:r>
    </w:p>
    <w:p w:rsidR="008434F5" w:rsidRPr="00AA2B80" w:rsidRDefault="008434F5" w:rsidP="00C07C81">
      <w:pPr>
        <w:pStyle w:val="Heading3"/>
        <w:widowControl/>
        <w:rPr>
          <w:szCs w:val="22"/>
        </w:rPr>
      </w:pPr>
      <w:bookmarkStart w:id="3524" w:name="_Toc129773495"/>
      <w:bookmarkStart w:id="3525" w:name="_Toc130210033"/>
      <w:bookmarkStart w:id="3526" w:name="_Toc130730961"/>
      <w:bookmarkStart w:id="3527" w:name="_Toc130814189"/>
      <w:bookmarkStart w:id="3528" w:name="_Toc130814511"/>
      <w:bookmarkStart w:id="3529" w:name="_Toc130814643"/>
      <w:bookmarkStart w:id="3530" w:name="_Toc130883526"/>
      <w:bookmarkStart w:id="3531" w:name="_Toc130885634"/>
      <w:bookmarkStart w:id="3532" w:name="_Toc131844613"/>
      <w:bookmarkStart w:id="3533" w:name="_Toc148330551"/>
      <w:bookmarkStart w:id="3534" w:name="_Toc148332152"/>
      <w:bookmarkStart w:id="3535" w:name="_Toc148332224"/>
      <w:bookmarkStart w:id="3536" w:name="_Toc148332298"/>
      <w:bookmarkStart w:id="3537" w:name="_Toc148332375"/>
      <w:bookmarkStart w:id="3538" w:name="_Toc148332452"/>
      <w:bookmarkStart w:id="3539" w:name="_Toc148332529"/>
      <w:bookmarkStart w:id="3540" w:name="_Toc148332604"/>
      <w:bookmarkStart w:id="3541" w:name="_Toc148332677"/>
      <w:bookmarkStart w:id="3542" w:name="_Toc148332773"/>
      <w:bookmarkStart w:id="3543" w:name="_Toc148332907"/>
      <w:bookmarkStart w:id="3544" w:name="_Toc148333109"/>
      <w:bookmarkStart w:id="3545" w:name="_Toc148333242"/>
      <w:bookmarkStart w:id="3546" w:name="_Toc148333661"/>
      <w:bookmarkStart w:id="3547" w:name="_Toc148334274"/>
      <w:bookmarkStart w:id="3548" w:name="_Toc148335788"/>
      <w:bookmarkStart w:id="3549" w:name="_Toc148336321"/>
      <w:bookmarkStart w:id="3550" w:name="_Toc148337762"/>
      <w:bookmarkStart w:id="3551" w:name="_Toc148338085"/>
      <w:bookmarkStart w:id="3552" w:name="_Toc148339795"/>
      <w:bookmarkStart w:id="3553" w:name="_Toc148339892"/>
      <w:bookmarkStart w:id="3554" w:name="_Toc149645600"/>
      <w:bookmarkStart w:id="3555" w:name="_Toc149997903"/>
      <w:bookmarkStart w:id="3556" w:name="_Toc158180780"/>
      <w:bookmarkStart w:id="3557" w:name="_Toc158785628"/>
      <w:bookmarkStart w:id="3558" w:name="_Toc178768531"/>
      <w:bookmarkStart w:id="3559" w:name="_Toc179195972"/>
      <w:bookmarkStart w:id="3560" w:name="_Toc179361916"/>
      <w:bookmarkStart w:id="3561" w:name="_Toc179363700"/>
      <w:bookmarkStart w:id="3562" w:name="_Toc197504956"/>
      <w:bookmarkStart w:id="3563" w:name="_Toc198007737"/>
      <w:bookmarkStart w:id="3564" w:name="_Toc198007888"/>
      <w:bookmarkStart w:id="3565" w:name="_Toc198008240"/>
      <w:bookmarkStart w:id="3566" w:name="_Toc198008377"/>
      <w:bookmarkStart w:id="3567" w:name="_Toc198008924"/>
      <w:bookmarkStart w:id="3568" w:name="_Toc198369820"/>
      <w:bookmarkStart w:id="3569" w:name="_Toc198369957"/>
      <w:bookmarkStart w:id="3570" w:name="_Toc198372869"/>
      <w:bookmarkStart w:id="3571" w:name="_Toc198372972"/>
      <w:bookmarkStart w:id="3572" w:name="_Toc198373102"/>
      <w:bookmarkStart w:id="3573" w:name="_Toc198373270"/>
      <w:bookmarkStart w:id="3574" w:name="_Toc198627184"/>
      <w:bookmarkStart w:id="3575" w:name="_Toc198627290"/>
      <w:bookmarkStart w:id="3576" w:name="_Toc216090748"/>
      <w:bookmarkStart w:id="3577" w:name="_Toc226958253"/>
      <w:bookmarkStart w:id="3578" w:name="_Toc227038313"/>
      <w:bookmarkStart w:id="3579" w:name="_Toc254792618"/>
      <w:bookmarkStart w:id="3580" w:name="_Toc256669742"/>
      <w:bookmarkStart w:id="3581" w:name="_Toc257213275"/>
      <w:bookmarkStart w:id="3582" w:name="_Toc257277777"/>
      <w:bookmarkStart w:id="3583" w:name="_Toc257278738"/>
      <w:bookmarkStart w:id="3584" w:name="_Toc257278948"/>
      <w:bookmarkStart w:id="3585" w:name="_Toc257279316"/>
      <w:bookmarkStart w:id="3586" w:name="_Toc257382960"/>
      <w:bookmarkStart w:id="3587" w:name="_Toc274056219"/>
      <w:bookmarkStart w:id="3588" w:name="_Toc276657625"/>
      <w:bookmarkStart w:id="3589" w:name="_Toc278366471"/>
      <w:bookmarkStart w:id="3590" w:name="_Toc307584065"/>
      <w:bookmarkStart w:id="3591" w:name="_Toc307937339"/>
      <w:bookmarkStart w:id="3592" w:name="_Toc348508781"/>
      <w:bookmarkStart w:id="3593" w:name="_Toc362256787"/>
      <w:bookmarkStart w:id="3594" w:name="_Toc366056545"/>
      <w:bookmarkStart w:id="3595" w:name="_Toc366223747"/>
      <w:bookmarkStart w:id="3596" w:name="_Toc366229460"/>
      <w:bookmarkStart w:id="3597" w:name="_Toc366583503"/>
      <w:r w:rsidRPr="00AA2B80">
        <w:rPr>
          <w:szCs w:val="22"/>
        </w:rPr>
        <w:t>Reserve Price and Minimum Opening Bids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rsidR="00E03F14" w:rsidRDefault="008434F5" w:rsidP="00C07C81">
      <w:pPr>
        <w:pStyle w:val="ParaNum"/>
        <w:widowControl/>
        <w:tabs>
          <w:tab w:val="clear" w:pos="1260"/>
          <w:tab w:val="left" w:pos="1440"/>
        </w:tabs>
        <w:ind w:left="0"/>
        <w:rPr>
          <w:szCs w:val="22"/>
        </w:rPr>
      </w:pPr>
      <w:r w:rsidRPr="00AA2B80">
        <w:rPr>
          <w:szCs w:val="22"/>
        </w:rPr>
        <w:t xml:space="preserve">Section 309(j) of the </w:t>
      </w:r>
      <w:r w:rsidR="006642E9">
        <w:rPr>
          <w:szCs w:val="22"/>
        </w:rPr>
        <w:t xml:space="preserve">Communications </w:t>
      </w:r>
      <w:r w:rsidRPr="00AA2B80">
        <w:rPr>
          <w:szCs w:val="22"/>
        </w:rPr>
        <w:t xml:space="preserve">Act calls upon the Commission to prescribe methods by which a reasonable </w:t>
      </w:r>
      <w:r w:rsidRPr="0051606A">
        <w:rPr>
          <w:szCs w:val="22"/>
        </w:rPr>
        <w:t>reserve</w:t>
      </w:r>
      <w:r w:rsidRPr="00AA2B80">
        <w:rPr>
          <w:szCs w:val="22"/>
        </w:rPr>
        <w:t xml:space="preserve"> price will be required or a minimum opening bid established when applications for </w:t>
      </w:r>
      <w:r w:rsidR="00FF45E0">
        <w:rPr>
          <w:szCs w:val="22"/>
        </w:rPr>
        <w:t xml:space="preserve">Commission </w:t>
      </w:r>
      <w:r w:rsidRPr="00AA2B80">
        <w:rPr>
          <w:szCs w:val="22"/>
        </w:rPr>
        <w:t>licenses are subject to auction (i.e., because they are mutually exclusive), unless the Commission determines that a reserve price or minimum opening bid is not in the public interest.</w:t>
      </w:r>
      <w:r w:rsidRPr="00AA2B80">
        <w:rPr>
          <w:rStyle w:val="FootnoteReference"/>
          <w:szCs w:val="22"/>
        </w:rPr>
        <w:footnoteReference w:id="221"/>
      </w:r>
      <w:r w:rsidRPr="00AA2B80">
        <w:rPr>
          <w:szCs w:val="22"/>
        </w:rPr>
        <w:t xml:space="preserve">  Consistent with this mandate, the Commission directed the Bureau to seek comment on the use of a minimum opening bid and/or reserve price prior to the start of each auction.</w:t>
      </w:r>
      <w:r w:rsidRPr="00AA2B80">
        <w:rPr>
          <w:rStyle w:val="FootnoteReference"/>
          <w:szCs w:val="22"/>
        </w:rPr>
        <w:footnoteReference w:id="222"/>
      </w:r>
      <w:r w:rsidRPr="00AA2B80">
        <w:rPr>
          <w:szCs w:val="22"/>
        </w:rPr>
        <w:t xml:space="preserve">  Among other factors, </w:t>
      </w:r>
      <w:r w:rsidR="0010078C">
        <w:rPr>
          <w:szCs w:val="22"/>
        </w:rPr>
        <w:t xml:space="preserve">we </w:t>
      </w:r>
      <w:r w:rsidRPr="00AA2B80">
        <w:rPr>
          <w:szCs w:val="22"/>
        </w:rPr>
        <w:t xml:space="preserve">must consider the amount of spectrum being auctioned, levels of incumbency, the availability of technology to provide service, the size of the geographic service areas, the extent of interference with other spectrum bands, and any other relevant factors that could </w:t>
      </w:r>
      <w:r w:rsidRPr="002774E9">
        <w:rPr>
          <w:szCs w:val="22"/>
        </w:rPr>
        <w:t>have an impact on the spectrum being auctioned.</w:t>
      </w:r>
      <w:r w:rsidRPr="002774E9">
        <w:rPr>
          <w:rStyle w:val="FootnoteReference"/>
          <w:szCs w:val="22"/>
        </w:rPr>
        <w:footnoteReference w:id="223"/>
      </w:r>
      <w:r w:rsidRPr="002774E9">
        <w:rPr>
          <w:szCs w:val="22"/>
        </w:rPr>
        <w:t xml:space="preserve"> </w:t>
      </w:r>
      <w:r w:rsidR="00A01CEE" w:rsidRPr="002774E9">
        <w:rPr>
          <w:szCs w:val="22"/>
        </w:rPr>
        <w:t xml:space="preserve"> </w:t>
      </w:r>
      <w:r w:rsidRPr="002774E9">
        <w:rPr>
          <w:szCs w:val="22"/>
        </w:rPr>
        <w:t xml:space="preserve">The Commission concluded that the </w:t>
      </w:r>
      <w:r w:rsidRPr="000F3316">
        <w:rPr>
          <w:szCs w:val="22"/>
        </w:rPr>
        <w:t>Bureau should have the discretion to employ either or both of these mechanisms for future auctions.</w:t>
      </w:r>
      <w:r w:rsidRPr="000F3316">
        <w:rPr>
          <w:rStyle w:val="FootnoteReference"/>
          <w:szCs w:val="22"/>
        </w:rPr>
        <w:footnoteReference w:id="224"/>
      </w:r>
    </w:p>
    <w:p w:rsidR="00D141A0" w:rsidRDefault="00D141A0" w:rsidP="00D141A0">
      <w:pPr>
        <w:pStyle w:val="Heading4"/>
      </w:pPr>
      <w:bookmarkStart w:id="3598" w:name="_Toc362256788"/>
      <w:bookmarkStart w:id="3599" w:name="_Toc366056546"/>
      <w:bookmarkStart w:id="3600" w:name="_Toc366223748"/>
      <w:bookmarkStart w:id="3601" w:name="_Toc366229461"/>
      <w:bookmarkStart w:id="3602" w:name="_Toc366583504"/>
      <w:r>
        <w:rPr>
          <w:szCs w:val="22"/>
        </w:rPr>
        <w:t>Reserve Price</w:t>
      </w:r>
      <w:bookmarkEnd w:id="3598"/>
      <w:bookmarkEnd w:id="3599"/>
      <w:bookmarkEnd w:id="3600"/>
      <w:bookmarkEnd w:id="3601"/>
      <w:bookmarkEnd w:id="3602"/>
    </w:p>
    <w:p w:rsidR="00D141A0" w:rsidRPr="006002A0" w:rsidRDefault="00D141A0" w:rsidP="00C07C81">
      <w:pPr>
        <w:pStyle w:val="ParaNum"/>
        <w:widowControl/>
        <w:tabs>
          <w:tab w:val="clear" w:pos="1260"/>
          <w:tab w:val="num" w:pos="1440"/>
        </w:tabs>
        <w:ind w:left="0"/>
        <w:rPr>
          <w:szCs w:val="22"/>
        </w:rPr>
      </w:pPr>
      <w:r w:rsidRPr="0064234E">
        <w:t>The Commission is statutorily obliged to consider and balance a variety of public interests and objectives when establishing service rules and licensing procedures with respect to the public spectrum resource.  These objectives include promoting recovery for the public a portion of the value of that resource.</w:t>
      </w:r>
      <w:r w:rsidRPr="0064234E">
        <w:rPr>
          <w:rStyle w:val="FootnoteReference"/>
        </w:rPr>
        <w:footnoteReference w:id="225"/>
      </w:r>
      <w:r w:rsidRPr="0064234E">
        <w:t xml:space="preserve">  With respect to the H Block licenses being offered in Auction 96, the Spectrum Act specifically directs that proceeds from an auction of H Block spectrum be deposited into the Public Safety Trust Fund and be used for, among other things, </w:t>
      </w:r>
      <w:r w:rsidRPr="001725F6">
        <w:rPr>
          <w:szCs w:val="22"/>
        </w:rPr>
        <w:t>funding (or reimbursement to the U.S. Treasury for the funding) of the nationwide, interoperable public safety broadband network by the First Responder Network Authority</w:t>
      </w:r>
      <w:r w:rsidRPr="0064234E">
        <w:t>.</w:t>
      </w:r>
      <w:r w:rsidRPr="0064234E">
        <w:rPr>
          <w:rStyle w:val="FootnoteReference"/>
        </w:rPr>
        <w:footnoteReference w:id="226"/>
      </w:r>
      <w:r w:rsidRPr="0064234E">
        <w:t xml:space="preserve">  In view of the various public interest objectives we must consider, we </w:t>
      </w:r>
      <w:r>
        <w:t>proposed</w:t>
      </w:r>
      <w:r w:rsidRPr="0064234E">
        <w:t xml:space="preserve"> to establish a reserve price for the H Block licenses offered in Auction 96.</w:t>
      </w:r>
      <w:r w:rsidR="006002A0">
        <w:rPr>
          <w:rStyle w:val="FootnoteReference"/>
        </w:rPr>
        <w:footnoteReference w:id="227"/>
      </w:r>
      <w:r w:rsidRPr="0064234E">
        <w:t xml:space="preserve">  </w:t>
      </w:r>
      <w:r>
        <w:t xml:space="preserve">We further proposed to utilize an aggregate reserve price based on the </w:t>
      </w:r>
      <w:r w:rsidR="00204F1B">
        <w:t>total</w:t>
      </w:r>
      <w:r>
        <w:t xml:space="preserve"> of the bids for the H Block licenses, rather than license-by-license reserve prices.</w:t>
      </w:r>
      <w:r w:rsidR="006002A0">
        <w:rPr>
          <w:rStyle w:val="FootnoteReference"/>
        </w:rPr>
        <w:footnoteReference w:id="228"/>
      </w:r>
      <w:r>
        <w:t xml:space="preserve"> </w:t>
      </w:r>
      <w:r w:rsidR="00317D91">
        <w:t xml:space="preserve">We sought comment on our </w:t>
      </w:r>
      <w:r w:rsidR="00E60E6E">
        <w:t>proposals</w:t>
      </w:r>
      <w:r w:rsidR="00317D91">
        <w:t>, and on factors we should consider in determining a reserve price.</w:t>
      </w:r>
      <w:r w:rsidR="00E60E6E">
        <w:rPr>
          <w:rStyle w:val="FootnoteReference"/>
        </w:rPr>
        <w:footnoteReference w:id="229"/>
      </w:r>
      <w:r w:rsidR="00317D91">
        <w:t xml:space="preserve">  We also sought comment on whether, if we adopt a reserve price for </w:t>
      </w:r>
      <w:r w:rsidR="00341BCE">
        <w:t xml:space="preserve">the </w:t>
      </w:r>
      <w:r w:rsidR="00317D91">
        <w:t xml:space="preserve">H Block </w:t>
      </w:r>
      <w:r w:rsidR="00E60E6E">
        <w:t>licenses</w:t>
      </w:r>
      <w:r w:rsidR="00341BCE">
        <w:t xml:space="preserve"> in Auction 96</w:t>
      </w:r>
      <w:r w:rsidR="00317D91">
        <w:t>, we should disclose the reserve price publicly prior to the auction.</w:t>
      </w:r>
      <w:r w:rsidR="00E60E6E">
        <w:rPr>
          <w:rStyle w:val="FootnoteReference"/>
        </w:rPr>
        <w:footnoteReference w:id="230"/>
      </w:r>
      <w:r w:rsidR="00317D91">
        <w:t xml:space="preserve">  </w:t>
      </w:r>
    </w:p>
    <w:p w:rsidR="006002A0" w:rsidRPr="00341BCE" w:rsidRDefault="00A55F71" w:rsidP="00C07C81">
      <w:pPr>
        <w:pStyle w:val="ParaNum"/>
        <w:widowControl/>
        <w:tabs>
          <w:tab w:val="clear" w:pos="1260"/>
          <w:tab w:val="num" w:pos="1440"/>
        </w:tabs>
        <w:ind w:left="0"/>
        <w:rPr>
          <w:szCs w:val="22"/>
        </w:rPr>
      </w:pPr>
      <w:r>
        <w:t xml:space="preserve">The limited comment we received </w:t>
      </w:r>
      <w:r w:rsidR="001E7F6A">
        <w:t xml:space="preserve">on this issue </w:t>
      </w:r>
      <w:r>
        <w:t xml:space="preserve">is </w:t>
      </w:r>
      <w:r w:rsidR="005D703D">
        <w:t xml:space="preserve">generally </w:t>
      </w:r>
      <w:r>
        <w:t>supportive of our reserve price proposals</w:t>
      </w:r>
      <w:r w:rsidR="00AE7919">
        <w:t>, and we received no opposition to the use of a reserve</w:t>
      </w:r>
      <w:r>
        <w:t>.</w:t>
      </w:r>
      <w:r w:rsidR="00E170DD">
        <w:rPr>
          <w:rStyle w:val="FootnoteReference"/>
        </w:rPr>
        <w:footnoteReference w:id="231"/>
      </w:r>
      <w:r>
        <w:t xml:space="preserve">  Sprint </w:t>
      </w:r>
      <w:r w:rsidR="005D703D">
        <w:t>supports</w:t>
      </w:r>
      <w:r>
        <w:t xml:space="preserve"> using </w:t>
      </w:r>
      <w:r w:rsidR="005B7C36">
        <w:t xml:space="preserve">an </w:t>
      </w:r>
      <w:r w:rsidRPr="00623D39">
        <w:rPr>
          <w:rFonts w:cstheme="minorHAnsi"/>
        </w:rPr>
        <w:t>aggregated license reserve price if SMR without package bidding is used</w:t>
      </w:r>
      <w:r>
        <w:rPr>
          <w:rFonts w:cstheme="minorHAnsi"/>
        </w:rPr>
        <w:t>, stating that</w:t>
      </w:r>
      <w:r w:rsidRPr="00623D39">
        <w:rPr>
          <w:rFonts w:cstheme="minorHAnsi"/>
        </w:rPr>
        <w:t xml:space="preserve"> </w:t>
      </w:r>
      <w:r w:rsidR="005B7C36">
        <w:rPr>
          <w:rFonts w:cstheme="minorHAnsi"/>
        </w:rPr>
        <w:t>it</w:t>
      </w:r>
      <w:r w:rsidRPr="00623D39">
        <w:rPr>
          <w:rFonts w:cstheme="minorHAnsi"/>
        </w:rPr>
        <w:t xml:space="preserve"> accurately reflect</w:t>
      </w:r>
      <w:r w:rsidR="005B7C36">
        <w:rPr>
          <w:rFonts w:cstheme="minorHAnsi"/>
        </w:rPr>
        <w:t>s</w:t>
      </w:r>
      <w:r w:rsidRPr="00623D39">
        <w:rPr>
          <w:rFonts w:cstheme="minorHAnsi"/>
        </w:rPr>
        <w:t xml:space="preserve"> overall demand given that all of the available Auction 96 licenses are in the same block and because calculating license-by-license reserve prices wou</w:t>
      </w:r>
      <w:r w:rsidRPr="00A55F71">
        <w:rPr>
          <w:rFonts w:cstheme="minorHAnsi"/>
        </w:rPr>
        <w:t>ld be inefficient and complicated.</w:t>
      </w:r>
      <w:r w:rsidRPr="00A55F71">
        <w:rPr>
          <w:rStyle w:val="FootnoteReference"/>
          <w:rFonts w:cstheme="minorHAnsi"/>
        </w:rPr>
        <w:footnoteReference w:id="232"/>
      </w:r>
      <w:r w:rsidRPr="00A55F71">
        <w:rPr>
          <w:rFonts w:cstheme="minorHAnsi"/>
        </w:rPr>
        <w:t xml:space="preserve">  </w:t>
      </w:r>
      <w:r w:rsidRPr="00A55F71">
        <w:t>C Spire</w:t>
      </w:r>
      <w:r w:rsidRPr="00A55F71">
        <w:rPr>
          <w:rFonts w:cstheme="minorHAnsi"/>
        </w:rPr>
        <w:t xml:space="preserve"> similarly states that</w:t>
      </w:r>
      <w:r>
        <w:rPr>
          <w:rFonts w:cstheme="minorHAnsi"/>
        </w:rPr>
        <w:t>,</w:t>
      </w:r>
      <w:r w:rsidRPr="00A55F71">
        <w:rPr>
          <w:rFonts w:cstheme="minorHAnsi"/>
        </w:rPr>
        <w:t xml:space="preserve"> because </w:t>
      </w:r>
      <w:r>
        <w:rPr>
          <w:rFonts w:cstheme="minorHAnsi"/>
        </w:rPr>
        <w:t xml:space="preserve">all </w:t>
      </w:r>
      <w:r w:rsidRPr="00A55F71">
        <w:rPr>
          <w:rFonts w:cstheme="minorHAnsi"/>
        </w:rPr>
        <w:t>of the spectrum in Auction 96 is in a common block, aggregated reserve pricing will accurately reflect overall demand for the spectrum and will ensure that the auction raises the targeted amount.</w:t>
      </w:r>
      <w:r>
        <w:rPr>
          <w:rStyle w:val="FootnoteReference"/>
          <w:rFonts w:cstheme="minorHAnsi"/>
        </w:rPr>
        <w:footnoteReference w:id="233"/>
      </w:r>
      <w:r w:rsidR="005D703D">
        <w:rPr>
          <w:rFonts w:cstheme="minorHAnsi"/>
        </w:rPr>
        <w:t xml:space="preserve">  T-Mobile </w:t>
      </w:r>
      <w:r w:rsidR="00095073">
        <w:rPr>
          <w:rFonts w:cstheme="minorHAnsi"/>
        </w:rPr>
        <w:t>maintains</w:t>
      </w:r>
      <w:r w:rsidR="005D703D">
        <w:rPr>
          <w:rFonts w:cstheme="minorHAnsi"/>
        </w:rPr>
        <w:t xml:space="preserve"> that reserve prices serve an important function and supports using </w:t>
      </w:r>
      <w:r w:rsidR="005D703D" w:rsidRPr="006B0EEB">
        <w:rPr>
          <w:rFonts w:cstheme="minorHAnsi"/>
        </w:rPr>
        <w:t xml:space="preserve">both an aggregate reserve price </w:t>
      </w:r>
      <w:r w:rsidR="005D703D" w:rsidRPr="005D703D">
        <w:rPr>
          <w:rFonts w:cstheme="minorHAnsi"/>
        </w:rPr>
        <w:t>and</w:t>
      </w:r>
      <w:r w:rsidR="005D703D" w:rsidRPr="006B0EEB">
        <w:rPr>
          <w:rFonts w:cstheme="minorHAnsi"/>
        </w:rPr>
        <w:t xml:space="preserve"> license-by-license reserve prices to ensure the target amount is raised and individual bidders are not permitted to acquire licenses for below-market values merely because the aggregate reserve price is satisfied</w:t>
      </w:r>
      <w:r w:rsidR="005D703D">
        <w:rPr>
          <w:rFonts w:cstheme="minorHAnsi"/>
        </w:rPr>
        <w:t>.</w:t>
      </w:r>
      <w:r w:rsidR="005D703D">
        <w:rPr>
          <w:rStyle w:val="FootnoteReference"/>
          <w:rFonts w:cstheme="minorHAnsi"/>
        </w:rPr>
        <w:footnoteReference w:id="234"/>
      </w:r>
      <w:r w:rsidR="005D703D">
        <w:rPr>
          <w:rFonts w:cstheme="minorHAnsi"/>
        </w:rPr>
        <w:t xml:space="preserve"> </w:t>
      </w:r>
      <w:r w:rsidR="00603662">
        <w:rPr>
          <w:rFonts w:cstheme="minorHAnsi"/>
        </w:rPr>
        <w:t>DISH also supports the use of a reserve price.</w:t>
      </w:r>
      <w:r w:rsidR="00603662">
        <w:rPr>
          <w:rStyle w:val="FootnoteReference"/>
          <w:rFonts w:cstheme="minorHAnsi"/>
        </w:rPr>
        <w:footnoteReference w:id="235"/>
      </w:r>
      <w:r w:rsidR="00603662">
        <w:rPr>
          <w:rFonts w:cstheme="minorHAnsi"/>
        </w:rPr>
        <w:t xml:space="preserve">  DISH estimates that the value of the H block spectrum </w:t>
      </w:r>
      <w:r w:rsidR="00267167">
        <w:rPr>
          <w:rFonts w:cstheme="minorHAnsi"/>
        </w:rPr>
        <w:t xml:space="preserve">on a nationwide aggregate basis </w:t>
      </w:r>
      <w:r w:rsidR="00603662">
        <w:rPr>
          <w:rFonts w:cstheme="minorHAnsi"/>
        </w:rPr>
        <w:t>is “at least $0.50” per megahertz per population (</w:t>
      </w:r>
      <w:r w:rsidR="00267167">
        <w:rPr>
          <w:rFonts w:cstheme="minorHAnsi"/>
        </w:rPr>
        <w:t>“</w:t>
      </w:r>
      <w:r w:rsidR="00FE4663">
        <w:t>MHz-</w:t>
      </w:r>
      <w:r w:rsidR="00603662" w:rsidRPr="00AC1677">
        <w:t>pop</w:t>
      </w:r>
      <w:r w:rsidR="00267167">
        <w:rPr>
          <w:rFonts w:cstheme="minorHAnsi"/>
        </w:rPr>
        <w:t>”), and bases its estimate on information from past Commission spectrum auctions, secondary market transaction</w:t>
      </w:r>
      <w:r w:rsidR="00E170DD">
        <w:rPr>
          <w:rFonts w:cstheme="minorHAnsi"/>
        </w:rPr>
        <w:t>s</w:t>
      </w:r>
      <w:r w:rsidR="00267167">
        <w:rPr>
          <w:rFonts w:cstheme="minorHAnsi"/>
        </w:rPr>
        <w:t xml:space="preserve"> and a range of estimates by financial institutions.</w:t>
      </w:r>
      <w:r w:rsidR="00267167">
        <w:rPr>
          <w:rStyle w:val="FootnoteReference"/>
          <w:rFonts w:cstheme="minorHAnsi"/>
        </w:rPr>
        <w:footnoteReference w:id="236"/>
      </w:r>
    </w:p>
    <w:p w:rsidR="0094714B" w:rsidRPr="00341BCE" w:rsidRDefault="0094714B" w:rsidP="00C07C81">
      <w:pPr>
        <w:pStyle w:val="ParaNum"/>
        <w:widowControl/>
        <w:tabs>
          <w:tab w:val="clear" w:pos="1260"/>
          <w:tab w:val="num" w:pos="1440"/>
        </w:tabs>
        <w:ind w:left="0"/>
        <w:rPr>
          <w:szCs w:val="22"/>
        </w:rPr>
      </w:pPr>
      <w:r>
        <w:t>C Spire and Sprint were the only two parties that commented on the issue of whether any reserve price we may adopt for Auction 96 should be publicly disclosed prior to the auction.</w:t>
      </w:r>
      <w:r>
        <w:rPr>
          <w:rStyle w:val="FootnoteReference"/>
        </w:rPr>
        <w:footnoteReference w:id="237"/>
      </w:r>
      <w:r>
        <w:t xml:space="preserve">  Both support doing so </w:t>
      </w:r>
      <w:r w:rsidR="008F179E">
        <w:rPr>
          <w:rFonts w:cstheme="minorHAnsi"/>
        </w:rPr>
        <w:t xml:space="preserve">because it allows </w:t>
      </w:r>
      <w:r w:rsidR="008F179E" w:rsidRPr="00402D4A">
        <w:rPr>
          <w:rFonts w:cstheme="minorHAnsi"/>
        </w:rPr>
        <w:t>participants</w:t>
      </w:r>
      <w:r w:rsidR="008F179E">
        <w:rPr>
          <w:rFonts w:cstheme="minorHAnsi"/>
        </w:rPr>
        <w:t xml:space="preserve"> to</w:t>
      </w:r>
      <w:r w:rsidR="008F179E" w:rsidRPr="00402D4A">
        <w:rPr>
          <w:rFonts w:cstheme="minorHAnsi"/>
        </w:rPr>
        <w:t xml:space="preserve"> efficiently tailor </w:t>
      </w:r>
      <w:r w:rsidR="008F179E">
        <w:rPr>
          <w:rFonts w:cstheme="minorHAnsi"/>
        </w:rPr>
        <w:t xml:space="preserve">their </w:t>
      </w:r>
      <w:r w:rsidR="008F179E" w:rsidRPr="00402D4A">
        <w:rPr>
          <w:rFonts w:cstheme="minorHAnsi"/>
        </w:rPr>
        <w:t xml:space="preserve">bidding strategies </w:t>
      </w:r>
      <w:r w:rsidR="008F179E">
        <w:rPr>
          <w:rFonts w:cstheme="minorHAnsi"/>
        </w:rPr>
        <w:t>to t</w:t>
      </w:r>
      <w:r w:rsidR="008F179E" w:rsidRPr="00402D4A">
        <w:rPr>
          <w:rFonts w:cstheme="minorHAnsi"/>
        </w:rPr>
        <w:t>heir individual packaging needs and effectively know what they are</w:t>
      </w:r>
      <w:r w:rsidR="008F179E">
        <w:rPr>
          <w:rFonts w:cstheme="minorHAnsi"/>
        </w:rPr>
        <w:t xml:space="preserve"> </w:t>
      </w:r>
      <w:r w:rsidR="008F179E" w:rsidRPr="00402D4A">
        <w:rPr>
          <w:rFonts w:cstheme="minorHAnsi"/>
        </w:rPr>
        <w:t>playing for</w:t>
      </w:r>
      <w:r w:rsidR="008F179E">
        <w:rPr>
          <w:rFonts w:cstheme="minorHAnsi"/>
        </w:rPr>
        <w:t xml:space="preserve"> prior to making an initial bid.</w:t>
      </w:r>
      <w:r w:rsidR="008F179E">
        <w:rPr>
          <w:rStyle w:val="FootnoteReference"/>
          <w:rFonts w:cstheme="minorHAnsi"/>
        </w:rPr>
        <w:footnoteReference w:id="238"/>
      </w:r>
    </w:p>
    <w:p w:rsidR="00FF5624" w:rsidRPr="00FF5624" w:rsidRDefault="00341BCE" w:rsidP="00CB6EC3">
      <w:pPr>
        <w:pStyle w:val="ParaNum"/>
        <w:widowControl/>
        <w:tabs>
          <w:tab w:val="clear" w:pos="1260"/>
          <w:tab w:val="num" w:pos="1440"/>
        </w:tabs>
        <w:ind w:left="0"/>
        <w:rPr>
          <w:szCs w:val="22"/>
        </w:rPr>
      </w:pPr>
      <w:r>
        <w:t>In light of the support in the record, we adopt our proposal to establish a reserve price for the H Block licenses in Auction 96</w:t>
      </w:r>
      <w:r w:rsidR="00E2185F" w:rsidRPr="00E2185F">
        <w:t xml:space="preserve"> </w:t>
      </w:r>
      <w:r w:rsidR="00E2185F">
        <w:t>that is higher than the sum of minimum opening bids</w:t>
      </w:r>
      <w:r w:rsidR="00AC1677">
        <w:t>,</w:t>
      </w:r>
      <w:r w:rsidR="00AC1677" w:rsidRPr="00AC1677">
        <w:t xml:space="preserve"> and here we publicly disclose it</w:t>
      </w:r>
      <w:r>
        <w:t xml:space="preserve">.  </w:t>
      </w:r>
      <w:r w:rsidR="00E2185F">
        <w:t>While</w:t>
      </w:r>
      <w:r w:rsidR="00FC54ED">
        <w:t xml:space="preserve"> minimum opening bids, which we are separately adopting for Auction 96, effectively function as license-by-license reserve prices</w:t>
      </w:r>
      <w:r w:rsidR="00E2185F">
        <w:t xml:space="preserve">, we agree with Sprint that </w:t>
      </w:r>
      <w:r w:rsidR="00E2185F" w:rsidRPr="00623D39">
        <w:rPr>
          <w:rFonts w:cstheme="minorHAnsi"/>
        </w:rPr>
        <w:t xml:space="preserve">calculating license-by-license reserve prices </w:t>
      </w:r>
      <w:r w:rsidR="00E2185F">
        <w:rPr>
          <w:rFonts w:cstheme="minorHAnsi"/>
        </w:rPr>
        <w:t xml:space="preserve">consistent with our higher aggregate reserve price </w:t>
      </w:r>
      <w:r w:rsidR="00E2185F" w:rsidRPr="00623D39">
        <w:rPr>
          <w:rFonts w:cstheme="minorHAnsi"/>
        </w:rPr>
        <w:t>wou</w:t>
      </w:r>
      <w:r w:rsidR="00E2185F" w:rsidRPr="00A55F71">
        <w:rPr>
          <w:rFonts w:cstheme="minorHAnsi"/>
        </w:rPr>
        <w:t>ld be ineffic</w:t>
      </w:r>
      <w:r w:rsidR="00E2185F">
        <w:rPr>
          <w:rFonts w:cstheme="minorHAnsi"/>
        </w:rPr>
        <w:t>ient and complicated</w:t>
      </w:r>
      <w:r w:rsidR="00FC54ED">
        <w:t>.</w:t>
      </w:r>
      <w:r w:rsidR="001342BB">
        <w:t xml:space="preserve">  </w:t>
      </w:r>
      <w:r w:rsidR="00EE1190" w:rsidRPr="00AC1677">
        <w:t xml:space="preserve">Accordingly, </w:t>
      </w:r>
      <w:r w:rsidR="00E5003C" w:rsidRPr="00AC1677">
        <w:t xml:space="preserve">for </w:t>
      </w:r>
      <w:r w:rsidR="00FD2D6C" w:rsidRPr="00AC1677">
        <w:t>the H Block license</w:t>
      </w:r>
      <w:r w:rsidR="005651B3" w:rsidRPr="00AC1677">
        <w:t>s</w:t>
      </w:r>
      <w:r w:rsidR="00FD2D6C" w:rsidRPr="00AC1677">
        <w:t xml:space="preserve"> </w:t>
      </w:r>
      <w:r w:rsidR="005651B3" w:rsidRPr="00AC1677">
        <w:t xml:space="preserve">in </w:t>
      </w:r>
      <w:r w:rsidR="00E5003C" w:rsidRPr="00AC1677">
        <w:t xml:space="preserve">Auction </w:t>
      </w:r>
      <w:r w:rsidR="00FD2D6C" w:rsidRPr="00AC1677">
        <w:t>96</w:t>
      </w:r>
      <w:r w:rsidR="005651B3" w:rsidRPr="00AC1677">
        <w:t xml:space="preserve">, there will be an aggregate reserve price </w:t>
      </w:r>
      <w:r w:rsidR="00FD2D6C" w:rsidRPr="00AC1677">
        <w:t>of</w:t>
      </w:r>
      <w:r w:rsidR="005651B3" w:rsidRPr="00AC1677">
        <w:t xml:space="preserve"> $1.564 billion</w:t>
      </w:r>
      <w:r w:rsidR="00E5003C" w:rsidRPr="00AC1677">
        <w:t>.</w:t>
      </w:r>
      <w:r w:rsidR="005651B3" w:rsidRPr="00AC1677">
        <w:t xml:space="preserve">  This reserve price was calculated by using </w:t>
      </w:r>
      <w:r w:rsidR="00AE7919">
        <w:t xml:space="preserve">a minimum spectrum value of </w:t>
      </w:r>
      <w:r w:rsidR="005651B3" w:rsidRPr="00AC1677">
        <w:t>$0.50/MHz</w:t>
      </w:r>
      <w:r w:rsidR="00FA5EB9">
        <w:t>-</w:t>
      </w:r>
      <w:r w:rsidR="005651B3" w:rsidRPr="00AC1677">
        <w:t>pop</w:t>
      </w:r>
      <w:r w:rsidR="00AE7919">
        <w:t xml:space="preserve">, as suggested by DISH, </w:t>
      </w:r>
      <w:r w:rsidR="005651B3" w:rsidRPr="00AC1677">
        <w:t>and rounding the result to the nearest million.</w:t>
      </w:r>
      <w:r w:rsidR="00D95429" w:rsidRPr="00AC1677">
        <w:t xml:space="preserve">  We believe this amount will appropriately recover for the public a portion of the value of the spectrum, especially in light of the Spectrum Act’s requirement to deposit proceeds from this auction into the Public Safety Trust Fund to be used for a nationwide, interoperable public safety broadband network by the First Responder Network Authority.</w:t>
      </w:r>
      <w:r w:rsidR="00E170DD">
        <w:t xml:space="preserve"> </w:t>
      </w:r>
      <w:r w:rsidR="00D95429" w:rsidRPr="00AC1677">
        <w:t xml:space="preserve">  </w:t>
      </w:r>
    </w:p>
    <w:p w:rsidR="00341BCE" w:rsidRPr="00FF5624" w:rsidRDefault="00A815F9" w:rsidP="00CB6EC3">
      <w:pPr>
        <w:pStyle w:val="ParaNum"/>
        <w:widowControl/>
        <w:tabs>
          <w:tab w:val="clear" w:pos="1260"/>
          <w:tab w:val="num" w:pos="1440"/>
        </w:tabs>
        <w:ind w:left="0"/>
        <w:rPr>
          <w:szCs w:val="22"/>
        </w:rPr>
      </w:pPr>
      <w:r w:rsidRPr="00AC1677">
        <w:t xml:space="preserve">When determining whether the reserve price has been met, the Bureau will use the gross </w:t>
      </w:r>
      <w:r w:rsidR="00E2185F">
        <w:t xml:space="preserve">bid </w:t>
      </w:r>
      <w:r w:rsidRPr="00AC1677">
        <w:t xml:space="preserve">amounts </w:t>
      </w:r>
      <w:r w:rsidR="00E2185F">
        <w:t>rather than</w:t>
      </w:r>
      <w:r w:rsidRPr="00AC1677">
        <w:t xml:space="preserve"> net </w:t>
      </w:r>
      <w:r w:rsidR="00E2185F">
        <w:t xml:space="preserve">bid </w:t>
      </w:r>
      <w:r w:rsidRPr="00AC1677">
        <w:t>amounts that take into account bidding credits</w:t>
      </w:r>
      <w:r>
        <w:t>.</w:t>
      </w:r>
      <w:r w:rsidR="00E2185F">
        <w:t xml:space="preserve">  We will </w:t>
      </w:r>
      <w:r w:rsidR="005278C7">
        <w:t xml:space="preserve">also </w:t>
      </w:r>
      <w:r w:rsidR="00E2185F">
        <w:t>count the gross amount of any withdrawn bids for licenses toward meeting the reserve price.</w:t>
      </w:r>
      <w:r w:rsidR="00183159">
        <w:rPr>
          <w:rStyle w:val="FootnoteReference"/>
        </w:rPr>
        <w:footnoteReference w:id="239"/>
      </w:r>
      <w:r w:rsidR="005278C7">
        <w:t xml:space="preserve">  Thus, we will count the gross amount of either the provisionally winning bid on a license or, if higher, the highest withdrawn provisionally winning bid on a license when determining whether the reserve price has been met. We will not count more than one bid per license, be it a provisionally winning or withdrawn bid, toward meeting the relevant reserve price.  In the case of licenses with multiple withdrawn bids or a withdrawn bid and a provisionally wi</w:t>
      </w:r>
      <w:r w:rsidR="007B799E">
        <w:t>nning bid, we will count the hi</w:t>
      </w:r>
      <w:r w:rsidR="005278C7">
        <w:t>ghest of the gross bid a</w:t>
      </w:r>
      <w:r w:rsidR="00534B69">
        <w:t>m</w:t>
      </w:r>
      <w:r w:rsidR="005278C7">
        <w:t>ounts toward the reserve price.  Other than the gross amounts of withdrawn bids as described above, licenses without provisionally winning bids will not count toward meeting a reserve price.</w:t>
      </w:r>
    </w:p>
    <w:p w:rsidR="00FF5624" w:rsidRPr="00D141A0" w:rsidRDefault="00FF5624" w:rsidP="00CB6EC3">
      <w:pPr>
        <w:pStyle w:val="ParaNum"/>
        <w:widowControl/>
        <w:tabs>
          <w:tab w:val="clear" w:pos="1260"/>
          <w:tab w:val="num" w:pos="1440"/>
        </w:tabs>
        <w:ind w:left="0"/>
        <w:rPr>
          <w:szCs w:val="22"/>
        </w:rPr>
      </w:pPr>
      <w:r>
        <w:t xml:space="preserve">We will issue an announcement in the FCC Auction System stating that </w:t>
      </w:r>
      <w:r w:rsidR="00534B69">
        <w:t>the</w:t>
      </w:r>
      <w:r>
        <w:t xml:space="preserve"> reserve </w:t>
      </w:r>
      <w:r w:rsidR="00534B69">
        <w:t xml:space="preserve">price </w:t>
      </w:r>
      <w:r>
        <w:t>has been met immediately following the first round in which that occurs, which will be viewable through the Commission’s website.  The current to</w:t>
      </w:r>
      <w:r w:rsidR="00534B69">
        <w:t>t</w:t>
      </w:r>
      <w:r>
        <w:t>al of the relevant provisionally winning bids may not determine whether the reserve has been met, given that we also will count withdrawn bids toward meeting the reserve.  By making an announcement when the reserve is met, we will free auction observers and participants from a need to monitor withdrawn bids over the course of the auction in order to determine wheth</w:t>
      </w:r>
      <w:r w:rsidR="00534B69">
        <w:t>e</w:t>
      </w:r>
      <w:r>
        <w:t xml:space="preserve">r the reserve has been met and avoid any uncertainty. </w:t>
      </w:r>
    </w:p>
    <w:p w:rsidR="00D141A0" w:rsidRDefault="00D141A0" w:rsidP="00D141A0">
      <w:pPr>
        <w:pStyle w:val="Heading4"/>
      </w:pPr>
      <w:bookmarkStart w:id="3603" w:name="_Toc362256789"/>
      <w:bookmarkStart w:id="3604" w:name="_Toc366056547"/>
      <w:bookmarkStart w:id="3605" w:name="_Toc366223749"/>
      <w:bookmarkStart w:id="3606" w:name="_Toc366229462"/>
      <w:bookmarkStart w:id="3607" w:name="_Toc366583505"/>
      <w:r>
        <w:rPr>
          <w:szCs w:val="22"/>
        </w:rPr>
        <w:t>Minimum Opening Bids</w:t>
      </w:r>
      <w:bookmarkEnd w:id="3603"/>
      <w:bookmarkEnd w:id="3604"/>
      <w:bookmarkEnd w:id="3605"/>
      <w:bookmarkEnd w:id="3606"/>
      <w:bookmarkEnd w:id="3607"/>
    </w:p>
    <w:p w:rsidR="00D141A0" w:rsidRPr="0064234E" w:rsidRDefault="00BF06C5" w:rsidP="00D141A0">
      <w:pPr>
        <w:pStyle w:val="ParaNum"/>
        <w:widowControl/>
        <w:tabs>
          <w:tab w:val="clear" w:pos="1260"/>
          <w:tab w:val="num" w:pos="1440"/>
        </w:tabs>
        <w:ind w:left="0"/>
        <w:rPr>
          <w:szCs w:val="22"/>
        </w:rPr>
      </w:pPr>
      <w:r>
        <w:t xml:space="preserve">In addition to proposing an aggregate reserve price, </w:t>
      </w:r>
      <w:r w:rsidR="00D141A0" w:rsidRPr="0064234E">
        <w:t>the Bureau propose</w:t>
      </w:r>
      <w:r w:rsidR="00D141A0">
        <w:t>d</w:t>
      </w:r>
      <w:r w:rsidR="00D141A0" w:rsidRPr="0064234E">
        <w:t xml:space="preserve"> </w:t>
      </w:r>
      <w:r>
        <w:t xml:space="preserve">in the </w:t>
      </w:r>
      <w:r>
        <w:rPr>
          <w:i/>
        </w:rPr>
        <w:t xml:space="preserve">Auction 96 Comment Public </w:t>
      </w:r>
      <w:r w:rsidRPr="00724DC5">
        <w:rPr>
          <w:i/>
        </w:rPr>
        <w:t>Notice</w:t>
      </w:r>
      <w:r>
        <w:t xml:space="preserve"> </w:t>
      </w:r>
      <w:r w:rsidR="00D141A0" w:rsidRPr="00BF06C5">
        <w:t>to</w:t>
      </w:r>
      <w:r w:rsidR="00D141A0" w:rsidRPr="0064234E">
        <w:t xml:space="preserve"> establish minimum opening bid amounts for</w:t>
      </w:r>
      <w:r>
        <w:t xml:space="preserve"> each license in</w:t>
      </w:r>
      <w:r w:rsidR="00D141A0" w:rsidRPr="0064234E">
        <w:t xml:space="preserve"> Auction 96.</w:t>
      </w:r>
      <w:r w:rsidR="00232B58">
        <w:rPr>
          <w:rStyle w:val="FootnoteReference"/>
        </w:rPr>
        <w:footnoteReference w:id="240"/>
      </w:r>
      <w:r w:rsidR="00D141A0" w:rsidRPr="0064234E">
        <w:t xml:space="preserve">  The Bureau believes a minimum opening bid amount, which has been used in other auctions, is an effective bidding tool for accelerating the competitive bidding process.</w:t>
      </w:r>
      <w:r w:rsidR="00D141A0" w:rsidRPr="0064234E">
        <w:rPr>
          <w:rStyle w:val="FootnoteReference"/>
        </w:rPr>
        <w:footnoteReference w:id="241"/>
      </w:r>
    </w:p>
    <w:p w:rsidR="00D141A0" w:rsidRPr="00FB576F" w:rsidRDefault="00F55818" w:rsidP="00D141A0">
      <w:pPr>
        <w:pStyle w:val="ParaNum"/>
        <w:tabs>
          <w:tab w:val="clear" w:pos="1260"/>
          <w:tab w:val="num" w:pos="1440"/>
        </w:tabs>
        <w:ind w:left="0"/>
        <w:rPr>
          <w:szCs w:val="22"/>
        </w:rPr>
      </w:pPr>
      <w:r>
        <w:t>In the</w:t>
      </w:r>
      <w:r w:rsidRPr="00F55818">
        <w:rPr>
          <w:i/>
          <w:szCs w:val="22"/>
        </w:rPr>
        <w:t xml:space="preserve"> </w:t>
      </w:r>
      <w:r w:rsidRPr="001C2E9C">
        <w:rPr>
          <w:i/>
          <w:szCs w:val="22"/>
        </w:rPr>
        <w:t>Auction</w:t>
      </w:r>
      <w:r w:rsidRPr="001C2E9C" w:rsidDel="008B3F0F">
        <w:rPr>
          <w:i/>
          <w:szCs w:val="22"/>
        </w:rPr>
        <w:t xml:space="preserve"> </w:t>
      </w:r>
      <w:r>
        <w:rPr>
          <w:i/>
          <w:szCs w:val="22"/>
        </w:rPr>
        <w:t>96</w:t>
      </w:r>
      <w:r w:rsidRPr="001C2E9C">
        <w:rPr>
          <w:i/>
          <w:szCs w:val="22"/>
        </w:rPr>
        <w:t xml:space="preserve"> Comment Public Notice</w:t>
      </w:r>
      <w:r>
        <w:rPr>
          <w:szCs w:val="22"/>
        </w:rPr>
        <w:t>,</w:t>
      </w:r>
      <w:r w:rsidR="00D141A0" w:rsidRPr="0064234E">
        <w:t xml:space="preserve"> the Bureau propose</w:t>
      </w:r>
      <w:r w:rsidR="00D141A0">
        <w:t>d</w:t>
      </w:r>
      <w:r w:rsidR="00D141A0" w:rsidRPr="0064234E">
        <w:t xml:space="preserve"> to calculate minimum opening bid amounts on a license-by-license basis using a </w:t>
      </w:r>
      <w:r w:rsidR="00D141A0">
        <w:t>formula based on bandwidth and license area population,</w:t>
      </w:r>
      <w:r w:rsidR="00D141A0">
        <w:rPr>
          <w:rStyle w:val="FootnoteReference"/>
        </w:rPr>
        <w:footnoteReference w:id="242"/>
      </w:r>
      <w:r w:rsidR="00D141A0">
        <w:t xml:space="preserve"> </w:t>
      </w:r>
      <w:r w:rsidR="00D141A0" w:rsidRPr="0064234E">
        <w:t xml:space="preserve">similar to </w:t>
      </w:r>
      <w:r w:rsidR="00D141A0">
        <w:t xml:space="preserve">our approach in many previous spectrum auctions.  We proposed to use a calculation based on $0.07 per </w:t>
      </w:r>
      <w:r w:rsidR="00D141A0" w:rsidRPr="0064234E">
        <w:t>MHz-pop</w:t>
      </w:r>
      <w:r w:rsidR="00D141A0">
        <w:t>.  Additionally, we proposed to incorporate pricing information from previous auctions to tailor the results of our calculation to the relative prices for each EA.  For this</w:t>
      </w:r>
      <w:r>
        <w:t>,</w:t>
      </w:r>
      <w:r w:rsidR="00D141A0">
        <w:t xml:space="preserve"> we proposed to create an index of the relative price of each EA using the winning bid amounts for the EA licenses of paired spectrum from Auctions 66 and 73.  This modification </w:t>
      </w:r>
      <w:r w:rsidR="00D141A0" w:rsidRPr="007B3428">
        <w:t xml:space="preserve">to the use of $0.07 per MHz-pop results in </w:t>
      </w:r>
      <w:r w:rsidR="00D141A0">
        <w:t>amounts ranging from less than $0.01 per MHz</w:t>
      </w:r>
      <w:r w:rsidR="00D141A0">
        <w:noBreakHyphen/>
        <w:t>pop to $0.16 per MHz</w:t>
      </w:r>
      <w:r w:rsidR="00D141A0">
        <w:noBreakHyphen/>
        <w:t>pop.  We further proposed a minimum of $1000 per license.  F</w:t>
      </w:r>
      <w:r w:rsidR="00D141A0" w:rsidRPr="0064234E">
        <w:t>or the license covering the Gulf of Mexico</w:t>
      </w:r>
      <w:r w:rsidR="00FD2D6C">
        <w:t>,</w:t>
      </w:r>
      <w:r w:rsidR="00D141A0" w:rsidRPr="0064234E">
        <w:t xml:space="preserve"> </w:t>
      </w:r>
      <w:r w:rsidR="00D141A0">
        <w:t>w</w:t>
      </w:r>
      <w:r w:rsidR="00D141A0" w:rsidRPr="0064234E">
        <w:t>e propose</w:t>
      </w:r>
      <w:r>
        <w:t>d</w:t>
      </w:r>
      <w:r w:rsidR="00D141A0" w:rsidRPr="0064234E">
        <w:t xml:space="preserve"> to set the minimum opening bid at </w:t>
      </w:r>
      <w:r w:rsidR="00D141A0" w:rsidRPr="00FB576F">
        <w:t xml:space="preserve">$20,000.  </w:t>
      </w:r>
    </w:p>
    <w:p w:rsidR="00C84836" w:rsidRPr="00FB576F" w:rsidRDefault="00754EF9" w:rsidP="00D141A0">
      <w:pPr>
        <w:pStyle w:val="ParaNum"/>
        <w:widowControl/>
        <w:tabs>
          <w:tab w:val="clear" w:pos="1260"/>
          <w:tab w:val="num" w:pos="1440"/>
        </w:tabs>
        <w:ind w:left="0"/>
        <w:rPr>
          <w:szCs w:val="22"/>
        </w:rPr>
      </w:pPr>
      <w:r w:rsidRPr="00FB576F">
        <w:t>Broadband Properties, the only party that</w:t>
      </w:r>
      <w:r w:rsidR="001E7611" w:rsidRPr="00FB576F">
        <w:rPr>
          <w:szCs w:val="22"/>
        </w:rPr>
        <w:t xml:space="preserve"> comment</w:t>
      </w:r>
      <w:r w:rsidRPr="00FB576F">
        <w:rPr>
          <w:szCs w:val="22"/>
        </w:rPr>
        <w:t>ed</w:t>
      </w:r>
      <w:r w:rsidR="001E7611" w:rsidRPr="00FB576F">
        <w:rPr>
          <w:szCs w:val="22"/>
        </w:rPr>
        <w:t xml:space="preserve"> on our propos</w:t>
      </w:r>
      <w:r w:rsidR="00EA5D67" w:rsidRPr="00FB576F">
        <w:rPr>
          <w:szCs w:val="22"/>
        </w:rPr>
        <w:t>ed</w:t>
      </w:r>
      <w:r w:rsidR="001E7611" w:rsidRPr="00FB576F">
        <w:rPr>
          <w:szCs w:val="22"/>
        </w:rPr>
        <w:t xml:space="preserve"> minimum opening bids</w:t>
      </w:r>
      <w:r w:rsidRPr="00FB576F">
        <w:rPr>
          <w:szCs w:val="22"/>
        </w:rPr>
        <w:t xml:space="preserve">, </w:t>
      </w:r>
      <w:r w:rsidRPr="00FB576F">
        <w:t>maintains that indexing minimum opening bids and reserve prices to prior auctions takes the market forces out of the auction process.</w:t>
      </w:r>
      <w:r w:rsidRPr="00FB576F">
        <w:rPr>
          <w:rStyle w:val="FootnoteReference"/>
        </w:rPr>
        <w:footnoteReference w:id="243"/>
      </w:r>
      <w:r w:rsidRPr="00FB576F">
        <w:t xml:space="preserve">  Broadband Properties requests that we instead set the minimum opening bid at $.01 per MHz-pop and let the market decide the values</w:t>
      </w:r>
      <w:r w:rsidR="001E7611" w:rsidRPr="00FB576F">
        <w:rPr>
          <w:szCs w:val="22"/>
        </w:rPr>
        <w:t>.</w:t>
      </w:r>
      <w:r w:rsidRPr="00FB576F">
        <w:rPr>
          <w:rStyle w:val="FootnoteReference"/>
          <w:szCs w:val="22"/>
        </w:rPr>
        <w:footnoteReference w:id="244"/>
      </w:r>
      <w:r w:rsidRPr="00FB576F">
        <w:t xml:space="preserve">  </w:t>
      </w:r>
      <w:r w:rsidR="00204F1B">
        <w:t>We disagree with Broadband Properties that indexing minimum opening bid</w:t>
      </w:r>
      <w:r w:rsidR="00B54432">
        <w:t>s</w:t>
      </w:r>
      <w:r w:rsidR="00204F1B">
        <w:t xml:space="preserve"> amounts takes market forces out of the auction process.  Minimum opening bids are not meant to set market values.  Rather, they ensure that a portion of the value of the spectrum is recovered for the public.</w:t>
      </w:r>
      <w:r w:rsidR="00A95726">
        <w:rPr>
          <w:rStyle w:val="FootnoteReference"/>
        </w:rPr>
        <w:footnoteReference w:id="245"/>
      </w:r>
      <w:r w:rsidR="00204F1B">
        <w:t xml:space="preserve">  Additionally, minimum opening bids</w:t>
      </w:r>
      <w:r w:rsidR="00B54432">
        <w:t xml:space="preserve"> help the efficiency of the auction process by avoiding numerous additional rounds that may otherwise be required to reach the winning bid amount.  Accordingly, w</w:t>
      </w:r>
      <w:r w:rsidRPr="00FB576F">
        <w:t xml:space="preserve">e decline to modify opening bids </w:t>
      </w:r>
      <w:r w:rsidR="00BA73B9" w:rsidRPr="00FB576F">
        <w:t xml:space="preserve">proposed in the in </w:t>
      </w:r>
      <w:r w:rsidR="00BA73B9" w:rsidRPr="00FB576F">
        <w:rPr>
          <w:i/>
        </w:rPr>
        <w:t>Auction 96 Comment Public Notice</w:t>
      </w:r>
      <w:r w:rsidR="00BA73B9" w:rsidRPr="00FB576F">
        <w:t xml:space="preserve">.  </w:t>
      </w:r>
      <w:r w:rsidR="00B54432">
        <w:t>The minimum opening bid amount for each H Block license available in Auction 96, calculated pursuant to the procedures described above, is set forth in Attachment A.</w:t>
      </w:r>
    </w:p>
    <w:p w:rsidR="00607806" w:rsidRPr="00DF7948" w:rsidRDefault="00607806" w:rsidP="00C07C81">
      <w:pPr>
        <w:pStyle w:val="Heading3"/>
        <w:widowControl/>
        <w:rPr>
          <w:szCs w:val="22"/>
        </w:rPr>
      </w:pPr>
      <w:bookmarkStart w:id="3608" w:name="_Toc483218171"/>
      <w:bookmarkStart w:id="3609" w:name="_Toc109812271"/>
      <w:bookmarkStart w:id="3610" w:name="_Toc124844780"/>
      <w:bookmarkStart w:id="3611" w:name="_Toc124844908"/>
      <w:bookmarkStart w:id="3612" w:name="_Toc124845567"/>
      <w:bookmarkStart w:id="3613" w:name="_Toc124845835"/>
      <w:bookmarkStart w:id="3614" w:name="_Toc124845909"/>
      <w:bookmarkStart w:id="3615" w:name="_Toc124845983"/>
      <w:bookmarkStart w:id="3616" w:name="_Toc124846155"/>
      <w:bookmarkStart w:id="3617" w:name="_Toc124848278"/>
      <w:bookmarkStart w:id="3618" w:name="_Toc124907529"/>
      <w:bookmarkStart w:id="3619" w:name="_Toc129773496"/>
      <w:bookmarkStart w:id="3620" w:name="_Toc130210034"/>
      <w:bookmarkStart w:id="3621" w:name="_Toc130730962"/>
      <w:bookmarkStart w:id="3622" w:name="_Toc130814190"/>
      <w:bookmarkStart w:id="3623" w:name="_Toc130814512"/>
      <w:bookmarkStart w:id="3624" w:name="_Toc130814644"/>
      <w:bookmarkStart w:id="3625" w:name="_Toc130883527"/>
      <w:bookmarkStart w:id="3626" w:name="_Toc130885637"/>
      <w:bookmarkStart w:id="3627" w:name="_Toc131844616"/>
      <w:bookmarkStart w:id="3628" w:name="_Toc148330554"/>
      <w:bookmarkStart w:id="3629" w:name="_Toc148336322"/>
      <w:bookmarkStart w:id="3630" w:name="_Toc148337763"/>
      <w:bookmarkStart w:id="3631" w:name="_Toc148338086"/>
      <w:bookmarkStart w:id="3632" w:name="_Toc148339796"/>
      <w:bookmarkStart w:id="3633" w:name="_Toc148339893"/>
      <w:bookmarkStart w:id="3634" w:name="_Toc149645603"/>
      <w:bookmarkStart w:id="3635" w:name="_Toc149997906"/>
      <w:bookmarkStart w:id="3636" w:name="_Toc158180781"/>
      <w:bookmarkStart w:id="3637" w:name="_Toc158785629"/>
      <w:bookmarkStart w:id="3638" w:name="_Toc178768534"/>
      <w:bookmarkStart w:id="3639" w:name="_Toc179195975"/>
      <w:bookmarkStart w:id="3640" w:name="_Toc179361919"/>
      <w:bookmarkStart w:id="3641" w:name="_Toc179363703"/>
      <w:bookmarkStart w:id="3642" w:name="_Toc197504961"/>
      <w:bookmarkStart w:id="3643" w:name="_Toc198007742"/>
      <w:bookmarkStart w:id="3644" w:name="_Toc198007893"/>
      <w:bookmarkStart w:id="3645" w:name="_Toc198008245"/>
      <w:bookmarkStart w:id="3646" w:name="_Toc198008382"/>
      <w:bookmarkStart w:id="3647" w:name="_Toc198008929"/>
      <w:bookmarkStart w:id="3648" w:name="_Toc198369825"/>
      <w:bookmarkStart w:id="3649" w:name="_Toc198369962"/>
      <w:bookmarkStart w:id="3650" w:name="_Toc198372874"/>
      <w:bookmarkStart w:id="3651" w:name="_Toc198372977"/>
      <w:bookmarkStart w:id="3652" w:name="_Toc198373105"/>
      <w:bookmarkStart w:id="3653" w:name="_Toc198373275"/>
      <w:bookmarkStart w:id="3654" w:name="_Toc198627189"/>
      <w:bookmarkStart w:id="3655" w:name="_Toc198627295"/>
      <w:bookmarkStart w:id="3656" w:name="_Toc216090749"/>
      <w:bookmarkStart w:id="3657" w:name="_Toc226958254"/>
      <w:bookmarkStart w:id="3658" w:name="_Toc227038314"/>
      <w:bookmarkStart w:id="3659" w:name="_Toc254792619"/>
      <w:bookmarkStart w:id="3660" w:name="_Toc256669743"/>
      <w:bookmarkStart w:id="3661" w:name="_Toc257213276"/>
      <w:bookmarkStart w:id="3662" w:name="_Toc257277778"/>
      <w:bookmarkStart w:id="3663" w:name="_Toc257278739"/>
      <w:bookmarkStart w:id="3664" w:name="_Toc257278949"/>
      <w:bookmarkStart w:id="3665" w:name="_Toc257279317"/>
      <w:bookmarkStart w:id="3666" w:name="_Toc257382961"/>
      <w:bookmarkStart w:id="3667" w:name="_Toc274056220"/>
      <w:bookmarkStart w:id="3668" w:name="_Toc276657626"/>
      <w:bookmarkStart w:id="3669" w:name="_Toc278366472"/>
      <w:bookmarkStart w:id="3670" w:name="_Toc307584066"/>
      <w:bookmarkStart w:id="3671" w:name="_Toc307937340"/>
      <w:bookmarkStart w:id="3672" w:name="_Toc348508782"/>
      <w:bookmarkStart w:id="3673" w:name="_Toc362256790"/>
      <w:bookmarkStart w:id="3674" w:name="_Toc366056548"/>
      <w:bookmarkStart w:id="3675" w:name="_Toc366223750"/>
      <w:bookmarkStart w:id="3676" w:name="_Toc366229463"/>
      <w:bookmarkStart w:id="3677" w:name="_Toc366583506"/>
      <w:r w:rsidRPr="00DF7948">
        <w:rPr>
          <w:szCs w:val="22"/>
        </w:rPr>
        <w:t>Bid Amounts</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r w:rsidR="002E31D3">
        <w:rPr>
          <w:szCs w:val="22"/>
        </w:rPr>
        <w:t xml:space="preserve">  </w:t>
      </w:r>
    </w:p>
    <w:p w:rsidR="00BD26D0" w:rsidRDefault="0067093E" w:rsidP="00C07C81">
      <w:pPr>
        <w:pStyle w:val="ParaNum"/>
        <w:widowControl/>
        <w:tabs>
          <w:tab w:val="clear" w:pos="1260"/>
          <w:tab w:val="left" w:pos="1440"/>
        </w:tabs>
        <w:ind w:left="0"/>
        <w:rPr>
          <w:szCs w:val="22"/>
        </w:rPr>
      </w:pPr>
      <w:r>
        <w:rPr>
          <w:szCs w:val="22"/>
        </w:rPr>
        <w:t xml:space="preserve">In the </w:t>
      </w:r>
      <w:r>
        <w:rPr>
          <w:i/>
          <w:szCs w:val="22"/>
        </w:rPr>
        <w:t>Auction 9</w:t>
      </w:r>
      <w:r w:rsidR="00530B79">
        <w:rPr>
          <w:i/>
          <w:szCs w:val="22"/>
        </w:rPr>
        <w:t>6</w:t>
      </w:r>
      <w:r>
        <w:rPr>
          <w:i/>
          <w:szCs w:val="22"/>
        </w:rPr>
        <w:t xml:space="preserve"> Comment Public Notice</w:t>
      </w:r>
      <w:r>
        <w:rPr>
          <w:szCs w:val="22"/>
        </w:rPr>
        <w:t>, the Bureau proposed that in each round, eligible bidders be able to place a bid on a given license</w:t>
      </w:r>
      <w:r w:rsidR="006B6BD2">
        <w:rPr>
          <w:szCs w:val="22"/>
        </w:rPr>
        <w:t xml:space="preserve"> </w:t>
      </w:r>
      <w:r>
        <w:rPr>
          <w:szCs w:val="22"/>
        </w:rPr>
        <w:t>using one or more pre-defined bid amounts.</w:t>
      </w:r>
      <w:r>
        <w:rPr>
          <w:rStyle w:val="FootnoteReference"/>
          <w:szCs w:val="22"/>
        </w:rPr>
        <w:footnoteReference w:id="246"/>
      </w:r>
      <w:r>
        <w:rPr>
          <w:szCs w:val="22"/>
        </w:rPr>
        <w:t xml:space="preserve">  Under the proposal, the FCC Auction System interface will list the acceptable bid amounts for each license.</w:t>
      </w:r>
      <w:r>
        <w:rPr>
          <w:rStyle w:val="FootnoteReference"/>
          <w:szCs w:val="22"/>
        </w:rPr>
        <w:footnoteReference w:id="247"/>
      </w:r>
      <w:r>
        <w:rPr>
          <w:szCs w:val="22"/>
        </w:rPr>
        <w:t xml:space="preserve">  </w:t>
      </w:r>
      <w:r w:rsidRPr="00BA73B9">
        <w:rPr>
          <w:szCs w:val="22"/>
        </w:rPr>
        <w:t xml:space="preserve">No </w:t>
      </w:r>
      <w:r w:rsidR="00BA73B9">
        <w:rPr>
          <w:szCs w:val="22"/>
        </w:rPr>
        <w:t xml:space="preserve">specific </w:t>
      </w:r>
      <w:r w:rsidRPr="00BA73B9">
        <w:rPr>
          <w:szCs w:val="22"/>
        </w:rPr>
        <w:t>comments were received on this issue.</w:t>
      </w:r>
      <w:r w:rsidR="00BA73B9">
        <w:rPr>
          <w:rStyle w:val="FootnoteReference"/>
          <w:szCs w:val="22"/>
        </w:rPr>
        <w:footnoteReference w:id="248"/>
      </w:r>
      <w:r>
        <w:rPr>
          <w:szCs w:val="22"/>
        </w:rPr>
        <w:t xml:space="preserve">  Based on the Commission’s experience in prior auctions, the Bureau adopts this proposal for Auction 9</w:t>
      </w:r>
      <w:r w:rsidR="00E246D2">
        <w:rPr>
          <w:szCs w:val="22"/>
        </w:rPr>
        <w:t>6</w:t>
      </w:r>
      <w:r>
        <w:rPr>
          <w:szCs w:val="22"/>
        </w:rPr>
        <w:t>.</w:t>
      </w:r>
    </w:p>
    <w:p w:rsidR="0067093E" w:rsidRDefault="0067093E" w:rsidP="0067093E">
      <w:pPr>
        <w:pStyle w:val="Heading4"/>
      </w:pPr>
      <w:bookmarkStart w:id="3678" w:name="_Toc362256791"/>
      <w:bookmarkStart w:id="3679" w:name="_Toc366056549"/>
      <w:bookmarkStart w:id="3680" w:name="_Toc366223751"/>
      <w:bookmarkStart w:id="3681" w:name="_Toc366229464"/>
      <w:bookmarkStart w:id="3682" w:name="_Toc366583507"/>
      <w:r>
        <w:t>Minimum Acceptable Bids</w:t>
      </w:r>
      <w:bookmarkEnd w:id="3678"/>
      <w:bookmarkEnd w:id="3679"/>
      <w:bookmarkEnd w:id="3680"/>
      <w:bookmarkEnd w:id="3681"/>
      <w:bookmarkEnd w:id="3682"/>
    </w:p>
    <w:p w:rsidR="00BF06C5" w:rsidRPr="00A05A29" w:rsidRDefault="00BF06C5" w:rsidP="00BF06C5">
      <w:pPr>
        <w:pStyle w:val="ParaNum"/>
        <w:widowControl/>
        <w:tabs>
          <w:tab w:val="clear" w:pos="1260"/>
          <w:tab w:val="num" w:pos="1440"/>
        </w:tabs>
        <w:ind w:left="0"/>
        <w:rPr>
          <w:szCs w:val="22"/>
        </w:rPr>
      </w:pPr>
      <w:r w:rsidRPr="0064234E">
        <w:t>The Bureau propose</w:t>
      </w:r>
      <w:r w:rsidR="003314B3">
        <w:t xml:space="preserve">d in the </w:t>
      </w:r>
      <w:r w:rsidR="003314B3" w:rsidRPr="001C2E9C">
        <w:rPr>
          <w:i/>
          <w:szCs w:val="22"/>
        </w:rPr>
        <w:t>Auction</w:t>
      </w:r>
      <w:r w:rsidR="003314B3" w:rsidRPr="001C2E9C" w:rsidDel="008B3F0F">
        <w:rPr>
          <w:i/>
          <w:szCs w:val="22"/>
        </w:rPr>
        <w:t xml:space="preserve"> </w:t>
      </w:r>
      <w:r w:rsidR="003314B3">
        <w:rPr>
          <w:i/>
          <w:szCs w:val="22"/>
        </w:rPr>
        <w:t>96</w:t>
      </w:r>
      <w:r w:rsidR="003314B3" w:rsidRPr="001C2E9C">
        <w:rPr>
          <w:i/>
          <w:szCs w:val="22"/>
        </w:rPr>
        <w:t xml:space="preserve"> Comment Public Notice</w:t>
      </w:r>
      <w:r w:rsidRPr="0064234E">
        <w:t xml:space="preserve"> to calculate minimum acceptable bids based on “current price estimates” </w:t>
      </w:r>
      <w:r w:rsidR="00B71956">
        <w:t xml:space="preserve">(CPEs) </w:t>
      </w:r>
      <w:r w:rsidRPr="0064234E">
        <w:t>and an activity-based formula</w:t>
      </w:r>
      <w:r>
        <w:t>.</w:t>
      </w:r>
      <w:r w:rsidR="00A05A29">
        <w:t xml:space="preserve">  In light of our decision not to use </w:t>
      </w:r>
      <w:r w:rsidR="001342BB">
        <w:t>package bidding</w:t>
      </w:r>
      <w:r w:rsidR="00A05A29">
        <w:t xml:space="preserve">, </w:t>
      </w:r>
      <w:r w:rsidR="00280E19">
        <w:t xml:space="preserve">and consistent with our usual procedures, </w:t>
      </w:r>
      <w:r w:rsidR="00A05A29">
        <w:t xml:space="preserve">we will calculate minimum acceptable bids based on provisionally winning bids </w:t>
      </w:r>
      <w:r w:rsidR="00280E19">
        <w:t xml:space="preserve">instead of </w:t>
      </w:r>
      <w:r w:rsidR="00A05A29">
        <w:t>CPEs, which serve as proxies for provisionally winning bids under HPB procedures.  We will use the activity-based formula, as proposed.</w:t>
      </w:r>
    </w:p>
    <w:p w:rsidR="00A05A29" w:rsidRPr="0064234E" w:rsidRDefault="00A05A29" w:rsidP="00BF06C5">
      <w:pPr>
        <w:pStyle w:val="ParaNum"/>
        <w:widowControl/>
        <w:tabs>
          <w:tab w:val="clear" w:pos="1260"/>
          <w:tab w:val="num" w:pos="1440"/>
        </w:tabs>
        <w:ind w:left="0"/>
        <w:rPr>
          <w:szCs w:val="22"/>
        </w:rPr>
      </w:pPr>
      <w:r>
        <w:rPr>
          <w:szCs w:val="22"/>
        </w:rPr>
        <w:t>The first of the acceptable bid amounts is called the minimum acceptable bid amount.  The minimum acceptable bid amount for a license will be equal to its minimum opening bid amount until there is a provisionally winning bid on the license.  After there is a provisionally winning bid for a license, the minimum acceptable bid amount for that license will be equal to the amount of the provisionally winning bid plus a percentage of that bid amount calculated using the formula described below.  In general, the percentage will be higher for a license receiving many bids than for a license receiving few bids.  In the case of a license for which the provisionally winning bid has been withdrawn, the minimum acceptable bid amount will equal the second highest bid received for the license.</w:t>
      </w:r>
      <w:r>
        <w:rPr>
          <w:rStyle w:val="FootnoteReference"/>
          <w:szCs w:val="22"/>
        </w:rPr>
        <w:footnoteReference w:id="249"/>
      </w:r>
    </w:p>
    <w:p w:rsidR="00117243" w:rsidRPr="00A05A29" w:rsidRDefault="00A05A29" w:rsidP="00A05A29">
      <w:pPr>
        <w:pStyle w:val="ParaNum"/>
        <w:widowControl/>
        <w:tabs>
          <w:tab w:val="clear" w:pos="1260"/>
          <w:tab w:val="left" w:pos="1440"/>
        </w:tabs>
        <w:ind w:left="0"/>
        <w:rPr>
          <w:szCs w:val="22"/>
        </w:rPr>
      </w:pPr>
      <w:r w:rsidRPr="00BD21DF">
        <w:rPr>
          <w:szCs w:val="22"/>
        </w:rPr>
        <w:t>The percentage of t</w:t>
      </w:r>
      <w:r w:rsidRPr="00BD21DF">
        <w:rPr>
          <w:color w:val="000000"/>
        </w:rPr>
        <w:t>he pr</w:t>
      </w:r>
      <w:r w:rsidRPr="002C26AA">
        <w:rPr>
          <w:color w:val="000000"/>
        </w:rPr>
        <w:t>ovisionally winning bid used to establish the minimum acceptable bid amount (“the additional percentage”) is calculated at the end of each round based on an activity index.  The activity index is a weighted average of (a) the number of distinct bidders placing a bid on the license, and (b) the activity index from the prior round.  Specifically, the activity index is equal to a weighting factor times the number of bidders placing a bid covering the license in the most recent bidding round plus one minus the weighting factor times the activity index from the prior round.</w:t>
      </w:r>
      <w:r>
        <w:rPr>
          <w:rStyle w:val="FootnoteReference"/>
        </w:rPr>
        <w:footnoteReference w:id="250"/>
      </w:r>
      <w:r w:rsidRPr="00BD21DF">
        <w:rPr>
          <w:color w:val="000000"/>
        </w:rPr>
        <w:t xml:space="preserve">  The additional percentage is determined as one plus the activity index times a minimum percentage amount, with the result not to exceed a given maximum.  The additional percentage is then m</w:t>
      </w:r>
      <w:r w:rsidRPr="002C26AA">
        <w:rPr>
          <w:color w:val="000000"/>
        </w:rPr>
        <w:t>ultiplied by the provisionally winning bid amount to obtain the minimum acceptable bid for the next round</w:t>
      </w:r>
      <w:r w:rsidR="00BF06C5" w:rsidRPr="0064234E">
        <w:t>.</w:t>
      </w:r>
      <w:r w:rsidR="005B2E23">
        <w:rPr>
          <w:rStyle w:val="FootnoteReference"/>
        </w:rPr>
        <w:footnoteReference w:id="251"/>
      </w:r>
      <w:r w:rsidR="00BF06C5" w:rsidRPr="0064234E">
        <w:t xml:space="preserve">  The Bureau propose</w:t>
      </w:r>
      <w:r w:rsidR="00490AC4">
        <w:t>d</w:t>
      </w:r>
      <w:r w:rsidR="00BF06C5" w:rsidRPr="0064234E">
        <w:t xml:space="preserve"> to</w:t>
      </w:r>
      <w:r w:rsidR="00280E19" w:rsidRPr="00280E19">
        <w:t xml:space="preserve"> </w:t>
      </w:r>
      <w:r w:rsidR="00280E19" w:rsidRPr="0064234E">
        <w:t>initially</w:t>
      </w:r>
      <w:r w:rsidR="00BF06C5" w:rsidRPr="0064234E">
        <w:t xml:space="preserve"> set the weighting factor at 0.5, the minimum percentage at 0.1 (10%), and the maximum percentage at 0.2</w:t>
      </w:r>
      <w:r w:rsidR="00BF06C5">
        <w:t>5</w:t>
      </w:r>
      <w:r w:rsidR="00BF06C5" w:rsidRPr="0064234E">
        <w:t xml:space="preserve"> (2</w:t>
      </w:r>
      <w:r w:rsidR="00BF06C5">
        <w:t>5</w:t>
      </w:r>
      <w:r w:rsidR="00BF06C5" w:rsidRPr="0064234E">
        <w:t>%).</w:t>
      </w:r>
      <w:r w:rsidR="00B71956">
        <w:rPr>
          <w:rStyle w:val="FootnoteReference"/>
        </w:rPr>
        <w:footnoteReference w:id="252"/>
      </w:r>
      <w:r w:rsidR="00BF06C5" w:rsidRPr="0064234E">
        <w:t xml:space="preserve">  Hence, at these initial settings, the minimum acceptable bid for a license will be between ten percent and twenty</w:t>
      </w:r>
      <w:r w:rsidR="00BF06C5">
        <w:t>-five</w:t>
      </w:r>
      <w:r w:rsidR="00BF06C5" w:rsidRPr="0064234E">
        <w:t xml:space="preserve"> percent higher than the </w:t>
      </w:r>
      <w:r>
        <w:t>provisionally winning bid</w:t>
      </w:r>
      <w:r w:rsidR="00BF06C5" w:rsidRPr="0064234E">
        <w:t xml:space="preserve">, depending upon the bidding activity covering the license.  Equations and examples are shown in Attachment </w:t>
      </w:r>
      <w:r w:rsidR="00BA73B9">
        <w:t>B</w:t>
      </w:r>
      <w:r w:rsidR="00BF06C5">
        <w:t>.</w:t>
      </w:r>
    </w:p>
    <w:p w:rsidR="001050FE" w:rsidRPr="001050FE" w:rsidRDefault="007C4BE5" w:rsidP="00C07C81">
      <w:pPr>
        <w:pStyle w:val="ParaNum"/>
        <w:widowControl/>
        <w:tabs>
          <w:tab w:val="clear" w:pos="1260"/>
          <w:tab w:val="left" w:pos="1440"/>
        </w:tabs>
        <w:ind w:left="0"/>
        <w:rPr>
          <w:szCs w:val="22"/>
        </w:rPr>
      </w:pPr>
      <w:r>
        <w:rPr>
          <w:color w:val="000000"/>
          <w:szCs w:val="22"/>
        </w:rPr>
        <w:t xml:space="preserve">We </w:t>
      </w:r>
      <w:r w:rsidR="00117243" w:rsidRPr="00115B71">
        <w:rPr>
          <w:szCs w:val="22"/>
        </w:rPr>
        <w:t>did</w:t>
      </w:r>
      <w:r w:rsidR="00117243" w:rsidRPr="00115B71">
        <w:rPr>
          <w:color w:val="000000"/>
          <w:szCs w:val="22"/>
        </w:rPr>
        <w:t xml:space="preserve"> not receive any </w:t>
      </w:r>
      <w:r w:rsidR="00BA73B9">
        <w:rPr>
          <w:color w:val="000000"/>
          <w:szCs w:val="22"/>
        </w:rPr>
        <w:t xml:space="preserve">specific </w:t>
      </w:r>
      <w:r w:rsidR="00117243" w:rsidRPr="00115B71">
        <w:rPr>
          <w:color w:val="000000"/>
          <w:szCs w:val="22"/>
        </w:rPr>
        <w:t>comments</w:t>
      </w:r>
      <w:r w:rsidR="00117243" w:rsidRPr="00C15957">
        <w:rPr>
          <w:color w:val="000000"/>
          <w:szCs w:val="22"/>
        </w:rPr>
        <w:t xml:space="preserve"> on </w:t>
      </w:r>
      <w:r w:rsidR="00912A0F">
        <w:rPr>
          <w:color w:val="000000"/>
          <w:szCs w:val="22"/>
        </w:rPr>
        <w:t>calculating minimum acceptable bids</w:t>
      </w:r>
      <w:r w:rsidR="00117243" w:rsidRPr="00C15957">
        <w:rPr>
          <w:color w:val="000000"/>
          <w:szCs w:val="22"/>
        </w:rPr>
        <w:t>.</w:t>
      </w:r>
      <w:r w:rsidR="00BA73B9">
        <w:rPr>
          <w:rStyle w:val="FootnoteReference"/>
          <w:szCs w:val="22"/>
        </w:rPr>
        <w:footnoteReference w:id="253"/>
      </w:r>
      <w:r w:rsidR="00117243" w:rsidRPr="00C15957">
        <w:rPr>
          <w:color w:val="000000"/>
          <w:szCs w:val="22"/>
        </w:rPr>
        <w:t xml:space="preserve">  </w:t>
      </w:r>
      <w:r w:rsidR="00490AC4">
        <w:rPr>
          <w:color w:val="000000"/>
          <w:szCs w:val="22"/>
        </w:rPr>
        <w:t>W</w:t>
      </w:r>
      <w:r w:rsidR="00912A0F">
        <w:rPr>
          <w:color w:val="000000"/>
          <w:szCs w:val="22"/>
        </w:rPr>
        <w:t>e adopt our proposal to begin the auction with the weighting factor set at 0.5, the minimum percentage at 0.1 (10%) and the maximum percentage at 0.25 (25%)</w:t>
      </w:r>
      <w:r w:rsidR="00CB0D45">
        <w:rPr>
          <w:color w:val="000000"/>
          <w:szCs w:val="22"/>
        </w:rPr>
        <w:t>.</w:t>
      </w:r>
    </w:p>
    <w:p w:rsidR="00117243" w:rsidRDefault="001050FE" w:rsidP="001050FE">
      <w:pPr>
        <w:pStyle w:val="Heading4"/>
      </w:pPr>
      <w:bookmarkStart w:id="3683" w:name="_Toc362256792"/>
      <w:bookmarkStart w:id="3684" w:name="_Toc366056550"/>
      <w:bookmarkStart w:id="3685" w:name="_Toc366223752"/>
      <w:bookmarkStart w:id="3686" w:name="_Toc366229465"/>
      <w:bookmarkStart w:id="3687" w:name="_Toc366583508"/>
      <w:r>
        <w:t>Additional Bid Amounts</w:t>
      </w:r>
      <w:bookmarkEnd w:id="3683"/>
      <w:bookmarkEnd w:id="3684"/>
      <w:bookmarkEnd w:id="3685"/>
      <w:bookmarkEnd w:id="3686"/>
      <w:bookmarkEnd w:id="3687"/>
      <w:r w:rsidR="00117243">
        <w:t xml:space="preserve"> </w:t>
      </w:r>
    </w:p>
    <w:p w:rsidR="002E31D3" w:rsidRPr="004004AD" w:rsidRDefault="001514F4" w:rsidP="002E31D3">
      <w:pPr>
        <w:pStyle w:val="ParaNum"/>
        <w:widowControl/>
        <w:tabs>
          <w:tab w:val="clear" w:pos="1260"/>
          <w:tab w:val="num" w:pos="1440"/>
        </w:tabs>
        <w:ind w:left="0"/>
        <w:rPr>
          <w:szCs w:val="22"/>
        </w:rPr>
      </w:pPr>
      <w:r>
        <w:rPr>
          <w:szCs w:val="22"/>
        </w:rPr>
        <w:t xml:space="preserve">Consistent with our practice in past wireless spectrum auctions, we proposed in the </w:t>
      </w:r>
      <w:r w:rsidRPr="001C2E9C">
        <w:rPr>
          <w:i/>
          <w:szCs w:val="22"/>
        </w:rPr>
        <w:t>Auction</w:t>
      </w:r>
      <w:r w:rsidRPr="001C2E9C" w:rsidDel="008B3F0F">
        <w:rPr>
          <w:i/>
          <w:szCs w:val="22"/>
        </w:rPr>
        <w:t xml:space="preserve"> </w:t>
      </w:r>
      <w:r>
        <w:rPr>
          <w:i/>
          <w:szCs w:val="22"/>
        </w:rPr>
        <w:t>96</w:t>
      </w:r>
      <w:r w:rsidRPr="001C2E9C">
        <w:rPr>
          <w:i/>
          <w:szCs w:val="22"/>
        </w:rPr>
        <w:t xml:space="preserve"> Comment Public Notice</w:t>
      </w:r>
      <w:r w:rsidRPr="009A11BA">
        <w:rPr>
          <w:szCs w:val="22"/>
        </w:rPr>
        <w:t xml:space="preserve"> </w:t>
      </w:r>
      <w:r>
        <w:rPr>
          <w:szCs w:val="22"/>
        </w:rPr>
        <w:t>to calculate a</w:t>
      </w:r>
      <w:r w:rsidR="001050FE" w:rsidRPr="009A11BA">
        <w:rPr>
          <w:szCs w:val="22"/>
        </w:rPr>
        <w:t xml:space="preserve">ny additional bid amounts using the minimum acceptable bid amount and a bid increment </w:t>
      </w:r>
      <w:r w:rsidR="002E31D3" w:rsidRPr="0064234E">
        <w:t>percentage</w:t>
      </w:r>
      <w:r>
        <w:t xml:space="preserve"> </w:t>
      </w:r>
      <w:r w:rsidR="002E31D3" w:rsidRPr="0064234E">
        <w:t>— more specifically, by multiplying the minimum acceptable bid by one plus successively higher multiples of the bid increment percentage.</w:t>
      </w:r>
      <w:r w:rsidR="00153DA4">
        <w:rPr>
          <w:rStyle w:val="FootnoteReference"/>
        </w:rPr>
        <w:footnoteReference w:id="254"/>
      </w:r>
      <w:r w:rsidR="002E31D3" w:rsidRPr="0064234E">
        <w:t xml:space="preserve">  If, for example, the bid increment percentage is </w:t>
      </w:r>
      <w:r w:rsidR="00610A45">
        <w:t>five</w:t>
      </w:r>
      <w:r w:rsidR="002E31D3" w:rsidRPr="0064234E">
        <w:t xml:space="preserve"> percent, the calculation of the first additional acceptable bid amount is (minimum acceptable bid amount) * (1 + 0.05), or (minimum acceptable bid amount) * 1.05; the second additional acceptable bid amount equals the minimum acceptable bid amount times one plus two times the bid increment percentage, or (minimum acceptable bid amount) * 1.10; etc.  The Bureau will round the </w:t>
      </w:r>
      <w:r w:rsidR="002E31D3" w:rsidRPr="004004AD">
        <w:t>results using the Commission’s standard rounding procedures for auctions.</w:t>
      </w:r>
      <w:r w:rsidR="002E31D3" w:rsidRPr="004004AD">
        <w:rPr>
          <w:rStyle w:val="FootnoteReference"/>
        </w:rPr>
        <w:footnoteReference w:id="255"/>
      </w:r>
      <w:r w:rsidR="002E31D3" w:rsidRPr="004004AD">
        <w:t xml:space="preserve">  The Bureau propose</w:t>
      </w:r>
      <w:r>
        <w:t xml:space="preserve">d in the </w:t>
      </w:r>
      <w:r w:rsidRPr="001C2E9C">
        <w:rPr>
          <w:i/>
          <w:szCs w:val="22"/>
        </w:rPr>
        <w:t>Auction</w:t>
      </w:r>
      <w:r w:rsidRPr="001C2E9C" w:rsidDel="008B3F0F">
        <w:rPr>
          <w:i/>
          <w:szCs w:val="22"/>
        </w:rPr>
        <w:t xml:space="preserve"> </w:t>
      </w:r>
      <w:r>
        <w:rPr>
          <w:i/>
          <w:szCs w:val="22"/>
        </w:rPr>
        <w:t>96</w:t>
      </w:r>
      <w:r w:rsidRPr="001C2E9C">
        <w:rPr>
          <w:i/>
          <w:szCs w:val="22"/>
        </w:rPr>
        <w:t xml:space="preserve"> Comment Public Notice</w:t>
      </w:r>
      <w:r w:rsidR="002E31D3" w:rsidRPr="004004AD">
        <w:t xml:space="preserve"> initially to set the bid increment percentage at </w:t>
      </w:r>
      <w:r w:rsidR="00610A45" w:rsidRPr="004004AD">
        <w:t>five</w:t>
      </w:r>
      <w:r w:rsidR="002E31D3" w:rsidRPr="004004AD">
        <w:t xml:space="preserve"> percent.</w:t>
      </w:r>
    </w:p>
    <w:p w:rsidR="001050FE" w:rsidRPr="004004AD" w:rsidRDefault="001514F4" w:rsidP="00C07C81">
      <w:pPr>
        <w:pStyle w:val="ParaNum"/>
        <w:widowControl/>
        <w:tabs>
          <w:tab w:val="clear" w:pos="1260"/>
          <w:tab w:val="left" w:pos="1440"/>
        </w:tabs>
        <w:ind w:left="0"/>
        <w:rPr>
          <w:szCs w:val="22"/>
        </w:rPr>
      </w:pPr>
      <w:r>
        <w:t>T</w:t>
      </w:r>
      <w:r w:rsidR="002E31D3" w:rsidRPr="005D4887">
        <w:t xml:space="preserve">he Bureau </w:t>
      </w:r>
      <w:r>
        <w:t xml:space="preserve">also </w:t>
      </w:r>
      <w:r w:rsidR="002E31D3" w:rsidRPr="005D4887">
        <w:t xml:space="preserve">proposed </w:t>
      </w:r>
      <w:r>
        <w:t xml:space="preserve">in the </w:t>
      </w:r>
      <w:r w:rsidRPr="001C2E9C">
        <w:rPr>
          <w:i/>
          <w:szCs w:val="22"/>
        </w:rPr>
        <w:t>Auction</w:t>
      </w:r>
      <w:r w:rsidRPr="001C2E9C" w:rsidDel="008B3F0F">
        <w:rPr>
          <w:i/>
          <w:szCs w:val="22"/>
        </w:rPr>
        <w:t xml:space="preserve"> </w:t>
      </w:r>
      <w:r>
        <w:rPr>
          <w:i/>
          <w:szCs w:val="22"/>
        </w:rPr>
        <w:t>96</w:t>
      </w:r>
      <w:r w:rsidRPr="001C2E9C">
        <w:rPr>
          <w:i/>
          <w:szCs w:val="22"/>
        </w:rPr>
        <w:t xml:space="preserve"> Comment Public Notice</w:t>
      </w:r>
      <w:r w:rsidRPr="005D4887">
        <w:t xml:space="preserve"> </w:t>
      </w:r>
      <w:r w:rsidR="002E31D3" w:rsidRPr="005D4887">
        <w:t>to begin the auction with three acceptable bid amounts per license (the minimum acceptable bid amount and two additional bid amounts).</w:t>
      </w:r>
      <w:r w:rsidR="00610A45" w:rsidRPr="004004AD">
        <w:rPr>
          <w:rStyle w:val="FootnoteReference"/>
        </w:rPr>
        <w:footnoteReference w:id="256"/>
      </w:r>
      <w:r w:rsidR="002E31D3" w:rsidRPr="004004AD">
        <w:t xml:space="preserve">  </w:t>
      </w:r>
      <w:r w:rsidR="001050FE" w:rsidRPr="004004AD">
        <w:t xml:space="preserve">We received no </w:t>
      </w:r>
      <w:r w:rsidR="004004AD">
        <w:t xml:space="preserve">specific </w:t>
      </w:r>
      <w:r w:rsidR="001050FE" w:rsidRPr="004004AD">
        <w:t xml:space="preserve">comments on </w:t>
      </w:r>
      <w:r>
        <w:t>these</w:t>
      </w:r>
      <w:r w:rsidR="001050FE" w:rsidRPr="004004AD">
        <w:t xml:space="preserve"> proposal</w:t>
      </w:r>
      <w:r>
        <w:t>s</w:t>
      </w:r>
      <w:r w:rsidR="005D4887">
        <w:t xml:space="preserve">, </w:t>
      </w:r>
      <w:r w:rsidR="00BD21DF">
        <w:t>but we did receive comments supporting the use of our standard range of auction procedures if we adopt a simultaneous multiple-round auction without package bidding</w:t>
      </w:r>
      <w:r w:rsidR="001050FE" w:rsidRPr="004004AD">
        <w:t>.</w:t>
      </w:r>
      <w:r w:rsidR="005D4887">
        <w:rPr>
          <w:rStyle w:val="FootnoteReference"/>
        </w:rPr>
        <w:footnoteReference w:id="257"/>
      </w:r>
      <w:r w:rsidR="00BD21DF">
        <w:t xml:space="preserve">  We note that proposing three bid amounts per license was consistent with our past experience using a </w:t>
      </w:r>
      <w:r w:rsidR="00BD21DF" w:rsidRPr="00173087">
        <w:t xml:space="preserve">simultaneous multiple-round auction format with </w:t>
      </w:r>
      <w:r w:rsidR="001E7F6A">
        <w:t>HPB</w:t>
      </w:r>
      <w:r w:rsidR="00BD21DF">
        <w:t>.  Because we are not using package bidding for Auction 96, we instead adopt nine acceptable bid amounts per license, which is consistent with our past practice for most spectrum auctions.</w:t>
      </w:r>
    </w:p>
    <w:p w:rsidR="002E31D3" w:rsidRDefault="002E31D3" w:rsidP="002E31D3">
      <w:pPr>
        <w:pStyle w:val="Heading4"/>
      </w:pPr>
      <w:bookmarkStart w:id="3688" w:name="_Toc362256793"/>
      <w:bookmarkStart w:id="3689" w:name="_Toc366056551"/>
      <w:bookmarkStart w:id="3690" w:name="_Toc366223753"/>
      <w:bookmarkStart w:id="3691" w:name="_Toc366229466"/>
      <w:bookmarkStart w:id="3692" w:name="_Toc366583509"/>
      <w:r>
        <w:t>Bid Amount Changes</w:t>
      </w:r>
      <w:bookmarkEnd w:id="3688"/>
      <w:bookmarkEnd w:id="3689"/>
      <w:bookmarkEnd w:id="3690"/>
      <w:bookmarkEnd w:id="3691"/>
      <w:bookmarkEnd w:id="3692"/>
      <w:r>
        <w:t xml:space="preserve"> </w:t>
      </w:r>
    </w:p>
    <w:p w:rsidR="00607806" w:rsidRPr="00AA1D6C" w:rsidRDefault="002E31D3" w:rsidP="00C07C81">
      <w:pPr>
        <w:pStyle w:val="ParaNum"/>
        <w:widowControl/>
        <w:tabs>
          <w:tab w:val="clear" w:pos="1260"/>
          <w:tab w:val="left" w:pos="1440"/>
        </w:tabs>
        <w:ind w:left="0"/>
        <w:rPr>
          <w:szCs w:val="22"/>
        </w:rPr>
      </w:pPr>
      <w:r w:rsidRPr="0064234E">
        <w:t xml:space="preserve">The Bureau retains the discretion to change the minimum acceptable bid amounts, the additional bid amounts, the number of acceptable bid amounts, and the parameters of the formulas used to calculate minimum acceptable bid amounts and additional bid amounts if the Bureau determines that circumstances so dictate.  Further, the Bureau retains the discretion to do so on a license-by-license basis.  The Bureau also retains the discretion to limit (a) the amount by which a minimum acceptable bid for a license may increase compared with the corresponding </w:t>
      </w:r>
      <w:r w:rsidR="00A05A29">
        <w:t>provisionally winning bid</w:t>
      </w:r>
      <w:r w:rsidRPr="0064234E">
        <w:t xml:space="preserve">, and (b) the amount by which an additional bid amount may increase compared with the immediately preceding acceptable bid amount.  For example, the Bureau could set a $10 million limit on increases in minimum acceptable bid amounts over </w:t>
      </w:r>
      <w:r w:rsidR="00A05A29">
        <w:t>provisionally winning bid</w:t>
      </w:r>
      <w:r w:rsidRPr="0064234E">
        <w:t xml:space="preserve">s.  Thus, if the activity-based formula calculates a minimum acceptable bid amount that is $20 million higher than the </w:t>
      </w:r>
      <w:r w:rsidR="00A05A29">
        <w:t>provisionally winning bid</w:t>
      </w:r>
      <w:r w:rsidRPr="0064234E">
        <w:t xml:space="preserve"> on a license, the minimum acceptable bid amount would instead be capped at $10 million above the </w:t>
      </w:r>
      <w:r w:rsidR="009C55D8">
        <w:t>provisionally winning bid</w:t>
      </w:r>
      <w:r w:rsidRPr="0064234E">
        <w:t xml:space="preserve">.  The Bureau </w:t>
      </w:r>
      <w:r w:rsidR="005D4887">
        <w:t>sought</w:t>
      </w:r>
      <w:r w:rsidRPr="0064234E">
        <w:t xml:space="preserve"> comment</w:t>
      </w:r>
      <w:r w:rsidR="005D4887">
        <w:t xml:space="preserve"> in the </w:t>
      </w:r>
      <w:r w:rsidR="005D4887" w:rsidRPr="005D4887">
        <w:rPr>
          <w:i/>
        </w:rPr>
        <w:t>Auction 96 Comment Public Notice</w:t>
      </w:r>
      <w:r w:rsidRPr="0064234E">
        <w:t xml:space="preserve"> on the circumstances under which </w:t>
      </w:r>
      <w:r w:rsidR="006160C3">
        <w:t>it</w:t>
      </w:r>
      <w:r w:rsidRPr="0064234E">
        <w:t xml:space="preserve"> should employ such a limit, factors </w:t>
      </w:r>
      <w:r w:rsidR="006160C3">
        <w:t>it</w:t>
      </w:r>
      <w:r w:rsidRPr="0064234E">
        <w:t xml:space="preserve"> should consider when determining the dollar amount of the limit, and the tradeoffs in setting such a limit or changing other parameters—such as changing the minimum acceptable bid percentage, the bid increment percentage, or the number of acceptable bid amounts.</w:t>
      </w:r>
      <w:r w:rsidR="00CF0F8C" w:rsidRPr="00CF0F8C">
        <w:t xml:space="preserve"> </w:t>
      </w:r>
    </w:p>
    <w:p w:rsidR="00096F68" w:rsidRPr="00F57AD2" w:rsidRDefault="00CF0F8C" w:rsidP="00C07C81">
      <w:pPr>
        <w:pStyle w:val="ParaNum"/>
        <w:widowControl/>
        <w:tabs>
          <w:tab w:val="clear" w:pos="1260"/>
          <w:tab w:val="left" w:pos="1440"/>
        </w:tabs>
        <w:ind w:left="0"/>
        <w:rPr>
          <w:szCs w:val="22"/>
        </w:rPr>
      </w:pPr>
      <w:r w:rsidRPr="004004AD">
        <w:t xml:space="preserve">We received no </w:t>
      </w:r>
      <w:r>
        <w:t xml:space="preserve">specific </w:t>
      </w:r>
      <w:r w:rsidRPr="004004AD">
        <w:t>comments on this proposal.</w:t>
      </w:r>
      <w:r>
        <w:rPr>
          <w:rStyle w:val="FootnoteReference"/>
        </w:rPr>
        <w:footnoteReference w:id="258"/>
      </w:r>
      <w:r>
        <w:t xml:space="preserve">  </w:t>
      </w:r>
      <w:r w:rsidR="00B63BCB" w:rsidRPr="00D65E1A">
        <w:t xml:space="preserve">Therefore, </w:t>
      </w:r>
      <w:r>
        <w:t>we</w:t>
      </w:r>
      <w:r w:rsidR="00B63BCB" w:rsidRPr="00D65E1A">
        <w:t xml:space="preserve"> will start the auction without a limit on the dollar amount by which minimum acceptable bids and additional bid amounts may increase.  </w:t>
      </w:r>
      <w:r>
        <w:t>We</w:t>
      </w:r>
      <w:r w:rsidR="00AD038E">
        <w:t xml:space="preserve"> retain the discretion to change the minimum acceptable bid amounts, the minimum acceptable bid percentage, the bid increment percentage, and the number of acceptable bid amounts if </w:t>
      </w:r>
      <w:r w:rsidR="007C4BE5">
        <w:t xml:space="preserve">we </w:t>
      </w:r>
      <w:r w:rsidR="00AD038E">
        <w:t xml:space="preserve">determine that circumstances so dictate.  Further, </w:t>
      </w:r>
      <w:r>
        <w:t>we</w:t>
      </w:r>
      <w:r w:rsidR="00AD038E">
        <w:t xml:space="preserve"> retain the discretion to do so on a </w:t>
      </w:r>
      <w:r w:rsidR="00B63BCB">
        <w:t>license</w:t>
      </w:r>
      <w:r w:rsidR="00AD038E">
        <w:t>-by-</w:t>
      </w:r>
      <w:r w:rsidR="00B63BCB">
        <w:t>license</w:t>
      </w:r>
      <w:r w:rsidR="00AD038E">
        <w:t xml:space="preserve"> basis.</w:t>
      </w:r>
      <w:r w:rsidR="00F57AD2">
        <w:t xml:space="preserve">  </w:t>
      </w:r>
      <w:r w:rsidR="008B0F1A">
        <w:t xml:space="preserve">If </w:t>
      </w:r>
      <w:r w:rsidR="007C4BE5">
        <w:t xml:space="preserve">we </w:t>
      </w:r>
      <w:r w:rsidR="008B0F1A">
        <w:t xml:space="preserve">exercise this discretion, </w:t>
      </w:r>
      <w:r w:rsidR="007C4BE5">
        <w:t>we</w:t>
      </w:r>
      <w:r w:rsidR="008B0F1A">
        <w:t xml:space="preserve"> will alert bidders by announcement in the FCC Auction System during the auction.</w:t>
      </w:r>
    </w:p>
    <w:p w:rsidR="00607806" w:rsidRPr="001C2E9C" w:rsidRDefault="00607806" w:rsidP="00C07C81">
      <w:pPr>
        <w:pStyle w:val="Heading3"/>
        <w:widowControl/>
        <w:rPr>
          <w:szCs w:val="22"/>
        </w:rPr>
      </w:pPr>
      <w:bookmarkStart w:id="3693" w:name="_Toc483218172"/>
      <w:bookmarkStart w:id="3694" w:name="_Toc29980423"/>
      <w:bookmarkStart w:id="3695" w:name="_Toc109812272"/>
      <w:bookmarkStart w:id="3696" w:name="_Toc124844781"/>
      <w:bookmarkStart w:id="3697" w:name="_Toc124844909"/>
      <w:bookmarkStart w:id="3698" w:name="_Toc124845568"/>
      <w:bookmarkStart w:id="3699" w:name="_Toc124845836"/>
      <w:bookmarkStart w:id="3700" w:name="_Toc124845910"/>
      <w:bookmarkStart w:id="3701" w:name="_Toc124845984"/>
      <w:bookmarkStart w:id="3702" w:name="_Toc124846156"/>
      <w:bookmarkStart w:id="3703" w:name="_Toc124848279"/>
      <w:bookmarkStart w:id="3704" w:name="_Toc124907530"/>
      <w:bookmarkStart w:id="3705" w:name="_Toc129773499"/>
      <w:bookmarkStart w:id="3706" w:name="_Toc130210037"/>
      <w:bookmarkStart w:id="3707" w:name="_Toc130730965"/>
      <w:bookmarkStart w:id="3708" w:name="_Toc130814193"/>
      <w:bookmarkStart w:id="3709" w:name="_Toc130814515"/>
      <w:bookmarkStart w:id="3710" w:name="_Toc130814647"/>
      <w:bookmarkStart w:id="3711" w:name="_Toc130883530"/>
      <w:bookmarkStart w:id="3712" w:name="_Toc130885640"/>
      <w:bookmarkStart w:id="3713" w:name="_Toc131844619"/>
      <w:bookmarkStart w:id="3714" w:name="_Toc148330556"/>
      <w:bookmarkStart w:id="3715" w:name="_Toc148336323"/>
      <w:bookmarkStart w:id="3716" w:name="_Toc148337764"/>
      <w:bookmarkStart w:id="3717" w:name="_Toc148338087"/>
      <w:bookmarkStart w:id="3718" w:name="_Toc148339797"/>
      <w:bookmarkStart w:id="3719" w:name="_Toc148339894"/>
      <w:bookmarkStart w:id="3720" w:name="_Toc149645604"/>
      <w:bookmarkStart w:id="3721" w:name="_Toc149997907"/>
      <w:bookmarkStart w:id="3722" w:name="_Toc158180782"/>
      <w:bookmarkStart w:id="3723" w:name="_Toc158785630"/>
      <w:bookmarkStart w:id="3724" w:name="_Toc178768535"/>
      <w:bookmarkStart w:id="3725" w:name="_Toc179195976"/>
      <w:bookmarkStart w:id="3726" w:name="_Toc179361920"/>
      <w:bookmarkStart w:id="3727" w:name="_Toc179363704"/>
      <w:bookmarkStart w:id="3728" w:name="_Toc197504962"/>
      <w:bookmarkStart w:id="3729" w:name="_Toc198007743"/>
      <w:bookmarkStart w:id="3730" w:name="_Toc198007894"/>
      <w:bookmarkStart w:id="3731" w:name="_Toc198008246"/>
      <w:bookmarkStart w:id="3732" w:name="_Toc198008383"/>
      <w:bookmarkStart w:id="3733" w:name="_Toc198008930"/>
      <w:bookmarkStart w:id="3734" w:name="_Toc198369826"/>
      <w:bookmarkStart w:id="3735" w:name="_Toc198369963"/>
      <w:bookmarkStart w:id="3736" w:name="_Toc198372875"/>
      <w:bookmarkStart w:id="3737" w:name="_Toc198372978"/>
      <w:bookmarkStart w:id="3738" w:name="_Toc198373106"/>
      <w:bookmarkStart w:id="3739" w:name="_Toc198373276"/>
      <w:bookmarkStart w:id="3740" w:name="_Toc198627193"/>
      <w:bookmarkStart w:id="3741" w:name="_Toc198627299"/>
      <w:bookmarkStart w:id="3742" w:name="_Toc216090750"/>
      <w:bookmarkStart w:id="3743" w:name="_Toc226958255"/>
      <w:bookmarkStart w:id="3744" w:name="_Toc227038315"/>
      <w:bookmarkStart w:id="3745" w:name="_Toc254792620"/>
      <w:bookmarkStart w:id="3746" w:name="_Toc256669744"/>
      <w:bookmarkStart w:id="3747" w:name="_Toc257213277"/>
      <w:bookmarkStart w:id="3748" w:name="_Toc257277779"/>
      <w:bookmarkStart w:id="3749" w:name="_Toc257278740"/>
      <w:bookmarkStart w:id="3750" w:name="_Toc257278950"/>
      <w:bookmarkStart w:id="3751" w:name="_Toc257279318"/>
      <w:bookmarkStart w:id="3752" w:name="_Toc257382962"/>
      <w:bookmarkStart w:id="3753" w:name="_Toc274056221"/>
      <w:bookmarkStart w:id="3754" w:name="_Toc276657627"/>
      <w:bookmarkStart w:id="3755" w:name="_Toc278366473"/>
      <w:bookmarkStart w:id="3756" w:name="_Toc307584067"/>
      <w:bookmarkStart w:id="3757" w:name="_Toc307937341"/>
      <w:bookmarkStart w:id="3758" w:name="_Toc348508783"/>
      <w:bookmarkStart w:id="3759" w:name="_Toc362256794"/>
      <w:bookmarkStart w:id="3760" w:name="_Toc366056552"/>
      <w:bookmarkStart w:id="3761" w:name="_Toc366223754"/>
      <w:bookmarkStart w:id="3762" w:name="_Toc366229467"/>
      <w:bookmarkStart w:id="3763" w:name="_Toc366583510"/>
      <w:r w:rsidRPr="001C2E9C">
        <w:rPr>
          <w:szCs w:val="22"/>
        </w:rPr>
        <w:t>Provisionally Winning Bids</w:t>
      </w:r>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p>
    <w:p w:rsidR="000F3D3C" w:rsidRPr="001C2E9C" w:rsidRDefault="00607806" w:rsidP="00C07C81">
      <w:pPr>
        <w:pStyle w:val="ParaNum"/>
        <w:widowControl/>
        <w:tabs>
          <w:tab w:val="clear" w:pos="1260"/>
          <w:tab w:val="left" w:pos="1440"/>
        </w:tabs>
        <w:ind w:left="0"/>
        <w:rPr>
          <w:szCs w:val="22"/>
        </w:rPr>
      </w:pPr>
      <w:r w:rsidRPr="001C2E9C">
        <w:rPr>
          <w:szCs w:val="22"/>
        </w:rPr>
        <w:t xml:space="preserve">At the end of each bidding round, a “provisionally winning bid” will be determined based on </w:t>
      </w:r>
      <w:r w:rsidR="009C55D8">
        <w:t>highest bid amount received for each license</w:t>
      </w:r>
      <w:r w:rsidR="009175B2">
        <w:t xml:space="preserve">. </w:t>
      </w:r>
      <w:r w:rsidRPr="001C2E9C">
        <w:rPr>
          <w:szCs w:val="22"/>
        </w:rPr>
        <w:t xml:space="preserve"> </w:t>
      </w:r>
      <w:r w:rsidR="0069603D" w:rsidRPr="001C2E9C">
        <w:rPr>
          <w:szCs w:val="22"/>
        </w:rPr>
        <w:t xml:space="preserve">A provisionally winning bid will remain the provisionally winning bid until there is a higher bid on the </w:t>
      </w:r>
      <w:r w:rsidR="00F57AD2">
        <w:rPr>
          <w:szCs w:val="22"/>
        </w:rPr>
        <w:t>license</w:t>
      </w:r>
      <w:r w:rsidR="0069603D" w:rsidRPr="001C2E9C">
        <w:rPr>
          <w:szCs w:val="22"/>
        </w:rPr>
        <w:t xml:space="preserve"> at the close of a subsequent round.  </w:t>
      </w:r>
      <w:r w:rsidRPr="001C2E9C">
        <w:rPr>
          <w:szCs w:val="22"/>
        </w:rPr>
        <w:t>Provisionally winning bids at the end of the auction become the winning bids.  Bidders are reminded that provisionally winning bids count toward activity for purposes of the activity rule.</w:t>
      </w:r>
      <w:r w:rsidRPr="00CA6286">
        <w:rPr>
          <w:rStyle w:val="FootnoteReference"/>
          <w:szCs w:val="22"/>
        </w:rPr>
        <w:footnoteReference w:id="259"/>
      </w:r>
    </w:p>
    <w:p w:rsidR="00C95F5D" w:rsidRPr="00A93FF0" w:rsidRDefault="00607806" w:rsidP="00A93FF0">
      <w:pPr>
        <w:pStyle w:val="ParaNum"/>
        <w:widowControl/>
        <w:tabs>
          <w:tab w:val="clear" w:pos="1260"/>
          <w:tab w:val="left" w:pos="1440"/>
        </w:tabs>
        <w:ind w:left="0"/>
        <w:rPr>
          <w:szCs w:val="22"/>
        </w:rPr>
      </w:pPr>
      <w:r w:rsidRPr="009944E7">
        <w:rPr>
          <w:szCs w:val="22"/>
        </w:rPr>
        <w:t xml:space="preserve">In the </w:t>
      </w:r>
      <w:r w:rsidR="008B3F0F" w:rsidRPr="009944E7">
        <w:rPr>
          <w:i/>
          <w:szCs w:val="22"/>
        </w:rPr>
        <w:t>Auction</w:t>
      </w:r>
      <w:r w:rsidR="008B3F0F" w:rsidRPr="009944E7" w:rsidDel="008B3F0F">
        <w:rPr>
          <w:i/>
          <w:szCs w:val="22"/>
        </w:rPr>
        <w:t xml:space="preserve"> </w:t>
      </w:r>
      <w:r w:rsidR="00CC0081">
        <w:rPr>
          <w:i/>
          <w:szCs w:val="22"/>
        </w:rPr>
        <w:t>9</w:t>
      </w:r>
      <w:r w:rsidR="00E246D2">
        <w:rPr>
          <w:i/>
          <w:szCs w:val="22"/>
        </w:rPr>
        <w:t>6</w:t>
      </w:r>
      <w:r w:rsidR="0069603D" w:rsidRPr="009944E7">
        <w:rPr>
          <w:i/>
          <w:szCs w:val="22"/>
        </w:rPr>
        <w:t xml:space="preserve"> Comment</w:t>
      </w:r>
      <w:r w:rsidR="0069603D" w:rsidRPr="009944E7">
        <w:rPr>
          <w:szCs w:val="22"/>
        </w:rPr>
        <w:t xml:space="preserve"> </w:t>
      </w:r>
      <w:r w:rsidRPr="009944E7">
        <w:rPr>
          <w:i/>
          <w:szCs w:val="22"/>
        </w:rPr>
        <w:t>Public Notice</w:t>
      </w:r>
      <w:r w:rsidRPr="009944E7">
        <w:rPr>
          <w:szCs w:val="22"/>
        </w:rPr>
        <w:t xml:space="preserve">, the Bureau proposed to </w:t>
      </w:r>
      <w:r w:rsidR="0069603D" w:rsidRPr="009944E7">
        <w:rPr>
          <w:szCs w:val="22"/>
        </w:rPr>
        <w:t xml:space="preserve">use a random number generator to select a single provisionally winning bid in the event of identical high bid amounts being submitted on a </w:t>
      </w:r>
      <w:r w:rsidR="00F57AD2">
        <w:rPr>
          <w:szCs w:val="22"/>
        </w:rPr>
        <w:t>license</w:t>
      </w:r>
      <w:r w:rsidR="0069603D" w:rsidRPr="009944E7">
        <w:rPr>
          <w:szCs w:val="22"/>
        </w:rPr>
        <w:t xml:space="preserve"> in a given round (i.e., tied bids</w:t>
      </w:r>
      <w:r w:rsidR="0069603D" w:rsidRPr="00C15957">
        <w:rPr>
          <w:szCs w:val="22"/>
        </w:rPr>
        <w:t>)</w:t>
      </w:r>
      <w:r w:rsidR="000A695B" w:rsidRPr="00C15957">
        <w:rPr>
          <w:szCs w:val="22"/>
        </w:rPr>
        <w:t>.</w:t>
      </w:r>
      <w:r w:rsidRPr="00C15957">
        <w:rPr>
          <w:rStyle w:val="FootnoteReference"/>
          <w:szCs w:val="22"/>
        </w:rPr>
        <w:footnoteReference w:id="260"/>
      </w:r>
      <w:r w:rsidRPr="00C15957">
        <w:rPr>
          <w:szCs w:val="22"/>
        </w:rPr>
        <w:t xml:space="preserve"> </w:t>
      </w:r>
      <w:r w:rsidR="00A50864" w:rsidRPr="00C15957">
        <w:rPr>
          <w:szCs w:val="22"/>
        </w:rPr>
        <w:t xml:space="preserve"> </w:t>
      </w:r>
      <w:r w:rsidR="00A50864" w:rsidRPr="00A93FF0">
        <w:rPr>
          <w:szCs w:val="22"/>
        </w:rPr>
        <w:t xml:space="preserve">No </w:t>
      </w:r>
      <w:r w:rsidR="00474171">
        <w:rPr>
          <w:szCs w:val="22"/>
        </w:rPr>
        <w:t xml:space="preserve">specific </w:t>
      </w:r>
      <w:r w:rsidR="00A50864" w:rsidRPr="00A93FF0">
        <w:rPr>
          <w:szCs w:val="22"/>
        </w:rPr>
        <w:t>comments</w:t>
      </w:r>
      <w:r w:rsidR="00A50864" w:rsidRPr="009944E7">
        <w:rPr>
          <w:szCs w:val="22"/>
        </w:rPr>
        <w:t xml:space="preserve"> were received on this proposal.</w:t>
      </w:r>
      <w:r w:rsidR="00474171">
        <w:rPr>
          <w:rStyle w:val="FootnoteReference"/>
          <w:szCs w:val="22"/>
        </w:rPr>
        <w:footnoteReference w:id="261"/>
      </w:r>
      <w:r w:rsidRPr="009944E7">
        <w:rPr>
          <w:szCs w:val="22"/>
        </w:rPr>
        <w:t xml:space="preserve"> </w:t>
      </w:r>
      <w:r w:rsidR="00A50864" w:rsidRPr="009944E7">
        <w:rPr>
          <w:szCs w:val="22"/>
        </w:rPr>
        <w:t xml:space="preserve"> </w:t>
      </w:r>
      <w:r w:rsidR="00A93FF0" w:rsidRPr="00A93FF0">
        <w:rPr>
          <w:szCs w:val="22"/>
        </w:rPr>
        <w:t>Accordingly</w:t>
      </w:r>
      <w:r w:rsidRPr="00A93FF0">
        <w:rPr>
          <w:szCs w:val="22"/>
        </w:rPr>
        <w:t xml:space="preserve">, </w:t>
      </w:r>
      <w:r w:rsidR="00A93FF0" w:rsidRPr="00A93FF0">
        <w:rPr>
          <w:szCs w:val="22"/>
        </w:rPr>
        <w:t>we</w:t>
      </w:r>
      <w:r w:rsidRPr="00A93FF0">
        <w:rPr>
          <w:szCs w:val="22"/>
        </w:rPr>
        <w:t xml:space="preserve"> adopt</w:t>
      </w:r>
      <w:r w:rsidR="006C6298" w:rsidRPr="00A93FF0">
        <w:rPr>
          <w:szCs w:val="22"/>
        </w:rPr>
        <w:t xml:space="preserve"> the</w:t>
      </w:r>
      <w:r w:rsidRPr="00A93FF0">
        <w:rPr>
          <w:szCs w:val="22"/>
        </w:rPr>
        <w:t xml:space="preserve"> </w:t>
      </w:r>
      <w:r w:rsidR="00957760" w:rsidRPr="00A93FF0">
        <w:rPr>
          <w:szCs w:val="22"/>
        </w:rPr>
        <w:t xml:space="preserve">tied bids </w:t>
      </w:r>
      <w:r w:rsidRPr="00A93FF0">
        <w:rPr>
          <w:szCs w:val="22"/>
        </w:rPr>
        <w:t>proposal</w:t>
      </w:r>
      <w:r w:rsidR="006C6298" w:rsidRPr="00A93FF0">
        <w:rPr>
          <w:szCs w:val="22"/>
        </w:rPr>
        <w:t xml:space="preserve"> described above</w:t>
      </w:r>
      <w:r w:rsidRPr="00A93FF0">
        <w:rPr>
          <w:szCs w:val="22"/>
        </w:rPr>
        <w:t xml:space="preserve">.  </w:t>
      </w:r>
      <w:r w:rsidR="000A695B" w:rsidRPr="00A93FF0">
        <w:rPr>
          <w:szCs w:val="22"/>
        </w:rPr>
        <w:t xml:space="preserve">The FCC Auction System will assign a random number to each bid upon submission.  </w:t>
      </w:r>
      <w:r w:rsidR="00A50864" w:rsidRPr="00A93FF0">
        <w:rPr>
          <w:szCs w:val="22"/>
        </w:rPr>
        <w:t>The tied</w:t>
      </w:r>
      <w:r w:rsidR="000A695B" w:rsidRPr="00A93FF0">
        <w:rPr>
          <w:szCs w:val="22"/>
        </w:rPr>
        <w:t xml:space="preserve"> bid</w:t>
      </w:r>
      <w:r w:rsidR="00A50864" w:rsidRPr="00A93FF0">
        <w:rPr>
          <w:szCs w:val="22"/>
        </w:rPr>
        <w:t xml:space="preserve"> with the </w:t>
      </w:r>
      <w:r w:rsidR="000A695B" w:rsidRPr="00A93FF0">
        <w:rPr>
          <w:szCs w:val="22"/>
        </w:rPr>
        <w:t xml:space="preserve">highest </w:t>
      </w:r>
      <w:r w:rsidR="00A50864" w:rsidRPr="00A93FF0">
        <w:rPr>
          <w:szCs w:val="22"/>
        </w:rPr>
        <w:t xml:space="preserve">random </w:t>
      </w:r>
      <w:r w:rsidR="000A695B" w:rsidRPr="00A93FF0">
        <w:rPr>
          <w:szCs w:val="22"/>
        </w:rPr>
        <w:t>number</w:t>
      </w:r>
      <w:r w:rsidR="00A50864" w:rsidRPr="00A93FF0">
        <w:rPr>
          <w:szCs w:val="22"/>
        </w:rPr>
        <w:t xml:space="preserve"> wins the tiebreaker, and </w:t>
      </w:r>
      <w:r w:rsidR="000A695B" w:rsidRPr="00A93FF0">
        <w:rPr>
          <w:szCs w:val="22"/>
        </w:rPr>
        <w:t xml:space="preserve">becomes </w:t>
      </w:r>
      <w:r w:rsidR="00A50864" w:rsidRPr="00A93FF0">
        <w:rPr>
          <w:szCs w:val="22"/>
        </w:rPr>
        <w:t xml:space="preserve">the </w:t>
      </w:r>
      <w:r w:rsidR="000A695B" w:rsidRPr="00A93FF0">
        <w:rPr>
          <w:szCs w:val="22"/>
        </w:rPr>
        <w:t>provisionally winning</w:t>
      </w:r>
      <w:r w:rsidR="00A50864" w:rsidRPr="00A93FF0">
        <w:rPr>
          <w:szCs w:val="22"/>
        </w:rPr>
        <w:t xml:space="preserve"> bid</w:t>
      </w:r>
      <w:r w:rsidR="000A695B" w:rsidRPr="00A93FF0">
        <w:rPr>
          <w:szCs w:val="22"/>
        </w:rPr>
        <w:t>.  B</w:t>
      </w:r>
      <w:r w:rsidRPr="00A93FF0">
        <w:rPr>
          <w:szCs w:val="22"/>
        </w:rPr>
        <w:t xml:space="preserve">idders, </w:t>
      </w:r>
      <w:r w:rsidR="000A695B" w:rsidRPr="00A93FF0">
        <w:rPr>
          <w:szCs w:val="22"/>
        </w:rPr>
        <w:t xml:space="preserve">regardless of whether they hold a </w:t>
      </w:r>
      <w:r w:rsidRPr="00A93FF0">
        <w:rPr>
          <w:szCs w:val="22"/>
        </w:rPr>
        <w:t>provisionally winning bid, can submit higher bids in subsequent rounds.  However, if the auction were to end with no other bids being placed, the winning bidder would be the one that placed the provisionally winning bid.</w:t>
      </w:r>
    </w:p>
    <w:p w:rsidR="00607806" w:rsidRPr="00B15925" w:rsidRDefault="00C95F5D" w:rsidP="00C07C81">
      <w:pPr>
        <w:pStyle w:val="Heading3"/>
        <w:widowControl/>
        <w:rPr>
          <w:szCs w:val="22"/>
        </w:rPr>
      </w:pPr>
      <w:bookmarkStart w:id="3764" w:name="_Toc226958256"/>
      <w:bookmarkStart w:id="3765" w:name="_Toc227038316"/>
      <w:bookmarkStart w:id="3766" w:name="_Toc254792621"/>
      <w:bookmarkStart w:id="3767" w:name="_Toc256669745"/>
      <w:bookmarkStart w:id="3768" w:name="_Toc257213278"/>
      <w:bookmarkStart w:id="3769" w:name="_Toc257277780"/>
      <w:bookmarkStart w:id="3770" w:name="_Toc257278741"/>
      <w:bookmarkStart w:id="3771" w:name="_Toc257278951"/>
      <w:bookmarkStart w:id="3772" w:name="_Toc257279319"/>
      <w:bookmarkStart w:id="3773" w:name="_Toc257382963"/>
      <w:bookmarkStart w:id="3774" w:name="_Toc274056222"/>
      <w:bookmarkStart w:id="3775" w:name="_Toc276657628"/>
      <w:bookmarkStart w:id="3776" w:name="_Toc278366474"/>
      <w:bookmarkStart w:id="3777" w:name="_Toc307584068"/>
      <w:bookmarkStart w:id="3778" w:name="_Toc307937342"/>
      <w:bookmarkStart w:id="3779" w:name="_Toc348508784"/>
      <w:bookmarkStart w:id="3780" w:name="_Toc362256795"/>
      <w:bookmarkStart w:id="3781" w:name="_Toc366056553"/>
      <w:bookmarkStart w:id="3782" w:name="_Toc366223755"/>
      <w:bookmarkStart w:id="3783" w:name="_Toc366229468"/>
      <w:bookmarkStart w:id="3784" w:name="_Toc366583511"/>
      <w:r w:rsidRPr="00B15925">
        <w:rPr>
          <w:szCs w:val="22"/>
        </w:rPr>
        <w:t>Bidding</w:t>
      </w:r>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p w:rsidR="00607806" w:rsidRPr="001C2E9C" w:rsidRDefault="00607806" w:rsidP="00C07C81">
      <w:pPr>
        <w:pStyle w:val="ParaNum"/>
        <w:widowControl/>
        <w:tabs>
          <w:tab w:val="clear" w:pos="1260"/>
          <w:tab w:val="left" w:pos="1440"/>
        </w:tabs>
        <w:ind w:left="0"/>
        <w:rPr>
          <w:szCs w:val="22"/>
        </w:rPr>
      </w:pPr>
      <w:r w:rsidRPr="001C2E9C">
        <w:rPr>
          <w:szCs w:val="22"/>
        </w:rPr>
        <w:t xml:space="preserve">All bidding will take place remotely either through the FCC Auction System or by telephonic bidding.  There will be no on-site bidding during Auction </w:t>
      </w:r>
      <w:r w:rsidR="00CC0081">
        <w:rPr>
          <w:szCs w:val="22"/>
        </w:rPr>
        <w:t>9</w:t>
      </w:r>
      <w:r w:rsidR="00E246D2">
        <w:rPr>
          <w:szCs w:val="22"/>
        </w:rPr>
        <w:t>6</w:t>
      </w:r>
      <w:r w:rsidRPr="001C2E9C">
        <w:rPr>
          <w:szCs w:val="22"/>
        </w:rPr>
        <w:t xml:space="preserve">.  Please note that telephonic bid assistants are required to use a script when entering bids placed by telephone.  Telephonic bidders are therefore reminded to allow sufficient time to bid by placing their calls well in advance of the close of a round.  </w:t>
      </w:r>
      <w:r w:rsidR="00825CA2" w:rsidRPr="001C2E9C">
        <w:rPr>
          <w:szCs w:val="22"/>
        </w:rPr>
        <w:t xml:space="preserve">The length of a call to place a telephonic bid may vary; please allow a minimum of </w:t>
      </w:r>
      <w:r w:rsidRPr="001C2E9C">
        <w:rPr>
          <w:szCs w:val="22"/>
        </w:rPr>
        <w:t>ten minutes.</w:t>
      </w:r>
    </w:p>
    <w:p w:rsidR="00607806" w:rsidRPr="001C2E9C" w:rsidRDefault="00607806" w:rsidP="00C07C81">
      <w:pPr>
        <w:pStyle w:val="ParaNum"/>
        <w:widowControl/>
        <w:tabs>
          <w:tab w:val="clear" w:pos="1260"/>
          <w:tab w:val="left" w:pos="1440"/>
        </w:tabs>
        <w:ind w:left="0"/>
        <w:rPr>
          <w:szCs w:val="22"/>
        </w:rPr>
      </w:pPr>
      <w:r w:rsidRPr="001C2E9C">
        <w:rPr>
          <w:szCs w:val="22"/>
        </w:rPr>
        <w:t xml:space="preserve">A bidder’s ability to bid on specific </w:t>
      </w:r>
      <w:r w:rsidR="00F57AD2">
        <w:rPr>
          <w:szCs w:val="22"/>
        </w:rPr>
        <w:t>licenses</w:t>
      </w:r>
      <w:r w:rsidRPr="001C2E9C">
        <w:rPr>
          <w:szCs w:val="22"/>
        </w:rPr>
        <w:t xml:space="preserve"> is determined by two factors:  (1) the </w:t>
      </w:r>
      <w:r w:rsidR="00F57AD2">
        <w:rPr>
          <w:szCs w:val="22"/>
        </w:rPr>
        <w:t>licenses</w:t>
      </w:r>
      <w:r w:rsidRPr="001C2E9C">
        <w:rPr>
          <w:szCs w:val="22"/>
        </w:rPr>
        <w:t xml:space="preserve"> </w:t>
      </w:r>
      <w:r w:rsidR="005E3007">
        <w:rPr>
          <w:szCs w:val="22"/>
        </w:rPr>
        <w:t>selected on the bidder’s FCC Form 175</w:t>
      </w:r>
      <w:r w:rsidR="0085441E">
        <w:rPr>
          <w:szCs w:val="22"/>
        </w:rPr>
        <w:t xml:space="preserve"> </w:t>
      </w:r>
      <w:r w:rsidRPr="001C2E9C">
        <w:rPr>
          <w:szCs w:val="22"/>
        </w:rPr>
        <w:t xml:space="preserve">and (2) the bidder’s eligibility.  The bid submission screens will allow bidders to submit bids on only those </w:t>
      </w:r>
      <w:r w:rsidR="00F57AD2">
        <w:rPr>
          <w:szCs w:val="22"/>
        </w:rPr>
        <w:t>licenses</w:t>
      </w:r>
      <w:r w:rsidR="0085441E">
        <w:rPr>
          <w:szCs w:val="22"/>
        </w:rPr>
        <w:t xml:space="preserve"> </w:t>
      </w:r>
      <w:r w:rsidR="005E3007">
        <w:rPr>
          <w:szCs w:val="22"/>
        </w:rPr>
        <w:t>the bidder selected on its FCC Form 175</w:t>
      </w:r>
      <w:r w:rsidRPr="001C2E9C">
        <w:rPr>
          <w:szCs w:val="22"/>
        </w:rPr>
        <w:t>.</w:t>
      </w:r>
    </w:p>
    <w:p w:rsidR="00607806" w:rsidRPr="001C2E9C" w:rsidRDefault="00607806" w:rsidP="00C07C81">
      <w:pPr>
        <w:pStyle w:val="ParaNum"/>
        <w:widowControl/>
        <w:tabs>
          <w:tab w:val="clear" w:pos="1260"/>
          <w:tab w:val="left" w:pos="1440"/>
        </w:tabs>
        <w:ind w:left="0"/>
        <w:rPr>
          <w:szCs w:val="22"/>
        </w:rPr>
      </w:pPr>
      <w:r w:rsidRPr="001C2E9C">
        <w:rPr>
          <w:szCs w:val="22"/>
        </w:rPr>
        <w:t>In order to access the bidding function of the FCC Auction System, bidders must be logged in during the bidding round using the passcode generated by the SecurID</w:t>
      </w:r>
      <w:r w:rsidR="00224C0F" w:rsidRPr="00CA6286">
        <w:rPr>
          <w:szCs w:val="22"/>
          <w:vertAlign w:val="superscript"/>
        </w:rPr>
        <w:t>®</w:t>
      </w:r>
      <w:r w:rsidRPr="001C2E9C">
        <w:rPr>
          <w:szCs w:val="22"/>
        </w:rPr>
        <w:t xml:space="preserve"> </w:t>
      </w:r>
      <w:r w:rsidR="00825CA2" w:rsidRPr="001C2E9C">
        <w:rPr>
          <w:szCs w:val="22"/>
        </w:rPr>
        <w:t>token</w:t>
      </w:r>
      <w:r w:rsidRPr="001C2E9C">
        <w:rPr>
          <w:szCs w:val="22"/>
        </w:rPr>
        <w:t xml:space="preserve"> and a personal identification number (</w:t>
      </w:r>
      <w:r w:rsidR="007D6272">
        <w:rPr>
          <w:szCs w:val="22"/>
        </w:rPr>
        <w:t>“</w:t>
      </w:r>
      <w:r w:rsidRPr="001C2E9C">
        <w:rPr>
          <w:szCs w:val="22"/>
        </w:rPr>
        <w:t>PIN</w:t>
      </w:r>
      <w:r w:rsidR="007D6272">
        <w:rPr>
          <w:szCs w:val="22"/>
        </w:rPr>
        <w:t>”</w:t>
      </w:r>
      <w:r w:rsidRPr="001C2E9C">
        <w:rPr>
          <w:szCs w:val="22"/>
        </w:rPr>
        <w:t>) created by the bidder.  Bidders are strongly encouraged to print a “round summary” for each round after they have completed all of their activity for that round.</w:t>
      </w:r>
    </w:p>
    <w:p w:rsidR="00607806" w:rsidRPr="009944E7" w:rsidRDefault="00607806" w:rsidP="00C07C81">
      <w:pPr>
        <w:pStyle w:val="ParaNum"/>
        <w:widowControl/>
        <w:tabs>
          <w:tab w:val="clear" w:pos="1260"/>
          <w:tab w:val="left" w:pos="1440"/>
        </w:tabs>
        <w:ind w:left="0"/>
        <w:rPr>
          <w:szCs w:val="22"/>
        </w:rPr>
      </w:pPr>
      <w:r w:rsidRPr="009944E7">
        <w:rPr>
          <w:szCs w:val="22"/>
        </w:rPr>
        <w:t xml:space="preserve">In each round, eligible bidders will be able to place bids on a given </w:t>
      </w:r>
      <w:r w:rsidR="00F57AD2">
        <w:rPr>
          <w:szCs w:val="22"/>
        </w:rPr>
        <w:t>license</w:t>
      </w:r>
      <w:r w:rsidR="0010681D" w:rsidRPr="009944E7">
        <w:rPr>
          <w:szCs w:val="22"/>
        </w:rPr>
        <w:t xml:space="preserve"> </w:t>
      </w:r>
      <w:r w:rsidRPr="009944E7">
        <w:rPr>
          <w:szCs w:val="22"/>
        </w:rPr>
        <w:t xml:space="preserve">in </w:t>
      </w:r>
      <w:r w:rsidR="00E1507F">
        <w:rPr>
          <w:szCs w:val="22"/>
        </w:rPr>
        <w:t xml:space="preserve">any of up to </w:t>
      </w:r>
      <w:r w:rsidR="00C0420D" w:rsidRPr="00F249EC">
        <w:rPr>
          <w:szCs w:val="22"/>
        </w:rPr>
        <w:t>nine</w:t>
      </w:r>
      <w:r w:rsidR="00C0420D">
        <w:rPr>
          <w:szCs w:val="22"/>
        </w:rPr>
        <w:t xml:space="preserve"> </w:t>
      </w:r>
      <w:r w:rsidR="004171F1">
        <w:rPr>
          <w:szCs w:val="22"/>
        </w:rPr>
        <w:t xml:space="preserve">pre-defined </w:t>
      </w:r>
      <w:r w:rsidR="0010681D" w:rsidRPr="009944E7">
        <w:rPr>
          <w:szCs w:val="22"/>
        </w:rPr>
        <w:t>bid</w:t>
      </w:r>
      <w:r w:rsidRPr="009944E7">
        <w:rPr>
          <w:szCs w:val="22"/>
        </w:rPr>
        <w:t xml:space="preserve"> amounts.</w:t>
      </w:r>
      <w:r w:rsidRPr="009944E7">
        <w:rPr>
          <w:rStyle w:val="FootnoteReference"/>
          <w:szCs w:val="22"/>
        </w:rPr>
        <w:footnoteReference w:id="262"/>
      </w:r>
      <w:r w:rsidRPr="009944E7">
        <w:rPr>
          <w:szCs w:val="22"/>
        </w:rPr>
        <w:t xml:space="preserve">  For each </w:t>
      </w:r>
      <w:r w:rsidR="00F57AD2">
        <w:rPr>
          <w:szCs w:val="22"/>
        </w:rPr>
        <w:t>license</w:t>
      </w:r>
      <w:r w:rsidRPr="009944E7">
        <w:rPr>
          <w:szCs w:val="22"/>
        </w:rPr>
        <w:t>, the FCC Auction System will list the acceptable bid amounts in a drop-down box.</w:t>
      </w:r>
      <w:r w:rsidRPr="009944E7">
        <w:rPr>
          <w:rStyle w:val="FootnoteReference"/>
          <w:szCs w:val="22"/>
        </w:rPr>
        <w:footnoteReference w:id="263"/>
      </w:r>
      <w:r w:rsidRPr="009944E7">
        <w:rPr>
          <w:szCs w:val="22"/>
        </w:rPr>
        <w:t xml:space="preserve">  Bidders use the drop-down box to select from among the acceptable bid amounts.  The FCC Auction System also includes an “upload” function that allows text files containing bid information</w:t>
      </w:r>
      <w:r w:rsidR="00D90945">
        <w:rPr>
          <w:szCs w:val="22"/>
        </w:rPr>
        <w:t xml:space="preserve"> to be uploaded</w:t>
      </w:r>
      <w:r w:rsidRPr="009944E7">
        <w:rPr>
          <w:szCs w:val="22"/>
        </w:rPr>
        <w:t>.</w:t>
      </w:r>
    </w:p>
    <w:p w:rsidR="00607806" w:rsidRPr="006B5854" w:rsidRDefault="00607806" w:rsidP="00C07C81">
      <w:pPr>
        <w:pStyle w:val="ParaNum"/>
        <w:widowControl/>
        <w:tabs>
          <w:tab w:val="clear" w:pos="1260"/>
          <w:tab w:val="left" w:pos="1440"/>
        </w:tabs>
        <w:ind w:left="0"/>
        <w:rPr>
          <w:szCs w:val="22"/>
        </w:rPr>
      </w:pPr>
      <w:bookmarkStart w:id="3785" w:name="_Toc483218174"/>
      <w:r w:rsidRPr="001C2E9C">
        <w:rPr>
          <w:szCs w:val="22"/>
        </w:rPr>
        <w:t xml:space="preserve">Until a bid has been placed on a </w:t>
      </w:r>
      <w:r w:rsidR="00F57AD2">
        <w:rPr>
          <w:szCs w:val="22"/>
        </w:rPr>
        <w:t>license</w:t>
      </w:r>
      <w:r w:rsidRPr="001C2E9C">
        <w:rPr>
          <w:szCs w:val="22"/>
        </w:rPr>
        <w:t xml:space="preserve">, the minimum acceptable bid amount for that </w:t>
      </w:r>
      <w:r w:rsidR="00F57AD2">
        <w:rPr>
          <w:szCs w:val="22"/>
        </w:rPr>
        <w:t>license</w:t>
      </w:r>
      <w:r w:rsidRPr="001C2E9C">
        <w:rPr>
          <w:szCs w:val="22"/>
        </w:rPr>
        <w:t xml:space="preserve"> will be equal to its minimum opening bid amount.</w:t>
      </w:r>
      <w:r w:rsidR="007E2668" w:rsidRPr="001C2E9C">
        <w:rPr>
          <w:szCs w:val="22"/>
        </w:rPr>
        <w:t xml:space="preserve"> </w:t>
      </w:r>
      <w:r w:rsidRPr="001C2E9C">
        <w:rPr>
          <w:szCs w:val="22"/>
        </w:rPr>
        <w:t xml:space="preserve"> Once there are bids on a </w:t>
      </w:r>
      <w:r w:rsidR="00F57AD2">
        <w:rPr>
          <w:szCs w:val="22"/>
        </w:rPr>
        <w:t>license</w:t>
      </w:r>
      <w:r w:rsidRPr="001C2E9C">
        <w:rPr>
          <w:szCs w:val="22"/>
        </w:rPr>
        <w:t xml:space="preserve">, minimum </w:t>
      </w:r>
      <w:r w:rsidRPr="00183E39">
        <w:rPr>
          <w:szCs w:val="22"/>
        </w:rPr>
        <w:t xml:space="preserve">acceptable bids </w:t>
      </w:r>
      <w:r w:rsidR="00C0420D">
        <w:rPr>
          <w:szCs w:val="22"/>
        </w:rPr>
        <w:t xml:space="preserve">for the following round </w:t>
      </w:r>
      <w:r w:rsidRPr="00183E39">
        <w:rPr>
          <w:szCs w:val="22"/>
        </w:rPr>
        <w:t xml:space="preserve">will be determined as described </w:t>
      </w:r>
      <w:r w:rsidRPr="00576A76">
        <w:rPr>
          <w:szCs w:val="22"/>
        </w:rPr>
        <w:t xml:space="preserve">in </w:t>
      </w:r>
      <w:r w:rsidRPr="00A34F95">
        <w:rPr>
          <w:szCs w:val="22"/>
        </w:rPr>
        <w:t>Section IV.B.3</w:t>
      </w:r>
      <w:r w:rsidR="00183E39" w:rsidRPr="00A34F95">
        <w:rPr>
          <w:szCs w:val="22"/>
        </w:rPr>
        <w:t>, above</w:t>
      </w:r>
      <w:r w:rsidRPr="006B5854">
        <w:rPr>
          <w:szCs w:val="22"/>
        </w:rPr>
        <w:t>.</w:t>
      </w:r>
    </w:p>
    <w:p w:rsidR="00607806" w:rsidRDefault="005A1908" w:rsidP="00C07C81">
      <w:pPr>
        <w:pStyle w:val="ParaNum"/>
        <w:widowControl/>
        <w:tabs>
          <w:tab w:val="clear" w:pos="1260"/>
          <w:tab w:val="left" w:pos="1440"/>
        </w:tabs>
        <w:ind w:left="0"/>
        <w:rPr>
          <w:szCs w:val="22"/>
        </w:rPr>
      </w:pPr>
      <w:r w:rsidRPr="001C2E9C">
        <w:rPr>
          <w:szCs w:val="22"/>
        </w:rPr>
        <w:t>During a round, a</w:t>
      </w:r>
      <w:r w:rsidR="000A2B42" w:rsidRPr="001C2E9C">
        <w:rPr>
          <w:szCs w:val="22"/>
        </w:rPr>
        <w:t>n eligible</w:t>
      </w:r>
      <w:r w:rsidRPr="001C2E9C">
        <w:rPr>
          <w:szCs w:val="22"/>
        </w:rPr>
        <w:t xml:space="preserve"> bidder may submit bids for as many </w:t>
      </w:r>
      <w:r w:rsidR="00F57AD2">
        <w:rPr>
          <w:szCs w:val="22"/>
        </w:rPr>
        <w:t>licenses</w:t>
      </w:r>
      <w:r w:rsidRPr="001C2E9C">
        <w:rPr>
          <w:szCs w:val="22"/>
        </w:rPr>
        <w:t xml:space="preserve"> as it wishes </w:t>
      </w:r>
      <w:r w:rsidR="00C0420D">
        <w:rPr>
          <w:szCs w:val="22"/>
        </w:rPr>
        <w:t xml:space="preserve">(providing that it is eligible </w:t>
      </w:r>
      <w:r w:rsidR="00C0420D" w:rsidRPr="00DF7948">
        <w:rPr>
          <w:szCs w:val="22"/>
        </w:rPr>
        <w:t>to bid</w:t>
      </w:r>
      <w:r w:rsidR="00957760" w:rsidRPr="00DF7948">
        <w:rPr>
          <w:szCs w:val="22"/>
        </w:rPr>
        <w:t xml:space="preserve"> on the specific </w:t>
      </w:r>
      <w:r w:rsidR="00F57AD2">
        <w:rPr>
          <w:szCs w:val="22"/>
        </w:rPr>
        <w:t>license</w:t>
      </w:r>
      <w:r w:rsidR="00C0420D" w:rsidRPr="00DF7948">
        <w:rPr>
          <w:szCs w:val="22"/>
        </w:rPr>
        <w:t xml:space="preserve">), </w:t>
      </w:r>
      <w:r w:rsidRPr="00DF7948">
        <w:rPr>
          <w:szCs w:val="22"/>
        </w:rPr>
        <w:t>remove</w:t>
      </w:r>
      <w:r w:rsidRPr="001C2E9C">
        <w:rPr>
          <w:szCs w:val="22"/>
        </w:rPr>
        <w:t xml:space="preserve"> bids placed in the current bidding round, </w:t>
      </w:r>
      <w:r w:rsidR="00F57AD2" w:rsidRPr="00724DC5">
        <w:rPr>
          <w:szCs w:val="22"/>
        </w:rPr>
        <w:t>withdraw provisionally winning bids from previous rounds</w:t>
      </w:r>
      <w:r w:rsidR="00F57AD2">
        <w:rPr>
          <w:szCs w:val="22"/>
        </w:rPr>
        <w:t xml:space="preserve">, </w:t>
      </w:r>
      <w:r w:rsidRPr="001C2E9C">
        <w:rPr>
          <w:szCs w:val="22"/>
        </w:rPr>
        <w:t xml:space="preserve">or permanently reduce eligibility.  If </w:t>
      </w:r>
      <w:r w:rsidR="00AF4025">
        <w:rPr>
          <w:szCs w:val="22"/>
        </w:rPr>
        <w:t xml:space="preserve">a bidder submits </w:t>
      </w:r>
      <w:r w:rsidRPr="001C2E9C">
        <w:rPr>
          <w:szCs w:val="22"/>
        </w:rPr>
        <w:t xml:space="preserve">multiple bids for </w:t>
      </w:r>
      <w:r w:rsidR="00BE3A9E" w:rsidRPr="001C2E9C">
        <w:rPr>
          <w:szCs w:val="22"/>
        </w:rPr>
        <w:t xml:space="preserve">the same </w:t>
      </w:r>
      <w:r w:rsidR="00F57AD2">
        <w:rPr>
          <w:szCs w:val="22"/>
        </w:rPr>
        <w:t>license</w:t>
      </w:r>
      <w:r w:rsidRPr="001C2E9C">
        <w:rPr>
          <w:szCs w:val="22"/>
        </w:rPr>
        <w:t xml:space="preserve"> in the same round</w:t>
      </w:r>
      <w:r w:rsidR="00BE3A9E" w:rsidRPr="001C2E9C">
        <w:rPr>
          <w:szCs w:val="22"/>
        </w:rPr>
        <w:t xml:space="preserve">, </w:t>
      </w:r>
      <w:r w:rsidRPr="001C2E9C">
        <w:rPr>
          <w:szCs w:val="22"/>
        </w:rPr>
        <w:t xml:space="preserve">the system takes the last bid entered as that bidder’s bid for the round.  </w:t>
      </w:r>
      <w:r w:rsidR="00D90945">
        <w:rPr>
          <w:szCs w:val="22"/>
        </w:rPr>
        <w:t>B</w:t>
      </w:r>
      <w:r w:rsidRPr="001C2E9C">
        <w:rPr>
          <w:szCs w:val="22"/>
        </w:rPr>
        <w:t xml:space="preserve">idding units associated with </w:t>
      </w:r>
      <w:r w:rsidR="00F57AD2">
        <w:rPr>
          <w:szCs w:val="22"/>
        </w:rPr>
        <w:t>licenses</w:t>
      </w:r>
      <w:r w:rsidRPr="001C2E9C">
        <w:rPr>
          <w:szCs w:val="22"/>
        </w:rPr>
        <w:t xml:space="preserve"> for which the bidder has removed</w:t>
      </w:r>
      <w:r w:rsidR="002814E2">
        <w:rPr>
          <w:szCs w:val="22"/>
        </w:rPr>
        <w:t xml:space="preserve"> or </w:t>
      </w:r>
      <w:r w:rsidR="002814E2" w:rsidRPr="00724DC5">
        <w:rPr>
          <w:szCs w:val="22"/>
        </w:rPr>
        <w:t>withdrawn</w:t>
      </w:r>
      <w:r w:rsidRPr="00724DC5">
        <w:rPr>
          <w:szCs w:val="22"/>
        </w:rPr>
        <w:t xml:space="preserve"> bid</w:t>
      </w:r>
      <w:r w:rsidR="00C0420D" w:rsidRPr="00724DC5">
        <w:rPr>
          <w:szCs w:val="22"/>
        </w:rPr>
        <w:t>s</w:t>
      </w:r>
      <w:r w:rsidRPr="001C2E9C">
        <w:rPr>
          <w:szCs w:val="22"/>
        </w:rPr>
        <w:t xml:space="preserve"> do not count towards current activity.</w:t>
      </w:r>
    </w:p>
    <w:p w:rsidR="006F21B8" w:rsidRPr="001C2E9C" w:rsidRDefault="006F21B8" w:rsidP="00C07C81">
      <w:pPr>
        <w:pStyle w:val="ParaNum"/>
        <w:widowControl/>
        <w:tabs>
          <w:tab w:val="clear" w:pos="1260"/>
          <w:tab w:val="left" w:pos="1440"/>
        </w:tabs>
        <w:ind w:left="0"/>
        <w:rPr>
          <w:szCs w:val="22"/>
        </w:rPr>
      </w:pPr>
      <w:r>
        <w:rPr>
          <w:szCs w:val="22"/>
        </w:rPr>
        <w:t xml:space="preserve">Finally, bidders are cautioned to select their bid amounts carefully because, as explained below, bidders that </w:t>
      </w:r>
      <w:r w:rsidRPr="00724DC5">
        <w:rPr>
          <w:szCs w:val="22"/>
        </w:rPr>
        <w:t>withdraw a provisionally winning bid</w:t>
      </w:r>
      <w:r>
        <w:rPr>
          <w:szCs w:val="22"/>
        </w:rPr>
        <w:t xml:space="preserve"> from a previous round, even if the bid was mistakenly or erroneously made, are subject to bid </w:t>
      </w:r>
      <w:r w:rsidRPr="00724DC5">
        <w:rPr>
          <w:szCs w:val="22"/>
        </w:rPr>
        <w:t>withdrawal payments</w:t>
      </w:r>
      <w:r>
        <w:rPr>
          <w:szCs w:val="22"/>
        </w:rPr>
        <w:t>.</w:t>
      </w:r>
    </w:p>
    <w:p w:rsidR="00CB4E00" w:rsidRPr="001C2E9C" w:rsidRDefault="00607806" w:rsidP="00C07C81">
      <w:pPr>
        <w:pStyle w:val="Heading3"/>
        <w:widowControl/>
        <w:rPr>
          <w:szCs w:val="22"/>
        </w:rPr>
      </w:pPr>
      <w:bookmarkStart w:id="3786" w:name="_Toc109812274"/>
      <w:bookmarkStart w:id="3787" w:name="_Toc124844783"/>
      <w:bookmarkStart w:id="3788" w:name="_Toc124844911"/>
      <w:bookmarkStart w:id="3789" w:name="_Toc124845570"/>
      <w:bookmarkStart w:id="3790" w:name="_Toc124845838"/>
      <w:bookmarkStart w:id="3791" w:name="_Toc124845912"/>
      <w:bookmarkStart w:id="3792" w:name="_Toc124845986"/>
      <w:bookmarkStart w:id="3793" w:name="_Toc124846158"/>
      <w:bookmarkStart w:id="3794" w:name="_Toc124848281"/>
      <w:bookmarkStart w:id="3795" w:name="_Toc124907532"/>
      <w:bookmarkStart w:id="3796" w:name="_Toc129773501"/>
      <w:bookmarkStart w:id="3797" w:name="_Toc130210039"/>
      <w:bookmarkStart w:id="3798" w:name="_Toc130730966"/>
      <w:bookmarkStart w:id="3799" w:name="_Toc130814194"/>
      <w:bookmarkStart w:id="3800" w:name="_Toc130814516"/>
      <w:bookmarkStart w:id="3801" w:name="_Toc130814648"/>
      <w:bookmarkStart w:id="3802" w:name="_Toc130883531"/>
      <w:bookmarkStart w:id="3803" w:name="_Toc130885641"/>
      <w:bookmarkStart w:id="3804" w:name="_Toc131844620"/>
      <w:bookmarkStart w:id="3805" w:name="_Toc148330557"/>
      <w:bookmarkStart w:id="3806" w:name="_Toc148336324"/>
      <w:bookmarkStart w:id="3807" w:name="_Toc148337765"/>
      <w:bookmarkStart w:id="3808" w:name="_Toc148338088"/>
      <w:bookmarkStart w:id="3809" w:name="_Toc148339798"/>
      <w:bookmarkStart w:id="3810" w:name="_Toc148339895"/>
      <w:bookmarkStart w:id="3811" w:name="_Toc149645605"/>
      <w:bookmarkStart w:id="3812" w:name="_Toc149997908"/>
      <w:bookmarkStart w:id="3813" w:name="_Toc158180783"/>
      <w:bookmarkStart w:id="3814" w:name="_Toc158785631"/>
      <w:bookmarkStart w:id="3815" w:name="_Toc178768536"/>
      <w:bookmarkStart w:id="3816" w:name="_Toc179195977"/>
      <w:bookmarkStart w:id="3817" w:name="_Toc179361921"/>
      <w:bookmarkStart w:id="3818" w:name="_Toc179363705"/>
      <w:bookmarkStart w:id="3819" w:name="_Toc197504963"/>
      <w:bookmarkStart w:id="3820" w:name="_Toc198007744"/>
      <w:bookmarkStart w:id="3821" w:name="_Toc198007895"/>
      <w:bookmarkStart w:id="3822" w:name="_Toc198008247"/>
      <w:bookmarkStart w:id="3823" w:name="_Toc198008384"/>
      <w:bookmarkStart w:id="3824" w:name="_Toc198008931"/>
      <w:bookmarkStart w:id="3825" w:name="_Toc198369827"/>
      <w:bookmarkStart w:id="3826" w:name="_Toc198369964"/>
      <w:bookmarkStart w:id="3827" w:name="_Toc198372876"/>
      <w:bookmarkStart w:id="3828" w:name="_Toc198372979"/>
      <w:bookmarkStart w:id="3829" w:name="_Toc198373107"/>
      <w:bookmarkStart w:id="3830" w:name="_Toc198373277"/>
      <w:bookmarkStart w:id="3831" w:name="_Toc198627194"/>
      <w:bookmarkStart w:id="3832" w:name="_Toc198627300"/>
      <w:bookmarkStart w:id="3833" w:name="_Toc216090751"/>
      <w:bookmarkStart w:id="3834" w:name="_Toc226958257"/>
      <w:bookmarkStart w:id="3835" w:name="_Toc227038317"/>
      <w:bookmarkStart w:id="3836" w:name="_Toc254792622"/>
      <w:bookmarkStart w:id="3837" w:name="_Toc256669746"/>
      <w:bookmarkStart w:id="3838" w:name="_Toc257213279"/>
      <w:bookmarkStart w:id="3839" w:name="_Toc257277781"/>
      <w:bookmarkStart w:id="3840" w:name="_Toc257278742"/>
      <w:bookmarkStart w:id="3841" w:name="_Toc257278952"/>
      <w:bookmarkStart w:id="3842" w:name="_Toc257279320"/>
      <w:bookmarkStart w:id="3843" w:name="_Toc257382964"/>
      <w:bookmarkStart w:id="3844" w:name="_Toc274056223"/>
      <w:bookmarkStart w:id="3845" w:name="_Toc276657629"/>
      <w:bookmarkStart w:id="3846" w:name="_Toc278366475"/>
      <w:bookmarkStart w:id="3847" w:name="_Toc307584069"/>
      <w:bookmarkStart w:id="3848" w:name="_Toc307937343"/>
      <w:bookmarkStart w:id="3849" w:name="_Toc348508785"/>
      <w:bookmarkStart w:id="3850" w:name="_Toc362256796"/>
      <w:bookmarkStart w:id="3851" w:name="_Toc366056554"/>
      <w:bookmarkStart w:id="3852" w:name="_Toc366223756"/>
      <w:bookmarkStart w:id="3853" w:name="_Toc366229469"/>
      <w:bookmarkStart w:id="3854" w:name="_Toc366583512"/>
      <w:r w:rsidRPr="001C2E9C">
        <w:rPr>
          <w:szCs w:val="22"/>
        </w:rPr>
        <w:t>Bid Removal</w:t>
      </w:r>
      <w:r w:rsidR="00057976" w:rsidRPr="001C2E9C">
        <w:rPr>
          <w:szCs w:val="22"/>
        </w:rPr>
        <w:t xml:space="preserve"> and</w:t>
      </w:r>
      <w:r w:rsidRPr="001C2E9C">
        <w:rPr>
          <w:szCs w:val="22"/>
        </w:rPr>
        <w:t xml:space="preserve"> Bid Withdrawal</w:t>
      </w:r>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p>
    <w:p w:rsidR="002270F5" w:rsidRPr="009F56B4" w:rsidRDefault="00B5528C" w:rsidP="009F56B4">
      <w:pPr>
        <w:pStyle w:val="ParaNum"/>
        <w:widowControl/>
        <w:tabs>
          <w:tab w:val="clear" w:pos="1260"/>
          <w:tab w:val="num" w:pos="1440"/>
        </w:tabs>
        <w:ind w:left="0"/>
        <w:rPr>
          <w:szCs w:val="22"/>
        </w:rPr>
      </w:pPr>
      <w:bookmarkStart w:id="3855" w:name="_Toc109812275"/>
      <w:bookmarkStart w:id="3856" w:name="_Toc124844784"/>
      <w:bookmarkStart w:id="3857" w:name="_Toc124844912"/>
      <w:bookmarkStart w:id="3858" w:name="_Toc124845571"/>
      <w:bookmarkStart w:id="3859" w:name="_Toc124845839"/>
      <w:bookmarkStart w:id="3860" w:name="_Toc124845913"/>
      <w:bookmarkStart w:id="3861" w:name="_Toc124845987"/>
      <w:bookmarkStart w:id="3862" w:name="_Toc124846159"/>
      <w:bookmarkStart w:id="3863" w:name="_Toc124848282"/>
      <w:bookmarkStart w:id="3864" w:name="_Toc124907533"/>
      <w:r>
        <w:rPr>
          <w:szCs w:val="22"/>
        </w:rPr>
        <w:t xml:space="preserve">In the </w:t>
      </w:r>
      <w:r>
        <w:rPr>
          <w:i/>
          <w:szCs w:val="22"/>
        </w:rPr>
        <w:t>Auction 9</w:t>
      </w:r>
      <w:r w:rsidR="00E246D2">
        <w:rPr>
          <w:i/>
          <w:szCs w:val="22"/>
        </w:rPr>
        <w:t>6</w:t>
      </w:r>
      <w:r>
        <w:rPr>
          <w:i/>
          <w:szCs w:val="22"/>
        </w:rPr>
        <w:t xml:space="preserve"> Comment Public Notice</w:t>
      </w:r>
      <w:r>
        <w:rPr>
          <w:szCs w:val="22"/>
        </w:rPr>
        <w:t>, the Bureau proposed bid removal and bid withdrawal procedures.</w:t>
      </w:r>
      <w:r>
        <w:rPr>
          <w:rStyle w:val="FootnoteReference"/>
          <w:szCs w:val="22"/>
        </w:rPr>
        <w:footnoteReference w:id="264"/>
      </w:r>
      <w:r>
        <w:rPr>
          <w:szCs w:val="22"/>
        </w:rPr>
        <w:t xml:space="preserve">  The Bureau sought comment on permitting a bidder to remove a bid before the close of the round in which the bid was placed.  With respect to bid withdrawals, the Bureau proposed</w:t>
      </w:r>
      <w:r w:rsidR="002270F5" w:rsidRPr="0064234E">
        <w:t xml:space="preserve"> not to permit any bids, provisionally winning or otherwise, to be dropped or withdrawn from consideration in Auction 96</w:t>
      </w:r>
      <w:r w:rsidR="002270F5">
        <w:t xml:space="preserve"> </w:t>
      </w:r>
      <w:r w:rsidR="006002A0">
        <w:t xml:space="preserve">if the </w:t>
      </w:r>
      <w:r w:rsidR="002270F5">
        <w:t xml:space="preserve">SMR with HPB </w:t>
      </w:r>
      <w:r w:rsidR="006002A0">
        <w:t>format is used</w:t>
      </w:r>
      <w:r w:rsidR="002270F5" w:rsidRPr="0064234E">
        <w:t>.</w:t>
      </w:r>
      <w:r w:rsidR="009F56B4">
        <w:rPr>
          <w:rStyle w:val="FootnoteReference"/>
        </w:rPr>
        <w:footnoteReference w:id="265"/>
      </w:r>
      <w:r w:rsidR="006160C3">
        <w:t xml:space="preserve">  </w:t>
      </w:r>
      <w:r w:rsidR="009F56B4">
        <w:t xml:space="preserve">We noted in the </w:t>
      </w:r>
      <w:r w:rsidR="009F56B4">
        <w:rPr>
          <w:i/>
          <w:szCs w:val="22"/>
        </w:rPr>
        <w:t>Auction 96 Comment Public Notice</w:t>
      </w:r>
      <w:r w:rsidR="009F56B4">
        <w:t xml:space="preserve"> that t</w:t>
      </w:r>
      <w:r w:rsidR="002270F5" w:rsidRPr="0064234E">
        <w:t>he benefits that bidders may realize from withdrawing bids in a typical SMR auction are minimized under the proposed package bidding format.  In addition, in an SMR auction with package bidding</w:t>
      </w:r>
      <w:r w:rsidR="009F56B4">
        <w:t>,</w:t>
      </w:r>
      <w:r w:rsidR="002270F5" w:rsidRPr="0064234E">
        <w:t xml:space="preserve"> there are significant risks associated with bid withdrawals that are not present in an SMR auction without package bidding.  In the </w:t>
      </w:r>
      <w:r w:rsidR="002270F5" w:rsidRPr="009F56B4">
        <w:rPr>
          <w:i/>
          <w:iCs/>
        </w:rPr>
        <w:t>Part 1 Third Report and Order</w:t>
      </w:r>
      <w:r w:rsidR="002270F5" w:rsidRPr="0064234E">
        <w:t>, the Commission explained that under its typical SMR auction format without package bidding, allowing bid withdrawals facilitates efficient aggregation of licenses and the pursuit of backup strategies as information becomes available during the course of an auction.</w:t>
      </w:r>
      <w:r w:rsidR="002270F5" w:rsidRPr="0064234E">
        <w:rPr>
          <w:rStyle w:val="FootnoteReference"/>
        </w:rPr>
        <w:footnoteReference w:id="266"/>
      </w:r>
      <w:r w:rsidR="002270F5" w:rsidRPr="0064234E">
        <w:t xml:space="preserve">  The Commission noted, however, that in some instances bidders may seek to withdraw bids for improper reasons.  The Bureau, therefore, has discretion in managing the auction to limit the number of withdrawals to prevent any bidding abuses.</w:t>
      </w:r>
      <w:r w:rsidR="00960DBB">
        <w:rPr>
          <w:rStyle w:val="FootnoteReference"/>
          <w:color w:val="000000"/>
        </w:rPr>
        <w:footnoteReference w:id="267"/>
      </w:r>
    </w:p>
    <w:p w:rsidR="00B5528C" w:rsidRPr="00020D3E" w:rsidRDefault="00B5528C" w:rsidP="00020D3E">
      <w:pPr>
        <w:pStyle w:val="ParaNum"/>
        <w:widowControl/>
        <w:tabs>
          <w:tab w:val="clear" w:pos="1260"/>
          <w:tab w:val="left" w:pos="1440"/>
        </w:tabs>
        <w:ind w:left="0"/>
        <w:rPr>
          <w:szCs w:val="22"/>
        </w:rPr>
      </w:pPr>
      <w:r w:rsidRPr="00020D3E">
        <w:rPr>
          <w:szCs w:val="22"/>
          <w:u w:val="single"/>
        </w:rPr>
        <w:t>Bid Removal</w:t>
      </w:r>
      <w:r w:rsidRPr="00020D3E">
        <w:rPr>
          <w:szCs w:val="22"/>
        </w:rPr>
        <w:t xml:space="preserve">.  </w:t>
      </w:r>
      <w:r w:rsidR="00020D3E" w:rsidRPr="00020D3E">
        <w:rPr>
          <w:szCs w:val="22"/>
        </w:rPr>
        <w:t>The Bureau received no specific comment on its proposed bid removal procedures, and therefore adopts these procedures for Auction 96.</w:t>
      </w:r>
      <w:r w:rsidR="00020D3E">
        <w:rPr>
          <w:rStyle w:val="FootnoteReference"/>
          <w:szCs w:val="22"/>
        </w:rPr>
        <w:footnoteReference w:id="268"/>
      </w:r>
      <w:r w:rsidR="00020D3E" w:rsidRPr="00020D3E">
        <w:rPr>
          <w:szCs w:val="22"/>
        </w:rPr>
        <w:t xml:space="preserve">  </w:t>
      </w:r>
      <w:r w:rsidRPr="00020D3E">
        <w:rPr>
          <w:szCs w:val="22"/>
        </w:rPr>
        <w:t>Before the close of a bidding round, a bidder has the option of removing any bids placed in that round.  By using the “remove bids” function in the FCC Auction System, a bidder may effectively “undo” any bid placed within that round.  A bidder removing a bid placed in the same round is not subject to withdrawal payments.  If a bid is placed on a license during a round, it will count towards the activity for that round, but when that bid is then removed during the same round it was placed, the activity associated with it is also removed, i.e., a bid that is removed does not count toward bidding activity.</w:t>
      </w:r>
    </w:p>
    <w:p w:rsidR="00020D3E" w:rsidRPr="00F249EC" w:rsidRDefault="00B5528C" w:rsidP="00C521F8">
      <w:pPr>
        <w:pStyle w:val="ParaNum"/>
        <w:widowControl/>
        <w:tabs>
          <w:tab w:val="clear" w:pos="1260"/>
          <w:tab w:val="left" w:pos="1440"/>
        </w:tabs>
        <w:ind w:left="0"/>
        <w:rPr>
          <w:szCs w:val="22"/>
        </w:rPr>
      </w:pPr>
      <w:r w:rsidRPr="00724DC5">
        <w:rPr>
          <w:szCs w:val="22"/>
          <w:u w:val="single"/>
        </w:rPr>
        <w:t>Bid Withdrawal</w:t>
      </w:r>
      <w:r w:rsidRPr="00724DC5">
        <w:rPr>
          <w:i/>
          <w:szCs w:val="22"/>
        </w:rPr>
        <w:t xml:space="preserve">. </w:t>
      </w:r>
      <w:r w:rsidR="00020D3E" w:rsidRPr="00020D3E">
        <w:rPr>
          <w:rFonts w:cstheme="minorHAnsi"/>
          <w:color w:val="000000"/>
        </w:rPr>
        <w:t xml:space="preserve">RDL, the only party that commented on our proposed bid withdrawal procedures, supports </w:t>
      </w:r>
      <w:r w:rsidR="00020D3E" w:rsidRPr="00835388">
        <w:rPr>
          <w:rFonts w:cstheme="minorHAnsi"/>
          <w:color w:val="000000"/>
        </w:rPr>
        <w:t>providing participants with unlimited bid withdrawal rights, particularly if the SMR-HPB format is used</w:t>
      </w:r>
      <w:r w:rsidR="00020D3E">
        <w:t>.</w:t>
      </w:r>
      <w:r w:rsidR="00020D3E">
        <w:rPr>
          <w:rStyle w:val="FootnoteReference"/>
        </w:rPr>
        <w:footnoteReference w:id="269"/>
      </w:r>
      <w:r w:rsidR="00020D3E">
        <w:t xml:space="preserve">  In light of our decision to use a standard SMR format without HPB for Auction 96, we will permit </w:t>
      </w:r>
      <w:r w:rsidR="00020D3E" w:rsidRPr="00020D3E">
        <w:rPr>
          <w:szCs w:val="22"/>
        </w:rPr>
        <w:t>bid withdrawals as d</w:t>
      </w:r>
      <w:r w:rsidR="00020D3E" w:rsidRPr="00835388">
        <w:rPr>
          <w:szCs w:val="22"/>
        </w:rPr>
        <w:t>escribed below, consistent with our practice in recent wireless spectrum auctions</w:t>
      </w:r>
      <w:r w:rsidR="009F4B33">
        <w:rPr>
          <w:szCs w:val="22"/>
        </w:rPr>
        <w:t>.</w:t>
      </w:r>
    </w:p>
    <w:p w:rsidR="00C521F8" w:rsidRPr="00B91CCC" w:rsidRDefault="00B5528C" w:rsidP="00C521F8">
      <w:pPr>
        <w:pStyle w:val="ParaNum"/>
        <w:widowControl/>
        <w:tabs>
          <w:tab w:val="clear" w:pos="1260"/>
          <w:tab w:val="left" w:pos="1440"/>
        </w:tabs>
        <w:ind w:left="0"/>
        <w:rPr>
          <w:szCs w:val="22"/>
        </w:rPr>
      </w:pPr>
      <w:r w:rsidRPr="00724DC5">
        <w:rPr>
          <w:szCs w:val="22"/>
        </w:rPr>
        <w:t xml:space="preserve">Once a round closes, a bidder may no longer remove a bid.  However, in a later round, a bidder may withdraw provisionally winning bids from previous rounds using the “withdraw bids” function in the FCC Auction System.  </w:t>
      </w:r>
      <w:r w:rsidR="00B91CCC" w:rsidRPr="00C521F8">
        <w:rPr>
          <w:color w:val="000000"/>
        </w:rPr>
        <w:t>Each bidder is limited to withdrawing provisionally winning bids in only one round during the course of the auction.</w:t>
      </w:r>
      <w:r w:rsidR="00B91CCC">
        <w:rPr>
          <w:color w:val="000000"/>
        </w:rPr>
        <w:t xml:space="preserve">  </w:t>
      </w:r>
      <w:r w:rsidR="00C521F8" w:rsidRPr="00C521F8">
        <w:rPr>
          <w:color w:val="000000"/>
        </w:rPr>
        <w:t xml:space="preserve">The round in which </w:t>
      </w:r>
      <w:r w:rsidR="00BD21DF">
        <w:rPr>
          <w:color w:val="000000"/>
        </w:rPr>
        <w:t>a bidder may withdraw bids</w:t>
      </w:r>
      <w:r w:rsidR="00C521F8" w:rsidRPr="00C521F8">
        <w:rPr>
          <w:color w:val="000000"/>
        </w:rPr>
        <w:t xml:space="preserve"> will be at the bidder’s discretion, and there is no limit on the number of provisionally winning bids that may be withdrawn during that round.  </w:t>
      </w:r>
      <w:r w:rsidRPr="00724DC5">
        <w:rPr>
          <w:szCs w:val="22"/>
        </w:rPr>
        <w:t>A provisionally winning bidder that withdraws its provisionally winning bid from a previous round during the auction is subject to the bid withdrawal payments specified in section 1.2104(g).</w:t>
      </w:r>
      <w:r w:rsidRPr="00724DC5">
        <w:rPr>
          <w:rStyle w:val="FootnoteReference"/>
          <w:szCs w:val="22"/>
        </w:rPr>
        <w:footnoteReference w:id="270"/>
      </w:r>
      <w:r w:rsidRPr="00724DC5">
        <w:rPr>
          <w:szCs w:val="22"/>
        </w:rPr>
        <w:t xml:space="preserve">  Once a bid withdrawal is submitted during a round, that withdrawal cannot be unsubmitted even if the round has not yet ended.</w:t>
      </w:r>
    </w:p>
    <w:p w:rsidR="00B5528C" w:rsidRPr="00724DC5" w:rsidRDefault="00B5528C" w:rsidP="00C521F8">
      <w:pPr>
        <w:pStyle w:val="ParaNum"/>
        <w:widowControl/>
        <w:tabs>
          <w:tab w:val="clear" w:pos="1260"/>
          <w:tab w:val="left" w:pos="1440"/>
        </w:tabs>
        <w:ind w:left="0"/>
        <w:rPr>
          <w:szCs w:val="22"/>
        </w:rPr>
      </w:pPr>
      <w:r w:rsidRPr="00724DC5">
        <w:rPr>
          <w:szCs w:val="22"/>
        </w:rPr>
        <w:t>If a provisionally winning bid is withdrawn, the minimum acceptable bid amount will equal the amount of the second highest bid received for the license, which may be less than, or in the case of tied bids, equal to, the amount of the withdrawn bid.</w:t>
      </w:r>
      <w:r w:rsidRPr="00724DC5">
        <w:rPr>
          <w:rStyle w:val="FootnoteReference"/>
          <w:szCs w:val="22"/>
        </w:rPr>
        <w:footnoteReference w:id="271"/>
      </w:r>
      <w:r w:rsidRPr="00724DC5">
        <w:rPr>
          <w:szCs w:val="22"/>
        </w:rPr>
        <w:t xml:space="preserve">  The Commission will serve as a placeholder provisionally winning bidder on the license until a new bid is submitted on that license.</w:t>
      </w:r>
    </w:p>
    <w:p w:rsidR="00B5528C" w:rsidRPr="00724DC5" w:rsidRDefault="00B5528C" w:rsidP="00C07C81">
      <w:pPr>
        <w:pStyle w:val="ParaNum"/>
        <w:widowControl/>
        <w:tabs>
          <w:tab w:val="clear" w:pos="1260"/>
          <w:tab w:val="left" w:pos="1440"/>
        </w:tabs>
        <w:ind w:left="0"/>
        <w:rPr>
          <w:szCs w:val="22"/>
        </w:rPr>
      </w:pPr>
      <w:r w:rsidRPr="00724DC5">
        <w:rPr>
          <w:szCs w:val="22"/>
          <w:u w:val="single"/>
        </w:rPr>
        <w:t>Calculation of Bid Withdrawal Payment</w:t>
      </w:r>
      <w:r w:rsidRPr="00724DC5">
        <w:rPr>
          <w:i/>
          <w:szCs w:val="22"/>
        </w:rPr>
        <w:t>.</w:t>
      </w:r>
      <w:r w:rsidRPr="00724DC5">
        <w:rPr>
          <w:szCs w:val="22"/>
        </w:rPr>
        <w:t xml:space="preserve">  Generally, the Commission imposes payments on bidders that withdraw provisionally winning bids during the course of an auction.</w:t>
      </w:r>
      <w:r w:rsidRPr="00724DC5">
        <w:rPr>
          <w:rStyle w:val="FootnoteReference"/>
          <w:szCs w:val="22"/>
        </w:rPr>
        <w:footnoteReference w:id="272"/>
      </w:r>
      <w:r w:rsidRPr="00724DC5">
        <w:rPr>
          <w:szCs w:val="22"/>
        </w:rPr>
        <w:t xml:space="preserve">  If a bidder withdraws its bid and there is no higher bid in the same or subsequent auction(s), the bidder that withdrew its bid is responsible for the difference between its withdrawn bid and the winning bid in the same or subsequent auction(s).</w:t>
      </w:r>
      <w:r w:rsidRPr="00724DC5">
        <w:rPr>
          <w:rStyle w:val="FootnoteReference"/>
          <w:szCs w:val="22"/>
        </w:rPr>
        <w:footnoteReference w:id="273"/>
      </w:r>
      <w:r w:rsidRPr="00724DC5">
        <w:rPr>
          <w:szCs w:val="22"/>
        </w:rPr>
        <w:t xml:space="preserve">  If there are multiple bid withdrawals on a single license and no subsequent higher bid is placed and/or the license is not won in the same auction, the payment for each bid withdrawal will be calculated based on the sequence of bid withdrawals and the amounts withdrawn.  No withdrawal payment will be assessed for a withdrawn bid if either the subsequent winning bid or any subsequent intervening withdrawn bid, in either the same or subsequent auction(s), equals or exceeds that withdrawn bid.  Thus, a bidder that withdraws a bid will not be responsible for any final withdrawal payment if there is a subsequent higher bid in the same or subsequent auction(s).</w:t>
      </w:r>
      <w:r w:rsidRPr="00724DC5">
        <w:rPr>
          <w:rStyle w:val="FootnoteReference"/>
          <w:szCs w:val="22"/>
        </w:rPr>
        <w:footnoteReference w:id="274"/>
      </w:r>
    </w:p>
    <w:p w:rsidR="00B5528C" w:rsidRPr="00724DC5" w:rsidRDefault="00B5528C" w:rsidP="00C07C81">
      <w:pPr>
        <w:pStyle w:val="ParaNum"/>
        <w:widowControl/>
        <w:tabs>
          <w:tab w:val="clear" w:pos="1260"/>
          <w:tab w:val="left" w:pos="1440"/>
        </w:tabs>
        <w:ind w:left="0"/>
        <w:rPr>
          <w:szCs w:val="22"/>
        </w:rPr>
      </w:pPr>
      <w:r w:rsidRPr="00724DC5">
        <w:rPr>
          <w:szCs w:val="22"/>
        </w:rPr>
        <w:t>Section 1.2104(g)(1) of the rules sets forth the payment obligations of a bidder that withdraws a provisionally winning bid on a license during the course of an auction, and provides for the assessment of interim bid withdrawal payments.</w:t>
      </w:r>
      <w:r w:rsidRPr="00724DC5">
        <w:rPr>
          <w:rStyle w:val="FootnoteReference"/>
          <w:szCs w:val="22"/>
        </w:rPr>
        <w:footnoteReference w:id="275"/>
      </w:r>
      <w:r w:rsidRPr="00724DC5">
        <w:rPr>
          <w:szCs w:val="22"/>
        </w:rPr>
        <w:t xml:space="preserve">  In the </w:t>
      </w:r>
      <w:r w:rsidRPr="00724DC5">
        <w:rPr>
          <w:i/>
          <w:szCs w:val="22"/>
        </w:rPr>
        <w:t>Auction 9</w:t>
      </w:r>
      <w:r w:rsidR="00E246D2" w:rsidRPr="00724DC5">
        <w:rPr>
          <w:i/>
          <w:szCs w:val="22"/>
        </w:rPr>
        <w:t>6</w:t>
      </w:r>
      <w:r w:rsidRPr="00724DC5">
        <w:rPr>
          <w:i/>
          <w:szCs w:val="22"/>
        </w:rPr>
        <w:t xml:space="preserve"> Comment Public Notice</w:t>
      </w:r>
      <w:r w:rsidRPr="00724DC5">
        <w:rPr>
          <w:szCs w:val="22"/>
        </w:rPr>
        <w:t xml:space="preserve">, </w:t>
      </w:r>
      <w:r w:rsidR="00EA4594">
        <w:rPr>
          <w:szCs w:val="22"/>
        </w:rPr>
        <w:t xml:space="preserve">the </w:t>
      </w:r>
      <w:r w:rsidR="00EA4594" w:rsidRPr="0064234E">
        <w:t>Bureau s</w:t>
      </w:r>
      <w:r w:rsidR="00EA4594">
        <w:t>ought</w:t>
      </w:r>
      <w:r w:rsidR="00EA4594" w:rsidRPr="0064234E">
        <w:t xml:space="preserve"> comment</w:t>
      </w:r>
      <w:r w:rsidR="00EA4594">
        <w:t xml:space="preserve"> </w:t>
      </w:r>
      <w:r w:rsidR="00EA4594" w:rsidRPr="0064234E">
        <w:t xml:space="preserve">on the appropriate interim withdrawal payment percentage to apply if </w:t>
      </w:r>
      <w:r w:rsidR="00AF4025">
        <w:t xml:space="preserve">it </w:t>
      </w:r>
      <w:r w:rsidR="00EA4594">
        <w:t xml:space="preserve">were to permit </w:t>
      </w:r>
      <w:r w:rsidR="00EA4594" w:rsidRPr="0064234E">
        <w:t>withdrawals under procedures for an SMR auction without package bidding for Auction 96.</w:t>
      </w:r>
      <w:r w:rsidR="00EA4594" w:rsidRPr="00EA4594">
        <w:rPr>
          <w:rStyle w:val="FootnoteReference"/>
          <w:szCs w:val="22"/>
        </w:rPr>
        <w:t xml:space="preserve"> </w:t>
      </w:r>
      <w:r w:rsidR="00EA4594" w:rsidRPr="00260E33">
        <w:rPr>
          <w:rStyle w:val="FootnoteReference"/>
          <w:szCs w:val="22"/>
        </w:rPr>
        <w:footnoteReference w:id="276"/>
      </w:r>
      <w:r w:rsidR="00EA4594" w:rsidRPr="0064234E">
        <w:t xml:space="preserve">  </w:t>
      </w:r>
      <w:r w:rsidR="00245236">
        <w:rPr>
          <w:szCs w:val="22"/>
        </w:rPr>
        <w:t>T</w:t>
      </w:r>
      <w:r w:rsidR="00245236" w:rsidRPr="00724DC5">
        <w:rPr>
          <w:szCs w:val="22"/>
        </w:rPr>
        <w:t xml:space="preserve">he </w:t>
      </w:r>
      <w:r w:rsidRPr="00724DC5">
        <w:rPr>
          <w:szCs w:val="22"/>
        </w:rPr>
        <w:t xml:space="preserve">Bureau proposed to establish this percentage at </w:t>
      </w:r>
      <w:r w:rsidR="00B91CCC">
        <w:rPr>
          <w:szCs w:val="22"/>
        </w:rPr>
        <w:t>fifteen</w:t>
      </w:r>
      <w:r w:rsidRPr="00724DC5">
        <w:rPr>
          <w:szCs w:val="22"/>
        </w:rPr>
        <w:t xml:space="preserve"> percent </w:t>
      </w:r>
      <w:r w:rsidR="00245236">
        <w:rPr>
          <w:szCs w:val="22"/>
        </w:rPr>
        <w:t>if withdrawals are permitted in</w:t>
      </w:r>
      <w:r w:rsidRPr="00724DC5">
        <w:rPr>
          <w:szCs w:val="22"/>
        </w:rPr>
        <w:t xml:space="preserve"> Auction 9</w:t>
      </w:r>
      <w:r w:rsidR="00E246D2" w:rsidRPr="00724DC5">
        <w:rPr>
          <w:szCs w:val="22"/>
        </w:rPr>
        <w:t>6</w:t>
      </w:r>
      <w:r w:rsidRPr="00724DC5">
        <w:rPr>
          <w:szCs w:val="22"/>
        </w:rPr>
        <w:t xml:space="preserve"> and sought comment on the proposal.</w:t>
      </w:r>
      <w:r w:rsidRPr="00724DC5">
        <w:rPr>
          <w:rStyle w:val="FootnoteReference"/>
          <w:szCs w:val="22"/>
        </w:rPr>
        <w:footnoteReference w:id="277"/>
      </w:r>
    </w:p>
    <w:p w:rsidR="00B5528C" w:rsidRPr="00724DC5" w:rsidRDefault="00B5528C" w:rsidP="00C07C81">
      <w:pPr>
        <w:pStyle w:val="ParaNum"/>
        <w:widowControl/>
        <w:tabs>
          <w:tab w:val="clear" w:pos="1260"/>
          <w:tab w:val="left" w:pos="1440"/>
        </w:tabs>
        <w:ind w:left="0"/>
        <w:rPr>
          <w:szCs w:val="22"/>
        </w:rPr>
      </w:pPr>
      <w:r w:rsidRPr="00724DC5">
        <w:rPr>
          <w:szCs w:val="22"/>
        </w:rPr>
        <w:t xml:space="preserve">The Bureau received no </w:t>
      </w:r>
      <w:r w:rsidR="00B91CCC">
        <w:rPr>
          <w:szCs w:val="22"/>
        </w:rPr>
        <w:t xml:space="preserve">specific </w:t>
      </w:r>
      <w:r w:rsidRPr="00724DC5">
        <w:rPr>
          <w:szCs w:val="22"/>
        </w:rPr>
        <w:t>comment on this issue</w:t>
      </w:r>
      <w:r w:rsidR="00DD51CD" w:rsidRPr="00724DC5">
        <w:rPr>
          <w:szCs w:val="22"/>
        </w:rPr>
        <w:t>.</w:t>
      </w:r>
      <w:r w:rsidR="00B632A2">
        <w:rPr>
          <w:rStyle w:val="FootnoteReference"/>
          <w:szCs w:val="22"/>
        </w:rPr>
        <w:footnoteReference w:id="278"/>
      </w:r>
      <w:r w:rsidR="00DD51CD" w:rsidRPr="00724DC5">
        <w:rPr>
          <w:szCs w:val="22"/>
        </w:rPr>
        <w:t xml:space="preserve">  The Bureau adopted a </w:t>
      </w:r>
      <w:r w:rsidR="00B91CCC">
        <w:rPr>
          <w:szCs w:val="22"/>
        </w:rPr>
        <w:t>fifteen</w:t>
      </w:r>
      <w:r w:rsidR="00DD51CD" w:rsidRPr="00724DC5">
        <w:rPr>
          <w:szCs w:val="22"/>
        </w:rPr>
        <w:t xml:space="preserve"> percent payment amount for prior </w:t>
      </w:r>
      <w:r w:rsidR="00B91CCC">
        <w:rPr>
          <w:szCs w:val="22"/>
        </w:rPr>
        <w:t>AWS and PCS</w:t>
      </w:r>
      <w:r w:rsidR="00B91CCC" w:rsidRPr="00724DC5">
        <w:rPr>
          <w:szCs w:val="22"/>
        </w:rPr>
        <w:t xml:space="preserve"> </w:t>
      </w:r>
      <w:r w:rsidR="00DD51CD" w:rsidRPr="00724DC5">
        <w:rPr>
          <w:szCs w:val="22"/>
        </w:rPr>
        <w:t>auctions</w:t>
      </w:r>
      <w:r w:rsidR="0085045F" w:rsidRPr="00724DC5">
        <w:rPr>
          <w:szCs w:val="22"/>
        </w:rPr>
        <w:t>,</w:t>
      </w:r>
      <w:r w:rsidR="00DD51CD" w:rsidRPr="00724DC5">
        <w:rPr>
          <w:rStyle w:val="FootnoteReference"/>
          <w:szCs w:val="22"/>
        </w:rPr>
        <w:footnoteReference w:id="279"/>
      </w:r>
      <w:r w:rsidRPr="00724DC5">
        <w:rPr>
          <w:szCs w:val="22"/>
        </w:rPr>
        <w:t xml:space="preserve"> </w:t>
      </w:r>
      <w:r w:rsidR="00BD21DF">
        <w:rPr>
          <w:szCs w:val="22"/>
        </w:rPr>
        <w:t xml:space="preserve">believes this to be an appropriate amount in this case, </w:t>
      </w:r>
      <w:r w:rsidR="0085045F" w:rsidRPr="00724DC5">
        <w:rPr>
          <w:szCs w:val="22"/>
        </w:rPr>
        <w:t>and</w:t>
      </w:r>
      <w:r w:rsidR="00DD51CD" w:rsidRPr="00724DC5">
        <w:rPr>
          <w:szCs w:val="22"/>
        </w:rPr>
        <w:t xml:space="preserve"> </w:t>
      </w:r>
      <w:r w:rsidR="00B91CCC">
        <w:rPr>
          <w:szCs w:val="22"/>
        </w:rPr>
        <w:t>therefore</w:t>
      </w:r>
      <w:r w:rsidRPr="00724DC5">
        <w:rPr>
          <w:szCs w:val="22"/>
        </w:rPr>
        <w:t xml:space="preserve"> adopts its proposal</w:t>
      </w:r>
      <w:r w:rsidR="0085045F" w:rsidRPr="00724DC5">
        <w:rPr>
          <w:szCs w:val="22"/>
        </w:rPr>
        <w:t xml:space="preserve"> for a </w:t>
      </w:r>
      <w:r w:rsidR="00B91CCC">
        <w:rPr>
          <w:szCs w:val="22"/>
        </w:rPr>
        <w:t>fifteen</w:t>
      </w:r>
      <w:r w:rsidR="0085045F" w:rsidRPr="00724DC5">
        <w:rPr>
          <w:szCs w:val="22"/>
        </w:rPr>
        <w:t xml:space="preserve"> percent payment amount for this auction</w:t>
      </w:r>
      <w:r w:rsidRPr="00724DC5">
        <w:rPr>
          <w:szCs w:val="22"/>
        </w:rPr>
        <w:t xml:space="preserve">.  The Commission will assess an interim withdrawal payment equal to </w:t>
      </w:r>
      <w:r w:rsidR="00B91CCC">
        <w:rPr>
          <w:szCs w:val="22"/>
        </w:rPr>
        <w:t>fifteen</w:t>
      </w:r>
      <w:r w:rsidRPr="00724DC5">
        <w:rPr>
          <w:szCs w:val="22"/>
        </w:rPr>
        <w:t xml:space="preserve"> percent of the amount of the withdrawn bids.  The </w:t>
      </w:r>
      <w:r w:rsidR="00B91CCC">
        <w:rPr>
          <w:szCs w:val="22"/>
        </w:rPr>
        <w:t>fifteen</w:t>
      </w:r>
      <w:r w:rsidRPr="00724DC5">
        <w:rPr>
          <w:szCs w:val="22"/>
        </w:rPr>
        <w:t xml:space="preserve"> percent interim payment will be applied toward any final bid withdrawal payment that will be assessed after subsequent auction of the license.  Assessing an interim bid withdrawal payment ensures that the Commission receives a minimal withdrawal payment pending assessment of any final withdrawal payment.  Section 1.2104(g) provides specific examples showing application of the bid withdrawal payment rule.</w:t>
      </w:r>
      <w:r w:rsidRPr="00724DC5">
        <w:rPr>
          <w:rStyle w:val="FootnoteReference"/>
          <w:szCs w:val="22"/>
        </w:rPr>
        <w:footnoteReference w:id="280"/>
      </w:r>
      <w:r w:rsidR="002270F5" w:rsidRPr="00724DC5">
        <w:rPr>
          <w:szCs w:val="22"/>
        </w:rPr>
        <w:t xml:space="preserve"> </w:t>
      </w:r>
    </w:p>
    <w:p w:rsidR="00607806" w:rsidRPr="0064691B" w:rsidRDefault="00607806" w:rsidP="00C07C81">
      <w:pPr>
        <w:pStyle w:val="Heading3"/>
        <w:widowControl/>
        <w:rPr>
          <w:szCs w:val="22"/>
        </w:rPr>
      </w:pPr>
      <w:bookmarkStart w:id="3865" w:name="_Toc129773502"/>
      <w:bookmarkStart w:id="3866" w:name="_Toc130210040"/>
      <w:bookmarkStart w:id="3867" w:name="_Toc130730967"/>
      <w:bookmarkStart w:id="3868" w:name="_Toc130814195"/>
      <w:bookmarkStart w:id="3869" w:name="_Toc130814517"/>
      <w:bookmarkStart w:id="3870" w:name="_Toc130814649"/>
      <w:bookmarkStart w:id="3871" w:name="_Toc130883532"/>
      <w:bookmarkStart w:id="3872" w:name="_Toc130885642"/>
      <w:bookmarkStart w:id="3873" w:name="_Toc131844621"/>
      <w:bookmarkStart w:id="3874" w:name="_Toc148330558"/>
      <w:bookmarkStart w:id="3875" w:name="_Toc148336325"/>
      <w:bookmarkStart w:id="3876" w:name="_Toc148337766"/>
      <w:bookmarkStart w:id="3877" w:name="_Toc148338089"/>
      <w:bookmarkStart w:id="3878" w:name="_Toc148339799"/>
      <w:bookmarkStart w:id="3879" w:name="_Toc148339896"/>
      <w:bookmarkStart w:id="3880" w:name="_Toc149645606"/>
      <w:bookmarkStart w:id="3881" w:name="_Toc149997909"/>
      <w:bookmarkStart w:id="3882" w:name="_Toc158180784"/>
      <w:bookmarkStart w:id="3883" w:name="_Toc158785632"/>
      <w:bookmarkStart w:id="3884" w:name="_Toc178768537"/>
      <w:bookmarkStart w:id="3885" w:name="_Toc179195978"/>
      <w:bookmarkStart w:id="3886" w:name="_Toc179361922"/>
      <w:bookmarkStart w:id="3887" w:name="_Toc179363706"/>
      <w:bookmarkStart w:id="3888" w:name="_Toc197504964"/>
      <w:bookmarkStart w:id="3889" w:name="_Toc198007745"/>
      <w:bookmarkStart w:id="3890" w:name="_Toc198007896"/>
      <w:bookmarkStart w:id="3891" w:name="_Toc198008248"/>
      <w:bookmarkStart w:id="3892" w:name="_Toc198008385"/>
      <w:bookmarkStart w:id="3893" w:name="_Toc198008932"/>
      <w:bookmarkStart w:id="3894" w:name="_Toc198369828"/>
      <w:bookmarkStart w:id="3895" w:name="_Toc198369965"/>
      <w:bookmarkStart w:id="3896" w:name="_Toc198372877"/>
      <w:bookmarkStart w:id="3897" w:name="_Toc198372980"/>
      <w:bookmarkStart w:id="3898" w:name="_Toc198373108"/>
      <w:bookmarkStart w:id="3899" w:name="_Toc198373278"/>
      <w:bookmarkStart w:id="3900" w:name="_Toc198627195"/>
      <w:bookmarkStart w:id="3901" w:name="_Toc198627301"/>
      <w:bookmarkStart w:id="3902" w:name="_Toc216090752"/>
      <w:bookmarkStart w:id="3903" w:name="_Toc226958258"/>
      <w:bookmarkStart w:id="3904" w:name="_Toc227038318"/>
      <w:bookmarkStart w:id="3905" w:name="_Toc254792623"/>
      <w:bookmarkStart w:id="3906" w:name="_Toc256669747"/>
      <w:bookmarkStart w:id="3907" w:name="_Toc257213280"/>
      <w:bookmarkStart w:id="3908" w:name="_Toc257277782"/>
      <w:bookmarkStart w:id="3909" w:name="_Toc257278743"/>
      <w:bookmarkStart w:id="3910" w:name="_Toc257278953"/>
      <w:bookmarkStart w:id="3911" w:name="_Toc257279321"/>
      <w:bookmarkStart w:id="3912" w:name="_Toc257382965"/>
      <w:bookmarkStart w:id="3913" w:name="_Toc274056224"/>
      <w:bookmarkStart w:id="3914" w:name="_Toc276657630"/>
      <w:bookmarkStart w:id="3915" w:name="_Toc278366476"/>
      <w:bookmarkStart w:id="3916" w:name="_Toc307584070"/>
      <w:bookmarkStart w:id="3917" w:name="_Toc307937344"/>
      <w:bookmarkStart w:id="3918" w:name="_Toc348508786"/>
      <w:bookmarkStart w:id="3919" w:name="_Toc362256797"/>
      <w:bookmarkStart w:id="3920" w:name="_Toc366056555"/>
      <w:bookmarkStart w:id="3921" w:name="_Toc366223757"/>
      <w:bookmarkStart w:id="3922" w:name="_Toc366229470"/>
      <w:bookmarkStart w:id="3923" w:name="_Toc366583513"/>
      <w:r w:rsidRPr="0064691B">
        <w:rPr>
          <w:szCs w:val="22"/>
        </w:rPr>
        <w:t>Round Results</w:t>
      </w:r>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p>
    <w:p w:rsidR="00607806" w:rsidRPr="00FE1835" w:rsidRDefault="00FE1835" w:rsidP="00C07C81">
      <w:pPr>
        <w:pStyle w:val="ParaNum"/>
        <w:widowControl/>
        <w:tabs>
          <w:tab w:val="clear" w:pos="1260"/>
          <w:tab w:val="left" w:pos="1440"/>
        </w:tabs>
        <w:ind w:left="0"/>
        <w:rPr>
          <w:szCs w:val="22"/>
        </w:rPr>
      </w:pPr>
      <w:r w:rsidRPr="00FE1835">
        <w:rPr>
          <w:color w:val="000000"/>
          <w:szCs w:val="22"/>
        </w:rPr>
        <w:t>Limited information about the results of a round will be made public after the conclusion of the round.</w:t>
      </w:r>
      <w:r>
        <w:rPr>
          <w:rStyle w:val="FootnoteReference"/>
          <w:szCs w:val="22"/>
        </w:rPr>
        <w:footnoteReference w:id="281"/>
      </w:r>
      <w:r w:rsidR="00790BC8" w:rsidRPr="00FE1835">
        <w:rPr>
          <w:color w:val="000000"/>
          <w:szCs w:val="22"/>
        </w:rPr>
        <w:t xml:space="preserve">  </w:t>
      </w:r>
      <w:r w:rsidRPr="00FE1835">
        <w:rPr>
          <w:szCs w:val="22"/>
        </w:rPr>
        <w:t>Specifically, after a round closes, the Bureau will make available for each license its current provisionally winning bid amount, the minimum acceptable bid amount for the following round, the amounts of all bids placed on the license during the round, and whether the license is FCC</w:t>
      </w:r>
      <w:r w:rsidR="00B35D00">
        <w:rPr>
          <w:szCs w:val="22"/>
        </w:rPr>
        <w:t>-</w:t>
      </w:r>
      <w:r w:rsidRPr="00FE1835">
        <w:rPr>
          <w:szCs w:val="22"/>
        </w:rPr>
        <w:t>held.  The system will also provide an entire license history detailing all activity that has taken place on a license with the ability to sort by round number.  The reports will be publicly accessible.  Moreover, after the auction closes, the Bureau will make available complete reports of all bids placed during each round of the auction, including bidder identities.</w:t>
      </w:r>
      <w:r w:rsidR="00607806" w:rsidRPr="00FE1835">
        <w:rPr>
          <w:szCs w:val="22"/>
        </w:rPr>
        <w:t xml:space="preserve">  </w:t>
      </w:r>
    </w:p>
    <w:p w:rsidR="00607806" w:rsidRPr="001C2E9C" w:rsidRDefault="00607806" w:rsidP="00C07C81">
      <w:pPr>
        <w:pStyle w:val="Heading3"/>
        <w:widowControl/>
        <w:rPr>
          <w:szCs w:val="22"/>
        </w:rPr>
      </w:pPr>
      <w:bookmarkStart w:id="3924" w:name="_Toc483218176"/>
      <w:bookmarkStart w:id="3925" w:name="_Toc109812276"/>
      <w:bookmarkStart w:id="3926" w:name="_Toc124844785"/>
      <w:bookmarkStart w:id="3927" w:name="_Toc124844913"/>
      <w:bookmarkStart w:id="3928" w:name="_Toc124845572"/>
      <w:bookmarkStart w:id="3929" w:name="_Toc124845840"/>
      <w:bookmarkStart w:id="3930" w:name="_Toc124845914"/>
      <w:bookmarkStart w:id="3931" w:name="_Toc124845988"/>
      <w:bookmarkStart w:id="3932" w:name="_Toc124846160"/>
      <w:bookmarkStart w:id="3933" w:name="_Toc124848283"/>
      <w:bookmarkStart w:id="3934" w:name="_Toc124907534"/>
      <w:bookmarkStart w:id="3935" w:name="_Toc129773503"/>
      <w:bookmarkStart w:id="3936" w:name="_Toc130210041"/>
      <w:bookmarkStart w:id="3937" w:name="_Toc130730968"/>
      <w:bookmarkStart w:id="3938" w:name="_Toc130814196"/>
      <w:bookmarkStart w:id="3939" w:name="_Toc130814518"/>
      <w:bookmarkStart w:id="3940" w:name="_Toc130814650"/>
      <w:bookmarkStart w:id="3941" w:name="_Toc130883533"/>
      <w:bookmarkStart w:id="3942" w:name="_Toc130885643"/>
      <w:bookmarkStart w:id="3943" w:name="_Toc131844622"/>
      <w:bookmarkStart w:id="3944" w:name="_Toc148330559"/>
      <w:bookmarkStart w:id="3945" w:name="_Toc148336326"/>
      <w:bookmarkStart w:id="3946" w:name="_Toc148337767"/>
      <w:bookmarkStart w:id="3947" w:name="_Toc148338090"/>
      <w:bookmarkStart w:id="3948" w:name="_Toc148339800"/>
      <w:bookmarkStart w:id="3949" w:name="_Toc148339897"/>
      <w:bookmarkStart w:id="3950" w:name="_Toc149645607"/>
      <w:bookmarkStart w:id="3951" w:name="_Toc149997910"/>
      <w:bookmarkStart w:id="3952" w:name="_Toc158180785"/>
      <w:bookmarkStart w:id="3953" w:name="_Toc158785633"/>
      <w:bookmarkStart w:id="3954" w:name="_Toc178768538"/>
      <w:bookmarkStart w:id="3955" w:name="_Toc179195979"/>
      <w:bookmarkStart w:id="3956" w:name="_Toc179361923"/>
      <w:bookmarkStart w:id="3957" w:name="_Toc179363707"/>
      <w:bookmarkStart w:id="3958" w:name="_Toc197504965"/>
      <w:bookmarkStart w:id="3959" w:name="_Toc198007746"/>
      <w:bookmarkStart w:id="3960" w:name="_Toc198007897"/>
      <w:bookmarkStart w:id="3961" w:name="_Toc198008249"/>
      <w:bookmarkStart w:id="3962" w:name="_Toc198008386"/>
      <w:bookmarkStart w:id="3963" w:name="_Toc198008933"/>
      <w:bookmarkStart w:id="3964" w:name="_Toc198369829"/>
      <w:bookmarkStart w:id="3965" w:name="_Toc198369966"/>
      <w:bookmarkStart w:id="3966" w:name="_Toc198372878"/>
      <w:bookmarkStart w:id="3967" w:name="_Toc198372981"/>
      <w:bookmarkStart w:id="3968" w:name="_Toc198373109"/>
      <w:bookmarkStart w:id="3969" w:name="_Toc198373279"/>
      <w:bookmarkStart w:id="3970" w:name="_Toc198627196"/>
      <w:bookmarkStart w:id="3971" w:name="_Toc198627302"/>
      <w:bookmarkStart w:id="3972" w:name="_Toc216090753"/>
      <w:bookmarkStart w:id="3973" w:name="_Toc226958259"/>
      <w:bookmarkStart w:id="3974" w:name="_Toc227038319"/>
      <w:bookmarkStart w:id="3975" w:name="_Toc254792624"/>
      <w:bookmarkStart w:id="3976" w:name="_Toc256669748"/>
      <w:bookmarkStart w:id="3977" w:name="_Toc257213281"/>
      <w:bookmarkStart w:id="3978" w:name="_Toc257277783"/>
      <w:bookmarkStart w:id="3979" w:name="_Toc257278744"/>
      <w:bookmarkStart w:id="3980" w:name="_Toc257278954"/>
      <w:bookmarkStart w:id="3981" w:name="_Toc257279322"/>
      <w:bookmarkStart w:id="3982" w:name="_Toc257382966"/>
      <w:bookmarkStart w:id="3983" w:name="_Toc274056225"/>
      <w:bookmarkStart w:id="3984" w:name="_Toc276657631"/>
      <w:bookmarkStart w:id="3985" w:name="_Toc278366477"/>
      <w:bookmarkStart w:id="3986" w:name="_Toc307584071"/>
      <w:bookmarkStart w:id="3987" w:name="_Toc307937345"/>
      <w:bookmarkStart w:id="3988" w:name="_Toc348508787"/>
      <w:bookmarkStart w:id="3989" w:name="_Toc362256798"/>
      <w:bookmarkStart w:id="3990" w:name="_Toc366056556"/>
      <w:bookmarkStart w:id="3991" w:name="_Toc366223758"/>
      <w:bookmarkStart w:id="3992" w:name="_Toc366229471"/>
      <w:bookmarkStart w:id="3993" w:name="_Toc366583514"/>
      <w:r w:rsidRPr="001C2E9C">
        <w:rPr>
          <w:szCs w:val="22"/>
        </w:rPr>
        <w:t>Auction Announcements</w:t>
      </w:r>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p>
    <w:p w:rsidR="00235C01" w:rsidRPr="00CA6286" w:rsidRDefault="00607806" w:rsidP="002C26AA">
      <w:pPr>
        <w:pStyle w:val="ParaNum"/>
        <w:widowControl/>
        <w:tabs>
          <w:tab w:val="clear" w:pos="1260"/>
          <w:tab w:val="left" w:pos="1440"/>
        </w:tabs>
        <w:ind w:left="0"/>
      </w:pPr>
      <w:r w:rsidRPr="001C2E9C">
        <w:rPr>
          <w:szCs w:val="22"/>
        </w:rPr>
        <w:t xml:space="preserve">The Commission will use auction announcements to </w:t>
      </w:r>
      <w:r w:rsidR="001E2B66">
        <w:rPr>
          <w:szCs w:val="22"/>
        </w:rPr>
        <w:t xml:space="preserve">report necessary information </w:t>
      </w:r>
      <w:r w:rsidRPr="001C2E9C">
        <w:rPr>
          <w:szCs w:val="22"/>
        </w:rPr>
        <w:t>such as schedule changes</w:t>
      </w:r>
      <w:r w:rsidR="00FE1835">
        <w:rPr>
          <w:szCs w:val="22"/>
        </w:rPr>
        <w:t xml:space="preserve"> and stage transitions</w:t>
      </w:r>
      <w:r w:rsidRPr="001C2E9C">
        <w:rPr>
          <w:szCs w:val="22"/>
        </w:rPr>
        <w:t xml:space="preserve">.  All auction </w:t>
      </w:r>
      <w:r w:rsidRPr="00893034">
        <w:rPr>
          <w:color w:val="000000"/>
          <w:szCs w:val="22"/>
        </w:rPr>
        <w:t>announcements</w:t>
      </w:r>
      <w:r w:rsidRPr="001C2E9C">
        <w:rPr>
          <w:szCs w:val="22"/>
        </w:rPr>
        <w:t xml:space="preserve"> will be available by clicking a link in the FCC Auction System.</w:t>
      </w:r>
    </w:p>
    <w:p w:rsidR="00607806" w:rsidRDefault="00607806" w:rsidP="00C07C81">
      <w:pPr>
        <w:pStyle w:val="Heading1"/>
        <w:widowControl/>
        <w:rPr>
          <w:rFonts w:ascii="Times New Roman" w:hAnsi="Times New Roman"/>
          <w:szCs w:val="22"/>
        </w:rPr>
      </w:pPr>
      <w:bookmarkStart w:id="3994" w:name="_Toc483218178"/>
      <w:bookmarkStart w:id="3995" w:name="_Toc109812278"/>
      <w:bookmarkStart w:id="3996" w:name="_Toc124844787"/>
      <w:bookmarkStart w:id="3997" w:name="_Toc124844915"/>
      <w:bookmarkStart w:id="3998" w:name="_Toc124845574"/>
      <w:bookmarkStart w:id="3999" w:name="_Toc124845842"/>
      <w:bookmarkStart w:id="4000" w:name="_Toc124845916"/>
      <w:bookmarkStart w:id="4001" w:name="_Toc124845990"/>
      <w:bookmarkStart w:id="4002" w:name="_Toc124846162"/>
      <w:bookmarkStart w:id="4003" w:name="_Toc124848285"/>
      <w:bookmarkStart w:id="4004" w:name="_Toc124907536"/>
      <w:bookmarkStart w:id="4005" w:name="_Toc129773505"/>
      <w:bookmarkStart w:id="4006" w:name="_Toc130210043"/>
      <w:bookmarkStart w:id="4007" w:name="_Toc130730970"/>
      <w:bookmarkStart w:id="4008" w:name="_Toc130814198"/>
      <w:bookmarkStart w:id="4009" w:name="_Toc130814520"/>
      <w:bookmarkStart w:id="4010" w:name="_Toc130814652"/>
      <w:bookmarkStart w:id="4011" w:name="_Toc130883535"/>
      <w:bookmarkStart w:id="4012" w:name="_Toc130885645"/>
      <w:bookmarkStart w:id="4013" w:name="_Toc131844624"/>
      <w:bookmarkStart w:id="4014" w:name="_Toc148330560"/>
      <w:bookmarkStart w:id="4015" w:name="_Toc148336327"/>
      <w:bookmarkStart w:id="4016" w:name="_Toc148337768"/>
      <w:bookmarkStart w:id="4017" w:name="_Toc148338091"/>
      <w:bookmarkStart w:id="4018" w:name="_Toc148339801"/>
      <w:bookmarkStart w:id="4019" w:name="_Toc148339898"/>
      <w:bookmarkStart w:id="4020" w:name="_Toc149645608"/>
      <w:bookmarkStart w:id="4021" w:name="_Toc149997911"/>
      <w:bookmarkStart w:id="4022" w:name="_Toc158180786"/>
      <w:bookmarkStart w:id="4023" w:name="_Toc158785634"/>
      <w:bookmarkStart w:id="4024" w:name="_Toc178768540"/>
      <w:bookmarkStart w:id="4025" w:name="_Toc179195981"/>
      <w:bookmarkStart w:id="4026" w:name="_Toc179361943"/>
      <w:bookmarkStart w:id="4027" w:name="_Toc179363727"/>
      <w:bookmarkStart w:id="4028" w:name="_Toc197504966"/>
      <w:bookmarkStart w:id="4029" w:name="_Toc198007747"/>
      <w:bookmarkStart w:id="4030" w:name="_Toc198007898"/>
      <w:bookmarkStart w:id="4031" w:name="_Toc198008250"/>
      <w:bookmarkStart w:id="4032" w:name="_Toc198008387"/>
      <w:bookmarkStart w:id="4033" w:name="_Toc198008934"/>
      <w:bookmarkStart w:id="4034" w:name="_Toc198369830"/>
      <w:bookmarkStart w:id="4035" w:name="_Toc198369967"/>
      <w:bookmarkStart w:id="4036" w:name="_Toc198372879"/>
      <w:bookmarkStart w:id="4037" w:name="_Toc198372982"/>
      <w:bookmarkStart w:id="4038" w:name="_Toc198373110"/>
      <w:bookmarkStart w:id="4039" w:name="_Toc198373280"/>
      <w:bookmarkStart w:id="4040" w:name="_Toc198627197"/>
      <w:bookmarkStart w:id="4041" w:name="_Toc198627303"/>
      <w:bookmarkStart w:id="4042" w:name="_Toc216090754"/>
      <w:bookmarkStart w:id="4043" w:name="_Toc226958260"/>
      <w:bookmarkStart w:id="4044" w:name="_Toc227038320"/>
      <w:bookmarkStart w:id="4045" w:name="_Toc254792625"/>
      <w:bookmarkStart w:id="4046" w:name="_Toc256669749"/>
      <w:bookmarkStart w:id="4047" w:name="_Toc257213282"/>
      <w:bookmarkStart w:id="4048" w:name="_Toc257277784"/>
      <w:bookmarkStart w:id="4049" w:name="_Toc257278745"/>
      <w:bookmarkStart w:id="4050" w:name="_Toc257278955"/>
      <w:bookmarkStart w:id="4051" w:name="_Toc257279323"/>
      <w:bookmarkStart w:id="4052" w:name="_Toc257382967"/>
      <w:bookmarkStart w:id="4053" w:name="_Toc274056226"/>
      <w:bookmarkStart w:id="4054" w:name="_Toc276657632"/>
      <w:bookmarkStart w:id="4055" w:name="_Toc278366478"/>
      <w:bookmarkStart w:id="4056" w:name="_Toc307584072"/>
      <w:bookmarkStart w:id="4057" w:name="_Toc307937346"/>
      <w:bookmarkStart w:id="4058" w:name="_Toc348508788"/>
      <w:bookmarkStart w:id="4059" w:name="_Toc362256799"/>
      <w:bookmarkStart w:id="4060" w:name="_Toc366056557"/>
      <w:bookmarkStart w:id="4061" w:name="_Toc366223759"/>
      <w:bookmarkStart w:id="4062" w:name="_Toc366229472"/>
      <w:bookmarkStart w:id="4063" w:name="_Toc366583515"/>
      <w:r w:rsidRPr="001C2E9C">
        <w:rPr>
          <w:rFonts w:ascii="Times New Roman" w:hAnsi="Times New Roman"/>
          <w:szCs w:val="22"/>
        </w:rPr>
        <w:t>POST-AUCTION PROCEDURES</w:t>
      </w:r>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p>
    <w:p w:rsidR="00915E0F" w:rsidRPr="001C430B" w:rsidRDefault="00915E0F" w:rsidP="00C07C81">
      <w:pPr>
        <w:pStyle w:val="ParaNum"/>
        <w:widowControl/>
        <w:tabs>
          <w:tab w:val="clear" w:pos="1260"/>
          <w:tab w:val="left" w:pos="1440"/>
        </w:tabs>
        <w:ind w:left="0"/>
        <w:rPr>
          <w:szCs w:val="22"/>
        </w:rPr>
      </w:pPr>
      <w:r>
        <w:rPr>
          <w:szCs w:val="22"/>
        </w:rPr>
        <w:t>Shortly after</w:t>
      </w:r>
      <w:r w:rsidRPr="001C2E9C">
        <w:rPr>
          <w:szCs w:val="22"/>
        </w:rPr>
        <w:t xml:space="preserve"> bidding has ended, the Commission will issue a public notice declaring the auction closed</w:t>
      </w:r>
      <w:r>
        <w:rPr>
          <w:szCs w:val="22"/>
        </w:rPr>
        <w:t xml:space="preserve">, </w:t>
      </w:r>
      <w:r w:rsidRPr="001C2E9C">
        <w:rPr>
          <w:szCs w:val="22"/>
        </w:rPr>
        <w:t xml:space="preserve">identifying </w:t>
      </w:r>
      <w:r>
        <w:rPr>
          <w:szCs w:val="22"/>
        </w:rPr>
        <w:t xml:space="preserve">the </w:t>
      </w:r>
      <w:r w:rsidRPr="00893034">
        <w:rPr>
          <w:color w:val="000000"/>
          <w:szCs w:val="22"/>
        </w:rPr>
        <w:t>winning</w:t>
      </w:r>
      <w:r w:rsidRPr="001C2E9C">
        <w:rPr>
          <w:szCs w:val="22"/>
        </w:rPr>
        <w:t xml:space="preserve"> bidders, </w:t>
      </w:r>
      <w:r>
        <w:rPr>
          <w:szCs w:val="22"/>
        </w:rPr>
        <w:t xml:space="preserve">and establishing the deadlines for submitting </w:t>
      </w:r>
      <w:r w:rsidRPr="001C2E9C">
        <w:rPr>
          <w:szCs w:val="22"/>
        </w:rPr>
        <w:t>down payment</w:t>
      </w:r>
      <w:r>
        <w:rPr>
          <w:szCs w:val="22"/>
        </w:rPr>
        <w:t>s,</w:t>
      </w:r>
      <w:r w:rsidRPr="001C2E9C">
        <w:rPr>
          <w:szCs w:val="22"/>
        </w:rPr>
        <w:t xml:space="preserve"> final </w:t>
      </w:r>
      <w:r w:rsidRPr="001F60FA">
        <w:rPr>
          <w:szCs w:val="22"/>
        </w:rPr>
        <w:t>payments,</w:t>
      </w:r>
      <w:r w:rsidR="00984952" w:rsidRPr="001F60FA">
        <w:rPr>
          <w:szCs w:val="22"/>
        </w:rPr>
        <w:t xml:space="preserve"> </w:t>
      </w:r>
      <w:r w:rsidRPr="001F60FA">
        <w:rPr>
          <w:szCs w:val="22"/>
        </w:rPr>
        <w:t xml:space="preserve">long-form </w:t>
      </w:r>
      <w:r w:rsidRPr="001C430B">
        <w:rPr>
          <w:szCs w:val="22"/>
        </w:rPr>
        <w:t>application</w:t>
      </w:r>
      <w:r w:rsidR="00984952" w:rsidRPr="001C430B">
        <w:rPr>
          <w:szCs w:val="22"/>
        </w:rPr>
        <w:t>s</w:t>
      </w:r>
      <w:r w:rsidR="00FE1835">
        <w:rPr>
          <w:szCs w:val="22"/>
        </w:rPr>
        <w:t>, and ownership disclosure information reports.</w:t>
      </w:r>
      <w:r w:rsidRPr="001C430B">
        <w:rPr>
          <w:szCs w:val="22"/>
        </w:rPr>
        <w:t xml:space="preserve">  </w:t>
      </w:r>
    </w:p>
    <w:p w:rsidR="00607806" w:rsidRPr="001F60FA" w:rsidRDefault="00607806" w:rsidP="00C07C81">
      <w:pPr>
        <w:pStyle w:val="Heading2"/>
        <w:widowControl/>
      </w:pPr>
      <w:bookmarkStart w:id="4064" w:name="_Toc483218179"/>
      <w:bookmarkStart w:id="4065" w:name="_Toc109812279"/>
      <w:bookmarkStart w:id="4066" w:name="_Toc124844788"/>
      <w:bookmarkStart w:id="4067" w:name="_Toc124844916"/>
      <w:bookmarkStart w:id="4068" w:name="_Toc124845575"/>
      <w:bookmarkStart w:id="4069" w:name="_Toc124845843"/>
      <w:bookmarkStart w:id="4070" w:name="_Toc124845917"/>
      <w:bookmarkStart w:id="4071" w:name="_Toc124845991"/>
      <w:bookmarkStart w:id="4072" w:name="_Toc124846163"/>
      <w:bookmarkStart w:id="4073" w:name="_Toc124848286"/>
      <w:bookmarkStart w:id="4074" w:name="_Toc124907537"/>
      <w:bookmarkStart w:id="4075" w:name="_Toc129773506"/>
      <w:bookmarkStart w:id="4076" w:name="_Toc130210044"/>
      <w:bookmarkStart w:id="4077" w:name="_Toc130730971"/>
      <w:bookmarkStart w:id="4078" w:name="_Toc130814199"/>
      <w:bookmarkStart w:id="4079" w:name="_Toc130814521"/>
      <w:bookmarkStart w:id="4080" w:name="_Toc130814653"/>
      <w:bookmarkStart w:id="4081" w:name="_Toc130883536"/>
      <w:bookmarkStart w:id="4082" w:name="_Toc130885646"/>
      <w:bookmarkStart w:id="4083" w:name="_Toc131844625"/>
      <w:bookmarkStart w:id="4084" w:name="_Toc148330561"/>
      <w:bookmarkStart w:id="4085" w:name="_Toc148336328"/>
      <w:bookmarkStart w:id="4086" w:name="_Toc148337769"/>
      <w:bookmarkStart w:id="4087" w:name="_Toc148338092"/>
      <w:bookmarkStart w:id="4088" w:name="_Toc148339802"/>
      <w:bookmarkStart w:id="4089" w:name="_Toc148339899"/>
      <w:bookmarkStart w:id="4090" w:name="_Toc149645609"/>
      <w:bookmarkStart w:id="4091" w:name="_Toc149997912"/>
      <w:bookmarkStart w:id="4092" w:name="_Toc158180787"/>
      <w:bookmarkStart w:id="4093" w:name="_Toc158785635"/>
      <w:bookmarkStart w:id="4094" w:name="_Toc178768545"/>
      <w:bookmarkStart w:id="4095" w:name="_Toc179195986"/>
      <w:bookmarkStart w:id="4096" w:name="_Toc179361948"/>
      <w:bookmarkStart w:id="4097" w:name="_Toc179363732"/>
      <w:bookmarkStart w:id="4098" w:name="_Toc197504967"/>
      <w:bookmarkStart w:id="4099" w:name="_Toc198007748"/>
      <w:bookmarkStart w:id="4100" w:name="_Toc198007899"/>
      <w:bookmarkStart w:id="4101" w:name="_Toc198008251"/>
      <w:bookmarkStart w:id="4102" w:name="_Toc198008388"/>
      <w:bookmarkStart w:id="4103" w:name="_Toc198008935"/>
      <w:bookmarkStart w:id="4104" w:name="_Toc198369831"/>
      <w:bookmarkStart w:id="4105" w:name="_Toc198369968"/>
      <w:bookmarkStart w:id="4106" w:name="_Toc198372880"/>
      <w:bookmarkStart w:id="4107" w:name="_Toc198372983"/>
      <w:bookmarkStart w:id="4108" w:name="_Toc198373111"/>
      <w:bookmarkStart w:id="4109" w:name="_Toc198373281"/>
      <w:bookmarkStart w:id="4110" w:name="_Toc198627198"/>
      <w:bookmarkStart w:id="4111" w:name="_Toc198627304"/>
      <w:bookmarkStart w:id="4112" w:name="_Toc216090755"/>
      <w:bookmarkStart w:id="4113" w:name="_Toc226958261"/>
      <w:bookmarkStart w:id="4114" w:name="_Toc227038321"/>
      <w:bookmarkStart w:id="4115" w:name="_Toc254792626"/>
      <w:bookmarkStart w:id="4116" w:name="_Toc256669750"/>
      <w:bookmarkStart w:id="4117" w:name="_Toc257213283"/>
      <w:bookmarkStart w:id="4118" w:name="_Toc257277785"/>
      <w:bookmarkStart w:id="4119" w:name="_Toc257278746"/>
      <w:bookmarkStart w:id="4120" w:name="_Toc257278956"/>
      <w:bookmarkStart w:id="4121" w:name="_Toc257279324"/>
      <w:bookmarkStart w:id="4122" w:name="_Toc257382968"/>
      <w:bookmarkStart w:id="4123" w:name="_Toc274056227"/>
      <w:bookmarkStart w:id="4124" w:name="_Toc276657633"/>
      <w:bookmarkStart w:id="4125" w:name="_Toc278366479"/>
      <w:bookmarkStart w:id="4126" w:name="_Toc307584073"/>
      <w:bookmarkStart w:id="4127" w:name="_Toc307937347"/>
      <w:bookmarkStart w:id="4128" w:name="_Toc348508789"/>
      <w:bookmarkStart w:id="4129" w:name="_Toc362256804"/>
      <w:bookmarkStart w:id="4130" w:name="_Toc366056558"/>
      <w:bookmarkStart w:id="4131" w:name="_Toc366223760"/>
      <w:bookmarkStart w:id="4132" w:name="_Toc366229473"/>
      <w:bookmarkStart w:id="4133" w:name="_Toc366583516"/>
      <w:r w:rsidRPr="001F60FA">
        <w:t>Down Payments</w:t>
      </w:r>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p>
    <w:p w:rsidR="00607806" w:rsidRPr="001F60FA" w:rsidRDefault="00607806" w:rsidP="00C07C81">
      <w:pPr>
        <w:pStyle w:val="ParaNum"/>
        <w:widowControl/>
        <w:tabs>
          <w:tab w:val="clear" w:pos="1260"/>
          <w:tab w:val="left" w:pos="1440"/>
        </w:tabs>
        <w:ind w:left="0"/>
        <w:rPr>
          <w:szCs w:val="22"/>
        </w:rPr>
      </w:pPr>
      <w:r w:rsidRPr="001F60FA">
        <w:rPr>
          <w:szCs w:val="22"/>
        </w:rPr>
        <w:t xml:space="preserve">Within ten </w:t>
      </w:r>
      <w:r w:rsidRPr="00893034">
        <w:rPr>
          <w:color w:val="000000"/>
          <w:szCs w:val="22"/>
        </w:rPr>
        <w:t>business</w:t>
      </w:r>
      <w:r w:rsidRPr="001F60FA">
        <w:rPr>
          <w:szCs w:val="22"/>
        </w:rPr>
        <w:t xml:space="preserve"> days after release of the auction closing </w:t>
      </w:r>
      <w:r w:rsidR="008B67BE">
        <w:rPr>
          <w:szCs w:val="22"/>
        </w:rPr>
        <w:t xml:space="preserve">public </w:t>
      </w:r>
      <w:r w:rsidRPr="001F60FA">
        <w:rPr>
          <w:szCs w:val="22"/>
        </w:rPr>
        <w:t xml:space="preserve">notice, each winning bidder must submit sufficient funds (in addition to its upfront payment) to bring its total amount of money on deposit with the Commission for Auction </w:t>
      </w:r>
      <w:r w:rsidR="00CC0081">
        <w:rPr>
          <w:szCs w:val="22"/>
        </w:rPr>
        <w:t>9</w:t>
      </w:r>
      <w:r w:rsidR="00E246D2">
        <w:rPr>
          <w:szCs w:val="22"/>
        </w:rPr>
        <w:t>6</w:t>
      </w:r>
      <w:r w:rsidR="00B70802" w:rsidRPr="001F60FA">
        <w:rPr>
          <w:szCs w:val="22"/>
        </w:rPr>
        <w:t xml:space="preserve"> </w:t>
      </w:r>
      <w:r w:rsidRPr="001F60FA">
        <w:rPr>
          <w:szCs w:val="22"/>
        </w:rPr>
        <w:t xml:space="preserve">to </w:t>
      </w:r>
      <w:r w:rsidR="00E511B6">
        <w:rPr>
          <w:szCs w:val="22"/>
        </w:rPr>
        <w:t>twenty</w:t>
      </w:r>
      <w:r w:rsidRPr="001F60FA">
        <w:rPr>
          <w:szCs w:val="22"/>
        </w:rPr>
        <w:t xml:space="preserve"> percent of the net amount of its winning bids (gross bids less any applicable </w:t>
      </w:r>
      <w:r w:rsidR="00FE1835">
        <w:rPr>
          <w:szCs w:val="22"/>
        </w:rPr>
        <w:t xml:space="preserve">small business </w:t>
      </w:r>
      <w:r w:rsidRPr="001F60FA">
        <w:rPr>
          <w:szCs w:val="22"/>
        </w:rPr>
        <w:t>bidding credit).</w:t>
      </w:r>
      <w:r w:rsidRPr="001F60FA">
        <w:rPr>
          <w:rStyle w:val="FootnoteReference"/>
          <w:szCs w:val="22"/>
        </w:rPr>
        <w:footnoteReference w:id="282"/>
      </w:r>
      <w:r w:rsidRPr="001F60FA">
        <w:rPr>
          <w:szCs w:val="22"/>
        </w:rPr>
        <w:t xml:space="preserve">  </w:t>
      </w:r>
    </w:p>
    <w:p w:rsidR="00607806" w:rsidRPr="001F60FA" w:rsidRDefault="00607806" w:rsidP="00C07C81">
      <w:pPr>
        <w:pStyle w:val="Heading2"/>
        <w:widowControl/>
      </w:pPr>
      <w:bookmarkStart w:id="4134" w:name="_Toc109812280"/>
      <w:bookmarkStart w:id="4135" w:name="_Toc124844789"/>
      <w:bookmarkStart w:id="4136" w:name="_Toc124844917"/>
      <w:bookmarkStart w:id="4137" w:name="_Toc124845576"/>
      <w:bookmarkStart w:id="4138" w:name="_Toc124845844"/>
      <w:bookmarkStart w:id="4139" w:name="_Toc124845918"/>
      <w:bookmarkStart w:id="4140" w:name="_Toc124845992"/>
      <w:bookmarkStart w:id="4141" w:name="_Toc124846164"/>
      <w:bookmarkStart w:id="4142" w:name="_Toc124848287"/>
      <w:bookmarkStart w:id="4143" w:name="_Toc124907538"/>
      <w:bookmarkStart w:id="4144" w:name="_Toc129773507"/>
      <w:bookmarkStart w:id="4145" w:name="_Toc130210045"/>
      <w:bookmarkStart w:id="4146" w:name="_Toc130730972"/>
      <w:bookmarkStart w:id="4147" w:name="_Toc130814200"/>
      <w:bookmarkStart w:id="4148" w:name="_Toc130814522"/>
      <w:bookmarkStart w:id="4149" w:name="_Toc130814654"/>
      <w:bookmarkStart w:id="4150" w:name="_Toc130883537"/>
      <w:bookmarkStart w:id="4151" w:name="_Toc130885647"/>
      <w:bookmarkStart w:id="4152" w:name="_Toc131844626"/>
      <w:bookmarkStart w:id="4153" w:name="_Toc148330562"/>
      <w:bookmarkStart w:id="4154" w:name="_Toc148336329"/>
      <w:bookmarkStart w:id="4155" w:name="_Toc148337770"/>
      <w:bookmarkStart w:id="4156" w:name="_Toc148338093"/>
      <w:bookmarkStart w:id="4157" w:name="_Toc148339803"/>
      <w:bookmarkStart w:id="4158" w:name="_Toc148339900"/>
      <w:bookmarkStart w:id="4159" w:name="_Toc149645610"/>
      <w:bookmarkStart w:id="4160" w:name="_Toc149997913"/>
      <w:bookmarkStart w:id="4161" w:name="_Toc158180788"/>
      <w:bookmarkStart w:id="4162" w:name="_Toc158785636"/>
      <w:bookmarkStart w:id="4163" w:name="_Toc178768546"/>
      <w:bookmarkStart w:id="4164" w:name="_Toc179195987"/>
      <w:bookmarkStart w:id="4165" w:name="_Toc179361949"/>
      <w:bookmarkStart w:id="4166" w:name="_Toc179363733"/>
      <w:bookmarkStart w:id="4167" w:name="_Toc197504968"/>
      <w:bookmarkStart w:id="4168" w:name="_Toc198007749"/>
      <w:bookmarkStart w:id="4169" w:name="_Toc198007900"/>
      <w:bookmarkStart w:id="4170" w:name="_Toc198008252"/>
      <w:bookmarkStart w:id="4171" w:name="_Toc198008389"/>
      <w:bookmarkStart w:id="4172" w:name="_Toc198008936"/>
      <w:bookmarkStart w:id="4173" w:name="_Toc198369832"/>
      <w:bookmarkStart w:id="4174" w:name="_Toc198369969"/>
      <w:bookmarkStart w:id="4175" w:name="_Toc198372881"/>
      <w:bookmarkStart w:id="4176" w:name="_Toc198372984"/>
      <w:bookmarkStart w:id="4177" w:name="_Toc198373112"/>
      <w:bookmarkStart w:id="4178" w:name="_Toc198373282"/>
      <w:bookmarkStart w:id="4179" w:name="_Toc198627199"/>
      <w:bookmarkStart w:id="4180" w:name="_Toc198627305"/>
      <w:bookmarkStart w:id="4181" w:name="_Toc216090756"/>
      <w:bookmarkStart w:id="4182" w:name="_Toc226958262"/>
      <w:bookmarkStart w:id="4183" w:name="_Toc227038322"/>
      <w:bookmarkStart w:id="4184" w:name="_Toc254792627"/>
      <w:bookmarkStart w:id="4185" w:name="_Toc256669751"/>
      <w:bookmarkStart w:id="4186" w:name="_Toc257213284"/>
      <w:bookmarkStart w:id="4187" w:name="_Toc257277786"/>
      <w:bookmarkStart w:id="4188" w:name="_Toc257278747"/>
      <w:bookmarkStart w:id="4189" w:name="_Toc257278957"/>
      <w:bookmarkStart w:id="4190" w:name="_Toc257279325"/>
      <w:bookmarkStart w:id="4191" w:name="_Toc257382969"/>
      <w:bookmarkStart w:id="4192" w:name="_Toc274056228"/>
      <w:bookmarkStart w:id="4193" w:name="_Toc276657634"/>
      <w:bookmarkStart w:id="4194" w:name="_Toc278366480"/>
      <w:bookmarkStart w:id="4195" w:name="_Toc307584074"/>
      <w:bookmarkStart w:id="4196" w:name="_Toc307937348"/>
      <w:bookmarkStart w:id="4197" w:name="_Toc348508790"/>
      <w:bookmarkStart w:id="4198" w:name="_Toc362256805"/>
      <w:bookmarkStart w:id="4199" w:name="_Toc366056559"/>
      <w:bookmarkStart w:id="4200" w:name="_Toc366223761"/>
      <w:bookmarkStart w:id="4201" w:name="_Toc366229474"/>
      <w:bookmarkStart w:id="4202" w:name="_Toc366583517"/>
      <w:r w:rsidRPr="001F60FA">
        <w:t>Final Payments</w:t>
      </w:r>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p>
    <w:p w:rsidR="00607806" w:rsidRPr="001C2E9C" w:rsidRDefault="00607806" w:rsidP="00C07C81">
      <w:pPr>
        <w:pStyle w:val="ParaNum"/>
        <w:widowControl/>
        <w:tabs>
          <w:tab w:val="clear" w:pos="1260"/>
          <w:tab w:val="left" w:pos="1440"/>
        </w:tabs>
        <w:ind w:left="0"/>
        <w:rPr>
          <w:szCs w:val="22"/>
        </w:rPr>
      </w:pPr>
      <w:r w:rsidRPr="001F60FA">
        <w:rPr>
          <w:szCs w:val="22"/>
        </w:rPr>
        <w:t xml:space="preserve">Each winning </w:t>
      </w:r>
      <w:r w:rsidRPr="00893034">
        <w:rPr>
          <w:color w:val="000000"/>
          <w:szCs w:val="22"/>
        </w:rPr>
        <w:t>bidder</w:t>
      </w:r>
      <w:r w:rsidRPr="001F60FA">
        <w:rPr>
          <w:szCs w:val="22"/>
        </w:rPr>
        <w:t xml:space="preserve"> will be required to submit the balance of the net amount of its winning bids within </w:t>
      </w:r>
      <w:r w:rsidR="00984952" w:rsidRPr="001F60FA">
        <w:rPr>
          <w:szCs w:val="22"/>
        </w:rPr>
        <w:t>ten</w:t>
      </w:r>
      <w:r w:rsidRPr="001F60FA">
        <w:rPr>
          <w:szCs w:val="22"/>
        </w:rPr>
        <w:t xml:space="preserve"> business days after the </w:t>
      </w:r>
      <w:r w:rsidR="00C62BF4" w:rsidRPr="001F60FA">
        <w:rPr>
          <w:szCs w:val="22"/>
        </w:rPr>
        <w:t xml:space="preserve">applicable </w:t>
      </w:r>
      <w:r w:rsidRPr="001F60FA">
        <w:rPr>
          <w:szCs w:val="22"/>
        </w:rPr>
        <w:t>deadline for submitti</w:t>
      </w:r>
      <w:r w:rsidRPr="001C2E9C">
        <w:rPr>
          <w:szCs w:val="22"/>
        </w:rPr>
        <w:t>ng down payments.</w:t>
      </w:r>
      <w:r w:rsidRPr="00CA6286">
        <w:rPr>
          <w:rStyle w:val="FootnoteReference"/>
          <w:szCs w:val="22"/>
        </w:rPr>
        <w:footnoteReference w:id="283"/>
      </w:r>
    </w:p>
    <w:p w:rsidR="00607806" w:rsidRPr="00713BE8" w:rsidRDefault="00607806" w:rsidP="00C07C81">
      <w:pPr>
        <w:pStyle w:val="Heading2"/>
        <w:widowControl/>
      </w:pPr>
      <w:bookmarkStart w:id="4203" w:name="_Toc483218180"/>
      <w:bookmarkStart w:id="4204" w:name="_Toc109812281"/>
      <w:bookmarkStart w:id="4205" w:name="_Toc124844790"/>
      <w:bookmarkStart w:id="4206" w:name="_Toc124844918"/>
      <w:bookmarkStart w:id="4207" w:name="_Toc124845577"/>
      <w:bookmarkStart w:id="4208" w:name="_Toc124845845"/>
      <w:bookmarkStart w:id="4209" w:name="_Toc124845919"/>
      <w:bookmarkStart w:id="4210" w:name="_Toc124845993"/>
      <w:bookmarkStart w:id="4211" w:name="_Toc124846165"/>
      <w:bookmarkStart w:id="4212" w:name="_Toc124848288"/>
      <w:bookmarkStart w:id="4213" w:name="_Toc124907539"/>
      <w:bookmarkStart w:id="4214" w:name="_Toc129773508"/>
      <w:bookmarkStart w:id="4215" w:name="_Toc130210046"/>
      <w:bookmarkStart w:id="4216" w:name="_Toc130730973"/>
      <w:bookmarkStart w:id="4217" w:name="_Toc130814201"/>
      <w:bookmarkStart w:id="4218" w:name="_Toc130814523"/>
      <w:bookmarkStart w:id="4219" w:name="_Toc130814655"/>
      <w:bookmarkStart w:id="4220" w:name="_Toc130883538"/>
      <w:bookmarkStart w:id="4221" w:name="_Toc130885648"/>
      <w:bookmarkStart w:id="4222" w:name="_Toc131844627"/>
      <w:bookmarkStart w:id="4223" w:name="_Toc148330563"/>
      <w:bookmarkStart w:id="4224" w:name="_Toc148336330"/>
      <w:bookmarkStart w:id="4225" w:name="_Toc148337771"/>
      <w:bookmarkStart w:id="4226" w:name="_Toc148338094"/>
      <w:bookmarkStart w:id="4227" w:name="_Toc148339804"/>
      <w:bookmarkStart w:id="4228" w:name="_Toc148339901"/>
      <w:bookmarkStart w:id="4229" w:name="_Toc149645611"/>
      <w:bookmarkStart w:id="4230" w:name="_Toc149997914"/>
      <w:bookmarkStart w:id="4231" w:name="_Toc158180789"/>
      <w:bookmarkStart w:id="4232" w:name="_Toc158785637"/>
      <w:bookmarkStart w:id="4233" w:name="_Toc178768547"/>
      <w:bookmarkStart w:id="4234" w:name="_Toc179195988"/>
      <w:bookmarkStart w:id="4235" w:name="_Toc179361950"/>
      <w:bookmarkStart w:id="4236" w:name="_Toc179363734"/>
      <w:bookmarkStart w:id="4237" w:name="_Toc197504969"/>
      <w:bookmarkStart w:id="4238" w:name="_Toc198007750"/>
      <w:bookmarkStart w:id="4239" w:name="_Toc198007901"/>
      <w:bookmarkStart w:id="4240" w:name="_Toc198008253"/>
      <w:bookmarkStart w:id="4241" w:name="_Toc198008390"/>
      <w:bookmarkStart w:id="4242" w:name="_Toc198008937"/>
      <w:bookmarkStart w:id="4243" w:name="_Toc198369833"/>
      <w:bookmarkStart w:id="4244" w:name="_Toc198369970"/>
      <w:bookmarkStart w:id="4245" w:name="_Toc198372882"/>
      <w:bookmarkStart w:id="4246" w:name="_Toc198372985"/>
      <w:bookmarkStart w:id="4247" w:name="_Toc198373113"/>
      <w:bookmarkStart w:id="4248" w:name="_Toc198373283"/>
      <w:bookmarkStart w:id="4249" w:name="_Toc198627200"/>
      <w:bookmarkStart w:id="4250" w:name="_Toc198627306"/>
      <w:bookmarkStart w:id="4251" w:name="_Toc216090757"/>
      <w:bookmarkStart w:id="4252" w:name="_Toc226958263"/>
      <w:bookmarkStart w:id="4253" w:name="_Toc227038323"/>
      <w:bookmarkStart w:id="4254" w:name="_Toc254792628"/>
      <w:bookmarkStart w:id="4255" w:name="_Toc256669752"/>
      <w:bookmarkStart w:id="4256" w:name="_Toc257213285"/>
      <w:bookmarkStart w:id="4257" w:name="_Toc257277787"/>
      <w:bookmarkStart w:id="4258" w:name="_Toc257278748"/>
      <w:bookmarkStart w:id="4259" w:name="_Toc257278958"/>
      <w:bookmarkStart w:id="4260" w:name="_Toc257279326"/>
      <w:bookmarkStart w:id="4261" w:name="_Toc257382970"/>
      <w:bookmarkStart w:id="4262" w:name="_Toc274056229"/>
      <w:bookmarkStart w:id="4263" w:name="_Toc276657635"/>
      <w:bookmarkStart w:id="4264" w:name="_Toc278366481"/>
      <w:bookmarkStart w:id="4265" w:name="_Toc307584075"/>
      <w:bookmarkStart w:id="4266" w:name="_Toc307937349"/>
      <w:bookmarkStart w:id="4267" w:name="_Toc348508791"/>
      <w:bookmarkStart w:id="4268" w:name="_Toc362256806"/>
      <w:bookmarkStart w:id="4269" w:name="_Toc366056560"/>
      <w:bookmarkStart w:id="4270" w:name="_Toc366223762"/>
      <w:bookmarkStart w:id="4271" w:name="_Toc366229475"/>
      <w:bookmarkStart w:id="4272" w:name="_Toc366583518"/>
      <w:r w:rsidRPr="001C2E9C">
        <w:t>Long-Form Application</w:t>
      </w:r>
      <w:bookmarkEnd w:id="4203"/>
      <w:r w:rsidRPr="001C2E9C">
        <w:t xml:space="preserve"> (</w:t>
      </w:r>
      <w:r w:rsidRPr="00713BE8">
        <w:t xml:space="preserve">FCC Form </w:t>
      </w:r>
      <w:r w:rsidR="00E7362C">
        <w:t>6</w:t>
      </w:r>
      <w:r w:rsidRPr="00713BE8">
        <w:t>01)</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p>
    <w:p w:rsidR="00607806" w:rsidRPr="00E7362C" w:rsidRDefault="00E7362C" w:rsidP="00C07C81">
      <w:pPr>
        <w:pStyle w:val="ParaNum"/>
        <w:widowControl/>
        <w:tabs>
          <w:tab w:val="clear" w:pos="1260"/>
          <w:tab w:val="left" w:pos="1440"/>
        </w:tabs>
        <w:ind w:left="0"/>
      </w:pPr>
      <w:bookmarkStart w:id="4273" w:name="_Toc483218181"/>
      <w:r>
        <w:rPr>
          <w:szCs w:val="22"/>
        </w:rPr>
        <w:t>Within ten business days after release of the auction closing notice, winning bidders must electronically submit a properly completed long-form application (FCC Form 601) for the license(s) they won through Auction 9</w:t>
      </w:r>
      <w:r w:rsidR="00E246D2">
        <w:rPr>
          <w:szCs w:val="22"/>
        </w:rPr>
        <w:t>6</w:t>
      </w:r>
      <w:r>
        <w:rPr>
          <w:szCs w:val="22"/>
        </w:rPr>
        <w:t>.  Winning bidders claiming eligibility for a small business bidding credit must demonstrate their eligibility for the bidding credit.</w:t>
      </w:r>
      <w:r>
        <w:rPr>
          <w:rStyle w:val="FootnoteReference"/>
          <w:szCs w:val="22"/>
        </w:rPr>
        <w:footnoteReference w:id="284"/>
      </w:r>
      <w:r>
        <w:rPr>
          <w:szCs w:val="22"/>
        </w:rPr>
        <w:t xml:space="preserve">  Further instructions</w:t>
      </w:r>
      <w:r>
        <w:t xml:space="preserve"> on these and other filing requirements</w:t>
      </w:r>
      <w:r>
        <w:rPr>
          <w:szCs w:val="22"/>
        </w:rPr>
        <w:t xml:space="preserve"> will be provided to winning bidders in the auction closing public notice.</w:t>
      </w:r>
    </w:p>
    <w:p w:rsidR="00E7362C" w:rsidRPr="00E7362C" w:rsidRDefault="00E7362C" w:rsidP="00C07C81">
      <w:pPr>
        <w:pStyle w:val="ParaNum"/>
        <w:widowControl/>
        <w:tabs>
          <w:tab w:val="clear" w:pos="1260"/>
          <w:tab w:val="left" w:pos="1440"/>
        </w:tabs>
        <w:ind w:left="0"/>
      </w:pPr>
      <w:r>
        <w:rPr>
          <w:szCs w:val="22"/>
        </w:rPr>
        <w:t xml:space="preserve">Winning bidders organized as bidding consortia must comply with the long-form application procedures established in the </w:t>
      </w:r>
      <w:r>
        <w:rPr>
          <w:i/>
          <w:szCs w:val="22"/>
        </w:rPr>
        <w:t>CSEA/Part 1</w:t>
      </w:r>
      <w:r>
        <w:rPr>
          <w:szCs w:val="22"/>
        </w:rPr>
        <w:t xml:space="preserve"> </w:t>
      </w:r>
      <w:r>
        <w:rPr>
          <w:i/>
          <w:szCs w:val="22"/>
        </w:rPr>
        <w:t>Report and Order</w:t>
      </w:r>
      <w:r>
        <w:rPr>
          <w:szCs w:val="22"/>
        </w:rPr>
        <w:t>.</w:t>
      </w:r>
      <w:r>
        <w:rPr>
          <w:rStyle w:val="FootnoteReference"/>
          <w:szCs w:val="22"/>
        </w:rPr>
        <w:footnoteReference w:id="285"/>
      </w:r>
      <w:r>
        <w:rPr>
          <w:szCs w:val="22"/>
        </w:rPr>
        <w:t xml:space="preserve">  Specifically, each member (or group of members) of a winning consortium seeking separate licenses will be required to file a separate long-form application for its respective license(s).  If the license is to be partitioned or disaggregated, the member (or group) filing the long-form application must provide the relevant partitioning or disaggregation agreement in its long-form application.  In addition, if two or more consortium members wish to be licensed together, they must first form a legal business entity, and any such entity must meet the applicable designated entity criteria.</w:t>
      </w:r>
      <w:r>
        <w:rPr>
          <w:rStyle w:val="FootnoteReference"/>
          <w:bCs/>
          <w:szCs w:val="22"/>
        </w:rPr>
        <w:footnoteReference w:id="286"/>
      </w:r>
    </w:p>
    <w:p w:rsidR="00E7362C" w:rsidRDefault="00E7362C" w:rsidP="00E7362C">
      <w:pPr>
        <w:pStyle w:val="Heading2"/>
      </w:pPr>
      <w:bookmarkStart w:id="4274" w:name="_Toc348508792"/>
      <w:bookmarkStart w:id="4275" w:name="_Toc362256807"/>
      <w:bookmarkStart w:id="4276" w:name="_Toc366056561"/>
      <w:bookmarkStart w:id="4277" w:name="_Toc366223763"/>
      <w:bookmarkStart w:id="4278" w:name="_Toc366229476"/>
      <w:bookmarkStart w:id="4279" w:name="_Toc366583519"/>
      <w:r>
        <w:t>Ownership Disclosure Information Report (FCC Form 602)</w:t>
      </w:r>
      <w:bookmarkEnd w:id="4274"/>
      <w:bookmarkEnd w:id="4275"/>
      <w:bookmarkEnd w:id="4276"/>
      <w:bookmarkEnd w:id="4277"/>
      <w:bookmarkEnd w:id="4278"/>
      <w:bookmarkEnd w:id="4279"/>
    </w:p>
    <w:p w:rsidR="00E7362C" w:rsidRPr="00E7362C" w:rsidRDefault="00E7362C" w:rsidP="00E7362C">
      <w:pPr>
        <w:pStyle w:val="ParaNum"/>
        <w:widowControl/>
        <w:tabs>
          <w:tab w:val="clear" w:pos="1260"/>
          <w:tab w:val="left" w:pos="1440"/>
        </w:tabs>
        <w:ind w:left="0"/>
      </w:pPr>
      <w:r>
        <w:rPr>
          <w:szCs w:val="22"/>
        </w:rPr>
        <w:t>Within ten business days after release of the auction closing public notice, each winning bidder must also comply with the ownership reporting requirements in sections 1.913, 1.919, and 1.2112 of the Commission’s rules by submitting an ownership disclosure information report for wireless telecommunications services (FCC Form 602) with its long-form application.</w:t>
      </w:r>
      <w:r>
        <w:rPr>
          <w:rStyle w:val="FootnoteReference"/>
          <w:szCs w:val="22"/>
        </w:rPr>
        <w:footnoteReference w:id="287"/>
      </w:r>
    </w:p>
    <w:p w:rsidR="00E7362C" w:rsidRPr="00E7362C" w:rsidRDefault="00E7362C" w:rsidP="00E7362C">
      <w:pPr>
        <w:pStyle w:val="ParaNum"/>
        <w:widowControl/>
        <w:tabs>
          <w:tab w:val="clear" w:pos="1260"/>
          <w:tab w:val="left" w:pos="1440"/>
        </w:tabs>
        <w:ind w:left="0"/>
      </w:pPr>
      <w:r>
        <w:t>If an applicant already has a complete and accurate FCC Form 602 on file in ULS,</w:t>
      </w:r>
      <w:r>
        <w:rPr>
          <w:szCs w:val="22"/>
        </w:rPr>
        <w:t xml:space="preserve"> it is not necessary to file a new report, but </w:t>
      </w:r>
      <w:r>
        <w:t xml:space="preserve">applicants must verify that the information on file with the Commission is complete and accurate.  </w:t>
      </w:r>
      <w:r>
        <w:rPr>
          <w:szCs w:val="22"/>
        </w:rPr>
        <w:t>If the applicant does not have an FCC Form 602 on file, or if it is not complete and accurate, the applicant must submit one.</w:t>
      </w:r>
    </w:p>
    <w:p w:rsidR="00E7362C" w:rsidRPr="00E7362C" w:rsidRDefault="00E7362C" w:rsidP="00E7362C">
      <w:pPr>
        <w:pStyle w:val="ParaNum"/>
        <w:widowControl/>
        <w:tabs>
          <w:tab w:val="clear" w:pos="1260"/>
          <w:tab w:val="left" w:pos="1440"/>
        </w:tabs>
        <w:ind w:left="0"/>
      </w:pPr>
      <w:r>
        <w:rPr>
          <w:szCs w:val="22"/>
        </w:rPr>
        <w:t>When an applicant submits a short-form application, ULS automatically creates an ownership record.  This record is not an FCC Form 602, but may be used to pre-fill the FCC Form 602 with the ownership information submitted on the applicant’s short-form application.  Applicants must review the pre-filled information and confirm that it is complete and accurate as of the filing date of the long-form application before certifying and submitting the FCC Form 602.  Further instructions will be provided to winning bidders in the auction closing public notice.</w:t>
      </w:r>
    </w:p>
    <w:p w:rsidR="00E7362C" w:rsidRDefault="00E7362C" w:rsidP="00C07C81">
      <w:pPr>
        <w:pStyle w:val="Heading2"/>
        <w:widowControl/>
      </w:pPr>
      <w:bookmarkStart w:id="4280" w:name="_Toc348508793"/>
      <w:bookmarkStart w:id="4281" w:name="_Toc362256808"/>
      <w:bookmarkStart w:id="4282" w:name="_Toc366056562"/>
      <w:bookmarkStart w:id="4283" w:name="_Toc366223764"/>
      <w:bookmarkStart w:id="4284" w:name="_Toc366229477"/>
      <w:bookmarkStart w:id="4285" w:name="_Toc366583520"/>
      <w:bookmarkStart w:id="4286" w:name="_Toc109812284"/>
      <w:bookmarkStart w:id="4287" w:name="_Toc124844793"/>
      <w:bookmarkStart w:id="4288" w:name="_Toc124844921"/>
      <w:bookmarkStart w:id="4289" w:name="_Toc124845580"/>
      <w:bookmarkStart w:id="4290" w:name="_Toc124845848"/>
      <w:bookmarkStart w:id="4291" w:name="_Toc124845922"/>
      <w:bookmarkStart w:id="4292" w:name="_Toc124845996"/>
      <w:bookmarkStart w:id="4293" w:name="_Toc124846168"/>
      <w:bookmarkStart w:id="4294" w:name="_Toc124848291"/>
      <w:bookmarkStart w:id="4295" w:name="_Toc124907542"/>
      <w:bookmarkStart w:id="4296" w:name="_Toc129773511"/>
      <w:bookmarkStart w:id="4297" w:name="_Toc130210049"/>
      <w:bookmarkStart w:id="4298" w:name="_Toc130730976"/>
      <w:bookmarkStart w:id="4299" w:name="_Toc130814204"/>
      <w:bookmarkStart w:id="4300" w:name="_Toc130814526"/>
      <w:bookmarkStart w:id="4301" w:name="_Toc130814658"/>
      <w:bookmarkStart w:id="4302" w:name="_Toc130883541"/>
      <w:bookmarkStart w:id="4303" w:name="_Toc130885651"/>
      <w:bookmarkStart w:id="4304" w:name="_Toc131844630"/>
      <w:bookmarkStart w:id="4305" w:name="_Toc148330566"/>
      <w:bookmarkStart w:id="4306" w:name="_Toc148336333"/>
      <w:bookmarkStart w:id="4307" w:name="_Toc148337774"/>
      <w:bookmarkStart w:id="4308" w:name="_Toc148338097"/>
      <w:bookmarkStart w:id="4309" w:name="_Toc148339807"/>
      <w:bookmarkStart w:id="4310" w:name="_Toc148339904"/>
      <w:bookmarkStart w:id="4311" w:name="_Toc149645614"/>
      <w:bookmarkStart w:id="4312" w:name="_Toc149997917"/>
      <w:bookmarkStart w:id="4313" w:name="_Toc158180792"/>
      <w:bookmarkStart w:id="4314" w:name="_Toc158785640"/>
      <w:bookmarkStart w:id="4315" w:name="_Toc178768550"/>
      <w:bookmarkStart w:id="4316" w:name="_Toc179195991"/>
      <w:bookmarkStart w:id="4317" w:name="_Toc179361953"/>
      <w:bookmarkStart w:id="4318" w:name="_Toc179363737"/>
      <w:bookmarkStart w:id="4319" w:name="_Toc197504972"/>
      <w:bookmarkStart w:id="4320" w:name="_Toc198007753"/>
      <w:bookmarkStart w:id="4321" w:name="_Toc198007904"/>
      <w:bookmarkStart w:id="4322" w:name="_Toc198008256"/>
      <w:bookmarkStart w:id="4323" w:name="_Toc198008393"/>
      <w:bookmarkStart w:id="4324" w:name="_Toc198008940"/>
      <w:bookmarkStart w:id="4325" w:name="_Toc198369836"/>
      <w:bookmarkStart w:id="4326" w:name="_Toc198369973"/>
      <w:bookmarkStart w:id="4327" w:name="_Toc198372885"/>
      <w:bookmarkStart w:id="4328" w:name="_Toc198372988"/>
      <w:bookmarkStart w:id="4329" w:name="_Toc198373116"/>
      <w:bookmarkStart w:id="4330" w:name="_Toc198373286"/>
      <w:bookmarkStart w:id="4331" w:name="_Toc198627203"/>
      <w:bookmarkStart w:id="4332" w:name="_Toc198627309"/>
      <w:bookmarkStart w:id="4333" w:name="_Toc216090758"/>
      <w:bookmarkStart w:id="4334" w:name="_Toc226958264"/>
      <w:bookmarkStart w:id="4335" w:name="_Toc227038324"/>
      <w:bookmarkStart w:id="4336" w:name="_Toc254792629"/>
      <w:bookmarkStart w:id="4337" w:name="_Toc256669753"/>
      <w:bookmarkStart w:id="4338" w:name="_Toc257213286"/>
      <w:bookmarkStart w:id="4339" w:name="_Toc257277788"/>
      <w:bookmarkStart w:id="4340" w:name="_Toc257278749"/>
      <w:bookmarkStart w:id="4341" w:name="_Toc257278959"/>
      <w:bookmarkStart w:id="4342" w:name="_Toc257279327"/>
      <w:bookmarkStart w:id="4343" w:name="_Toc257382971"/>
      <w:bookmarkStart w:id="4344" w:name="_Toc274056230"/>
      <w:bookmarkStart w:id="4345" w:name="_Toc276657636"/>
      <w:bookmarkStart w:id="4346" w:name="_Toc278366482"/>
      <w:bookmarkStart w:id="4347" w:name="_Toc307584076"/>
      <w:bookmarkStart w:id="4348" w:name="_Toc307937350"/>
      <w:r>
        <w:t>Tribal Lands Bidding Credit</w:t>
      </w:r>
      <w:bookmarkEnd w:id="4280"/>
      <w:bookmarkEnd w:id="4281"/>
      <w:bookmarkEnd w:id="4282"/>
      <w:bookmarkEnd w:id="4283"/>
      <w:bookmarkEnd w:id="4284"/>
      <w:bookmarkEnd w:id="4285"/>
    </w:p>
    <w:p w:rsidR="00E7362C" w:rsidRPr="00E7362C" w:rsidRDefault="00E7362C" w:rsidP="00E7362C">
      <w:pPr>
        <w:pStyle w:val="ParaNum"/>
        <w:widowControl/>
        <w:tabs>
          <w:tab w:val="clear" w:pos="1260"/>
          <w:tab w:val="left" w:pos="1440"/>
        </w:tabs>
        <w:ind w:left="0"/>
      </w:pPr>
      <w:r>
        <w:rPr>
          <w:szCs w:val="22"/>
        </w:rPr>
        <w:t>A winning bidder that intends to use its license(s) to deploy facilities and provide services to federally recognized tribal lands that are unserved by any telecommunications carrier or that have a wireline penetration rate equal to or below 85 percent is eligible to receive a tribal lands bidding credit as set forth in sections 1.2107 and 1.2110(f)</w:t>
      </w:r>
      <w:r w:rsidR="00AF4025">
        <w:rPr>
          <w:szCs w:val="22"/>
        </w:rPr>
        <w:t xml:space="preserve"> of the Commission’s rules</w:t>
      </w:r>
      <w:r>
        <w:rPr>
          <w:szCs w:val="22"/>
        </w:rPr>
        <w:t>.</w:t>
      </w:r>
      <w:r>
        <w:rPr>
          <w:rStyle w:val="FootnoteReference"/>
          <w:szCs w:val="22"/>
        </w:rPr>
        <w:footnoteReference w:id="288"/>
      </w:r>
      <w:r>
        <w:rPr>
          <w:szCs w:val="22"/>
        </w:rPr>
        <w:t xml:space="preserve">  A tribal lands bidding credit is in addition to, and separate from, any other bidding credit for which a winning bidder may qualify.</w:t>
      </w:r>
    </w:p>
    <w:p w:rsidR="00E7362C" w:rsidRPr="00E7362C" w:rsidRDefault="00B0654F" w:rsidP="00E7362C">
      <w:pPr>
        <w:pStyle w:val="ParaNum"/>
        <w:widowControl/>
        <w:tabs>
          <w:tab w:val="clear" w:pos="1260"/>
          <w:tab w:val="left" w:pos="1440"/>
        </w:tabs>
        <w:ind w:left="0"/>
      </w:pPr>
      <w:r>
        <w:rPr>
          <w:szCs w:val="22"/>
        </w:rPr>
        <w:t>Unlike other bidding credits that are requested prior to the auction, a winning bidder applies for the tribal lands bidding credit after the auction when it files its long-form application (FCC Form 601).  When initially filing the long-form application, the winning bidder will be required to advise the Commission whether it intends to seek a tribal lands bidding credit, for each license won in the auction, by checking the designated box(es).  After stating its intent to seek a tribal lands bidding credit, the applicant will have 180 days from the close of the long-form application filing window to amend its application to select the specific tribal lands to be served and provide the required tribal government certifications.  Licensees receiving a tribal lands bidding credit are subject to performance criteria as set forth in section 1.2110(f)(3)(vii).</w:t>
      </w:r>
      <w:r>
        <w:rPr>
          <w:rStyle w:val="FootnoteReference"/>
          <w:szCs w:val="22"/>
        </w:rPr>
        <w:footnoteReference w:id="289"/>
      </w:r>
    </w:p>
    <w:p w:rsidR="00E7362C" w:rsidRPr="00E7362C" w:rsidRDefault="00E7362C" w:rsidP="00E7362C">
      <w:pPr>
        <w:pStyle w:val="ParaNum"/>
        <w:widowControl/>
        <w:tabs>
          <w:tab w:val="clear" w:pos="1260"/>
          <w:tab w:val="left" w:pos="1440"/>
        </w:tabs>
        <w:ind w:left="0"/>
      </w:pPr>
      <w:r>
        <w:rPr>
          <w:szCs w:val="22"/>
        </w:rPr>
        <w:t>For additional information on the tribal lands bidding credit, including how the amount of the credit is calculated, applicants should review the Commission’s rulemaking proceeding regarding tribal lands bidding credits and related public notices.</w:t>
      </w:r>
      <w:bookmarkStart w:id="4349" w:name="_Hlt493639049"/>
      <w:r>
        <w:rPr>
          <w:rStyle w:val="FootnoteReference"/>
          <w:szCs w:val="22"/>
        </w:rPr>
        <w:footnoteReference w:id="290"/>
      </w:r>
      <w:r>
        <w:rPr>
          <w:szCs w:val="22"/>
        </w:rPr>
        <w:t xml:space="preserve">  Relevant documents can be viewed on the Commission’s web site by going to </w:t>
      </w:r>
      <w:hyperlink r:id="rId20" w:history="1">
        <w:r w:rsidRPr="000B767D">
          <w:rPr>
            <w:rStyle w:val="Hyperlink"/>
            <w:szCs w:val="22"/>
          </w:rPr>
          <w:t>http://wireless.fcc.gov/auctions/</w:t>
        </w:r>
      </w:hyperlink>
      <w:r>
        <w:rPr>
          <w:szCs w:val="22"/>
        </w:rPr>
        <w:t xml:space="preserve"> and clicking on the </w:t>
      </w:r>
      <w:r>
        <w:rPr>
          <w:b/>
          <w:szCs w:val="22"/>
        </w:rPr>
        <w:t>Tribal Lands Credits</w:t>
      </w:r>
      <w:r>
        <w:rPr>
          <w:szCs w:val="22"/>
        </w:rPr>
        <w:t xml:space="preserve"> link.</w:t>
      </w:r>
      <w:bookmarkEnd w:id="4349"/>
    </w:p>
    <w:p w:rsidR="00607806" w:rsidRPr="001C2E9C" w:rsidRDefault="00607806" w:rsidP="00C07C81">
      <w:pPr>
        <w:pStyle w:val="Heading2"/>
        <w:widowControl/>
      </w:pPr>
      <w:bookmarkStart w:id="4350" w:name="_Toc348508794"/>
      <w:bookmarkStart w:id="4351" w:name="_Toc362256809"/>
      <w:bookmarkStart w:id="4352" w:name="_Toc366056563"/>
      <w:bookmarkStart w:id="4353" w:name="_Toc366223765"/>
      <w:bookmarkStart w:id="4354" w:name="_Toc366229478"/>
      <w:bookmarkStart w:id="4355" w:name="_Toc366583521"/>
      <w:r w:rsidRPr="001C2E9C">
        <w:t>Default and Disqualification</w:t>
      </w:r>
      <w:bookmarkEnd w:id="4273"/>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50"/>
      <w:bookmarkEnd w:id="4351"/>
      <w:bookmarkEnd w:id="4352"/>
      <w:bookmarkEnd w:id="4353"/>
      <w:bookmarkEnd w:id="4354"/>
      <w:bookmarkEnd w:id="4355"/>
    </w:p>
    <w:p w:rsidR="00975586" w:rsidRPr="001C2E9C" w:rsidRDefault="00607806" w:rsidP="00C07C81">
      <w:pPr>
        <w:pStyle w:val="ParaNum"/>
        <w:widowControl/>
        <w:tabs>
          <w:tab w:val="clear" w:pos="1260"/>
          <w:tab w:val="left" w:pos="1440"/>
        </w:tabs>
        <w:ind w:left="0"/>
        <w:rPr>
          <w:szCs w:val="22"/>
        </w:rPr>
      </w:pPr>
      <w:r w:rsidRPr="001C2E9C">
        <w:rPr>
          <w:szCs w:val="22"/>
        </w:rPr>
        <w:t xml:space="preserve">Any winning bidder that defaults or is disqualified after the close of the auction (i.e., fails to remit the required down payment within the prescribed period of time, fails to submit a timely long-form application, fails to make full payment, or is otherwise disqualified) will be subject to the payments described in </w:t>
      </w:r>
      <w:r w:rsidR="00415E2E">
        <w:rPr>
          <w:szCs w:val="22"/>
        </w:rPr>
        <w:t>s</w:t>
      </w:r>
      <w:r w:rsidR="00915E0F">
        <w:rPr>
          <w:szCs w:val="22"/>
        </w:rPr>
        <w:t>ection</w:t>
      </w:r>
      <w:r w:rsidRPr="001C2E9C">
        <w:rPr>
          <w:szCs w:val="22"/>
        </w:rPr>
        <w:t xml:space="preserve"> 1.2104(g)(2).</w:t>
      </w:r>
      <w:r w:rsidR="00915E0F">
        <w:rPr>
          <w:rStyle w:val="FootnoteReference"/>
          <w:szCs w:val="22"/>
        </w:rPr>
        <w:footnoteReference w:id="291"/>
      </w:r>
      <w:r w:rsidRPr="001C2E9C">
        <w:rPr>
          <w:szCs w:val="22"/>
        </w:rPr>
        <w:t xml:space="preserve">  Th</w:t>
      </w:r>
      <w:r w:rsidR="009768DB">
        <w:rPr>
          <w:szCs w:val="22"/>
        </w:rPr>
        <w:t xml:space="preserve">is </w:t>
      </w:r>
      <w:r w:rsidRPr="001C2E9C">
        <w:rPr>
          <w:szCs w:val="22"/>
        </w:rPr>
        <w:t xml:space="preserve">payment </w:t>
      </w:r>
      <w:r w:rsidR="009768DB">
        <w:rPr>
          <w:szCs w:val="22"/>
        </w:rPr>
        <w:t xml:space="preserve">consists of </w:t>
      </w:r>
      <w:r w:rsidRPr="001C2E9C">
        <w:rPr>
          <w:szCs w:val="22"/>
        </w:rPr>
        <w:t xml:space="preserve">a deficiency payment, equal to the difference between the amount of the </w:t>
      </w:r>
      <w:r w:rsidR="009768DB">
        <w:rPr>
          <w:szCs w:val="22"/>
        </w:rPr>
        <w:t>Auction 9</w:t>
      </w:r>
      <w:r w:rsidR="00E246D2">
        <w:rPr>
          <w:szCs w:val="22"/>
        </w:rPr>
        <w:t>6</w:t>
      </w:r>
      <w:r w:rsidR="009768DB">
        <w:rPr>
          <w:szCs w:val="22"/>
        </w:rPr>
        <w:t xml:space="preserve"> </w:t>
      </w:r>
      <w:r w:rsidRPr="001C2E9C">
        <w:rPr>
          <w:szCs w:val="22"/>
        </w:rPr>
        <w:t xml:space="preserve">bidder’s </w:t>
      </w:r>
      <w:r w:rsidR="009768DB">
        <w:rPr>
          <w:szCs w:val="22"/>
        </w:rPr>
        <w:t xml:space="preserve">winning </w:t>
      </w:r>
      <w:r w:rsidRPr="001C2E9C">
        <w:rPr>
          <w:szCs w:val="22"/>
        </w:rPr>
        <w:t xml:space="preserve">bid and the amount of the winning bid the next time a </w:t>
      </w:r>
      <w:r w:rsidR="00E7362C">
        <w:rPr>
          <w:szCs w:val="22"/>
        </w:rPr>
        <w:t>license</w:t>
      </w:r>
      <w:r w:rsidRPr="001C2E9C">
        <w:rPr>
          <w:szCs w:val="22"/>
        </w:rPr>
        <w:t xml:space="preserve"> covering the same spectrum is won in an auction, plus an additional payment equal to a percentage of the defaulter’s bid or of the subsequent winning bid, whichever is less.  </w:t>
      </w:r>
    </w:p>
    <w:p w:rsidR="0097196E" w:rsidRPr="0026232C" w:rsidRDefault="00D76018" w:rsidP="0026232C">
      <w:pPr>
        <w:pStyle w:val="ParaNum"/>
        <w:widowControl/>
        <w:tabs>
          <w:tab w:val="clear" w:pos="1260"/>
          <w:tab w:val="left" w:pos="1440"/>
        </w:tabs>
        <w:ind w:left="0"/>
        <w:rPr>
          <w:szCs w:val="22"/>
        </w:rPr>
      </w:pPr>
      <w:r>
        <w:rPr>
          <w:szCs w:val="22"/>
        </w:rPr>
        <w:t xml:space="preserve">As noted in the </w:t>
      </w:r>
      <w:r w:rsidRPr="00260E33">
        <w:rPr>
          <w:i/>
          <w:szCs w:val="22"/>
        </w:rPr>
        <w:t>Auction 96 Comment Public Notice</w:t>
      </w:r>
      <w:r>
        <w:rPr>
          <w:i/>
          <w:szCs w:val="22"/>
        </w:rPr>
        <w:t xml:space="preserve">, </w:t>
      </w:r>
      <w:r w:rsidRPr="00D76018">
        <w:rPr>
          <w:szCs w:val="22"/>
        </w:rPr>
        <w:t>t</w:t>
      </w:r>
      <w:r w:rsidRPr="0064234E">
        <w:t xml:space="preserve">he percentage of the bid that a defaulting bidder must pay in addition to the deficiency will depend on the auction format ultimately chosen for a particular auction.  </w:t>
      </w:r>
      <w:r w:rsidR="000571A1">
        <w:t>T</w:t>
      </w:r>
      <w:r w:rsidR="0097196E" w:rsidRPr="0064234E">
        <w:t>he amount can range from three percent up to a maximum of twenty percent, established in advance of the auction and based on the nature of the service and the inventory of the licenses being offered</w:t>
      </w:r>
      <w:r w:rsidR="0097196E">
        <w:t>.</w:t>
      </w:r>
      <w:r w:rsidR="0097196E" w:rsidRPr="0064234E">
        <w:rPr>
          <w:rStyle w:val="FootnoteReference"/>
        </w:rPr>
        <w:footnoteReference w:id="292"/>
      </w:r>
      <w:r w:rsidR="0097196E" w:rsidRPr="0064234E">
        <w:t xml:space="preserve"> </w:t>
      </w:r>
      <w:r w:rsidR="0097196E">
        <w:t>Accordingly</w:t>
      </w:r>
      <w:r w:rsidR="0097196E" w:rsidRPr="0064234E">
        <w:t>, we s</w:t>
      </w:r>
      <w:r w:rsidR="0097196E">
        <w:t>ought</w:t>
      </w:r>
      <w:r w:rsidR="0097196E" w:rsidRPr="0064234E">
        <w:t xml:space="preserve"> comment </w:t>
      </w:r>
      <w:r w:rsidR="0097196E">
        <w:t>in the</w:t>
      </w:r>
      <w:r w:rsidR="0097196E" w:rsidRPr="0026232C">
        <w:rPr>
          <w:i/>
          <w:szCs w:val="22"/>
        </w:rPr>
        <w:t xml:space="preserve"> Auction 96 Comment Public Notice </w:t>
      </w:r>
      <w:r w:rsidR="0097196E" w:rsidRPr="0064234E">
        <w:t xml:space="preserve">on an appropriate additional default payment percentage in the event we do not conduct Auction 96 with package bidding procedures.  As </w:t>
      </w:r>
      <w:r w:rsidR="0097196E">
        <w:t xml:space="preserve">we </w:t>
      </w:r>
      <w:r w:rsidR="0097196E" w:rsidRPr="0064234E">
        <w:t>noted in the</w:t>
      </w:r>
      <w:r w:rsidR="0097196E">
        <w:t xml:space="preserve"> </w:t>
      </w:r>
      <w:r w:rsidR="0097196E" w:rsidRPr="0026232C">
        <w:rPr>
          <w:i/>
          <w:szCs w:val="22"/>
        </w:rPr>
        <w:t>Auction 96 Comment Public Notice</w:t>
      </w:r>
      <w:r w:rsidR="0097196E" w:rsidRPr="0026232C">
        <w:rPr>
          <w:szCs w:val="22"/>
        </w:rPr>
        <w:t>, the Commission explained in the</w:t>
      </w:r>
      <w:r w:rsidR="0097196E" w:rsidRPr="0064234E">
        <w:t xml:space="preserve"> </w:t>
      </w:r>
      <w:r w:rsidR="0097196E" w:rsidRPr="0026232C">
        <w:rPr>
          <w:i/>
          <w:iCs/>
        </w:rPr>
        <w:t>CSEA/Part 1 Report and Order</w:t>
      </w:r>
      <w:r w:rsidR="0097196E" w:rsidRPr="0026232C">
        <w:rPr>
          <w:iCs/>
        </w:rPr>
        <w:t xml:space="preserve"> that</w:t>
      </w:r>
      <w:r w:rsidR="0097196E" w:rsidRPr="0064234E">
        <w:t xml:space="preserve"> defaults weaken the integrity of the auction process and may impede the deployment of service to the public, and </w:t>
      </w:r>
      <w:r w:rsidR="0097196E">
        <w:t xml:space="preserve">that </w:t>
      </w:r>
      <w:r w:rsidR="0097196E" w:rsidRPr="0064234E">
        <w:t xml:space="preserve">an additional default payment </w:t>
      </w:r>
      <w:r w:rsidR="0097196E">
        <w:t xml:space="preserve">of up to twenty percent </w:t>
      </w:r>
      <w:r w:rsidR="0097196E" w:rsidRPr="0064234E">
        <w:t>will be more effective in deterring defaults than the three percent used in some earlier auctions.</w:t>
      </w:r>
      <w:r w:rsidR="0097196E" w:rsidRPr="0064234E">
        <w:rPr>
          <w:rStyle w:val="FootnoteReference"/>
        </w:rPr>
        <w:footnoteReference w:id="293"/>
      </w:r>
      <w:r w:rsidR="0097196E" w:rsidRPr="0064234E">
        <w:t xml:space="preserve">  </w:t>
      </w:r>
      <w:r w:rsidR="0097196E">
        <w:t xml:space="preserve">However, as we further noted, </w:t>
      </w:r>
      <w:r w:rsidR="0097196E" w:rsidRPr="0026232C">
        <w:rPr>
          <w:snapToGrid/>
          <w:kern w:val="0"/>
          <w:szCs w:val="22"/>
        </w:rPr>
        <w:t>we do not believe the detrimental effects of any defaults in Auction 96 are likely to be unusually great.</w:t>
      </w:r>
      <w:r w:rsidR="0097196E">
        <w:rPr>
          <w:rStyle w:val="FootnoteReference"/>
          <w:snapToGrid/>
          <w:kern w:val="0"/>
          <w:szCs w:val="22"/>
        </w:rPr>
        <w:footnoteReference w:id="294"/>
      </w:r>
      <w:r w:rsidR="0097196E" w:rsidRPr="0026232C">
        <w:rPr>
          <w:snapToGrid/>
          <w:kern w:val="0"/>
          <w:szCs w:val="22"/>
        </w:rPr>
        <w:t xml:space="preserve">  </w:t>
      </w:r>
      <w:r w:rsidR="0097196E" w:rsidRPr="0064234E">
        <w:t>Balancing these considerations, we propose</w:t>
      </w:r>
      <w:r w:rsidR="0097196E">
        <w:t>d</w:t>
      </w:r>
      <w:r w:rsidR="0097196E" w:rsidRPr="0064234E">
        <w:t xml:space="preserve"> to establish an additional default payment for Auction 96 of fifteen percent of the applicable bid</w:t>
      </w:r>
      <w:r w:rsidR="0097196E">
        <w:t>.</w:t>
      </w:r>
      <w:r w:rsidR="00B35D00">
        <w:rPr>
          <w:rStyle w:val="FootnoteReference"/>
        </w:rPr>
        <w:footnoteReference w:id="295"/>
      </w:r>
      <w:r w:rsidR="00B35D00">
        <w:t xml:space="preserve">  </w:t>
      </w:r>
      <w:r w:rsidR="009768DB" w:rsidRPr="0026232C">
        <w:rPr>
          <w:szCs w:val="22"/>
        </w:rPr>
        <w:t xml:space="preserve">We </w:t>
      </w:r>
      <w:r w:rsidR="000D5EA6" w:rsidRPr="0026232C">
        <w:rPr>
          <w:szCs w:val="22"/>
        </w:rPr>
        <w:t xml:space="preserve">received no </w:t>
      </w:r>
      <w:r w:rsidR="0097196E" w:rsidRPr="0026232C">
        <w:rPr>
          <w:szCs w:val="22"/>
        </w:rPr>
        <w:t xml:space="preserve">specific </w:t>
      </w:r>
      <w:r w:rsidR="000D5EA6" w:rsidRPr="0026232C">
        <w:rPr>
          <w:szCs w:val="22"/>
        </w:rPr>
        <w:t>comments on this proposal</w:t>
      </w:r>
      <w:r w:rsidR="00915E0F" w:rsidRPr="0026232C">
        <w:rPr>
          <w:szCs w:val="22"/>
        </w:rPr>
        <w:t>, and t</w:t>
      </w:r>
      <w:r w:rsidR="000D5EA6" w:rsidRPr="0026232C">
        <w:rPr>
          <w:szCs w:val="22"/>
        </w:rPr>
        <w:t>herefore</w:t>
      </w:r>
      <w:r w:rsidR="00F31439" w:rsidRPr="0026232C">
        <w:rPr>
          <w:szCs w:val="22"/>
        </w:rPr>
        <w:t xml:space="preserve"> </w:t>
      </w:r>
      <w:r w:rsidR="000D5EA6" w:rsidRPr="0026232C">
        <w:rPr>
          <w:szCs w:val="22"/>
        </w:rPr>
        <w:t>adopt</w:t>
      </w:r>
      <w:r w:rsidR="00774E76" w:rsidRPr="0026232C">
        <w:rPr>
          <w:szCs w:val="22"/>
        </w:rPr>
        <w:t xml:space="preserve"> </w:t>
      </w:r>
      <w:r w:rsidR="0097196E" w:rsidRPr="0026232C">
        <w:rPr>
          <w:szCs w:val="22"/>
        </w:rPr>
        <w:t>it for Auction 96</w:t>
      </w:r>
      <w:r w:rsidR="00915E0F" w:rsidRPr="0026232C">
        <w:rPr>
          <w:szCs w:val="22"/>
        </w:rPr>
        <w:t>.</w:t>
      </w:r>
      <w:r w:rsidR="0097196E">
        <w:rPr>
          <w:rStyle w:val="FootnoteReference"/>
        </w:rPr>
        <w:footnoteReference w:id="296"/>
      </w:r>
    </w:p>
    <w:p w:rsidR="00607806" w:rsidRPr="001C2E9C" w:rsidRDefault="00607806" w:rsidP="00C07C81">
      <w:pPr>
        <w:pStyle w:val="ParaNum"/>
        <w:widowControl/>
        <w:tabs>
          <w:tab w:val="clear" w:pos="1260"/>
          <w:tab w:val="left" w:pos="1440"/>
        </w:tabs>
        <w:ind w:left="0"/>
        <w:rPr>
          <w:szCs w:val="22"/>
        </w:rPr>
      </w:pPr>
      <w:r w:rsidRPr="001C2E9C">
        <w:rPr>
          <w:szCs w:val="22"/>
        </w:rPr>
        <w:t xml:space="preserve">Finally, in the event of a default, the Commission </w:t>
      </w:r>
      <w:r w:rsidR="00B3068D">
        <w:rPr>
          <w:szCs w:val="22"/>
        </w:rPr>
        <w:t>has the discretion to</w:t>
      </w:r>
      <w:r w:rsidRPr="001C2E9C">
        <w:rPr>
          <w:szCs w:val="22"/>
        </w:rPr>
        <w:t xml:space="preserve"> re-auction the </w:t>
      </w:r>
      <w:r w:rsidR="00DF7320">
        <w:rPr>
          <w:szCs w:val="22"/>
        </w:rPr>
        <w:t>license</w:t>
      </w:r>
      <w:r w:rsidRPr="001C2E9C">
        <w:rPr>
          <w:szCs w:val="22"/>
        </w:rPr>
        <w:t xml:space="preserve"> or offer it to the next highest bidder (in descending order) at its final bid amount.</w:t>
      </w:r>
      <w:r w:rsidRPr="00CA6286">
        <w:rPr>
          <w:rStyle w:val="FootnoteReference"/>
          <w:szCs w:val="22"/>
        </w:rPr>
        <w:footnoteReference w:id="297"/>
      </w:r>
      <w:r w:rsidRPr="001C2E9C">
        <w:rPr>
          <w:szCs w:val="22"/>
        </w:rPr>
        <w:t xml:space="preserve">  In addition, if a default or disqualification involves gross misconduct, misrepresentation, or bad faith by an applicant, the Commission may declare the applicant and its principals ineligible to bid in future auctions, and may take any other action that it deems necessary, including institution of proceedings to revoke any existing </w:t>
      </w:r>
      <w:r w:rsidR="00E15B5A">
        <w:rPr>
          <w:szCs w:val="22"/>
        </w:rPr>
        <w:t>authorizations</w:t>
      </w:r>
      <w:r w:rsidRPr="001C2E9C">
        <w:rPr>
          <w:szCs w:val="22"/>
        </w:rPr>
        <w:t xml:space="preserve"> held by the applicant.</w:t>
      </w:r>
      <w:r w:rsidRPr="00CA6286">
        <w:rPr>
          <w:rStyle w:val="FootnoteReference"/>
          <w:szCs w:val="22"/>
        </w:rPr>
        <w:footnoteReference w:id="298"/>
      </w:r>
      <w:r w:rsidRPr="001C2E9C">
        <w:rPr>
          <w:szCs w:val="22"/>
        </w:rPr>
        <w:t xml:space="preserve">  </w:t>
      </w:r>
    </w:p>
    <w:p w:rsidR="007A2B9B" w:rsidRPr="001F60FA" w:rsidRDefault="00607806" w:rsidP="00C07C81">
      <w:pPr>
        <w:pStyle w:val="Heading2"/>
        <w:widowControl/>
      </w:pPr>
      <w:bookmarkStart w:id="4356" w:name="_Toc483218182"/>
      <w:bookmarkStart w:id="4357" w:name="_Toc109812285"/>
      <w:bookmarkStart w:id="4358" w:name="_Toc124844794"/>
      <w:bookmarkStart w:id="4359" w:name="_Toc124844922"/>
      <w:bookmarkStart w:id="4360" w:name="_Toc124845581"/>
      <w:bookmarkStart w:id="4361" w:name="_Toc124845849"/>
      <w:bookmarkStart w:id="4362" w:name="_Toc124845923"/>
      <w:bookmarkStart w:id="4363" w:name="_Toc124845997"/>
      <w:bookmarkStart w:id="4364" w:name="_Toc124846169"/>
      <w:bookmarkStart w:id="4365" w:name="_Toc124848292"/>
      <w:bookmarkStart w:id="4366" w:name="_Toc124907543"/>
      <w:bookmarkStart w:id="4367" w:name="_Toc129773512"/>
      <w:bookmarkStart w:id="4368" w:name="_Toc130210050"/>
      <w:bookmarkStart w:id="4369" w:name="_Toc130730977"/>
      <w:bookmarkStart w:id="4370" w:name="_Toc130814205"/>
      <w:bookmarkStart w:id="4371" w:name="_Toc130814527"/>
      <w:bookmarkStart w:id="4372" w:name="_Toc130814659"/>
      <w:bookmarkStart w:id="4373" w:name="_Toc130883542"/>
      <w:bookmarkStart w:id="4374" w:name="_Toc130885652"/>
      <w:bookmarkStart w:id="4375" w:name="_Toc131844631"/>
      <w:bookmarkStart w:id="4376" w:name="_Toc148330567"/>
      <w:bookmarkStart w:id="4377" w:name="_Toc148336334"/>
      <w:bookmarkStart w:id="4378" w:name="_Toc148337775"/>
      <w:bookmarkStart w:id="4379" w:name="_Toc148338098"/>
      <w:bookmarkStart w:id="4380" w:name="_Toc148339808"/>
      <w:bookmarkStart w:id="4381" w:name="_Toc148339905"/>
      <w:bookmarkStart w:id="4382" w:name="_Toc149645615"/>
      <w:bookmarkStart w:id="4383" w:name="_Toc149997918"/>
      <w:bookmarkStart w:id="4384" w:name="_Toc158180793"/>
      <w:bookmarkStart w:id="4385" w:name="_Toc158785641"/>
      <w:bookmarkStart w:id="4386" w:name="_Toc178768551"/>
      <w:bookmarkStart w:id="4387" w:name="_Toc179195992"/>
      <w:bookmarkStart w:id="4388" w:name="_Toc179361954"/>
      <w:bookmarkStart w:id="4389" w:name="_Toc179363738"/>
      <w:bookmarkStart w:id="4390" w:name="_Toc197504973"/>
      <w:bookmarkStart w:id="4391" w:name="_Toc198007754"/>
      <w:bookmarkStart w:id="4392" w:name="_Toc198007905"/>
      <w:bookmarkStart w:id="4393" w:name="_Toc198008257"/>
      <w:bookmarkStart w:id="4394" w:name="_Toc198008394"/>
      <w:bookmarkStart w:id="4395" w:name="_Toc198008941"/>
      <w:bookmarkStart w:id="4396" w:name="_Toc198369837"/>
      <w:bookmarkStart w:id="4397" w:name="_Toc198369974"/>
      <w:bookmarkStart w:id="4398" w:name="_Toc198372886"/>
      <w:bookmarkStart w:id="4399" w:name="_Toc198372989"/>
      <w:bookmarkStart w:id="4400" w:name="_Toc198373117"/>
      <w:bookmarkStart w:id="4401" w:name="_Toc198373287"/>
      <w:bookmarkStart w:id="4402" w:name="_Toc198627204"/>
      <w:bookmarkStart w:id="4403" w:name="_Toc198627310"/>
      <w:bookmarkStart w:id="4404" w:name="_Toc216090759"/>
      <w:bookmarkStart w:id="4405" w:name="_Toc226958265"/>
      <w:bookmarkStart w:id="4406" w:name="_Toc227038325"/>
      <w:bookmarkStart w:id="4407" w:name="_Toc254792630"/>
      <w:bookmarkStart w:id="4408" w:name="_Toc256669754"/>
      <w:bookmarkStart w:id="4409" w:name="_Toc257213287"/>
      <w:bookmarkStart w:id="4410" w:name="_Toc257277789"/>
      <w:bookmarkStart w:id="4411" w:name="_Toc257278750"/>
      <w:bookmarkStart w:id="4412" w:name="_Toc257278960"/>
      <w:bookmarkStart w:id="4413" w:name="_Toc257279328"/>
      <w:bookmarkStart w:id="4414" w:name="_Toc257382972"/>
      <w:bookmarkStart w:id="4415" w:name="_Toc274056231"/>
      <w:bookmarkStart w:id="4416" w:name="_Toc276657637"/>
      <w:bookmarkStart w:id="4417" w:name="_Toc278366483"/>
      <w:bookmarkStart w:id="4418" w:name="_Toc307584077"/>
      <w:bookmarkStart w:id="4419" w:name="_Toc307937351"/>
      <w:bookmarkStart w:id="4420" w:name="_Toc348508795"/>
      <w:bookmarkStart w:id="4421" w:name="_Toc362256810"/>
      <w:bookmarkStart w:id="4422" w:name="_Toc366056564"/>
      <w:bookmarkStart w:id="4423" w:name="_Toc366223766"/>
      <w:bookmarkStart w:id="4424" w:name="_Toc366229479"/>
      <w:bookmarkStart w:id="4425" w:name="_Toc366583522"/>
      <w:r w:rsidRPr="001C2E9C">
        <w:t xml:space="preserve">Refund </w:t>
      </w:r>
      <w:r w:rsidRPr="001F60FA">
        <w:t>of Remaining Upfront Payment Balance</w:t>
      </w:r>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p>
    <w:p w:rsidR="00E74445" w:rsidRPr="001F60FA" w:rsidRDefault="00C6270B" w:rsidP="00C07C81">
      <w:pPr>
        <w:pStyle w:val="ParaNum"/>
        <w:widowControl/>
        <w:tabs>
          <w:tab w:val="clear" w:pos="1260"/>
          <w:tab w:val="left" w:pos="1440"/>
        </w:tabs>
        <w:ind w:left="0"/>
        <w:rPr>
          <w:szCs w:val="22"/>
        </w:rPr>
      </w:pPr>
      <w:r w:rsidRPr="001F60FA">
        <w:rPr>
          <w:szCs w:val="22"/>
        </w:rPr>
        <w:t>After the auction</w:t>
      </w:r>
      <w:r w:rsidR="00C95F5D" w:rsidRPr="001F60FA">
        <w:rPr>
          <w:szCs w:val="22"/>
        </w:rPr>
        <w:t>,</w:t>
      </w:r>
      <w:r w:rsidRPr="001F60FA">
        <w:rPr>
          <w:szCs w:val="22"/>
        </w:rPr>
        <w:t xml:space="preserve"> applicants that are not winning bidders or are winning bidders whose upfront payment exceeded the total net amount of their winning bids</w:t>
      </w:r>
      <w:r w:rsidR="00E74445" w:rsidRPr="001F60FA">
        <w:rPr>
          <w:szCs w:val="22"/>
        </w:rPr>
        <w:t xml:space="preserve"> may be entitled to a refund of </w:t>
      </w:r>
      <w:r w:rsidRPr="001F60FA">
        <w:rPr>
          <w:szCs w:val="22"/>
        </w:rPr>
        <w:t>some or all of their upfront payment</w:t>
      </w:r>
      <w:r w:rsidR="00E74445" w:rsidRPr="001F60FA">
        <w:rPr>
          <w:szCs w:val="22"/>
        </w:rPr>
        <w:t>.  All refunds will be returned to the pay</w:t>
      </w:r>
      <w:r w:rsidR="005C76FD">
        <w:rPr>
          <w:szCs w:val="22"/>
        </w:rPr>
        <w:t>e</w:t>
      </w:r>
      <w:r w:rsidR="00E74445" w:rsidRPr="001F60FA">
        <w:rPr>
          <w:szCs w:val="22"/>
        </w:rPr>
        <w:t>r of record, as identified on the FCC Form 159, unless the pay</w:t>
      </w:r>
      <w:r w:rsidR="005C76FD">
        <w:rPr>
          <w:szCs w:val="22"/>
        </w:rPr>
        <w:t>e</w:t>
      </w:r>
      <w:r w:rsidR="00E74445" w:rsidRPr="001F60FA">
        <w:rPr>
          <w:szCs w:val="22"/>
        </w:rPr>
        <w:t>r submits written authorization instructing otherwise.</w:t>
      </w:r>
      <w:r w:rsidR="007D3B83">
        <w:rPr>
          <w:szCs w:val="22"/>
        </w:rPr>
        <w:t xml:space="preserve">  </w:t>
      </w:r>
      <w:r w:rsidR="00B0654F">
        <w:rPr>
          <w:szCs w:val="22"/>
        </w:rPr>
        <w:t>Bidders should not request a refund of their upfront payments before the</w:t>
      </w:r>
      <w:r w:rsidR="00B0654F">
        <w:t xml:space="preserve"> </w:t>
      </w:r>
      <w:r w:rsidR="00B0654F">
        <w:rPr>
          <w:szCs w:val="22"/>
        </w:rPr>
        <w:t>Commission releases a public notice declaring the auction closed, identifying the winning bidders, and establishing the deadlines for submitting down payments, long-form applications, and final payments.</w:t>
      </w:r>
    </w:p>
    <w:p w:rsidR="00C6270B" w:rsidRDefault="003E5288" w:rsidP="00C07C81">
      <w:pPr>
        <w:pStyle w:val="ParaNum"/>
        <w:widowControl/>
        <w:tabs>
          <w:tab w:val="clear" w:pos="1260"/>
          <w:tab w:val="left" w:pos="1440"/>
        </w:tabs>
        <w:ind w:left="0"/>
        <w:rPr>
          <w:szCs w:val="22"/>
        </w:rPr>
      </w:pPr>
      <w:r w:rsidRPr="001C2E9C">
        <w:rPr>
          <w:szCs w:val="22"/>
        </w:rPr>
        <w:t xml:space="preserve">Bidders are encouraged to file their refund information electronically using the </w:t>
      </w:r>
      <w:r w:rsidRPr="001C2E9C">
        <w:rPr>
          <w:b/>
          <w:szCs w:val="22"/>
        </w:rPr>
        <w:t>Refund Information</w:t>
      </w:r>
      <w:r w:rsidRPr="001C2E9C">
        <w:rPr>
          <w:szCs w:val="22"/>
        </w:rPr>
        <w:t xml:space="preserve"> icon found on the </w:t>
      </w:r>
      <w:r w:rsidRPr="001C2E9C">
        <w:rPr>
          <w:i/>
          <w:szCs w:val="22"/>
        </w:rPr>
        <w:t>Auction Application Manager</w:t>
      </w:r>
      <w:r w:rsidRPr="001C2E9C">
        <w:rPr>
          <w:szCs w:val="22"/>
        </w:rPr>
        <w:t xml:space="preserve"> page or through the </w:t>
      </w:r>
      <w:r w:rsidRPr="001C2E9C">
        <w:rPr>
          <w:b/>
          <w:szCs w:val="22"/>
        </w:rPr>
        <w:t>Wire Transfer for Refund Purposes</w:t>
      </w:r>
      <w:r w:rsidRPr="001C2E9C">
        <w:rPr>
          <w:szCs w:val="22"/>
        </w:rPr>
        <w:t xml:space="preserve"> link available </w:t>
      </w:r>
      <w:r w:rsidR="00F9226E">
        <w:rPr>
          <w:szCs w:val="22"/>
        </w:rPr>
        <w:t xml:space="preserve">on the </w:t>
      </w:r>
      <w:r w:rsidR="00F9226E">
        <w:rPr>
          <w:i/>
          <w:szCs w:val="22"/>
        </w:rPr>
        <w:t xml:space="preserve">Auction Application Submit </w:t>
      </w:r>
      <w:r w:rsidR="00F9226E" w:rsidRPr="00F9226E">
        <w:rPr>
          <w:i/>
          <w:szCs w:val="22"/>
        </w:rPr>
        <w:t>Confirmation</w:t>
      </w:r>
      <w:r w:rsidR="00F9226E">
        <w:rPr>
          <w:szCs w:val="22"/>
        </w:rPr>
        <w:t xml:space="preserve"> page in </w:t>
      </w:r>
      <w:r w:rsidRPr="001C2E9C">
        <w:rPr>
          <w:szCs w:val="22"/>
        </w:rPr>
        <w:t xml:space="preserve">the FCC Auction System.  If an applicant has completed the refund instructions electronically, the refund will be sent automatically.  If an applicant has not completed the refund </w:t>
      </w:r>
      <w:r w:rsidRPr="001F60FA">
        <w:rPr>
          <w:szCs w:val="22"/>
        </w:rPr>
        <w:t xml:space="preserve">instructions electronically, the applicant </w:t>
      </w:r>
      <w:r w:rsidR="00C95F5D" w:rsidRPr="001F60FA">
        <w:rPr>
          <w:szCs w:val="22"/>
        </w:rPr>
        <w:t>must</w:t>
      </w:r>
      <w:r w:rsidRPr="001F60FA">
        <w:rPr>
          <w:szCs w:val="22"/>
        </w:rPr>
        <w:t xml:space="preserve"> send a written</w:t>
      </w:r>
      <w:r w:rsidRPr="001C2E9C">
        <w:rPr>
          <w:szCs w:val="22"/>
        </w:rPr>
        <w:t xml:space="preserve"> request </w:t>
      </w:r>
      <w:r w:rsidR="00C6270B">
        <w:rPr>
          <w:szCs w:val="22"/>
        </w:rPr>
        <w:t>includ</w:t>
      </w:r>
      <w:r w:rsidR="007C27EB">
        <w:rPr>
          <w:szCs w:val="22"/>
        </w:rPr>
        <w:t>ing</w:t>
      </w:r>
      <w:r w:rsidR="00C6270B">
        <w:rPr>
          <w:szCs w:val="22"/>
        </w:rPr>
        <w:t xml:space="preserve"> the following information:</w:t>
      </w:r>
    </w:p>
    <w:p w:rsidR="00371802" w:rsidRDefault="00371802" w:rsidP="007C1B76">
      <w:pPr>
        <w:pStyle w:val="ParaNum"/>
        <w:widowControl/>
        <w:numPr>
          <w:ilvl w:val="0"/>
          <w:numId w:val="0"/>
        </w:numPr>
        <w:spacing w:after="0"/>
        <w:ind w:left="2520"/>
        <w:rPr>
          <w:szCs w:val="22"/>
        </w:rPr>
      </w:pPr>
    </w:p>
    <w:p w:rsidR="00C6270B" w:rsidRDefault="00C6270B" w:rsidP="007C1B76">
      <w:pPr>
        <w:pStyle w:val="ParaNum"/>
        <w:widowControl/>
        <w:numPr>
          <w:ilvl w:val="0"/>
          <w:numId w:val="0"/>
        </w:numPr>
        <w:spacing w:after="0"/>
        <w:ind w:left="2520"/>
        <w:rPr>
          <w:szCs w:val="22"/>
        </w:rPr>
      </w:pPr>
      <w:r>
        <w:rPr>
          <w:szCs w:val="22"/>
        </w:rPr>
        <w:t>Name, address, contact and phone number of Bank</w:t>
      </w:r>
    </w:p>
    <w:p w:rsidR="00C6270B" w:rsidRDefault="00C6270B" w:rsidP="007C1B76">
      <w:pPr>
        <w:pStyle w:val="ParaNum"/>
        <w:widowControl/>
        <w:numPr>
          <w:ilvl w:val="0"/>
          <w:numId w:val="0"/>
        </w:numPr>
        <w:spacing w:after="0"/>
        <w:ind w:left="2520"/>
        <w:rPr>
          <w:szCs w:val="22"/>
        </w:rPr>
      </w:pPr>
      <w:r>
        <w:rPr>
          <w:szCs w:val="22"/>
        </w:rPr>
        <w:t>ABA Number</w:t>
      </w:r>
    </w:p>
    <w:p w:rsidR="00C6270B" w:rsidRDefault="00C6270B" w:rsidP="007C1B76">
      <w:pPr>
        <w:pStyle w:val="ParaNum"/>
        <w:widowControl/>
        <w:numPr>
          <w:ilvl w:val="0"/>
          <w:numId w:val="0"/>
        </w:numPr>
        <w:spacing w:after="0"/>
        <w:ind w:left="2520"/>
        <w:rPr>
          <w:szCs w:val="22"/>
        </w:rPr>
      </w:pPr>
      <w:r>
        <w:rPr>
          <w:szCs w:val="22"/>
        </w:rPr>
        <w:t>Account Number to Credit</w:t>
      </w:r>
    </w:p>
    <w:p w:rsidR="00C6270B" w:rsidRDefault="00C6270B" w:rsidP="007C1B76">
      <w:pPr>
        <w:pStyle w:val="ParaNum"/>
        <w:widowControl/>
        <w:numPr>
          <w:ilvl w:val="0"/>
          <w:numId w:val="0"/>
        </w:numPr>
        <w:spacing w:after="0"/>
        <w:ind w:left="2520"/>
        <w:rPr>
          <w:szCs w:val="22"/>
        </w:rPr>
      </w:pPr>
      <w:r>
        <w:rPr>
          <w:szCs w:val="22"/>
        </w:rPr>
        <w:t>Name of Account Holder</w:t>
      </w:r>
    </w:p>
    <w:p w:rsidR="00C6270B" w:rsidRDefault="00C6270B" w:rsidP="007C1B76">
      <w:pPr>
        <w:pStyle w:val="ParaNum"/>
        <w:widowControl/>
        <w:numPr>
          <w:ilvl w:val="0"/>
          <w:numId w:val="0"/>
        </w:numPr>
        <w:ind w:left="2520"/>
        <w:rPr>
          <w:szCs w:val="22"/>
        </w:rPr>
      </w:pPr>
      <w:r>
        <w:rPr>
          <w:szCs w:val="22"/>
        </w:rPr>
        <w:t>FCC Registration Number (FRN)</w:t>
      </w:r>
    </w:p>
    <w:p w:rsidR="003E5288" w:rsidRPr="001C2E9C" w:rsidRDefault="00C6270B" w:rsidP="00C07C81">
      <w:pPr>
        <w:pStyle w:val="ParaNum"/>
        <w:widowControl/>
        <w:numPr>
          <w:ilvl w:val="0"/>
          <w:numId w:val="0"/>
        </w:numPr>
        <w:spacing w:after="0"/>
        <w:rPr>
          <w:szCs w:val="22"/>
        </w:rPr>
      </w:pPr>
      <w:r>
        <w:rPr>
          <w:szCs w:val="22"/>
        </w:rPr>
        <w:t xml:space="preserve">The refund request </w:t>
      </w:r>
      <w:r w:rsidR="00A14C9E">
        <w:rPr>
          <w:szCs w:val="22"/>
        </w:rPr>
        <w:t>may</w:t>
      </w:r>
      <w:r>
        <w:rPr>
          <w:szCs w:val="22"/>
        </w:rPr>
        <w:t xml:space="preserve"> be submitted </w:t>
      </w:r>
      <w:r w:rsidR="003E5288" w:rsidRPr="001C2E9C">
        <w:rPr>
          <w:szCs w:val="22"/>
        </w:rPr>
        <w:t xml:space="preserve">by </w:t>
      </w:r>
      <w:r>
        <w:rPr>
          <w:szCs w:val="22"/>
        </w:rPr>
        <w:t>fax</w:t>
      </w:r>
      <w:r w:rsidR="003E5288" w:rsidRPr="001C2E9C">
        <w:rPr>
          <w:szCs w:val="22"/>
        </w:rPr>
        <w:t xml:space="preserve"> to the Auctions Accounting Group at (202) 418-</w:t>
      </w:r>
      <w:r w:rsidR="007D3CE1">
        <w:rPr>
          <w:szCs w:val="22"/>
        </w:rPr>
        <w:t>2980</w:t>
      </w:r>
      <w:r w:rsidR="00B61A3A" w:rsidRPr="001C2E9C">
        <w:rPr>
          <w:szCs w:val="22"/>
        </w:rPr>
        <w:t xml:space="preserve"> or by mail to:</w:t>
      </w:r>
    </w:p>
    <w:p w:rsidR="007A2B9B" w:rsidRPr="00CA6286" w:rsidRDefault="007A2B9B" w:rsidP="007C1B76">
      <w:pPr>
        <w:keepNext/>
        <w:keepLines/>
        <w:widowControl/>
        <w:ind w:left="2520"/>
        <w:rPr>
          <w:szCs w:val="22"/>
        </w:rPr>
      </w:pPr>
      <w:r w:rsidRPr="00CA6286">
        <w:rPr>
          <w:szCs w:val="22"/>
        </w:rPr>
        <w:t>Federal Communications Commission</w:t>
      </w:r>
    </w:p>
    <w:p w:rsidR="007A2B9B" w:rsidRPr="00CA6286" w:rsidRDefault="007A2B9B" w:rsidP="007C1B76">
      <w:pPr>
        <w:widowControl/>
        <w:ind w:left="2520"/>
        <w:rPr>
          <w:szCs w:val="22"/>
        </w:rPr>
      </w:pPr>
      <w:r w:rsidRPr="00CA6286">
        <w:rPr>
          <w:szCs w:val="22"/>
        </w:rPr>
        <w:t xml:space="preserve">Financial Operations </w:t>
      </w:r>
    </w:p>
    <w:p w:rsidR="007A2B9B" w:rsidRPr="00CA6286" w:rsidRDefault="007A2B9B" w:rsidP="007C1B76">
      <w:pPr>
        <w:widowControl/>
        <w:ind w:left="2520"/>
        <w:rPr>
          <w:szCs w:val="22"/>
        </w:rPr>
      </w:pPr>
      <w:r w:rsidRPr="00CA6286">
        <w:rPr>
          <w:szCs w:val="22"/>
        </w:rPr>
        <w:t>Auctions Accounting Group</w:t>
      </w:r>
    </w:p>
    <w:p w:rsidR="007A2B9B" w:rsidRPr="00CA6286" w:rsidRDefault="007A2B9B" w:rsidP="007C1B76">
      <w:pPr>
        <w:widowControl/>
        <w:ind w:left="2520"/>
        <w:rPr>
          <w:szCs w:val="22"/>
        </w:rPr>
      </w:pPr>
      <w:r w:rsidRPr="00CA6286">
        <w:rPr>
          <w:szCs w:val="22"/>
        </w:rPr>
        <w:t>Gail Glasser</w:t>
      </w:r>
    </w:p>
    <w:p w:rsidR="007A2B9B" w:rsidRPr="00CA6286" w:rsidRDefault="007A2B9B" w:rsidP="007C1B76">
      <w:pPr>
        <w:keepNext/>
        <w:keepLines/>
        <w:widowControl/>
        <w:ind w:left="2520"/>
        <w:rPr>
          <w:szCs w:val="22"/>
        </w:rPr>
      </w:pPr>
      <w:r w:rsidRPr="00CA6286">
        <w:rPr>
          <w:szCs w:val="22"/>
        </w:rPr>
        <w:t>445 12th Street, SW, Room 1-C864</w:t>
      </w:r>
    </w:p>
    <w:p w:rsidR="007A2B9B" w:rsidRPr="00CA6286" w:rsidRDefault="007A2B9B" w:rsidP="007C1B76">
      <w:pPr>
        <w:widowControl/>
        <w:ind w:left="2520"/>
        <w:rPr>
          <w:szCs w:val="22"/>
        </w:rPr>
      </w:pPr>
      <w:r w:rsidRPr="00CA6286">
        <w:rPr>
          <w:szCs w:val="22"/>
        </w:rPr>
        <w:t>Washington, DC  20554</w:t>
      </w:r>
    </w:p>
    <w:p w:rsidR="007A2B9B" w:rsidRPr="00CA6286" w:rsidRDefault="007A2B9B" w:rsidP="00C07C81">
      <w:pPr>
        <w:widowControl/>
        <w:rPr>
          <w:szCs w:val="22"/>
        </w:rPr>
      </w:pPr>
    </w:p>
    <w:p w:rsidR="00607806" w:rsidRDefault="007A2B9B" w:rsidP="00C07C81">
      <w:pPr>
        <w:widowControl/>
        <w:ind w:left="180"/>
        <w:rPr>
          <w:szCs w:val="22"/>
        </w:rPr>
      </w:pPr>
      <w:r w:rsidRPr="00CA6286">
        <w:rPr>
          <w:szCs w:val="22"/>
        </w:rPr>
        <w:t>NOTE:  Refund processing generally takes up to two weeks to complete.  Bidders with questions about refunds should contact Gail Glasser at (202) 418-0578.</w:t>
      </w:r>
    </w:p>
    <w:p w:rsidR="004E43BF" w:rsidRPr="00CA6286" w:rsidRDefault="004E43BF" w:rsidP="00C07C81">
      <w:pPr>
        <w:widowControl/>
        <w:ind w:left="180"/>
        <w:rPr>
          <w:szCs w:val="22"/>
        </w:rPr>
      </w:pPr>
    </w:p>
    <w:p w:rsidR="00607806" w:rsidRPr="001C2E9C" w:rsidRDefault="00200CB4" w:rsidP="00C07C81">
      <w:pPr>
        <w:pStyle w:val="Heading1"/>
        <w:widowControl/>
        <w:rPr>
          <w:rFonts w:ascii="Times New Roman" w:hAnsi="Times New Roman"/>
          <w:szCs w:val="22"/>
        </w:rPr>
      </w:pPr>
      <w:bookmarkStart w:id="4426" w:name="_Toc130885653"/>
      <w:bookmarkStart w:id="4427" w:name="_Toc131844632"/>
      <w:bookmarkStart w:id="4428" w:name="_Toc148330568"/>
      <w:bookmarkStart w:id="4429" w:name="_Toc148336335"/>
      <w:bookmarkStart w:id="4430" w:name="_Toc148337776"/>
      <w:bookmarkStart w:id="4431" w:name="_Toc148338099"/>
      <w:bookmarkStart w:id="4432" w:name="_Toc148339809"/>
      <w:bookmarkStart w:id="4433" w:name="_Toc148339906"/>
      <w:bookmarkStart w:id="4434" w:name="_Toc149645616"/>
      <w:bookmarkStart w:id="4435" w:name="_Toc149997919"/>
      <w:bookmarkStart w:id="4436" w:name="_Toc158180794"/>
      <w:bookmarkStart w:id="4437" w:name="_Toc158785642"/>
      <w:bookmarkStart w:id="4438" w:name="_Toc178768552"/>
      <w:bookmarkStart w:id="4439" w:name="_Toc179195993"/>
      <w:bookmarkStart w:id="4440" w:name="_Toc179361955"/>
      <w:bookmarkStart w:id="4441" w:name="_Toc179363739"/>
      <w:bookmarkStart w:id="4442" w:name="_Toc197504974"/>
      <w:bookmarkStart w:id="4443" w:name="_Toc198007755"/>
      <w:bookmarkStart w:id="4444" w:name="_Toc198007906"/>
      <w:bookmarkStart w:id="4445" w:name="_Toc198008258"/>
      <w:bookmarkStart w:id="4446" w:name="_Toc198008395"/>
      <w:bookmarkStart w:id="4447" w:name="_Toc198008942"/>
      <w:bookmarkStart w:id="4448" w:name="_Toc198369838"/>
      <w:bookmarkStart w:id="4449" w:name="_Toc198369975"/>
      <w:bookmarkStart w:id="4450" w:name="_Toc198372887"/>
      <w:bookmarkStart w:id="4451" w:name="_Toc198372990"/>
      <w:bookmarkStart w:id="4452" w:name="_Toc198373118"/>
      <w:bookmarkStart w:id="4453" w:name="_Toc198373288"/>
      <w:bookmarkStart w:id="4454" w:name="_Toc198627205"/>
      <w:bookmarkStart w:id="4455" w:name="_Toc198627311"/>
      <w:bookmarkStart w:id="4456" w:name="_Toc216090760"/>
      <w:bookmarkStart w:id="4457" w:name="_Toc226958266"/>
      <w:bookmarkStart w:id="4458" w:name="_Toc227038326"/>
      <w:bookmarkStart w:id="4459" w:name="_Toc254792631"/>
      <w:bookmarkStart w:id="4460" w:name="_Toc256669755"/>
      <w:bookmarkStart w:id="4461" w:name="_Toc257213288"/>
      <w:bookmarkStart w:id="4462" w:name="_Toc257277790"/>
      <w:bookmarkStart w:id="4463" w:name="_Toc257278751"/>
      <w:bookmarkStart w:id="4464" w:name="_Toc257278961"/>
      <w:bookmarkStart w:id="4465" w:name="_Toc257279329"/>
      <w:bookmarkStart w:id="4466" w:name="_Toc257382973"/>
      <w:bookmarkStart w:id="4467" w:name="_Toc274056232"/>
      <w:bookmarkStart w:id="4468" w:name="_Toc276657638"/>
      <w:bookmarkStart w:id="4469" w:name="_Toc278366484"/>
      <w:bookmarkStart w:id="4470" w:name="_Toc307584078"/>
      <w:bookmarkStart w:id="4471" w:name="_Toc307937352"/>
      <w:bookmarkStart w:id="4472" w:name="_Toc348508796"/>
      <w:bookmarkStart w:id="4473" w:name="_Toc362256811"/>
      <w:bookmarkStart w:id="4474" w:name="_Toc366056565"/>
      <w:bookmarkStart w:id="4475" w:name="_Toc366223767"/>
      <w:bookmarkStart w:id="4476" w:name="_Toc366229480"/>
      <w:bookmarkStart w:id="4477" w:name="_Toc366583523"/>
      <w:r>
        <w:rPr>
          <w:rFonts w:ascii="Times New Roman" w:hAnsi="Times New Roman"/>
          <w:szCs w:val="22"/>
        </w:rPr>
        <w:t>CONTACT INFORMATION</w:t>
      </w:r>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p>
    <w:p w:rsidR="00213090" w:rsidRPr="001C2E9C" w:rsidRDefault="00CE27CC" w:rsidP="00C07C81">
      <w:pPr>
        <w:pStyle w:val="ParaNum"/>
        <w:keepNext/>
        <w:widowControl/>
        <w:tabs>
          <w:tab w:val="clear" w:pos="1260"/>
          <w:tab w:val="left" w:pos="1440"/>
        </w:tabs>
        <w:ind w:left="0"/>
        <w:rPr>
          <w:szCs w:val="22"/>
        </w:rPr>
      </w:pPr>
      <w:r w:rsidRPr="001C2E9C">
        <w:rPr>
          <w:szCs w:val="22"/>
        </w:rPr>
        <w:t>C</w:t>
      </w:r>
      <w:r w:rsidR="00213090" w:rsidRPr="001C2E9C">
        <w:rPr>
          <w:szCs w:val="22"/>
        </w:rPr>
        <w:t>ontact</w:t>
      </w:r>
      <w:r w:rsidRPr="001C2E9C">
        <w:rPr>
          <w:szCs w:val="22"/>
        </w:rPr>
        <w:t xml:space="preserve"> </w:t>
      </w:r>
      <w:r w:rsidRPr="00893034">
        <w:rPr>
          <w:szCs w:val="22"/>
        </w:rPr>
        <w:t>Information T</w:t>
      </w:r>
      <w:r w:rsidRPr="001C2E9C">
        <w:rPr>
          <w:szCs w:val="22"/>
        </w:rPr>
        <w:t>able</w:t>
      </w:r>
      <w:r w:rsidR="00915E0F">
        <w:rPr>
          <w:szCs w:val="22"/>
        </w:rPr>
        <w:t>:</w:t>
      </w:r>
    </w:p>
    <w:tbl>
      <w:tblPr>
        <w:tblW w:w="9828" w:type="dxa"/>
        <w:tblLayout w:type="fixed"/>
        <w:tblLook w:val="0000" w:firstRow="0" w:lastRow="0" w:firstColumn="0" w:lastColumn="0" w:noHBand="0" w:noVBand="0"/>
      </w:tblPr>
      <w:tblGrid>
        <w:gridCol w:w="4968"/>
        <w:gridCol w:w="4860"/>
      </w:tblGrid>
      <w:tr w:rsidR="00C21F54" w:rsidRPr="00915E0F" w:rsidTr="002A2C4A">
        <w:trPr>
          <w:cantSplit/>
          <w:trHeight w:val="1254"/>
        </w:trPr>
        <w:tc>
          <w:tcPr>
            <w:tcW w:w="4968" w:type="dxa"/>
          </w:tcPr>
          <w:p w:rsidR="00C21F54" w:rsidRPr="005A1F01" w:rsidRDefault="00C21F54" w:rsidP="00C07C81">
            <w:pPr>
              <w:widowControl/>
              <w:rPr>
                <w:b/>
                <w:szCs w:val="22"/>
              </w:rPr>
            </w:pPr>
            <w:r w:rsidRPr="005A1F01">
              <w:rPr>
                <w:b/>
                <w:szCs w:val="22"/>
              </w:rPr>
              <w:t>General Auction Information</w:t>
            </w:r>
          </w:p>
          <w:p w:rsidR="00C21F54" w:rsidRPr="005A1F01" w:rsidRDefault="00C21F54" w:rsidP="00C07C81">
            <w:pPr>
              <w:widowControl/>
              <w:ind w:left="360"/>
              <w:rPr>
                <w:szCs w:val="22"/>
              </w:rPr>
            </w:pPr>
            <w:r w:rsidRPr="005A1F01">
              <w:rPr>
                <w:szCs w:val="22"/>
              </w:rPr>
              <w:t>General Auction Questions</w:t>
            </w:r>
          </w:p>
          <w:p w:rsidR="00C21F54" w:rsidRPr="005A1F01" w:rsidRDefault="00C21F54" w:rsidP="00C07C81">
            <w:pPr>
              <w:widowControl/>
              <w:ind w:left="360"/>
              <w:rPr>
                <w:szCs w:val="22"/>
              </w:rPr>
            </w:pPr>
            <w:r w:rsidRPr="005A1F01">
              <w:rPr>
                <w:szCs w:val="22"/>
              </w:rPr>
              <w:t>Auction Process and Procedures</w:t>
            </w:r>
          </w:p>
          <w:p w:rsidR="00C21F54" w:rsidRPr="005A1F01" w:rsidRDefault="00C21F54" w:rsidP="00C07C81">
            <w:pPr>
              <w:widowControl/>
              <w:ind w:left="360"/>
              <w:rPr>
                <w:b/>
                <w:szCs w:val="22"/>
              </w:rPr>
            </w:pPr>
          </w:p>
        </w:tc>
        <w:tc>
          <w:tcPr>
            <w:tcW w:w="4860" w:type="dxa"/>
          </w:tcPr>
          <w:p w:rsidR="00C21F54" w:rsidRPr="005A1F01" w:rsidRDefault="00C21F54" w:rsidP="00C07C81">
            <w:pPr>
              <w:widowControl/>
              <w:rPr>
                <w:b/>
                <w:szCs w:val="22"/>
              </w:rPr>
            </w:pPr>
            <w:r w:rsidRPr="005A1F01">
              <w:rPr>
                <w:b/>
                <w:szCs w:val="22"/>
              </w:rPr>
              <w:t xml:space="preserve">FCC Auctions Hotline </w:t>
            </w:r>
          </w:p>
          <w:p w:rsidR="00C21F54" w:rsidRPr="005A1F01" w:rsidRDefault="00C21F54" w:rsidP="00C07C81">
            <w:pPr>
              <w:widowControl/>
              <w:rPr>
                <w:szCs w:val="22"/>
              </w:rPr>
            </w:pPr>
            <w:r w:rsidRPr="005A1F01">
              <w:rPr>
                <w:szCs w:val="22"/>
              </w:rPr>
              <w:t>(888) 225-5322, option two; or</w:t>
            </w:r>
          </w:p>
          <w:p w:rsidR="00C21F54" w:rsidRPr="005A1F01" w:rsidRDefault="00C21F54" w:rsidP="00C07C81">
            <w:pPr>
              <w:widowControl/>
              <w:rPr>
                <w:szCs w:val="22"/>
              </w:rPr>
            </w:pPr>
            <w:r w:rsidRPr="005A1F01">
              <w:rPr>
                <w:szCs w:val="22"/>
              </w:rPr>
              <w:t>(717) 338-2868</w:t>
            </w:r>
          </w:p>
          <w:p w:rsidR="00C21F54" w:rsidRPr="005A1F01" w:rsidRDefault="00CF5529" w:rsidP="00C07C81">
            <w:pPr>
              <w:widowControl/>
              <w:rPr>
                <w:szCs w:val="22"/>
              </w:rPr>
            </w:pPr>
            <w:r w:rsidRPr="005A1F01">
              <w:rPr>
                <w:szCs w:val="22"/>
              </w:rPr>
              <w:t>Hours of service: 8:00 a.m. – 5:30 p.m. ET,</w:t>
            </w:r>
          </w:p>
          <w:p w:rsidR="007E1D09" w:rsidRPr="005A1F01" w:rsidRDefault="00CF5529" w:rsidP="00C07C81">
            <w:pPr>
              <w:widowControl/>
              <w:rPr>
                <w:szCs w:val="22"/>
              </w:rPr>
            </w:pPr>
            <w:r w:rsidRPr="005A1F01">
              <w:rPr>
                <w:szCs w:val="22"/>
              </w:rPr>
              <w:t>Monday through Friday</w:t>
            </w:r>
          </w:p>
          <w:p w:rsidR="00C21F54" w:rsidRPr="005A1F01" w:rsidRDefault="00C21F54" w:rsidP="00C07C81">
            <w:pPr>
              <w:widowControl/>
              <w:rPr>
                <w:b/>
                <w:szCs w:val="22"/>
              </w:rPr>
            </w:pPr>
          </w:p>
        </w:tc>
      </w:tr>
      <w:tr w:rsidR="005A1F01" w:rsidRPr="00CA6286" w:rsidTr="002A2C4A">
        <w:trPr>
          <w:cantSplit/>
          <w:trHeight w:val="1266"/>
        </w:trPr>
        <w:tc>
          <w:tcPr>
            <w:tcW w:w="4968" w:type="dxa"/>
          </w:tcPr>
          <w:p w:rsidR="005A1F01" w:rsidRDefault="005A1F01" w:rsidP="00C07C81">
            <w:pPr>
              <w:widowControl/>
              <w:rPr>
                <w:b/>
                <w:szCs w:val="22"/>
              </w:rPr>
            </w:pPr>
            <w:r w:rsidRPr="00915E0F">
              <w:rPr>
                <w:b/>
                <w:szCs w:val="22"/>
              </w:rPr>
              <w:t xml:space="preserve">Auction </w:t>
            </w:r>
            <w:r>
              <w:rPr>
                <w:b/>
                <w:szCs w:val="22"/>
              </w:rPr>
              <w:t>9</w:t>
            </w:r>
            <w:r w:rsidR="00E246D2">
              <w:rPr>
                <w:b/>
                <w:szCs w:val="22"/>
              </w:rPr>
              <w:t>6</w:t>
            </w:r>
            <w:r>
              <w:rPr>
                <w:b/>
                <w:szCs w:val="22"/>
              </w:rPr>
              <w:t xml:space="preserve"> Legal </w:t>
            </w:r>
            <w:r w:rsidRPr="00915E0F">
              <w:rPr>
                <w:b/>
                <w:szCs w:val="22"/>
              </w:rPr>
              <w:t>Information</w:t>
            </w:r>
          </w:p>
          <w:p w:rsidR="005A1F01" w:rsidRPr="00A07715" w:rsidRDefault="005A1F01" w:rsidP="00004FFD">
            <w:pPr>
              <w:widowControl/>
              <w:ind w:left="360"/>
              <w:rPr>
                <w:b/>
                <w:szCs w:val="22"/>
              </w:rPr>
            </w:pPr>
            <w:r w:rsidRPr="00CA6286">
              <w:rPr>
                <w:szCs w:val="22"/>
              </w:rPr>
              <w:t>Auction Rules, Policies, Regulations</w:t>
            </w:r>
            <w:r>
              <w:rPr>
                <w:szCs w:val="22"/>
              </w:rPr>
              <w:t>, including Reports of Section 1.2105(c) Violations and Application Major Modifications</w:t>
            </w:r>
          </w:p>
        </w:tc>
        <w:tc>
          <w:tcPr>
            <w:tcW w:w="4860" w:type="dxa"/>
          </w:tcPr>
          <w:p w:rsidR="005A1F01" w:rsidRDefault="005A1F01" w:rsidP="00C07C81">
            <w:pPr>
              <w:widowControl/>
              <w:rPr>
                <w:b/>
                <w:szCs w:val="22"/>
              </w:rPr>
            </w:pPr>
            <w:r w:rsidRPr="00915E0F">
              <w:rPr>
                <w:b/>
                <w:szCs w:val="22"/>
              </w:rPr>
              <w:t>Auctions and Spectrum Access Division</w:t>
            </w:r>
            <w:r>
              <w:rPr>
                <w:b/>
                <w:szCs w:val="22"/>
              </w:rPr>
              <w:t xml:space="preserve"> </w:t>
            </w:r>
          </w:p>
          <w:p w:rsidR="005A1F01" w:rsidRPr="00915E0F" w:rsidRDefault="005A1F01" w:rsidP="00C07C81">
            <w:pPr>
              <w:widowControl/>
              <w:rPr>
                <w:b/>
                <w:szCs w:val="22"/>
              </w:rPr>
            </w:pPr>
            <w:r w:rsidRPr="00915E0F">
              <w:rPr>
                <w:b/>
                <w:szCs w:val="22"/>
              </w:rPr>
              <w:t>(202) 418</w:t>
            </w:r>
            <w:r w:rsidRPr="0001221C">
              <w:rPr>
                <w:b/>
                <w:szCs w:val="22"/>
              </w:rPr>
              <w:t>-0660</w:t>
            </w:r>
          </w:p>
          <w:p w:rsidR="005A1F01" w:rsidRDefault="00277E9C" w:rsidP="00C07C81">
            <w:pPr>
              <w:widowControl/>
              <w:rPr>
                <w:szCs w:val="22"/>
              </w:rPr>
            </w:pPr>
            <w:r>
              <w:rPr>
                <w:szCs w:val="22"/>
              </w:rPr>
              <w:t>Valerie Barrish</w:t>
            </w:r>
            <w:r w:rsidR="005A1F01">
              <w:rPr>
                <w:szCs w:val="22"/>
              </w:rPr>
              <w:t xml:space="preserve"> (Attorney)</w:t>
            </w:r>
          </w:p>
          <w:p w:rsidR="005A1F01" w:rsidRPr="00CA6286" w:rsidRDefault="005A1F01" w:rsidP="00C07C81">
            <w:pPr>
              <w:widowControl/>
              <w:rPr>
                <w:szCs w:val="22"/>
              </w:rPr>
            </w:pPr>
          </w:p>
          <w:p w:rsidR="005A1F01" w:rsidRPr="00CA6286" w:rsidRDefault="005A1F01" w:rsidP="00C07C81">
            <w:pPr>
              <w:widowControl/>
              <w:rPr>
                <w:szCs w:val="22"/>
              </w:rPr>
            </w:pPr>
          </w:p>
        </w:tc>
      </w:tr>
      <w:tr w:rsidR="005A1F01" w:rsidRPr="00CA6286" w:rsidTr="002A2C4A">
        <w:trPr>
          <w:cantSplit/>
          <w:trHeight w:val="1266"/>
        </w:trPr>
        <w:tc>
          <w:tcPr>
            <w:tcW w:w="4968" w:type="dxa"/>
          </w:tcPr>
          <w:p w:rsidR="005A1F01" w:rsidRPr="00915E0F" w:rsidRDefault="005A1F01" w:rsidP="00C07C81">
            <w:pPr>
              <w:widowControl/>
              <w:rPr>
                <w:b/>
                <w:i/>
                <w:szCs w:val="22"/>
              </w:rPr>
            </w:pPr>
            <w:r w:rsidRPr="00915E0F">
              <w:rPr>
                <w:b/>
                <w:szCs w:val="22"/>
              </w:rPr>
              <w:t xml:space="preserve">Licensing Information </w:t>
            </w:r>
          </w:p>
          <w:p w:rsidR="005A1F01" w:rsidRPr="00915E0F" w:rsidRDefault="005A1F01" w:rsidP="00C07C81">
            <w:pPr>
              <w:widowControl/>
              <w:ind w:left="360"/>
              <w:rPr>
                <w:szCs w:val="22"/>
              </w:rPr>
            </w:pPr>
            <w:r w:rsidRPr="00915E0F">
              <w:rPr>
                <w:szCs w:val="22"/>
              </w:rPr>
              <w:t xml:space="preserve">Service Rules, Policies, Regulations </w:t>
            </w:r>
          </w:p>
          <w:p w:rsidR="005A1F01" w:rsidRPr="00915E0F" w:rsidRDefault="005A1F01" w:rsidP="00C07C81">
            <w:pPr>
              <w:widowControl/>
              <w:ind w:left="360"/>
              <w:rPr>
                <w:szCs w:val="22"/>
              </w:rPr>
            </w:pPr>
            <w:r w:rsidRPr="00915E0F">
              <w:rPr>
                <w:szCs w:val="22"/>
              </w:rPr>
              <w:t xml:space="preserve">Licensing Issues, Engineering Issues </w:t>
            </w:r>
          </w:p>
          <w:p w:rsidR="005A1F01" w:rsidRPr="00915E0F" w:rsidRDefault="005A1F01" w:rsidP="00C07C81">
            <w:pPr>
              <w:widowControl/>
              <w:ind w:left="360"/>
              <w:rPr>
                <w:szCs w:val="22"/>
              </w:rPr>
            </w:pPr>
            <w:r w:rsidRPr="00915E0F">
              <w:rPr>
                <w:szCs w:val="22"/>
              </w:rPr>
              <w:t>Due Diligence, Incumbency Issues</w:t>
            </w:r>
          </w:p>
          <w:p w:rsidR="005A1F01" w:rsidRPr="00915E0F" w:rsidRDefault="005A1F01" w:rsidP="00C07C81">
            <w:pPr>
              <w:widowControl/>
              <w:ind w:left="360"/>
              <w:rPr>
                <w:b/>
                <w:szCs w:val="22"/>
              </w:rPr>
            </w:pPr>
          </w:p>
        </w:tc>
        <w:tc>
          <w:tcPr>
            <w:tcW w:w="4860" w:type="dxa"/>
          </w:tcPr>
          <w:p w:rsidR="005A1F01" w:rsidRDefault="00DF7DC8" w:rsidP="00C07C81">
            <w:pPr>
              <w:widowControl/>
              <w:rPr>
                <w:b/>
                <w:szCs w:val="22"/>
                <w:lang w:val="it-IT"/>
              </w:rPr>
            </w:pPr>
            <w:r>
              <w:rPr>
                <w:b/>
                <w:szCs w:val="22"/>
                <w:lang w:val="it-IT"/>
              </w:rPr>
              <w:t>Broadband</w:t>
            </w:r>
            <w:r w:rsidR="005A1F01">
              <w:rPr>
                <w:b/>
                <w:szCs w:val="22"/>
                <w:lang w:val="it-IT"/>
              </w:rPr>
              <w:t xml:space="preserve"> Division </w:t>
            </w:r>
          </w:p>
          <w:p w:rsidR="005A1F01" w:rsidRPr="00F46145" w:rsidRDefault="005A1F01" w:rsidP="00C07C81">
            <w:pPr>
              <w:widowControl/>
              <w:rPr>
                <w:b/>
                <w:szCs w:val="22"/>
                <w:lang w:val="it-IT"/>
              </w:rPr>
            </w:pPr>
            <w:r>
              <w:rPr>
                <w:b/>
                <w:szCs w:val="22"/>
                <w:lang w:val="it-IT"/>
              </w:rPr>
              <w:t>(202) 418-</w:t>
            </w:r>
            <w:r w:rsidR="00DF7DC8">
              <w:rPr>
                <w:b/>
                <w:szCs w:val="22"/>
                <w:lang w:val="it-IT"/>
              </w:rPr>
              <w:t>2487</w:t>
            </w:r>
          </w:p>
          <w:p w:rsidR="005A1F01" w:rsidRPr="00F46145" w:rsidRDefault="00DF7DC8" w:rsidP="00C07C81">
            <w:pPr>
              <w:widowControl/>
              <w:rPr>
                <w:szCs w:val="22"/>
                <w:lang w:val="it-IT"/>
              </w:rPr>
            </w:pPr>
            <w:r>
              <w:rPr>
                <w:szCs w:val="22"/>
                <w:lang w:val="it-IT"/>
              </w:rPr>
              <w:t>Matthew Pearl</w:t>
            </w:r>
            <w:r w:rsidR="005A1F01" w:rsidRPr="00F46145">
              <w:rPr>
                <w:szCs w:val="22"/>
                <w:lang w:val="it-IT"/>
              </w:rPr>
              <w:t xml:space="preserve"> (Attorney)</w:t>
            </w:r>
          </w:p>
          <w:p w:rsidR="005A1F01" w:rsidRPr="00915E0F" w:rsidRDefault="00DF7DC8" w:rsidP="00C07C81">
            <w:pPr>
              <w:widowControl/>
              <w:rPr>
                <w:szCs w:val="22"/>
              </w:rPr>
            </w:pPr>
            <w:r>
              <w:rPr>
                <w:szCs w:val="22"/>
              </w:rPr>
              <w:t>Janet Young</w:t>
            </w:r>
            <w:r w:rsidR="005A1F01">
              <w:rPr>
                <w:szCs w:val="22"/>
              </w:rPr>
              <w:t xml:space="preserve"> (Engineer)</w:t>
            </w:r>
          </w:p>
          <w:p w:rsidR="005A1F01" w:rsidRPr="00915E0F" w:rsidRDefault="005A1F01" w:rsidP="00C07C81">
            <w:pPr>
              <w:widowControl/>
              <w:rPr>
                <w:b/>
                <w:szCs w:val="22"/>
              </w:rPr>
            </w:pPr>
          </w:p>
        </w:tc>
      </w:tr>
      <w:tr w:rsidR="005A1F01" w:rsidRPr="00915E0F" w:rsidTr="002A2C4A">
        <w:trPr>
          <w:cantSplit/>
          <w:trHeight w:val="1266"/>
        </w:trPr>
        <w:tc>
          <w:tcPr>
            <w:tcW w:w="4968" w:type="dxa"/>
          </w:tcPr>
          <w:p w:rsidR="005A1F01" w:rsidRPr="00915E0F" w:rsidRDefault="005A1F01" w:rsidP="00C07C81">
            <w:pPr>
              <w:widowControl/>
              <w:rPr>
                <w:b/>
                <w:szCs w:val="22"/>
              </w:rPr>
            </w:pPr>
            <w:r w:rsidRPr="00915E0F">
              <w:rPr>
                <w:b/>
                <w:szCs w:val="22"/>
              </w:rPr>
              <w:t>Technical Support</w:t>
            </w:r>
          </w:p>
          <w:p w:rsidR="005A1F01" w:rsidRPr="00CA6286" w:rsidRDefault="005A1F01" w:rsidP="00C07C81">
            <w:pPr>
              <w:widowControl/>
              <w:ind w:left="360"/>
              <w:rPr>
                <w:szCs w:val="22"/>
              </w:rPr>
            </w:pPr>
            <w:r w:rsidRPr="00CA6286">
              <w:rPr>
                <w:szCs w:val="22"/>
              </w:rPr>
              <w:t xml:space="preserve">Electronic Filing </w:t>
            </w:r>
          </w:p>
          <w:p w:rsidR="005A1F01" w:rsidRPr="00915E0F" w:rsidRDefault="005A1F01" w:rsidP="00004FFD">
            <w:pPr>
              <w:widowControl/>
              <w:ind w:left="360"/>
              <w:rPr>
                <w:b/>
                <w:i/>
                <w:szCs w:val="22"/>
              </w:rPr>
            </w:pPr>
            <w:r w:rsidRPr="00CA6286">
              <w:rPr>
                <w:szCs w:val="22"/>
              </w:rPr>
              <w:t>FCC Auction System (Hardware/Software Issues)</w:t>
            </w:r>
          </w:p>
        </w:tc>
        <w:tc>
          <w:tcPr>
            <w:tcW w:w="4860" w:type="dxa"/>
          </w:tcPr>
          <w:p w:rsidR="005A1F01" w:rsidRPr="00915E0F" w:rsidRDefault="005A1F01" w:rsidP="00C07C81">
            <w:pPr>
              <w:widowControl/>
              <w:rPr>
                <w:b/>
                <w:szCs w:val="22"/>
              </w:rPr>
            </w:pPr>
            <w:r w:rsidRPr="00915E0F">
              <w:rPr>
                <w:b/>
                <w:szCs w:val="22"/>
              </w:rPr>
              <w:t xml:space="preserve">FCC Auctions Technical Support Hotline </w:t>
            </w:r>
          </w:p>
          <w:p w:rsidR="005A1F01" w:rsidRPr="00CA6286" w:rsidRDefault="005A1F01" w:rsidP="00C07C81">
            <w:pPr>
              <w:widowControl/>
              <w:rPr>
                <w:szCs w:val="22"/>
              </w:rPr>
            </w:pPr>
            <w:r w:rsidRPr="00CA6286">
              <w:rPr>
                <w:szCs w:val="22"/>
              </w:rPr>
              <w:t xml:space="preserve">(877) 480-3201, option nine; or (202) 414-1250 </w:t>
            </w:r>
          </w:p>
          <w:p w:rsidR="005A1F01" w:rsidRPr="00CA6286" w:rsidRDefault="005A1F01" w:rsidP="00C07C81">
            <w:pPr>
              <w:widowControl/>
              <w:rPr>
                <w:szCs w:val="22"/>
              </w:rPr>
            </w:pPr>
            <w:r w:rsidRPr="00CA6286">
              <w:rPr>
                <w:szCs w:val="22"/>
              </w:rPr>
              <w:t xml:space="preserve">(202) 414-1255 (TTY) </w:t>
            </w:r>
          </w:p>
          <w:p w:rsidR="005A1F01" w:rsidRPr="00CA6286" w:rsidRDefault="005A1F01" w:rsidP="00C07C81">
            <w:pPr>
              <w:widowControl/>
              <w:rPr>
                <w:szCs w:val="22"/>
              </w:rPr>
            </w:pPr>
            <w:r w:rsidRPr="00CA6286">
              <w:rPr>
                <w:szCs w:val="22"/>
              </w:rPr>
              <w:t>Hours of service: 8:00 a.m. – 6:00 p.m. ET,</w:t>
            </w:r>
          </w:p>
          <w:p w:rsidR="005A1F01" w:rsidRPr="00CA6286" w:rsidRDefault="005A1F01" w:rsidP="00C07C81">
            <w:pPr>
              <w:widowControl/>
              <w:rPr>
                <w:szCs w:val="22"/>
              </w:rPr>
            </w:pPr>
            <w:r w:rsidRPr="00CA6286">
              <w:rPr>
                <w:szCs w:val="22"/>
              </w:rPr>
              <w:t>Monday through Friday</w:t>
            </w:r>
          </w:p>
          <w:p w:rsidR="005A1F01" w:rsidRPr="00915E0F" w:rsidRDefault="005A1F01" w:rsidP="00C07C81">
            <w:pPr>
              <w:widowControl/>
              <w:rPr>
                <w:b/>
                <w:szCs w:val="22"/>
              </w:rPr>
            </w:pPr>
          </w:p>
        </w:tc>
      </w:tr>
      <w:tr w:rsidR="005A1F01" w:rsidRPr="00915E0F" w:rsidTr="00D20321">
        <w:trPr>
          <w:cantSplit/>
        </w:trPr>
        <w:tc>
          <w:tcPr>
            <w:tcW w:w="4968" w:type="dxa"/>
          </w:tcPr>
          <w:p w:rsidR="005A1F01" w:rsidRPr="00915E0F" w:rsidRDefault="005A1F01" w:rsidP="00C07C81">
            <w:pPr>
              <w:widowControl/>
              <w:rPr>
                <w:b/>
                <w:szCs w:val="22"/>
              </w:rPr>
            </w:pPr>
            <w:r w:rsidRPr="00915E0F">
              <w:rPr>
                <w:b/>
                <w:szCs w:val="22"/>
              </w:rPr>
              <w:t>Payment Information</w:t>
            </w:r>
          </w:p>
          <w:p w:rsidR="005A1F01" w:rsidRPr="00CA6286" w:rsidRDefault="005A1F01" w:rsidP="00C07C81">
            <w:pPr>
              <w:widowControl/>
              <w:ind w:left="360"/>
              <w:rPr>
                <w:szCs w:val="22"/>
              </w:rPr>
            </w:pPr>
            <w:r w:rsidRPr="00CA6286">
              <w:rPr>
                <w:szCs w:val="22"/>
              </w:rPr>
              <w:t>Wire Transfers</w:t>
            </w:r>
          </w:p>
          <w:p w:rsidR="005A1F01" w:rsidRPr="00915E0F" w:rsidRDefault="005A1F01" w:rsidP="00C07C81">
            <w:pPr>
              <w:widowControl/>
              <w:ind w:left="360"/>
              <w:rPr>
                <w:b/>
                <w:szCs w:val="22"/>
              </w:rPr>
            </w:pPr>
            <w:r w:rsidRPr="00CA6286">
              <w:rPr>
                <w:szCs w:val="22"/>
              </w:rPr>
              <w:t>Refunds</w:t>
            </w:r>
          </w:p>
        </w:tc>
        <w:tc>
          <w:tcPr>
            <w:tcW w:w="4860" w:type="dxa"/>
          </w:tcPr>
          <w:p w:rsidR="005A1F01" w:rsidRPr="00915E0F" w:rsidRDefault="005A1F01" w:rsidP="00C07C81">
            <w:pPr>
              <w:widowControl/>
              <w:rPr>
                <w:b/>
                <w:szCs w:val="22"/>
              </w:rPr>
            </w:pPr>
            <w:r w:rsidRPr="00915E0F">
              <w:rPr>
                <w:b/>
                <w:szCs w:val="22"/>
              </w:rPr>
              <w:t>FCC Auctions Accounting Branch</w:t>
            </w:r>
          </w:p>
          <w:p w:rsidR="005A1F01" w:rsidRDefault="005A1F01" w:rsidP="00C07C81">
            <w:pPr>
              <w:widowControl/>
              <w:rPr>
                <w:szCs w:val="22"/>
              </w:rPr>
            </w:pPr>
            <w:r w:rsidRPr="00CA6286">
              <w:rPr>
                <w:szCs w:val="22"/>
              </w:rPr>
              <w:t>Gail Glasser</w:t>
            </w:r>
            <w:r>
              <w:rPr>
                <w:szCs w:val="22"/>
              </w:rPr>
              <w:t xml:space="preserve"> at </w:t>
            </w:r>
            <w:r w:rsidRPr="00CA6286">
              <w:rPr>
                <w:szCs w:val="22"/>
              </w:rPr>
              <w:t>(202) 418-0578</w:t>
            </w:r>
            <w:r>
              <w:rPr>
                <w:szCs w:val="22"/>
              </w:rPr>
              <w:t>, or alternatively,</w:t>
            </w:r>
          </w:p>
          <w:p w:rsidR="005A1F01" w:rsidRPr="00CA6286" w:rsidRDefault="005A1F01" w:rsidP="00C07C81">
            <w:pPr>
              <w:widowControl/>
              <w:rPr>
                <w:szCs w:val="22"/>
              </w:rPr>
            </w:pPr>
            <w:r>
              <w:rPr>
                <w:szCs w:val="22"/>
              </w:rPr>
              <w:t>Theresa Meeks at (202) 418-2945, or</w:t>
            </w:r>
          </w:p>
          <w:p w:rsidR="005A1F01" w:rsidRPr="00CA6286" w:rsidRDefault="005A1F01" w:rsidP="00C07C81">
            <w:pPr>
              <w:widowControl/>
              <w:rPr>
                <w:szCs w:val="22"/>
              </w:rPr>
            </w:pPr>
            <w:r>
              <w:rPr>
                <w:szCs w:val="22"/>
              </w:rPr>
              <w:t>(202) 418-2980 (f</w:t>
            </w:r>
            <w:r w:rsidRPr="00CA6286">
              <w:rPr>
                <w:szCs w:val="22"/>
              </w:rPr>
              <w:t>ax)</w:t>
            </w:r>
          </w:p>
          <w:p w:rsidR="005A1F01" w:rsidRPr="00915E0F" w:rsidRDefault="005A1F01" w:rsidP="00C07C81">
            <w:pPr>
              <w:widowControl/>
              <w:rPr>
                <w:b/>
                <w:szCs w:val="22"/>
              </w:rPr>
            </w:pPr>
          </w:p>
        </w:tc>
      </w:tr>
      <w:tr w:rsidR="005A1F01" w:rsidRPr="00915E0F" w:rsidTr="00D20321">
        <w:trPr>
          <w:cantSplit/>
        </w:trPr>
        <w:tc>
          <w:tcPr>
            <w:tcW w:w="4968" w:type="dxa"/>
          </w:tcPr>
          <w:p w:rsidR="005A1F01" w:rsidRPr="00915E0F" w:rsidRDefault="005A1F01" w:rsidP="005A1F01">
            <w:pPr>
              <w:widowControl/>
              <w:rPr>
                <w:b/>
                <w:szCs w:val="22"/>
              </w:rPr>
            </w:pPr>
            <w:r w:rsidRPr="00CA6286">
              <w:rPr>
                <w:b/>
                <w:szCs w:val="22"/>
              </w:rPr>
              <w:t>Auction Bidder Line</w:t>
            </w:r>
          </w:p>
        </w:tc>
        <w:tc>
          <w:tcPr>
            <w:tcW w:w="4860" w:type="dxa"/>
          </w:tcPr>
          <w:p w:rsidR="005A1F01" w:rsidRDefault="005A1F01" w:rsidP="00C07C81">
            <w:pPr>
              <w:widowControl/>
              <w:rPr>
                <w:szCs w:val="22"/>
              </w:rPr>
            </w:pPr>
            <w:r w:rsidRPr="00CA6286">
              <w:rPr>
                <w:szCs w:val="22"/>
              </w:rPr>
              <w:t>Will be furnished only to qualified bidders</w:t>
            </w:r>
          </w:p>
          <w:p w:rsidR="00D20321" w:rsidRPr="00915E0F" w:rsidRDefault="00D20321" w:rsidP="00C07C81">
            <w:pPr>
              <w:widowControl/>
              <w:rPr>
                <w:b/>
                <w:szCs w:val="22"/>
              </w:rPr>
            </w:pPr>
          </w:p>
        </w:tc>
      </w:tr>
      <w:tr w:rsidR="005A1F01" w:rsidRPr="00CA6286" w:rsidTr="002A2C4A">
        <w:trPr>
          <w:cantSplit/>
          <w:trHeight w:val="458"/>
        </w:trPr>
        <w:tc>
          <w:tcPr>
            <w:tcW w:w="4968" w:type="dxa"/>
          </w:tcPr>
          <w:p w:rsidR="005A1F01" w:rsidRPr="00915E0F" w:rsidRDefault="005A1F01" w:rsidP="00C07C81">
            <w:pPr>
              <w:widowControl/>
              <w:rPr>
                <w:b/>
                <w:szCs w:val="22"/>
              </w:rPr>
            </w:pPr>
            <w:r w:rsidRPr="00915E0F">
              <w:rPr>
                <w:b/>
                <w:szCs w:val="22"/>
              </w:rPr>
              <w:t>FCC Copy Contractor</w:t>
            </w:r>
          </w:p>
          <w:p w:rsidR="005A1F01" w:rsidRPr="00CA6286" w:rsidRDefault="005A1F01" w:rsidP="00004FFD">
            <w:pPr>
              <w:widowControl/>
              <w:ind w:left="360"/>
              <w:rPr>
                <w:b/>
                <w:szCs w:val="22"/>
              </w:rPr>
            </w:pPr>
            <w:r w:rsidRPr="00CA6286">
              <w:rPr>
                <w:szCs w:val="22"/>
              </w:rPr>
              <w:t>Additional Copies of</w:t>
            </w:r>
            <w:r w:rsidR="00C5313B">
              <w:rPr>
                <w:szCs w:val="22"/>
              </w:rPr>
              <w:t xml:space="preserve"> </w:t>
            </w:r>
            <w:r w:rsidRPr="00CA6286">
              <w:rPr>
                <w:szCs w:val="22"/>
              </w:rPr>
              <w:t>Commission Documents</w:t>
            </w:r>
          </w:p>
        </w:tc>
        <w:tc>
          <w:tcPr>
            <w:tcW w:w="4860" w:type="dxa"/>
          </w:tcPr>
          <w:p w:rsidR="005A1F01" w:rsidRPr="00915E0F" w:rsidRDefault="005A1F01" w:rsidP="00C07C81">
            <w:pPr>
              <w:widowControl/>
              <w:rPr>
                <w:b/>
                <w:szCs w:val="22"/>
              </w:rPr>
            </w:pPr>
            <w:r w:rsidRPr="00915E0F">
              <w:rPr>
                <w:b/>
                <w:szCs w:val="22"/>
              </w:rPr>
              <w:t>Best Copy and Printing, Inc</w:t>
            </w:r>
          </w:p>
          <w:p w:rsidR="005A1F01" w:rsidRPr="00CA6286" w:rsidRDefault="005A1F01" w:rsidP="00C07C81">
            <w:pPr>
              <w:widowControl/>
              <w:rPr>
                <w:szCs w:val="22"/>
              </w:rPr>
            </w:pPr>
            <w:r w:rsidRPr="00CA6286">
              <w:rPr>
                <w:szCs w:val="22"/>
              </w:rPr>
              <w:t>445 12th Street, SW, Room CY-B402</w:t>
            </w:r>
          </w:p>
          <w:p w:rsidR="005A1F01" w:rsidRPr="00CA6286" w:rsidRDefault="005A1F01" w:rsidP="00C07C81">
            <w:pPr>
              <w:pStyle w:val="TOAHeading"/>
              <w:widowControl/>
              <w:tabs>
                <w:tab w:val="clear" w:pos="9360"/>
              </w:tabs>
              <w:suppressAutoHyphens w:val="0"/>
              <w:rPr>
                <w:szCs w:val="22"/>
              </w:rPr>
            </w:pPr>
            <w:r w:rsidRPr="00CA6286">
              <w:rPr>
                <w:szCs w:val="22"/>
              </w:rPr>
              <w:t xml:space="preserve">Washington, DC  20554 </w:t>
            </w:r>
          </w:p>
          <w:p w:rsidR="005A1F01" w:rsidRPr="00CA6286" w:rsidRDefault="005A1F01" w:rsidP="00C07C81">
            <w:pPr>
              <w:widowControl/>
              <w:rPr>
                <w:szCs w:val="22"/>
              </w:rPr>
            </w:pPr>
            <w:r w:rsidRPr="00CA6286">
              <w:rPr>
                <w:szCs w:val="22"/>
              </w:rPr>
              <w:t>(800) 378-3160</w:t>
            </w:r>
          </w:p>
          <w:p w:rsidR="005A1F01" w:rsidRPr="00CA6286" w:rsidRDefault="003B770F" w:rsidP="00C07C81">
            <w:pPr>
              <w:widowControl/>
              <w:rPr>
                <w:szCs w:val="22"/>
              </w:rPr>
            </w:pPr>
            <w:hyperlink r:id="rId21" w:history="1">
              <w:r w:rsidR="005A1F01" w:rsidRPr="005B3D86">
                <w:rPr>
                  <w:rStyle w:val="Hyperlink"/>
                  <w:szCs w:val="22"/>
                </w:rPr>
                <w:t>http://www.bcpiweb.com</w:t>
              </w:r>
            </w:hyperlink>
            <w:r w:rsidR="005A1F01" w:rsidRPr="00CA6286">
              <w:rPr>
                <w:szCs w:val="22"/>
              </w:rPr>
              <w:t xml:space="preserve"> </w:t>
            </w:r>
          </w:p>
          <w:p w:rsidR="005A1F01" w:rsidRPr="00CA6286" w:rsidRDefault="005A1F01" w:rsidP="00C07C81">
            <w:pPr>
              <w:pStyle w:val="TOAHeading"/>
              <w:widowControl/>
              <w:tabs>
                <w:tab w:val="clear" w:pos="9360"/>
              </w:tabs>
              <w:suppressAutoHyphens w:val="0"/>
              <w:rPr>
                <w:szCs w:val="22"/>
              </w:rPr>
            </w:pPr>
          </w:p>
        </w:tc>
      </w:tr>
      <w:tr w:rsidR="005A1F01" w:rsidRPr="00915E0F" w:rsidTr="00D20321">
        <w:trPr>
          <w:cantSplit/>
        </w:trPr>
        <w:tc>
          <w:tcPr>
            <w:tcW w:w="4968" w:type="dxa"/>
          </w:tcPr>
          <w:p w:rsidR="005A1F01" w:rsidRPr="00915E0F" w:rsidRDefault="005A1F01" w:rsidP="005A1F01">
            <w:pPr>
              <w:widowControl/>
              <w:rPr>
                <w:b/>
                <w:szCs w:val="22"/>
              </w:rPr>
            </w:pPr>
            <w:r w:rsidRPr="00CA6286">
              <w:rPr>
                <w:b/>
                <w:szCs w:val="22"/>
              </w:rPr>
              <w:t>Press Information</w:t>
            </w:r>
          </w:p>
        </w:tc>
        <w:tc>
          <w:tcPr>
            <w:tcW w:w="4860" w:type="dxa"/>
          </w:tcPr>
          <w:p w:rsidR="005A1F01" w:rsidRPr="00CA6286" w:rsidRDefault="005A1F01" w:rsidP="00C07C81">
            <w:pPr>
              <w:widowControl/>
              <w:rPr>
                <w:szCs w:val="22"/>
              </w:rPr>
            </w:pPr>
            <w:r>
              <w:rPr>
                <w:szCs w:val="22"/>
              </w:rPr>
              <w:t>Cecilia Sulhoff</w:t>
            </w:r>
            <w:r w:rsidRPr="00CF5529">
              <w:rPr>
                <w:szCs w:val="22"/>
              </w:rPr>
              <w:t xml:space="preserve">  (202) </w:t>
            </w:r>
            <w:r w:rsidRPr="00597291">
              <w:rPr>
                <w:szCs w:val="22"/>
              </w:rPr>
              <w:t>418-0587</w:t>
            </w:r>
          </w:p>
          <w:p w:rsidR="005A1F01" w:rsidRPr="00915E0F" w:rsidRDefault="005A1F01" w:rsidP="00C07C81">
            <w:pPr>
              <w:widowControl/>
              <w:rPr>
                <w:b/>
                <w:szCs w:val="22"/>
              </w:rPr>
            </w:pPr>
          </w:p>
        </w:tc>
      </w:tr>
      <w:tr w:rsidR="005A1F01" w:rsidRPr="00CA6286" w:rsidTr="002A2C4A">
        <w:trPr>
          <w:cantSplit/>
          <w:trHeight w:val="350"/>
        </w:trPr>
        <w:tc>
          <w:tcPr>
            <w:tcW w:w="4968" w:type="dxa"/>
          </w:tcPr>
          <w:p w:rsidR="005A1F01" w:rsidRPr="00CA6286" w:rsidRDefault="005A1F01" w:rsidP="00C07C81">
            <w:pPr>
              <w:widowControl/>
              <w:rPr>
                <w:b/>
                <w:szCs w:val="22"/>
              </w:rPr>
            </w:pPr>
            <w:r w:rsidRPr="00CA6286">
              <w:rPr>
                <w:b/>
                <w:szCs w:val="22"/>
              </w:rPr>
              <w:t>FCC Forms</w:t>
            </w:r>
          </w:p>
        </w:tc>
        <w:tc>
          <w:tcPr>
            <w:tcW w:w="4860" w:type="dxa"/>
          </w:tcPr>
          <w:p w:rsidR="005A1F01" w:rsidRPr="00CA6286" w:rsidRDefault="005A1F01" w:rsidP="00C07C81">
            <w:pPr>
              <w:widowControl/>
              <w:rPr>
                <w:szCs w:val="22"/>
              </w:rPr>
            </w:pPr>
            <w:r w:rsidRPr="00CA6286">
              <w:rPr>
                <w:szCs w:val="22"/>
              </w:rPr>
              <w:t xml:space="preserve">(800) 418-3676 (outside Washington, DC) </w:t>
            </w:r>
          </w:p>
          <w:p w:rsidR="005A1F01" w:rsidRPr="00CA6286" w:rsidRDefault="005A1F01" w:rsidP="00C07C81">
            <w:pPr>
              <w:widowControl/>
              <w:rPr>
                <w:szCs w:val="22"/>
              </w:rPr>
            </w:pPr>
            <w:r w:rsidRPr="00CA6286">
              <w:rPr>
                <w:szCs w:val="22"/>
              </w:rPr>
              <w:t>(202) 418-3676 (in the Washington area)</w:t>
            </w:r>
          </w:p>
          <w:p w:rsidR="005A1F01" w:rsidRDefault="003B770F" w:rsidP="00C07C81">
            <w:pPr>
              <w:widowControl/>
              <w:rPr>
                <w:rStyle w:val="Hyperlink"/>
                <w:szCs w:val="22"/>
              </w:rPr>
            </w:pPr>
            <w:hyperlink r:id="rId22" w:history="1">
              <w:r w:rsidR="005A1F01" w:rsidRPr="005B3D86">
                <w:rPr>
                  <w:rStyle w:val="Hyperlink"/>
                  <w:szCs w:val="22"/>
                </w:rPr>
                <w:t>http://www.fcc.gov/formpage.html</w:t>
              </w:r>
            </w:hyperlink>
          </w:p>
          <w:p w:rsidR="00D20321" w:rsidRPr="00CA6286" w:rsidRDefault="00D20321" w:rsidP="00C07C81">
            <w:pPr>
              <w:widowControl/>
              <w:rPr>
                <w:szCs w:val="22"/>
              </w:rPr>
            </w:pPr>
          </w:p>
        </w:tc>
      </w:tr>
      <w:tr w:rsidR="005A1F01" w:rsidRPr="00CA6286" w:rsidTr="002A2C4A">
        <w:trPr>
          <w:cantSplit/>
          <w:trHeight w:val="980"/>
        </w:trPr>
        <w:tc>
          <w:tcPr>
            <w:tcW w:w="4968" w:type="dxa"/>
          </w:tcPr>
          <w:p w:rsidR="005A1F01" w:rsidRPr="00915E0F" w:rsidRDefault="005A1F01" w:rsidP="00C07C81">
            <w:pPr>
              <w:widowControl/>
              <w:rPr>
                <w:b/>
                <w:szCs w:val="22"/>
              </w:rPr>
            </w:pPr>
            <w:r w:rsidRPr="00915E0F">
              <w:rPr>
                <w:b/>
                <w:szCs w:val="22"/>
              </w:rPr>
              <w:t>Accessible Formats</w:t>
            </w:r>
          </w:p>
          <w:p w:rsidR="005A1F01" w:rsidRPr="00CA6286" w:rsidRDefault="005A1F01" w:rsidP="00004FFD">
            <w:pPr>
              <w:widowControl/>
              <w:ind w:left="360"/>
              <w:rPr>
                <w:b/>
                <w:szCs w:val="22"/>
              </w:rPr>
            </w:pPr>
            <w:r w:rsidRPr="00CA6286">
              <w:rPr>
                <w:szCs w:val="22"/>
              </w:rPr>
              <w:t>Braille, large print, electronic files, or audio</w:t>
            </w:r>
            <w:r w:rsidRPr="00CA6286" w:rsidDel="00E50789">
              <w:rPr>
                <w:szCs w:val="22"/>
              </w:rPr>
              <w:t xml:space="preserve"> </w:t>
            </w:r>
            <w:r w:rsidRPr="00CA6286">
              <w:rPr>
                <w:szCs w:val="22"/>
              </w:rPr>
              <w:t>format for people with disabilities</w:t>
            </w:r>
          </w:p>
        </w:tc>
        <w:tc>
          <w:tcPr>
            <w:tcW w:w="4860" w:type="dxa"/>
          </w:tcPr>
          <w:p w:rsidR="005A1F01" w:rsidRPr="00915E0F" w:rsidRDefault="005A1F01" w:rsidP="00C07C81">
            <w:pPr>
              <w:widowControl/>
              <w:rPr>
                <w:b/>
                <w:szCs w:val="22"/>
              </w:rPr>
            </w:pPr>
            <w:r w:rsidRPr="00915E0F">
              <w:rPr>
                <w:b/>
                <w:szCs w:val="22"/>
              </w:rPr>
              <w:t>Consumer and Governmental Affairs Bureau</w:t>
            </w:r>
          </w:p>
          <w:p w:rsidR="005A1F01" w:rsidRPr="00CA6286" w:rsidRDefault="005A1F01" w:rsidP="00C07C81">
            <w:pPr>
              <w:widowControl/>
              <w:rPr>
                <w:szCs w:val="22"/>
              </w:rPr>
            </w:pPr>
            <w:r w:rsidRPr="00CA6286">
              <w:rPr>
                <w:szCs w:val="22"/>
              </w:rPr>
              <w:t>(202) 418-0530 or (202) 418-0432 (TTY)</w:t>
            </w:r>
          </w:p>
          <w:p w:rsidR="005A1F01" w:rsidRDefault="003B770F" w:rsidP="00C07C81">
            <w:pPr>
              <w:widowControl/>
              <w:rPr>
                <w:szCs w:val="22"/>
              </w:rPr>
            </w:pPr>
            <w:hyperlink r:id="rId23" w:history="1">
              <w:r w:rsidR="005A1F01" w:rsidRPr="00692219">
                <w:rPr>
                  <w:rStyle w:val="Hyperlink"/>
                  <w:szCs w:val="22"/>
                </w:rPr>
                <w:t>fcc504@fcc.gov</w:t>
              </w:r>
            </w:hyperlink>
          </w:p>
          <w:p w:rsidR="005A1F01" w:rsidRPr="00CA6286" w:rsidRDefault="005A1F01" w:rsidP="00C07C81">
            <w:pPr>
              <w:widowControl/>
              <w:rPr>
                <w:szCs w:val="22"/>
              </w:rPr>
            </w:pPr>
          </w:p>
        </w:tc>
      </w:tr>
      <w:tr w:rsidR="005A1F01" w:rsidRPr="00915E0F" w:rsidTr="002A2C4A">
        <w:trPr>
          <w:cantSplit/>
          <w:trHeight w:val="1105"/>
        </w:trPr>
        <w:tc>
          <w:tcPr>
            <w:tcW w:w="4968" w:type="dxa"/>
          </w:tcPr>
          <w:p w:rsidR="005A1F01" w:rsidRDefault="005A1F01" w:rsidP="00C07C81">
            <w:pPr>
              <w:widowControl/>
              <w:rPr>
                <w:b/>
                <w:szCs w:val="22"/>
              </w:rPr>
            </w:pPr>
            <w:r>
              <w:rPr>
                <w:b/>
                <w:szCs w:val="22"/>
              </w:rPr>
              <w:t>Small Businesses</w:t>
            </w:r>
          </w:p>
          <w:p w:rsidR="005A1F01" w:rsidRPr="00915E0F" w:rsidRDefault="005A1F01" w:rsidP="00C07C81">
            <w:pPr>
              <w:widowControl/>
              <w:ind w:left="360"/>
              <w:rPr>
                <w:b/>
                <w:szCs w:val="22"/>
              </w:rPr>
            </w:pPr>
            <w:r>
              <w:rPr>
                <w:szCs w:val="22"/>
              </w:rPr>
              <w:t>Additional information for small and disadvantaged businesses</w:t>
            </w:r>
          </w:p>
        </w:tc>
        <w:tc>
          <w:tcPr>
            <w:tcW w:w="4860" w:type="dxa"/>
          </w:tcPr>
          <w:p w:rsidR="005A1F01" w:rsidRDefault="005A1F01" w:rsidP="00C07C81">
            <w:pPr>
              <w:widowControl/>
              <w:rPr>
                <w:b/>
                <w:szCs w:val="22"/>
              </w:rPr>
            </w:pPr>
            <w:r>
              <w:rPr>
                <w:b/>
                <w:szCs w:val="22"/>
              </w:rPr>
              <w:t>Office of Communications Business Opportunities</w:t>
            </w:r>
          </w:p>
          <w:p w:rsidR="005A1F01" w:rsidRDefault="005A1F01" w:rsidP="00C07C81">
            <w:pPr>
              <w:widowControl/>
              <w:rPr>
                <w:szCs w:val="22"/>
              </w:rPr>
            </w:pPr>
            <w:r>
              <w:rPr>
                <w:szCs w:val="22"/>
              </w:rPr>
              <w:t>(202) 418-0990</w:t>
            </w:r>
          </w:p>
          <w:p w:rsidR="005A1F01" w:rsidRDefault="003B770F" w:rsidP="00C07C81">
            <w:pPr>
              <w:widowControl/>
              <w:rPr>
                <w:szCs w:val="22"/>
              </w:rPr>
            </w:pPr>
            <w:hyperlink r:id="rId24" w:history="1">
              <w:r w:rsidR="005A1F01" w:rsidRPr="00C34735">
                <w:rPr>
                  <w:rStyle w:val="Hyperlink"/>
                  <w:szCs w:val="22"/>
                </w:rPr>
                <w:t>http://www.fcc.gov/ocbo/</w:t>
              </w:r>
            </w:hyperlink>
          </w:p>
          <w:p w:rsidR="005A1F01" w:rsidRPr="00915E0F" w:rsidRDefault="005A1F01" w:rsidP="00C07C81">
            <w:pPr>
              <w:widowControl/>
              <w:rPr>
                <w:b/>
                <w:szCs w:val="22"/>
              </w:rPr>
            </w:pPr>
          </w:p>
        </w:tc>
      </w:tr>
      <w:tr w:rsidR="005A1F01" w:rsidRPr="00CA6286" w:rsidTr="002A2C4A">
        <w:trPr>
          <w:cantSplit/>
        </w:trPr>
        <w:tc>
          <w:tcPr>
            <w:tcW w:w="4968" w:type="dxa"/>
          </w:tcPr>
          <w:p w:rsidR="005A1F01" w:rsidRPr="00CA6286" w:rsidRDefault="005A1F01" w:rsidP="00C07C81">
            <w:pPr>
              <w:widowControl/>
              <w:rPr>
                <w:b/>
                <w:szCs w:val="22"/>
              </w:rPr>
            </w:pPr>
            <w:r w:rsidRPr="00CA6286">
              <w:rPr>
                <w:b/>
                <w:szCs w:val="22"/>
              </w:rPr>
              <w:t>FCC Internet Sites</w:t>
            </w:r>
          </w:p>
          <w:p w:rsidR="005A1F01" w:rsidRPr="00CF5529" w:rsidRDefault="005A1F01" w:rsidP="00C07C81">
            <w:pPr>
              <w:widowControl/>
              <w:ind w:left="360"/>
              <w:rPr>
                <w:szCs w:val="22"/>
              </w:rPr>
            </w:pPr>
          </w:p>
        </w:tc>
        <w:tc>
          <w:tcPr>
            <w:tcW w:w="4860" w:type="dxa"/>
          </w:tcPr>
          <w:p w:rsidR="005A1F01" w:rsidRPr="00CA6286" w:rsidRDefault="003B770F" w:rsidP="00C07C81">
            <w:pPr>
              <w:widowControl/>
              <w:rPr>
                <w:szCs w:val="22"/>
              </w:rPr>
            </w:pPr>
            <w:hyperlink r:id="rId25" w:history="1">
              <w:r w:rsidR="005A1F01" w:rsidRPr="005B3D86">
                <w:rPr>
                  <w:rStyle w:val="Hyperlink"/>
                  <w:szCs w:val="22"/>
                </w:rPr>
                <w:t>http://www.fcc.gov</w:t>
              </w:r>
            </w:hyperlink>
          </w:p>
          <w:p w:rsidR="005A1F01" w:rsidRPr="00CA6286" w:rsidRDefault="003B770F" w:rsidP="00C07C81">
            <w:pPr>
              <w:widowControl/>
              <w:rPr>
                <w:szCs w:val="22"/>
              </w:rPr>
            </w:pPr>
            <w:hyperlink r:id="rId26" w:history="1">
              <w:r w:rsidR="005A1F01" w:rsidRPr="005B3D86">
                <w:rPr>
                  <w:rStyle w:val="Hyperlink"/>
                  <w:szCs w:val="22"/>
                </w:rPr>
                <w:t>http://wireless.fcc.gov/auctions</w:t>
              </w:r>
            </w:hyperlink>
          </w:p>
          <w:p w:rsidR="005A1F01" w:rsidRPr="00CA6286" w:rsidRDefault="003B770F" w:rsidP="00C07C81">
            <w:pPr>
              <w:widowControl/>
              <w:rPr>
                <w:szCs w:val="22"/>
              </w:rPr>
            </w:pPr>
            <w:hyperlink r:id="rId27" w:history="1">
              <w:r w:rsidR="005A1F01" w:rsidRPr="0089635C">
                <w:rPr>
                  <w:rStyle w:val="Hyperlink"/>
                  <w:szCs w:val="22"/>
                </w:rPr>
                <w:t>http://wireless.fcc.gov/uls</w:t>
              </w:r>
            </w:hyperlink>
          </w:p>
          <w:p w:rsidR="005A1F01" w:rsidRPr="007E1D09" w:rsidRDefault="005A1F01" w:rsidP="00C07C81">
            <w:pPr>
              <w:widowControl/>
              <w:rPr>
                <w:szCs w:val="22"/>
              </w:rPr>
            </w:pPr>
          </w:p>
        </w:tc>
      </w:tr>
    </w:tbl>
    <w:p w:rsidR="00607806" w:rsidRPr="001C2E9C" w:rsidRDefault="00607806" w:rsidP="00C07C81">
      <w:pPr>
        <w:widowControl/>
      </w:pPr>
    </w:p>
    <w:p w:rsidR="000150CD" w:rsidRPr="001C2E9C" w:rsidRDefault="000B4697" w:rsidP="00C07C81">
      <w:pPr>
        <w:widowControl/>
        <w:jc w:val="center"/>
        <w:rPr>
          <w:szCs w:val="22"/>
        </w:rPr>
        <w:sectPr w:rsidR="000150CD" w:rsidRPr="001C2E9C" w:rsidSect="00B655E1">
          <w:headerReference w:type="even" r:id="rId28"/>
          <w:headerReference w:type="default" r:id="rId29"/>
          <w:footerReference w:type="even" r:id="rId30"/>
          <w:footerReference w:type="default" r:id="rId31"/>
          <w:headerReference w:type="first" r:id="rId32"/>
          <w:footerReference w:type="first" r:id="rId33"/>
          <w:endnotePr>
            <w:numFmt w:val="decimal"/>
          </w:endnotePr>
          <w:pgSz w:w="12240" w:h="15840" w:code="1"/>
          <w:pgMar w:top="1440" w:right="1440" w:bottom="1080" w:left="1440" w:header="634" w:footer="576" w:gutter="0"/>
          <w:pgNumType w:start="1"/>
          <w:cols w:space="720"/>
          <w:noEndnote/>
          <w:titlePg/>
        </w:sectPr>
      </w:pPr>
      <w:r>
        <w:rPr>
          <w:szCs w:val="22"/>
        </w:rPr>
        <w:t>–</w:t>
      </w:r>
      <w:r w:rsidR="00607806" w:rsidRPr="001C2E9C">
        <w:rPr>
          <w:szCs w:val="22"/>
        </w:rPr>
        <w:t xml:space="preserve"> FCC </w:t>
      </w:r>
      <w:r>
        <w:rPr>
          <w:szCs w:val="22"/>
        </w:rPr>
        <w:t>–</w:t>
      </w:r>
    </w:p>
    <w:p w:rsidR="00EE4425" w:rsidRDefault="00EE4425" w:rsidP="00EE4425">
      <w:pPr>
        <w:widowControl/>
        <w:tabs>
          <w:tab w:val="left" w:pos="1080"/>
        </w:tabs>
        <w:jc w:val="center"/>
        <w:rPr>
          <w:rFonts w:ascii="Times New Roman Bold" w:hAnsi="Times New Roman Bold"/>
          <w:b/>
          <w:caps/>
          <w:color w:val="000000"/>
        </w:rPr>
      </w:pPr>
      <w:bookmarkStart w:id="4479" w:name="_Toc148338103"/>
      <w:bookmarkStart w:id="4480" w:name="_Toc148339813"/>
      <w:bookmarkStart w:id="4481" w:name="_Toc148339910"/>
      <w:bookmarkStart w:id="4482" w:name="_Toc149645620"/>
      <w:bookmarkStart w:id="4483" w:name="_Toc149997923"/>
      <w:bookmarkStart w:id="4484" w:name="_Toc158180798"/>
      <w:bookmarkStart w:id="4485" w:name="_Toc158785646"/>
      <w:bookmarkStart w:id="4486" w:name="_Toc178768553"/>
      <w:bookmarkStart w:id="4487" w:name="_Toc179195994"/>
      <w:bookmarkStart w:id="4488" w:name="_Toc179361956"/>
      <w:bookmarkStart w:id="4489" w:name="_Toc179363740"/>
      <w:bookmarkStart w:id="4490" w:name="_Toc197504975"/>
      <w:bookmarkStart w:id="4491" w:name="_Toc198007756"/>
      <w:bookmarkStart w:id="4492" w:name="_Toc198007907"/>
      <w:bookmarkStart w:id="4493" w:name="_Toc198008259"/>
      <w:bookmarkStart w:id="4494" w:name="_Toc198008396"/>
      <w:bookmarkStart w:id="4495" w:name="_Toc198008943"/>
      <w:bookmarkStart w:id="4496" w:name="_Toc198369839"/>
      <w:bookmarkStart w:id="4497" w:name="_Toc227033364"/>
      <w:r>
        <w:rPr>
          <w:rFonts w:ascii="Times New Roman Bold" w:hAnsi="Times New Roman Bold"/>
          <w:b/>
          <w:caps/>
          <w:color w:val="000000"/>
        </w:rPr>
        <w:t>Attachment A</w:t>
      </w:r>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p>
    <w:p w:rsidR="00EE4425" w:rsidRDefault="00EE4425" w:rsidP="00EE4425">
      <w:pPr>
        <w:widowControl/>
        <w:tabs>
          <w:tab w:val="left" w:pos="1080"/>
        </w:tabs>
        <w:jc w:val="center"/>
        <w:rPr>
          <w:rFonts w:ascii="Times New Roman Bold" w:hAnsi="Times New Roman Bold"/>
          <w:b/>
          <w:caps/>
          <w:color w:val="000000"/>
        </w:rPr>
      </w:pPr>
    </w:p>
    <w:p w:rsidR="004463A7" w:rsidRDefault="00DF7DC8" w:rsidP="00DF7DC8">
      <w:pPr>
        <w:widowControl/>
        <w:jc w:val="center"/>
        <w:rPr>
          <w:b/>
        </w:rPr>
      </w:pPr>
      <w:r>
        <w:rPr>
          <w:b/>
        </w:rPr>
        <w:t>Licenses to Be Auctioned</w:t>
      </w:r>
    </w:p>
    <w:p w:rsidR="00DF7DC8" w:rsidRDefault="00DF7DC8" w:rsidP="00DF7DC8">
      <w:pPr>
        <w:widowControl/>
        <w:jc w:val="center"/>
        <w:rPr>
          <w:b/>
        </w:rPr>
      </w:pPr>
    </w:p>
    <w:p w:rsidR="00DF7DC8" w:rsidRPr="00DF7DC8" w:rsidRDefault="00DF7DC8" w:rsidP="00DF7DC8">
      <w:pPr>
        <w:widowControl/>
      </w:pPr>
      <w:r>
        <w:t>This page was intentionally inserted as a placeholder for Attachment A, which is available as a separate file.</w:t>
      </w:r>
    </w:p>
    <w:p w:rsidR="00DF7DC8" w:rsidRDefault="00DF7DC8" w:rsidP="00DF7DC8">
      <w:pPr>
        <w:widowControl/>
        <w:rPr>
          <w:b/>
        </w:rPr>
      </w:pPr>
    </w:p>
    <w:p w:rsidR="00D67C35" w:rsidRDefault="00D67C35" w:rsidP="00DF7DC8">
      <w:pPr>
        <w:widowControl/>
        <w:sectPr w:rsidR="00D67C35" w:rsidSect="007C63BD">
          <w:headerReference w:type="default" r:id="rId34"/>
          <w:footerReference w:type="default" r:id="rId35"/>
          <w:headerReference w:type="first" r:id="rId36"/>
          <w:endnotePr>
            <w:numFmt w:val="decimal"/>
          </w:endnotePr>
          <w:pgSz w:w="12240" w:h="15840" w:code="1"/>
          <w:pgMar w:top="1440" w:right="1440" w:bottom="720" w:left="1440" w:header="634" w:footer="576" w:gutter="0"/>
          <w:pgNumType w:start="1"/>
          <w:cols w:space="720"/>
          <w:noEndnote/>
        </w:sectPr>
      </w:pPr>
    </w:p>
    <w:p w:rsidR="00325C5A" w:rsidRDefault="00325C5A" w:rsidP="00325C5A">
      <w:pPr>
        <w:widowControl/>
        <w:jc w:val="center"/>
        <w:rPr>
          <w:b/>
          <w:bCs/>
          <w:szCs w:val="22"/>
        </w:rPr>
      </w:pPr>
      <w:r>
        <w:rPr>
          <w:b/>
          <w:bCs/>
          <w:szCs w:val="22"/>
        </w:rPr>
        <w:t xml:space="preserve">ATTACHMENT </w:t>
      </w:r>
      <w:r w:rsidR="007454AD">
        <w:rPr>
          <w:b/>
          <w:bCs/>
          <w:szCs w:val="22"/>
        </w:rPr>
        <w:t xml:space="preserve">B </w:t>
      </w:r>
    </w:p>
    <w:p w:rsidR="00325C5A" w:rsidRDefault="00325C5A" w:rsidP="00325C5A">
      <w:pPr>
        <w:widowControl/>
        <w:jc w:val="center"/>
        <w:rPr>
          <w:b/>
          <w:bCs/>
          <w:szCs w:val="22"/>
        </w:rPr>
      </w:pPr>
    </w:p>
    <w:p w:rsidR="00325C5A" w:rsidRDefault="00325C5A" w:rsidP="00325C5A">
      <w:pPr>
        <w:widowControl/>
        <w:jc w:val="center"/>
        <w:rPr>
          <w:b/>
          <w:bCs/>
          <w:szCs w:val="22"/>
        </w:rPr>
      </w:pPr>
      <w:r>
        <w:rPr>
          <w:b/>
          <w:bCs/>
          <w:szCs w:val="22"/>
        </w:rPr>
        <w:t>Minimum Acceptable Bid Formula</w:t>
      </w:r>
    </w:p>
    <w:p w:rsidR="00325C5A" w:rsidRDefault="00325C5A" w:rsidP="00325C5A">
      <w:pPr>
        <w:widowControl/>
        <w:jc w:val="center"/>
        <w:rPr>
          <w:b/>
          <w:bCs/>
          <w:szCs w:val="22"/>
        </w:rPr>
      </w:pPr>
    </w:p>
    <w:p w:rsidR="00325C5A" w:rsidRDefault="00325C5A" w:rsidP="00325C5A">
      <w:pPr>
        <w:widowControl/>
        <w:suppressAutoHyphens/>
        <w:ind w:firstLine="4"/>
      </w:pPr>
      <w:r>
        <w:t xml:space="preserve">The following formula used to calculate minimum acceptable bids is based on activity.  After </w:t>
      </w:r>
      <w:r w:rsidR="00137735">
        <w:t>there is a provisionally winning bid</w:t>
      </w:r>
      <w:r>
        <w:t xml:space="preserve"> for a license, the minimum acceptable bid amount for that license will be equal to the amount of the </w:t>
      </w:r>
      <w:r w:rsidR="00137735">
        <w:t xml:space="preserve">provisionally winning bid </w:t>
      </w:r>
      <w:r>
        <w:t xml:space="preserve">plus a percentage of </w:t>
      </w:r>
      <w:r w:rsidR="00137735">
        <w:t>the bid amount</w:t>
      </w:r>
      <w:r>
        <w:t xml:space="preserve"> calculated using the formula below.  In general, the percentage will be higher for a license receiving many bids than for a license receiving few bids.  </w:t>
      </w:r>
    </w:p>
    <w:p w:rsidR="00325C5A" w:rsidRDefault="00325C5A" w:rsidP="00325C5A">
      <w:pPr>
        <w:widowControl/>
        <w:tabs>
          <w:tab w:val="left" w:pos="720"/>
          <w:tab w:val="left" w:pos="1080"/>
        </w:tabs>
        <w:suppressAutoHyphens/>
        <w:spacing w:line="360" w:lineRule="auto"/>
        <w:ind w:left="450" w:hanging="450"/>
        <w:rPr>
          <w:color w:val="000000"/>
          <w:szCs w:val="22"/>
        </w:rPr>
      </w:pPr>
    </w:p>
    <w:p w:rsidR="00325C5A" w:rsidRDefault="00325C5A" w:rsidP="00325C5A">
      <w:pPr>
        <w:widowControl/>
        <w:tabs>
          <w:tab w:val="left" w:pos="720"/>
          <w:tab w:val="left" w:pos="1080"/>
        </w:tabs>
        <w:suppressAutoHyphens/>
        <w:spacing w:line="360" w:lineRule="auto"/>
        <w:ind w:left="450" w:hanging="450"/>
        <w:rPr>
          <w:color w:val="000000"/>
          <w:szCs w:val="22"/>
          <w:lang w:val="it-IT"/>
        </w:rPr>
      </w:pPr>
      <w:r>
        <w:rPr>
          <w:color w:val="000000"/>
          <w:szCs w:val="22"/>
          <w:lang w:val="it-IT"/>
        </w:rPr>
        <w:t>A</w:t>
      </w:r>
      <w:r>
        <w:rPr>
          <w:color w:val="000000"/>
          <w:szCs w:val="22"/>
          <w:vertAlign w:val="subscript"/>
          <w:lang w:val="it-IT"/>
        </w:rPr>
        <w:t>i</w:t>
      </w:r>
      <w:r>
        <w:rPr>
          <w:color w:val="000000"/>
          <w:szCs w:val="22"/>
          <w:lang w:val="it-IT"/>
        </w:rPr>
        <w:tab/>
        <w:t>=</w:t>
      </w:r>
      <w:r>
        <w:rPr>
          <w:color w:val="000000"/>
          <w:szCs w:val="22"/>
          <w:lang w:val="it-IT"/>
        </w:rPr>
        <w:tab/>
        <w:t>(C * B</w:t>
      </w:r>
      <w:r>
        <w:rPr>
          <w:color w:val="000000"/>
          <w:szCs w:val="22"/>
          <w:vertAlign w:val="subscript"/>
          <w:lang w:val="it-IT"/>
        </w:rPr>
        <w:t>i</w:t>
      </w:r>
      <w:r>
        <w:rPr>
          <w:color w:val="000000"/>
          <w:szCs w:val="22"/>
          <w:lang w:val="it-IT"/>
        </w:rPr>
        <w:t>) + ((1-C) * A</w:t>
      </w:r>
      <w:r>
        <w:rPr>
          <w:color w:val="000000"/>
          <w:szCs w:val="22"/>
          <w:vertAlign w:val="subscript"/>
          <w:lang w:val="it-IT"/>
        </w:rPr>
        <w:t>i-1</w:t>
      </w:r>
      <w:r>
        <w:rPr>
          <w:color w:val="000000"/>
          <w:szCs w:val="22"/>
          <w:lang w:val="it-IT"/>
        </w:rPr>
        <w:t>)</w:t>
      </w:r>
    </w:p>
    <w:p w:rsidR="00325C5A" w:rsidRDefault="00325C5A" w:rsidP="00325C5A">
      <w:pPr>
        <w:widowControl/>
        <w:tabs>
          <w:tab w:val="left" w:pos="720"/>
          <w:tab w:val="left" w:pos="1080"/>
        </w:tabs>
        <w:suppressAutoHyphens/>
        <w:spacing w:line="360" w:lineRule="auto"/>
        <w:ind w:left="450" w:hanging="450"/>
        <w:rPr>
          <w:color w:val="000000"/>
          <w:szCs w:val="22"/>
          <w:lang w:val="it-IT"/>
        </w:rPr>
      </w:pPr>
      <w:r>
        <w:rPr>
          <w:color w:val="000000"/>
          <w:szCs w:val="22"/>
          <w:lang w:val="it-IT"/>
        </w:rPr>
        <w:t>I</w:t>
      </w:r>
      <w:r>
        <w:rPr>
          <w:color w:val="000000"/>
          <w:szCs w:val="22"/>
          <w:vertAlign w:val="subscript"/>
          <w:lang w:val="it-IT"/>
        </w:rPr>
        <w:t>i+1</w:t>
      </w:r>
      <w:r>
        <w:rPr>
          <w:color w:val="000000"/>
          <w:szCs w:val="22"/>
          <w:lang w:val="it-IT"/>
        </w:rPr>
        <w:tab/>
        <w:t>=</w:t>
      </w:r>
      <w:r>
        <w:rPr>
          <w:color w:val="000000"/>
          <w:szCs w:val="22"/>
          <w:lang w:val="it-IT"/>
        </w:rPr>
        <w:tab/>
        <w:t>smaller of ((1 + A</w:t>
      </w:r>
      <w:r>
        <w:rPr>
          <w:color w:val="000000"/>
          <w:szCs w:val="22"/>
          <w:vertAlign w:val="subscript"/>
          <w:lang w:val="it-IT"/>
        </w:rPr>
        <w:t>i</w:t>
      </w:r>
      <w:r>
        <w:rPr>
          <w:color w:val="000000"/>
          <w:szCs w:val="22"/>
          <w:lang w:val="it-IT"/>
        </w:rPr>
        <w:t>) * N) and M</w:t>
      </w:r>
    </w:p>
    <w:p w:rsidR="00325C5A" w:rsidRDefault="00325C5A" w:rsidP="00325C5A">
      <w:pPr>
        <w:widowControl/>
        <w:tabs>
          <w:tab w:val="left" w:pos="720"/>
          <w:tab w:val="left" w:pos="1080"/>
        </w:tabs>
        <w:suppressAutoHyphens/>
        <w:spacing w:line="360" w:lineRule="auto"/>
        <w:ind w:left="450" w:hanging="450"/>
        <w:rPr>
          <w:color w:val="000000"/>
          <w:szCs w:val="22"/>
        </w:rPr>
      </w:pPr>
      <w:r>
        <w:rPr>
          <w:color w:val="000000"/>
          <w:szCs w:val="22"/>
        </w:rPr>
        <w:t>X</w:t>
      </w:r>
      <w:r>
        <w:rPr>
          <w:color w:val="000000"/>
          <w:szCs w:val="22"/>
          <w:vertAlign w:val="subscript"/>
        </w:rPr>
        <w:t>i+1</w:t>
      </w:r>
      <w:r>
        <w:rPr>
          <w:color w:val="000000"/>
          <w:szCs w:val="22"/>
          <w:vertAlign w:val="subscript"/>
        </w:rPr>
        <w:tab/>
      </w:r>
      <w:r>
        <w:rPr>
          <w:color w:val="000000"/>
          <w:szCs w:val="22"/>
        </w:rPr>
        <w:t>=</w:t>
      </w:r>
      <w:r>
        <w:rPr>
          <w:color w:val="000000"/>
          <w:szCs w:val="22"/>
        </w:rPr>
        <w:tab/>
        <w:t>I</w:t>
      </w:r>
      <w:r>
        <w:rPr>
          <w:color w:val="000000"/>
          <w:szCs w:val="22"/>
          <w:vertAlign w:val="subscript"/>
        </w:rPr>
        <w:t xml:space="preserve">i+1 </w:t>
      </w:r>
      <w:r>
        <w:rPr>
          <w:color w:val="000000"/>
          <w:szCs w:val="22"/>
        </w:rPr>
        <w:t>* Y</w:t>
      </w:r>
      <w:r>
        <w:rPr>
          <w:color w:val="000000"/>
          <w:szCs w:val="22"/>
          <w:vertAlign w:val="subscript"/>
        </w:rPr>
        <w:t>i</w:t>
      </w:r>
    </w:p>
    <w:p w:rsidR="00325C5A" w:rsidRDefault="00325C5A" w:rsidP="00325C5A">
      <w:pPr>
        <w:widowControl/>
        <w:tabs>
          <w:tab w:val="left" w:pos="1080"/>
        </w:tabs>
        <w:suppressAutoHyphens/>
        <w:spacing w:line="360" w:lineRule="auto"/>
        <w:rPr>
          <w:color w:val="000000"/>
          <w:szCs w:val="22"/>
        </w:rPr>
      </w:pPr>
      <w:r>
        <w:rPr>
          <w:color w:val="000000"/>
          <w:szCs w:val="22"/>
        </w:rPr>
        <w:t>where</w:t>
      </w:r>
    </w:p>
    <w:p w:rsidR="00325C5A" w:rsidRDefault="00325C5A" w:rsidP="00325C5A">
      <w:pPr>
        <w:widowControl/>
        <w:tabs>
          <w:tab w:val="left" w:pos="1170"/>
          <w:tab w:val="left" w:pos="1440"/>
        </w:tabs>
        <w:suppressAutoHyphens/>
        <w:spacing w:line="360" w:lineRule="auto"/>
        <w:ind w:left="1170" w:hanging="450"/>
        <w:rPr>
          <w:color w:val="000000"/>
          <w:szCs w:val="22"/>
        </w:rPr>
      </w:pPr>
      <w:r>
        <w:rPr>
          <w:color w:val="000000"/>
          <w:szCs w:val="22"/>
        </w:rPr>
        <w:t>A</w:t>
      </w:r>
      <w:r>
        <w:rPr>
          <w:color w:val="000000"/>
          <w:szCs w:val="22"/>
          <w:vertAlign w:val="subscript"/>
        </w:rPr>
        <w:t>i</w:t>
      </w:r>
      <w:r>
        <w:rPr>
          <w:color w:val="000000"/>
          <w:szCs w:val="22"/>
        </w:rPr>
        <w:tab/>
        <w:t>=</w:t>
      </w:r>
      <w:r>
        <w:rPr>
          <w:color w:val="000000"/>
          <w:szCs w:val="22"/>
        </w:rPr>
        <w:tab/>
        <w:t>activity index for the current round (round i)</w:t>
      </w:r>
    </w:p>
    <w:p w:rsidR="00325C5A" w:rsidRDefault="00325C5A" w:rsidP="00325C5A">
      <w:pPr>
        <w:widowControl/>
        <w:tabs>
          <w:tab w:val="left" w:pos="1170"/>
          <w:tab w:val="left" w:pos="1440"/>
        </w:tabs>
        <w:suppressAutoHyphens/>
        <w:spacing w:line="360" w:lineRule="auto"/>
        <w:ind w:left="1170" w:hanging="450"/>
        <w:rPr>
          <w:color w:val="000000"/>
          <w:szCs w:val="22"/>
        </w:rPr>
      </w:pPr>
      <w:r>
        <w:rPr>
          <w:color w:val="000000"/>
          <w:szCs w:val="22"/>
        </w:rPr>
        <w:t>C</w:t>
      </w:r>
      <w:r>
        <w:rPr>
          <w:color w:val="000000"/>
          <w:szCs w:val="22"/>
        </w:rPr>
        <w:tab/>
        <w:t>=</w:t>
      </w:r>
      <w:r>
        <w:rPr>
          <w:color w:val="000000"/>
          <w:szCs w:val="22"/>
        </w:rPr>
        <w:tab/>
        <w:t>activity weight factor</w:t>
      </w:r>
    </w:p>
    <w:p w:rsidR="00325C5A" w:rsidRDefault="00325C5A" w:rsidP="00325C5A">
      <w:pPr>
        <w:widowControl/>
        <w:tabs>
          <w:tab w:val="left" w:pos="1170"/>
          <w:tab w:val="left" w:pos="1440"/>
        </w:tabs>
        <w:suppressAutoHyphens/>
        <w:spacing w:line="360" w:lineRule="auto"/>
        <w:ind w:left="1170" w:hanging="450"/>
        <w:rPr>
          <w:color w:val="000000"/>
          <w:szCs w:val="22"/>
        </w:rPr>
      </w:pPr>
      <w:r>
        <w:rPr>
          <w:color w:val="000000"/>
          <w:szCs w:val="22"/>
        </w:rPr>
        <w:t>B</w:t>
      </w:r>
      <w:r w:rsidRPr="00936C44">
        <w:rPr>
          <w:color w:val="000000"/>
          <w:szCs w:val="22"/>
        </w:rPr>
        <w:t>i</w:t>
      </w:r>
      <w:r>
        <w:rPr>
          <w:color w:val="000000"/>
          <w:szCs w:val="22"/>
        </w:rPr>
        <w:tab/>
        <w:t>=</w:t>
      </w:r>
      <w:r>
        <w:rPr>
          <w:color w:val="000000"/>
          <w:szCs w:val="22"/>
        </w:rPr>
        <w:tab/>
        <w:t>number of bidders submitting bids on the license in the current round (round i)</w:t>
      </w:r>
    </w:p>
    <w:p w:rsidR="00325C5A" w:rsidRDefault="00325C5A" w:rsidP="00325C5A">
      <w:pPr>
        <w:widowControl/>
        <w:tabs>
          <w:tab w:val="left" w:pos="1170"/>
          <w:tab w:val="left" w:pos="1440"/>
        </w:tabs>
        <w:suppressAutoHyphens/>
        <w:spacing w:line="360" w:lineRule="auto"/>
        <w:ind w:left="1170" w:hanging="450"/>
        <w:rPr>
          <w:color w:val="000000"/>
          <w:szCs w:val="22"/>
        </w:rPr>
      </w:pPr>
      <w:r>
        <w:rPr>
          <w:color w:val="000000"/>
          <w:szCs w:val="22"/>
        </w:rPr>
        <w:t>A</w:t>
      </w:r>
      <w:r w:rsidRPr="008678A7">
        <w:rPr>
          <w:color w:val="000000"/>
          <w:szCs w:val="22"/>
          <w:vertAlign w:val="subscript"/>
        </w:rPr>
        <w:t>i-1</w:t>
      </w:r>
      <w:r>
        <w:rPr>
          <w:color w:val="000000"/>
          <w:szCs w:val="22"/>
        </w:rPr>
        <w:tab/>
        <w:t>=</w:t>
      </w:r>
      <w:r>
        <w:rPr>
          <w:color w:val="000000"/>
          <w:szCs w:val="22"/>
        </w:rPr>
        <w:tab/>
        <w:t>activity index from previous round (round i-1), A</w:t>
      </w:r>
      <w:r w:rsidRPr="00936C44">
        <w:rPr>
          <w:color w:val="000000"/>
          <w:szCs w:val="22"/>
        </w:rPr>
        <w:t>0</w:t>
      </w:r>
      <w:r>
        <w:rPr>
          <w:color w:val="000000"/>
          <w:szCs w:val="22"/>
        </w:rPr>
        <w:t xml:space="preserve"> is 0</w:t>
      </w:r>
    </w:p>
    <w:p w:rsidR="00325C5A" w:rsidRDefault="00325C5A" w:rsidP="00325C5A">
      <w:pPr>
        <w:widowControl/>
        <w:tabs>
          <w:tab w:val="left" w:pos="1170"/>
          <w:tab w:val="left" w:pos="1440"/>
        </w:tabs>
        <w:suppressAutoHyphens/>
        <w:spacing w:line="360" w:lineRule="auto"/>
        <w:ind w:left="1170" w:hanging="450"/>
        <w:rPr>
          <w:color w:val="000000"/>
          <w:szCs w:val="22"/>
        </w:rPr>
      </w:pPr>
      <w:r>
        <w:rPr>
          <w:color w:val="000000"/>
          <w:szCs w:val="22"/>
        </w:rPr>
        <w:t>I</w:t>
      </w:r>
      <w:r w:rsidRPr="008678A7">
        <w:rPr>
          <w:color w:val="000000"/>
          <w:szCs w:val="22"/>
          <w:vertAlign w:val="subscript"/>
        </w:rPr>
        <w:t>i+1</w:t>
      </w:r>
      <w:r>
        <w:rPr>
          <w:color w:val="000000"/>
          <w:szCs w:val="22"/>
        </w:rPr>
        <w:tab/>
        <w:t>=</w:t>
      </w:r>
      <w:r>
        <w:rPr>
          <w:color w:val="000000"/>
          <w:szCs w:val="22"/>
        </w:rPr>
        <w:tab/>
        <w:t>additional percentage for the next round (round i+1)</w:t>
      </w:r>
    </w:p>
    <w:p w:rsidR="00325C5A" w:rsidRDefault="00325C5A" w:rsidP="00325C5A">
      <w:pPr>
        <w:widowControl/>
        <w:tabs>
          <w:tab w:val="left" w:pos="1170"/>
          <w:tab w:val="left" w:pos="1440"/>
        </w:tabs>
        <w:suppressAutoHyphens/>
        <w:spacing w:line="360" w:lineRule="auto"/>
        <w:ind w:left="1170" w:hanging="450"/>
        <w:rPr>
          <w:color w:val="000000"/>
          <w:szCs w:val="22"/>
        </w:rPr>
      </w:pPr>
      <w:r>
        <w:rPr>
          <w:color w:val="000000"/>
          <w:szCs w:val="22"/>
        </w:rPr>
        <w:t>N</w:t>
      </w:r>
      <w:r>
        <w:rPr>
          <w:color w:val="000000"/>
          <w:szCs w:val="22"/>
        </w:rPr>
        <w:tab/>
        <w:t>=</w:t>
      </w:r>
      <w:r>
        <w:rPr>
          <w:color w:val="000000"/>
          <w:szCs w:val="22"/>
        </w:rPr>
        <w:tab/>
        <w:t>minimum additional percentage or floor</w:t>
      </w:r>
    </w:p>
    <w:p w:rsidR="00325C5A" w:rsidRDefault="00325C5A" w:rsidP="00325C5A">
      <w:pPr>
        <w:widowControl/>
        <w:tabs>
          <w:tab w:val="left" w:pos="1170"/>
          <w:tab w:val="left" w:pos="1440"/>
        </w:tabs>
        <w:suppressAutoHyphens/>
        <w:spacing w:line="360" w:lineRule="auto"/>
        <w:ind w:left="1170" w:hanging="450"/>
        <w:rPr>
          <w:color w:val="000000"/>
          <w:szCs w:val="22"/>
        </w:rPr>
      </w:pPr>
      <w:r>
        <w:rPr>
          <w:color w:val="000000"/>
          <w:szCs w:val="22"/>
        </w:rPr>
        <w:t>M</w:t>
      </w:r>
      <w:r>
        <w:rPr>
          <w:color w:val="000000"/>
          <w:szCs w:val="22"/>
        </w:rPr>
        <w:tab/>
        <w:t>=</w:t>
      </w:r>
      <w:r>
        <w:rPr>
          <w:color w:val="000000"/>
          <w:szCs w:val="22"/>
        </w:rPr>
        <w:tab/>
        <w:t>maximum additional percentage or ceiling</w:t>
      </w:r>
    </w:p>
    <w:p w:rsidR="00325C5A" w:rsidRDefault="00325C5A" w:rsidP="00325C5A">
      <w:pPr>
        <w:widowControl/>
        <w:tabs>
          <w:tab w:val="left" w:pos="1170"/>
          <w:tab w:val="left" w:pos="1440"/>
        </w:tabs>
        <w:suppressAutoHyphens/>
        <w:spacing w:line="360" w:lineRule="auto"/>
        <w:ind w:left="1170" w:hanging="450"/>
        <w:rPr>
          <w:color w:val="000000"/>
          <w:szCs w:val="22"/>
        </w:rPr>
      </w:pPr>
      <w:r>
        <w:rPr>
          <w:color w:val="000000"/>
          <w:szCs w:val="22"/>
        </w:rPr>
        <w:t>X</w:t>
      </w:r>
      <w:r w:rsidRPr="008678A7">
        <w:rPr>
          <w:color w:val="000000"/>
          <w:szCs w:val="22"/>
          <w:vertAlign w:val="subscript"/>
        </w:rPr>
        <w:t>i+1</w:t>
      </w:r>
      <w:r w:rsidRPr="00936C44">
        <w:rPr>
          <w:color w:val="000000"/>
          <w:szCs w:val="22"/>
        </w:rPr>
        <w:tab/>
      </w:r>
      <w:r>
        <w:rPr>
          <w:color w:val="000000"/>
          <w:szCs w:val="22"/>
        </w:rPr>
        <w:t>=</w:t>
      </w:r>
      <w:r>
        <w:rPr>
          <w:color w:val="000000"/>
          <w:szCs w:val="22"/>
        </w:rPr>
        <w:tab/>
        <w:t xml:space="preserve">dollar amount corresponding to the additional percentage </w:t>
      </w:r>
    </w:p>
    <w:p w:rsidR="00325C5A" w:rsidRPr="00936C44" w:rsidRDefault="00325C5A" w:rsidP="00325C5A">
      <w:pPr>
        <w:widowControl/>
        <w:tabs>
          <w:tab w:val="left" w:pos="1170"/>
          <w:tab w:val="left" w:pos="1440"/>
        </w:tabs>
        <w:suppressAutoHyphens/>
        <w:spacing w:line="360" w:lineRule="auto"/>
        <w:ind w:left="1170" w:hanging="450"/>
        <w:rPr>
          <w:color w:val="000000"/>
          <w:szCs w:val="22"/>
        </w:rPr>
      </w:pPr>
      <w:r>
        <w:rPr>
          <w:color w:val="000000"/>
          <w:szCs w:val="22"/>
        </w:rPr>
        <w:t>Y</w:t>
      </w:r>
      <w:r w:rsidRPr="008678A7">
        <w:rPr>
          <w:color w:val="000000"/>
          <w:szCs w:val="22"/>
          <w:vertAlign w:val="subscript"/>
        </w:rPr>
        <w:t>i</w:t>
      </w:r>
      <w:r w:rsidRPr="00936C44">
        <w:rPr>
          <w:color w:val="000000"/>
          <w:szCs w:val="22"/>
        </w:rPr>
        <w:tab/>
      </w:r>
      <w:r>
        <w:rPr>
          <w:color w:val="000000"/>
          <w:szCs w:val="22"/>
        </w:rPr>
        <w:t>=</w:t>
      </w:r>
      <w:r>
        <w:rPr>
          <w:color w:val="000000"/>
          <w:szCs w:val="22"/>
        </w:rPr>
        <w:tab/>
      </w:r>
      <w:r w:rsidR="00137735">
        <w:rPr>
          <w:color w:val="000000"/>
          <w:szCs w:val="22"/>
        </w:rPr>
        <w:t>provisionally winning bid amount</w:t>
      </w:r>
      <w:r w:rsidRPr="00936C44">
        <w:rPr>
          <w:color w:val="000000"/>
          <w:szCs w:val="22"/>
        </w:rPr>
        <w:t xml:space="preserve"> from the current round  </w:t>
      </w:r>
    </w:p>
    <w:p w:rsidR="00325C5A" w:rsidRDefault="00325C5A" w:rsidP="00F249EC">
      <w:pPr>
        <w:widowControl/>
        <w:suppressAutoHyphens/>
        <w:spacing w:line="360" w:lineRule="auto"/>
        <w:ind w:left="1440"/>
        <w:rPr>
          <w:color w:val="000000"/>
          <w:szCs w:val="22"/>
        </w:rPr>
      </w:pPr>
    </w:p>
    <w:p w:rsidR="00325C5A" w:rsidRDefault="00325C5A" w:rsidP="00325C5A">
      <w:pPr>
        <w:widowControl/>
        <w:tabs>
          <w:tab w:val="left" w:pos="1080"/>
        </w:tabs>
        <w:rPr>
          <w:color w:val="000000"/>
        </w:rPr>
      </w:pPr>
      <w:r>
        <w:rPr>
          <w:color w:val="000000"/>
        </w:rPr>
        <w:t>Examples</w:t>
      </w:r>
    </w:p>
    <w:p w:rsidR="00325C5A" w:rsidRDefault="00325C5A" w:rsidP="00325C5A">
      <w:pPr>
        <w:widowControl/>
        <w:tabs>
          <w:tab w:val="left" w:pos="1080"/>
        </w:tabs>
        <w:rPr>
          <w:color w:val="000000"/>
        </w:rPr>
      </w:pPr>
    </w:p>
    <w:p w:rsidR="00325C5A" w:rsidRDefault="00325C5A" w:rsidP="00325C5A">
      <w:pPr>
        <w:widowControl/>
        <w:tabs>
          <w:tab w:val="left" w:pos="1080"/>
        </w:tabs>
        <w:suppressAutoHyphens/>
        <w:rPr>
          <w:color w:val="000000"/>
          <w:szCs w:val="22"/>
        </w:rPr>
      </w:pPr>
      <w:r>
        <w:rPr>
          <w:color w:val="000000"/>
          <w:szCs w:val="22"/>
        </w:rPr>
        <w:t>C = 0.5, N = 0.1, M = 0.2</w:t>
      </w:r>
    </w:p>
    <w:p w:rsidR="00325C5A" w:rsidRDefault="00325C5A" w:rsidP="00325C5A">
      <w:pPr>
        <w:widowControl/>
        <w:tabs>
          <w:tab w:val="left" w:pos="1080"/>
        </w:tabs>
        <w:suppressAutoHyphens/>
        <w:ind w:left="720"/>
        <w:rPr>
          <w:color w:val="000000"/>
          <w:szCs w:val="22"/>
        </w:rPr>
      </w:pPr>
      <w:r>
        <w:rPr>
          <w:color w:val="000000"/>
          <w:szCs w:val="22"/>
        </w:rPr>
        <w:t>Please note that these values are for illustrative purposes only and might not be the same as those used in the auction.</w:t>
      </w:r>
    </w:p>
    <w:p w:rsidR="00325C5A" w:rsidRDefault="00325C5A" w:rsidP="00325C5A">
      <w:pPr>
        <w:widowControl/>
        <w:tabs>
          <w:tab w:val="left" w:pos="1080"/>
        </w:tabs>
        <w:suppressAutoHyphens/>
        <w:rPr>
          <w:color w:val="000000"/>
          <w:szCs w:val="22"/>
        </w:rPr>
      </w:pPr>
    </w:p>
    <w:p w:rsidR="00325C5A" w:rsidRDefault="00325C5A" w:rsidP="00325C5A">
      <w:pPr>
        <w:widowControl/>
        <w:tabs>
          <w:tab w:val="left" w:pos="1080"/>
        </w:tabs>
        <w:suppressAutoHyphens/>
        <w:rPr>
          <w:color w:val="000000"/>
          <w:szCs w:val="22"/>
        </w:rPr>
      </w:pPr>
    </w:p>
    <w:p w:rsidR="00325C5A" w:rsidRDefault="00325C5A" w:rsidP="00325C5A">
      <w:pPr>
        <w:keepNext/>
        <w:keepLines/>
        <w:widowControl/>
        <w:tabs>
          <w:tab w:val="left" w:pos="1080"/>
        </w:tabs>
        <w:suppressAutoHyphens/>
        <w:rPr>
          <w:color w:val="000000"/>
          <w:szCs w:val="22"/>
        </w:rPr>
      </w:pPr>
      <w:r>
        <w:rPr>
          <w:color w:val="000000"/>
          <w:szCs w:val="22"/>
          <w:u w:val="single"/>
        </w:rPr>
        <w:t xml:space="preserve">Round 1 (2 bidders submitting bids, </w:t>
      </w:r>
      <w:r w:rsidR="00137735">
        <w:rPr>
          <w:color w:val="000000"/>
          <w:szCs w:val="22"/>
          <w:u w:val="single"/>
        </w:rPr>
        <w:t>provisionally winning bid</w:t>
      </w:r>
      <w:r>
        <w:rPr>
          <w:color w:val="000000"/>
          <w:szCs w:val="22"/>
          <w:u w:val="single"/>
        </w:rPr>
        <w:t xml:space="preserve"> = $1,000,000)</w:t>
      </w:r>
    </w:p>
    <w:p w:rsidR="00325C5A" w:rsidRDefault="00325C5A" w:rsidP="00325C5A">
      <w:pPr>
        <w:keepNext/>
        <w:keepLines/>
        <w:widowControl/>
        <w:tabs>
          <w:tab w:val="left" w:pos="1080"/>
        </w:tabs>
        <w:suppressAutoHyphens/>
        <w:rPr>
          <w:color w:val="000000"/>
          <w:szCs w:val="22"/>
        </w:rPr>
      </w:pPr>
    </w:p>
    <w:p w:rsidR="00325C5A" w:rsidRDefault="00325C5A" w:rsidP="00325C5A">
      <w:pPr>
        <w:keepNext/>
        <w:keepLines/>
        <w:widowControl/>
        <w:tabs>
          <w:tab w:val="left" w:pos="1080"/>
        </w:tabs>
        <w:suppressAutoHyphens/>
        <w:rPr>
          <w:color w:val="000000"/>
          <w:szCs w:val="22"/>
        </w:rPr>
      </w:pPr>
      <w:r>
        <w:rPr>
          <w:color w:val="000000"/>
          <w:szCs w:val="22"/>
        </w:rPr>
        <w:t>1. Calculation of additional percentage for round 2:</w:t>
      </w:r>
    </w:p>
    <w:p w:rsidR="00325C5A" w:rsidRDefault="00325C5A" w:rsidP="00325C5A">
      <w:pPr>
        <w:keepNext/>
        <w:keepLines/>
        <w:widowControl/>
        <w:tabs>
          <w:tab w:val="left" w:pos="720"/>
          <w:tab w:val="left" w:pos="1080"/>
          <w:tab w:val="left" w:pos="1170"/>
          <w:tab w:val="left" w:pos="1440"/>
        </w:tabs>
        <w:suppressAutoHyphens/>
        <w:rPr>
          <w:color w:val="000000"/>
          <w:szCs w:val="22"/>
        </w:rPr>
      </w:pPr>
      <w:r>
        <w:rPr>
          <w:color w:val="000000"/>
          <w:szCs w:val="22"/>
        </w:rPr>
        <w:tab/>
        <w:t>A</w:t>
      </w:r>
      <w:r>
        <w:rPr>
          <w:color w:val="000000"/>
          <w:szCs w:val="22"/>
          <w:vertAlign w:val="subscript"/>
        </w:rPr>
        <w:t>1</w:t>
      </w:r>
      <w:r>
        <w:rPr>
          <w:color w:val="000000"/>
          <w:szCs w:val="22"/>
        </w:rPr>
        <w:tab/>
        <w:t>=</w:t>
      </w:r>
      <w:r>
        <w:rPr>
          <w:color w:val="000000"/>
          <w:szCs w:val="22"/>
        </w:rPr>
        <w:tab/>
        <w:t>(0.5 * 2) + (0.5 * 0) = 1</w:t>
      </w:r>
    </w:p>
    <w:p w:rsidR="00325C5A" w:rsidRDefault="00325C5A" w:rsidP="00325C5A">
      <w:pPr>
        <w:keepNext/>
        <w:keepLines/>
        <w:widowControl/>
        <w:tabs>
          <w:tab w:val="left" w:pos="1080"/>
          <w:tab w:val="left" w:pos="1170"/>
          <w:tab w:val="left" w:pos="1440"/>
        </w:tabs>
        <w:suppressAutoHyphens/>
        <w:ind w:left="1440" w:hanging="720"/>
        <w:rPr>
          <w:color w:val="000000"/>
          <w:szCs w:val="22"/>
        </w:rPr>
      </w:pPr>
      <w:r>
        <w:rPr>
          <w:color w:val="000000"/>
          <w:szCs w:val="22"/>
        </w:rPr>
        <w:t xml:space="preserve"> I</w:t>
      </w:r>
      <w:r>
        <w:rPr>
          <w:color w:val="000000"/>
          <w:szCs w:val="22"/>
          <w:vertAlign w:val="subscript"/>
        </w:rPr>
        <w:t>2</w:t>
      </w:r>
      <w:r>
        <w:rPr>
          <w:color w:val="000000"/>
          <w:szCs w:val="22"/>
        </w:rPr>
        <w:tab/>
        <w:t>=</w:t>
      </w:r>
      <w:r>
        <w:rPr>
          <w:color w:val="000000"/>
          <w:szCs w:val="22"/>
        </w:rPr>
        <w:tab/>
        <w:t>The smaller of [((1 + 1) * 0.1) = 0.2] and 0.2 (the maximum additional percentage)</w:t>
      </w:r>
    </w:p>
    <w:p w:rsidR="00325C5A" w:rsidRDefault="00325C5A" w:rsidP="00325C5A">
      <w:pPr>
        <w:widowControl/>
        <w:tabs>
          <w:tab w:val="left" w:pos="720"/>
          <w:tab w:val="left" w:pos="1080"/>
          <w:tab w:val="left" w:pos="1170"/>
          <w:tab w:val="left" w:pos="1440"/>
        </w:tabs>
        <w:suppressAutoHyphens/>
        <w:rPr>
          <w:color w:val="000000"/>
          <w:szCs w:val="22"/>
        </w:rPr>
      </w:pPr>
      <w:r>
        <w:rPr>
          <w:color w:val="000000"/>
          <w:szCs w:val="22"/>
        </w:rPr>
        <w:tab/>
      </w:r>
      <w:r>
        <w:rPr>
          <w:color w:val="000000"/>
          <w:szCs w:val="22"/>
        </w:rPr>
        <w:tab/>
        <w:t>=</w:t>
      </w:r>
      <w:r>
        <w:rPr>
          <w:color w:val="000000"/>
          <w:szCs w:val="22"/>
        </w:rPr>
        <w:tab/>
        <w:t>0.2</w:t>
      </w:r>
    </w:p>
    <w:p w:rsidR="00325C5A" w:rsidRDefault="00325C5A" w:rsidP="00325C5A">
      <w:pPr>
        <w:widowControl/>
        <w:tabs>
          <w:tab w:val="left" w:pos="1080"/>
        </w:tabs>
        <w:suppressAutoHyphens/>
        <w:rPr>
          <w:color w:val="000000"/>
          <w:szCs w:val="22"/>
        </w:rPr>
      </w:pPr>
    </w:p>
    <w:p w:rsidR="00325C5A" w:rsidRDefault="00325C5A" w:rsidP="00325C5A">
      <w:pPr>
        <w:widowControl/>
        <w:tabs>
          <w:tab w:val="left" w:pos="1080"/>
        </w:tabs>
        <w:suppressAutoHyphens/>
        <w:rPr>
          <w:color w:val="000000"/>
          <w:szCs w:val="22"/>
        </w:rPr>
      </w:pPr>
      <w:r>
        <w:rPr>
          <w:color w:val="000000"/>
          <w:szCs w:val="22"/>
        </w:rPr>
        <w:t>2. Calculation of dollar amount associated with the additional percentage for round 2 (using I</w:t>
      </w:r>
      <w:r>
        <w:rPr>
          <w:color w:val="000000"/>
          <w:szCs w:val="22"/>
          <w:vertAlign w:val="subscript"/>
        </w:rPr>
        <w:t>2</w:t>
      </w:r>
      <w:r>
        <w:rPr>
          <w:color w:val="000000"/>
          <w:szCs w:val="22"/>
        </w:rPr>
        <w:t xml:space="preserve"> from above): </w:t>
      </w:r>
    </w:p>
    <w:p w:rsidR="00325C5A" w:rsidRDefault="00325C5A" w:rsidP="00325C5A">
      <w:pPr>
        <w:widowControl/>
        <w:tabs>
          <w:tab w:val="left" w:pos="720"/>
          <w:tab w:val="left" w:pos="1080"/>
          <w:tab w:val="left" w:pos="1170"/>
          <w:tab w:val="left" w:pos="1440"/>
        </w:tabs>
        <w:suppressAutoHyphens/>
        <w:rPr>
          <w:color w:val="000000"/>
          <w:szCs w:val="22"/>
        </w:rPr>
      </w:pPr>
      <w:r>
        <w:rPr>
          <w:color w:val="000000"/>
          <w:szCs w:val="22"/>
        </w:rPr>
        <w:tab/>
        <w:t>X</w:t>
      </w:r>
      <w:r>
        <w:rPr>
          <w:color w:val="000000"/>
          <w:szCs w:val="22"/>
          <w:vertAlign w:val="subscript"/>
        </w:rPr>
        <w:t>2</w:t>
      </w:r>
      <w:r>
        <w:rPr>
          <w:color w:val="000000"/>
          <w:szCs w:val="22"/>
        </w:rPr>
        <w:tab/>
        <w:t>=</w:t>
      </w:r>
      <w:r>
        <w:rPr>
          <w:color w:val="000000"/>
          <w:szCs w:val="22"/>
        </w:rPr>
        <w:tab/>
        <w:t>0.2 * $1,000,000 = $200,000</w:t>
      </w:r>
    </w:p>
    <w:p w:rsidR="00325C5A" w:rsidRDefault="00325C5A" w:rsidP="00325C5A">
      <w:pPr>
        <w:widowControl/>
        <w:tabs>
          <w:tab w:val="left" w:pos="1080"/>
        </w:tabs>
        <w:suppressAutoHyphens/>
        <w:rPr>
          <w:color w:val="000000"/>
          <w:szCs w:val="22"/>
        </w:rPr>
      </w:pPr>
    </w:p>
    <w:p w:rsidR="00325C5A" w:rsidRDefault="00325C5A" w:rsidP="00325C5A">
      <w:pPr>
        <w:widowControl/>
        <w:tabs>
          <w:tab w:val="left" w:pos="1080"/>
        </w:tabs>
        <w:suppressAutoHyphens/>
        <w:rPr>
          <w:color w:val="000000"/>
          <w:szCs w:val="22"/>
        </w:rPr>
      </w:pPr>
      <w:r>
        <w:rPr>
          <w:color w:val="000000"/>
          <w:szCs w:val="22"/>
        </w:rPr>
        <w:t>3. Minimum acceptable bid amount for round 2 = $1,200,000</w:t>
      </w:r>
    </w:p>
    <w:p w:rsidR="00325C5A" w:rsidRDefault="00325C5A" w:rsidP="00325C5A">
      <w:pPr>
        <w:widowControl/>
        <w:tabs>
          <w:tab w:val="left" w:pos="1080"/>
        </w:tabs>
        <w:suppressAutoHyphens/>
        <w:rPr>
          <w:color w:val="000000"/>
          <w:szCs w:val="22"/>
        </w:rPr>
      </w:pPr>
    </w:p>
    <w:p w:rsidR="00325C5A" w:rsidRDefault="00325C5A" w:rsidP="00325C5A">
      <w:pPr>
        <w:widowControl/>
        <w:tabs>
          <w:tab w:val="left" w:pos="1080"/>
        </w:tabs>
        <w:suppressAutoHyphens/>
        <w:rPr>
          <w:color w:val="000000"/>
          <w:szCs w:val="22"/>
        </w:rPr>
      </w:pPr>
    </w:p>
    <w:p w:rsidR="00325C5A" w:rsidRDefault="00325C5A" w:rsidP="00325C5A">
      <w:pPr>
        <w:keepNext/>
        <w:keepLines/>
        <w:widowControl/>
        <w:tabs>
          <w:tab w:val="left" w:pos="1080"/>
        </w:tabs>
        <w:suppressAutoHyphens/>
        <w:rPr>
          <w:color w:val="000000"/>
          <w:szCs w:val="22"/>
        </w:rPr>
      </w:pPr>
      <w:r>
        <w:rPr>
          <w:color w:val="000000"/>
          <w:szCs w:val="22"/>
          <w:u w:val="single"/>
        </w:rPr>
        <w:t xml:space="preserve">Round 2 (3 bidders submitting bids, </w:t>
      </w:r>
      <w:r w:rsidR="00137735">
        <w:rPr>
          <w:color w:val="000000"/>
          <w:szCs w:val="22"/>
          <w:u w:val="single"/>
        </w:rPr>
        <w:t xml:space="preserve">provisionally winning bid </w:t>
      </w:r>
      <w:r>
        <w:rPr>
          <w:color w:val="000000"/>
          <w:szCs w:val="22"/>
          <w:u w:val="single"/>
        </w:rPr>
        <w:t>= $2,000,000)</w:t>
      </w:r>
    </w:p>
    <w:p w:rsidR="00325C5A" w:rsidRDefault="00325C5A" w:rsidP="00325C5A">
      <w:pPr>
        <w:keepNext/>
        <w:keepLines/>
        <w:widowControl/>
        <w:tabs>
          <w:tab w:val="left" w:pos="1080"/>
        </w:tabs>
        <w:suppressAutoHyphens/>
        <w:rPr>
          <w:color w:val="000000"/>
          <w:szCs w:val="22"/>
        </w:rPr>
      </w:pPr>
    </w:p>
    <w:p w:rsidR="00325C5A" w:rsidRDefault="00325C5A" w:rsidP="00325C5A">
      <w:pPr>
        <w:keepNext/>
        <w:keepLines/>
        <w:widowControl/>
        <w:tabs>
          <w:tab w:val="left" w:pos="1080"/>
        </w:tabs>
        <w:suppressAutoHyphens/>
        <w:rPr>
          <w:color w:val="000000"/>
          <w:szCs w:val="22"/>
        </w:rPr>
      </w:pPr>
      <w:r>
        <w:rPr>
          <w:color w:val="000000"/>
          <w:szCs w:val="22"/>
        </w:rPr>
        <w:t>1. Calculation of additional percentage for round 3:</w:t>
      </w:r>
    </w:p>
    <w:p w:rsidR="00325C5A" w:rsidRDefault="00325C5A" w:rsidP="00325C5A">
      <w:pPr>
        <w:keepNext/>
        <w:keepLines/>
        <w:widowControl/>
        <w:tabs>
          <w:tab w:val="left" w:pos="720"/>
          <w:tab w:val="left" w:pos="1080"/>
          <w:tab w:val="left" w:pos="1170"/>
          <w:tab w:val="left" w:pos="1440"/>
        </w:tabs>
        <w:suppressAutoHyphens/>
        <w:rPr>
          <w:color w:val="000000"/>
          <w:szCs w:val="22"/>
        </w:rPr>
      </w:pPr>
      <w:r>
        <w:rPr>
          <w:color w:val="000000"/>
          <w:szCs w:val="22"/>
        </w:rPr>
        <w:tab/>
        <w:t>A</w:t>
      </w:r>
      <w:r>
        <w:rPr>
          <w:color w:val="000000"/>
          <w:szCs w:val="22"/>
          <w:vertAlign w:val="subscript"/>
        </w:rPr>
        <w:t>2</w:t>
      </w:r>
      <w:r>
        <w:rPr>
          <w:color w:val="000000"/>
          <w:szCs w:val="22"/>
        </w:rPr>
        <w:tab/>
        <w:t>=</w:t>
      </w:r>
      <w:r>
        <w:rPr>
          <w:color w:val="000000"/>
          <w:szCs w:val="22"/>
        </w:rPr>
        <w:tab/>
        <w:t>(0.5 * 3) + (0.5 * 1) = 2</w:t>
      </w:r>
    </w:p>
    <w:p w:rsidR="00325C5A" w:rsidRDefault="00325C5A" w:rsidP="00325C5A">
      <w:pPr>
        <w:keepNext/>
        <w:keepLines/>
        <w:widowControl/>
        <w:tabs>
          <w:tab w:val="left" w:pos="1080"/>
          <w:tab w:val="left" w:pos="1170"/>
          <w:tab w:val="left" w:pos="1440"/>
        </w:tabs>
        <w:suppressAutoHyphens/>
        <w:ind w:left="1440" w:hanging="720"/>
        <w:rPr>
          <w:color w:val="000000"/>
          <w:szCs w:val="22"/>
        </w:rPr>
      </w:pPr>
      <w:r>
        <w:rPr>
          <w:color w:val="000000"/>
          <w:szCs w:val="22"/>
        </w:rPr>
        <w:t xml:space="preserve"> I</w:t>
      </w:r>
      <w:r w:rsidR="000938FF">
        <w:rPr>
          <w:color w:val="000000"/>
          <w:szCs w:val="22"/>
          <w:vertAlign w:val="subscript"/>
        </w:rPr>
        <w:t>3</w:t>
      </w:r>
      <w:r>
        <w:rPr>
          <w:color w:val="000000"/>
          <w:szCs w:val="22"/>
          <w:vertAlign w:val="subscript"/>
        </w:rPr>
        <w:tab/>
      </w:r>
      <w:r>
        <w:rPr>
          <w:color w:val="000000"/>
          <w:szCs w:val="22"/>
        </w:rPr>
        <w:t>=</w:t>
      </w:r>
      <w:r>
        <w:rPr>
          <w:color w:val="000000"/>
          <w:szCs w:val="22"/>
        </w:rPr>
        <w:tab/>
        <w:t>The smaller of [((1 + 2) * 0.1) = 0.3] and 0.2 (the maximum additional percentage)</w:t>
      </w:r>
    </w:p>
    <w:p w:rsidR="00325C5A" w:rsidRDefault="00325C5A" w:rsidP="00325C5A">
      <w:pPr>
        <w:widowControl/>
        <w:tabs>
          <w:tab w:val="left" w:pos="720"/>
          <w:tab w:val="left" w:pos="1080"/>
          <w:tab w:val="left" w:pos="1170"/>
          <w:tab w:val="left" w:pos="1440"/>
        </w:tabs>
        <w:suppressAutoHyphens/>
        <w:rPr>
          <w:color w:val="000000"/>
          <w:szCs w:val="22"/>
        </w:rPr>
      </w:pPr>
      <w:r>
        <w:rPr>
          <w:color w:val="000000"/>
          <w:szCs w:val="22"/>
        </w:rPr>
        <w:tab/>
      </w:r>
      <w:r>
        <w:rPr>
          <w:color w:val="000000"/>
          <w:szCs w:val="22"/>
        </w:rPr>
        <w:tab/>
        <w:t>=</w:t>
      </w:r>
      <w:r>
        <w:rPr>
          <w:color w:val="000000"/>
          <w:szCs w:val="22"/>
        </w:rPr>
        <w:tab/>
        <w:t>0.2</w:t>
      </w:r>
    </w:p>
    <w:p w:rsidR="00325C5A" w:rsidRDefault="00325C5A" w:rsidP="00325C5A">
      <w:pPr>
        <w:widowControl/>
        <w:tabs>
          <w:tab w:val="left" w:pos="1080"/>
        </w:tabs>
        <w:suppressAutoHyphens/>
        <w:rPr>
          <w:color w:val="000000"/>
          <w:szCs w:val="22"/>
        </w:rPr>
      </w:pPr>
    </w:p>
    <w:p w:rsidR="00325C5A" w:rsidRDefault="00325C5A" w:rsidP="00325C5A">
      <w:pPr>
        <w:widowControl/>
        <w:tabs>
          <w:tab w:val="left" w:pos="1080"/>
        </w:tabs>
        <w:suppressAutoHyphens/>
        <w:rPr>
          <w:color w:val="000000"/>
          <w:szCs w:val="22"/>
        </w:rPr>
      </w:pPr>
      <w:r>
        <w:rPr>
          <w:color w:val="000000"/>
          <w:szCs w:val="22"/>
        </w:rPr>
        <w:t>2. Calculation of dollar amount associated with the additional percentage for round 3 (using I</w:t>
      </w:r>
      <w:r>
        <w:rPr>
          <w:color w:val="000000"/>
          <w:szCs w:val="22"/>
          <w:vertAlign w:val="subscript"/>
        </w:rPr>
        <w:t>3</w:t>
      </w:r>
      <w:r>
        <w:rPr>
          <w:color w:val="000000"/>
          <w:szCs w:val="22"/>
        </w:rPr>
        <w:t xml:space="preserve"> from above): </w:t>
      </w:r>
    </w:p>
    <w:p w:rsidR="00325C5A" w:rsidRDefault="00325C5A" w:rsidP="00325C5A">
      <w:pPr>
        <w:widowControl/>
        <w:tabs>
          <w:tab w:val="left" w:pos="720"/>
          <w:tab w:val="left" w:pos="1080"/>
          <w:tab w:val="left" w:pos="1170"/>
          <w:tab w:val="left" w:pos="1440"/>
        </w:tabs>
        <w:suppressAutoHyphens/>
        <w:rPr>
          <w:color w:val="000000"/>
          <w:szCs w:val="22"/>
        </w:rPr>
      </w:pPr>
      <w:r>
        <w:rPr>
          <w:color w:val="000000"/>
          <w:szCs w:val="22"/>
        </w:rPr>
        <w:tab/>
        <w:t>X</w:t>
      </w:r>
      <w:r>
        <w:rPr>
          <w:color w:val="000000"/>
          <w:szCs w:val="22"/>
          <w:vertAlign w:val="subscript"/>
        </w:rPr>
        <w:t>3</w:t>
      </w:r>
      <w:r>
        <w:rPr>
          <w:color w:val="000000"/>
          <w:szCs w:val="22"/>
        </w:rPr>
        <w:tab/>
        <w:t>=</w:t>
      </w:r>
      <w:r>
        <w:rPr>
          <w:color w:val="000000"/>
          <w:szCs w:val="22"/>
        </w:rPr>
        <w:tab/>
        <w:t>0.2 * $2,000,000 = $400,000</w:t>
      </w:r>
    </w:p>
    <w:p w:rsidR="00325C5A" w:rsidRDefault="00325C5A" w:rsidP="00325C5A">
      <w:pPr>
        <w:widowControl/>
        <w:tabs>
          <w:tab w:val="left" w:pos="1080"/>
        </w:tabs>
        <w:suppressAutoHyphens/>
        <w:rPr>
          <w:color w:val="000000"/>
          <w:szCs w:val="22"/>
        </w:rPr>
      </w:pPr>
    </w:p>
    <w:p w:rsidR="00325C5A" w:rsidRDefault="00325C5A" w:rsidP="00325C5A">
      <w:pPr>
        <w:widowControl/>
        <w:tabs>
          <w:tab w:val="left" w:pos="1080"/>
        </w:tabs>
        <w:suppressAutoHyphens/>
        <w:rPr>
          <w:color w:val="000000"/>
          <w:szCs w:val="22"/>
        </w:rPr>
      </w:pPr>
      <w:r>
        <w:rPr>
          <w:color w:val="000000"/>
          <w:szCs w:val="22"/>
        </w:rPr>
        <w:t>3. Minimum acceptable bid amount for round 3 = $2,400,000</w:t>
      </w:r>
    </w:p>
    <w:p w:rsidR="00325C5A" w:rsidRDefault="00325C5A" w:rsidP="00325C5A">
      <w:pPr>
        <w:widowControl/>
        <w:tabs>
          <w:tab w:val="left" w:pos="1080"/>
        </w:tabs>
        <w:suppressAutoHyphens/>
        <w:rPr>
          <w:color w:val="000000"/>
          <w:szCs w:val="22"/>
        </w:rPr>
      </w:pPr>
    </w:p>
    <w:p w:rsidR="00325C5A" w:rsidRDefault="00325C5A" w:rsidP="00325C5A">
      <w:pPr>
        <w:widowControl/>
        <w:tabs>
          <w:tab w:val="left" w:pos="1080"/>
        </w:tabs>
        <w:suppressAutoHyphens/>
        <w:rPr>
          <w:color w:val="000000"/>
          <w:szCs w:val="22"/>
        </w:rPr>
      </w:pPr>
    </w:p>
    <w:p w:rsidR="00325C5A" w:rsidRDefault="00325C5A" w:rsidP="00325C5A">
      <w:pPr>
        <w:keepNext/>
        <w:keepLines/>
        <w:widowControl/>
        <w:tabs>
          <w:tab w:val="left" w:pos="1080"/>
        </w:tabs>
        <w:suppressAutoHyphens/>
        <w:rPr>
          <w:color w:val="000000"/>
          <w:szCs w:val="22"/>
          <w:u w:val="single"/>
        </w:rPr>
      </w:pPr>
      <w:r>
        <w:rPr>
          <w:color w:val="000000"/>
          <w:szCs w:val="22"/>
          <w:u w:val="single"/>
        </w:rPr>
        <w:t xml:space="preserve">Round 3 (1 bidder submitting bids, </w:t>
      </w:r>
      <w:r w:rsidR="00137735">
        <w:rPr>
          <w:color w:val="000000"/>
          <w:szCs w:val="22"/>
          <w:u w:val="single"/>
        </w:rPr>
        <w:t>provisionally winning bid</w:t>
      </w:r>
      <w:r>
        <w:rPr>
          <w:color w:val="000000"/>
          <w:szCs w:val="22"/>
          <w:u w:val="single"/>
        </w:rPr>
        <w:t xml:space="preserve"> = $2,400,000)</w:t>
      </w:r>
    </w:p>
    <w:p w:rsidR="00325C5A" w:rsidRDefault="00325C5A" w:rsidP="00325C5A">
      <w:pPr>
        <w:keepNext/>
        <w:keepLines/>
        <w:widowControl/>
        <w:tabs>
          <w:tab w:val="left" w:pos="1080"/>
        </w:tabs>
        <w:suppressAutoHyphens/>
        <w:rPr>
          <w:color w:val="000000"/>
          <w:szCs w:val="22"/>
        </w:rPr>
      </w:pPr>
    </w:p>
    <w:p w:rsidR="00325C5A" w:rsidRDefault="00325C5A" w:rsidP="00325C5A">
      <w:pPr>
        <w:keepNext/>
        <w:keepLines/>
        <w:widowControl/>
        <w:tabs>
          <w:tab w:val="left" w:pos="1080"/>
        </w:tabs>
        <w:suppressAutoHyphens/>
        <w:rPr>
          <w:color w:val="000000"/>
          <w:szCs w:val="22"/>
        </w:rPr>
      </w:pPr>
      <w:r>
        <w:rPr>
          <w:color w:val="000000"/>
          <w:szCs w:val="22"/>
        </w:rPr>
        <w:t>1. Calculation of additional percentage for round 4:</w:t>
      </w:r>
    </w:p>
    <w:p w:rsidR="00325C5A" w:rsidRDefault="00325C5A" w:rsidP="00325C5A">
      <w:pPr>
        <w:keepNext/>
        <w:keepLines/>
        <w:widowControl/>
        <w:tabs>
          <w:tab w:val="left" w:pos="720"/>
          <w:tab w:val="left" w:pos="1080"/>
          <w:tab w:val="left" w:pos="1170"/>
          <w:tab w:val="left" w:pos="1440"/>
        </w:tabs>
        <w:suppressAutoHyphens/>
        <w:rPr>
          <w:color w:val="000000"/>
          <w:szCs w:val="22"/>
        </w:rPr>
      </w:pPr>
      <w:r>
        <w:rPr>
          <w:color w:val="000000"/>
          <w:szCs w:val="22"/>
        </w:rPr>
        <w:tab/>
        <w:t>A</w:t>
      </w:r>
      <w:r>
        <w:rPr>
          <w:color w:val="000000"/>
          <w:szCs w:val="22"/>
          <w:vertAlign w:val="subscript"/>
        </w:rPr>
        <w:t>3</w:t>
      </w:r>
      <w:r>
        <w:rPr>
          <w:color w:val="000000"/>
          <w:szCs w:val="22"/>
        </w:rPr>
        <w:tab/>
        <w:t>=</w:t>
      </w:r>
      <w:r>
        <w:rPr>
          <w:color w:val="000000"/>
          <w:szCs w:val="22"/>
        </w:rPr>
        <w:tab/>
        <w:t>(0.5 * 1) + (0.5 * 2) = 1.5</w:t>
      </w:r>
    </w:p>
    <w:p w:rsidR="00325C5A" w:rsidRDefault="00325C5A" w:rsidP="00325C5A">
      <w:pPr>
        <w:keepNext/>
        <w:keepLines/>
        <w:widowControl/>
        <w:tabs>
          <w:tab w:val="left" w:pos="1080"/>
          <w:tab w:val="left" w:pos="1170"/>
          <w:tab w:val="left" w:pos="1440"/>
        </w:tabs>
        <w:suppressAutoHyphens/>
        <w:ind w:left="1440" w:hanging="720"/>
        <w:rPr>
          <w:color w:val="000000"/>
          <w:szCs w:val="22"/>
        </w:rPr>
      </w:pPr>
      <w:r>
        <w:rPr>
          <w:color w:val="000000"/>
          <w:szCs w:val="22"/>
        </w:rPr>
        <w:t xml:space="preserve"> I</w:t>
      </w:r>
      <w:r>
        <w:rPr>
          <w:color w:val="000000"/>
          <w:szCs w:val="22"/>
          <w:vertAlign w:val="subscript"/>
        </w:rPr>
        <w:t xml:space="preserve">4 </w:t>
      </w:r>
      <w:r>
        <w:rPr>
          <w:color w:val="000000"/>
          <w:szCs w:val="22"/>
          <w:vertAlign w:val="subscript"/>
        </w:rPr>
        <w:tab/>
      </w:r>
      <w:r>
        <w:rPr>
          <w:color w:val="000000"/>
          <w:szCs w:val="22"/>
        </w:rPr>
        <w:t>=</w:t>
      </w:r>
      <w:r>
        <w:rPr>
          <w:color w:val="000000"/>
          <w:szCs w:val="22"/>
        </w:rPr>
        <w:tab/>
        <w:t>The smaller of [((1 + 1.5) * 0.1) = 0.25] and 0.2 (the maximum additional percentage)</w:t>
      </w:r>
    </w:p>
    <w:p w:rsidR="00325C5A" w:rsidRDefault="00325C5A" w:rsidP="00325C5A">
      <w:pPr>
        <w:widowControl/>
        <w:tabs>
          <w:tab w:val="left" w:pos="720"/>
          <w:tab w:val="left" w:pos="1080"/>
          <w:tab w:val="left" w:pos="1170"/>
          <w:tab w:val="left" w:pos="1440"/>
        </w:tabs>
        <w:suppressAutoHyphens/>
        <w:rPr>
          <w:color w:val="000000"/>
          <w:szCs w:val="22"/>
        </w:rPr>
      </w:pPr>
      <w:r>
        <w:rPr>
          <w:color w:val="000000"/>
          <w:szCs w:val="22"/>
        </w:rPr>
        <w:tab/>
      </w:r>
      <w:r>
        <w:rPr>
          <w:color w:val="000000"/>
          <w:szCs w:val="22"/>
        </w:rPr>
        <w:tab/>
        <w:t>=</w:t>
      </w:r>
      <w:r>
        <w:rPr>
          <w:color w:val="000000"/>
          <w:szCs w:val="22"/>
        </w:rPr>
        <w:tab/>
        <w:t>0.2</w:t>
      </w:r>
    </w:p>
    <w:p w:rsidR="00325C5A" w:rsidRDefault="00325C5A" w:rsidP="00325C5A">
      <w:pPr>
        <w:widowControl/>
        <w:tabs>
          <w:tab w:val="left" w:pos="1080"/>
        </w:tabs>
        <w:suppressAutoHyphens/>
        <w:rPr>
          <w:color w:val="000000"/>
          <w:szCs w:val="22"/>
        </w:rPr>
      </w:pPr>
    </w:p>
    <w:p w:rsidR="00325C5A" w:rsidRDefault="00325C5A" w:rsidP="00325C5A">
      <w:pPr>
        <w:widowControl/>
        <w:tabs>
          <w:tab w:val="left" w:pos="1080"/>
        </w:tabs>
        <w:suppressAutoHyphens/>
        <w:rPr>
          <w:color w:val="000000"/>
          <w:szCs w:val="22"/>
        </w:rPr>
      </w:pPr>
      <w:r>
        <w:rPr>
          <w:color w:val="000000"/>
          <w:szCs w:val="22"/>
        </w:rPr>
        <w:t>2. Calculation of dollar amount associated with the additional percentage for round 4 (using I</w:t>
      </w:r>
      <w:r>
        <w:rPr>
          <w:color w:val="000000"/>
          <w:szCs w:val="22"/>
          <w:vertAlign w:val="subscript"/>
        </w:rPr>
        <w:t>4</w:t>
      </w:r>
      <w:r>
        <w:rPr>
          <w:color w:val="000000"/>
          <w:szCs w:val="22"/>
        </w:rPr>
        <w:t xml:space="preserve"> from above): </w:t>
      </w:r>
    </w:p>
    <w:p w:rsidR="00325C5A" w:rsidRDefault="00325C5A" w:rsidP="00325C5A">
      <w:pPr>
        <w:widowControl/>
        <w:tabs>
          <w:tab w:val="left" w:pos="720"/>
          <w:tab w:val="left" w:pos="1080"/>
          <w:tab w:val="left" w:pos="1170"/>
          <w:tab w:val="left" w:pos="1440"/>
        </w:tabs>
        <w:suppressAutoHyphens/>
        <w:rPr>
          <w:color w:val="000000"/>
          <w:szCs w:val="22"/>
        </w:rPr>
      </w:pPr>
      <w:r>
        <w:rPr>
          <w:color w:val="000000"/>
          <w:szCs w:val="22"/>
        </w:rPr>
        <w:tab/>
        <w:t>X</w:t>
      </w:r>
      <w:r w:rsidR="000938FF">
        <w:rPr>
          <w:color w:val="000000"/>
          <w:szCs w:val="22"/>
          <w:vertAlign w:val="subscript"/>
        </w:rPr>
        <w:t>4</w:t>
      </w:r>
      <w:r>
        <w:rPr>
          <w:color w:val="000000"/>
          <w:szCs w:val="22"/>
          <w:vertAlign w:val="subscript"/>
        </w:rPr>
        <w:tab/>
      </w:r>
      <w:r>
        <w:rPr>
          <w:color w:val="000000"/>
          <w:szCs w:val="22"/>
        </w:rPr>
        <w:t>=</w:t>
      </w:r>
      <w:r>
        <w:rPr>
          <w:color w:val="000000"/>
          <w:szCs w:val="22"/>
        </w:rPr>
        <w:tab/>
        <w:t>0.2 * $2,400,000 = $480,000</w:t>
      </w:r>
    </w:p>
    <w:p w:rsidR="00325C5A" w:rsidRDefault="00325C5A" w:rsidP="00325C5A">
      <w:pPr>
        <w:widowControl/>
        <w:tabs>
          <w:tab w:val="left" w:pos="1080"/>
        </w:tabs>
        <w:suppressAutoHyphens/>
        <w:rPr>
          <w:color w:val="000000"/>
          <w:szCs w:val="22"/>
        </w:rPr>
      </w:pPr>
    </w:p>
    <w:p w:rsidR="00325C5A" w:rsidRDefault="00325C5A" w:rsidP="00325C5A">
      <w:pPr>
        <w:widowControl/>
        <w:tabs>
          <w:tab w:val="left" w:pos="1080"/>
        </w:tabs>
      </w:pPr>
      <w:r>
        <w:rPr>
          <w:color w:val="000000"/>
          <w:szCs w:val="22"/>
        </w:rPr>
        <w:t>3. Minimum acceptable bid amount for round 4 = $2,880,000</w:t>
      </w:r>
    </w:p>
    <w:p w:rsidR="00325C5A" w:rsidRDefault="00325C5A" w:rsidP="00325C5A">
      <w:pPr>
        <w:widowControl/>
        <w:suppressAutoHyphens/>
      </w:pPr>
    </w:p>
    <w:p w:rsidR="00325C5A" w:rsidRDefault="00325C5A" w:rsidP="00325C5A">
      <w:pPr>
        <w:widowControl/>
        <w:rPr>
          <w:b/>
          <w:bCs/>
          <w:szCs w:val="22"/>
        </w:rPr>
      </w:pPr>
    </w:p>
    <w:p w:rsidR="00325C5A" w:rsidRDefault="00325C5A" w:rsidP="00325C5A">
      <w:pPr>
        <w:widowControl/>
        <w:jc w:val="center"/>
        <w:rPr>
          <w:b/>
          <w:bCs/>
          <w:szCs w:val="22"/>
        </w:rPr>
      </w:pPr>
    </w:p>
    <w:p w:rsidR="00D67C35" w:rsidRDefault="00D67C35" w:rsidP="00325C5A">
      <w:pPr>
        <w:widowControl/>
        <w:jc w:val="center"/>
        <w:rPr>
          <w:b/>
          <w:bCs/>
          <w:szCs w:val="22"/>
        </w:rPr>
        <w:sectPr w:rsidR="00D67C35" w:rsidSect="00334EA6">
          <w:footerReference w:type="default" r:id="rId37"/>
          <w:pgSz w:w="12240" w:h="15840" w:code="1"/>
          <w:pgMar w:top="1440" w:right="1440" w:bottom="720" w:left="1440" w:header="720" w:footer="576" w:gutter="0"/>
          <w:pgNumType w:start="1"/>
          <w:cols w:space="720"/>
          <w:docGrid w:linePitch="360"/>
        </w:sectPr>
      </w:pPr>
    </w:p>
    <w:p w:rsidR="007454AD" w:rsidRDefault="007454AD" w:rsidP="007454AD">
      <w:pPr>
        <w:widowControl/>
        <w:jc w:val="center"/>
        <w:rPr>
          <w:b/>
          <w:bCs/>
          <w:szCs w:val="22"/>
        </w:rPr>
      </w:pPr>
      <w:r>
        <w:rPr>
          <w:b/>
          <w:bCs/>
          <w:szCs w:val="22"/>
        </w:rPr>
        <w:t>ATTACHMENT C</w:t>
      </w:r>
    </w:p>
    <w:p w:rsidR="007454AD" w:rsidRDefault="007454AD">
      <w:pPr>
        <w:widowControl/>
        <w:rPr>
          <w:b/>
          <w:bCs/>
          <w:szCs w:val="22"/>
        </w:rPr>
      </w:pPr>
    </w:p>
    <w:p w:rsidR="007454AD" w:rsidRPr="00953ACF" w:rsidRDefault="007454AD" w:rsidP="00953ACF">
      <w:pPr>
        <w:widowControl/>
        <w:jc w:val="center"/>
        <w:rPr>
          <w:bCs/>
          <w:szCs w:val="22"/>
        </w:rPr>
      </w:pPr>
      <w:r w:rsidRPr="00953ACF">
        <w:rPr>
          <w:bCs/>
          <w:szCs w:val="22"/>
        </w:rPr>
        <w:t>Auction 96 – H Block</w:t>
      </w:r>
    </w:p>
    <w:p w:rsidR="007454AD" w:rsidRPr="00953ACF" w:rsidRDefault="007454AD" w:rsidP="00953ACF">
      <w:pPr>
        <w:widowControl/>
        <w:jc w:val="center"/>
        <w:rPr>
          <w:bCs/>
          <w:szCs w:val="22"/>
        </w:rPr>
      </w:pPr>
      <w:r w:rsidRPr="00953ACF">
        <w:rPr>
          <w:bCs/>
          <w:szCs w:val="22"/>
        </w:rPr>
        <w:t>List of Parties Filing in AU Docket No. 13-178</w:t>
      </w:r>
    </w:p>
    <w:p w:rsidR="001B2632" w:rsidRDefault="001B2632" w:rsidP="007454AD">
      <w:pPr>
        <w:pStyle w:val="ListParagraph"/>
        <w:spacing w:after="0" w:line="240" w:lineRule="auto"/>
        <w:ind w:left="0"/>
        <w:contextualSpacing w:val="0"/>
        <w:rPr>
          <w:rFonts w:ascii="Times New Roman" w:hAnsi="Times New Roman" w:cs="Times New Roman"/>
          <w:b/>
        </w:rPr>
      </w:pPr>
    </w:p>
    <w:p w:rsidR="007454AD" w:rsidRPr="00510C4B" w:rsidRDefault="007454AD" w:rsidP="007454AD">
      <w:pPr>
        <w:pStyle w:val="ListParagraph"/>
        <w:spacing w:after="0" w:line="240" w:lineRule="auto"/>
        <w:ind w:left="0"/>
        <w:contextualSpacing w:val="0"/>
        <w:rPr>
          <w:rFonts w:ascii="Times New Roman" w:hAnsi="Times New Roman" w:cs="Times New Roman"/>
          <w:b/>
          <w:u w:val="single"/>
        </w:rPr>
      </w:pPr>
      <w:r w:rsidRPr="00510C4B">
        <w:rPr>
          <w:rFonts w:ascii="Times New Roman" w:hAnsi="Times New Roman" w:cs="Times New Roman"/>
          <w:b/>
          <w:u w:val="single"/>
        </w:rPr>
        <w:t>Initial Commenters</w:t>
      </w:r>
    </w:p>
    <w:p w:rsidR="007454AD" w:rsidRPr="007B647B" w:rsidRDefault="007454AD" w:rsidP="007454AD">
      <w:pPr>
        <w:pStyle w:val="ListParagraph"/>
        <w:numPr>
          <w:ilvl w:val="0"/>
          <w:numId w:val="43"/>
        </w:numPr>
        <w:spacing w:after="0" w:line="240" w:lineRule="auto"/>
        <w:ind w:left="0" w:firstLine="0"/>
        <w:contextualSpacing w:val="0"/>
        <w:rPr>
          <w:rFonts w:ascii="Times New Roman" w:hAnsi="Times New Roman" w:cs="Times New Roman"/>
        </w:rPr>
      </w:pPr>
      <w:r w:rsidRPr="00445B51">
        <w:rPr>
          <w:rFonts w:ascii="Times New Roman" w:hAnsi="Times New Roman" w:cs="Times New Roman"/>
        </w:rPr>
        <w:t>AT&amp;T Services, Inc. (AT&amp;T)</w:t>
      </w:r>
    </w:p>
    <w:p w:rsidR="007454AD" w:rsidRPr="007454AD" w:rsidRDefault="007454AD" w:rsidP="007454AD">
      <w:pPr>
        <w:pStyle w:val="ListParagraph"/>
        <w:numPr>
          <w:ilvl w:val="0"/>
          <w:numId w:val="43"/>
        </w:numPr>
        <w:spacing w:after="0" w:line="240" w:lineRule="auto"/>
        <w:ind w:left="0" w:firstLine="0"/>
        <w:contextualSpacing w:val="0"/>
        <w:rPr>
          <w:rFonts w:ascii="Times New Roman" w:hAnsi="Times New Roman" w:cs="Times New Roman"/>
        </w:rPr>
      </w:pPr>
      <w:r w:rsidRPr="00112AE6">
        <w:rPr>
          <w:rFonts w:ascii="Times New Roman" w:hAnsi="Times New Roman" w:cs="Times New Roman"/>
        </w:rPr>
        <w:t>Broadband Properties Corp.</w:t>
      </w:r>
      <w:r>
        <w:rPr>
          <w:rFonts w:ascii="Times New Roman" w:hAnsi="Times New Roman" w:cs="Times New Roman"/>
        </w:rPr>
        <w:t xml:space="preserve"> (Broadband Properties)</w:t>
      </w:r>
    </w:p>
    <w:p w:rsidR="007454AD" w:rsidRPr="007454AD" w:rsidRDefault="007454AD" w:rsidP="007454AD">
      <w:pPr>
        <w:pStyle w:val="ListParagraph"/>
        <w:numPr>
          <w:ilvl w:val="0"/>
          <w:numId w:val="43"/>
        </w:numPr>
        <w:spacing w:after="0" w:line="240" w:lineRule="auto"/>
        <w:ind w:left="0" w:firstLine="0"/>
        <w:contextualSpacing w:val="0"/>
        <w:rPr>
          <w:rFonts w:ascii="Times New Roman" w:hAnsi="Times New Roman" w:cs="Times New Roman"/>
        </w:rPr>
      </w:pPr>
      <w:r w:rsidRPr="007454AD">
        <w:rPr>
          <w:rFonts w:ascii="Times New Roman" w:eastAsia="Times New Roman" w:hAnsi="Times New Roman" w:cs="Times New Roman"/>
          <w:color w:val="000000"/>
        </w:rPr>
        <w:t>Cellular South, Inc. d/b/a C Spire Wireless</w:t>
      </w:r>
      <w:r>
        <w:rPr>
          <w:rFonts w:ascii="Times New Roman" w:eastAsia="Times New Roman" w:hAnsi="Times New Roman" w:cs="Times New Roman"/>
          <w:color w:val="000000"/>
        </w:rPr>
        <w:t xml:space="preserve"> (C Spire)</w:t>
      </w:r>
    </w:p>
    <w:p w:rsidR="007454AD" w:rsidRPr="007454AD" w:rsidRDefault="007454AD" w:rsidP="007454AD">
      <w:pPr>
        <w:pStyle w:val="ListParagraph"/>
        <w:numPr>
          <w:ilvl w:val="0"/>
          <w:numId w:val="43"/>
        </w:numPr>
        <w:spacing w:after="0" w:line="240" w:lineRule="auto"/>
        <w:ind w:left="0" w:firstLine="0"/>
        <w:contextualSpacing w:val="0"/>
        <w:rPr>
          <w:rFonts w:ascii="Times New Roman" w:hAnsi="Times New Roman" w:cs="Times New Roman"/>
        </w:rPr>
      </w:pPr>
      <w:r w:rsidRPr="007454AD">
        <w:rPr>
          <w:rFonts w:ascii="Times New Roman" w:eastAsia="Times New Roman" w:hAnsi="Times New Roman" w:cs="Times New Roman"/>
          <w:color w:val="000000"/>
        </w:rPr>
        <w:t>Charles Holt and Jacob Goeree</w:t>
      </w:r>
      <w:r>
        <w:rPr>
          <w:rFonts w:ascii="Times New Roman" w:eastAsia="Times New Roman" w:hAnsi="Times New Roman" w:cs="Times New Roman"/>
          <w:color w:val="000000"/>
        </w:rPr>
        <w:t xml:space="preserve"> (Holt and Goeree)</w:t>
      </w:r>
    </w:p>
    <w:p w:rsidR="007454AD" w:rsidRPr="007454AD" w:rsidRDefault="007454AD" w:rsidP="007454AD">
      <w:pPr>
        <w:pStyle w:val="ListParagraph"/>
        <w:numPr>
          <w:ilvl w:val="0"/>
          <w:numId w:val="43"/>
        </w:numPr>
        <w:spacing w:after="0" w:line="240" w:lineRule="auto"/>
        <w:ind w:left="0" w:firstLine="0"/>
        <w:contextualSpacing w:val="0"/>
        <w:rPr>
          <w:rFonts w:ascii="Times New Roman" w:hAnsi="Times New Roman" w:cs="Times New Roman"/>
        </w:rPr>
      </w:pPr>
      <w:r w:rsidRPr="007454AD">
        <w:rPr>
          <w:rFonts w:ascii="Times New Roman" w:eastAsia="Times New Roman" w:hAnsi="Times New Roman" w:cs="Times New Roman"/>
          <w:color w:val="000000"/>
        </w:rPr>
        <w:t>Council Tree Investors, Inc.</w:t>
      </w:r>
      <w:r>
        <w:rPr>
          <w:rFonts w:ascii="Times New Roman" w:eastAsia="Times New Roman" w:hAnsi="Times New Roman" w:cs="Times New Roman"/>
          <w:color w:val="000000"/>
        </w:rPr>
        <w:t xml:space="preserve"> (</w:t>
      </w:r>
      <w:r w:rsidRPr="00260E33">
        <w:rPr>
          <w:rFonts w:ascii="Times New Roman" w:eastAsia="Times New Roman" w:hAnsi="Times New Roman" w:cs="Times New Roman"/>
          <w:color w:val="000000"/>
        </w:rPr>
        <w:t>Council Tree</w:t>
      </w:r>
      <w:r>
        <w:rPr>
          <w:rFonts w:ascii="Times New Roman" w:eastAsia="Times New Roman" w:hAnsi="Times New Roman" w:cs="Times New Roman"/>
          <w:color w:val="000000"/>
        </w:rPr>
        <w:t>)</w:t>
      </w:r>
    </w:p>
    <w:p w:rsidR="007454AD" w:rsidRPr="007454AD" w:rsidRDefault="007454AD" w:rsidP="007454AD">
      <w:pPr>
        <w:pStyle w:val="ListParagraph"/>
        <w:numPr>
          <w:ilvl w:val="0"/>
          <w:numId w:val="43"/>
        </w:numPr>
        <w:spacing w:after="0" w:line="240" w:lineRule="auto"/>
        <w:ind w:left="0" w:firstLine="0"/>
        <w:contextualSpacing w:val="0"/>
        <w:rPr>
          <w:rFonts w:ascii="Times New Roman" w:hAnsi="Times New Roman" w:cs="Times New Roman"/>
        </w:rPr>
      </w:pPr>
      <w:r w:rsidRPr="007454AD">
        <w:rPr>
          <w:rFonts w:ascii="Times New Roman" w:hAnsi="Times New Roman" w:cs="Times New Roman"/>
        </w:rPr>
        <w:t>Maneesh Pangasa</w:t>
      </w:r>
    </w:p>
    <w:p w:rsidR="007454AD" w:rsidRPr="007454AD" w:rsidRDefault="007454AD" w:rsidP="007454AD">
      <w:pPr>
        <w:pStyle w:val="ListParagraph"/>
        <w:numPr>
          <w:ilvl w:val="0"/>
          <w:numId w:val="43"/>
        </w:numPr>
        <w:spacing w:after="0" w:line="240" w:lineRule="auto"/>
        <w:ind w:left="0" w:firstLine="0"/>
        <w:contextualSpacing w:val="0"/>
        <w:rPr>
          <w:rFonts w:ascii="Times New Roman" w:hAnsi="Times New Roman" w:cs="Times New Roman"/>
        </w:rPr>
      </w:pPr>
      <w:r w:rsidRPr="00445B51">
        <w:rPr>
          <w:rFonts w:ascii="Times New Roman" w:eastAsia="Times New Roman" w:hAnsi="Times New Roman" w:cs="Times New Roman"/>
          <w:color w:val="000000"/>
        </w:rPr>
        <w:t>New-Cell, Inc. d/b/a Cellcom</w:t>
      </w:r>
      <w:r>
        <w:rPr>
          <w:rFonts w:ascii="Times New Roman" w:eastAsia="Times New Roman" w:hAnsi="Times New Roman" w:cs="Times New Roman"/>
          <w:color w:val="000000"/>
        </w:rPr>
        <w:t xml:space="preserve"> (Cellcom)</w:t>
      </w:r>
    </w:p>
    <w:p w:rsidR="007454AD" w:rsidRPr="007454AD" w:rsidRDefault="007454AD" w:rsidP="007454AD">
      <w:pPr>
        <w:pStyle w:val="ListParagraph"/>
        <w:numPr>
          <w:ilvl w:val="0"/>
          <w:numId w:val="43"/>
        </w:numPr>
        <w:spacing w:after="0" w:line="240" w:lineRule="auto"/>
        <w:ind w:left="0" w:firstLine="0"/>
        <w:contextualSpacing w:val="0"/>
        <w:rPr>
          <w:rFonts w:ascii="Times New Roman" w:hAnsi="Times New Roman" w:cs="Times New Roman"/>
        </w:rPr>
      </w:pPr>
      <w:r w:rsidRPr="007454AD">
        <w:rPr>
          <w:rFonts w:ascii="Times New Roman" w:eastAsia="Times New Roman" w:hAnsi="Times New Roman" w:cs="Times New Roman"/>
          <w:color w:val="000000"/>
        </w:rPr>
        <w:t>RDL Management, LLC</w:t>
      </w:r>
      <w:r>
        <w:rPr>
          <w:rFonts w:ascii="Times New Roman" w:eastAsia="Times New Roman" w:hAnsi="Times New Roman" w:cs="Times New Roman"/>
          <w:color w:val="000000"/>
        </w:rPr>
        <w:t xml:space="preserve"> (RDL)</w:t>
      </w:r>
    </w:p>
    <w:p w:rsidR="007454AD" w:rsidRPr="007454AD" w:rsidRDefault="007454AD" w:rsidP="007454AD">
      <w:pPr>
        <w:pStyle w:val="ListParagraph"/>
        <w:numPr>
          <w:ilvl w:val="0"/>
          <w:numId w:val="43"/>
        </w:numPr>
        <w:spacing w:after="0" w:line="240" w:lineRule="auto"/>
        <w:ind w:left="0" w:firstLine="0"/>
        <w:contextualSpacing w:val="0"/>
        <w:rPr>
          <w:rFonts w:ascii="Times New Roman" w:hAnsi="Times New Roman" w:cs="Times New Roman"/>
        </w:rPr>
      </w:pPr>
      <w:r w:rsidRPr="007454AD">
        <w:rPr>
          <w:rFonts w:ascii="Times New Roman" w:eastAsia="Times New Roman" w:hAnsi="Times New Roman" w:cs="Times New Roman"/>
          <w:color w:val="000000"/>
        </w:rPr>
        <w:t>Rural Telecommunications Group, Inc.</w:t>
      </w:r>
      <w:r>
        <w:rPr>
          <w:rFonts w:ascii="Times New Roman" w:eastAsia="Times New Roman" w:hAnsi="Times New Roman" w:cs="Times New Roman"/>
          <w:color w:val="000000"/>
        </w:rPr>
        <w:t xml:space="preserve"> (RTG)</w:t>
      </w:r>
    </w:p>
    <w:p w:rsidR="007454AD" w:rsidRPr="007454AD" w:rsidRDefault="007454AD" w:rsidP="007454AD">
      <w:pPr>
        <w:pStyle w:val="ListParagraph"/>
        <w:numPr>
          <w:ilvl w:val="0"/>
          <w:numId w:val="43"/>
        </w:numPr>
        <w:spacing w:after="0" w:line="240" w:lineRule="auto"/>
        <w:ind w:left="0" w:firstLine="0"/>
        <w:contextualSpacing w:val="0"/>
        <w:rPr>
          <w:rFonts w:ascii="Times New Roman" w:hAnsi="Times New Roman" w:cs="Times New Roman"/>
        </w:rPr>
      </w:pPr>
      <w:r w:rsidRPr="007454AD">
        <w:rPr>
          <w:rFonts w:ascii="Times New Roman" w:eastAsia="Times New Roman" w:hAnsi="Times New Roman" w:cs="Times New Roman"/>
          <w:color w:val="000000"/>
        </w:rPr>
        <w:t>Sprint Corporation</w:t>
      </w:r>
      <w:r>
        <w:rPr>
          <w:rFonts w:ascii="Times New Roman" w:eastAsia="Times New Roman" w:hAnsi="Times New Roman" w:cs="Times New Roman"/>
          <w:color w:val="000000"/>
        </w:rPr>
        <w:t xml:space="preserve"> (Sprint)</w:t>
      </w:r>
    </w:p>
    <w:p w:rsidR="007454AD" w:rsidRPr="007454AD" w:rsidRDefault="007454AD" w:rsidP="007454AD">
      <w:pPr>
        <w:pStyle w:val="ListParagraph"/>
        <w:numPr>
          <w:ilvl w:val="0"/>
          <w:numId w:val="43"/>
        </w:numPr>
        <w:spacing w:after="0" w:line="240" w:lineRule="auto"/>
        <w:ind w:left="0" w:firstLine="0"/>
        <w:contextualSpacing w:val="0"/>
        <w:rPr>
          <w:rFonts w:ascii="Times New Roman" w:hAnsi="Times New Roman" w:cs="Times New Roman"/>
        </w:rPr>
      </w:pPr>
      <w:r w:rsidRPr="007454AD">
        <w:rPr>
          <w:rFonts w:ascii="Times New Roman" w:eastAsia="Times New Roman" w:hAnsi="Times New Roman" w:cs="Times New Roman"/>
          <w:color w:val="000000"/>
        </w:rPr>
        <w:t>T-Mobile USA, Inc.</w:t>
      </w:r>
      <w:r>
        <w:rPr>
          <w:rFonts w:ascii="Times New Roman" w:eastAsia="Times New Roman" w:hAnsi="Times New Roman" w:cs="Times New Roman"/>
          <w:color w:val="000000"/>
        </w:rPr>
        <w:t xml:space="preserve"> (T-Mobile)</w:t>
      </w:r>
    </w:p>
    <w:p w:rsidR="007454AD" w:rsidRPr="007454AD" w:rsidRDefault="007454AD" w:rsidP="007454AD">
      <w:pPr>
        <w:pStyle w:val="ListParagraph"/>
        <w:numPr>
          <w:ilvl w:val="0"/>
          <w:numId w:val="43"/>
        </w:numPr>
        <w:spacing w:after="0" w:line="240" w:lineRule="auto"/>
        <w:ind w:left="0" w:firstLine="0"/>
        <w:contextualSpacing w:val="0"/>
        <w:rPr>
          <w:rFonts w:ascii="Times New Roman" w:hAnsi="Times New Roman" w:cs="Times New Roman"/>
        </w:rPr>
      </w:pPr>
      <w:r w:rsidRPr="007454AD">
        <w:rPr>
          <w:rFonts w:ascii="Times New Roman" w:eastAsia="Times New Roman" w:hAnsi="Times New Roman" w:cs="Times New Roman"/>
          <w:color w:val="000000"/>
        </w:rPr>
        <w:t>United States Cellular Corporation</w:t>
      </w:r>
      <w:r>
        <w:rPr>
          <w:rFonts w:ascii="Times New Roman" w:eastAsia="Times New Roman" w:hAnsi="Times New Roman" w:cs="Times New Roman"/>
          <w:color w:val="000000"/>
        </w:rPr>
        <w:t xml:space="preserve"> (US Cellular)</w:t>
      </w:r>
    </w:p>
    <w:p w:rsidR="007454AD" w:rsidRPr="007454AD" w:rsidRDefault="007454AD" w:rsidP="007454AD">
      <w:pPr>
        <w:pStyle w:val="ListParagraph"/>
        <w:spacing w:after="0" w:line="240" w:lineRule="auto"/>
        <w:ind w:left="0"/>
        <w:contextualSpacing w:val="0"/>
        <w:rPr>
          <w:rFonts w:ascii="Times New Roman" w:eastAsia="Times New Roman" w:hAnsi="Times New Roman" w:cs="Times New Roman"/>
          <w:color w:val="000000"/>
        </w:rPr>
      </w:pPr>
    </w:p>
    <w:p w:rsidR="007454AD" w:rsidRPr="00112AE6" w:rsidRDefault="007454AD" w:rsidP="007454AD">
      <w:pPr>
        <w:pStyle w:val="ListParagraph"/>
        <w:spacing w:after="0" w:line="240" w:lineRule="auto"/>
        <w:ind w:left="0"/>
        <w:contextualSpacing w:val="0"/>
        <w:rPr>
          <w:rFonts w:ascii="Times New Roman" w:hAnsi="Times New Roman" w:cs="Times New Roman"/>
          <w:b/>
          <w:u w:val="single"/>
        </w:rPr>
      </w:pPr>
      <w:r w:rsidRPr="00445B51">
        <w:rPr>
          <w:rFonts w:ascii="Times New Roman" w:hAnsi="Times New Roman" w:cs="Times New Roman"/>
          <w:b/>
          <w:u w:val="single"/>
        </w:rPr>
        <w:t>Reply C</w:t>
      </w:r>
      <w:r w:rsidRPr="007B647B">
        <w:rPr>
          <w:rFonts w:ascii="Times New Roman" w:hAnsi="Times New Roman" w:cs="Times New Roman"/>
          <w:b/>
          <w:u w:val="single"/>
        </w:rPr>
        <w:t>omment</w:t>
      </w:r>
      <w:r w:rsidRPr="004146FF">
        <w:rPr>
          <w:rFonts w:ascii="Times New Roman" w:hAnsi="Times New Roman" w:cs="Times New Roman"/>
          <w:b/>
          <w:u w:val="single"/>
        </w:rPr>
        <w:t>ers</w:t>
      </w:r>
    </w:p>
    <w:p w:rsidR="007454AD" w:rsidRPr="007454AD" w:rsidRDefault="007454AD" w:rsidP="007454AD">
      <w:pPr>
        <w:pStyle w:val="ListParagraph"/>
        <w:numPr>
          <w:ilvl w:val="0"/>
          <w:numId w:val="44"/>
        </w:numPr>
        <w:spacing w:after="0" w:line="240" w:lineRule="auto"/>
        <w:ind w:left="0" w:firstLine="0"/>
        <w:contextualSpacing w:val="0"/>
        <w:rPr>
          <w:rFonts w:ascii="Times New Roman" w:hAnsi="Times New Roman" w:cs="Times New Roman"/>
        </w:rPr>
      </w:pPr>
      <w:r w:rsidRPr="00042D54">
        <w:rPr>
          <w:rFonts w:ascii="Times New Roman" w:hAnsi="Times New Roman" w:cs="Times New Roman"/>
        </w:rPr>
        <w:t xml:space="preserve">AT&amp;T Services, Inc. </w:t>
      </w:r>
      <w:r>
        <w:rPr>
          <w:rFonts w:ascii="Times New Roman" w:hAnsi="Times New Roman" w:cs="Times New Roman"/>
        </w:rPr>
        <w:t>(AT&amp;T)</w:t>
      </w:r>
    </w:p>
    <w:p w:rsidR="007454AD" w:rsidRPr="007454AD" w:rsidRDefault="007454AD" w:rsidP="007454AD">
      <w:pPr>
        <w:pStyle w:val="ListParagraph"/>
        <w:numPr>
          <w:ilvl w:val="0"/>
          <w:numId w:val="44"/>
        </w:numPr>
        <w:spacing w:after="0" w:line="240" w:lineRule="auto"/>
        <w:ind w:left="0" w:firstLine="0"/>
        <w:contextualSpacing w:val="0"/>
        <w:rPr>
          <w:rFonts w:ascii="Times New Roman" w:hAnsi="Times New Roman" w:cs="Times New Roman"/>
        </w:rPr>
      </w:pPr>
      <w:r w:rsidRPr="007454AD">
        <w:rPr>
          <w:rFonts w:ascii="Times New Roman" w:hAnsi="Times New Roman" w:cs="Times New Roman"/>
        </w:rPr>
        <w:t>Aloha Partners II, LP</w:t>
      </w:r>
      <w:r>
        <w:rPr>
          <w:rFonts w:ascii="Times New Roman" w:hAnsi="Times New Roman" w:cs="Times New Roman"/>
        </w:rPr>
        <w:t xml:space="preserve"> (Aloha Partners)</w:t>
      </w:r>
    </w:p>
    <w:p w:rsidR="007454AD" w:rsidRPr="007454AD" w:rsidRDefault="007454AD" w:rsidP="007454AD">
      <w:pPr>
        <w:pStyle w:val="ListParagraph"/>
        <w:numPr>
          <w:ilvl w:val="0"/>
          <w:numId w:val="44"/>
        </w:numPr>
        <w:spacing w:after="0" w:line="240" w:lineRule="auto"/>
        <w:ind w:left="0" w:firstLine="0"/>
        <w:contextualSpacing w:val="0"/>
        <w:rPr>
          <w:rFonts w:ascii="Times New Roman" w:hAnsi="Times New Roman" w:cs="Times New Roman"/>
        </w:rPr>
      </w:pPr>
      <w:r w:rsidRPr="007454AD">
        <w:rPr>
          <w:rFonts w:ascii="Times New Roman" w:hAnsi="Times New Roman" w:cs="Times New Roman"/>
        </w:rPr>
        <w:t>Competitive Carriers Association</w:t>
      </w:r>
      <w:r>
        <w:rPr>
          <w:rFonts w:ascii="Times New Roman" w:hAnsi="Times New Roman" w:cs="Times New Roman"/>
        </w:rPr>
        <w:t xml:space="preserve"> (CCA)</w:t>
      </w:r>
    </w:p>
    <w:p w:rsidR="007454AD" w:rsidRPr="007454AD" w:rsidRDefault="007454AD" w:rsidP="007454AD">
      <w:pPr>
        <w:pStyle w:val="ListParagraph"/>
        <w:numPr>
          <w:ilvl w:val="0"/>
          <w:numId w:val="44"/>
        </w:numPr>
        <w:spacing w:after="0" w:line="240" w:lineRule="auto"/>
        <w:ind w:left="0" w:firstLine="0"/>
        <w:contextualSpacing w:val="0"/>
        <w:rPr>
          <w:rFonts w:ascii="Times New Roman" w:hAnsi="Times New Roman" w:cs="Times New Roman"/>
        </w:rPr>
      </w:pPr>
      <w:r w:rsidRPr="007454AD">
        <w:rPr>
          <w:rFonts w:ascii="Times New Roman" w:eastAsia="Times New Roman" w:hAnsi="Times New Roman" w:cs="Times New Roman"/>
          <w:color w:val="000000"/>
        </w:rPr>
        <w:t>Cellular South, Inc. d/b/a C Spire Wireless</w:t>
      </w:r>
      <w:r>
        <w:rPr>
          <w:rFonts w:ascii="Times New Roman" w:eastAsia="Times New Roman" w:hAnsi="Times New Roman" w:cs="Times New Roman"/>
          <w:color w:val="000000"/>
        </w:rPr>
        <w:t xml:space="preserve"> (C Spire)</w:t>
      </w:r>
    </w:p>
    <w:p w:rsidR="007454AD" w:rsidRPr="007454AD" w:rsidRDefault="007454AD" w:rsidP="007454AD">
      <w:pPr>
        <w:pStyle w:val="ListParagraph"/>
        <w:numPr>
          <w:ilvl w:val="0"/>
          <w:numId w:val="44"/>
        </w:numPr>
        <w:spacing w:after="0" w:line="240" w:lineRule="auto"/>
        <w:ind w:left="0" w:firstLine="0"/>
        <w:contextualSpacing w:val="0"/>
        <w:rPr>
          <w:rFonts w:ascii="Times New Roman" w:hAnsi="Times New Roman" w:cs="Times New Roman"/>
        </w:rPr>
      </w:pPr>
      <w:r w:rsidRPr="007454AD">
        <w:rPr>
          <w:rFonts w:ascii="Times New Roman" w:eastAsia="Times New Roman" w:hAnsi="Times New Roman" w:cs="Times New Roman"/>
          <w:color w:val="000000"/>
        </w:rPr>
        <w:t xml:space="preserve">New-Cell, Inc. d/b/a Cellcom and Cellular Network Partnership d/b/a Pioneer Cellular (Joint </w:t>
      </w:r>
    </w:p>
    <w:p w:rsidR="007454AD" w:rsidRPr="007454AD" w:rsidRDefault="007454AD" w:rsidP="007454AD">
      <w:pPr>
        <w:pStyle w:val="ListParagraph"/>
        <w:spacing w:after="0" w:line="240" w:lineRule="auto"/>
        <w:contextualSpacing w:val="0"/>
        <w:rPr>
          <w:rFonts w:ascii="Times New Roman" w:hAnsi="Times New Roman" w:cs="Times New Roman"/>
        </w:rPr>
      </w:pPr>
      <w:r w:rsidRPr="007454AD">
        <w:rPr>
          <w:rFonts w:ascii="Times New Roman" w:eastAsia="Times New Roman" w:hAnsi="Times New Roman" w:cs="Times New Roman"/>
          <w:color w:val="000000"/>
        </w:rPr>
        <w:t>Comments)</w:t>
      </w:r>
      <w:r>
        <w:rPr>
          <w:rFonts w:ascii="Times New Roman" w:eastAsia="Times New Roman" w:hAnsi="Times New Roman" w:cs="Times New Roman"/>
          <w:color w:val="000000"/>
        </w:rPr>
        <w:t xml:space="preserve"> (Cellcom/Pioneer Cellular)</w:t>
      </w:r>
    </w:p>
    <w:p w:rsidR="007454AD" w:rsidRPr="007454AD" w:rsidRDefault="007454AD" w:rsidP="007454AD">
      <w:pPr>
        <w:pStyle w:val="ListParagraph"/>
        <w:numPr>
          <w:ilvl w:val="0"/>
          <w:numId w:val="44"/>
        </w:numPr>
        <w:spacing w:after="0" w:line="240" w:lineRule="auto"/>
        <w:ind w:left="0" w:firstLine="0"/>
        <w:contextualSpacing w:val="0"/>
        <w:rPr>
          <w:rFonts w:ascii="Times New Roman" w:hAnsi="Times New Roman" w:cs="Times New Roman"/>
        </w:rPr>
      </w:pPr>
      <w:r w:rsidRPr="007454AD">
        <w:rPr>
          <w:rFonts w:ascii="Times New Roman" w:hAnsi="Times New Roman" w:cs="Times New Roman"/>
        </w:rPr>
        <w:t>NTELOS Holdings Corp.</w:t>
      </w:r>
      <w:r>
        <w:rPr>
          <w:rFonts w:ascii="Times New Roman" w:hAnsi="Times New Roman" w:cs="Times New Roman"/>
        </w:rPr>
        <w:t xml:space="preserve"> (NTELOS Holdings)</w:t>
      </w:r>
    </w:p>
    <w:p w:rsidR="007454AD" w:rsidRPr="007454AD" w:rsidRDefault="007454AD" w:rsidP="007454AD">
      <w:pPr>
        <w:pStyle w:val="ListParagraph"/>
        <w:numPr>
          <w:ilvl w:val="0"/>
          <w:numId w:val="44"/>
        </w:numPr>
        <w:spacing w:after="0" w:line="240" w:lineRule="auto"/>
        <w:ind w:left="0" w:firstLine="0"/>
        <w:contextualSpacing w:val="0"/>
        <w:rPr>
          <w:rFonts w:ascii="Times New Roman" w:hAnsi="Times New Roman" w:cs="Times New Roman"/>
        </w:rPr>
      </w:pPr>
      <w:r w:rsidRPr="007454AD">
        <w:rPr>
          <w:rFonts w:ascii="Times New Roman" w:eastAsia="Times New Roman" w:hAnsi="Times New Roman" w:cs="Times New Roman"/>
          <w:color w:val="000000"/>
        </w:rPr>
        <w:t>Rural Telecommunications Group, Inc.</w:t>
      </w:r>
      <w:r>
        <w:rPr>
          <w:rFonts w:ascii="Times New Roman" w:eastAsia="Times New Roman" w:hAnsi="Times New Roman" w:cs="Times New Roman"/>
          <w:color w:val="000000"/>
        </w:rPr>
        <w:t xml:space="preserve"> (RTG)</w:t>
      </w:r>
    </w:p>
    <w:p w:rsidR="007454AD" w:rsidRPr="007454AD" w:rsidRDefault="007454AD" w:rsidP="007454AD">
      <w:pPr>
        <w:pStyle w:val="ListParagraph"/>
        <w:numPr>
          <w:ilvl w:val="0"/>
          <w:numId w:val="44"/>
        </w:numPr>
        <w:spacing w:after="0" w:line="240" w:lineRule="auto"/>
        <w:ind w:left="0" w:firstLine="0"/>
        <w:contextualSpacing w:val="0"/>
        <w:rPr>
          <w:rFonts w:ascii="Times New Roman" w:hAnsi="Times New Roman" w:cs="Times New Roman"/>
        </w:rPr>
      </w:pPr>
      <w:r w:rsidRPr="007454AD">
        <w:rPr>
          <w:rFonts w:ascii="Times New Roman" w:eastAsia="Times New Roman" w:hAnsi="Times New Roman" w:cs="Times New Roman"/>
          <w:color w:val="000000"/>
        </w:rPr>
        <w:t>Sprint Corporation</w:t>
      </w:r>
      <w:r>
        <w:rPr>
          <w:rFonts w:ascii="Times New Roman" w:eastAsia="Times New Roman" w:hAnsi="Times New Roman" w:cs="Times New Roman"/>
          <w:color w:val="000000"/>
        </w:rPr>
        <w:t xml:space="preserve"> (Sprint)</w:t>
      </w:r>
    </w:p>
    <w:p w:rsidR="007454AD" w:rsidRPr="007454AD" w:rsidRDefault="007454AD" w:rsidP="007454AD">
      <w:pPr>
        <w:pStyle w:val="ListParagraph"/>
        <w:numPr>
          <w:ilvl w:val="0"/>
          <w:numId w:val="44"/>
        </w:numPr>
        <w:spacing w:after="0" w:line="240" w:lineRule="auto"/>
        <w:ind w:left="0" w:firstLine="0"/>
        <w:contextualSpacing w:val="0"/>
        <w:rPr>
          <w:rFonts w:ascii="Times New Roman" w:hAnsi="Times New Roman" w:cs="Times New Roman"/>
        </w:rPr>
      </w:pPr>
      <w:r w:rsidRPr="007454AD">
        <w:rPr>
          <w:rFonts w:ascii="Times New Roman" w:eastAsia="Times New Roman" w:hAnsi="Times New Roman" w:cs="Times New Roman"/>
          <w:color w:val="000000"/>
        </w:rPr>
        <w:t>T-Mobile USA, Inc.</w:t>
      </w:r>
      <w:r>
        <w:rPr>
          <w:rFonts w:ascii="Times New Roman" w:eastAsia="Times New Roman" w:hAnsi="Times New Roman" w:cs="Times New Roman"/>
          <w:color w:val="000000"/>
        </w:rPr>
        <w:t xml:space="preserve"> (T-Mobile)</w:t>
      </w:r>
    </w:p>
    <w:p w:rsidR="007454AD" w:rsidRPr="007454AD" w:rsidRDefault="007454AD" w:rsidP="007454AD">
      <w:pPr>
        <w:pStyle w:val="ListParagraph"/>
        <w:numPr>
          <w:ilvl w:val="0"/>
          <w:numId w:val="44"/>
        </w:numPr>
        <w:spacing w:after="0" w:line="240" w:lineRule="auto"/>
        <w:ind w:left="0" w:firstLine="0"/>
        <w:contextualSpacing w:val="0"/>
        <w:rPr>
          <w:rFonts w:ascii="Times New Roman" w:hAnsi="Times New Roman" w:cs="Times New Roman"/>
        </w:rPr>
      </w:pPr>
      <w:r w:rsidRPr="007454AD">
        <w:rPr>
          <w:rFonts w:ascii="Times New Roman" w:eastAsia="Times New Roman" w:hAnsi="Times New Roman" w:cs="Times New Roman"/>
          <w:color w:val="000000"/>
        </w:rPr>
        <w:t>United States Cellular Corporation</w:t>
      </w:r>
      <w:r>
        <w:rPr>
          <w:rFonts w:ascii="Times New Roman" w:eastAsia="Times New Roman" w:hAnsi="Times New Roman" w:cs="Times New Roman"/>
          <w:color w:val="000000"/>
        </w:rPr>
        <w:t xml:space="preserve"> (US Cellular)</w:t>
      </w:r>
    </w:p>
    <w:p w:rsidR="007454AD" w:rsidRDefault="007454AD" w:rsidP="007454AD">
      <w:pPr>
        <w:widowControl/>
        <w:rPr>
          <w:b/>
          <w:bCs/>
          <w:szCs w:val="22"/>
        </w:rPr>
      </w:pPr>
    </w:p>
    <w:p w:rsidR="002D349A" w:rsidRPr="00510C4B" w:rsidRDefault="002D349A">
      <w:pPr>
        <w:widowControl/>
        <w:rPr>
          <w:b/>
          <w:bCs/>
          <w:szCs w:val="22"/>
          <w:u w:val="single"/>
        </w:rPr>
      </w:pPr>
      <w:r w:rsidRPr="00510C4B">
        <w:rPr>
          <w:b/>
          <w:bCs/>
          <w:i/>
          <w:szCs w:val="22"/>
          <w:u w:val="single"/>
        </w:rPr>
        <w:t xml:space="preserve">Ex Parte </w:t>
      </w:r>
      <w:r w:rsidRPr="00510C4B">
        <w:rPr>
          <w:b/>
          <w:bCs/>
          <w:szCs w:val="22"/>
          <w:u w:val="single"/>
        </w:rPr>
        <w:t>Filings</w:t>
      </w:r>
    </w:p>
    <w:p w:rsidR="00F03C49" w:rsidRDefault="008D6B08" w:rsidP="002D349A">
      <w:pPr>
        <w:pStyle w:val="ListParagraph"/>
        <w:numPr>
          <w:ilvl w:val="0"/>
          <w:numId w:val="45"/>
        </w:numPr>
        <w:spacing w:after="0" w:line="240" w:lineRule="auto"/>
        <w:ind w:left="36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D349A" w:rsidRPr="007454AD">
        <w:rPr>
          <w:rFonts w:ascii="Times New Roman" w:eastAsia="Times New Roman" w:hAnsi="Times New Roman" w:cs="Times New Roman"/>
          <w:color w:val="000000"/>
        </w:rPr>
        <w:t>T-Mobile USA, Inc.</w:t>
      </w:r>
      <w:r w:rsidR="002D349A">
        <w:rPr>
          <w:rFonts w:ascii="Times New Roman" w:eastAsia="Times New Roman" w:hAnsi="Times New Roman" w:cs="Times New Roman"/>
          <w:color w:val="000000"/>
        </w:rPr>
        <w:t xml:space="preserve"> (T-Mobile)</w:t>
      </w:r>
    </w:p>
    <w:p w:rsidR="00DB1982" w:rsidRDefault="008D6B08" w:rsidP="002D349A">
      <w:pPr>
        <w:pStyle w:val="ListParagraph"/>
        <w:numPr>
          <w:ilvl w:val="0"/>
          <w:numId w:val="45"/>
        </w:numPr>
        <w:spacing w:after="0" w:line="240" w:lineRule="auto"/>
        <w:ind w:left="36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B1982">
        <w:rPr>
          <w:rFonts w:ascii="Times New Roman" w:eastAsia="Times New Roman" w:hAnsi="Times New Roman" w:cs="Times New Roman"/>
          <w:color w:val="000000"/>
        </w:rPr>
        <w:t>DISH Network Corporation (DISH)</w:t>
      </w:r>
    </w:p>
    <w:p w:rsidR="00DB1982" w:rsidRDefault="00DB1982" w:rsidP="00DB1982">
      <w:pPr>
        <w:rPr>
          <w:color w:val="000000"/>
        </w:rPr>
      </w:pPr>
    </w:p>
    <w:p w:rsidR="00DB1982" w:rsidRPr="00DB1982" w:rsidRDefault="00DB1982" w:rsidP="00DB1982">
      <w:pPr>
        <w:rPr>
          <w:color w:val="000000"/>
        </w:rPr>
        <w:sectPr w:rsidR="00DB1982" w:rsidRPr="00DB1982" w:rsidSect="00334EA6">
          <w:footerReference w:type="default" r:id="rId38"/>
          <w:pgSz w:w="12240" w:h="15840" w:code="1"/>
          <w:pgMar w:top="1440" w:right="1440" w:bottom="720" w:left="1440" w:header="720" w:footer="576" w:gutter="0"/>
          <w:pgNumType w:start="1"/>
          <w:cols w:space="720"/>
          <w:docGrid w:linePitch="360"/>
        </w:sectPr>
      </w:pPr>
    </w:p>
    <w:p w:rsidR="00325C5A" w:rsidRDefault="00325C5A" w:rsidP="00325C5A">
      <w:pPr>
        <w:widowControl/>
        <w:jc w:val="center"/>
        <w:rPr>
          <w:b/>
          <w:bCs/>
          <w:szCs w:val="22"/>
        </w:rPr>
      </w:pPr>
      <w:r>
        <w:rPr>
          <w:b/>
          <w:bCs/>
          <w:szCs w:val="22"/>
        </w:rPr>
        <w:t>ATTACHMENT D</w:t>
      </w:r>
    </w:p>
    <w:p w:rsidR="004D3EBD" w:rsidRDefault="004D3EBD" w:rsidP="00325C5A">
      <w:pPr>
        <w:widowControl/>
        <w:jc w:val="center"/>
        <w:rPr>
          <w:b/>
          <w:bCs/>
          <w:szCs w:val="22"/>
        </w:rPr>
      </w:pPr>
    </w:p>
    <w:p w:rsidR="00325C5A" w:rsidRDefault="00325C5A" w:rsidP="00325C5A">
      <w:pPr>
        <w:widowControl/>
        <w:jc w:val="center"/>
        <w:rPr>
          <w:b/>
          <w:bCs/>
          <w:szCs w:val="22"/>
        </w:rPr>
      </w:pPr>
      <w:r>
        <w:rPr>
          <w:b/>
          <w:bCs/>
          <w:szCs w:val="22"/>
        </w:rPr>
        <w:t>Short-Form Application Filing Instructions</w:t>
      </w:r>
    </w:p>
    <w:p w:rsidR="00325C5A" w:rsidRPr="00325C5A" w:rsidRDefault="00325C5A" w:rsidP="00325C5A">
      <w:pPr>
        <w:widowControl/>
        <w:jc w:val="center"/>
        <w:rPr>
          <w:b/>
          <w:bCs/>
          <w:szCs w:val="22"/>
        </w:rPr>
      </w:pPr>
    </w:p>
    <w:p w:rsidR="00CB3C0D" w:rsidRDefault="00CB3C0D" w:rsidP="00C07C81">
      <w:pPr>
        <w:widowControl/>
        <w:rPr>
          <w:bCs/>
          <w:szCs w:val="22"/>
        </w:rPr>
      </w:pPr>
      <w:r>
        <w:rPr>
          <w:bCs/>
          <w:szCs w:val="22"/>
        </w:rPr>
        <w:t xml:space="preserve">This attachment provides instructions on submitting a short-form application and an upfront payment to participate in Auction </w:t>
      </w:r>
      <w:r w:rsidR="00CC0081">
        <w:rPr>
          <w:bCs/>
          <w:szCs w:val="22"/>
        </w:rPr>
        <w:t>9</w:t>
      </w:r>
      <w:r w:rsidR="00E246D2">
        <w:rPr>
          <w:bCs/>
          <w:szCs w:val="22"/>
        </w:rPr>
        <w:t>6</w:t>
      </w:r>
      <w:r>
        <w:rPr>
          <w:bCs/>
          <w:szCs w:val="22"/>
        </w:rPr>
        <w:t xml:space="preserve">.  It also includes instructions for interested parties wishing to view the short-form </w:t>
      </w:r>
      <w:r w:rsidR="00BC273F">
        <w:rPr>
          <w:bCs/>
          <w:szCs w:val="22"/>
        </w:rPr>
        <w:t>applications filed</w:t>
      </w:r>
      <w:r>
        <w:rPr>
          <w:bCs/>
          <w:szCs w:val="22"/>
        </w:rPr>
        <w:t>.</w:t>
      </w:r>
    </w:p>
    <w:p w:rsidR="00CB3C0D" w:rsidRPr="00CA6286" w:rsidRDefault="00CB3C0D" w:rsidP="00C07C81">
      <w:pPr>
        <w:widowControl/>
        <w:rPr>
          <w:bCs/>
          <w:szCs w:val="22"/>
        </w:rPr>
      </w:pPr>
    </w:p>
    <w:p w:rsidR="00CB3C0D" w:rsidRPr="00CA6286" w:rsidRDefault="00CB3C0D" w:rsidP="00C07C81">
      <w:pPr>
        <w:pStyle w:val="Heading1"/>
        <w:widowControl/>
        <w:numPr>
          <w:ilvl w:val="0"/>
          <w:numId w:val="14"/>
        </w:numPr>
      </w:pPr>
      <w:bookmarkStart w:id="4498" w:name="_Toc216090763"/>
      <w:bookmarkStart w:id="4499" w:name="_Toc226958269"/>
      <w:bookmarkStart w:id="4500" w:name="_Toc227038329"/>
      <w:bookmarkStart w:id="4501" w:name="_Toc254792634"/>
      <w:bookmarkStart w:id="4502" w:name="_Toc256669758"/>
      <w:bookmarkStart w:id="4503" w:name="_Toc257213293"/>
      <w:bookmarkStart w:id="4504" w:name="_Toc257277795"/>
      <w:bookmarkStart w:id="4505" w:name="_Toc257278756"/>
      <w:bookmarkStart w:id="4506" w:name="_Toc257278966"/>
      <w:bookmarkStart w:id="4507" w:name="_Toc257279334"/>
      <w:bookmarkStart w:id="4508" w:name="_Toc257382978"/>
      <w:bookmarkStart w:id="4509" w:name="_Toc274056235"/>
      <w:bookmarkStart w:id="4510" w:name="_Toc276657641"/>
      <w:bookmarkStart w:id="4511" w:name="_Toc278366487"/>
      <w:bookmarkStart w:id="4512" w:name="_Toc307584081"/>
      <w:bookmarkStart w:id="4513" w:name="_Toc307937355"/>
      <w:bookmarkStart w:id="4514" w:name="_Toc348508798"/>
      <w:bookmarkStart w:id="4515" w:name="_Toc362256812"/>
      <w:bookmarkStart w:id="4516" w:name="_Toc366056566"/>
      <w:bookmarkStart w:id="4517" w:name="_Toc366223768"/>
      <w:bookmarkStart w:id="4518" w:name="_Toc366229481"/>
      <w:bookmarkStart w:id="4519" w:name="_Toc366583524"/>
      <w:r>
        <w:rPr>
          <w:caps w:val="0"/>
        </w:rPr>
        <w:t>Application Preparation a</w:t>
      </w:r>
      <w:r w:rsidRPr="00CA6286">
        <w:rPr>
          <w:caps w:val="0"/>
        </w:rPr>
        <w:t>nd Submission</w:t>
      </w:r>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p>
    <w:p w:rsidR="00CB3C0D" w:rsidRPr="00CA6286" w:rsidRDefault="00CB3C0D" w:rsidP="00C07C81">
      <w:pPr>
        <w:widowControl/>
        <w:rPr>
          <w:szCs w:val="22"/>
        </w:rPr>
      </w:pPr>
      <w:r w:rsidRPr="00CA6286">
        <w:rPr>
          <w:szCs w:val="22"/>
        </w:rPr>
        <w:t>A</w:t>
      </w:r>
      <w:r w:rsidR="003739A0">
        <w:rPr>
          <w:szCs w:val="22"/>
        </w:rPr>
        <w:t xml:space="preserve">mong other requirements, each </w:t>
      </w:r>
      <w:r w:rsidRPr="00CA6286">
        <w:rPr>
          <w:szCs w:val="22"/>
        </w:rPr>
        <w:t>applicant</w:t>
      </w:r>
      <w:r w:rsidR="003739A0">
        <w:rPr>
          <w:szCs w:val="22"/>
        </w:rPr>
        <w:t xml:space="preserve"> </w:t>
      </w:r>
      <w:r w:rsidR="00460451">
        <w:rPr>
          <w:szCs w:val="22"/>
        </w:rPr>
        <w:t>to participate in this auction</w:t>
      </w:r>
      <w:r w:rsidRPr="00CA6286">
        <w:rPr>
          <w:szCs w:val="22"/>
        </w:rPr>
        <w:t xml:space="preserve"> must submit its short-form application (FCC Form 175) electronically, via the FCC Auction System</w:t>
      </w:r>
      <w:r w:rsidR="0098467C">
        <w:rPr>
          <w:szCs w:val="22"/>
        </w:rPr>
        <w:t>.</w:t>
      </w:r>
      <w:r w:rsidRPr="00CA6286">
        <w:rPr>
          <w:szCs w:val="22"/>
        </w:rPr>
        <w:t xml:space="preserve">  </w:t>
      </w:r>
      <w:r w:rsidRPr="00CA6286">
        <w:rPr>
          <w:b/>
          <w:szCs w:val="22"/>
        </w:rPr>
        <w:t xml:space="preserve">Short-form applications for Auction </w:t>
      </w:r>
      <w:r w:rsidR="0098467C">
        <w:rPr>
          <w:b/>
          <w:szCs w:val="22"/>
        </w:rPr>
        <w:t>9</w:t>
      </w:r>
      <w:r w:rsidR="00E246D2">
        <w:rPr>
          <w:b/>
          <w:szCs w:val="22"/>
        </w:rPr>
        <w:t>6</w:t>
      </w:r>
      <w:r w:rsidRPr="00CA6286">
        <w:rPr>
          <w:b/>
          <w:szCs w:val="22"/>
        </w:rPr>
        <w:t xml:space="preserve"> must be submitted and confirmed prior to 6:00</w:t>
      </w:r>
      <w:r>
        <w:rPr>
          <w:b/>
          <w:szCs w:val="22"/>
        </w:rPr>
        <w:t> </w:t>
      </w:r>
      <w:r w:rsidRPr="00CA6286">
        <w:rPr>
          <w:b/>
          <w:szCs w:val="22"/>
        </w:rPr>
        <w:t xml:space="preserve">p.m. ET </w:t>
      </w:r>
      <w:r w:rsidRPr="00D25662">
        <w:rPr>
          <w:b/>
          <w:szCs w:val="22"/>
        </w:rPr>
        <w:t xml:space="preserve">on </w:t>
      </w:r>
      <w:r w:rsidR="00EF0C1B">
        <w:rPr>
          <w:b/>
          <w:szCs w:val="22"/>
        </w:rPr>
        <w:t>T</w:t>
      </w:r>
      <w:r w:rsidR="004D3EBD">
        <w:rPr>
          <w:b/>
          <w:szCs w:val="22"/>
        </w:rPr>
        <w:t>ues</w:t>
      </w:r>
      <w:r w:rsidR="0001221C">
        <w:rPr>
          <w:b/>
          <w:szCs w:val="22"/>
        </w:rPr>
        <w:t>day</w:t>
      </w:r>
      <w:r w:rsidRPr="00D25662">
        <w:rPr>
          <w:b/>
          <w:szCs w:val="22"/>
        </w:rPr>
        <w:t xml:space="preserve">, </w:t>
      </w:r>
      <w:r w:rsidR="004D3EBD">
        <w:rPr>
          <w:b/>
          <w:szCs w:val="22"/>
        </w:rPr>
        <w:t>November 5</w:t>
      </w:r>
      <w:r w:rsidR="009E16FC">
        <w:rPr>
          <w:b/>
          <w:szCs w:val="22"/>
        </w:rPr>
        <w:t xml:space="preserve">, </w:t>
      </w:r>
      <w:r w:rsidRPr="00D25662">
        <w:rPr>
          <w:b/>
          <w:szCs w:val="22"/>
        </w:rPr>
        <w:t>20</w:t>
      </w:r>
      <w:r w:rsidR="009E16FC">
        <w:rPr>
          <w:b/>
          <w:szCs w:val="22"/>
        </w:rPr>
        <w:t>1</w:t>
      </w:r>
      <w:r w:rsidR="008E30CA">
        <w:rPr>
          <w:b/>
          <w:szCs w:val="22"/>
        </w:rPr>
        <w:t>3</w:t>
      </w:r>
      <w:r w:rsidRPr="00D25662">
        <w:rPr>
          <w:b/>
          <w:szCs w:val="22"/>
        </w:rPr>
        <w:t>.</w:t>
      </w:r>
      <w:r w:rsidRPr="00D25662">
        <w:rPr>
          <w:szCs w:val="22"/>
        </w:rPr>
        <w:t xml:space="preserve">  Late applications</w:t>
      </w:r>
      <w:r w:rsidRPr="00CA6286">
        <w:rPr>
          <w:szCs w:val="22"/>
        </w:rPr>
        <w:t xml:space="preserve"> or unconfirmed submissions of electronic data will not be accepted.</w:t>
      </w:r>
    </w:p>
    <w:p w:rsidR="00CB3C0D" w:rsidRPr="00CA6286" w:rsidRDefault="00CB3C0D" w:rsidP="00C07C81">
      <w:pPr>
        <w:widowControl/>
        <w:jc w:val="both"/>
        <w:rPr>
          <w:szCs w:val="22"/>
        </w:rPr>
      </w:pPr>
    </w:p>
    <w:p w:rsidR="00CB3C0D" w:rsidRPr="00CA6286" w:rsidRDefault="00CB3C0D" w:rsidP="00C07C81">
      <w:pPr>
        <w:widowControl/>
        <w:rPr>
          <w:szCs w:val="22"/>
        </w:rPr>
      </w:pPr>
      <w:r w:rsidRPr="00CA6286">
        <w:rPr>
          <w:szCs w:val="22"/>
        </w:rPr>
        <w:t xml:space="preserve">Applicants are reminded that all information required in connection with applications to participate in spectrum license auctions is necessary to determine each applicant’s qualifications, and as such will be available for public inspection.  Accordingly, unnecessary sensitive information, such as Taxpayer Identification Numbers </w:t>
      </w:r>
      <w:r w:rsidRPr="00764293">
        <w:rPr>
          <w:szCs w:val="22"/>
        </w:rPr>
        <w:t xml:space="preserve">or Social Security Numbers, </w:t>
      </w:r>
      <w:r w:rsidR="00E511B6">
        <w:rPr>
          <w:szCs w:val="22"/>
        </w:rPr>
        <w:t xml:space="preserve">should not be included </w:t>
      </w:r>
      <w:r w:rsidRPr="00764293">
        <w:rPr>
          <w:szCs w:val="22"/>
        </w:rPr>
        <w:t>in short-form application</w:t>
      </w:r>
      <w:r w:rsidR="00E511B6">
        <w:rPr>
          <w:szCs w:val="22"/>
        </w:rPr>
        <w:t>s</w:t>
      </w:r>
      <w:r w:rsidRPr="00764293">
        <w:rPr>
          <w:szCs w:val="22"/>
        </w:rPr>
        <w:t xml:space="preserve">.  Applicants may request information submitted not be made routinely available for public inspection following the procedures set forth in </w:t>
      </w:r>
      <w:r w:rsidR="00415E2E" w:rsidRPr="00764293">
        <w:rPr>
          <w:szCs w:val="22"/>
        </w:rPr>
        <w:t>s</w:t>
      </w:r>
      <w:r w:rsidRPr="00764293">
        <w:rPr>
          <w:szCs w:val="22"/>
        </w:rPr>
        <w:t>ection 0.459</w:t>
      </w:r>
      <w:r w:rsidR="000F3316" w:rsidRPr="00764293">
        <w:rPr>
          <w:szCs w:val="22"/>
        </w:rPr>
        <w:t xml:space="preserve"> of the Commission’s Rules</w:t>
      </w:r>
      <w:r w:rsidRPr="00764293">
        <w:rPr>
          <w:szCs w:val="22"/>
        </w:rPr>
        <w:t>.</w:t>
      </w:r>
      <w:r w:rsidRPr="00764293">
        <w:rPr>
          <w:rStyle w:val="FootnoteReference"/>
          <w:szCs w:val="22"/>
        </w:rPr>
        <w:footnoteReference w:id="299"/>
      </w:r>
      <w:r w:rsidRPr="00764293">
        <w:rPr>
          <w:szCs w:val="22"/>
        </w:rPr>
        <w:t xml:space="preserve">  Such requests must be included as an attachment to </w:t>
      </w:r>
      <w:r w:rsidR="007E1D09" w:rsidRPr="00764293">
        <w:rPr>
          <w:szCs w:val="22"/>
        </w:rPr>
        <w:t xml:space="preserve">the applicant’s </w:t>
      </w:r>
      <w:r w:rsidRPr="00764293">
        <w:rPr>
          <w:szCs w:val="22"/>
        </w:rPr>
        <w:t xml:space="preserve">FCC Form 175 and identify the </w:t>
      </w:r>
      <w:r w:rsidR="007E1D09" w:rsidRPr="00764293">
        <w:rPr>
          <w:szCs w:val="22"/>
        </w:rPr>
        <w:t>specific</w:t>
      </w:r>
      <w:r w:rsidR="007E1D09">
        <w:rPr>
          <w:szCs w:val="22"/>
        </w:rPr>
        <w:t xml:space="preserve"> </w:t>
      </w:r>
      <w:r w:rsidRPr="00CA6286">
        <w:rPr>
          <w:szCs w:val="22"/>
        </w:rPr>
        <w:t>information to which the request applies.  Because the required information bears on each applicant’s qualifications, confidentiality requests will not be routinely granted.</w:t>
      </w:r>
      <w:r w:rsidRPr="00CA6286">
        <w:rPr>
          <w:rStyle w:val="FootnoteReference"/>
          <w:szCs w:val="22"/>
        </w:rPr>
        <w:footnoteReference w:id="300"/>
      </w:r>
    </w:p>
    <w:p w:rsidR="00CB3C0D" w:rsidRPr="00CA6286" w:rsidRDefault="00CB3C0D" w:rsidP="00C07C81">
      <w:pPr>
        <w:widowControl/>
        <w:rPr>
          <w:b/>
          <w:szCs w:val="22"/>
          <w:u w:val="single"/>
        </w:rPr>
      </w:pPr>
    </w:p>
    <w:p w:rsidR="00CB3C0D" w:rsidRPr="00CA6286" w:rsidRDefault="00CB3C0D" w:rsidP="00C07C81">
      <w:pPr>
        <w:widowControl/>
        <w:rPr>
          <w:szCs w:val="22"/>
        </w:rPr>
      </w:pPr>
      <w:r w:rsidRPr="00CA6286">
        <w:rPr>
          <w:szCs w:val="22"/>
        </w:rPr>
        <w:t xml:space="preserve">Applicants may make multiple changes to their short-form applications until the close of the filing window.  However, </w:t>
      </w:r>
      <w:r w:rsidR="0010666C">
        <w:rPr>
          <w:szCs w:val="22"/>
        </w:rPr>
        <w:t>they</w:t>
      </w:r>
      <w:r w:rsidRPr="00CA6286">
        <w:rPr>
          <w:szCs w:val="22"/>
        </w:rPr>
        <w:t xml:space="preserve"> must press the </w:t>
      </w:r>
      <w:r w:rsidRPr="00CA6286">
        <w:rPr>
          <w:b/>
          <w:szCs w:val="22"/>
        </w:rPr>
        <w:t>SUBMIT</w:t>
      </w:r>
      <w:r w:rsidRPr="00CA6286">
        <w:rPr>
          <w:szCs w:val="22"/>
        </w:rPr>
        <w:t xml:space="preserve"> button in the FCC Auction System for the changes to be submitted and considered by the Commission.</w:t>
      </w:r>
    </w:p>
    <w:p w:rsidR="00CB3C0D" w:rsidRPr="00CA6286" w:rsidRDefault="00CB3C0D" w:rsidP="00C07C81">
      <w:pPr>
        <w:widowControl/>
        <w:jc w:val="both"/>
        <w:rPr>
          <w:szCs w:val="22"/>
        </w:rPr>
      </w:pPr>
    </w:p>
    <w:p w:rsidR="00CB3C0D" w:rsidRPr="00CA6286" w:rsidRDefault="00CB3C0D" w:rsidP="00C07C81">
      <w:pPr>
        <w:pStyle w:val="Heading2"/>
        <w:widowControl/>
      </w:pPr>
      <w:bookmarkStart w:id="4520" w:name="_Toc101858529"/>
      <w:bookmarkStart w:id="4521" w:name="_Toc109812289"/>
      <w:bookmarkStart w:id="4522" w:name="_Toc130730980"/>
      <w:bookmarkStart w:id="4523" w:name="_Toc130814208"/>
      <w:bookmarkStart w:id="4524" w:name="_Toc130814530"/>
      <w:bookmarkStart w:id="4525" w:name="_Toc130814662"/>
      <w:bookmarkStart w:id="4526" w:name="_Toc130883545"/>
      <w:bookmarkStart w:id="4527" w:name="_Toc130885656"/>
      <w:bookmarkStart w:id="4528" w:name="_Toc131844635"/>
      <w:bookmarkStart w:id="4529" w:name="_Toc148330570"/>
      <w:bookmarkStart w:id="4530" w:name="_Toc148337781"/>
      <w:bookmarkStart w:id="4531" w:name="_Toc148338106"/>
      <w:bookmarkStart w:id="4532" w:name="_Toc148339816"/>
      <w:bookmarkStart w:id="4533" w:name="_Toc148339913"/>
      <w:bookmarkStart w:id="4534" w:name="_Toc149645623"/>
      <w:bookmarkStart w:id="4535" w:name="_Toc149997926"/>
      <w:bookmarkStart w:id="4536" w:name="_Toc158180801"/>
      <w:bookmarkStart w:id="4537" w:name="_Toc158785649"/>
      <w:bookmarkStart w:id="4538" w:name="_Toc178768556"/>
      <w:bookmarkStart w:id="4539" w:name="_Toc179195997"/>
      <w:bookmarkStart w:id="4540" w:name="_Toc179361959"/>
      <w:bookmarkStart w:id="4541" w:name="_Toc179363743"/>
      <w:bookmarkStart w:id="4542" w:name="_Toc197504978"/>
      <w:bookmarkStart w:id="4543" w:name="_Toc198007759"/>
      <w:bookmarkStart w:id="4544" w:name="_Toc198007910"/>
      <w:bookmarkStart w:id="4545" w:name="_Toc198008262"/>
      <w:bookmarkStart w:id="4546" w:name="_Toc198008399"/>
      <w:bookmarkStart w:id="4547" w:name="_Toc198008946"/>
      <w:bookmarkStart w:id="4548" w:name="_Toc198369842"/>
      <w:bookmarkStart w:id="4549" w:name="_Toc216090764"/>
      <w:bookmarkStart w:id="4550" w:name="_Toc226958270"/>
      <w:bookmarkStart w:id="4551" w:name="_Toc227038330"/>
      <w:bookmarkStart w:id="4552" w:name="_Toc254792635"/>
      <w:bookmarkStart w:id="4553" w:name="_Toc256669759"/>
      <w:bookmarkStart w:id="4554" w:name="_Toc257213294"/>
      <w:bookmarkStart w:id="4555" w:name="_Toc257277796"/>
      <w:bookmarkStart w:id="4556" w:name="_Toc257278757"/>
      <w:bookmarkStart w:id="4557" w:name="_Toc257278967"/>
      <w:bookmarkStart w:id="4558" w:name="_Toc257279335"/>
      <w:bookmarkStart w:id="4559" w:name="_Toc257382979"/>
      <w:bookmarkStart w:id="4560" w:name="_Toc274056236"/>
      <w:bookmarkStart w:id="4561" w:name="_Toc276657642"/>
      <w:bookmarkStart w:id="4562" w:name="_Toc278366488"/>
      <w:bookmarkStart w:id="4563" w:name="_Toc307584082"/>
      <w:bookmarkStart w:id="4564" w:name="_Toc307937356"/>
      <w:bookmarkStart w:id="4565" w:name="_Toc348508799"/>
      <w:bookmarkStart w:id="4566" w:name="_Toc362256813"/>
      <w:bookmarkStart w:id="4567" w:name="_Toc366056567"/>
      <w:bookmarkStart w:id="4568" w:name="_Toc366223769"/>
      <w:bookmarkStart w:id="4569" w:name="_Toc366229482"/>
      <w:bookmarkStart w:id="4570" w:name="_Toc366583525"/>
      <w:r w:rsidRPr="00CA6286">
        <w:t>Minimum Software Requirements</w:t>
      </w:r>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p>
    <w:p w:rsidR="00CB3C0D" w:rsidRPr="002774E9" w:rsidRDefault="00CB3C0D" w:rsidP="00C07C81">
      <w:pPr>
        <w:widowControl/>
        <w:jc w:val="both"/>
        <w:rPr>
          <w:szCs w:val="22"/>
        </w:rPr>
      </w:pPr>
      <w:r w:rsidRPr="002774E9">
        <w:rPr>
          <w:szCs w:val="22"/>
        </w:rPr>
        <w:t>The following software, at a minimum, is required to use the FCC Integrated Spectrum Auction System:</w:t>
      </w:r>
    </w:p>
    <w:p w:rsidR="00CB3C0D" w:rsidRPr="002774E9" w:rsidRDefault="00CB3C0D" w:rsidP="00C07C81">
      <w:pPr>
        <w:widowControl/>
        <w:numPr>
          <w:ilvl w:val="0"/>
          <w:numId w:val="11"/>
        </w:numPr>
        <w:rPr>
          <w:szCs w:val="22"/>
        </w:rPr>
      </w:pPr>
      <w:r w:rsidRPr="002774E9">
        <w:rPr>
          <w:szCs w:val="22"/>
        </w:rPr>
        <w:t>Web Browser, either of the following</w:t>
      </w:r>
      <w:r w:rsidR="008B65DC" w:rsidRPr="002774E9">
        <w:rPr>
          <w:szCs w:val="22"/>
        </w:rPr>
        <w:t xml:space="preserve"> is recommended</w:t>
      </w:r>
      <w:r w:rsidRPr="002774E9">
        <w:rPr>
          <w:szCs w:val="22"/>
        </w:rPr>
        <w:t>:</w:t>
      </w:r>
    </w:p>
    <w:p w:rsidR="00CB3C0D" w:rsidRPr="002774E9" w:rsidRDefault="00CB3C0D" w:rsidP="00C07C81">
      <w:pPr>
        <w:pStyle w:val="12PtBullet"/>
        <w:numPr>
          <w:ilvl w:val="0"/>
          <w:numId w:val="0"/>
        </w:numPr>
        <w:ind w:left="360"/>
        <w:jc w:val="both"/>
        <w:rPr>
          <w:rStyle w:val="a"/>
          <w:sz w:val="22"/>
          <w:szCs w:val="22"/>
        </w:rPr>
      </w:pPr>
    </w:p>
    <w:p w:rsidR="00CB3C0D" w:rsidRPr="002774E9" w:rsidRDefault="00CB3C0D" w:rsidP="00C07C81">
      <w:pPr>
        <w:pStyle w:val="12PtBullet"/>
        <w:numPr>
          <w:ilvl w:val="0"/>
          <w:numId w:val="10"/>
        </w:numPr>
        <w:tabs>
          <w:tab w:val="left" w:pos="1080"/>
        </w:tabs>
        <w:ind w:left="1080"/>
        <w:rPr>
          <w:rStyle w:val="a"/>
          <w:sz w:val="22"/>
          <w:szCs w:val="22"/>
        </w:rPr>
      </w:pPr>
      <w:r w:rsidRPr="002774E9">
        <w:rPr>
          <w:rStyle w:val="a"/>
          <w:sz w:val="22"/>
          <w:szCs w:val="22"/>
        </w:rPr>
        <w:t>Microsoft</w:t>
      </w:r>
      <w:r w:rsidRPr="002774E9">
        <w:rPr>
          <w:rStyle w:val="a"/>
          <w:sz w:val="22"/>
          <w:szCs w:val="22"/>
          <w:vertAlign w:val="superscript"/>
        </w:rPr>
        <w:t>®</w:t>
      </w:r>
      <w:r w:rsidRPr="002774E9">
        <w:rPr>
          <w:rStyle w:val="a"/>
          <w:sz w:val="22"/>
          <w:szCs w:val="22"/>
        </w:rPr>
        <w:t xml:space="preserve"> Internet Explorer </w:t>
      </w:r>
      <w:r w:rsidR="008B65DC" w:rsidRPr="002774E9">
        <w:rPr>
          <w:rStyle w:val="a"/>
          <w:sz w:val="22"/>
          <w:szCs w:val="22"/>
        </w:rPr>
        <w:t>7.0. Your browser must have either Microsoft VM or Java Plug-In Version 1.6 installed</w:t>
      </w:r>
      <w:r w:rsidRPr="002774E9">
        <w:rPr>
          <w:rStyle w:val="a"/>
          <w:sz w:val="22"/>
          <w:szCs w:val="22"/>
        </w:rPr>
        <w:t>.</w:t>
      </w:r>
    </w:p>
    <w:p w:rsidR="00CB3C0D" w:rsidRPr="002774E9" w:rsidRDefault="00CB3C0D" w:rsidP="00C07C81">
      <w:pPr>
        <w:pStyle w:val="12PtBullet"/>
        <w:numPr>
          <w:ilvl w:val="0"/>
          <w:numId w:val="0"/>
        </w:numPr>
        <w:tabs>
          <w:tab w:val="left" w:pos="1080"/>
        </w:tabs>
        <w:ind w:left="720"/>
        <w:rPr>
          <w:rStyle w:val="a"/>
          <w:sz w:val="22"/>
          <w:szCs w:val="22"/>
        </w:rPr>
      </w:pPr>
    </w:p>
    <w:p w:rsidR="00CB3C0D" w:rsidRPr="002774E9" w:rsidRDefault="00CB3C0D" w:rsidP="00C07C81">
      <w:pPr>
        <w:pStyle w:val="12PtBullet"/>
        <w:numPr>
          <w:ilvl w:val="0"/>
          <w:numId w:val="10"/>
        </w:numPr>
        <w:tabs>
          <w:tab w:val="left" w:pos="1080"/>
        </w:tabs>
        <w:ind w:left="1080"/>
        <w:rPr>
          <w:rStyle w:val="a"/>
          <w:sz w:val="22"/>
          <w:szCs w:val="22"/>
        </w:rPr>
      </w:pPr>
      <w:r w:rsidRPr="002774E9">
        <w:rPr>
          <w:rStyle w:val="a0"/>
          <w:sz w:val="22"/>
          <w:szCs w:val="22"/>
        </w:rPr>
        <w:t>Mozilla</w:t>
      </w:r>
      <w:r w:rsidRPr="002774E9">
        <w:rPr>
          <w:rStyle w:val="a0"/>
          <w:sz w:val="22"/>
          <w:szCs w:val="22"/>
          <w:vertAlign w:val="superscript"/>
        </w:rPr>
        <w:t>®</w:t>
      </w:r>
      <w:r w:rsidRPr="002774E9">
        <w:rPr>
          <w:rStyle w:val="a0"/>
          <w:sz w:val="22"/>
          <w:szCs w:val="22"/>
        </w:rPr>
        <w:t xml:space="preserve"> Firefox</w:t>
      </w:r>
      <w:r w:rsidRPr="002774E9">
        <w:rPr>
          <w:rStyle w:val="a0"/>
          <w:sz w:val="22"/>
          <w:szCs w:val="22"/>
          <w:vertAlign w:val="superscript"/>
        </w:rPr>
        <w:t>®</w:t>
      </w:r>
      <w:r w:rsidRPr="002774E9">
        <w:rPr>
          <w:rStyle w:val="a0"/>
          <w:sz w:val="22"/>
          <w:szCs w:val="22"/>
        </w:rPr>
        <w:t xml:space="preserve"> </w:t>
      </w:r>
      <w:r w:rsidR="008B65DC" w:rsidRPr="002774E9">
        <w:rPr>
          <w:rStyle w:val="a"/>
          <w:sz w:val="22"/>
        </w:rPr>
        <w:t>3.5, with Sun Microsystems’ Java Plug-In Version 1.6</w:t>
      </w:r>
      <w:r w:rsidRPr="002774E9">
        <w:rPr>
          <w:rStyle w:val="a0"/>
          <w:sz w:val="22"/>
          <w:szCs w:val="22"/>
        </w:rPr>
        <w:t>.</w:t>
      </w:r>
    </w:p>
    <w:p w:rsidR="00CB3C0D" w:rsidRPr="002774E9" w:rsidRDefault="00CB3C0D" w:rsidP="00C07C81">
      <w:pPr>
        <w:pStyle w:val="12PtBullet"/>
        <w:numPr>
          <w:ilvl w:val="0"/>
          <w:numId w:val="0"/>
        </w:numPr>
        <w:tabs>
          <w:tab w:val="left" w:pos="1080"/>
        </w:tabs>
        <w:rPr>
          <w:rStyle w:val="a"/>
          <w:sz w:val="22"/>
          <w:szCs w:val="22"/>
        </w:rPr>
      </w:pPr>
    </w:p>
    <w:p w:rsidR="00CB3C0D" w:rsidRPr="002774E9" w:rsidRDefault="00786FDF" w:rsidP="00C07C81">
      <w:pPr>
        <w:widowControl/>
        <w:ind w:left="720"/>
        <w:rPr>
          <w:szCs w:val="22"/>
        </w:rPr>
      </w:pPr>
      <w:r w:rsidRPr="00BE1C69">
        <w:rPr>
          <w:szCs w:val="22"/>
        </w:rPr>
        <w:t>To obtain the Java Plug-In, point your browser at</w:t>
      </w:r>
      <w:r>
        <w:rPr>
          <w:szCs w:val="22"/>
        </w:rPr>
        <w:t xml:space="preserve"> </w:t>
      </w:r>
      <w:hyperlink r:id="rId39" w:history="1">
        <w:r w:rsidRPr="00CC6FE2">
          <w:rPr>
            <w:rStyle w:val="Hyperlink"/>
            <w:szCs w:val="22"/>
          </w:rPr>
          <w:t>http://www.oracle.com/technetwork/java/javase/downloads/index.html</w:t>
        </w:r>
      </w:hyperlink>
      <w:r w:rsidRPr="00BE1C69">
        <w:rPr>
          <w:rFonts w:ascii="Arial" w:hAnsi="Arial" w:cs="Arial"/>
          <w:szCs w:val="22"/>
        </w:rPr>
        <w:t xml:space="preserve"> </w:t>
      </w:r>
      <w:r w:rsidRPr="00BE1C69">
        <w:rPr>
          <w:szCs w:val="22"/>
        </w:rPr>
        <w:t xml:space="preserve">and click the Download button </w:t>
      </w:r>
      <w:r w:rsidR="009C6F7A">
        <w:rPr>
          <w:szCs w:val="22"/>
        </w:rPr>
        <w:t xml:space="preserve">in the JRE column </w:t>
      </w:r>
      <w:r w:rsidRPr="00BE1C69">
        <w:rPr>
          <w:szCs w:val="22"/>
        </w:rPr>
        <w:t xml:space="preserve">under </w:t>
      </w:r>
      <w:r w:rsidRPr="00BE1C69">
        <w:rPr>
          <w:i/>
          <w:szCs w:val="22"/>
        </w:rPr>
        <w:t>Java Platform, Standard Edition</w:t>
      </w:r>
      <w:r w:rsidR="00CB3C0D" w:rsidRPr="002774E9">
        <w:rPr>
          <w:szCs w:val="22"/>
        </w:rPr>
        <w:t>.</w:t>
      </w:r>
    </w:p>
    <w:p w:rsidR="00CB3C0D" w:rsidRPr="002774E9" w:rsidRDefault="00CB3C0D" w:rsidP="00C07C81">
      <w:pPr>
        <w:pStyle w:val="EndnoteText"/>
        <w:widowControl/>
        <w:ind w:left="720"/>
        <w:jc w:val="both"/>
        <w:rPr>
          <w:rStyle w:val="a"/>
          <w:sz w:val="22"/>
          <w:szCs w:val="22"/>
        </w:rPr>
      </w:pPr>
    </w:p>
    <w:p w:rsidR="00CB3C0D" w:rsidRPr="002774E9" w:rsidRDefault="00CB3C0D" w:rsidP="00C07C81">
      <w:pPr>
        <w:widowControl/>
        <w:numPr>
          <w:ilvl w:val="0"/>
          <w:numId w:val="11"/>
        </w:numPr>
        <w:rPr>
          <w:szCs w:val="22"/>
        </w:rPr>
      </w:pPr>
      <w:r w:rsidRPr="002774E9">
        <w:rPr>
          <w:szCs w:val="22"/>
        </w:rPr>
        <w:t xml:space="preserve">PDF Viewer:  Adobe Acrobat Reader 5.0 or higher (available at </w:t>
      </w:r>
      <w:hyperlink r:id="rId40" w:history="1">
        <w:r w:rsidRPr="002774E9">
          <w:rPr>
            <w:rStyle w:val="Hyperlink"/>
            <w:szCs w:val="22"/>
          </w:rPr>
          <w:t>http://www.adobe.com</w:t>
        </w:r>
      </w:hyperlink>
      <w:r w:rsidRPr="002774E9">
        <w:rPr>
          <w:szCs w:val="22"/>
        </w:rPr>
        <w:t>)</w:t>
      </w:r>
    </w:p>
    <w:p w:rsidR="008B65DC" w:rsidRDefault="008B65DC" w:rsidP="00C07C81">
      <w:pPr>
        <w:widowControl/>
        <w:ind w:left="360"/>
        <w:rPr>
          <w:szCs w:val="22"/>
        </w:rPr>
      </w:pPr>
    </w:p>
    <w:p w:rsidR="008B65DC" w:rsidRPr="002774E9" w:rsidRDefault="008B65DC" w:rsidP="00C07C81">
      <w:pPr>
        <w:widowControl/>
        <w:numPr>
          <w:ilvl w:val="0"/>
          <w:numId w:val="11"/>
        </w:numPr>
        <w:rPr>
          <w:szCs w:val="22"/>
        </w:rPr>
      </w:pPr>
      <w:r w:rsidRPr="002774E9">
        <w:rPr>
          <w:szCs w:val="22"/>
        </w:rPr>
        <w:t>Minimum Screen Resolution: 1024 x 768</w:t>
      </w:r>
    </w:p>
    <w:p w:rsidR="00CB3C0D" w:rsidRPr="00CA6286" w:rsidRDefault="00CB3C0D" w:rsidP="00C07C81">
      <w:pPr>
        <w:widowControl/>
        <w:ind w:left="360"/>
        <w:rPr>
          <w:szCs w:val="22"/>
        </w:rPr>
      </w:pPr>
    </w:p>
    <w:p w:rsidR="00CB3C0D" w:rsidRPr="001C2E9C" w:rsidRDefault="00CB3C0D" w:rsidP="00C07C81">
      <w:pPr>
        <w:widowControl/>
        <w:ind w:left="360"/>
        <w:rPr>
          <w:rStyle w:val="a"/>
          <w:sz w:val="22"/>
          <w:szCs w:val="22"/>
        </w:rPr>
      </w:pPr>
      <w:r w:rsidRPr="00CA6286">
        <w:rPr>
          <w:szCs w:val="22"/>
        </w:rPr>
        <w:t xml:space="preserve">Currently, the </w:t>
      </w:r>
      <w:r w:rsidRPr="00CA6286">
        <w:rPr>
          <w:rStyle w:val="a"/>
          <w:sz w:val="22"/>
          <w:szCs w:val="22"/>
        </w:rPr>
        <w:t>Apple</w:t>
      </w:r>
      <w:r w:rsidRPr="00CA6286">
        <w:rPr>
          <w:rStyle w:val="a"/>
          <w:sz w:val="22"/>
          <w:szCs w:val="22"/>
          <w:vertAlign w:val="superscript"/>
        </w:rPr>
        <w:t>®</w:t>
      </w:r>
      <w:r w:rsidRPr="00CA6286">
        <w:rPr>
          <w:rStyle w:val="a"/>
          <w:sz w:val="22"/>
          <w:szCs w:val="22"/>
        </w:rPr>
        <w:t xml:space="preserve"> Mac OS</w:t>
      </w:r>
      <w:r w:rsidRPr="00CA6286">
        <w:rPr>
          <w:rStyle w:val="a"/>
          <w:sz w:val="22"/>
          <w:szCs w:val="22"/>
          <w:vertAlign w:val="superscript"/>
        </w:rPr>
        <w:t>®</w:t>
      </w:r>
      <w:r w:rsidRPr="00CA6286">
        <w:rPr>
          <w:rStyle w:val="a"/>
          <w:sz w:val="22"/>
          <w:szCs w:val="22"/>
        </w:rPr>
        <w:t xml:space="preserve"> is not supported</w:t>
      </w:r>
      <w:r w:rsidRPr="001C2E9C">
        <w:rPr>
          <w:rStyle w:val="a"/>
          <w:sz w:val="22"/>
          <w:szCs w:val="22"/>
        </w:rPr>
        <w:t xml:space="preserve">. </w:t>
      </w:r>
    </w:p>
    <w:p w:rsidR="00CB3C0D" w:rsidRPr="00CA6286" w:rsidRDefault="00CB3C0D" w:rsidP="00C07C81">
      <w:pPr>
        <w:widowControl/>
        <w:jc w:val="both"/>
        <w:rPr>
          <w:szCs w:val="22"/>
        </w:rPr>
      </w:pPr>
    </w:p>
    <w:p w:rsidR="00CB3C0D" w:rsidRPr="00CA6286" w:rsidRDefault="00CB3C0D" w:rsidP="00C07C81">
      <w:pPr>
        <w:pStyle w:val="Heading2"/>
        <w:widowControl/>
      </w:pPr>
      <w:bookmarkStart w:id="4571" w:name="_Toc98821037"/>
      <w:bookmarkStart w:id="4572" w:name="_Toc98846338"/>
      <w:bookmarkStart w:id="4573" w:name="_Toc98898552"/>
      <w:bookmarkStart w:id="4574" w:name="_Toc98921813"/>
      <w:bookmarkStart w:id="4575" w:name="_Toc98932986"/>
      <w:bookmarkStart w:id="4576" w:name="_Toc101858530"/>
      <w:bookmarkStart w:id="4577" w:name="_Toc109812290"/>
      <w:bookmarkStart w:id="4578" w:name="_Toc130730981"/>
      <w:bookmarkStart w:id="4579" w:name="_Toc130814209"/>
      <w:bookmarkStart w:id="4580" w:name="_Toc130814531"/>
      <w:bookmarkStart w:id="4581" w:name="_Toc130814663"/>
      <w:bookmarkStart w:id="4582" w:name="_Toc130883546"/>
      <w:bookmarkStart w:id="4583" w:name="_Toc130885657"/>
      <w:bookmarkStart w:id="4584" w:name="_Toc131844636"/>
      <w:bookmarkStart w:id="4585" w:name="_Toc148330571"/>
      <w:bookmarkStart w:id="4586" w:name="_Toc148337782"/>
      <w:bookmarkStart w:id="4587" w:name="_Toc148338107"/>
      <w:bookmarkStart w:id="4588" w:name="_Toc148339817"/>
      <w:bookmarkStart w:id="4589" w:name="_Toc148339914"/>
      <w:bookmarkStart w:id="4590" w:name="_Toc149645624"/>
      <w:bookmarkStart w:id="4591" w:name="_Toc149997927"/>
      <w:bookmarkStart w:id="4592" w:name="_Toc158180802"/>
      <w:bookmarkStart w:id="4593" w:name="_Toc158785650"/>
      <w:bookmarkStart w:id="4594" w:name="_Toc178768557"/>
      <w:bookmarkStart w:id="4595" w:name="_Toc179195998"/>
      <w:bookmarkStart w:id="4596" w:name="_Toc179361960"/>
      <w:bookmarkStart w:id="4597" w:name="_Toc179363744"/>
      <w:bookmarkStart w:id="4598" w:name="_Toc197504979"/>
      <w:bookmarkStart w:id="4599" w:name="_Toc198007760"/>
      <w:bookmarkStart w:id="4600" w:name="_Toc198007911"/>
      <w:bookmarkStart w:id="4601" w:name="_Toc198008263"/>
      <w:bookmarkStart w:id="4602" w:name="_Toc198008400"/>
      <w:bookmarkStart w:id="4603" w:name="_Toc198008947"/>
      <w:bookmarkStart w:id="4604" w:name="_Toc198369843"/>
      <w:bookmarkStart w:id="4605" w:name="_Toc216090765"/>
      <w:bookmarkStart w:id="4606" w:name="_Toc226958271"/>
      <w:bookmarkStart w:id="4607" w:name="_Toc227038331"/>
      <w:bookmarkStart w:id="4608" w:name="_Toc254792636"/>
      <w:bookmarkStart w:id="4609" w:name="_Toc256669760"/>
      <w:bookmarkStart w:id="4610" w:name="_Toc257213295"/>
      <w:bookmarkStart w:id="4611" w:name="_Toc257277797"/>
      <w:bookmarkStart w:id="4612" w:name="_Toc257278758"/>
      <w:bookmarkStart w:id="4613" w:name="_Toc257278968"/>
      <w:bookmarkStart w:id="4614" w:name="_Toc257279336"/>
      <w:bookmarkStart w:id="4615" w:name="_Toc257382980"/>
      <w:bookmarkStart w:id="4616" w:name="_Toc274056237"/>
      <w:bookmarkStart w:id="4617" w:name="_Toc276657643"/>
      <w:bookmarkStart w:id="4618" w:name="_Toc278366489"/>
      <w:bookmarkStart w:id="4619" w:name="_Toc307584083"/>
      <w:bookmarkStart w:id="4620" w:name="_Toc307937357"/>
      <w:bookmarkStart w:id="4621" w:name="_Toc348508800"/>
      <w:bookmarkStart w:id="4622" w:name="_Toc362256814"/>
      <w:bookmarkStart w:id="4623" w:name="_Toc366056568"/>
      <w:bookmarkStart w:id="4624" w:name="_Toc366223770"/>
      <w:bookmarkStart w:id="4625" w:name="_Toc366229483"/>
      <w:bookmarkStart w:id="4626" w:name="_Toc366583526"/>
      <w:r w:rsidRPr="00CA6286">
        <w:t>Logging On</w:t>
      </w:r>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p>
    <w:p w:rsidR="00CB3C0D" w:rsidRPr="00CA6286" w:rsidRDefault="00CB3C0D" w:rsidP="00C07C81">
      <w:pPr>
        <w:widowControl/>
        <w:rPr>
          <w:szCs w:val="22"/>
        </w:rPr>
      </w:pPr>
      <w:r w:rsidRPr="00CA6286">
        <w:rPr>
          <w:szCs w:val="22"/>
        </w:rPr>
        <w:t>To submit a</w:t>
      </w:r>
      <w:r w:rsidR="007E1D09">
        <w:rPr>
          <w:szCs w:val="22"/>
        </w:rPr>
        <w:t xml:space="preserve"> short-form application</w:t>
      </w:r>
      <w:r w:rsidRPr="00CA6286">
        <w:rPr>
          <w:szCs w:val="22"/>
        </w:rPr>
        <w:t xml:space="preserve"> </w:t>
      </w:r>
      <w:r w:rsidR="007E1D09">
        <w:rPr>
          <w:szCs w:val="22"/>
        </w:rPr>
        <w:t>(</w:t>
      </w:r>
      <w:r w:rsidRPr="00CA6286">
        <w:rPr>
          <w:szCs w:val="22"/>
        </w:rPr>
        <w:t>FCC Form 175</w:t>
      </w:r>
      <w:r w:rsidR="007E1D09">
        <w:rPr>
          <w:szCs w:val="22"/>
        </w:rPr>
        <w:t>)</w:t>
      </w:r>
      <w:r w:rsidRPr="00CA6286">
        <w:rPr>
          <w:szCs w:val="22"/>
        </w:rPr>
        <w:t xml:space="preserve"> electronically via the Internet, an applicant should start its web browser and point it to either </w:t>
      </w:r>
      <w:hyperlink r:id="rId41" w:history="1">
        <w:r w:rsidRPr="005B3D86">
          <w:rPr>
            <w:rStyle w:val="Hyperlink"/>
            <w:szCs w:val="22"/>
          </w:rPr>
          <w:t>http://auctions.fcc.gov/</w:t>
        </w:r>
      </w:hyperlink>
      <w:r>
        <w:rPr>
          <w:szCs w:val="22"/>
        </w:rPr>
        <w:t xml:space="preserve"> </w:t>
      </w:r>
      <w:r w:rsidRPr="00CA6286">
        <w:rPr>
          <w:szCs w:val="22"/>
        </w:rPr>
        <w:t xml:space="preserve">(primary location) or </w:t>
      </w:r>
      <w:hyperlink r:id="rId42" w:history="1">
        <w:r w:rsidRPr="005B3D86">
          <w:rPr>
            <w:rStyle w:val="Hyperlink"/>
            <w:szCs w:val="22"/>
          </w:rPr>
          <w:t>http://auctions2.fcc.gov/</w:t>
        </w:r>
      </w:hyperlink>
      <w:r w:rsidRPr="00CA6286">
        <w:rPr>
          <w:szCs w:val="22"/>
        </w:rPr>
        <w:t xml:space="preserve"> (secondary location).  Once on the </w:t>
      </w:r>
      <w:r w:rsidRPr="00CA6286">
        <w:rPr>
          <w:i/>
          <w:szCs w:val="22"/>
        </w:rPr>
        <w:t>FCC</w:t>
      </w:r>
      <w:r w:rsidRPr="00CA6286">
        <w:rPr>
          <w:szCs w:val="22"/>
        </w:rPr>
        <w:t xml:space="preserve"> </w:t>
      </w:r>
      <w:r w:rsidRPr="00CA6286">
        <w:rPr>
          <w:i/>
          <w:szCs w:val="22"/>
        </w:rPr>
        <w:t>Integrated Spectrum Auction System</w:t>
      </w:r>
      <w:r w:rsidRPr="00CA6286">
        <w:rPr>
          <w:szCs w:val="22"/>
        </w:rPr>
        <w:t xml:space="preserve"> page, the applicant may log in to create a short-form application using its FCC Registration Number (“FRN”) and password.</w:t>
      </w:r>
    </w:p>
    <w:p w:rsidR="00CB3C0D" w:rsidRPr="00CA6286" w:rsidRDefault="00CB3C0D" w:rsidP="00C07C81">
      <w:pPr>
        <w:widowControl/>
        <w:rPr>
          <w:szCs w:val="22"/>
        </w:rPr>
      </w:pPr>
    </w:p>
    <w:p w:rsidR="00CB3C0D" w:rsidRPr="00CA6286" w:rsidRDefault="00CB3C0D" w:rsidP="00C07C81">
      <w:pPr>
        <w:pStyle w:val="Heading2"/>
        <w:widowControl/>
      </w:pPr>
      <w:bookmarkStart w:id="4627" w:name="_Toc98821038"/>
      <w:bookmarkStart w:id="4628" w:name="_Toc98846339"/>
      <w:bookmarkStart w:id="4629" w:name="_Toc98898553"/>
      <w:bookmarkStart w:id="4630" w:name="_Toc98921814"/>
      <w:bookmarkStart w:id="4631" w:name="_Toc98932987"/>
      <w:bookmarkStart w:id="4632" w:name="_Toc101858531"/>
      <w:bookmarkStart w:id="4633" w:name="_Toc109812291"/>
      <w:bookmarkStart w:id="4634" w:name="_Toc130730982"/>
      <w:bookmarkStart w:id="4635" w:name="_Toc130814210"/>
      <w:bookmarkStart w:id="4636" w:name="_Toc130814532"/>
      <w:bookmarkStart w:id="4637" w:name="_Toc130814664"/>
      <w:bookmarkStart w:id="4638" w:name="_Toc130883547"/>
      <w:bookmarkStart w:id="4639" w:name="_Toc130885658"/>
      <w:bookmarkStart w:id="4640" w:name="_Toc131844637"/>
      <w:bookmarkStart w:id="4641" w:name="_Toc148330572"/>
      <w:bookmarkStart w:id="4642" w:name="_Toc148337783"/>
      <w:bookmarkStart w:id="4643" w:name="_Toc148338108"/>
      <w:bookmarkStart w:id="4644" w:name="_Toc148339818"/>
      <w:bookmarkStart w:id="4645" w:name="_Toc148339915"/>
      <w:bookmarkStart w:id="4646" w:name="_Toc149645625"/>
      <w:bookmarkStart w:id="4647" w:name="_Toc149997928"/>
      <w:bookmarkStart w:id="4648" w:name="_Toc158180803"/>
      <w:bookmarkStart w:id="4649" w:name="_Toc158785651"/>
      <w:bookmarkStart w:id="4650" w:name="_Toc178768558"/>
      <w:bookmarkStart w:id="4651" w:name="_Toc179195999"/>
      <w:bookmarkStart w:id="4652" w:name="_Toc179361961"/>
      <w:bookmarkStart w:id="4653" w:name="_Toc179363745"/>
      <w:bookmarkStart w:id="4654" w:name="_Toc197504980"/>
      <w:bookmarkStart w:id="4655" w:name="_Toc198007761"/>
      <w:bookmarkStart w:id="4656" w:name="_Toc198007912"/>
      <w:bookmarkStart w:id="4657" w:name="_Toc198008264"/>
      <w:bookmarkStart w:id="4658" w:name="_Toc198008401"/>
      <w:bookmarkStart w:id="4659" w:name="_Toc198008948"/>
      <w:bookmarkStart w:id="4660" w:name="_Toc198369844"/>
      <w:bookmarkStart w:id="4661" w:name="_Toc216090766"/>
      <w:bookmarkStart w:id="4662" w:name="_Toc226958272"/>
      <w:bookmarkStart w:id="4663" w:name="_Toc227038332"/>
      <w:bookmarkStart w:id="4664" w:name="_Toc254792637"/>
      <w:bookmarkStart w:id="4665" w:name="_Toc256669761"/>
      <w:bookmarkStart w:id="4666" w:name="_Toc257213296"/>
      <w:bookmarkStart w:id="4667" w:name="_Toc257277798"/>
      <w:bookmarkStart w:id="4668" w:name="_Toc257278759"/>
      <w:bookmarkStart w:id="4669" w:name="_Toc257278969"/>
      <w:bookmarkStart w:id="4670" w:name="_Toc257279337"/>
      <w:bookmarkStart w:id="4671" w:name="_Toc257382981"/>
      <w:bookmarkStart w:id="4672" w:name="_Toc274056238"/>
      <w:bookmarkStart w:id="4673" w:name="_Toc276657644"/>
      <w:bookmarkStart w:id="4674" w:name="_Toc278366490"/>
      <w:bookmarkStart w:id="4675" w:name="_Toc307584084"/>
      <w:bookmarkStart w:id="4676" w:name="_Toc307937358"/>
      <w:bookmarkStart w:id="4677" w:name="_Toc348508801"/>
      <w:bookmarkStart w:id="4678" w:name="_Toc362256815"/>
      <w:bookmarkStart w:id="4679" w:name="_Toc366056569"/>
      <w:bookmarkStart w:id="4680" w:name="_Toc366223771"/>
      <w:bookmarkStart w:id="4681" w:name="_Toc366229484"/>
      <w:bookmarkStart w:id="4682" w:name="_Toc366583527"/>
      <w:r w:rsidRPr="00CA6286">
        <w:t>Application Filing Instructions</w:t>
      </w:r>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p>
    <w:p w:rsidR="00CB3C0D" w:rsidRPr="00CA6286" w:rsidRDefault="00CB3C0D" w:rsidP="00C07C81">
      <w:pPr>
        <w:widowControl/>
        <w:rPr>
          <w:szCs w:val="22"/>
        </w:rPr>
      </w:pPr>
      <w:r w:rsidRPr="00CA6286">
        <w:rPr>
          <w:szCs w:val="22"/>
        </w:rPr>
        <w:t xml:space="preserve">The </w:t>
      </w:r>
      <w:r w:rsidR="007E1D09">
        <w:rPr>
          <w:szCs w:val="22"/>
        </w:rPr>
        <w:t>short-form application (</w:t>
      </w:r>
      <w:r w:rsidRPr="00CA6286">
        <w:rPr>
          <w:szCs w:val="22"/>
        </w:rPr>
        <w:t>FCC Form 175</w:t>
      </w:r>
      <w:r w:rsidR="007E1D09">
        <w:rPr>
          <w:szCs w:val="22"/>
        </w:rPr>
        <w:t>)</w:t>
      </w:r>
      <w:r w:rsidRPr="00CA6286">
        <w:rPr>
          <w:szCs w:val="22"/>
        </w:rPr>
        <w:t xml:space="preserve"> requests information needed to determine whether an applicant qualifies to participate in competitive bidding for Commission licenses or construction permits.</w:t>
      </w:r>
      <w:r w:rsidRPr="00CA6286">
        <w:rPr>
          <w:rStyle w:val="FootnoteReference"/>
          <w:szCs w:val="22"/>
        </w:rPr>
        <w:footnoteReference w:id="301"/>
      </w:r>
      <w:r w:rsidRPr="00CA6286">
        <w:rPr>
          <w:szCs w:val="22"/>
        </w:rPr>
        <w:t xml:space="preserve">  Pursuant to </w:t>
      </w:r>
      <w:r w:rsidR="00415E2E">
        <w:rPr>
          <w:szCs w:val="22"/>
        </w:rPr>
        <w:t>s</w:t>
      </w:r>
      <w:r w:rsidRPr="00CA6286">
        <w:rPr>
          <w:szCs w:val="22"/>
        </w:rPr>
        <w:t xml:space="preserve">ection 1.2105(a), </w:t>
      </w:r>
      <w:r w:rsidR="00067A7A">
        <w:rPr>
          <w:szCs w:val="22"/>
        </w:rPr>
        <w:t xml:space="preserve">the </w:t>
      </w:r>
      <w:r w:rsidRPr="00CA6286">
        <w:rPr>
          <w:szCs w:val="22"/>
        </w:rPr>
        <w:t>FCC Form 175 must be submitted electronically.  Applicants must submit required information as entries in the data fields of the FCC Form 175 whenever a data field is available for that information.  Attachments should not be used to provide information that can be supplied within the data fields of the FCC Form 175.</w:t>
      </w:r>
    </w:p>
    <w:p w:rsidR="00CB3C0D" w:rsidRPr="00CA6286" w:rsidRDefault="00CB3C0D" w:rsidP="00C07C81">
      <w:pPr>
        <w:widowControl/>
        <w:rPr>
          <w:szCs w:val="22"/>
        </w:rPr>
      </w:pPr>
    </w:p>
    <w:p w:rsidR="00CB3C0D" w:rsidRPr="00CA6286" w:rsidRDefault="00CB3C0D" w:rsidP="00C07C81">
      <w:pPr>
        <w:widowControl/>
        <w:rPr>
          <w:szCs w:val="22"/>
        </w:rPr>
      </w:pPr>
      <w:r w:rsidRPr="00CA6286">
        <w:rPr>
          <w:szCs w:val="22"/>
        </w:rPr>
        <w:t xml:space="preserve">The screens comprising FCC Form 175 consist of </w:t>
      </w:r>
      <w:r w:rsidR="00B50615">
        <w:rPr>
          <w:szCs w:val="22"/>
        </w:rPr>
        <w:t>five</w:t>
      </w:r>
      <w:r w:rsidRPr="00CA6286">
        <w:rPr>
          <w:szCs w:val="22"/>
        </w:rPr>
        <w:t xml:space="preserve"> series, each </w:t>
      </w:r>
      <w:r w:rsidRPr="00713BE8">
        <w:rPr>
          <w:szCs w:val="22"/>
        </w:rPr>
        <w:t xml:space="preserve">requesting </w:t>
      </w:r>
      <w:r w:rsidR="00B50615">
        <w:rPr>
          <w:szCs w:val="22"/>
        </w:rPr>
        <w:t>five</w:t>
      </w:r>
      <w:r w:rsidRPr="00713BE8">
        <w:rPr>
          <w:szCs w:val="22"/>
        </w:rPr>
        <w:t xml:space="preserve"> separate</w:t>
      </w:r>
      <w:r w:rsidRPr="00CA6286">
        <w:rPr>
          <w:szCs w:val="22"/>
        </w:rPr>
        <w:t xml:space="preserve"> types of information: 1) </w:t>
      </w:r>
      <w:r w:rsidRPr="00CA6286">
        <w:rPr>
          <w:i/>
          <w:szCs w:val="22"/>
        </w:rPr>
        <w:t>Applicant Information</w:t>
      </w:r>
      <w:r w:rsidRPr="00CA6286">
        <w:rPr>
          <w:szCs w:val="22"/>
        </w:rPr>
        <w:t xml:space="preserve">; 2) </w:t>
      </w:r>
      <w:r w:rsidR="00B50615">
        <w:rPr>
          <w:i/>
          <w:szCs w:val="22"/>
        </w:rPr>
        <w:t>License</w:t>
      </w:r>
      <w:r w:rsidRPr="00067A7A">
        <w:rPr>
          <w:i/>
          <w:szCs w:val="22"/>
        </w:rPr>
        <w:t xml:space="preserve"> Selection</w:t>
      </w:r>
      <w:r w:rsidRPr="00CA6286">
        <w:rPr>
          <w:szCs w:val="22"/>
        </w:rPr>
        <w:t xml:space="preserve">; 3) </w:t>
      </w:r>
      <w:r w:rsidRPr="00CA6286">
        <w:rPr>
          <w:i/>
          <w:szCs w:val="22"/>
        </w:rPr>
        <w:t>Agreements</w:t>
      </w:r>
      <w:r w:rsidRPr="00CA6286">
        <w:rPr>
          <w:szCs w:val="22"/>
        </w:rPr>
        <w:t xml:space="preserve">; </w:t>
      </w:r>
      <w:r w:rsidR="00B50615">
        <w:rPr>
          <w:szCs w:val="22"/>
        </w:rPr>
        <w:t>4</w:t>
      </w:r>
      <w:r w:rsidRPr="00CA6286">
        <w:rPr>
          <w:szCs w:val="22"/>
        </w:rPr>
        <w:t xml:space="preserve">) </w:t>
      </w:r>
      <w:r w:rsidRPr="00CA6286">
        <w:rPr>
          <w:i/>
          <w:szCs w:val="22"/>
        </w:rPr>
        <w:t>Ownership</w:t>
      </w:r>
      <w:r w:rsidRPr="00CA6286">
        <w:rPr>
          <w:szCs w:val="22"/>
        </w:rPr>
        <w:t xml:space="preserve">; and </w:t>
      </w:r>
      <w:r w:rsidR="00B50615">
        <w:rPr>
          <w:szCs w:val="22"/>
        </w:rPr>
        <w:t>5</w:t>
      </w:r>
      <w:r w:rsidRPr="00CA6286">
        <w:rPr>
          <w:szCs w:val="22"/>
        </w:rPr>
        <w:t xml:space="preserve">) </w:t>
      </w:r>
      <w:r w:rsidRPr="00CA6286">
        <w:rPr>
          <w:i/>
          <w:szCs w:val="22"/>
        </w:rPr>
        <w:t>Certify and Submit</w:t>
      </w:r>
      <w:r w:rsidRPr="00CA6286">
        <w:rPr>
          <w:szCs w:val="22"/>
        </w:rPr>
        <w:t xml:space="preserve">.  In addition, </w:t>
      </w:r>
      <w:r w:rsidRPr="00CA6286">
        <w:rPr>
          <w:i/>
          <w:szCs w:val="22"/>
        </w:rPr>
        <w:t>Summary</w:t>
      </w:r>
      <w:r w:rsidRPr="00CA6286">
        <w:rPr>
          <w:szCs w:val="22"/>
        </w:rPr>
        <w:t xml:space="preserve"> screens, </w:t>
      </w:r>
      <w:r w:rsidRPr="00713BE8">
        <w:rPr>
          <w:szCs w:val="22"/>
        </w:rPr>
        <w:t xml:space="preserve">a </w:t>
      </w:r>
      <w:r w:rsidR="00B50615">
        <w:rPr>
          <w:szCs w:val="22"/>
        </w:rPr>
        <w:t>six</w:t>
      </w:r>
      <w:r w:rsidR="009B2810" w:rsidRPr="00713BE8">
        <w:rPr>
          <w:szCs w:val="22"/>
        </w:rPr>
        <w:t>th</w:t>
      </w:r>
      <w:r w:rsidRPr="00713BE8">
        <w:rPr>
          <w:szCs w:val="22"/>
        </w:rPr>
        <w:t xml:space="preserve"> series</w:t>
      </w:r>
      <w:r w:rsidRPr="00CA6286">
        <w:rPr>
          <w:szCs w:val="22"/>
        </w:rPr>
        <w:t xml:space="preserve">, appear prior to the </w:t>
      </w:r>
      <w:r w:rsidRPr="00CA6286">
        <w:rPr>
          <w:i/>
          <w:szCs w:val="22"/>
        </w:rPr>
        <w:t>Certify and Submit</w:t>
      </w:r>
      <w:r w:rsidRPr="00CA6286">
        <w:rPr>
          <w:szCs w:val="22"/>
        </w:rPr>
        <w:t xml:space="preserve"> screens.  The </w:t>
      </w:r>
      <w:r w:rsidRPr="00CA6286">
        <w:rPr>
          <w:i/>
          <w:szCs w:val="22"/>
        </w:rPr>
        <w:t>Summary</w:t>
      </w:r>
      <w:r w:rsidRPr="00CA6286">
        <w:rPr>
          <w:szCs w:val="22"/>
        </w:rPr>
        <w:t xml:space="preserve"> screens provide an overview of an applicant’s FCC Form 175 that facilitates reviewing and revising specific information, as well as an automated check for certain inconsistencies and omissions in submitted information.</w:t>
      </w:r>
    </w:p>
    <w:p w:rsidR="00CB3C0D" w:rsidRPr="00CA6286" w:rsidRDefault="00CB3C0D" w:rsidP="00C07C81">
      <w:pPr>
        <w:widowControl/>
        <w:jc w:val="both"/>
        <w:rPr>
          <w:szCs w:val="22"/>
        </w:rPr>
      </w:pPr>
    </w:p>
    <w:p w:rsidR="00CB3C0D" w:rsidRPr="00CA6286" w:rsidRDefault="00CB3C0D" w:rsidP="00C07C81">
      <w:pPr>
        <w:widowControl/>
        <w:rPr>
          <w:szCs w:val="22"/>
        </w:rPr>
      </w:pPr>
      <w:r w:rsidRPr="00CA6286">
        <w:rPr>
          <w:szCs w:val="22"/>
        </w:rPr>
        <w:t xml:space="preserve">To simplify filling out FCC Form 175, certain initial information applicants provide is used to determine what additional information is needed, and what subsequent screens will appear to collect that information.  For example, a corporate applicant, unlike an individual applicant, must identify a corporate officer or director responsible for the application (sometimes called a responsible party).  If an applicant identifies itself as an individual, no additional information is needed regarding an additional responsible party, and screens requesting responsible party information will not appear.  However, if the applicant identifies itself as a corporation, subsequent screens in the FCC Form 175 will ask for responsible party information.  </w:t>
      </w:r>
    </w:p>
    <w:p w:rsidR="00CB3C0D" w:rsidRPr="00CA6286" w:rsidRDefault="00CB3C0D" w:rsidP="00C07C81">
      <w:pPr>
        <w:widowControl/>
        <w:rPr>
          <w:szCs w:val="22"/>
        </w:rPr>
      </w:pPr>
    </w:p>
    <w:p w:rsidR="00CB3C0D" w:rsidRPr="00CA6286" w:rsidRDefault="00CB3C0D" w:rsidP="00C07C81">
      <w:pPr>
        <w:widowControl/>
        <w:rPr>
          <w:szCs w:val="22"/>
        </w:rPr>
      </w:pPr>
      <w:r w:rsidRPr="00DF7948">
        <w:rPr>
          <w:szCs w:val="22"/>
        </w:rPr>
        <w:t xml:space="preserve">Applicants </w:t>
      </w:r>
      <w:r w:rsidR="002847FA" w:rsidRPr="00DF7948">
        <w:rPr>
          <w:szCs w:val="22"/>
        </w:rPr>
        <w:t>must</w:t>
      </w:r>
      <w:r w:rsidRPr="00DF7948">
        <w:rPr>
          <w:szCs w:val="22"/>
        </w:rPr>
        <w:t xml:space="preserve"> fill out FCC Form 175</w:t>
      </w:r>
      <w:r w:rsidRPr="00CA6286">
        <w:rPr>
          <w:szCs w:val="22"/>
        </w:rPr>
        <w:t xml:space="preserve"> by following the instructions below.  Additional help in filling out FCC Form 175 can be accessed in two ways:  1) by clicking on the </w:t>
      </w:r>
      <w:r w:rsidRPr="00CA6286">
        <w:rPr>
          <w:b/>
          <w:szCs w:val="22"/>
        </w:rPr>
        <w:t>Help</w:t>
      </w:r>
      <w:r w:rsidRPr="00CA6286">
        <w:rPr>
          <w:szCs w:val="22"/>
        </w:rPr>
        <w:t xml:space="preserve"> link in the upper right of any screen, which will open Auction Application Online Filing Help; or 2) by clicking on the text of any </w:t>
      </w:r>
      <w:r w:rsidRPr="00CA6286">
        <w:rPr>
          <w:b/>
          <w:szCs w:val="22"/>
        </w:rPr>
        <w:t>Common Question</w:t>
      </w:r>
      <w:r w:rsidRPr="00CA6286">
        <w:rPr>
          <w:szCs w:val="22"/>
        </w:rPr>
        <w:t xml:space="preserve"> link appearing on the right side of the screen.  The common questions displayed relate to the current screen and vary from screen to screen.  In the event the assistance provided by these sources is insufficient, </w:t>
      </w:r>
      <w:r w:rsidR="00067A7A">
        <w:rPr>
          <w:szCs w:val="22"/>
        </w:rPr>
        <w:t>applicants</w:t>
      </w:r>
      <w:r w:rsidRPr="00CA6286">
        <w:rPr>
          <w:szCs w:val="22"/>
        </w:rPr>
        <w:t xml:space="preserve"> should use the contact information provided in </w:t>
      </w:r>
      <w:r w:rsidRPr="007E1D09">
        <w:rPr>
          <w:szCs w:val="22"/>
        </w:rPr>
        <w:t>th</w:t>
      </w:r>
      <w:r w:rsidR="007E1D09" w:rsidRPr="007E1D09">
        <w:rPr>
          <w:szCs w:val="22"/>
        </w:rPr>
        <w:t>is</w:t>
      </w:r>
      <w:r w:rsidRPr="007E1D09">
        <w:rPr>
          <w:szCs w:val="22"/>
        </w:rPr>
        <w:t xml:space="preserve"> Public Notice</w:t>
      </w:r>
      <w:r w:rsidRPr="00CA6286">
        <w:rPr>
          <w:szCs w:val="22"/>
        </w:rPr>
        <w:t xml:space="preserve"> to obtain additional assistance.</w:t>
      </w:r>
      <w:r w:rsidR="007E1D09">
        <w:rPr>
          <w:rStyle w:val="FootnoteReference"/>
          <w:szCs w:val="22"/>
        </w:rPr>
        <w:footnoteReference w:id="302"/>
      </w:r>
    </w:p>
    <w:p w:rsidR="00CB3C0D" w:rsidRPr="00CA6286" w:rsidRDefault="00CB3C0D" w:rsidP="00C07C81">
      <w:pPr>
        <w:widowControl/>
        <w:rPr>
          <w:szCs w:val="22"/>
        </w:rPr>
      </w:pPr>
    </w:p>
    <w:p w:rsidR="00CB3C0D" w:rsidRPr="001C2E9C" w:rsidRDefault="00CB3C0D" w:rsidP="00C07C81">
      <w:pPr>
        <w:pStyle w:val="Heading3"/>
        <w:widowControl/>
        <w:tabs>
          <w:tab w:val="num" w:pos="720"/>
        </w:tabs>
        <w:rPr>
          <w:szCs w:val="22"/>
        </w:rPr>
      </w:pPr>
      <w:bookmarkStart w:id="4683" w:name="_Toc98821039"/>
      <w:bookmarkStart w:id="4684" w:name="_Toc98846340"/>
      <w:bookmarkStart w:id="4685" w:name="_Toc98898554"/>
      <w:bookmarkStart w:id="4686" w:name="_Toc98921815"/>
      <w:bookmarkStart w:id="4687" w:name="_Toc98932988"/>
      <w:bookmarkStart w:id="4688" w:name="_Toc101858532"/>
      <w:bookmarkStart w:id="4689" w:name="_Toc109812292"/>
      <w:bookmarkStart w:id="4690" w:name="_Toc130730983"/>
      <w:bookmarkStart w:id="4691" w:name="_Toc130814211"/>
      <w:bookmarkStart w:id="4692" w:name="_Toc130814533"/>
      <w:bookmarkStart w:id="4693" w:name="_Toc130814665"/>
      <w:bookmarkStart w:id="4694" w:name="_Toc130883548"/>
      <w:bookmarkStart w:id="4695" w:name="_Toc130885659"/>
      <w:bookmarkStart w:id="4696" w:name="_Toc131844638"/>
      <w:bookmarkStart w:id="4697" w:name="_Toc148330573"/>
      <w:bookmarkStart w:id="4698" w:name="_Toc148337784"/>
      <w:bookmarkStart w:id="4699" w:name="_Toc148338109"/>
      <w:bookmarkStart w:id="4700" w:name="_Toc148339819"/>
      <w:bookmarkStart w:id="4701" w:name="_Toc148339916"/>
      <w:bookmarkStart w:id="4702" w:name="_Toc149645626"/>
      <w:bookmarkStart w:id="4703" w:name="_Toc149997929"/>
      <w:bookmarkStart w:id="4704" w:name="_Toc158180804"/>
      <w:bookmarkStart w:id="4705" w:name="_Toc158785652"/>
      <w:bookmarkStart w:id="4706" w:name="_Toc178768559"/>
      <w:bookmarkStart w:id="4707" w:name="_Toc179196000"/>
      <w:bookmarkStart w:id="4708" w:name="_Toc179361962"/>
      <w:bookmarkStart w:id="4709" w:name="_Toc179363746"/>
      <w:bookmarkStart w:id="4710" w:name="_Toc197504981"/>
      <w:bookmarkStart w:id="4711" w:name="_Toc198007762"/>
      <w:bookmarkStart w:id="4712" w:name="_Toc198007913"/>
      <w:bookmarkStart w:id="4713" w:name="_Toc198008265"/>
      <w:bookmarkStart w:id="4714" w:name="_Toc198008402"/>
      <w:bookmarkStart w:id="4715" w:name="_Toc198008949"/>
      <w:bookmarkStart w:id="4716" w:name="_Toc198369845"/>
      <w:bookmarkStart w:id="4717" w:name="_Toc216090767"/>
      <w:bookmarkStart w:id="4718" w:name="_Toc226958273"/>
      <w:bookmarkStart w:id="4719" w:name="_Toc227038333"/>
      <w:bookmarkStart w:id="4720" w:name="_Toc254792638"/>
      <w:bookmarkStart w:id="4721" w:name="_Toc256669762"/>
      <w:bookmarkStart w:id="4722" w:name="_Toc257213297"/>
      <w:bookmarkStart w:id="4723" w:name="_Toc257277799"/>
      <w:bookmarkStart w:id="4724" w:name="_Toc257278760"/>
      <w:bookmarkStart w:id="4725" w:name="_Toc257278970"/>
      <w:bookmarkStart w:id="4726" w:name="_Toc257279338"/>
      <w:bookmarkStart w:id="4727" w:name="_Toc257382982"/>
      <w:bookmarkStart w:id="4728" w:name="_Toc274056239"/>
      <w:bookmarkStart w:id="4729" w:name="_Toc276657645"/>
      <w:bookmarkStart w:id="4730" w:name="_Toc278366491"/>
      <w:bookmarkStart w:id="4731" w:name="_Toc307584085"/>
      <w:bookmarkStart w:id="4732" w:name="_Toc307937359"/>
      <w:bookmarkStart w:id="4733" w:name="_Toc348508802"/>
      <w:bookmarkStart w:id="4734" w:name="_Toc362256816"/>
      <w:bookmarkStart w:id="4735" w:name="_Toc366056570"/>
      <w:bookmarkStart w:id="4736" w:name="_Toc366223772"/>
      <w:bookmarkStart w:id="4737" w:name="_Toc366229485"/>
      <w:bookmarkStart w:id="4738" w:name="_Toc366583528"/>
      <w:r w:rsidRPr="001C2E9C">
        <w:rPr>
          <w:szCs w:val="22"/>
        </w:rPr>
        <w:t>Applicant Information</w:t>
      </w:r>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p>
    <w:p w:rsidR="00CB3C0D" w:rsidRPr="00CA6286" w:rsidRDefault="00CB3C0D" w:rsidP="00C07C81">
      <w:pPr>
        <w:widowControl/>
        <w:rPr>
          <w:szCs w:val="22"/>
        </w:rPr>
      </w:pPr>
      <w:r w:rsidRPr="00CA6286">
        <w:rPr>
          <w:szCs w:val="22"/>
        </w:rPr>
        <w:t xml:space="preserve">The </w:t>
      </w:r>
      <w:r w:rsidRPr="00CA6286">
        <w:rPr>
          <w:i/>
          <w:szCs w:val="22"/>
        </w:rPr>
        <w:t>Applicant Information</w:t>
      </w:r>
      <w:r w:rsidRPr="00CA6286">
        <w:rPr>
          <w:szCs w:val="22"/>
        </w:rPr>
        <w:t xml:space="preserve"> screens are the first series of screens in FCC Form 175</w:t>
      </w:r>
      <w:r w:rsidR="0010666C">
        <w:rPr>
          <w:szCs w:val="22"/>
        </w:rPr>
        <w:t xml:space="preserve">, in which </w:t>
      </w:r>
      <w:r w:rsidRPr="00CA6286">
        <w:rPr>
          <w:szCs w:val="22"/>
        </w:rPr>
        <w:t>the applicant will provide basic information including</w:t>
      </w:r>
      <w:r>
        <w:rPr>
          <w:szCs w:val="22"/>
        </w:rPr>
        <w:t>:</w:t>
      </w:r>
    </w:p>
    <w:p w:rsidR="00CB3C0D" w:rsidRPr="00CA6286" w:rsidRDefault="00CB3C0D" w:rsidP="00C07C81">
      <w:pPr>
        <w:widowControl/>
        <w:rPr>
          <w:szCs w:val="22"/>
        </w:rPr>
      </w:pPr>
    </w:p>
    <w:p w:rsidR="00CB3C0D" w:rsidRPr="00CA6286" w:rsidRDefault="00CB3C0D" w:rsidP="00C07C81">
      <w:pPr>
        <w:widowControl/>
        <w:ind w:left="360" w:hanging="360"/>
        <w:rPr>
          <w:szCs w:val="22"/>
        </w:rPr>
      </w:pPr>
      <w:r w:rsidRPr="00CA6286">
        <w:rPr>
          <w:szCs w:val="22"/>
        </w:rPr>
        <w:t xml:space="preserve">• </w:t>
      </w:r>
      <w:r w:rsidRPr="00CA6286">
        <w:rPr>
          <w:szCs w:val="22"/>
        </w:rPr>
        <w:tab/>
        <w:t>the applicant’s legal classification (e.g., individual, corporation, rural telephone cooperative, etc.)</w:t>
      </w:r>
    </w:p>
    <w:p w:rsidR="00DC24C1" w:rsidRDefault="00CB3C0D" w:rsidP="00C07C81">
      <w:pPr>
        <w:widowControl/>
        <w:ind w:left="360" w:hanging="360"/>
        <w:rPr>
          <w:szCs w:val="22"/>
        </w:rPr>
      </w:pPr>
      <w:r w:rsidRPr="00CA6286">
        <w:rPr>
          <w:szCs w:val="22"/>
        </w:rPr>
        <w:t xml:space="preserve">• </w:t>
      </w:r>
      <w:r w:rsidRPr="00CA6286">
        <w:rPr>
          <w:szCs w:val="22"/>
        </w:rPr>
        <w:tab/>
        <w:t>optional information regarding the applicant’s status as a minority- or woman-owned business or a rural telephone company</w:t>
      </w:r>
    </w:p>
    <w:p w:rsidR="00CB3C0D" w:rsidRPr="00CA6286" w:rsidRDefault="00460451" w:rsidP="00C07C81">
      <w:pPr>
        <w:widowControl/>
        <w:ind w:left="360" w:hanging="360"/>
        <w:rPr>
          <w:szCs w:val="22"/>
        </w:rPr>
      </w:pPr>
      <w:r w:rsidRPr="00CA6286">
        <w:rPr>
          <w:szCs w:val="22"/>
        </w:rPr>
        <w:t>•</w:t>
      </w:r>
      <w:r w:rsidR="002321F9">
        <w:rPr>
          <w:szCs w:val="22"/>
        </w:rPr>
        <w:tab/>
      </w:r>
      <w:r w:rsidR="00CB3C0D" w:rsidRPr="00CA6286">
        <w:rPr>
          <w:szCs w:val="22"/>
        </w:rPr>
        <w:t>the applicant’s name, which will be used as the bidder name during the auction</w:t>
      </w:r>
      <w:r w:rsidR="00463239">
        <w:rPr>
          <w:rStyle w:val="FootnoteReference"/>
          <w:szCs w:val="22"/>
        </w:rPr>
        <w:footnoteReference w:id="303"/>
      </w:r>
    </w:p>
    <w:p w:rsidR="00CB3C0D" w:rsidRPr="00CA6286" w:rsidRDefault="00CB3C0D" w:rsidP="00C07C81">
      <w:pPr>
        <w:widowControl/>
        <w:ind w:left="360" w:hanging="360"/>
        <w:rPr>
          <w:szCs w:val="22"/>
        </w:rPr>
      </w:pPr>
      <w:r w:rsidRPr="00CA6286">
        <w:rPr>
          <w:szCs w:val="22"/>
        </w:rPr>
        <w:t>•</w:t>
      </w:r>
      <w:r w:rsidR="00104F19">
        <w:rPr>
          <w:szCs w:val="22"/>
        </w:rPr>
        <w:tab/>
      </w:r>
      <w:r w:rsidRPr="00CA6286">
        <w:rPr>
          <w:szCs w:val="22"/>
        </w:rPr>
        <w:t>citizenship for individuals, or jurisdiction of formation for legal entities</w:t>
      </w:r>
    </w:p>
    <w:p w:rsidR="00CB3C0D" w:rsidRPr="00CA6286" w:rsidRDefault="00CB3C0D" w:rsidP="00C07C81">
      <w:pPr>
        <w:widowControl/>
        <w:ind w:left="360" w:hanging="360"/>
        <w:rPr>
          <w:szCs w:val="22"/>
        </w:rPr>
      </w:pPr>
      <w:r w:rsidRPr="00CA6286">
        <w:rPr>
          <w:szCs w:val="22"/>
        </w:rPr>
        <w:t>•</w:t>
      </w:r>
      <w:r w:rsidR="00104F19">
        <w:rPr>
          <w:szCs w:val="22"/>
        </w:rPr>
        <w:tab/>
      </w:r>
      <w:r w:rsidRPr="00CA6286">
        <w:rPr>
          <w:szCs w:val="22"/>
        </w:rPr>
        <w:t xml:space="preserve">for applicants classified as legal entities (e.g., corporations and partnerships), the name of and information regarding the entity’s responsible </w:t>
      </w:r>
      <w:r w:rsidRPr="0070556D">
        <w:rPr>
          <w:szCs w:val="22"/>
        </w:rPr>
        <w:t>individual</w:t>
      </w:r>
      <w:r w:rsidR="003230DE" w:rsidRPr="0070556D">
        <w:rPr>
          <w:rStyle w:val="FootnoteReference"/>
          <w:szCs w:val="22"/>
        </w:rPr>
        <w:footnoteReference w:id="304"/>
      </w:r>
    </w:p>
    <w:p w:rsidR="00CB3C0D" w:rsidRPr="00CA6286" w:rsidRDefault="00CB3C0D" w:rsidP="00C07C81">
      <w:pPr>
        <w:widowControl/>
        <w:ind w:left="360" w:hanging="360"/>
        <w:rPr>
          <w:szCs w:val="22"/>
        </w:rPr>
      </w:pPr>
      <w:r w:rsidRPr="00CA6286">
        <w:rPr>
          <w:szCs w:val="22"/>
        </w:rPr>
        <w:t>•</w:t>
      </w:r>
      <w:r w:rsidR="00104F19">
        <w:rPr>
          <w:szCs w:val="22"/>
        </w:rPr>
        <w:tab/>
      </w:r>
      <w:r w:rsidRPr="00CA6286">
        <w:rPr>
          <w:szCs w:val="22"/>
        </w:rPr>
        <w:t xml:space="preserve">the name, address, telephone and </w:t>
      </w:r>
      <w:r w:rsidR="00DC24C1">
        <w:rPr>
          <w:szCs w:val="22"/>
        </w:rPr>
        <w:t>fax</w:t>
      </w:r>
      <w:r w:rsidRPr="00CA6286">
        <w:rPr>
          <w:szCs w:val="22"/>
        </w:rPr>
        <w:t xml:space="preserve"> number of a contact person who will communicate with the Commission regarding the applicant’s FCC Form 175</w:t>
      </w:r>
      <w:r w:rsidRPr="00CA6286">
        <w:rPr>
          <w:rStyle w:val="FootnoteReference"/>
          <w:szCs w:val="22"/>
        </w:rPr>
        <w:footnoteReference w:id="305"/>
      </w:r>
    </w:p>
    <w:p w:rsidR="00CB3C0D" w:rsidRPr="00CA6286" w:rsidRDefault="00CB3C0D" w:rsidP="00C07C81">
      <w:pPr>
        <w:widowControl/>
        <w:ind w:left="360" w:hanging="360"/>
        <w:rPr>
          <w:szCs w:val="22"/>
        </w:rPr>
      </w:pPr>
      <w:r w:rsidRPr="00CA6286">
        <w:rPr>
          <w:szCs w:val="22"/>
        </w:rPr>
        <w:t>•</w:t>
      </w:r>
      <w:r w:rsidR="00104F19">
        <w:rPr>
          <w:szCs w:val="22"/>
        </w:rPr>
        <w:tab/>
      </w:r>
      <w:r w:rsidRPr="00CA6286">
        <w:rPr>
          <w:szCs w:val="22"/>
        </w:rPr>
        <w:t>the names of up to three persons authorized to bid for the applicant in the auction</w:t>
      </w:r>
      <w:r w:rsidR="00463239">
        <w:rPr>
          <w:rStyle w:val="FootnoteReference"/>
          <w:szCs w:val="22"/>
        </w:rPr>
        <w:footnoteReference w:id="306"/>
      </w:r>
    </w:p>
    <w:p w:rsidR="00CB3C0D" w:rsidRPr="00CA6286" w:rsidRDefault="00CB3C0D" w:rsidP="00C07C81">
      <w:pPr>
        <w:widowControl/>
        <w:ind w:left="360" w:hanging="360"/>
        <w:rPr>
          <w:szCs w:val="22"/>
        </w:rPr>
      </w:pPr>
      <w:r w:rsidRPr="00CA6286">
        <w:rPr>
          <w:szCs w:val="22"/>
        </w:rPr>
        <w:t>•</w:t>
      </w:r>
      <w:r w:rsidR="00104F19">
        <w:rPr>
          <w:szCs w:val="22"/>
        </w:rPr>
        <w:tab/>
      </w:r>
      <w:r w:rsidRPr="00CA6286">
        <w:rPr>
          <w:szCs w:val="22"/>
        </w:rPr>
        <w:t>the applicant’s preference for electronic or telephonic bidding</w:t>
      </w:r>
    </w:p>
    <w:p w:rsidR="00CB3C0D" w:rsidRPr="00CA6286" w:rsidRDefault="00CB3C0D" w:rsidP="00C07C81">
      <w:pPr>
        <w:widowControl/>
        <w:ind w:left="360" w:hanging="360"/>
        <w:rPr>
          <w:szCs w:val="22"/>
        </w:rPr>
      </w:pPr>
      <w:r w:rsidRPr="00CA6286">
        <w:rPr>
          <w:szCs w:val="22"/>
        </w:rPr>
        <w:t>•</w:t>
      </w:r>
      <w:r w:rsidR="00104F19">
        <w:rPr>
          <w:szCs w:val="22"/>
        </w:rPr>
        <w:tab/>
      </w:r>
      <w:r w:rsidRPr="00CA6286">
        <w:rPr>
          <w:szCs w:val="22"/>
        </w:rPr>
        <w:t xml:space="preserve">whether </w:t>
      </w:r>
      <w:r w:rsidRPr="00617392">
        <w:rPr>
          <w:szCs w:val="22"/>
        </w:rPr>
        <w:t xml:space="preserve">the applicant claims </w:t>
      </w:r>
      <w:r w:rsidR="00B50615">
        <w:rPr>
          <w:szCs w:val="22"/>
        </w:rPr>
        <w:t>eligibility for certain types of</w:t>
      </w:r>
      <w:r w:rsidR="00504862">
        <w:rPr>
          <w:szCs w:val="22"/>
        </w:rPr>
        <w:t xml:space="preserve"> </w:t>
      </w:r>
      <w:r w:rsidRPr="00617392">
        <w:rPr>
          <w:szCs w:val="22"/>
        </w:rPr>
        <w:t>bidding credit</w:t>
      </w:r>
      <w:r w:rsidR="00B50615">
        <w:rPr>
          <w:szCs w:val="22"/>
        </w:rPr>
        <w:t>s</w:t>
      </w:r>
      <w:r w:rsidRPr="00617392">
        <w:rPr>
          <w:szCs w:val="22"/>
        </w:rPr>
        <w:t xml:space="preserve"> and the </w:t>
      </w:r>
      <w:r w:rsidR="00504862">
        <w:rPr>
          <w:szCs w:val="22"/>
        </w:rPr>
        <w:t>percentage</w:t>
      </w:r>
      <w:r w:rsidRPr="00617392">
        <w:rPr>
          <w:szCs w:val="22"/>
        </w:rPr>
        <w:t xml:space="preserve"> claimed</w:t>
      </w:r>
      <w:r w:rsidR="003F5843">
        <w:rPr>
          <w:rStyle w:val="FootnoteReference"/>
          <w:szCs w:val="22"/>
        </w:rPr>
        <w:footnoteReference w:id="307"/>
      </w:r>
    </w:p>
    <w:p w:rsidR="00CB3C0D" w:rsidRPr="00CA6286" w:rsidRDefault="00CB3C0D" w:rsidP="00C07C81">
      <w:pPr>
        <w:widowControl/>
        <w:rPr>
          <w:szCs w:val="22"/>
        </w:rPr>
      </w:pPr>
    </w:p>
    <w:p w:rsidR="00CB3C0D" w:rsidRPr="00CA6286" w:rsidRDefault="00CB3C0D" w:rsidP="00C07C81">
      <w:pPr>
        <w:widowControl/>
        <w:rPr>
          <w:szCs w:val="22"/>
        </w:rPr>
      </w:pPr>
      <w:r w:rsidRPr="00CA6286">
        <w:rPr>
          <w:szCs w:val="22"/>
        </w:rPr>
        <w:t>Each screen will specify the information that the applicant must provide.  Please note the following with respect to particular information requested:</w:t>
      </w:r>
    </w:p>
    <w:p w:rsidR="00CB3C0D" w:rsidRPr="00CA6286" w:rsidRDefault="00CB3C0D" w:rsidP="00C07C81">
      <w:pPr>
        <w:widowControl/>
        <w:rPr>
          <w:szCs w:val="22"/>
        </w:rPr>
      </w:pPr>
    </w:p>
    <w:p w:rsidR="00CB3C0D" w:rsidRPr="00CA6286" w:rsidRDefault="00CB3C0D" w:rsidP="00C07C81">
      <w:pPr>
        <w:widowControl/>
        <w:numPr>
          <w:ilvl w:val="0"/>
          <w:numId w:val="7"/>
        </w:numPr>
        <w:rPr>
          <w:szCs w:val="22"/>
        </w:rPr>
      </w:pPr>
      <w:r w:rsidRPr="00CA6286">
        <w:rPr>
          <w:szCs w:val="22"/>
        </w:rPr>
        <w:t>Applicants must indicate their legal classification before continuing to subsequent screens, because the legal classification will determine which subsequent screens will appear.</w:t>
      </w:r>
    </w:p>
    <w:p w:rsidR="00CB3C0D" w:rsidRPr="00CA6286" w:rsidRDefault="00CB3C0D" w:rsidP="00C07C81">
      <w:pPr>
        <w:widowControl/>
        <w:rPr>
          <w:szCs w:val="22"/>
        </w:rPr>
      </w:pPr>
    </w:p>
    <w:p w:rsidR="00CB3C0D" w:rsidRPr="00CA6286" w:rsidRDefault="00CB3C0D" w:rsidP="00C07C81">
      <w:pPr>
        <w:widowControl/>
        <w:numPr>
          <w:ilvl w:val="0"/>
          <w:numId w:val="7"/>
        </w:numPr>
        <w:rPr>
          <w:szCs w:val="22"/>
        </w:rPr>
      </w:pPr>
      <w:r w:rsidRPr="00CA6286">
        <w:rPr>
          <w:szCs w:val="22"/>
        </w:rPr>
        <w:t xml:space="preserve">P.O. Boxes may </w:t>
      </w:r>
      <w:r w:rsidRPr="00067A7A">
        <w:rPr>
          <w:b/>
          <w:szCs w:val="22"/>
        </w:rPr>
        <w:t>not</w:t>
      </w:r>
      <w:r w:rsidRPr="00CA6286">
        <w:rPr>
          <w:szCs w:val="22"/>
        </w:rPr>
        <w:t xml:space="preserve"> be used for an applicant’s address.</w:t>
      </w:r>
    </w:p>
    <w:p w:rsidR="00CB3C0D" w:rsidRPr="00CA6286" w:rsidRDefault="00CB3C0D" w:rsidP="00C07C81">
      <w:pPr>
        <w:widowControl/>
        <w:rPr>
          <w:szCs w:val="22"/>
        </w:rPr>
      </w:pPr>
    </w:p>
    <w:p w:rsidR="00CB3C0D" w:rsidRPr="00CA6286" w:rsidRDefault="00CB3C0D" w:rsidP="00C07C81">
      <w:pPr>
        <w:widowControl/>
        <w:numPr>
          <w:ilvl w:val="0"/>
          <w:numId w:val="7"/>
        </w:numPr>
        <w:rPr>
          <w:szCs w:val="22"/>
        </w:rPr>
      </w:pPr>
      <w:r w:rsidRPr="00CA6286">
        <w:rPr>
          <w:szCs w:val="22"/>
        </w:rPr>
        <w:t xml:space="preserve">To simplify filling out the FCC Form 175, an applicant that has the same address as its contact person can click on the </w:t>
      </w:r>
      <w:r w:rsidRPr="00CA6286">
        <w:rPr>
          <w:b/>
          <w:szCs w:val="22"/>
        </w:rPr>
        <w:t xml:space="preserve">COPY APPLICANT ADDRESS </w:t>
      </w:r>
      <w:r w:rsidRPr="00CA6286">
        <w:rPr>
          <w:szCs w:val="22"/>
        </w:rPr>
        <w:t xml:space="preserve">button to automatically fill in the contact person’s address.  P.O. Boxes may </w:t>
      </w:r>
      <w:r w:rsidRPr="00067A7A">
        <w:rPr>
          <w:b/>
          <w:szCs w:val="22"/>
        </w:rPr>
        <w:t>not</w:t>
      </w:r>
      <w:r w:rsidRPr="00CA6286">
        <w:rPr>
          <w:szCs w:val="22"/>
        </w:rPr>
        <w:t xml:space="preserve"> be used for a contact person’s address.  </w:t>
      </w:r>
    </w:p>
    <w:p w:rsidR="00CB3C0D" w:rsidRPr="00CA6286" w:rsidRDefault="00CB3C0D" w:rsidP="00C07C81">
      <w:pPr>
        <w:widowControl/>
        <w:rPr>
          <w:szCs w:val="22"/>
        </w:rPr>
      </w:pPr>
    </w:p>
    <w:p w:rsidR="00CB3C0D" w:rsidRPr="00CA6286" w:rsidRDefault="00CB3C0D" w:rsidP="00C07C81">
      <w:pPr>
        <w:widowControl/>
        <w:numPr>
          <w:ilvl w:val="0"/>
          <w:numId w:val="7"/>
        </w:numPr>
        <w:rPr>
          <w:szCs w:val="22"/>
        </w:rPr>
      </w:pPr>
      <w:r w:rsidRPr="00CA6286">
        <w:rPr>
          <w:szCs w:val="22"/>
        </w:rPr>
        <w:t xml:space="preserve">Applicants must identify at least one authorized bidder.  While applicants may change their authorized bidders at a later date, only those bidders listed on the FCC Form 175 will be authorized to place bids for the applicant during the auction.  </w:t>
      </w:r>
    </w:p>
    <w:p w:rsidR="00CB3C0D" w:rsidRPr="00CA6286" w:rsidRDefault="00CB3C0D" w:rsidP="00C07C81">
      <w:pPr>
        <w:widowControl/>
        <w:rPr>
          <w:szCs w:val="22"/>
        </w:rPr>
      </w:pPr>
    </w:p>
    <w:p w:rsidR="00CB3C0D" w:rsidRDefault="00CB3C0D" w:rsidP="00C07C81">
      <w:pPr>
        <w:widowControl/>
        <w:numPr>
          <w:ilvl w:val="0"/>
          <w:numId w:val="7"/>
        </w:numPr>
        <w:rPr>
          <w:szCs w:val="22"/>
        </w:rPr>
      </w:pPr>
      <w:r w:rsidRPr="00CA6286">
        <w:rPr>
          <w:szCs w:val="22"/>
        </w:rPr>
        <w:t xml:space="preserve">Any qualified bidder may bid either via the Internet or by telephone during the auction.  Specifying a preference for electronic or telephonic bidding assists the Commission in determining the staff required </w:t>
      </w:r>
      <w:r w:rsidR="00460451">
        <w:rPr>
          <w:szCs w:val="22"/>
        </w:rPr>
        <w:t xml:space="preserve">in this auction </w:t>
      </w:r>
      <w:r w:rsidRPr="00CA6286">
        <w:rPr>
          <w:szCs w:val="22"/>
        </w:rPr>
        <w:t>for telephonic bidding.</w:t>
      </w:r>
    </w:p>
    <w:p w:rsidR="00C153C7" w:rsidRDefault="00C153C7" w:rsidP="00C07C81">
      <w:pPr>
        <w:widowControl/>
        <w:rPr>
          <w:szCs w:val="22"/>
        </w:rPr>
      </w:pPr>
    </w:p>
    <w:p w:rsidR="00CB3C0D" w:rsidRPr="002774E9" w:rsidRDefault="00B50615" w:rsidP="00C07C81">
      <w:pPr>
        <w:pStyle w:val="Heading3"/>
        <w:widowControl/>
        <w:tabs>
          <w:tab w:val="num" w:pos="720"/>
        </w:tabs>
        <w:rPr>
          <w:szCs w:val="22"/>
        </w:rPr>
      </w:pPr>
      <w:bookmarkStart w:id="4739" w:name="_Toc98821040"/>
      <w:bookmarkStart w:id="4740" w:name="_Toc98846341"/>
      <w:bookmarkStart w:id="4741" w:name="_Toc98898555"/>
      <w:bookmarkStart w:id="4742" w:name="_Toc98921816"/>
      <w:bookmarkStart w:id="4743" w:name="_Toc98932989"/>
      <w:bookmarkStart w:id="4744" w:name="_Toc101858533"/>
      <w:bookmarkStart w:id="4745" w:name="_Toc109812293"/>
      <w:bookmarkStart w:id="4746" w:name="_Toc130730984"/>
      <w:bookmarkStart w:id="4747" w:name="_Toc130814212"/>
      <w:bookmarkStart w:id="4748" w:name="_Toc130814534"/>
      <w:bookmarkStart w:id="4749" w:name="_Toc130814666"/>
      <w:bookmarkStart w:id="4750" w:name="_Toc130883549"/>
      <w:bookmarkStart w:id="4751" w:name="_Toc130885660"/>
      <w:bookmarkStart w:id="4752" w:name="_Toc131844639"/>
      <w:bookmarkStart w:id="4753" w:name="_Toc148330574"/>
      <w:bookmarkStart w:id="4754" w:name="_Toc148337785"/>
      <w:bookmarkStart w:id="4755" w:name="_Toc148338110"/>
      <w:bookmarkStart w:id="4756" w:name="_Toc148339820"/>
      <w:bookmarkStart w:id="4757" w:name="_Toc148339917"/>
      <w:bookmarkStart w:id="4758" w:name="_Toc149645627"/>
      <w:bookmarkStart w:id="4759" w:name="_Toc149997930"/>
      <w:bookmarkStart w:id="4760" w:name="_Toc158180805"/>
      <w:bookmarkStart w:id="4761" w:name="_Toc158785653"/>
      <w:bookmarkStart w:id="4762" w:name="_Toc178768560"/>
      <w:bookmarkStart w:id="4763" w:name="_Toc179196001"/>
      <w:bookmarkStart w:id="4764" w:name="_Toc179361963"/>
      <w:bookmarkStart w:id="4765" w:name="_Toc179363747"/>
      <w:bookmarkStart w:id="4766" w:name="_Toc197504982"/>
      <w:bookmarkStart w:id="4767" w:name="_Toc198007763"/>
      <w:bookmarkStart w:id="4768" w:name="_Toc198007914"/>
      <w:bookmarkStart w:id="4769" w:name="_Toc198008266"/>
      <w:bookmarkStart w:id="4770" w:name="_Toc198008403"/>
      <w:bookmarkStart w:id="4771" w:name="_Toc198008950"/>
      <w:bookmarkStart w:id="4772" w:name="_Toc198369846"/>
      <w:bookmarkStart w:id="4773" w:name="_Toc216090768"/>
      <w:bookmarkStart w:id="4774" w:name="_Toc226958274"/>
      <w:bookmarkStart w:id="4775" w:name="_Toc227038334"/>
      <w:bookmarkStart w:id="4776" w:name="_Toc256669763"/>
      <w:bookmarkStart w:id="4777" w:name="_Toc257213298"/>
      <w:bookmarkStart w:id="4778" w:name="_Toc257277800"/>
      <w:bookmarkStart w:id="4779" w:name="_Toc257278761"/>
      <w:bookmarkStart w:id="4780" w:name="_Toc257278971"/>
      <w:bookmarkStart w:id="4781" w:name="_Toc257279339"/>
      <w:bookmarkStart w:id="4782" w:name="_Toc257382983"/>
      <w:bookmarkStart w:id="4783" w:name="_Toc274056240"/>
      <w:bookmarkStart w:id="4784" w:name="_Toc276657646"/>
      <w:bookmarkStart w:id="4785" w:name="_Toc278366492"/>
      <w:bookmarkStart w:id="4786" w:name="_Toc307584086"/>
      <w:bookmarkStart w:id="4787" w:name="_Toc307937360"/>
      <w:bookmarkStart w:id="4788" w:name="_Toc348508803"/>
      <w:bookmarkStart w:id="4789" w:name="_Toc362256817"/>
      <w:bookmarkStart w:id="4790" w:name="_Toc366056571"/>
      <w:bookmarkStart w:id="4791" w:name="_Toc366223773"/>
      <w:bookmarkStart w:id="4792" w:name="_Toc366229486"/>
      <w:bookmarkStart w:id="4793" w:name="_Toc366583529"/>
      <w:bookmarkStart w:id="4794" w:name="_Toc254792639"/>
      <w:r>
        <w:rPr>
          <w:szCs w:val="22"/>
        </w:rPr>
        <w:t>License</w:t>
      </w:r>
      <w:r w:rsidR="00CB3C0D" w:rsidRPr="002774E9">
        <w:rPr>
          <w:szCs w:val="22"/>
        </w:rPr>
        <w:t xml:space="preserve"> Selection</w:t>
      </w:r>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r w:rsidR="00DC24C1" w:rsidRPr="002774E9">
        <w:rPr>
          <w:szCs w:val="22"/>
        </w:rPr>
        <w:t xml:space="preserve">  </w:t>
      </w:r>
      <w:bookmarkEnd w:id="4794"/>
    </w:p>
    <w:p w:rsidR="00584C4F" w:rsidRDefault="00CB3C0D" w:rsidP="00C07C81">
      <w:pPr>
        <w:widowControl/>
        <w:rPr>
          <w:szCs w:val="22"/>
        </w:rPr>
      </w:pPr>
      <w:r w:rsidRPr="002774E9">
        <w:rPr>
          <w:szCs w:val="22"/>
        </w:rPr>
        <w:t xml:space="preserve">The </w:t>
      </w:r>
      <w:r w:rsidR="00B50615">
        <w:rPr>
          <w:i/>
          <w:szCs w:val="22"/>
        </w:rPr>
        <w:t xml:space="preserve">License </w:t>
      </w:r>
      <w:r w:rsidRPr="002774E9">
        <w:rPr>
          <w:i/>
          <w:szCs w:val="22"/>
        </w:rPr>
        <w:t>Selection</w:t>
      </w:r>
      <w:r w:rsidRPr="002774E9">
        <w:rPr>
          <w:szCs w:val="22"/>
        </w:rPr>
        <w:t xml:space="preserve"> screens make up the second series of screens in FCC Form 175.  </w:t>
      </w:r>
      <w:r w:rsidR="002321F9">
        <w:rPr>
          <w:szCs w:val="22"/>
        </w:rPr>
        <w:t>In t</w:t>
      </w:r>
      <w:r w:rsidRPr="002774E9">
        <w:rPr>
          <w:szCs w:val="22"/>
        </w:rPr>
        <w:t>h</w:t>
      </w:r>
      <w:r w:rsidR="0010666C">
        <w:rPr>
          <w:szCs w:val="22"/>
        </w:rPr>
        <w:t>es</w:t>
      </w:r>
      <w:r w:rsidRPr="002774E9">
        <w:rPr>
          <w:szCs w:val="22"/>
        </w:rPr>
        <w:t>e screens</w:t>
      </w:r>
      <w:r w:rsidR="002321F9">
        <w:rPr>
          <w:szCs w:val="22"/>
        </w:rPr>
        <w:t xml:space="preserve">, </w:t>
      </w:r>
      <w:r w:rsidR="002321F9" w:rsidRPr="00CA6286">
        <w:rPr>
          <w:szCs w:val="22"/>
        </w:rPr>
        <w:t xml:space="preserve">the applicant will identify the </w:t>
      </w:r>
      <w:r w:rsidR="00B50615">
        <w:rPr>
          <w:szCs w:val="22"/>
        </w:rPr>
        <w:t>licenses</w:t>
      </w:r>
      <w:r w:rsidR="002321F9" w:rsidRPr="00CA6286">
        <w:rPr>
          <w:szCs w:val="22"/>
        </w:rPr>
        <w:t xml:space="preserve"> offered on which the</w:t>
      </w:r>
      <w:r w:rsidR="0010666C">
        <w:rPr>
          <w:szCs w:val="22"/>
        </w:rPr>
        <w:t>y</w:t>
      </w:r>
      <w:r w:rsidR="002321F9" w:rsidRPr="00CA6286">
        <w:rPr>
          <w:szCs w:val="22"/>
        </w:rPr>
        <w:t xml:space="preserve"> may wish</w:t>
      </w:r>
      <w:r w:rsidR="00067A7A" w:rsidRPr="002774E9">
        <w:rPr>
          <w:szCs w:val="22"/>
        </w:rPr>
        <w:t xml:space="preserve"> </w:t>
      </w:r>
      <w:r w:rsidRPr="002774E9">
        <w:rPr>
          <w:szCs w:val="22"/>
        </w:rPr>
        <w:t xml:space="preserve">to bid during the auction.  </w:t>
      </w:r>
      <w:r w:rsidR="002321F9" w:rsidRPr="00CA6286">
        <w:rPr>
          <w:szCs w:val="22"/>
        </w:rPr>
        <w:t xml:space="preserve">While an applicant is not obligated to bid on all </w:t>
      </w:r>
      <w:r w:rsidR="00B50615">
        <w:rPr>
          <w:szCs w:val="22"/>
        </w:rPr>
        <w:t>licenses</w:t>
      </w:r>
      <w:r w:rsidR="002321F9" w:rsidRPr="00CA6286">
        <w:rPr>
          <w:szCs w:val="22"/>
        </w:rPr>
        <w:t xml:space="preserve"> that it selects, it will not be able to bid on </w:t>
      </w:r>
      <w:r w:rsidR="00B50615">
        <w:rPr>
          <w:szCs w:val="22"/>
        </w:rPr>
        <w:t>licenses</w:t>
      </w:r>
      <w:r w:rsidR="002321F9" w:rsidRPr="00CA6286">
        <w:rPr>
          <w:szCs w:val="22"/>
        </w:rPr>
        <w:t xml:space="preserve"> that it has not selected on its FCC Form 175.</w:t>
      </w:r>
      <w:r w:rsidR="002321F9" w:rsidRPr="00CA6286">
        <w:rPr>
          <w:rStyle w:val="FootnoteReference"/>
          <w:szCs w:val="22"/>
        </w:rPr>
        <w:footnoteReference w:id="308"/>
      </w:r>
      <w:r w:rsidR="002321F9" w:rsidRPr="00CA6286">
        <w:rPr>
          <w:szCs w:val="22"/>
        </w:rPr>
        <w:t xml:space="preserve">  Be advised that there is no opportunity to change this list after </w:t>
      </w:r>
      <w:r w:rsidR="002321F9" w:rsidRPr="001F60FA">
        <w:rPr>
          <w:szCs w:val="22"/>
        </w:rPr>
        <w:t>the short-form application filing deadline</w:t>
      </w:r>
      <w:r w:rsidRPr="002774E9">
        <w:rPr>
          <w:szCs w:val="22"/>
        </w:rPr>
        <w:t>.</w:t>
      </w:r>
    </w:p>
    <w:p w:rsidR="002321F9" w:rsidRDefault="002321F9" w:rsidP="00C07C81">
      <w:pPr>
        <w:widowControl/>
        <w:rPr>
          <w:szCs w:val="22"/>
        </w:rPr>
      </w:pPr>
    </w:p>
    <w:p w:rsidR="002321F9" w:rsidRDefault="002321F9" w:rsidP="00C07C81">
      <w:pPr>
        <w:widowControl/>
        <w:rPr>
          <w:bCs/>
          <w:iCs/>
          <w:szCs w:val="22"/>
        </w:rPr>
      </w:pPr>
      <w:r w:rsidRPr="00CA6286">
        <w:rPr>
          <w:szCs w:val="22"/>
        </w:rPr>
        <w:t xml:space="preserve">To participate in an auction, applicants must select at least one </w:t>
      </w:r>
      <w:r w:rsidR="00B50615">
        <w:rPr>
          <w:szCs w:val="22"/>
        </w:rPr>
        <w:t>license</w:t>
      </w:r>
      <w:r w:rsidRPr="00CA6286">
        <w:rPr>
          <w:szCs w:val="22"/>
        </w:rPr>
        <w:t>.</w:t>
      </w:r>
      <w:r>
        <w:rPr>
          <w:szCs w:val="22"/>
        </w:rPr>
        <w:t xml:space="preserve"> </w:t>
      </w:r>
      <w:r w:rsidRPr="00CA6286">
        <w:rPr>
          <w:szCs w:val="22"/>
        </w:rPr>
        <w:t xml:space="preserve"> Until a </w:t>
      </w:r>
      <w:r w:rsidR="00B50615">
        <w:rPr>
          <w:szCs w:val="22"/>
        </w:rPr>
        <w:t>license</w:t>
      </w:r>
      <w:r w:rsidR="0010666C">
        <w:rPr>
          <w:szCs w:val="22"/>
        </w:rPr>
        <w:t xml:space="preserve"> is selected</w:t>
      </w:r>
      <w:r w:rsidRPr="00CA6286">
        <w:rPr>
          <w:szCs w:val="22"/>
        </w:rPr>
        <w:t xml:space="preserve">, the applicant cannot submit the FCC Form 175.  An applicant’s </w:t>
      </w:r>
      <w:r w:rsidR="00B50615">
        <w:rPr>
          <w:bCs/>
          <w:iCs/>
          <w:szCs w:val="22"/>
        </w:rPr>
        <w:t>lice</w:t>
      </w:r>
      <w:r w:rsidR="00FF2C33">
        <w:rPr>
          <w:bCs/>
          <w:iCs/>
          <w:szCs w:val="22"/>
        </w:rPr>
        <w:t>n</w:t>
      </w:r>
      <w:r w:rsidR="00B50615">
        <w:rPr>
          <w:bCs/>
          <w:iCs/>
          <w:szCs w:val="22"/>
        </w:rPr>
        <w:t>se</w:t>
      </w:r>
      <w:r w:rsidRPr="00CA6286">
        <w:rPr>
          <w:bCs/>
          <w:iCs/>
          <w:szCs w:val="22"/>
        </w:rPr>
        <w:t xml:space="preserve"> selections cannot be changed after the initial filing window has closed.  Therefore, during the initial filing window it is important to carefully review </w:t>
      </w:r>
      <w:r w:rsidR="0010666C">
        <w:rPr>
          <w:bCs/>
          <w:iCs/>
          <w:szCs w:val="22"/>
        </w:rPr>
        <w:t xml:space="preserve">the </w:t>
      </w:r>
      <w:r w:rsidR="00B50615">
        <w:rPr>
          <w:bCs/>
          <w:iCs/>
          <w:szCs w:val="22"/>
        </w:rPr>
        <w:t>license</w:t>
      </w:r>
      <w:r w:rsidRPr="00CA6286">
        <w:rPr>
          <w:bCs/>
          <w:iCs/>
          <w:szCs w:val="22"/>
        </w:rPr>
        <w:t xml:space="preserve"> selections to make sure all </w:t>
      </w:r>
      <w:r w:rsidR="00B50615">
        <w:rPr>
          <w:bCs/>
          <w:iCs/>
          <w:szCs w:val="22"/>
        </w:rPr>
        <w:t>licenses</w:t>
      </w:r>
      <w:r w:rsidRPr="00CA6286">
        <w:rPr>
          <w:bCs/>
          <w:iCs/>
          <w:szCs w:val="22"/>
        </w:rPr>
        <w:t xml:space="preserve"> on which the applicant may wish to bid have been selected</w:t>
      </w:r>
      <w:r>
        <w:rPr>
          <w:bCs/>
          <w:iCs/>
          <w:szCs w:val="22"/>
        </w:rPr>
        <w:t>.</w:t>
      </w:r>
    </w:p>
    <w:p w:rsidR="002321F9" w:rsidRDefault="002321F9" w:rsidP="00C07C81">
      <w:pPr>
        <w:widowControl/>
        <w:rPr>
          <w:bCs/>
          <w:iCs/>
          <w:szCs w:val="22"/>
        </w:rPr>
      </w:pPr>
    </w:p>
    <w:p w:rsidR="002321F9" w:rsidRDefault="002321F9" w:rsidP="00C07C81">
      <w:pPr>
        <w:widowControl/>
        <w:rPr>
          <w:szCs w:val="22"/>
        </w:rPr>
      </w:pPr>
      <w:r w:rsidRPr="00CA6286">
        <w:rPr>
          <w:szCs w:val="22"/>
        </w:rPr>
        <w:t xml:space="preserve">The </w:t>
      </w:r>
      <w:r w:rsidR="00FF2C33">
        <w:rPr>
          <w:i/>
          <w:szCs w:val="22"/>
        </w:rPr>
        <w:t>License</w:t>
      </w:r>
      <w:r w:rsidRPr="00CA6286">
        <w:rPr>
          <w:i/>
          <w:szCs w:val="22"/>
        </w:rPr>
        <w:t xml:space="preserve"> Selection</w:t>
      </w:r>
      <w:r w:rsidRPr="00CA6286">
        <w:rPr>
          <w:szCs w:val="22"/>
        </w:rPr>
        <w:t xml:space="preserve"> screens contain a list of all available </w:t>
      </w:r>
      <w:r w:rsidR="00FF2C33">
        <w:rPr>
          <w:szCs w:val="22"/>
        </w:rPr>
        <w:t>licenses</w:t>
      </w:r>
      <w:r w:rsidRPr="00CA6286">
        <w:rPr>
          <w:szCs w:val="22"/>
        </w:rPr>
        <w:t xml:space="preserve"> in </w:t>
      </w:r>
      <w:r>
        <w:rPr>
          <w:szCs w:val="22"/>
        </w:rPr>
        <w:t>the a</w:t>
      </w:r>
      <w:r w:rsidRPr="00CA6286">
        <w:rPr>
          <w:szCs w:val="22"/>
        </w:rPr>
        <w:t>uction.  Applicants can navigate within th</w:t>
      </w:r>
      <w:r w:rsidR="0010666C">
        <w:rPr>
          <w:szCs w:val="22"/>
        </w:rPr>
        <w:t xml:space="preserve">is </w:t>
      </w:r>
      <w:r w:rsidRPr="00CA6286">
        <w:rPr>
          <w:szCs w:val="22"/>
        </w:rPr>
        <w:t xml:space="preserve">screen by selecting the individual page links or the “Previous” and “Next” buttons above and below the list of available </w:t>
      </w:r>
      <w:r w:rsidR="00FF2C33">
        <w:rPr>
          <w:szCs w:val="22"/>
        </w:rPr>
        <w:t>licenses</w:t>
      </w:r>
      <w:r w:rsidRPr="00CA6286">
        <w:rPr>
          <w:szCs w:val="22"/>
        </w:rPr>
        <w:t xml:space="preserve">.   </w:t>
      </w:r>
      <w:r w:rsidR="00060BC1">
        <w:rPr>
          <w:szCs w:val="22"/>
        </w:rPr>
        <w:t>L</w:t>
      </w:r>
      <w:r w:rsidR="00FF2C33">
        <w:rPr>
          <w:szCs w:val="22"/>
        </w:rPr>
        <w:t>icenses</w:t>
      </w:r>
      <w:r w:rsidRPr="00CA6286">
        <w:rPr>
          <w:szCs w:val="22"/>
        </w:rPr>
        <w:t xml:space="preserve"> can be selected by </w:t>
      </w:r>
      <w:r>
        <w:rPr>
          <w:szCs w:val="22"/>
        </w:rPr>
        <w:t>(</w:t>
      </w:r>
      <w:r w:rsidRPr="00CA6286">
        <w:rPr>
          <w:szCs w:val="22"/>
        </w:rPr>
        <w:t xml:space="preserve">1) clicking the check box next to the </w:t>
      </w:r>
      <w:r w:rsidR="00FF2C33">
        <w:rPr>
          <w:szCs w:val="22"/>
        </w:rPr>
        <w:t>license</w:t>
      </w:r>
      <w:r w:rsidRPr="00CA6286">
        <w:rPr>
          <w:szCs w:val="22"/>
        </w:rPr>
        <w:t xml:space="preserve"> name, then selecting the “Save Selected Items” button; </w:t>
      </w:r>
      <w:r w:rsidR="00060BC1">
        <w:rPr>
          <w:szCs w:val="22"/>
        </w:rPr>
        <w:t xml:space="preserve">and </w:t>
      </w:r>
      <w:r>
        <w:rPr>
          <w:szCs w:val="22"/>
        </w:rPr>
        <w:t>(</w:t>
      </w:r>
      <w:r w:rsidRPr="00CA6286">
        <w:rPr>
          <w:szCs w:val="22"/>
        </w:rPr>
        <w:t xml:space="preserve">2) clicking the “Save All Items” button to save all available </w:t>
      </w:r>
      <w:r w:rsidR="00FF2C33">
        <w:rPr>
          <w:szCs w:val="22"/>
        </w:rPr>
        <w:t>licenses</w:t>
      </w:r>
      <w:r w:rsidRPr="00CA6286">
        <w:rPr>
          <w:szCs w:val="22"/>
        </w:rPr>
        <w:t>.</w:t>
      </w:r>
      <w:r>
        <w:rPr>
          <w:szCs w:val="22"/>
        </w:rPr>
        <w:t xml:space="preserve">  Once the applicant has successfully saved a </w:t>
      </w:r>
      <w:r w:rsidR="00FF2C33">
        <w:rPr>
          <w:szCs w:val="22"/>
        </w:rPr>
        <w:t>license</w:t>
      </w:r>
      <w:r>
        <w:rPr>
          <w:szCs w:val="22"/>
        </w:rPr>
        <w:t xml:space="preserve">, the word “Saved” will appear next to the </w:t>
      </w:r>
      <w:r w:rsidR="00FF2C33">
        <w:rPr>
          <w:szCs w:val="22"/>
        </w:rPr>
        <w:t>license</w:t>
      </w:r>
      <w:r>
        <w:rPr>
          <w:szCs w:val="22"/>
        </w:rPr>
        <w:t xml:space="preserve"> name to confirm i</w:t>
      </w:r>
      <w:r w:rsidR="00E3240D">
        <w:rPr>
          <w:szCs w:val="22"/>
        </w:rPr>
        <w:t>t</w:t>
      </w:r>
      <w:r>
        <w:rPr>
          <w:szCs w:val="22"/>
        </w:rPr>
        <w:t xml:space="preserve"> has been saved with the application.</w:t>
      </w:r>
    </w:p>
    <w:p w:rsidR="002321F9" w:rsidRDefault="002321F9" w:rsidP="00C07C81">
      <w:pPr>
        <w:widowControl/>
        <w:rPr>
          <w:szCs w:val="22"/>
        </w:rPr>
      </w:pPr>
    </w:p>
    <w:p w:rsidR="002321F9" w:rsidRDefault="00FF2C33" w:rsidP="00C07C81">
      <w:pPr>
        <w:widowControl/>
        <w:rPr>
          <w:szCs w:val="22"/>
        </w:rPr>
      </w:pPr>
      <w:r>
        <w:rPr>
          <w:szCs w:val="22"/>
        </w:rPr>
        <w:t>Licenses</w:t>
      </w:r>
      <w:r w:rsidR="002321F9" w:rsidRPr="00CA6286">
        <w:rPr>
          <w:szCs w:val="22"/>
        </w:rPr>
        <w:t xml:space="preserve"> can be removed by </w:t>
      </w:r>
      <w:r w:rsidR="002321F9">
        <w:rPr>
          <w:szCs w:val="22"/>
        </w:rPr>
        <w:t>(</w:t>
      </w:r>
      <w:r w:rsidR="002321F9" w:rsidRPr="00CA6286">
        <w:rPr>
          <w:szCs w:val="22"/>
        </w:rPr>
        <w:t xml:space="preserve">1) clicking the check box (to uncheck) next to a previously saved </w:t>
      </w:r>
      <w:r>
        <w:rPr>
          <w:szCs w:val="22"/>
        </w:rPr>
        <w:t>license</w:t>
      </w:r>
      <w:r w:rsidR="002321F9" w:rsidRPr="00CA6286">
        <w:rPr>
          <w:szCs w:val="22"/>
        </w:rPr>
        <w:t xml:space="preserve">, then selecting the “Remove Selected Items” button; </w:t>
      </w:r>
      <w:r w:rsidR="00BD4C05">
        <w:rPr>
          <w:szCs w:val="22"/>
        </w:rPr>
        <w:t xml:space="preserve">and </w:t>
      </w:r>
      <w:r w:rsidR="002321F9">
        <w:rPr>
          <w:szCs w:val="22"/>
        </w:rPr>
        <w:t>(</w:t>
      </w:r>
      <w:r w:rsidR="002321F9" w:rsidRPr="00CA6286">
        <w:rPr>
          <w:szCs w:val="22"/>
        </w:rPr>
        <w:t>2) clicking the “</w:t>
      </w:r>
      <w:r w:rsidR="002321F9" w:rsidRPr="00CA6286">
        <w:rPr>
          <w:rStyle w:val="Strong"/>
          <w:b w:val="0"/>
          <w:szCs w:val="22"/>
        </w:rPr>
        <w:t>Remove All Items”</w:t>
      </w:r>
      <w:r w:rsidR="002321F9" w:rsidRPr="00CA6286">
        <w:rPr>
          <w:szCs w:val="22"/>
        </w:rPr>
        <w:t xml:space="preserve"> button to remove all previously saved </w:t>
      </w:r>
      <w:r>
        <w:rPr>
          <w:szCs w:val="22"/>
        </w:rPr>
        <w:t>licenses</w:t>
      </w:r>
      <w:r w:rsidR="002321F9" w:rsidRPr="00CA6286">
        <w:rPr>
          <w:szCs w:val="22"/>
        </w:rPr>
        <w:t xml:space="preserve">.  Removed </w:t>
      </w:r>
      <w:r>
        <w:rPr>
          <w:szCs w:val="22"/>
        </w:rPr>
        <w:t>licenses</w:t>
      </w:r>
      <w:r w:rsidR="002321F9" w:rsidRPr="00CA6286">
        <w:rPr>
          <w:szCs w:val="22"/>
        </w:rPr>
        <w:t xml:space="preserve"> will not have the word “Saved” next to the </w:t>
      </w:r>
      <w:r>
        <w:rPr>
          <w:szCs w:val="22"/>
        </w:rPr>
        <w:t>license</w:t>
      </w:r>
      <w:r w:rsidR="002321F9" w:rsidRPr="00CA6286">
        <w:rPr>
          <w:szCs w:val="22"/>
        </w:rPr>
        <w:t xml:space="preserve"> name</w:t>
      </w:r>
      <w:r w:rsidR="002321F9">
        <w:rPr>
          <w:szCs w:val="22"/>
        </w:rPr>
        <w:t>.</w:t>
      </w:r>
    </w:p>
    <w:p w:rsidR="002321F9" w:rsidRDefault="002321F9" w:rsidP="00C07C81">
      <w:pPr>
        <w:widowControl/>
        <w:rPr>
          <w:szCs w:val="22"/>
        </w:rPr>
      </w:pPr>
    </w:p>
    <w:p w:rsidR="002321F9" w:rsidRDefault="002321F9" w:rsidP="00C07C81">
      <w:pPr>
        <w:widowControl/>
        <w:rPr>
          <w:szCs w:val="22"/>
        </w:rPr>
      </w:pPr>
      <w:r w:rsidRPr="00CA6286">
        <w:rPr>
          <w:szCs w:val="22"/>
        </w:rPr>
        <w:t xml:space="preserve">Applicants may view all saved </w:t>
      </w:r>
      <w:r w:rsidR="00FF2C33">
        <w:rPr>
          <w:szCs w:val="22"/>
        </w:rPr>
        <w:t>licenses</w:t>
      </w:r>
      <w:r w:rsidRPr="00CA6286">
        <w:rPr>
          <w:szCs w:val="22"/>
        </w:rPr>
        <w:t xml:space="preserve"> by either clicking the </w:t>
      </w:r>
      <w:r w:rsidRPr="00CA6286">
        <w:rPr>
          <w:b/>
          <w:szCs w:val="22"/>
        </w:rPr>
        <w:t>Edit Icon</w:t>
      </w:r>
      <w:r w:rsidRPr="00CA6286">
        <w:rPr>
          <w:szCs w:val="22"/>
        </w:rPr>
        <w:t xml:space="preserve"> next to “View Saved Items” at the top-right corner of the list, or by clicking the “CONTINUE” button at the bottom of the page</w:t>
      </w:r>
      <w:r>
        <w:rPr>
          <w:szCs w:val="22"/>
        </w:rPr>
        <w:t>.</w:t>
      </w:r>
    </w:p>
    <w:p w:rsidR="002321F9" w:rsidRDefault="002321F9" w:rsidP="00C07C81">
      <w:pPr>
        <w:widowControl/>
        <w:rPr>
          <w:szCs w:val="22"/>
        </w:rPr>
      </w:pPr>
    </w:p>
    <w:p w:rsidR="002321F9" w:rsidRDefault="002321F9" w:rsidP="00C07C81">
      <w:pPr>
        <w:widowControl/>
        <w:rPr>
          <w:szCs w:val="22"/>
        </w:rPr>
      </w:pPr>
      <w:r w:rsidRPr="00CA6286">
        <w:rPr>
          <w:szCs w:val="22"/>
        </w:rPr>
        <w:t xml:space="preserve">Once </w:t>
      </w:r>
      <w:r w:rsidR="00FF2C33">
        <w:rPr>
          <w:szCs w:val="22"/>
        </w:rPr>
        <w:t>licenses</w:t>
      </w:r>
      <w:r w:rsidRPr="00CA6286">
        <w:rPr>
          <w:szCs w:val="22"/>
        </w:rPr>
        <w:t xml:space="preserve"> have been saved, the </w:t>
      </w:r>
      <w:r w:rsidRPr="00CA6286">
        <w:rPr>
          <w:i/>
          <w:szCs w:val="22"/>
        </w:rPr>
        <w:t xml:space="preserve">View/Edit </w:t>
      </w:r>
      <w:r w:rsidR="00FF2C33">
        <w:rPr>
          <w:i/>
          <w:szCs w:val="22"/>
        </w:rPr>
        <w:t>License</w:t>
      </w:r>
      <w:r w:rsidRPr="00CA6286">
        <w:rPr>
          <w:i/>
          <w:szCs w:val="22"/>
        </w:rPr>
        <w:t xml:space="preserve"> Selections </w:t>
      </w:r>
      <w:r w:rsidRPr="00CA6286">
        <w:rPr>
          <w:szCs w:val="22"/>
        </w:rPr>
        <w:t xml:space="preserve">screen will be the first screen displayed when navigating to the </w:t>
      </w:r>
      <w:r w:rsidR="00FF2C33">
        <w:rPr>
          <w:szCs w:val="22"/>
        </w:rPr>
        <w:t>License</w:t>
      </w:r>
      <w:r w:rsidRPr="00CA6286">
        <w:rPr>
          <w:szCs w:val="22"/>
        </w:rPr>
        <w:t xml:space="preserve"> Selection step.  This screen lists all </w:t>
      </w:r>
      <w:r w:rsidR="00FF2C33">
        <w:rPr>
          <w:szCs w:val="22"/>
        </w:rPr>
        <w:t>licenses</w:t>
      </w:r>
      <w:r w:rsidRPr="00CA6286">
        <w:rPr>
          <w:szCs w:val="22"/>
        </w:rPr>
        <w:t xml:space="preserve"> the applicant has selected and saved for the auction.  To select a new </w:t>
      </w:r>
      <w:r w:rsidR="00FF2C33">
        <w:rPr>
          <w:szCs w:val="22"/>
        </w:rPr>
        <w:t>license</w:t>
      </w:r>
      <w:r w:rsidRPr="00CA6286">
        <w:rPr>
          <w:szCs w:val="22"/>
        </w:rPr>
        <w:t xml:space="preserve"> or remove a previously selected </w:t>
      </w:r>
      <w:r w:rsidR="00FF2C33">
        <w:rPr>
          <w:szCs w:val="22"/>
        </w:rPr>
        <w:t>license</w:t>
      </w:r>
      <w:r w:rsidRPr="00CA6286">
        <w:rPr>
          <w:szCs w:val="22"/>
        </w:rPr>
        <w:t xml:space="preserve">, </w:t>
      </w:r>
      <w:r>
        <w:rPr>
          <w:szCs w:val="22"/>
        </w:rPr>
        <w:t xml:space="preserve">an applicant can </w:t>
      </w:r>
      <w:r w:rsidRPr="00CA6286">
        <w:rPr>
          <w:szCs w:val="22"/>
        </w:rPr>
        <w:t xml:space="preserve">click the </w:t>
      </w:r>
      <w:r w:rsidRPr="00CA6286">
        <w:rPr>
          <w:rStyle w:val="Strong"/>
          <w:szCs w:val="22"/>
        </w:rPr>
        <w:t xml:space="preserve">Edit Icon </w:t>
      </w:r>
      <w:r w:rsidRPr="00CA6286">
        <w:rPr>
          <w:rStyle w:val="Strong"/>
          <w:b w:val="0"/>
          <w:szCs w:val="22"/>
        </w:rPr>
        <w:t xml:space="preserve">next to “Return to </w:t>
      </w:r>
      <w:r w:rsidR="00FF2C33">
        <w:rPr>
          <w:rStyle w:val="Strong"/>
          <w:b w:val="0"/>
          <w:szCs w:val="22"/>
        </w:rPr>
        <w:t>License</w:t>
      </w:r>
      <w:r w:rsidRPr="00CA6286">
        <w:rPr>
          <w:rStyle w:val="Strong"/>
          <w:b w:val="0"/>
          <w:szCs w:val="22"/>
        </w:rPr>
        <w:t xml:space="preserve"> Selection”</w:t>
      </w:r>
      <w:r w:rsidRPr="00CA6286">
        <w:rPr>
          <w:rStyle w:val="Strong"/>
          <w:szCs w:val="22"/>
        </w:rPr>
        <w:t xml:space="preserve"> </w:t>
      </w:r>
      <w:r w:rsidRPr="00CA6286">
        <w:rPr>
          <w:szCs w:val="22"/>
        </w:rPr>
        <w:t>at the top-right corner of the list</w:t>
      </w:r>
      <w:r>
        <w:rPr>
          <w:szCs w:val="22"/>
        </w:rPr>
        <w:t xml:space="preserve">, which will return it </w:t>
      </w:r>
      <w:r w:rsidRPr="00CA6286">
        <w:rPr>
          <w:szCs w:val="22"/>
        </w:rPr>
        <w:t xml:space="preserve">to the original </w:t>
      </w:r>
      <w:r w:rsidRPr="00CA6286">
        <w:rPr>
          <w:i/>
          <w:szCs w:val="22"/>
        </w:rPr>
        <w:t xml:space="preserve">Select </w:t>
      </w:r>
      <w:r w:rsidR="00FF2C33">
        <w:rPr>
          <w:i/>
          <w:szCs w:val="22"/>
        </w:rPr>
        <w:t>Licenses</w:t>
      </w:r>
      <w:r w:rsidRPr="00CA6286">
        <w:rPr>
          <w:i/>
          <w:szCs w:val="22"/>
        </w:rPr>
        <w:t xml:space="preserve"> </w:t>
      </w:r>
      <w:r w:rsidRPr="00CA6286">
        <w:rPr>
          <w:szCs w:val="22"/>
        </w:rPr>
        <w:t>screen, as described above.</w:t>
      </w:r>
    </w:p>
    <w:p w:rsidR="002321F9" w:rsidRDefault="002321F9" w:rsidP="00C07C81">
      <w:pPr>
        <w:widowControl/>
        <w:rPr>
          <w:szCs w:val="22"/>
        </w:rPr>
      </w:pPr>
    </w:p>
    <w:p w:rsidR="00CB3C0D" w:rsidRPr="001C2E9C" w:rsidRDefault="00CB3C0D" w:rsidP="00C07C81">
      <w:pPr>
        <w:pStyle w:val="Heading3"/>
        <w:widowControl/>
        <w:tabs>
          <w:tab w:val="num" w:pos="720"/>
        </w:tabs>
        <w:rPr>
          <w:szCs w:val="22"/>
        </w:rPr>
      </w:pPr>
      <w:bookmarkStart w:id="4795" w:name="_Toc179361964"/>
      <w:bookmarkStart w:id="4796" w:name="_Toc179363748"/>
      <w:bookmarkStart w:id="4797" w:name="_Toc98821041"/>
      <w:bookmarkStart w:id="4798" w:name="_Toc98846342"/>
      <w:bookmarkStart w:id="4799" w:name="_Toc98898556"/>
      <w:bookmarkStart w:id="4800" w:name="_Toc98921817"/>
      <w:bookmarkStart w:id="4801" w:name="_Toc98932990"/>
      <w:bookmarkStart w:id="4802" w:name="_Toc101858534"/>
      <w:bookmarkStart w:id="4803" w:name="_Toc109812294"/>
      <w:bookmarkStart w:id="4804" w:name="_Toc130730985"/>
      <w:bookmarkStart w:id="4805" w:name="_Toc130814213"/>
      <w:bookmarkStart w:id="4806" w:name="_Toc130814535"/>
      <w:bookmarkStart w:id="4807" w:name="_Toc130814667"/>
      <w:bookmarkStart w:id="4808" w:name="_Toc130883550"/>
      <w:bookmarkStart w:id="4809" w:name="_Toc130885661"/>
      <w:bookmarkStart w:id="4810" w:name="_Toc131844640"/>
      <w:bookmarkStart w:id="4811" w:name="_Toc148330575"/>
      <w:bookmarkStart w:id="4812" w:name="_Toc148337786"/>
      <w:bookmarkStart w:id="4813" w:name="_Toc148338111"/>
      <w:bookmarkStart w:id="4814" w:name="_Toc148339821"/>
      <w:bookmarkStart w:id="4815" w:name="_Toc148339918"/>
      <w:bookmarkStart w:id="4816" w:name="_Toc149645628"/>
      <w:bookmarkStart w:id="4817" w:name="_Toc149997931"/>
      <w:bookmarkStart w:id="4818" w:name="_Toc158180806"/>
      <w:bookmarkStart w:id="4819" w:name="_Toc158785654"/>
      <w:bookmarkStart w:id="4820" w:name="_Toc178768561"/>
      <w:bookmarkStart w:id="4821" w:name="_Toc179196002"/>
      <w:bookmarkStart w:id="4822" w:name="_Toc179361965"/>
      <w:bookmarkStart w:id="4823" w:name="_Toc179363749"/>
      <w:bookmarkStart w:id="4824" w:name="_Toc197504983"/>
      <w:bookmarkStart w:id="4825" w:name="_Toc198007764"/>
      <w:bookmarkStart w:id="4826" w:name="_Toc198007915"/>
      <w:bookmarkStart w:id="4827" w:name="_Toc198008267"/>
      <w:bookmarkStart w:id="4828" w:name="_Toc198008404"/>
      <w:bookmarkStart w:id="4829" w:name="_Toc198008951"/>
      <w:bookmarkStart w:id="4830" w:name="_Toc198369847"/>
      <w:bookmarkStart w:id="4831" w:name="_Toc216090770"/>
      <w:bookmarkStart w:id="4832" w:name="_Toc226958276"/>
      <w:bookmarkStart w:id="4833" w:name="_Toc227038336"/>
      <w:bookmarkStart w:id="4834" w:name="_Toc254792641"/>
      <w:bookmarkStart w:id="4835" w:name="_Toc256669765"/>
      <w:bookmarkStart w:id="4836" w:name="_Toc257213300"/>
      <w:bookmarkStart w:id="4837" w:name="_Toc257277802"/>
      <w:bookmarkStart w:id="4838" w:name="_Toc257278763"/>
      <w:bookmarkStart w:id="4839" w:name="_Toc257278973"/>
      <w:bookmarkStart w:id="4840" w:name="_Toc257279341"/>
      <w:bookmarkStart w:id="4841" w:name="_Toc257382985"/>
      <w:bookmarkStart w:id="4842" w:name="_Toc274056242"/>
      <w:bookmarkStart w:id="4843" w:name="_Toc276657648"/>
      <w:bookmarkStart w:id="4844" w:name="_Toc278366494"/>
      <w:bookmarkStart w:id="4845" w:name="_Toc307584088"/>
      <w:bookmarkStart w:id="4846" w:name="_Toc307937362"/>
      <w:bookmarkStart w:id="4847" w:name="_Toc348508804"/>
      <w:bookmarkStart w:id="4848" w:name="_Toc362256818"/>
      <w:bookmarkStart w:id="4849" w:name="_Toc366056572"/>
      <w:bookmarkStart w:id="4850" w:name="_Toc366223774"/>
      <w:bookmarkStart w:id="4851" w:name="_Toc366229487"/>
      <w:bookmarkStart w:id="4852" w:name="_Toc366583530"/>
      <w:bookmarkEnd w:id="4795"/>
      <w:bookmarkEnd w:id="4796"/>
      <w:r w:rsidRPr="001C2E9C">
        <w:rPr>
          <w:szCs w:val="22"/>
        </w:rPr>
        <w:t>Agreements</w:t>
      </w:r>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p>
    <w:p w:rsidR="00CB3C0D" w:rsidRPr="00CA6286" w:rsidRDefault="00CB3C0D" w:rsidP="00C07C81">
      <w:pPr>
        <w:widowControl/>
        <w:rPr>
          <w:szCs w:val="22"/>
        </w:rPr>
      </w:pPr>
      <w:r w:rsidRPr="00CA6286">
        <w:rPr>
          <w:szCs w:val="22"/>
        </w:rPr>
        <w:t xml:space="preserve">The </w:t>
      </w:r>
      <w:r w:rsidRPr="00CA6286">
        <w:rPr>
          <w:i/>
          <w:szCs w:val="22"/>
        </w:rPr>
        <w:t>Agreements</w:t>
      </w:r>
      <w:r w:rsidRPr="00CA6286">
        <w:rPr>
          <w:szCs w:val="22"/>
        </w:rPr>
        <w:t xml:space="preserve"> screens are </w:t>
      </w:r>
      <w:r w:rsidRPr="00713BE8">
        <w:rPr>
          <w:szCs w:val="22"/>
        </w:rPr>
        <w:t xml:space="preserve">the </w:t>
      </w:r>
      <w:r w:rsidR="00D15A90">
        <w:rPr>
          <w:szCs w:val="22"/>
        </w:rPr>
        <w:t>third</w:t>
      </w:r>
      <w:r w:rsidRPr="00713BE8">
        <w:rPr>
          <w:szCs w:val="22"/>
        </w:rPr>
        <w:t xml:space="preserve"> series of screens</w:t>
      </w:r>
      <w:r w:rsidRPr="00CA6286">
        <w:rPr>
          <w:szCs w:val="22"/>
        </w:rPr>
        <w:t xml:space="preserve"> in FCC Form 175.  In the</w:t>
      </w:r>
      <w:r w:rsidR="00E3240D">
        <w:rPr>
          <w:szCs w:val="22"/>
        </w:rPr>
        <w:t xml:space="preserve">se </w:t>
      </w:r>
      <w:r w:rsidRPr="00CA6286">
        <w:rPr>
          <w:szCs w:val="22"/>
        </w:rPr>
        <w:t>screens, applicants will provide information regarding auction-related agreements subject to disclosure under the Commission’s rules.</w:t>
      </w:r>
      <w:r w:rsidRPr="00CA6286">
        <w:rPr>
          <w:rStyle w:val="FootnoteReference"/>
          <w:szCs w:val="22"/>
        </w:rPr>
        <w:footnoteReference w:id="309"/>
      </w:r>
      <w:r w:rsidRPr="00CA6286">
        <w:rPr>
          <w:szCs w:val="22"/>
        </w:rPr>
        <w:t xml:space="preserve">  </w:t>
      </w:r>
    </w:p>
    <w:p w:rsidR="00CB3C0D" w:rsidRPr="00CA6286" w:rsidRDefault="00CB3C0D" w:rsidP="00C07C81">
      <w:pPr>
        <w:widowControl/>
        <w:rPr>
          <w:szCs w:val="22"/>
        </w:rPr>
      </w:pPr>
    </w:p>
    <w:p w:rsidR="009F5584" w:rsidRDefault="00CB3C0D" w:rsidP="00C07C81">
      <w:pPr>
        <w:widowControl/>
        <w:rPr>
          <w:szCs w:val="22"/>
        </w:rPr>
      </w:pPr>
      <w:r w:rsidRPr="00CA6286">
        <w:rPr>
          <w:szCs w:val="22"/>
        </w:rPr>
        <w:t xml:space="preserve">On the first screen, applicants must state whether the applicant has any agreements that are subject to disclosure under the Commission’s rules by responding </w:t>
      </w:r>
      <w:r w:rsidR="00395409">
        <w:rPr>
          <w:szCs w:val="22"/>
        </w:rPr>
        <w:t>“Y</w:t>
      </w:r>
      <w:r w:rsidRPr="00CA6286">
        <w:rPr>
          <w:szCs w:val="22"/>
        </w:rPr>
        <w:t>es</w:t>
      </w:r>
      <w:r w:rsidR="00395409">
        <w:rPr>
          <w:szCs w:val="22"/>
        </w:rPr>
        <w:t>”</w:t>
      </w:r>
      <w:r w:rsidRPr="00CA6286">
        <w:rPr>
          <w:szCs w:val="22"/>
        </w:rPr>
        <w:t xml:space="preserve"> or </w:t>
      </w:r>
      <w:r w:rsidR="00395409">
        <w:rPr>
          <w:szCs w:val="22"/>
        </w:rPr>
        <w:t>“N</w:t>
      </w:r>
      <w:r w:rsidRPr="00CA6286">
        <w:rPr>
          <w:szCs w:val="22"/>
        </w:rPr>
        <w:t>o</w:t>
      </w:r>
      <w:r w:rsidR="00395409">
        <w:rPr>
          <w:szCs w:val="22"/>
        </w:rPr>
        <w:t>”</w:t>
      </w:r>
      <w:r w:rsidRPr="00CA6286">
        <w:rPr>
          <w:szCs w:val="22"/>
        </w:rPr>
        <w:t xml:space="preserve"> to a question asking whether the</w:t>
      </w:r>
      <w:r w:rsidR="00002E97">
        <w:rPr>
          <w:szCs w:val="22"/>
        </w:rPr>
        <w:t xml:space="preserve"> appli</w:t>
      </w:r>
      <w:r w:rsidRPr="00CA6286">
        <w:rPr>
          <w:szCs w:val="22"/>
        </w:rPr>
        <w:t xml:space="preserve">cant has entered into </w:t>
      </w:r>
      <w:r w:rsidR="000B3E6E">
        <w:rPr>
          <w:szCs w:val="22"/>
        </w:rPr>
        <w:t xml:space="preserve">a </w:t>
      </w:r>
      <w:r w:rsidRPr="00CA6286">
        <w:rPr>
          <w:szCs w:val="22"/>
        </w:rPr>
        <w:t>partnership, joint venture, consortia, or other agreement</w:t>
      </w:r>
      <w:r w:rsidR="00BE1E7D">
        <w:rPr>
          <w:szCs w:val="22"/>
        </w:rPr>
        <w:t>, arrangement</w:t>
      </w:r>
      <w:r w:rsidRPr="00CA6286">
        <w:rPr>
          <w:szCs w:val="22"/>
        </w:rPr>
        <w:t xml:space="preserve"> or understanding of any kind relating to the </w:t>
      </w:r>
      <w:r w:rsidR="00D15A90">
        <w:rPr>
          <w:szCs w:val="22"/>
        </w:rPr>
        <w:t>licenses</w:t>
      </w:r>
      <w:r w:rsidRPr="001F60FA">
        <w:rPr>
          <w:szCs w:val="22"/>
        </w:rPr>
        <w:t xml:space="preserve"> being auctioned, including any such agreement relating to the post-auction market structure.  </w:t>
      </w:r>
      <w:r w:rsidR="009F5584" w:rsidRPr="001F60FA">
        <w:rPr>
          <w:szCs w:val="22"/>
        </w:rPr>
        <w:t>When two applicants in this auction share one officer, or one director, or one individual with specified ownership interests,</w:t>
      </w:r>
      <w:r w:rsidR="009F5584" w:rsidRPr="001F60FA">
        <w:rPr>
          <w:rStyle w:val="FootnoteReference"/>
          <w:szCs w:val="22"/>
        </w:rPr>
        <w:footnoteReference w:id="310"/>
      </w:r>
      <w:r w:rsidR="009F5584" w:rsidRPr="001F60FA">
        <w:rPr>
          <w:szCs w:val="22"/>
        </w:rPr>
        <w:t xml:space="preserve"> it is at this point in each application that the two applicants can indicate that there is a sharing of </w:t>
      </w:r>
      <w:r w:rsidR="00BE1E7D">
        <w:rPr>
          <w:szCs w:val="22"/>
        </w:rPr>
        <w:t>this one</w:t>
      </w:r>
      <w:r w:rsidR="009F5584" w:rsidRPr="001F60FA">
        <w:rPr>
          <w:szCs w:val="22"/>
        </w:rPr>
        <w:t xml:space="preserve"> individual</w:t>
      </w:r>
      <w:r w:rsidR="00BE1E7D">
        <w:rPr>
          <w:szCs w:val="22"/>
        </w:rPr>
        <w:t xml:space="preserve"> (officer, director, or owner)</w:t>
      </w:r>
      <w:r w:rsidR="009F5584" w:rsidRPr="001F60FA">
        <w:rPr>
          <w:szCs w:val="22"/>
        </w:rPr>
        <w:t xml:space="preserve"> by responding to this “agreement” question with a “Yes.”</w:t>
      </w:r>
      <w:r w:rsidR="009F5584" w:rsidRPr="001F60FA">
        <w:rPr>
          <w:rStyle w:val="FootnoteReference"/>
          <w:szCs w:val="22"/>
        </w:rPr>
        <w:footnoteReference w:id="311"/>
      </w:r>
      <w:r w:rsidR="009F5584">
        <w:rPr>
          <w:szCs w:val="22"/>
        </w:rPr>
        <w:t xml:space="preserve"> </w:t>
      </w:r>
    </w:p>
    <w:p w:rsidR="00BE1E7D" w:rsidRDefault="00BE1E7D" w:rsidP="00C07C81">
      <w:pPr>
        <w:widowControl/>
        <w:rPr>
          <w:szCs w:val="22"/>
        </w:rPr>
      </w:pPr>
    </w:p>
    <w:p w:rsidR="00CB3C0D" w:rsidRPr="00CA6286" w:rsidRDefault="00CB3C0D" w:rsidP="00C07C81">
      <w:pPr>
        <w:widowControl/>
        <w:rPr>
          <w:szCs w:val="22"/>
        </w:rPr>
      </w:pPr>
      <w:r w:rsidRPr="00CA6286">
        <w:rPr>
          <w:szCs w:val="22"/>
        </w:rPr>
        <w:t xml:space="preserve">If an applicant answers “No,” the applicant will </w:t>
      </w:r>
      <w:r w:rsidRPr="00DF7948">
        <w:rPr>
          <w:szCs w:val="22"/>
        </w:rPr>
        <w:t xml:space="preserve">continue </w:t>
      </w:r>
      <w:r w:rsidR="000D6108" w:rsidRPr="00DF7948">
        <w:rPr>
          <w:szCs w:val="22"/>
        </w:rPr>
        <w:t xml:space="preserve">to </w:t>
      </w:r>
      <w:r w:rsidRPr="00DF7948">
        <w:rPr>
          <w:szCs w:val="22"/>
        </w:rPr>
        <w:t xml:space="preserve">the </w:t>
      </w:r>
      <w:r w:rsidRPr="00DF7948">
        <w:rPr>
          <w:i/>
          <w:szCs w:val="22"/>
        </w:rPr>
        <w:t>Ownership</w:t>
      </w:r>
      <w:r w:rsidRPr="00DF7948">
        <w:rPr>
          <w:szCs w:val="22"/>
        </w:rPr>
        <w:t xml:space="preserve"> series</w:t>
      </w:r>
      <w:r w:rsidRPr="00CA6286">
        <w:rPr>
          <w:szCs w:val="22"/>
        </w:rPr>
        <w:t xml:space="preserve"> of screens, described below.  If the applicant answers “Yes,” the applicant will continue with additional </w:t>
      </w:r>
      <w:r w:rsidRPr="00CA6286">
        <w:rPr>
          <w:i/>
          <w:szCs w:val="22"/>
        </w:rPr>
        <w:t>Agreements</w:t>
      </w:r>
      <w:r w:rsidRPr="00CA6286">
        <w:rPr>
          <w:szCs w:val="22"/>
        </w:rPr>
        <w:t xml:space="preserve"> screens.</w:t>
      </w:r>
    </w:p>
    <w:p w:rsidR="00CB3C0D" w:rsidRPr="00CA6286" w:rsidRDefault="00CB3C0D" w:rsidP="00C07C81">
      <w:pPr>
        <w:widowControl/>
        <w:rPr>
          <w:szCs w:val="22"/>
        </w:rPr>
      </w:pPr>
    </w:p>
    <w:p w:rsidR="00CB3C0D" w:rsidRPr="00CA6286" w:rsidRDefault="00CB3C0D" w:rsidP="00C07C81">
      <w:pPr>
        <w:widowControl/>
        <w:rPr>
          <w:szCs w:val="22"/>
        </w:rPr>
      </w:pPr>
      <w:r w:rsidRPr="00CA6286">
        <w:rPr>
          <w:szCs w:val="22"/>
        </w:rPr>
        <w:t xml:space="preserve">In the additional </w:t>
      </w:r>
      <w:r w:rsidRPr="00CA6286">
        <w:rPr>
          <w:i/>
          <w:szCs w:val="22"/>
        </w:rPr>
        <w:t>Agreements</w:t>
      </w:r>
      <w:r w:rsidRPr="00CA6286">
        <w:rPr>
          <w:szCs w:val="22"/>
        </w:rPr>
        <w:t xml:space="preserve"> screens, applicants must provide an identifying name for the agreement and must identify the parties, other than the applicant, to the agreement.  The agreement identifier can be a brief description of the agreement or a simple reference name; however, each agreement identifier must be unique.  Neither the name of the </w:t>
      </w:r>
      <w:r w:rsidRPr="00764293">
        <w:rPr>
          <w:szCs w:val="22"/>
        </w:rPr>
        <w:t xml:space="preserve">agreement </w:t>
      </w:r>
      <w:r w:rsidR="00934282" w:rsidRPr="00764293">
        <w:rPr>
          <w:szCs w:val="22"/>
        </w:rPr>
        <w:t>n</w:t>
      </w:r>
      <w:r w:rsidRPr="00764293">
        <w:rPr>
          <w:szCs w:val="22"/>
        </w:rPr>
        <w:t xml:space="preserve">or its description should indicate </w:t>
      </w:r>
      <w:r w:rsidR="00D15A90">
        <w:rPr>
          <w:szCs w:val="22"/>
        </w:rPr>
        <w:t>license selection or potentially reveal an applicant’s bidding strategy</w:t>
      </w:r>
      <w:r w:rsidRPr="00CA6286">
        <w:rPr>
          <w:szCs w:val="22"/>
        </w:rPr>
        <w:t>.</w:t>
      </w:r>
    </w:p>
    <w:p w:rsidR="00CB3C0D" w:rsidRPr="00CA6286" w:rsidRDefault="00CB3C0D" w:rsidP="00C07C81">
      <w:pPr>
        <w:widowControl/>
        <w:rPr>
          <w:szCs w:val="22"/>
        </w:rPr>
      </w:pPr>
    </w:p>
    <w:p w:rsidR="00CB3C0D" w:rsidRPr="00CA6286" w:rsidRDefault="00CB3C0D" w:rsidP="00C07C81">
      <w:pPr>
        <w:widowControl/>
        <w:rPr>
          <w:szCs w:val="22"/>
        </w:rPr>
      </w:pPr>
      <w:r w:rsidRPr="00CA6286">
        <w:rPr>
          <w:szCs w:val="22"/>
        </w:rPr>
        <w:t xml:space="preserve">Applicants may provide FRNs for the other parties to the agreement, if available.  While providing the FRN is optional, it helps prevent identification errors resulting from parties having similar names or a single party using multiple names.  </w:t>
      </w:r>
    </w:p>
    <w:p w:rsidR="00CB3C0D" w:rsidRPr="00CA6286" w:rsidRDefault="00CB3C0D" w:rsidP="00C07C81">
      <w:pPr>
        <w:widowControl/>
        <w:rPr>
          <w:szCs w:val="22"/>
        </w:rPr>
      </w:pPr>
    </w:p>
    <w:p w:rsidR="00CB3C0D" w:rsidRPr="00CA6286" w:rsidRDefault="00CB3C0D" w:rsidP="00C07C81">
      <w:pPr>
        <w:widowControl/>
        <w:rPr>
          <w:szCs w:val="22"/>
        </w:rPr>
      </w:pPr>
      <w:r w:rsidRPr="00CA6286">
        <w:rPr>
          <w:szCs w:val="22"/>
        </w:rPr>
        <w:t xml:space="preserve">Up to three parties to the agreement (not including the applicant) can be identified on a single screen.  Additional parties can be added by clicking the </w:t>
      </w:r>
      <w:r w:rsidRPr="00CA6286">
        <w:rPr>
          <w:b/>
          <w:szCs w:val="22"/>
        </w:rPr>
        <w:t>ADD MORE PARTIES</w:t>
      </w:r>
      <w:r w:rsidRPr="00CA6286">
        <w:rPr>
          <w:szCs w:val="22"/>
        </w:rPr>
        <w:t xml:space="preserve"> button.  In the event of an error, the name of a party and its associated FRN can be deleted from the form by clicking on the </w:t>
      </w:r>
      <w:r w:rsidRPr="00CA6286">
        <w:rPr>
          <w:b/>
          <w:szCs w:val="22"/>
        </w:rPr>
        <w:t>RESET</w:t>
      </w:r>
      <w:r w:rsidRPr="00CA6286">
        <w:rPr>
          <w:szCs w:val="22"/>
        </w:rPr>
        <w:t xml:space="preserve"> button.</w:t>
      </w:r>
      <w:r>
        <w:rPr>
          <w:szCs w:val="22"/>
        </w:rPr>
        <w:t xml:space="preserve">  </w:t>
      </w:r>
      <w:r w:rsidRPr="00CA6286">
        <w:rPr>
          <w:szCs w:val="22"/>
        </w:rPr>
        <w:t xml:space="preserve">After identifying all parties to a particular agreement, click the </w:t>
      </w:r>
      <w:r w:rsidRPr="00CA6286">
        <w:rPr>
          <w:b/>
          <w:szCs w:val="22"/>
        </w:rPr>
        <w:t>FINISH THIS AGREEMENT</w:t>
      </w:r>
      <w:r w:rsidRPr="00CA6286">
        <w:rPr>
          <w:szCs w:val="22"/>
        </w:rPr>
        <w:t xml:space="preserve"> button.</w:t>
      </w:r>
    </w:p>
    <w:p w:rsidR="00CB3C0D" w:rsidRPr="00CA6286" w:rsidRDefault="00CB3C0D" w:rsidP="00C07C81">
      <w:pPr>
        <w:widowControl/>
        <w:rPr>
          <w:szCs w:val="22"/>
        </w:rPr>
      </w:pPr>
    </w:p>
    <w:p w:rsidR="00CB3C0D" w:rsidRPr="00CA6286" w:rsidRDefault="00CB3C0D" w:rsidP="00C07C81">
      <w:pPr>
        <w:widowControl/>
        <w:rPr>
          <w:szCs w:val="22"/>
        </w:rPr>
      </w:pPr>
      <w:r w:rsidRPr="00CA6286">
        <w:rPr>
          <w:szCs w:val="22"/>
        </w:rPr>
        <w:t xml:space="preserve">The next screen, the </w:t>
      </w:r>
      <w:r w:rsidRPr="00CA6286">
        <w:rPr>
          <w:i/>
          <w:szCs w:val="22"/>
        </w:rPr>
        <w:t>View/Edit Agreements</w:t>
      </w:r>
      <w:r w:rsidRPr="00CA6286">
        <w:rPr>
          <w:szCs w:val="22"/>
        </w:rPr>
        <w:t xml:space="preserve"> screen, lists the agreements and parties to each agreement that already have been entered.  From this screen, the following options</w:t>
      </w:r>
      <w:r>
        <w:rPr>
          <w:szCs w:val="22"/>
        </w:rPr>
        <w:t xml:space="preserve"> are available</w:t>
      </w:r>
      <w:r w:rsidRPr="00CA6286">
        <w:rPr>
          <w:szCs w:val="22"/>
        </w:rPr>
        <w:t>:</w:t>
      </w:r>
    </w:p>
    <w:p w:rsidR="00CB3C0D" w:rsidRPr="00CA6286" w:rsidRDefault="00CB3C0D" w:rsidP="00C07C81">
      <w:pPr>
        <w:widowControl/>
        <w:rPr>
          <w:szCs w:val="22"/>
        </w:rPr>
      </w:pPr>
    </w:p>
    <w:p w:rsidR="00CB3C0D" w:rsidRPr="00CA6286" w:rsidRDefault="00CB3C0D" w:rsidP="00C07C81">
      <w:pPr>
        <w:widowControl/>
        <w:numPr>
          <w:ilvl w:val="0"/>
          <w:numId w:val="7"/>
        </w:numPr>
        <w:rPr>
          <w:szCs w:val="22"/>
        </w:rPr>
      </w:pPr>
      <w:r w:rsidRPr="00CA6286">
        <w:rPr>
          <w:szCs w:val="22"/>
        </w:rPr>
        <w:t xml:space="preserve">Clicking the </w:t>
      </w:r>
      <w:r w:rsidRPr="00CA6286">
        <w:rPr>
          <w:b/>
          <w:szCs w:val="22"/>
        </w:rPr>
        <w:t>Edit</w:t>
      </w:r>
      <w:r w:rsidRPr="00CA6286">
        <w:rPr>
          <w:szCs w:val="22"/>
        </w:rPr>
        <w:t xml:space="preserve"> icon or the </w:t>
      </w:r>
      <w:r w:rsidRPr="00CA6286">
        <w:rPr>
          <w:b/>
          <w:szCs w:val="22"/>
        </w:rPr>
        <w:t>Agreements</w:t>
      </w:r>
      <w:r w:rsidRPr="00CA6286">
        <w:rPr>
          <w:szCs w:val="22"/>
        </w:rPr>
        <w:t xml:space="preserve"> link to return to the initial </w:t>
      </w:r>
      <w:r w:rsidRPr="00CA6286">
        <w:rPr>
          <w:i/>
          <w:szCs w:val="22"/>
        </w:rPr>
        <w:t>Agreements</w:t>
      </w:r>
      <w:r w:rsidRPr="00CA6286">
        <w:rPr>
          <w:szCs w:val="22"/>
        </w:rPr>
        <w:t xml:space="preserve"> screen regarding whether or not the applicant has any agreements.</w:t>
      </w:r>
    </w:p>
    <w:p w:rsidR="00CB3C0D" w:rsidRPr="00CA6286" w:rsidRDefault="00CB3C0D" w:rsidP="00C07C81">
      <w:pPr>
        <w:widowControl/>
        <w:rPr>
          <w:szCs w:val="22"/>
        </w:rPr>
      </w:pPr>
    </w:p>
    <w:p w:rsidR="00CB3C0D" w:rsidRPr="00CA6286" w:rsidRDefault="00CB3C0D" w:rsidP="00C07C81">
      <w:pPr>
        <w:widowControl/>
        <w:numPr>
          <w:ilvl w:val="0"/>
          <w:numId w:val="7"/>
        </w:numPr>
        <w:rPr>
          <w:szCs w:val="22"/>
        </w:rPr>
      </w:pPr>
      <w:r w:rsidRPr="00CA6286">
        <w:rPr>
          <w:szCs w:val="22"/>
        </w:rPr>
        <w:t>Modifying agreement identifiers by clicking on them.</w:t>
      </w:r>
    </w:p>
    <w:p w:rsidR="00CB3C0D" w:rsidRPr="00CA6286" w:rsidRDefault="00CB3C0D" w:rsidP="00C07C81">
      <w:pPr>
        <w:widowControl/>
        <w:ind w:left="360"/>
        <w:rPr>
          <w:szCs w:val="22"/>
        </w:rPr>
      </w:pPr>
    </w:p>
    <w:p w:rsidR="00CB3C0D" w:rsidRPr="00CA6286" w:rsidRDefault="00CB3C0D" w:rsidP="00C07C81">
      <w:pPr>
        <w:widowControl/>
        <w:numPr>
          <w:ilvl w:val="0"/>
          <w:numId w:val="7"/>
        </w:numPr>
        <w:rPr>
          <w:szCs w:val="22"/>
        </w:rPr>
      </w:pPr>
      <w:r w:rsidRPr="00CA6286">
        <w:rPr>
          <w:szCs w:val="22"/>
        </w:rPr>
        <w:t xml:space="preserve">Clicking the </w:t>
      </w:r>
      <w:r w:rsidRPr="00CA6286">
        <w:rPr>
          <w:b/>
          <w:szCs w:val="22"/>
        </w:rPr>
        <w:t>Delete This Agreement</w:t>
      </w:r>
      <w:r w:rsidRPr="00CA6286">
        <w:rPr>
          <w:szCs w:val="22"/>
        </w:rPr>
        <w:t xml:space="preserve"> link to delete an agreement and associated parties.</w:t>
      </w:r>
    </w:p>
    <w:p w:rsidR="00CB3C0D" w:rsidRPr="00CA6286" w:rsidRDefault="00CB3C0D" w:rsidP="00C07C81">
      <w:pPr>
        <w:widowControl/>
        <w:rPr>
          <w:szCs w:val="22"/>
        </w:rPr>
      </w:pPr>
    </w:p>
    <w:p w:rsidR="00CB3C0D" w:rsidRPr="00CA6286" w:rsidRDefault="00CB3C0D" w:rsidP="00C07C81">
      <w:pPr>
        <w:widowControl/>
        <w:numPr>
          <w:ilvl w:val="0"/>
          <w:numId w:val="7"/>
        </w:numPr>
        <w:rPr>
          <w:szCs w:val="22"/>
        </w:rPr>
      </w:pPr>
      <w:r w:rsidRPr="00CA6286">
        <w:rPr>
          <w:szCs w:val="22"/>
        </w:rPr>
        <w:t>Modifying information regarding a particular party to an agreement by clicking on the party’s name.</w:t>
      </w:r>
    </w:p>
    <w:p w:rsidR="00CB3C0D" w:rsidRPr="00CA6286" w:rsidRDefault="00CB3C0D" w:rsidP="00C07C81">
      <w:pPr>
        <w:widowControl/>
        <w:rPr>
          <w:szCs w:val="22"/>
        </w:rPr>
      </w:pPr>
    </w:p>
    <w:p w:rsidR="00CB3C0D" w:rsidRPr="00CA6286" w:rsidRDefault="00CB3C0D" w:rsidP="00C07C81">
      <w:pPr>
        <w:widowControl/>
        <w:numPr>
          <w:ilvl w:val="0"/>
          <w:numId w:val="7"/>
        </w:numPr>
        <w:rPr>
          <w:szCs w:val="22"/>
        </w:rPr>
      </w:pPr>
      <w:r w:rsidRPr="00CA6286">
        <w:rPr>
          <w:szCs w:val="22"/>
        </w:rPr>
        <w:t xml:space="preserve">Clicking the </w:t>
      </w:r>
      <w:r w:rsidRPr="00CA6286">
        <w:rPr>
          <w:b/>
          <w:szCs w:val="22"/>
        </w:rPr>
        <w:t>Remove</w:t>
      </w:r>
      <w:r w:rsidRPr="00CA6286">
        <w:rPr>
          <w:szCs w:val="22"/>
        </w:rPr>
        <w:t xml:space="preserve"> icon next to information about a particular party to remove th</w:t>
      </w:r>
      <w:r w:rsidR="00C65590">
        <w:rPr>
          <w:szCs w:val="22"/>
        </w:rPr>
        <w:t xml:space="preserve">at </w:t>
      </w:r>
      <w:r w:rsidRPr="00CA6286">
        <w:rPr>
          <w:szCs w:val="22"/>
        </w:rPr>
        <w:t>corresponding party.</w:t>
      </w:r>
    </w:p>
    <w:p w:rsidR="00CB3C0D" w:rsidRPr="00CA6286" w:rsidRDefault="00CB3C0D" w:rsidP="00C07C81">
      <w:pPr>
        <w:widowControl/>
        <w:rPr>
          <w:szCs w:val="22"/>
        </w:rPr>
      </w:pPr>
    </w:p>
    <w:p w:rsidR="00CB3C0D" w:rsidRPr="00CA6286" w:rsidRDefault="00CB3C0D" w:rsidP="00C07C81">
      <w:pPr>
        <w:widowControl/>
        <w:numPr>
          <w:ilvl w:val="0"/>
          <w:numId w:val="7"/>
        </w:numPr>
        <w:rPr>
          <w:szCs w:val="22"/>
        </w:rPr>
      </w:pPr>
      <w:r w:rsidRPr="00CA6286">
        <w:rPr>
          <w:szCs w:val="22"/>
        </w:rPr>
        <w:t xml:space="preserve">Clicking the </w:t>
      </w:r>
      <w:r w:rsidRPr="00CA6286">
        <w:rPr>
          <w:b/>
          <w:szCs w:val="22"/>
        </w:rPr>
        <w:t>Add Party to This Agreement</w:t>
      </w:r>
      <w:r w:rsidRPr="00CA6286">
        <w:rPr>
          <w:szCs w:val="22"/>
        </w:rPr>
        <w:t xml:space="preserve"> link to add a new party to an agreement.</w:t>
      </w:r>
    </w:p>
    <w:p w:rsidR="00CB3C0D" w:rsidRPr="00CA6286" w:rsidRDefault="00CB3C0D" w:rsidP="00C07C81">
      <w:pPr>
        <w:widowControl/>
        <w:rPr>
          <w:szCs w:val="22"/>
        </w:rPr>
      </w:pPr>
    </w:p>
    <w:p w:rsidR="00CB3C0D" w:rsidRPr="00CA6286" w:rsidRDefault="00CB3C0D" w:rsidP="00C07C81">
      <w:pPr>
        <w:widowControl/>
        <w:numPr>
          <w:ilvl w:val="0"/>
          <w:numId w:val="7"/>
        </w:numPr>
        <w:rPr>
          <w:szCs w:val="22"/>
        </w:rPr>
      </w:pPr>
      <w:r w:rsidRPr="00CA6286">
        <w:rPr>
          <w:szCs w:val="22"/>
        </w:rPr>
        <w:t xml:space="preserve">Clicking the </w:t>
      </w:r>
      <w:r w:rsidRPr="00CA6286">
        <w:rPr>
          <w:b/>
          <w:szCs w:val="22"/>
        </w:rPr>
        <w:t>CREATE NEW AGREEMENT</w:t>
      </w:r>
      <w:r w:rsidRPr="00CA6286">
        <w:rPr>
          <w:szCs w:val="22"/>
        </w:rPr>
        <w:t xml:space="preserve"> button to add additional agreements. </w:t>
      </w:r>
    </w:p>
    <w:p w:rsidR="00CB3C0D" w:rsidRPr="00CA6286" w:rsidRDefault="00CB3C0D" w:rsidP="00C07C81">
      <w:pPr>
        <w:widowControl/>
        <w:rPr>
          <w:szCs w:val="22"/>
        </w:rPr>
      </w:pPr>
    </w:p>
    <w:p w:rsidR="00CB3C0D" w:rsidRPr="00CA6286" w:rsidRDefault="00CB3C0D" w:rsidP="00C07C81">
      <w:pPr>
        <w:widowControl/>
        <w:rPr>
          <w:szCs w:val="22"/>
        </w:rPr>
      </w:pPr>
      <w:r w:rsidRPr="00CA6286">
        <w:rPr>
          <w:szCs w:val="22"/>
        </w:rPr>
        <w:t>When all agreements and the parties to each agreement</w:t>
      </w:r>
      <w:r>
        <w:rPr>
          <w:szCs w:val="22"/>
        </w:rPr>
        <w:t xml:space="preserve"> have been</w:t>
      </w:r>
      <w:r w:rsidRPr="00951AE6">
        <w:rPr>
          <w:szCs w:val="22"/>
        </w:rPr>
        <w:t xml:space="preserve"> </w:t>
      </w:r>
      <w:r w:rsidRPr="00CA6286">
        <w:rPr>
          <w:szCs w:val="22"/>
        </w:rPr>
        <w:t xml:space="preserve">identified, </w:t>
      </w:r>
      <w:r>
        <w:rPr>
          <w:szCs w:val="22"/>
        </w:rPr>
        <w:t xml:space="preserve">the applicant should </w:t>
      </w:r>
      <w:r w:rsidRPr="00CA6286">
        <w:rPr>
          <w:szCs w:val="22"/>
        </w:rPr>
        <w:t xml:space="preserve">click the </w:t>
      </w:r>
      <w:r w:rsidRPr="00CA6286">
        <w:rPr>
          <w:b/>
          <w:bCs/>
          <w:szCs w:val="22"/>
        </w:rPr>
        <w:t>CONTINUE</w:t>
      </w:r>
      <w:r w:rsidRPr="00CA6286">
        <w:rPr>
          <w:szCs w:val="22"/>
        </w:rPr>
        <w:t xml:space="preserve"> button.</w:t>
      </w:r>
    </w:p>
    <w:p w:rsidR="00CB3C0D" w:rsidRPr="00CA6286" w:rsidRDefault="00CB3C0D" w:rsidP="00C07C81">
      <w:pPr>
        <w:widowControl/>
        <w:rPr>
          <w:szCs w:val="22"/>
        </w:rPr>
      </w:pPr>
    </w:p>
    <w:p w:rsidR="00CB3C0D" w:rsidRPr="00F338B6" w:rsidRDefault="00CB3C0D" w:rsidP="00C07C81">
      <w:pPr>
        <w:pStyle w:val="Heading3"/>
        <w:widowControl/>
        <w:tabs>
          <w:tab w:val="num" w:pos="720"/>
        </w:tabs>
        <w:rPr>
          <w:szCs w:val="22"/>
        </w:rPr>
      </w:pPr>
      <w:bookmarkStart w:id="4853" w:name="_Toc98821042"/>
      <w:bookmarkStart w:id="4854" w:name="_Toc98846343"/>
      <w:bookmarkStart w:id="4855" w:name="_Toc98898557"/>
      <w:bookmarkStart w:id="4856" w:name="_Toc98921818"/>
      <w:bookmarkStart w:id="4857" w:name="_Toc98932991"/>
      <w:bookmarkStart w:id="4858" w:name="_Toc101858535"/>
      <w:bookmarkStart w:id="4859" w:name="_Toc109812295"/>
      <w:bookmarkStart w:id="4860" w:name="_Toc130730986"/>
      <w:bookmarkStart w:id="4861" w:name="_Toc130814214"/>
      <w:bookmarkStart w:id="4862" w:name="_Toc130814536"/>
      <w:bookmarkStart w:id="4863" w:name="_Toc130814668"/>
      <w:bookmarkStart w:id="4864" w:name="_Toc130883551"/>
      <w:bookmarkStart w:id="4865" w:name="_Toc130885662"/>
      <w:bookmarkStart w:id="4866" w:name="_Toc131844641"/>
      <w:bookmarkStart w:id="4867" w:name="_Toc148330576"/>
      <w:bookmarkStart w:id="4868" w:name="_Toc148337787"/>
      <w:bookmarkStart w:id="4869" w:name="_Toc148338112"/>
      <w:bookmarkStart w:id="4870" w:name="_Toc148339822"/>
      <w:bookmarkStart w:id="4871" w:name="_Toc148339919"/>
      <w:bookmarkStart w:id="4872" w:name="_Toc149645629"/>
      <w:bookmarkStart w:id="4873" w:name="_Toc149997932"/>
      <w:bookmarkStart w:id="4874" w:name="_Toc158180807"/>
      <w:bookmarkStart w:id="4875" w:name="_Toc158785655"/>
      <w:bookmarkStart w:id="4876" w:name="_Toc178768562"/>
      <w:bookmarkStart w:id="4877" w:name="_Toc179196003"/>
      <w:bookmarkStart w:id="4878" w:name="_Toc179361966"/>
      <w:bookmarkStart w:id="4879" w:name="_Toc179363750"/>
      <w:bookmarkStart w:id="4880" w:name="_Toc197504984"/>
      <w:bookmarkStart w:id="4881" w:name="_Toc198007765"/>
      <w:bookmarkStart w:id="4882" w:name="_Toc198007916"/>
      <w:bookmarkStart w:id="4883" w:name="_Toc198008268"/>
      <w:bookmarkStart w:id="4884" w:name="_Toc198008405"/>
      <w:bookmarkStart w:id="4885" w:name="_Toc198008952"/>
      <w:bookmarkStart w:id="4886" w:name="_Toc198369848"/>
      <w:bookmarkStart w:id="4887" w:name="_Toc216090771"/>
      <w:bookmarkStart w:id="4888" w:name="_Toc226958277"/>
      <w:bookmarkStart w:id="4889" w:name="_Toc227038337"/>
      <w:bookmarkStart w:id="4890" w:name="_Toc254792642"/>
      <w:bookmarkStart w:id="4891" w:name="_Toc256669766"/>
      <w:bookmarkStart w:id="4892" w:name="_Toc257213301"/>
      <w:bookmarkStart w:id="4893" w:name="_Toc257277803"/>
      <w:bookmarkStart w:id="4894" w:name="_Toc257278764"/>
      <w:bookmarkStart w:id="4895" w:name="_Toc257278974"/>
      <w:bookmarkStart w:id="4896" w:name="_Toc257279342"/>
      <w:bookmarkStart w:id="4897" w:name="_Toc257382986"/>
      <w:bookmarkStart w:id="4898" w:name="_Toc274056243"/>
      <w:bookmarkStart w:id="4899" w:name="_Toc276657649"/>
      <w:bookmarkStart w:id="4900" w:name="_Toc278366495"/>
      <w:bookmarkStart w:id="4901" w:name="_Toc307584089"/>
      <w:bookmarkStart w:id="4902" w:name="_Toc307937363"/>
      <w:bookmarkStart w:id="4903" w:name="_Toc348508805"/>
      <w:bookmarkStart w:id="4904" w:name="_Toc362256819"/>
      <w:bookmarkStart w:id="4905" w:name="_Toc366056573"/>
      <w:bookmarkStart w:id="4906" w:name="_Toc366223775"/>
      <w:bookmarkStart w:id="4907" w:name="_Toc366229488"/>
      <w:bookmarkStart w:id="4908" w:name="_Toc366583531"/>
      <w:r w:rsidRPr="00F338B6">
        <w:rPr>
          <w:szCs w:val="22"/>
        </w:rPr>
        <w:t>Ownership</w:t>
      </w:r>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p>
    <w:p w:rsidR="00CB3C0D" w:rsidRPr="00CA6286" w:rsidRDefault="00CB3C0D" w:rsidP="00C07C81">
      <w:pPr>
        <w:widowControl/>
        <w:rPr>
          <w:szCs w:val="22"/>
        </w:rPr>
      </w:pPr>
      <w:r w:rsidRPr="00F338B6">
        <w:rPr>
          <w:szCs w:val="22"/>
        </w:rPr>
        <w:t xml:space="preserve">The </w:t>
      </w:r>
      <w:r w:rsidRPr="00F338B6">
        <w:rPr>
          <w:i/>
          <w:szCs w:val="22"/>
        </w:rPr>
        <w:t>Ownership</w:t>
      </w:r>
      <w:r w:rsidRPr="00F338B6">
        <w:rPr>
          <w:szCs w:val="22"/>
        </w:rPr>
        <w:t xml:space="preserve"> screens are the </w:t>
      </w:r>
      <w:r w:rsidR="00D15A90">
        <w:rPr>
          <w:szCs w:val="22"/>
        </w:rPr>
        <w:t>fourt</w:t>
      </w:r>
      <w:r w:rsidR="002C0ABF" w:rsidRPr="00F338B6">
        <w:rPr>
          <w:szCs w:val="22"/>
        </w:rPr>
        <w:t>h</w:t>
      </w:r>
      <w:r w:rsidRPr="00F338B6">
        <w:rPr>
          <w:szCs w:val="22"/>
        </w:rPr>
        <w:t xml:space="preserve"> series of screens</w:t>
      </w:r>
      <w:r w:rsidRPr="00CA6286">
        <w:rPr>
          <w:szCs w:val="22"/>
        </w:rPr>
        <w:t xml:space="preserve"> in the FCC Form 175.  In the</w:t>
      </w:r>
      <w:r w:rsidR="00600214">
        <w:rPr>
          <w:szCs w:val="22"/>
        </w:rPr>
        <w:t xml:space="preserve">se </w:t>
      </w:r>
      <w:r w:rsidRPr="00CA6286">
        <w:rPr>
          <w:szCs w:val="22"/>
        </w:rPr>
        <w:t xml:space="preserve">screens, applicants will provide information regarding parties with </w:t>
      </w:r>
      <w:r w:rsidRPr="00DF7948">
        <w:rPr>
          <w:szCs w:val="22"/>
        </w:rPr>
        <w:t xml:space="preserve">ownership </w:t>
      </w:r>
      <w:r w:rsidR="004F58B2" w:rsidRPr="00DF7948">
        <w:rPr>
          <w:szCs w:val="22"/>
        </w:rPr>
        <w:t xml:space="preserve">or controlling </w:t>
      </w:r>
      <w:r w:rsidRPr="00DF7948">
        <w:rPr>
          <w:szCs w:val="22"/>
        </w:rPr>
        <w:t>interests in the</w:t>
      </w:r>
      <w:r w:rsidRPr="00CA6286">
        <w:rPr>
          <w:szCs w:val="22"/>
        </w:rPr>
        <w:t xml:space="preserve"> applicant that must be disclosed pursuant to Commission rules.</w:t>
      </w:r>
      <w:r w:rsidRPr="00CA6286">
        <w:rPr>
          <w:rStyle w:val="FootnoteReference"/>
          <w:szCs w:val="22"/>
        </w:rPr>
        <w:footnoteReference w:id="312"/>
      </w:r>
      <w:r w:rsidRPr="00CA6286">
        <w:rPr>
          <w:szCs w:val="22"/>
        </w:rPr>
        <w:t xml:space="preserve">  </w:t>
      </w:r>
      <w:r w:rsidR="00600214">
        <w:rPr>
          <w:szCs w:val="22"/>
        </w:rPr>
        <w:t>T</w:t>
      </w:r>
      <w:r w:rsidRPr="00CA6286">
        <w:rPr>
          <w:szCs w:val="22"/>
        </w:rPr>
        <w:t xml:space="preserve">he disclosure and description of FCC-regulated businesses that are owned by the </w:t>
      </w:r>
      <w:r w:rsidRPr="001F60FA">
        <w:rPr>
          <w:szCs w:val="22"/>
        </w:rPr>
        <w:t xml:space="preserve">applicant and </w:t>
      </w:r>
      <w:r w:rsidR="009F5584" w:rsidRPr="001F60FA">
        <w:rPr>
          <w:szCs w:val="22"/>
        </w:rPr>
        <w:t>by</w:t>
      </w:r>
      <w:r w:rsidRPr="001F60FA">
        <w:rPr>
          <w:szCs w:val="22"/>
        </w:rPr>
        <w:t xml:space="preserve"> parties with certain</w:t>
      </w:r>
      <w:r w:rsidRPr="00CA6286">
        <w:rPr>
          <w:szCs w:val="22"/>
        </w:rPr>
        <w:t xml:space="preserve"> ownership interests in the applicant</w:t>
      </w:r>
      <w:r w:rsidR="00600214">
        <w:rPr>
          <w:szCs w:val="22"/>
        </w:rPr>
        <w:t xml:space="preserve"> are also required</w:t>
      </w:r>
      <w:r w:rsidRPr="00CA6286">
        <w:rPr>
          <w:szCs w:val="22"/>
        </w:rPr>
        <w:t>.</w:t>
      </w:r>
      <w:r w:rsidRPr="00CA6286">
        <w:rPr>
          <w:rStyle w:val="FootnoteReference"/>
          <w:szCs w:val="22"/>
        </w:rPr>
        <w:footnoteReference w:id="313"/>
      </w:r>
      <w:r w:rsidRPr="00CA6286">
        <w:rPr>
          <w:szCs w:val="22"/>
        </w:rPr>
        <w:t xml:space="preserve"> </w:t>
      </w:r>
      <w:r w:rsidR="00D15A90">
        <w:rPr>
          <w:szCs w:val="22"/>
        </w:rPr>
        <w:t xml:space="preserve"> In addition, </w:t>
      </w:r>
      <w:r w:rsidR="002131B0">
        <w:rPr>
          <w:szCs w:val="22"/>
        </w:rPr>
        <w:t xml:space="preserve">if the applicant has claimed eligibility for bidding credits based on revenues attributable to the applicant and related parties, the applicant will provide information regarding revenues for entities related to the applicant through ownership or control in the </w:t>
      </w:r>
      <w:r w:rsidR="002131B0">
        <w:rPr>
          <w:i/>
          <w:szCs w:val="22"/>
        </w:rPr>
        <w:t>Ownership</w:t>
      </w:r>
      <w:r w:rsidR="002131B0">
        <w:rPr>
          <w:szCs w:val="22"/>
        </w:rPr>
        <w:t xml:space="preserve"> screens.</w:t>
      </w:r>
      <w:r w:rsidR="002131B0">
        <w:rPr>
          <w:rStyle w:val="FootnoteReference"/>
          <w:szCs w:val="22"/>
        </w:rPr>
        <w:footnoteReference w:id="314"/>
      </w:r>
    </w:p>
    <w:p w:rsidR="00CB3C0D" w:rsidRPr="00CA6286" w:rsidRDefault="00CB3C0D" w:rsidP="00C07C81">
      <w:pPr>
        <w:widowControl/>
        <w:rPr>
          <w:szCs w:val="22"/>
        </w:rPr>
      </w:pPr>
    </w:p>
    <w:p w:rsidR="00CB3C0D" w:rsidRPr="00CA6286" w:rsidRDefault="00CB3C0D" w:rsidP="00C07C81">
      <w:pPr>
        <w:pStyle w:val="Heading4"/>
        <w:widowControl/>
        <w:spacing w:after="220"/>
        <w:rPr>
          <w:szCs w:val="22"/>
        </w:rPr>
      </w:pPr>
      <w:bookmarkStart w:id="4909" w:name="_Toc130730987"/>
      <w:bookmarkStart w:id="4910" w:name="_Toc130814215"/>
      <w:bookmarkStart w:id="4911" w:name="_Toc130814537"/>
      <w:bookmarkStart w:id="4912" w:name="_Toc130814669"/>
      <w:bookmarkStart w:id="4913" w:name="_Toc130883552"/>
      <w:bookmarkStart w:id="4914" w:name="_Toc130885663"/>
      <w:bookmarkStart w:id="4915" w:name="_Toc131844642"/>
      <w:bookmarkStart w:id="4916" w:name="_Toc148330577"/>
      <w:bookmarkStart w:id="4917" w:name="_Toc149645630"/>
      <w:bookmarkStart w:id="4918" w:name="_Toc149997933"/>
      <w:bookmarkStart w:id="4919" w:name="_Toc158180808"/>
      <w:bookmarkStart w:id="4920" w:name="_Toc158785656"/>
      <w:bookmarkStart w:id="4921" w:name="_Toc178768563"/>
      <w:bookmarkStart w:id="4922" w:name="_Toc179196004"/>
      <w:bookmarkStart w:id="4923" w:name="_Toc179361967"/>
      <w:bookmarkStart w:id="4924" w:name="_Toc179363751"/>
      <w:bookmarkStart w:id="4925" w:name="_Toc197504985"/>
      <w:bookmarkStart w:id="4926" w:name="_Toc198007766"/>
      <w:bookmarkStart w:id="4927" w:name="_Toc198007917"/>
      <w:bookmarkStart w:id="4928" w:name="_Toc198008269"/>
      <w:bookmarkStart w:id="4929" w:name="_Toc198008406"/>
      <w:bookmarkStart w:id="4930" w:name="_Toc198008953"/>
      <w:bookmarkStart w:id="4931" w:name="_Toc198369849"/>
      <w:bookmarkStart w:id="4932" w:name="_Toc216090772"/>
      <w:bookmarkStart w:id="4933" w:name="_Toc226958278"/>
      <w:bookmarkStart w:id="4934" w:name="_Toc227038338"/>
      <w:bookmarkStart w:id="4935" w:name="_Toc254792643"/>
      <w:bookmarkStart w:id="4936" w:name="_Toc256669767"/>
      <w:bookmarkStart w:id="4937" w:name="_Toc257213302"/>
      <w:bookmarkStart w:id="4938" w:name="_Toc257382987"/>
      <w:bookmarkStart w:id="4939" w:name="_Toc274056244"/>
      <w:bookmarkStart w:id="4940" w:name="_Toc276657650"/>
      <w:bookmarkStart w:id="4941" w:name="_Toc278366496"/>
      <w:bookmarkStart w:id="4942" w:name="_Toc307584090"/>
      <w:bookmarkStart w:id="4943" w:name="_Toc307937364"/>
      <w:bookmarkStart w:id="4944" w:name="_Toc362256820"/>
      <w:bookmarkStart w:id="4945" w:name="_Toc366056574"/>
      <w:bookmarkStart w:id="4946" w:name="_Toc366223776"/>
      <w:bookmarkStart w:id="4947" w:name="_Toc366229489"/>
      <w:bookmarkStart w:id="4948" w:name="_Toc366583532"/>
      <w:r w:rsidRPr="00CA6286">
        <w:rPr>
          <w:szCs w:val="22"/>
        </w:rPr>
        <w:t>Information Already on File with the Commission</w:t>
      </w:r>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p>
    <w:p w:rsidR="00CB3C0D" w:rsidRPr="00DF7948" w:rsidRDefault="00CB3C0D" w:rsidP="00C07C81">
      <w:pPr>
        <w:widowControl/>
        <w:rPr>
          <w:b/>
          <w:szCs w:val="22"/>
        </w:rPr>
      </w:pPr>
      <w:r w:rsidRPr="00E428D8">
        <w:rPr>
          <w:szCs w:val="22"/>
        </w:rPr>
        <w:t xml:space="preserve">Some applicants may have previously filed FCC Form 602 disclosing ownership information in connection with wireless services.  </w:t>
      </w:r>
      <w:r w:rsidR="002C0ABF" w:rsidRPr="00E428D8">
        <w:rPr>
          <w:szCs w:val="22"/>
        </w:rPr>
        <w:t xml:space="preserve">In addition, some applicants may have filed a short-form application (FCC Form 175) for a previous auction disclosing ownership information.  </w:t>
      </w:r>
      <w:r w:rsidRPr="00E428D8">
        <w:rPr>
          <w:szCs w:val="22"/>
        </w:rPr>
        <w:t>To simplify filling out FCC Form 175, an applicant’s most current ownership information on file with the Commission</w:t>
      </w:r>
      <w:r w:rsidR="00600214">
        <w:rPr>
          <w:szCs w:val="22"/>
        </w:rPr>
        <w:t xml:space="preserve"> </w:t>
      </w:r>
      <w:r w:rsidR="00600214" w:rsidRPr="00E428D8">
        <w:rPr>
          <w:szCs w:val="22"/>
        </w:rPr>
        <w:t xml:space="preserve">will automatically be entered into </w:t>
      </w:r>
      <w:r w:rsidR="00600214">
        <w:rPr>
          <w:szCs w:val="22"/>
        </w:rPr>
        <w:t>the applicant’s short-</w:t>
      </w:r>
      <w:r w:rsidR="00600214" w:rsidRPr="00DF7948">
        <w:rPr>
          <w:szCs w:val="22"/>
        </w:rPr>
        <w:t>form application</w:t>
      </w:r>
      <w:r w:rsidRPr="00DF7948">
        <w:rPr>
          <w:szCs w:val="22"/>
        </w:rPr>
        <w:t xml:space="preserve">, if </w:t>
      </w:r>
      <w:r w:rsidR="00600214" w:rsidRPr="00DF7948">
        <w:rPr>
          <w:szCs w:val="22"/>
        </w:rPr>
        <w:t>it</w:t>
      </w:r>
      <w:r w:rsidR="007010B7" w:rsidRPr="00DF7948">
        <w:rPr>
          <w:szCs w:val="22"/>
        </w:rPr>
        <w:t xml:space="preserve"> i</w:t>
      </w:r>
      <w:r w:rsidR="00600214" w:rsidRPr="00DF7948">
        <w:rPr>
          <w:szCs w:val="22"/>
        </w:rPr>
        <w:t xml:space="preserve">s </w:t>
      </w:r>
      <w:r w:rsidRPr="00DF7948">
        <w:rPr>
          <w:szCs w:val="22"/>
        </w:rPr>
        <w:t xml:space="preserve">in an electronic format compatible with </w:t>
      </w:r>
      <w:r w:rsidR="00E428D8" w:rsidRPr="00DF7948">
        <w:rPr>
          <w:szCs w:val="22"/>
        </w:rPr>
        <w:t>the short-form application (</w:t>
      </w:r>
      <w:r w:rsidRPr="00DF7948">
        <w:rPr>
          <w:szCs w:val="22"/>
        </w:rPr>
        <w:t>FCC Form 175</w:t>
      </w:r>
      <w:r w:rsidR="00E428D8" w:rsidRPr="00DF7948">
        <w:rPr>
          <w:szCs w:val="22"/>
        </w:rPr>
        <w:t>) (such as information submitted in an on-line FCC Form 602 or in an FCC Form 175 filed for a previous auction using ISAS)</w:t>
      </w:r>
      <w:r w:rsidR="00600214" w:rsidRPr="00DF7948">
        <w:rPr>
          <w:szCs w:val="22"/>
        </w:rPr>
        <w:t>.</w:t>
      </w:r>
      <w:r w:rsidRPr="00DF7948">
        <w:rPr>
          <w:szCs w:val="22"/>
        </w:rPr>
        <w:t xml:space="preserve">  Applicants with ownership information automatically entered into FCC Form 175 will proceed directly to the </w:t>
      </w:r>
      <w:r w:rsidRPr="00DF7948">
        <w:rPr>
          <w:i/>
          <w:szCs w:val="22"/>
        </w:rPr>
        <w:t>View/Edit Ownership</w:t>
      </w:r>
      <w:r w:rsidRPr="00DF7948">
        <w:rPr>
          <w:szCs w:val="22"/>
        </w:rPr>
        <w:t xml:space="preserve"> screen described below.</w:t>
      </w:r>
      <w:r w:rsidR="00A3408A" w:rsidRPr="00DF7948">
        <w:rPr>
          <w:szCs w:val="22"/>
        </w:rPr>
        <w:t xml:space="preserve">  </w:t>
      </w:r>
    </w:p>
    <w:p w:rsidR="00CB3C0D" w:rsidRPr="00DF7948" w:rsidRDefault="00CB3C0D" w:rsidP="00C07C81">
      <w:pPr>
        <w:widowControl/>
        <w:rPr>
          <w:szCs w:val="22"/>
        </w:rPr>
      </w:pPr>
    </w:p>
    <w:p w:rsidR="00CB3C0D" w:rsidRPr="00CA6286" w:rsidRDefault="00CB3C0D" w:rsidP="00C07C81">
      <w:pPr>
        <w:widowControl/>
        <w:rPr>
          <w:szCs w:val="22"/>
        </w:rPr>
      </w:pPr>
      <w:r w:rsidRPr="00DF7948">
        <w:rPr>
          <w:szCs w:val="22"/>
        </w:rPr>
        <w:t>Each applicant is responsible for information submitted in its FCC Form 175 being complete and accurate.  A</w:t>
      </w:r>
      <w:r w:rsidR="000B3E6E" w:rsidRPr="00DF7948">
        <w:rPr>
          <w:szCs w:val="22"/>
        </w:rPr>
        <w:t>n a</w:t>
      </w:r>
      <w:r w:rsidRPr="00DF7948">
        <w:rPr>
          <w:szCs w:val="22"/>
        </w:rPr>
        <w:t xml:space="preserve">pplicant </w:t>
      </w:r>
      <w:r w:rsidR="004F58B2" w:rsidRPr="00DF7948">
        <w:rPr>
          <w:szCs w:val="22"/>
        </w:rPr>
        <w:t xml:space="preserve">must </w:t>
      </w:r>
      <w:r w:rsidRPr="00DF7948">
        <w:rPr>
          <w:szCs w:val="22"/>
        </w:rPr>
        <w:t xml:space="preserve">carefully review any information automatically entered to confirm that it is complete and accurate as of the deadline for submitting </w:t>
      </w:r>
      <w:r w:rsidR="000B3E6E" w:rsidRPr="00DF7948">
        <w:rPr>
          <w:szCs w:val="22"/>
        </w:rPr>
        <w:t>its</w:t>
      </w:r>
      <w:r w:rsidRPr="00DF7948">
        <w:rPr>
          <w:szCs w:val="22"/>
        </w:rPr>
        <w:t xml:space="preserve"> short-form application</w:t>
      </w:r>
      <w:r w:rsidR="00753399" w:rsidRPr="00DF7948">
        <w:rPr>
          <w:szCs w:val="22"/>
        </w:rPr>
        <w:t xml:space="preserve"> in this auction</w:t>
      </w:r>
      <w:r w:rsidRPr="00DF7948">
        <w:rPr>
          <w:szCs w:val="22"/>
        </w:rPr>
        <w:t xml:space="preserve">.  </w:t>
      </w:r>
      <w:r w:rsidR="00600214" w:rsidRPr="00DF7948">
        <w:rPr>
          <w:szCs w:val="22"/>
        </w:rPr>
        <w:t>I</w:t>
      </w:r>
      <w:r w:rsidRPr="00DF7948">
        <w:rPr>
          <w:szCs w:val="22"/>
        </w:rPr>
        <w:t>nformation</w:t>
      </w:r>
      <w:r w:rsidR="004F58B2" w:rsidRPr="00DF7948">
        <w:rPr>
          <w:szCs w:val="22"/>
        </w:rPr>
        <w:t xml:space="preserve"> must be corrected</w:t>
      </w:r>
      <w:r w:rsidRPr="00DF7948">
        <w:rPr>
          <w:szCs w:val="22"/>
        </w:rPr>
        <w:t xml:space="preserve"> directly in the FCC Form 175.  After the deadline for filing</w:t>
      </w:r>
      <w:r w:rsidRPr="001F60FA">
        <w:rPr>
          <w:szCs w:val="22"/>
        </w:rPr>
        <w:t xml:space="preserve"> </w:t>
      </w:r>
      <w:r w:rsidR="00600214">
        <w:rPr>
          <w:szCs w:val="22"/>
        </w:rPr>
        <w:t xml:space="preserve">this </w:t>
      </w:r>
      <w:r w:rsidRPr="001F60FA">
        <w:rPr>
          <w:szCs w:val="22"/>
        </w:rPr>
        <w:t xml:space="preserve">FCC Form 175, </w:t>
      </w:r>
      <w:r w:rsidR="00600214">
        <w:rPr>
          <w:szCs w:val="22"/>
        </w:rPr>
        <w:t xml:space="preserve">submitted </w:t>
      </w:r>
      <w:r w:rsidRPr="001F60FA">
        <w:rPr>
          <w:szCs w:val="22"/>
        </w:rPr>
        <w:t xml:space="preserve">ownership information will be considered to be the applicant’s most current </w:t>
      </w:r>
      <w:r w:rsidR="00600214">
        <w:rPr>
          <w:szCs w:val="22"/>
        </w:rPr>
        <w:t xml:space="preserve">information </w:t>
      </w:r>
      <w:r w:rsidRPr="001F60FA">
        <w:rPr>
          <w:szCs w:val="22"/>
        </w:rPr>
        <w:t>on file with the Commission</w:t>
      </w:r>
      <w:r w:rsidR="00753399" w:rsidRPr="001F60FA">
        <w:rPr>
          <w:szCs w:val="22"/>
        </w:rPr>
        <w:t xml:space="preserve"> for this auction</w:t>
      </w:r>
      <w:r w:rsidRPr="001F60FA">
        <w:rPr>
          <w:szCs w:val="22"/>
        </w:rPr>
        <w:t>.</w:t>
      </w:r>
    </w:p>
    <w:p w:rsidR="00CB3C0D" w:rsidRPr="00CA6286" w:rsidRDefault="00CB3C0D" w:rsidP="00C07C81">
      <w:pPr>
        <w:widowControl/>
        <w:rPr>
          <w:szCs w:val="22"/>
        </w:rPr>
      </w:pPr>
    </w:p>
    <w:p w:rsidR="00CB3C0D" w:rsidRPr="00CA6286" w:rsidRDefault="00CB3C0D" w:rsidP="00C07C81">
      <w:pPr>
        <w:pStyle w:val="Heading4"/>
        <w:widowControl/>
        <w:spacing w:after="220"/>
        <w:rPr>
          <w:szCs w:val="22"/>
        </w:rPr>
      </w:pPr>
      <w:bookmarkStart w:id="4949" w:name="_Toc130730988"/>
      <w:bookmarkStart w:id="4950" w:name="_Toc130814216"/>
      <w:bookmarkStart w:id="4951" w:name="_Toc130814538"/>
      <w:bookmarkStart w:id="4952" w:name="_Toc130814670"/>
      <w:bookmarkStart w:id="4953" w:name="_Toc130883553"/>
      <w:bookmarkStart w:id="4954" w:name="_Toc130885664"/>
      <w:bookmarkStart w:id="4955" w:name="_Toc131844643"/>
      <w:bookmarkStart w:id="4956" w:name="_Toc148330578"/>
      <w:bookmarkStart w:id="4957" w:name="_Toc149645631"/>
      <w:bookmarkStart w:id="4958" w:name="_Toc149997934"/>
      <w:bookmarkStart w:id="4959" w:name="_Toc158180809"/>
      <w:bookmarkStart w:id="4960" w:name="_Toc158785657"/>
      <w:bookmarkStart w:id="4961" w:name="_Toc178768564"/>
      <w:bookmarkStart w:id="4962" w:name="_Toc179196005"/>
      <w:bookmarkStart w:id="4963" w:name="_Toc179361968"/>
      <w:bookmarkStart w:id="4964" w:name="_Toc179363752"/>
      <w:bookmarkStart w:id="4965" w:name="_Toc197504986"/>
      <w:bookmarkStart w:id="4966" w:name="_Toc198007767"/>
      <w:bookmarkStart w:id="4967" w:name="_Toc198007918"/>
      <w:bookmarkStart w:id="4968" w:name="_Toc198008270"/>
      <w:bookmarkStart w:id="4969" w:name="_Toc198008407"/>
      <w:bookmarkStart w:id="4970" w:name="_Toc198008954"/>
      <w:bookmarkStart w:id="4971" w:name="_Toc198369850"/>
      <w:bookmarkStart w:id="4972" w:name="_Toc216090773"/>
      <w:bookmarkStart w:id="4973" w:name="_Toc226958279"/>
      <w:bookmarkStart w:id="4974" w:name="_Toc227038339"/>
      <w:bookmarkStart w:id="4975" w:name="_Toc254792644"/>
      <w:bookmarkStart w:id="4976" w:name="_Toc256669768"/>
      <w:bookmarkStart w:id="4977" w:name="_Toc257213303"/>
      <w:bookmarkStart w:id="4978" w:name="_Toc257382988"/>
      <w:bookmarkStart w:id="4979" w:name="_Toc274056245"/>
      <w:bookmarkStart w:id="4980" w:name="_Toc276657651"/>
      <w:bookmarkStart w:id="4981" w:name="_Toc278366497"/>
      <w:bookmarkStart w:id="4982" w:name="_Toc307584091"/>
      <w:bookmarkStart w:id="4983" w:name="_Toc307937365"/>
      <w:bookmarkStart w:id="4984" w:name="_Toc362256821"/>
      <w:bookmarkStart w:id="4985" w:name="_Toc366056575"/>
      <w:bookmarkStart w:id="4986" w:name="_Toc366223777"/>
      <w:bookmarkStart w:id="4987" w:name="_Toc366229490"/>
      <w:bookmarkStart w:id="4988" w:name="_Toc366583533"/>
      <w:r w:rsidRPr="00CA6286">
        <w:rPr>
          <w:szCs w:val="22"/>
        </w:rPr>
        <w:t>Disclosable Interest Holders and FCC-Regulated Businesses</w:t>
      </w:r>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r w:rsidRPr="00CA6286">
        <w:rPr>
          <w:szCs w:val="22"/>
        </w:rPr>
        <w:t xml:space="preserve"> </w:t>
      </w:r>
    </w:p>
    <w:p w:rsidR="00CB3C0D" w:rsidRPr="00CA6286" w:rsidRDefault="00CB3C0D" w:rsidP="00C07C81">
      <w:pPr>
        <w:widowControl/>
        <w:rPr>
          <w:szCs w:val="22"/>
        </w:rPr>
      </w:pPr>
      <w:r w:rsidRPr="00CA6286">
        <w:rPr>
          <w:szCs w:val="22"/>
        </w:rPr>
        <w:t>•  Sections 1.2105 and 1.2112(a) of the Commission’s rules list the interest holders in the applicant that must be disclosed in FCC Form 175.</w:t>
      </w:r>
      <w:r w:rsidRPr="00CA6286">
        <w:rPr>
          <w:rStyle w:val="FootnoteReference"/>
          <w:szCs w:val="22"/>
        </w:rPr>
        <w:footnoteReference w:id="315"/>
      </w:r>
      <w:r w:rsidRPr="00CA6286">
        <w:rPr>
          <w:szCs w:val="22"/>
        </w:rPr>
        <w:t xml:space="preserve">  </w:t>
      </w:r>
      <w:r w:rsidR="00C65590" w:rsidRPr="000B3E6E">
        <w:rPr>
          <w:b/>
          <w:szCs w:val="22"/>
        </w:rPr>
        <w:t>Applicants should note that holders of both direct and indirect interests must be reported</w:t>
      </w:r>
      <w:r w:rsidR="00C65590">
        <w:rPr>
          <w:szCs w:val="22"/>
        </w:rPr>
        <w:t>.</w:t>
      </w:r>
    </w:p>
    <w:p w:rsidR="00CB3C0D" w:rsidRPr="00CA6286" w:rsidRDefault="00CB3C0D" w:rsidP="00C07C81">
      <w:pPr>
        <w:widowControl/>
        <w:rPr>
          <w:szCs w:val="22"/>
        </w:rPr>
      </w:pPr>
    </w:p>
    <w:p w:rsidR="00CB3C0D" w:rsidRPr="00CA6286" w:rsidRDefault="00CB3C0D" w:rsidP="00C07C81">
      <w:pPr>
        <w:widowControl/>
        <w:rPr>
          <w:szCs w:val="22"/>
        </w:rPr>
      </w:pPr>
      <w:r w:rsidRPr="00CA6286">
        <w:rPr>
          <w:szCs w:val="22"/>
        </w:rPr>
        <w:t>•  Section 1.2112(a)(7) lists the FCC-regulated business entities, or applicants for an FCC license, that must be disclosed in FCC Form 175.</w:t>
      </w:r>
      <w:r w:rsidRPr="00CA6286">
        <w:rPr>
          <w:rStyle w:val="FootnoteReference"/>
          <w:szCs w:val="22"/>
        </w:rPr>
        <w:footnoteReference w:id="316"/>
      </w:r>
    </w:p>
    <w:p w:rsidR="00CB3C0D" w:rsidRPr="00CA6286" w:rsidRDefault="00CB3C0D" w:rsidP="00C07C81">
      <w:pPr>
        <w:widowControl/>
        <w:rPr>
          <w:szCs w:val="22"/>
        </w:rPr>
      </w:pPr>
    </w:p>
    <w:p w:rsidR="00CB3C0D" w:rsidRPr="00CA6286" w:rsidRDefault="00CB3C0D" w:rsidP="00C07C81">
      <w:pPr>
        <w:widowControl/>
        <w:rPr>
          <w:rStyle w:val="Emphasis"/>
          <w:i w:val="0"/>
          <w:szCs w:val="22"/>
        </w:rPr>
      </w:pPr>
      <w:r w:rsidRPr="00CA6286">
        <w:rPr>
          <w:rStyle w:val="Emphasis"/>
          <w:i w:val="0"/>
          <w:szCs w:val="22"/>
        </w:rPr>
        <w:t xml:space="preserve">The initial </w:t>
      </w:r>
      <w:r w:rsidRPr="00CA6286">
        <w:rPr>
          <w:rStyle w:val="Emphasis"/>
          <w:szCs w:val="22"/>
        </w:rPr>
        <w:t>Ownership</w:t>
      </w:r>
      <w:r w:rsidRPr="00CA6286">
        <w:rPr>
          <w:rStyle w:val="Emphasis"/>
          <w:i w:val="0"/>
          <w:szCs w:val="22"/>
        </w:rPr>
        <w:t xml:space="preserve"> screen enables the applicant to add information regarding either a </w:t>
      </w:r>
      <w:r w:rsidRPr="00CA6286">
        <w:rPr>
          <w:szCs w:val="22"/>
        </w:rPr>
        <w:t>disclosable</w:t>
      </w:r>
      <w:r w:rsidRPr="00CA6286">
        <w:rPr>
          <w:rStyle w:val="Emphasis"/>
          <w:i w:val="0"/>
          <w:szCs w:val="22"/>
        </w:rPr>
        <w:t xml:space="preserve"> </w:t>
      </w:r>
      <w:r w:rsidRPr="00CA6286">
        <w:rPr>
          <w:szCs w:val="22"/>
        </w:rPr>
        <w:t>interest</w:t>
      </w:r>
      <w:r w:rsidRPr="00CA6286">
        <w:rPr>
          <w:rStyle w:val="Emphasis"/>
          <w:i w:val="0"/>
          <w:szCs w:val="22"/>
        </w:rPr>
        <w:t xml:space="preserve"> holder or the FCC-</w:t>
      </w:r>
      <w:r w:rsidRPr="00DF7948">
        <w:rPr>
          <w:rStyle w:val="Emphasis"/>
          <w:i w:val="0"/>
          <w:szCs w:val="22"/>
        </w:rPr>
        <w:t>regulated businesses in which the applicant</w:t>
      </w:r>
      <w:r w:rsidR="00F43C53" w:rsidRPr="00DF7948">
        <w:rPr>
          <w:rStyle w:val="Emphasis"/>
          <w:i w:val="0"/>
          <w:szCs w:val="22"/>
        </w:rPr>
        <w:t xml:space="preserve"> </w:t>
      </w:r>
      <w:r w:rsidRPr="00DF7948">
        <w:rPr>
          <w:rStyle w:val="Emphasis"/>
          <w:i w:val="0"/>
          <w:szCs w:val="22"/>
        </w:rPr>
        <w:t>has an interest</w:t>
      </w:r>
      <w:r w:rsidR="00F43C53" w:rsidRPr="00DF7948">
        <w:rPr>
          <w:rStyle w:val="Emphasis"/>
          <w:i w:val="0"/>
          <w:szCs w:val="22"/>
        </w:rPr>
        <w:t xml:space="preserve"> or </w:t>
      </w:r>
      <w:r w:rsidR="00386910" w:rsidRPr="00DF7948">
        <w:rPr>
          <w:rStyle w:val="Emphasis"/>
          <w:i w:val="0"/>
          <w:szCs w:val="22"/>
        </w:rPr>
        <w:t>parties</w:t>
      </w:r>
      <w:r w:rsidR="00F43C53" w:rsidRPr="00DF7948">
        <w:rPr>
          <w:rStyle w:val="Emphasis"/>
          <w:i w:val="0"/>
          <w:szCs w:val="22"/>
        </w:rPr>
        <w:t xml:space="preserve"> with 10% or more </w:t>
      </w:r>
      <w:r w:rsidR="00386910" w:rsidRPr="00DF7948">
        <w:rPr>
          <w:rStyle w:val="Emphasis"/>
          <w:i w:val="0"/>
          <w:szCs w:val="22"/>
        </w:rPr>
        <w:t xml:space="preserve">ownership </w:t>
      </w:r>
      <w:r w:rsidR="00F43C53" w:rsidRPr="00DF7948">
        <w:rPr>
          <w:rStyle w:val="Emphasis"/>
          <w:i w:val="0"/>
          <w:szCs w:val="22"/>
        </w:rPr>
        <w:t>interest in the applicant</w:t>
      </w:r>
      <w:r w:rsidR="00F43C53" w:rsidRPr="00DF7948" w:rsidDel="00F43C53">
        <w:rPr>
          <w:rStyle w:val="Emphasis"/>
          <w:i w:val="0"/>
          <w:szCs w:val="22"/>
        </w:rPr>
        <w:t xml:space="preserve"> </w:t>
      </w:r>
      <w:r w:rsidR="00F43C53" w:rsidRPr="00DF7948">
        <w:rPr>
          <w:rStyle w:val="Emphasis"/>
          <w:i w:val="0"/>
          <w:szCs w:val="22"/>
        </w:rPr>
        <w:t>have an interest</w:t>
      </w:r>
      <w:r w:rsidRPr="00DF7948">
        <w:rPr>
          <w:rStyle w:val="Emphasis"/>
          <w:i w:val="0"/>
          <w:szCs w:val="22"/>
        </w:rPr>
        <w:t>.  Each screen will specify the information that the applicant must provide.  Please note the following with respect to particular information</w:t>
      </w:r>
      <w:r w:rsidRPr="00CA6286">
        <w:rPr>
          <w:rStyle w:val="Emphasis"/>
          <w:i w:val="0"/>
          <w:szCs w:val="22"/>
        </w:rPr>
        <w:t xml:space="preserve"> requested:</w:t>
      </w:r>
    </w:p>
    <w:p w:rsidR="00CB3C0D" w:rsidRPr="00CA6286" w:rsidRDefault="00CB3C0D" w:rsidP="00C07C81">
      <w:pPr>
        <w:widowControl/>
        <w:jc w:val="both"/>
        <w:rPr>
          <w:szCs w:val="22"/>
        </w:rPr>
      </w:pPr>
    </w:p>
    <w:p w:rsidR="00CB3C0D" w:rsidRPr="00CA6286" w:rsidRDefault="00CB3C0D" w:rsidP="00C07C81">
      <w:pPr>
        <w:widowControl/>
        <w:numPr>
          <w:ilvl w:val="0"/>
          <w:numId w:val="7"/>
        </w:numPr>
        <w:rPr>
          <w:szCs w:val="22"/>
        </w:rPr>
      </w:pPr>
      <w:r w:rsidRPr="00CA6286">
        <w:rPr>
          <w:b/>
          <w:szCs w:val="22"/>
        </w:rPr>
        <w:t>If an application includes one or more disclosable interest holders with indirect ownership in the applicant,</w:t>
      </w:r>
      <w:r w:rsidRPr="00CA6286">
        <w:rPr>
          <w:rStyle w:val="FootnoteReference"/>
          <w:b/>
          <w:szCs w:val="22"/>
        </w:rPr>
        <w:footnoteReference w:id="317"/>
      </w:r>
      <w:r w:rsidRPr="00CA6286">
        <w:rPr>
          <w:b/>
          <w:szCs w:val="22"/>
        </w:rPr>
        <w:t xml:space="preserve"> the application must </w:t>
      </w:r>
      <w:r w:rsidRPr="00DF7948">
        <w:rPr>
          <w:b/>
          <w:szCs w:val="22"/>
        </w:rPr>
        <w:t xml:space="preserve">include an attachment </w:t>
      </w:r>
      <w:r w:rsidR="00495E3E" w:rsidRPr="00DF7948">
        <w:rPr>
          <w:b/>
          <w:szCs w:val="22"/>
        </w:rPr>
        <w:t>describing</w:t>
      </w:r>
      <w:r w:rsidRPr="00DF7948">
        <w:rPr>
          <w:b/>
          <w:szCs w:val="22"/>
        </w:rPr>
        <w:t xml:space="preserve"> the relationship between the indirect interest holder(s) and the applicant.</w:t>
      </w:r>
      <w:r w:rsidRPr="00DF7948">
        <w:rPr>
          <w:szCs w:val="22"/>
        </w:rPr>
        <w:t xml:space="preserve">  The attachment should provide an overview of the ownership chain that links the indirect owner</w:t>
      </w:r>
      <w:r w:rsidR="000B3E6E" w:rsidRPr="00DF7948">
        <w:rPr>
          <w:szCs w:val="22"/>
        </w:rPr>
        <w:t>(</w:t>
      </w:r>
      <w:r w:rsidRPr="00DF7948">
        <w:rPr>
          <w:szCs w:val="22"/>
        </w:rPr>
        <w:t>s</w:t>
      </w:r>
      <w:r w:rsidR="000B3E6E" w:rsidRPr="00DF7948">
        <w:rPr>
          <w:szCs w:val="22"/>
        </w:rPr>
        <w:t>)</w:t>
      </w:r>
      <w:r w:rsidRPr="00DF7948">
        <w:rPr>
          <w:szCs w:val="22"/>
        </w:rPr>
        <w:t xml:space="preserve"> to the applicant, e.g., indirect owner X owns 50% of holding company Y; indirect owner Z owns 50% of holding company Y; and holding company Y owns 100% of the applicant.</w:t>
      </w:r>
      <w:r w:rsidRPr="00DF7948">
        <w:rPr>
          <w:rStyle w:val="FootnoteReference"/>
          <w:szCs w:val="22"/>
        </w:rPr>
        <w:footnoteReference w:id="318"/>
      </w:r>
      <w:r w:rsidRPr="00DF7948">
        <w:rPr>
          <w:szCs w:val="22"/>
        </w:rPr>
        <w:t xml:space="preserve">  One attachment connecting all indirect owners to the applicant is sufficient.  Applicants should not provide separate attachments</w:t>
      </w:r>
      <w:r w:rsidRPr="00CA6286">
        <w:rPr>
          <w:szCs w:val="22"/>
        </w:rPr>
        <w:t xml:space="preserve"> for each indirect owner.  An overview of the ownership connections is sufficient.  The attachment should not duplicate all the detailed information already provided in the data fields of the FCC Form 175.</w:t>
      </w:r>
    </w:p>
    <w:p w:rsidR="00CB3C0D" w:rsidRPr="00CA6286" w:rsidRDefault="00CB3C0D" w:rsidP="00C07C81">
      <w:pPr>
        <w:widowControl/>
        <w:ind w:left="360"/>
        <w:jc w:val="both"/>
        <w:rPr>
          <w:szCs w:val="22"/>
        </w:rPr>
      </w:pPr>
    </w:p>
    <w:p w:rsidR="00CB3C0D" w:rsidRPr="001F60FA" w:rsidRDefault="00CB3C0D" w:rsidP="00C07C81">
      <w:pPr>
        <w:widowControl/>
        <w:numPr>
          <w:ilvl w:val="0"/>
          <w:numId w:val="7"/>
        </w:numPr>
        <w:rPr>
          <w:szCs w:val="22"/>
        </w:rPr>
      </w:pPr>
      <w:r w:rsidRPr="00CA6286">
        <w:rPr>
          <w:szCs w:val="22"/>
        </w:rPr>
        <w:t xml:space="preserve">The “Percent of Interest Held in Applicant” should reflect the disclosable interest holder’s aggregate ownership interest in </w:t>
      </w:r>
      <w:r w:rsidRPr="001F60FA">
        <w:rPr>
          <w:szCs w:val="22"/>
        </w:rPr>
        <w:t>the applicant</w:t>
      </w:r>
      <w:r w:rsidR="00753399" w:rsidRPr="001F60FA">
        <w:rPr>
          <w:szCs w:val="22"/>
        </w:rPr>
        <w:t xml:space="preserve"> (both direct and indirect)</w:t>
      </w:r>
      <w:r w:rsidRPr="001F60FA">
        <w:rPr>
          <w:szCs w:val="22"/>
        </w:rPr>
        <w:t xml:space="preserve">.  In some cases, e.g., circumstances where there is joint ownership or indirect ownership resulting in different owners sharing the same ownership interests, the sum of all the percentages held by disclosable interest holders may exceed 100%.  In other cases, a disclosable interest holder may have a 0% </w:t>
      </w:r>
      <w:r w:rsidR="00753399" w:rsidRPr="001F60FA">
        <w:rPr>
          <w:szCs w:val="22"/>
        </w:rPr>
        <w:t xml:space="preserve">ownership </w:t>
      </w:r>
      <w:r w:rsidRPr="001F60FA">
        <w:rPr>
          <w:szCs w:val="22"/>
        </w:rPr>
        <w:t>interest in the applicant</w:t>
      </w:r>
      <w:r w:rsidR="002131B0">
        <w:rPr>
          <w:szCs w:val="22"/>
        </w:rPr>
        <w:t>, e.g., directors and officers of an entity seeking revenue-based bidding credits</w:t>
      </w:r>
      <w:r w:rsidR="004C2DF4" w:rsidRPr="001F60FA">
        <w:rPr>
          <w:szCs w:val="22"/>
        </w:rPr>
        <w:t>.</w:t>
      </w:r>
      <w:r w:rsidR="002131B0">
        <w:rPr>
          <w:rStyle w:val="FootnoteReference"/>
          <w:szCs w:val="22"/>
        </w:rPr>
        <w:footnoteReference w:id="319"/>
      </w:r>
    </w:p>
    <w:p w:rsidR="00CB3C0D" w:rsidRPr="001F60FA" w:rsidRDefault="00CB3C0D" w:rsidP="00C07C81">
      <w:pPr>
        <w:widowControl/>
        <w:jc w:val="both"/>
        <w:rPr>
          <w:szCs w:val="22"/>
        </w:rPr>
      </w:pPr>
    </w:p>
    <w:p w:rsidR="00CB3C0D" w:rsidRPr="00CA6286" w:rsidRDefault="00CB3C0D" w:rsidP="00C07C81">
      <w:pPr>
        <w:widowControl/>
        <w:numPr>
          <w:ilvl w:val="0"/>
          <w:numId w:val="7"/>
        </w:numPr>
        <w:rPr>
          <w:szCs w:val="22"/>
        </w:rPr>
      </w:pPr>
      <w:r w:rsidRPr="001F60FA">
        <w:rPr>
          <w:szCs w:val="22"/>
        </w:rPr>
        <w:t>FCC-regulated businesses in which the applicant has a</w:t>
      </w:r>
      <w:r w:rsidR="00C65590">
        <w:rPr>
          <w:szCs w:val="22"/>
        </w:rPr>
        <w:t xml:space="preserve"> direct</w:t>
      </w:r>
      <w:r w:rsidRPr="001F60FA">
        <w:rPr>
          <w:szCs w:val="22"/>
        </w:rPr>
        <w:t xml:space="preserve"> interest can be entered from the initial</w:t>
      </w:r>
      <w:r w:rsidRPr="00CA6286">
        <w:rPr>
          <w:szCs w:val="22"/>
        </w:rPr>
        <w:t xml:space="preserve"> </w:t>
      </w:r>
      <w:r w:rsidRPr="00CA6286">
        <w:rPr>
          <w:i/>
          <w:szCs w:val="22"/>
        </w:rPr>
        <w:t xml:space="preserve">Add Ownership Disclosure Information </w:t>
      </w:r>
      <w:r w:rsidRPr="00CA6286">
        <w:rPr>
          <w:szCs w:val="22"/>
        </w:rPr>
        <w:t>screen.  FCC-regulated businesses in which a disclosable interest holder has a</w:t>
      </w:r>
      <w:r w:rsidR="00C65590">
        <w:rPr>
          <w:szCs w:val="22"/>
        </w:rPr>
        <w:t xml:space="preserve"> direct</w:t>
      </w:r>
      <w:r w:rsidRPr="00CA6286">
        <w:rPr>
          <w:szCs w:val="22"/>
        </w:rPr>
        <w:t xml:space="preserve"> interest can be entered from the </w:t>
      </w:r>
      <w:r w:rsidRPr="00CA6286">
        <w:rPr>
          <w:i/>
          <w:szCs w:val="22"/>
        </w:rPr>
        <w:t>Add FCC Regulated Business</w:t>
      </w:r>
      <w:r w:rsidRPr="00CA6286">
        <w:rPr>
          <w:szCs w:val="22"/>
        </w:rPr>
        <w:t xml:space="preserve"> screen in the series of screens for entering information about a disclosable interest holder.</w:t>
      </w:r>
    </w:p>
    <w:p w:rsidR="00CB3C0D" w:rsidRPr="00CA6286" w:rsidRDefault="00CB3C0D" w:rsidP="00C07C81">
      <w:pPr>
        <w:widowControl/>
        <w:jc w:val="both"/>
        <w:rPr>
          <w:szCs w:val="22"/>
        </w:rPr>
      </w:pPr>
    </w:p>
    <w:p w:rsidR="00CB3C0D" w:rsidRPr="00CA6286" w:rsidRDefault="00CB3C0D" w:rsidP="00C07C81">
      <w:pPr>
        <w:widowControl/>
        <w:numPr>
          <w:ilvl w:val="0"/>
          <w:numId w:val="7"/>
        </w:numPr>
        <w:rPr>
          <w:szCs w:val="22"/>
        </w:rPr>
      </w:pPr>
      <w:r w:rsidRPr="00CA6286">
        <w:rPr>
          <w:szCs w:val="22"/>
        </w:rPr>
        <w:t xml:space="preserve">When adding an FCC-regulated business, “Percent of Interest Held” refers to the percent of interest held </w:t>
      </w:r>
      <w:r w:rsidR="00C65590">
        <w:rPr>
          <w:szCs w:val="22"/>
        </w:rPr>
        <w:t xml:space="preserve">directly </w:t>
      </w:r>
      <w:r w:rsidRPr="00CA6286">
        <w:rPr>
          <w:szCs w:val="22"/>
        </w:rPr>
        <w:t>by the applicant or disclosable interest holder, as applicable, in the FCC-regulated business.</w:t>
      </w:r>
      <w:r w:rsidR="00C65590">
        <w:rPr>
          <w:szCs w:val="22"/>
        </w:rPr>
        <w:t xml:space="preserve">  FCC-regulated businesses in which the applicant or disclosable interest holder has an indirect interest need not be reported in the FCC Form 175.</w:t>
      </w:r>
    </w:p>
    <w:p w:rsidR="00CB3C0D" w:rsidRPr="00CA6286" w:rsidRDefault="00CB3C0D" w:rsidP="00C07C81">
      <w:pPr>
        <w:widowControl/>
        <w:jc w:val="both"/>
        <w:rPr>
          <w:szCs w:val="22"/>
        </w:rPr>
      </w:pPr>
    </w:p>
    <w:p w:rsidR="00CB3C0D" w:rsidRPr="00CA6286" w:rsidRDefault="00CB3C0D" w:rsidP="00C07C81">
      <w:pPr>
        <w:widowControl/>
        <w:numPr>
          <w:ilvl w:val="0"/>
          <w:numId w:val="7"/>
        </w:numPr>
        <w:rPr>
          <w:szCs w:val="22"/>
        </w:rPr>
      </w:pPr>
      <w:r w:rsidRPr="00CA6286">
        <w:rPr>
          <w:szCs w:val="22"/>
        </w:rPr>
        <w:t xml:space="preserve">To simplify filling out the FCC Form 175, applicants can click on the </w:t>
      </w:r>
      <w:r w:rsidRPr="00CA6286">
        <w:rPr>
          <w:b/>
          <w:szCs w:val="22"/>
        </w:rPr>
        <w:t xml:space="preserve">Select Business(es) Already Submitted </w:t>
      </w:r>
      <w:r w:rsidRPr="00CA6286">
        <w:rPr>
          <w:szCs w:val="22"/>
        </w:rPr>
        <w:t>link when entering an FCC-regulated business previously entered as an FCC-regulated business for the applicant or another disclosable interest holder.  When doing so, be certain to enter the “Percent of Interest Held” in the FCC-regulated business by the current party, either the applicant or the disclosable interest holder, with respect to which the FCC-regulated business is being entered.</w:t>
      </w:r>
    </w:p>
    <w:p w:rsidR="00CB3C0D" w:rsidRPr="00CA6286" w:rsidRDefault="00CB3C0D" w:rsidP="00C07C81">
      <w:pPr>
        <w:widowControl/>
        <w:jc w:val="both"/>
        <w:rPr>
          <w:b/>
          <w:szCs w:val="22"/>
        </w:rPr>
      </w:pPr>
    </w:p>
    <w:p w:rsidR="00CB3C0D" w:rsidRPr="00CA6286" w:rsidRDefault="00CB3C0D" w:rsidP="00C07C81">
      <w:pPr>
        <w:pStyle w:val="Heading4"/>
        <w:widowControl/>
        <w:spacing w:after="220"/>
        <w:rPr>
          <w:szCs w:val="22"/>
        </w:rPr>
      </w:pPr>
      <w:bookmarkStart w:id="4989" w:name="_Toc130730989"/>
      <w:bookmarkStart w:id="4990" w:name="_Toc130814217"/>
      <w:bookmarkStart w:id="4991" w:name="_Toc130814539"/>
      <w:bookmarkStart w:id="4992" w:name="_Toc130814671"/>
      <w:bookmarkStart w:id="4993" w:name="_Toc130883554"/>
      <w:bookmarkStart w:id="4994" w:name="_Toc130885665"/>
      <w:bookmarkStart w:id="4995" w:name="_Toc131844644"/>
      <w:bookmarkStart w:id="4996" w:name="_Toc148330579"/>
      <w:bookmarkStart w:id="4997" w:name="_Toc149645632"/>
      <w:bookmarkStart w:id="4998" w:name="_Toc149997935"/>
      <w:bookmarkStart w:id="4999" w:name="_Toc158180810"/>
      <w:bookmarkStart w:id="5000" w:name="_Toc158785658"/>
      <w:bookmarkStart w:id="5001" w:name="_Toc178768565"/>
      <w:bookmarkStart w:id="5002" w:name="_Toc179196006"/>
      <w:bookmarkStart w:id="5003" w:name="_Toc179361969"/>
      <w:bookmarkStart w:id="5004" w:name="_Toc179363753"/>
      <w:bookmarkStart w:id="5005" w:name="_Toc197504987"/>
      <w:bookmarkStart w:id="5006" w:name="_Toc198007768"/>
      <w:bookmarkStart w:id="5007" w:name="_Toc198007919"/>
      <w:bookmarkStart w:id="5008" w:name="_Toc198008271"/>
      <w:bookmarkStart w:id="5009" w:name="_Toc198008408"/>
      <w:bookmarkStart w:id="5010" w:name="_Toc198008955"/>
      <w:bookmarkStart w:id="5011" w:name="_Toc198369851"/>
      <w:bookmarkStart w:id="5012" w:name="_Toc216090774"/>
      <w:bookmarkStart w:id="5013" w:name="_Toc226958280"/>
      <w:bookmarkStart w:id="5014" w:name="_Toc227038340"/>
      <w:bookmarkStart w:id="5015" w:name="_Toc254792645"/>
      <w:bookmarkStart w:id="5016" w:name="_Toc256669769"/>
      <w:bookmarkStart w:id="5017" w:name="_Toc257213304"/>
      <w:bookmarkStart w:id="5018" w:name="_Toc257382989"/>
      <w:bookmarkStart w:id="5019" w:name="_Toc274056246"/>
      <w:bookmarkStart w:id="5020" w:name="_Toc276657652"/>
      <w:bookmarkStart w:id="5021" w:name="_Toc278366498"/>
      <w:bookmarkStart w:id="5022" w:name="_Toc307584092"/>
      <w:bookmarkStart w:id="5023" w:name="_Toc307937366"/>
      <w:bookmarkStart w:id="5024" w:name="_Toc362256822"/>
      <w:bookmarkStart w:id="5025" w:name="_Toc366056576"/>
      <w:bookmarkStart w:id="5026" w:name="_Toc366223778"/>
      <w:bookmarkStart w:id="5027" w:name="_Toc366229491"/>
      <w:bookmarkStart w:id="5028" w:name="_Toc366583534"/>
      <w:r w:rsidRPr="00CA6286">
        <w:rPr>
          <w:szCs w:val="22"/>
        </w:rPr>
        <w:t>View/Edit Ownership Disclosure Information</w:t>
      </w:r>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p>
    <w:p w:rsidR="00CB3C0D" w:rsidRPr="00CA6286" w:rsidRDefault="00CB3C0D" w:rsidP="00C07C81">
      <w:pPr>
        <w:widowControl/>
        <w:spacing w:before="100" w:beforeAutospacing="1" w:after="100" w:afterAutospacing="1"/>
        <w:rPr>
          <w:szCs w:val="22"/>
        </w:rPr>
      </w:pPr>
      <w:r w:rsidRPr="00CA6286">
        <w:rPr>
          <w:szCs w:val="22"/>
        </w:rPr>
        <w:t xml:space="preserve">The </w:t>
      </w:r>
      <w:r w:rsidRPr="00CA6286">
        <w:rPr>
          <w:i/>
          <w:szCs w:val="22"/>
        </w:rPr>
        <w:t>View/Edit Ownership Disclosure Information</w:t>
      </w:r>
      <w:r w:rsidRPr="00CA6286">
        <w:rPr>
          <w:szCs w:val="22"/>
        </w:rPr>
        <w:t xml:space="preserve"> screen summarizes ownership information already entered in the FCC Form 175, either automatically from compatible ownership information on file with the Commission or directly by the applicant, and provides links enabling existing information to be revised and additional information to be added.</w:t>
      </w:r>
    </w:p>
    <w:p w:rsidR="00CB3C0D" w:rsidRPr="00CA6286" w:rsidRDefault="00CB3C0D" w:rsidP="00C07C81">
      <w:pPr>
        <w:keepLines/>
        <w:widowControl/>
        <w:spacing w:before="100" w:beforeAutospacing="1" w:after="100" w:afterAutospacing="1"/>
        <w:rPr>
          <w:szCs w:val="22"/>
        </w:rPr>
      </w:pPr>
      <w:r w:rsidRPr="00CA6286">
        <w:rPr>
          <w:szCs w:val="22"/>
        </w:rPr>
        <w:t xml:space="preserve">Existing ownership information is </w:t>
      </w:r>
      <w:r w:rsidRPr="001F60FA">
        <w:rPr>
          <w:szCs w:val="22"/>
        </w:rPr>
        <w:t xml:space="preserve">divided into </w:t>
      </w:r>
      <w:r w:rsidR="0045615D" w:rsidRPr="001F60FA">
        <w:rPr>
          <w:szCs w:val="22"/>
        </w:rPr>
        <w:t>t</w:t>
      </w:r>
      <w:r w:rsidR="005228F0">
        <w:rPr>
          <w:szCs w:val="22"/>
        </w:rPr>
        <w:t>hree</w:t>
      </w:r>
      <w:r w:rsidRPr="001F60FA">
        <w:rPr>
          <w:szCs w:val="22"/>
        </w:rPr>
        <w:t xml:space="preserve"> groups:</w:t>
      </w:r>
      <w:r w:rsidRPr="00CA6286">
        <w:rPr>
          <w:szCs w:val="22"/>
        </w:rPr>
        <w:t xml:space="preserve"> </w:t>
      </w:r>
    </w:p>
    <w:p w:rsidR="00CB3C0D" w:rsidRPr="00B15925" w:rsidRDefault="00CB3C0D" w:rsidP="00C07C81">
      <w:pPr>
        <w:keepLines/>
        <w:widowControl/>
        <w:numPr>
          <w:ilvl w:val="0"/>
          <w:numId w:val="9"/>
        </w:numPr>
        <w:spacing w:before="100" w:beforeAutospacing="1"/>
        <w:ind w:left="360" w:firstLine="0"/>
        <w:rPr>
          <w:szCs w:val="22"/>
        </w:rPr>
      </w:pPr>
      <w:r w:rsidRPr="00B15925">
        <w:rPr>
          <w:szCs w:val="22"/>
        </w:rPr>
        <w:t>Disclosable Interest Holders of this Applicant</w:t>
      </w:r>
    </w:p>
    <w:p w:rsidR="00CB3C0D" w:rsidRDefault="00CB3C0D" w:rsidP="00C07C81">
      <w:pPr>
        <w:keepLines/>
        <w:widowControl/>
        <w:numPr>
          <w:ilvl w:val="0"/>
          <w:numId w:val="9"/>
        </w:numPr>
        <w:ind w:left="360" w:firstLine="0"/>
        <w:rPr>
          <w:szCs w:val="22"/>
        </w:rPr>
      </w:pPr>
      <w:r w:rsidRPr="00B15925">
        <w:rPr>
          <w:szCs w:val="22"/>
        </w:rPr>
        <w:t>FCC-Regulated Businesses of this Applicant</w:t>
      </w:r>
    </w:p>
    <w:p w:rsidR="005228F0" w:rsidRDefault="005228F0" w:rsidP="00C07C81">
      <w:pPr>
        <w:keepLines/>
        <w:widowControl/>
        <w:numPr>
          <w:ilvl w:val="0"/>
          <w:numId w:val="9"/>
        </w:numPr>
        <w:ind w:left="360" w:firstLine="0"/>
        <w:rPr>
          <w:szCs w:val="22"/>
        </w:rPr>
      </w:pPr>
      <w:r>
        <w:rPr>
          <w:szCs w:val="22"/>
        </w:rPr>
        <w:t>Affiliates of this Applicant and of the Applicant’s Controlling Interests (i.e., those entities that are not Disclosable Interest Holders)</w:t>
      </w:r>
    </w:p>
    <w:p w:rsidR="00CB3C0D" w:rsidRDefault="00CB3C0D" w:rsidP="00C07C81">
      <w:pPr>
        <w:widowControl/>
        <w:spacing w:before="100" w:beforeAutospacing="1" w:after="100" w:afterAutospacing="1"/>
        <w:rPr>
          <w:szCs w:val="22"/>
        </w:rPr>
      </w:pPr>
      <w:r w:rsidRPr="00B15925">
        <w:rPr>
          <w:szCs w:val="22"/>
        </w:rPr>
        <w:t>To view the detailed information</w:t>
      </w:r>
      <w:r w:rsidRPr="00CA6286">
        <w:rPr>
          <w:szCs w:val="22"/>
        </w:rPr>
        <w:t xml:space="preserve"> submitted regarding the applicant, a disclosable interest holder</w:t>
      </w:r>
      <w:r w:rsidR="00FD12B7">
        <w:rPr>
          <w:szCs w:val="22"/>
        </w:rPr>
        <w:t xml:space="preserve"> or</w:t>
      </w:r>
      <w:r w:rsidRPr="00CA6286">
        <w:rPr>
          <w:szCs w:val="22"/>
        </w:rPr>
        <w:t xml:space="preserve"> FCC-regulated business, </w:t>
      </w:r>
      <w:r w:rsidR="005228F0">
        <w:rPr>
          <w:szCs w:val="22"/>
        </w:rPr>
        <w:t xml:space="preserve">or an affiliate, </w:t>
      </w:r>
      <w:r w:rsidRPr="00CA6286">
        <w:rPr>
          <w:szCs w:val="22"/>
        </w:rPr>
        <w:t>click on the relevant party’s name.  To delete existing information or add a new entry in one of the categories, click on the relevant link.  This screen also provides a link enabling applicants to add an FCC-regulated business directly to an existing disclosable interest holder, without needing to reenter the disclosable interest holder’s information.</w:t>
      </w:r>
    </w:p>
    <w:p w:rsidR="005228F0" w:rsidRDefault="005228F0" w:rsidP="005228F0">
      <w:pPr>
        <w:pStyle w:val="Heading4"/>
      </w:pPr>
      <w:bookmarkStart w:id="5029" w:name="_Toc362256823"/>
      <w:bookmarkStart w:id="5030" w:name="_Toc366056577"/>
      <w:bookmarkStart w:id="5031" w:name="_Toc366223779"/>
      <w:bookmarkStart w:id="5032" w:name="_Toc366229492"/>
      <w:bookmarkStart w:id="5033" w:name="_Toc366583535"/>
      <w:r>
        <w:t>Bidding Credit Revenue Information</w:t>
      </w:r>
      <w:bookmarkEnd w:id="5029"/>
      <w:bookmarkEnd w:id="5030"/>
      <w:bookmarkEnd w:id="5031"/>
      <w:bookmarkEnd w:id="5032"/>
      <w:bookmarkEnd w:id="5033"/>
    </w:p>
    <w:p w:rsidR="005228F0" w:rsidRDefault="005228F0" w:rsidP="005228F0">
      <w:pPr>
        <w:widowControl/>
        <w:tabs>
          <w:tab w:val="left" w:pos="108"/>
          <w:tab w:val="left" w:pos="1080"/>
        </w:tabs>
        <w:rPr>
          <w:szCs w:val="22"/>
        </w:rPr>
      </w:pPr>
      <w:r>
        <w:rPr>
          <w:szCs w:val="22"/>
        </w:rPr>
        <w:t>Applicants claiming eligibility for a bidding credit based on revenues must provide revenue information described below regarding entities related to the applicant by ownership or control.  In addition, applicants are also required to provide information regarding any arrangements for the lease or resale (including wholesale agreements) of any of the capacity of any of the applicant’s spectrum, as well as the gross revenues of entities with which the applicant has an attributable material relationship as a result of such arrangements.</w:t>
      </w:r>
      <w:r>
        <w:rPr>
          <w:rStyle w:val="FootnoteReference"/>
          <w:szCs w:val="22"/>
        </w:rPr>
        <w:footnoteReference w:id="320"/>
      </w:r>
      <w:r>
        <w:rPr>
          <w:szCs w:val="22"/>
        </w:rPr>
        <w:t xml:space="preserve">  Information regarding arrangements for lease or resale (</w:t>
      </w:r>
      <w:r w:rsidR="004360D3">
        <w:rPr>
          <w:szCs w:val="22"/>
        </w:rPr>
        <w:t>including</w:t>
      </w:r>
      <w:r>
        <w:rPr>
          <w:szCs w:val="22"/>
        </w:rPr>
        <w:t xml:space="preserve"> wholesale agreements), as well as related entities and revenues, must be provided in an attachment to the FCC Form 175.  The procedure for attaching this information is described below i</w:t>
      </w:r>
      <w:r w:rsidRPr="00864271">
        <w:rPr>
          <w:szCs w:val="22"/>
        </w:rPr>
        <w:t xml:space="preserve">n </w:t>
      </w:r>
      <w:r w:rsidRPr="00115B71">
        <w:rPr>
          <w:szCs w:val="22"/>
        </w:rPr>
        <w:t>Section I.C.6</w:t>
      </w:r>
      <w:r w:rsidRPr="00864271">
        <w:rPr>
          <w:szCs w:val="22"/>
        </w:rPr>
        <w:t>, belo</w:t>
      </w:r>
      <w:r>
        <w:rPr>
          <w:szCs w:val="22"/>
        </w:rPr>
        <w:t>w.</w:t>
      </w:r>
    </w:p>
    <w:p w:rsidR="005228F0" w:rsidRDefault="005228F0" w:rsidP="005228F0">
      <w:pPr>
        <w:widowControl/>
        <w:tabs>
          <w:tab w:val="left" w:pos="108"/>
          <w:tab w:val="left" w:pos="1080"/>
        </w:tabs>
        <w:rPr>
          <w:szCs w:val="22"/>
        </w:rPr>
      </w:pPr>
    </w:p>
    <w:p w:rsidR="005228F0" w:rsidRDefault="005228F0" w:rsidP="005228F0">
      <w:pPr>
        <w:widowControl/>
        <w:tabs>
          <w:tab w:val="left" w:pos="108"/>
          <w:tab w:val="left" w:pos="1080"/>
        </w:tabs>
        <w:rPr>
          <w:szCs w:val="22"/>
        </w:rPr>
      </w:pPr>
      <w:r>
        <w:rPr>
          <w:szCs w:val="22"/>
        </w:rPr>
        <w:t xml:space="preserve">If the applicant has claimed eligibility for a bidding credit based on revenues attributable to the applicant and related parties, the first </w:t>
      </w:r>
      <w:r>
        <w:rPr>
          <w:i/>
          <w:szCs w:val="22"/>
        </w:rPr>
        <w:t>Ownership</w:t>
      </w:r>
      <w:r>
        <w:rPr>
          <w:szCs w:val="22"/>
        </w:rPr>
        <w:t xml:space="preserve"> screen will request relevant information regarding the applicant’s revenues.  The subsequent screen will request which of the two sources of financial information authorized by section 1.2110(o) the applicant used for the revenue information (either audited financial statements or financial statements prepared in accordance with Generally Accepted Accounting Principles that are certified as accurate by the applicant’s chief financial officer or equivalent).</w:t>
      </w:r>
      <w:r>
        <w:rPr>
          <w:rStyle w:val="FootnoteReference"/>
          <w:szCs w:val="22"/>
        </w:rPr>
        <w:footnoteReference w:id="321"/>
      </w:r>
      <w:r>
        <w:rPr>
          <w:szCs w:val="22"/>
        </w:rPr>
        <w:t xml:space="preserve"> </w:t>
      </w:r>
    </w:p>
    <w:p w:rsidR="005228F0" w:rsidRDefault="005228F0" w:rsidP="005228F0">
      <w:pPr>
        <w:widowControl/>
        <w:tabs>
          <w:tab w:val="left" w:pos="108"/>
          <w:tab w:val="left" w:pos="1080"/>
        </w:tabs>
        <w:rPr>
          <w:szCs w:val="22"/>
        </w:rPr>
      </w:pPr>
    </w:p>
    <w:p w:rsidR="005228F0" w:rsidRDefault="005228F0" w:rsidP="005228F0">
      <w:pPr>
        <w:widowControl/>
        <w:tabs>
          <w:tab w:val="left" w:pos="108"/>
          <w:tab w:val="left" w:pos="1080"/>
        </w:tabs>
        <w:rPr>
          <w:szCs w:val="22"/>
        </w:rPr>
      </w:pPr>
      <w:r>
        <w:rPr>
          <w:szCs w:val="22"/>
        </w:rPr>
        <w:t>Applicants claiming eligibility for a bidding credit based on revenues are required to provide revenue information separately, and in the aggregate, for the applicant, its affiliates, its controlling interests, and affiliates of its controlling interests.  In addition, if the applicant is a consortium of small businesses, the information must be provided with respect to each member comprising the consortium.</w:t>
      </w:r>
      <w:r>
        <w:rPr>
          <w:rStyle w:val="FootnoteReference"/>
          <w:szCs w:val="22"/>
        </w:rPr>
        <w:footnoteReference w:id="322"/>
      </w:r>
      <w:r>
        <w:rPr>
          <w:szCs w:val="22"/>
        </w:rPr>
        <w:t xml:space="preserve">  </w:t>
      </w:r>
    </w:p>
    <w:p w:rsidR="005228F0" w:rsidRDefault="005228F0" w:rsidP="005228F0">
      <w:pPr>
        <w:widowControl/>
        <w:tabs>
          <w:tab w:val="left" w:pos="108"/>
          <w:tab w:val="left" w:pos="1080"/>
        </w:tabs>
        <w:rPr>
          <w:szCs w:val="22"/>
        </w:rPr>
      </w:pPr>
    </w:p>
    <w:p w:rsidR="005228F0" w:rsidRDefault="005228F0" w:rsidP="005228F0">
      <w:pPr>
        <w:widowControl/>
        <w:tabs>
          <w:tab w:val="left" w:pos="108"/>
          <w:tab w:val="left" w:pos="1080"/>
        </w:tabs>
        <w:rPr>
          <w:b/>
          <w:szCs w:val="22"/>
        </w:rPr>
      </w:pPr>
      <w:r>
        <w:rPr>
          <w:szCs w:val="22"/>
        </w:rPr>
        <w:t>The Commission’s definition of an affiliate of the applicant encompasses both controlling interests of the applicant and affiliates of controlling interests of the applicant.</w:t>
      </w:r>
      <w:r>
        <w:rPr>
          <w:rStyle w:val="FootnoteReference"/>
          <w:szCs w:val="22"/>
        </w:rPr>
        <w:footnoteReference w:id="323"/>
      </w:r>
      <w:r>
        <w:rPr>
          <w:szCs w:val="22"/>
        </w:rPr>
        <w:t xml:space="preserve">  </w:t>
      </w:r>
      <w:r w:rsidR="004360D3">
        <w:rPr>
          <w:szCs w:val="22"/>
        </w:rPr>
        <w:t>A</w:t>
      </w:r>
      <w:r>
        <w:rPr>
          <w:szCs w:val="22"/>
        </w:rPr>
        <w:t xml:space="preserve">n applicant can enter </w:t>
      </w:r>
      <w:r w:rsidR="004360D3">
        <w:rPr>
          <w:szCs w:val="22"/>
        </w:rPr>
        <w:t xml:space="preserve">on the FCC Form 175 </w:t>
      </w:r>
      <w:r>
        <w:rPr>
          <w:szCs w:val="22"/>
        </w:rPr>
        <w:t xml:space="preserve">information about itself, its disclosable interest holders, and its affiliates.  </w:t>
      </w:r>
      <w:r>
        <w:rPr>
          <w:b/>
          <w:szCs w:val="22"/>
        </w:rPr>
        <w:t>In those instances where a controlling interest or an affiliate of a controlling interest is not a disclosable interest holder, information regarding those entities should be disclosed in the “Affiliates of Applicant” screens.</w:t>
      </w:r>
    </w:p>
    <w:p w:rsidR="005228F0" w:rsidRDefault="005228F0" w:rsidP="005228F0">
      <w:pPr>
        <w:widowControl/>
        <w:tabs>
          <w:tab w:val="left" w:pos="108"/>
          <w:tab w:val="left" w:pos="1080"/>
        </w:tabs>
        <w:rPr>
          <w:b/>
          <w:szCs w:val="22"/>
        </w:rPr>
      </w:pPr>
    </w:p>
    <w:p w:rsidR="005228F0" w:rsidRDefault="005228F0" w:rsidP="005228F0">
      <w:pPr>
        <w:widowControl/>
        <w:tabs>
          <w:tab w:val="left" w:pos="108"/>
          <w:tab w:val="left" w:pos="1080"/>
        </w:tabs>
        <w:rPr>
          <w:szCs w:val="22"/>
        </w:rPr>
      </w:pPr>
      <w:r>
        <w:rPr>
          <w:szCs w:val="22"/>
        </w:rPr>
        <w:t xml:space="preserve">Following the first two screens, the subsequent screen will be similar to the initial </w:t>
      </w:r>
      <w:r>
        <w:rPr>
          <w:i/>
          <w:szCs w:val="22"/>
        </w:rPr>
        <w:t>Ownership</w:t>
      </w:r>
      <w:r>
        <w:rPr>
          <w:szCs w:val="22"/>
        </w:rPr>
        <w:t xml:space="preserve"> screen described above, except applicants claiming eligibility for bidding credits will also have an option to add information regarding affiliates that are not disclosable interest holders, including the affiliates’ revenues.</w:t>
      </w:r>
      <w:r>
        <w:rPr>
          <w:rStyle w:val="FootnoteReference"/>
          <w:szCs w:val="22"/>
        </w:rPr>
        <w:footnoteReference w:id="324"/>
      </w:r>
      <w:r>
        <w:rPr>
          <w:szCs w:val="22"/>
        </w:rPr>
        <w:t xml:space="preserve">  </w:t>
      </w:r>
    </w:p>
    <w:p w:rsidR="005228F0" w:rsidRDefault="005228F0" w:rsidP="005228F0">
      <w:pPr>
        <w:widowControl/>
        <w:tabs>
          <w:tab w:val="left" w:pos="108"/>
          <w:tab w:val="left" w:pos="1080"/>
        </w:tabs>
        <w:rPr>
          <w:szCs w:val="22"/>
        </w:rPr>
      </w:pPr>
    </w:p>
    <w:p w:rsidR="005228F0" w:rsidRDefault="005228F0" w:rsidP="005228F0">
      <w:pPr>
        <w:widowControl/>
        <w:tabs>
          <w:tab w:val="left" w:pos="108"/>
          <w:tab w:val="left" w:pos="1080"/>
        </w:tabs>
        <w:rPr>
          <w:szCs w:val="22"/>
        </w:rPr>
      </w:pPr>
      <w:r>
        <w:rPr>
          <w:szCs w:val="22"/>
        </w:rPr>
        <w:t>Applicants that claim eligibility based on revenues attributable to the applicant and related parties will be requested to provide revenue information for each disclosable interest holder.  With respect to disclosable interest holders that are affiliates or controlling interests of the applicant, applicants will fill out two screens similar to those described above with respect to the applicant, i.e., one screen requesting the relevant information and a second screen regarding the source of the revenue information.</w:t>
      </w:r>
    </w:p>
    <w:p w:rsidR="005228F0" w:rsidRDefault="005228F0" w:rsidP="005228F0">
      <w:pPr>
        <w:widowControl/>
        <w:tabs>
          <w:tab w:val="left" w:pos="108"/>
          <w:tab w:val="left" w:pos="1080"/>
        </w:tabs>
        <w:rPr>
          <w:szCs w:val="22"/>
        </w:rPr>
      </w:pPr>
    </w:p>
    <w:p w:rsidR="005228F0" w:rsidRDefault="005228F0" w:rsidP="005228F0">
      <w:pPr>
        <w:widowControl/>
        <w:tabs>
          <w:tab w:val="left" w:pos="108"/>
          <w:tab w:val="left" w:pos="1080"/>
        </w:tabs>
        <w:autoSpaceDE w:val="0"/>
        <w:autoSpaceDN w:val="0"/>
        <w:adjustRightInd w:val="0"/>
        <w:rPr>
          <w:snapToGrid/>
          <w:szCs w:val="22"/>
        </w:rPr>
      </w:pPr>
      <w:r>
        <w:rPr>
          <w:snapToGrid/>
          <w:szCs w:val="22"/>
        </w:rPr>
        <w:t>There may be circumstances in which the revenue information need not be provided for certain disclosable interest holders.  For example, some entities that must be disclosed in the short-form application pursuant to section 1.2112(a) may not be affiliates of the applicant, controlling interests of the applicant, or affiliates of the applicant’s controlling interests.</w:t>
      </w:r>
      <w:r>
        <w:rPr>
          <w:rStyle w:val="FootnoteReference"/>
          <w:snapToGrid/>
          <w:szCs w:val="22"/>
        </w:rPr>
        <w:footnoteReference w:id="325"/>
      </w:r>
      <w:r>
        <w:rPr>
          <w:snapToGrid/>
          <w:szCs w:val="22"/>
        </w:rPr>
        <w:t xml:space="preserve">  Because revenues for such disclosable interest holders are not attributable to the applicant, the applicant could indicate on the first screen requesting revenue information for that disclosable interest holder that no revenue information is required pursuant to the Commission’s rules.  To report that no revenue information needs to be disclosed, check the box indicating that the disclosable interest holder is </w:t>
      </w:r>
      <w:r>
        <w:rPr>
          <w:bCs/>
          <w:snapToGrid/>
          <w:szCs w:val="22"/>
        </w:rPr>
        <w:t>not</w:t>
      </w:r>
      <w:r>
        <w:rPr>
          <w:snapToGrid/>
          <w:szCs w:val="22"/>
        </w:rPr>
        <w:t xml:space="preserve"> an affiliate or a controlling interest within the meaning of the Commission’s rules.  </w:t>
      </w:r>
      <w:r>
        <w:rPr>
          <w:b/>
          <w:snapToGrid/>
          <w:szCs w:val="22"/>
        </w:rPr>
        <w:t xml:space="preserve">If the disclosable interest holder is an individual or entity that is required to disclose revenue information, you </w:t>
      </w:r>
      <w:r w:rsidRPr="003C3861">
        <w:rPr>
          <w:b/>
          <w:snapToGrid/>
          <w:szCs w:val="22"/>
        </w:rPr>
        <w:t xml:space="preserve">should not check this box </w:t>
      </w:r>
      <w:r>
        <w:rPr>
          <w:b/>
          <w:snapToGrid/>
          <w:szCs w:val="22"/>
        </w:rPr>
        <w:t xml:space="preserve">even </w:t>
      </w:r>
      <w:r w:rsidRPr="003C3861">
        <w:rPr>
          <w:b/>
          <w:snapToGrid/>
          <w:szCs w:val="22"/>
        </w:rPr>
        <w:t>if gross revenues are zero for the relevant time period.</w:t>
      </w:r>
    </w:p>
    <w:p w:rsidR="005228F0" w:rsidRDefault="005228F0" w:rsidP="005228F0">
      <w:pPr>
        <w:widowControl/>
        <w:tabs>
          <w:tab w:val="left" w:pos="108"/>
          <w:tab w:val="left" w:pos="1080"/>
        </w:tabs>
        <w:autoSpaceDE w:val="0"/>
        <w:autoSpaceDN w:val="0"/>
        <w:adjustRightInd w:val="0"/>
        <w:rPr>
          <w:snapToGrid/>
          <w:szCs w:val="22"/>
        </w:rPr>
      </w:pPr>
    </w:p>
    <w:p w:rsidR="005228F0" w:rsidRDefault="005228F0" w:rsidP="005228F0">
      <w:pPr>
        <w:widowControl/>
        <w:tabs>
          <w:tab w:val="left" w:pos="108"/>
          <w:tab w:val="left" w:pos="1080"/>
        </w:tabs>
        <w:rPr>
          <w:szCs w:val="22"/>
        </w:rPr>
      </w:pPr>
      <w:r w:rsidRPr="007F0096">
        <w:rPr>
          <w:iCs/>
          <w:snapToGrid/>
          <w:szCs w:val="22"/>
          <w:u w:val="single"/>
        </w:rPr>
        <w:t>Eligible Rural Telephone Cooperatives</w:t>
      </w:r>
      <w:r>
        <w:rPr>
          <w:iCs/>
          <w:snapToGrid/>
          <w:szCs w:val="22"/>
          <w:u w:val="single"/>
        </w:rPr>
        <w:t xml:space="preserve"> Claiming Certain Gross Revenues to Be Exempt from Attribution</w:t>
      </w:r>
      <w:r>
        <w:rPr>
          <w:snapToGrid/>
          <w:szCs w:val="22"/>
        </w:rPr>
        <w:t>.  An applicant will be exempt from attribution of gross revenues of an affiliate or a controlling interest in the applicant if such entity meets all of the conditions set forth in section 1.2110(b)(3)(iii) of the Commission’s rules.</w:t>
      </w:r>
      <w:r>
        <w:rPr>
          <w:rStyle w:val="FootnoteReference"/>
          <w:snapToGrid/>
          <w:szCs w:val="22"/>
        </w:rPr>
        <w:footnoteReference w:id="326"/>
      </w:r>
      <w:r>
        <w:rPr>
          <w:snapToGrid/>
          <w:szCs w:val="22"/>
        </w:rPr>
        <w:t xml:space="preserve">  </w:t>
      </w:r>
      <w:r>
        <w:rPr>
          <w:b/>
          <w:snapToGrid/>
          <w:szCs w:val="22"/>
        </w:rPr>
        <w:t xml:space="preserve">If an applicant claims that it (or its controlling interest) is an eligible rural telephone cooperative pursuant to section 1.2110(b)(3)(iii), it should not check the box indicating that the disclosable interest holder is </w:t>
      </w:r>
      <w:r>
        <w:rPr>
          <w:b/>
          <w:bCs/>
          <w:snapToGrid/>
          <w:szCs w:val="22"/>
        </w:rPr>
        <w:t>not</w:t>
      </w:r>
      <w:r>
        <w:rPr>
          <w:b/>
          <w:snapToGrid/>
          <w:szCs w:val="22"/>
        </w:rPr>
        <w:t xml:space="preserve"> an affiliate or a controlling interest.</w:t>
      </w:r>
      <w:r>
        <w:rPr>
          <w:snapToGrid/>
          <w:szCs w:val="22"/>
        </w:rPr>
        <w:t xml:space="preserve">  The applicant should instead indicate that the affiliate or controlling interest has zero gross revenues.  It must also provide, in an attachment to the FCC Form 175, an affirmative statement that the applicant, affiliate and/or controlling interest is an eligible rural telephone cooperative within the meaning of section 1.2110(b)(3)(iii) and supply any additional information as may be required to demonstrate eligibility for the exemption from the attribution rule.</w:t>
      </w:r>
      <w:r>
        <w:rPr>
          <w:rStyle w:val="FootnoteReference"/>
          <w:snapToGrid/>
          <w:szCs w:val="22"/>
        </w:rPr>
        <w:footnoteReference w:id="327"/>
      </w:r>
    </w:p>
    <w:p w:rsidR="005228F0" w:rsidRDefault="005228F0" w:rsidP="005228F0">
      <w:pPr>
        <w:widowControl/>
        <w:tabs>
          <w:tab w:val="left" w:pos="108"/>
          <w:tab w:val="left" w:pos="1080"/>
        </w:tabs>
        <w:rPr>
          <w:szCs w:val="22"/>
        </w:rPr>
      </w:pPr>
    </w:p>
    <w:p w:rsidR="005228F0" w:rsidRDefault="005228F0" w:rsidP="005228F0">
      <w:pPr>
        <w:widowControl/>
        <w:tabs>
          <w:tab w:val="left" w:pos="108"/>
          <w:tab w:val="left" w:pos="1080"/>
        </w:tabs>
        <w:rPr>
          <w:szCs w:val="22"/>
        </w:rPr>
      </w:pPr>
      <w:r>
        <w:rPr>
          <w:szCs w:val="22"/>
        </w:rPr>
        <w:t>In addition, an applicant may have affiliates that are not disclosable interest holders.  To disclose information regarding such affiliates and their revenues required pursuant to Commission rule,</w:t>
      </w:r>
      <w:r>
        <w:rPr>
          <w:rStyle w:val="FootnoteReference"/>
          <w:szCs w:val="22"/>
        </w:rPr>
        <w:footnoteReference w:id="328"/>
      </w:r>
      <w:r>
        <w:rPr>
          <w:szCs w:val="22"/>
        </w:rPr>
        <w:t xml:space="preserve"> applicants can click on the </w:t>
      </w:r>
      <w:r>
        <w:rPr>
          <w:b/>
          <w:szCs w:val="22"/>
        </w:rPr>
        <w:t xml:space="preserve">ADD AFFILIATE </w:t>
      </w:r>
      <w:r>
        <w:rPr>
          <w:szCs w:val="22"/>
        </w:rPr>
        <w:t xml:space="preserve">button on the initial </w:t>
      </w:r>
      <w:r>
        <w:rPr>
          <w:i/>
          <w:szCs w:val="22"/>
        </w:rPr>
        <w:t>Ownership</w:t>
      </w:r>
      <w:r>
        <w:rPr>
          <w:szCs w:val="22"/>
        </w:rPr>
        <w:t xml:space="preserve"> screen.  Applicants also can click on the </w:t>
      </w:r>
      <w:r>
        <w:rPr>
          <w:b/>
          <w:szCs w:val="22"/>
        </w:rPr>
        <w:t xml:space="preserve">Add Affiliate to Applicant </w:t>
      </w:r>
      <w:r>
        <w:rPr>
          <w:szCs w:val="22"/>
        </w:rPr>
        <w:t xml:space="preserve">link on the </w:t>
      </w:r>
      <w:r>
        <w:rPr>
          <w:i/>
          <w:szCs w:val="22"/>
        </w:rPr>
        <w:t>View/Edit Ownership Disclosure Information</w:t>
      </w:r>
      <w:r>
        <w:rPr>
          <w:szCs w:val="22"/>
        </w:rPr>
        <w:t xml:space="preserve"> screen to disclose information regarding affiliates and their revenues. </w:t>
      </w:r>
    </w:p>
    <w:p w:rsidR="005228F0" w:rsidRDefault="005228F0" w:rsidP="005228F0">
      <w:pPr>
        <w:widowControl/>
        <w:tabs>
          <w:tab w:val="left" w:pos="108"/>
          <w:tab w:val="left" w:pos="1080"/>
        </w:tabs>
        <w:rPr>
          <w:szCs w:val="22"/>
        </w:rPr>
      </w:pPr>
      <w:r>
        <w:rPr>
          <w:szCs w:val="22"/>
        </w:rPr>
        <w:t xml:space="preserve"> </w:t>
      </w:r>
    </w:p>
    <w:p w:rsidR="005228F0" w:rsidRDefault="005228F0" w:rsidP="005228F0">
      <w:pPr>
        <w:widowControl/>
        <w:tabs>
          <w:tab w:val="left" w:pos="108"/>
          <w:tab w:val="left" w:pos="1080"/>
        </w:tabs>
        <w:rPr>
          <w:szCs w:val="22"/>
        </w:rPr>
      </w:pPr>
      <w:r>
        <w:rPr>
          <w:szCs w:val="22"/>
        </w:rPr>
        <w:t xml:space="preserve">Applicants providing information regarding an affiliate must provide the name of the affiliate and the affiliate’s principal business.  To simplify filling out FCC Form 175, an applicant can click on the </w:t>
      </w:r>
      <w:r>
        <w:rPr>
          <w:b/>
          <w:szCs w:val="22"/>
        </w:rPr>
        <w:t xml:space="preserve">Select Business(es) Already Submitted </w:t>
      </w:r>
      <w:r>
        <w:rPr>
          <w:szCs w:val="22"/>
        </w:rPr>
        <w:t xml:space="preserve">link when entering an affiliate that previously was entered as an FCC-regulated business for the applicant or a disclosable interest holder.  Applicants will fill out two screens similar to those described above with respect to the affiliate, i.e., one screen requesting the relevant information and a second screen regarding the source of the revenue information.  </w:t>
      </w:r>
    </w:p>
    <w:p w:rsidR="005228F0" w:rsidRDefault="005228F0" w:rsidP="005228F0">
      <w:pPr>
        <w:widowControl/>
        <w:tabs>
          <w:tab w:val="left" w:pos="108"/>
          <w:tab w:val="left" w:pos="1080"/>
        </w:tabs>
        <w:rPr>
          <w:szCs w:val="22"/>
        </w:rPr>
      </w:pPr>
    </w:p>
    <w:p w:rsidR="005228F0" w:rsidRDefault="005228F0" w:rsidP="005228F0">
      <w:pPr>
        <w:widowControl/>
        <w:tabs>
          <w:tab w:val="left" w:pos="108"/>
          <w:tab w:val="left" w:pos="1080"/>
        </w:tabs>
        <w:rPr>
          <w:szCs w:val="22"/>
        </w:rPr>
      </w:pPr>
      <w:r w:rsidRPr="005228F0">
        <w:rPr>
          <w:szCs w:val="22"/>
        </w:rPr>
        <w:t>Finally, applicants claiming eligibility for bidding credits based on revenues attributable to the applicant and related parties will be asked to confirm that they have provided revenue information with respect to each party for which revenue information is required: (1) the applicant; (2) each of the applicant’s officers and directors; (3) each of the applicant’s other controlling interests; (4) each of the applicant’s affiliates; and (5) each affiliate of the applicant’s controlling interests, including its officers and directors.</w:t>
      </w:r>
      <w:r w:rsidRPr="005228F0">
        <w:rPr>
          <w:rStyle w:val="FootnoteReference"/>
          <w:szCs w:val="22"/>
        </w:rPr>
        <w:footnoteReference w:id="329"/>
      </w:r>
    </w:p>
    <w:p w:rsidR="005228F0" w:rsidRPr="005228F0" w:rsidRDefault="005228F0" w:rsidP="005228F0">
      <w:pPr>
        <w:widowControl/>
        <w:tabs>
          <w:tab w:val="left" w:pos="108"/>
          <w:tab w:val="left" w:pos="1080"/>
        </w:tabs>
        <w:rPr>
          <w:szCs w:val="22"/>
        </w:rPr>
      </w:pPr>
    </w:p>
    <w:p w:rsidR="00C15529" w:rsidRDefault="00C15529" w:rsidP="00C07C81">
      <w:pPr>
        <w:pStyle w:val="Heading3"/>
        <w:widowControl/>
        <w:tabs>
          <w:tab w:val="num" w:pos="720"/>
        </w:tabs>
        <w:rPr>
          <w:b w:val="0"/>
          <w:szCs w:val="22"/>
        </w:rPr>
      </w:pPr>
      <w:bookmarkStart w:id="5034" w:name="_Toc366056578"/>
      <w:bookmarkStart w:id="5035" w:name="_Toc366223780"/>
      <w:bookmarkStart w:id="5036" w:name="_Toc366229493"/>
      <w:bookmarkStart w:id="5037" w:name="_Toc366583536"/>
      <w:bookmarkStart w:id="5038" w:name="_Toc98821047"/>
      <w:bookmarkStart w:id="5039" w:name="_Toc98846348"/>
      <w:bookmarkStart w:id="5040" w:name="_Toc98898562"/>
      <w:bookmarkStart w:id="5041" w:name="_Toc98921823"/>
      <w:bookmarkStart w:id="5042" w:name="_Toc98932996"/>
      <w:bookmarkStart w:id="5043" w:name="_Toc101858540"/>
      <w:bookmarkStart w:id="5044" w:name="_Toc109812296"/>
      <w:bookmarkStart w:id="5045" w:name="_Toc130730991"/>
      <w:bookmarkStart w:id="5046" w:name="_Toc130814219"/>
      <w:bookmarkStart w:id="5047" w:name="_Toc130814541"/>
      <w:bookmarkStart w:id="5048" w:name="_Toc130814673"/>
      <w:bookmarkStart w:id="5049" w:name="_Toc130883556"/>
      <w:bookmarkStart w:id="5050" w:name="_Toc130885667"/>
      <w:bookmarkStart w:id="5051" w:name="_Toc131844646"/>
      <w:bookmarkStart w:id="5052" w:name="_Toc148330581"/>
      <w:bookmarkStart w:id="5053" w:name="_Toc148337788"/>
      <w:bookmarkStart w:id="5054" w:name="_Toc148338113"/>
      <w:bookmarkStart w:id="5055" w:name="_Toc148339823"/>
      <w:bookmarkStart w:id="5056" w:name="_Toc148339920"/>
      <w:bookmarkStart w:id="5057" w:name="_Toc149645634"/>
      <w:bookmarkStart w:id="5058" w:name="_Toc149997937"/>
      <w:bookmarkStart w:id="5059" w:name="_Toc158180812"/>
      <w:bookmarkStart w:id="5060" w:name="_Toc158785660"/>
      <w:bookmarkStart w:id="5061" w:name="_Toc178768567"/>
      <w:bookmarkStart w:id="5062" w:name="_Toc179196008"/>
      <w:bookmarkStart w:id="5063" w:name="_Toc179361971"/>
      <w:bookmarkStart w:id="5064" w:name="_Toc179363755"/>
      <w:bookmarkStart w:id="5065" w:name="_Toc197504989"/>
      <w:bookmarkStart w:id="5066" w:name="_Toc198007770"/>
      <w:bookmarkStart w:id="5067" w:name="_Toc198007921"/>
      <w:bookmarkStart w:id="5068" w:name="_Toc198008273"/>
      <w:bookmarkStart w:id="5069" w:name="_Toc198008410"/>
      <w:bookmarkStart w:id="5070" w:name="_Toc198008957"/>
      <w:bookmarkStart w:id="5071" w:name="_Toc198369853"/>
      <w:bookmarkStart w:id="5072" w:name="_Toc216090775"/>
      <w:bookmarkStart w:id="5073" w:name="_Toc226958281"/>
      <w:bookmarkStart w:id="5074" w:name="_Toc227038341"/>
      <w:bookmarkStart w:id="5075" w:name="_Toc254792646"/>
      <w:bookmarkStart w:id="5076" w:name="_Toc256669770"/>
      <w:bookmarkStart w:id="5077" w:name="_Toc257213305"/>
      <w:bookmarkStart w:id="5078" w:name="_Toc257277804"/>
      <w:bookmarkStart w:id="5079" w:name="_Toc257278765"/>
      <w:bookmarkStart w:id="5080" w:name="_Toc257278975"/>
      <w:bookmarkStart w:id="5081" w:name="_Toc257279343"/>
      <w:bookmarkStart w:id="5082" w:name="_Toc257382990"/>
      <w:bookmarkStart w:id="5083" w:name="_Toc274056247"/>
      <w:bookmarkStart w:id="5084" w:name="_Toc276657653"/>
      <w:bookmarkStart w:id="5085" w:name="_Toc278366499"/>
      <w:bookmarkStart w:id="5086" w:name="_Toc307584093"/>
      <w:bookmarkStart w:id="5087" w:name="_Toc307937367"/>
      <w:bookmarkStart w:id="5088" w:name="_Toc348508806"/>
      <w:bookmarkStart w:id="5089" w:name="_Toc362256824"/>
      <w:r>
        <w:rPr>
          <w:szCs w:val="22"/>
        </w:rPr>
        <w:t>Foreign Ownership</w:t>
      </w:r>
      <w:bookmarkEnd w:id="5034"/>
      <w:bookmarkEnd w:id="5035"/>
      <w:bookmarkEnd w:id="5036"/>
      <w:bookmarkEnd w:id="5037"/>
    </w:p>
    <w:p w:rsidR="00FE70ED" w:rsidRDefault="00FE70ED" w:rsidP="00FE70ED">
      <w:pPr>
        <w:autoSpaceDE w:val="0"/>
        <w:autoSpaceDN w:val="0"/>
        <w:adjustRightInd w:val="0"/>
        <w:rPr>
          <w:rFonts w:eastAsiaTheme="minorHAnsi"/>
          <w:color w:val="000000"/>
          <w:szCs w:val="22"/>
        </w:rPr>
      </w:pPr>
      <w:r>
        <w:t>Section 310 of the Communications Act requires the Commission to review foreign investment in radio station licenses and imposes specific restrictions on who may hold certain types of radio licenses.</w:t>
      </w:r>
      <w:r>
        <w:rPr>
          <w:rStyle w:val="FootnoteReference"/>
        </w:rPr>
        <w:footnoteReference w:id="330"/>
      </w:r>
      <w:r>
        <w:t xml:space="preserve">  The provisions of section 310 apply to applications for initial radio licenses, applications for assignments and transfers of control of radio licenses, and spectrum leasing arrangements under the Commission’s secondary market rules.</w:t>
      </w:r>
      <w:r>
        <w:rPr>
          <w:rStyle w:val="FootnoteReference"/>
        </w:rPr>
        <w:footnoteReference w:id="331"/>
      </w:r>
    </w:p>
    <w:p w:rsidR="00FE70ED" w:rsidRDefault="00FE70ED" w:rsidP="00FE70ED">
      <w:pPr>
        <w:autoSpaceDE w:val="0"/>
        <w:autoSpaceDN w:val="0"/>
        <w:adjustRightInd w:val="0"/>
        <w:rPr>
          <w:rFonts w:eastAsiaTheme="minorHAnsi"/>
          <w:color w:val="000000"/>
          <w:szCs w:val="22"/>
        </w:rPr>
      </w:pPr>
    </w:p>
    <w:p w:rsidR="00FE70ED" w:rsidRDefault="00FE70ED" w:rsidP="00FE70ED">
      <w:pPr>
        <w:autoSpaceDE w:val="0"/>
        <w:autoSpaceDN w:val="0"/>
        <w:adjustRightInd w:val="0"/>
      </w:pPr>
      <w:r>
        <w:t>Section 310(a) prohibits a foreign government or its representative from holding any radio license.</w:t>
      </w:r>
      <w:r>
        <w:rPr>
          <w:rStyle w:val="FootnoteReference"/>
        </w:rPr>
        <w:footnoteReference w:id="332"/>
      </w:r>
      <w:r>
        <w:t xml:space="preserve">  Section 310(b) contains specific restrictions on who can hold a broadcast, common carrier, or aeronautical radio station license.  Sections 310(b)(1) and (b)(2) prohibit any alien or representative, and any foreign-organized corporation, respectively, from holding a broadcast, common carrier, </w:t>
      </w:r>
      <w:r w:rsidR="005125D4">
        <w:t xml:space="preserve">aeronautical en route </w:t>
      </w:r>
      <w:r>
        <w:t xml:space="preserve">or aeronautical </w:t>
      </w:r>
      <w:r w:rsidR="005125D4">
        <w:t xml:space="preserve">fixed </w:t>
      </w:r>
      <w:r>
        <w:t>radio station license.</w:t>
      </w:r>
      <w:r>
        <w:rPr>
          <w:rStyle w:val="FootnoteReference"/>
        </w:rPr>
        <w:footnoteReference w:id="333"/>
      </w:r>
      <w:r>
        <w:t xml:space="preserve">  Section 310(b)(3) prohibits foreign individuals, governments, and corporations from owning more than twenty percent of the capital stock of a broadcast, common carrier, or aeronautical radio station licensee.</w:t>
      </w:r>
      <w:r>
        <w:rPr>
          <w:rStyle w:val="FootnoteReference"/>
        </w:rPr>
        <w:footnoteReference w:id="334"/>
      </w:r>
      <w:r>
        <w:t xml:space="preserve">  Section 310(b)(4) establishes a twenty-five percent benchmark for investment by foreign individuals, governments, and corporations in U.S.-organized entities that directly or indirectly control a U.S. broadcast, common carrier, or aeronautical radio station licensee.</w:t>
      </w:r>
      <w:r>
        <w:rPr>
          <w:rStyle w:val="FootnoteReference"/>
        </w:rPr>
        <w:footnoteReference w:id="335"/>
      </w:r>
      <w:r>
        <w:t xml:space="preserve"> </w:t>
      </w:r>
    </w:p>
    <w:p w:rsidR="00FE70ED" w:rsidRDefault="00FE70ED" w:rsidP="00FE70ED">
      <w:pPr>
        <w:autoSpaceDE w:val="0"/>
        <w:autoSpaceDN w:val="0"/>
        <w:adjustRightInd w:val="0"/>
      </w:pPr>
    </w:p>
    <w:p w:rsidR="00FE70ED" w:rsidRDefault="00FE70ED" w:rsidP="00FE70ED">
      <w:pPr>
        <w:autoSpaceDE w:val="0"/>
        <w:autoSpaceDN w:val="0"/>
        <w:adjustRightInd w:val="0"/>
        <w:rPr>
          <w:szCs w:val="22"/>
        </w:rPr>
      </w:pPr>
      <w:r w:rsidRPr="00AE23FC">
        <w:rPr>
          <w:szCs w:val="22"/>
        </w:rPr>
        <w:t xml:space="preserve">In its 2012 </w:t>
      </w:r>
      <w:r w:rsidRPr="00AE23FC">
        <w:rPr>
          <w:i/>
          <w:szCs w:val="22"/>
        </w:rPr>
        <w:t>Foreign Ownership First Report and Order</w:t>
      </w:r>
      <w:r w:rsidRPr="00AE23FC">
        <w:rPr>
          <w:szCs w:val="22"/>
        </w:rPr>
        <w:t>, the Commission determined that it would forbear from applying the foreign ownership limitations in section 310(b)(3) to the class of common carrier licensees in which the foreign investment is held in the licensee</w:t>
      </w:r>
      <w:r>
        <w:t xml:space="preserve"> through U.S.-organized entities that do not control the licensee, to the extent the Commission determines such foreign ownership is consistent with the public interest under the policies and procedures the Commission has adopted for the public interest review of foreign ownership subject to section 310(b)(4).</w:t>
      </w:r>
      <w:r>
        <w:rPr>
          <w:rStyle w:val="FootnoteReference"/>
        </w:rPr>
        <w:footnoteReference w:id="336"/>
      </w:r>
      <w:r>
        <w:t xml:space="preserve">  </w:t>
      </w:r>
      <w:r>
        <w:rPr>
          <w:szCs w:val="22"/>
        </w:rPr>
        <w:t xml:space="preserve">In its 2013 </w:t>
      </w:r>
      <w:r>
        <w:rPr>
          <w:i/>
          <w:szCs w:val="22"/>
        </w:rPr>
        <w:t>Foreign Ownership Second Report and Order</w:t>
      </w:r>
      <w:r w:rsidRPr="00B54C6C">
        <w:rPr>
          <w:szCs w:val="22"/>
        </w:rPr>
        <w:t xml:space="preserve">, </w:t>
      </w:r>
      <w:r>
        <w:rPr>
          <w:szCs w:val="22"/>
        </w:rPr>
        <w:t xml:space="preserve">the Commission adopted </w:t>
      </w:r>
      <w:r w:rsidR="002947D7">
        <w:rPr>
          <w:szCs w:val="22"/>
        </w:rPr>
        <w:t xml:space="preserve">a </w:t>
      </w:r>
      <w:r>
        <w:rPr>
          <w:szCs w:val="22"/>
        </w:rPr>
        <w:t xml:space="preserve">rule codifying its existing requirement that </w:t>
      </w:r>
      <w:r>
        <w:t xml:space="preserve">common carrier licensees subject to section 310(b)(3) forbearance seek and obtain Commission prior approval before foreign ownership in the subject licensee exceeds twenty percent of </w:t>
      </w:r>
      <w:r w:rsidR="002947D7">
        <w:t>its</w:t>
      </w:r>
      <w:r>
        <w:t xml:space="preserve"> equity interests and/or twenty percent of </w:t>
      </w:r>
      <w:r w:rsidR="002947D7">
        <w:t>its</w:t>
      </w:r>
      <w:r>
        <w:t xml:space="preserve"> voting interests.</w:t>
      </w:r>
      <w:r>
        <w:rPr>
          <w:rStyle w:val="FootnoteReference"/>
        </w:rPr>
        <w:footnoteReference w:id="337"/>
      </w:r>
      <w:r>
        <w:t xml:space="preserve">  The Commission similarly adopted a rule </w:t>
      </w:r>
      <w:r>
        <w:rPr>
          <w:szCs w:val="22"/>
        </w:rPr>
        <w:t xml:space="preserve">codifying its existing requirement </w:t>
      </w:r>
      <w:r>
        <w:t xml:space="preserve">that common carrier and aeronautical radio station licensees seek and </w:t>
      </w:r>
      <w:r w:rsidDel="003740DA">
        <w:t xml:space="preserve">obtain </w:t>
      </w:r>
      <w:r>
        <w:t xml:space="preserve">prior Commission approval of their U.S. parents’ foreign ownership under section 310(b)(4) </w:t>
      </w:r>
      <w:r w:rsidRPr="005402E6">
        <w:t>before</w:t>
      </w:r>
      <w:r>
        <w:t xml:space="preserve"> direct or indirect foreign ownership of their U.S. parent companies exceeds the twenty-five percent statutory benchmark.</w:t>
      </w:r>
      <w:r w:rsidRPr="00B54C6C">
        <w:rPr>
          <w:rStyle w:val="FootnoteReference"/>
          <w:szCs w:val="22"/>
        </w:rPr>
        <w:footnoteReference w:id="338"/>
      </w:r>
      <w:r w:rsidRPr="00B54C6C">
        <w:rPr>
          <w:szCs w:val="22"/>
        </w:rPr>
        <w:t xml:space="preserve">  </w:t>
      </w:r>
    </w:p>
    <w:p w:rsidR="00FE70ED" w:rsidRDefault="00FE70ED" w:rsidP="00FE70ED">
      <w:pPr>
        <w:autoSpaceDE w:val="0"/>
        <w:autoSpaceDN w:val="0"/>
        <w:adjustRightInd w:val="0"/>
        <w:rPr>
          <w:szCs w:val="22"/>
        </w:rPr>
      </w:pPr>
    </w:p>
    <w:p w:rsidR="00FE70ED" w:rsidRDefault="00FE70ED" w:rsidP="00FE70ED">
      <w:pPr>
        <w:autoSpaceDE w:val="0"/>
        <w:autoSpaceDN w:val="0"/>
        <w:adjustRightInd w:val="0"/>
        <w:rPr>
          <w:rFonts w:eastAsiaTheme="minorHAnsi"/>
          <w:color w:val="000000"/>
          <w:szCs w:val="22"/>
        </w:rPr>
      </w:pPr>
      <w:r w:rsidRPr="00B54C6C">
        <w:rPr>
          <w:szCs w:val="22"/>
        </w:rPr>
        <w:t>In keeping with this pre-approval process, an auction applicant is required to certify in its short-form application (FCC Form 175)</w:t>
      </w:r>
      <w:r>
        <w:rPr>
          <w:szCs w:val="22"/>
        </w:rPr>
        <w:t xml:space="preserve"> that, </w:t>
      </w:r>
      <w:r>
        <w:t xml:space="preserve">as of the deadline for filing a short-form application for the auction, the applicant is in compliance with the foreign ownership provisions of section 310 or that it has filed a </w:t>
      </w:r>
      <w:r w:rsidRPr="00B54C6C">
        <w:rPr>
          <w:szCs w:val="22"/>
        </w:rPr>
        <w:t xml:space="preserve">petition for declaratory ruling requesting </w:t>
      </w:r>
      <w:r w:rsidR="005125D4">
        <w:rPr>
          <w:szCs w:val="22"/>
        </w:rPr>
        <w:t xml:space="preserve">Commission approval to exceed the statutory foreign ownership limit or benchmark in </w:t>
      </w:r>
      <w:r>
        <w:t>section 310</w:t>
      </w:r>
      <w:r w:rsidR="005125D4">
        <w:t>(b)</w:t>
      </w:r>
      <w:r>
        <w:t xml:space="preserve"> that is pending </w:t>
      </w:r>
      <w:r>
        <w:rPr>
          <w:szCs w:val="22"/>
        </w:rPr>
        <w:t>before</w:t>
      </w:r>
      <w:r w:rsidRPr="00B54C6C">
        <w:rPr>
          <w:szCs w:val="22"/>
        </w:rPr>
        <w:t>, or has been granted by, the Commission.</w:t>
      </w:r>
      <w:r w:rsidRPr="00B54C6C">
        <w:rPr>
          <w:rStyle w:val="FootnoteReference"/>
          <w:szCs w:val="22"/>
        </w:rPr>
        <w:footnoteReference w:id="339"/>
      </w:r>
      <w:r w:rsidRPr="00B54C6C">
        <w:rPr>
          <w:szCs w:val="22"/>
        </w:rPr>
        <w:t xml:space="preserve">  An applicant’s petition for a declaratory ruling to exceed the </w:t>
      </w:r>
      <w:r>
        <w:rPr>
          <w:szCs w:val="22"/>
        </w:rPr>
        <w:t>statutory</w:t>
      </w:r>
      <w:r w:rsidRPr="00B54C6C">
        <w:rPr>
          <w:szCs w:val="22"/>
        </w:rPr>
        <w:t xml:space="preserve"> </w:t>
      </w:r>
      <w:r w:rsidR="005125D4">
        <w:rPr>
          <w:szCs w:val="22"/>
        </w:rPr>
        <w:t xml:space="preserve">limit or </w:t>
      </w:r>
      <w:r w:rsidRPr="00B54C6C">
        <w:rPr>
          <w:szCs w:val="22"/>
        </w:rPr>
        <w:t>benchmark</w:t>
      </w:r>
      <w:r>
        <w:rPr>
          <w:szCs w:val="22"/>
        </w:rPr>
        <w:t xml:space="preserve"> in section 310(b)(3) or (b)(4)</w:t>
      </w:r>
      <w:r w:rsidR="005125D4">
        <w:rPr>
          <w:szCs w:val="22"/>
        </w:rPr>
        <w:t>, respectively,</w:t>
      </w:r>
      <w:r w:rsidRPr="00B54C6C">
        <w:rPr>
          <w:szCs w:val="22"/>
        </w:rPr>
        <w:t xml:space="preserve"> must be granted before any license for which the applicant is a high bidder may be granted. </w:t>
      </w:r>
      <w:r>
        <w:rPr>
          <w:szCs w:val="22"/>
        </w:rPr>
        <w:t xml:space="preserve"> </w:t>
      </w:r>
      <w:r w:rsidRPr="00B54C6C">
        <w:rPr>
          <w:rFonts w:eastAsiaTheme="minorHAnsi"/>
          <w:color w:val="000000"/>
          <w:szCs w:val="22"/>
        </w:rPr>
        <w:t>Potential applicants are encouraged to contact the Commission’s staff before filing their short-form applications if they have any questions about complying with these requirements.</w:t>
      </w:r>
      <w:r>
        <w:rPr>
          <w:rFonts w:eastAsiaTheme="minorHAnsi"/>
          <w:color w:val="000000"/>
          <w:szCs w:val="22"/>
        </w:rPr>
        <w:t xml:space="preserve">  </w:t>
      </w:r>
    </w:p>
    <w:p w:rsidR="00FE70ED" w:rsidRDefault="00FE70ED" w:rsidP="00FE70ED">
      <w:pPr>
        <w:autoSpaceDE w:val="0"/>
        <w:autoSpaceDN w:val="0"/>
        <w:adjustRightInd w:val="0"/>
        <w:rPr>
          <w:rFonts w:eastAsiaTheme="minorHAnsi"/>
          <w:color w:val="000000"/>
          <w:szCs w:val="22"/>
        </w:rPr>
      </w:pPr>
    </w:p>
    <w:p w:rsidR="00C15529" w:rsidRDefault="00FE70ED" w:rsidP="00C15529">
      <w:pPr>
        <w:autoSpaceDE w:val="0"/>
        <w:autoSpaceDN w:val="0"/>
        <w:adjustRightInd w:val="0"/>
        <w:rPr>
          <w:szCs w:val="22"/>
        </w:rPr>
      </w:pPr>
      <w:r w:rsidRPr="00B54C6C">
        <w:rPr>
          <w:szCs w:val="22"/>
        </w:rPr>
        <w:t>Petitions for a de</w:t>
      </w:r>
      <w:r>
        <w:rPr>
          <w:szCs w:val="22"/>
        </w:rPr>
        <w:t xml:space="preserve">claratory ruling to exceed the </w:t>
      </w:r>
      <w:r w:rsidR="0078136C">
        <w:rPr>
          <w:szCs w:val="22"/>
        </w:rPr>
        <w:t xml:space="preserve">foreign ownership restrictions in </w:t>
      </w:r>
      <w:r>
        <w:rPr>
          <w:szCs w:val="22"/>
        </w:rPr>
        <w:t>s</w:t>
      </w:r>
      <w:r w:rsidRPr="00B54C6C">
        <w:rPr>
          <w:szCs w:val="22"/>
        </w:rPr>
        <w:t>ection 310</w:t>
      </w:r>
      <w:r>
        <w:rPr>
          <w:szCs w:val="22"/>
        </w:rPr>
        <w:t xml:space="preserve">(b)(3) or </w:t>
      </w:r>
      <w:r w:rsidRPr="00B54C6C">
        <w:rPr>
          <w:szCs w:val="22"/>
        </w:rPr>
        <w:t xml:space="preserve">(b)(4) </w:t>
      </w:r>
      <w:r w:rsidR="0078136C">
        <w:rPr>
          <w:szCs w:val="22"/>
        </w:rPr>
        <w:t>may</w:t>
      </w:r>
      <w:r w:rsidRPr="00B54C6C">
        <w:rPr>
          <w:szCs w:val="22"/>
        </w:rPr>
        <w:t xml:space="preserve"> be </w:t>
      </w:r>
      <w:r>
        <w:t>filed electronically on the Internet through the International Bureau Filing System (“IBFS”).</w:t>
      </w:r>
      <w:r>
        <w:rPr>
          <w:rStyle w:val="FootnoteReference"/>
        </w:rPr>
        <w:footnoteReference w:id="340"/>
      </w:r>
      <w:r>
        <w:t xml:space="preserve">  </w:t>
      </w:r>
      <w:r w:rsidRPr="00B54C6C">
        <w:rPr>
          <w:szCs w:val="22"/>
        </w:rPr>
        <w:t xml:space="preserve">There is no fee associated with such a filing.  </w:t>
      </w:r>
      <w:r>
        <w:t xml:space="preserve">For information on filing your petition through IBFS, see Part 1, Subpart Y and the IBFS homepage at </w:t>
      </w:r>
      <w:hyperlink r:id="rId43" w:history="1">
        <w:r w:rsidRPr="00246144">
          <w:rPr>
            <w:rStyle w:val="Hyperlink"/>
          </w:rPr>
          <w:t>http://www.fcc.gov/ib</w:t>
        </w:r>
      </w:hyperlink>
      <w:r>
        <w:t xml:space="preserve">.  </w:t>
      </w:r>
      <w:r w:rsidRPr="00B54C6C">
        <w:rPr>
          <w:szCs w:val="22"/>
        </w:rPr>
        <w:t xml:space="preserve">For </w:t>
      </w:r>
      <w:r>
        <w:rPr>
          <w:szCs w:val="22"/>
        </w:rPr>
        <w:t>information about</w:t>
      </w:r>
      <w:r w:rsidRPr="00B54C6C">
        <w:rPr>
          <w:szCs w:val="22"/>
        </w:rPr>
        <w:t xml:space="preserve"> </w:t>
      </w:r>
      <w:r>
        <w:rPr>
          <w:szCs w:val="22"/>
        </w:rPr>
        <w:t xml:space="preserve">what must be included in section 310(b)(3) or (b)(4) petitions for declaratory ruling and </w:t>
      </w:r>
      <w:r w:rsidRPr="00B54C6C">
        <w:rPr>
          <w:szCs w:val="22"/>
        </w:rPr>
        <w:t>how the Commission analyzes foreign ownership issues, see</w:t>
      </w:r>
      <w:r>
        <w:rPr>
          <w:szCs w:val="22"/>
        </w:rPr>
        <w:t xml:space="preserve"> sections </w:t>
      </w:r>
      <w:r>
        <w:t>1.990-1.994 of the Commission’s rules,</w:t>
      </w:r>
      <w:r>
        <w:rPr>
          <w:szCs w:val="22"/>
        </w:rPr>
        <w:t xml:space="preserve"> 47 C.F.R. </w:t>
      </w:r>
      <w:r>
        <w:t xml:space="preserve">§§ 1.990-1.994, </w:t>
      </w:r>
      <w:r>
        <w:rPr>
          <w:bCs/>
          <w:szCs w:val="22"/>
        </w:rPr>
        <w:t>and the Commission’s recent foreign ownership decisions discussed herein.</w:t>
      </w:r>
      <w:r>
        <w:rPr>
          <w:szCs w:val="22"/>
        </w:rPr>
        <w:t xml:space="preserve">  I</w:t>
      </w:r>
      <w:r w:rsidRPr="00B54C6C">
        <w:rPr>
          <w:szCs w:val="22"/>
        </w:rPr>
        <w:t>nquiries regarding compliance with Section 310 of the Communications Act and the filing and processing of petitions for declaratory ruling should be directed to David Krech, Associate Division Chief, Policy Division, International Bureau, at (202) 418-</w:t>
      </w:r>
      <w:r w:rsidR="00B27F8D">
        <w:rPr>
          <w:szCs w:val="22"/>
        </w:rPr>
        <w:t>7443</w:t>
      </w:r>
      <w:r w:rsidRPr="00B54C6C">
        <w:rPr>
          <w:szCs w:val="22"/>
        </w:rPr>
        <w:t xml:space="preserve"> or by e-mail to </w:t>
      </w:r>
      <w:hyperlink r:id="rId44" w:history="1">
        <w:r w:rsidRPr="00B54C6C">
          <w:rPr>
            <w:rStyle w:val="Hyperlink"/>
            <w:szCs w:val="22"/>
          </w:rPr>
          <w:t>david.krech@fcc.gov</w:t>
        </w:r>
      </w:hyperlink>
      <w:r w:rsidR="0078136C" w:rsidRPr="002947D7">
        <w:rPr>
          <w:rStyle w:val="Hyperlink"/>
          <w:color w:val="auto"/>
          <w:szCs w:val="22"/>
          <w:u w:val="none"/>
        </w:rPr>
        <w:t xml:space="preserve">, or to Susan O’Connell, Attorney-Advisor, Policy Division, International Bureau, at (202) 418-1484 or by </w:t>
      </w:r>
      <w:r w:rsidR="00433172" w:rsidRPr="0016144F">
        <w:rPr>
          <w:rStyle w:val="Hyperlink"/>
          <w:color w:val="auto"/>
          <w:szCs w:val="22"/>
          <w:u w:val="none"/>
        </w:rPr>
        <w:t>email to</w:t>
      </w:r>
      <w:r w:rsidR="00433172" w:rsidRPr="0016144F">
        <w:rPr>
          <w:rStyle w:val="Hyperlink"/>
          <w:color w:val="auto"/>
          <w:szCs w:val="22"/>
        </w:rPr>
        <w:t xml:space="preserve"> </w:t>
      </w:r>
      <w:r w:rsidR="00433172">
        <w:rPr>
          <w:rStyle w:val="Hyperlink"/>
          <w:szCs w:val="22"/>
        </w:rPr>
        <w:t>susan.oconnell@fcc.gov</w:t>
      </w:r>
      <w:r w:rsidRPr="00B54C6C">
        <w:rPr>
          <w:szCs w:val="22"/>
        </w:rPr>
        <w:t>.</w:t>
      </w:r>
    </w:p>
    <w:p w:rsidR="00C15529" w:rsidRPr="00C15529" w:rsidRDefault="00C15529" w:rsidP="00C15529">
      <w:pPr>
        <w:autoSpaceDE w:val="0"/>
        <w:autoSpaceDN w:val="0"/>
        <w:adjustRightInd w:val="0"/>
      </w:pPr>
    </w:p>
    <w:p w:rsidR="00CB3C0D" w:rsidRPr="001C2E9C" w:rsidRDefault="00CB3C0D" w:rsidP="00C07C81">
      <w:pPr>
        <w:pStyle w:val="Heading3"/>
        <w:widowControl/>
        <w:tabs>
          <w:tab w:val="num" w:pos="720"/>
        </w:tabs>
        <w:rPr>
          <w:szCs w:val="22"/>
        </w:rPr>
      </w:pPr>
      <w:bookmarkStart w:id="5090" w:name="_Toc366056579"/>
      <w:bookmarkStart w:id="5091" w:name="_Toc366223781"/>
      <w:bookmarkStart w:id="5092" w:name="_Toc366229494"/>
      <w:bookmarkStart w:id="5093" w:name="_Toc366583537"/>
      <w:r w:rsidRPr="001C2E9C">
        <w:rPr>
          <w:szCs w:val="22"/>
        </w:rPr>
        <w:t>Summary</w:t>
      </w:r>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p>
    <w:p w:rsidR="00CB3C0D" w:rsidRPr="00CA6286" w:rsidRDefault="00CB3C0D" w:rsidP="00C07C81">
      <w:pPr>
        <w:keepNext/>
        <w:keepLines/>
        <w:widowControl/>
        <w:rPr>
          <w:szCs w:val="22"/>
        </w:rPr>
      </w:pPr>
      <w:r w:rsidRPr="00CA6286">
        <w:rPr>
          <w:szCs w:val="22"/>
        </w:rPr>
        <w:t xml:space="preserve">The </w:t>
      </w:r>
      <w:r w:rsidRPr="00CA6286">
        <w:rPr>
          <w:i/>
          <w:szCs w:val="22"/>
        </w:rPr>
        <w:t>Summary</w:t>
      </w:r>
      <w:r w:rsidRPr="00CA6286">
        <w:rPr>
          <w:szCs w:val="22"/>
        </w:rPr>
        <w:t xml:space="preserve"> screens summarize information applicants have provided in previous screens, offering an overview of an applicant’s FCC Form 175 to help locate specific information.  The</w:t>
      </w:r>
      <w:r w:rsidR="00600214">
        <w:rPr>
          <w:szCs w:val="22"/>
        </w:rPr>
        <w:t xml:space="preserve">se </w:t>
      </w:r>
      <w:r w:rsidRPr="00CA6286">
        <w:rPr>
          <w:szCs w:val="22"/>
        </w:rPr>
        <w:t xml:space="preserve">screens will appear prior to the </w:t>
      </w:r>
      <w:r w:rsidRPr="00CA6286">
        <w:rPr>
          <w:i/>
          <w:szCs w:val="22"/>
        </w:rPr>
        <w:t>Certify and Submit</w:t>
      </w:r>
      <w:r w:rsidRPr="00CA6286">
        <w:rPr>
          <w:szCs w:val="22"/>
        </w:rPr>
        <w:t xml:space="preserve"> screens, in order to permit the applicant to review all the information entered in previous screens and to provide an opportunity to check for </w:t>
      </w:r>
      <w:r w:rsidR="00C65590">
        <w:rPr>
          <w:szCs w:val="22"/>
        </w:rPr>
        <w:t>certain inconsistencies</w:t>
      </w:r>
      <w:r w:rsidRPr="00CA6286">
        <w:rPr>
          <w:szCs w:val="22"/>
        </w:rPr>
        <w:t xml:space="preserve"> </w:t>
      </w:r>
      <w:r w:rsidR="007D3B83">
        <w:rPr>
          <w:szCs w:val="22"/>
        </w:rPr>
        <w:t xml:space="preserve">or omissions </w:t>
      </w:r>
      <w:r w:rsidRPr="00CA6286">
        <w:rPr>
          <w:szCs w:val="22"/>
        </w:rPr>
        <w:t xml:space="preserve">in the information </w:t>
      </w:r>
      <w:r w:rsidR="00C65590">
        <w:rPr>
          <w:szCs w:val="22"/>
        </w:rPr>
        <w:t>within the FCC Form 175</w:t>
      </w:r>
      <w:r w:rsidRPr="00CA6286">
        <w:rPr>
          <w:szCs w:val="22"/>
        </w:rPr>
        <w:t xml:space="preserve">. </w:t>
      </w:r>
    </w:p>
    <w:p w:rsidR="00CB3C0D" w:rsidRPr="00CA6286" w:rsidRDefault="00CB3C0D" w:rsidP="00C07C81">
      <w:pPr>
        <w:widowControl/>
        <w:spacing w:before="100" w:beforeAutospacing="1" w:after="100" w:afterAutospacing="1"/>
        <w:rPr>
          <w:szCs w:val="22"/>
        </w:rPr>
      </w:pPr>
      <w:r w:rsidRPr="00CA6286">
        <w:rPr>
          <w:szCs w:val="22"/>
        </w:rPr>
        <w:t xml:space="preserve">The </w:t>
      </w:r>
      <w:r w:rsidRPr="00CA6286">
        <w:rPr>
          <w:iCs/>
          <w:szCs w:val="22"/>
        </w:rPr>
        <w:t xml:space="preserve">first </w:t>
      </w:r>
      <w:r w:rsidRPr="00CA6286">
        <w:rPr>
          <w:i/>
          <w:iCs/>
          <w:szCs w:val="22"/>
        </w:rPr>
        <w:t>Summary</w:t>
      </w:r>
      <w:r w:rsidRPr="00CA6286">
        <w:rPr>
          <w:iCs/>
          <w:szCs w:val="22"/>
        </w:rPr>
        <w:t xml:space="preserve"> screen, the </w:t>
      </w:r>
      <w:r w:rsidRPr="00CA6286">
        <w:rPr>
          <w:i/>
          <w:iCs/>
          <w:szCs w:val="22"/>
        </w:rPr>
        <w:t>Summary Overview</w:t>
      </w:r>
      <w:r w:rsidRPr="00CA6286">
        <w:rPr>
          <w:iCs/>
          <w:szCs w:val="22"/>
        </w:rPr>
        <w:t xml:space="preserve"> screen,</w:t>
      </w:r>
      <w:r w:rsidRPr="00CA6286">
        <w:rPr>
          <w:szCs w:val="22"/>
        </w:rPr>
        <w:t xml:space="preserve"> lists the first </w:t>
      </w:r>
      <w:r w:rsidR="004516EB">
        <w:rPr>
          <w:szCs w:val="22"/>
        </w:rPr>
        <w:t>f</w:t>
      </w:r>
      <w:r w:rsidR="005228F0">
        <w:rPr>
          <w:szCs w:val="22"/>
        </w:rPr>
        <w:t>our</w:t>
      </w:r>
      <w:r w:rsidRPr="00CA6286">
        <w:rPr>
          <w:szCs w:val="22"/>
        </w:rPr>
        <w:t xml:space="preserve"> series of screens in the application and provides a </w:t>
      </w:r>
      <w:r w:rsidRPr="00CA6286">
        <w:rPr>
          <w:b/>
          <w:bCs/>
          <w:szCs w:val="22"/>
        </w:rPr>
        <w:t>VIEW/EDIT</w:t>
      </w:r>
      <w:r w:rsidRPr="00CA6286">
        <w:rPr>
          <w:szCs w:val="22"/>
        </w:rPr>
        <w:t xml:space="preserve"> button to access each one. </w:t>
      </w:r>
    </w:p>
    <w:p w:rsidR="00CB3C0D" w:rsidRPr="00CA6286" w:rsidRDefault="00CB3C0D" w:rsidP="00C07C81">
      <w:pPr>
        <w:widowControl/>
        <w:numPr>
          <w:ilvl w:val="0"/>
          <w:numId w:val="8"/>
        </w:numPr>
        <w:spacing w:before="100" w:beforeAutospacing="1" w:after="120"/>
        <w:rPr>
          <w:szCs w:val="22"/>
        </w:rPr>
      </w:pPr>
      <w:r w:rsidRPr="00CA6286">
        <w:rPr>
          <w:szCs w:val="22"/>
        </w:rPr>
        <w:t xml:space="preserve">Clicking </w:t>
      </w:r>
      <w:r w:rsidRPr="00CA6286">
        <w:rPr>
          <w:b/>
          <w:bCs/>
          <w:szCs w:val="22"/>
        </w:rPr>
        <w:t>VIEW/EDIT</w:t>
      </w:r>
      <w:r w:rsidRPr="00CA6286">
        <w:rPr>
          <w:szCs w:val="22"/>
        </w:rPr>
        <w:t xml:space="preserve"> for Applicant Information produces a </w:t>
      </w:r>
      <w:r w:rsidRPr="00CA6286">
        <w:rPr>
          <w:i/>
          <w:iCs/>
          <w:szCs w:val="22"/>
        </w:rPr>
        <w:t>Detail for Applicant Information</w:t>
      </w:r>
      <w:r w:rsidRPr="00CA6286">
        <w:rPr>
          <w:szCs w:val="22"/>
        </w:rPr>
        <w:t xml:space="preserve"> screen showing </w:t>
      </w:r>
      <w:r>
        <w:rPr>
          <w:szCs w:val="22"/>
        </w:rPr>
        <w:t>the information entered for</w:t>
      </w:r>
      <w:r w:rsidRPr="00CA6286">
        <w:rPr>
          <w:szCs w:val="22"/>
        </w:rPr>
        <w:t xml:space="preserve"> each data entry field.  To change any data item, </w:t>
      </w:r>
      <w:r>
        <w:rPr>
          <w:szCs w:val="22"/>
        </w:rPr>
        <w:t xml:space="preserve">the applicant should </w:t>
      </w:r>
      <w:r w:rsidRPr="00CA6286">
        <w:rPr>
          <w:szCs w:val="22"/>
        </w:rPr>
        <w:t xml:space="preserve">click the </w:t>
      </w:r>
      <w:r w:rsidRPr="00CA6286">
        <w:rPr>
          <w:b/>
          <w:bCs/>
          <w:szCs w:val="22"/>
        </w:rPr>
        <w:t>Edit</w:t>
      </w:r>
      <w:r w:rsidRPr="00CA6286">
        <w:rPr>
          <w:szCs w:val="22"/>
        </w:rPr>
        <w:t xml:space="preserve"> icon for the relevant data field</w:t>
      </w:r>
      <w:r>
        <w:rPr>
          <w:szCs w:val="22"/>
        </w:rPr>
        <w:t>.</w:t>
      </w:r>
    </w:p>
    <w:p w:rsidR="00CB3C0D" w:rsidRPr="00F51992" w:rsidRDefault="00CB3C0D" w:rsidP="00C07C81">
      <w:pPr>
        <w:widowControl/>
        <w:numPr>
          <w:ilvl w:val="0"/>
          <w:numId w:val="8"/>
        </w:numPr>
        <w:spacing w:before="100" w:beforeAutospacing="1" w:after="120"/>
        <w:rPr>
          <w:szCs w:val="22"/>
          <w:u w:val="single"/>
        </w:rPr>
      </w:pPr>
      <w:r w:rsidRPr="00F51992">
        <w:rPr>
          <w:szCs w:val="22"/>
        </w:rPr>
        <w:t xml:space="preserve">Clicking </w:t>
      </w:r>
      <w:r w:rsidRPr="00F51992">
        <w:rPr>
          <w:b/>
          <w:bCs/>
          <w:szCs w:val="22"/>
        </w:rPr>
        <w:t>VIEW/EDIT</w:t>
      </w:r>
      <w:r w:rsidRPr="00F51992">
        <w:rPr>
          <w:szCs w:val="22"/>
        </w:rPr>
        <w:t xml:space="preserve"> for </w:t>
      </w:r>
      <w:r w:rsidR="005228F0">
        <w:rPr>
          <w:szCs w:val="22"/>
        </w:rPr>
        <w:t>License</w:t>
      </w:r>
      <w:r w:rsidRPr="00F51992">
        <w:rPr>
          <w:szCs w:val="22"/>
        </w:rPr>
        <w:t xml:space="preserve"> Selection takes the applicant to the </w:t>
      </w:r>
      <w:r w:rsidRPr="00F51992">
        <w:rPr>
          <w:i/>
          <w:szCs w:val="22"/>
        </w:rPr>
        <w:t xml:space="preserve">View/Edit </w:t>
      </w:r>
      <w:r w:rsidR="005228F0">
        <w:rPr>
          <w:i/>
          <w:szCs w:val="22"/>
        </w:rPr>
        <w:t>License</w:t>
      </w:r>
      <w:r w:rsidRPr="00F51992">
        <w:rPr>
          <w:i/>
          <w:szCs w:val="22"/>
        </w:rPr>
        <w:t xml:space="preserve"> Selection</w:t>
      </w:r>
      <w:r w:rsidRPr="00F51992">
        <w:rPr>
          <w:szCs w:val="22"/>
        </w:rPr>
        <w:t xml:space="preserve"> screen discussed above in the </w:t>
      </w:r>
      <w:r w:rsidR="005228F0">
        <w:rPr>
          <w:szCs w:val="22"/>
        </w:rPr>
        <w:t>License</w:t>
      </w:r>
      <w:r w:rsidRPr="00F51992">
        <w:rPr>
          <w:szCs w:val="22"/>
        </w:rPr>
        <w:t xml:space="preserve"> Selection section.</w:t>
      </w:r>
      <w:r w:rsidR="00C65590" w:rsidRPr="00F51992">
        <w:rPr>
          <w:szCs w:val="22"/>
        </w:rPr>
        <w:t xml:space="preserve">  </w:t>
      </w:r>
    </w:p>
    <w:p w:rsidR="00CB3C0D" w:rsidRPr="00CA6286" w:rsidRDefault="00CB3C0D" w:rsidP="00C07C81">
      <w:pPr>
        <w:widowControl/>
        <w:numPr>
          <w:ilvl w:val="0"/>
          <w:numId w:val="8"/>
        </w:numPr>
        <w:spacing w:before="100" w:beforeAutospacing="1" w:after="120"/>
        <w:rPr>
          <w:szCs w:val="22"/>
        </w:rPr>
      </w:pPr>
      <w:r w:rsidRPr="00CA6286">
        <w:rPr>
          <w:szCs w:val="22"/>
        </w:rPr>
        <w:t xml:space="preserve">Clicking </w:t>
      </w:r>
      <w:r w:rsidRPr="00CA6286">
        <w:rPr>
          <w:b/>
          <w:bCs/>
          <w:szCs w:val="22"/>
        </w:rPr>
        <w:t>VIEW/EDIT</w:t>
      </w:r>
      <w:r w:rsidRPr="00CA6286">
        <w:rPr>
          <w:szCs w:val="22"/>
        </w:rPr>
        <w:t xml:space="preserve"> for Agreements takes </w:t>
      </w:r>
      <w:r>
        <w:rPr>
          <w:szCs w:val="22"/>
        </w:rPr>
        <w:t>the applicant</w:t>
      </w:r>
      <w:r w:rsidRPr="00CA6286">
        <w:rPr>
          <w:szCs w:val="22"/>
        </w:rPr>
        <w:t xml:space="preserve"> to the </w:t>
      </w:r>
      <w:r w:rsidRPr="00CA6286">
        <w:rPr>
          <w:i/>
          <w:szCs w:val="22"/>
        </w:rPr>
        <w:t>Agreements</w:t>
      </w:r>
      <w:r w:rsidRPr="00CA6286">
        <w:rPr>
          <w:szCs w:val="22"/>
        </w:rPr>
        <w:t xml:space="preserve"> screen discussed above in the Agreements section.</w:t>
      </w:r>
    </w:p>
    <w:p w:rsidR="00CB3C0D" w:rsidRPr="00CA6286" w:rsidRDefault="00CB3C0D" w:rsidP="00C07C81">
      <w:pPr>
        <w:widowControl/>
        <w:numPr>
          <w:ilvl w:val="0"/>
          <w:numId w:val="8"/>
        </w:numPr>
        <w:spacing w:before="100" w:beforeAutospacing="1" w:after="100" w:afterAutospacing="1"/>
        <w:rPr>
          <w:szCs w:val="22"/>
          <w:u w:val="single"/>
        </w:rPr>
      </w:pPr>
      <w:r w:rsidRPr="00CA6286">
        <w:rPr>
          <w:szCs w:val="22"/>
        </w:rPr>
        <w:t xml:space="preserve">Clicking </w:t>
      </w:r>
      <w:r w:rsidRPr="00CA6286">
        <w:rPr>
          <w:b/>
          <w:bCs/>
          <w:szCs w:val="22"/>
        </w:rPr>
        <w:t xml:space="preserve">VIEW/EDIT </w:t>
      </w:r>
      <w:r w:rsidRPr="00CA6286">
        <w:rPr>
          <w:szCs w:val="22"/>
        </w:rPr>
        <w:t xml:space="preserve">for Ownership takes </w:t>
      </w:r>
      <w:r>
        <w:rPr>
          <w:szCs w:val="22"/>
        </w:rPr>
        <w:t>the applicant</w:t>
      </w:r>
      <w:r w:rsidRPr="00CA6286">
        <w:rPr>
          <w:szCs w:val="22"/>
        </w:rPr>
        <w:t xml:space="preserve"> to the </w:t>
      </w:r>
      <w:r w:rsidRPr="00CA6286">
        <w:rPr>
          <w:i/>
          <w:szCs w:val="22"/>
        </w:rPr>
        <w:t>View/Edit Ownership Disclosure Information</w:t>
      </w:r>
      <w:r w:rsidRPr="00CA6286">
        <w:rPr>
          <w:szCs w:val="22"/>
        </w:rPr>
        <w:t xml:space="preserve"> screen discussed above in the Ownership section.</w:t>
      </w:r>
    </w:p>
    <w:p w:rsidR="00CB3C0D" w:rsidRPr="00CA6286" w:rsidRDefault="00CB3C0D" w:rsidP="00C07C81">
      <w:pPr>
        <w:widowControl/>
        <w:spacing w:before="100" w:beforeAutospacing="1" w:after="100" w:afterAutospacing="1"/>
        <w:rPr>
          <w:szCs w:val="22"/>
        </w:rPr>
      </w:pPr>
      <w:r w:rsidRPr="00CA6286">
        <w:rPr>
          <w:szCs w:val="22"/>
        </w:rPr>
        <w:t xml:space="preserve">Clicking on the </w:t>
      </w:r>
      <w:r w:rsidRPr="00CA6286">
        <w:rPr>
          <w:b/>
          <w:bCs/>
          <w:szCs w:val="22"/>
        </w:rPr>
        <w:t>CHECK ERRORS</w:t>
      </w:r>
      <w:r w:rsidRPr="00CA6286">
        <w:rPr>
          <w:szCs w:val="22"/>
        </w:rPr>
        <w:t xml:space="preserve"> button initiates an automated check of the application.  If the automated check </w:t>
      </w:r>
      <w:r w:rsidRPr="001F60FA">
        <w:rPr>
          <w:szCs w:val="22"/>
        </w:rPr>
        <w:t xml:space="preserve">encounters </w:t>
      </w:r>
      <w:r w:rsidR="00753399" w:rsidRPr="001F60FA">
        <w:rPr>
          <w:szCs w:val="22"/>
        </w:rPr>
        <w:t xml:space="preserve">certain inconsistencies </w:t>
      </w:r>
      <w:r w:rsidR="00C65590">
        <w:rPr>
          <w:szCs w:val="22"/>
        </w:rPr>
        <w:t>or</w:t>
      </w:r>
      <w:r w:rsidR="00753399" w:rsidRPr="001F60FA">
        <w:rPr>
          <w:szCs w:val="22"/>
        </w:rPr>
        <w:t xml:space="preserve"> omissions in information</w:t>
      </w:r>
      <w:r w:rsidR="00C65590">
        <w:rPr>
          <w:szCs w:val="22"/>
        </w:rPr>
        <w:t xml:space="preserve"> within the FCC Form 175</w:t>
      </w:r>
      <w:r w:rsidRPr="001F60FA">
        <w:rPr>
          <w:szCs w:val="22"/>
        </w:rPr>
        <w:t xml:space="preserve"> that must be corrected before submitting the application, the </w:t>
      </w:r>
      <w:r w:rsidR="00C65590" w:rsidRPr="001F60FA">
        <w:rPr>
          <w:szCs w:val="22"/>
        </w:rPr>
        <w:t>inconsistenc</w:t>
      </w:r>
      <w:r w:rsidR="00C65590">
        <w:rPr>
          <w:szCs w:val="22"/>
        </w:rPr>
        <w:t>y</w:t>
      </w:r>
      <w:r w:rsidR="00C65590" w:rsidRPr="001F60FA">
        <w:rPr>
          <w:szCs w:val="22"/>
        </w:rPr>
        <w:t xml:space="preserve"> </w:t>
      </w:r>
      <w:r w:rsidR="00C65590">
        <w:rPr>
          <w:szCs w:val="22"/>
        </w:rPr>
        <w:t xml:space="preserve">or omission </w:t>
      </w:r>
      <w:r w:rsidRPr="001F60FA">
        <w:rPr>
          <w:szCs w:val="22"/>
        </w:rPr>
        <w:t xml:space="preserve">will be listed in an Error box at the top of the screen.  To correct one of these errors, click its corresponding </w:t>
      </w:r>
      <w:r w:rsidRPr="001F60FA">
        <w:rPr>
          <w:b/>
          <w:bCs/>
          <w:szCs w:val="22"/>
        </w:rPr>
        <w:t>EDIT</w:t>
      </w:r>
      <w:r w:rsidRPr="001F60FA">
        <w:rPr>
          <w:szCs w:val="22"/>
        </w:rPr>
        <w:t xml:space="preserve"> button.  In addition, if the automated check encounters </w:t>
      </w:r>
      <w:r w:rsidR="00753399" w:rsidRPr="001F60FA">
        <w:rPr>
          <w:szCs w:val="22"/>
        </w:rPr>
        <w:t xml:space="preserve">certain </w:t>
      </w:r>
      <w:r w:rsidRPr="001F60FA">
        <w:rPr>
          <w:szCs w:val="22"/>
        </w:rPr>
        <w:t xml:space="preserve">apparent </w:t>
      </w:r>
      <w:r w:rsidR="00753399" w:rsidRPr="001F60FA">
        <w:rPr>
          <w:szCs w:val="22"/>
        </w:rPr>
        <w:t>inconsistencies or omissions</w:t>
      </w:r>
      <w:r w:rsidRPr="001F60FA">
        <w:rPr>
          <w:szCs w:val="22"/>
        </w:rPr>
        <w:t xml:space="preserve"> that might render the application </w:t>
      </w:r>
      <w:r w:rsidRPr="00DF7948">
        <w:rPr>
          <w:szCs w:val="22"/>
        </w:rPr>
        <w:t xml:space="preserve">incomplete </w:t>
      </w:r>
      <w:r w:rsidR="004F58B2" w:rsidRPr="00DF7948">
        <w:rPr>
          <w:szCs w:val="22"/>
        </w:rPr>
        <w:t>or def</w:t>
      </w:r>
      <w:r w:rsidR="00621B3B" w:rsidRPr="00DF7948">
        <w:rPr>
          <w:szCs w:val="22"/>
        </w:rPr>
        <w:t>icient</w:t>
      </w:r>
      <w:r w:rsidR="004F58B2" w:rsidRPr="00DF7948">
        <w:rPr>
          <w:szCs w:val="22"/>
        </w:rPr>
        <w:t xml:space="preserve"> </w:t>
      </w:r>
      <w:r w:rsidRPr="00DF7948">
        <w:rPr>
          <w:szCs w:val="22"/>
        </w:rPr>
        <w:t>if the application is submitted</w:t>
      </w:r>
      <w:r w:rsidRPr="001F60FA">
        <w:rPr>
          <w:szCs w:val="22"/>
        </w:rPr>
        <w:t xml:space="preserve"> with current information, the apparent error will be listed in a Warning box.  To revise the information related to the apparent </w:t>
      </w:r>
      <w:r w:rsidR="00C65590" w:rsidRPr="001F60FA">
        <w:rPr>
          <w:szCs w:val="22"/>
        </w:rPr>
        <w:t>inconsistenc</w:t>
      </w:r>
      <w:r w:rsidR="00C65590">
        <w:rPr>
          <w:szCs w:val="22"/>
        </w:rPr>
        <w:t>y</w:t>
      </w:r>
      <w:r w:rsidR="00C65590" w:rsidRPr="001F60FA">
        <w:rPr>
          <w:szCs w:val="22"/>
        </w:rPr>
        <w:t xml:space="preserve"> </w:t>
      </w:r>
      <w:r w:rsidR="00C65590">
        <w:rPr>
          <w:szCs w:val="22"/>
        </w:rPr>
        <w:t>or omission</w:t>
      </w:r>
      <w:r w:rsidRPr="001F60FA">
        <w:rPr>
          <w:szCs w:val="22"/>
        </w:rPr>
        <w:t>, click its corresponding</w:t>
      </w:r>
      <w:r w:rsidRPr="00CA6286">
        <w:rPr>
          <w:szCs w:val="22"/>
        </w:rPr>
        <w:t xml:space="preserve"> </w:t>
      </w:r>
      <w:r w:rsidRPr="00CA6286">
        <w:rPr>
          <w:b/>
          <w:szCs w:val="22"/>
        </w:rPr>
        <w:t xml:space="preserve">EDIT </w:t>
      </w:r>
      <w:r w:rsidRPr="00CA6286">
        <w:rPr>
          <w:szCs w:val="22"/>
        </w:rPr>
        <w:t>button.</w:t>
      </w:r>
    </w:p>
    <w:p w:rsidR="00CB3C0D" w:rsidRPr="00CA6286" w:rsidRDefault="00CB3C0D" w:rsidP="00C07C81">
      <w:pPr>
        <w:widowControl/>
        <w:spacing w:before="100" w:beforeAutospacing="1" w:after="100" w:afterAutospacing="1"/>
        <w:rPr>
          <w:szCs w:val="22"/>
        </w:rPr>
      </w:pPr>
      <w:r w:rsidRPr="00CA6286">
        <w:rPr>
          <w:szCs w:val="22"/>
        </w:rPr>
        <w:t xml:space="preserve">Each applicant is solely responsible for providing complete and accurate information in its FCC Form 175.  The automated check is provided to assist applicants in completing </w:t>
      </w:r>
      <w:r w:rsidR="000B3E6E">
        <w:rPr>
          <w:szCs w:val="22"/>
        </w:rPr>
        <w:t xml:space="preserve">the </w:t>
      </w:r>
      <w:r w:rsidRPr="00CA6286">
        <w:rPr>
          <w:szCs w:val="22"/>
        </w:rPr>
        <w:t>FCC Form 175.  However, the automated check cannot be relied upon to determine whether the information provided is complete or accurate.  The automated check may not catch all errors and applicants cannot rely on the automated check to determine the completeness or the accuracy of submitted information.</w:t>
      </w:r>
    </w:p>
    <w:p w:rsidR="00CB3C0D" w:rsidRPr="00CA6286" w:rsidRDefault="00CB3C0D" w:rsidP="00C07C81">
      <w:pPr>
        <w:widowControl/>
        <w:rPr>
          <w:szCs w:val="22"/>
        </w:rPr>
      </w:pPr>
      <w:r w:rsidRPr="00CA6286">
        <w:rPr>
          <w:szCs w:val="22"/>
        </w:rPr>
        <w:t xml:space="preserve">If the automated check does not encounter </w:t>
      </w:r>
      <w:r w:rsidR="00C65590">
        <w:rPr>
          <w:szCs w:val="22"/>
        </w:rPr>
        <w:t>certain</w:t>
      </w:r>
      <w:r w:rsidRPr="00CA6286">
        <w:rPr>
          <w:szCs w:val="22"/>
        </w:rPr>
        <w:t xml:space="preserve"> </w:t>
      </w:r>
      <w:r w:rsidR="00C65590">
        <w:rPr>
          <w:szCs w:val="22"/>
        </w:rPr>
        <w:t>inconsistencies or omissions</w:t>
      </w:r>
      <w:r w:rsidRPr="00CA6286">
        <w:rPr>
          <w:szCs w:val="22"/>
        </w:rPr>
        <w:t>, a box will appear displaying the message “</w:t>
      </w:r>
      <w:r w:rsidRPr="00CA6286">
        <w:rPr>
          <w:b/>
          <w:bCs/>
          <w:szCs w:val="22"/>
        </w:rPr>
        <w:t>No Errors found - You may continue to Certify and Submit.</w:t>
      </w:r>
      <w:r w:rsidRPr="00CA6286">
        <w:rPr>
          <w:szCs w:val="22"/>
        </w:rPr>
        <w:t xml:space="preserve">”  Applicants may then click the </w:t>
      </w:r>
      <w:r w:rsidRPr="00CA6286">
        <w:rPr>
          <w:b/>
          <w:bCs/>
          <w:szCs w:val="22"/>
        </w:rPr>
        <w:t>CONTINUE TO CERTIFY</w:t>
      </w:r>
      <w:r w:rsidRPr="00CA6286">
        <w:rPr>
          <w:szCs w:val="22"/>
        </w:rPr>
        <w:t xml:space="preserve"> button.</w:t>
      </w:r>
    </w:p>
    <w:p w:rsidR="00CB3C0D" w:rsidRPr="00CA6286" w:rsidRDefault="00CB3C0D" w:rsidP="00C07C81">
      <w:pPr>
        <w:widowControl/>
        <w:rPr>
          <w:szCs w:val="22"/>
        </w:rPr>
      </w:pPr>
    </w:p>
    <w:p w:rsidR="00CB3C0D" w:rsidRPr="001C2E9C" w:rsidRDefault="00CB3C0D" w:rsidP="00C07C81">
      <w:pPr>
        <w:pStyle w:val="Heading3"/>
        <w:widowControl/>
        <w:tabs>
          <w:tab w:val="num" w:pos="720"/>
        </w:tabs>
        <w:rPr>
          <w:szCs w:val="22"/>
        </w:rPr>
      </w:pPr>
      <w:bookmarkStart w:id="5094" w:name="_Toc98821049"/>
      <w:bookmarkStart w:id="5095" w:name="_Toc98846350"/>
      <w:bookmarkStart w:id="5096" w:name="_Toc98898564"/>
      <w:bookmarkStart w:id="5097" w:name="_Toc98921825"/>
      <w:bookmarkStart w:id="5098" w:name="_Toc98932998"/>
      <w:bookmarkStart w:id="5099" w:name="_Toc101858541"/>
      <w:bookmarkStart w:id="5100" w:name="_Toc109812297"/>
      <w:bookmarkStart w:id="5101" w:name="_Toc130730992"/>
      <w:bookmarkStart w:id="5102" w:name="_Toc130814220"/>
      <w:bookmarkStart w:id="5103" w:name="_Toc130814542"/>
      <w:bookmarkStart w:id="5104" w:name="_Toc130814674"/>
      <w:bookmarkStart w:id="5105" w:name="_Toc130883557"/>
      <w:bookmarkStart w:id="5106" w:name="_Toc130885668"/>
      <w:bookmarkStart w:id="5107" w:name="_Toc131844647"/>
      <w:bookmarkStart w:id="5108" w:name="_Toc148330582"/>
      <w:bookmarkStart w:id="5109" w:name="_Toc148337789"/>
      <w:bookmarkStart w:id="5110" w:name="_Toc148338114"/>
      <w:bookmarkStart w:id="5111" w:name="_Toc148339824"/>
      <w:bookmarkStart w:id="5112" w:name="_Toc148339921"/>
      <w:bookmarkStart w:id="5113" w:name="_Toc149645635"/>
      <w:bookmarkStart w:id="5114" w:name="_Toc149997938"/>
      <w:bookmarkStart w:id="5115" w:name="_Toc158180813"/>
      <w:bookmarkStart w:id="5116" w:name="_Toc158785661"/>
      <w:bookmarkStart w:id="5117" w:name="_Toc178768568"/>
      <w:bookmarkStart w:id="5118" w:name="_Toc179196009"/>
      <w:bookmarkStart w:id="5119" w:name="_Toc179361972"/>
      <w:bookmarkStart w:id="5120" w:name="_Toc179363756"/>
      <w:bookmarkStart w:id="5121" w:name="_Toc197504990"/>
      <w:bookmarkStart w:id="5122" w:name="_Toc198007771"/>
      <w:bookmarkStart w:id="5123" w:name="_Toc198007922"/>
      <w:bookmarkStart w:id="5124" w:name="_Toc198008274"/>
      <w:bookmarkStart w:id="5125" w:name="_Toc198008411"/>
      <w:bookmarkStart w:id="5126" w:name="_Toc198008958"/>
      <w:bookmarkStart w:id="5127" w:name="_Toc198369854"/>
      <w:bookmarkStart w:id="5128" w:name="_Toc216090776"/>
      <w:bookmarkStart w:id="5129" w:name="_Toc226958282"/>
      <w:bookmarkStart w:id="5130" w:name="_Toc227038342"/>
      <w:bookmarkStart w:id="5131" w:name="_Toc254792647"/>
      <w:bookmarkStart w:id="5132" w:name="_Toc256669771"/>
      <w:bookmarkStart w:id="5133" w:name="_Toc257213306"/>
      <w:bookmarkStart w:id="5134" w:name="_Toc257277805"/>
      <w:bookmarkStart w:id="5135" w:name="_Toc257278766"/>
      <w:bookmarkStart w:id="5136" w:name="_Toc257278976"/>
      <w:bookmarkStart w:id="5137" w:name="_Toc257279344"/>
      <w:bookmarkStart w:id="5138" w:name="_Toc257382991"/>
      <w:bookmarkStart w:id="5139" w:name="_Toc274056248"/>
      <w:bookmarkStart w:id="5140" w:name="_Toc276657654"/>
      <w:bookmarkStart w:id="5141" w:name="_Toc278366500"/>
      <w:bookmarkStart w:id="5142" w:name="_Toc307584094"/>
      <w:bookmarkStart w:id="5143" w:name="_Toc307937368"/>
      <w:bookmarkStart w:id="5144" w:name="_Toc348508807"/>
      <w:bookmarkStart w:id="5145" w:name="_Toc362256825"/>
      <w:bookmarkStart w:id="5146" w:name="_Toc366056580"/>
      <w:bookmarkStart w:id="5147" w:name="_Toc366223782"/>
      <w:bookmarkStart w:id="5148" w:name="_Toc366229495"/>
      <w:bookmarkStart w:id="5149" w:name="_Toc366583538"/>
      <w:bookmarkStart w:id="5150" w:name="_Toc98821048"/>
      <w:bookmarkStart w:id="5151" w:name="_Toc98846349"/>
      <w:bookmarkStart w:id="5152" w:name="_Toc98898563"/>
      <w:bookmarkStart w:id="5153" w:name="_Toc98921824"/>
      <w:bookmarkStart w:id="5154" w:name="_Toc98932997"/>
      <w:r w:rsidRPr="001C2E9C">
        <w:rPr>
          <w:szCs w:val="22"/>
        </w:rPr>
        <w:t>Attaching Additional Information</w:t>
      </w:r>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p>
    <w:p w:rsidR="00CB3C0D" w:rsidRPr="00CF0271" w:rsidRDefault="00CB3C0D" w:rsidP="00C07C81">
      <w:pPr>
        <w:keepNext/>
        <w:keepLines/>
        <w:widowControl/>
        <w:rPr>
          <w:b/>
          <w:szCs w:val="22"/>
        </w:rPr>
      </w:pPr>
      <w:r w:rsidRPr="00CA6286">
        <w:rPr>
          <w:szCs w:val="22"/>
        </w:rPr>
        <w:t xml:space="preserve">If an applicant needs to provide additional information not requested directly in the screens comprising </w:t>
      </w:r>
      <w:r w:rsidRPr="00CF0271">
        <w:rPr>
          <w:szCs w:val="22"/>
        </w:rPr>
        <w:t xml:space="preserve">the FCC Form 175, that information can be provided in an attachment.  </w:t>
      </w:r>
      <w:r w:rsidR="00B82213">
        <w:rPr>
          <w:szCs w:val="22"/>
        </w:rPr>
        <w:t>For example, applicants can describe the relationship among indirect owners of the applicant, or provide information regarding lease and resale arrangements (including wholesale) involving the spectrum capacity of applicants claiming eligibility for bidding credits.</w:t>
      </w:r>
      <w:r w:rsidR="00B82213">
        <w:rPr>
          <w:rStyle w:val="FootnoteReference"/>
          <w:szCs w:val="22"/>
        </w:rPr>
        <w:footnoteReference w:id="341"/>
      </w:r>
    </w:p>
    <w:p w:rsidR="00CB3C0D" w:rsidRPr="00CA6286" w:rsidRDefault="00CB3C0D" w:rsidP="00C07C81">
      <w:pPr>
        <w:keepNext/>
        <w:keepLines/>
        <w:widowControl/>
        <w:rPr>
          <w:szCs w:val="22"/>
        </w:rPr>
      </w:pPr>
    </w:p>
    <w:p w:rsidR="00CB3C0D" w:rsidRPr="00CA6286" w:rsidRDefault="00CB3C0D" w:rsidP="00C07C81">
      <w:pPr>
        <w:widowControl/>
        <w:rPr>
          <w:szCs w:val="22"/>
        </w:rPr>
      </w:pPr>
      <w:r w:rsidRPr="00CA6286">
        <w:rPr>
          <w:szCs w:val="22"/>
        </w:rPr>
        <w:t xml:space="preserve">The screen for adding an attachment to FCC Form 175 can be accessed by clicking on the </w:t>
      </w:r>
      <w:r w:rsidRPr="00CA6286">
        <w:rPr>
          <w:b/>
          <w:szCs w:val="22"/>
        </w:rPr>
        <w:t xml:space="preserve">Attachments </w:t>
      </w:r>
      <w:r w:rsidRPr="00CA6286">
        <w:rPr>
          <w:szCs w:val="22"/>
        </w:rPr>
        <w:t>link in the upper right of any screen.  Th</w:t>
      </w:r>
      <w:r w:rsidR="00600214">
        <w:rPr>
          <w:szCs w:val="22"/>
        </w:rPr>
        <w:t xml:space="preserve">is </w:t>
      </w:r>
      <w:r w:rsidRPr="00CA6286">
        <w:rPr>
          <w:szCs w:val="22"/>
        </w:rPr>
        <w:t xml:space="preserve">screen requests information regarding the type of attachment to be added, the name of the file to be attached, and a brief description of the attachment.  </w:t>
      </w:r>
    </w:p>
    <w:p w:rsidR="00CB3C0D" w:rsidRPr="00CA6286" w:rsidRDefault="00CB3C0D" w:rsidP="00C07C81">
      <w:pPr>
        <w:widowControl/>
        <w:rPr>
          <w:szCs w:val="22"/>
        </w:rPr>
      </w:pPr>
    </w:p>
    <w:p w:rsidR="00CB3C0D" w:rsidRPr="00CA6286" w:rsidRDefault="00CB3C0D" w:rsidP="00C07C81">
      <w:pPr>
        <w:widowControl/>
        <w:ind w:left="720"/>
        <w:rPr>
          <w:szCs w:val="22"/>
        </w:rPr>
      </w:pPr>
      <w:r w:rsidRPr="00CA6286">
        <w:rPr>
          <w:szCs w:val="22"/>
        </w:rPr>
        <w:t xml:space="preserve">NOTE:  If the attachment is a request </w:t>
      </w:r>
      <w:r w:rsidRPr="001F60FA">
        <w:rPr>
          <w:szCs w:val="22"/>
        </w:rPr>
        <w:t>for a waiver</w:t>
      </w:r>
      <w:r w:rsidR="00753399" w:rsidRPr="001F60FA">
        <w:rPr>
          <w:szCs w:val="22"/>
        </w:rPr>
        <w:t xml:space="preserve"> or exemption</w:t>
      </w:r>
      <w:r w:rsidRPr="001F60FA">
        <w:rPr>
          <w:szCs w:val="22"/>
        </w:rPr>
        <w:t xml:space="preserve"> of any of the Commission’s</w:t>
      </w:r>
      <w:r w:rsidRPr="00CA6286">
        <w:rPr>
          <w:szCs w:val="22"/>
        </w:rPr>
        <w:t xml:space="preserve"> rules or procedures, the applicant must identify the “Type” of attachment as a “Waiver” to facilitate prompt processing.  </w:t>
      </w:r>
    </w:p>
    <w:p w:rsidR="00CB3C0D" w:rsidRPr="00CA6286" w:rsidRDefault="00CB3C0D" w:rsidP="00C07C81">
      <w:pPr>
        <w:widowControl/>
        <w:ind w:left="720"/>
        <w:rPr>
          <w:szCs w:val="22"/>
        </w:rPr>
      </w:pPr>
    </w:p>
    <w:p w:rsidR="00CB3C0D" w:rsidRPr="00CA6286" w:rsidRDefault="00CB3C0D" w:rsidP="00C07C81">
      <w:pPr>
        <w:widowControl/>
        <w:rPr>
          <w:szCs w:val="22"/>
        </w:rPr>
      </w:pPr>
      <w:r w:rsidRPr="00CA6286">
        <w:rPr>
          <w:szCs w:val="22"/>
        </w:rPr>
        <w:t xml:space="preserve">Once the requested information is provided, applicants can add the attachment to the application by clicking on the </w:t>
      </w:r>
      <w:r w:rsidRPr="00CA6286">
        <w:rPr>
          <w:b/>
          <w:szCs w:val="22"/>
        </w:rPr>
        <w:t>ADD ATTACHMENT</w:t>
      </w:r>
      <w:r w:rsidRPr="00CA6286">
        <w:rPr>
          <w:szCs w:val="22"/>
        </w:rPr>
        <w:t xml:space="preserve"> button.  A list of any attachments already uploaded along with the applicant’s FCC Form 175 will appear at the bottom of the screen.</w:t>
      </w:r>
    </w:p>
    <w:p w:rsidR="00CB3C0D" w:rsidRPr="00CA6286" w:rsidRDefault="00CB3C0D" w:rsidP="00C07C81">
      <w:pPr>
        <w:widowControl/>
        <w:rPr>
          <w:szCs w:val="22"/>
        </w:rPr>
      </w:pPr>
    </w:p>
    <w:p w:rsidR="003C3919" w:rsidRPr="00DF7948" w:rsidRDefault="00CB3C0D" w:rsidP="00C07C81">
      <w:pPr>
        <w:widowControl/>
        <w:rPr>
          <w:szCs w:val="22"/>
        </w:rPr>
      </w:pPr>
      <w:r w:rsidRPr="00CA6286">
        <w:rPr>
          <w:szCs w:val="22"/>
        </w:rPr>
        <w:t xml:space="preserve">When uploading attachments, applicants may use a variety of file formats, including Word 2000 or earlier, WordPerfect 5.x or later, Adobe PDF, and ASCII text.  Applicants must, however, verify that the files contain all </w:t>
      </w:r>
      <w:r w:rsidR="006E5119">
        <w:rPr>
          <w:szCs w:val="22"/>
        </w:rPr>
        <w:t>attachment</w:t>
      </w:r>
      <w:r w:rsidRPr="00CA6286">
        <w:rPr>
          <w:szCs w:val="22"/>
        </w:rPr>
        <w:t xml:space="preserve"> information, and files may be no larger than 10 Mb and must not be password-protected.  Graphics files (e.g., .bmp, .tiff, .jpg) and spreadsheets (e.g., Excel, Lotus) are supported but not </w:t>
      </w:r>
      <w:r w:rsidRPr="00DF7948">
        <w:rPr>
          <w:szCs w:val="22"/>
        </w:rPr>
        <w:t>recommended.</w:t>
      </w:r>
    </w:p>
    <w:p w:rsidR="003C3919" w:rsidRPr="00DF7948" w:rsidRDefault="003C3919" w:rsidP="00C07C81">
      <w:pPr>
        <w:widowControl/>
        <w:rPr>
          <w:szCs w:val="22"/>
        </w:rPr>
      </w:pPr>
    </w:p>
    <w:p w:rsidR="00CB3C0D" w:rsidRPr="00DF7948" w:rsidRDefault="003C3919" w:rsidP="00C07C81">
      <w:pPr>
        <w:widowControl/>
        <w:ind w:right="-360"/>
        <w:rPr>
          <w:szCs w:val="22"/>
        </w:rPr>
      </w:pPr>
      <w:r w:rsidRPr="00DF7948">
        <w:rPr>
          <w:szCs w:val="22"/>
        </w:rPr>
        <w:t>After the short-form application filing deadline, an application attachment may not be deleted or withdrawn.</w:t>
      </w:r>
      <w:r w:rsidR="00CB3C0D" w:rsidRPr="00DF7948">
        <w:rPr>
          <w:szCs w:val="22"/>
        </w:rPr>
        <w:t xml:space="preserve"> </w:t>
      </w:r>
    </w:p>
    <w:p w:rsidR="00CB3C0D" w:rsidRPr="00DF7948" w:rsidRDefault="00CB3C0D" w:rsidP="00C07C81">
      <w:pPr>
        <w:widowControl/>
        <w:rPr>
          <w:szCs w:val="22"/>
        </w:rPr>
      </w:pPr>
    </w:p>
    <w:p w:rsidR="00CB3C0D" w:rsidRPr="00DF7948" w:rsidRDefault="00CB3C0D" w:rsidP="00C07C81">
      <w:pPr>
        <w:pStyle w:val="Heading3"/>
        <w:widowControl/>
        <w:tabs>
          <w:tab w:val="num" w:pos="720"/>
        </w:tabs>
        <w:rPr>
          <w:szCs w:val="22"/>
        </w:rPr>
      </w:pPr>
      <w:bookmarkStart w:id="5155" w:name="_Toc101858542"/>
      <w:bookmarkStart w:id="5156" w:name="_Toc109812298"/>
      <w:bookmarkStart w:id="5157" w:name="_Toc130730993"/>
      <w:bookmarkStart w:id="5158" w:name="_Toc130814221"/>
      <w:bookmarkStart w:id="5159" w:name="_Toc130814543"/>
      <w:bookmarkStart w:id="5160" w:name="_Toc130814675"/>
      <w:bookmarkStart w:id="5161" w:name="_Toc130883558"/>
      <w:bookmarkStart w:id="5162" w:name="_Toc130885669"/>
      <w:bookmarkStart w:id="5163" w:name="_Toc131844648"/>
      <w:bookmarkStart w:id="5164" w:name="_Toc148330583"/>
      <w:bookmarkStart w:id="5165" w:name="_Toc148337790"/>
      <w:bookmarkStart w:id="5166" w:name="_Toc148338115"/>
      <w:bookmarkStart w:id="5167" w:name="_Toc148339825"/>
      <w:bookmarkStart w:id="5168" w:name="_Toc148339922"/>
      <w:bookmarkStart w:id="5169" w:name="_Toc149645636"/>
      <w:bookmarkStart w:id="5170" w:name="_Toc149997939"/>
      <w:bookmarkStart w:id="5171" w:name="_Toc158180814"/>
      <w:bookmarkStart w:id="5172" w:name="_Toc158785662"/>
      <w:bookmarkStart w:id="5173" w:name="_Toc178768569"/>
      <w:bookmarkStart w:id="5174" w:name="_Toc179196010"/>
      <w:bookmarkStart w:id="5175" w:name="_Toc179361973"/>
      <w:bookmarkStart w:id="5176" w:name="_Toc179363757"/>
      <w:bookmarkStart w:id="5177" w:name="_Toc197504991"/>
      <w:bookmarkStart w:id="5178" w:name="_Toc198007772"/>
      <w:bookmarkStart w:id="5179" w:name="_Toc198007923"/>
      <w:bookmarkStart w:id="5180" w:name="_Toc198008275"/>
      <w:bookmarkStart w:id="5181" w:name="_Toc198008412"/>
      <w:bookmarkStart w:id="5182" w:name="_Toc198008959"/>
      <w:bookmarkStart w:id="5183" w:name="_Toc198369855"/>
      <w:bookmarkStart w:id="5184" w:name="_Toc216090777"/>
      <w:bookmarkStart w:id="5185" w:name="_Toc226958283"/>
      <w:bookmarkStart w:id="5186" w:name="_Toc227038343"/>
      <w:bookmarkStart w:id="5187" w:name="_Toc254792648"/>
      <w:bookmarkStart w:id="5188" w:name="_Toc256669772"/>
      <w:bookmarkStart w:id="5189" w:name="_Toc257213307"/>
      <w:bookmarkStart w:id="5190" w:name="_Toc257277806"/>
      <w:bookmarkStart w:id="5191" w:name="_Toc257278767"/>
      <w:bookmarkStart w:id="5192" w:name="_Toc257278977"/>
      <w:bookmarkStart w:id="5193" w:name="_Toc257279345"/>
      <w:bookmarkStart w:id="5194" w:name="_Toc257382992"/>
      <w:bookmarkStart w:id="5195" w:name="_Toc274056249"/>
      <w:bookmarkStart w:id="5196" w:name="_Toc276657655"/>
      <w:bookmarkStart w:id="5197" w:name="_Toc278366501"/>
      <w:bookmarkStart w:id="5198" w:name="_Toc307584095"/>
      <w:bookmarkStart w:id="5199" w:name="_Toc307937369"/>
      <w:bookmarkStart w:id="5200" w:name="_Toc348508808"/>
      <w:bookmarkStart w:id="5201" w:name="_Toc362256826"/>
      <w:bookmarkStart w:id="5202" w:name="_Toc366056581"/>
      <w:bookmarkStart w:id="5203" w:name="_Toc366223783"/>
      <w:bookmarkStart w:id="5204" w:name="_Toc366229496"/>
      <w:bookmarkStart w:id="5205" w:name="_Toc366583539"/>
      <w:r w:rsidRPr="00DF7948">
        <w:rPr>
          <w:szCs w:val="22"/>
        </w:rPr>
        <w:t>Certify and Submit</w:t>
      </w:r>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p>
    <w:p w:rsidR="00CB3C0D" w:rsidRPr="00CA6286" w:rsidRDefault="00CB3C0D" w:rsidP="00C07C81">
      <w:pPr>
        <w:widowControl/>
        <w:rPr>
          <w:szCs w:val="22"/>
        </w:rPr>
      </w:pPr>
      <w:r w:rsidRPr="00CA6286">
        <w:rPr>
          <w:szCs w:val="22"/>
        </w:rPr>
        <w:t xml:space="preserve">The </w:t>
      </w:r>
      <w:r w:rsidRPr="00CA6286">
        <w:rPr>
          <w:i/>
          <w:szCs w:val="22"/>
        </w:rPr>
        <w:t>Certify and Submit</w:t>
      </w:r>
      <w:r w:rsidRPr="00CA6286">
        <w:rPr>
          <w:szCs w:val="22"/>
        </w:rPr>
        <w:t xml:space="preserve"> screens are the </w:t>
      </w:r>
      <w:r w:rsidRPr="00E41697">
        <w:rPr>
          <w:szCs w:val="22"/>
        </w:rPr>
        <w:t>sixth and</w:t>
      </w:r>
      <w:r w:rsidRPr="00CA6286">
        <w:rPr>
          <w:szCs w:val="22"/>
        </w:rPr>
        <w:t xml:space="preserve"> final series of screens in FCC Form 175.  In th</w:t>
      </w:r>
      <w:r w:rsidR="004F2222">
        <w:rPr>
          <w:szCs w:val="22"/>
        </w:rPr>
        <w:t xml:space="preserve">ese </w:t>
      </w:r>
      <w:r w:rsidRPr="00CA6286">
        <w:rPr>
          <w:szCs w:val="22"/>
        </w:rPr>
        <w:t>screens, applicants provide certifications required of all participants in the Commission’s competitive bidding processes</w:t>
      </w:r>
      <w:r w:rsidR="00C51C45">
        <w:rPr>
          <w:szCs w:val="22"/>
        </w:rPr>
        <w:t>,</w:t>
      </w:r>
      <w:r w:rsidRPr="00CA6286">
        <w:rPr>
          <w:rStyle w:val="FootnoteReference"/>
          <w:szCs w:val="22"/>
        </w:rPr>
        <w:footnoteReference w:id="342"/>
      </w:r>
      <w:r w:rsidR="00C51C45">
        <w:rPr>
          <w:szCs w:val="22"/>
        </w:rPr>
        <w:t xml:space="preserve"> and any Auction 96-specific certifications.</w:t>
      </w:r>
      <w:r w:rsidR="00C51C45">
        <w:rPr>
          <w:rStyle w:val="FootnoteReference"/>
          <w:szCs w:val="22"/>
        </w:rPr>
        <w:footnoteReference w:id="343"/>
      </w:r>
      <w:r w:rsidRPr="00CA6286">
        <w:rPr>
          <w:szCs w:val="22"/>
        </w:rPr>
        <w:t xml:space="preserve">  </w:t>
      </w:r>
    </w:p>
    <w:p w:rsidR="00CB3C0D" w:rsidRPr="00CA6286" w:rsidRDefault="00CB3C0D" w:rsidP="00C07C81">
      <w:pPr>
        <w:widowControl/>
        <w:rPr>
          <w:szCs w:val="22"/>
        </w:rPr>
      </w:pPr>
    </w:p>
    <w:p w:rsidR="00CB3C0D" w:rsidRPr="00CA6286" w:rsidRDefault="00CB3C0D" w:rsidP="00C07C81">
      <w:pPr>
        <w:widowControl/>
        <w:rPr>
          <w:szCs w:val="22"/>
        </w:rPr>
      </w:pPr>
      <w:r w:rsidRPr="00CA6286">
        <w:rPr>
          <w:szCs w:val="22"/>
        </w:rPr>
        <w:t xml:space="preserve">The first </w:t>
      </w:r>
      <w:r w:rsidRPr="00CA6286">
        <w:rPr>
          <w:i/>
          <w:szCs w:val="22"/>
        </w:rPr>
        <w:t>Certify and Submit</w:t>
      </w:r>
      <w:r w:rsidRPr="00CA6286">
        <w:rPr>
          <w:szCs w:val="22"/>
        </w:rPr>
        <w:t xml:space="preserve"> screen requires each applicant to indicate whether the applicant, any affiliate</w:t>
      </w:r>
      <w:r w:rsidR="006E5119">
        <w:rPr>
          <w:szCs w:val="22"/>
        </w:rPr>
        <w:t xml:space="preserve"> of the applicant</w:t>
      </w:r>
      <w:r w:rsidRPr="00CA6286">
        <w:rPr>
          <w:szCs w:val="22"/>
        </w:rPr>
        <w:t>, any controlling interest</w:t>
      </w:r>
      <w:r w:rsidR="006E5119">
        <w:rPr>
          <w:szCs w:val="22"/>
        </w:rPr>
        <w:t xml:space="preserve"> of the applicant</w:t>
      </w:r>
      <w:r w:rsidRPr="00CA6286">
        <w:rPr>
          <w:szCs w:val="22"/>
        </w:rPr>
        <w:t xml:space="preserve">, </w:t>
      </w:r>
      <w:r w:rsidR="006E5119">
        <w:rPr>
          <w:szCs w:val="22"/>
        </w:rPr>
        <w:t>or</w:t>
      </w:r>
      <w:r w:rsidRPr="00CA6286">
        <w:rPr>
          <w:szCs w:val="22"/>
        </w:rPr>
        <w:t xml:space="preserve"> any affiliate of a controlling interest ha</w:t>
      </w:r>
      <w:r w:rsidR="006E5119">
        <w:rPr>
          <w:szCs w:val="22"/>
        </w:rPr>
        <w:t>s</w:t>
      </w:r>
      <w:r w:rsidRPr="00CA6286">
        <w:rPr>
          <w:szCs w:val="22"/>
        </w:rPr>
        <w:t xml:space="preserve"> ever been in default on any </w:t>
      </w:r>
      <w:r w:rsidRPr="00DF7948">
        <w:rPr>
          <w:szCs w:val="22"/>
        </w:rPr>
        <w:t xml:space="preserve">Commission </w:t>
      </w:r>
      <w:r w:rsidR="00300CA8" w:rsidRPr="00DF7948">
        <w:rPr>
          <w:szCs w:val="22"/>
        </w:rPr>
        <w:t xml:space="preserve">construction permit or </w:t>
      </w:r>
      <w:r w:rsidRPr="00DF7948">
        <w:rPr>
          <w:szCs w:val="22"/>
        </w:rPr>
        <w:t xml:space="preserve">license or </w:t>
      </w:r>
      <w:r w:rsidR="000B3E6E" w:rsidRPr="00DF7948">
        <w:rPr>
          <w:szCs w:val="22"/>
        </w:rPr>
        <w:t>has</w:t>
      </w:r>
      <w:r w:rsidRPr="00DF7948">
        <w:rPr>
          <w:szCs w:val="22"/>
        </w:rPr>
        <w:t xml:space="preserve"> ever been delinquent on any non-tax debt owed to any Federal agency.</w:t>
      </w:r>
      <w:r w:rsidRPr="00DF7948">
        <w:rPr>
          <w:rStyle w:val="FootnoteReference"/>
          <w:szCs w:val="22"/>
        </w:rPr>
        <w:footnoteReference w:id="344"/>
      </w:r>
      <w:r w:rsidRPr="00DF7948">
        <w:rPr>
          <w:szCs w:val="22"/>
        </w:rPr>
        <w:t xml:space="preserve">  </w:t>
      </w:r>
      <w:r w:rsidR="00CC7321" w:rsidRPr="00DF7948">
        <w:rPr>
          <w:szCs w:val="22"/>
        </w:rPr>
        <w:t xml:space="preserve">Current defaulters or delinquents are not eligible to participate in </w:t>
      </w:r>
      <w:r w:rsidR="003C3919" w:rsidRPr="00DF7948">
        <w:rPr>
          <w:szCs w:val="22"/>
        </w:rPr>
        <w:t>this auction.  F</w:t>
      </w:r>
      <w:r w:rsidR="00CC7321" w:rsidRPr="00DF7948">
        <w:rPr>
          <w:szCs w:val="22"/>
        </w:rPr>
        <w:t xml:space="preserve">ormer defaulters or delinquents </w:t>
      </w:r>
      <w:r w:rsidR="003C3919" w:rsidRPr="00DF7948">
        <w:rPr>
          <w:szCs w:val="22"/>
        </w:rPr>
        <w:t xml:space="preserve">who have remedied all such defaults and cured all of the outstanding non-tax delinquencies </w:t>
      </w:r>
      <w:r w:rsidR="00CC7321" w:rsidRPr="00DF7948">
        <w:rPr>
          <w:szCs w:val="22"/>
        </w:rPr>
        <w:t xml:space="preserve">can participate </w:t>
      </w:r>
      <w:r w:rsidR="003C3919" w:rsidRPr="00DF7948">
        <w:rPr>
          <w:szCs w:val="22"/>
        </w:rPr>
        <w:t xml:space="preserve">in this auction </w:t>
      </w:r>
      <w:r w:rsidR="00CC7321" w:rsidRPr="00DF7948">
        <w:rPr>
          <w:szCs w:val="22"/>
        </w:rPr>
        <w:t xml:space="preserve">so long as they are otherwise qualified and </w:t>
      </w:r>
      <w:r w:rsidR="00CC7321" w:rsidRPr="00DF7948">
        <w:rPr>
          <w:iCs/>
          <w:szCs w:val="22"/>
        </w:rPr>
        <w:t>make</w:t>
      </w:r>
      <w:r w:rsidR="00CC7321" w:rsidRPr="00DF7948">
        <w:rPr>
          <w:szCs w:val="22"/>
        </w:rPr>
        <w:t xml:space="preserve"> upfront payments that are </w:t>
      </w:r>
      <w:r w:rsidRPr="00DF7948">
        <w:rPr>
          <w:szCs w:val="22"/>
        </w:rPr>
        <w:t xml:space="preserve"> equal to 50 percent more than otherwise required.</w:t>
      </w:r>
      <w:r w:rsidRPr="00DF7948">
        <w:rPr>
          <w:rStyle w:val="FootnoteReference"/>
          <w:szCs w:val="22"/>
        </w:rPr>
        <w:footnoteReference w:id="345"/>
      </w:r>
      <w:r w:rsidRPr="00CA6286">
        <w:rPr>
          <w:szCs w:val="22"/>
        </w:rPr>
        <w:t xml:space="preserve">  </w:t>
      </w:r>
    </w:p>
    <w:p w:rsidR="00CB3C0D" w:rsidRPr="00CA6286" w:rsidRDefault="00CB3C0D" w:rsidP="00C07C81">
      <w:pPr>
        <w:widowControl/>
        <w:rPr>
          <w:szCs w:val="22"/>
        </w:rPr>
      </w:pPr>
    </w:p>
    <w:p w:rsidR="00CB3C0D" w:rsidRPr="00CA6286" w:rsidRDefault="00CB3C0D" w:rsidP="00C07C81">
      <w:pPr>
        <w:widowControl/>
        <w:tabs>
          <w:tab w:val="left" w:pos="-1440"/>
          <w:tab w:val="left" w:pos="-720"/>
          <w:tab w:val="left" w:pos="0"/>
          <w:tab w:val="left" w:pos="720"/>
          <w:tab w:val="left" w:pos="1080"/>
          <w:tab w:val="left" w:pos="2160"/>
          <w:tab w:val="left" w:pos="2880"/>
          <w:tab w:val="left" w:pos="3780"/>
          <w:tab w:val="left" w:pos="4320"/>
        </w:tabs>
        <w:suppressAutoHyphens/>
        <w:rPr>
          <w:szCs w:val="22"/>
        </w:rPr>
      </w:pPr>
      <w:r w:rsidRPr="00CA6286">
        <w:rPr>
          <w:szCs w:val="22"/>
        </w:rPr>
        <w:t xml:space="preserve">The second </w:t>
      </w:r>
      <w:r w:rsidRPr="00CA6286">
        <w:rPr>
          <w:i/>
          <w:szCs w:val="22"/>
        </w:rPr>
        <w:t>Certify and Submit</w:t>
      </w:r>
      <w:r w:rsidRPr="00CA6286">
        <w:rPr>
          <w:szCs w:val="22"/>
        </w:rPr>
        <w:t xml:space="preserve"> screen lists the certifications required of all applicants in the Commission’s competitive bidding processes and requests that the applicant’s certifying official be identified and sign the application.  </w:t>
      </w:r>
    </w:p>
    <w:p w:rsidR="00CB3C0D" w:rsidRPr="00CA6286" w:rsidRDefault="00CB3C0D" w:rsidP="00C07C81">
      <w:pPr>
        <w:widowControl/>
        <w:tabs>
          <w:tab w:val="left" w:pos="-1440"/>
          <w:tab w:val="left" w:pos="-720"/>
          <w:tab w:val="left" w:pos="0"/>
          <w:tab w:val="left" w:pos="720"/>
          <w:tab w:val="left" w:pos="1080"/>
          <w:tab w:val="left" w:pos="2160"/>
          <w:tab w:val="left" w:pos="2880"/>
          <w:tab w:val="left" w:pos="3780"/>
          <w:tab w:val="left" w:pos="4320"/>
        </w:tabs>
        <w:suppressAutoHyphens/>
        <w:rPr>
          <w:szCs w:val="22"/>
        </w:rPr>
      </w:pPr>
    </w:p>
    <w:p w:rsidR="00CB3C0D" w:rsidRPr="00CA6286" w:rsidRDefault="00CB3C0D" w:rsidP="00C07C81">
      <w:pPr>
        <w:widowControl/>
        <w:tabs>
          <w:tab w:val="left" w:pos="-1440"/>
          <w:tab w:val="left" w:pos="-720"/>
          <w:tab w:val="left" w:pos="0"/>
          <w:tab w:val="left" w:pos="720"/>
          <w:tab w:val="left" w:pos="1080"/>
          <w:tab w:val="left" w:pos="2160"/>
          <w:tab w:val="left" w:pos="2880"/>
          <w:tab w:val="left" w:pos="3780"/>
          <w:tab w:val="left" w:pos="4320"/>
        </w:tabs>
        <w:suppressAutoHyphens/>
        <w:rPr>
          <w:szCs w:val="22"/>
        </w:rPr>
      </w:pPr>
      <w:r w:rsidRPr="00CA6286">
        <w:rPr>
          <w:b/>
          <w:szCs w:val="22"/>
        </w:rPr>
        <w:t xml:space="preserve">Who Can Certify.  </w:t>
      </w:r>
      <w:r w:rsidRPr="00CA6286">
        <w:rPr>
          <w:szCs w:val="22"/>
        </w:rPr>
        <w:t xml:space="preserve">A short-form application </w:t>
      </w:r>
      <w:r w:rsidR="0092651F">
        <w:rPr>
          <w:szCs w:val="22"/>
        </w:rPr>
        <w:t>must</w:t>
      </w:r>
      <w:r w:rsidRPr="00CA6286">
        <w:rPr>
          <w:szCs w:val="22"/>
        </w:rPr>
        <w:t xml:space="preserve"> be certified by</w:t>
      </w:r>
      <w:r w:rsidR="0092651F">
        <w:rPr>
          <w:szCs w:val="22"/>
        </w:rPr>
        <w:t xml:space="preserve"> a person with the authority to bind the applicant</w:t>
      </w:r>
      <w:r w:rsidRPr="00CA6286">
        <w:rPr>
          <w:szCs w:val="22"/>
        </w:rPr>
        <w:t>.</w:t>
      </w:r>
      <w:r w:rsidR="0092651F">
        <w:rPr>
          <w:szCs w:val="22"/>
        </w:rPr>
        <w:t xml:space="preserve">  </w:t>
      </w:r>
      <w:r w:rsidR="004953EB">
        <w:t>For example, a short-form application can be certified by:  (1) the applicant, if the applicant is an individual; (2) one of the partners, if the applicant is a partnership; (3) an officer, director, or duly-authorized employee, if the applicant is a corporation; (4) an officer, if the applicant is an unincorporated association; (5) the trustee, if the applicant is an amateur radio service club; or (6) a duly elected or appointed official who is authorized to do so under the laws of the applicable jurisdiction, if the applicant is a governmental entity.</w:t>
      </w:r>
    </w:p>
    <w:p w:rsidR="00CB3C0D" w:rsidRPr="00CA6286" w:rsidRDefault="00CB3C0D" w:rsidP="00C07C81">
      <w:pPr>
        <w:widowControl/>
        <w:rPr>
          <w:szCs w:val="22"/>
        </w:rPr>
      </w:pPr>
    </w:p>
    <w:p w:rsidR="0092651F" w:rsidRPr="00CA6286" w:rsidRDefault="00CB3C0D" w:rsidP="00C07C81">
      <w:pPr>
        <w:widowControl/>
        <w:rPr>
          <w:szCs w:val="22"/>
        </w:rPr>
      </w:pPr>
      <w:r w:rsidRPr="00CA6286">
        <w:rPr>
          <w:szCs w:val="22"/>
        </w:rPr>
        <w:t xml:space="preserve">All applicants must certify on their short-form applications under penalty of perjury that they are legally, technically, financially and otherwise qualified to hold a </w:t>
      </w:r>
      <w:r w:rsidR="000B3E6E">
        <w:rPr>
          <w:szCs w:val="22"/>
        </w:rPr>
        <w:t xml:space="preserve">Commission </w:t>
      </w:r>
      <w:r w:rsidRPr="00CA6286">
        <w:rPr>
          <w:szCs w:val="22"/>
        </w:rPr>
        <w:t>license.</w:t>
      </w:r>
      <w:r w:rsidRPr="00CA6286">
        <w:rPr>
          <w:rStyle w:val="FootnoteReference"/>
          <w:szCs w:val="22"/>
        </w:rPr>
        <w:footnoteReference w:id="346"/>
      </w:r>
      <w:r w:rsidRPr="00CA6286">
        <w:rPr>
          <w:szCs w:val="22"/>
        </w:rPr>
        <w:t xml:space="preserve">  Applicants are reminded that submission of a</w:t>
      </w:r>
      <w:r>
        <w:rPr>
          <w:szCs w:val="22"/>
        </w:rPr>
        <w:t>n</w:t>
      </w:r>
      <w:r w:rsidRPr="00CA6286">
        <w:rPr>
          <w:szCs w:val="22"/>
        </w:rPr>
        <w:t xml:space="preserve"> FCC Form 175 constitutes a representation by the </w:t>
      </w:r>
      <w:r w:rsidR="0092651F">
        <w:rPr>
          <w:szCs w:val="22"/>
        </w:rPr>
        <w:t xml:space="preserve">person </w:t>
      </w:r>
      <w:r w:rsidRPr="00CA6286">
        <w:rPr>
          <w:szCs w:val="22"/>
        </w:rPr>
        <w:t>certifying that he or she is an authorized representative of the applicant</w:t>
      </w:r>
      <w:r w:rsidR="0092651F">
        <w:rPr>
          <w:szCs w:val="22"/>
        </w:rPr>
        <w:t xml:space="preserve"> with the authority to bind the applicant,</w:t>
      </w:r>
      <w:r w:rsidRPr="00CA6286">
        <w:rPr>
          <w:szCs w:val="22"/>
        </w:rPr>
        <w:t xml:space="preserve"> has read the form’s instructions and certifications, and that the contents of the application, its certifications and any </w:t>
      </w:r>
      <w:r w:rsidRPr="00DF7948">
        <w:rPr>
          <w:szCs w:val="22"/>
        </w:rPr>
        <w:t>attachments are true</w:t>
      </w:r>
      <w:r w:rsidR="003C3919" w:rsidRPr="00DF7948">
        <w:rPr>
          <w:szCs w:val="22"/>
        </w:rPr>
        <w:t>, complete</w:t>
      </w:r>
      <w:r w:rsidRPr="00DF7948">
        <w:rPr>
          <w:szCs w:val="22"/>
        </w:rPr>
        <w:t xml:space="preserve"> and correct.  Submission of a false certification to the Commission may result in penalties, including monetary forfeitures, license forfeitures, ineligibility to participate in future auctions, and/or criminal prosecution.  As noted above, a change </w:t>
      </w:r>
      <w:r w:rsidR="0092651F">
        <w:rPr>
          <w:szCs w:val="22"/>
        </w:rPr>
        <w:t>in the person</w:t>
      </w:r>
      <w:r w:rsidRPr="00DF7948">
        <w:rPr>
          <w:szCs w:val="22"/>
        </w:rPr>
        <w:t xml:space="preserve"> certifying </w:t>
      </w:r>
      <w:r w:rsidR="0092651F">
        <w:rPr>
          <w:szCs w:val="22"/>
        </w:rPr>
        <w:t>the application</w:t>
      </w:r>
      <w:r w:rsidRPr="00DF7948">
        <w:rPr>
          <w:szCs w:val="22"/>
        </w:rPr>
        <w:t xml:space="preserve"> is considered a major change </w:t>
      </w:r>
      <w:r w:rsidR="0092651F">
        <w:rPr>
          <w:szCs w:val="22"/>
        </w:rPr>
        <w:t>to</w:t>
      </w:r>
      <w:r w:rsidRPr="00DF7948">
        <w:rPr>
          <w:szCs w:val="22"/>
        </w:rPr>
        <w:t xml:space="preserve"> the short-form application</w:t>
      </w:r>
      <w:r w:rsidRPr="00CA6286">
        <w:rPr>
          <w:szCs w:val="22"/>
        </w:rPr>
        <w:t xml:space="preserve"> and will not be permitted after the </w:t>
      </w:r>
      <w:r w:rsidR="00753399" w:rsidRPr="001F60FA">
        <w:rPr>
          <w:szCs w:val="22"/>
        </w:rPr>
        <w:t xml:space="preserve">application </w:t>
      </w:r>
      <w:r w:rsidRPr="001F60FA">
        <w:rPr>
          <w:szCs w:val="22"/>
        </w:rPr>
        <w:t>deadline.</w:t>
      </w:r>
      <w:r w:rsidRPr="00CA6286">
        <w:rPr>
          <w:szCs w:val="22"/>
        </w:rPr>
        <w:t xml:space="preserve"> </w:t>
      </w:r>
    </w:p>
    <w:p w:rsidR="00CB3C0D" w:rsidRPr="00CA6286" w:rsidRDefault="00CB3C0D" w:rsidP="00C07C81">
      <w:pPr>
        <w:widowControl/>
        <w:rPr>
          <w:szCs w:val="22"/>
        </w:rPr>
      </w:pPr>
    </w:p>
    <w:p w:rsidR="00CB3C0D" w:rsidRPr="00CA6286" w:rsidRDefault="00CB3C0D" w:rsidP="00C07C81">
      <w:pPr>
        <w:widowControl/>
        <w:rPr>
          <w:szCs w:val="22"/>
        </w:rPr>
      </w:pPr>
      <w:r w:rsidRPr="00CA6286">
        <w:rPr>
          <w:szCs w:val="22"/>
        </w:rPr>
        <w:t xml:space="preserve">Once the two </w:t>
      </w:r>
      <w:r w:rsidRPr="00CA6286">
        <w:rPr>
          <w:i/>
          <w:szCs w:val="22"/>
        </w:rPr>
        <w:t>Certify and Submit</w:t>
      </w:r>
      <w:r w:rsidRPr="00CA6286">
        <w:rPr>
          <w:szCs w:val="22"/>
        </w:rPr>
        <w:t xml:space="preserve"> screens have been filled out, the application may be submitted by clicking on the </w:t>
      </w:r>
      <w:r w:rsidRPr="00CA6286">
        <w:rPr>
          <w:b/>
          <w:szCs w:val="22"/>
        </w:rPr>
        <w:t>SUBMIT</w:t>
      </w:r>
      <w:r w:rsidRPr="00CA6286">
        <w:rPr>
          <w:szCs w:val="22"/>
        </w:rPr>
        <w:t xml:space="preserve"> button.</w:t>
      </w:r>
    </w:p>
    <w:p w:rsidR="00CB3C0D" w:rsidRPr="00CA6286" w:rsidRDefault="00CB3C0D" w:rsidP="00C07C81">
      <w:pPr>
        <w:widowControl/>
        <w:rPr>
          <w:szCs w:val="22"/>
        </w:rPr>
      </w:pPr>
    </w:p>
    <w:p w:rsidR="00CB3C0D" w:rsidRPr="00CA6286" w:rsidRDefault="00CB3C0D" w:rsidP="00C07C81">
      <w:pPr>
        <w:widowControl/>
        <w:rPr>
          <w:szCs w:val="22"/>
        </w:rPr>
      </w:pPr>
      <w:r w:rsidRPr="00CA6286">
        <w:rPr>
          <w:szCs w:val="22"/>
        </w:rPr>
        <w:t xml:space="preserve">After the application has been submitted, a confirmation screen will be displayed that states the submission time and date, along with a unique file number.  Applicants should print a copy of the confirmation page for their records.  </w:t>
      </w:r>
      <w:r w:rsidR="004F2222">
        <w:rPr>
          <w:szCs w:val="22"/>
        </w:rPr>
        <w:t>They</w:t>
      </w:r>
      <w:r w:rsidR="00F31439">
        <w:rPr>
          <w:szCs w:val="22"/>
        </w:rPr>
        <w:t xml:space="preserve"> </w:t>
      </w:r>
      <w:r w:rsidRPr="00CA6286">
        <w:rPr>
          <w:szCs w:val="22"/>
        </w:rPr>
        <w:t xml:space="preserve">may then view and print copies of their submitted applications by clicking on the </w:t>
      </w:r>
      <w:r w:rsidRPr="00CA6286">
        <w:rPr>
          <w:b/>
          <w:szCs w:val="22"/>
        </w:rPr>
        <w:t>PRINT PREVIEW</w:t>
      </w:r>
      <w:r w:rsidRPr="00CA6286">
        <w:rPr>
          <w:szCs w:val="22"/>
        </w:rPr>
        <w:t xml:space="preserve"> button.</w:t>
      </w:r>
    </w:p>
    <w:p w:rsidR="00CB3C0D" w:rsidRPr="00CA6286" w:rsidRDefault="00CB3C0D" w:rsidP="00C07C81">
      <w:pPr>
        <w:widowControl/>
        <w:rPr>
          <w:szCs w:val="22"/>
        </w:rPr>
      </w:pPr>
    </w:p>
    <w:p w:rsidR="00CB3C0D" w:rsidRPr="00CA6286" w:rsidRDefault="00300CA8" w:rsidP="00C07C81">
      <w:pPr>
        <w:widowControl/>
        <w:rPr>
          <w:szCs w:val="22"/>
        </w:rPr>
      </w:pPr>
      <w:r>
        <w:rPr>
          <w:szCs w:val="22"/>
        </w:rPr>
        <w:t>FCC Form 175</w:t>
      </w:r>
      <w:r w:rsidR="00CB3C0D" w:rsidRPr="00CA6286">
        <w:rPr>
          <w:szCs w:val="22"/>
        </w:rPr>
        <w:t xml:space="preserve"> applications for Auction </w:t>
      </w:r>
      <w:r w:rsidR="00B1610D">
        <w:rPr>
          <w:szCs w:val="22"/>
        </w:rPr>
        <w:t>9</w:t>
      </w:r>
      <w:r w:rsidR="00E246D2">
        <w:rPr>
          <w:szCs w:val="22"/>
        </w:rPr>
        <w:t>6</w:t>
      </w:r>
      <w:r w:rsidR="00CB3C0D" w:rsidRPr="00CA6286">
        <w:rPr>
          <w:szCs w:val="22"/>
        </w:rPr>
        <w:t xml:space="preserve"> must be submitted and confirmed prior to 6:00 p.m. ET on </w:t>
      </w:r>
      <w:r w:rsidR="00B82213">
        <w:rPr>
          <w:szCs w:val="22"/>
        </w:rPr>
        <w:t>T</w:t>
      </w:r>
      <w:r w:rsidR="003D65BB">
        <w:rPr>
          <w:szCs w:val="22"/>
        </w:rPr>
        <w:t>ue</w:t>
      </w:r>
      <w:r w:rsidR="00B82213">
        <w:rPr>
          <w:szCs w:val="22"/>
        </w:rPr>
        <w:t>s</w:t>
      </w:r>
      <w:r w:rsidR="00B57C9F">
        <w:rPr>
          <w:szCs w:val="22"/>
        </w:rPr>
        <w:t>day</w:t>
      </w:r>
      <w:r w:rsidR="00CB3C0D" w:rsidRPr="006B5854">
        <w:rPr>
          <w:szCs w:val="22"/>
        </w:rPr>
        <w:t xml:space="preserve">, </w:t>
      </w:r>
      <w:r w:rsidR="003D65BB">
        <w:rPr>
          <w:szCs w:val="22"/>
        </w:rPr>
        <w:t>November</w:t>
      </w:r>
      <w:r w:rsidR="00B82213">
        <w:rPr>
          <w:szCs w:val="22"/>
        </w:rPr>
        <w:t xml:space="preserve"> </w:t>
      </w:r>
      <w:r w:rsidR="003D65BB">
        <w:rPr>
          <w:szCs w:val="22"/>
        </w:rPr>
        <w:t>5</w:t>
      </w:r>
      <w:r w:rsidR="009E16FC" w:rsidRPr="006B5854">
        <w:rPr>
          <w:szCs w:val="22"/>
        </w:rPr>
        <w:t>, 201</w:t>
      </w:r>
      <w:r w:rsidR="00B57C9F">
        <w:rPr>
          <w:szCs w:val="22"/>
        </w:rPr>
        <w:t>3</w:t>
      </w:r>
      <w:r w:rsidR="00CB3C0D" w:rsidRPr="006B5854">
        <w:rPr>
          <w:szCs w:val="22"/>
        </w:rPr>
        <w:t>.  Late</w:t>
      </w:r>
      <w:r w:rsidR="00CB3C0D" w:rsidRPr="00D25662">
        <w:rPr>
          <w:szCs w:val="22"/>
        </w:rPr>
        <w:t xml:space="preserve"> applications or unconfirmed submissions of electronic data will not be</w:t>
      </w:r>
      <w:r w:rsidR="00CB3C0D" w:rsidRPr="00CA6286">
        <w:rPr>
          <w:szCs w:val="22"/>
        </w:rPr>
        <w:t xml:space="preserve"> accepted.</w:t>
      </w:r>
    </w:p>
    <w:p w:rsidR="00CB3C0D" w:rsidRPr="00CA6286" w:rsidRDefault="00CB3C0D" w:rsidP="00C07C81">
      <w:pPr>
        <w:widowControl/>
        <w:rPr>
          <w:szCs w:val="22"/>
        </w:rPr>
      </w:pPr>
    </w:p>
    <w:p w:rsidR="00CB3C0D" w:rsidRPr="001C2E9C" w:rsidRDefault="00CB3C0D" w:rsidP="00C07C81">
      <w:pPr>
        <w:pStyle w:val="Heading2"/>
        <w:widowControl/>
      </w:pPr>
      <w:bookmarkStart w:id="5206" w:name="_Toc109812299"/>
      <w:bookmarkStart w:id="5207" w:name="_Toc130730994"/>
      <w:bookmarkStart w:id="5208" w:name="_Toc130814222"/>
      <w:bookmarkStart w:id="5209" w:name="_Toc130814544"/>
      <w:bookmarkStart w:id="5210" w:name="_Toc130814676"/>
      <w:bookmarkStart w:id="5211" w:name="_Toc130883559"/>
      <w:bookmarkStart w:id="5212" w:name="_Toc130885670"/>
      <w:bookmarkStart w:id="5213" w:name="_Toc131844649"/>
      <w:bookmarkStart w:id="5214" w:name="_Toc148330584"/>
      <w:bookmarkStart w:id="5215" w:name="_Toc148337791"/>
      <w:bookmarkStart w:id="5216" w:name="_Toc148338116"/>
      <w:bookmarkStart w:id="5217" w:name="_Toc148339826"/>
      <w:bookmarkStart w:id="5218" w:name="_Toc148339923"/>
      <w:bookmarkStart w:id="5219" w:name="_Toc149645637"/>
      <w:bookmarkStart w:id="5220" w:name="_Toc149997940"/>
      <w:bookmarkStart w:id="5221" w:name="_Toc158180815"/>
      <w:bookmarkStart w:id="5222" w:name="_Toc158785663"/>
      <w:bookmarkStart w:id="5223" w:name="_Toc178768570"/>
      <w:bookmarkStart w:id="5224" w:name="_Toc179196011"/>
      <w:bookmarkStart w:id="5225" w:name="_Toc179361974"/>
      <w:bookmarkStart w:id="5226" w:name="_Toc179363758"/>
      <w:bookmarkStart w:id="5227" w:name="_Toc197504992"/>
      <w:bookmarkStart w:id="5228" w:name="_Toc198007773"/>
      <w:bookmarkStart w:id="5229" w:name="_Toc198007924"/>
      <w:bookmarkStart w:id="5230" w:name="_Toc198008276"/>
      <w:bookmarkStart w:id="5231" w:name="_Toc198008413"/>
      <w:bookmarkStart w:id="5232" w:name="_Toc198008960"/>
      <w:bookmarkStart w:id="5233" w:name="_Toc198369856"/>
      <w:bookmarkStart w:id="5234" w:name="_Toc216090778"/>
      <w:bookmarkStart w:id="5235" w:name="_Toc226958284"/>
      <w:bookmarkStart w:id="5236" w:name="_Toc227038344"/>
      <w:bookmarkStart w:id="5237" w:name="_Toc254792649"/>
      <w:bookmarkStart w:id="5238" w:name="_Toc256669773"/>
      <w:bookmarkStart w:id="5239" w:name="_Toc257213308"/>
      <w:bookmarkStart w:id="5240" w:name="_Toc257277807"/>
      <w:bookmarkStart w:id="5241" w:name="_Toc257278768"/>
      <w:bookmarkStart w:id="5242" w:name="_Toc257278978"/>
      <w:bookmarkStart w:id="5243" w:name="_Toc257279346"/>
      <w:bookmarkStart w:id="5244" w:name="_Toc257382993"/>
      <w:bookmarkStart w:id="5245" w:name="_Toc274056250"/>
      <w:bookmarkStart w:id="5246" w:name="_Toc276657656"/>
      <w:bookmarkStart w:id="5247" w:name="_Toc278366502"/>
      <w:bookmarkStart w:id="5248" w:name="_Toc307584096"/>
      <w:bookmarkStart w:id="5249" w:name="_Toc307937370"/>
      <w:bookmarkStart w:id="5250" w:name="_Toc348508809"/>
      <w:bookmarkStart w:id="5251" w:name="_Toc362256827"/>
      <w:bookmarkStart w:id="5252" w:name="_Toc366056582"/>
      <w:bookmarkStart w:id="5253" w:name="_Toc366223784"/>
      <w:bookmarkStart w:id="5254" w:name="_Toc366229497"/>
      <w:bookmarkStart w:id="5255" w:name="_Toc366583540"/>
      <w:bookmarkStart w:id="5256" w:name="_Toc98821050"/>
      <w:bookmarkStart w:id="5257" w:name="_Toc98846351"/>
      <w:bookmarkStart w:id="5258" w:name="_Toc98898565"/>
      <w:bookmarkStart w:id="5259" w:name="_Toc98921826"/>
      <w:bookmarkStart w:id="5260" w:name="_Toc98932999"/>
      <w:bookmarkStart w:id="5261" w:name="_Toc101858543"/>
      <w:r w:rsidRPr="001C2E9C">
        <w:t>Withdrawing a Short-Form Application Before the Filing Deadline and Updating Existing Short-Form Applications</w:t>
      </w:r>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p>
    <w:p w:rsidR="00CB3C0D" w:rsidRPr="00CA6286" w:rsidRDefault="00CB3C0D" w:rsidP="00C07C81">
      <w:pPr>
        <w:pStyle w:val="Heading3"/>
        <w:widowControl/>
        <w:tabs>
          <w:tab w:val="num" w:pos="720"/>
        </w:tabs>
        <w:rPr>
          <w:szCs w:val="22"/>
        </w:rPr>
      </w:pPr>
      <w:bookmarkStart w:id="5262" w:name="_Toc130730995"/>
      <w:bookmarkStart w:id="5263" w:name="_Toc130814223"/>
      <w:bookmarkStart w:id="5264" w:name="_Toc130814545"/>
      <w:bookmarkStart w:id="5265" w:name="_Toc130814677"/>
      <w:bookmarkStart w:id="5266" w:name="_Toc130883560"/>
      <w:bookmarkStart w:id="5267" w:name="_Toc130885671"/>
      <w:bookmarkStart w:id="5268" w:name="_Toc131844650"/>
      <w:bookmarkStart w:id="5269" w:name="_Toc148330585"/>
      <w:bookmarkStart w:id="5270" w:name="_Toc149645638"/>
      <w:bookmarkStart w:id="5271" w:name="_Toc149997941"/>
      <w:bookmarkStart w:id="5272" w:name="_Toc158180816"/>
      <w:bookmarkStart w:id="5273" w:name="_Toc158785664"/>
      <w:bookmarkStart w:id="5274" w:name="_Toc178768571"/>
      <w:bookmarkStart w:id="5275" w:name="_Toc179196012"/>
      <w:bookmarkStart w:id="5276" w:name="_Toc179361975"/>
      <w:bookmarkStart w:id="5277" w:name="_Toc179363759"/>
      <w:bookmarkStart w:id="5278" w:name="_Toc197504993"/>
      <w:bookmarkStart w:id="5279" w:name="_Toc198007774"/>
      <w:bookmarkStart w:id="5280" w:name="_Toc198007925"/>
      <w:bookmarkStart w:id="5281" w:name="_Toc198008277"/>
      <w:bookmarkStart w:id="5282" w:name="_Toc198008414"/>
      <w:bookmarkStart w:id="5283" w:name="_Toc198008961"/>
      <w:bookmarkStart w:id="5284" w:name="_Toc198369857"/>
      <w:bookmarkStart w:id="5285" w:name="_Toc216090779"/>
      <w:bookmarkStart w:id="5286" w:name="_Toc226958285"/>
      <w:bookmarkStart w:id="5287" w:name="_Toc227038345"/>
      <w:bookmarkStart w:id="5288" w:name="_Toc254792650"/>
      <w:bookmarkStart w:id="5289" w:name="_Toc256669774"/>
      <w:bookmarkStart w:id="5290" w:name="_Toc257213309"/>
      <w:bookmarkStart w:id="5291" w:name="_Toc257277808"/>
      <w:bookmarkStart w:id="5292" w:name="_Toc257278769"/>
      <w:bookmarkStart w:id="5293" w:name="_Toc257278979"/>
      <w:bookmarkStart w:id="5294" w:name="_Toc257279347"/>
      <w:bookmarkStart w:id="5295" w:name="_Toc257382994"/>
      <w:bookmarkStart w:id="5296" w:name="_Toc274056251"/>
      <w:bookmarkStart w:id="5297" w:name="_Toc276657657"/>
      <w:bookmarkStart w:id="5298" w:name="_Toc278366503"/>
      <w:bookmarkStart w:id="5299" w:name="_Toc307584097"/>
      <w:bookmarkStart w:id="5300" w:name="_Toc307937371"/>
      <w:bookmarkStart w:id="5301" w:name="_Toc348508810"/>
      <w:bookmarkStart w:id="5302" w:name="_Toc362256828"/>
      <w:bookmarkStart w:id="5303" w:name="_Toc366056583"/>
      <w:bookmarkStart w:id="5304" w:name="_Toc366223785"/>
      <w:bookmarkStart w:id="5305" w:name="_Toc366229498"/>
      <w:bookmarkStart w:id="5306" w:name="_Toc366583541"/>
      <w:r w:rsidRPr="00CA6286">
        <w:rPr>
          <w:szCs w:val="22"/>
        </w:rPr>
        <w:t>Withdrawing an Application</w:t>
      </w:r>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p>
    <w:p w:rsidR="00CB3C0D" w:rsidRPr="00CA6286" w:rsidRDefault="00CB3C0D" w:rsidP="00C07C81">
      <w:pPr>
        <w:widowControl/>
        <w:rPr>
          <w:szCs w:val="22"/>
        </w:rPr>
      </w:pPr>
      <w:r w:rsidRPr="00CA6286">
        <w:rPr>
          <w:szCs w:val="22"/>
        </w:rPr>
        <w:t xml:space="preserve">To withdraw a submitted application before the short-form application filing deadline, applicants should click on the </w:t>
      </w:r>
      <w:r w:rsidRPr="00CA6286">
        <w:rPr>
          <w:b/>
          <w:szCs w:val="22"/>
        </w:rPr>
        <w:t xml:space="preserve">Withdraw Application </w:t>
      </w:r>
      <w:r w:rsidRPr="00CA6286">
        <w:rPr>
          <w:szCs w:val="22"/>
        </w:rPr>
        <w:t>icon on the Auction Application Manager</w:t>
      </w:r>
      <w:r w:rsidRPr="00CA6286">
        <w:rPr>
          <w:i/>
          <w:szCs w:val="22"/>
        </w:rPr>
        <w:t xml:space="preserve"> Review</w:t>
      </w:r>
      <w:r w:rsidR="00F9226E">
        <w:rPr>
          <w:i/>
          <w:szCs w:val="22"/>
        </w:rPr>
        <w:t xml:space="preserve"> or Modify Existing Short-Form</w:t>
      </w:r>
      <w:r w:rsidRPr="00CA6286">
        <w:rPr>
          <w:i/>
          <w:szCs w:val="22"/>
        </w:rPr>
        <w:t xml:space="preserve"> Applications</w:t>
      </w:r>
      <w:r w:rsidRPr="00CA6286">
        <w:rPr>
          <w:b/>
          <w:i/>
          <w:szCs w:val="22"/>
        </w:rPr>
        <w:t xml:space="preserve"> </w:t>
      </w:r>
      <w:r w:rsidRPr="00CA6286">
        <w:rPr>
          <w:szCs w:val="22"/>
        </w:rPr>
        <w:t>page.  All previously-submitted data will be deleted.</w:t>
      </w:r>
    </w:p>
    <w:p w:rsidR="00CB3C0D" w:rsidRPr="00CA6286" w:rsidRDefault="00CB3C0D" w:rsidP="00C07C81">
      <w:pPr>
        <w:widowControl/>
        <w:rPr>
          <w:szCs w:val="22"/>
        </w:rPr>
      </w:pPr>
    </w:p>
    <w:p w:rsidR="00CB3C0D" w:rsidRDefault="00B905A1" w:rsidP="00C07C81">
      <w:pPr>
        <w:widowControl/>
        <w:rPr>
          <w:b/>
          <w:szCs w:val="22"/>
        </w:rPr>
      </w:pPr>
      <w:r>
        <w:rPr>
          <w:b/>
          <w:szCs w:val="22"/>
        </w:rPr>
        <w:t>After the short-form application filing deadline, a</w:t>
      </w:r>
      <w:r w:rsidR="00CB3C0D" w:rsidRPr="00CA6286">
        <w:rPr>
          <w:b/>
          <w:szCs w:val="22"/>
        </w:rPr>
        <w:t>pplications may not be withdrawn.</w:t>
      </w:r>
    </w:p>
    <w:p w:rsidR="00B905A1" w:rsidRPr="00CA6286" w:rsidRDefault="00B905A1" w:rsidP="00C07C81">
      <w:pPr>
        <w:widowControl/>
        <w:rPr>
          <w:b/>
          <w:szCs w:val="22"/>
        </w:rPr>
      </w:pPr>
      <w:r>
        <w:rPr>
          <w:szCs w:val="22"/>
        </w:rPr>
        <w:t xml:space="preserve">Applicants may choose to not submit an upfront payment, and therefore, will not be qualified to bid in the auction.  However, an applicant remains subject to the prohibition on certain communications under </w:t>
      </w:r>
      <w:r w:rsidR="00415E2E">
        <w:rPr>
          <w:szCs w:val="22"/>
        </w:rPr>
        <w:t>s</w:t>
      </w:r>
      <w:r>
        <w:rPr>
          <w:szCs w:val="22"/>
        </w:rPr>
        <w:t>ection 1.2105(c), until the down payment deadline following the close of the auction.</w:t>
      </w:r>
    </w:p>
    <w:p w:rsidR="00CB3C0D" w:rsidRPr="00CA6286" w:rsidRDefault="00CB3C0D" w:rsidP="00C07C81">
      <w:pPr>
        <w:widowControl/>
        <w:rPr>
          <w:szCs w:val="22"/>
        </w:rPr>
      </w:pPr>
    </w:p>
    <w:p w:rsidR="00CB3C0D" w:rsidRPr="00CA6286" w:rsidRDefault="00CB3C0D" w:rsidP="00C07C81">
      <w:pPr>
        <w:pStyle w:val="Heading3"/>
        <w:widowControl/>
        <w:tabs>
          <w:tab w:val="num" w:pos="720"/>
        </w:tabs>
        <w:rPr>
          <w:szCs w:val="22"/>
        </w:rPr>
      </w:pPr>
      <w:bookmarkStart w:id="5307" w:name="_Toc130730996"/>
      <w:bookmarkStart w:id="5308" w:name="_Toc130814224"/>
      <w:bookmarkStart w:id="5309" w:name="_Toc130814546"/>
      <w:bookmarkStart w:id="5310" w:name="_Toc130814678"/>
      <w:bookmarkStart w:id="5311" w:name="_Toc130883561"/>
      <w:bookmarkStart w:id="5312" w:name="_Toc130885672"/>
      <w:bookmarkStart w:id="5313" w:name="_Toc131844651"/>
      <w:bookmarkStart w:id="5314" w:name="_Toc148330586"/>
      <w:bookmarkStart w:id="5315" w:name="_Toc149645639"/>
      <w:bookmarkStart w:id="5316" w:name="_Toc149997942"/>
      <w:bookmarkStart w:id="5317" w:name="_Toc158180817"/>
      <w:bookmarkStart w:id="5318" w:name="_Toc158785665"/>
      <w:bookmarkStart w:id="5319" w:name="_Toc178768572"/>
      <w:bookmarkStart w:id="5320" w:name="_Toc179196013"/>
      <w:bookmarkStart w:id="5321" w:name="_Toc179361976"/>
      <w:bookmarkStart w:id="5322" w:name="_Toc179363760"/>
      <w:bookmarkStart w:id="5323" w:name="_Toc197504994"/>
      <w:bookmarkStart w:id="5324" w:name="_Toc198007775"/>
      <w:bookmarkStart w:id="5325" w:name="_Toc198007926"/>
      <w:bookmarkStart w:id="5326" w:name="_Toc198008278"/>
      <w:bookmarkStart w:id="5327" w:name="_Toc198008415"/>
      <w:bookmarkStart w:id="5328" w:name="_Toc198008962"/>
      <w:bookmarkStart w:id="5329" w:name="_Toc198369858"/>
      <w:bookmarkStart w:id="5330" w:name="_Toc216090780"/>
      <w:bookmarkStart w:id="5331" w:name="_Toc226958286"/>
      <w:bookmarkStart w:id="5332" w:name="_Toc227038346"/>
      <w:bookmarkStart w:id="5333" w:name="_Toc254792651"/>
      <w:bookmarkStart w:id="5334" w:name="_Toc256669775"/>
      <w:bookmarkStart w:id="5335" w:name="_Toc257213310"/>
      <w:bookmarkStart w:id="5336" w:name="_Toc257277809"/>
      <w:bookmarkStart w:id="5337" w:name="_Toc257278770"/>
      <w:bookmarkStart w:id="5338" w:name="_Toc257278980"/>
      <w:bookmarkStart w:id="5339" w:name="_Toc257279348"/>
      <w:bookmarkStart w:id="5340" w:name="_Toc257382995"/>
      <w:bookmarkStart w:id="5341" w:name="_Toc274056252"/>
      <w:bookmarkStart w:id="5342" w:name="_Toc276657658"/>
      <w:bookmarkStart w:id="5343" w:name="_Toc278366504"/>
      <w:bookmarkStart w:id="5344" w:name="_Toc307584098"/>
      <w:bookmarkStart w:id="5345" w:name="_Toc307937372"/>
      <w:bookmarkStart w:id="5346" w:name="_Toc348508811"/>
      <w:bookmarkStart w:id="5347" w:name="_Toc362256829"/>
      <w:bookmarkStart w:id="5348" w:name="_Toc366056584"/>
      <w:bookmarkStart w:id="5349" w:name="_Toc366223786"/>
      <w:bookmarkStart w:id="5350" w:name="_Toc366229499"/>
      <w:bookmarkStart w:id="5351" w:name="_Toc366583542"/>
      <w:bookmarkEnd w:id="5256"/>
      <w:bookmarkEnd w:id="5257"/>
      <w:bookmarkEnd w:id="5258"/>
      <w:bookmarkEnd w:id="5259"/>
      <w:bookmarkEnd w:id="5260"/>
      <w:bookmarkEnd w:id="5261"/>
      <w:r w:rsidRPr="00CA6286">
        <w:rPr>
          <w:szCs w:val="22"/>
        </w:rPr>
        <w:t>Updating Existing Applications</w:t>
      </w:r>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p>
    <w:p w:rsidR="00CB3C0D" w:rsidRPr="00CA6286" w:rsidRDefault="00CB3C0D" w:rsidP="00C07C81">
      <w:pPr>
        <w:widowControl/>
        <w:rPr>
          <w:szCs w:val="22"/>
        </w:rPr>
      </w:pPr>
      <w:r w:rsidRPr="00CA6286">
        <w:rPr>
          <w:szCs w:val="22"/>
        </w:rPr>
        <w:t>The</w:t>
      </w:r>
      <w:r w:rsidRPr="00CA6286">
        <w:rPr>
          <w:b/>
          <w:szCs w:val="22"/>
        </w:rPr>
        <w:t xml:space="preserve"> </w:t>
      </w:r>
      <w:r w:rsidRPr="00CA6286">
        <w:rPr>
          <w:i/>
          <w:szCs w:val="22"/>
        </w:rPr>
        <w:t>Review</w:t>
      </w:r>
      <w:r w:rsidR="00F9226E">
        <w:rPr>
          <w:i/>
          <w:szCs w:val="22"/>
        </w:rPr>
        <w:t xml:space="preserve"> or Modify Existing Short-Form</w:t>
      </w:r>
      <w:r w:rsidRPr="00CA6286">
        <w:rPr>
          <w:i/>
          <w:szCs w:val="22"/>
        </w:rPr>
        <w:t xml:space="preserve"> Applications</w:t>
      </w:r>
      <w:r w:rsidRPr="00CA6286">
        <w:rPr>
          <w:b/>
          <w:i/>
          <w:szCs w:val="22"/>
        </w:rPr>
        <w:t xml:space="preserve"> </w:t>
      </w:r>
      <w:r w:rsidRPr="00CA6286">
        <w:rPr>
          <w:szCs w:val="22"/>
        </w:rPr>
        <w:t xml:space="preserve">page displays any application created or submitted within a filing window.  This page shows the application status, the date and time the application was last updated, and the date and time the application was last submitted.  </w:t>
      </w:r>
      <w:r w:rsidR="004F2222">
        <w:rPr>
          <w:szCs w:val="22"/>
        </w:rPr>
        <w:t xml:space="preserve">It </w:t>
      </w:r>
      <w:r w:rsidRPr="00CA6286">
        <w:rPr>
          <w:szCs w:val="22"/>
        </w:rPr>
        <w:t>may be used as a reference to confirm the date and time of the most recent submission of the application.</w:t>
      </w:r>
    </w:p>
    <w:p w:rsidR="00CB3C0D" w:rsidRPr="00CA6286" w:rsidRDefault="00CB3C0D" w:rsidP="00C07C81">
      <w:pPr>
        <w:widowControl/>
        <w:rPr>
          <w:szCs w:val="22"/>
        </w:rPr>
      </w:pPr>
    </w:p>
    <w:p w:rsidR="00CB3C0D" w:rsidRPr="00CA6286" w:rsidRDefault="00CB3C0D" w:rsidP="00C07C81">
      <w:pPr>
        <w:widowControl/>
        <w:rPr>
          <w:szCs w:val="22"/>
        </w:rPr>
      </w:pPr>
      <w:r w:rsidRPr="00CA6286">
        <w:rPr>
          <w:szCs w:val="22"/>
        </w:rPr>
        <w:t xml:space="preserve">To review or continue working on an existing </w:t>
      </w:r>
      <w:r w:rsidR="00B905A1">
        <w:rPr>
          <w:szCs w:val="22"/>
        </w:rPr>
        <w:t xml:space="preserve">short-form </w:t>
      </w:r>
      <w:r w:rsidRPr="00CA6286">
        <w:rPr>
          <w:szCs w:val="22"/>
        </w:rPr>
        <w:t xml:space="preserve">application, an applicant should click the application auction number, which will produce the application’s </w:t>
      </w:r>
      <w:r w:rsidRPr="00CA6286">
        <w:rPr>
          <w:i/>
          <w:szCs w:val="22"/>
        </w:rPr>
        <w:t>Summary</w:t>
      </w:r>
      <w:r w:rsidRPr="00CA6286">
        <w:rPr>
          <w:szCs w:val="22"/>
        </w:rPr>
        <w:t xml:space="preserve"> page in a view/edit mode.  Applicants must go to the </w:t>
      </w:r>
      <w:r w:rsidRPr="00CA6286">
        <w:rPr>
          <w:i/>
          <w:szCs w:val="22"/>
        </w:rPr>
        <w:t>Certify and Submit</w:t>
      </w:r>
      <w:r w:rsidRPr="00CA6286">
        <w:rPr>
          <w:szCs w:val="22"/>
        </w:rPr>
        <w:t xml:space="preserve"> screens and click the </w:t>
      </w:r>
      <w:r w:rsidRPr="00CA6286">
        <w:rPr>
          <w:b/>
          <w:szCs w:val="22"/>
        </w:rPr>
        <w:t>SUBMIT</w:t>
      </w:r>
      <w:r w:rsidRPr="00CA6286">
        <w:rPr>
          <w:szCs w:val="22"/>
        </w:rPr>
        <w:t xml:space="preserve"> button to submit any changes made to their </w:t>
      </w:r>
      <w:r w:rsidR="003F5843">
        <w:rPr>
          <w:szCs w:val="22"/>
        </w:rPr>
        <w:t xml:space="preserve">FCC Form 175 </w:t>
      </w:r>
      <w:r w:rsidRPr="00CA6286">
        <w:rPr>
          <w:szCs w:val="22"/>
        </w:rPr>
        <w:t xml:space="preserve">applications.  After the revised application has been submitted, a confirmation page will display the </w:t>
      </w:r>
      <w:r>
        <w:rPr>
          <w:szCs w:val="22"/>
        </w:rPr>
        <w:t xml:space="preserve">application’s file number and </w:t>
      </w:r>
      <w:r w:rsidRPr="00CA6286">
        <w:rPr>
          <w:szCs w:val="22"/>
        </w:rPr>
        <w:t xml:space="preserve">submission time and date.  </w:t>
      </w:r>
      <w:r w:rsidR="004F2222">
        <w:rPr>
          <w:szCs w:val="22"/>
        </w:rPr>
        <w:t>A</w:t>
      </w:r>
      <w:r w:rsidRPr="00CA6286">
        <w:rPr>
          <w:szCs w:val="22"/>
        </w:rPr>
        <w:t xml:space="preserve"> copy of the confirmation page </w:t>
      </w:r>
      <w:r w:rsidR="004F2222">
        <w:rPr>
          <w:szCs w:val="22"/>
        </w:rPr>
        <w:t xml:space="preserve">should be printed </w:t>
      </w:r>
      <w:r w:rsidRPr="00CA6286">
        <w:rPr>
          <w:szCs w:val="22"/>
        </w:rPr>
        <w:t xml:space="preserve">for </w:t>
      </w:r>
      <w:r w:rsidR="000A2987">
        <w:rPr>
          <w:szCs w:val="22"/>
        </w:rPr>
        <w:t xml:space="preserve">your </w:t>
      </w:r>
      <w:r w:rsidRPr="00CA6286">
        <w:rPr>
          <w:szCs w:val="22"/>
        </w:rPr>
        <w:t xml:space="preserve">records.  Applicants may then view and print copies of their submitted applications by clicking on the </w:t>
      </w:r>
      <w:r w:rsidRPr="00CA6286">
        <w:rPr>
          <w:b/>
          <w:szCs w:val="22"/>
        </w:rPr>
        <w:t>PRINT PREVIEW</w:t>
      </w:r>
      <w:r w:rsidRPr="00CA6286">
        <w:rPr>
          <w:szCs w:val="22"/>
        </w:rPr>
        <w:t xml:space="preserve"> button.</w:t>
      </w:r>
    </w:p>
    <w:p w:rsidR="00CB3C0D" w:rsidRPr="00CA6286" w:rsidRDefault="00CB3C0D" w:rsidP="00C07C81">
      <w:pPr>
        <w:widowControl/>
        <w:rPr>
          <w:szCs w:val="22"/>
        </w:rPr>
      </w:pPr>
    </w:p>
    <w:p w:rsidR="00CB3C0D" w:rsidRDefault="00CB3C0D" w:rsidP="00C07C81">
      <w:pPr>
        <w:widowControl/>
        <w:rPr>
          <w:szCs w:val="22"/>
        </w:rPr>
      </w:pPr>
      <w:r w:rsidRPr="00CA6286">
        <w:rPr>
          <w:szCs w:val="22"/>
        </w:rPr>
        <w:t xml:space="preserve">After the filing deadline, </w:t>
      </w:r>
      <w:r>
        <w:rPr>
          <w:szCs w:val="22"/>
        </w:rPr>
        <w:t xml:space="preserve">an </w:t>
      </w:r>
      <w:r w:rsidRPr="00CA6286">
        <w:rPr>
          <w:szCs w:val="22"/>
        </w:rPr>
        <w:t xml:space="preserve">applicant may make only minor changes to </w:t>
      </w:r>
      <w:r>
        <w:rPr>
          <w:szCs w:val="22"/>
        </w:rPr>
        <w:t>its</w:t>
      </w:r>
      <w:r w:rsidRPr="00CA6286">
        <w:rPr>
          <w:szCs w:val="22"/>
        </w:rPr>
        <w:t xml:space="preserve"> application.  </w:t>
      </w:r>
      <w:r w:rsidR="000A2987">
        <w:rPr>
          <w:szCs w:val="22"/>
        </w:rPr>
        <w:t>M</w:t>
      </w:r>
      <w:r w:rsidRPr="00CA6286">
        <w:rPr>
          <w:szCs w:val="22"/>
        </w:rPr>
        <w:t>ajor modification</w:t>
      </w:r>
      <w:r w:rsidR="000A2987">
        <w:rPr>
          <w:szCs w:val="22"/>
        </w:rPr>
        <w:t>s</w:t>
      </w:r>
      <w:r w:rsidRPr="00CA6286">
        <w:rPr>
          <w:szCs w:val="22"/>
        </w:rPr>
        <w:t xml:space="preserve"> </w:t>
      </w:r>
      <w:r w:rsidR="000A2987">
        <w:rPr>
          <w:szCs w:val="22"/>
        </w:rPr>
        <w:t xml:space="preserve">will not be permitted </w:t>
      </w:r>
      <w:r w:rsidRPr="00CA6286">
        <w:rPr>
          <w:szCs w:val="22"/>
        </w:rPr>
        <w:t xml:space="preserve">(e.g., </w:t>
      </w:r>
      <w:r w:rsidR="00B1610D">
        <w:rPr>
          <w:szCs w:val="22"/>
        </w:rPr>
        <w:t xml:space="preserve">change its </w:t>
      </w:r>
      <w:r w:rsidR="00B82213">
        <w:rPr>
          <w:szCs w:val="22"/>
        </w:rPr>
        <w:t>license</w:t>
      </w:r>
      <w:r w:rsidR="00B1610D">
        <w:rPr>
          <w:szCs w:val="22"/>
        </w:rPr>
        <w:t xml:space="preserve"> selection</w:t>
      </w:r>
      <w:r w:rsidR="000B3E6E">
        <w:rPr>
          <w:szCs w:val="22"/>
        </w:rPr>
        <w:t>(</w:t>
      </w:r>
      <w:r w:rsidR="00B1610D">
        <w:rPr>
          <w:szCs w:val="22"/>
        </w:rPr>
        <w:t>s</w:t>
      </w:r>
      <w:r w:rsidR="000B3E6E">
        <w:rPr>
          <w:szCs w:val="22"/>
        </w:rPr>
        <w:t>)</w:t>
      </w:r>
      <w:r w:rsidR="00B1610D">
        <w:rPr>
          <w:szCs w:val="22"/>
        </w:rPr>
        <w:t xml:space="preserve"> or </w:t>
      </w:r>
      <w:r w:rsidR="00BD2CBD">
        <w:rPr>
          <w:szCs w:val="22"/>
        </w:rPr>
        <w:t xml:space="preserve">person </w:t>
      </w:r>
      <w:r w:rsidRPr="00CA6286">
        <w:rPr>
          <w:szCs w:val="22"/>
        </w:rPr>
        <w:t xml:space="preserve">certifying </w:t>
      </w:r>
      <w:r w:rsidR="00BD2CBD">
        <w:rPr>
          <w:szCs w:val="22"/>
        </w:rPr>
        <w:t xml:space="preserve">the </w:t>
      </w:r>
      <w:r w:rsidR="004256DA">
        <w:rPr>
          <w:szCs w:val="22"/>
        </w:rPr>
        <w:t>application</w:t>
      </w:r>
      <w:r w:rsidRPr="00CA6286">
        <w:rPr>
          <w:szCs w:val="22"/>
        </w:rPr>
        <w:t xml:space="preserve">, </w:t>
      </w:r>
      <w:r>
        <w:rPr>
          <w:szCs w:val="22"/>
        </w:rPr>
        <w:t>change in ownership</w:t>
      </w:r>
      <w:r w:rsidRPr="00CA6286">
        <w:rPr>
          <w:szCs w:val="22"/>
        </w:rPr>
        <w:t xml:space="preserve"> of the applicant</w:t>
      </w:r>
      <w:r>
        <w:rPr>
          <w:szCs w:val="22"/>
        </w:rPr>
        <w:t xml:space="preserve"> that would constitute an assignment or transfer of </w:t>
      </w:r>
      <w:r w:rsidRPr="00F338B6">
        <w:rPr>
          <w:szCs w:val="22"/>
        </w:rPr>
        <w:t xml:space="preserve">control, or </w:t>
      </w:r>
      <w:r w:rsidR="00753399" w:rsidRPr="00F338B6">
        <w:rPr>
          <w:szCs w:val="22"/>
        </w:rPr>
        <w:t xml:space="preserve">claim eligibility for a higher percentage of </w:t>
      </w:r>
      <w:r w:rsidRPr="00F338B6">
        <w:rPr>
          <w:szCs w:val="22"/>
        </w:rPr>
        <w:t>bidding credit).</w:t>
      </w:r>
      <w:r w:rsidRPr="00F338B6">
        <w:rPr>
          <w:rStyle w:val="FootnoteReference"/>
          <w:szCs w:val="22"/>
        </w:rPr>
        <w:footnoteReference w:id="347"/>
      </w:r>
    </w:p>
    <w:p w:rsidR="00CB3C0D" w:rsidRDefault="00CB3C0D" w:rsidP="00C07C81">
      <w:pPr>
        <w:widowControl/>
        <w:rPr>
          <w:szCs w:val="22"/>
        </w:rPr>
      </w:pPr>
    </w:p>
    <w:p w:rsidR="00CB3C0D" w:rsidRDefault="00CB3C0D" w:rsidP="00C07C81">
      <w:pPr>
        <w:pStyle w:val="Heading1"/>
        <w:widowControl/>
        <w:rPr>
          <w:szCs w:val="22"/>
        </w:rPr>
      </w:pPr>
      <w:bookmarkStart w:id="5352" w:name="_Toc216090781"/>
      <w:bookmarkStart w:id="5353" w:name="_Toc226958287"/>
      <w:bookmarkStart w:id="5354" w:name="_Toc227038347"/>
      <w:bookmarkStart w:id="5355" w:name="_Toc254792652"/>
      <w:bookmarkStart w:id="5356" w:name="_Toc256669776"/>
      <w:bookmarkStart w:id="5357" w:name="_Toc257213311"/>
      <w:bookmarkStart w:id="5358" w:name="_Toc257277810"/>
      <w:bookmarkStart w:id="5359" w:name="_Toc257278771"/>
      <w:bookmarkStart w:id="5360" w:name="_Toc257278981"/>
      <w:bookmarkStart w:id="5361" w:name="_Toc257279349"/>
      <w:bookmarkStart w:id="5362" w:name="_Toc257382996"/>
      <w:bookmarkStart w:id="5363" w:name="_Toc274056253"/>
      <w:bookmarkStart w:id="5364" w:name="_Toc276657659"/>
      <w:bookmarkStart w:id="5365" w:name="_Toc278366505"/>
      <w:bookmarkStart w:id="5366" w:name="_Toc307584099"/>
      <w:bookmarkStart w:id="5367" w:name="_Toc307937373"/>
      <w:bookmarkStart w:id="5368" w:name="_Toc348508812"/>
      <w:bookmarkStart w:id="5369" w:name="_Toc362256830"/>
      <w:bookmarkStart w:id="5370" w:name="_Toc366056585"/>
      <w:bookmarkStart w:id="5371" w:name="_Toc366223787"/>
      <w:bookmarkStart w:id="5372" w:name="_Toc366229500"/>
      <w:bookmarkStart w:id="5373" w:name="_Toc366583543"/>
      <w:r>
        <w:rPr>
          <w:caps w:val="0"/>
        </w:rPr>
        <w:t>Upfront Payment Submission</w:t>
      </w:r>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p>
    <w:p w:rsidR="00CB3C0D" w:rsidRPr="001C2E9C" w:rsidRDefault="00CB3C0D" w:rsidP="00C07C81">
      <w:pPr>
        <w:pStyle w:val="Heading2"/>
        <w:widowControl/>
      </w:pPr>
      <w:bookmarkStart w:id="5374" w:name="_Toc197504995"/>
      <w:bookmarkStart w:id="5375" w:name="_Toc198007776"/>
      <w:bookmarkStart w:id="5376" w:name="_Toc198007927"/>
      <w:bookmarkStart w:id="5377" w:name="_Toc198008279"/>
      <w:bookmarkStart w:id="5378" w:name="_Toc198008416"/>
      <w:bookmarkStart w:id="5379" w:name="_Toc198008963"/>
      <w:bookmarkStart w:id="5380" w:name="_Toc198369859"/>
      <w:bookmarkStart w:id="5381" w:name="_Toc216090782"/>
      <w:bookmarkStart w:id="5382" w:name="_Toc226958288"/>
      <w:bookmarkStart w:id="5383" w:name="_Toc227038348"/>
      <w:bookmarkStart w:id="5384" w:name="_Toc254792653"/>
      <w:bookmarkStart w:id="5385" w:name="_Toc256669777"/>
      <w:bookmarkStart w:id="5386" w:name="_Toc257213312"/>
      <w:bookmarkStart w:id="5387" w:name="_Toc257277811"/>
      <w:bookmarkStart w:id="5388" w:name="_Toc257278772"/>
      <w:bookmarkStart w:id="5389" w:name="_Toc257278982"/>
      <w:bookmarkStart w:id="5390" w:name="_Toc257279350"/>
      <w:bookmarkStart w:id="5391" w:name="_Toc257382997"/>
      <w:bookmarkStart w:id="5392" w:name="_Toc274056254"/>
      <w:bookmarkStart w:id="5393" w:name="_Toc276657660"/>
      <w:bookmarkStart w:id="5394" w:name="_Toc278366506"/>
      <w:bookmarkStart w:id="5395" w:name="_Toc307584100"/>
      <w:bookmarkStart w:id="5396" w:name="_Toc307937374"/>
      <w:bookmarkStart w:id="5397" w:name="_Toc348508813"/>
      <w:bookmarkStart w:id="5398" w:name="_Toc362256831"/>
      <w:bookmarkStart w:id="5399" w:name="_Toc366056586"/>
      <w:bookmarkStart w:id="5400" w:name="_Toc366223788"/>
      <w:bookmarkStart w:id="5401" w:name="_Toc366229501"/>
      <w:bookmarkStart w:id="5402" w:name="_Toc366583544"/>
      <w:r w:rsidRPr="001C2E9C">
        <w:t>Upfront Payment Calculator and Form 159</w:t>
      </w:r>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r w:rsidRPr="001C2E9C">
        <w:t xml:space="preserve">  </w:t>
      </w:r>
    </w:p>
    <w:p w:rsidR="00CB3C0D" w:rsidRPr="001C2E9C" w:rsidRDefault="00CB3C0D" w:rsidP="00C07C81">
      <w:pPr>
        <w:widowControl/>
      </w:pPr>
      <w:r>
        <w:t>Applicants</w:t>
      </w:r>
      <w:r w:rsidRPr="00B9636E">
        <w:t xml:space="preserve"> may access the </w:t>
      </w:r>
      <w:r w:rsidRPr="00B9636E">
        <w:rPr>
          <w:b/>
        </w:rPr>
        <w:t>Upfront Payment Calculator and Form 159</w:t>
      </w:r>
      <w:r w:rsidRPr="00B9636E">
        <w:t xml:space="preserve"> from the </w:t>
      </w:r>
      <w:r w:rsidRPr="00B9636E">
        <w:rPr>
          <w:i/>
        </w:rPr>
        <w:t>Review</w:t>
      </w:r>
      <w:r w:rsidR="00F9226E">
        <w:rPr>
          <w:i/>
        </w:rPr>
        <w:t xml:space="preserve"> or Modify Existing Short-Form</w:t>
      </w:r>
      <w:r w:rsidRPr="00B9636E">
        <w:rPr>
          <w:i/>
        </w:rPr>
        <w:t xml:space="preserve"> Applications</w:t>
      </w:r>
      <w:r w:rsidRPr="00B9636E">
        <w:rPr>
          <w:b/>
          <w:i/>
        </w:rPr>
        <w:t xml:space="preserve"> </w:t>
      </w:r>
      <w:r w:rsidRPr="00B9636E">
        <w:t xml:space="preserve">page and from the </w:t>
      </w:r>
      <w:r w:rsidRPr="00B9636E">
        <w:rPr>
          <w:i/>
        </w:rPr>
        <w:t>Auction Application Submit Confirmation</w:t>
      </w:r>
      <w:r w:rsidRPr="00B9636E">
        <w:rPr>
          <w:b/>
          <w:i/>
        </w:rPr>
        <w:t xml:space="preserve"> </w:t>
      </w:r>
      <w:r w:rsidRPr="00B9636E">
        <w:t xml:space="preserve">page.  </w:t>
      </w:r>
      <w:r>
        <w:t>C</w:t>
      </w:r>
      <w:r w:rsidRPr="00B9636E">
        <w:t>lick</w:t>
      </w:r>
      <w:r>
        <w:t>ing</w:t>
      </w:r>
      <w:r w:rsidRPr="00B9636E">
        <w:t xml:space="preserve"> the </w:t>
      </w:r>
      <w:r w:rsidRPr="00B9636E">
        <w:rPr>
          <w:b/>
        </w:rPr>
        <w:t>Upfront Payment Calculator and Form 159</w:t>
      </w:r>
      <w:r w:rsidRPr="00B9636E">
        <w:t xml:space="preserve"> icon or link</w:t>
      </w:r>
      <w:r>
        <w:t xml:space="preserve"> w</w:t>
      </w:r>
      <w:r w:rsidRPr="00B9636E">
        <w:t xml:space="preserve">ill </w:t>
      </w:r>
      <w:r>
        <w:t xml:space="preserve">provide a calculator to </w:t>
      </w:r>
      <w:r w:rsidRPr="00B9636E">
        <w:t xml:space="preserve">determine the appropriate upfront payment amount to submit with the FCC Form 159.  From the </w:t>
      </w:r>
      <w:r w:rsidRPr="00B9636E">
        <w:rPr>
          <w:i/>
        </w:rPr>
        <w:t>Calculate Upfront Payment</w:t>
      </w:r>
      <w:r w:rsidRPr="00B9636E">
        <w:t xml:space="preserve"> page, </w:t>
      </w:r>
      <w:r>
        <w:t xml:space="preserve">the applicant </w:t>
      </w:r>
      <w:r w:rsidRPr="00B9636E">
        <w:t xml:space="preserve">may click the </w:t>
      </w:r>
      <w:r w:rsidRPr="00B9636E">
        <w:rPr>
          <w:b/>
        </w:rPr>
        <w:t>Form 159</w:t>
      </w:r>
      <w:r>
        <w:t xml:space="preserve"> button to obtain the FCC Form </w:t>
      </w:r>
      <w:r w:rsidRPr="00B9636E">
        <w:t>159.</w:t>
      </w:r>
      <w:r>
        <w:t xml:space="preserve">  For further instructions on how to submit the FCC Form 159, </w:t>
      </w:r>
      <w:r w:rsidRPr="006B5854">
        <w:t xml:space="preserve">see </w:t>
      </w:r>
      <w:r w:rsidRPr="00115B71">
        <w:t xml:space="preserve">Attachment </w:t>
      </w:r>
      <w:r w:rsidR="00F03FC3">
        <w:t>E</w:t>
      </w:r>
      <w:r w:rsidRPr="006B5854">
        <w:t xml:space="preserve"> to this</w:t>
      </w:r>
      <w:r>
        <w:t xml:space="preserve"> Public Notice.</w:t>
      </w:r>
    </w:p>
    <w:p w:rsidR="00CB3C0D" w:rsidRPr="00CA6286" w:rsidRDefault="00CB3C0D" w:rsidP="00C07C81">
      <w:pPr>
        <w:widowControl/>
        <w:rPr>
          <w:szCs w:val="22"/>
        </w:rPr>
      </w:pPr>
    </w:p>
    <w:p w:rsidR="00CB3C0D" w:rsidRPr="001C2E9C" w:rsidRDefault="00CB3C0D" w:rsidP="00C07C81">
      <w:pPr>
        <w:pStyle w:val="Heading2"/>
        <w:widowControl/>
      </w:pPr>
      <w:bookmarkStart w:id="5403" w:name="_Toc101858545"/>
      <w:bookmarkStart w:id="5404" w:name="_Toc109812301"/>
      <w:bookmarkStart w:id="5405" w:name="_Toc130730998"/>
      <w:bookmarkStart w:id="5406" w:name="_Toc130814226"/>
      <w:bookmarkStart w:id="5407" w:name="_Toc130814548"/>
      <w:bookmarkStart w:id="5408" w:name="_Toc130814680"/>
      <w:bookmarkStart w:id="5409" w:name="_Toc130883563"/>
      <w:bookmarkStart w:id="5410" w:name="_Toc130885674"/>
      <w:bookmarkStart w:id="5411" w:name="_Toc131844653"/>
      <w:bookmarkStart w:id="5412" w:name="_Toc148330588"/>
      <w:bookmarkStart w:id="5413" w:name="_Toc148337793"/>
      <w:bookmarkStart w:id="5414" w:name="_Toc148338118"/>
      <w:bookmarkStart w:id="5415" w:name="_Toc148339828"/>
      <w:bookmarkStart w:id="5416" w:name="_Toc148339925"/>
      <w:bookmarkStart w:id="5417" w:name="_Toc149645641"/>
      <w:bookmarkStart w:id="5418" w:name="_Toc149997944"/>
      <w:bookmarkStart w:id="5419" w:name="_Toc158180819"/>
      <w:bookmarkStart w:id="5420" w:name="_Toc158785667"/>
      <w:bookmarkStart w:id="5421" w:name="_Toc178768574"/>
      <w:bookmarkStart w:id="5422" w:name="_Toc179196014"/>
      <w:bookmarkStart w:id="5423" w:name="_Toc179361977"/>
      <w:bookmarkStart w:id="5424" w:name="_Toc179363761"/>
      <w:bookmarkStart w:id="5425" w:name="_Toc197504996"/>
      <w:bookmarkStart w:id="5426" w:name="_Toc198007777"/>
      <w:bookmarkStart w:id="5427" w:name="_Toc198007928"/>
      <w:bookmarkStart w:id="5428" w:name="_Toc198008280"/>
      <w:bookmarkStart w:id="5429" w:name="_Toc198008417"/>
      <w:bookmarkStart w:id="5430" w:name="_Toc198008964"/>
      <w:bookmarkStart w:id="5431" w:name="_Toc198369860"/>
      <w:bookmarkStart w:id="5432" w:name="_Toc216090783"/>
      <w:bookmarkStart w:id="5433" w:name="_Toc226958289"/>
      <w:bookmarkStart w:id="5434" w:name="_Toc227038349"/>
      <w:bookmarkStart w:id="5435" w:name="_Toc254792654"/>
      <w:bookmarkStart w:id="5436" w:name="_Toc256669778"/>
      <w:bookmarkStart w:id="5437" w:name="_Toc257213313"/>
      <w:bookmarkStart w:id="5438" w:name="_Toc257277812"/>
      <w:bookmarkStart w:id="5439" w:name="_Toc257278773"/>
      <w:bookmarkStart w:id="5440" w:name="_Toc257278983"/>
      <w:bookmarkStart w:id="5441" w:name="_Toc257279351"/>
      <w:bookmarkStart w:id="5442" w:name="_Toc257382998"/>
      <w:bookmarkStart w:id="5443" w:name="_Toc274056255"/>
      <w:bookmarkStart w:id="5444" w:name="_Toc276657661"/>
      <w:bookmarkStart w:id="5445" w:name="_Toc278366507"/>
      <w:bookmarkStart w:id="5446" w:name="_Toc307584101"/>
      <w:bookmarkStart w:id="5447" w:name="_Toc307937375"/>
      <w:bookmarkStart w:id="5448" w:name="_Toc348508814"/>
      <w:bookmarkStart w:id="5449" w:name="_Toc362256832"/>
      <w:bookmarkStart w:id="5450" w:name="_Toc366056587"/>
      <w:bookmarkStart w:id="5451" w:name="_Toc366223789"/>
      <w:bookmarkStart w:id="5452" w:name="_Toc366229502"/>
      <w:bookmarkStart w:id="5453" w:name="_Toc366583545"/>
      <w:r w:rsidRPr="001C2E9C">
        <w:t>Refund of Upfront Payment</w:t>
      </w:r>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r w:rsidRPr="001C2E9C">
        <w:t xml:space="preserve"> </w:t>
      </w:r>
    </w:p>
    <w:p w:rsidR="00CB3C0D" w:rsidRPr="00CA6286" w:rsidRDefault="00CB3C0D" w:rsidP="00C07C81">
      <w:pPr>
        <w:widowControl/>
        <w:rPr>
          <w:szCs w:val="22"/>
        </w:rPr>
      </w:pPr>
      <w:r w:rsidRPr="00CA6286">
        <w:rPr>
          <w:szCs w:val="22"/>
        </w:rPr>
        <w:t xml:space="preserve">On </w:t>
      </w:r>
      <w:r w:rsidR="00F9226E">
        <w:rPr>
          <w:szCs w:val="22"/>
        </w:rPr>
        <w:t xml:space="preserve">the </w:t>
      </w:r>
      <w:r w:rsidR="00F9226E">
        <w:rPr>
          <w:i/>
          <w:szCs w:val="22"/>
        </w:rPr>
        <w:t>Auction Application Submit Confirmation</w:t>
      </w:r>
      <w:r w:rsidRPr="00CA6286">
        <w:rPr>
          <w:szCs w:val="22"/>
        </w:rPr>
        <w:t xml:space="preserve"> page, applicants can click on the </w:t>
      </w:r>
      <w:r w:rsidRPr="00CA6286">
        <w:rPr>
          <w:b/>
          <w:szCs w:val="22"/>
        </w:rPr>
        <w:t>Wire Transfer for Refund Purposes</w:t>
      </w:r>
      <w:r w:rsidRPr="00CA6286">
        <w:rPr>
          <w:szCs w:val="22"/>
        </w:rPr>
        <w:t xml:space="preserve"> link to provide wire transfer instructions for purposes of refunds of upfront payments.  The Commission will use this information to refund excess funds on deposit.</w:t>
      </w:r>
    </w:p>
    <w:p w:rsidR="00CB3C0D" w:rsidRDefault="00CB3C0D" w:rsidP="00C07C81">
      <w:pPr>
        <w:widowControl/>
        <w:rPr>
          <w:szCs w:val="22"/>
        </w:rPr>
      </w:pPr>
    </w:p>
    <w:p w:rsidR="00CB3C0D" w:rsidRDefault="00CB3C0D" w:rsidP="00C07C81">
      <w:pPr>
        <w:pStyle w:val="Heading1"/>
        <w:widowControl/>
      </w:pPr>
      <w:bookmarkStart w:id="5454" w:name="_Toc216090784"/>
      <w:bookmarkStart w:id="5455" w:name="_Toc226958290"/>
      <w:bookmarkStart w:id="5456" w:name="_Toc227038350"/>
      <w:bookmarkStart w:id="5457" w:name="_Toc254792655"/>
      <w:bookmarkStart w:id="5458" w:name="_Toc256669779"/>
      <w:bookmarkStart w:id="5459" w:name="_Toc257213314"/>
      <w:bookmarkStart w:id="5460" w:name="_Toc257277813"/>
      <w:bookmarkStart w:id="5461" w:name="_Toc257278774"/>
      <w:bookmarkStart w:id="5462" w:name="_Toc257278984"/>
      <w:bookmarkStart w:id="5463" w:name="_Toc257279352"/>
      <w:bookmarkStart w:id="5464" w:name="_Toc257382999"/>
      <w:bookmarkStart w:id="5465" w:name="_Toc274056256"/>
      <w:bookmarkStart w:id="5466" w:name="_Toc276657662"/>
      <w:bookmarkStart w:id="5467" w:name="_Toc278366508"/>
      <w:bookmarkStart w:id="5468" w:name="_Toc307584102"/>
      <w:bookmarkStart w:id="5469" w:name="_Toc307937376"/>
      <w:bookmarkStart w:id="5470" w:name="_Toc348508815"/>
      <w:bookmarkStart w:id="5471" w:name="_Toc362256833"/>
      <w:bookmarkStart w:id="5472" w:name="_Toc366056588"/>
      <w:bookmarkStart w:id="5473" w:name="_Toc366223790"/>
      <w:bookmarkStart w:id="5474" w:name="_Toc366229503"/>
      <w:bookmarkStart w:id="5475" w:name="_Toc366583546"/>
      <w:r>
        <w:rPr>
          <w:caps w:val="0"/>
        </w:rPr>
        <w:t>Miscellaneous</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p>
    <w:p w:rsidR="00CB3C0D" w:rsidRPr="00CA6286" w:rsidRDefault="00CB3C0D" w:rsidP="00C07C81">
      <w:pPr>
        <w:pStyle w:val="Heading2"/>
        <w:widowControl/>
      </w:pPr>
      <w:bookmarkStart w:id="5476" w:name="_Toc98821051"/>
      <w:bookmarkStart w:id="5477" w:name="_Toc98846352"/>
      <w:bookmarkStart w:id="5478" w:name="_Toc98898566"/>
      <w:bookmarkStart w:id="5479" w:name="_Toc98921827"/>
      <w:bookmarkStart w:id="5480" w:name="_Toc98933000"/>
      <w:bookmarkStart w:id="5481" w:name="_Toc101858546"/>
      <w:bookmarkStart w:id="5482" w:name="_Toc109812302"/>
      <w:bookmarkStart w:id="5483" w:name="_Toc130730999"/>
      <w:bookmarkStart w:id="5484" w:name="_Toc130814227"/>
      <w:bookmarkStart w:id="5485" w:name="_Toc130814549"/>
      <w:bookmarkStart w:id="5486" w:name="_Toc130814681"/>
      <w:bookmarkStart w:id="5487" w:name="_Toc130883564"/>
      <w:bookmarkStart w:id="5488" w:name="_Toc130885675"/>
      <w:bookmarkStart w:id="5489" w:name="_Toc131844654"/>
      <w:bookmarkStart w:id="5490" w:name="_Toc148330589"/>
      <w:bookmarkStart w:id="5491" w:name="_Toc148337794"/>
      <w:bookmarkStart w:id="5492" w:name="_Toc148338119"/>
      <w:bookmarkStart w:id="5493" w:name="_Toc148339829"/>
      <w:bookmarkStart w:id="5494" w:name="_Toc148339926"/>
      <w:bookmarkStart w:id="5495" w:name="_Toc149645642"/>
      <w:bookmarkStart w:id="5496" w:name="_Toc149997945"/>
      <w:bookmarkStart w:id="5497" w:name="_Toc158180820"/>
      <w:bookmarkStart w:id="5498" w:name="_Toc158785668"/>
      <w:bookmarkStart w:id="5499" w:name="_Toc178768575"/>
      <w:bookmarkStart w:id="5500" w:name="_Toc179196015"/>
      <w:bookmarkStart w:id="5501" w:name="_Toc179361978"/>
      <w:bookmarkStart w:id="5502" w:name="_Toc179363762"/>
      <w:bookmarkStart w:id="5503" w:name="_Toc197504997"/>
      <w:bookmarkStart w:id="5504" w:name="_Toc198007778"/>
      <w:bookmarkStart w:id="5505" w:name="_Toc198007929"/>
      <w:bookmarkStart w:id="5506" w:name="_Toc198008281"/>
      <w:bookmarkStart w:id="5507" w:name="_Toc198008418"/>
      <w:bookmarkStart w:id="5508" w:name="_Toc198008965"/>
      <w:bookmarkStart w:id="5509" w:name="_Toc198369861"/>
      <w:bookmarkStart w:id="5510" w:name="_Toc216090785"/>
      <w:bookmarkStart w:id="5511" w:name="_Toc226958291"/>
      <w:bookmarkStart w:id="5512" w:name="_Toc227038351"/>
      <w:bookmarkStart w:id="5513" w:name="_Toc254792656"/>
      <w:bookmarkStart w:id="5514" w:name="_Toc256669780"/>
      <w:bookmarkStart w:id="5515" w:name="_Toc257213315"/>
      <w:bookmarkStart w:id="5516" w:name="_Toc257277814"/>
      <w:bookmarkStart w:id="5517" w:name="_Toc257278775"/>
      <w:bookmarkStart w:id="5518" w:name="_Toc257278985"/>
      <w:bookmarkStart w:id="5519" w:name="_Toc257279353"/>
      <w:bookmarkStart w:id="5520" w:name="_Toc257383000"/>
      <w:bookmarkStart w:id="5521" w:name="_Toc274056257"/>
      <w:bookmarkStart w:id="5522" w:name="_Toc276657663"/>
      <w:bookmarkStart w:id="5523" w:name="_Toc278366509"/>
      <w:bookmarkStart w:id="5524" w:name="_Toc307584103"/>
      <w:bookmarkStart w:id="5525" w:name="_Toc307937377"/>
      <w:bookmarkStart w:id="5526" w:name="_Toc348508816"/>
      <w:bookmarkStart w:id="5527" w:name="_Toc362256834"/>
      <w:bookmarkStart w:id="5528" w:name="_Toc366056589"/>
      <w:bookmarkStart w:id="5529" w:name="_Toc366223791"/>
      <w:bookmarkStart w:id="5530" w:name="_Toc366229504"/>
      <w:bookmarkStart w:id="5531" w:name="_Toc366583547"/>
      <w:r>
        <w:t xml:space="preserve">Access to View Short-Form </w:t>
      </w:r>
      <w:r w:rsidRPr="00CA6286">
        <w:t>Application</w:t>
      </w:r>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r>
        <w:t>s</w:t>
      </w:r>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p>
    <w:p w:rsidR="00CB3C0D" w:rsidRDefault="00CB3C0D" w:rsidP="00C07C81">
      <w:pPr>
        <w:widowControl/>
        <w:rPr>
          <w:szCs w:val="22"/>
        </w:rPr>
      </w:pPr>
      <w:r w:rsidRPr="001C2E9C">
        <w:rPr>
          <w:szCs w:val="22"/>
        </w:rPr>
        <w:t>After the deadline for filing short-form applications, the Commission will process all timely</w:t>
      </w:r>
      <w:r w:rsidR="00753399" w:rsidRPr="00B905A1">
        <w:rPr>
          <w:szCs w:val="22"/>
        </w:rPr>
        <w:t>-</w:t>
      </w:r>
      <w:r w:rsidRPr="00B905A1">
        <w:rPr>
          <w:szCs w:val="22"/>
        </w:rPr>
        <w:t>s</w:t>
      </w:r>
      <w:r w:rsidRPr="001C2E9C">
        <w:rPr>
          <w:szCs w:val="22"/>
        </w:rPr>
        <w:t xml:space="preserve">ubmitted applications to determine which are complete, and subsequently will issue a public notice identifying: (1) those that are complete; (2) those </w:t>
      </w:r>
      <w:r w:rsidR="000A2987">
        <w:rPr>
          <w:szCs w:val="22"/>
        </w:rPr>
        <w:t xml:space="preserve">that are </w:t>
      </w:r>
      <w:r w:rsidRPr="00DF7948">
        <w:rPr>
          <w:szCs w:val="22"/>
        </w:rPr>
        <w:t xml:space="preserve">rejected; and (3) those that are incomplete </w:t>
      </w:r>
      <w:r w:rsidR="008249FA" w:rsidRPr="00DF7948">
        <w:rPr>
          <w:szCs w:val="22"/>
        </w:rPr>
        <w:t xml:space="preserve">or deficient </w:t>
      </w:r>
      <w:r w:rsidRPr="00DF7948">
        <w:rPr>
          <w:szCs w:val="22"/>
        </w:rPr>
        <w:t xml:space="preserve">because of minor defects that may be corrected.  Once that public notice is released, any interested parties may be able to view the short-form applications by searching for them in the </w:t>
      </w:r>
      <w:r w:rsidR="004E736A">
        <w:rPr>
          <w:szCs w:val="22"/>
        </w:rPr>
        <w:t>Commission’s</w:t>
      </w:r>
      <w:r w:rsidRPr="00DF7948">
        <w:rPr>
          <w:szCs w:val="22"/>
        </w:rPr>
        <w:t xml:space="preserve"> database.</w:t>
      </w:r>
    </w:p>
    <w:p w:rsidR="00CB3C0D" w:rsidRDefault="00CB3C0D" w:rsidP="00C07C81">
      <w:pPr>
        <w:widowControl/>
        <w:rPr>
          <w:szCs w:val="22"/>
        </w:rPr>
      </w:pPr>
    </w:p>
    <w:p w:rsidR="00CB3C0D" w:rsidRDefault="00CB3C0D" w:rsidP="00C07C81">
      <w:pPr>
        <w:widowControl/>
      </w:pPr>
      <w:r w:rsidRPr="00AA4F64">
        <w:t xml:space="preserve">To start a search, go to either </w:t>
      </w:r>
      <w:hyperlink r:id="rId45" w:history="1">
        <w:r w:rsidRPr="00AA4F64">
          <w:rPr>
            <w:rStyle w:val="Hyperlink"/>
            <w:szCs w:val="22"/>
          </w:rPr>
          <w:t>http://auctions.fcc.gov/</w:t>
        </w:r>
      </w:hyperlink>
      <w:r w:rsidRPr="00AA4F64">
        <w:rPr>
          <w:i/>
        </w:rPr>
        <w:t xml:space="preserve"> </w:t>
      </w:r>
      <w:r w:rsidRPr="00AA4F64">
        <w:t xml:space="preserve">(primary location) or </w:t>
      </w:r>
      <w:hyperlink r:id="rId46" w:history="1">
        <w:r w:rsidRPr="00AA4F64">
          <w:rPr>
            <w:rStyle w:val="Hyperlink"/>
            <w:szCs w:val="22"/>
          </w:rPr>
          <w:t>http://auctions2.fcc.gov</w:t>
        </w:r>
      </w:hyperlink>
      <w:r w:rsidRPr="00CA6286">
        <w:t xml:space="preserve"> (secondary location) and click the </w:t>
      </w:r>
      <w:r w:rsidRPr="00CA6286">
        <w:rPr>
          <w:b/>
        </w:rPr>
        <w:t>Auction Application</w:t>
      </w:r>
      <w:r w:rsidR="002D6C6A">
        <w:rPr>
          <w:b/>
        </w:rPr>
        <w:t xml:space="preserve"> Search</w:t>
      </w:r>
      <w:r w:rsidRPr="00CA6286">
        <w:t xml:space="preserve"> link in the Public Access area on the </w:t>
      </w:r>
      <w:r w:rsidRPr="00CA6286">
        <w:rPr>
          <w:i/>
        </w:rPr>
        <w:t>FCC Integrated Spectrum Auction System</w:t>
      </w:r>
      <w:r w:rsidRPr="00CA6286">
        <w:t xml:space="preserve"> page.</w:t>
      </w:r>
    </w:p>
    <w:p w:rsidR="00596DB8" w:rsidRDefault="00596DB8" w:rsidP="00C07C81">
      <w:pPr>
        <w:widowControl/>
      </w:pPr>
    </w:p>
    <w:p w:rsidR="00596DB8" w:rsidRPr="00596DB8" w:rsidRDefault="00596DB8" w:rsidP="00A11DAE">
      <w:pPr>
        <w:pStyle w:val="Heading2"/>
        <w:rPr>
          <w:szCs w:val="22"/>
        </w:rPr>
      </w:pPr>
      <w:bookmarkStart w:id="5532" w:name="_Toc257279354"/>
      <w:bookmarkStart w:id="5533" w:name="_Toc257383001"/>
      <w:bookmarkStart w:id="5534" w:name="_Toc274056258"/>
      <w:bookmarkStart w:id="5535" w:name="_Toc276657664"/>
      <w:bookmarkStart w:id="5536" w:name="_Toc278366510"/>
      <w:bookmarkStart w:id="5537" w:name="_Toc307584104"/>
      <w:bookmarkStart w:id="5538" w:name="_Toc307937378"/>
      <w:bookmarkStart w:id="5539" w:name="_Toc348508817"/>
      <w:bookmarkStart w:id="5540" w:name="_Toc362256835"/>
      <w:bookmarkStart w:id="5541" w:name="_Toc366056590"/>
      <w:bookmarkStart w:id="5542" w:name="_Toc366223792"/>
      <w:bookmarkStart w:id="5543" w:name="_Toc366229505"/>
      <w:bookmarkStart w:id="5544" w:name="_Toc366583548"/>
      <w:bookmarkStart w:id="5545" w:name="start_from_here"/>
      <w:r>
        <w:t>Technical Support</w:t>
      </w:r>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p>
    <w:p w:rsidR="00CB3C0D" w:rsidRPr="00CA6286" w:rsidRDefault="00CB3C0D" w:rsidP="00C07C81">
      <w:pPr>
        <w:keepNext/>
        <w:keepLines/>
        <w:widowControl/>
        <w:rPr>
          <w:szCs w:val="22"/>
        </w:rPr>
      </w:pPr>
      <w:r w:rsidRPr="00CA6286">
        <w:rPr>
          <w:szCs w:val="22"/>
        </w:rPr>
        <w:t>For technical assistance with using FCC software, contact the FCC Technical Support Hotline at (877) 480-3201, option nine; (202) 414-1250; or (202) 414-1255 (TTY).  The FCC Technical Support Hotline is available Monday through Friday from 8 a.m. to 6 p.m. ET.  All calls to the FCC Technical Support Hotline are recorded.</w:t>
      </w:r>
    </w:p>
    <w:p w:rsidR="00CB3C0D" w:rsidRPr="00CA6286" w:rsidRDefault="00CB3C0D" w:rsidP="00C07C81">
      <w:pPr>
        <w:keepLines/>
        <w:widowControl/>
        <w:rPr>
          <w:szCs w:val="22"/>
        </w:rPr>
      </w:pPr>
    </w:p>
    <w:p w:rsidR="00CB3C0D" w:rsidRPr="00CA6286" w:rsidRDefault="00CB3C0D" w:rsidP="00C07C81">
      <w:pPr>
        <w:widowControl/>
        <w:rPr>
          <w:snapToGrid/>
          <w:kern w:val="0"/>
          <w:szCs w:val="22"/>
        </w:rPr>
      </w:pPr>
      <w:r w:rsidRPr="00CA6286">
        <w:rPr>
          <w:i/>
          <w:iCs/>
          <w:snapToGrid/>
          <w:kern w:val="0"/>
          <w:szCs w:val="22"/>
        </w:rPr>
        <w:t>Paperwork Reduction Act Approval</w:t>
      </w:r>
      <w:r w:rsidRPr="00CA6286">
        <w:rPr>
          <w:snapToGrid/>
          <w:kern w:val="0"/>
          <w:szCs w:val="22"/>
        </w:rPr>
        <w:t>:</w:t>
      </w:r>
      <w:r w:rsidRPr="00CA6286">
        <w:rPr>
          <w:i/>
          <w:iCs/>
          <w:snapToGrid/>
          <w:kern w:val="0"/>
          <w:szCs w:val="22"/>
        </w:rPr>
        <w:t xml:space="preserve">  </w:t>
      </w:r>
      <w:r w:rsidRPr="001C2E9C">
        <w:rPr>
          <w:szCs w:val="22"/>
        </w:rPr>
        <w:t>The FCC Form 175 was assigned control number 3060-0600 and was approved</w:t>
      </w:r>
      <w:r w:rsidR="00C73325">
        <w:rPr>
          <w:szCs w:val="22"/>
        </w:rPr>
        <w:t>, as revised,</w:t>
      </w:r>
      <w:r w:rsidRPr="001C2E9C">
        <w:rPr>
          <w:szCs w:val="22"/>
        </w:rPr>
        <w:t xml:space="preserve"> by the Office of Management and Budget on </w:t>
      </w:r>
      <w:r w:rsidR="00F03FC3">
        <w:rPr>
          <w:szCs w:val="22"/>
        </w:rPr>
        <w:t>September 18, 2012</w:t>
      </w:r>
      <w:r w:rsidRPr="001C2E9C">
        <w:rPr>
          <w:szCs w:val="22"/>
        </w:rPr>
        <w:t xml:space="preserve">. </w:t>
      </w:r>
    </w:p>
    <w:p w:rsidR="00CB3C0D" w:rsidRPr="00CA6286" w:rsidRDefault="00CB3C0D" w:rsidP="00C07C81">
      <w:pPr>
        <w:widowControl/>
        <w:tabs>
          <w:tab w:val="left" w:leader="underscore" w:pos="4320"/>
          <w:tab w:val="left" w:pos="4680"/>
          <w:tab w:val="left" w:leader="underscore" w:pos="9360"/>
        </w:tabs>
        <w:suppressAutoHyphens/>
        <w:spacing w:after="220"/>
        <w:rPr>
          <w:szCs w:val="22"/>
        </w:rPr>
        <w:sectPr w:rsidR="00CB3C0D" w:rsidRPr="00CA6286" w:rsidSect="00334EA6">
          <w:footerReference w:type="default" r:id="rId47"/>
          <w:pgSz w:w="12240" w:h="15840" w:code="1"/>
          <w:pgMar w:top="1440" w:right="1440" w:bottom="720" w:left="1440" w:header="720" w:footer="576" w:gutter="0"/>
          <w:pgNumType w:start="1"/>
          <w:cols w:space="720"/>
          <w:docGrid w:linePitch="360"/>
        </w:sectPr>
      </w:pPr>
    </w:p>
    <w:p w:rsidR="00CB3C0D" w:rsidRPr="00CA6286" w:rsidRDefault="00CB3C0D" w:rsidP="00C07C81">
      <w:pPr>
        <w:widowControl/>
        <w:jc w:val="center"/>
        <w:rPr>
          <w:b/>
          <w:szCs w:val="22"/>
        </w:rPr>
      </w:pPr>
      <w:r w:rsidRPr="00CA6286">
        <w:rPr>
          <w:b/>
          <w:szCs w:val="22"/>
        </w:rPr>
        <w:t xml:space="preserve">ATTACHMENT </w:t>
      </w:r>
      <w:r w:rsidR="004D3EBD">
        <w:rPr>
          <w:b/>
          <w:szCs w:val="22"/>
        </w:rPr>
        <w:t>E</w:t>
      </w:r>
    </w:p>
    <w:p w:rsidR="00CB3C0D" w:rsidRPr="00CA6286" w:rsidRDefault="00CB3C0D" w:rsidP="00C07C81">
      <w:pPr>
        <w:widowControl/>
        <w:jc w:val="center"/>
        <w:rPr>
          <w:b/>
          <w:szCs w:val="22"/>
        </w:rPr>
      </w:pPr>
    </w:p>
    <w:p w:rsidR="00CB3C0D" w:rsidRPr="00CA6286" w:rsidRDefault="00CB3C0D" w:rsidP="00C07C81">
      <w:pPr>
        <w:widowControl/>
        <w:jc w:val="center"/>
        <w:rPr>
          <w:b/>
          <w:szCs w:val="22"/>
        </w:rPr>
      </w:pPr>
      <w:r>
        <w:rPr>
          <w:b/>
          <w:szCs w:val="22"/>
        </w:rPr>
        <w:t>Auction-Specific Instructions f</w:t>
      </w:r>
      <w:r w:rsidRPr="00CA6286">
        <w:rPr>
          <w:b/>
          <w:szCs w:val="22"/>
        </w:rPr>
        <w:t>or</w:t>
      </w:r>
    </w:p>
    <w:p w:rsidR="00CB3C0D" w:rsidRPr="00CA6286" w:rsidRDefault="00CB3C0D" w:rsidP="00C07C81">
      <w:pPr>
        <w:widowControl/>
        <w:jc w:val="center"/>
        <w:rPr>
          <w:b/>
          <w:szCs w:val="22"/>
        </w:rPr>
      </w:pPr>
      <w:r w:rsidRPr="00CA6286">
        <w:rPr>
          <w:b/>
          <w:szCs w:val="22"/>
        </w:rPr>
        <w:t>F</w:t>
      </w:r>
      <w:r>
        <w:rPr>
          <w:b/>
          <w:szCs w:val="22"/>
        </w:rPr>
        <w:t>CC</w:t>
      </w:r>
      <w:r w:rsidRPr="00CA6286">
        <w:rPr>
          <w:b/>
          <w:szCs w:val="22"/>
        </w:rPr>
        <w:t xml:space="preserve"> Remittance Advice (FCC F</w:t>
      </w:r>
      <w:r>
        <w:rPr>
          <w:b/>
          <w:szCs w:val="22"/>
        </w:rPr>
        <w:t>orm</w:t>
      </w:r>
      <w:r w:rsidRPr="00CA6286">
        <w:rPr>
          <w:b/>
          <w:szCs w:val="22"/>
        </w:rPr>
        <w:t xml:space="preserve"> 159-</w:t>
      </w:r>
      <w:r w:rsidR="00FD12B7">
        <w:rPr>
          <w:b/>
          <w:szCs w:val="22"/>
        </w:rPr>
        <w:t>February</w:t>
      </w:r>
      <w:r>
        <w:rPr>
          <w:b/>
          <w:szCs w:val="22"/>
        </w:rPr>
        <w:t xml:space="preserve"> 200</w:t>
      </w:r>
      <w:r w:rsidR="00FD12B7">
        <w:rPr>
          <w:b/>
          <w:szCs w:val="22"/>
        </w:rPr>
        <w:t>3</w:t>
      </w:r>
      <w:r w:rsidRPr="00CA6286">
        <w:rPr>
          <w:b/>
          <w:szCs w:val="22"/>
        </w:rPr>
        <w:t xml:space="preserve"> Edition)</w:t>
      </w:r>
    </w:p>
    <w:p w:rsidR="00CB3C0D" w:rsidRPr="00CA6286" w:rsidRDefault="00CB3C0D" w:rsidP="00C07C81">
      <w:pPr>
        <w:widowControl/>
        <w:suppressAutoHyphens/>
        <w:jc w:val="center"/>
        <w:rPr>
          <w:b/>
          <w:szCs w:val="22"/>
        </w:rPr>
      </w:pPr>
    </w:p>
    <w:p w:rsidR="00CB3C0D" w:rsidRPr="00CA6286" w:rsidRDefault="00CB3C0D" w:rsidP="00C07C81">
      <w:pPr>
        <w:widowControl/>
        <w:rPr>
          <w:b/>
          <w:szCs w:val="22"/>
        </w:rPr>
      </w:pPr>
      <w:bookmarkStart w:id="5546" w:name="_Toc470404562"/>
      <w:bookmarkStart w:id="5547" w:name="_Toc470407467"/>
      <w:bookmarkStart w:id="5548" w:name="_Toc470506292"/>
      <w:bookmarkStart w:id="5549" w:name="_Toc495309029"/>
      <w:bookmarkStart w:id="5550" w:name="_Toc495379860"/>
      <w:bookmarkStart w:id="5551" w:name="_Toc511011646"/>
      <w:bookmarkStart w:id="5552" w:name="_Toc519077416"/>
      <w:bookmarkStart w:id="5553" w:name="_Toc519653221"/>
      <w:bookmarkStart w:id="5554" w:name="_Toc520598513"/>
      <w:bookmarkStart w:id="5555" w:name="_Toc526842244"/>
      <w:bookmarkStart w:id="5556" w:name="_Toc3203935"/>
      <w:bookmarkStart w:id="5557" w:name="_Toc4388515"/>
      <w:bookmarkStart w:id="5558" w:name="_Toc29978425"/>
      <w:bookmarkStart w:id="5559" w:name="_Toc29980453"/>
      <w:bookmarkStart w:id="5560" w:name="_Toc45691358"/>
      <w:bookmarkStart w:id="5561" w:name="_Toc49594165"/>
      <w:bookmarkStart w:id="5562" w:name="_Toc49769248"/>
      <w:bookmarkStart w:id="5563" w:name="_Toc54082759"/>
      <w:bookmarkStart w:id="5564" w:name="_Toc70392843"/>
      <w:bookmarkStart w:id="5565" w:name="_Toc72907057"/>
      <w:bookmarkStart w:id="5566" w:name="_Toc98559466"/>
      <w:bookmarkStart w:id="5567" w:name="_Toc98821055"/>
      <w:bookmarkStart w:id="5568" w:name="_Toc98846356"/>
      <w:bookmarkStart w:id="5569" w:name="_Toc98898570"/>
      <w:bookmarkStart w:id="5570" w:name="_Toc98921831"/>
      <w:bookmarkStart w:id="5571" w:name="_Toc98933004"/>
      <w:bookmarkStart w:id="5572" w:name="_Toc100720676"/>
      <w:bookmarkStart w:id="5573" w:name="_Toc101858549"/>
      <w:bookmarkStart w:id="5574" w:name="_Toc109812305"/>
      <w:bookmarkStart w:id="5575" w:name="_Toc129773537"/>
      <w:bookmarkStart w:id="5576" w:name="_Toc130210075"/>
      <w:bookmarkStart w:id="5577" w:name="_Toc130731002"/>
      <w:bookmarkStart w:id="5578" w:name="_Toc130814230"/>
      <w:bookmarkStart w:id="5579" w:name="_Toc130814552"/>
      <w:bookmarkStart w:id="5580" w:name="_Toc130814684"/>
      <w:bookmarkStart w:id="5581" w:name="_Toc130883567"/>
      <w:bookmarkStart w:id="5582" w:name="_Toc130885678"/>
      <w:bookmarkStart w:id="5583" w:name="_Toc131844657"/>
    </w:p>
    <w:p w:rsidR="00CB3C0D" w:rsidRPr="00CA6286" w:rsidRDefault="00CB3C0D" w:rsidP="00C07C81">
      <w:pPr>
        <w:widowControl/>
        <w:rPr>
          <w:b/>
          <w:szCs w:val="22"/>
          <w:u w:val="single"/>
        </w:rPr>
      </w:pPr>
      <w:r w:rsidRPr="00CA6286">
        <w:rPr>
          <w:b/>
          <w:szCs w:val="22"/>
          <w:u w:val="single"/>
        </w:rPr>
        <w:t>Upfront Payments</w:t>
      </w:r>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p>
    <w:p w:rsidR="00CB3C0D" w:rsidRPr="00CA6286" w:rsidRDefault="00CB3C0D" w:rsidP="00C07C81">
      <w:pPr>
        <w:widowControl/>
        <w:ind w:left="720"/>
        <w:rPr>
          <w:b/>
          <w:szCs w:val="22"/>
        </w:rPr>
      </w:pPr>
    </w:p>
    <w:p w:rsidR="00CB3C0D" w:rsidRPr="00CA6286" w:rsidRDefault="00CB3C0D" w:rsidP="00C07C81">
      <w:pPr>
        <w:widowControl/>
        <w:rPr>
          <w:szCs w:val="22"/>
        </w:rPr>
      </w:pPr>
      <w:r w:rsidRPr="00CA6286">
        <w:rPr>
          <w:szCs w:val="22"/>
        </w:rPr>
        <w:t xml:space="preserve">The following information supplements the standard instructions for FCC Form 159 </w:t>
      </w:r>
      <w:r w:rsidRPr="00633A2F">
        <w:rPr>
          <w:szCs w:val="22"/>
        </w:rPr>
        <w:t xml:space="preserve">(Revised </w:t>
      </w:r>
      <w:r w:rsidR="00FD12B7" w:rsidRPr="00633A2F">
        <w:rPr>
          <w:szCs w:val="22"/>
        </w:rPr>
        <w:t>2</w:t>
      </w:r>
      <w:r w:rsidRPr="00633A2F">
        <w:rPr>
          <w:szCs w:val="22"/>
        </w:rPr>
        <w:t>/0</w:t>
      </w:r>
      <w:r w:rsidR="00FD12B7" w:rsidRPr="00633A2F">
        <w:rPr>
          <w:szCs w:val="22"/>
        </w:rPr>
        <w:t>3</w:t>
      </w:r>
      <w:r w:rsidRPr="00633A2F">
        <w:rPr>
          <w:szCs w:val="22"/>
        </w:rPr>
        <w:t>), and</w:t>
      </w:r>
      <w:r w:rsidRPr="00CA6286">
        <w:rPr>
          <w:szCs w:val="22"/>
        </w:rPr>
        <w:t xml:space="preserve"> is provided to help ensure correct completion of FCC Form 159 for upfront payments for Auction </w:t>
      </w:r>
      <w:r w:rsidR="00EE6C8C">
        <w:rPr>
          <w:szCs w:val="22"/>
        </w:rPr>
        <w:t>9</w:t>
      </w:r>
      <w:r w:rsidR="00E246D2">
        <w:rPr>
          <w:szCs w:val="22"/>
        </w:rPr>
        <w:t>6</w:t>
      </w:r>
      <w:r w:rsidRPr="00CA6286">
        <w:rPr>
          <w:szCs w:val="22"/>
        </w:rPr>
        <w:t>.  Applicants need to complete FCC Form 159 carefully, because:</w:t>
      </w:r>
    </w:p>
    <w:p w:rsidR="00CB3C0D" w:rsidRPr="00CA6286" w:rsidRDefault="00CB3C0D" w:rsidP="00C07C81">
      <w:pPr>
        <w:widowControl/>
      </w:pPr>
    </w:p>
    <w:p w:rsidR="00CB3C0D" w:rsidRPr="00CA6286" w:rsidRDefault="00CB3C0D" w:rsidP="00C07C81">
      <w:pPr>
        <w:pStyle w:val="BulletCharChar"/>
        <w:widowControl/>
        <w:numPr>
          <w:ilvl w:val="0"/>
          <w:numId w:val="13"/>
        </w:numPr>
        <w:tabs>
          <w:tab w:val="clear" w:pos="2160"/>
        </w:tabs>
        <w:spacing w:after="0"/>
        <w:rPr>
          <w:b/>
          <w:szCs w:val="22"/>
        </w:rPr>
      </w:pPr>
      <w:r w:rsidRPr="00CA6286">
        <w:rPr>
          <w:b/>
          <w:szCs w:val="22"/>
        </w:rPr>
        <w:t>Mistakes may affect bidding eligibility; and</w:t>
      </w:r>
    </w:p>
    <w:p w:rsidR="00CB3C0D" w:rsidRPr="00CA6286" w:rsidRDefault="00CB3C0D" w:rsidP="00C07C81">
      <w:pPr>
        <w:widowControl/>
        <w:jc w:val="both"/>
        <w:rPr>
          <w:b/>
          <w:szCs w:val="22"/>
        </w:rPr>
      </w:pPr>
    </w:p>
    <w:p w:rsidR="00CB3C0D" w:rsidRPr="00CA6286" w:rsidRDefault="00CB3C0D" w:rsidP="00C07C81">
      <w:pPr>
        <w:pStyle w:val="BulletCharChar"/>
        <w:widowControl/>
        <w:tabs>
          <w:tab w:val="clear" w:pos="2160"/>
          <w:tab w:val="num" w:pos="360"/>
        </w:tabs>
        <w:spacing w:after="0"/>
        <w:ind w:left="360" w:hanging="360"/>
        <w:rPr>
          <w:b/>
          <w:szCs w:val="22"/>
        </w:rPr>
      </w:pPr>
      <w:r w:rsidRPr="00CA6286">
        <w:rPr>
          <w:b/>
          <w:szCs w:val="22"/>
        </w:rPr>
        <w:t xml:space="preserve">Lack of consistency between information provided in FCC Form </w:t>
      </w:r>
      <w:r w:rsidRPr="00633A2F">
        <w:rPr>
          <w:b/>
          <w:szCs w:val="22"/>
        </w:rPr>
        <w:t xml:space="preserve">159 (Revised </w:t>
      </w:r>
      <w:r w:rsidR="00FD12B7" w:rsidRPr="00633A2F">
        <w:rPr>
          <w:b/>
          <w:szCs w:val="22"/>
        </w:rPr>
        <w:t>2</w:t>
      </w:r>
      <w:r w:rsidRPr="00633A2F">
        <w:rPr>
          <w:b/>
          <w:szCs w:val="22"/>
        </w:rPr>
        <w:t>/0</w:t>
      </w:r>
      <w:r w:rsidR="00FD12B7" w:rsidRPr="00633A2F">
        <w:rPr>
          <w:b/>
          <w:szCs w:val="22"/>
        </w:rPr>
        <w:t>3</w:t>
      </w:r>
      <w:r w:rsidRPr="00633A2F">
        <w:rPr>
          <w:b/>
          <w:szCs w:val="22"/>
        </w:rPr>
        <w:t>),</w:t>
      </w:r>
      <w:r w:rsidRPr="00CA6286">
        <w:rPr>
          <w:b/>
          <w:szCs w:val="22"/>
        </w:rPr>
        <w:t xml:space="preserve"> FCC Form 175, long-form application, and correspondence about an application may cause processing delays.</w:t>
      </w:r>
    </w:p>
    <w:p w:rsidR="00CB3C0D" w:rsidRPr="00CA6286" w:rsidRDefault="00CB3C0D" w:rsidP="00C07C81">
      <w:pPr>
        <w:widowControl/>
      </w:pPr>
    </w:p>
    <w:p w:rsidR="00CB3C0D" w:rsidRPr="001C2E9C" w:rsidRDefault="00CB3C0D" w:rsidP="00C07C81">
      <w:pPr>
        <w:widowControl/>
      </w:pPr>
      <w:r w:rsidRPr="00CA6286">
        <w:t xml:space="preserve">Therefore appropriate cross-references between the FCC Form 159 Remittance Advice and the </w:t>
      </w:r>
      <w:r w:rsidRPr="001C2E9C">
        <w:t>short-form application (FCC Form 175) are described below:</w:t>
      </w:r>
    </w:p>
    <w:p w:rsidR="00B412FF" w:rsidRPr="00CA6286" w:rsidRDefault="00CB3C0D" w:rsidP="00C07C81">
      <w:pPr>
        <w:widowControl/>
        <w:tabs>
          <w:tab w:val="center" w:pos="810"/>
        </w:tabs>
        <w:jc w:val="both"/>
        <w:rPr>
          <w:szCs w:val="22"/>
        </w:rPr>
      </w:pPr>
      <w:r w:rsidRPr="00CA6286">
        <w:rPr>
          <w:szCs w:val="22"/>
        </w:rPr>
        <w:tab/>
      </w:r>
      <w:bookmarkStart w:id="5584" w:name="_Toc470404563"/>
      <w:bookmarkStart w:id="5585" w:name="_Toc4704074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286"/>
      </w:tblGrid>
      <w:tr w:rsidR="00B412FF" w:rsidRPr="0016214F" w:rsidTr="0016214F">
        <w:tc>
          <w:tcPr>
            <w:tcW w:w="0" w:type="auto"/>
            <w:tcBorders>
              <w:top w:val="nil"/>
              <w:left w:val="nil"/>
              <w:bottom w:val="nil"/>
              <w:right w:val="nil"/>
            </w:tcBorders>
          </w:tcPr>
          <w:p w:rsidR="00B412FF" w:rsidRPr="0016214F" w:rsidRDefault="00B412FF" w:rsidP="00C07C81">
            <w:pPr>
              <w:widowControl/>
              <w:jc w:val="center"/>
              <w:rPr>
                <w:b/>
                <w:szCs w:val="22"/>
              </w:rPr>
            </w:pPr>
            <w:r w:rsidRPr="0016214F">
              <w:rPr>
                <w:b/>
                <w:szCs w:val="22"/>
              </w:rPr>
              <w:t>Block Number</w:t>
            </w:r>
          </w:p>
        </w:tc>
        <w:tc>
          <w:tcPr>
            <w:tcW w:w="0" w:type="auto"/>
            <w:tcBorders>
              <w:top w:val="nil"/>
              <w:left w:val="nil"/>
              <w:bottom w:val="nil"/>
              <w:right w:val="nil"/>
            </w:tcBorders>
            <w:vAlign w:val="bottom"/>
          </w:tcPr>
          <w:p w:rsidR="00B412FF" w:rsidRPr="0016214F" w:rsidRDefault="00B412FF" w:rsidP="00C07C81">
            <w:pPr>
              <w:widowControl/>
              <w:rPr>
                <w:b/>
                <w:szCs w:val="22"/>
              </w:rPr>
            </w:pPr>
            <w:r w:rsidRPr="0016214F">
              <w:rPr>
                <w:b/>
                <w:szCs w:val="22"/>
              </w:rPr>
              <w:t xml:space="preserve">Required Information </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1</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LOCKBOX # - Enter “979085”</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2</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Payer Name - Enter the name of the person or company making the payment.  If the applicant itself is the payer, this entry would be the same as FCC Form 175.</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3</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Total Amount Paid - Enter the amount of the upfront payment associated with the FCC Form 159 (Revised 2/03).</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4-8</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Street Address, City, State, ZIP Code - Enter the street mailing address (</w:t>
            </w:r>
            <w:r w:rsidRPr="0016214F">
              <w:rPr>
                <w:b/>
                <w:szCs w:val="22"/>
              </w:rPr>
              <w:t>not Post Office box number</w:t>
            </w:r>
            <w:r w:rsidRPr="0016214F">
              <w:rPr>
                <w:szCs w:val="22"/>
              </w:rPr>
              <w:t>) where mail should be sent to the payer.  If the applicant is the payer, these entries would be the same as FCC Form 175 from the Applicant Information section.</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9</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Daytime Telephone Number - Enter the telephone number of a person knowledgeable about this upfront payment.</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10</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Country Code - For addresses outside the United States, enter the appropriate postal country code (available from the Mailing Requirements Department of the U.S. Postal Service).</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11</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Payer FRN - Enter the pay</w:t>
            </w:r>
            <w:r w:rsidR="005C76FD">
              <w:rPr>
                <w:szCs w:val="22"/>
              </w:rPr>
              <w:t>e</w:t>
            </w:r>
            <w:r w:rsidRPr="0016214F">
              <w:rPr>
                <w:szCs w:val="22"/>
              </w:rPr>
              <w:t xml:space="preserve">r’s ten-digit FCC Registration Number (“FRN”) registered in the Commission Registration System (“CORES”).  </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21</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Applicant FRN (Complete only if applicant is different than payer.) – Enter the applicant’s ten-digit FRN registered in CORES.</w:t>
            </w:r>
          </w:p>
        </w:tc>
      </w:tr>
      <w:tr w:rsidR="00B412FF" w:rsidRPr="00B27F0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24A</w:t>
            </w:r>
          </w:p>
        </w:tc>
        <w:tc>
          <w:tcPr>
            <w:tcW w:w="0" w:type="auto"/>
            <w:tcBorders>
              <w:top w:val="nil"/>
              <w:left w:val="nil"/>
              <w:bottom w:val="nil"/>
              <w:right w:val="nil"/>
            </w:tcBorders>
          </w:tcPr>
          <w:p w:rsidR="00B412FF" w:rsidRPr="00B27F0F" w:rsidRDefault="00B412FF" w:rsidP="002C7A59">
            <w:pPr>
              <w:widowControl/>
              <w:suppressAutoHyphens/>
              <w:spacing w:before="120"/>
              <w:rPr>
                <w:szCs w:val="22"/>
                <w:lang w:val="fr-FR"/>
              </w:rPr>
            </w:pPr>
            <w:r w:rsidRPr="00B27F0F">
              <w:rPr>
                <w:szCs w:val="22"/>
                <w:lang w:val="fr-FR"/>
              </w:rPr>
              <w:t>Payment Type Code - Enter “</w:t>
            </w:r>
            <w:r w:rsidR="00850CDD" w:rsidRPr="00B27F0F">
              <w:rPr>
                <w:szCs w:val="22"/>
                <w:lang w:val="fr-FR"/>
              </w:rPr>
              <w:t>U0</w:t>
            </w:r>
            <w:r w:rsidR="00EE6C8C" w:rsidRPr="00B27F0F">
              <w:rPr>
                <w:szCs w:val="22"/>
                <w:lang w:val="fr-FR"/>
              </w:rPr>
              <w:t>9</w:t>
            </w:r>
            <w:r w:rsidR="00E246D2">
              <w:rPr>
                <w:szCs w:val="22"/>
                <w:lang w:val="fr-FR"/>
              </w:rPr>
              <w:t>6</w:t>
            </w:r>
            <w:r w:rsidRPr="00B27F0F">
              <w:rPr>
                <w:szCs w:val="22"/>
                <w:lang w:val="fr-FR"/>
              </w:rPr>
              <w:t>”</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25A</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Quantity - Enter the number “1”</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26A</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Fee Due - Amount of Upfront Payment</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27A</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Total Fee - Will be the same amount as 26A.</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28A</w:t>
            </w:r>
          </w:p>
        </w:tc>
        <w:tc>
          <w:tcPr>
            <w:tcW w:w="0" w:type="auto"/>
            <w:tcBorders>
              <w:top w:val="nil"/>
              <w:left w:val="nil"/>
              <w:bottom w:val="nil"/>
              <w:right w:val="nil"/>
            </w:tcBorders>
          </w:tcPr>
          <w:p w:rsidR="00B412FF" w:rsidRPr="0016214F" w:rsidRDefault="00B412FF" w:rsidP="00E246D2">
            <w:pPr>
              <w:widowControl/>
              <w:suppressAutoHyphens/>
              <w:spacing w:before="120"/>
              <w:rPr>
                <w:szCs w:val="22"/>
              </w:rPr>
            </w:pPr>
            <w:r w:rsidRPr="0016214F">
              <w:rPr>
                <w:szCs w:val="22"/>
              </w:rPr>
              <w:t>FCC Code 1 - Enter the number “</w:t>
            </w:r>
            <w:r w:rsidR="00EE6C8C">
              <w:rPr>
                <w:szCs w:val="22"/>
              </w:rPr>
              <w:t>9</w:t>
            </w:r>
            <w:r w:rsidR="00E246D2">
              <w:rPr>
                <w:szCs w:val="22"/>
              </w:rPr>
              <w:t>6</w:t>
            </w:r>
            <w:r w:rsidRPr="0016214F">
              <w:rPr>
                <w:szCs w:val="22"/>
              </w:rPr>
              <w:t xml:space="preserve">” (indicating Auction </w:t>
            </w:r>
            <w:r w:rsidR="00EE6C8C">
              <w:rPr>
                <w:szCs w:val="22"/>
              </w:rPr>
              <w:t>9</w:t>
            </w:r>
            <w:r w:rsidR="00E246D2">
              <w:rPr>
                <w:szCs w:val="22"/>
              </w:rPr>
              <w:t>6</w:t>
            </w:r>
            <w:r w:rsidRPr="0016214F">
              <w:rPr>
                <w:szCs w:val="22"/>
              </w:rPr>
              <w:t>).</w:t>
            </w:r>
          </w:p>
        </w:tc>
      </w:tr>
      <w:bookmarkEnd w:id="5584"/>
      <w:bookmarkEnd w:id="5585"/>
    </w:tbl>
    <w:p w:rsidR="00CB3C0D" w:rsidRPr="00CA6286" w:rsidRDefault="00CB3C0D" w:rsidP="00C07C81">
      <w:pPr>
        <w:widowControl/>
        <w:tabs>
          <w:tab w:val="left" w:pos="-4950"/>
          <w:tab w:val="left" w:pos="-4770"/>
          <w:tab w:val="left" w:pos="-4680"/>
        </w:tabs>
        <w:suppressAutoHyphens/>
        <w:ind w:left="1440" w:hanging="720"/>
        <w:rPr>
          <w:szCs w:val="22"/>
        </w:rPr>
      </w:pPr>
    </w:p>
    <w:p w:rsidR="00CB3C0D" w:rsidRPr="00CA6286" w:rsidRDefault="00CB3C0D" w:rsidP="00C07C81">
      <w:pPr>
        <w:keepNext/>
        <w:keepLines/>
        <w:widowControl/>
        <w:rPr>
          <w:szCs w:val="22"/>
        </w:rPr>
      </w:pPr>
      <w:r w:rsidRPr="00CA6286">
        <w:rPr>
          <w:szCs w:val="22"/>
        </w:rPr>
        <w:t>NOTES:</w:t>
      </w:r>
    </w:p>
    <w:p w:rsidR="00CB3C0D" w:rsidRPr="00CA6286" w:rsidRDefault="00CB3C0D" w:rsidP="00C07C81">
      <w:pPr>
        <w:keepNext/>
        <w:keepLines/>
        <w:widowControl/>
        <w:tabs>
          <w:tab w:val="left" w:pos="0"/>
          <w:tab w:val="left" w:pos="810"/>
          <w:tab w:val="left" w:pos="1620"/>
          <w:tab w:val="left" w:pos="1800"/>
          <w:tab w:val="left" w:pos="2160"/>
          <w:tab w:val="left" w:pos="2880"/>
          <w:tab w:val="left" w:pos="3240"/>
          <w:tab w:val="left" w:pos="3600"/>
        </w:tabs>
        <w:suppressAutoHyphens/>
        <w:rPr>
          <w:szCs w:val="22"/>
        </w:rPr>
      </w:pPr>
    </w:p>
    <w:p w:rsidR="00CB3C0D" w:rsidRPr="00CA6286" w:rsidRDefault="00CB3C0D" w:rsidP="00C07C81">
      <w:pPr>
        <w:widowControl/>
        <w:numPr>
          <w:ilvl w:val="0"/>
          <w:numId w:val="12"/>
        </w:numPr>
        <w:tabs>
          <w:tab w:val="left" w:pos="-4950"/>
          <w:tab w:val="left" w:pos="-4770"/>
          <w:tab w:val="left" w:pos="-4680"/>
        </w:tabs>
        <w:suppressAutoHyphens/>
        <w:rPr>
          <w:szCs w:val="22"/>
        </w:rPr>
      </w:pPr>
      <w:r w:rsidRPr="00CA6286">
        <w:rPr>
          <w:szCs w:val="22"/>
        </w:rPr>
        <w:t>Do not use Remittance Advice (Continuation Sheet), FCC Form 159-C, for upfront payments.</w:t>
      </w:r>
    </w:p>
    <w:p w:rsidR="00CB3C0D" w:rsidRPr="00CA6286" w:rsidRDefault="00CB3C0D" w:rsidP="00C07C81">
      <w:pPr>
        <w:widowControl/>
        <w:tabs>
          <w:tab w:val="left" w:pos="-4950"/>
          <w:tab w:val="left" w:pos="-4770"/>
          <w:tab w:val="left" w:pos="-4680"/>
          <w:tab w:val="num" w:pos="1080"/>
        </w:tabs>
        <w:suppressAutoHyphens/>
        <w:ind w:left="1080"/>
        <w:rPr>
          <w:szCs w:val="22"/>
        </w:rPr>
      </w:pPr>
    </w:p>
    <w:p w:rsidR="00CB3C0D" w:rsidRPr="00CA6286" w:rsidRDefault="00CB3C0D" w:rsidP="00C07C81">
      <w:pPr>
        <w:widowControl/>
        <w:numPr>
          <w:ilvl w:val="0"/>
          <w:numId w:val="12"/>
        </w:numPr>
        <w:tabs>
          <w:tab w:val="left" w:pos="-4950"/>
          <w:tab w:val="left" w:pos="-4770"/>
          <w:tab w:val="left" w:pos="-4680"/>
        </w:tabs>
        <w:suppressAutoHyphens/>
        <w:rPr>
          <w:szCs w:val="22"/>
        </w:rPr>
      </w:pPr>
      <w:r w:rsidRPr="00CA6286">
        <w:rPr>
          <w:szCs w:val="22"/>
        </w:rPr>
        <w:t>If applicant is different from the payer, complete blocks 13 through 21 for the applicant, using the same information shown on FCC Form 175.  Otherwise leave them blank.</w:t>
      </w:r>
    </w:p>
    <w:p w:rsidR="00CB3C0D" w:rsidRPr="00CA6286" w:rsidRDefault="00CB3C0D" w:rsidP="00C07C81">
      <w:pPr>
        <w:widowControl/>
        <w:tabs>
          <w:tab w:val="left" w:pos="-4950"/>
          <w:tab w:val="left" w:pos="-4770"/>
          <w:tab w:val="left" w:pos="-4680"/>
        </w:tabs>
        <w:suppressAutoHyphens/>
        <w:ind w:left="720"/>
        <w:rPr>
          <w:szCs w:val="22"/>
        </w:rPr>
      </w:pPr>
    </w:p>
    <w:p w:rsidR="00CB3C0D" w:rsidRPr="00CA6286" w:rsidRDefault="00CB3C0D" w:rsidP="00C07C81">
      <w:pPr>
        <w:widowControl/>
        <w:numPr>
          <w:ilvl w:val="0"/>
          <w:numId w:val="12"/>
        </w:numPr>
        <w:tabs>
          <w:tab w:val="left" w:pos="-4950"/>
          <w:tab w:val="left" w:pos="-4770"/>
        </w:tabs>
        <w:suppressAutoHyphens/>
        <w:rPr>
          <w:szCs w:val="22"/>
        </w:rPr>
      </w:pPr>
      <w:r w:rsidRPr="00CA6286">
        <w:rPr>
          <w:szCs w:val="22"/>
        </w:rPr>
        <w:t>Since credit card payments will not be accepted for upfront payments for an auction, leave Section E blank.</w:t>
      </w:r>
    </w:p>
    <w:p w:rsidR="00CB3C0D" w:rsidRPr="00CA6286" w:rsidRDefault="00CB3C0D" w:rsidP="00C07C81">
      <w:pPr>
        <w:widowControl/>
        <w:tabs>
          <w:tab w:val="left" w:pos="-4950"/>
          <w:tab w:val="left" w:pos="-4770"/>
          <w:tab w:val="left" w:pos="-4680"/>
          <w:tab w:val="num" w:pos="1080"/>
        </w:tabs>
        <w:suppressAutoHyphens/>
        <w:ind w:left="1080"/>
        <w:jc w:val="both"/>
        <w:rPr>
          <w:szCs w:val="22"/>
        </w:rPr>
      </w:pPr>
    </w:p>
    <w:p w:rsidR="00CB3C0D" w:rsidRPr="00CA6286" w:rsidRDefault="00CB3C0D" w:rsidP="00C07C81">
      <w:pPr>
        <w:widowControl/>
        <w:tabs>
          <w:tab w:val="left" w:pos="0"/>
          <w:tab w:val="left" w:pos="810"/>
          <w:tab w:val="left" w:pos="1620"/>
          <w:tab w:val="left" w:pos="1800"/>
          <w:tab w:val="left" w:pos="2160"/>
          <w:tab w:val="left" w:pos="2880"/>
          <w:tab w:val="left" w:pos="3240"/>
          <w:tab w:val="left" w:pos="3600"/>
        </w:tabs>
        <w:suppressAutoHyphens/>
        <w:jc w:val="both"/>
        <w:rPr>
          <w:szCs w:val="22"/>
        </w:rPr>
      </w:pPr>
    </w:p>
    <w:p w:rsidR="00CB3C0D" w:rsidRPr="00CA6286" w:rsidRDefault="00CB3C0D" w:rsidP="00C07C81">
      <w:pPr>
        <w:widowControl/>
        <w:rPr>
          <w:b/>
          <w:szCs w:val="22"/>
          <w:u w:val="single"/>
        </w:rPr>
      </w:pPr>
      <w:bookmarkStart w:id="5586" w:name="_Toc470404565"/>
      <w:bookmarkStart w:id="5587" w:name="_Toc470407470"/>
      <w:bookmarkStart w:id="5588" w:name="_Toc470506293"/>
      <w:bookmarkStart w:id="5589" w:name="_Toc495309030"/>
      <w:bookmarkStart w:id="5590" w:name="_Toc495379861"/>
      <w:bookmarkStart w:id="5591" w:name="_Toc511011647"/>
      <w:bookmarkStart w:id="5592" w:name="_Toc519077417"/>
      <w:bookmarkStart w:id="5593" w:name="_Toc519653222"/>
      <w:bookmarkStart w:id="5594" w:name="_Toc520598514"/>
      <w:bookmarkStart w:id="5595" w:name="_Toc526842245"/>
      <w:bookmarkStart w:id="5596" w:name="_Toc3203936"/>
      <w:bookmarkStart w:id="5597" w:name="_Toc4388516"/>
      <w:bookmarkStart w:id="5598" w:name="_Toc29978426"/>
      <w:bookmarkStart w:id="5599" w:name="_Toc29980454"/>
      <w:bookmarkStart w:id="5600" w:name="_Toc45691359"/>
      <w:bookmarkStart w:id="5601" w:name="_Toc49594166"/>
      <w:bookmarkStart w:id="5602" w:name="_Toc49769249"/>
      <w:bookmarkStart w:id="5603" w:name="_Toc54082760"/>
      <w:bookmarkStart w:id="5604" w:name="_Toc70392844"/>
      <w:bookmarkStart w:id="5605" w:name="_Toc72907058"/>
      <w:bookmarkStart w:id="5606" w:name="_Toc98559467"/>
      <w:bookmarkStart w:id="5607" w:name="_Toc98821056"/>
      <w:bookmarkStart w:id="5608" w:name="_Toc98846357"/>
      <w:bookmarkStart w:id="5609" w:name="_Toc98898571"/>
      <w:bookmarkStart w:id="5610" w:name="_Toc98921832"/>
      <w:bookmarkStart w:id="5611" w:name="_Toc98933005"/>
      <w:bookmarkStart w:id="5612" w:name="_Toc100720677"/>
      <w:bookmarkStart w:id="5613" w:name="_Toc101858550"/>
      <w:bookmarkStart w:id="5614" w:name="_Toc109812306"/>
      <w:bookmarkStart w:id="5615" w:name="_Toc129773538"/>
      <w:bookmarkStart w:id="5616" w:name="_Toc130210076"/>
      <w:bookmarkStart w:id="5617" w:name="_Toc130731003"/>
      <w:bookmarkStart w:id="5618" w:name="_Toc130814231"/>
      <w:bookmarkStart w:id="5619" w:name="_Toc130814553"/>
      <w:bookmarkStart w:id="5620" w:name="_Toc130814685"/>
      <w:bookmarkStart w:id="5621" w:name="_Toc130883568"/>
      <w:bookmarkStart w:id="5622" w:name="_Toc130885679"/>
      <w:bookmarkStart w:id="5623" w:name="_Toc131844658"/>
      <w:r w:rsidRPr="00CA6286">
        <w:rPr>
          <w:b/>
          <w:szCs w:val="22"/>
          <w:u w:val="single"/>
        </w:rPr>
        <w:t>Winning Bidder Requirements, Down Payments and Final Payments</w:t>
      </w:r>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p>
    <w:p w:rsidR="00CB3C0D" w:rsidRPr="00CA6286" w:rsidRDefault="00CB3C0D" w:rsidP="00C07C81">
      <w:pPr>
        <w:widowControl/>
        <w:rPr>
          <w:b/>
          <w:szCs w:val="22"/>
        </w:rPr>
      </w:pPr>
    </w:p>
    <w:p w:rsidR="00CB3C0D" w:rsidRPr="00CA6286" w:rsidRDefault="00CB3C0D" w:rsidP="00C07C81">
      <w:pPr>
        <w:widowControl/>
        <w:tabs>
          <w:tab w:val="left" w:leader="underscore" w:pos="4320"/>
          <w:tab w:val="left" w:pos="4680"/>
          <w:tab w:val="left" w:leader="underscore" w:pos="9360"/>
        </w:tabs>
        <w:suppressAutoHyphens/>
        <w:spacing w:after="220"/>
        <w:rPr>
          <w:szCs w:val="22"/>
        </w:rPr>
        <w:sectPr w:rsidR="00CB3C0D" w:rsidRPr="00CA6286" w:rsidSect="00334EA6">
          <w:headerReference w:type="default" r:id="rId48"/>
          <w:footerReference w:type="default" r:id="rId49"/>
          <w:endnotePr>
            <w:numFmt w:val="decimal"/>
          </w:endnotePr>
          <w:pgSz w:w="12240" w:h="15840" w:code="1"/>
          <w:pgMar w:top="1440" w:right="1440" w:bottom="720" w:left="1440" w:header="634" w:footer="576" w:gutter="0"/>
          <w:pgNumType w:start="1"/>
          <w:cols w:space="720"/>
          <w:noEndnote/>
        </w:sectPr>
      </w:pPr>
      <w:r w:rsidRPr="00CA6286">
        <w:rPr>
          <w:szCs w:val="22"/>
        </w:rPr>
        <w:t>Specific information regarding down payments and final payments will be included in a post-auction public notice announcing the winning bidders.</w:t>
      </w:r>
    </w:p>
    <w:p w:rsidR="00CB3C0D" w:rsidRPr="001C2E9C" w:rsidRDefault="00CB3C0D" w:rsidP="00C07C81">
      <w:pPr>
        <w:pStyle w:val="Heading1"/>
        <w:widowControl/>
        <w:numPr>
          <w:ilvl w:val="0"/>
          <w:numId w:val="0"/>
        </w:numPr>
        <w:jc w:val="center"/>
        <w:rPr>
          <w:rFonts w:ascii="Times New Roman" w:hAnsi="Times New Roman"/>
          <w:szCs w:val="22"/>
        </w:rPr>
      </w:pPr>
      <w:bookmarkStart w:id="5624" w:name="_Toc98821057"/>
      <w:bookmarkStart w:id="5625" w:name="_Toc98846358"/>
      <w:bookmarkStart w:id="5626" w:name="_Toc104006845"/>
      <w:bookmarkStart w:id="5627" w:name="_Toc178768579"/>
      <w:bookmarkStart w:id="5628" w:name="_Toc179196019"/>
      <w:bookmarkStart w:id="5629" w:name="_Toc179361999"/>
      <w:bookmarkStart w:id="5630" w:name="_Toc179363783"/>
      <w:bookmarkStart w:id="5631" w:name="_Toc197505000"/>
      <w:bookmarkStart w:id="5632" w:name="_Toc198007781"/>
      <w:bookmarkStart w:id="5633" w:name="_Toc198007932"/>
      <w:bookmarkStart w:id="5634" w:name="_Toc198008284"/>
      <w:bookmarkStart w:id="5635" w:name="_Toc198008421"/>
      <w:bookmarkStart w:id="5636" w:name="_Toc198008968"/>
      <w:bookmarkStart w:id="5637" w:name="_Toc198369864"/>
      <w:bookmarkStart w:id="5638" w:name="_Toc216090787"/>
      <w:bookmarkStart w:id="5639" w:name="_Toc226958293"/>
      <w:bookmarkStart w:id="5640" w:name="_Toc227038353"/>
      <w:bookmarkStart w:id="5641" w:name="_Toc254792658"/>
      <w:bookmarkStart w:id="5642" w:name="_Toc256669782"/>
      <w:bookmarkStart w:id="5643" w:name="_Toc257213317"/>
      <w:bookmarkStart w:id="5644" w:name="_Toc257277816"/>
      <w:bookmarkStart w:id="5645" w:name="_Toc257278777"/>
      <w:bookmarkStart w:id="5646" w:name="_Toc257278987"/>
      <w:bookmarkStart w:id="5647" w:name="_Toc257279355"/>
      <w:bookmarkStart w:id="5648" w:name="_Toc257383002"/>
      <w:bookmarkStart w:id="5649" w:name="_Toc274056259"/>
      <w:bookmarkStart w:id="5650" w:name="_Toc276657665"/>
      <w:bookmarkStart w:id="5651" w:name="_Toc278366511"/>
      <w:bookmarkStart w:id="5652" w:name="_Toc307584105"/>
      <w:bookmarkStart w:id="5653" w:name="_Toc307937379"/>
      <w:bookmarkStart w:id="5654" w:name="_Toc348508818"/>
      <w:bookmarkStart w:id="5655" w:name="_Toc362256836"/>
      <w:bookmarkStart w:id="5656" w:name="_Toc366056591"/>
      <w:bookmarkStart w:id="5657" w:name="_Toc366223793"/>
      <w:bookmarkStart w:id="5658" w:name="_Toc366229506"/>
      <w:bookmarkStart w:id="5659" w:name="_Toc366583549"/>
      <w:bookmarkStart w:id="5660" w:name="_Toc483218207"/>
      <w:bookmarkStart w:id="5661" w:name="_Toc178768587"/>
      <w:bookmarkStart w:id="5662" w:name="_Toc179196027"/>
      <w:r w:rsidRPr="001C2E9C">
        <w:rPr>
          <w:rFonts w:ascii="Times New Roman" w:hAnsi="Times New Roman"/>
          <w:szCs w:val="22"/>
        </w:rPr>
        <w:t xml:space="preserve">ATTACHMENT </w:t>
      </w:r>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r w:rsidR="004D3EBD">
        <w:rPr>
          <w:rFonts w:ascii="Times New Roman" w:hAnsi="Times New Roman"/>
          <w:szCs w:val="22"/>
        </w:rPr>
        <w:t>F</w:t>
      </w:r>
      <w:bookmarkEnd w:id="5655"/>
      <w:bookmarkEnd w:id="5656"/>
      <w:bookmarkEnd w:id="5657"/>
      <w:bookmarkEnd w:id="5658"/>
      <w:bookmarkEnd w:id="5659"/>
    </w:p>
    <w:bookmarkEnd w:id="5660"/>
    <w:p w:rsidR="003F0AFA" w:rsidRDefault="00CB3C0D" w:rsidP="00C07C81">
      <w:pPr>
        <w:pStyle w:val="Header"/>
        <w:widowControl/>
        <w:tabs>
          <w:tab w:val="clear" w:pos="4680"/>
          <w:tab w:val="clear" w:pos="9360"/>
        </w:tabs>
        <w:ind w:firstLine="0"/>
        <w:jc w:val="center"/>
        <w:rPr>
          <w:rFonts w:ascii="Times New Roman" w:hAnsi="Times New Roman"/>
          <w:b/>
          <w:color w:val="000000"/>
          <w:sz w:val="22"/>
          <w:szCs w:val="22"/>
        </w:rPr>
      </w:pPr>
      <w:r w:rsidRPr="00CB3C0D">
        <w:rPr>
          <w:rFonts w:ascii="Times New Roman" w:hAnsi="Times New Roman"/>
          <w:b/>
          <w:color w:val="000000"/>
          <w:sz w:val="22"/>
          <w:szCs w:val="22"/>
        </w:rPr>
        <w:t xml:space="preserve">Summary Listing of Judicial, Commission and Bureau Documents Addressing </w:t>
      </w:r>
    </w:p>
    <w:p w:rsidR="00B412FF" w:rsidRDefault="00CB3C0D" w:rsidP="00C07C81">
      <w:pPr>
        <w:pStyle w:val="Header"/>
        <w:widowControl/>
        <w:tabs>
          <w:tab w:val="clear" w:pos="4680"/>
          <w:tab w:val="clear" w:pos="9360"/>
        </w:tabs>
        <w:ind w:firstLine="0"/>
        <w:jc w:val="center"/>
        <w:rPr>
          <w:rFonts w:ascii="Times New Roman" w:hAnsi="Times New Roman"/>
          <w:b/>
          <w:color w:val="000000"/>
          <w:sz w:val="22"/>
          <w:szCs w:val="22"/>
        </w:rPr>
      </w:pPr>
      <w:r w:rsidRPr="00CB3C0D">
        <w:rPr>
          <w:rFonts w:ascii="Times New Roman" w:hAnsi="Times New Roman"/>
          <w:b/>
          <w:color w:val="000000"/>
          <w:sz w:val="22"/>
          <w:szCs w:val="22"/>
        </w:rPr>
        <w:t>Application of the Rule</w:t>
      </w:r>
      <w:r w:rsidR="00B412FF">
        <w:rPr>
          <w:rFonts w:ascii="Times New Roman" w:hAnsi="Times New Roman"/>
          <w:b/>
          <w:color w:val="000000"/>
          <w:sz w:val="22"/>
          <w:szCs w:val="22"/>
        </w:rPr>
        <w:t xml:space="preserve"> Prohibiting Certain Communications, </w:t>
      </w:r>
    </w:p>
    <w:p w:rsidR="00CB3C0D" w:rsidRPr="00CB3C0D" w:rsidRDefault="00B412FF" w:rsidP="00C07C81">
      <w:pPr>
        <w:pStyle w:val="Header"/>
        <w:widowControl/>
        <w:tabs>
          <w:tab w:val="clear" w:pos="4680"/>
          <w:tab w:val="clear" w:pos="9360"/>
        </w:tabs>
        <w:ind w:firstLine="0"/>
        <w:jc w:val="center"/>
        <w:rPr>
          <w:rFonts w:ascii="Times New Roman" w:hAnsi="Times New Roman"/>
          <w:b/>
          <w:color w:val="000000"/>
          <w:sz w:val="22"/>
          <w:szCs w:val="22"/>
        </w:rPr>
      </w:pPr>
      <w:r>
        <w:rPr>
          <w:rFonts w:ascii="Times New Roman" w:hAnsi="Times New Roman"/>
          <w:b/>
          <w:color w:val="000000"/>
          <w:sz w:val="22"/>
          <w:szCs w:val="22"/>
        </w:rPr>
        <w:t xml:space="preserve">47 C.F.R. </w:t>
      </w:r>
      <w:r w:rsidRPr="00B412FF">
        <w:rPr>
          <w:rFonts w:ascii="Times New Roman" w:hAnsi="Times New Roman"/>
          <w:b/>
          <w:sz w:val="22"/>
          <w:szCs w:val="22"/>
        </w:rPr>
        <w:t>§</w:t>
      </w:r>
      <w:r>
        <w:rPr>
          <w:rFonts w:ascii="Times New Roman" w:hAnsi="Times New Roman"/>
          <w:b/>
          <w:sz w:val="22"/>
          <w:szCs w:val="22"/>
        </w:rPr>
        <w:t xml:space="preserve"> 1.2105(c)</w:t>
      </w:r>
    </w:p>
    <w:p w:rsidR="00B14D9E" w:rsidRPr="00423134" w:rsidRDefault="00B14D9E" w:rsidP="00423134"/>
    <w:p w:rsidR="00B412FF" w:rsidRDefault="00B412FF" w:rsidP="00C07C81">
      <w:pPr>
        <w:keepNext/>
        <w:keepLines/>
        <w:widowControl/>
        <w:ind w:left="720"/>
        <w:rPr>
          <w:b/>
        </w:rPr>
      </w:pPr>
      <w:r>
        <w:rPr>
          <w:b/>
        </w:rPr>
        <w:t>A.  Judicial Decisions</w:t>
      </w:r>
    </w:p>
    <w:p w:rsidR="00B412FF" w:rsidRDefault="00B412FF" w:rsidP="00C07C81">
      <w:pPr>
        <w:keepNext/>
        <w:keepLines/>
        <w:widowControl/>
      </w:pPr>
    </w:p>
    <w:p w:rsidR="00B412FF" w:rsidRDefault="00B412FF" w:rsidP="00C07C81">
      <w:pPr>
        <w:widowControl/>
      </w:pPr>
      <w:r>
        <w:rPr>
          <w:i/>
        </w:rPr>
        <w:t>Star Wireless, LLC v. FCC</w:t>
      </w:r>
      <w:r>
        <w:t>, 522 F.3d 469 (D.C. Cir. 2008).</w:t>
      </w:r>
    </w:p>
    <w:p w:rsidR="00B412FF" w:rsidRDefault="00B412FF" w:rsidP="00C07C81">
      <w:pPr>
        <w:widowControl/>
      </w:pPr>
    </w:p>
    <w:p w:rsidR="00B412FF" w:rsidRDefault="00B412FF" w:rsidP="00C07C81">
      <w:pPr>
        <w:widowControl/>
      </w:pPr>
      <w:r>
        <w:rPr>
          <w:i/>
        </w:rPr>
        <w:t>High Plains Wireless, L.P. v. FCC</w:t>
      </w:r>
      <w:r>
        <w:t>, 276 F.3d 599 (D.C. Cir. 2002).</w:t>
      </w:r>
    </w:p>
    <w:p w:rsidR="00B412FF" w:rsidRDefault="00B412FF" w:rsidP="00C07C81">
      <w:pPr>
        <w:widowControl/>
      </w:pPr>
    </w:p>
    <w:p w:rsidR="00B412FF" w:rsidRDefault="00B412FF" w:rsidP="00C07C81">
      <w:pPr>
        <w:keepNext/>
        <w:keepLines/>
        <w:widowControl/>
        <w:ind w:left="720"/>
        <w:rPr>
          <w:b/>
        </w:rPr>
      </w:pPr>
      <w:r>
        <w:rPr>
          <w:b/>
        </w:rPr>
        <w:t>B.  Commission Decisions</w:t>
      </w:r>
    </w:p>
    <w:p w:rsidR="00901956" w:rsidRDefault="00901956" w:rsidP="00C07C81">
      <w:pPr>
        <w:keepNext/>
        <w:keepLines/>
        <w:widowControl/>
        <w:ind w:left="720"/>
        <w:rPr>
          <w:b/>
        </w:rPr>
      </w:pPr>
    </w:p>
    <w:p w:rsidR="00901956" w:rsidRDefault="00901956" w:rsidP="00C07C81">
      <w:pPr>
        <w:widowControl/>
        <w:rPr>
          <w:color w:val="000000"/>
        </w:rPr>
      </w:pPr>
      <w:r w:rsidRPr="009820AE">
        <w:rPr>
          <w:snapToGrid/>
          <w:kern w:val="0"/>
          <w:szCs w:val="22"/>
        </w:rPr>
        <w:t xml:space="preserve">Procedural Amendments to Commission Part 1 Competitive Bidding Rules, </w:t>
      </w:r>
      <w:r w:rsidRPr="009820AE">
        <w:rPr>
          <w:i/>
          <w:iCs/>
          <w:snapToGrid/>
          <w:kern w:val="0"/>
          <w:szCs w:val="22"/>
        </w:rPr>
        <w:t>Order</w:t>
      </w:r>
      <w:r w:rsidRPr="009820AE">
        <w:rPr>
          <w:snapToGrid/>
          <w:kern w:val="0"/>
          <w:szCs w:val="22"/>
        </w:rPr>
        <w:t>, FCC 10-4, 25 FCC Rcd 521 (2010).</w:t>
      </w:r>
    </w:p>
    <w:p w:rsidR="00B412FF" w:rsidRDefault="00B412FF" w:rsidP="00C07C81">
      <w:pPr>
        <w:keepNext/>
        <w:keepLines/>
        <w:widowControl/>
        <w:rPr>
          <w:b/>
        </w:rPr>
      </w:pPr>
    </w:p>
    <w:p w:rsidR="00B412FF" w:rsidRDefault="00B412FF" w:rsidP="00C07C81">
      <w:pPr>
        <w:widowControl/>
        <w:rPr>
          <w:color w:val="000000"/>
        </w:rPr>
      </w:pPr>
      <w:r>
        <w:rPr>
          <w:color w:val="000000"/>
        </w:rPr>
        <w:t>Service Rules for the 698-746, 747-762 and 777-792 MHz Bands, WT Docket No. 06</w:t>
      </w:r>
      <w:r>
        <w:rPr>
          <w:color w:val="000000"/>
        </w:rPr>
        <w:noBreakHyphen/>
        <w:t xml:space="preserve">150, </w:t>
      </w:r>
      <w:r>
        <w:rPr>
          <w:i/>
          <w:color w:val="000000"/>
        </w:rPr>
        <w:t>Second Report and Order</w:t>
      </w:r>
      <w:r>
        <w:rPr>
          <w:color w:val="000000"/>
        </w:rPr>
        <w:t>,</w:t>
      </w:r>
      <w:r>
        <w:rPr>
          <w:i/>
          <w:color w:val="000000"/>
        </w:rPr>
        <w:t xml:space="preserve"> </w:t>
      </w:r>
      <w:r>
        <w:rPr>
          <w:color w:val="000000"/>
        </w:rPr>
        <w:t>FCC 07-132, 22</w:t>
      </w:r>
      <w:r>
        <w:rPr>
          <w:i/>
          <w:color w:val="000000"/>
        </w:rPr>
        <w:t xml:space="preserve"> </w:t>
      </w:r>
      <w:r>
        <w:rPr>
          <w:color w:val="000000"/>
        </w:rPr>
        <w:t>FCC Rcd 15289, 15395 ¶¶ 285-86, 15489 (2007).</w:t>
      </w:r>
    </w:p>
    <w:p w:rsidR="00B412FF" w:rsidRDefault="00B412FF" w:rsidP="00C07C81">
      <w:pPr>
        <w:widowControl/>
        <w:rPr>
          <w:color w:val="000000"/>
        </w:rPr>
      </w:pPr>
    </w:p>
    <w:p w:rsidR="00B412FF" w:rsidRDefault="00B412FF" w:rsidP="00C07C81">
      <w:pPr>
        <w:widowControl/>
        <w:rPr>
          <w:color w:val="000000"/>
        </w:rPr>
      </w:pPr>
      <w:r>
        <w:rPr>
          <w:color w:val="000000"/>
        </w:rPr>
        <w:t xml:space="preserve">Star Wireless, LLC and Northeast Communications of Wisconsin, Inc., </w:t>
      </w:r>
      <w:r>
        <w:rPr>
          <w:i/>
          <w:color w:val="000000"/>
        </w:rPr>
        <w:t>Order on Review</w:t>
      </w:r>
      <w:r>
        <w:rPr>
          <w:color w:val="000000"/>
        </w:rPr>
        <w:t>, FCC 07-80, 22 FCC Rcd 8943 (2007).</w:t>
      </w:r>
    </w:p>
    <w:p w:rsidR="00B412FF" w:rsidRDefault="00B412FF" w:rsidP="00C07C81">
      <w:pPr>
        <w:widowControl/>
        <w:rPr>
          <w:color w:val="000000"/>
        </w:rPr>
      </w:pPr>
    </w:p>
    <w:p w:rsidR="00B412FF" w:rsidRDefault="00B412FF" w:rsidP="00C07C81">
      <w:pPr>
        <w:widowControl/>
        <w:rPr>
          <w:color w:val="000000"/>
        </w:rPr>
      </w:pPr>
      <w:r>
        <w:rPr>
          <w:color w:val="000000"/>
        </w:rPr>
        <w:t xml:space="preserve">Amendment of Part 1 of the Commission’s Rules </w:t>
      </w:r>
      <w:r>
        <w:rPr>
          <w:rFonts w:eastAsia="MS Mincho"/>
          <w:color w:val="000000"/>
        </w:rPr>
        <w:t>–</w:t>
      </w:r>
      <w:r>
        <w:rPr>
          <w:color w:val="000000"/>
        </w:rPr>
        <w:t xml:space="preserve"> Competitive Bidding Procedures, WT Docket No. 97-82, </w:t>
      </w:r>
      <w:r>
        <w:rPr>
          <w:i/>
          <w:color w:val="000000"/>
        </w:rPr>
        <w:t>Seventh Report and Order</w:t>
      </w:r>
      <w:r>
        <w:rPr>
          <w:color w:val="000000"/>
        </w:rPr>
        <w:t>, FCC 01-270, 16 FCC Rcd 17546 (2001).</w:t>
      </w:r>
    </w:p>
    <w:p w:rsidR="00B412FF" w:rsidRDefault="00B412FF" w:rsidP="00C07C81">
      <w:pPr>
        <w:widowControl/>
        <w:rPr>
          <w:color w:val="000000"/>
        </w:rPr>
      </w:pPr>
    </w:p>
    <w:p w:rsidR="00B412FF" w:rsidRDefault="00B412FF" w:rsidP="00C07C81">
      <w:pPr>
        <w:widowControl/>
        <w:rPr>
          <w:color w:val="000000"/>
        </w:rPr>
      </w:pPr>
      <w:r>
        <w:rPr>
          <w:color w:val="000000"/>
        </w:rPr>
        <w:t xml:space="preserve">Notice of Apparent Liability for Forfeiture of Western PCS BTA 1 Corp., </w:t>
      </w:r>
      <w:r>
        <w:rPr>
          <w:i/>
          <w:color w:val="000000"/>
        </w:rPr>
        <w:t>Memorandum Opinion and Orde</w:t>
      </w:r>
      <w:r>
        <w:rPr>
          <w:color w:val="000000"/>
        </w:rPr>
        <w:t xml:space="preserve">r,  FCC 99-385, 14 FCC Rcd 21571 (1999); Application of Western PCS BTA I Corp., </w:t>
      </w:r>
      <w:r>
        <w:rPr>
          <w:i/>
          <w:color w:val="000000"/>
        </w:rPr>
        <w:t xml:space="preserve">Notice of Apparent Liability for Forfeiture, </w:t>
      </w:r>
      <w:r>
        <w:rPr>
          <w:color w:val="000000"/>
        </w:rPr>
        <w:t xml:space="preserve"> FCC 98-42, 13 FCC Rcd 8305 (1998).</w:t>
      </w:r>
    </w:p>
    <w:p w:rsidR="00B412FF" w:rsidRDefault="00B412FF" w:rsidP="00C07C81">
      <w:pPr>
        <w:widowControl/>
        <w:rPr>
          <w:color w:val="000000"/>
        </w:rPr>
      </w:pPr>
    </w:p>
    <w:p w:rsidR="00B412FF" w:rsidRDefault="00B412FF" w:rsidP="00C07C81">
      <w:pPr>
        <w:widowControl/>
        <w:rPr>
          <w:color w:val="000000"/>
        </w:rPr>
      </w:pPr>
      <w:r>
        <w:rPr>
          <w:color w:val="000000"/>
        </w:rPr>
        <w:t xml:space="preserve">Notice of Apparent Liability for Forfeiture of US West Communications, Inc., </w:t>
      </w:r>
      <w:r>
        <w:rPr>
          <w:i/>
          <w:color w:val="000000"/>
        </w:rPr>
        <w:t>Order</w:t>
      </w:r>
      <w:r>
        <w:rPr>
          <w:color w:val="000000"/>
        </w:rPr>
        <w:t xml:space="preserve">, FCC 99-90, 14 FCC Rcd 8816 (1999); Application of US West Communications, Inc., </w:t>
      </w:r>
      <w:r>
        <w:rPr>
          <w:i/>
          <w:color w:val="000000"/>
        </w:rPr>
        <w:t xml:space="preserve">Notice of Apparent Liability for Forfeiture, </w:t>
      </w:r>
      <w:r>
        <w:rPr>
          <w:color w:val="000000"/>
        </w:rPr>
        <w:t>FCC 98-41, 13 FCC Rcd 8286 (1998).</w:t>
      </w:r>
    </w:p>
    <w:p w:rsidR="00B412FF" w:rsidRDefault="00B412FF" w:rsidP="00C07C81">
      <w:pPr>
        <w:widowControl/>
        <w:rPr>
          <w:color w:val="000000"/>
        </w:rPr>
      </w:pPr>
    </w:p>
    <w:p w:rsidR="00B412FF" w:rsidRDefault="00B412FF" w:rsidP="00C07C81">
      <w:pPr>
        <w:widowControl/>
        <w:rPr>
          <w:color w:val="000000"/>
        </w:rPr>
      </w:pPr>
      <w:r>
        <w:rPr>
          <w:color w:val="000000"/>
        </w:rPr>
        <w:t>Application of Mercury PCS II, LLC,</w:t>
      </w:r>
      <w:r>
        <w:rPr>
          <w:i/>
          <w:color w:val="000000"/>
        </w:rPr>
        <w:t xml:space="preserve"> Memorandum Opinion and Order</w:t>
      </w:r>
      <w:r>
        <w:rPr>
          <w:color w:val="000000"/>
        </w:rPr>
        <w:t>, FCC 98-203, 13 FCC Rcd 23755 (1998); Applications of: Mercury PCS II, LLC,</w:t>
      </w:r>
      <w:r>
        <w:rPr>
          <w:i/>
          <w:color w:val="000000"/>
        </w:rPr>
        <w:t xml:space="preserve"> Notice of Apparent Liability for Forfeiture, </w:t>
      </w:r>
      <w:r>
        <w:rPr>
          <w:color w:val="000000"/>
        </w:rPr>
        <w:t xml:space="preserve">FCC 97-388, 12 FCC Rcd 17970 (1997). </w:t>
      </w:r>
    </w:p>
    <w:p w:rsidR="00B412FF" w:rsidRDefault="00B412FF" w:rsidP="00C07C81">
      <w:pPr>
        <w:widowControl/>
        <w:rPr>
          <w:color w:val="000000"/>
        </w:rPr>
      </w:pPr>
    </w:p>
    <w:p w:rsidR="00B412FF" w:rsidRDefault="00B412FF" w:rsidP="00C07C81">
      <w:pPr>
        <w:widowControl/>
        <w:rPr>
          <w:color w:val="000000"/>
        </w:rPr>
      </w:pPr>
      <w:r>
        <w:rPr>
          <w:color w:val="000000"/>
        </w:rPr>
        <w:t xml:space="preserve">Amendment of Part 1 of the Commission’s Rules </w:t>
      </w:r>
      <w:r>
        <w:rPr>
          <w:rFonts w:eastAsia="MS Mincho"/>
          <w:color w:val="000000"/>
        </w:rPr>
        <w:t>–</w:t>
      </w:r>
      <w:r>
        <w:rPr>
          <w:color w:val="000000"/>
        </w:rPr>
        <w:t xml:space="preserve"> Competitive Bidding Procedures, WT Docket No. 97</w:t>
      </w:r>
      <w:r>
        <w:rPr>
          <w:color w:val="000000"/>
        </w:rPr>
        <w:noBreakHyphen/>
        <w:t xml:space="preserve">82, </w:t>
      </w:r>
      <w:r>
        <w:rPr>
          <w:i/>
          <w:color w:val="000000"/>
        </w:rPr>
        <w:t xml:space="preserve">Third Report and Order and Second Further Notice of Proposed Rule Making, </w:t>
      </w:r>
      <w:r>
        <w:rPr>
          <w:color w:val="000000"/>
        </w:rPr>
        <w:t>FCC 97-413, 13</w:t>
      </w:r>
      <w:r>
        <w:rPr>
          <w:i/>
          <w:color w:val="000000"/>
        </w:rPr>
        <w:t xml:space="preserve"> </w:t>
      </w:r>
      <w:r>
        <w:rPr>
          <w:color w:val="000000"/>
        </w:rPr>
        <w:t>FCC Rcd 374, 463</w:t>
      </w:r>
      <w:r>
        <w:rPr>
          <w:color w:val="000000"/>
        </w:rPr>
        <w:noBreakHyphen/>
        <w:t>469 ¶¶ 155-166 (1997).</w:t>
      </w:r>
    </w:p>
    <w:p w:rsidR="00B412FF" w:rsidRDefault="00B412FF" w:rsidP="00C07C81">
      <w:pPr>
        <w:widowControl/>
        <w:rPr>
          <w:color w:val="000000"/>
        </w:rPr>
      </w:pPr>
    </w:p>
    <w:p w:rsidR="00B412FF" w:rsidRDefault="00B412FF" w:rsidP="00C07C81">
      <w:pPr>
        <w:widowControl/>
        <w:rPr>
          <w:color w:val="000000"/>
        </w:rPr>
      </w:pPr>
      <w:r>
        <w:rPr>
          <w:color w:val="000000"/>
        </w:rPr>
        <w:t xml:space="preserve">Commercial Realty St. Pete, Inc., </w:t>
      </w:r>
      <w:r>
        <w:rPr>
          <w:i/>
          <w:color w:val="000000"/>
        </w:rPr>
        <w:t xml:space="preserve">Memorandum Opinion and Order, </w:t>
      </w:r>
      <w:r>
        <w:rPr>
          <w:color w:val="000000"/>
        </w:rPr>
        <w:t xml:space="preserve">FCC 96-400, 11 FCC Rcd 15374 (1996); Commercial Realty St. Pete, Inc., </w:t>
      </w:r>
      <w:r>
        <w:rPr>
          <w:i/>
          <w:color w:val="000000"/>
        </w:rPr>
        <w:t xml:space="preserve">Notice of Apparent Liability for Forfeiture, </w:t>
      </w:r>
      <w:r>
        <w:rPr>
          <w:color w:val="000000"/>
        </w:rPr>
        <w:t>FCC 95-58, 10 FCC Rcd 4277 (1995).</w:t>
      </w:r>
    </w:p>
    <w:p w:rsidR="00B412FF" w:rsidRDefault="00B412FF" w:rsidP="00C07C81">
      <w:pPr>
        <w:widowControl/>
        <w:rPr>
          <w:color w:val="000000"/>
        </w:rPr>
      </w:pPr>
    </w:p>
    <w:p w:rsidR="00B412FF" w:rsidRDefault="00B412FF" w:rsidP="00C07C81">
      <w:pPr>
        <w:widowControl/>
        <w:rPr>
          <w:color w:val="000000"/>
        </w:rPr>
      </w:pPr>
      <w:r>
        <w:rPr>
          <w:rFonts w:eastAsia="MS Mincho"/>
          <w:color w:val="000000"/>
        </w:rPr>
        <w:t xml:space="preserve">Implementation of Section 309(j) of the Communications Act – Competitive Bidding, </w:t>
      </w:r>
      <w:r>
        <w:rPr>
          <w:color w:val="000000"/>
        </w:rPr>
        <w:t>PP Docket No. 93</w:t>
      </w:r>
      <w:r>
        <w:rPr>
          <w:color w:val="000000"/>
        </w:rPr>
        <w:noBreakHyphen/>
        <w:t xml:space="preserve">253, </w:t>
      </w:r>
      <w:r>
        <w:rPr>
          <w:i/>
          <w:color w:val="000000"/>
        </w:rPr>
        <w:t>Memorandum Opinion and Order</w:t>
      </w:r>
      <w:r>
        <w:rPr>
          <w:color w:val="000000"/>
        </w:rPr>
        <w:t>, FCC 94-295, 9 FCC Rcd 7684, 7687</w:t>
      </w:r>
      <w:r>
        <w:rPr>
          <w:color w:val="000000"/>
        </w:rPr>
        <w:noBreakHyphen/>
        <w:t>7689 ¶¶ 8-12 (1994).</w:t>
      </w:r>
    </w:p>
    <w:p w:rsidR="00B412FF" w:rsidRDefault="00B412FF" w:rsidP="00C07C81">
      <w:pPr>
        <w:widowControl/>
        <w:rPr>
          <w:color w:val="000000"/>
        </w:rPr>
      </w:pPr>
    </w:p>
    <w:p w:rsidR="00B412FF" w:rsidRDefault="00B412FF" w:rsidP="00C07C81">
      <w:pPr>
        <w:widowControl/>
        <w:rPr>
          <w:color w:val="000000"/>
        </w:rPr>
      </w:pPr>
      <w:r>
        <w:rPr>
          <w:rFonts w:eastAsia="MS Mincho"/>
          <w:color w:val="000000"/>
        </w:rPr>
        <w:t xml:space="preserve">Implementation of Section 309(j) of the Communications Act – Competitive Bidding, </w:t>
      </w:r>
      <w:r>
        <w:rPr>
          <w:color w:val="000000"/>
        </w:rPr>
        <w:t>PP Docket No. 93</w:t>
      </w:r>
      <w:r>
        <w:rPr>
          <w:color w:val="000000"/>
        </w:rPr>
        <w:noBreakHyphen/>
        <w:t xml:space="preserve">253, </w:t>
      </w:r>
      <w:r>
        <w:rPr>
          <w:i/>
          <w:color w:val="000000"/>
        </w:rPr>
        <w:t>Fourth Memorandum Opinion and Order</w:t>
      </w:r>
      <w:r>
        <w:rPr>
          <w:color w:val="000000"/>
        </w:rPr>
        <w:t>, FCC 94-264, 9 FCC Rcd 6858, 6866</w:t>
      </w:r>
      <w:r>
        <w:rPr>
          <w:color w:val="000000"/>
        </w:rPr>
        <w:noBreakHyphen/>
        <w:t>6869 ¶¶ 47-60 (1994).</w:t>
      </w:r>
    </w:p>
    <w:p w:rsidR="00B412FF" w:rsidRDefault="00B412FF" w:rsidP="00C07C81">
      <w:pPr>
        <w:widowControl/>
        <w:rPr>
          <w:color w:val="000000"/>
        </w:rPr>
      </w:pPr>
    </w:p>
    <w:p w:rsidR="00B412FF" w:rsidRDefault="00B412FF" w:rsidP="00C07C81">
      <w:pPr>
        <w:widowControl/>
        <w:rPr>
          <w:color w:val="000000"/>
        </w:rPr>
      </w:pPr>
      <w:r>
        <w:rPr>
          <w:rFonts w:eastAsia="MS Mincho"/>
          <w:color w:val="000000"/>
        </w:rPr>
        <w:t xml:space="preserve">Implementation of Section 309(j) of the Communications Act – Competitive Bidding, </w:t>
      </w:r>
      <w:r>
        <w:rPr>
          <w:color w:val="000000"/>
        </w:rPr>
        <w:t>PP Docket No. 93</w:t>
      </w:r>
      <w:r>
        <w:rPr>
          <w:color w:val="000000"/>
        </w:rPr>
        <w:noBreakHyphen/>
        <w:t>253,</w:t>
      </w:r>
      <w:r>
        <w:rPr>
          <w:rFonts w:eastAsia="MS Mincho"/>
          <w:color w:val="000000"/>
        </w:rPr>
        <w:t xml:space="preserve"> </w:t>
      </w:r>
      <w:r>
        <w:rPr>
          <w:i/>
          <w:color w:val="000000"/>
        </w:rPr>
        <w:t>Second Memorandum Opinion and Order</w:t>
      </w:r>
      <w:r>
        <w:rPr>
          <w:color w:val="000000"/>
        </w:rPr>
        <w:t>, FCC 94-215, 9 FCC Rcd 7245, 7253</w:t>
      </w:r>
      <w:r>
        <w:rPr>
          <w:color w:val="000000"/>
        </w:rPr>
        <w:noBreakHyphen/>
        <w:t>7254 ¶¶ 48-53 (1994).</w:t>
      </w:r>
    </w:p>
    <w:p w:rsidR="00B412FF" w:rsidRDefault="00B412FF" w:rsidP="00C07C81">
      <w:pPr>
        <w:widowControl/>
        <w:rPr>
          <w:color w:val="000000"/>
        </w:rPr>
      </w:pPr>
    </w:p>
    <w:p w:rsidR="00B412FF" w:rsidRDefault="00B412FF" w:rsidP="00C07C81">
      <w:pPr>
        <w:widowControl/>
        <w:rPr>
          <w:color w:val="000000"/>
        </w:rPr>
      </w:pPr>
      <w:r>
        <w:rPr>
          <w:color w:val="000000"/>
        </w:rPr>
        <w:t xml:space="preserve">Implementation of Section 309(j) of the Communications Act </w:t>
      </w:r>
      <w:r>
        <w:rPr>
          <w:rFonts w:eastAsia="MS Mincho"/>
          <w:color w:val="000000"/>
        </w:rPr>
        <w:t>–</w:t>
      </w:r>
      <w:r>
        <w:rPr>
          <w:color w:val="000000"/>
        </w:rPr>
        <w:t xml:space="preserve"> Competitive Bidding, PP Docket No. 93</w:t>
      </w:r>
      <w:r>
        <w:rPr>
          <w:color w:val="000000"/>
        </w:rPr>
        <w:noBreakHyphen/>
        <w:t xml:space="preserve">253, </w:t>
      </w:r>
      <w:r>
        <w:rPr>
          <w:i/>
          <w:color w:val="000000"/>
        </w:rPr>
        <w:t xml:space="preserve">Fifth Report and Order, </w:t>
      </w:r>
      <w:r>
        <w:rPr>
          <w:color w:val="000000"/>
        </w:rPr>
        <w:t>FCC 94-178, 9 FCC Rcd 5532, 5570</w:t>
      </w:r>
      <w:r>
        <w:rPr>
          <w:color w:val="000000"/>
        </w:rPr>
        <w:noBreakHyphen/>
        <w:t>5571 ¶¶ 91-92 (1994).</w:t>
      </w:r>
    </w:p>
    <w:p w:rsidR="00B412FF" w:rsidRDefault="00B412FF" w:rsidP="00C07C81">
      <w:pPr>
        <w:widowControl/>
        <w:rPr>
          <w:color w:val="000000"/>
        </w:rPr>
      </w:pPr>
    </w:p>
    <w:p w:rsidR="00B412FF" w:rsidRDefault="00B412FF" w:rsidP="00C07C81">
      <w:pPr>
        <w:widowControl/>
        <w:rPr>
          <w:color w:val="000000"/>
        </w:rPr>
      </w:pPr>
      <w:r>
        <w:rPr>
          <w:color w:val="000000"/>
        </w:rPr>
        <w:t xml:space="preserve">Implementation of Section 309(j) of the Communications Act </w:t>
      </w:r>
      <w:r>
        <w:rPr>
          <w:rFonts w:eastAsia="MS Mincho"/>
          <w:color w:val="000000"/>
        </w:rPr>
        <w:t>–</w:t>
      </w:r>
      <w:r>
        <w:rPr>
          <w:color w:val="000000"/>
        </w:rPr>
        <w:t xml:space="preserve"> Competitive Bidding, PP Docket No. 93</w:t>
      </w:r>
      <w:r>
        <w:rPr>
          <w:color w:val="000000"/>
        </w:rPr>
        <w:noBreakHyphen/>
        <w:t xml:space="preserve">253, </w:t>
      </w:r>
      <w:r>
        <w:rPr>
          <w:i/>
          <w:color w:val="000000"/>
        </w:rPr>
        <w:t>Second Report and Order</w:t>
      </w:r>
      <w:r>
        <w:rPr>
          <w:color w:val="000000"/>
        </w:rPr>
        <w:t>, FCC 94</w:t>
      </w:r>
      <w:r>
        <w:rPr>
          <w:color w:val="000000"/>
        </w:rPr>
        <w:noBreakHyphen/>
        <w:t>61, 9 FCC Rcd 2348, 2386</w:t>
      </w:r>
      <w:r>
        <w:rPr>
          <w:color w:val="000000"/>
        </w:rPr>
        <w:noBreakHyphen/>
        <w:t>2388 ¶¶ 221</w:t>
      </w:r>
      <w:r>
        <w:rPr>
          <w:color w:val="000000"/>
        </w:rPr>
        <w:noBreakHyphen/>
        <w:t>226 (1994).</w:t>
      </w:r>
    </w:p>
    <w:p w:rsidR="000308F8" w:rsidRDefault="000308F8" w:rsidP="00C07C81">
      <w:pPr>
        <w:widowControl/>
        <w:rPr>
          <w:color w:val="000000"/>
        </w:rPr>
      </w:pPr>
    </w:p>
    <w:p w:rsidR="00B412FF" w:rsidRDefault="00B412FF" w:rsidP="00C07C81">
      <w:pPr>
        <w:keepNext/>
        <w:keepLines/>
        <w:widowControl/>
        <w:ind w:left="720"/>
        <w:rPr>
          <w:b/>
        </w:rPr>
      </w:pPr>
      <w:r>
        <w:rPr>
          <w:b/>
        </w:rPr>
        <w:t>C.  Wireless Telecommunications Bureau Decisions</w:t>
      </w:r>
    </w:p>
    <w:p w:rsidR="00B412FF" w:rsidRDefault="00B412FF" w:rsidP="00C07C81">
      <w:pPr>
        <w:keepNext/>
        <w:keepLines/>
        <w:widowControl/>
        <w:rPr>
          <w:b/>
        </w:rPr>
      </w:pPr>
    </w:p>
    <w:p w:rsidR="00B412FF" w:rsidRDefault="00B412FF" w:rsidP="00C07C81">
      <w:pPr>
        <w:widowControl/>
      </w:pPr>
      <w:r>
        <w:t xml:space="preserve">Lotus Communications Corp., </w:t>
      </w:r>
      <w:r>
        <w:rPr>
          <w:i/>
        </w:rPr>
        <w:t>Order</w:t>
      </w:r>
      <w:r>
        <w:t>, DA 08-1364, 23 FCC Rcd 9107 (Wireless Telecom. Bur. 2008).</w:t>
      </w:r>
    </w:p>
    <w:p w:rsidR="00B412FF" w:rsidRDefault="00B412FF" w:rsidP="00C07C81">
      <w:pPr>
        <w:widowControl/>
      </w:pPr>
    </w:p>
    <w:p w:rsidR="00B412FF" w:rsidRDefault="00B412FF" w:rsidP="00C07C81">
      <w:pPr>
        <w:widowControl/>
        <w:rPr>
          <w:color w:val="000000"/>
        </w:rPr>
      </w:pPr>
      <w:r>
        <w:rPr>
          <w:color w:val="000000"/>
        </w:rPr>
        <w:t xml:space="preserve">Application of Nevada Wireless, </w:t>
      </w:r>
      <w:r>
        <w:rPr>
          <w:i/>
          <w:color w:val="000000"/>
        </w:rPr>
        <w:t xml:space="preserve">Memorandum Opinion and Order, </w:t>
      </w:r>
      <w:r>
        <w:rPr>
          <w:color w:val="000000"/>
        </w:rPr>
        <w:t>DA 98-1137, 13 FCC Rcd 11973 (Wireless Telecom. Bur. 1998).</w:t>
      </w:r>
    </w:p>
    <w:p w:rsidR="00B412FF" w:rsidRDefault="00B412FF" w:rsidP="00C07C81">
      <w:pPr>
        <w:widowControl/>
        <w:rPr>
          <w:color w:val="000000"/>
        </w:rPr>
      </w:pPr>
    </w:p>
    <w:p w:rsidR="00B412FF" w:rsidRDefault="00B412FF" w:rsidP="00C07C81">
      <w:pPr>
        <w:widowControl/>
        <w:rPr>
          <w:color w:val="000000"/>
        </w:rPr>
      </w:pPr>
      <w:r>
        <w:rPr>
          <w:color w:val="000000"/>
        </w:rPr>
        <w:t xml:space="preserve">Applications of High Plains Wireless, L.P., </w:t>
      </w:r>
      <w:r>
        <w:rPr>
          <w:i/>
          <w:color w:val="000000"/>
        </w:rPr>
        <w:t xml:space="preserve">Memorandum Opinion and Order, </w:t>
      </w:r>
      <w:r>
        <w:rPr>
          <w:color w:val="000000"/>
        </w:rPr>
        <w:t>DA 97-2451, 12 FCC Rcd 19627 (Wireless Telecom. Bur. 1997).</w:t>
      </w:r>
    </w:p>
    <w:p w:rsidR="00B412FF" w:rsidRDefault="00B412FF" w:rsidP="00C07C81">
      <w:pPr>
        <w:widowControl/>
        <w:rPr>
          <w:color w:val="000000"/>
        </w:rPr>
      </w:pPr>
    </w:p>
    <w:p w:rsidR="00B412FF" w:rsidRDefault="00B412FF" w:rsidP="00C07C81">
      <w:pPr>
        <w:widowControl/>
        <w:rPr>
          <w:color w:val="000000"/>
        </w:rPr>
      </w:pPr>
      <w:r>
        <w:rPr>
          <w:color w:val="000000"/>
        </w:rPr>
        <w:t xml:space="preserve">Applications of Mercury PCS II, LLC, </w:t>
      </w:r>
      <w:r>
        <w:rPr>
          <w:i/>
          <w:color w:val="000000"/>
        </w:rPr>
        <w:t xml:space="preserve">Memorandum Opinion and Order on Reconsideration, </w:t>
      </w:r>
      <w:r>
        <w:rPr>
          <w:color w:val="000000"/>
        </w:rPr>
        <w:t xml:space="preserve">DA 97-2324, 12 FCC Rcd 18093 (Wireless Telecom. Bur. 1997); Applications of Mercury PCS II, LLC, </w:t>
      </w:r>
      <w:r>
        <w:rPr>
          <w:i/>
          <w:color w:val="000000"/>
        </w:rPr>
        <w:t xml:space="preserve">Memorandum Opinion and Order, </w:t>
      </w:r>
      <w:r>
        <w:rPr>
          <w:color w:val="000000"/>
        </w:rPr>
        <w:t>DA 97-1782, 13 FCC Rcd 5756 (Wireless Telecom. Bur. 1997).</w:t>
      </w:r>
    </w:p>
    <w:p w:rsidR="00B412FF" w:rsidRDefault="00B412FF" w:rsidP="00C07C81">
      <w:pPr>
        <w:widowControl/>
        <w:rPr>
          <w:color w:val="000000"/>
        </w:rPr>
      </w:pPr>
    </w:p>
    <w:p w:rsidR="00B412FF" w:rsidRDefault="00B412FF" w:rsidP="00C07C81">
      <w:pPr>
        <w:widowControl/>
        <w:rPr>
          <w:color w:val="000000"/>
        </w:rPr>
      </w:pPr>
      <w:r>
        <w:rPr>
          <w:color w:val="000000"/>
        </w:rPr>
        <w:t xml:space="preserve">Applications of GWI PCS, Inc., </w:t>
      </w:r>
      <w:r>
        <w:rPr>
          <w:i/>
          <w:color w:val="000000"/>
        </w:rPr>
        <w:t>Memorandum Opinion and Order,</w:t>
      </w:r>
      <w:r>
        <w:rPr>
          <w:color w:val="000000"/>
        </w:rPr>
        <w:t xml:space="preserve"> DA 97-674, 12 FCC Rcd 6441 (Wireless Telecom. Bur. 1997).</w:t>
      </w:r>
    </w:p>
    <w:p w:rsidR="00B412FF" w:rsidRDefault="00B412FF" w:rsidP="00C07C81">
      <w:pPr>
        <w:widowControl/>
        <w:rPr>
          <w:color w:val="000000"/>
        </w:rPr>
      </w:pPr>
    </w:p>
    <w:p w:rsidR="00B412FF" w:rsidRDefault="00B412FF" w:rsidP="00C07C81">
      <w:pPr>
        <w:widowControl/>
        <w:rPr>
          <w:color w:val="000000"/>
        </w:rPr>
      </w:pPr>
      <w:r>
        <w:rPr>
          <w:color w:val="000000"/>
        </w:rPr>
        <w:t xml:space="preserve">Amendment of Parts 21 and 74 of the Commission’s Rules With Regard to Filing Procedures in the Multipoint Distribution Service and in the Instructional Television Fixed Service, MM Docket No. 94-131, </w:t>
      </w:r>
      <w:r>
        <w:rPr>
          <w:i/>
          <w:color w:val="000000"/>
        </w:rPr>
        <w:t xml:space="preserve">Order, </w:t>
      </w:r>
      <w:r>
        <w:rPr>
          <w:color w:val="000000"/>
        </w:rPr>
        <w:t>DA 95-2292, 11 FCC Rcd 9655 (Wireless Telecom. Bur. 1995).</w:t>
      </w:r>
    </w:p>
    <w:p w:rsidR="00B412FF" w:rsidRDefault="00B412FF" w:rsidP="00C07C81">
      <w:pPr>
        <w:widowControl/>
        <w:rPr>
          <w:color w:val="000000"/>
        </w:rPr>
      </w:pPr>
    </w:p>
    <w:p w:rsidR="00B412FF" w:rsidRDefault="00B412FF" w:rsidP="00C07C81">
      <w:pPr>
        <w:keepNext/>
        <w:keepLines/>
        <w:widowControl/>
        <w:ind w:left="1440"/>
        <w:rPr>
          <w:b/>
        </w:rPr>
      </w:pPr>
      <w:r>
        <w:rPr>
          <w:b/>
        </w:rPr>
        <w:t>1.  Public Notices</w:t>
      </w:r>
    </w:p>
    <w:p w:rsidR="00B412FF" w:rsidRDefault="00B412FF" w:rsidP="00C07C81">
      <w:pPr>
        <w:keepNext/>
        <w:keepLines/>
        <w:widowControl/>
        <w:rPr>
          <w:b/>
        </w:rPr>
      </w:pPr>
    </w:p>
    <w:p w:rsidR="00B412FF" w:rsidRDefault="00B412FF" w:rsidP="00C07C81">
      <w:pPr>
        <w:widowControl/>
        <w:rPr>
          <w:color w:val="000000"/>
        </w:rPr>
      </w:pPr>
      <w:r>
        <w:rPr>
          <w:color w:val="000000"/>
        </w:rPr>
        <w:t xml:space="preserve">Wireless Telecommunications Bureau Reminder of Anti-Collusion Rule Obligations, </w:t>
      </w:r>
      <w:r>
        <w:rPr>
          <w:i/>
          <w:color w:val="000000"/>
        </w:rPr>
        <w:t>Public Notice</w:t>
      </w:r>
      <w:r>
        <w:rPr>
          <w:color w:val="000000"/>
        </w:rPr>
        <w:t>, DA 04-3677, 19 FCC Rcd 22880 (Wireless Telecom. Bur. 2004).</w:t>
      </w:r>
    </w:p>
    <w:p w:rsidR="00B412FF" w:rsidRDefault="00B412FF" w:rsidP="00C07C81">
      <w:pPr>
        <w:widowControl/>
        <w:rPr>
          <w:color w:val="000000"/>
        </w:rPr>
      </w:pPr>
    </w:p>
    <w:p w:rsidR="00B412FF" w:rsidRDefault="00B412FF" w:rsidP="00C07C81">
      <w:pPr>
        <w:widowControl/>
        <w:rPr>
          <w:color w:val="000000"/>
        </w:rPr>
      </w:pPr>
      <w:r>
        <w:rPr>
          <w:color w:val="000000"/>
        </w:rPr>
        <w:t xml:space="preserve">Wireless Telecommunications Bureau Staff Provides Guidance on Completing the Short-Form Application (FCC Form 175) for Auction No. 40, Auction of Licenses for Lower and Upper Paging Bands, </w:t>
      </w:r>
      <w:r>
        <w:rPr>
          <w:i/>
          <w:color w:val="000000"/>
        </w:rPr>
        <w:t>Public Notice</w:t>
      </w:r>
      <w:r>
        <w:rPr>
          <w:color w:val="000000"/>
        </w:rPr>
        <w:t>, DA 01-2122, 16 FCC Rcd 16391 (Wireless Telecom. Bur. 2001).</w:t>
      </w:r>
    </w:p>
    <w:p w:rsidR="00B412FF" w:rsidRDefault="00B412FF" w:rsidP="00C07C81">
      <w:pPr>
        <w:widowControl/>
        <w:rPr>
          <w:color w:val="000000"/>
        </w:rPr>
      </w:pPr>
    </w:p>
    <w:p w:rsidR="00B412FF" w:rsidRDefault="00B412FF" w:rsidP="00C07C81">
      <w:pPr>
        <w:widowControl/>
        <w:rPr>
          <w:color w:val="000000"/>
        </w:rPr>
      </w:pPr>
      <w:r>
        <w:rPr>
          <w:color w:val="000000"/>
        </w:rPr>
        <w:t xml:space="preserve">Wireless Telecommunications Bureau Responds to Questions About the Local Multipoint Distribution Service Auction, </w:t>
      </w:r>
      <w:r>
        <w:rPr>
          <w:i/>
          <w:color w:val="000000"/>
        </w:rPr>
        <w:t>Public Notice</w:t>
      </w:r>
      <w:r>
        <w:rPr>
          <w:color w:val="000000"/>
        </w:rPr>
        <w:t>, DA 98-37, 13 FCC Rcd 341 (Wireless Telecom. Bur. 1998).</w:t>
      </w:r>
    </w:p>
    <w:p w:rsidR="00B412FF" w:rsidRDefault="00B412FF" w:rsidP="00C07C81">
      <w:pPr>
        <w:widowControl/>
        <w:rPr>
          <w:color w:val="000000"/>
        </w:rPr>
      </w:pPr>
    </w:p>
    <w:p w:rsidR="00B412FF" w:rsidRDefault="00B412FF" w:rsidP="00C07C81">
      <w:pPr>
        <w:widowControl/>
        <w:rPr>
          <w:color w:val="000000"/>
        </w:rPr>
      </w:pPr>
      <w:r>
        <w:rPr>
          <w:color w:val="000000"/>
        </w:rPr>
        <w:t>Wireless Telecommunications Bureau Provides Guidance on the Anti</w:t>
      </w:r>
      <w:r>
        <w:rPr>
          <w:color w:val="000000"/>
        </w:rPr>
        <w:noBreakHyphen/>
        <w:t xml:space="preserve">Collusion Rule for D, E and F Block Bidders, </w:t>
      </w:r>
      <w:r>
        <w:rPr>
          <w:i/>
          <w:color w:val="000000"/>
        </w:rPr>
        <w:t>Public</w:t>
      </w:r>
      <w:r>
        <w:rPr>
          <w:color w:val="000000"/>
        </w:rPr>
        <w:t xml:space="preserve"> </w:t>
      </w:r>
      <w:r>
        <w:rPr>
          <w:i/>
          <w:color w:val="000000"/>
        </w:rPr>
        <w:t xml:space="preserve">Notice, </w:t>
      </w:r>
      <w:r>
        <w:rPr>
          <w:color w:val="000000"/>
        </w:rPr>
        <w:t>DA 96-1460, 11 FCC Rcd 10134 (Wireless Telecom. Bur. 1996).</w:t>
      </w:r>
    </w:p>
    <w:p w:rsidR="00B412FF" w:rsidRDefault="00B412FF" w:rsidP="00C07C81">
      <w:pPr>
        <w:widowControl/>
        <w:rPr>
          <w:color w:val="000000"/>
        </w:rPr>
      </w:pPr>
    </w:p>
    <w:p w:rsidR="00B412FF" w:rsidRDefault="00B412FF" w:rsidP="00C07C81">
      <w:pPr>
        <w:widowControl/>
        <w:rPr>
          <w:color w:val="000000"/>
        </w:rPr>
      </w:pPr>
      <w:r>
        <w:rPr>
          <w:color w:val="000000"/>
        </w:rPr>
        <w:t>FCC Staff Clarifies Application of Anti</w:t>
      </w:r>
      <w:r>
        <w:rPr>
          <w:color w:val="000000"/>
        </w:rPr>
        <w:noBreakHyphen/>
        <w:t xml:space="preserve">Collusion Rule to Broadband PCS "C" Block Reauction, </w:t>
      </w:r>
      <w:r>
        <w:rPr>
          <w:i/>
          <w:color w:val="000000"/>
        </w:rPr>
        <w:t xml:space="preserve">Public Notice, </w:t>
      </w:r>
      <w:r>
        <w:rPr>
          <w:color w:val="000000"/>
        </w:rPr>
        <w:t>DA 96-929, 11 FCC Rcd 7031 (Auc. Div. 1996).</w:t>
      </w:r>
    </w:p>
    <w:p w:rsidR="00B412FF" w:rsidRDefault="00B412FF" w:rsidP="00C07C81">
      <w:pPr>
        <w:widowControl/>
        <w:rPr>
          <w:color w:val="000000"/>
        </w:rPr>
      </w:pPr>
    </w:p>
    <w:p w:rsidR="00B412FF" w:rsidRDefault="00B412FF" w:rsidP="00C07C81">
      <w:pPr>
        <w:widowControl/>
        <w:rPr>
          <w:color w:val="000000"/>
        </w:rPr>
      </w:pPr>
      <w:r>
        <w:rPr>
          <w:color w:val="000000"/>
        </w:rPr>
        <w:t>Wireless Telecommunications Bureau Clarifies Spectrum Auction Anti</w:t>
      </w:r>
      <w:r>
        <w:rPr>
          <w:color w:val="000000"/>
        </w:rPr>
        <w:noBreakHyphen/>
        <w:t xml:space="preserve">Collusion Rules, </w:t>
      </w:r>
      <w:r>
        <w:rPr>
          <w:i/>
          <w:color w:val="000000"/>
        </w:rPr>
        <w:t xml:space="preserve">Public Notice, </w:t>
      </w:r>
      <w:r>
        <w:rPr>
          <w:color w:val="000000"/>
        </w:rPr>
        <w:t>DA 95-2244, 11 FCC Rcd 9645 (Wireless Telecom. Bur. 1995).</w:t>
      </w:r>
    </w:p>
    <w:p w:rsidR="00B412FF" w:rsidRDefault="00B412FF" w:rsidP="00C07C81">
      <w:pPr>
        <w:widowControl/>
        <w:rPr>
          <w:color w:val="000000"/>
        </w:rPr>
      </w:pPr>
    </w:p>
    <w:p w:rsidR="00B412FF" w:rsidRDefault="00B412FF" w:rsidP="00C07C81">
      <w:pPr>
        <w:keepNext/>
        <w:keepLines/>
        <w:widowControl/>
        <w:ind w:left="1710" w:hanging="270"/>
        <w:rPr>
          <w:b/>
        </w:rPr>
      </w:pPr>
      <w:r>
        <w:rPr>
          <w:b/>
        </w:rPr>
        <w:t>2.  Letters from the Office of General Counsel, the Wireless Telecommunications Bureau and the Media Bureau</w:t>
      </w:r>
    </w:p>
    <w:p w:rsidR="00B412FF" w:rsidRDefault="00B412FF" w:rsidP="00C07C81">
      <w:pPr>
        <w:keepNext/>
        <w:keepLines/>
        <w:widowControl/>
        <w:rPr>
          <w:b/>
        </w:rPr>
      </w:pPr>
    </w:p>
    <w:p w:rsidR="00B412FF" w:rsidRDefault="00B412FF" w:rsidP="00C07C81">
      <w:pPr>
        <w:widowControl/>
        <w:rPr>
          <w:color w:val="000000"/>
        </w:rPr>
      </w:pPr>
      <w:r>
        <w:rPr>
          <w:color w:val="000000"/>
        </w:rPr>
        <w:t>Letter to John Cooper, Aurora Communications, Inc., from Margaret W. Wiener, DA 06-157, 21 FCC Rcd 523 (Auc. Div. 2006).</w:t>
      </w:r>
    </w:p>
    <w:p w:rsidR="00B412FF" w:rsidRDefault="00B412FF" w:rsidP="00C07C81">
      <w:pPr>
        <w:widowControl/>
        <w:rPr>
          <w:color w:val="000000"/>
        </w:rPr>
      </w:pPr>
    </w:p>
    <w:p w:rsidR="00B412FF" w:rsidRDefault="00B412FF" w:rsidP="00C07C81">
      <w:pPr>
        <w:widowControl/>
        <w:rPr>
          <w:color w:val="000000"/>
        </w:rPr>
      </w:pPr>
      <w:r>
        <w:rPr>
          <w:color w:val="000000"/>
        </w:rPr>
        <w:t>Letter to Howard A. Kalmenson, Lotus Communications Corp., from Margaret W. Wiener, DA 06-156, 21 FCC Rcd 520 (Auc. Div. 2006).</w:t>
      </w:r>
    </w:p>
    <w:p w:rsidR="00B412FF" w:rsidRDefault="00B412FF" w:rsidP="00C07C81">
      <w:pPr>
        <w:widowControl/>
        <w:rPr>
          <w:color w:val="000000"/>
        </w:rPr>
      </w:pPr>
    </w:p>
    <w:p w:rsidR="00B412FF" w:rsidRDefault="00B412FF" w:rsidP="00C07C81">
      <w:pPr>
        <w:widowControl/>
        <w:rPr>
          <w:color w:val="000000"/>
        </w:rPr>
      </w:pPr>
      <w:r>
        <w:rPr>
          <w:color w:val="000000"/>
        </w:rPr>
        <w:t>Letter to Colby M. May from Barbara A. Kreisman and Margaret W. Wiener, DA 05-2445, 20 FCC Rcd 14648 (Video and Auc. Divs. 2005).</w:t>
      </w:r>
    </w:p>
    <w:p w:rsidR="00B412FF" w:rsidRDefault="00B412FF" w:rsidP="00C07C81">
      <w:pPr>
        <w:widowControl/>
        <w:rPr>
          <w:color w:val="000000"/>
        </w:rPr>
      </w:pPr>
    </w:p>
    <w:p w:rsidR="00B412FF" w:rsidRDefault="00B412FF" w:rsidP="00C07C81">
      <w:pPr>
        <w:widowControl/>
        <w:rPr>
          <w:color w:val="000000"/>
        </w:rPr>
      </w:pPr>
      <w:r>
        <w:rPr>
          <w:color w:val="000000"/>
        </w:rPr>
        <w:t xml:space="preserve">Letter to Robert Pettit from Margaret W. Wiener, DA 00-2905, 16 FCC Rcd 10080 (Auc. Div. 2000). </w:t>
      </w:r>
    </w:p>
    <w:p w:rsidR="00B412FF" w:rsidRDefault="00B412FF" w:rsidP="00C07C81">
      <w:pPr>
        <w:widowControl/>
        <w:rPr>
          <w:color w:val="000000"/>
        </w:rPr>
      </w:pPr>
    </w:p>
    <w:p w:rsidR="00B412FF" w:rsidRDefault="00B412FF" w:rsidP="00C07C81">
      <w:pPr>
        <w:widowControl/>
        <w:rPr>
          <w:color w:val="000000"/>
        </w:rPr>
      </w:pPr>
      <w:r>
        <w:rPr>
          <w:color w:val="000000"/>
        </w:rPr>
        <w:t xml:space="preserve">Letter to John Reardon, Mobex Communications, Inc., from Amy J. Zoslov, DA 98-1861, 13 FCC Rcd 17877 (Auc. Div. 1998). </w:t>
      </w:r>
    </w:p>
    <w:p w:rsidR="00B412FF" w:rsidRDefault="00B412FF" w:rsidP="00C07C81">
      <w:pPr>
        <w:widowControl/>
        <w:rPr>
          <w:color w:val="000000"/>
        </w:rPr>
      </w:pPr>
    </w:p>
    <w:p w:rsidR="00B412FF" w:rsidRDefault="00B412FF" w:rsidP="00C07C81">
      <w:pPr>
        <w:widowControl/>
        <w:rPr>
          <w:color w:val="000000"/>
        </w:rPr>
      </w:pPr>
      <w:r>
        <w:rPr>
          <w:color w:val="000000"/>
        </w:rPr>
        <w:t>Letter to Elliott J. Greenwald from Christopher J. Wright, DA 98-644, 13 FCC Rcd 7132 (Gen. Counsel 1998).</w:t>
      </w:r>
    </w:p>
    <w:p w:rsidR="00B412FF" w:rsidRDefault="00B412FF" w:rsidP="00C07C81">
      <w:pPr>
        <w:widowControl/>
        <w:rPr>
          <w:color w:val="000000"/>
        </w:rPr>
      </w:pPr>
    </w:p>
    <w:p w:rsidR="00B412FF" w:rsidRDefault="00B412FF" w:rsidP="00C07C81">
      <w:pPr>
        <w:widowControl/>
        <w:rPr>
          <w:color w:val="000000"/>
        </w:rPr>
      </w:pPr>
      <w:r>
        <w:rPr>
          <w:color w:val="000000"/>
        </w:rPr>
        <w:t>Letter to David L. Nace from Kathleen O’Brien Ham, DA 96-1566, 11 FCC Rcd 11363 (Auc. Div. 1996).</w:t>
      </w:r>
    </w:p>
    <w:p w:rsidR="00B412FF" w:rsidRDefault="00B412FF" w:rsidP="00C07C81">
      <w:pPr>
        <w:widowControl/>
        <w:rPr>
          <w:color w:val="000000"/>
        </w:rPr>
      </w:pPr>
    </w:p>
    <w:p w:rsidR="00B412FF" w:rsidRDefault="00B412FF" w:rsidP="00C07C81">
      <w:pPr>
        <w:widowControl/>
        <w:rPr>
          <w:color w:val="000000"/>
        </w:rPr>
      </w:pPr>
      <w:r>
        <w:rPr>
          <w:color w:val="000000"/>
        </w:rPr>
        <w:t>Letter to Mark Grady from Kathleen O’Brien Ham, DA 96-587, 11 FCC Rcd 10895 (Auc. Div. 1996).</w:t>
      </w:r>
    </w:p>
    <w:p w:rsidR="00B412FF" w:rsidRDefault="00B412FF" w:rsidP="00C07C81">
      <w:pPr>
        <w:widowControl/>
        <w:rPr>
          <w:color w:val="000000"/>
        </w:rPr>
      </w:pPr>
    </w:p>
    <w:p w:rsidR="00B412FF" w:rsidRDefault="00B412FF" w:rsidP="00C07C81">
      <w:pPr>
        <w:widowControl/>
        <w:rPr>
          <w:color w:val="000000"/>
        </w:rPr>
      </w:pPr>
      <w:r>
        <w:rPr>
          <w:color w:val="000000"/>
        </w:rPr>
        <w:t>Letter to Jonathan D. Blake from Kathleen O’Brien Ham, DA 95-2404, 10 FCC Rcd 13783 (Auc. Div. 1995).</w:t>
      </w:r>
    </w:p>
    <w:p w:rsidR="00B412FF" w:rsidRDefault="00B412FF" w:rsidP="00C07C81">
      <w:pPr>
        <w:widowControl/>
        <w:rPr>
          <w:color w:val="000000"/>
        </w:rPr>
      </w:pPr>
    </w:p>
    <w:p w:rsidR="00B412FF" w:rsidRDefault="00B412FF" w:rsidP="00C07C81">
      <w:pPr>
        <w:widowControl/>
        <w:rPr>
          <w:color w:val="000000"/>
        </w:rPr>
      </w:pPr>
      <w:r>
        <w:rPr>
          <w:color w:val="000000"/>
        </w:rPr>
        <w:t>Letter to Leonard J. Kennedy from Rosalind K. Allen, Acting Chief, Commercial Radio Division, Wireless Telecommunications Bureau (released December 14, 1994).</w:t>
      </w:r>
    </w:p>
    <w:p w:rsidR="00B412FF" w:rsidRDefault="00B412FF" w:rsidP="00C07C81">
      <w:pPr>
        <w:widowControl/>
        <w:rPr>
          <w:color w:val="000000"/>
        </w:rPr>
      </w:pPr>
    </w:p>
    <w:p w:rsidR="00B412FF" w:rsidRDefault="00B412FF" w:rsidP="00C07C81">
      <w:pPr>
        <w:widowControl/>
        <w:rPr>
          <w:color w:val="000000"/>
        </w:rPr>
      </w:pPr>
      <w:r>
        <w:rPr>
          <w:color w:val="000000"/>
        </w:rPr>
        <w:t>Letter to R. Michael Senkowski from Rosalind K. Allen, Acting Chief, Commercial Radio Division, Wireless Telecommunications Bureau (released December 1, 1994).</w:t>
      </w:r>
    </w:p>
    <w:p w:rsidR="00B412FF" w:rsidRDefault="00B412FF" w:rsidP="00C07C81">
      <w:pPr>
        <w:widowControl/>
        <w:rPr>
          <w:color w:val="000000"/>
        </w:rPr>
      </w:pPr>
    </w:p>
    <w:p w:rsidR="00B412FF" w:rsidRDefault="00B412FF" w:rsidP="00C07C81">
      <w:pPr>
        <w:widowControl/>
        <w:rPr>
          <w:color w:val="000000"/>
        </w:rPr>
      </w:pPr>
      <w:r>
        <w:rPr>
          <w:color w:val="000000"/>
        </w:rPr>
        <w:t>Letter to Gary M. Epstein and James H. Barker from William E. Kennard, General Counsel, Federal Communications Commission (released October 25, 1994).</w:t>
      </w:r>
    </w:p>
    <w:p w:rsidR="00B412FF" w:rsidRDefault="00B412FF" w:rsidP="00C07C81">
      <w:pPr>
        <w:widowControl/>
        <w:rPr>
          <w:color w:val="000000"/>
        </w:rPr>
      </w:pPr>
    </w:p>
    <w:p w:rsidR="00B412FF" w:rsidRDefault="00B412FF" w:rsidP="00C07C81">
      <w:pPr>
        <w:widowControl/>
        <w:rPr>
          <w:color w:val="000000"/>
        </w:rPr>
      </w:pPr>
      <w:r>
        <w:rPr>
          <w:color w:val="000000"/>
        </w:rPr>
        <w:t>Letter to Alan F. Ciamporcero from William E Kennard, General Counsel, Federal Communications Commission (released October 25, 1994).</w:t>
      </w:r>
    </w:p>
    <w:p w:rsidR="00B412FF" w:rsidRDefault="00B412FF" w:rsidP="00C07C81">
      <w:pPr>
        <w:widowControl/>
        <w:rPr>
          <w:color w:val="000000"/>
        </w:rPr>
      </w:pPr>
    </w:p>
    <w:p w:rsidR="00B412FF" w:rsidRDefault="00B412FF" w:rsidP="00C07C81">
      <w:pPr>
        <w:keepNext/>
        <w:keepLines/>
        <w:widowControl/>
        <w:ind w:left="720"/>
        <w:rPr>
          <w:b/>
          <w:color w:val="000000"/>
        </w:rPr>
      </w:pPr>
      <w:r>
        <w:rPr>
          <w:b/>
          <w:color w:val="000000"/>
        </w:rPr>
        <w:t>D.  Enforcement Bureau Decisions</w:t>
      </w:r>
    </w:p>
    <w:p w:rsidR="00B412FF" w:rsidRDefault="00B412FF" w:rsidP="00C07C81">
      <w:pPr>
        <w:keepNext/>
        <w:keepLines/>
        <w:widowControl/>
      </w:pPr>
    </w:p>
    <w:p w:rsidR="00B412FF" w:rsidRDefault="00B412FF" w:rsidP="00C07C81">
      <w:pPr>
        <w:widowControl/>
        <w:rPr>
          <w:snapToGrid/>
          <w:color w:val="000000"/>
          <w:kern w:val="0"/>
        </w:rPr>
      </w:pPr>
      <w:r>
        <w:rPr>
          <w:snapToGrid/>
          <w:color w:val="000000"/>
          <w:kern w:val="0"/>
        </w:rPr>
        <w:t xml:space="preserve">Cascade Access, L.L.C., </w:t>
      </w:r>
      <w:r>
        <w:rPr>
          <w:i/>
          <w:snapToGrid/>
          <w:color w:val="000000"/>
          <w:kern w:val="0"/>
        </w:rPr>
        <w:t>Notice</w:t>
      </w:r>
      <w:r>
        <w:rPr>
          <w:snapToGrid/>
          <w:color w:val="000000"/>
          <w:kern w:val="0"/>
        </w:rPr>
        <w:t xml:space="preserve"> </w:t>
      </w:r>
      <w:r>
        <w:rPr>
          <w:i/>
          <w:snapToGrid/>
          <w:color w:val="000000"/>
          <w:kern w:val="0"/>
        </w:rPr>
        <w:t>of Apparent Liability for Forfeiture</w:t>
      </w:r>
      <w:r>
        <w:rPr>
          <w:snapToGrid/>
          <w:color w:val="000000"/>
          <w:kern w:val="0"/>
        </w:rPr>
        <w:t>, DA 09-207, 24 FCC Rcd 1350 (Enf. Bur. 2009).</w:t>
      </w:r>
    </w:p>
    <w:p w:rsidR="00B412FF" w:rsidRDefault="00B412FF" w:rsidP="00C07C81">
      <w:pPr>
        <w:widowControl/>
        <w:rPr>
          <w:snapToGrid/>
          <w:color w:val="000000"/>
          <w:kern w:val="0"/>
        </w:rPr>
      </w:pPr>
    </w:p>
    <w:p w:rsidR="00B412FF" w:rsidRDefault="00B412FF" w:rsidP="00C07C81">
      <w:pPr>
        <w:widowControl/>
        <w:rPr>
          <w:snapToGrid/>
          <w:color w:val="000000"/>
          <w:kern w:val="0"/>
        </w:rPr>
      </w:pPr>
      <w:r>
        <w:rPr>
          <w:snapToGrid/>
          <w:color w:val="000000"/>
          <w:kern w:val="0"/>
        </w:rPr>
        <w:t xml:space="preserve">Application of Star Wireless, LLC, </w:t>
      </w:r>
      <w:r>
        <w:rPr>
          <w:i/>
          <w:snapToGrid/>
          <w:color w:val="000000"/>
          <w:kern w:val="0"/>
        </w:rPr>
        <w:t>Forfeiture Order</w:t>
      </w:r>
      <w:r>
        <w:rPr>
          <w:snapToGrid/>
          <w:color w:val="000000"/>
          <w:kern w:val="0"/>
        </w:rPr>
        <w:t xml:space="preserve">, DA 04-3026, 19 FCC Rcd 18626 (Enf. Bur. 2004); Application of Star Wireless, LLC, </w:t>
      </w:r>
      <w:r>
        <w:rPr>
          <w:i/>
          <w:snapToGrid/>
          <w:color w:val="000000"/>
          <w:kern w:val="0"/>
        </w:rPr>
        <w:t>Notice of Apparent Liability for Forfeiture</w:t>
      </w:r>
      <w:r>
        <w:rPr>
          <w:snapToGrid/>
          <w:color w:val="000000"/>
          <w:kern w:val="0"/>
        </w:rPr>
        <w:t>, DA 03-2722, 18 FCC Rcd 17648 (Enf. Bur. 2003).</w:t>
      </w:r>
    </w:p>
    <w:p w:rsidR="00B412FF" w:rsidRDefault="00B412FF" w:rsidP="00C07C81">
      <w:pPr>
        <w:widowControl/>
        <w:rPr>
          <w:snapToGrid/>
          <w:color w:val="000000"/>
          <w:kern w:val="0"/>
        </w:rPr>
      </w:pPr>
      <w:r>
        <w:rPr>
          <w:snapToGrid/>
          <w:color w:val="000000"/>
          <w:kern w:val="0"/>
        </w:rPr>
        <w:t xml:space="preserve"> </w:t>
      </w:r>
    </w:p>
    <w:p w:rsidR="00B412FF" w:rsidRDefault="00B412FF" w:rsidP="00C07C81">
      <w:pPr>
        <w:widowControl/>
        <w:rPr>
          <w:snapToGrid/>
          <w:color w:val="000000"/>
          <w:kern w:val="0"/>
        </w:rPr>
      </w:pPr>
      <w:r>
        <w:rPr>
          <w:snapToGrid/>
          <w:color w:val="000000"/>
          <w:kern w:val="0"/>
        </w:rPr>
        <w:t xml:space="preserve">Application of Northeast Communications of Wisconsin, Inc., </w:t>
      </w:r>
      <w:r>
        <w:rPr>
          <w:i/>
          <w:snapToGrid/>
          <w:color w:val="000000"/>
          <w:kern w:val="0"/>
        </w:rPr>
        <w:t>Forfeiture Order</w:t>
      </w:r>
      <w:r>
        <w:rPr>
          <w:snapToGrid/>
          <w:color w:val="000000"/>
          <w:kern w:val="0"/>
        </w:rPr>
        <w:t xml:space="preserve">, DA 04-3027, 19 FCC Rcd 18635 (Enf. Bur. 2004); Application of Northeast Communications of Wisconsin, Inc., </w:t>
      </w:r>
      <w:r>
        <w:rPr>
          <w:i/>
          <w:snapToGrid/>
          <w:color w:val="000000"/>
          <w:kern w:val="0"/>
        </w:rPr>
        <w:t>Notice of Apparent Liability for Forfeiture</w:t>
      </w:r>
      <w:r>
        <w:rPr>
          <w:snapToGrid/>
          <w:color w:val="000000"/>
          <w:kern w:val="0"/>
        </w:rPr>
        <w:t xml:space="preserve">, DA 03-2723, 18 FCC Rcd 17672 (Enf. Bur. 2003). </w:t>
      </w:r>
    </w:p>
    <w:p w:rsidR="00B412FF" w:rsidRDefault="00B412FF" w:rsidP="00C07C81">
      <w:pPr>
        <w:widowControl/>
        <w:rPr>
          <w:snapToGrid/>
          <w:color w:val="000000"/>
          <w:kern w:val="0"/>
        </w:rPr>
      </w:pPr>
    </w:p>
    <w:p w:rsidR="00B412FF" w:rsidRDefault="00B412FF" w:rsidP="00C07C81">
      <w:pPr>
        <w:keepNext/>
        <w:keepLines/>
        <w:widowControl/>
        <w:ind w:left="720"/>
        <w:rPr>
          <w:b/>
          <w:snapToGrid/>
          <w:color w:val="000000"/>
          <w:kern w:val="0"/>
        </w:rPr>
      </w:pPr>
      <w:r>
        <w:rPr>
          <w:b/>
          <w:snapToGrid/>
          <w:color w:val="000000"/>
          <w:kern w:val="0"/>
        </w:rPr>
        <w:t>E.  Civil Actions Initiated by U.S. Department of Justice</w:t>
      </w:r>
    </w:p>
    <w:p w:rsidR="00B412FF" w:rsidRDefault="00B412FF" w:rsidP="00C07C81">
      <w:pPr>
        <w:keepNext/>
        <w:keepLines/>
        <w:widowControl/>
        <w:rPr>
          <w:color w:val="000000"/>
        </w:rPr>
      </w:pPr>
    </w:p>
    <w:p w:rsidR="00B412FF" w:rsidRDefault="00B412FF" w:rsidP="00C07C81">
      <w:pPr>
        <w:widowControl/>
      </w:pPr>
      <w:r>
        <w:rPr>
          <w:i/>
        </w:rPr>
        <w:t>USA v. Northeast Communications of Wisconsin, Inc.</w:t>
      </w:r>
      <w:r>
        <w:t>, No. 07-C-715, 608 F.Supp.2d 1049 (E.D.Wis. June 25, 2008).</w:t>
      </w:r>
    </w:p>
    <w:p w:rsidR="00B412FF" w:rsidRDefault="00B412FF" w:rsidP="00C07C81">
      <w:pPr>
        <w:widowControl/>
        <w:rPr>
          <w:color w:val="000000"/>
        </w:rPr>
      </w:pPr>
    </w:p>
    <w:p w:rsidR="00B412FF" w:rsidRDefault="00B412FF" w:rsidP="00C07C81">
      <w:pPr>
        <w:widowControl/>
        <w:rPr>
          <w:color w:val="000000"/>
        </w:rPr>
      </w:pPr>
      <w:r>
        <w:rPr>
          <w:i/>
          <w:color w:val="000000"/>
        </w:rPr>
        <w:t xml:space="preserve">U.S. v. Omnipoint Corp., </w:t>
      </w:r>
      <w:r>
        <w:rPr>
          <w:color w:val="000000"/>
        </w:rPr>
        <w:t>Proposed Final Judgments and Competitive Impact Statements, Department of Justice, 63 Fed. Reg. 65,228 (Nov. 25, 1998).</w:t>
      </w:r>
    </w:p>
    <w:p w:rsidR="00B412FF" w:rsidRDefault="00B412FF" w:rsidP="00C07C81">
      <w:pPr>
        <w:widowControl/>
        <w:rPr>
          <w:color w:val="000000"/>
        </w:rPr>
      </w:pPr>
    </w:p>
    <w:p w:rsidR="00B412FF" w:rsidRDefault="00B412FF" w:rsidP="00C07C81">
      <w:pPr>
        <w:widowControl/>
        <w:rPr>
          <w:color w:val="000000"/>
        </w:rPr>
      </w:pPr>
      <w:r>
        <w:rPr>
          <w:color w:val="000000"/>
        </w:rPr>
        <w:t xml:space="preserve">“Justice Department Sues Three Firms Over FCC Auction Practices,” </w:t>
      </w:r>
      <w:r>
        <w:rPr>
          <w:i/>
          <w:color w:val="000000"/>
        </w:rPr>
        <w:t>Press Release</w:t>
      </w:r>
      <w:r>
        <w:rPr>
          <w:color w:val="000000"/>
        </w:rPr>
        <w:t>,</w:t>
      </w:r>
      <w:r>
        <w:rPr>
          <w:i/>
          <w:color w:val="000000"/>
        </w:rPr>
        <w:t xml:space="preserve"> </w:t>
      </w:r>
      <w:r>
        <w:rPr>
          <w:color w:val="000000"/>
        </w:rPr>
        <w:t>U.S.</w:t>
      </w:r>
      <w:r>
        <w:rPr>
          <w:i/>
          <w:color w:val="000000"/>
        </w:rPr>
        <w:t xml:space="preserve"> </w:t>
      </w:r>
      <w:r>
        <w:rPr>
          <w:color w:val="000000"/>
        </w:rPr>
        <w:t>Department of Justice (Nov. 10, 1998).</w:t>
      </w:r>
    </w:p>
    <w:p w:rsidR="00B412FF" w:rsidRDefault="00B412FF" w:rsidP="00C07C81">
      <w:pPr>
        <w:widowControl/>
        <w:rPr>
          <w:color w:val="000000"/>
        </w:rPr>
      </w:pPr>
    </w:p>
    <w:p w:rsidR="00B412FF" w:rsidRDefault="00B412FF" w:rsidP="00C07C81">
      <w:pPr>
        <w:widowControl/>
        <w:rPr>
          <w:color w:val="000000"/>
        </w:rPr>
      </w:pPr>
      <w:r>
        <w:rPr>
          <w:color w:val="000000"/>
        </w:rPr>
        <w:t xml:space="preserve">Complaint, </w:t>
      </w:r>
      <w:r>
        <w:rPr>
          <w:i/>
          <w:color w:val="000000"/>
        </w:rPr>
        <w:t>U.S.</w:t>
      </w:r>
      <w:r>
        <w:rPr>
          <w:color w:val="000000"/>
        </w:rPr>
        <w:t xml:space="preserve"> </w:t>
      </w:r>
      <w:r>
        <w:rPr>
          <w:i/>
          <w:color w:val="000000"/>
        </w:rPr>
        <w:t>v. Omnipoint Corp</w:t>
      </w:r>
      <w:r>
        <w:rPr>
          <w:color w:val="000000"/>
        </w:rPr>
        <w:t>.,</w:t>
      </w:r>
      <w:r>
        <w:rPr>
          <w:i/>
          <w:color w:val="000000"/>
        </w:rPr>
        <w:t xml:space="preserve"> </w:t>
      </w:r>
      <w:r>
        <w:rPr>
          <w:color w:val="000000"/>
        </w:rPr>
        <w:t>No. 1:98CV02750 (D.D.C. Nov. 10, 1998).</w:t>
      </w:r>
    </w:p>
    <w:p w:rsidR="00B412FF" w:rsidRDefault="00B412FF" w:rsidP="00C07C81">
      <w:pPr>
        <w:widowControl/>
        <w:rPr>
          <w:color w:val="000000"/>
        </w:rPr>
      </w:pPr>
    </w:p>
    <w:p w:rsidR="00B412FF" w:rsidRDefault="00B412FF" w:rsidP="00C07C81">
      <w:pPr>
        <w:widowControl/>
        <w:rPr>
          <w:color w:val="000000"/>
        </w:rPr>
      </w:pPr>
      <w:r>
        <w:rPr>
          <w:color w:val="000000"/>
        </w:rPr>
        <w:t xml:space="preserve">Complaint, </w:t>
      </w:r>
      <w:r>
        <w:rPr>
          <w:i/>
          <w:color w:val="000000"/>
        </w:rPr>
        <w:t>U.S. v.</w:t>
      </w:r>
      <w:r>
        <w:rPr>
          <w:color w:val="000000"/>
        </w:rPr>
        <w:t xml:space="preserve"> </w:t>
      </w:r>
      <w:r>
        <w:rPr>
          <w:i/>
          <w:color w:val="000000"/>
        </w:rPr>
        <w:t>Mercury PCS II, L.L.C</w:t>
      </w:r>
      <w:r>
        <w:rPr>
          <w:color w:val="000000"/>
        </w:rPr>
        <w:t>.,</w:t>
      </w:r>
      <w:r>
        <w:rPr>
          <w:i/>
          <w:color w:val="000000"/>
        </w:rPr>
        <w:t xml:space="preserve"> </w:t>
      </w:r>
      <w:r>
        <w:rPr>
          <w:color w:val="000000"/>
        </w:rPr>
        <w:t>No. 1:98CV02751 (D.D.C. Nov. 10, 1998).</w:t>
      </w:r>
    </w:p>
    <w:p w:rsidR="00B412FF" w:rsidRDefault="00B412FF" w:rsidP="00C07C81">
      <w:pPr>
        <w:widowControl/>
        <w:rPr>
          <w:color w:val="000000"/>
        </w:rPr>
      </w:pPr>
    </w:p>
    <w:p w:rsidR="00B412FF" w:rsidRDefault="00B412FF" w:rsidP="00C07C81">
      <w:pPr>
        <w:widowControl/>
        <w:rPr>
          <w:color w:val="000000"/>
        </w:rPr>
      </w:pPr>
      <w:r>
        <w:rPr>
          <w:color w:val="000000"/>
        </w:rPr>
        <w:t xml:space="preserve">Complaint, </w:t>
      </w:r>
      <w:r>
        <w:rPr>
          <w:i/>
          <w:color w:val="000000"/>
        </w:rPr>
        <w:t>U.S. v. 21st Century Bidding Corp.</w:t>
      </w:r>
      <w:r>
        <w:rPr>
          <w:color w:val="000000"/>
        </w:rPr>
        <w:t>,</w:t>
      </w:r>
      <w:r>
        <w:rPr>
          <w:i/>
          <w:color w:val="000000"/>
        </w:rPr>
        <w:t xml:space="preserve"> </w:t>
      </w:r>
      <w:r>
        <w:rPr>
          <w:color w:val="000000"/>
        </w:rPr>
        <w:t>No</w:t>
      </w:r>
      <w:r>
        <w:rPr>
          <w:i/>
          <w:color w:val="000000"/>
        </w:rPr>
        <w:t xml:space="preserve">. </w:t>
      </w:r>
      <w:r>
        <w:rPr>
          <w:color w:val="000000"/>
        </w:rPr>
        <w:t>1:98CV02752 (D.D.C. Nov. 10, 1998).</w:t>
      </w:r>
    </w:p>
    <w:p w:rsidR="00B412FF" w:rsidRDefault="00B412FF" w:rsidP="00C07C81">
      <w:pPr>
        <w:widowControl/>
        <w:rPr>
          <w:color w:val="000000"/>
        </w:rPr>
      </w:pPr>
    </w:p>
    <w:p w:rsidR="00B412FF" w:rsidRDefault="00B412FF" w:rsidP="00C07C81">
      <w:pPr>
        <w:keepNext/>
        <w:keepLines/>
        <w:widowControl/>
        <w:rPr>
          <w:b/>
          <w:color w:val="000000"/>
        </w:rPr>
      </w:pPr>
      <w:r>
        <w:rPr>
          <w:b/>
          <w:color w:val="000000"/>
        </w:rPr>
        <w:t>How to Obtain Copies of Decisions Relating to Section 1.2105(c)</w:t>
      </w:r>
    </w:p>
    <w:p w:rsidR="00B412FF" w:rsidRDefault="00B412FF" w:rsidP="00C07C81">
      <w:pPr>
        <w:keepNext/>
        <w:keepLines/>
        <w:widowControl/>
        <w:rPr>
          <w:color w:val="000000"/>
        </w:rPr>
      </w:pPr>
    </w:p>
    <w:p w:rsidR="00B412FF" w:rsidRDefault="00B412FF" w:rsidP="00C07C81">
      <w:pPr>
        <w:widowControl/>
        <w:rPr>
          <w:color w:val="000000"/>
          <w:u w:val="single"/>
        </w:rPr>
      </w:pPr>
      <w:r>
        <w:rPr>
          <w:color w:val="000000"/>
        </w:rPr>
        <w:t xml:space="preserve">Many of the documents listed in this attachment can be retrieved from the following Commission web site:  </w:t>
      </w:r>
      <w:hyperlink r:id="rId50" w:history="1">
        <w:r w:rsidRPr="006C2511">
          <w:rPr>
            <w:rStyle w:val="Hyperlink"/>
          </w:rPr>
          <w:t>http://wireless.fcc.gov/auctions/prohibited_communications</w:t>
        </w:r>
      </w:hyperlink>
      <w:r>
        <w:rPr>
          <w:color w:val="000000"/>
        </w:rPr>
        <w:t>.</w:t>
      </w:r>
    </w:p>
    <w:p w:rsidR="00B412FF" w:rsidRDefault="00B412FF" w:rsidP="00C07C81">
      <w:pPr>
        <w:widowControl/>
        <w:rPr>
          <w:color w:val="000000"/>
          <w:u w:val="single"/>
        </w:rPr>
      </w:pPr>
    </w:p>
    <w:p w:rsidR="00B412FF" w:rsidRDefault="00B412FF" w:rsidP="00C07C81">
      <w:pPr>
        <w:widowControl/>
        <w:suppressAutoHyphens/>
        <w:rPr>
          <w:color w:val="000000"/>
        </w:rPr>
      </w:pPr>
      <w:r>
        <w:rPr>
          <w:color w:val="000000"/>
        </w:rPr>
        <w:t>The documents may be located by using our search engine (select the link “search”).  Documents retrieved from the web site are available in various formats including Word, WordPerfect, Acrobat Reader, Excel, and ASCII Text.  To review a document in its entirety, including footnotes, it is necessary to access the document in WordPerfect, MS Word, or Acrobat Reader.</w:t>
      </w:r>
    </w:p>
    <w:p w:rsidR="00B412FF" w:rsidRDefault="00B412FF" w:rsidP="00C07C81">
      <w:pPr>
        <w:widowControl/>
        <w:rPr>
          <w:color w:val="000000"/>
        </w:rPr>
      </w:pPr>
    </w:p>
    <w:p w:rsidR="008434F5" w:rsidRPr="001C2E9C" w:rsidRDefault="00B412FF" w:rsidP="00C07C81">
      <w:pPr>
        <w:widowControl/>
      </w:pPr>
      <w:r w:rsidRPr="00640E12">
        <w:rPr>
          <w:color w:val="000000"/>
        </w:rPr>
        <w:t>Additionally, all of the documents can be ordered in hard copy for a fee from the Commission’s duplicating contractor, Best Copy and Printing, Inc., 445 12th Street, SW, Room CY-B402, Washington, DC 20554, (800) 378-3160</w:t>
      </w:r>
      <w:r w:rsidR="00323D46" w:rsidRPr="00640E12">
        <w:rPr>
          <w:color w:val="000000"/>
        </w:rPr>
        <w:t>,</w:t>
      </w:r>
      <w:r w:rsidRPr="00640E12">
        <w:rPr>
          <w:color w:val="000000"/>
        </w:rPr>
        <w:t xml:space="preserve"> or</w:t>
      </w:r>
      <w:r w:rsidR="00394801" w:rsidRPr="00640E12">
        <w:rPr>
          <w:color w:val="000000"/>
        </w:rPr>
        <w:t xml:space="preserve"> at</w:t>
      </w:r>
      <w:r w:rsidRPr="00640E12">
        <w:rPr>
          <w:color w:val="000000"/>
        </w:rPr>
        <w:t xml:space="preserve"> </w:t>
      </w:r>
      <w:hyperlink r:id="rId51" w:history="1">
        <w:r w:rsidR="00323D46" w:rsidRPr="00640E12">
          <w:rPr>
            <w:rStyle w:val="Hyperlink"/>
          </w:rPr>
          <w:t>http://www.bcpiweb.com</w:t>
        </w:r>
      </w:hyperlink>
      <w:r w:rsidR="000678F1" w:rsidRPr="00640E12">
        <w:t>.</w:t>
      </w:r>
      <w:bookmarkEnd w:id="5661"/>
      <w:bookmarkEnd w:id="5662"/>
    </w:p>
    <w:sectPr w:rsidR="008434F5" w:rsidRPr="001C2E9C" w:rsidSect="00A7062D">
      <w:headerReference w:type="default" r:id="rId52"/>
      <w:footerReference w:type="default" r:id="rId53"/>
      <w:endnotePr>
        <w:numFmt w:val="decimal"/>
      </w:endnotePr>
      <w:pgSz w:w="12240" w:h="15840" w:code="1"/>
      <w:pgMar w:top="1440" w:right="1440" w:bottom="720" w:left="1440" w:header="634"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1B" w:rsidRDefault="00A0591B">
      <w:pPr>
        <w:spacing w:line="20" w:lineRule="exact"/>
      </w:pPr>
    </w:p>
  </w:endnote>
  <w:endnote w:type="continuationSeparator" w:id="0">
    <w:p w:rsidR="00A0591B" w:rsidRDefault="00A0591B">
      <w:r>
        <w:t xml:space="preserve"> </w:t>
      </w:r>
    </w:p>
  </w:endnote>
  <w:endnote w:type="continuationNotice" w:id="1">
    <w:p w:rsidR="00A0591B" w:rsidRDefault="00A059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63" w:rsidRDefault="00FE4663" w:rsidP="003F310D">
    <w:pPr>
      <w:pStyle w:val="Footer"/>
      <w:framePr w:wrap="around" w:vAnchor="text" w:hAnchor="margin" w:xAlign="center" w:y="1"/>
    </w:pPr>
    <w:r>
      <w:fldChar w:fldCharType="begin"/>
    </w:r>
    <w:r>
      <w:instrText xml:space="preserve">PAGE  </w:instrText>
    </w:r>
    <w:r>
      <w:fldChar w:fldCharType="separate"/>
    </w:r>
    <w:r>
      <w:rPr>
        <w:noProof/>
      </w:rPr>
      <w:t>6</w:t>
    </w:r>
    <w:r>
      <w:fldChar w:fldCharType="end"/>
    </w:r>
  </w:p>
  <w:p w:rsidR="00FE4663" w:rsidRDefault="00FE4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63" w:rsidRDefault="00FE4663" w:rsidP="0098115A">
    <w:pPr>
      <w:jc w:val="center"/>
    </w:pPr>
    <w:r>
      <w:rPr>
        <w:rStyle w:val="PageNumber"/>
      </w:rPr>
      <w:fldChar w:fldCharType="begin"/>
    </w:r>
    <w:r>
      <w:rPr>
        <w:rStyle w:val="PageNumber"/>
      </w:rPr>
      <w:instrText xml:space="preserve"> PAGE </w:instrText>
    </w:r>
    <w:r>
      <w:rPr>
        <w:rStyle w:val="PageNumber"/>
      </w:rPr>
      <w:fldChar w:fldCharType="separate"/>
    </w:r>
    <w:r w:rsidR="00C4454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63" w:rsidRPr="00092265" w:rsidRDefault="00FE4663" w:rsidP="001342BB">
    <w:pPr>
      <w:pStyle w:val="Footer"/>
      <w:tabs>
        <w:tab w:val="clear" w:pos="4320"/>
        <w:tab w:val="clear" w:pos="8640"/>
        <w:tab w:val="right" w:pos="9360"/>
      </w:tabs>
      <w:ind w:right="-1350"/>
      <w:rPr>
        <w:sz w:val="20"/>
      </w:rPr>
    </w:pPr>
    <w:r>
      <w:t xml:space="preserve"> </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63" w:rsidRDefault="00FE4663" w:rsidP="007C63BD">
    <w:pPr>
      <w:jc w:val="center"/>
    </w:pPr>
    <w:r>
      <w:t xml:space="preserve">A - </w:t>
    </w:r>
    <w:r>
      <w:rPr>
        <w:rStyle w:val="PageNumber"/>
      </w:rPr>
      <w:fldChar w:fldCharType="begin"/>
    </w:r>
    <w:r>
      <w:rPr>
        <w:rStyle w:val="PageNumber"/>
      </w:rPr>
      <w:instrText xml:space="preserve"> PAGE </w:instrText>
    </w:r>
    <w:r>
      <w:rPr>
        <w:rStyle w:val="PageNumber"/>
      </w:rPr>
      <w:fldChar w:fldCharType="separate"/>
    </w:r>
    <w:r w:rsidR="00DF0A3F">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63" w:rsidRDefault="00FE4663" w:rsidP="00334EA6">
    <w:pPr>
      <w:pStyle w:val="Footer"/>
      <w:tabs>
        <w:tab w:val="clear" w:pos="4320"/>
        <w:tab w:val="clear" w:pos="8640"/>
      </w:tabs>
      <w:jc w:val="center"/>
    </w:pPr>
    <w:r>
      <w:t xml:space="preserve">B  - </w:t>
    </w:r>
    <w:r>
      <w:rPr>
        <w:rStyle w:val="PageNumber"/>
      </w:rPr>
      <w:fldChar w:fldCharType="begin"/>
    </w:r>
    <w:r>
      <w:rPr>
        <w:rStyle w:val="PageNumber"/>
      </w:rPr>
      <w:instrText xml:space="preserve"> PAGE </w:instrText>
    </w:r>
    <w:r>
      <w:rPr>
        <w:rStyle w:val="PageNumber"/>
      </w:rPr>
      <w:fldChar w:fldCharType="separate"/>
    </w:r>
    <w:r w:rsidR="00DF0A3F">
      <w:rPr>
        <w:rStyle w:val="PageNumber"/>
        <w:noProof/>
      </w:rPr>
      <w:t>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63" w:rsidRDefault="00FE4663" w:rsidP="00334EA6">
    <w:pPr>
      <w:pStyle w:val="Footer"/>
      <w:tabs>
        <w:tab w:val="clear" w:pos="4320"/>
        <w:tab w:val="clear" w:pos="8640"/>
      </w:tabs>
      <w:jc w:val="center"/>
    </w:pPr>
    <w:r>
      <w:t xml:space="preserve">C - </w:t>
    </w:r>
    <w:r>
      <w:rPr>
        <w:rStyle w:val="PageNumber"/>
      </w:rPr>
      <w:fldChar w:fldCharType="begin"/>
    </w:r>
    <w:r>
      <w:rPr>
        <w:rStyle w:val="PageNumber"/>
      </w:rPr>
      <w:instrText xml:space="preserve"> PAGE </w:instrText>
    </w:r>
    <w:r>
      <w:rPr>
        <w:rStyle w:val="PageNumber"/>
      </w:rPr>
      <w:fldChar w:fldCharType="separate"/>
    </w:r>
    <w:r w:rsidR="00DF0A3F">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63" w:rsidRDefault="00FE4663" w:rsidP="00334EA6">
    <w:pPr>
      <w:pStyle w:val="Footer"/>
      <w:tabs>
        <w:tab w:val="clear" w:pos="4320"/>
        <w:tab w:val="clear" w:pos="8640"/>
      </w:tabs>
      <w:jc w:val="center"/>
    </w:pPr>
    <w:r>
      <w:t xml:space="preserve">D - </w:t>
    </w:r>
    <w:r>
      <w:rPr>
        <w:rStyle w:val="PageNumber"/>
      </w:rPr>
      <w:fldChar w:fldCharType="begin"/>
    </w:r>
    <w:r>
      <w:rPr>
        <w:rStyle w:val="PageNumber"/>
      </w:rPr>
      <w:instrText xml:space="preserve"> PAGE </w:instrText>
    </w:r>
    <w:r>
      <w:rPr>
        <w:rStyle w:val="PageNumber"/>
      </w:rPr>
      <w:fldChar w:fldCharType="separate"/>
    </w:r>
    <w:r w:rsidR="00DF0A3F">
      <w:rPr>
        <w:rStyle w:val="PageNumber"/>
        <w:noProof/>
      </w:rPr>
      <w:t>16</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63" w:rsidRDefault="00FE4663" w:rsidP="00F31C58">
    <w:pPr>
      <w:pStyle w:val="Footer"/>
      <w:tabs>
        <w:tab w:val="clear" w:pos="4320"/>
        <w:tab w:val="clear" w:pos="8640"/>
      </w:tabs>
      <w:jc w:val="center"/>
    </w:pPr>
    <w:r>
      <w:t xml:space="preserve">E - </w:t>
    </w:r>
    <w:r>
      <w:rPr>
        <w:rStyle w:val="PageNumber"/>
      </w:rPr>
      <w:fldChar w:fldCharType="begin"/>
    </w:r>
    <w:r>
      <w:rPr>
        <w:rStyle w:val="PageNumber"/>
      </w:rPr>
      <w:instrText xml:space="preserve"> PAGE </w:instrText>
    </w:r>
    <w:r>
      <w:rPr>
        <w:rStyle w:val="PageNumber"/>
      </w:rPr>
      <w:fldChar w:fldCharType="separate"/>
    </w:r>
    <w:r w:rsidR="00DF0A3F">
      <w:rPr>
        <w:rStyle w:val="PageNumber"/>
        <w:noProof/>
      </w:rPr>
      <w:t>2</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63" w:rsidRDefault="00FE4663" w:rsidP="00917548">
    <w:pPr>
      <w:jc w:val="center"/>
    </w:pPr>
    <w:r>
      <w:t xml:space="preserve">F - </w:t>
    </w:r>
    <w:r>
      <w:rPr>
        <w:rStyle w:val="PageNumber"/>
      </w:rPr>
      <w:fldChar w:fldCharType="begin"/>
    </w:r>
    <w:r>
      <w:rPr>
        <w:rStyle w:val="PageNumber"/>
      </w:rPr>
      <w:instrText xml:space="preserve"> PAGE </w:instrText>
    </w:r>
    <w:r>
      <w:rPr>
        <w:rStyle w:val="PageNumber"/>
      </w:rPr>
      <w:fldChar w:fldCharType="separate"/>
    </w:r>
    <w:r w:rsidR="00DF0A3F">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1B" w:rsidRDefault="00A0591B">
      <w:r>
        <w:separator/>
      </w:r>
    </w:p>
  </w:footnote>
  <w:footnote w:type="continuationSeparator" w:id="0">
    <w:p w:rsidR="00A0591B" w:rsidRDefault="00A0591B">
      <w:pPr>
        <w:rPr>
          <w:sz w:val="20"/>
        </w:rPr>
      </w:pPr>
      <w:r>
        <w:rPr>
          <w:sz w:val="20"/>
        </w:rPr>
        <w:t xml:space="preserve">(Continued from previous page)  </w:t>
      </w:r>
      <w:r>
        <w:rPr>
          <w:sz w:val="20"/>
        </w:rPr>
        <w:separator/>
      </w:r>
    </w:p>
  </w:footnote>
  <w:footnote w:type="continuationNotice" w:id="1">
    <w:p w:rsidR="00A0591B" w:rsidRDefault="00A0591B">
      <w:pPr>
        <w:rPr>
          <w:sz w:val="20"/>
        </w:rPr>
      </w:pPr>
      <w:r>
        <w:rPr>
          <w:sz w:val="20"/>
        </w:rPr>
        <w:t>(continued….)</w:t>
      </w:r>
    </w:p>
  </w:footnote>
  <w:footnote w:id="2">
    <w:p w:rsidR="00FE4663" w:rsidRPr="005A3439" w:rsidRDefault="00FE4663">
      <w:pPr>
        <w:pStyle w:val="FootnoteText"/>
      </w:pPr>
      <w:r>
        <w:rPr>
          <w:rStyle w:val="FootnoteReference"/>
        </w:rPr>
        <w:footnoteRef/>
      </w:r>
      <w:r>
        <w:t xml:space="preserve"> Service Rules for the Advanced Wireless Services H Block—Implementing Section 6401 of the Middle Class Tax Relief and Job Creation Act of 2012 Related to the 1915-1920 MHz and 1995-2000 MHz Bands, </w:t>
      </w:r>
      <w:r>
        <w:rPr>
          <w:i/>
        </w:rPr>
        <w:t>Report and Order</w:t>
      </w:r>
      <w:r>
        <w:t>, FCC 13-88, 28 FCC Rcd 9483 (2013) (</w:t>
      </w:r>
      <w:r>
        <w:rPr>
          <w:i/>
        </w:rPr>
        <w:t>H Block Report and Order</w:t>
      </w:r>
      <w:r>
        <w:t>)</w:t>
      </w:r>
      <w:r w:rsidRPr="004B1086">
        <w:t xml:space="preserve">.  </w:t>
      </w:r>
      <w:r w:rsidRPr="00616591">
        <w:t xml:space="preserve">All references to the Part 27 rules adopted </w:t>
      </w:r>
      <w:r>
        <w:t xml:space="preserve">by the Commission </w:t>
      </w:r>
      <w:r w:rsidRPr="00616591">
        <w:t xml:space="preserve">in the </w:t>
      </w:r>
      <w:r w:rsidRPr="00616591">
        <w:rPr>
          <w:i/>
        </w:rPr>
        <w:t xml:space="preserve">H Block Report and Order </w:t>
      </w:r>
      <w:r w:rsidRPr="00616591">
        <w:t xml:space="preserve">and cited herein will become effective on the dates announced in the Federal Register Notice regarding the </w:t>
      </w:r>
      <w:r w:rsidRPr="00616591">
        <w:rPr>
          <w:i/>
        </w:rPr>
        <w:t>H Block Report and Order</w:t>
      </w:r>
      <w:r>
        <w:t xml:space="preserve">.  </w:t>
      </w:r>
      <w:r>
        <w:rPr>
          <w:i/>
        </w:rPr>
        <w:t xml:space="preserve">See </w:t>
      </w:r>
      <w:r>
        <w:t>78 Fed. Reg. 50214 (Aug. 16, 2013).</w:t>
      </w:r>
    </w:p>
  </w:footnote>
  <w:footnote w:id="3">
    <w:p w:rsidR="00FE4663" w:rsidRDefault="00FE4663" w:rsidP="00317A96">
      <w:pPr>
        <w:pStyle w:val="FootnoteText"/>
      </w:pPr>
      <w:r>
        <w:rPr>
          <w:rStyle w:val="FootnoteReference"/>
        </w:rPr>
        <w:footnoteRef/>
      </w:r>
      <w:r>
        <w:t xml:space="preserve"> </w:t>
      </w:r>
      <w:r>
        <w:rPr>
          <w:i/>
          <w:iCs/>
        </w:rPr>
        <w:t>See</w:t>
      </w:r>
      <w:r>
        <w:t xml:space="preserve"> Middle Class Tax Relief and Job Creation Act of 2012, Pub. L. No. 112-96, 126 Stat. 156 (2012) (“Spectrum Act”).</w:t>
      </w:r>
    </w:p>
  </w:footnote>
  <w:footnote w:id="4">
    <w:p w:rsidR="00FE4663" w:rsidRDefault="00FE4663">
      <w:pPr>
        <w:pStyle w:val="FootnoteText"/>
      </w:pPr>
      <w:r>
        <w:rPr>
          <w:rStyle w:val="FootnoteReference"/>
        </w:rPr>
        <w:footnoteRef/>
      </w:r>
      <w:r>
        <w:t xml:space="preserve"> Spectrum Act, § 6401(b), codified at 47 U.S.C. § 1451(b).  The Commission concluded in the </w:t>
      </w:r>
      <w:r>
        <w:rPr>
          <w:i/>
        </w:rPr>
        <w:t>H Block Report and Order</w:t>
      </w:r>
      <w:r>
        <w:t xml:space="preserve"> that both blocks of the H Block spectrum are already allocated for non-Federal Fixed and Mobile use on a primary basis, with their present spectrum pairing, and that no further action to allocate the frequencies in the H Block bands for commercial use is necessary to meet the Spectrum Act’s allocation requirements.  </w:t>
      </w:r>
      <w:r>
        <w:rPr>
          <w:i/>
        </w:rPr>
        <w:t>See H Block Report and Order</w:t>
      </w:r>
      <w:r>
        <w:t xml:space="preserve">, 28 FCC Rcd </w:t>
      </w:r>
      <w:r w:rsidRPr="00964862">
        <w:t xml:space="preserve">at </w:t>
      </w:r>
      <w:r>
        <w:t xml:space="preserve">9490 ¶ </w:t>
      </w:r>
      <w:r w:rsidRPr="00982A8E">
        <w:t>14</w:t>
      </w:r>
      <w:r>
        <w:t xml:space="preserve">.  </w:t>
      </w:r>
      <w:r w:rsidRPr="002220FF">
        <w:rPr>
          <w:i/>
        </w:rPr>
        <w:t>See</w:t>
      </w:r>
      <w:r w:rsidRPr="002220FF">
        <w:t xml:space="preserve"> </w:t>
      </w:r>
      <w:r w:rsidRPr="005F0BC4">
        <w:rPr>
          <w:i/>
        </w:rPr>
        <w:t xml:space="preserve">also </w:t>
      </w:r>
      <w:r w:rsidRPr="002220FF">
        <w:t>Amendment of Part 2 of the Commission’s Rules to Allocate Spectrum Below 3</w:t>
      </w:r>
      <w:r>
        <w:t> </w:t>
      </w:r>
      <w:r w:rsidRPr="002220FF">
        <w:t xml:space="preserve">GHz for Mobile and Fixed Services to Support the Introduction of New Advanced Wireless Services, including Third Generation Wireless Systems, ET Docket No. 00-258, </w:t>
      </w:r>
      <w:r>
        <w:t xml:space="preserve">RM-9498, RM-10024, </w:t>
      </w:r>
      <w:r w:rsidRPr="002220FF">
        <w:rPr>
          <w:i/>
        </w:rPr>
        <w:t>Third Report and Order, Third Notice of Proposed Rulemaking and Second Memorandum Opinion and Order</w:t>
      </w:r>
      <w:r w:rsidRPr="002220FF">
        <w:t xml:space="preserve">, </w:t>
      </w:r>
      <w:r w:rsidRPr="0049456A">
        <w:t>18 FCC Rcd 2223</w:t>
      </w:r>
      <w:r>
        <w:t>, 2238 ¶ 28</w:t>
      </w:r>
      <w:r w:rsidRPr="002220FF">
        <w:t xml:space="preserve"> (2003)</w:t>
      </w:r>
      <w:r>
        <w:t xml:space="preserve">; </w:t>
      </w:r>
      <w:r w:rsidRPr="002220FF">
        <w:t xml:space="preserve">Amendment of Part 2 of the Commission’s Rules to Allocate Spectrum Below 3 GHz for Mobile and Fixed Services to Support the Introduction of New Advanced Wireless Services, Including Third Generation Wireless Systems, ET Docket No. 00-258, </w:t>
      </w:r>
      <w:r>
        <w:t xml:space="preserve">IB Docket No. 99-81, </w:t>
      </w:r>
      <w:r w:rsidRPr="002220FF">
        <w:rPr>
          <w:i/>
        </w:rPr>
        <w:t>Sixth Report and Order, Third</w:t>
      </w:r>
      <w:r w:rsidRPr="002220FF">
        <w:t xml:space="preserve"> </w:t>
      </w:r>
      <w:r w:rsidRPr="002220FF">
        <w:rPr>
          <w:i/>
        </w:rPr>
        <w:t>Memorandum Opinion and Order and Fifth Memorandum Opinion and Order</w:t>
      </w:r>
      <w:r w:rsidRPr="002220FF">
        <w:t xml:space="preserve">, 19 FCC Rcd </w:t>
      </w:r>
      <w:r w:rsidRPr="0049456A">
        <w:t>20720</w:t>
      </w:r>
      <w:r>
        <w:t>, 20722 ¶ 1</w:t>
      </w:r>
      <w:r w:rsidRPr="002220FF">
        <w:t xml:space="preserve"> (2004)</w:t>
      </w:r>
      <w:r>
        <w:t>.</w:t>
      </w:r>
    </w:p>
  </w:footnote>
  <w:footnote w:id="5">
    <w:p w:rsidR="00FE4663" w:rsidRDefault="00FE4663" w:rsidP="00BE180E">
      <w:pPr>
        <w:pStyle w:val="FootnoteText"/>
      </w:pPr>
      <w:r>
        <w:rPr>
          <w:rStyle w:val="FootnoteReference"/>
        </w:rPr>
        <w:footnoteRef/>
      </w:r>
      <w:r>
        <w:t xml:space="preserve"> </w:t>
      </w:r>
      <w:r w:rsidRPr="007E5680">
        <w:t xml:space="preserve">47 U.S.C. § 309(j)(3)(E)(i) (requirement to seek comment on proposed auction procedures); </w:t>
      </w:r>
      <w:r w:rsidRPr="007E5680">
        <w:rPr>
          <w:i/>
        </w:rPr>
        <w:t xml:space="preserve">see also </w:t>
      </w:r>
      <w:r w:rsidRPr="007E5680">
        <w:t>47 U.S.C. § 309(j)(4)(F) (authorization to prescribe reserve price or minimum bid);</w:t>
      </w:r>
      <w:r w:rsidRPr="007E5680">
        <w:rPr>
          <w:i/>
        </w:rPr>
        <w:t xml:space="preserve"> </w:t>
      </w:r>
      <w:r w:rsidRPr="007E5680">
        <w:t>47 C.F.R. §§ 1.2104(c) and (d).</w:t>
      </w:r>
      <w:r>
        <w:t xml:space="preserve"> </w:t>
      </w:r>
    </w:p>
  </w:footnote>
  <w:footnote w:id="6">
    <w:p w:rsidR="00FE4663" w:rsidRDefault="00FE4663" w:rsidP="00BE180E">
      <w:pPr>
        <w:pStyle w:val="FootnoteText"/>
      </w:pPr>
      <w:r>
        <w:rPr>
          <w:rStyle w:val="FootnoteReference"/>
        </w:rPr>
        <w:footnoteRef/>
      </w:r>
      <w:r>
        <w:t xml:space="preserve"> </w:t>
      </w:r>
      <w:r w:rsidRPr="007E5680">
        <w:rPr>
          <w:rStyle w:val="FootnoteTextCharCharCharChar3CharCharChar1"/>
        </w:rPr>
        <w:t xml:space="preserve">Auction of </w:t>
      </w:r>
      <w:r>
        <w:rPr>
          <w:rStyle w:val="FootnoteTextCharCharCharChar3CharCharChar1"/>
        </w:rPr>
        <w:t>H Block Licenses in the 1915-1920 MHz and 1995-2000 MHz Bands</w:t>
      </w:r>
      <w:r w:rsidRPr="00DF7948">
        <w:rPr>
          <w:rStyle w:val="FootnoteTextCharCharCharChar3CharCharChar1"/>
        </w:rPr>
        <w:t>; Comment Sought on Competitive Bidding Procedures For Auction 9</w:t>
      </w:r>
      <w:r>
        <w:rPr>
          <w:rStyle w:val="FootnoteTextCharCharCharChar3CharCharChar1"/>
        </w:rPr>
        <w:t>6</w:t>
      </w:r>
      <w:r w:rsidRPr="00DF7948">
        <w:rPr>
          <w:rStyle w:val="FootnoteTextCharCharCharChar3CharCharChar1"/>
        </w:rPr>
        <w:t>, AU Docket No. 1</w:t>
      </w:r>
      <w:r>
        <w:rPr>
          <w:rStyle w:val="FootnoteTextCharCharCharChar3CharCharChar1"/>
        </w:rPr>
        <w:t>3</w:t>
      </w:r>
      <w:r w:rsidRPr="00DF7948">
        <w:rPr>
          <w:rStyle w:val="FootnoteTextCharCharCharChar3CharCharChar1"/>
        </w:rPr>
        <w:t>-</w:t>
      </w:r>
      <w:r>
        <w:rPr>
          <w:rStyle w:val="FootnoteTextCharCharCharChar3CharCharChar1"/>
        </w:rPr>
        <w:t>178</w:t>
      </w:r>
      <w:r w:rsidRPr="00DF7948">
        <w:rPr>
          <w:rStyle w:val="FootnoteTextCharCharCharChar3CharCharChar1"/>
        </w:rPr>
        <w:t xml:space="preserve">, </w:t>
      </w:r>
      <w:r w:rsidRPr="00DF7948">
        <w:rPr>
          <w:rStyle w:val="FootnoteTextCharCharCharChar3CharCharChar1"/>
          <w:i/>
        </w:rPr>
        <w:t>Public Notice</w:t>
      </w:r>
      <w:r w:rsidRPr="00DF7948">
        <w:rPr>
          <w:rStyle w:val="FootnoteTextCharCharCharChar3CharCharChar1"/>
        </w:rPr>
        <w:t>, DA 1</w:t>
      </w:r>
      <w:r>
        <w:rPr>
          <w:rStyle w:val="FootnoteTextCharCharCharChar3CharCharChar1"/>
        </w:rPr>
        <w:t>3</w:t>
      </w:r>
      <w:r w:rsidRPr="00DF7948">
        <w:rPr>
          <w:rStyle w:val="FootnoteTextCharCharCharChar3CharCharChar1"/>
        </w:rPr>
        <w:t>-</w:t>
      </w:r>
      <w:r>
        <w:rPr>
          <w:rStyle w:val="FootnoteTextCharCharCharChar3CharCharChar1"/>
        </w:rPr>
        <w:t>1540, 28 FCC Rcd 10013</w:t>
      </w:r>
      <w:r w:rsidRPr="00DF7948">
        <w:rPr>
          <w:rStyle w:val="FootnoteTextCharCharCharChar3CharCharChar1"/>
        </w:rPr>
        <w:t xml:space="preserve"> (</w:t>
      </w:r>
      <w:r>
        <w:rPr>
          <w:rStyle w:val="FootnoteTextCharCharCharChar3CharCharChar1"/>
        </w:rPr>
        <w:t>WTB</w:t>
      </w:r>
      <w:r w:rsidRPr="00DF7948">
        <w:rPr>
          <w:rStyle w:val="FootnoteTextCharCharCharChar3CharCharChar1"/>
        </w:rPr>
        <w:t xml:space="preserve"> 201</w:t>
      </w:r>
      <w:r>
        <w:rPr>
          <w:rStyle w:val="FootnoteTextCharCharCharChar3CharCharChar1"/>
        </w:rPr>
        <w:t>3</w:t>
      </w:r>
      <w:r w:rsidRPr="00DF7948">
        <w:rPr>
          <w:rStyle w:val="FootnoteTextCharCharCharChar3CharCharChar1"/>
        </w:rPr>
        <w:t>) (“</w:t>
      </w:r>
      <w:r w:rsidRPr="00DF7948">
        <w:rPr>
          <w:rStyle w:val="FootnoteTextCharCharCharChar3CharCharChar1"/>
          <w:i/>
        </w:rPr>
        <w:t>Auction 9</w:t>
      </w:r>
      <w:r>
        <w:rPr>
          <w:rStyle w:val="FootnoteTextCharCharCharChar3CharCharChar1"/>
          <w:i/>
        </w:rPr>
        <w:t>6</w:t>
      </w:r>
      <w:r w:rsidRPr="00DF7948">
        <w:rPr>
          <w:rStyle w:val="FootnoteTextCharCharCharChar3CharCharChar1"/>
          <w:i/>
        </w:rPr>
        <w:t xml:space="preserve"> Comment Public Notice</w:t>
      </w:r>
      <w:r w:rsidRPr="00DF7948">
        <w:rPr>
          <w:rStyle w:val="FootnoteTextCharCharCharChar3CharCharChar1"/>
        </w:rPr>
        <w:t xml:space="preserve">”).  </w:t>
      </w:r>
      <w:r w:rsidRPr="005F6D1A">
        <w:rPr>
          <w:rStyle w:val="FootnoteTextCharCharCharChar3CharCharChar1"/>
        </w:rPr>
        <w:t xml:space="preserve">A summary of this public notice was published </w:t>
      </w:r>
      <w:r w:rsidRPr="007169CE">
        <w:rPr>
          <w:rStyle w:val="FootnoteTextCharCharCharChar3CharCharChar1"/>
        </w:rPr>
        <w:t xml:space="preserve">at </w:t>
      </w:r>
      <w:r w:rsidRPr="00115B71">
        <w:rPr>
          <w:rStyle w:val="FootnoteTextCharCharCharChar3CharCharChar1"/>
        </w:rPr>
        <w:t xml:space="preserve">78 Fed. Reg. </w:t>
      </w:r>
      <w:r>
        <w:rPr>
          <w:rStyle w:val="FootnoteTextCharCharCharChar3CharCharChar1"/>
        </w:rPr>
        <w:t>45524</w:t>
      </w:r>
      <w:r w:rsidRPr="00115B71">
        <w:rPr>
          <w:rStyle w:val="FootnoteTextCharCharCharChar3CharCharChar1"/>
        </w:rPr>
        <w:t xml:space="preserve"> (</w:t>
      </w:r>
      <w:r>
        <w:rPr>
          <w:rStyle w:val="FootnoteTextCharCharCharChar3CharCharChar1"/>
        </w:rPr>
        <w:t>Jul</w:t>
      </w:r>
      <w:r w:rsidRPr="00115B71">
        <w:rPr>
          <w:rStyle w:val="FootnoteTextCharCharCharChar3CharCharChar1"/>
        </w:rPr>
        <w:t xml:space="preserve">. </w:t>
      </w:r>
      <w:r>
        <w:rPr>
          <w:rStyle w:val="FootnoteTextCharCharCharChar3CharCharChar1"/>
        </w:rPr>
        <w:t>29</w:t>
      </w:r>
      <w:r w:rsidRPr="00115B71">
        <w:rPr>
          <w:rStyle w:val="FootnoteTextCharCharCharChar3CharCharChar1"/>
        </w:rPr>
        <w:t>, 2013).</w:t>
      </w:r>
    </w:p>
  </w:footnote>
  <w:footnote w:id="7">
    <w:p w:rsidR="00FE4663" w:rsidRPr="00D727D6" w:rsidRDefault="00FE4663">
      <w:pPr>
        <w:pStyle w:val="FootnoteText"/>
      </w:pPr>
      <w:r>
        <w:rPr>
          <w:rStyle w:val="FootnoteReference"/>
        </w:rPr>
        <w:footnoteRef/>
      </w:r>
      <w:r>
        <w:t xml:space="preserve"> A listing of the parties that filed comments, reply comments, and </w:t>
      </w:r>
      <w:r>
        <w:rPr>
          <w:i/>
        </w:rPr>
        <w:t>ex parte</w:t>
      </w:r>
      <w:r>
        <w:t xml:space="preserve"> notices can be found in Attachment C.  Commenters are identified in this Public Notice by the abbreviated names shown in Attachment C.</w:t>
      </w:r>
    </w:p>
  </w:footnote>
  <w:footnote w:id="8">
    <w:p w:rsidR="00FE4663" w:rsidRPr="00C24092" w:rsidRDefault="00FE4663" w:rsidP="00ED3911">
      <w:pPr>
        <w:pStyle w:val="FootnoteText"/>
      </w:pPr>
      <w:r>
        <w:rPr>
          <w:rStyle w:val="FootnoteReference"/>
        </w:rPr>
        <w:footnoteRef/>
      </w:r>
      <w:r>
        <w:t xml:space="preserve"> </w:t>
      </w:r>
      <w:r>
        <w:rPr>
          <w:i/>
        </w:rPr>
        <w:t>See H Block Report and Order</w:t>
      </w:r>
      <w:r>
        <w:t>, 28 FCC Rcd</w:t>
      </w:r>
      <w:r>
        <w:rPr>
          <w:i/>
        </w:rPr>
        <w:t xml:space="preserve"> </w:t>
      </w:r>
      <w:r>
        <w:t xml:space="preserve">at 9500, 9502 ¶¶ </w:t>
      </w:r>
      <w:r w:rsidRPr="008C59D6">
        <w:t>37, 45</w:t>
      </w:r>
      <w:r>
        <w:t xml:space="preserve">; 47 C.F.R. § 27.6.  A few commenters ask that smaller geographic licensing areas, such as Cellular Market Areas (“CMAs”), be used to license the H Block spectrum.  </w:t>
      </w:r>
      <w:r>
        <w:rPr>
          <w:i/>
        </w:rPr>
        <w:t>See</w:t>
      </w:r>
      <w:r>
        <w:t xml:space="preserve"> Cellcom/Pioneer Cellular Joint Reply Comments at 1, 2-5; NTELOS Holdings Reply Comments at 1, 3, 11; </w:t>
      </w:r>
      <w:r>
        <w:rPr>
          <w:i/>
        </w:rPr>
        <w:t xml:space="preserve">see also </w:t>
      </w:r>
      <w:r>
        <w:t xml:space="preserve">CCA Reply Comments at 3-4. </w:t>
      </w:r>
      <w:r w:rsidRPr="008D3C4A">
        <w:t>The requirement that the H Block</w:t>
      </w:r>
      <w:r>
        <w:t xml:space="preserve"> spectrum</w:t>
      </w:r>
      <w:r w:rsidRPr="008D3C4A">
        <w:t xml:space="preserve"> be licensed on an EA-basis was adopted by the Commission as a rule in the </w:t>
      </w:r>
      <w:r w:rsidRPr="008D3C4A">
        <w:rPr>
          <w:i/>
        </w:rPr>
        <w:t>H Block Report and Order</w:t>
      </w:r>
      <w:r>
        <w:rPr>
          <w:i/>
        </w:rPr>
        <w:t xml:space="preserve">.  </w:t>
      </w:r>
      <w:r>
        <w:t>A Commission rule</w:t>
      </w:r>
      <w:r w:rsidRPr="008D3C4A">
        <w:t xml:space="preserve"> cannot be amended in the context of </w:t>
      </w:r>
      <w:r>
        <w:t xml:space="preserve">this proceeding </w:t>
      </w:r>
      <w:r w:rsidRPr="008D3C4A">
        <w:t>establishing the procedures for Auction 96</w:t>
      </w:r>
      <w:r>
        <w:t xml:space="preserve"> because such action is outside of the scope of the Bureau’s delegated authority</w:t>
      </w:r>
      <w:r w:rsidRPr="008D3C4A">
        <w:t>.</w:t>
      </w:r>
      <w:r>
        <w:t xml:space="preserve">  </w:t>
      </w:r>
      <w:r>
        <w:rPr>
          <w:i/>
        </w:rPr>
        <w:t>See</w:t>
      </w:r>
      <w:r>
        <w:t xml:space="preserve"> 47 C.F.R. § 0.131.</w:t>
      </w:r>
    </w:p>
  </w:footnote>
  <w:footnote w:id="9">
    <w:p w:rsidR="00FE4663" w:rsidRPr="003379D8" w:rsidRDefault="00FE4663" w:rsidP="00ED3911">
      <w:pPr>
        <w:pStyle w:val="FootnoteText"/>
      </w:pPr>
      <w:r>
        <w:rPr>
          <w:rStyle w:val="FootnoteReference"/>
        </w:rPr>
        <w:footnoteRef/>
      </w:r>
      <w:r>
        <w:t xml:space="preserve"> </w:t>
      </w:r>
      <w:r>
        <w:rPr>
          <w:i/>
        </w:rPr>
        <w:t>See id</w:t>
      </w:r>
      <w:r>
        <w:t>. at 9496-97 ¶¶ 28-29.</w:t>
      </w:r>
    </w:p>
  </w:footnote>
  <w:footnote w:id="10">
    <w:p w:rsidR="00FE4663" w:rsidRPr="00F45F9A" w:rsidRDefault="00FE4663">
      <w:pPr>
        <w:pStyle w:val="FootnoteText"/>
      </w:pPr>
      <w:r>
        <w:rPr>
          <w:rStyle w:val="FootnoteReference"/>
        </w:rPr>
        <w:footnoteRef/>
      </w:r>
      <w:r>
        <w:t xml:space="preserve"> </w:t>
      </w:r>
      <w:r>
        <w:rPr>
          <w:i/>
        </w:rPr>
        <w:t xml:space="preserve">See </w:t>
      </w:r>
      <w:r>
        <w:t xml:space="preserve">47 C.F.R. Part 1, Subpart Q.  </w:t>
      </w:r>
    </w:p>
  </w:footnote>
  <w:footnote w:id="11">
    <w:p w:rsidR="00FE4663" w:rsidRPr="00CA1BA0" w:rsidRDefault="00FE4663" w:rsidP="0083488E">
      <w:pPr>
        <w:pStyle w:val="FootnoteText"/>
      </w:pPr>
      <w:r w:rsidRPr="007E5680">
        <w:rPr>
          <w:rStyle w:val="FootnoteReference"/>
        </w:rPr>
        <w:footnoteRef/>
      </w:r>
      <w:r w:rsidRPr="007E5680">
        <w:t xml:space="preserve"> </w:t>
      </w:r>
      <w:r w:rsidRPr="007E5680">
        <w:rPr>
          <w:i/>
        </w:rPr>
        <w:t>See</w:t>
      </w:r>
      <w:r w:rsidRPr="007E5680">
        <w:t xml:space="preserve">, </w:t>
      </w:r>
      <w:r w:rsidRPr="007E5680">
        <w:rPr>
          <w:i/>
        </w:rPr>
        <w:t>e.g</w:t>
      </w:r>
      <w:r w:rsidRPr="007E5680">
        <w:t xml:space="preserve">., Amendment of Part 1 of the Commission's Rules – Competitive Bidding Procedures, WT Docket No. 97-82, </w:t>
      </w:r>
      <w:r w:rsidRPr="007E5680">
        <w:rPr>
          <w:i/>
        </w:rPr>
        <w:t>Order on Reconsideration of the Third Report and Order, Fifth Report and Order, and Fourth Further Notice of Proposed Rule Making</w:t>
      </w:r>
      <w:r w:rsidRPr="007E5680">
        <w:t>, FCC 00-274, 15 FCC Rcd 15293 (2000) (“</w:t>
      </w:r>
      <w:r w:rsidRPr="007E5680">
        <w:rPr>
          <w:i/>
        </w:rPr>
        <w:t>Part 1 Fifth Report and Order</w:t>
      </w:r>
      <w:r w:rsidRPr="007E5680">
        <w:t xml:space="preserve">”)(modified by Erratum, DA 00-2475 (rel. Nov. 3, 2000)); </w:t>
      </w:r>
      <w:r w:rsidRPr="007E5680">
        <w:rPr>
          <w:i/>
        </w:rPr>
        <w:t>Seventh Report and Order</w:t>
      </w:r>
      <w:r w:rsidRPr="007E5680">
        <w:t>, FCC 01-270, 16 FCC Rcd 17546 (2001) (“</w:t>
      </w:r>
      <w:r w:rsidRPr="007E5680">
        <w:rPr>
          <w:i/>
        </w:rPr>
        <w:t>Part 1 Seventh Report and Order</w:t>
      </w:r>
      <w:r w:rsidRPr="007E5680">
        <w:t xml:space="preserve">”); </w:t>
      </w:r>
      <w:r w:rsidRPr="007E5680">
        <w:rPr>
          <w:i/>
        </w:rPr>
        <w:t>Eighth Report and Order</w:t>
      </w:r>
      <w:r w:rsidRPr="007E5680">
        <w:t xml:space="preserve">, FCC 02-34, 17 FCC Rcd 2962 (2002); </w:t>
      </w:r>
      <w:r w:rsidRPr="007E5680">
        <w:rPr>
          <w:i/>
        </w:rPr>
        <w:t>Second Order on Reconsideration of the Third Report and Order and Order on Reconsideration of the Fifth Report and Order</w:t>
      </w:r>
      <w:r w:rsidRPr="007E5680">
        <w:t xml:space="preserve">, FCC 03-98, 18 FCC Rcd 10180 (2003); </w:t>
      </w:r>
      <w:r w:rsidRPr="007E5680">
        <w:rPr>
          <w:i/>
        </w:rPr>
        <w:t>Second Order on</w:t>
      </w:r>
      <w:r w:rsidRPr="00BD752F">
        <w:rPr>
          <w:i/>
        </w:rPr>
        <w:t xml:space="preserve"> Reconsideration of the Fifth Report and Order, </w:t>
      </w:r>
      <w:r>
        <w:t xml:space="preserve">FCC 04-295, </w:t>
      </w:r>
      <w:r w:rsidRPr="00551C5F">
        <w:t>20 FCC Rcd 1942 (2005).</w:t>
      </w:r>
      <w:r w:rsidRPr="00BD752F">
        <w:t xml:space="preserve"> </w:t>
      </w:r>
      <w:r w:rsidRPr="00CA1BA0">
        <w:t xml:space="preserve"> </w:t>
      </w:r>
    </w:p>
  </w:footnote>
  <w:footnote w:id="12">
    <w:p w:rsidR="00FE4663" w:rsidRPr="00004FFD" w:rsidRDefault="00FE4663">
      <w:pPr>
        <w:pStyle w:val="FootnoteText"/>
        <w:rPr>
          <w:i/>
        </w:rPr>
      </w:pPr>
      <w:r>
        <w:rPr>
          <w:rStyle w:val="FootnoteReference"/>
        </w:rPr>
        <w:footnoteRef/>
      </w:r>
      <w:r>
        <w:t xml:space="preserve"> </w:t>
      </w:r>
      <w:r w:rsidRPr="00BE0A13">
        <w:rPr>
          <w:i/>
        </w:rPr>
        <w:t xml:space="preserve">See </w:t>
      </w:r>
      <w:r w:rsidRPr="00BE0A13">
        <w:rPr>
          <w:szCs w:val="22"/>
        </w:rPr>
        <w:t xml:space="preserve">47 C.F.R. </w:t>
      </w:r>
      <w:r w:rsidRPr="00BE0A13">
        <w:t>Part 2</w:t>
      </w:r>
      <w:r>
        <w:t xml:space="preserve">7.  </w:t>
      </w:r>
    </w:p>
  </w:footnote>
  <w:footnote w:id="13">
    <w:p w:rsidR="00FE4663" w:rsidRPr="001303F0" w:rsidRDefault="00FE4663">
      <w:pPr>
        <w:pStyle w:val="FootnoteText"/>
      </w:pPr>
      <w:r>
        <w:rPr>
          <w:rStyle w:val="FootnoteReference"/>
        </w:rPr>
        <w:footnoteRef/>
      </w:r>
      <w:r>
        <w:t xml:space="preserve"> </w:t>
      </w:r>
      <w:r>
        <w:rPr>
          <w:i/>
        </w:rPr>
        <w:t>See</w:t>
      </w:r>
      <w:r>
        <w:t xml:space="preserve"> Section I.C.3. “Cost-Sharing Obligations,” below.</w:t>
      </w:r>
    </w:p>
  </w:footnote>
  <w:footnote w:id="14">
    <w:p w:rsidR="00FE4663" w:rsidRDefault="00FE4663">
      <w:pPr>
        <w:pStyle w:val="FootnoteText"/>
      </w:pPr>
      <w:r>
        <w:rPr>
          <w:rStyle w:val="FootnoteReference"/>
        </w:rPr>
        <w:footnoteRef/>
      </w:r>
      <w:r>
        <w:t xml:space="preserve"> </w:t>
      </w:r>
      <w:r>
        <w:rPr>
          <w:i/>
        </w:rPr>
        <w:t xml:space="preserve">See </w:t>
      </w:r>
      <w:r>
        <w:rPr>
          <w:szCs w:val="22"/>
        </w:rPr>
        <w:t xml:space="preserve">47 C.F.R. Part 1, Subpart I.  </w:t>
      </w:r>
    </w:p>
  </w:footnote>
  <w:footnote w:id="15">
    <w:p w:rsidR="00FE4663" w:rsidRPr="00915E0F" w:rsidRDefault="00FE4663" w:rsidP="0083488E">
      <w:pPr>
        <w:spacing w:after="120"/>
        <w:rPr>
          <w:sz w:val="20"/>
        </w:rPr>
      </w:pPr>
      <w:r w:rsidRPr="00915E0F">
        <w:rPr>
          <w:rStyle w:val="FootnoteReference"/>
          <w:sz w:val="20"/>
        </w:rPr>
        <w:footnoteRef/>
      </w:r>
      <w:r w:rsidRPr="00915E0F">
        <w:rPr>
          <w:sz w:val="20"/>
        </w:rPr>
        <w:t xml:space="preserve"> </w:t>
      </w:r>
      <w:r w:rsidRPr="00915E0F">
        <w:rPr>
          <w:rStyle w:val="FootnoteTextChar3"/>
          <w:sz w:val="20"/>
        </w:rPr>
        <w:t xml:space="preserve">When ordering documents from BCPI, please provide the appropriate FCC document number (for example, </w:t>
      </w:r>
      <w:r>
        <w:t xml:space="preserve">FCC 13-88 for the </w:t>
      </w:r>
      <w:r>
        <w:rPr>
          <w:i/>
        </w:rPr>
        <w:t>H Block Report and Order</w:t>
      </w:r>
      <w:r w:rsidRPr="00A06949">
        <w:t>,</w:t>
      </w:r>
      <w:r>
        <w:rPr>
          <w:i/>
        </w:rPr>
        <w:t xml:space="preserve"> </w:t>
      </w:r>
      <w:r>
        <w:t xml:space="preserve">or </w:t>
      </w:r>
      <w:r>
        <w:rPr>
          <w:rStyle w:val="FootnoteTextChar3"/>
          <w:sz w:val="20"/>
        </w:rPr>
        <w:t xml:space="preserve">DA </w:t>
      </w:r>
      <w:r w:rsidRPr="005749A5">
        <w:rPr>
          <w:rStyle w:val="FootnoteTextChar3"/>
          <w:sz w:val="20"/>
        </w:rPr>
        <w:t>1</w:t>
      </w:r>
      <w:r>
        <w:rPr>
          <w:rStyle w:val="FootnoteTextChar3"/>
          <w:sz w:val="20"/>
        </w:rPr>
        <w:t>3</w:t>
      </w:r>
      <w:r w:rsidRPr="005749A5">
        <w:rPr>
          <w:rStyle w:val="FootnoteTextChar3"/>
          <w:sz w:val="20"/>
        </w:rPr>
        <w:t>-</w:t>
      </w:r>
      <w:r>
        <w:rPr>
          <w:rStyle w:val="FootnoteTextChar3"/>
          <w:sz w:val="20"/>
        </w:rPr>
        <w:t>1540</w:t>
      </w:r>
      <w:r w:rsidRPr="005749A5">
        <w:rPr>
          <w:rStyle w:val="FootnoteTextChar3"/>
          <w:sz w:val="20"/>
        </w:rPr>
        <w:t xml:space="preserve"> for</w:t>
      </w:r>
      <w:r w:rsidRPr="00A84138">
        <w:rPr>
          <w:rStyle w:val="FootnoteTextChar3"/>
          <w:sz w:val="20"/>
        </w:rPr>
        <w:t xml:space="preserve"> the </w:t>
      </w:r>
      <w:r w:rsidRPr="00A84138">
        <w:rPr>
          <w:rStyle w:val="FootnoteTextCharCharCharChar3CharCharChar1"/>
          <w:i/>
          <w:sz w:val="20"/>
        </w:rPr>
        <w:t>Auction 9</w:t>
      </w:r>
      <w:r>
        <w:rPr>
          <w:rStyle w:val="FootnoteTextCharCharCharChar3CharCharChar1"/>
          <w:i/>
          <w:sz w:val="20"/>
        </w:rPr>
        <w:t>6</w:t>
      </w:r>
      <w:r w:rsidRPr="00A84138">
        <w:rPr>
          <w:rStyle w:val="FootnoteTextCharCharCharChar3CharCharChar1"/>
          <w:i/>
          <w:sz w:val="20"/>
        </w:rPr>
        <w:t xml:space="preserve"> Comment </w:t>
      </w:r>
      <w:r w:rsidRPr="00A84138">
        <w:rPr>
          <w:rStyle w:val="FootnoteTextChar3"/>
          <w:i/>
          <w:sz w:val="20"/>
        </w:rPr>
        <w:t>Public Notice</w:t>
      </w:r>
      <w:r w:rsidRPr="00915E0F">
        <w:rPr>
          <w:rStyle w:val="FootnoteTextChar3"/>
          <w:sz w:val="20"/>
        </w:rPr>
        <w:t>).</w:t>
      </w:r>
      <w:r w:rsidRPr="00A221BC">
        <w:rPr>
          <w:rStyle w:val="FootnoteTextChar3"/>
          <w:sz w:val="20"/>
        </w:rPr>
        <w:t xml:space="preserve"> </w:t>
      </w:r>
    </w:p>
  </w:footnote>
  <w:footnote w:id="16">
    <w:p w:rsidR="00FE4663" w:rsidRPr="0083488E" w:rsidRDefault="00FE4663" w:rsidP="0083488E">
      <w:pPr>
        <w:pStyle w:val="FootnoteText"/>
      </w:pPr>
      <w:r w:rsidRPr="00915E0F">
        <w:rPr>
          <w:rStyle w:val="FootnoteReference"/>
          <w:sz w:val="20"/>
        </w:rPr>
        <w:footnoteRef/>
      </w:r>
      <w:r w:rsidRPr="00915E0F">
        <w:t xml:space="preserve"> </w:t>
      </w:r>
      <w:r>
        <w:rPr>
          <w:i/>
        </w:rPr>
        <w:t>See</w:t>
      </w:r>
      <w:r>
        <w:t xml:space="preserve"> 47 C.F.R. §§ 1.2105(a)(2)(viii), 1.2105(</w:t>
      </w:r>
      <w:r w:rsidRPr="007E5680">
        <w:t xml:space="preserve">c)(1); </w:t>
      </w:r>
      <w:r w:rsidRPr="007E5680">
        <w:rPr>
          <w:i/>
        </w:rPr>
        <w:t>see also</w:t>
      </w:r>
      <w:r w:rsidRPr="007E5680">
        <w:t xml:space="preserve"> </w:t>
      </w:r>
      <w:r w:rsidRPr="007E5680">
        <w:rPr>
          <w:i/>
        </w:rPr>
        <w:t xml:space="preserve">Part 1 Seventh Report and </w:t>
      </w:r>
      <w:r w:rsidRPr="0083488E">
        <w:rPr>
          <w:i/>
        </w:rPr>
        <w:t>Order</w:t>
      </w:r>
      <w:r w:rsidRPr="0083488E">
        <w:t>, 16 FCC Rcd at 17546.</w:t>
      </w:r>
      <w:r>
        <w:t xml:space="preserve"> </w:t>
      </w:r>
    </w:p>
  </w:footnote>
  <w:footnote w:id="17">
    <w:p w:rsidR="00FE4663" w:rsidRPr="005D5B8B" w:rsidRDefault="00FE4663" w:rsidP="0083488E">
      <w:pPr>
        <w:pStyle w:val="FootnoteText"/>
        <w:rPr>
          <w:i/>
        </w:rPr>
      </w:pPr>
      <w:r>
        <w:rPr>
          <w:rStyle w:val="FootnoteReference"/>
        </w:rPr>
        <w:footnoteRef/>
      </w:r>
      <w:r>
        <w:t xml:space="preserve"> </w:t>
      </w:r>
      <w:r>
        <w:rPr>
          <w:i/>
        </w:rPr>
        <w:t xml:space="preserve">See, e.g., </w:t>
      </w:r>
      <w:r w:rsidRPr="005D5B8B">
        <w:t>Wireless Telecommunications Bureau Provides Guidance on the Anti</w:t>
      </w:r>
      <w:r>
        <w:t>-</w:t>
      </w:r>
      <w:r w:rsidRPr="005D5B8B">
        <w:t xml:space="preserve">Collusion Rule for D, E and F Block Bidders, </w:t>
      </w:r>
      <w:r w:rsidRPr="005D5B8B">
        <w:rPr>
          <w:i/>
        </w:rPr>
        <w:t>Public Notice</w:t>
      </w:r>
      <w:r w:rsidRPr="005D5B8B">
        <w:t xml:space="preserve">, </w:t>
      </w:r>
      <w:r>
        <w:t xml:space="preserve">DA 96-1460, </w:t>
      </w:r>
      <w:r w:rsidRPr="005D5B8B">
        <w:t>11 FCC R</w:t>
      </w:r>
      <w:r>
        <w:t>cd 10134 (</w:t>
      </w:r>
      <w:r w:rsidRPr="005D5B8B">
        <w:t>1996</w:t>
      </w:r>
      <w:r>
        <w:t xml:space="preserve">). </w:t>
      </w:r>
    </w:p>
  </w:footnote>
  <w:footnote w:id="18">
    <w:p w:rsidR="00FE4663" w:rsidRPr="002519AE" w:rsidRDefault="00FE4663" w:rsidP="0083488E">
      <w:pPr>
        <w:pStyle w:val="FootnoteText"/>
      </w:pPr>
      <w:r w:rsidRPr="007E5680">
        <w:rPr>
          <w:rStyle w:val="FootnoteReference"/>
          <w:color w:val="000000"/>
        </w:rPr>
        <w:footnoteRef/>
      </w:r>
      <w:r w:rsidRPr="007E5680">
        <w:t xml:space="preserve"> </w:t>
      </w:r>
      <w:r w:rsidRPr="007E5680">
        <w:rPr>
          <w:i/>
        </w:rPr>
        <w:t>See, e.g</w:t>
      </w:r>
      <w:r w:rsidRPr="007E5680">
        <w:t xml:space="preserve">., Star Wireless, LLC, </w:t>
      </w:r>
      <w:r w:rsidRPr="00A65F60">
        <w:rPr>
          <w:i/>
        </w:rPr>
        <w:t>Forfeiture Order</w:t>
      </w:r>
      <w:r w:rsidRPr="00A65F60">
        <w:t xml:space="preserve">, DA 04-3026, 19 FCC Rcd 18626, 18628 ¶ 4 &amp; n.19 (EB 2004), </w:t>
      </w:r>
      <w:r w:rsidRPr="00A65F60">
        <w:rPr>
          <w:i/>
        </w:rPr>
        <w:t>order granted in part sub nom</w:t>
      </w:r>
      <w:r w:rsidRPr="00A65F60">
        <w:t xml:space="preserve">, Star Wireless, LLC </w:t>
      </w:r>
      <w:r w:rsidRPr="00A65F60">
        <w:rPr>
          <w:color w:val="000000"/>
        </w:rPr>
        <w:t xml:space="preserve">and Northeast Communications of Wisconsin, Inc., </w:t>
      </w:r>
      <w:r w:rsidRPr="00A65F60">
        <w:rPr>
          <w:i/>
        </w:rPr>
        <w:t>Order on Review</w:t>
      </w:r>
      <w:r w:rsidRPr="00A65F60">
        <w:t>, FCC 07-80, 22 FCC Rcd 8943 (2007)(“</w:t>
      </w:r>
      <w:r w:rsidRPr="00A65F60">
        <w:rPr>
          <w:i/>
        </w:rPr>
        <w:t>Star and Northeast Review Order</w:t>
      </w:r>
      <w:r w:rsidRPr="00A65F60">
        <w:t xml:space="preserve">”), </w:t>
      </w:r>
      <w:r w:rsidRPr="00A65F60">
        <w:rPr>
          <w:i/>
        </w:rPr>
        <w:t>petition for review denied, Star Wireless, LLC v. FCC</w:t>
      </w:r>
      <w:r w:rsidRPr="00A65F60">
        <w:t>, 522 F.3d 469 (D.C. Cir. 2008) (section 1.2105(c) applies to applicants regardless</w:t>
      </w:r>
      <w:r w:rsidRPr="007E5680">
        <w:t xml:space="preserve"> of whether they</w:t>
      </w:r>
      <w:r w:rsidRPr="00BD752F">
        <w:t xml:space="preserve"> are qualified to bid); </w:t>
      </w:r>
      <w:r w:rsidRPr="00F249EC">
        <w:t>Letter to Robert Pettit, from Margaret W. Wiener, Chief, Auctions and Industry Analysis Division</w:t>
      </w:r>
      <w:r w:rsidRPr="00FB3326">
        <w:t>, DA 00-2905, 16</w:t>
      </w:r>
      <w:r w:rsidRPr="00BD752F">
        <w:t xml:space="preserve"> FCC Rcd 10080 (WTB 2000) (declining to exempt an applicant’s controlling interest from </w:t>
      </w:r>
      <w:r w:rsidRPr="002774E9">
        <w:t xml:space="preserve">coverage by the communication prohibitions of </w:t>
      </w:r>
      <w:r>
        <w:t>s</w:t>
      </w:r>
      <w:r w:rsidRPr="002774E9">
        <w:t>ection 1.2105(c), even though</w:t>
      </w:r>
      <w:r w:rsidRPr="00BD752F">
        <w:t xml:space="preserve"> the applicant never</w:t>
      </w:r>
      <w:r w:rsidRPr="002519AE">
        <w:t xml:space="preserve"> made an upfront payment for the auction and was not listed as a qualified bidder).  </w:t>
      </w:r>
    </w:p>
  </w:footnote>
  <w:footnote w:id="19">
    <w:p w:rsidR="00FE4663" w:rsidRDefault="00FE4663" w:rsidP="0083488E">
      <w:pPr>
        <w:pStyle w:val="FootnoteText"/>
      </w:pPr>
      <w:r>
        <w:rPr>
          <w:rStyle w:val="FootnoteReference"/>
        </w:rPr>
        <w:footnoteRef/>
      </w:r>
      <w:r>
        <w:t xml:space="preserve"> 47 C.F.R. § 1.2105(c)(7)(i).</w:t>
      </w:r>
    </w:p>
  </w:footnote>
  <w:footnote w:id="20">
    <w:p w:rsidR="00FE4663" w:rsidRDefault="00FE4663" w:rsidP="0083488E">
      <w:pPr>
        <w:pStyle w:val="FootnoteText"/>
      </w:pPr>
      <w:r>
        <w:rPr>
          <w:rStyle w:val="FootnoteReference"/>
        </w:rPr>
        <w:footnoteRef/>
      </w:r>
      <w:r>
        <w:rPr>
          <w:i/>
        </w:rPr>
        <w:t xml:space="preserve"> See, e.g., </w:t>
      </w:r>
      <w:r>
        <w:t xml:space="preserve">Letter to Colby M. May, TCCSA, Inc., d/b/a Trinity Broadcasting Network, from Barbara A. Kreisman, Chief, Video Division, Media Bureau, and Margaret W. Wiener, Chief, Auctions and Spectrum Access Division, Wireless Telecommunications Bureau, DA 05-2445, </w:t>
      </w:r>
      <w:r w:rsidRPr="00A65F60">
        <w:t>20 FCC Rcd 14648 (WTB/MB 2005) (“</w:t>
      </w:r>
      <w:r w:rsidRPr="00A65F60">
        <w:rPr>
          <w:i/>
        </w:rPr>
        <w:t>Trinity</w:t>
      </w:r>
      <w:r w:rsidRPr="00A65F60">
        <w:t xml:space="preserve">”) </w:t>
      </w:r>
      <w:r>
        <w:t xml:space="preserve">(finding apparent </w:t>
      </w:r>
      <w:r w:rsidRPr="002774E9">
        <w:t xml:space="preserve">violation of communication prohibitions of </w:t>
      </w:r>
      <w:r>
        <w:t>s</w:t>
      </w:r>
      <w:r w:rsidRPr="002774E9">
        <w:t>ection 1.2105(c) where applicants with mutually</w:t>
      </w:r>
      <w:r>
        <w:t xml:space="preserve"> exclusive applications reported sharing same individual as an officer and director and reported having no bidding agreement).</w:t>
      </w:r>
    </w:p>
  </w:footnote>
  <w:footnote w:id="21">
    <w:p w:rsidR="00FE4663" w:rsidRDefault="00FE4663" w:rsidP="0023732E">
      <w:pPr>
        <w:pStyle w:val="FootnoteText"/>
      </w:pPr>
      <w:r>
        <w:rPr>
          <w:rStyle w:val="FootnoteReference"/>
        </w:rPr>
        <w:footnoteRef/>
      </w:r>
      <w:r>
        <w:t xml:space="preserve"> </w:t>
      </w:r>
      <w:r w:rsidRPr="00206CE7">
        <w:t>Section IV.A.2. “</w:t>
      </w:r>
      <w:r>
        <w:t xml:space="preserve">Limited Information Disclosure Procedures: </w:t>
      </w:r>
      <w:r w:rsidRPr="00595625">
        <w:t xml:space="preserve">Information Available to Bidders Before and During the Auction,” </w:t>
      </w:r>
      <w:r w:rsidRPr="00142FAF">
        <w:t>below.</w:t>
      </w:r>
    </w:p>
  </w:footnote>
  <w:footnote w:id="22">
    <w:p w:rsidR="00FE4663" w:rsidRPr="00E8471A" w:rsidRDefault="00FE4663" w:rsidP="0083488E">
      <w:pPr>
        <w:pStyle w:val="FootnoteText"/>
      </w:pPr>
      <w:r>
        <w:rPr>
          <w:rStyle w:val="FootnoteReference"/>
        </w:rPr>
        <w:footnoteRef/>
      </w:r>
      <w:r>
        <w:t xml:space="preserve"> 47 C.F.R. § 1.2105(c)(4).  </w:t>
      </w:r>
      <w:r w:rsidRPr="00E8471A">
        <w:t xml:space="preserve">Specifically, the Commission’s rules </w:t>
      </w:r>
      <w:r>
        <w:t>permit</w:t>
      </w:r>
      <w:r w:rsidRPr="00E8471A">
        <w:t xml:space="preserve"> a party holding a non-controlling, attributable interest in one applicant </w:t>
      </w:r>
      <w:r>
        <w:t>to acquire</w:t>
      </w:r>
      <w:r w:rsidRPr="00E8471A">
        <w:t xml:space="preserve"> an ownership interest in or enter into a joint bidding arrangement with other applicants after the short-form application filing deadline, provided that: (i) the attributable interest holder certifies that it has not and will not communicate with any party concerning the bids or bidding strategies of more than one of the applicants in which it holds an attributable interest, or with which it has entered into a joint bidding arrangement; and (ii) the arrangements do not result in a change in control of any of the applicants</w:t>
      </w:r>
      <w:r>
        <w:t xml:space="preserve">.  </w:t>
      </w:r>
      <w:r w:rsidRPr="00AA2B80">
        <w:t>47 C.F.R. §§1.2105(c)(4)(i), (ii).</w:t>
      </w:r>
    </w:p>
  </w:footnote>
  <w:footnote w:id="23">
    <w:p w:rsidR="00FE4663" w:rsidRDefault="00FE4663" w:rsidP="0083488E">
      <w:pPr>
        <w:pStyle w:val="FootnoteText"/>
      </w:pPr>
      <w:r>
        <w:rPr>
          <w:rStyle w:val="FootnoteReference"/>
        </w:rPr>
        <w:footnoteRef/>
      </w:r>
      <w:r>
        <w:t xml:space="preserve"> </w:t>
      </w:r>
      <w:r>
        <w:rPr>
          <w:i/>
        </w:rPr>
        <w:t xml:space="preserve">See </w:t>
      </w:r>
      <w:r>
        <w:t xml:space="preserve">Application of Nevada Wireless, </w:t>
      </w:r>
      <w:r w:rsidRPr="00A65F60">
        <w:rPr>
          <w:i/>
        </w:rPr>
        <w:t xml:space="preserve">Memorandum Opinion and Order, </w:t>
      </w:r>
      <w:r w:rsidRPr="00A65F60">
        <w:t>DA 98-1137, 13 FCC Rcd 11973, 11977-78 ¶¶ 11-12 (1998) (“</w:t>
      </w:r>
      <w:r w:rsidRPr="00A65F60">
        <w:rPr>
          <w:i/>
        </w:rPr>
        <w:t>Nevada Wireless Order</w:t>
      </w:r>
      <w:r w:rsidRPr="00A65F60">
        <w:t>”).</w:t>
      </w:r>
    </w:p>
  </w:footnote>
  <w:footnote w:id="24">
    <w:p w:rsidR="00FE4663" w:rsidRPr="00BE0FB4" w:rsidRDefault="00FE4663" w:rsidP="0083488E">
      <w:pPr>
        <w:pStyle w:val="FootnoteText"/>
      </w:pPr>
      <w:r>
        <w:rPr>
          <w:rStyle w:val="FootnoteReference"/>
        </w:rPr>
        <w:footnoteRef/>
      </w:r>
      <w:r>
        <w:t xml:space="preserve"> </w:t>
      </w:r>
      <w:r>
        <w:rPr>
          <w:i/>
        </w:rPr>
        <w:t>Id.</w:t>
      </w:r>
    </w:p>
  </w:footnote>
  <w:footnote w:id="25">
    <w:p w:rsidR="00FE4663" w:rsidRDefault="00FE4663" w:rsidP="0083488E">
      <w:pPr>
        <w:pStyle w:val="FootnoteText"/>
      </w:pPr>
      <w:r>
        <w:rPr>
          <w:rStyle w:val="FootnoteReference"/>
        </w:rPr>
        <w:footnoteRef/>
      </w:r>
      <w:r>
        <w:t xml:space="preserve"> 47 C.F.R. § 1.2105(c)(1).</w:t>
      </w:r>
    </w:p>
  </w:footnote>
  <w:footnote w:id="26">
    <w:p w:rsidR="00FE4663" w:rsidRPr="00A65F60" w:rsidRDefault="00FE4663" w:rsidP="0083488E">
      <w:pPr>
        <w:pStyle w:val="FootnoteText"/>
      </w:pPr>
      <w:r>
        <w:rPr>
          <w:rStyle w:val="FootnoteReference"/>
        </w:rPr>
        <w:footnoteRef/>
      </w:r>
      <w:r>
        <w:t xml:space="preserve"> </w:t>
      </w:r>
      <w:r>
        <w:rPr>
          <w:i/>
        </w:rPr>
        <w:t xml:space="preserve">Part 1 Seventh Report </w:t>
      </w:r>
      <w:r w:rsidRPr="00A65F60">
        <w:rPr>
          <w:i/>
        </w:rPr>
        <w:t>and Order</w:t>
      </w:r>
      <w:r w:rsidRPr="00A65F60">
        <w:t xml:space="preserve">, 16 FCC Rcd at 17553-54 ¶ 12.  For a discussion of the term “applicant” within the meaning of section 1.2105(c), </w:t>
      </w:r>
      <w:r w:rsidRPr="00A65F60">
        <w:rPr>
          <w:i/>
        </w:rPr>
        <w:t>see</w:t>
      </w:r>
      <w:r w:rsidRPr="00A65F60">
        <w:t xml:space="preserve"> </w:t>
      </w:r>
      <w:r w:rsidRPr="00115B71">
        <w:t>Section I.C.2.a</w:t>
      </w:r>
      <w:r w:rsidRPr="004A2964">
        <w:t>.</w:t>
      </w:r>
      <w:r w:rsidRPr="00A65F60">
        <w:t xml:space="preserve"> above.</w:t>
      </w:r>
    </w:p>
  </w:footnote>
  <w:footnote w:id="27">
    <w:p w:rsidR="00FE4663" w:rsidRPr="00A65F60" w:rsidRDefault="00FE4663" w:rsidP="0083488E">
      <w:pPr>
        <w:pStyle w:val="FootnoteText"/>
      </w:pPr>
      <w:r w:rsidRPr="00A65F60">
        <w:rPr>
          <w:rStyle w:val="FootnoteReference"/>
        </w:rPr>
        <w:footnoteRef/>
      </w:r>
      <w:r w:rsidRPr="00A65F60">
        <w:t xml:space="preserve"> </w:t>
      </w:r>
      <w:r w:rsidRPr="00A65F60">
        <w:rPr>
          <w:i/>
        </w:rPr>
        <w:t xml:space="preserve">See </w:t>
      </w:r>
      <w:r w:rsidRPr="00A65F60">
        <w:t xml:space="preserve">Notice of Apparent [L]iability for Forfeiture of Western PCS BTA 1 Corp., </w:t>
      </w:r>
      <w:r w:rsidRPr="00A65F60">
        <w:rPr>
          <w:i/>
        </w:rPr>
        <w:t>Memorandum Opinion and Order</w:t>
      </w:r>
      <w:r w:rsidRPr="00A65F60">
        <w:t>, FCC 99-385, 14 FCC Rcd 21571, 21574 ¶ 8 (1999).</w:t>
      </w:r>
    </w:p>
  </w:footnote>
  <w:footnote w:id="28">
    <w:p w:rsidR="00FE4663" w:rsidRDefault="00FE4663">
      <w:pPr>
        <w:pStyle w:val="FootnoteText"/>
      </w:pPr>
      <w:r>
        <w:rPr>
          <w:rStyle w:val="FootnoteReference"/>
        </w:rPr>
        <w:footnoteRef/>
      </w:r>
      <w:r>
        <w:t xml:space="preserve"> </w:t>
      </w:r>
      <w:r w:rsidRPr="00DF0FFE">
        <w:t xml:space="preserve">RDL asks the Bureau to revise section 1.2105(c) to permit bidders to engage in ordinary commercial business discussions as long as no auction bidding or bidding strategy information is shared.  </w:t>
      </w:r>
      <w:r w:rsidRPr="00DF0FFE">
        <w:rPr>
          <w:i/>
        </w:rPr>
        <w:t xml:space="preserve">See </w:t>
      </w:r>
      <w:r w:rsidRPr="00DF0FFE">
        <w:t xml:space="preserve">RDL Comments at 24-25.  However, as the Bureau has previous advised, although </w:t>
      </w:r>
      <w:r>
        <w:t>a</w:t>
      </w:r>
      <w:r w:rsidRPr="00DF0FFE">
        <w:t>uction applicants who have applied for licenses in the same geographic areas, and who</w:t>
      </w:r>
      <w:r>
        <w:t xml:space="preserve"> </w:t>
      </w:r>
      <w:r w:rsidRPr="00DF0FFE">
        <w:t>are also licensees or applicants for licenses in the same or competing services, must</w:t>
      </w:r>
      <w:r>
        <w:t xml:space="preserve"> </w:t>
      </w:r>
      <w:r w:rsidRPr="00DF0FFE">
        <w:t>affirmatively avoid all communications with each other that affect, or have the potential to</w:t>
      </w:r>
      <w:r>
        <w:t xml:space="preserve"> </w:t>
      </w:r>
      <w:r w:rsidRPr="00DF0FFE">
        <w:t>affect, their bids or bidding strategy</w:t>
      </w:r>
      <w:r>
        <w:t xml:space="preserve">, this does </w:t>
      </w:r>
      <w:r w:rsidRPr="00DF0FFE">
        <w:t>not mean that all business negotiations</w:t>
      </w:r>
      <w:r>
        <w:t xml:space="preserve"> </w:t>
      </w:r>
      <w:r w:rsidRPr="00DF0FFE">
        <w:t xml:space="preserve">between bidders for the same markets are prohibited.  </w:t>
      </w:r>
      <w:r w:rsidRPr="00DF0FFE">
        <w:rPr>
          <w:i/>
        </w:rPr>
        <w:t xml:space="preserve">See </w:t>
      </w:r>
      <w:r w:rsidRPr="00DF0FFE">
        <w:t xml:space="preserve">Wireless Telecommunications Bureau Responds to Questions About the Local Multipoint Distribution Service Auction, </w:t>
      </w:r>
      <w:r w:rsidRPr="00DF0FFE">
        <w:rPr>
          <w:i/>
        </w:rPr>
        <w:t>Public Notice</w:t>
      </w:r>
      <w:r w:rsidRPr="00DF0FFE">
        <w:t>, DA 98-37, 13 FCC Rcd 341, 347 (1998)</w:t>
      </w:r>
      <w:r>
        <w:t xml:space="preserve"> (“</w:t>
      </w:r>
      <w:r>
        <w:rPr>
          <w:i/>
        </w:rPr>
        <w:t>LMDS Auction Guidance Public Notice</w:t>
      </w:r>
      <w:r>
        <w:t>”).</w:t>
      </w:r>
    </w:p>
  </w:footnote>
  <w:footnote w:id="29">
    <w:p w:rsidR="00FE4663" w:rsidRPr="00A65F60" w:rsidRDefault="00FE4663" w:rsidP="0083488E">
      <w:pPr>
        <w:pStyle w:val="FootnoteText"/>
      </w:pPr>
      <w:r w:rsidRPr="00A65F60">
        <w:rPr>
          <w:rStyle w:val="FootnoteReference"/>
        </w:rPr>
        <w:footnoteRef/>
      </w:r>
      <w:r w:rsidRPr="00A65F60">
        <w:t xml:space="preserve"> Implementation of Section 309(j) of the Communications Act – Competitive Bidding, PP Docket No. 93-253, </w:t>
      </w:r>
      <w:r w:rsidRPr="00A65F60">
        <w:rPr>
          <w:i/>
        </w:rPr>
        <w:t>Memorandum Opinion and</w:t>
      </w:r>
      <w:r w:rsidRPr="00A65F60">
        <w:t xml:space="preserve"> </w:t>
      </w:r>
      <w:r w:rsidRPr="00A65F60">
        <w:rPr>
          <w:i/>
        </w:rPr>
        <w:t>Order</w:t>
      </w:r>
      <w:r w:rsidRPr="00A65F60">
        <w:t>, FCC 94-295, 9 FCC Rcd 7684, 7689 ¶ 12 (1994) (“</w:t>
      </w:r>
      <w:r w:rsidRPr="00A65F60">
        <w:rPr>
          <w:i/>
        </w:rPr>
        <w:t>Competitive Bidding Memorandum Opinion  and Order</w:t>
      </w:r>
      <w:r w:rsidRPr="00A65F60">
        <w:t>”).</w:t>
      </w:r>
    </w:p>
  </w:footnote>
  <w:footnote w:id="30">
    <w:p w:rsidR="00FE4663" w:rsidRPr="00A65F60" w:rsidRDefault="00FE4663" w:rsidP="0083488E">
      <w:pPr>
        <w:pStyle w:val="FootnoteText"/>
      </w:pPr>
      <w:r w:rsidRPr="00A65F60">
        <w:rPr>
          <w:rStyle w:val="FootnoteReference"/>
        </w:rPr>
        <w:footnoteRef/>
      </w:r>
      <w:r w:rsidRPr="00A65F60">
        <w:t xml:space="preserve"> Mercury PCS II, LLC, </w:t>
      </w:r>
      <w:r w:rsidRPr="00A65F60">
        <w:rPr>
          <w:i/>
        </w:rPr>
        <w:t>Notice of Apparent Liability for Forfeiture</w:t>
      </w:r>
      <w:r w:rsidRPr="00A65F60">
        <w:t xml:space="preserve">, FCC 97-388, 12 FCC Rcd 17970, 17974 ¶ 12, 17976 ¶ 17 (1997).  </w:t>
      </w:r>
    </w:p>
  </w:footnote>
  <w:footnote w:id="31">
    <w:p w:rsidR="00FE4663" w:rsidRDefault="00FE4663" w:rsidP="0083488E">
      <w:pPr>
        <w:pStyle w:val="FootnoteText"/>
      </w:pPr>
      <w:r w:rsidRPr="00A65F60">
        <w:rPr>
          <w:rStyle w:val="FootnoteReference"/>
        </w:rPr>
        <w:footnoteRef/>
      </w:r>
      <w:r w:rsidRPr="00A65F60">
        <w:t xml:space="preserve"> Mercury PCS II, LLC, </w:t>
      </w:r>
      <w:r w:rsidRPr="00A65F60">
        <w:rPr>
          <w:i/>
        </w:rPr>
        <w:t>Memorandum Opinion and Order</w:t>
      </w:r>
      <w:r w:rsidRPr="00A65F60">
        <w:t>, FCC 98-203, 13 FCC</w:t>
      </w:r>
      <w:r>
        <w:t xml:space="preserve"> Rcd 23755, 23760 ¶ 11 (1998).  </w:t>
      </w:r>
    </w:p>
  </w:footnote>
  <w:footnote w:id="32">
    <w:p w:rsidR="00FE4663" w:rsidRDefault="00FE4663" w:rsidP="0083488E">
      <w:pPr>
        <w:pStyle w:val="FootnoteText"/>
      </w:pPr>
      <w:r>
        <w:rPr>
          <w:rStyle w:val="FootnoteReference"/>
        </w:rPr>
        <w:footnoteRef/>
      </w:r>
      <w:r>
        <w:t xml:space="preserve"> </w:t>
      </w:r>
      <w:r>
        <w:rPr>
          <w:i/>
        </w:rPr>
        <w:t>Compare LMDS Auction Guidance Public Notice</w:t>
      </w:r>
      <w:r>
        <w:t xml:space="preserve">, 13 FCC Rcd at 347-48 (“Public statements can give rise to collusion concerns.  This has occurred in the antitrust context, where certain public statements can support other evidence which tends to indicate the existence of a conspiracy.”).  </w:t>
      </w:r>
    </w:p>
  </w:footnote>
  <w:footnote w:id="33">
    <w:p w:rsidR="00FE4663" w:rsidRDefault="00FE4663" w:rsidP="007C5CAD">
      <w:pPr>
        <w:pStyle w:val="FootnoteText"/>
      </w:pPr>
      <w:r>
        <w:rPr>
          <w:rStyle w:val="FootnoteReference"/>
        </w:rPr>
        <w:footnoteRef/>
      </w:r>
      <w:r>
        <w:t xml:space="preserve"> Thus, communication by an applicant of its license selections to another applicant for one or more of the same licenses, or communication of the fact that an applicant does or does not hold provisionally winning bids on particular licenses, may well violate 47 C.F.R. § 1.2105(c).</w:t>
      </w:r>
    </w:p>
  </w:footnote>
  <w:footnote w:id="34">
    <w:p w:rsidR="00FE4663" w:rsidRDefault="00FE4663" w:rsidP="00C76019">
      <w:pPr>
        <w:pStyle w:val="FootnoteText"/>
      </w:pPr>
      <w:r>
        <w:rPr>
          <w:rStyle w:val="FootnoteReference"/>
        </w:rPr>
        <w:footnoteRef/>
      </w:r>
      <w:r>
        <w:t xml:space="preserve"> </w:t>
      </w:r>
      <w:r w:rsidRPr="00206CE7">
        <w:rPr>
          <w:i/>
        </w:rPr>
        <w:t>See</w:t>
      </w:r>
      <w:r w:rsidRPr="00206CE7">
        <w:t xml:space="preserve"> Section IV.A.2. “Limited</w:t>
      </w:r>
      <w:r>
        <w:t xml:space="preserve"> Information Disclosure Procedures: </w:t>
      </w:r>
      <w:r w:rsidRPr="007A7BE1">
        <w:t>Inf</w:t>
      </w:r>
      <w:r>
        <w:t>ormation Available to Bidders Before and During the Auction,” below.</w:t>
      </w:r>
    </w:p>
  </w:footnote>
  <w:footnote w:id="35">
    <w:p w:rsidR="00FE4663" w:rsidRPr="00A65F60" w:rsidRDefault="00FE4663" w:rsidP="0083488E">
      <w:pPr>
        <w:pStyle w:val="FootnoteText"/>
      </w:pPr>
      <w:r w:rsidRPr="002519AE">
        <w:rPr>
          <w:rStyle w:val="FootnoteReference"/>
        </w:rPr>
        <w:footnoteRef/>
      </w:r>
      <w:r w:rsidRPr="002519AE">
        <w:t xml:space="preserve"> 47 C.F</w:t>
      </w:r>
      <w:r w:rsidRPr="00A65F60">
        <w:t>.R. § 1.2105(c)(1).</w:t>
      </w:r>
    </w:p>
  </w:footnote>
  <w:footnote w:id="36">
    <w:p w:rsidR="00FE4663" w:rsidRPr="00A65F60" w:rsidRDefault="00FE4663" w:rsidP="007E601F">
      <w:pPr>
        <w:pStyle w:val="FootnoteText"/>
      </w:pPr>
      <w:r w:rsidRPr="00A65F60">
        <w:rPr>
          <w:rStyle w:val="FootnoteReference"/>
          <w:sz w:val="20"/>
        </w:rPr>
        <w:footnoteRef/>
      </w:r>
      <w:r w:rsidRPr="00A65F60">
        <w:t xml:space="preserve"> 47 C.F.R. §§ 1.2105(a)(2)(viii), (c)(1).</w:t>
      </w:r>
    </w:p>
  </w:footnote>
  <w:footnote w:id="37">
    <w:p w:rsidR="00FE4663" w:rsidRPr="00A65F60" w:rsidRDefault="00FE4663" w:rsidP="0083488E">
      <w:pPr>
        <w:pStyle w:val="FootnoteText"/>
      </w:pPr>
      <w:r w:rsidRPr="00A65F60">
        <w:rPr>
          <w:rStyle w:val="FootnoteReference"/>
        </w:rPr>
        <w:footnoteRef/>
      </w:r>
      <w:r w:rsidRPr="00A65F60">
        <w:t xml:space="preserve"> </w:t>
      </w:r>
      <w:r w:rsidRPr="00A65F60">
        <w:rPr>
          <w:i/>
        </w:rPr>
        <w:t xml:space="preserve">See </w:t>
      </w:r>
      <w:r w:rsidRPr="00A65F60">
        <w:t xml:space="preserve">Wireless Telecommunications Bureau Clarifies Spectrum Auction Anti-Collusion Rules, </w:t>
      </w:r>
      <w:r w:rsidRPr="00A65F60">
        <w:rPr>
          <w:i/>
        </w:rPr>
        <w:t>Public Notice</w:t>
      </w:r>
      <w:r w:rsidRPr="00A65F60">
        <w:t>, DA 95-2244, 11 FCC Rcd 9645, 9646 (WTB 1995) (“</w:t>
      </w:r>
      <w:r w:rsidRPr="00A65F60">
        <w:rPr>
          <w:i/>
        </w:rPr>
        <w:t>Anti-Collusion Public Notice</w:t>
      </w:r>
      <w:r w:rsidRPr="00A65F60">
        <w:t>”).</w:t>
      </w:r>
    </w:p>
  </w:footnote>
  <w:footnote w:id="38">
    <w:p w:rsidR="00FE4663" w:rsidRPr="00A65F60" w:rsidRDefault="00FE4663">
      <w:pPr>
        <w:pStyle w:val="FootnoteText"/>
      </w:pPr>
      <w:r w:rsidRPr="00A65F60">
        <w:rPr>
          <w:rStyle w:val="FootnoteReference"/>
        </w:rPr>
        <w:footnoteRef/>
      </w:r>
      <w:r w:rsidRPr="00A65F60">
        <w:t xml:space="preserve"> </w:t>
      </w:r>
      <w:r w:rsidRPr="00A65F60">
        <w:rPr>
          <w:i/>
        </w:rPr>
        <w:t xml:space="preserve">See, e.g., </w:t>
      </w:r>
      <w:r w:rsidRPr="00A65F60">
        <w:t xml:space="preserve">Todd Stuart Noordyk, </w:t>
      </w:r>
      <w:r w:rsidRPr="00A65F60">
        <w:rPr>
          <w:i/>
        </w:rPr>
        <w:t>Memorandum Opinion and Order</w:t>
      </w:r>
      <w:r w:rsidRPr="00A65F60">
        <w:t>, FCC 01-275, 16 FCC Rcd 18113, 18116-17 ¶ 12 (2001).</w:t>
      </w:r>
    </w:p>
  </w:footnote>
  <w:footnote w:id="39">
    <w:p w:rsidR="00FE4663" w:rsidRPr="00A65F60" w:rsidRDefault="00FE4663" w:rsidP="007E601F">
      <w:pPr>
        <w:pStyle w:val="FootnoteText"/>
      </w:pPr>
      <w:r w:rsidRPr="00A65F60">
        <w:rPr>
          <w:rStyle w:val="FootnoteReference"/>
        </w:rPr>
        <w:footnoteRef/>
      </w:r>
      <w:r w:rsidRPr="00A65F60">
        <w:t xml:space="preserve"> </w:t>
      </w:r>
      <w:r w:rsidRPr="00A65F60">
        <w:rPr>
          <w:i/>
        </w:rPr>
        <w:t xml:space="preserve">See </w:t>
      </w:r>
      <w:r w:rsidRPr="00A65F60">
        <w:t>Amendment of Part 1 of the Commission's Rules – Competitive Bidding Procedures</w:t>
      </w:r>
      <w:r w:rsidRPr="00A65F60">
        <w:rPr>
          <w:i/>
        </w:rPr>
        <w:t xml:space="preserve">, </w:t>
      </w:r>
      <w:r w:rsidRPr="00A65F60">
        <w:t xml:space="preserve">WT Docket No. 97-82, </w:t>
      </w:r>
      <w:r w:rsidRPr="00A65F60">
        <w:rPr>
          <w:i/>
        </w:rPr>
        <w:t>Third Report and Order and Second Further Notice of Proposed Rule Making</w:t>
      </w:r>
      <w:r w:rsidRPr="00A65F60">
        <w:t>, FCC 97-413, 13 FCC Rcd 374, 467-68 ¶ 163 (1997) (</w:t>
      </w:r>
      <w:r w:rsidRPr="00A65F60">
        <w:rPr>
          <w:i/>
        </w:rPr>
        <w:t>“Part 1 Third Report and Order”</w:t>
      </w:r>
      <w:r w:rsidRPr="00A65F60">
        <w:t>).</w:t>
      </w:r>
    </w:p>
  </w:footnote>
  <w:footnote w:id="40">
    <w:p w:rsidR="00FE4663" w:rsidRPr="00A65F60" w:rsidRDefault="00FE4663" w:rsidP="004C660E">
      <w:pPr>
        <w:pStyle w:val="FootnoteText"/>
      </w:pPr>
      <w:r w:rsidRPr="00A65F60">
        <w:rPr>
          <w:rStyle w:val="FootnoteReference"/>
          <w:sz w:val="20"/>
        </w:rPr>
        <w:footnoteRef/>
      </w:r>
      <w:r w:rsidRPr="00A65F60">
        <w:t xml:space="preserve"> 47 C.F.R</w:t>
      </w:r>
      <w:r w:rsidRPr="00A65F60">
        <w:rPr>
          <w:i/>
        </w:rPr>
        <w:t>.</w:t>
      </w:r>
      <w:r w:rsidRPr="00A65F60">
        <w:t xml:space="preserve"> § 1.2105(a)(2)(ix).</w:t>
      </w:r>
    </w:p>
  </w:footnote>
  <w:footnote w:id="41">
    <w:p w:rsidR="00FE4663" w:rsidRPr="00A65F60" w:rsidRDefault="00FE4663" w:rsidP="0083488E">
      <w:pPr>
        <w:pStyle w:val="FootnoteText"/>
      </w:pPr>
      <w:r w:rsidRPr="00A65F60">
        <w:rPr>
          <w:rStyle w:val="FootnoteReference"/>
        </w:rPr>
        <w:footnoteRef/>
      </w:r>
      <w:r w:rsidRPr="00A65F60">
        <w:t xml:space="preserve"> </w:t>
      </w:r>
      <w:r w:rsidRPr="00A65F60">
        <w:rPr>
          <w:i/>
        </w:rPr>
        <w:t>Nevada Wireless Order</w:t>
      </w:r>
      <w:r w:rsidRPr="00A65F60">
        <w:t>, 13 FCC Rcd at 11978 ¶ 13.</w:t>
      </w:r>
    </w:p>
  </w:footnote>
  <w:footnote w:id="42">
    <w:p w:rsidR="00FE4663" w:rsidRPr="00A65F60" w:rsidRDefault="00FE4663" w:rsidP="0083488E">
      <w:pPr>
        <w:pStyle w:val="FootnoteText"/>
      </w:pPr>
      <w:r w:rsidRPr="00A65F60">
        <w:rPr>
          <w:rStyle w:val="FootnoteReference"/>
        </w:rPr>
        <w:footnoteRef/>
      </w:r>
      <w:r w:rsidRPr="00A65F60">
        <w:t xml:space="preserve"> </w:t>
      </w:r>
      <w:r w:rsidRPr="00A65F60">
        <w:rPr>
          <w:i/>
        </w:rPr>
        <w:t>Competitive Bidding Memorandum Opinion and Order</w:t>
      </w:r>
      <w:r w:rsidRPr="00A65F60">
        <w:t xml:space="preserve">, 9 FCC Rcd at 7689 ¶ 12. </w:t>
      </w:r>
    </w:p>
  </w:footnote>
  <w:footnote w:id="43">
    <w:p w:rsidR="00FE4663" w:rsidRPr="00764293" w:rsidRDefault="00FE4663" w:rsidP="0083488E">
      <w:pPr>
        <w:pStyle w:val="FootnoteText"/>
      </w:pPr>
      <w:r w:rsidRPr="00A65F60">
        <w:rPr>
          <w:rStyle w:val="FootnoteReference"/>
        </w:rPr>
        <w:footnoteRef/>
      </w:r>
      <w:r w:rsidRPr="00A65F60">
        <w:t xml:space="preserve"> </w:t>
      </w:r>
      <w:r w:rsidRPr="00A65F60">
        <w:rPr>
          <w:i/>
        </w:rPr>
        <w:t>See</w:t>
      </w:r>
      <w:r w:rsidRPr="00A65F60">
        <w:t xml:space="preserve"> 47 C.F.R. §§ 1.2105(c), 1.2107(d), and 1.2109(d).</w:t>
      </w:r>
      <w:r w:rsidRPr="00764293">
        <w:t xml:space="preserve">  </w:t>
      </w:r>
    </w:p>
  </w:footnote>
  <w:footnote w:id="44">
    <w:p w:rsidR="00FE4663" w:rsidRPr="00A65F60" w:rsidRDefault="00FE4663" w:rsidP="0083488E">
      <w:pPr>
        <w:pStyle w:val="FootnoteText"/>
      </w:pPr>
      <w:r w:rsidRPr="00764293">
        <w:rPr>
          <w:rStyle w:val="FootnoteReference"/>
        </w:rPr>
        <w:footnoteRef/>
      </w:r>
      <w:r w:rsidRPr="00764293">
        <w:t xml:space="preserve"> 47 C.F.R. § 1.2105</w:t>
      </w:r>
      <w:r w:rsidRPr="00A65F60">
        <w:t xml:space="preserve">(c)(6); </w:t>
      </w:r>
      <w:r w:rsidRPr="00A65F60">
        <w:rPr>
          <w:i/>
        </w:rPr>
        <w:t>see also</w:t>
      </w:r>
      <w:r w:rsidRPr="00A65F60">
        <w:t xml:space="preserve"> </w:t>
      </w:r>
      <w:r w:rsidRPr="00A65F60">
        <w:rPr>
          <w:i/>
        </w:rPr>
        <w:t>Part 1 Seventh Report and Order</w:t>
      </w:r>
      <w:r w:rsidRPr="00A65F60">
        <w:t>, 16 FCC Rcd at 17553-55 ¶¶ 13-17.</w:t>
      </w:r>
    </w:p>
  </w:footnote>
  <w:footnote w:id="45">
    <w:p w:rsidR="00FE4663" w:rsidRPr="00A65F60" w:rsidRDefault="00FE4663" w:rsidP="0083488E">
      <w:pPr>
        <w:pStyle w:val="FootnoteText"/>
      </w:pPr>
      <w:r w:rsidRPr="00A65F60">
        <w:rPr>
          <w:rStyle w:val="FootnoteReference"/>
        </w:rPr>
        <w:footnoteRef/>
      </w:r>
      <w:r w:rsidRPr="00A65F60">
        <w:t xml:space="preserve"> </w:t>
      </w:r>
      <w:r w:rsidRPr="00A65F60">
        <w:rPr>
          <w:i/>
        </w:rPr>
        <w:t>See</w:t>
      </w:r>
      <w:r w:rsidRPr="00A65F60">
        <w:t xml:space="preserve"> Service Rules for the 698-746, 747-762 and 777-792 MHz Bands, WT Docket No. 06-150, </w:t>
      </w:r>
      <w:r w:rsidRPr="00A65F60">
        <w:rPr>
          <w:i/>
        </w:rPr>
        <w:t>Second Report and Order</w:t>
      </w:r>
      <w:r w:rsidRPr="00A65F60">
        <w:t>, FCC 07-132, 22 FCC Rcd 15,289, 15,395 ¶¶ 285-86 (2007).</w:t>
      </w:r>
    </w:p>
  </w:footnote>
  <w:footnote w:id="46">
    <w:p w:rsidR="00FE4663" w:rsidRPr="00A65F60" w:rsidRDefault="00FE4663" w:rsidP="0083488E">
      <w:pPr>
        <w:pStyle w:val="FootnoteText"/>
      </w:pPr>
      <w:r w:rsidRPr="00A65F60">
        <w:rPr>
          <w:rStyle w:val="FootnoteReference"/>
        </w:rPr>
        <w:footnoteRef/>
      </w:r>
      <w:r w:rsidRPr="00A65F60">
        <w:t xml:space="preserve"> 47 C.F.R. § 1.65; </w:t>
      </w:r>
      <w:r w:rsidRPr="00A65F60">
        <w:rPr>
          <w:i/>
        </w:rPr>
        <w:t>see also</w:t>
      </w:r>
      <w:r w:rsidRPr="00A65F60">
        <w:t xml:space="preserve"> </w:t>
      </w:r>
      <w:r w:rsidRPr="00A65F60">
        <w:rPr>
          <w:i/>
        </w:rPr>
        <w:t>Part 1 Seventh Report and Order</w:t>
      </w:r>
      <w:r w:rsidRPr="00A65F60">
        <w:t>, 16 FCC Rcd at 17550-51 ¶ 9.</w:t>
      </w:r>
    </w:p>
  </w:footnote>
  <w:footnote w:id="47">
    <w:p w:rsidR="00FE4663" w:rsidRPr="00A65F60" w:rsidRDefault="00FE4663" w:rsidP="0083488E">
      <w:pPr>
        <w:pStyle w:val="FootnoteText"/>
      </w:pPr>
      <w:r w:rsidRPr="00A65F60">
        <w:rPr>
          <w:rStyle w:val="FootnoteReference"/>
        </w:rPr>
        <w:footnoteRef/>
      </w:r>
      <w:r w:rsidRPr="00A65F60">
        <w:t xml:space="preserve"> </w:t>
      </w:r>
      <w:r w:rsidRPr="00A65F60">
        <w:rPr>
          <w:i/>
        </w:rPr>
        <w:t>See Part 1 Seventh Report and Order</w:t>
      </w:r>
      <w:r w:rsidRPr="00A65F60">
        <w:t>, 16 FCC Rcd at 17550-51 ¶ 9.</w:t>
      </w:r>
    </w:p>
  </w:footnote>
  <w:footnote w:id="48">
    <w:p w:rsidR="00FE4663" w:rsidRPr="00764293" w:rsidRDefault="00FE4663" w:rsidP="0083488E">
      <w:pPr>
        <w:pStyle w:val="FootnoteText"/>
      </w:pPr>
      <w:r w:rsidRPr="00A65F60">
        <w:rPr>
          <w:rStyle w:val="FootnoteReference"/>
        </w:rPr>
        <w:footnoteRef/>
      </w:r>
      <w:r w:rsidRPr="00A65F60">
        <w:t xml:space="preserve"> Procedural Amendments to Commission Part 1 Competitive Bidding Rules, WT Docket No. 10-18</w:t>
      </w:r>
      <w:r w:rsidRPr="00764293">
        <w:t xml:space="preserve">, </w:t>
      </w:r>
      <w:r w:rsidRPr="00764293">
        <w:rPr>
          <w:i/>
        </w:rPr>
        <w:t>Order</w:t>
      </w:r>
      <w:r w:rsidRPr="00764293">
        <w:t>, FCC 10-4, 25 FCC Rcd 521, 523 ¶ 8 (2010) (“</w:t>
      </w:r>
      <w:r w:rsidRPr="00764293">
        <w:rPr>
          <w:i/>
        </w:rPr>
        <w:t>Part 1 Procedural Amendments Order”</w:t>
      </w:r>
      <w:r w:rsidRPr="00764293">
        <w:t xml:space="preserve">). </w:t>
      </w:r>
    </w:p>
  </w:footnote>
  <w:footnote w:id="49">
    <w:p w:rsidR="00FE4663" w:rsidRPr="00764293" w:rsidRDefault="00FE4663" w:rsidP="0083488E">
      <w:pPr>
        <w:pStyle w:val="FootnoteText"/>
      </w:pPr>
      <w:r w:rsidRPr="00764293">
        <w:rPr>
          <w:rStyle w:val="FootnoteReference"/>
        </w:rPr>
        <w:footnoteRef/>
      </w:r>
      <w:r w:rsidRPr="00764293">
        <w:t xml:space="preserve"> </w:t>
      </w:r>
      <w:r w:rsidRPr="00764293">
        <w:rPr>
          <w:i/>
        </w:rPr>
        <w:t>Id.</w:t>
      </w:r>
    </w:p>
  </w:footnote>
  <w:footnote w:id="50">
    <w:p w:rsidR="00FE4663" w:rsidRPr="00764293" w:rsidRDefault="00FE4663" w:rsidP="0083488E">
      <w:pPr>
        <w:pStyle w:val="FootnoteText"/>
      </w:pPr>
      <w:r w:rsidRPr="00764293">
        <w:rPr>
          <w:rStyle w:val="FootnoteReference"/>
        </w:rPr>
        <w:footnoteRef/>
      </w:r>
      <w:r w:rsidRPr="00764293">
        <w:t xml:space="preserve"> </w:t>
      </w:r>
      <w:r w:rsidRPr="00764293">
        <w:rPr>
          <w:i/>
        </w:rPr>
        <w:t>Part 1 Procedural Amendments Order</w:t>
      </w:r>
      <w:r w:rsidRPr="00764293">
        <w:t>, 25 FCC Rcd at 522 ¶ 4.</w:t>
      </w:r>
      <w:r>
        <w:t xml:space="preserve">  This process differs from filing procedures used in connection with other Commission rules and processes which may call for submission of filings to</w:t>
      </w:r>
      <w:r w:rsidRPr="00844B74">
        <w:t xml:space="preserve"> the Commission’s Office of the Secretary</w:t>
      </w:r>
      <w:r>
        <w:t xml:space="preserve"> or ECFS.  Filing through the Office of Secretary or ECFS could allow the report to become publicly available and might result in the </w:t>
      </w:r>
      <w:r w:rsidRPr="00844B74">
        <w:t>communicat</w:t>
      </w:r>
      <w:r>
        <w:t>ion of</w:t>
      </w:r>
      <w:r w:rsidRPr="00844B74">
        <w:t xml:space="preserve"> prohibited information to other auction applicants</w:t>
      </w:r>
      <w:r>
        <w:t>.</w:t>
      </w:r>
    </w:p>
  </w:footnote>
  <w:footnote w:id="51">
    <w:p w:rsidR="00FE4663" w:rsidRPr="00764293" w:rsidRDefault="00FE4663" w:rsidP="0083488E">
      <w:pPr>
        <w:pStyle w:val="FootnoteText"/>
      </w:pPr>
      <w:r w:rsidRPr="00764293">
        <w:rPr>
          <w:rStyle w:val="FootnoteReference"/>
        </w:rPr>
        <w:footnoteRef/>
      </w:r>
      <w:r w:rsidRPr="00764293">
        <w:t xml:space="preserve"> </w:t>
      </w:r>
      <w:r w:rsidRPr="00764293">
        <w:rPr>
          <w:i/>
        </w:rPr>
        <w:t>Id</w:t>
      </w:r>
      <w:r w:rsidRPr="00764293">
        <w:t>.</w:t>
      </w:r>
    </w:p>
  </w:footnote>
  <w:footnote w:id="52">
    <w:p w:rsidR="00FE4663" w:rsidRDefault="00FE4663" w:rsidP="0083488E">
      <w:pPr>
        <w:pStyle w:val="FootnoteText"/>
      </w:pPr>
      <w:r w:rsidRPr="00764293">
        <w:rPr>
          <w:rStyle w:val="FootnoteReference"/>
        </w:rPr>
        <w:footnoteRef/>
      </w:r>
      <w:r w:rsidRPr="00764293">
        <w:t xml:space="preserve"> </w:t>
      </w:r>
      <w:r w:rsidRPr="00764293">
        <w:rPr>
          <w:i/>
        </w:rPr>
        <w:t xml:space="preserve">See </w:t>
      </w:r>
      <w:r w:rsidRPr="00764293">
        <w:t>47 C.F.R. § 0.459 (requests that materials or information submitted</w:t>
      </w:r>
      <w:r>
        <w:t xml:space="preserve"> to the Commission be withheld from public inspection).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of the material to which the request applies.  </w:t>
      </w:r>
      <w:r>
        <w:rPr>
          <w:i/>
        </w:rPr>
        <w:t xml:space="preserve">See </w:t>
      </w:r>
      <w:r>
        <w:t xml:space="preserve">47 C.F.R. § 0.459 (a).  </w:t>
      </w:r>
    </w:p>
  </w:footnote>
  <w:footnote w:id="53">
    <w:p w:rsidR="00FE4663" w:rsidRPr="00206CE7" w:rsidRDefault="00FE4663" w:rsidP="0083488E">
      <w:pPr>
        <w:pStyle w:val="FootnoteText"/>
      </w:pPr>
      <w:r>
        <w:rPr>
          <w:rStyle w:val="FootnoteReference"/>
        </w:rPr>
        <w:footnoteRef/>
      </w:r>
      <w:r>
        <w:t xml:space="preserve"> </w:t>
      </w:r>
      <w:r w:rsidRPr="00206CE7">
        <w:rPr>
          <w:i/>
        </w:rPr>
        <w:t>See</w:t>
      </w:r>
      <w:r w:rsidRPr="00206CE7">
        <w:t xml:space="preserve"> Section VI. “Contact Information,” below.</w:t>
      </w:r>
    </w:p>
  </w:footnote>
  <w:footnote w:id="54">
    <w:p w:rsidR="00FE4663" w:rsidRDefault="00FE4663" w:rsidP="0083488E">
      <w:pPr>
        <w:pStyle w:val="FootnoteText"/>
      </w:pPr>
      <w:r w:rsidRPr="00206CE7">
        <w:rPr>
          <w:rStyle w:val="FootnoteReference"/>
        </w:rPr>
        <w:footnoteRef/>
      </w:r>
      <w:r w:rsidRPr="00206CE7">
        <w:t xml:space="preserve"> </w:t>
      </w:r>
      <w:r w:rsidRPr="00206CE7">
        <w:rPr>
          <w:i/>
        </w:rPr>
        <w:t xml:space="preserve">See </w:t>
      </w:r>
      <w:r w:rsidRPr="00206CE7">
        <w:t xml:space="preserve">Section II. </w:t>
      </w:r>
      <w:r>
        <w:t>L</w:t>
      </w:r>
      <w:r w:rsidRPr="00206CE7">
        <w:t>. “Maintaining</w:t>
      </w:r>
      <w:r>
        <w:t xml:space="preserve"> Current Information in Short-Form Applications,” below.</w:t>
      </w:r>
    </w:p>
  </w:footnote>
  <w:footnote w:id="55">
    <w:p w:rsidR="00FE4663" w:rsidRDefault="00FE4663" w:rsidP="0083488E">
      <w:pPr>
        <w:pStyle w:val="FootnoteText"/>
      </w:pPr>
      <w:r>
        <w:rPr>
          <w:rStyle w:val="FootnoteReference"/>
        </w:rPr>
        <w:footnoteRef/>
      </w:r>
      <w:r>
        <w:t xml:space="preserve"> </w:t>
      </w:r>
      <w:r w:rsidRPr="00BD752F">
        <w:t>47 C.F.R. §</w:t>
      </w:r>
      <w:r w:rsidRPr="008C4DEF">
        <w:t xml:space="preserve"> 1.2107(d)</w:t>
      </w:r>
      <w:r>
        <w:t>.</w:t>
      </w:r>
    </w:p>
  </w:footnote>
  <w:footnote w:id="56">
    <w:p w:rsidR="00FE4663" w:rsidRPr="00FA1B3D" w:rsidRDefault="00FE4663" w:rsidP="0083488E">
      <w:pPr>
        <w:pStyle w:val="FootnoteText"/>
      </w:pPr>
      <w:r>
        <w:rPr>
          <w:rStyle w:val="FootnoteReference"/>
        </w:rPr>
        <w:footnoteRef/>
      </w:r>
      <w:r>
        <w:t xml:space="preserve"> </w:t>
      </w:r>
      <w:r>
        <w:rPr>
          <w:i/>
        </w:rPr>
        <w:t xml:space="preserve">See </w:t>
      </w:r>
      <w:r>
        <w:t xml:space="preserve">Amendment </w:t>
      </w:r>
      <w:r w:rsidRPr="00A65F60">
        <w:t xml:space="preserve">of Part 1 of the Commission's Rules – Competitive Bidding Procedures, WT Docket No. 97-82, </w:t>
      </w:r>
      <w:r w:rsidRPr="00A65F60">
        <w:rPr>
          <w:i/>
        </w:rPr>
        <w:t>Third Further Notice of Proposed Rulemaking</w:t>
      </w:r>
      <w:r w:rsidRPr="00A65F60">
        <w:t xml:space="preserve">, FCC 99-384, 14 FCC Rcd 21558, 21560-61 ¶ 4 &amp; n.17 (1999) quoting </w:t>
      </w:r>
      <w:r w:rsidRPr="00A65F60">
        <w:rPr>
          <w:i/>
        </w:rPr>
        <w:t>Competitive Bidding Memorandum Opinion and Order</w:t>
      </w:r>
      <w:r w:rsidRPr="00A65F60">
        <w:t>, 9 FCC Rcd at 7689 ¶ 12 (“[W]e wish to emphasize that all applicants and their owners continue to be subject to existing antitrust laws.  Applicants should note that conduct that is permissible under the Commission's Rules may be prohibited by the antitrust laws.”); Implementation of Section 309(j) of the Communications Act</w:t>
      </w:r>
      <w:r w:rsidRPr="00764293">
        <w:t xml:space="preserve"> – Competitive Bidding, PP Docket No. 93-253, </w:t>
      </w:r>
      <w:r w:rsidRPr="00764293">
        <w:rPr>
          <w:i/>
        </w:rPr>
        <w:t>Fourth Memorandum Opinion and Order</w:t>
      </w:r>
      <w:r w:rsidRPr="00764293">
        <w:t>, FCC 94-264, 9 FCC Rcd 6858, 6869 n.134 (1994)(“[A]pplicants will also be subject to existing antitrust laws.”) (“</w:t>
      </w:r>
      <w:r w:rsidRPr="00764293">
        <w:rPr>
          <w:i/>
        </w:rPr>
        <w:t>Fourth Memorandum Opinion and Order</w:t>
      </w:r>
      <w:r w:rsidRPr="00764293">
        <w:t>”).</w:t>
      </w:r>
      <w:r w:rsidRPr="00764293">
        <w:rPr>
          <w:i/>
        </w:rPr>
        <w:t xml:space="preserve">  </w:t>
      </w:r>
    </w:p>
  </w:footnote>
  <w:footnote w:id="57">
    <w:p w:rsidR="00FE4663" w:rsidRPr="00A65F60" w:rsidRDefault="00FE4663" w:rsidP="0083488E">
      <w:pPr>
        <w:pStyle w:val="FootnoteText"/>
      </w:pPr>
      <w:r w:rsidRPr="00764293">
        <w:rPr>
          <w:rStyle w:val="FootnoteReference"/>
        </w:rPr>
        <w:footnoteRef/>
      </w:r>
      <w:r w:rsidRPr="00764293">
        <w:t xml:space="preserve"> </w:t>
      </w:r>
      <w:r w:rsidRPr="00A65F60">
        <w:rPr>
          <w:i/>
        </w:rPr>
        <w:t>See Competitive Bidding Memorandum Opinion  and Order</w:t>
      </w:r>
      <w:r w:rsidRPr="00A65F60">
        <w:t xml:space="preserve">, 9 FCC Rcd at 7689 ¶ 12.  </w:t>
      </w:r>
      <w:r w:rsidRPr="00A65F60">
        <w:rPr>
          <w:i/>
        </w:rPr>
        <w:t>See also</w:t>
      </w:r>
      <w:r w:rsidRPr="00A65F60">
        <w:t xml:space="preserve"> Justice Department Sues Three Firms Over FCC Auction Practices, </w:t>
      </w:r>
      <w:r w:rsidRPr="00A65F60">
        <w:rPr>
          <w:i/>
        </w:rPr>
        <w:t>Press Release</w:t>
      </w:r>
      <w:r w:rsidRPr="00A65F60">
        <w:t xml:space="preserve"> 98-536 (DOJ Nov. 10, 1998). </w:t>
      </w:r>
    </w:p>
  </w:footnote>
  <w:footnote w:id="58">
    <w:p w:rsidR="00FE4663" w:rsidRPr="00A65F60" w:rsidRDefault="00FE4663" w:rsidP="0083488E">
      <w:pPr>
        <w:pStyle w:val="FootnoteText"/>
      </w:pPr>
      <w:r w:rsidRPr="00A65F60">
        <w:rPr>
          <w:rStyle w:val="FootnoteReference"/>
        </w:rPr>
        <w:footnoteRef/>
      </w:r>
      <w:r w:rsidRPr="00A65F60">
        <w:t xml:space="preserve"> </w:t>
      </w:r>
      <w:r w:rsidRPr="00A65F60">
        <w:rPr>
          <w:i/>
        </w:rPr>
        <w:t>See, e.g</w:t>
      </w:r>
      <w:r w:rsidRPr="00A65F60">
        <w:t xml:space="preserve">., </w:t>
      </w:r>
      <w:r w:rsidRPr="00A65F60">
        <w:rPr>
          <w:i/>
        </w:rPr>
        <w:t>Fourth Memorandum Opinion and Order</w:t>
      </w:r>
      <w:r w:rsidRPr="00A65F60">
        <w:t xml:space="preserve">, 9 FCC Rcd at 6869 n.134.  </w:t>
      </w:r>
    </w:p>
  </w:footnote>
  <w:footnote w:id="59">
    <w:p w:rsidR="00FE4663" w:rsidRPr="0035074D" w:rsidRDefault="00FE4663">
      <w:pPr>
        <w:pStyle w:val="FootnoteText"/>
      </w:pPr>
      <w:r>
        <w:rPr>
          <w:rStyle w:val="FootnoteReference"/>
        </w:rPr>
        <w:footnoteRef/>
      </w:r>
      <w:r>
        <w:t xml:space="preserve"> </w:t>
      </w:r>
      <w:r>
        <w:rPr>
          <w:i/>
        </w:rPr>
        <w:t>Id</w:t>
      </w:r>
      <w:r>
        <w:t xml:space="preserve">.  </w:t>
      </w:r>
      <w:r w:rsidRPr="0035074D">
        <w:rPr>
          <w:i/>
        </w:rPr>
        <w:t>S</w:t>
      </w:r>
      <w:r>
        <w:rPr>
          <w:i/>
        </w:rPr>
        <w:t>ee also</w:t>
      </w:r>
      <w:r>
        <w:t xml:space="preserve"> </w:t>
      </w:r>
      <w:r>
        <w:rPr>
          <w:i/>
        </w:rPr>
        <w:t>Competitive Bidding Second Report and Order</w:t>
      </w:r>
      <w:r>
        <w:t>, 9 FCC Rcd at 2387 n.165.</w:t>
      </w:r>
    </w:p>
  </w:footnote>
  <w:footnote w:id="60">
    <w:p w:rsidR="00FE4663" w:rsidRPr="00A65F60" w:rsidRDefault="00FE4663" w:rsidP="0083488E">
      <w:pPr>
        <w:pStyle w:val="FootnoteText"/>
      </w:pPr>
      <w:r w:rsidRPr="00A65F60">
        <w:rPr>
          <w:rStyle w:val="FootnoteReference"/>
        </w:rPr>
        <w:footnoteRef/>
      </w:r>
      <w:r w:rsidRPr="00A65F60">
        <w:t xml:space="preserve"> </w:t>
      </w:r>
      <w:r w:rsidRPr="00A65F60">
        <w:rPr>
          <w:i/>
        </w:rPr>
        <w:t>Anti-Collusion Public Notice</w:t>
      </w:r>
      <w:r w:rsidRPr="00A65F60">
        <w:t>, 11 FCC Rcd at 9646.</w:t>
      </w:r>
    </w:p>
  </w:footnote>
  <w:footnote w:id="61">
    <w:p w:rsidR="00FE4663" w:rsidRPr="00A65F60" w:rsidRDefault="00FE4663" w:rsidP="0083488E">
      <w:pPr>
        <w:pStyle w:val="FootnoteText"/>
      </w:pPr>
      <w:r w:rsidRPr="00A65F60">
        <w:rPr>
          <w:rStyle w:val="FootnoteReference"/>
        </w:rPr>
        <w:footnoteRef/>
      </w:r>
      <w:r w:rsidRPr="00A65F60">
        <w:t xml:space="preserve"> </w:t>
      </w:r>
      <w:r w:rsidRPr="00A65F60">
        <w:rPr>
          <w:i/>
        </w:rPr>
        <w:t>See Competitive Bidding Second Report and Order</w:t>
      </w:r>
      <w:r w:rsidRPr="00A65F60">
        <w:t>, 9 FCC Rcd at 2388</w:t>
      </w:r>
      <w:r w:rsidRPr="00A65F60">
        <w:rPr>
          <w:i/>
        </w:rPr>
        <w:t xml:space="preserve"> </w:t>
      </w:r>
      <w:r w:rsidRPr="00A65F60">
        <w:t xml:space="preserve">¶ 226.  </w:t>
      </w:r>
    </w:p>
  </w:footnote>
  <w:footnote w:id="62">
    <w:p w:rsidR="00FE4663" w:rsidRPr="00A65F60" w:rsidRDefault="00FE4663" w:rsidP="0083488E">
      <w:pPr>
        <w:pStyle w:val="FootnoteText"/>
      </w:pPr>
      <w:r w:rsidRPr="00A65F60">
        <w:rPr>
          <w:rStyle w:val="FootnoteReference"/>
        </w:rPr>
        <w:footnoteRef/>
      </w:r>
      <w:r w:rsidRPr="00A65F60">
        <w:t xml:space="preserve"> </w:t>
      </w:r>
      <w:r w:rsidRPr="00A65F60">
        <w:rPr>
          <w:i/>
        </w:rPr>
        <w:t xml:space="preserve">See </w:t>
      </w:r>
      <w:r w:rsidRPr="00A65F60">
        <w:t xml:space="preserve">47 C.F.R. § 1.2109(d); </w:t>
      </w:r>
      <w:r w:rsidRPr="00A65F60">
        <w:rPr>
          <w:i/>
        </w:rPr>
        <w:t>see also</w:t>
      </w:r>
      <w:r w:rsidRPr="00A65F60">
        <w:t xml:space="preserve"> </w:t>
      </w:r>
      <w:r w:rsidRPr="00A65F60">
        <w:rPr>
          <w:i/>
        </w:rPr>
        <w:t>Competitive Bidding Second Report and Order</w:t>
      </w:r>
      <w:r w:rsidRPr="00A65F60">
        <w:t>, 9 FCC Rcd at 2388</w:t>
      </w:r>
      <w:r w:rsidRPr="00A65F60">
        <w:rPr>
          <w:i/>
        </w:rPr>
        <w:t xml:space="preserve"> </w:t>
      </w:r>
      <w:r w:rsidRPr="00A65F60">
        <w:t>¶ 226.</w:t>
      </w:r>
    </w:p>
  </w:footnote>
  <w:footnote w:id="63">
    <w:p w:rsidR="00FE4663" w:rsidRPr="00211FAE" w:rsidRDefault="00FE4663" w:rsidP="00F06209">
      <w:pPr>
        <w:pStyle w:val="FootnoteText"/>
      </w:pPr>
      <w:r>
        <w:rPr>
          <w:rStyle w:val="FootnoteReference"/>
        </w:rPr>
        <w:footnoteRef/>
      </w:r>
      <w:r>
        <w:t xml:space="preserve"> </w:t>
      </w:r>
      <w:r>
        <w:rPr>
          <w:i/>
        </w:rPr>
        <w:t>See H Block Report and Order</w:t>
      </w:r>
      <w:r>
        <w:t>, 28 FCC Rcd</w:t>
      </w:r>
      <w:r>
        <w:rPr>
          <w:i/>
        </w:rPr>
        <w:t xml:space="preserve"> </w:t>
      </w:r>
      <w:r>
        <w:t xml:space="preserve">at 9543-51 ¶¶ 159-73 (Section II.B-Cost Sharing Obligations).  For background information related to past clearing of Lower H Block incumbents, </w:t>
      </w:r>
      <w:r>
        <w:rPr>
          <w:i/>
        </w:rPr>
        <w:t>see id</w:t>
      </w:r>
      <w:r>
        <w:t xml:space="preserve">. at 9543-44 ¶¶ 157-58.  For background information related to past clearing of the Upper H Block incumbents, </w:t>
      </w:r>
      <w:r>
        <w:rPr>
          <w:i/>
        </w:rPr>
        <w:t>see id</w:t>
      </w:r>
      <w:r>
        <w:t>. at 9544-45 ¶ 159.</w:t>
      </w:r>
    </w:p>
  </w:footnote>
  <w:footnote w:id="64">
    <w:p w:rsidR="00FE4663" w:rsidRPr="003107CE" w:rsidRDefault="00FE4663" w:rsidP="00F06209">
      <w:pPr>
        <w:pStyle w:val="FootnoteText"/>
      </w:pPr>
      <w:r>
        <w:rPr>
          <w:rStyle w:val="FootnoteReference"/>
        </w:rPr>
        <w:footnoteRef/>
      </w:r>
      <w:r>
        <w:t xml:space="preserve"> </w:t>
      </w:r>
      <w:r>
        <w:rPr>
          <w:i/>
        </w:rPr>
        <w:t>See</w:t>
      </w:r>
      <w:r>
        <w:t xml:space="preserve">, </w:t>
      </w:r>
      <w:r>
        <w:rPr>
          <w:i/>
        </w:rPr>
        <w:t>e.g.</w:t>
      </w:r>
      <w:r>
        <w:t>,</w:t>
      </w:r>
      <w:r>
        <w:rPr>
          <w:i/>
        </w:rPr>
        <w:t xml:space="preserve"> id.</w:t>
      </w:r>
      <w:r>
        <w:t xml:space="preserve"> at 9543 ¶ 15</w:t>
      </w:r>
      <w:r w:rsidRPr="00B47790">
        <w:t>7</w:t>
      </w:r>
      <w:r>
        <w:rPr>
          <w:i/>
        </w:rPr>
        <w:t xml:space="preserve"> </w:t>
      </w:r>
      <w:r w:rsidRPr="00A12815">
        <w:t>n.483</w:t>
      </w:r>
      <w:r>
        <w:t>,</w:t>
      </w:r>
      <w:r>
        <w:rPr>
          <w:i/>
        </w:rPr>
        <w:t xml:space="preserve"> citing Emerging Technologies </w:t>
      </w:r>
      <w:r>
        <w:t>proceeding.</w:t>
      </w:r>
    </w:p>
  </w:footnote>
  <w:footnote w:id="65">
    <w:p w:rsidR="00FE4663" w:rsidRPr="00510C4B" w:rsidRDefault="00FE4663" w:rsidP="00724DC5">
      <w:pPr>
        <w:autoSpaceDE w:val="0"/>
        <w:autoSpaceDN w:val="0"/>
        <w:adjustRightInd w:val="0"/>
        <w:spacing w:before="120" w:after="120"/>
        <w:rPr>
          <w:sz w:val="20"/>
        </w:rPr>
      </w:pPr>
      <w:r w:rsidRPr="00510C4B">
        <w:rPr>
          <w:rStyle w:val="FootnoteReference"/>
          <w:sz w:val="20"/>
        </w:rPr>
        <w:footnoteRef/>
      </w:r>
      <w:r w:rsidRPr="00510C4B">
        <w:rPr>
          <w:sz w:val="20"/>
        </w:rPr>
        <w:t xml:space="preserve"> </w:t>
      </w:r>
      <w:r w:rsidRPr="00510C4B">
        <w:rPr>
          <w:i/>
          <w:sz w:val="20"/>
        </w:rPr>
        <w:t xml:space="preserve">See id. </w:t>
      </w:r>
      <w:r w:rsidRPr="00510C4B">
        <w:rPr>
          <w:sz w:val="20"/>
        </w:rPr>
        <w:t xml:space="preserve">at 9548-51 ¶¶ 167-73; 47 C.F.R. §§ 27.1021, 27.1031, 27.1041. The Commission made clear in the </w:t>
      </w:r>
      <w:r w:rsidRPr="00510C4B">
        <w:rPr>
          <w:i/>
          <w:sz w:val="20"/>
        </w:rPr>
        <w:t>H Block Report and Order</w:t>
      </w:r>
      <w:r w:rsidRPr="00510C4B">
        <w:rPr>
          <w:sz w:val="20"/>
        </w:rPr>
        <w:t xml:space="preserve"> </w:t>
      </w:r>
      <w:r w:rsidRPr="00510C4B">
        <w:rPr>
          <w:color w:val="000000"/>
          <w:sz w:val="20"/>
        </w:rPr>
        <w:t xml:space="preserve">that winning bidders in the first auction offering H Block licenses may not seek reimbursement from other H Block licensees, including for licenses awarded in subsequent auctions.  </w:t>
      </w:r>
      <w:r w:rsidRPr="00510C4B">
        <w:rPr>
          <w:i/>
          <w:sz w:val="20"/>
        </w:rPr>
        <w:t>H Block Report and Order</w:t>
      </w:r>
      <w:r w:rsidRPr="00510C4B">
        <w:rPr>
          <w:sz w:val="20"/>
        </w:rPr>
        <w:t>, 28 FCC Rcd</w:t>
      </w:r>
      <w:r w:rsidRPr="00510C4B">
        <w:rPr>
          <w:color w:val="000000"/>
          <w:sz w:val="20"/>
        </w:rPr>
        <w:t xml:space="preserve"> at 9548 </w:t>
      </w:r>
      <w:r w:rsidRPr="00510C4B">
        <w:rPr>
          <w:sz w:val="20"/>
        </w:rPr>
        <w:t>¶ 168</w:t>
      </w:r>
      <w:r w:rsidRPr="00510C4B">
        <w:rPr>
          <w:color w:val="000000"/>
          <w:sz w:val="20"/>
        </w:rPr>
        <w:t xml:space="preserve">.  </w:t>
      </w:r>
      <w:r w:rsidRPr="00637407">
        <w:rPr>
          <w:color w:val="000000"/>
          <w:sz w:val="20"/>
        </w:rPr>
        <w:t xml:space="preserve">Holt and Goeree submit that the </w:t>
      </w:r>
      <w:r w:rsidRPr="00637407">
        <w:rPr>
          <w:sz w:val="20"/>
        </w:rPr>
        <w:t>formula for allocating the amount of compensation to be paid for past clearing of the H Block introduces uncertainty since compensation is fixed and the burden on winning bidders could be high if a sizable group of licens</w:t>
      </w:r>
      <w:r w:rsidRPr="00D60315">
        <w:rPr>
          <w:sz w:val="20"/>
        </w:rPr>
        <w:t xml:space="preserve">es are not sold (with a higher risk if single-round sealed bidding is used), which could dampen bids and revenue.  Holt and Goeree Comments at </w:t>
      </w:r>
      <w:r>
        <w:rPr>
          <w:sz w:val="20"/>
        </w:rPr>
        <w:t>3</w:t>
      </w:r>
      <w:r w:rsidRPr="00637407">
        <w:rPr>
          <w:sz w:val="20"/>
        </w:rPr>
        <w:t>.  T</w:t>
      </w:r>
      <w:r w:rsidRPr="00100AA1">
        <w:rPr>
          <w:color w:val="000000"/>
          <w:sz w:val="20"/>
        </w:rPr>
        <w:t>hey suggest that to address this, the Commission could announce that compensation will be paid directly fro</w:t>
      </w:r>
      <w:r w:rsidRPr="00D60315">
        <w:rPr>
          <w:color w:val="000000"/>
          <w:sz w:val="20"/>
        </w:rPr>
        <w:t xml:space="preserve">m auction revenues, with no additional payments by auction winners.  </w:t>
      </w:r>
      <w:r w:rsidRPr="00A41F82">
        <w:rPr>
          <w:i/>
          <w:color w:val="000000"/>
          <w:sz w:val="20"/>
        </w:rPr>
        <w:t>Id</w:t>
      </w:r>
      <w:r w:rsidRPr="00CF5C58">
        <w:rPr>
          <w:color w:val="000000"/>
          <w:sz w:val="20"/>
        </w:rPr>
        <w:t xml:space="preserve">.  </w:t>
      </w:r>
      <w:r>
        <w:rPr>
          <w:color w:val="000000"/>
          <w:sz w:val="20"/>
        </w:rPr>
        <w:t>T</w:t>
      </w:r>
      <w:r w:rsidRPr="00CF5C58">
        <w:rPr>
          <w:color w:val="000000"/>
          <w:sz w:val="20"/>
        </w:rPr>
        <w:t xml:space="preserve">he </w:t>
      </w:r>
      <w:r w:rsidRPr="00153DA4">
        <w:rPr>
          <w:sz w:val="20"/>
        </w:rPr>
        <w:t xml:space="preserve">requirement that H Block licensees pay a </w:t>
      </w:r>
      <w:r w:rsidRPr="00B35D00">
        <w:rPr>
          <w:i/>
          <w:sz w:val="20"/>
        </w:rPr>
        <w:t>pro rata</w:t>
      </w:r>
      <w:r w:rsidRPr="00637407">
        <w:rPr>
          <w:sz w:val="20"/>
        </w:rPr>
        <w:t xml:space="preserve"> share of expenses incurred by UTAM and Sprint for past band clearing was adopted by the Commission as a rule in the </w:t>
      </w:r>
      <w:r w:rsidRPr="00637407">
        <w:rPr>
          <w:i/>
          <w:sz w:val="20"/>
        </w:rPr>
        <w:t>H Block Report and Order</w:t>
      </w:r>
      <w:r>
        <w:rPr>
          <w:sz w:val="20"/>
        </w:rPr>
        <w:t>.  A Commission rule</w:t>
      </w:r>
      <w:r w:rsidRPr="00637407">
        <w:rPr>
          <w:sz w:val="20"/>
        </w:rPr>
        <w:t xml:space="preserve"> cannot be amended in the context of </w:t>
      </w:r>
      <w:r>
        <w:rPr>
          <w:sz w:val="20"/>
        </w:rPr>
        <w:t xml:space="preserve">this proceeding </w:t>
      </w:r>
      <w:r w:rsidRPr="00637407">
        <w:rPr>
          <w:sz w:val="20"/>
        </w:rPr>
        <w:t>establishing the procedures for Auction 96</w:t>
      </w:r>
      <w:r>
        <w:rPr>
          <w:sz w:val="20"/>
        </w:rPr>
        <w:t xml:space="preserve"> because such action is outside of the scope of the Bureau’s delegated authority.  </w:t>
      </w:r>
      <w:r>
        <w:rPr>
          <w:i/>
          <w:sz w:val="20"/>
        </w:rPr>
        <w:t xml:space="preserve">See </w:t>
      </w:r>
      <w:r>
        <w:rPr>
          <w:sz w:val="20"/>
        </w:rPr>
        <w:t xml:space="preserve">47 C.F.R. </w:t>
      </w:r>
      <w:r w:rsidRPr="00510C4B">
        <w:rPr>
          <w:sz w:val="20"/>
        </w:rPr>
        <w:t>§</w:t>
      </w:r>
      <w:r>
        <w:rPr>
          <w:sz w:val="20"/>
        </w:rPr>
        <w:t xml:space="preserve"> 0.131</w:t>
      </w:r>
      <w:r w:rsidRPr="00637407">
        <w:rPr>
          <w:sz w:val="20"/>
        </w:rPr>
        <w:t>.</w:t>
      </w:r>
    </w:p>
  </w:footnote>
  <w:footnote w:id="66">
    <w:p w:rsidR="00FE4663" w:rsidRDefault="00FE4663" w:rsidP="00F06209">
      <w:pPr>
        <w:pStyle w:val="FootnoteText"/>
        <w:spacing w:before="120"/>
      </w:pPr>
      <w:r>
        <w:rPr>
          <w:rStyle w:val="FootnoteReference"/>
        </w:rPr>
        <w:footnoteRef/>
      </w:r>
      <w:r>
        <w:t xml:space="preserve"> </w:t>
      </w:r>
      <w:r>
        <w:rPr>
          <w:i/>
        </w:rPr>
        <w:t xml:space="preserve">See </w:t>
      </w:r>
      <w:r>
        <w:t xml:space="preserve">47 C.F.R. § 27.102(a).  </w:t>
      </w:r>
      <w:r>
        <w:rPr>
          <w:i/>
        </w:rPr>
        <w:t>See also H Block Report and Order</w:t>
      </w:r>
      <w:r>
        <w:t xml:space="preserve">, 28 FCC Rcd at 9548-51 ¶¶ 167-73.  The Commission noted that $12,629,857 is the amount UTAM has identified as the amount collectively owed to UTAM by future Lower H Block licensees for UTAM’s clearing of the 1910-1930 MHz band; that is, this amount represents one-fourth of UTAM’s total reimbursable clearing costs for the entire 1910-1930 MHz band.  </w:t>
      </w:r>
      <w:r>
        <w:rPr>
          <w:i/>
        </w:rPr>
        <w:t xml:space="preserve">See H Block Report and Order </w:t>
      </w:r>
      <w:r>
        <w:t>at 9544 ¶ 158</w:t>
      </w:r>
      <w:r w:rsidRPr="00A42A76">
        <w:t xml:space="preserve"> n.</w:t>
      </w:r>
      <w:r>
        <w:t xml:space="preserve"> 491.  </w:t>
      </w:r>
    </w:p>
  </w:footnote>
  <w:footnote w:id="67">
    <w:p w:rsidR="00FE4663" w:rsidRDefault="00FE4663" w:rsidP="00F06209">
      <w:pPr>
        <w:pStyle w:val="FootnoteText"/>
      </w:pPr>
      <w:r>
        <w:rPr>
          <w:rStyle w:val="FootnoteReference"/>
        </w:rPr>
        <w:footnoteRef/>
      </w:r>
      <w:r>
        <w:t xml:space="preserve"> </w:t>
      </w:r>
      <w:r>
        <w:rPr>
          <w:i/>
        </w:rPr>
        <w:t xml:space="preserve">See </w:t>
      </w:r>
      <w:r>
        <w:t xml:space="preserve">47 C.F.R. § 27.1031(a).  </w:t>
      </w:r>
      <w:r>
        <w:rPr>
          <w:i/>
        </w:rPr>
        <w:t>See also H Block Report and Order</w:t>
      </w:r>
      <w:r>
        <w:t xml:space="preserve">, 28 FCC Rcd at 9544-45 ¶¶ 158-59.  The Commission noted that Sprint has stated that the </w:t>
      </w:r>
      <w:r>
        <w:rPr>
          <w:i/>
        </w:rPr>
        <w:t>pro rata</w:t>
      </w:r>
      <w:r>
        <w:t xml:space="preserve"> share of the overall Broadcast Auxiliary Service (BAS) relocation costs attributable to each five megahertz of relocated BAS spectrum amounts to $94,875,516.  </w:t>
      </w:r>
      <w:r>
        <w:rPr>
          <w:i/>
        </w:rPr>
        <w:t>See H Block Report and Order</w:t>
      </w:r>
      <w:r>
        <w:t>, 28 FCC Rcd at 9544-45 ¶ 159 n.496.</w:t>
      </w:r>
    </w:p>
  </w:footnote>
  <w:footnote w:id="68">
    <w:p w:rsidR="00FE4663" w:rsidRDefault="00FE4663" w:rsidP="00F06209">
      <w:pPr>
        <w:pStyle w:val="FootnoteText"/>
      </w:pPr>
      <w:r>
        <w:rPr>
          <w:rStyle w:val="FootnoteReference"/>
        </w:rPr>
        <w:footnoteRef/>
      </w:r>
      <w:r>
        <w:t xml:space="preserve"> </w:t>
      </w:r>
      <w:r>
        <w:rPr>
          <w:i/>
        </w:rPr>
        <w:t xml:space="preserve">See </w:t>
      </w:r>
      <w:r>
        <w:t xml:space="preserve">47 C.F.R. §§ 27.2021(e), 27.1031(e), 27.1041(b).  </w:t>
      </w:r>
      <w:r>
        <w:rPr>
          <w:i/>
        </w:rPr>
        <w:t>See also H Block Report and Order</w:t>
      </w:r>
      <w:r>
        <w:t>, 28 FCC Rcd</w:t>
      </w:r>
      <w:r>
        <w:rPr>
          <w:i/>
        </w:rPr>
        <w:t xml:space="preserve"> </w:t>
      </w:r>
      <w:r>
        <w:t>at 9549-51 ¶¶ 170-73.</w:t>
      </w:r>
    </w:p>
  </w:footnote>
  <w:footnote w:id="69">
    <w:p w:rsidR="00FE4663" w:rsidRPr="00714A8B" w:rsidRDefault="00FE4663" w:rsidP="00F06209">
      <w:pPr>
        <w:pStyle w:val="FootnoteText"/>
        <w:spacing w:before="120" w:after="0"/>
      </w:pPr>
      <w:r>
        <w:rPr>
          <w:rStyle w:val="FootnoteReference"/>
        </w:rPr>
        <w:footnoteRef/>
      </w:r>
      <w:r>
        <w:t xml:space="preserve"> </w:t>
      </w:r>
      <w:r>
        <w:rPr>
          <w:i/>
        </w:rPr>
        <w:t>See H Block Report and Order</w:t>
      </w:r>
      <w:r>
        <w:t>, 28 FCC Rcd</w:t>
      </w:r>
      <w:r>
        <w:rPr>
          <w:i/>
        </w:rPr>
        <w:t xml:space="preserve"> </w:t>
      </w:r>
      <w:r>
        <w:t xml:space="preserve">at 9547, 9548-49 ¶¶ 163, 168.  In such a scenario the population would be measured using 2010 Census data, which is the most recent decennial census data.  </w:t>
      </w:r>
      <w:r>
        <w:rPr>
          <w:i/>
        </w:rPr>
        <w:t>Id.</w:t>
      </w:r>
      <w:r>
        <w:t xml:space="preserve"> at 9549 ¶ 168</w:t>
      </w:r>
      <w:r w:rsidRPr="00D93250">
        <w:t xml:space="preserve"> n. </w:t>
      </w:r>
      <w:r>
        <w:t>528.</w:t>
      </w:r>
    </w:p>
  </w:footnote>
  <w:footnote w:id="70">
    <w:p w:rsidR="00FE4663" w:rsidRPr="00AB79B6" w:rsidRDefault="00FE4663" w:rsidP="00F06209">
      <w:pPr>
        <w:pStyle w:val="FootnoteText"/>
        <w:spacing w:before="120" w:after="0"/>
        <w:rPr>
          <w:i/>
        </w:rPr>
      </w:pPr>
      <w:r>
        <w:rPr>
          <w:rStyle w:val="FootnoteReference"/>
        </w:rPr>
        <w:footnoteRef/>
      </w:r>
      <w:r>
        <w:t xml:space="preserve"> </w:t>
      </w:r>
      <w:r>
        <w:rPr>
          <w:i/>
        </w:rPr>
        <w:t xml:space="preserve">See </w:t>
      </w:r>
      <w:r>
        <w:t xml:space="preserve">47 C.F.R. §§ 27.1021(b)-(c), 27.1031(b)-(c).  </w:t>
      </w:r>
      <w:r w:rsidRPr="009621C4">
        <w:rPr>
          <w:i/>
        </w:rPr>
        <w:t xml:space="preserve">See also </w:t>
      </w:r>
      <w:r>
        <w:rPr>
          <w:i/>
        </w:rPr>
        <w:t>H Block Report and Order</w:t>
      </w:r>
      <w:r>
        <w:t>, 28 FCC Rcd</w:t>
      </w:r>
      <w:r w:rsidRPr="009621C4">
        <w:t xml:space="preserve"> </w:t>
      </w:r>
      <w:r>
        <w:t>at 9547, 9548-49 ¶¶ 163, 168.</w:t>
      </w:r>
    </w:p>
  </w:footnote>
  <w:footnote w:id="71">
    <w:p w:rsidR="00FE4663" w:rsidRDefault="00FE4663" w:rsidP="00BE20E8">
      <w:pPr>
        <w:pStyle w:val="FootnoteText"/>
      </w:pPr>
      <w:r>
        <w:rPr>
          <w:rStyle w:val="FootnoteReference"/>
        </w:rPr>
        <w:footnoteRef/>
      </w:r>
      <w:r>
        <w:t xml:space="preserve"> </w:t>
      </w:r>
      <w:r>
        <w:rPr>
          <w:i/>
        </w:rPr>
        <w:t xml:space="preserve">See </w:t>
      </w:r>
      <w:r>
        <w:t xml:space="preserve"> </w:t>
      </w:r>
      <w:r>
        <w:rPr>
          <w:i/>
        </w:rPr>
        <w:t xml:space="preserve">H Block Report and </w:t>
      </w:r>
      <w:r w:rsidRPr="00836FA1">
        <w:rPr>
          <w:i/>
        </w:rPr>
        <w:t>Order</w:t>
      </w:r>
      <w:r>
        <w:t xml:space="preserve">, 28 FCC Rcd at 9541-42, </w:t>
      </w:r>
      <w:r w:rsidRPr="00836FA1">
        <w:rPr>
          <w:sz w:val="22"/>
          <w:szCs w:val="22"/>
        </w:rPr>
        <w:t xml:space="preserve">¶ </w:t>
      </w:r>
      <w:r>
        <w:t xml:space="preserve">154; </w:t>
      </w:r>
      <w:r w:rsidRPr="00894960">
        <w:t>47</w:t>
      </w:r>
      <w:r>
        <w:t xml:space="preserve"> C.F.R. § 27.57(c).</w:t>
      </w:r>
    </w:p>
  </w:footnote>
  <w:footnote w:id="72">
    <w:p w:rsidR="00FE4663" w:rsidRDefault="00FE4663">
      <w:pPr>
        <w:pStyle w:val="FootnoteText"/>
      </w:pPr>
      <w:r>
        <w:rPr>
          <w:rStyle w:val="FootnoteReference"/>
        </w:rPr>
        <w:footnoteRef/>
      </w:r>
      <w:r>
        <w:t xml:space="preserve"> </w:t>
      </w:r>
      <w:r>
        <w:rPr>
          <w:i/>
        </w:rPr>
        <w:t xml:space="preserve">H Block Report and </w:t>
      </w:r>
      <w:r w:rsidRPr="00836FA1">
        <w:rPr>
          <w:i/>
        </w:rPr>
        <w:t>Order</w:t>
      </w:r>
      <w:r>
        <w:t xml:space="preserve">, 28 FCC Rcd at 9541-42, </w:t>
      </w:r>
      <w:r w:rsidRPr="00836FA1">
        <w:rPr>
          <w:sz w:val="22"/>
          <w:szCs w:val="22"/>
        </w:rPr>
        <w:t xml:space="preserve">¶ </w:t>
      </w:r>
      <w:r>
        <w:t>154.</w:t>
      </w:r>
    </w:p>
  </w:footnote>
  <w:footnote w:id="73">
    <w:p w:rsidR="00FE4663" w:rsidRDefault="00FE4663" w:rsidP="00BE20E8">
      <w:pPr>
        <w:pStyle w:val="FootnoteText"/>
      </w:pPr>
      <w:r>
        <w:rPr>
          <w:rStyle w:val="FootnoteReference"/>
        </w:rPr>
        <w:footnoteRef/>
      </w:r>
      <w:r>
        <w:rPr>
          <w:i/>
        </w:rPr>
        <w:t>Id</w:t>
      </w:r>
      <w:r>
        <w:t xml:space="preserve">. </w:t>
      </w:r>
    </w:p>
  </w:footnote>
  <w:footnote w:id="74">
    <w:p w:rsidR="00FE4663" w:rsidRDefault="00FE4663" w:rsidP="00BE20E8">
      <w:pPr>
        <w:pStyle w:val="FootnoteText"/>
      </w:pPr>
      <w:r>
        <w:rPr>
          <w:rStyle w:val="FootnoteReference"/>
        </w:rPr>
        <w:footnoteRef/>
      </w:r>
      <w:r>
        <w:t xml:space="preserve"> 47 C.F.R. § 1.924.</w:t>
      </w:r>
    </w:p>
  </w:footnote>
  <w:footnote w:id="75">
    <w:p w:rsidR="00BD7FD4" w:rsidRPr="00AA63D9" w:rsidRDefault="00BD7FD4" w:rsidP="00BD7FD4">
      <w:pPr>
        <w:pStyle w:val="FootnoteText"/>
      </w:pPr>
      <w:r>
        <w:rPr>
          <w:rStyle w:val="FootnoteReference"/>
        </w:rPr>
        <w:footnoteRef/>
      </w:r>
      <w:r>
        <w:t xml:space="preserve"> </w:t>
      </w:r>
      <w:r>
        <w:rPr>
          <w:i/>
        </w:rPr>
        <w:t xml:space="preserve">See </w:t>
      </w:r>
      <w:r>
        <w:t xml:space="preserve">47 U.S.C. §§ 309(j)(6)(C)-(D); </w:t>
      </w:r>
      <w:r>
        <w:rPr>
          <w:i/>
        </w:rPr>
        <w:t xml:space="preserve">Celtronix Telemetry, Inc. v. FCC, </w:t>
      </w:r>
      <w:r>
        <w:t>272 F.3d 585 (D.C. Cir. 2001).</w:t>
      </w:r>
    </w:p>
  </w:footnote>
  <w:footnote w:id="76">
    <w:p w:rsidR="00FE4663" w:rsidRPr="004B4614" w:rsidRDefault="00FE4663">
      <w:pPr>
        <w:pStyle w:val="FootnoteText"/>
      </w:pPr>
      <w:r>
        <w:rPr>
          <w:rStyle w:val="FootnoteReference"/>
        </w:rPr>
        <w:footnoteRef/>
      </w:r>
      <w:r>
        <w:t xml:space="preserve"> </w:t>
      </w:r>
      <w:r w:rsidRPr="003D1F78">
        <w:rPr>
          <w:i/>
        </w:rPr>
        <w:t xml:space="preserve">See, e.g., </w:t>
      </w:r>
      <w:r w:rsidRPr="003D1F78">
        <w:t>authorities cited at note 1, above</w:t>
      </w:r>
      <w:r>
        <w:t xml:space="preserve">.  </w:t>
      </w:r>
    </w:p>
  </w:footnote>
  <w:footnote w:id="77">
    <w:p w:rsidR="00FE4663" w:rsidRDefault="00FE4663">
      <w:pPr>
        <w:pStyle w:val="FootnoteText"/>
      </w:pPr>
      <w:r>
        <w:rPr>
          <w:rStyle w:val="FootnoteReference"/>
        </w:rPr>
        <w:footnoteRef/>
      </w:r>
      <w:r>
        <w:t xml:space="preserve"> </w:t>
      </w:r>
      <w:r>
        <w:rPr>
          <w:i/>
        </w:rPr>
        <w:t>See</w:t>
      </w:r>
      <w:r>
        <w:t xml:space="preserve"> Section I.C.3., “Cost-Sharing Obligations,” above.</w:t>
      </w:r>
    </w:p>
  </w:footnote>
  <w:footnote w:id="78">
    <w:p w:rsidR="00FE4663" w:rsidRDefault="00FE4663" w:rsidP="0083488E">
      <w:pPr>
        <w:pStyle w:val="FootnoteText"/>
      </w:pPr>
      <w:r w:rsidRPr="00764293">
        <w:rPr>
          <w:rStyle w:val="FootnoteReference"/>
        </w:rPr>
        <w:footnoteRef/>
      </w:r>
      <w:r w:rsidRPr="00764293">
        <w:t xml:space="preserve"> 47 C.F.R. Chapter 1, Part 1, Subpart I.</w:t>
      </w:r>
    </w:p>
  </w:footnote>
  <w:footnote w:id="79">
    <w:p w:rsidR="00FE4663" w:rsidRPr="00915E0F" w:rsidRDefault="00FE4663" w:rsidP="0083488E">
      <w:pPr>
        <w:pStyle w:val="FootnoteText"/>
      </w:pPr>
      <w:r w:rsidRPr="00915E0F">
        <w:rPr>
          <w:rStyle w:val="FootnoteReference"/>
          <w:sz w:val="20"/>
        </w:rPr>
        <w:footnoteRef/>
      </w:r>
      <w:r w:rsidRPr="00915E0F">
        <w:t xml:space="preserve"> 47 C.F.R. </w:t>
      </w:r>
      <w:r>
        <w:t>Chapter 1, Part 1,</w:t>
      </w:r>
      <w:r w:rsidRPr="00915E0F">
        <w:t xml:space="preserve"> Subpart I.</w:t>
      </w:r>
    </w:p>
  </w:footnote>
  <w:footnote w:id="80">
    <w:p w:rsidR="00FE4663" w:rsidRPr="00915E0F" w:rsidRDefault="00FE4663" w:rsidP="0083488E">
      <w:pPr>
        <w:pStyle w:val="FootnoteText"/>
      </w:pPr>
      <w:r w:rsidRPr="00915E0F">
        <w:rPr>
          <w:rStyle w:val="FootnoteReference"/>
          <w:sz w:val="20"/>
        </w:rPr>
        <w:footnoteRef/>
      </w:r>
      <w:r w:rsidRPr="00915E0F">
        <w:t xml:space="preserve"> 47 C.F.R. §§ 1.1301-1.1319.</w:t>
      </w:r>
    </w:p>
  </w:footnote>
  <w:footnote w:id="81">
    <w:p w:rsidR="00FE4663" w:rsidRPr="00915E0F" w:rsidRDefault="00FE4663" w:rsidP="0083488E">
      <w:pPr>
        <w:pStyle w:val="FootnoteText"/>
      </w:pPr>
      <w:r w:rsidRPr="00915E0F">
        <w:rPr>
          <w:rStyle w:val="FootnoteReference"/>
          <w:sz w:val="20"/>
        </w:rPr>
        <w:footnoteRef/>
      </w:r>
      <w:r w:rsidRPr="00915E0F">
        <w:t xml:space="preserve"> 47 C.F.R. Part 1, Appendix C.  </w:t>
      </w:r>
    </w:p>
  </w:footnote>
  <w:footnote w:id="82">
    <w:p w:rsidR="00FE4663" w:rsidRPr="00915E0F" w:rsidRDefault="00FE4663" w:rsidP="0083488E">
      <w:pPr>
        <w:pStyle w:val="FootnoteText"/>
        <w:rPr>
          <w:i/>
        </w:rPr>
      </w:pPr>
      <w:r w:rsidRPr="00AA2B80">
        <w:rPr>
          <w:rStyle w:val="FootnoteReference"/>
          <w:sz w:val="20"/>
        </w:rPr>
        <w:footnoteRef/>
      </w:r>
      <w:r w:rsidRPr="00AA2B80">
        <w:t xml:space="preserve"> </w:t>
      </w:r>
      <w:r w:rsidRPr="00206CE7">
        <w:rPr>
          <w:i/>
        </w:rPr>
        <w:t>See</w:t>
      </w:r>
      <w:r w:rsidRPr="00206CE7">
        <w:t xml:space="preserve"> Section IV.A.1.</w:t>
      </w:r>
      <w:r>
        <w:t>a.</w:t>
      </w:r>
      <w:r w:rsidRPr="00206CE7">
        <w:t xml:space="preserve"> “Simultaneous</w:t>
      </w:r>
      <w:r w:rsidRPr="00AA2B80">
        <w:t xml:space="preserve"> Multiple Round Auction,” below</w:t>
      </w:r>
      <w:r w:rsidRPr="00AA2B80">
        <w:rPr>
          <w:i/>
        </w:rPr>
        <w:t>.</w:t>
      </w:r>
    </w:p>
  </w:footnote>
  <w:footnote w:id="83">
    <w:p w:rsidR="00FE4663" w:rsidRPr="00A65F60" w:rsidRDefault="00FE4663" w:rsidP="0083488E">
      <w:pPr>
        <w:pStyle w:val="FootnoteText"/>
      </w:pPr>
      <w:r w:rsidRPr="00915E0F">
        <w:rPr>
          <w:rStyle w:val="FootnoteReference"/>
          <w:sz w:val="20"/>
        </w:rPr>
        <w:footnoteRef/>
      </w:r>
      <w:r w:rsidRPr="00915E0F">
        <w:t xml:space="preserve"> 47 C.F.</w:t>
      </w:r>
      <w:r w:rsidRPr="00A65F60">
        <w:t xml:space="preserve">R. §§ 1.2105. </w:t>
      </w:r>
    </w:p>
  </w:footnote>
  <w:footnote w:id="84">
    <w:p w:rsidR="00FE4663" w:rsidRPr="00A65F60" w:rsidRDefault="00FE4663" w:rsidP="0083488E">
      <w:pPr>
        <w:pStyle w:val="FootnoteText"/>
      </w:pPr>
      <w:r w:rsidRPr="00A65F60">
        <w:rPr>
          <w:rStyle w:val="FootnoteReference"/>
          <w:sz w:val="20"/>
        </w:rPr>
        <w:footnoteRef/>
      </w:r>
      <w:r w:rsidRPr="00A65F60">
        <w:t xml:space="preserve"> </w:t>
      </w:r>
      <w:r w:rsidRPr="00A65F60">
        <w:rPr>
          <w:i/>
        </w:rPr>
        <w:t>Id</w:t>
      </w:r>
      <w:r w:rsidRPr="00A65F60">
        <w:t>.;</w:t>
      </w:r>
      <w:r w:rsidRPr="00A65F60">
        <w:rPr>
          <w:i/>
        </w:rPr>
        <w:t xml:space="preserve"> see also Competitive Bidding</w:t>
      </w:r>
      <w:r w:rsidRPr="00A65F60">
        <w:t xml:space="preserve"> </w:t>
      </w:r>
      <w:r w:rsidRPr="00A65F60">
        <w:rPr>
          <w:i/>
        </w:rPr>
        <w:t>Second Report and Order</w:t>
      </w:r>
      <w:r w:rsidRPr="00A65F60">
        <w:t>, 9 FCC Rcd at 2376 ¶ 165.</w:t>
      </w:r>
    </w:p>
  </w:footnote>
  <w:footnote w:id="85">
    <w:p w:rsidR="00FE4663" w:rsidRPr="00A65F60" w:rsidRDefault="00FE4663" w:rsidP="0083488E">
      <w:pPr>
        <w:pStyle w:val="FootnoteText"/>
      </w:pPr>
      <w:r w:rsidRPr="009F0EEA">
        <w:rPr>
          <w:rStyle w:val="FootnoteReference"/>
          <w:sz w:val="20"/>
        </w:rPr>
        <w:footnoteRef/>
      </w:r>
      <w:r w:rsidRPr="009F0EEA">
        <w:rPr>
          <w:i/>
        </w:rPr>
        <w:t xml:space="preserve"> </w:t>
      </w:r>
      <w:r w:rsidRPr="00206CE7">
        <w:t>Section III.D. “Upfront</w:t>
      </w:r>
      <w:r w:rsidRPr="00A65F60">
        <w:t xml:space="preserve"> Payments – Due </w:t>
      </w:r>
      <w:r>
        <w:t>December 11</w:t>
      </w:r>
      <w:r w:rsidRPr="00A65F60">
        <w:t>, 201</w:t>
      </w:r>
      <w:r>
        <w:t>3</w:t>
      </w:r>
      <w:r w:rsidRPr="00A65F60">
        <w:t>,” below</w:t>
      </w:r>
      <w:r w:rsidRPr="00A65F60">
        <w:rPr>
          <w:i/>
        </w:rPr>
        <w:t xml:space="preserve">.  </w:t>
      </w:r>
    </w:p>
  </w:footnote>
  <w:footnote w:id="86">
    <w:p w:rsidR="00FE4663" w:rsidRPr="00A65F60" w:rsidRDefault="00FE4663" w:rsidP="0083488E">
      <w:pPr>
        <w:pStyle w:val="FootnoteText"/>
        <w:rPr>
          <w:b/>
        </w:rPr>
      </w:pPr>
      <w:r w:rsidRPr="00A65F60">
        <w:rPr>
          <w:rStyle w:val="FootnoteReference"/>
          <w:sz w:val="20"/>
        </w:rPr>
        <w:footnoteRef/>
      </w:r>
      <w:r w:rsidRPr="00A65F60">
        <w:t xml:space="preserve"> 47 C.F.R. §§ 1.2107.</w:t>
      </w:r>
    </w:p>
  </w:footnote>
  <w:footnote w:id="87">
    <w:p w:rsidR="00FE4663" w:rsidRPr="00A65F60" w:rsidRDefault="00FE4663" w:rsidP="00D54394">
      <w:pPr>
        <w:pStyle w:val="FootnoteText"/>
      </w:pPr>
      <w:r w:rsidRPr="00A65F60">
        <w:rPr>
          <w:rStyle w:val="FootnoteReference"/>
          <w:sz w:val="20"/>
        </w:rPr>
        <w:footnoteRef/>
      </w:r>
      <w:r w:rsidRPr="00A65F60">
        <w:t xml:space="preserve"> 47 C.F.R. § 1.2105(a)(2)(v).</w:t>
      </w:r>
    </w:p>
  </w:footnote>
  <w:footnote w:id="88">
    <w:p w:rsidR="00FE4663" w:rsidRPr="00A65F60" w:rsidRDefault="00FE4663" w:rsidP="0083488E">
      <w:pPr>
        <w:pStyle w:val="FootnoteText"/>
      </w:pPr>
      <w:r w:rsidRPr="00BD752F">
        <w:rPr>
          <w:rStyle w:val="FootnoteReference"/>
        </w:rPr>
        <w:footnoteRef/>
      </w:r>
      <w:r w:rsidRPr="00BD752F">
        <w:t xml:space="preserve"> </w:t>
      </w:r>
      <w:r w:rsidRPr="00BD752F">
        <w:rPr>
          <w:i/>
        </w:rPr>
        <w:t xml:space="preserve">See </w:t>
      </w:r>
      <w:r w:rsidRPr="00BD752F">
        <w:t>47 C.F.R</w:t>
      </w:r>
      <w:r w:rsidRPr="00A65F60">
        <w:t>. § 1.2105(b).</w:t>
      </w:r>
    </w:p>
  </w:footnote>
  <w:footnote w:id="89">
    <w:p w:rsidR="00FE4663" w:rsidRPr="00A65F60" w:rsidRDefault="00FE4663" w:rsidP="006F350E">
      <w:pPr>
        <w:pStyle w:val="FootnoteText"/>
      </w:pPr>
      <w:r w:rsidRPr="00A65F60">
        <w:rPr>
          <w:rStyle w:val="FootnoteReference"/>
          <w:sz w:val="20"/>
        </w:rPr>
        <w:footnoteRef/>
      </w:r>
      <w:r w:rsidRPr="00A65F60">
        <w:t xml:space="preserve"> 47 C.F.R. § 1.2105(b)(2).</w:t>
      </w:r>
    </w:p>
  </w:footnote>
  <w:footnote w:id="90">
    <w:p w:rsidR="00FE4663" w:rsidRDefault="00FE4663" w:rsidP="0015678A">
      <w:pPr>
        <w:pStyle w:val="FootnoteText"/>
      </w:pPr>
      <w:r>
        <w:rPr>
          <w:rStyle w:val="FootnoteReference"/>
        </w:rPr>
        <w:footnoteRef/>
      </w:r>
      <w:r>
        <w:t xml:space="preserve"> 47 C.F.R. §§ 1.2105(a)(2)(viii), (c)(1).</w:t>
      </w:r>
    </w:p>
  </w:footnote>
  <w:footnote w:id="91">
    <w:p w:rsidR="00FE4663" w:rsidRDefault="00FE4663" w:rsidP="0015678A">
      <w:pPr>
        <w:pStyle w:val="FootnoteText"/>
      </w:pPr>
      <w:r>
        <w:rPr>
          <w:rStyle w:val="FootnoteReference"/>
        </w:rPr>
        <w:footnoteRef/>
      </w:r>
      <w:r>
        <w:t xml:space="preserve"> 47 C.F.R</w:t>
      </w:r>
      <w:r>
        <w:rPr>
          <w:i/>
        </w:rPr>
        <w:t>.</w:t>
      </w:r>
      <w:r>
        <w:t xml:space="preserve"> § 1.2105(a)(2)(ix).</w:t>
      </w:r>
    </w:p>
  </w:footnote>
  <w:footnote w:id="92">
    <w:p w:rsidR="00FE4663" w:rsidRPr="00206CE7" w:rsidRDefault="00FE4663" w:rsidP="0015678A">
      <w:pPr>
        <w:pStyle w:val="FootnoteText"/>
      </w:pPr>
      <w:r w:rsidRPr="00206CE7">
        <w:rPr>
          <w:rStyle w:val="FootnoteReference"/>
        </w:rPr>
        <w:footnoteRef/>
      </w:r>
      <w:r w:rsidRPr="00206CE7">
        <w:t xml:space="preserve"> Section I.C.2. “Prohibited Communications and Compliance with Antitrust Laws,” above</w:t>
      </w:r>
      <w:r w:rsidRPr="00206CE7">
        <w:rPr>
          <w:i/>
        </w:rPr>
        <w:t>.</w:t>
      </w:r>
    </w:p>
  </w:footnote>
  <w:footnote w:id="93">
    <w:p w:rsidR="00FE4663" w:rsidRPr="00206CE7" w:rsidRDefault="00FE4663" w:rsidP="0015678A">
      <w:pPr>
        <w:pStyle w:val="FootnoteText"/>
      </w:pPr>
      <w:r w:rsidRPr="00206CE7">
        <w:rPr>
          <w:rStyle w:val="FootnoteReference"/>
        </w:rPr>
        <w:footnoteRef/>
      </w:r>
      <w:r w:rsidRPr="00206CE7">
        <w:t xml:space="preserve"> 47 C.F.R. §§ 1.2105(c)(4)(i), (ii).</w:t>
      </w:r>
    </w:p>
  </w:footnote>
  <w:footnote w:id="94">
    <w:p w:rsidR="00FE4663" w:rsidRDefault="00FE4663" w:rsidP="0015678A">
      <w:pPr>
        <w:pStyle w:val="FootnoteText"/>
      </w:pPr>
      <w:r w:rsidRPr="00206CE7">
        <w:rPr>
          <w:rStyle w:val="FootnoteReference"/>
        </w:rPr>
        <w:footnoteRef/>
      </w:r>
      <w:r w:rsidRPr="00206CE7">
        <w:t xml:space="preserve"> Section I.C.2. “Prohibited Communications</w:t>
      </w:r>
      <w:r w:rsidRPr="00F230BB">
        <w:t xml:space="preserve"> and Compliance with Antitrust Laws,” above; </w:t>
      </w:r>
      <w:r w:rsidRPr="00F230BB">
        <w:rPr>
          <w:i/>
        </w:rPr>
        <w:t xml:space="preserve">see </w:t>
      </w:r>
      <w:r w:rsidRPr="00F230BB">
        <w:t>Amendment of Part 1 of the Commission's</w:t>
      </w:r>
      <w:r w:rsidRPr="00F6658A">
        <w:t xml:space="preserve"> Rules – Competitive Bidding Procedures</w:t>
      </w:r>
      <w:r w:rsidRPr="00F6658A">
        <w:rPr>
          <w:i/>
        </w:rPr>
        <w:t xml:space="preserve">, </w:t>
      </w:r>
      <w:r w:rsidRPr="00F6658A">
        <w:t xml:space="preserve">WT Docket No. 97-82, </w:t>
      </w:r>
      <w:r w:rsidRPr="00F6658A">
        <w:rPr>
          <w:i/>
        </w:rPr>
        <w:t>Third Report and Order and Second Further Notice of Proposed Rule Making</w:t>
      </w:r>
      <w:r w:rsidRPr="00F6658A">
        <w:t>, FCC 97-413, 13 FCC Rcd 374, 467-68 ¶ 163 (1997) (</w:t>
      </w:r>
      <w:r w:rsidRPr="00F6658A">
        <w:rPr>
          <w:i/>
        </w:rPr>
        <w:t>“Part 1 Third Report and Order”</w:t>
      </w:r>
      <w:r w:rsidRPr="00F6658A">
        <w:t>).</w:t>
      </w:r>
    </w:p>
  </w:footnote>
  <w:footnote w:id="95">
    <w:p w:rsidR="00FE4663" w:rsidRPr="00F6658A" w:rsidRDefault="00FE4663" w:rsidP="0015678A">
      <w:pPr>
        <w:pStyle w:val="FootnoteText"/>
      </w:pPr>
      <w:r w:rsidRPr="00F6658A">
        <w:rPr>
          <w:rStyle w:val="FootnoteReference"/>
        </w:rPr>
        <w:footnoteRef/>
      </w:r>
      <w:r w:rsidRPr="00F6658A">
        <w:t xml:space="preserve"> </w:t>
      </w:r>
      <w:r w:rsidRPr="00F6658A">
        <w:rPr>
          <w:i/>
        </w:rPr>
        <w:t>Id</w:t>
      </w:r>
      <w:r w:rsidRPr="00F6658A">
        <w:t>.</w:t>
      </w:r>
    </w:p>
  </w:footnote>
  <w:footnote w:id="96">
    <w:p w:rsidR="00FE4663" w:rsidRPr="00F6658A" w:rsidRDefault="00FE4663" w:rsidP="00353674">
      <w:pPr>
        <w:pStyle w:val="FootnoteText"/>
      </w:pPr>
      <w:r w:rsidRPr="00F6658A">
        <w:rPr>
          <w:rStyle w:val="FootnoteReference"/>
        </w:rPr>
        <w:footnoteRef/>
      </w:r>
      <w:r w:rsidRPr="00F6658A">
        <w:t xml:space="preserve"> 47 C.F.R. § 1.2105 requires the disclosure on the short-form application of the applicant’s ownership information as set forth in 47 C.F.R. §§ 1.2105 and 1.2112.</w:t>
      </w:r>
    </w:p>
  </w:footnote>
  <w:footnote w:id="97">
    <w:p w:rsidR="00FE4663" w:rsidRPr="00F6658A" w:rsidRDefault="00FE4663" w:rsidP="00353674">
      <w:pPr>
        <w:pStyle w:val="FootnoteText"/>
      </w:pPr>
      <w:r w:rsidRPr="00F6658A">
        <w:rPr>
          <w:rStyle w:val="FootnoteReference"/>
        </w:rPr>
        <w:footnoteRef/>
      </w:r>
      <w:r w:rsidRPr="00F6658A">
        <w:t xml:space="preserve"> 47 C.F.R. §§ 1.2105</w:t>
      </w:r>
      <w:r>
        <w:t>,</w:t>
      </w:r>
      <w:r w:rsidRPr="00F6658A">
        <w:t xml:space="preserve"> 1.2112.</w:t>
      </w:r>
    </w:p>
  </w:footnote>
  <w:footnote w:id="98">
    <w:p w:rsidR="00FE4663" w:rsidRPr="00BC39E5" w:rsidRDefault="00FE4663" w:rsidP="00364B7D">
      <w:pPr>
        <w:pStyle w:val="FootnoteText"/>
        <w:rPr>
          <w:u w:val="single"/>
        </w:rPr>
      </w:pPr>
      <w:r w:rsidRPr="00AC5BC5">
        <w:rPr>
          <w:rStyle w:val="FootnoteReference"/>
          <w:sz w:val="20"/>
        </w:rPr>
        <w:footnoteRef/>
      </w:r>
      <w:r w:rsidRPr="00AC5BC5">
        <w:t xml:space="preserve"> </w:t>
      </w:r>
      <w:r w:rsidRPr="00BC39E5">
        <w:rPr>
          <w:i/>
        </w:rPr>
        <w:t xml:space="preserve">See </w:t>
      </w:r>
      <w:r w:rsidRPr="00BC39E5">
        <w:t>47 U.S.C. §§ 310</w:t>
      </w:r>
      <w:r>
        <w:t>(a), (b)</w:t>
      </w:r>
      <w:r w:rsidRPr="00BC39E5">
        <w:t xml:space="preserve">.  </w:t>
      </w:r>
    </w:p>
  </w:footnote>
  <w:footnote w:id="99">
    <w:p w:rsidR="00FE4663" w:rsidRPr="00BC39E5" w:rsidRDefault="00FE4663" w:rsidP="00364B7D">
      <w:pPr>
        <w:pStyle w:val="FootnoteText"/>
      </w:pPr>
      <w:r w:rsidRPr="00BC39E5">
        <w:rPr>
          <w:rStyle w:val="FootnoteReference"/>
          <w:sz w:val="20"/>
        </w:rPr>
        <w:footnoteRef/>
      </w:r>
      <w:r>
        <w:t xml:space="preserve"> </w:t>
      </w:r>
      <w:r w:rsidRPr="00BC39E5">
        <w:rPr>
          <w:i/>
        </w:rPr>
        <w:t xml:space="preserve">See </w:t>
      </w:r>
      <w:r w:rsidRPr="00BC39E5">
        <w:rPr>
          <w:bCs/>
        </w:rPr>
        <w:t xml:space="preserve">Review of Foreign Ownership Policies for Common Carrier and Aeronautical Radio Licensees under Section 310(b)(4) of the Communications Act of 1934, as Amended, </w:t>
      </w:r>
      <w:r w:rsidRPr="00BC39E5">
        <w:rPr>
          <w:bCs/>
          <w:i/>
        </w:rPr>
        <w:t>Second Report and Order</w:t>
      </w:r>
      <w:r w:rsidRPr="00BC39E5">
        <w:t>, FCC 13-50, 28 FCC Rcd 5741, 574</w:t>
      </w:r>
      <w:r>
        <w:t>7</w:t>
      </w:r>
      <w:r w:rsidRPr="00BC39E5">
        <w:t>-4</w:t>
      </w:r>
      <w:r>
        <w:t>8</w:t>
      </w:r>
      <w:r w:rsidRPr="00BC39E5">
        <w:t xml:space="preserve"> ¶ </w:t>
      </w:r>
      <w:r>
        <w:t>7</w:t>
      </w:r>
      <w:r w:rsidRPr="00BC39E5">
        <w:t xml:space="preserve"> (2013) (“</w:t>
      </w:r>
      <w:r w:rsidRPr="00BC39E5">
        <w:rPr>
          <w:i/>
        </w:rPr>
        <w:t>Foreign Ownership Second Report and Order</w:t>
      </w:r>
      <w:r w:rsidRPr="00BC39E5">
        <w:t>”).</w:t>
      </w:r>
    </w:p>
  </w:footnote>
  <w:footnote w:id="100">
    <w:p w:rsidR="00FE4663" w:rsidRPr="00DA2C1B" w:rsidRDefault="00FE4663" w:rsidP="00364B7D">
      <w:pPr>
        <w:pStyle w:val="FootnoteText"/>
      </w:pPr>
      <w:r w:rsidRPr="00B54C6C">
        <w:rPr>
          <w:rStyle w:val="FootnoteReference"/>
        </w:rPr>
        <w:footnoteRef/>
      </w:r>
      <w:r w:rsidRPr="00B54C6C">
        <w:t xml:space="preserve"> </w:t>
      </w:r>
      <w:r>
        <w:rPr>
          <w:i/>
        </w:rPr>
        <w:t xml:space="preserve">See </w:t>
      </w:r>
      <w:r w:rsidRPr="00B54C6C">
        <w:t xml:space="preserve">47 C.F.R. § 1.2105(a)(2)(v), (vi).  </w:t>
      </w:r>
      <w:r w:rsidRPr="00DA2C1B">
        <w:t>See</w:t>
      </w:r>
      <w:r>
        <w:t xml:space="preserve"> Attachment D, “Short-Form Application Filing Instructions,” below for additional information concerning foreign ownership disclosure requirements.  </w:t>
      </w:r>
    </w:p>
  </w:footnote>
  <w:footnote w:id="101">
    <w:p w:rsidR="00FE4663" w:rsidRDefault="00FE4663">
      <w:pPr>
        <w:pStyle w:val="FootnoteText"/>
      </w:pPr>
      <w:r>
        <w:rPr>
          <w:rStyle w:val="FootnoteReference"/>
        </w:rPr>
        <w:footnoteRef/>
      </w:r>
      <w:r>
        <w:t xml:space="preserve"> </w:t>
      </w:r>
      <w:r>
        <w:rPr>
          <w:i/>
        </w:rPr>
        <w:t xml:space="preserve">See </w:t>
      </w:r>
      <w:r w:rsidRPr="000E44A3">
        <w:rPr>
          <w:szCs w:val="24"/>
        </w:rPr>
        <w:t>47 U.S.C § 1404</w:t>
      </w:r>
      <w:r>
        <w:rPr>
          <w:szCs w:val="24"/>
        </w:rPr>
        <w:t>.</w:t>
      </w:r>
    </w:p>
  </w:footnote>
  <w:footnote w:id="102">
    <w:p w:rsidR="00FE4663" w:rsidRPr="002A18A3" w:rsidRDefault="00FE4663">
      <w:pPr>
        <w:pStyle w:val="FootnoteText"/>
      </w:pPr>
      <w:r>
        <w:rPr>
          <w:rStyle w:val="FootnoteReference"/>
        </w:rPr>
        <w:footnoteRef/>
      </w:r>
      <w:r>
        <w:t xml:space="preserve"> </w:t>
      </w:r>
      <w:r>
        <w:rPr>
          <w:i/>
        </w:rPr>
        <w:t>H Block Report and Order</w:t>
      </w:r>
      <w:r>
        <w:t xml:space="preserve">, 28 </w:t>
      </w:r>
      <w:r w:rsidRPr="000F163C">
        <w:t>FCC Rcd at 9577-78 ¶¶ 253-54</w:t>
      </w:r>
      <w:r w:rsidRPr="002A18A3">
        <w:rPr>
          <w:rFonts w:ascii="TimesNewRomanPSMT" w:hAnsi="TimesNewRomanPSMT" w:cs="TimesNewRomanPSMT"/>
        </w:rPr>
        <w:t>.</w:t>
      </w:r>
      <w:r>
        <w:rPr>
          <w:rFonts w:ascii="TimesNewRomanPSMT" w:hAnsi="TimesNewRomanPSMT" w:cs="TimesNewRomanPSMT"/>
        </w:rPr>
        <w:t xml:space="preserve">  </w:t>
      </w:r>
      <w:r>
        <w:rPr>
          <w:rFonts w:ascii="TimesNewRomanPSMT" w:hAnsi="TimesNewRomanPSMT" w:cs="TimesNewRomanPSMT"/>
          <w:i/>
        </w:rPr>
        <w:t xml:space="preserve">See also </w:t>
      </w:r>
      <w:r w:rsidRPr="002A18A3">
        <w:rPr>
          <w:rFonts w:ascii="TimesNewRomanPSMT" w:hAnsi="TimesNewRomanPSMT" w:cs="TimesNewRomanPSMT"/>
        </w:rPr>
        <w:t>47 C.F.R. § 1.2105(a)</w:t>
      </w:r>
      <w:r>
        <w:rPr>
          <w:rFonts w:ascii="TimesNewRomanPSMT" w:hAnsi="TimesNewRomanPSMT" w:cs="TimesNewRomanPSMT"/>
        </w:rPr>
        <w:t>(2).</w:t>
      </w:r>
    </w:p>
  </w:footnote>
  <w:footnote w:id="103">
    <w:p w:rsidR="00FE4663" w:rsidRPr="000F163C" w:rsidRDefault="00FE4663">
      <w:pPr>
        <w:pStyle w:val="FootnoteText"/>
      </w:pPr>
      <w:r>
        <w:rPr>
          <w:rStyle w:val="FootnoteReference"/>
        </w:rPr>
        <w:footnoteRef/>
      </w:r>
      <w:r>
        <w:t xml:space="preserve"> </w:t>
      </w:r>
      <w:r>
        <w:rPr>
          <w:i/>
        </w:rPr>
        <w:t>H Block Report and Order</w:t>
      </w:r>
      <w:r>
        <w:t xml:space="preserve">, 28 </w:t>
      </w:r>
      <w:r w:rsidRPr="000F163C">
        <w:t>FCC Rcd at 9577-78 ¶¶ 253-54</w:t>
      </w:r>
      <w:r>
        <w:t xml:space="preserve">; </w:t>
      </w:r>
      <w:r w:rsidRPr="002A18A3">
        <w:rPr>
          <w:rFonts w:ascii="TimesNewRomanPSMT" w:hAnsi="TimesNewRomanPSMT" w:cs="TimesNewRomanPSMT"/>
        </w:rPr>
        <w:t>47 C.F.R. § 1.2105(a)</w:t>
      </w:r>
      <w:r>
        <w:rPr>
          <w:rFonts w:ascii="TimesNewRomanPSMT" w:hAnsi="TimesNewRomanPSMT" w:cs="TimesNewRomanPSMT"/>
        </w:rPr>
        <w:t>(2)(xii).</w:t>
      </w:r>
    </w:p>
  </w:footnote>
  <w:footnote w:id="104">
    <w:p w:rsidR="00FE4663" w:rsidRDefault="00FE4663">
      <w:pPr>
        <w:pStyle w:val="FootnoteText"/>
      </w:pPr>
      <w:r>
        <w:rPr>
          <w:rStyle w:val="FootnoteReference"/>
        </w:rPr>
        <w:footnoteRef/>
      </w:r>
      <w:r>
        <w:t xml:space="preserve"> </w:t>
      </w:r>
      <w:r w:rsidRPr="002A18A3">
        <w:rPr>
          <w:rFonts w:ascii="TimesNewRomanPSMT" w:hAnsi="TimesNewRomanPSMT" w:cs="TimesNewRomanPSMT"/>
        </w:rPr>
        <w:t>47 C.F.R. § 1.2105(</w:t>
      </w:r>
      <w:r>
        <w:rPr>
          <w:rFonts w:ascii="TimesNewRomanPSMT" w:hAnsi="TimesNewRomanPSMT" w:cs="TimesNewRomanPSMT"/>
        </w:rPr>
        <w:t>b</w:t>
      </w:r>
      <w:r w:rsidRPr="002A18A3">
        <w:rPr>
          <w:rFonts w:ascii="TimesNewRomanPSMT" w:hAnsi="TimesNewRomanPSMT" w:cs="TimesNewRomanPSMT"/>
        </w:rPr>
        <w:t>)</w:t>
      </w:r>
      <w:r>
        <w:rPr>
          <w:rFonts w:ascii="TimesNewRomanPSMT" w:hAnsi="TimesNewRomanPSMT" w:cs="TimesNewRomanPSMT"/>
        </w:rPr>
        <w:t>(1).</w:t>
      </w:r>
    </w:p>
  </w:footnote>
  <w:footnote w:id="105">
    <w:p w:rsidR="00FE4663" w:rsidRDefault="00FE4663" w:rsidP="001479AF">
      <w:pPr>
        <w:pStyle w:val="FootnoteText"/>
      </w:pPr>
      <w:r w:rsidRPr="00F6658A">
        <w:rPr>
          <w:rStyle w:val="FootnoteReference"/>
        </w:rPr>
        <w:footnoteRef/>
      </w:r>
      <w:r w:rsidRPr="00F6658A">
        <w:t xml:space="preserve"> </w:t>
      </w:r>
      <w:r w:rsidRPr="00F6658A">
        <w:rPr>
          <w:i/>
        </w:rPr>
        <w:t>See</w:t>
      </w:r>
      <w:r w:rsidRPr="00F6658A">
        <w:t xml:space="preserve">, </w:t>
      </w:r>
      <w:r w:rsidRPr="00F6658A">
        <w:rPr>
          <w:i/>
        </w:rPr>
        <w:t>e</w:t>
      </w:r>
      <w:r w:rsidRPr="00F6658A">
        <w:t>.</w:t>
      </w:r>
      <w:r w:rsidRPr="00F6658A">
        <w:rPr>
          <w:i/>
        </w:rPr>
        <w:t>g</w:t>
      </w:r>
      <w:r w:rsidRPr="00F6658A">
        <w:t xml:space="preserve">., Implementation of the Commercial Spectrum Enhancement Act and Modernization of the Commission’s Competitive Bidding Rules and Procedures, WT Docket No. 05-211, </w:t>
      </w:r>
      <w:r w:rsidRPr="00F6658A">
        <w:rPr>
          <w:i/>
        </w:rPr>
        <w:t>Report and Order</w:t>
      </w:r>
      <w:r w:rsidRPr="00F6658A">
        <w:t>, FCC 06-4, 21 FCC Rcd 891 (2006)</w:t>
      </w:r>
      <w:r w:rsidRPr="00F6658A">
        <w:rPr>
          <w:i/>
        </w:rPr>
        <w:t xml:space="preserve"> </w:t>
      </w:r>
      <w:r w:rsidRPr="00F6658A">
        <w:t>(“</w:t>
      </w:r>
      <w:r w:rsidRPr="00A529A0">
        <w:rPr>
          <w:i/>
        </w:rPr>
        <w:t>CSEA/Part 1</w:t>
      </w:r>
      <w:r>
        <w:rPr>
          <w:i/>
        </w:rPr>
        <w:t xml:space="preserve"> </w:t>
      </w:r>
      <w:r w:rsidRPr="00F6658A">
        <w:rPr>
          <w:i/>
        </w:rPr>
        <w:t>Report and Order</w:t>
      </w:r>
      <w:r w:rsidRPr="00F6658A">
        <w:t xml:space="preserve">”); </w:t>
      </w:r>
      <w:r w:rsidRPr="00F6658A">
        <w:rPr>
          <w:i/>
        </w:rPr>
        <w:t>Second Report and Order and Second Further Notice of Proposed Rule Making</w:t>
      </w:r>
      <w:r w:rsidRPr="00F6658A">
        <w:t>, FCC 06-52, 21 FCC</w:t>
      </w:r>
      <w:r>
        <w:t xml:space="preserve"> </w:t>
      </w:r>
      <w:r w:rsidRPr="00F6658A">
        <w:t>Rcd 4753 (2006) (“</w:t>
      </w:r>
      <w:r w:rsidRPr="00A529A0">
        <w:rPr>
          <w:i/>
        </w:rPr>
        <w:t>CSEA/Part 1</w:t>
      </w:r>
      <w:r w:rsidRPr="00F6658A">
        <w:rPr>
          <w:i/>
        </w:rPr>
        <w:t xml:space="preserve"> Second Report and Order</w:t>
      </w:r>
      <w:r w:rsidRPr="00F6658A">
        <w:t xml:space="preserve">”), </w:t>
      </w:r>
      <w:r w:rsidRPr="00F6658A">
        <w:rPr>
          <w:i/>
        </w:rPr>
        <w:t>recon. pending</w:t>
      </w:r>
      <w:r w:rsidRPr="00F6658A">
        <w:t xml:space="preserve">; </w:t>
      </w:r>
      <w:r w:rsidRPr="00F6658A">
        <w:rPr>
          <w:i/>
        </w:rPr>
        <w:t>Order on Reconsideration of the Second Report and Order</w:t>
      </w:r>
      <w:r w:rsidRPr="00F6658A">
        <w:t>, FCC 06-78, 21 FCC Rcd 6703 (2006)</w:t>
      </w:r>
      <w:r>
        <w:t xml:space="preserve"> (“</w:t>
      </w:r>
      <w:r w:rsidRPr="00A529A0">
        <w:rPr>
          <w:i/>
        </w:rPr>
        <w:t>CSEA/Part 1</w:t>
      </w:r>
      <w:r>
        <w:rPr>
          <w:i/>
        </w:rPr>
        <w:t xml:space="preserve"> Second Report and Order’s First Reconsideration Order</w:t>
      </w:r>
      <w:r>
        <w:t>”).</w:t>
      </w:r>
    </w:p>
  </w:footnote>
  <w:footnote w:id="106">
    <w:p w:rsidR="00FE4663" w:rsidRPr="00AB3578" w:rsidRDefault="00FE4663" w:rsidP="00E7005D">
      <w:pPr>
        <w:pStyle w:val="FootnoteText"/>
      </w:pPr>
      <w:r>
        <w:rPr>
          <w:rStyle w:val="FootnoteReference"/>
        </w:rPr>
        <w:footnoteRef/>
      </w:r>
      <w:r>
        <w:t xml:space="preserve"> </w:t>
      </w:r>
      <w:r w:rsidRPr="00D00CEC">
        <w:rPr>
          <w:i/>
        </w:rPr>
        <w:t>See H Block Report and Order</w:t>
      </w:r>
      <w:r w:rsidRPr="00D00CEC">
        <w:t>,</w:t>
      </w:r>
      <w:r>
        <w:rPr>
          <w:i/>
        </w:rPr>
        <w:t xml:space="preserve"> </w:t>
      </w:r>
      <w:r>
        <w:t>28 FCC Rcd</w:t>
      </w:r>
      <w:r w:rsidRPr="00D00CEC">
        <w:rPr>
          <w:i/>
        </w:rPr>
        <w:t xml:space="preserve"> </w:t>
      </w:r>
      <w:r w:rsidRPr="00D00CEC">
        <w:t xml:space="preserve">at </w:t>
      </w:r>
      <w:r>
        <w:t xml:space="preserve">9581, </w:t>
      </w:r>
      <w:r w:rsidRPr="00AB3578">
        <w:t>¶ 262.</w:t>
      </w:r>
      <w:r>
        <w:t xml:space="preserve">  </w:t>
      </w:r>
    </w:p>
  </w:footnote>
  <w:footnote w:id="107">
    <w:p w:rsidR="00FE4663" w:rsidRDefault="00FE4663" w:rsidP="00E7005D">
      <w:pPr>
        <w:pStyle w:val="FootnoteText"/>
      </w:pPr>
      <w:r>
        <w:rPr>
          <w:rStyle w:val="FootnoteReference"/>
        </w:rPr>
        <w:footnoteRef/>
      </w:r>
      <w:r>
        <w:t xml:space="preserve"> </w:t>
      </w:r>
      <w:r>
        <w:rPr>
          <w:i/>
        </w:rPr>
        <w:t>See</w:t>
      </w:r>
      <w:r>
        <w:t xml:space="preserve"> 47 C.F.R. §§ 1.2110(f)(2)(iii), 27.1002(a)(1), (b).  </w:t>
      </w:r>
    </w:p>
  </w:footnote>
  <w:footnote w:id="108">
    <w:p w:rsidR="00FE4663" w:rsidRDefault="00FE4663" w:rsidP="00E7005D">
      <w:pPr>
        <w:pStyle w:val="FootnoteText"/>
      </w:pPr>
      <w:r>
        <w:rPr>
          <w:rStyle w:val="FootnoteReference"/>
        </w:rPr>
        <w:footnoteRef/>
      </w:r>
      <w:r>
        <w:t xml:space="preserve"> </w:t>
      </w:r>
      <w:r>
        <w:rPr>
          <w:i/>
        </w:rPr>
        <w:t>See</w:t>
      </w:r>
      <w:r>
        <w:t xml:space="preserve"> 47 C.F.R. §§ 1.2110(f)(2)(ii), </w:t>
      </w:r>
      <w:r w:rsidRPr="0081338C">
        <w:t xml:space="preserve"> </w:t>
      </w:r>
      <w:r>
        <w:t xml:space="preserve">27.1002(a)(2), (b).  Council Tree asks that a maximum 45 percent “designated entity” bidding credit be implemented for Auction 96.  </w:t>
      </w:r>
      <w:r>
        <w:rPr>
          <w:i/>
        </w:rPr>
        <w:t xml:space="preserve">See </w:t>
      </w:r>
      <w:r>
        <w:t xml:space="preserve">Council Tree Comments at 11-15.  The Commission adopted the small business bidding credit levels applicable to competitive bidding for licenses in the H Block as rules in the </w:t>
      </w:r>
      <w:r>
        <w:rPr>
          <w:i/>
        </w:rPr>
        <w:t xml:space="preserve">H Block Report and Order.  </w:t>
      </w:r>
      <w:r>
        <w:t xml:space="preserve">Commission rules cannot be amended in the context of this proceeding establishing the procedures for Auction 96 because such action outside of the scope of the Bureau’s delegated authority.  </w:t>
      </w:r>
      <w:r>
        <w:rPr>
          <w:i/>
        </w:rPr>
        <w:t xml:space="preserve">See </w:t>
      </w:r>
      <w:r w:rsidRPr="001342BB">
        <w:t xml:space="preserve">47 C.F.R. </w:t>
      </w:r>
      <w:r w:rsidRPr="00036312">
        <w:t>§ 0.131</w:t>
      </w:r>
      <w:r>
        <w:t>.</w:t>
      </w:r>
    </w:p>
  </w:footnote>
  <w:footnote w:id="109">
    <w:p w:rsidR="00FE4663" w:rsidRDefault="00FE4663" w:rsidP="0083488E">
      <w:pPr>
        <w:pStyle w:val="FootnoteText"/>
      </w:pPr>
      <w:r w:rsidRPr="00764293">
        <w:rPr>
          <w:rStyle w:val="FootnoteReference"/>
        </w:rPr>
        <w:footnoteRef/>
      </w:r>
      <w:r w:rsidRPr="00764293">
        <w:t xml:space="preserve"> </w:t>
      </w:r>
      <w:r w:rsidRPr="00764293">
        <w:rPr>
          <w:i/>
        </w:rPr>
        <w:t xml:space="preserve">See </w:t>
      </w:r>
      <w:r w:rsidRPr="00764293">
        <w:t xml:space="preserve">47 C.F.R. § </w:t>
      </w:r>
      <w:r>
        <w:t>1.2111</w:t>
      </w:r>
      <w:r w:rsidRPr="00764293">
        <w:t>.</w:t>
      </w:r>
    </w:p>
  </w:footnote>
  <w:footnote w:id="110">
    <w:p w:rsidR="00FE4663" w:rsidRDefault="00FE4663" w:rsidP="00262044">
      <w:pPr>
        <w:pStyle w:val="FootnoteText"/>
      </w:pPr>
      <w:r>
        <w:rPr>
          <w:rStyle w:val="FootnoteReference"/>
        </w:rPr>
        <w:footnoteRef/>
      </w:r>
      <w:r>
        <w:t xml:space="preserve"> 47 C.F.R. §§ 1.2110(b)(1)(i), 1.2110(b)(3)(iv)(B). </w:t>
      </w:r>
      <w:r>
        <w:rPr>
          <w:i/>
        </w:rPr>
        <w:t xml:space="preserve"> See also Part 1 Fifth Report and Order</w:t>
      </w:r>
      <w:r>
        <w:t>, 15 FCC Rcd at 15323-27 ¶¶ 59-67.</w:t>
      </w:r>
    </w:p>
  </w:footnote>
  <w:footnote w:id="111">
    <w:p w:rsidR="00FE4663" w:rsidRDefault="00FE4663" w:rsidP="00262044">
      <w:pPr>
        <w:pStyle w:val="FootnoteText"/>
      </w:pPr>
      <w:r>
        <w:rPr>
          <w:rStyle w:val="FootnoteReference"/>
        </w:rPr>
        <w:footnoteRef/>
      </w:r>
      <w:r>
        <w:t xml:space="preserve"> 47 C.F.R. §§ 1.2110(b)(3)(i), 1.2110(b)(6), 1.2110(k).</w:t>
      </w:r>
    </w:p>
  </w:footnote>
  <w:footnote w:id="112">
    <w:p w:rsidR="00FE4663" w:rsidRDefault="00FE4663" w:rsidP="00262044">
      <w:pPr>
        <w:pStyle w:val="FootnoteText"/>
      </w:pPr>
      <w:r>
        <w:rPr>
          <w:rStyle w:val="FootnoteReference"/>
        </w:rPr>
        <w:footnoteRef/>
      </w:r>
      <w:r>
        <w:t xml:space="preserve"> </w:t>
      </w:r>
      <w:r>
        <w:rPr>
          <w:rStyle w:val="FootnoteTextChar3"/>
        </w:rPr>
        <w:t xml:space="preserve">For further guidance on the issue of </w:t>
      </w:r>
      <w:r>
        <w:rPr>
          <w:rStyle w:val="FootnoteTextChar3"/>
          <w:i/>
        </w:rPr>
        <w:t>de facto</w:t>
      </w:r>
      <w:r>
        <w:rPr>
          <w:rStyle w:val="FootnoteTextChar3"/>
        </w:rPr>
        <w:t xml:space="preserve"> control, see the Commission’s affiliation rule at 47 C.F.R. §1.2110(b)(5); </w:t>
      </w:r>
      <w:r w:rsidRPr="00F6658A">
        <w:rPr>
          <w:rStyle w:val="FootnoteTextChar3"/>
          <w:i/>
        </w:rPr>
        <w:t xml:space="preserve">see also </w:t>
      </w:r>
      <w:r w:rsidRPr="00724DC5">
        <w:rPr>
          <w:rStyle w:val="FootnoteTextChar3"/>
        </w:rPr>
        <w:t>Intermountain Microwave</w:t>
      </w:r>
      <w:r w:rsidRPr="00F6658A">
        <w:rPr>
          <w:rStyle w:val="FootnoteTextChar3"/>
        </w:rPr>
        <w:t xml:space="preserve">, </w:t>
      </w:r>
      <w:r w:rsidRPr="00F6658A">
        <w:rPr>
          <w:rStyle w:val="FootnoteTextChar3"/>
          <w:i/>
        </w:rPr>
        <w:t>Public Notice</w:t>
      </w:r>
      <w:r w:rsidRPr="00F6658A">
        <w:rPr>
          <w:rStyle w:val="FootnoteTextChar3"/>
        </w:rPr>
        <w:t xml:space="preserve">, 12 FCC 2d 559, 560, Report No. 1142 (1963); Application of Baker Creek Communications, L.P., </w:t>
      </w:r>
      <w:r w:rsidRPr="00F6658A">
        <w:rPr>
          <w:rStyle w:val="FootnoteTextChar3"/>
          <w:i/>
        </w:rPr>
        <w:t>Memorandum Opinion and Order</w:t>
      </w:r>
      <w:r w:rsidRPr="00F6658A">
        <w:rPr>
          <w:rStyle w:val="FootnoteTextChar3"/>
        </w:rPr>
        <w:t>, DA 98-1921, 13 FCC Rcd 18709 (1998).</w:t>
      </w:r>
    </w:p>
  </w:footnote>
  <w:footnote w:id="113">
    <w:p w:rsidR="00FE4663" w:rsidRDefault="00FE4663" w:rsidP="00262044">
      <w:pPr>
        <w:pStyle w:val="FootnoteText"/>
        <w:rPr>
          <w:lang w:val="it-IT"/>
        </w:rPr>
      </w:pPr>
      <w:r>
        <w:rPr>
          <w:rStyle w:val="FootnoteReference"/>
        </w:rPr>
        <w:footnoteRef/>
      </w:r>
      <w:r>
        <w:rPr>
          <w:lang w:val="it-IT"/>
        </w:rPr>
        <w:t xml:space="preserve"> 47 C.F.R. § 1.2110(c)(2)(i)(A)-(C).</w:t>
      </w:r>
    </w:p>
  </w:footnote>
  <w:footnote w:id="114">
    <w:p w:rsidR="00FE4663" w:rsidRDefault="00FE4663" w:rsidP="00B749AB">
      <w:pPr>
        <w:pStyle w:val="FootnoteText"/>
        <w:rPr>
          <w:lang w:val="it-IT"/>
        </w:rPr>
      </w:pPr>
      <w:r>
        <w:rPr>
          <w:rStyle w:val="FootnoteReference"/>
        </w:rPr>
        <w:footnoteRef/>
      </w:r>
      <w:r>
        <w:rPr>
          <w:lang w:val="it-IT"/>
        </w:rPr>
        <w:t xml:space="preserve"> 47 C.F.R. § 1.2110(c)(2)(ii)(F).</w:t>
      </w:r>
    </w:p>
  </w:footnote>
  <w:footnote w:id="115">
    <w:p w:rsidR="00FE4663" w:rsidRDefault="00FE4663" w:rsidP="00B749AB">
      <w:pPr>
        <w:pStyle w:val="FootnoteText"/>
      </w:pPr>
      <w:r>
        <w:rPr>
          <w:rStyle w:val="FootnoteReference"/>
        </w:rPr>
        <w:footnoteRef/>
      </w:r>
      <w:r>
        <w:t xml:space="preserve"> </w:t>
      </w:r>
      <w:r>
        <w:rPr>
          <w:lang w:val="it-IT"/>
        </w:rPr>
        <w:t>47 C.F.R. § 1.2110(c)(5).</w:t>
      </w:r>
    </w:p>
  </w:footnote>
  <w:footnote w:id="116">
    <w:p w:rsidR="00FE4663" w:rsidRDefault="00FE4663" w:rsidP="00B749AB">
      <w:pPr>
        <w:pStyle w:val="FootnoteText"/>
      </w:pPr>
      <w:r>
        <w:rPr>
          <w:rStyle w:val="FootnoteReference"/>
        </w:rPr>
        <w:footnoteRef/>
      </w:r>
      <w:r>
        <w:t xml:space="preserve"> </w:t>
      </w:r>
      <w:r>
        <w:rPr>
          <w:i/>
        </w:rPr>
        <w:t>Id</w:t>
      </w:r>
      <w:r>
        <w:t>.</w:t>
      </w:r>
    </w:p>
  </w:footnote>
  <w:footnote w:id="117">
    <w:p w:rsidR="00FE4663" w:rsidRDefault="00FE4663" w:rsidP="00B749AB">
      <w:pPr>
        <w:pStyle w:val="FootnoteText"/>
      </w:pPr>
      <w:r>
        <w:rPr>
          <w:rStyle w:val="FootnoteReference"/>
        </w:rPr>
        <w:footnoteRef/>
      </w:r>
      <w:r>
        <w:t xml:space="preserve"> </w:t>
      </w:r>
      <w:r w:rsidRPr="0006103C">
        <w:rPr>
          <w:i/>
        </w:rPr>
        <w:t>See</w:t>
      </w:r>
      <w:r>
        <w:t xml:space="preserve"> </w:t>
      </w:r>
      <w:r w:rsidRPr="0078162D">
        <w:rPr>
          <w:i/>
        </w:rPr>
        <w:t>Council Tree Communications, Inc. v. FCC</w:t>
      </w:r>
      <w:r>
        <w:t>, 619 F.3d 235 (3d Cir. 2010) (affirming attributable material relationship rule and vacating impermissible material relationship rule).</w:t>
      </w:r>
    </w:p>
  </w:footnote>
  <w:footnote w:id="118">
    <w:p w:rsidR="00FE4663" w:rsidRDefault="00FE4663" w:rsidP="00B749AB">
      <w:pPr>
        <w:pStyle w:val="FootnoteText"/>
      </w:pPr>
      <w:r>
        <w:rPr>
          <w:rStyle w:val="FootnoteReference"/>
        </w:rPr>
        <w:footnoteRef/>
      </w:r>
      <w:r>
        <w:t xml:space="preserve"> The repayment obligations of designated entities are governed by a five-year unjust enrichment schedule.  </w:t>
      </w:r>
      <w:r w:rsidRPr="00307DFC">
        <w:rPr>
          <w:i/>
        </w:rPr>
        <w:t>Id</w:t>
      </w:r>
      <w:r>
        <w:t>., 619 F.3d at 258 (vacating ten-year unjust enrichment schedule).</w:t>
      </w:r>
    </w:p>
  </w:footnote>
  <w:footnote w:id="119">
    <w:p w:rsidR="00FE4663" w:rsidRPr="00F6658A" w:rsidRDefault="00FE4663" w:rsidP="00B749AB">
      <w:pPr>
        <w:pStyle w:val="FootnoteText"/>
      </w:pPr>
      <w:r>
        <w:rPr>
          <w:rStyle w:val="FootnoteReference"/>
        </w:rPr>
        <w:footnoteRef/>
      </w:r>
      <w:r>
        <w:t xml:space="preserve"> </w:t>
      </w:r>
      <w:r w:rsidRPr="00A529A0">
        <w:rPr>
          <w:i/>
        </w:rPr>
        <w:t>CSEA/Part 1</w:t>
      </w:r>
      <w:r w:rsidRPr="00F6658A">
        <w:rPr>
          <w:i/>
          <w:iCs/>
        </w:rPr>
        <w:t xml:space="preserve"> Second Report and Order</w:t>
      </w:r>
      <w:r w:rsidRPr="00F6658A">
        <w:t xml:space="preserve">, 21 FCC Rcd at 4759-60 ¶ 15, 4763-65 ¶¶ 25-30, 4765-68 ¶¶ 31-41; </w:t>
      </w:r>
      <w:r w:rsidRPr="00F6658A">
        <w:rPr>
          <w:i/>
        </w:rPr>
        <w:t>see also</w:t>
      </w:r>
      <w:r w:rsidRPr="00F6658A">
        <w:t xml:space="preserve"> </w:t>
      </w:r>
      <w:r w:rsidRPr="00A529A0">
        <w:rPr>
          <w:i/>
        </w:rPr>
        <w:t>CSEA/Part 1</w:t>
      </w:r>
      <w:r w:rsidRPr="00F6658A">
        <w:rPr>
          <w:i/>
          <w:iCs/>
        </w:rPr>
        <w:t xml:space="preserve"> Second Report and Order’s First Reconsideration Order</w:t>
      </w:r>
      <w:r w:rsidRPr="00F6658A">
        <w:t>, 21 FCC Rcd at 6712-13 ¶¶ 24-26; and 47 C.F.R. §§ 1.2110(b)(3)(iv)(B), 1.2111(d).</w:t>
      </w:r>
    </w:p>
  </w:footnote>
  <w:footnote w:id="120">
    <w:p w:rsidR="00FE4663" w:rsidRPr="00F6658A" w:rsidRDefault="00FE4663" w:rsidP="00B749AB">
      <w:pPr>
        <w:pStyle w:val="FootnoteText"/>
      </w:pPr>
      <w:r w:rsidRPr="00F6658A">
        <w:rPr>
          <w:rStyle w:val="FootnoteReference"/>
        </w:rPr>
        <w:footnoteRef/>
      </w:r>
      <w:r w:rsidRPr="00F6658A">
        <w:t xml:space="preserve"> 47 C.F.R. § 1.2110(b)(3)(iv)(C); </w:t>
      </w:r>
      <w:r w:rsidRPr="00A529A0">
        <w:rPr>
          <w:i/>
        </w:rPr>
        <w:t>CSEA/Part 1</w:t>
      </w:r>
      <w:r w:rsidRPr="00F6658A">
        <w:rPr>
          <w:i/>
          <w:iCs/>
        </w:rPr>
        <w:t xml:space="preserve"> Second Report and Order</w:t>
      </w:r>
      <w:r w:rsidRPr="00F6658A">
        <w:t xml:space="preserve">, 21 FCC Rcd at 4764 ¶¶ 28-29; </w:t>
      </w:r>
      <w:r w:rsidRPr="00F6658A">
        <w:rPr>
          <w:i/>
        </w:rPr>
        <w:t xml:space="preserve">see </w:t>
      </w:r>
      <w:r w:rsidRPr="00A529A0">
        <w:rPr>
          <w:i/>
        </w:rPr>
        <w:t>CSEA/Part 1</w:t>
      </w:r>
      <w:r w:rsidRPr="00F6658A">
        <w:rPr>
          <w:i/>
          <w:iCs/>
        </w:rPr>
        <w:t xml:space="preserve"> Second Report and Order’s First Reconsideration Order</w:t>
      </w:r>
      <w:r w:rsidRPr="00F6658A">
        <w:t xml:space="preserve">, 21 FCC Rcd at 6713-14 ¶¶ 27-29; </w:t>
      </w:r>
      <w:r w:rsidRPr="00F6658A">
        <w:rPr>
          <w:i/>
        </w:rPr>
        <w:t>but</w:t>
      </w:r>
      <w:r w:rsidRPr="00F6658A">
        <w:t xml:space="preserve"> </w:t>
      </w:r>
      <w:r w:rsidRPr="00F6658A">
        <w:rPr>
          <w:i/>
        </w:rPr>
        <w:t>see</w:t>
      </w:r>
      <w:r w:rsidRPr="00F6658A">
        <w:t xml:space="preserve"> the additional grandfathering provision in section 1.2110(b)(3)(iv)(C)(2) for the material relationships of those entities that are an applicant’s affiliates based solely on 47 C.F.R. § 1.2110(c)(5)(i)(C).  </w:t>
      </w:r>
      <w:r w:rsidRPr="00880AA8">
        <w:rPr>
          <w:i/>
        </w:rPr>
        <w:t>S</w:t>
      </w:r>
      <w:r w:rsidRPr="00F6658A">
        <w:rPr>
          <w:i/>
        </w:rPr>
        <w:t xml:space="preserve">ee also </w:t>
      </w:r>
      <w:r w:rsidRPr="00F6658A">
        <w:t xml:space="preserve">47 C.F.R. § 1.2110(b)(3)(iv)(C)(2); </w:t>
      </w:r>
      <w:r w:rsidRPr="00A529A0">
        <w:rPr>
          <w:i/>
        </w:rPr>
        <w:t>CSEA/Part 1</w:t>
      </w:r>
      <w:r w:rsidRPr="00F6658A">
        <w:rPr>
          <w:i/>
          <w:iCs/>
        </w:rPr>
        <w:t xml:space="preserve"> Second Report and Order</w:t>
      </w:r>
      <w:r w:rsidRPr="00F6658A">
        <w:t>, 21 FCC Rcd at 4764-65 ¶ 30.</w:t>
      </w:r>
    </w:p>
  </w:footnote>
  <w:footnote w:id="121">
    <w:p w:rsidR="00FE4663" w:rsidRPr="00F6658A" w:rsidRDefault="00FE4663" w:rsidP="00B749AB">
      <w:pPr>
        <w:pStyle w:val="FootnoteText"/>
      </w:pPr>
      <w:r w:rsidRPr="00F6658A">
        <w:rPr>
          <w:rStyle w:val="FootnoteReference"/>
        </w:rPr>
        <w:footnoteRef/>
      </w:r>
      <w:r w:rsidRPr="00F6658A">
        <w:t xml:space="preserve"> </w:t>
      </w:r>
      <w:r w:rsidRPr="00F6658A">
        <w:rPr>
          <w:i/>
        </w:rPr>
        <w:t xml:space="preserve">See </w:t>
      </w:r>
      <w:r w:rsidRPr="00F6658A">
        <w:t xml:space="preserve">47 C.F.R. § 1.2110(c)(2)(ii)(F).  </w:t>
      </w:r>
      <w:r w:rsidRPr="00F6658A">
        <w:rPr>
          <w:i/>
        </w:rPr>
        <w:t>See also Part 1 Fifth Report and Order’s First Reconsideration Order</w:t>
      </w:r>
      <w:r w:rsidRPr="00F6658A">
        <w:t xml:space="preserve">, 18 FCC Rcd at 10185-86 ¶¶ 8-9.  However, to the extent that the officers and directors of the applicant are controlling interest holders of other entities, the gross revenues of those entities will be attributed to the applicant.  Moreover, if an officer or director operates a separate business, the gross revenues derived from that separate business would be attributed to the applicant, although any personal income from such separate business would not be attributed.  </w:t>
      </w:r>
      <w:r w:rsidRPr="00F6658A">
        <w:rPr>
          <w:i/>
        </w:rPr>
        <w:t>Id</w:t>
      </w:r>
      <w:r w:rsidRPr="00F6658A">
        <w:t>., 18 FCC Rcd at 10186 ¶ 9.</w:t>
      </w:r>
    </w:p>
  </w:footnote>
  <w:footnote w:id="122">
    <w:p w:rsidR="00FE4663" w:rsidRDefault="00FE4663" w:rsidP="00B749AB">
      <w:pPr>
        <w:pStyle w:val="FootnoteText"/>
      </w:pPr>
      <w:r w:rsidRPr="00F6658A">
        <w:rPr>
          <w:rStyle w:val="FootnoteReference"/>
        </w:rPr>
        <w:footnoteRef/>
      </w:r>
      <w:r w:rsidRPr="00F6658A">
        <w:t xml:space="preserve"> </w:t>
      </w:r>
      <w:r w:rsidRPr="00F6658A">
        <w:rPr>
          <w:i/>
        </w:rPr>
        <w:t>Part 1 Fifth Report and Order’s First Reconsideration Order</w:t>
      </w:r>
      <w:r w:rsidRPr="00F6658A">
        <w:t xml:space="preserve">, 18 FCC Rcd at 10186-94 ¶¶ 10-18; Amendment of Part 1 of the Commission’s Rules – Competitive Bidding Procedures, WT Docket No. 97-82, </w:t>
      </w:r>
      <w:r w:rsidRPr="00F6658A">
        <w:rPr>
          <w:i/>
        </w:rPr>
        <w:t>Second Order on Reconsideration of the Fifth Report and Order</w:t>
      </w:r>
      <w:r w:rsidRPr="00F6658A">
        <w:t>, FCC 04-295, 20 FCC Rcd 1942, 1945-46 ¶ 9 (2005) (“</w:t>
      </w:r>
      <w:r w:rsidRPr="00F6658A">
        <w:rPr>
          <w:i/>
        </w:rPr>
        <w:t>Fifth Report and Order’s Second Reconsideration Order</w:t>
      </w:r>
      <w:r w:rsidRPr="00F6658A">
        <w:t>”).</w:t>
      </w:r>
    </w:p>
  </w:footnote>
  <w:footnote w:id="123">
    <w:p w:rsidR="00FE4663" w:rsidRPr="00F6658A" w:rsidRDefault="00FE4663" w:rsidP="00B749AB">
      <w:pPr>
        <w:pStyle w:val="FootnoteText"/>
      </w:pPr>
      <w:r>
        <w:rPr>
          <w:rStyle w:val="FootnoteReference"/>
        </w:rPr>
        <w:footnoteRef/>
      </w:r>
      <w:r>
        <w:t xml:space="preserve"> 47 C.F.R. § 1.2110(b)(3)(iii).  </w:t>
      </w:r>
      <w:r w:rsidRPr="00F6658A">
        <w:rPr>
          <w:i/>
        </w:rPr>
        <w:t>See also</w:t>
      </w:r>
      <w:r w:rsidRPr="00F6658A">
        <w:t xml:space="preserve"> </w:t>
      </w:r>
      <w:r w:rsidRPr="00F6658A">
        <w:rPr>
          <w:i/>
        </w:rPr>
        <w:t>Fifth Report and Order’s Second Reconsideration Order</w:t>
      </w:r>
      <w:r w:rsidRPr="00F6658A">
        <w:t>, 20 FCC Rcd at 1949-50 ¶ 18.</w:t>
      </w:r>
    </w:p>
  </w:footnote>
  <w:footnote w:id="124">
    <w:p w:rsidR="00FE4663" w:rsidRPr="00F6658A" w:rsidRDefault="00FE4663" w:rsidP="00B749AB">
      <w:pPr>
        <w:pStyle w:val="FootnoteText"/>
      </w:pPr>
      <w:r w:rsidRPr="00F6658A">
        <w:rPr>
          <w:rStyle w:val="FootnoteReference"/>
        </w:rPr>
        <w:footnoteRef/>
      </w:r>
      <w:r w:rsidRPr="00F6658A">
        <w:t xml:space="preserve"> </w:t>
      </w:r>
      <w:r w:rsidRPr="00F6658A">
        <w:rPr>
          <w:i/>
        </w:rPr>
        <w:t>See Part 1 Fifth Report and Order’s First Reconsideration Order</w:t>
      </w:r>
      <w:r w:rsidRPr="00F6658A">
        <w:t xml:space="preserve">, 18 FCC Rcd at 10186-95 ¶¶ 10-20; </w:t>
      </w:r>
      <w:r w:rsidRPr="00F6658A">
        <w:rPr>
          <w:i/>
        </w:rPr>
        <w:t>see also Fifth Report and Order’s Second Reconsideration Order</w:t>
      </w:r>
      <w:r w:rsidRPr="00F6658A">
        <w:t>, 20 FCC Rcd at 1945-46 ¶ 9.</w:t>
      </w:r>
    </w:p>
  </w:footnote>
  <w:footnote w:id="125">
    <w:p w:rsidR="00FE4663" w:rsidRDefault="00FE4663" w:rsidP="00B749AB">
      <w:pPr>
        <w:pStyle w:val="FootnoteText"/>
      </w:pPr>
      <w:r>
        <w:rPr>
          <w:rStyle w:val="FootnoteReference"/>
        </w:rPr>
        <w:footnoteRef/>
      </w:r>
      <w:r>
        <w:t xml:space="preserve"> 47 C.F.R. § 1.2110(c)(6).</w:t>
      </w:r>
    </w:p>
  </w:footnote>
  <w:footnote w:id="126">
    <w:p w:rsidR="00FE4663" w:rsidRDefault="00FE4663" w:rsidP="00B749AB">
      <w:pPr>
        <w:pStyle w:val="FootnoteText"/>
      </w:pPr>
      <w:r>
        <w:rPr>
          <w:rStyle w:val="FootnoteReference"/>
        </w:rPr>
        <w:footnoteRef/>
      </w:r>
      <w:r>
        <w:t xml:space="preserve"> </w:t>
      </w:r>
      <w:r>
        <w:rPr>
          <w:i/>
        </w:rPr>
        <w:t>Id</w:t>
      </w:r>
      <w:r>
        <w:t xml:space="preserve">. </w:t>
      </w:r>
    </w:p>
  </w:footnote>
  <w:footnote w:id="127">
    <w:p w:rsidR="00FE4663" w:rsidRDefault="00FE4663" w:rsidP="00B749AB">
      <w:pPr>
        <w:pStyle w:val="FootnoteText"/>
      </w:pPr>
      <w:r>
        <w:rPr>
          <w:rStyle w:val="FootnoteReference"/>
        </w:rPr>
        <w:footnoteRef/>
      </w:r>
      <w:r>
        <w:t xml:space="preserve"> 47 C.F.R. § 1.2110(b)(3)(i).</w:t>
      </w:r>
    </w:p>
  </w:footnote>
  <w:footnote w:id="128">
    <w:p w:rsidR="00FE4663" w:rsidRDefault="00FE4663" w:rsidP="00B749AB">
      <w:pPr>
        <w:pStyle w:val="FootnoteText"/>
      </w:pPr>
      <w:r>
        <w:rPr>
          <w:rStyle w:val="FootnoteReference"/>
        </w:rPr>
        <w:footnoteRef/>
      </w:r>
      <w:r>
        <w:t xml:space="preserve"> The </w:t>
      </w:r>
      <w:r>
        <w:rPr>
          <w:i/>
        </w:rPr>
        <w:t>CSEA/Part 1 Report and Order</w:t>
      </w:r>
      <w:r>
        <w:t xml:space="preserve"> modified the procedure by which a consortium that is a winning bidder will apply for a license.  </w:t>
      </w:r>
      <w:r>
        <w:rPr>
          <w:i/>
        </w:rPr>
        <w:t>See CSEA/Part 1 Report and Order</w:t>
      </w:r>
      <w:r>
        <w:t xml:space="preserve">, 21 FCC Rcd at 911-12 ¶¶ 51-52.  Applicants applying as consortia should review the </w:t>
      </w:r>
      <w:r>
        <w:rPr>
          <w:i/>
        </w:rPr>
        <w:t>CSEA/Part 1 Report and Order</w:t>
      </w:r>
      <w:r>
        <w:t xml:space="preserve"> and 47 C.F.R. §§ 1.2107(g) and 1.2110(b)(3) to understand how the members of the consortia will apply for a license in the event they are winning bidders.</w:t>
      </w:r>
    </w:p>
  </w:footnote>
  <w:footnote w:id="129">
    <w:p w:rsidR="00FE4663" w:rsidRPr="00A65F60" w:rsidRDefault="00FE4663" w:rsidP="0083488E">
      <w:pPr>
        <w:pStyle w:val="FootnoteText"/>
      </w:pPr>
      <w:r w:rsidRPr="00915E0F">
        <w:rPr>
          <w:rStyle w:val="FootnoteReference"/>
          <w:sz w:val="20"/>
        </w:rPr>
        <w:footnoteRef/>
      </w:r>
      <w:r w:rsidRPr="00915E0F">
        <w:t xml:space="preserve"> 47 C.F.R</w:t>
      </w:r>
      <w:r w:rsidRPr="00A65F60">
        <w:t xml:space="preserve">. §§ 1.2105(a)(2)(x), (xi), 1.2105(b)(1), and 1.2106(a); </w:t>
      </w:r>
      <w:r w:rsidRPr="00A65F60">
        <w:rPr>
          <w:i/>
        </w:rPr>
        <w:t>see Part 1 Fifth Report and Order</w:t>
      </w:r>
      <w:r w:rsidRPr="00A65F60">
        <w:t>, 15 FCC Rcd at 15317 ¶ 42 &amp; n.142 (“If any one of an applicant’s controlling interests or their affiliates…is in default on any Commission licenses or is delinquent on any non-tax debt owed to any Federal agency at the time the applicant files it[s] FCC Form 175, the applicant will not be able to make the certification required by section 1.2105(a)(2)(x)…and will not be eligible to participate in Commission auctions.”).</w:t>
      </w:r>
    </w:p>
  </w:footnote>
  <w:footnote w:id="130">
    <w:p w:rsidR="00FE4663" w:rsidRPr="00A65F60" w:rsidRDefault="00FE4663" w:rsidP="0083488E">
      <w:pPr>
        <w:pStyle w:val="FootnoteText"/>
      </w:pPr>
      <w:r w:rsidRPr="00A65F60">
        <w:rPr>
          <w:rStyle w:val="FootnoteReference"/>
          <w:sz w:val="20"/>
        </w:rPr>
        <w:footnoteRef/>
      </w:r>
      <w:r w:rsidRPr="00A65F60">
        <w:t xml:space="preserve"> 47 C.F.R. § 1.2110.</w:t>
      </w:r>
    </w:p>
  </w:footnote>
  <w:footnote w:id="131">
    <w:p w:rsidR="00FE4663" w:rsidRPr="00A65F60" w:rsidRDefault="00FE4663" w:rsidP="0083488E">
      <w:pPr>
        <w:pStyle w:val="FootnoteText"/>
        <w:rPr>
          <w:rStyle w:val="FootnoteTextChar3"/>
        </w:rPr>
      </w:pPr>
      <w:r w:rsidRPr="00A65F60">
        <w:rPr>
          <w:rStyle w:val="FootnoteReference"/>
          <w:sz w:val="20"/>
        </w:rPr>
        <w:footnoteRef/>
      </w:r>
      <w:r w:rsidRPr="00A65F60">
        <w:rPr>
          <w:rStyle w:val="FootnoteReference"/>
          <w:sz w:val="20"/>
        </w:rPr>
        <w:t xml:space="preserve"> </w:t>
      </w:r>
      <w:r w:rsidRPr="00A65F60">
        <w:rPr>
          <w:snapToGrid w:val="0"/>
        </w:rPr>
        <w:t xml:space="preserve">47 C.F.R. § 1.2105(a)(2)(x); </w:t>
      </w:r>
      <w:r w:rsidRPr="00A65F60">
        <w:rPr>
          <w:i/>
          <w:snapToGrid w:val="0"/>
        </w:rPr>
        <w:t xml:space="preserve">see also </w:t>
      </w:r>
      <w:r w:rsidRPr="00A65F60">
        <w:rPr>
          <w:i/>
        </w:rPr>
        <w:t>Part</w:t>
      </w:r>
      <w:r w:rsidRPr="00A65F60">
        <w:rPr>
          <w:i/>
          <w:snapToGrid w:val="0"/>
        </w:rPr>
        <w:t xml:space="preserve"> 1 Fifth Report and Order</w:t>
      </w:r>
      <w:r w:rsidRPr="00A65F60">
        <w:rPr>
          <w:snapToGrid w:val="0"/>
        </w:rPr>
        <w:t xml:space="preserve">, 15 FCC Rcd at 15317 ¶ 42 </w:t>
      </w:r>
      <w:r w:rsidRPr="00A65F60">
        <w:t>&amp;</w:t>
      </w:r>
      <w:r w:rsidRPr="00A65F60">
        <w:rPr>
          <w:snapToGrid w:val="0"/>
        </w:rPr>
        <w:t xml:space="preserve"> n.142.</w:t>
      </w:r>
    </w:p>
  </w:footnote>
  <w:footnote w:id="132">
    <w:p w:rsidR="00FE4663" w:rsidRPr="00A65F60" w:rsidRDefault="00FE4663" w:rsidP="0083488E">
      <w:pPr>
        <w:pStyle w:val="FootnoteText"/>
      </w:pPr>
      <w:r w:rsidRPr="00A65F60">
        <w:rPr>
          <w:rStyle w:val="FootnoteReference"/>
          <w:sz w:val="20"/>
        </w:rPr>
        <w:footnoteRef/>
      </w:r>
      <w:r w:rsidRPr="00A65F60">
        <w:rPr>
          <w:rStyle w:val="FootnoteReference"/>
          <w:sz w:val="20"/>
        </w:rPr>
        <w:t xml:space="preserve"> </w:t>
      </w:r>
      <w:r w:rsidRPr="00A65F60">
        <w:t xml:space="preserve">47 C.F.R. § 1.2105(a)(2)(xi); </w:t>
      </w:r>
      <w:r w:rsidRPr="00A65F60">
        <w:rPr>
          <w:i/>
        </w:rPr>
        <w:t xml:space="preserve">see also </w:t>
      </w:r>
      <w:r w:rsidRPr="00A65F60">
        <w:rPr>
          <w:i/>
          <w:snapToGrid w:val="0"/>
        </w:rPr>
        <w:t>Part 1 Fifth Report and Order</w:t>
      </w:r>
      <w:r w:rsidRPr="00A65F60">
        <w:rPr>
          <w:snapToGrid w:val="0"/>
        </w:rPr>
        <w:t>, 15 FCC Rcd at 15317 ¶ 42</w:t>
      </w:r>
      <w:r w:rsidRPr="00A65F60">
        <w:t xml:space="preserve">. </w:t>
      </w:r>
    </w:p>
  </w:footnote>
  <w:footnote w:id="133">
    <w:p w:rsidR="00FE4663" w:rsidRPr="00A65F60" w:rsidRDefault="00FE4663" w:rsidP="0083488E">
      <w:pPr>
        <w:pStyle w:val="FootnoteText"/>
      </w:pPr>
      <w:r w:rsidRPr="00A65F60">
        <w:rPr>
          <w:rStyle w:val="FootnoteReference"/>
          <w:sz w:val="20"/>
        </w:rPr>
        <w:footnoteRef/>
      </w:r>
      <w:r w:rsidRPr="00A65F60">
        <w:t xml:space="preserve"> Wireless Telecommunications Bureau Reminds Prospective Broadband PCS Spectrum Auction Applicants of Default and Delinquency Disclosure Requirements, </w:t>
      </w:r>
      <w:r w:rsidRPr="00A65F60">
        <w:rPr>
          <w:i/>
        </w:rPr>
        <w:t>Public Notice</w:t>
      </w:r>
      <w:r w:rsidRPr="00A65F60">
        <w:t>, DA 04-3491, 19 FCC Rcd 21920 (2004) (“</w:t>
      </w:r>
      <w:r w:rsidRPr="00A65F60">
        <w:rPr>
          <w:i/>
        </w:rPr>
        <w:t>Auction Default Disclosure Public</w:t>
      </w:r>
      <w:r w:rsidRPr="00A65F60">
        <w:t xml:space="preserve"> </w:t>
      </w:r>
      <w:r w:rsidRPr="00A65F60">
        <w:rPr>
          <w:i/>
        </w:rPr>
        <w:t>Notice</w:t>
      </w:r>
      <w:r w:rsidRPr="00A65F60">
        <w:t xml:space="preserve">”).  This public notice may be found at </w:t>
      </w:r>
      <w:hyperlink r:id="rId1" w:history="1">
        <w:r w:rsidRPr="00A65F60">
          <w:rPr>
            <w:rStyle w:val="Hyperlink"/>
          </w:rPr>
          <w:t>http://wireless.fcc.gov/auctions/58/</w:t>
        </w:r>
      </w:hyperlink>
      <w:r w:rsidRPr="00A65F60">
        <w:t>.</w:t>
      </w:r>
    </w:p>
  </w:footnote>
  <w:footnote w:id="134">
    <w:p w:rsidR="00FE4663" w:rsidRPr="00915E0F" w:rsidRDefault="00FE4663" w:rsidP="0083488E">
      <w:pPr>
        <w:pStyle w:val="FootnoteText"/>
      </w:pPr>
      <w:r w:rsidRPr="00A65F60">
        <w:rPr>
          <w:rStyle w:val="FootnoteReference"/>
          <w:sz w:val="20"/>
        </w:rPr>
        <w:footnoteRef/>
      </w:r>
      <w:r w:rsidRPr="00A65F60">
        <w:t xml:space="preserve"> Letter to Cheryl A. Tritt, Esq., from Margaret Wiener, Chief, Auctions and Spectrum Access Division, Wireless</w:t>
      </w:r>
      <w:r w:rsidRPr="00915E0F">
        <w:t xml:space="preserve"> Telecommunications Bureau, </w:t>
      </w:r>
      <w:r>
        <w:t xml:space="preserve">DA 04-3685, </w:t>
      </w:r>
      <w:r w:rsidRPr="00915E0F">
        <w:t xml:space="preserve">19 FCC </w:t>
      </w:r>
      <w:r w:rsidRPr="00AA2B80">
        <w:t>Rcd 22907 (2004)</w:t>
      </w:r>
      <w:r w:rsidRPr="00915E0F">
        <w:t xml:space="preserve"> (clarifying the term “debt” or “non-tax debt” as referenced in 47 C.F.R. §§ 1.2105(a) and 1.2106(a)).  This letter may </w:t>
      </w:r>
      <w:r>
        <w:t>be found at</w:t>
      </w:r>
      <w:r w:rsidRPr="00915E0F">
        <w:t xml:space="preserve"> </w:t>
      </w:r>
      <w:hyperlink r:id="rId2" w:history="1">
        <w:r w:rsidRPr="00915E0F">
          <w:rPr>
            <w:rStyle w:val="Hyperlink"/>
          </w:rPr>
          <w:t>http://wireless.fcc.gov/auctions/58/</w:t>
        </w:r>
      </w:hyperlink>
      <w:r>
        <w:t>.</w:t>
      </w:r>
    </w:p>
  </w:footnote>
  <w:footnote w:id="135">
    <w:p w:rsidR="00FE4663" w:rsidRPr="00915E0F" w:rsidRDefault="00FE4663" w:rsidP="0083488E">
      <w:pPr>
        <w:pStyle w:val="FootnoteText"/>
      </w:pPr>
      <w:r w:rsidRPr="00915E0F">
        <w:rPr>
          <w:rStyle w:val="FootnoteReference"/>
          <w:sz w:val="20"/>
        </w:rPr>
        <w:footnoteRef/>
      </w:r>
      <w:r w:rsidRPr="00915E0F">
        <w:t xml:space="preserve"> Even where Commission rules expressly permit late payment, subject to payment of an additional late fee, and do not impose a final payment deadline, the Commission may in some cases issue a demand for payment by a date certain.  </w:t>
      </w:r>
      <w:r w:rsidRPr="00915E0F">
        <w:rPr>
          <w:i/>
        </w:rPr>
        <w:t xml:space="preserve">See </w:t>
      </w:r>
      <w:r w:rsidRPr="00915E0F">
        <w:t xml:space="preserve">47 C.F.R. § 1.1164(a).  Failure to comply with the terms of a demand letter in the time period </w:t>
      </w:r>
      <w:r>
        <w:t>specified</w:t>
      </w:r>
      <w:r w:rsidRPr="00915E0F">
        <w:t xml:space="preserve"> may render the subject debt delinquent, notwithstanding rules generally permitting late payment.</w:t>
      </w:r>
    </w:p>
  </w:footnote>
  <w:footnote w:id="136">
    <w:p w:rsidR="00FE4663" w:rsidRPr="00915E0F" w:rsidRDefault="00FE4663" w:rsidP="0083488E">
      <w:pPr>
        <w:pStyle w:val="FootnoteText"/>
      </w:pPr>
      <w:r w:rsidRPr="00915E0F">
        <w:rPr>
          <w:rStyle w:val="FootnoteReference"/>
          <w:sz w:val="20"/>
        </w:rPr>
        <w:footnoteRef/>
      </w:r>
      <w:r w:rsidRPr="00915E0F">
        <w:t xml:space="preserve"> Amendment of Parts 0 and 1 of the Commission's Rules; Implementation of the Debt Collection Improvement Act of 1996 and Adoption of Rules Governing Applications or Requests for Benefits by Delinquent Debtors, MD Docket No. 02-339, </w:t>
      </w:r>
      <w:r w:rsidRPr="00915E0F">
        <w:rPr>
          <w:i/>
        </w:rPr>
        <w:t>Report and Order</w:t>
      </w:r>
      <w:r w:rsidRPr="00915E0F">
        <w:t xml:space="preserve">, </w:t>
      </w:r>
      <w:r>
        <w:t xml:space="preserve">FCC 04-72, </w:t>
      </w:r>
      <w:r w:rsidRPr="00915E0F">
        <w:t>19 FCC Rcd 6540 (2004) (implementing Pub. L. No. 104-134, 110 Stat. 1321, 1358 (1996)) (“</w:t>
      </w:r>
      <w:r w:rsidRPr="00915E0F">
        <w:rPr>
          <w:i/>
        </w:rPr>
        <w:t>Debt Collection Report and Order</w:t>
      </w:r>
      <w:r w:rsidRPr="00915E0F">
        <w:t>”).</w:t>
      </w:r>
    </w:p>
  </w:footnote>
  <w:footnote w:id="137">
    <w:p w:rsidR="00FE4663" w:rsidRPr="00915E0F" w:rsidRDefault="00FE4663" w:rsidP="0083488E">
      <w:pPr>
        <w:pStyle w:val="FootnoteText"/>
      </w:pPr>
      <w:r w:rsidRPr="00915E0F">
        <w:rPr>
          <w:rStyle w:val="FootnoteReference"/>
          <w:sz w:val="20"/>
        </w:rPr>
        <w:footnoteRef/>
      </w:r>
      <w:r w:rsidRPr="00915E0F">
        <w:t xml:space="preserve"> </w:t>
      </w:r>
      <w:r w:rsidRPr="00915E0F">
        <w:rPr>
          <w:i/>
        </w:rPr>
        <w:t xml:space="preserve">Debt Collection Report and </w:t>
      </w:r>
      <w:r w:rsidRPr="00491190">
        <w:rPr>
          <w:i/>
        </w:rPr>
        <w:t>Order</w:t>
      </w:r>
      <w:r w:rsidRPr="00491190">
        <w:t>, 19 FCC Rcd at 6541 n.11 (specifically</w:t>
      </w:r>
      <w:r w:rsidRPr="00915E0F">
        <w:t xml:space="preserve"> mentions 47 C.F.R. §§ 1.2105(a)(2)(x) and </w:t>
      </w:r>
      <w:r w:rsidRPr="00A65F60">
        <w:t>(xi) and states that “[t]hese rules are not affected by the red light rule.”).</w:t>
      </w:r>
    </w:p>
  </w:footnote>
  <w:footnote w:id="138">
    <w:p w:rsidR="00FE4663" w:rsidRPr="00915E0F" w:rsidRDefault="00FE4663" w:rsidP="0083488E">
      <w:pPr>
        <w:pStyle w:val="FootnoteText"/>
      </w:pPr>
      <w:r w:rsidRPr="00915E0F">
        <w:rPr>
          <w:rStyle w:val="FootnoteReference"/>
          <w:sz w:val="20"/>
        </w:rPr>
        <w:footnoteRef/>
      </w:r>
      <w:r w:rsidRPr="00915E0F">
        <w:t xml:space="preserve"> </w:t>
      </w:r>
      <w:r w:rsidRPr="00915E0F">
        <w:rPr>
          <w:i/>
        </w:rPr>
        <w:t>Auction Default Disclosure Public Notice</w:t>
      </w:r>
      <w:r w:rsidRPr="00915E0F">
        <w:t xml:space="preserve">, </w:t>
      </w:r>
      <w:r>
        <w:t xml:space="preserve">DA 04-3491, </w:t>
      </w:r>
      <w:r w:rsidRPr="00915E0F">
        <w:t>19 FCC Rcd at 21920 (addressing relationship between Commission’s Red Light Display System and short-form application default and delinquency disclosure requirements for auction applicants).</w:t>
      </w:r>
    </w:p>
  </w:footnote>
  <w:footnote w:id="139">
    <w:p w:rsidR="00FE4663" w:rsidRDefault="00FE4663" w:rsidP="0083488E">
      <w:pPr>
        <w:pStyle w:val="FootnoteText"/>
      </w:pPr>
      <w:r w:rsidRPr="00AA2B80">
        <w:rPr>
          <w:rStyle w:val="FootnoteReference"/>
        </w:rPr>
        <w:footnoteRef/>
      </w:r>
      <w:r w:rsidRPr="00AA2B80">
        <w:t xml:space="preserve"> </w:t>
      </w:r>
      <w:r w:rsidRPr="00AA2B80">
        <w:rPr>
          <w:i/>
        </w:rPr>
        <w:t xml:space="preserve">Debt Collection Report and </w:t>
      </w:r>
      <w:r w:rsidRPr="00A65F60">
        <w:rPr>
          <w:i/>
        </w:rPr>
        <w:t>Order</w:t>
      </w:r>
      <w:r w:rsidRPr="00A65F60">
        <w:t xml:space="preserve">, 19 FCC Rcd at 6540.  </w:t>
      </w:r>
      <w:r w:rsidRPr="00A65F60">
        <w:rPr>
          <w:i/>
        </w:rPr>
        <w:t>See</w:t>
      </w:r>
      <w:r w:rsidRPr="00A65F60">
        <w:t xml:space="preserve"> 47 C.F.R. § 1.1114.</w:t>
      </w:r>
    </w:p>
  </w:footnote>
  <w:footnote w:id="140">
    <w:p w:rsidR="00FE4663" w:rsidRPr="00AA2B80" w:rsidRDefault="00FE4663" w:rsidP="0083488E">
      <w:pPr>
        <w:pStyle w:val="FootnoteText"/>
      </w:pPr>
      <w:r>
        <w:rPr>
          <w:rStyle w:val="FootnoteReference"/>
        </w:rPr>
        <w:footnoteRef/>
      </w:r>
      <w:r>
        <w:t xml:space="preserve"> </w:t>
      </w:r>
      <w:r w:rsidRPr="00AA2B80">
        <w:t>Applicants that have their long-form application dismissed will be deemed to have defaulted and will be subject to default payments under 47 C.F.R. §§ 1</w:t>
      </w:r>
      <w:r>
        <w:t>.</w:t>
      </w:r>
      <w:r w:rsidRPr="00AA2B80">
        <w:t>2104(g) and 1.2109(c).</w:t>
      </w:r>
    </w:p>
  </w:footnote>
  <w:footnote w:id="141">
    <w:p w:rsidR="00FE4663" w:rsidRPr="00AA2B80" w:rsidRDefault="00FE4663" w:rsidP="0083488E">
      <w:pPr>
        <w:pStyle w:val="FootnoteText"/>
      </w:pPr>
      <w:r w:rsidRPr="00AA2B80">
        <w:rPr>
          <w:rStyle w:val="FootnoteReference"/>
          <w:sz w:val="20"/>
        </w:rPr>
        <w:footnoteRef/>
      </w:r>
      <w:r w:rsidRPr="00AA2B80">
        <w:t xml:space="preserve"> 47 C.F.R. § 1.2110(c)(3).</w:t>
      </w:r>
    </w:p>
  </w:footnote>
  <w:footnote w:id="142">
    <w:p w:rsidR="00FE4663" w:rsidRPr="00AA2B80" w:rsidRDefault="00FE4663" w:rsidP="0083488E">
      <w:pPr>
        <w:pStyle w:val="FootnoteText"/>
      </w:pPr>
      <w:r w:rsidRPr="00AA2B80">
        <w:rPr>
          <w:rStyle w:val="FootnoteReference"/>
          <w:sz w:val="20"/>
        </w:rPr>
        <w:footnoteRef/>
      </w:r>
      <w:r w:rsidRPr="00AA2B80">
        <w:t xml:space="preserve"> 47 C.F.R. § 1.2110(c)(4).</w:t>
      </w:r>
    </w:p>
  </w:footnote>
  <w:footnote w:id="143">
    <w:p w:rsidR="00FE4663" w:rsidRPr="00764293" w:rsidRDefault="00FE4663" w:rsidP="0083488E">
      <w:pPr>
        <w:pStyle w:val="FootnoteText"/>
      </w:pPr>
      <w:r w:rsidRPr="00AA2B80">
        <w:rPr>
          <w:rStyle w:val="FootnoteReference"/>
          <w:sz w:val="20"/>
        </w:rPr>
        <w:footnoteRef/>
      </w:r>
      <w:r w:rsidRPr="00AA2B80">
        <w:t xml:space="preserve"> </w:t>
      </w:r>
      <w:r w:rsidRPr="00764293">
        <w:t xml:space="preserve">Designated entities are defined as small businesses, businesses owned by members of minority groups and/or women, and rural telephone companies.  </w:t>
      </w:r>
      <w:r w:rsidRPr="00764293">
        <w:rPr>
          <w:i/>
        </w:rPr>
        <w:t xml:space="preserve">See </w:t>
      </w:r>
      <w:r w:rsidRPr="00764293">
        <w:t>47 C.F.R. § 1.2110(a).</w:t>
      </w:r>
    </w:p>
  </w:footnote>
  <w:footnote w:id="144">
    <w:p w:rsidR="00FE4663" w:rsidRPr="00A65F60" w:rsidRDefault="00FE4663" w:rsidP="0083488E">
      <w:pPr>
        <w:pStyle w:val="FootnoteText"/>
      </w:pPr>
      <w:r w:rsidRPr="00A65F60">
        <w:rPr>
          <w:rStyle w:val="FootnoteReference"/>
          <w:sz w:val="20"/>
        </w:rPr>
        <w:footnoteRef/>
      </w:r>
      <w:r w:rsidRPr="00A65F60">
        <w:t xml:space="preserve"> 47 C.F.R. § 1.2105(b); </w:t>
      </w:r>
      <w:r w:rsidRPr="00A65F60">
        <w:rPr>
          <w:i/>
        </w:rPr>
        <w:t>see also</w:t>
      </w:r>
      <w:r w:rsidRPr="00A65F60">
        <w:t xml:space="preserve"> Two Way Radio of Carolina, Inc., </w:t>
      </w:r>
      <w:r w:rsidRPr="00A65F60">
        <w:rPr>
          <w:i/>
        </w:rPr>
        <w:t>Memorandum Opinion and Order</w:t>
      </w:r>
      <w:r w:rsidRPr="00A65F60">
        <w:t>, FCC 99-189, 14 FCC Rcd 12035 (1999) (“</w:t>
      </w:r>
      <w:r w:rsidRPr="00A65F60">
        <w:rPr>
          <w:i/>
        </w:rPr>
        <w:t>Two Way Radio</w:t>
      </w:r>
      <w:r w:rsidRPr="00A65F60">
        <w:t xml:space="preserve">”)(auction applicant not allowed to change its designated entity status after application filing deadline).  </w:t>
      </w:r>
    </w:p>
  </w:footnote>
  <w:footnote w:id="145">
    <w:p w:rsidR="00FE4663" w:rsidRPr="00AA2B80" w:rsidRDefault="00FE4663" w:rsidP="0083488E">
      <w:pPr>
        <w:pStyle w:val="FootnoteText"/>
      </w:pPr>
      <w:r w:rsidRPr="00A65F60">
        <w:rPr>
          <w:rStyle w:val="FootnoteReference"/>
          <w:sz w:val="20"/>
        </w:rPr>
        <w:footnoteRef/>
      </w:r>
      <w:r w:rsidRPr="00A65F60">
        <w:t xml:space="preserve"> We reiterate that, even if an applicant’s short-form application is dismissed, the applicant</w:t>
      </w:r>
      <w:r w:rsidRPr="00AA2B80">
        <w:t xml:space="preserve"> would remain subject to the </w:t>
      </w:r>
      <w:r>
        <w:t>communication prohibitions of 47 C.F.R. § 1.2105(c)</w:t>
      </w:r>
      <w:r w:rsidRPr="00AA2B80">
        <w:t xml:space="preserve"> until the down-payment deadline, which will be established after the auction closes.</w:t>
      </w:r>
    </w:p>
  </w:footnote>
  <w:footnote w:id="146">
    <w:p w:rsidR="00FE4663" w:rsidRDefault="00FE4663" w:rsidP="0083488E">
      <w:pPr>
        <w:pStyle w:val="FootnoteText"/>
      </w:pPr>
      <w:r w:rsidRPr="00AA2B80">
        <w:rPr>
          <w:rStyle w:val="FootnoteReference"/>
        </w:rPr>
        <w:footnoteRef/>
      </w:r>
      <w:r w:rsidRPr="00AA2B80">
        <w:t xml:space="preserve"> The Bureau advise</w:t>
      </w:r>
      <w:r>
        <w:t>s</w:t>
      </w:r>
      <w:r w:rsidRPr="00AA2B80">
        <w:t xml:space="preserve"> applicants to retain a copy of this confirmation page.</w:t>
      </w:r>
    </w:p>
  </w:footnote>
  <w:footnote w:id="147">
    <w:p w:rsidR="00FE4663" w:rsidRDefault="00FE4663" w:rsidP="00366E9A">
      <w:pPr>
        <w:pStyle w:val="FootnoteText"/>
      </w:pPr>
      <w:r>
        <w:rPr>
          <w:rStyle w:val="FootnoteReference"/>
        </w:rPr>
        <w:footnoteRef/>
      </w:r>
      <w:r>
        <w:t xml:space="preserve"> </w:t>
      </w:r>
      <w:r w:rsidRPr="00206CE7">
        <w:rPr>
          <w:i/>
        </w:rPr>
        <w:t>See</w:t>
      </w:r>
      <w:r w:rsidRPr="00206CE7">
        <w:t xml:space="preserve"> Section I.C.2.f. “Duty to Report</w:t>
      </w:r>
      <w:r>
        <w:t xml:space="preserve"> Prohibited Communications,” above.</w:t>
      </w:r>
    </w:p>
  </w:footnote>
  <w:footnote w:id="148">
    <w:p w:rsidR="00FE4663" w:rsidRPr="00A65F60" w:rsidRDefault="00FE4663">
      <w:pPr>
        <w:pStyle w:val="FootnoteText"/>
      </w:pPr>
      <w:r w:rsidRPr="00A65F60">
        <w:rPr>
          <w:rStyle w:val="FootnoteReference"/>
        </w:rPr>
        <w:footnoteRef/>
      </w:r>
      <w:r w:rsidRPr="00A65F60">
        <w:t xml:space="preserve"> We remind each applicant of its duty to continuously maintain the accuracy of information submitted in its </w:t>
      </w:r>
      <w:r>
        <w:t xml:space="preserve">auction application. </w:t>
      </w:r>
      <w:r w:rsidRPr="00BA0C33">
        <w:t xml:space="preserve"> </w:t>
      </w:r>
      <w:r w:rsidRPr="00BA0C33">
        <w:rPr>
          <w:i/>
        </w:rPr>
        <w:t xml:space="preserve">See, e.g., </w:t>
      </w:r>
      <w:r w:rsidRPr="00115B71">
        <w:t>Vermont Telephone Company</w:t>
      </w:r>
      <w:r w:rsidRPr="0018185F">
        <w:t>,</w:t>
      </w:r>
      <w:r w:rsidRPr="00BA0C33">
        <w:t xml:space="preserve"> </w:t>
      </w:r>
      <w:r>
        <w:rPr>
          <w:i/>
        </w:rPr>
        <w:t xml:space="preserve">Notice of Apparent Liability for Forfeiture, </w:t>
      </w:r>
      <w:r>
        <w:t>26 FCC Rcd 14130 (Enf. 2011).</w:t>
      </w:r>
    </w:p>
  </w:footnote>
  <w:footnote w:id="149">
    <w:p w:rsidR="00FE4663" w:rsidRPr="00A65F60" w:rsidRDefault="00FE4663" w:rsidP="0083488E">
      <w:pPr>
        <w:pStyle w:val="FootnoteText"/>
      </w:pPr>
      <w:r w:rsidRPr="00A65F60">
        <w:rPr>
          <w:rStyle w:val="FootnoteReference"/>
          <w:sz w:val="20"/>
        </w:rPr>
        <w:footnoteRef/>
      </w:r>
      <w:r w:rsidRPr="00A65F60">
        <w:t xml:space="preserve"> 47 C.F.R. §§ 1.65, 1.2105(b).  </w:t>
      </w:r>
      <w:r w:rsidRPr="00A65F60">
        <w:rPr>
          <w:i/>
        </w:rPr>
        <w:t>See also Part 1 Procedural Amendments Order</w:t>
      </w:r>
      <w:r w:rsidRPr="00A65F60">
        <w:t>, 25 FCC Rcd at 523 ¶ 8.</w:t>
      </w:r>
    </w:p>
  </w:footnote>
  <w:footnote w:id="150">
    <w:p w:rsidR="00FE4663" w:rsidRPr="00915E0F" w:rsidRDefault="00FE4663" w:rsidP="0083488E">
      <w:pPr>
        <w:pStyle w:val="FootnoteText"/>
      </w:pPr>
      <w:r w:rsidRPr="00A65F60">
        <w:rPr>
          <w:rStyle w:val="FootnoteReference"/>
          <w:sz w:val="20"/>
        </w:rPr>
        <w:footnoteRef/>
      </w:r>
      <w:r w:rsidRPr="00A65F60">
        <w:t xml:space="preserve"> 47 C.F.R. § 1.2105(b)(2).</w:t>
      </w:r>
    </w:p>
  </w:footnote>
  <w:footnote w:id="151">
    <w:p w:rsidR="00FE4663" w:rsidRDefault="00FE4663" w:rsidP="0083488E">
      <w:pPr>
        <w:pStyle w:val="FootnoteText"/>
      </w:pPr>
      <w:r>
        <w:rPr>
          <w:rStyle w:val="FootnoteReference"/>
        </w:rPr>
        <w:footnoteRef/>
      </w:r>
      <w:r>
        <w:t xml:space="preserve"> Most users will already have the Flash Player browser plug-in, which can be downloaded from </w:t>
      </w:r>
      <w:hyperlink r:id="rId3" w:history="1">
        <w:r w:rsidRPr="00E55177">
          <w:rPr>
            <w:rStyle w:val="Hyperlink"/>
          </w:rPr>
          <w:t>http://get.adobe.com/flashplayer/</w:t>
        </w:r>
      </w:hyperlink>
      <w:r>
        <w:t>.</w:t>
      </w:r>
    </w:p>
  </w:footnote>
  <w:footnote w:id="152">
    <w:p w:rsidR="00FE4663" w:rsidRPr="00183E39" w:rsidRDefault="00FE4663" w:rsidP="0083488E">
      <w:pPr>
        <w:pStyle w:val="FootnoteText"/>
      </w:pPr>
      <w:r w:rsidRPr="00183E39">
        <w:rPr>
          <w:rStyle w:val="FootnoteReference"/>
          <w:sz w:val="20"/>
        </w:rPr>
        <w:footnoteRef/>
      </w:r>
      <w:r w:rsidRPr="00183E39">
        <w:t xml:space="preserve"> 47 C.F.R. § 1.2105(a).</w:t>
      </w:r>
    </w:p>
  </w:footnote>
  <w:footnote w:id="153">
    <w:p w:rsidR="00FE4663" w:rsidRPr="00183E39" w:rsidRDefault="00FE4663" w:rsidP="0083488E">
      <w:pPr>
        <w:pStyle w:val="FootnoteText"/>
      </w:pPr>
      <w:r w:rsidRPr="00183E39">
        <w:rPr>
          <w:rStyle w:val="FootnoteReference"/>
          <w:sz w:val="20"/>
        </w:rPr>
        <w:footnoteRef/>
      </w:r>
      <w:r w:rsidRPr="00183E39">
        <w:t xml:space="preserve"> </w:t>
      </w:r>
      <w:r w:rsidRPr="00206CE7">
        <w:rPr>
          <w:i/>
        </w:rPr>
        <w:t>See</w:t>
      </w:r>
      <w:r w:rsidRPr="00206CE7">
        <w:t xml:space="preserve"> Section III.D. “Upfront</w:t>
      </w:r>
      <w:r w:rsidRPr="00A36219">
        <w:t xml:space="preserve"> Payments</w:t>
      </w:r>
      <w:r w:rsidRPr="00183E39">
        <w:t xml:space="preserve"> – </w:t>
      </w:r>
      <w:r w:rsidRPr="00D25662">
        <w:t xml:space="preserve">Due </w:t>
      </w:r>
      <w:r>
        <w:t>December 11, 2013</w:t>
      </w:r>
      <w:r w:rsidRPr="00D25662">
        <w:t>,” below</w:t>
      </w:r>
      <w:r w:rsidRPr="00183E39">
        <w:rPr>
          <w:i/>
          <w:iCs/>
        </w:rPr>
        <w:t xml:space="preserve">.  </w:t>
      </w:r>
    </w:p>
  </w:footnote>
  <w:footnote w:id="154">
    <w:p w:rsidR="00FE4663" w:rsidRPr="00206CE7" w:rsidRDefault="00FE4663" w:rsidP="0083488E">
      <w:pPr>
        <w:pStyle w:val="FootnoteText"/>
      </w:pPr>
      <w:r w:rsidRPr="00B95428">
        <w:rPr>
          <w:rStyle w:val="FootnoteReference"/>
          <w:sz w:val="20"/>
        </w:rPr>
        <w:footnoteRef/>
      </w:r>
      <w:r w:rsidRPr="00B95428">
        <w:t xml:space="preserve"> </w:t>
      </w:r>
      <w:r w:rsidRPr="00206CE7">
        <w:rPr>
          <w:i/>
        </w:rPr>
        <w:t>See</w:t>
      </w:r>
      <w:r w:rsidRPr="00206CE7">
        <w:t xml:space="preserve"> Section II.</w:t>
      </w:r>
      <w:r>
        <w:t>K</w:t>
      </w:r>
      <w:r w:rsidRPr="00206CE7">
        <w:t>. “Minor Modifications to Short-Form Applications,” above.</w:t>
      </w:r>
    </w:p>
  </w:footnote>
  <w:footnote w:id="155">
    <w:p w:rsidR="00FE4663" w:rsidRPr="00206CE7" w:rsidRDefault="00FE4663">
      <w:pPr>
        <w:pStyle w:val="FootnoteText"/>
      </w:pPr>
      <w:r w:rsidRPr="00206CE7">
        <w:rPr>
          <w:rStyle w:val="FootnoteReference"/>
        </w:rPr>
        <w:footnoteRef/>
      </w:r>
      <w:r w:rsidRPr="00206CE7">
        <w:t xml:space="preserve"> 47 C.F.R. § 1.2105(b); </w:t>
      </w:r>
      <w:r w:rsidRPr="00206CE7">
        <w:rPr>
          <w:i/>
        </w:rPr>
        <w:t>see also</w:t>
      </w:r>
      <w:r w:rsidRPr="00206CE7">
        <w:t xml:space="preserve"> </w:t>
      </w:r>
      <w:r w:rsidRPr="00206CE7">
        <w:rPr>
          <w:i/>
        </w:rPr>
        <w:t>Two Way Radio,</w:t>
      </w:r>
      <w:r w:rsidRPr="00206CE7">
        <w:t xml:space="preserve"> 14 FCC Rcd at 12035. </w:t>
      </w:r>
    </w:p>
  </w:footnote>
  <w:footnote w:id="156">
    <w:p w:rsidR="00FE4663" w:rsidRPr="00915E0F" w:rsidRDefault="00FE4663" w:rsidP="0083488E">
      <w:pPr>
        <w:pStyle w:val="FootnoteText"/>
      </w:pPr>
      <w:r w:rsidRPr="00206CE7">
        <w:rPr>
          <w:rStyle w:val="FootnoteReference"/>
          <w:sz w:val="20"/>
        </w:rPr>
        <w:footnoteRef/>
      </w:r>
      <w:r w:rsidRPr="00206CE7">
        <w:t xml:space="preserve"> In no event, however, will the FCC send auction registration materials to anyone other than the contact person listed on the applicant’s FCC Form 175 or respond to a request for replacement registration materials from anyone other than the authorized bidder, contact person, or certifying official listed on the applicant’s FCC Form 175.  </w:t>
      </w:r>
      <w:r w:rsidRPr="00206CE7">
        <w:rPr>
          <w:i/>
          <w:iCs/>
        </w:rPr>
        <w:t xml:space="preserve">See </w:t>
      </w:r>
      <w:r w:rsidRPr="00206CE7">
        <w:t>Section III.F. “Auction Registration</w:t>
      </w:r>
      <w:r w:rsidRPr="006A5676">
        <w:t>,” below.</w:t>
      </w:r>
    </w:p>
  </w:footnote>
  <w:footnote w:id="157">
    <w:p w:rsidR="00FE4663" w:rsidRPr="00AA2B80" w:rsidRDefault="00FE4663" w:rsidP="0083488E">
      <w:pPr>
        <w:pStyle w:val="FootnoteText"/>
      </w:pPr>
      <w:r w:rsidRPr="00915E0F">
        <w:rPr>
          <w:rStyle w:val="FootnoteReference"/>
          <w:sz w:val="20"/>
        </w:rPr>
        <w:footnoteRef/>
      </w:r>
      <w:r w:rsidRPr="00915E0F">
        <w:t xml:space="preserve"> An applicant must initiate the wire transfer through its bank, authorizing the bank to wire funds from the applicant’s account to the Commission’s auction payment lockbox bank, the </w:t>
      </w:r>
      <w:r>
        <w:t>U.S.</w:t>
      </w:r>
      <w:r w:rsidRPr="00915E0F">
        <w:t xml:space="preserve"> </w:t>
      </w:r>
      <w:r w:rsidRPr="00AA2B80">
        <w:t xml:space="preserve">Bank in St. Louis, Missouri.  </w:t>
      </w:r>
    </w:p>
  </w:footnote>
  <w:footnote w:id="158">
    <w:p w:rsidR="00FE4663" w:rsidRPr="00DF7948" w:rsidRDefault="00FE4663" w:rsidP="0083488E">
      <w:pPr>
        <w:pStyle w:val="FootnoteText"/>
      </w:pPr>
      <w:r w:rsidRPr="00AA2B80">
        <w:rPr>
          <w:rStyle w:val="FootnoteReference"/>
          <w:sz w:val="20"/>
        </w:rPr>
        <w:footnoteRef/>
      </w:r>
      <w:r w:rsidRPr="00AA2B80">
        <w:t xml:space="preserve"> The </w:t>
      </w:r>
      <w:r w:rsidRPr="00DF7948">
        <w:t>Commission will not accept checks, credit cards, or automated clearing house (ACH) payments.</w:t>
      </w:r>
    </w:p>
  </w:footnote>
  <w:footnote w:id="159">
    <w:p w:rsidR="00FE4663" w:rsidRPr="00DF7948" w:rsidRDefault="00FE4663" w:rsidP="0083488E">
      <w:pPr>
        <w:pStyle w:val="FootnoteText"/>
      </w:pPr>
      <w:r w:rsidRPr="00DF7948">
        <w:rPr>
          <w:rStyle w:val="FootnoteReference"/>
          <w:sz w:val="20"/>
        </w:rPr>
        <w:footnoteRef/>
      </w:r>
      <w:r w:rsidRPr="00DF7948">
        <w:rPr>
          <w:rStyle w:val="FootnoteReference"/>
          <w:sz w:val="20"/>
        </w:rPr>
        <w:t xml:space="preserve"> </w:t>
      </w:r>
      <w:r w:rsidRPr="00DF7948">
        <w:t>Letter to Lee G. Petro,  from Margaret W. Wiener, Chief, Auctions and Spectrum Access Division, Wireless Telecommunications Bureau, DA 10-1270, 25 FCC Rcd 9046 (Auc. Div. 2010).</w:t>
      </w:r>
    </w:p>
  </w:footnote>
  <w:footnote w:id="160">
    <w:p w:rsidR="00FE4663" w:rsidRDefault="00FE4663" w:rsidP="00B820EF">
      <w:pPr>
        <w:pStyle w:val="FootnoteText"/>
      </w:pPr>
      <w:r w:rsidRPr="00DF7948">
        <w:rPr>
          <w:rStyle w:val="FootnoteReference"/>
        </w:rPr>
        <w:footnoteRef/>
      </w:r>
      <w:r w:rsidRPr="00DF7948">
        <w:t xml:space="preserve"> </w:t>
      </w:r>
      <w:r w:rsidRPr="00DF7948">
        <w:rPr>
          <w:i/>
        </w:rPr>
        <w:t xml:space="preserve">See, e.g, </w:t>
      </w:r>
      <w:r w:rsidRPr="00DF7948">
        <w:t>Letter to David G. O’Neil, Esq. from Margaret W. Wiener, Chief, Auctions and Spectrum Access Division, Wireless Telecommunications Bureau, DA 08-622, 23 FCC Rcd 4765 (Auc. Div. 2008); Letter to Patrick Shannon, Esq., Counsel for Lynch 3G Communications Corp., from Margaret W. Wiener, Chief, Auctions and Industry Analysis Division, Wireless Telecommunications Bureau, DA 03-1944, 18 FCC Rcd 11552 (2003).</w:t>
      </w:r>
      <w:r>
        <w:t xml:space="preserve"> </w:t>
      </w:r>
    </w:p>
  </w:footnote>
  <w:footnote w:id="161">
    <w:p w:rsidR="00FE4663" w:rsidRPr="00764293" w:rsidRDefault="00FE4663" w:rsidP="0083488E">
      <w:pPr>
        <w:pStyle w:val="FootnoteText"/>
      </w:pPr>
      <w:r w:rsidRPr="00915E0F">
        <w:rPr>
          <w:rStyle w:val="FootnoteReference"/>
          <w:sz w:val="20"/>
        </w:rPr>
        <w:footnoteRef/>
      </w:r>
      <w:r w:rsidRPr="00915E0F">
        <w:t xml:space="preserve"> Amendment of Part 1 of the Commission’s </w:t>
      </w:r>
      <w:r w:rsidRPr="00764293">
        <w:t xml:space="preserve">Rules – Competitive Bidding Proceeding, WT Docket No. 97-82, </w:t>
      </w:r>
      <w:r w:rsidRPr="00764293">
        <w:rPr>
          <w:i/>
        </w:rPr>
        <w:t>Order, Memorandum Opinion and Order and Notice of Proposed Rule Making</w:t>
      </w:r>
      <w:r w:rsidRPr="00764293">
        <w:t xml:space="preserve">, FCC 97-60, 12 FCC Rcd 5686, 5697-98 ¶ 16 </w:t>
      </w:r>
      <w:r w:rsidRPr="00DF7948">
        <w:t xml:space="preserve">(1997); </w:t>
      </w:r>
      <w:r w:rsidRPr="00DF7948">
        <w:rPr>
          <w:i/>
        </w:rPr>
        <w:t>see also Broadcast First Report and Order</w:t>
      </w:r>
      <w:r w:rsidRPr="00DF7948">
        <w:t>, 13 FCC Rcd at 15971 ¶ 134.</w:t>
      </w:r>
    </w:p>
  </w:footnote>
  <w:footnote w:id="162">
    <w:p w:rsidR="00FE4663" w:rsidRPr="00764293" w:rsidRDefault="00FE4663" w:rsidP="0083488E">
      <w:pPr>
        <w:pStyle w:val="FootnoteText"/>
      </w:pPr>
      <w:r w:rsidRPr="00764293">
        <w:rPr>
          <w:rStyle w:val="FootnoteReference"/>
          <w:sz w:val="20"/>
        </w:rPr>
        <w:footnoteRef/>
      </w:r>
      <w:r w:rsidRPr="00764293">
        <w:t xml:space="preserve"> </w:t>
      </w:r>
      <w:r w:rsidRPr="00764293">
        <w:rPr>
          <w:i/>
        </w:rPr>
        <w:t>Part 1 Fifth Report and Order</w:t>
      </w:r>
      <w:r w:rsidRPr="00764293">
        <w:t xml:space="preserve">, 15 FCC Rcd at 15316-17 ¶¶ 40-42; </w:t>
      </w:r>
      <w:r w:rsidRPr="00764293">
        <w:rPr>
          <w:i/>
        </w:rPr>
        <w:t xml:space="preserve">see also </w:t>
      </w:r>
      <w:r w:rsidRPr="00764293">
        <w:t>47 C.F.R. § 1.2106(a</w:t>
      </w:r>
      <w:r w:rsidRPr="00C15957">
        <w:t xml:space="preserve">); </w:t>
      </w:r>
      <w:r w:rsidRPr="00115B71">
        <w:t>Section II.</w:t>
      </w:r>
      <w:r>
        <w:t>I</w:t>
      </w:r>
      <w:r w:rsidRPr="00C15957">
        <w:t>.</w:t>
      </w:r>
      <w:r w:rsidRPr="00764293">
        <w:t xml:space="preserve"> “Provisions Regarding Former and Current Defaulters,” above</w:t>
      </w:r>
      <w:r w:rsidRPr="00764293">
        <w:rPr>
          <w:i/>
        </w:rPr>
        <w:t xml:space="preserve">.  </w:t>
      </w:r>
    </w:p>
  </w:footnote>
  <w:footnote w:id="163">
    <w:p w:rsidR="00FE4663" w:rsidRPr="00915E0F" w:rsidRDefault="00FE4663" w:rsidP="0083488E">
      <w:pPr>
        <w:pStyle w:val="FootnoteText"/>
      </w:pPr>
      <w:r w:rsidRPr="00764293">
        <w:rPr>
          <w:rStyle w:val="FootnoteReference"/>
          <w:sz w:val="20"/>
        </w:rPr>
        <w:footnoteRef/>
      </w:r>
      <w:r w:rsidRPr="00764293">
        <w:t xml:space="preserve"> 47 C.F.R. § 1.2110(c).</w:t>
      </w:r>
    </w:p>
  </w:footnote>
  <w:footnote w:id="164">
    <w:p w:rsidR="00FE4663" w:rsidRPr="00915E0F" w:rsidRDefault="00FE4663" w:rsidP="0083488E">
      <w:pPr>
        <w:pStyle w:val="FootnoteText"/>
      </w:pPr>
      <w:r w:rsidRPr="00915E0F">
        <w:rPr>
          <w:rStyle w:val="FootnoteReference"/>
          <w:sz w:val="20"/>
        </w:rPr>
        <w:footnoteRef/>
      </w:r>
      <w:r w:rsidRPr="00915E0F">
        <w:t xml:space="preserve"> </w:t>
      </w:r>
      <w:r w:rsidRPr="00915E0F">
        <w:rPr>
          <w:rStyle w:val="FootnoteTextCharCharCharChar3CharCharChar1"/>
          <w:i/>
        </w:rPr>
        <w:t xml:space="preserve">Auction </w:t>
      </w:r>
      <w:r>
        <w:rPr>
          <w:rStyle w:val="FootnoteTextCharCharCharChar3CharCharChar1"/>
          <w:i/>
        </w:rPr>
        <w:t>96</w:t>
      </w:r>
      <w:r w:rsidRPr="00915E0F">
        <w:rPr>
          <w:rStyle w:val="FootnoteTextCharCharCharChar3CharCharChar1"/>
          <w:i/>
        </w:rPr>
        <w:t xml:space="preserve"> Comment </w:t>
      </w:r>
      <w:r w:rsidRPr="00915E0F">
        <w:rPr>
          <w:i/>
        </w:rPr>
        <w:t xml:space="preserve">Public </w:t>
      </w:r>
      <w:r w:rsidRPr="00183276">
        <w:rPr>
          <w:i/>
        </w:rPr>
        <w:t>Notice</w:t>
      </w:r>
      <w:r>
        <w:t>, 28 FCC Rcd</w:t>
      </w:r>
      <w:r w:rsidRPr="00183276">
        <w:t xml:space="preserve"> </w:t>
      </w:r>
      <w:r w:rsidRPr="0023256E">
        <w:t>at</w:t>
      </w:r>
      <w:r>
        <w:t xml:space="preserve"> 10023</w:t>
      </w:r>
      <w:r w:rsidRPr="0023256E">
        <w:t xml:space="preserve"> ¶ </w:t>
      </w:r>
      <w:r>
        <w:t>38</w:t>
      </w:r>
      <w:r w:rsidRPr="0023256E">
        <w:t>.</w:t>
      </w:r>
      <w:r w:rsidRPr="00915E0F">
        <w:t xml:space="preserve"> </w:t>
      </w:r>
    </w:p>
  </w:footnote>
  <w:footnote w:id="165">
    <w:p w:rsidR="00FE4663" w:rsidRPr="00183E39" w:rsidRDefault="00FE4663" w:rsidP="0083488E">
      <w:pPr>
        <w:pStyle w:val="FootnoteText"/>
        <w:rPr>
          <w:i/>
        </w:rPr>
      </w:pPr>
      <w:r w:rsidRPr="00183E39">
        <w:rPr>
          <w:rStyle w:val="FootnoteReference"/>
          <w:sz w:val="20"/>
        </w:rPr>
        <w:footnoteRef/>
      </w:r>
      <w:r w:rsidRPr="00183E39">
        <w:t xml:space="preserve"> </w:t>
      </w:r>
      <w:r w:rsidRPr="00576A76">
        <w:t xml:space="preserve">Provisionally winning bids are bids that would become final winning bids if the auction were to close after the given round.  </w:t>
      </w:r>
      <w:r w:rsidRPr="00206CE7">
        <w:rPr>
          <w:i/>
        </w:rPr>
        <w:t>See</w:t>
      </w:r>
      <w:r w:rsidRPr="00206CE7">
        <w:t xml:space="preserve"> Section IV.B.4. “Provisionally</w:t>
      </w:r>
      <w:r w:rsidRPr="00183E39">
        <w:t xml:space="preserve"> Winning Bids,” below</w:t>
      </w:r>
      <w:r w:rsidRPr="00183E39">
        <w:rPr>
          <w:i/>
        </w:rPr>
        <w:t xml:space="preserve">.  </w:t>
      </w:r>
    </w:p>
  </w:footnote>
  <w:footnote w:id="166">
    <w:p w:rsidR="00FE4663" w:rsidRDefault="00FE4663">
      <w:pPr>
        <w:pStyle w:val="FootnoteText"/>
      </w:pPr>
      <w:r>
        <w:rPr>
          <w:rStyle w:val="FootnoteReference"/>
        </w:rPr>
        <w:footnoteRef/>
      </w:r>
      <w:r>
        <w:t xml:space="preserve"> </w:t>
      </w:r>
      <w:r>
        <w:rPr>
          <w:i/>
        </w:rPr>
        <w:t>Auction 96 Comment Public Notice</w:t>
      </w:r>
      <w:r>
        <w:t>, 28 FCC Rcd</w:t>
      </w:r>
      <w:r>
        <w:rPr>
          <w:i/>
        </w:rPr>
        <w:t xml:space="preserve"> </w:t>
      </w:r>
      <w:r>
        <w:t xml:space="preserve">at 10022-23 </w:t>
      </w:r>
      <w:r w:rsidRPr="0023256E">
        <w:t>¶</w:t>
      </w:r>
      <w:r>
        <w:t xml:space="preserve"> 37.</w:t>
      </w:r>
    </w:p>
  </w:footnote>
  <w:footnote w:id="167">
    <w:p w:rsidR="00FE4663" w:rsidRPr="0044529C" w:rsidRDefault="00FE4663">
      <w:pPr>
        <w:pStyle w:val="FootnoteText"/>
      </w:pPr>
      <w:r>
        <w:rPr>
          <w:rStyle w:val="FootnoteReference"/>
        </w:rPr>
        <w:footnoteRef/>
      </w:r>
      <w:r>
        <w:t xml:space="preserve"> </w:t>
      </w:r>
      <w:r>
        <w:rPr>
          <w:i/>
        </w:rPr>
        <w:t>Id</w:t>
      </w:r>
      <w:r>
        <w:t>.</w:t>
      </w:r>
      <w:r>
        <w:rPr>
          <w:i/>
        </w:rPr>
        <w:t xml:space="preserve"> </w:t>
      </w:r>
      <w:r>
        <w:t xml:space="preserve">at 10023 </w:t>
      </w:r>
      <w:r w:rsidRPr="0023256E">
        <w:t>¶</w:t>
      </w:r>
      <w:r>
        <w:t xml:space="preserve"> 38.  </w:t>
      </w:r>
      <w:r w:rsidRPr="004B1086">
        <w:t xml:space="preserve">“Former Defaulters” </w:t>
      </w:r>
      <w:r>
        <w:t xml:space="preserve">– </w:t>
      </w:r>
      <w:r w:rsidRPr="00724DC5">
        <w:t>i.e.</w:t>
      </w:r>
      <w:r w:rsidRPr="00B6297A">
        <w:t>,</w:t>
      </w:r>
      <w:r w:rsidRPr="004B1086">
        <w:t xml:space="preserve"> applicants, including any of their affiliates, any of their controlling interests, or any of the affiliates of their controlling interests, that in the past have defaulted on any Commission license or been delinquent on any non-tax debt owed to any Federal agency, but that have since remedied all such defaults and cured all of their outstanding non-tax delinquencies </w:t>
      </w:r>
      <w:r>
        <w:t xml:space="preserve">– </w:t>
      </w:r>
      <w:r w:rsidRPr="004B1086">
        <w:t xml:space="preserve">are required to pay upfront payments that are fifty percent more than the normal upfront payment amounts.  47 C.F.R. </w:t>
      </w:r>
      <w:r w:rsidRPr="004B1086">
        <w:rPr>
          <w:kern w:val="28"/>
        </w:rPr>
        <w:t>§ 1.2106(a).</w:t>
      </w:r>
    </w:p>
  </w:footnote>
  <w:footnote w:id="168">
    <w:p w:rsidR="00FE4663" w:rsidRDefault="00FE4663">
      <w:pPr>
        <w:pStyle w:val="FootnoteText"/>
      </w:pPr>
      <w:r>
        <w:rPr>
          <w:rStyle w:val="FootnoteReference"/>
        </w:rPr>
        <w:footnoteRef/>
      </w:r>
      <w:r>
        <w:t xml:space="preserve"> Sprint supports using the standard range of auction procedures outlined in the Public Notice that have typically accompanied traditional </w:t>
      </w:r>
      <w:r w:rsidRPr="0007683C">
        <w:rPr>
          <w:szCs w:val="22"/>
        </w:rPr>
        <w:t>simultaneous multiple round</w:t>
      </w:r>
      <w:r>
        <w:t xml:space="preserve"> (“SMR”) auctions in the past if the SMR format without package bidding is used for Auction 96.  </w:t>
      </w:r>
      <w:r>
        <w:rPr>
          <w:i/>
        </w:rPr>
        <w:t xml:space="preserve">See </w:t>
      </w:r>
      <w:r>
        <w:t xml:space="preserve">Sprint Comments at 11.  </w:t>
      </w:r>
      <w:r w:rsidRPr="004532C7">
        <w:rPr>
          <w:i/>
        </w:rPr>
        <w:t>See also</w:t>
      </w:r>
      <w:r>
        <w:t xml:space="preserve"> T-Mobile Comments at 6 (agreeing generally with the Bureau’s proposal to use the rules employed in prior auctions).  </w:t>
      </w:r>
    </w:p>
  </w:footnote>
  <w:footnote w:id="169">
    <w:p w:rsidR="00FE4663" w:rsidRPr="00AA2B80" w:rsidRDefault="00FE4663" w:rsidP="0083488E">
      <w:pPr>
        <w:pStyle w:val="FootnoteText"/>
      </w:pPr>
      <w:r w:rsidRPr="00DF7948">
        <w:rPr>
          <w:rStyle w:val="FootnoteReference"/>
          <w:sz w:val="20"/>
        </w:rPr>
        <w:footnoteRef/>
      </w:r>
      <w:r w:rsidRPr="00DF7948">
        <w:t xml:space="preserve"> A qualified bidder’s maximum eligibility will not exceed the sum of the bidding units associated with the total number of </w:t>
      </w:r>
      <w:r>
        <w:t>licenses</w:t>
      </w:r>
      <w:r w:rsidRPr="00DF7948">
        <w:t xml:space="preserve"> identified on its FCC Form 175.  In some cases a qualified</w:t>
      </w:r>
      <w:r w:rsidRPr="00915E0F">
        <w:t xml:space="preserve"> bidder's maximum </w:t>
      </w:r>
      <w:r w:rsidRPr="00AA2B80">
        <w:t>eligibility may be less than the amount of its upfront payment because the qualified bidder has either previously been in default on a Commission construction permit or license or delinquent on non-tax debt owed to a Federal agency (</w:t>
      </w:r>
      <w:r w:rsidRPr="00AA2B80">
        <w:rPr>
          <w:i/>
        </w:rPr>
        <w:t>see</w:t>
      </w:r>
      <w:r w:rsidRPr="00AA2B80">
        <w:t xml:space="preserve"> 47 C.F.R. § 1.2106(a)), or has submitted an upfront payment that exceeds the total amount of bidding units associated with the </w:t>
      </w:r>
      <w:r>
        <w:t>licenses</w:t>
      </w:r>
      <w:r w:rsidRPr="00AA2B80">
        <w:t xml:space="preserve"> </w:t>
      </w:r>
      <w:r>
        <w:t>it selected on its FCC Form 175</w:t>
      </w:r>
      <w:r w:rsidRPr="00AA2B80">
        <w:t>.</w:t>
      </w:r>
    </w:p>
  </w:footnote>
  <w:footnote w:id="170">
    <w:p w:rsidR="00FE4663" w:rsidRPr="00AA2B80" w:rsidRDefault="00FE4663" w:rsidP="0083488E">
      <w:pPr>
        <w:pStyle w:val="FootnoteText"/>
      </w:pPr>
      <w:r w:rsidRPr="00AA2B80">
        <w:rPr>
          <w:rStyle w:val="FootnoteReference"/>
          <w:sz w:val="20"/>
        </w:rPr>
        <w:footnoteRef/>
      </w:r>
      <w:r w:rsidRPr="00AA2B80">
        <w:t xml:space="preserve"> 47 C.F.R. § 1.2106(a).</w:t>
      </w:r>
    </w:p>
  </w:footnote>
  <w:footnote w:id="171">
    <w:p w:rsidR="00FE4663" w:rsidRDefault="00FE4663" w:rsidP="0083488E">
      <w:pPr>
        <w:pStyle w:val="FootnoteText"/>
      </w:pPr>
      <w:r w:rsidRPr="00AA2B80">
        <w:rPr>
          <w:rStyle w:val="FootnoteReference"/>
        </w:rPr>
        <w:footnoteRef/>
      </w:r>
      <w:r w:rsidRPr="00AA2B80">
        <w:t xml:space="preserve"> If a former defaulter fails to submit a </w:t>
      </w:r>
      <w:r w:rsidRPr="00DF7948">
        <w:t xml:space="preserve">sufficient upfront payment to establish eligibility to bid on at least one of the </w:t>
      </w:r>
      <w:r>
        <w:t>licenses</w:t>
      </w:r>
      <w:r w:rsidRPr="00DF7948">
        <w:t xml:space="preserve"> selected on its FCC Form 175, the applicant will not be eligible to participate in the auction.  This applicant will retain its status as an applicant in Auction 9</w:t>
      </w:r>
      <w:r>
        <w:t>6</w:t>
      </w:r>
      <w:r w:rsidRPr="00DF7948">
        <w:t xml:space="preserve"> and will remain subject to 47 C.F.R. §§ 1.2105(c</w:t>
      </w:r>
      <w:r w:rsidRPr="00CA6103">
        <w:t xml:space="preserve">).  </w:t>
      </w:r>
      <w:r w:rsidRPr="00CA6103">
        <w:rPr>
          <w:i/>
        </w:rPr>
        <w:t xml:space="preserve">See </w:t>
      </w:r>
      <w:r w:rsidRPr="00CA6103">
        <w:t>Star Wireless and Northeast Communications of Wisconsin, Inc.,</w:t>
      </w:r>
      <w:r w:rsidRPr="00CA6103">
        <w:rPr>
          <w:i/>
        </w:rPr>
        <w:t xml:space="preserve"> Order on Review</w:t>
      </w:r>
      <w:r w:rsidRPr="00CA6103">
        <w:t>, 22 FCC Rcd 8943</w:t>
      </w:r>
      <w:r>
        <w:t>, 8947</w:t>
      </w:r>
      <w:r w:rsidRPr="00CA6103">
        <w:t xml:space="preserve"> ¶ 8.</w:t>
      </w:r>
    </w:p>
  </w:footnote>
  <w:footnote w:id="172">
    <w:p w:rsidR="00FE4663" w:rsidRPr="00915E0F" w:rsidRDefault="00FE4663" w:rsidP="0083488E">
      <w:pPr>
        <w:pStyle w:val="FootnoteText"/>
      </w:pPr>
      <w:r w:rsidRPr="00915E0F">
        <w:rPr>
          <w:rStyle w:val="FootnoteReference"/>
          <w:sz w:val="20"/>
        </w:rPr>
        <w:footnoteRef/>
      </w:r>
      <w:r w:rsidRPr="00915E0F">
        <w:t xml:space="preserve"> </w:t>
      </w:r>
      <w:r w:rsidRPr="00915E0F">
        <w:rPr>
          <w:rStyle w:val="FootnoteTextCharCharCharChar3CharCharChar1"/>
          <w:i/>
        </w:rPr>
        <w:t xml:space="preserve">Auction </w:t>
      </w:r>
      <w:r>
        <w:rPr>
          <w:rStyle w:val="FootnoteTextCharCharCharChar3CharCharChar1"/>
          <w:i/>
        </w:rPr>
        <w:t>96</w:t>
      </w:r>
      <w:r w:rsidRPr="00915E0F">
        <w:rPr>
          <w:rStyle w:val="FootnoteTextCharCharCharChar3CharCharChar1"/>
          <w:i/>
        </w:rPr>
        <w:t xml:space="preserve"> Comment </w:t>
      </w:r>
      <w:r w:rsidRPr="00915E0F">
        <w:rPr>
          <w:i/>
        </w:rPr>
        <w:t xml:space="preserve">Public </w:t>
      </w:r>
      <w:r w:rsidRPr="00AB6B04">
        <w:rPr>
          <w:i/>
        </w:rPr>
        <w:t>Notice</w:t>
      </w:r>
      <w:r>
        <w:t>, 28 FCC Rcd</w:t>
      </w:r>
      <w:r w:rsidRPr="00AB6B04">
        <w:t xml:space="preserve"> at </w:t>
      </w:r>
      <w:r>
        <w:t xml:space="preserve">10017 </w:t>
      </w:r>
      <w:r w:rsidRPr="00AB6B04">
        <w:t xml:space="preserve">¶ </w:t>
      </w:r>
      <w:r>
        <w:t>16</w:t>
      </w:r>
      <w:r w:rsidRPr="00AB6B04">
        <w:t>.</w:t>
      </w:r>
      <w:r w:rsidRPr="00915E0F">
        <w:t xml:space="preserve">  </w:t>
      </w:r>
    </w:p>
  </w:footnote>
  <w:footnote w:id="173">
    <w:p w:rsidR="00FE4663" w:rsidRPr="00590AF2" w:rsidRDefault="00FE4663">
      <w:pPr>
        <w:pStyle w:val="FootnoteText"/>
      </w:pPr>
      <w:r>
        <w:rPr>
          <w:rStyle w:val="FootnoteReference"/>
        </w:rPr>
        <w:footnoteRef/>
      </w:r>
      <w:r>
        <w:t xml:space="preserve"> </w:t>
      </w:r>
      <w:r>
        <w:rPr>
          <w:i/>
        </w:rPr>
        <w:t>Id</w:t>
      </w:r>
      <w:r>
        <w:t xml:space="preserve">. at 10017-10019 </w:t>
      </w:r>
      <w:r w:rsidRPr="00AB6B04">
        <w:t xml:space="preserve">¶¶ </w:t>
      </w:r>
      <w:r>
        <w:t>17-22.</w:t>
      </w:r>
    </w:p>
  </w:footnote>
  <w:footnote w:id="174">
    <w:p w:rsidR="00FE4663" w:rsidRPr="004D62CC" w:rsidRDefault="00FE4663">
      <w:pPr>
        <w:pStyle w:val="FootnoteText"/>
      </w:pPr>
      <w:r>
        <w:rPr>
          <w:rStyle w:val="FootnoteReference"/>
        </w:rPr>
        <w:footnoteRef/>
      </w:r>
      <w:r>
        <w:t xml:space="preserve"> </w:t>
      </w:r>
      <w:r>
        <w:rPr>
          <w:i/>
        </w:rPr>
        <w:t>Id</w:t>
      </w:r>
      <w:r>
        <w:t xml:space="preserve">. at 10019 </w:t>
      </w:r>
      <w:r w:rsidRPr="00AB6B04">
        <w:t xml:space="preserve">¶ </w:t>
      </w:r>
      <w:r>
        <w:t>22.</w:t>
      </w:r>
    </w:p>
  </w:footnote>
  <w:footnote w:id="175">
    <w:p w:rsidR="00FE4663" w:rsidRPr="007B647B" w:rsidRDefault="00FE4663">
      <w:pPr>
        <w:pStyle w:val="FootnoteText"/>
      </w:pPr>
      <w:r>
        <w:rPr>
          <w:rStyle w:val="FootnoteReference"/>
        </w:rPr>
        <w:footnoteRef/>
      </w:r>
      <w:r>
        <w:t xml:space="preserve"> </w:t>
      </w:r>
      <w:r w:rsidRPr="00F957EE">
        <w:rPr>
          <w:i/>
        </w:rPr>
        <w:t xml:space="preserve">See </w:t>
      </w:r>
      <w:r w:rsidRPr="00F957EE">
        <w:rPr>
          <w:rFonts w:cstheme="minorHAnsi"/>
        </w:rPr>
        <w:t xml:space="preserve">Aloha Partners Reply Comments at </w:t>
      </w:r>
      <w:r>
        <w:rPr>
          <w:rFonts w:cstheme="minorHAnsi"/>
        </w:rPr>
        <w:t>6</w:t>
      </w:r>
      <w:r w:rsidRPr="00F957EE">
        <w:rPr>
          <w:rFonts w:cstheme="minorHAnsi"/>
        </w:rPr>
        <w:t>; Broadband Properties Comme</w:t>
      </w:r>
      <w:r>
        <w:rPr>
          <w:rFonts w:cstheme="minorHAnsi"/>
        </w:rPr>
        <w:t>nts at 1; C Spire Comments at 2</w:t>
      </w:r>
      <w:r w:rsidRPr="00F957EE">
        <w:rPr>
          <w:rFonts w:cstheme="minorHAnsi"/>
        </w:rPr>
        <w:t xml:space="preserve">; CCA Reply Comments at </w:t>
      </w:r>
      <w:r>
        <w:rPr>
          <w:rFonts w:cstheme="minorHAnsi"/>
        </w:rPr>
        <w:t>5-7</w:t>
      </w:r>
      <w:r w:rsidRPr="00F957EE">
        <w:rPr>
          <w:rFonts w:cstheme="minorHAnsi"/>
        </w:rPr>
        <w:t xml:space="preserve">; NTELOS Holdings Reply Comments at </w:t>
      </w:r>
      <w:r>
        <w:rPr>
          <w:rFonts w:cstheme="minorHAnsi"/>
        </w:rPr>
        <w:t>12</w:t>
      </w:r>
      <w:r w:rsidRPr="00F957EE">
        <w:rPr>
          <w:rFonts w:cstheme="minorHAnsi"/>
        </w:rPr>
        <w:t xml:space="preserve">; RDL Management Comments at </w:t>
      </w:r>
      <w:r>
        <w:rPr>
          <w:rFonts w:cstheme="minorHAnsi"/>
        </w:rPr>
        <w:t>3</w:t>
      </w:r>
      <w:r w:rsidRPr="00F957EE">
        <w:rPr>
          <w:rFonts w:cstheme="minorHAnsi"/>
        </w:rPr>
        <w:t xml:space="preserve">; RTG Comments at </w:t>
      </w:r>
      <w:r>
        <w:rPr>
          <w:rFonts w:cstheme="minorHAnsi"/>
        </w:rPr>
        <w:t>9</w:t>
      </w:r>
      <w:r w:rsidRPr="00F957EE">
        <w:rPr>
          <w:rFonts w:cstheme="minorHAnsi"/>
        </w:rPr>
        <w:t xml:space="preserve">; Sprint Comments at </w:t>
      </w:r>
      <w:r>
        <w:rPr>
          <w:rFonts w:cstheme="minorHAnsi"/>
        </w:rPr>
        <w:t>3-6</w:t>
      </w:r>
      <w:r w:rsidRPr="00F957EE">
        <w:rPr>
          <w:rFonts w:cstheme="minorHAnsi"/>
        </w:rPr>
        <w:t xml:space="preserve">; US Cellular Comments at </w:t>
      </w:r>
      <w:r>
        <w:rPr>
          <w:rFonts w:cstheme="minorHAnsi"/>
        </w:rPr>
        <w:t>3</w:t>
      </w:r>
      <w:r w:rsidRPr="00F957EE">
        <w:rPr>
          <w:rFonts w:cstheme="minorHAnsi"/>
        </w:rPr>
        <w:t xml:space="preserve">; </w:t>
      </w:r>
      <w:r>
        <w:rPr>
          <w:rFonts w:cstheme="minorHAnsi"/>
        </w:rPr>
        <w:t xml:space="preserve">C Spire Reply Comments at 1-2; </w:t>
      </w:r>
      <w:r w:rsidRPr="00F957EE">
        <w:rPr>
          <w:rFonts w:cstheme="minorHAnsi"/>
          <w:color w:val="000000"/>
        </w:rPr>
        <w:t>Cellcom/</w:t>
      </w:r>
      <w:r w:rsidRPr="00F957EE">
        <w:rPr>
          <w:rFonts w:cstheme="minorHAnsi"/>
        </w:rPr>
        <w:t xml:space="preserve">Pioneer Cellular Joint Reply Comments at </w:t>
      </w:r>
      <w:r>
        <w:rPr>
          <w:rFonts w:cstheme="minorHAnsi"/>
        </w:rPr>
        <w:t>5-6</w:t>
      </w:r>
      <w:r w:rsidRPr="00F957EE">
        <w:rPr>
          <w:rFonts w:cstheme="minorHAnsi"/>
        </w:rPr>
        <w:t xml:space="preserve">; RTG Reply Comments at </w:t>
      </w:r>
      <w:r>
        <w:rPr>
          <w:rFonts w:cstheme="minorHAnsi"/>
        </w:rPr>
        <w:t>3</w:t>
      </w:r>
      <w:r w:rsidRPr="00F957EE">
        <w:rPr>
          <w:rFonts w:cstheme="minorHAnsi"/>
        </w:rPr>
        <w:t xml:space="preserve">; Sprint Reply Comments at </w:t>
      </w:r>
      <w:r>
        <w:rPr>
          <w:rFonts w:cstheme="minorHAnsi"/>
        </w:rPr>
        <w:t>1-2, 10</w:t>
      </w:r>
      <w:r w:rsidRPr="00F957EE">
        <w:rPr>
          <w:rFonts w:cstheme="minorHAnsi"/>
        </w:rPr>
        <w:t xml:space="preserve">; US Cellular Reply Comments at </w:t>
      </w:r>
      <w:r>
        <w:rPr>
          <w:rFonts w:cstheme="minorHAnsi"/>
        </w:rPr>
        <w:t>3, 5-6</w:t>
      </w:r>
      <w:r w:rsidRPr="00F957EE">
        <w:rPr>
          <w:rFonts w:cstheme="minorHAnsi"/>
        </w:rPr>
        <w:t xml:space="preserve">.  </w:t>
      </w:r>
      <w:r>
        <w:rPr>
          <w:rFonts w:cstheme="minorHAnsi"/>
          <w:i/>
        </w:rPr>
        <w:t>See generally</w:t>
      </w:r>
      <w:r>
        <w:rPr>
          <w:rFonts w:cstheme="minorHAnsi"/>
        </w:rPr>
        <w:t xml:space="preserve"> AT&amp;T Comments and Reply Comments (supporting an SMR with HPB auction format); </w:t>
      </w:r>
      <w:r w:rsidRPr="00F957EE">
        <w:rPr>
          <w:rFonts w:cstheme="minorHAnsi"/>
        </w:rPr>
        <w:t>Holt and Goeree Comment</w:t>
      </w:r>
      <w:r>
        <w:rPr>
          <w:rFonts w:cstheme="minorHAnsi"/>
        </w:rPr>
        <w:t>s</w:t>
      </w:r>
      <w:r w:rsidRPr="00F957EE">
        <w:rPr>
          <w:rFonts w:cstheme="minorHAnsi"/>
        </w:rPr>
        <w:t xml:space="preserve"> at </w:t>
      </w:r>
      <w:r>
        <w:rPr>
          <w:rFonts w:cstheme="minorHAnsi"/>
        </w:rPr>
        <w:t xml:space="preserve">1-3 (supporting an SMR with HPB auction format).  </w:t>
      </w:r>
      <w:r w:rsidRPr="00095073">
        <w:rPr>
          <w:rFonts w:cstheme="minorHAnsi"/>
        </w:rPr>
        <w:t>T</w:t>
      </w:r>
      <w:r w:rsidRPr="00F957EE">
        <w:rPr>
          <w:rFonts w:cstheme="minorHAnsi"/>
        </w:rPr>
        <w:t xml:space="preserve">-Mobile did not take a </w:t>
      </w:r>
      <w:r w:rsidRPr="00112AE6">
        <w:rPr>
          <w:rFonts w:cstheme="minorHAnsi"/>
        </w:rPr>
        <w:t xml:space="preserve">position on the </w:t>
      </w:r>
      <w:r>
        <w:rPr>
          <w:rFonts w:cstheme="minorHAnsi"/>
        </w:rPr>
        <w:t xml:space="preserve">use of an </w:t>
      </w:r>
      <w:r w:rsidRPr="00112AE6">
        <w:rPr>
          <w:rFonts w:cstheme="minorHAnsi"/>
        </w:rPr>
        <w:t xml:space="preserve">SMR format but noted that </w:t>
      </w:r>
      <w:r>
        <w:rPr>
          <w:rFonts w:cstheme="minorHAnsi"/>
        </w:rPr>
        <w:t xml:space="preserve">this format offers bidders a simple and effective means of bidding on a single or multiple licenses and is familiar to auction participants, making it an attractive approach </w:t>
      </w:r>
      <w:r w:rsidRPr="00042D54">
        <w:rPr>
          <w:rFonts w:cstheme="minorHAnsi"/>
        </w:rPr>
        <w:t xml:space="preserve">for Auction 96.  </w:t>
      </w:r>
      <w:r w:rsidRPr="00BE5B6D">
        <w:rPr>
          <w:rFonts w:cstheme="minorHAnsi"/>
          <w:i/>
        </w:rPr>
        <w:t xml:space="preserve">See </w:t>
      </w:r>
      <w:r w:rsidRPr="00BE5B6D">
        <w:rPr>
          <w:rFonts w:cstheme="minorHAnsi"/>
        </w:rPr>
        <w:t xml:space="preserve">T-Mobile Comments at </w:t>
      </w:r>
      <w:r>
        <w:rPr>
          <w:rFonts w:cstheme="minorHAnsi"/>
        </w:rPr>
        <w:t>3</w:t>
      </w:r>
      <w:r w:rsidRPr="00BE5B6D">
        <w:rPr>
          <w:rFonts w:cstheme="minorHAnsi"/>
        </w:rPr>
        <w:t>.</w:t>
      </w:r>
    </w:p>
  </w:footnote>
  <w:footnote w:id="176">
    <w:p w:rsidR="00FE4663" w:rsidRDefault="00FE4663">
      <w:pPr>
        <w:pStyle w:val="FootnoteText"/>
      </w:pPr>
      <w:r>
        <w:rPr>
          <w:rStyle w:val="FootnoteReference"/>
        </w:rPr>
        <w:footnoteRef/>
      </w:r>
      <w:r>
        <w:t xml:space="preserve"> </w:t>
      </w:r>
      <w:r w:rsidRPr="00EF2EBD">
        <w:rPr>
          <w:i/>
        </w:rPr>
        <w:t xml:space="preserve">See </w:t>
      </w:r>
      <w:r w:rsidRPr="00EF2EBD">
        <w:rPr>
          <w:rFonts w:cstheme="minorHAnsi"/>
        </w:rPr>
        <w:t>Broadband Prop</w:t>
      </w:r>
      <w:r>
        <w:rPr>
          <w:rFonts w:cstheme="minorHAnsi"/>
        </w:rPr>
        <w:t>erties Comments at 1</w:t>
      </w:r>
      <w:r w:rsidRPr="00EF2EBD">
        <w:rPr>
          <w:rFonts w:cstheme="minorHAnsi"/>
        </w:rPr>
        <w:t>;</w:t>
      </w:r>
      <w:r>
        <w:rPr>
          <w:rFonts w:cstheme="minorHAnsi"/>
        </w:rPr>
        <w:t xml:space="preserve"> C Spire Comments at 2-4</w:t>
      </w:r>
      <w:r w:rsidRPr="00EF2EBD">
        <w:rPr>
          <w:rFonts w:cstheme="minorHAnsi"/>
        </w:rPr>
        <w:t xml:space="preserve">; RDL Comments at </w:t>
      </w:r>
      <w:r>
        <w:rPr>
          <w:rFonts w:cstheme="minorHAnsi"/>
        </w:rPr>
        <w:t>4-13</w:t>
      </w:r>
      <w:r w:rsidRPr="00EF2EBD">
        <w:rPr>
          <w:rFonts w:cstheme="minorHAnsi"/>
        </w:rPr>
        <w:t xml:space="preserve">; RTG Comments at </w:t>
      </w:r>
      <w:r>
        <w:rPr>
          <w:rFonts w:cstheme="minorHAnsi"/>
        </w:rPr>
        <w:t>3-9</w:t>
      </w:r>
      <w:r w:rsidRPr="00EF2EBD">
        <w:rPr>
          <w:rFonts w:cstheme="minorHAnsi"/>
        </w:rPr>
        <w:t xml:space="preserve">; Sprint Comments at </w:t>
      </w:r>
      <w:r>
        <w:rPr>
          <w:rFonts w:cstheme="minorHAnsi"/>
        </w:rPr>
        <w:t>4, 7-10</w:t>
      </w:r>
      <w:r w:rsidRPr="00EF2EBD">
        <w:rPr>
          <w:rFonts w:cstheme="minorHAnsi"/>
        </w:rPr>
        <w:t xml:space="preserve">; US Cellular Comments at </w:t>
      </w:r>
      <w:r>
        <w:rPr>
          <w:rFonts w:cstheme="minorHAnsi"/>
        </w:rPr>
        <w:t>3-4, 6-17</w:t>
      </w:r>
      <w:r w:rsidRPr="00EF2EBD">
        <w:rPr>
          <w:rFonts w:cstheme="minorHAnsi"/>
        </w:rPr>
        <w:t xml:space="preserve">; </w:t>
      </w:r>
      <w:r>
        <w:rPr>
          <w:rFonts w:cstheme="minorHAnsi"/>
        </w:rPr>
        <w:t xml:space="preserve">Aloha Partners Reply Comments at 1, 3-6; C Spire Reply Comments at 1-4; CCA Reply Comments at 2-7; </w:t>
      </w:r>
      <w:r w:rsidRPr="00EF2EBD">
        <w:rPr>
          <w:rFonts w:cstheme="minorHAnsi"/>
          <w:color w:val="000000"/>
        </w:rPr>
        <w:t>Cellcom/</w:t>
      </w:r>
      <w:r w:rsidRPr="00EF2EBD">
        <w:rPr>
          <w:rFonts w:cstheme="minorHAnsi"/>
        </w:rPr>
        <w:t xml:space="preserve">Pioneer Cellular Joint Reply Comments at </w:t>
      </w:r>
      <w:r>
        <w:rPr>
          <w:rFonts w:cstheme="minorHAnsi"/>
        </w:rPr>
        <w:t>5-6</w:t>
      </w:r>
      <w:r w:rsidRPr="00EF2EBD">
        <w:rPr>
          <w:rFonts w:cstheme="minorHAnsi"/>
        </w:rPr>
        <w:t xml:space="preserve">; </w:t>
      </w:r>
      <w:r>
        <w:rPr>
          <w:rFonts w:cstheme="minorHAnsi"/>
        </w:rPr>
        <w:t xml:space="preserve">NTELOS Holdings Reply Comments at 4-10; </w:t>
      </w:r>
      <w:r w:rsidRPr="00EF2EBD">
        <w:rPr>
          <w:rFonts w:cstheme="minorHAnsi"/>
        </w:rPr>
        <w:t xml:space="preserve">RTG Reply Comments at </w:t>
      </w:r>
      <w:r>
        <w:rPr>
          <w:rFonts w:cstheme="minorHAnsi"/>
        </w:rPr>
        <w:t>1-4</w:t>
      </w:r>
      <w:r w:rsidRPr="00EF2EBD">
        <w:rPr>
          <w:rFonts w:cstheme="minorHAnsi"/>
        </w:rPr>
        <w:t xml:space="preserve">; Sprint Reply Comments at </w:t>
      </w:r>
      <w:r>
        <w:rPr>
          <w:rFonts w:cstheme="minorHAnsi"/>
        </w:rPr>
        <w:t>1-8</w:t>
      </w:r>
      <w:r w:rsidRPr="00EF2EBD">
        <w:rPr>
          <w:rFonts w:cstheme="minorHAnsi"/>
        </w:rPr>
        <w:t xml:space="preserve">; US Cellular Reply Comments at </w:t>
      </w:r>
      <w:r>
        <w:rPr>
          <w:rFonts w:cstheme="minorHAnsi"/>
        </w:rPr>
        <w:t>6-24</w:t>
      </w:r>
      <w:r w:rsidRPr="00EF2EBD">
        <w:rPr>
          <w:rFonts w:cstheme="minorHAnsi"/>
        </w:rPr>
        <w:t>.</w:t>
      </w:r>
    </w:p>
  </w:footnote>
  <w:footnote w:id="177">
    <w:p w:rsidR="00FE4663" w:rsidRDefault="00FE4663">
      <w:pPr>
        <w:pStyle w:val="FootnoteText"/>
      </w:pPr>
      <w:r>
        <w:rPr>
          <w:rStyle w:val="FootnoteReference"/>
        </w:rPr>
        <w:footnoteRef/>
      </w:r>
      <w:r>
        <w:t xml:space="preserve"> </w:t>
      </w:r>
      <w:r w:rsidRPr="00EF2EBD">
        <w:rPr>
          <w:i/>
        </w:rPr>
        <w:t>See</w:t>
      </w:r>
      <w:r>
        <w:rPr>
          <w:rFonts w:cstheme="minorHAnsi"/>
        </w:rPr>
        <w:t xml:space="preserve"> </w:t>
      </w:r>
      <w:r w:rsidRPr="00E8775D">
        <w:rPr>
          <w:rFonts w:cstheme="minorHAnsi"/>
        </w:rPr>
        <w:t>Broadband Properties</w:t>
      </w:r>
      <w:r w:rsidRPr="0012542B">
        <w:rPr>
          <w:rFonts w:cstheme="minorHAnsi"/>
          <w:color w:val="000000"/>
        </w:rPr>
        <w:t xml:space="preserve"> </w:t>
      </w:r>
      <w:r>
        <w:rPr>
          <w:rFonts w:cstheme="minorHAnsi"/>
          <w:color w:val="000000"/>
        </w:rPr>
        <w:t>Comments at 1;</w:t>
      </w:r>
      <w:r w:rsidRPr="00E8775D">
        <w:rPr>
          <w:rFonts w:cstheme="minorHAnsi"/>
        </w:rPr>
        <w:t xml:space="preserve"> C Spire</w:t>
      </w:r>
      <w:r>
        <w:rPr>
          <w:rFonts w:cstheme="minorHAnsi"/>
        </w:rPr>
        <w:t xml:space="preserve"> </w:t>
      </w:r>
      <w:r>
        <w:rPr>
          <w:rFonts w:cstheme="minorHAnsi"/>
          <w:color w:val="000000"/>
        </w:rPr>
        <w:t>Comments at 3-4;</w:t>
      </w:r>
      <w:r w:rsidRPr="00E8775D">
        <w:rPr>
          <w:rFonts w:cstheme="minorHAnsi"/>
        </w:rPr>
        <w:t xml:space="preserve"> </w:t>
      </w:r>
      <w:r w:rsidRPr="00E160A7">
        <w:rPr>
          <w:rFonts w:cstheme="minorHAnsi"/>
          <w:color w:val="000000"/>
        </w:rPr>
        <w:t>Cellcom</w:t>
      </w:r>
      <w:r>
        <w:rPr>
          <w:rFonts w:cstheme="minorHAnsi"/>
          <w:color w:val="000000"/>
        </w:rPr>
        <w:t>/</w:t>
      </w:r>
      <w:r>
        <w:rPr>
          <w:rFonts w:cstheme="minorHAnsi"/>
        </w:rPr>
        <w:t xml:space="preserve">Pioneer Cellular Joint </w:t>
      </w:r>
      <w:r>
        <w:rPr>
          <w:rFonts w:cstheme="minorHAnsi"/>
          <w:color w:val="000000"/>
        </w:rPr>
        <w:t>Comments at 5-6;</w:t>
      </w:r>
      <w:r>
        <w:rPr>
          <w:rFonts w:cstheme="minorHAnsi"/>
        </w:rPr>
        <w:t xml:space="preserve"> RDL </w:t>
      </w:r>
      <w:r>
        <w:rPr>
          <w:rFonts w:cstheme="minorHAnsi"/>
          <w:color w:val="000000"/>
        </w:rPr>
        <w:t>Comments at 4-12;</w:t>
      </w:r>
      <w:r w:rsidRPr="00E8775D">
        <w:rPr>
          <w:rFonts w:cstheme="minorHAnsi"/>
        </w:rPr>
        <w:t xml:space="preserve"> RTG</w:t>
      </w:r>
      <w:r>
        <w:rPr>
          <w:rFonts w:cstheme="minorHAnsi"/>
        </w:rPr>
        <w:t xml:space="preserve"> </w:t>
      </w:r>
      <w:r>
        <w:rPr>
          <w:rFonts w:cstheme="minorHAnsi"/>
          <w:color w:val="000000"/>
        </w:rPr>
        <w:t xml:space="preserve">Comments at 3-8; </w:t>
      </w:r>
      <w:r>
        <w:t xml:space="preserve">US Cellular Comments at 6-15; Aloha Partners Reply Comments at 3-4; C Spire Reply Comments at 3-4; NTELOS Holdings Reply Comments at 4-10; Sprint Reply Comments at 2-5; </w:t>
      </w:r>
      <w:r>
        <w:rPr>
          <w:rFonts w:cstheme="minorHAnsi"/>
          <w:color w:val="000000"/>
        </w:rPr>
        <w:t>US Cellular Reply Comments at 6-24.</w:t>
      </w:r>
    </w:p>
  </w:footnote>
  <w:footnote w:id="178">
    <w:p w:rsidR="00FE4663" w:rsidRDefault="00FE4663">
      <w:pPr>
        <w:pStyle w:val="FootnoteText"/>
      </w:pPr>
      <w:r>
        <w:rPr>
          <w:rStyle w:val="FootnoteReference"/>
        </w:rPr>
        <w:footnoteRef/>
      </w:r>
      <w:r>
        <w:t xml:space="preserve"> </w:t>
      </w:r>
      <w:r w:rsidRPr="00EF2EBD">
        <w:rPr>
          <w:i/>
        </w:rPr>
        <w:t>See</w:t>
      </w:r>
      <w:r>
        <w:rPr>
          <w:rFonts w:cstheme="minorHAnsi"/>
        </w:rPr>
        <w:t xml:space="preserve"> AT&amp;T</w:t>
      </w:r>
      <w:r w:rsidRPr="00BF5BC5">
        <w:rPr>
          <w:rFonts w:cstheme="minorHAnsi"/>
          <w:color w:val="000000"/>
        </w:rPr>
        <w:t xml:space="preserve"> </w:t>
      </w:r>
      <w:r>
        <w:rPr>
          <w:rFonts w:cstheme="minorHAnsi"/>
          <w:color w:val="000000"/>
        </w:rPr>
        <w:t>Comments at 2-3;</w:t>
      </w:r>
      <w:r>
        <w:rPr>
          <w:rFonts w:cstheme="minorHAnsi"/>
        </w:rPr>
        <w:t xml:space="preserve"> Holt and Goeree </w:t>
      </w:r>
      <w:r>
        <w:rPr>
          <w:rFonts w:cstheme="minorHAnsi"/>
          <w:color w:val="000000"/>
        </w:rPr>
        <w:t>Comments at 1;</w:t>
      </w:r>
      <w:r>
        <w:rPr>
          <w:rFonts w:cstheme="minorHAnsi"/>
        </w:rPr>
        <w:t xml:space="preserve"> T-Mobile </w:t>
      </w:r>
      <w:r>
        <w:rPr>
          <w:rFonts w:cstheme="minorHAnsi"/>
          <w:color w:val="000000"/>
        </w:rPr>
        <w:t>Comments at 4-5;</w:t>
      </w:r>
      <w:r w:rsidRPr="005A6DC7">
        <w:rPr>
          <w:rFonts w:cstheme="minorHAnsi"/>
        </w:rPr>
        <w:t xml:space="preserve"> </w:t>
      </w:r>
      <w:r>
        <w:rPr>
          <w:rFonts w:cstheme="minorHAnsi"/>
        </w:rPr>
        <w:t>AT&amp;T</w:t>
      </w:r>
      <w:r w:rsidRPr="00BF5BC5">
        <w:rPr>
          <w:rFonts w:cstheme="minorHAnsi"/>
          <w:color w:val="000000"/>
        </w:rPr>
        <w:t xml:space="preserve"> </w:t>
      </w:r>
      <w:r>
        <w:rPr>
          <w:rFonts w:cstheme="minorHAnsi"/>
          <w:color w:val="000000"/>
        </w:rPr>
        <w:t xml:space="preserve">Reply Comments at 3; T-Mobile Reply Comments at 7.  </w:t>
      </w:r>
      <w:r w:rsidRPr="00E170DD">
        <w:rPr>
          <w:rFonts w:cstheme="minorHAnsi"/>
          <w:color w:val="000000"/>
        </w:rPr>
        <w:t xml:space="preserve">DISH also generally supports the proposal to use HPB in auctioning the H Block.  </w:t>
      </w:r>
      <w:r w:rsidRPr="00CB6EC3">
        <w:rPr>
          <w:rFonts w:cstheme="minorHAnsi"/>
          <w:i/>
          <w:color w:val="000000"/>
        </w:rPr>
        <w:t>See</w:t>
      </w:r>
      <w:r w:rsidRPr="00E170DD">
        <w:rPr>
          <w:rFonts w:cstheme="minorHAnsi"/>
          <w:color w:val="000000"/>
        </w:rPr>
        <w:t xml:space="preserve"> DISH </w:t>
      </w:r>
      <w:r w:rsidRPr="00CB6EC3">
        <w:rPr>
          <w:rFonts w:cstheme="minorHAnsi"/>
          <w:i/>
          <w:color w:val="000000"/>
        </w:rPr>
        <w:t>Ex Parte</w:t>
      </w:r>
      <w:r w:rsidRPr="00E170DD">
        <w:rPr>
          <w:rFonts w:cstheme="minorHAnsi"/>
          <w:color w:val="000000"/>
        </w:rPr>
        <w:t xml:space="preserve"> at 2.</w:t>
      </w:r>
      <w:r>
        <w:rPr>
          <w:rFonts w:cstheme="minorHAnsi"/>
          <w:color w:val="000000"/>
        </w:rPr>
        <w:t xml:space="preserve"> </w:t>
      </w:r>
    </w:p>
  </w:footnote>
  <w:footnote w:id="179">
    <w:p w:rsidR="00FE4663" w:rsidRDefault="00FE4663">
      <w:pPr>
        <w:pStyle w:val="FootnoteText"/>
      </w:pPr>
      <w:r>
        <w:rPr>
          <w:rStyle w:val="FootnoteReference"/>
        </w:rPr>
        <w:footnoteRef/>
      </w:r>
      <w:r>
        <w:t xml:space="preserve"> </w:t>
      </w:r>
      <w:r w:rsidRPr="00EF2EBD">
        <w:rPr>
          <w:i/>
        </w:rPr>
        <w:t>See</w:t>
      </w:r>
      <w:r>
        <w:rPr>
          <w:rFonts w:cstheme="minorHAnsi"/>
        </w:rPr>
        <w:t xml:space="preserve"> Holt and Goeree Comments at 4.</w:t>
      </w:r>
    </w:p>
  </w:footnote>
  <w:footnote w:id="180">
    <w:p w:rsidR="00FE4663" w:rsidRPr="007B647B" w:rsidRDefault="00FE4663">
      <w:pPr>
        <w:pStyle w:val="FootnoteText"/>
      </w:pPr>
      <w:r>
        <w:rPr>
          <w:rStyle w:val="FootnoteReference"/>
        </w:rPr>
        <w:footnoteRef/>
      </w:r>
      <w:r>
        <w:t xml:space="preserve"> </w:t>
      </w:r>
      <w:r w:rsidRPr="00EF2EBD">
        <w:rPr>
          <w:i/>
        </w:rPr>
        <w:t>See</w:t>
      </w:r>
      <w:r>
        <w:rPr>
          <w:rFonts w:cstheme="minorHAnsi"/>
        </w:rPr>
        <w:t xml:space="preserve"> AT&amp;T</w:t>
      </w:r>
      <w:r w:rsidRPr="00BF5BC5">
        <w:rPr>
          <w:rFonts w:cstheme="minorHAnsi"/>
          <w:color w:val="000000"/>
        </w:rPr>
        <w:t xml:space="preserve"> </w:t>
      </w:r>
      <w:r>
        <w:rPr>
          <w:rFonts w:cstheme="minorHAnsi"/>
          <w:color w:val="000000"/>
        </w:rPr>
        <w:t>Reply Comments at 2-3;</w:t>
      </w:r>
      <w:r>
        <w:rPr>
          <w:rFonts w:cstheme="minorHAnsi"/>
        </w:rPr>
        <w:t xml:space="preserve"> Holt and Goeree Comments at 1-2.  AT&amp;T maintains that HPB is in fact necessary to avoid a bid-suppressing exposure problem.  </w:t>
      </w:r>
      <w:r>
        <w:rPr>
          <w:rFonts w:cstheme="minorHAnsi"/>
          <w:i/>
        </w:rPr>
        <w:t xml:space="preserve">See </w:t>
      </w:r>
      <w:r>
        <w:rPr>
          <w:rFonts w:cstheme="minorHAnsi"/>
        </w:rPr>
        <w:t>AT&amp;T Reply Comments at 2.</w:t>
      </w:r>
    </w:p>
  </w:footnote>
  <w:footnote w:id="181">
    <w:p w:rsidR="00FE4663" w:rsidRDefault="00FE4663">
      <w:pPr>
        <w:pStyle w:val="FootnoteText"/>
      </w:pPr>
      <w:r>
        <w:rPr>
          <w:rStyle w:val="FootnoteReference"/>
        </w:rPr>
        <w:footnoteRef/>
      </w:r>
      <w:r>
        <w:t xml:space="preserve"> </w:t>
      </w:r>
      <w:r w:rsidRPr="00EF2EBD">
        <w:rPr>
          <w:i/>
        </w:rPr>
        <w:t>See</w:t>
      </w:r>
      <w:r>
        <w:rPr>
          <w:rFonts w:cstheme="minorHAnsi"/>
        </w:rPr>
        <w:t xml:space="preserve"> AT&amp;T Comments at 2.</w:t>
      </w:r>
    </w:p>
  </w:footnote>
  <w:footnote w:id="182">
    <w:p w:rsidR="00FE4663" w:rsidRDefault="00FE4663">
      <w:pPr>
        <w:pStyle w:val="FootnoteText"/>
      </w:pPr>
      <w:r>
        <w:rPr>
          <w:rStyle w:val="FootnoteReference"/>
        </w:rPr>
        <w:footnoteRef/>
      </w:r>
      <w:r>
        <w:t xml:space="preserve"> O</w:t>
      </w:r>
      <w:r w:rsidRPr="00D43CF2">
        <w:rPr>
          <w:rFonts w:cs="Calibri"/>
          <w:bCs/>
        </w:rPr>
        <w:t>ur decision not to employ an SMR-</w:t>
      </w:r>
      <w:r>
        <w:rPr>
          <w:rFonts w:cs="Calibri"/>
          <w:bCs/>
        </w:rPr>
        <w:t>H</w:t>
      </w:r>
      <w:r w:rsidRPr="00D43CF2">
        <w:rPr>
          <w:rFonts w:cs="Calibri"/>
          <w:bCs/>
        </w:rPr>
        <w:t xml:space="preserve">PB format for </w:t>
      </w:r>
      <w:r>
        <w:rPr>
          <w:rFonts w:cs="Calibri"/>
          <w:bCs/>
        </w:rPr>
        <w:t>H Block</w:t>
      </w:r>
      <w:r w:rsidRPr="00D43CF2">
        <w:rPr>
          <w:rFonts w:cs="Calibri"/>
          <w:bCs/>
        </w:rPr>
        <w:t xml:space="preserve"> licenses </w:t>
      </w:r>
      <w:r>
        <w:rPr>
          <w:rFonts w:cs="Calibri"/>
          <w:bCs/>
        </w:rPr>
        <w:t xml:space="preserve">in Auction 96 </w:t>
      </w:r>
      <w:r w:rsidRPr="00D43CF2">
        <w:rPr>
          <w:rFonts w:cs="Calibri"/>
          <w:bCs/>
        </w:rPr>
        <w:t xml:space="preserve">does not reflect on </w:t>
      </w:r>
      <w:r>
        <w:rPr>
          <w:rFonts w:cs="Calibri"/>
          <w:bCs/>
        </w:rPr>
        <w:t xml:space="preserve">or preclude </w:t>
      </w:r>
      <w:r w:rsidRPr="00D43CF2">
        <w:rPr>
          <w:rFonts w:cs="Calibri"/>
          <w:bCs/>
        </w:rPr>
        <w:t>future use of package bidding in Commission auctions.</w:t>
      </w:r>
    </w:p>
  </w:footnote>
  <w:footnote w:id="183">
    <w:p w:rsidR="00FE4663" w:rsidRPr="003822EE" w:rsidRDefault="00FE4663">
      <w:pPr>
        <w:pStyle w:val="FootnoteText"/>
      </w:pPr>
      <w:r w:rsidRPr="009D02C1">
        <w:rPr>
          <w:rStyle w:val="FootnoteReference"/>
        </w:rPr>
        <w:footnoteRef/>
      </w:r>
      <w:r w:rsidRPr="009D02C1">
        <w:t xml:space="preserve"> </w:t>
      </w:r>
      <w:r w:rsidRPr="009D02C1">
        <w:rPr>
          <w:i/>
        </w:rPr>
        <w:t>See</w:t>
      </w:r>
      <w:r w:rsidRPr="00083B48">
        <w:rPr>
          <w:i/>
        </w:rPr>
        <w:t xml:space="preserve"> </w:t>
      </w:r>
      <w:r w:rsidRPr="00A95726">
        <w:t>Section</w:t>
      </w:r>
      <w:r>
        <w:t xml:space="preserve"> IV.A.7, “Auction Stopping Rules,” below. </w:t>
      </w:r>
    </w:p>
  </w:footnote>
  <w:footnote w:id="184">
    <w:p w:rsidR="00FE4663" w:rsidRPr="007A0519" w:rsidRDefault="00FE4663">
      <w:pPr>
        <w:pStyle w:val="FootnoteText"/>
      </w:pPr>
      <w:r>
        <w:rPr>
          <w:rStyle w:val="FootnoteReference"/>
        </w:rPr>
        <w:footnoteRef/>
      </w:r>
      <w:r>
        <w:t xml:space="preserve"> </w:t>
      </w:r>
      <w:r>
        <w:rPr>
          <w:i/>
        </w:rPr>
        <w:t>Id</w:t>
      </w:r>
      <w:r>
        <w:t xml:space="preserve">. at 10019 </w:t>
      </w:r>
      <w:r w:rsidRPr="00AB6B04">
        <w:t xml:space="preserve">¶ </w:t>
      </w:r>
      <w:r>
        <w:t>23.</w:t>
      </w:r>
    </w:p>
  </w:footnote>
  <w:footnote w:id="185">
    <w:p w:rsidR="00FE4663" w:rsidRPr="00B50E57" w:rsidRDefault="00FE4663">
      <w:pPr>
        <w:pStyle w:val="FootnoteText"/>
      </w:pPr>
      <w:r>
        <w:rPr>
          <w:rStyle w:val="FootnoteReference"/>
        </w:rPr>
        <w:footnoteRef/>
      </w:r>
      <w:r>
        <w:t xml:space="preserve"> </w:t>
      </w:r>
      <w:r>
        <w:rPr>
          <w:i/>
        </w:rPr>
        <w:t>See</w:t>
      </w:r>
      <w:r>
        <w:t xml:space="preserve"> </w:t>
      </w:r>
      <w:r w:rsidRPr="001E0C26">
        <w:rPr>
          <w:rFonts w:cstheme="minorHAnsi"/>
        </w:rPr>
        <w:t>Holt</w:t>
      </w:r>
      <w:r>
        <w:rPr>
          <w:rFonts w:cstheme="minorHAnsi"/>
        </w:rPr>
        <w:t xml:space="preserve"> and </w:t>
      </w:r>
      <w:r w:rsidRPr="001E0C26">
        <w:rPr>
          <w:rFonts w:cstheme="minorHAnsi"/>
        </w:rPr>
        <w:t>Goeree</w:t>
      </w:r>
      <w:r>
        <w:rPr>
          <w:rFonts w:cstheme="minorHAnsi"/>
        </w:rPr>
        <w:t xml:space="preserve"> Comments at 2-3;</w:t>
      </w:r>
      <w:r w:rsidRPr="001E0C26">
        <w:rPr>
          <w:rFonts w:cstheme="minorHAnsi"/>
        </w:rPr>
        <w:t xml:space="preserve"> RDL</w:t>
      </w:r>
      <w:r>
        <w:rPr>
          <w:rFonts w:cstheme="minorHAnsi"/>
        </w:rPr>
        <w:t xml:space="preserve"> Comments at 13-15; </w:t>
      </w:r>
      <w:r w:rsidRPr="001E0C26">
        <w:rPr>
          <w:rFonts w:cstheme="minorHAnsi"/>
        </w:rPr>
        <w:t>Sprint</w:t>
      </w:r>
      <w:r>
        <w:rPr>
          <w:rFonts w:cstheme="minorHAnsi"/>
        </w:rPr>
        <w:t xml:space="preserve"> Comments at 10-11; </w:t>
      </w:r>
      <w:r w:rsidRPr="001E0C26">
        <w:rPr>
          <w:rFonts w:cstheme="minorHAnsi"/>
        </w:rPr>
        <w:t>US Cellular</w:t>
      </w:r>
      <w:r>
        <w:t xml:space="preserve"> Reply Comments at 24-27.  T-Mobile did not take a position on the SRSB format but indicated that Auction 96 may be sufficiently different from other auctions that the format might be worth considering.  </w:t>
      </w:r>
      <w:r w:rsidRPr="00E6666C">
        <w:rPr>
          <w:i/>
        </w:rPr>
        <w:t xml:space="preserve">See </w:t>
      </w:r>
      <w:r>
        <w:t>T-Mobile Comments at 2-4.</w:t>
      </w:r>
    </w:p>
  </w:footnote>
  <w:footnote w:id="186">
    <w:p w:rsidR="00FE4663" w:rsidRDefault="00FE4663" w:rsidP="005A1C76">
      <w:pPr>
        <w:pStyle w:val="FootnoteText"/>
      </w:pPr>
      <w:r>
        <w:rPr>
          <w:rStyle w:val="FootnoteReference"/>
        </w:rPr>
        <w:footnoteRef/>
      </w:r>
      <w:r>
        <w:t xml:space="preserve"> </w:t>
      </w:r>
      <w:r>
        <w:rPr>
          <w:rStyle w:val="FootnoteTextCharCharCharChar3CharCharChar1"/>
          <w:i/>
        </w:rPr>
        <w:t>Id</w:t>
      </w:r>
      <w:r>
        <w:t>. at 10020 ¶¶ 24-26.</w:t>
      </w:r>
      <w:r w:rsidRPr="00171574">
        <w:t xml:space="preserve"> </w:t>
      </w:r>
    </w:p>
  </w:footnote>
  <w:footnote w:id="187">
    <w:p w:rsidR="00FE4663" w:rsidRPr="00F57260" w:rsidRDefault="00FE4663" w:rsidP="005A1C76">
      <w:pPr>
        <w:pStyle w:val="FootnoteText"/>
      </w:pPr>
      <w:r>
        <w:rPr>
          <w:rStyle w:val="FootnoteReference"/>
        </w:rPr>
        <w:footnoteRef/>
      </w:r>
      <w:r>
        <w:t xml:space="preserve"> </w:t>
      </w:r>
      <w:r w:rsidRPr="00837754">
        <w:rPr>
          <w:i/>
        </w:rPr>
        <w:t>Id</w:t>
      </w:r>
      <w:r>
        <w:t>. at 10020 ¶29.</w:t>
      </w:r>
    </w:p>
  </w:footnote>
  <w:footnote w:id="188">
    <w:p w:rsidR="00FE4663" w:rsidRDefault="00FE4663">
      <w:pPr>
        <w:pStyle w:val="FootnoteText"/>
      </w:pPr>
      <w:r>
        <w:rPr>
          <w:rStyle w:val="FootnoteReference"/>
        </w:rPr>
        <w:footnoteRef/>
      </w:r>
      <w:r>
        <w:t xml:space="preserve"> </w:t>
      </w:r>
      <w:r>
        <w:rPr>
          <w:i/>
        </w:rPr>
        <w:t xml:space="preserve">See </w:t>
      </w:r>
      <w:r>
        <w:t>C Spire Comments at 2-4</w:t>
      </w:r>
      <w:r>
        <w:rPr>
          <w:szCs w:val="22"/>
        </w:rPr>
        <w:t xml:space="preserve">; Sprint Comments at 11; T-Mobile Comments at 5; </w:t>
      </w:r>
      <w:r>
        <w:t>C Spire Reply Comments at 4-5</w:t>
      </w:r>
      <w:r>
        <w:rPr>
          <w:szCs w:val="22"/>
        </w:rPr>
        <w:t>.</w:t>
      </w:r>
    </w:p>
  </w:footnote>
  <w:footnote w:id="189">
    <w:p w:rsidR="00FE4663" w:rsidRDefault="00FE4663">
      <w:pPr>
        <w:pStyle w:val="FootnoteText"/>
      </w:pPr>
      <w:r>
        <w:rPr>
          <w:rStyle w:val="FootnoteReference"/>
        </w:rPr>
        <w:footnoteRef/>
      </w:r>
      <w:r>
        <w:t xml:space="preserve"> </w:t>
      </w:r>
      <w:r>
        <w:rPr>
          <w:i/>
        </w:rPr>
        <w:t xml:space="preserve">See </w:t>
      </w:r>
      <w:r>
        <w:rPr>
          <w:rFonts w:cstheme="minorHAnsi"/>
          <w:color w:val="000000"/>
        </w:rPr>
        <w:t xml:space="preserve">CCA Comments at 7-8; </w:t>
      </w:r>
      <w:r>
        <w:rPr>
          <w:rFonts w:cstheme="minorHAnsi"/>
        </w:rPr>
        <w:t>RDL Comments at 1, 16-18; US Cellular Comments at 18-28; US Cellular Reply Comments at 27-31.</w:t>
      </w:r>
    </w:p>
  </w:footnote>
  <w:footnote w:id="190">
    <w:p w:rsidR="00FE4663" w:rsidRDefault="00FE4663">
      <w:pPr>
        <w:pStyle w:val="FootnoteText"/>
      </w:pPr>
      <w:r>
        <w:rPr>
          <w:rStyle w:val="FootnoteReference"/>
        </w:rPr>
        <w:footnoteRef/>
      </w:r>
      <w:r>
        <w:t xml:space="preserve"> </w:t>
      </w:r>
      <w:r>
        <w:rPr>
          <w:i/>
        </w:rPr>
        <w:t xml:space="preserve">See </w:t>
      </w:r>
      <w:r>
        <w:t xml:space="preserve">C Spire Comments at 2-4; Sprint Comments at 9-11; T-Mobile Comments at 5; C Spire Reply Comments at 4-5; Sprint Reply Comments at 9.  </w:t>
      </w:r>
      <w:r>
        <w:rPr>
          <w:i/>
        </w:rPr>
        <w:t xml:space="preserve">See </w:t>
      </w:r>
      <w:r w:rsidRPr="00F6658A">
        <w:t xml:space="preserve">Auction of AWS-1 and Broadband PCS Licenses Rescheduled for August 13, 2008; Notice and Filing Requirements, Minimum Opening Bids, Upfront Payments, and Other Procedures for Auction 78, </w:t>
      </w:r>
      <w:r w:rsidRPr="00F6658A">
        <w:rPr>
          <w:i/>
        </w:rPr>
        <w:t>Public Notice</w:t>
      </w:r>
      <w:r w:rsidRPr="00F6658A">
        <w:t>, DA 08-1090, 23 FCC Rcd 7496, 7536 ¶ 157 (WTB 2008)</w:t>
      </w:r>
      <w:r>
        <w:t xml:space="preserve"> (</w:t>
      </w:r>
      <w:r w:rsidRPr="00B52154">
        <w:t>recogniz</w:t>
      </w:r>
      <w:r>
        <w:t>ing</w:t>
      </w:r>
      <w:r w:rsidRPr="00B52154">
        <w:t xml:space="preserve"> that limited information procedures may have overall competitive benefits from reduced opportunities for bid signaling, retaliatory bidding, or other anti-competitive strategic bidding</w:t>
      </w:r>
      <w:r>
        <w:t xml:space="preserve">); </w:t>
      </w:r>
      <w:r w:rsidRPr="00F6658A">
        <w:t xml:space="preserve">Auction of </w:t>
      </w:r>
      <w:r>
        <w:t xml:space="preserve">700 MHz Band </w:t>
      </w:r>
      <w:r w:rsidRPr="00F6658A">
        <w:t xml:space="preserve">Licenses </w:t>
      </w:r>
      <w:r>
        <w:t>S</w:t>
      </w:r>
      <w:r w:rsidRPr="00F6658A">
        <w:t xml:space="preserve">cheduled for </w:t>
      </w:r>
      <w:r>
        <w:t>July 19</w:t>
      </w:r>
      <w:r w:rsidRPr="00F6658A">
        <w:t>, 20</w:t>
      </w:r>
      <w:r>
        <w:t>11</w:t>
      </w:r>
      <w:r w:rsidRPr="00F6658A">
        <w:t xml:space="preserve">; Notice and Filing Requirements, Minimum Opening Bids, Upfront Payments, and Other Procedures for Auction </w:t>
      </w:r>
      <w:r>
        <w:t>92</w:t>
      </w:r>
      <w:r w:rsidRPr="00F6658A">
        <w:t xml:space="preserve">, </w:t>
      </w:r>
      <w:r w:rsidRPr="00F6658A">
        <w:rPr>
          <w:i/>
        </w:rPr>
        <w:t>Public Notice</w:t>
      </w:r>
      <w:r w:rsidRPr="00F6658A">
        <w:t>, DA</w:t>
      </w:r>
      <w:r>
        <w:t xml:space="preserve"> 11-420, 26 FCC Rcd 3342, 3372 </w:t>
      </w:r>
      <w:r w:rsidRPr="00F6658A">
        <w:t>¶</w:t>
      </w:r>
      <w:r>
        <w:t xml:space="preserve"> 128 (WTB 2011) (</w:t>
      </w:r>
      <w:r>
        <w:rPr>
          <w:szCs w:val="22"/>
        </w:rPr>
        <w:t>finding that the competitive benefits associated with anonymous bidding support adoption of such procedures)</w:t>
      </w:r>
      <w:r>
        <w:t>.</w:t>
      </w:r>
    </w:p>
  </w:footnote>
  <w:footnote w:id="191">
    <w:p w:rsidR="00FE4663" w:rsidRDefault="00FE4663">
      <w:pPr>
        <w:pStyle w:val="FootnoteText"/>
      </w:pPr>
      <w:r>
        <w:rPr>
          <w:rStyle w:val="FootnoteReference"/>
        </w:rPr>
        <w:footnoteRef/>
      </w:r>
      <w:r>
        <w:t xml:space="preserve"> </w:t>
      </w:r>
      <w:r>
        <w:rPr>
          <w:i/>
        </w:rPr>
        <w:t xml:space="preserve">See </w:t>
      </w:r>
      <w:r>
        <w:rPr>
          <w:rFonts w:cstheme="minorHAnsi"/>
        </w:rPr>
        <w:t xml:space="preserve">RDL Comments at 16-18; </w:t>
      </w:r>
      <w:r w:rsidRPr="00623D39">
        <w:rPr>
          <w:rFonts w:cstheme="minorHAnsi"/>
        </w:rPr>
        <w:t>US Cellular</w:t>
      </w:r>
      <w:r>
        <w:rPr>
          <w:rFonts w:cstheme="minorHAnsi"/>
        </w:rPr>
        <w:t xml:space="preserve"> Comments at 4-5, 18-28; CCA Reply Comments at 7-8; </w:t>
      </w:r>
      <w:r w:rsidRPr="00623D39">
        <w:rPr>
          <w:rFonts w:cstheme="minorHAnsi"/>
        </w:rPr>
        <w:t>US Cellular</w:t>
      </w:r>
      <w:r>
        <w:rPr>
          <w:rFonts w:cstheme="minorHAnsi"/>
        </w:rPr>
        <w:t xml:space="preserve"> Reply Comments at 27-31.</w:t>
      </w:r>
    </w:p>
  </w:footnote>
  <w:footnote w:id="192">
    <w:p w:rsidR="00FE4663" w:rsidRDefault="00FE4663" w:rsidP="005A1C76">
      <w:pPr>
        <w:pStyle w:val="FootnoteText"/>
      </w:pPr>
      <w:r>
        <w:rPr>
          <w:rStyle w:val="FootnoteReference"/>
        </w:rPr>
        <w:footnoteRef/>
      </w:r>
      <w:r>
        <w:t xml:space="preserve"> </w:t>
      </w:r>
      <w:r>
        <w:rPr>
          <w:rStyle w:val="FootnoteTextCharCharCharChar3CharCharChar1"/>
          <w:i/>
        </w:rPr>
        <w:t xml:space="preserve">Auction 96 Comment </w:t>
      </w:r>
      <w:r>
        <w:rPr>
          <w:i/>
        </w:rPr>
        <w:t>Public Notice</w:t>
      </w:r>
      <w:r>
        <w:t xml:space="preserve">, 28 FCC Rcd </w:t>
      </w:r>
      <w:r w:rsidRPr="00D1466D">
        <w:t>at</w:t>
      </w:r>
      <w:r>
        <w:t xml:space="preserve"> 10020 ¶¶ 24-29.  </w:t>
      </w:r>
    </w:p>
  </w:footnote>
  <w:footnote w:id="193">
    <w:p w:rsidR="00FE4663" w:rsidRDefault="00FE4663">
      <w:pPr>
        <w:pStyle w:val="FootnoteText"/>
      </w:pPr>
      <w:r>
        <w:rPr>
          <w:rStyle w:val="FootnoteReference"/>
        </w:rPr>
        <w:footnoteRef/>
      </w:r>
      <w:r>
        <w:t xml:space="preserve"> </w:t>
      </w:r>
      <w:r>
        <w:rPr>
          <w:rFonts w:cs="Calibri"/>
        </w:rPr>
        <w:t xml:space="preserve">We also decline to adopt US Cellular’s suggestion that we use </w:t>
      </w:r>
      <w:r w:rsidRPr="004A38D0">
        <w:rPr>
          <w:rFonts w:cstheme="minorHAnsi"/>
        </w:rPr>
        <w:t>a pre-defined eligibility ratio</w:t>
      </w:r>
      <w:r>
        <w:rPr>
          <w:rFonts w:cs="Calibri"/>
        </w:rPr>
        <w:t xml:space="preserve"> to determine the level of competition for Auction 96 and make our decision about whether to limit the information available to bidders </w:t>
      </w:r>
      <w:r w:rsidRPr="00D43CF2">
        <w:rPr>
          <w:rFonts w:cs="Calibri"/>
        </w:rPr>
        <w:t>contingent upon competitiveness</w:t>
      </w:r>
      <w:r>
        <w:rPr>
          <w:rFonts w:cs="Calibri"/>
        </w:rPr>
        <w:t xml:space="preserve"> of the auction.  </w:t>
      </w:r>
    </w:p>
  </w:footnote>
  <w:footnote w:id="194">
    <w:p w:rsidR="00FE4663" w:rsidRDefault="00FE4663" w:rsidP="005A1C76">
      <w:pPr>
        <w:pStyle w:val="FootnoteText"/>
      </w:pPr>
      <w:r>
        <w:rPr>
          <w:rStyle w:val="FootnoteReference"/>
        </w:rPr>
        <w:footnoteRef/>
      </w:r>
      <w:r>
        <w:t xml:space="preserve"> 47 C.F.R. § 1.2105(c)(1).  </w:t>
      </w:r>
      <w:r w:rsidRPr="00206CE7">
        <w:rPr>
          <w:i/>
        </w:rPr>
        <w:t>See</w:t>
      </w:r>
      <w:r w:rsidRPr="00206CE7">
        <w:t xml:space="preserve"> Section I.C.2. “Prohibited</w:t>
      </w:r>
      <w:r>
        <w:t xml:space="preserve"> Communications and Compliance with Antitrust Laws,” above.</w:t>
      </w:r>
    </w:p>
  </w:footnote>
  <w:footnote w:id="195">
    <w:p w:rsidR="00FE4663" w:rsidRDefault="00FE4663" w:rsidP="005A1C76">
      <w:pPr>
        <w:pStyle w:val="FootnoteText"/>
      </w:pPr>
      <w:r>
        <w:rPr>
          <w:rStyle w:val="FootnoteReference"/>
        </w:rPr>
        <w:footnoteRef/>
      </w:r>
      <w:r>
        <w:t xml:space="preserve"> For purposes of section 1.2105(c), the term “applicant” includes all controlling interests, all parties with ownership interests greater than ten percent and all officers and directors of the applicant.  47 C.F.R. § 1.2105(c)(7).</w:t>
      </w:r>
    </w:p>
  </w:footnote>
  <w:footnote w:id="196">
    <w:p w:rsidR="00FE4663" w:rsidRDefault="00FE4663" w:rsidP="005A1C76">
      <w:pPr>
        <w:pStyle w:val="FootnoteText"/>
      </w:pPr>
      <w:r>
        <w:rPr>
          <w:rStyle w:val="FootnoteReference"/>
        </w:rPr>
        <w:footnoteRef/>
      </w:r>
      <w:r>
        <w:t xml:space="preserve"> 47 C.F.R. § 1.2109(d).</w:t>
      </w:r>
    </w:p>
  </w:footnote>
  <w:footnote w:id="197">
    <w:p w:rsidR="00FE4663" w:rsidRDefault="00FE4663" w:rsidP="005A1C76">
      <w:pPr>
        <w:pStyle w:val="FootnoteText"/>
      </w:pPr>
      <w:r>
        <w:rPr>
          <w:rStyle w:val="FootnoteReference"/>
        </w:rPr>
        <w:footnoteRef/>
      </w:r>
      <w:r>
        <w:t xml:space="preserve"> The Bureau has previously warned Auction 73 applicants that such disclosures could violate the Commission’s rules.  </w:t>
      </w:r>
      <w:r>
        <w:rPr>
          <w:i/>
        </w:rPr>
        <w:t xml:space="preserve">See </w:t>
      </w:r>
      <w:r w:rsidRPr="00F6658A">
        <w:t xml:space="preserve">Wireless Telecommunications Bureau Reminds 700 MHz Auction Applicants of Confidential Nature of Upfront Payment and Other Bidding-Related Information, </w:t>
      </w:r>
      <w:r w:rsidRPr="00F6658A">
        <w:rPr>
          <w:i/>
        </w:rPr>
        <w:t>Public Notice</w:t>
      </w:r>
      <w:r w:rsidRPr="00F6658A">
        <w:t>, DA 08-13, 23 FCC Rcd 18 (2008).</w:t>
      </w:r>
    </w:p>
  </w:footnote>
  <w:footnote w:id="198">
    <w:p w:rsidR="00FE4663" w:rsidRDefault="00FE4663">
      <w:pPr>
        <w:pStyle w:val="FootnoteText"/>
      </w:pPr>
      <w:r>
        <w:rPr>
          <w:rStyle w:val="FootnoteReference"/>
        </w:rPr>
        <w:footnoteRef/>
      </w:r>
      <w:r>
        <w:t xml:space="preserve"> </w:t>
      </w:r>
      <w:r>
        <w:rPr>
          <w:i/>
        </w:rPr>
        <w:t xml:space="preserve">See </w:t>
      </w:r>
      <w:r>
        <w:t>US Cellular Comments at 5, 21-22; US Cellular Reply Comments at 29.</w:t>
      </w:r>
    </w:p>
  </w:footnote>
  <w:footnote w:id="199">
    <w:p w:rsidR="00FE4663" w:rsidRPr="00EF267B" w:rsidRDefault="00FE4663">
      <w:pPr>
        <w:pStyle w:val="FootnoteText"/>
      </w:pPr>
      <w:r>
        <w:rPr>
          <w:rStyle w:val="FootnoteReference"/>
        </w:rPr>
        <w:footnoteRef/>
      </w:r>
      <w:r>
        <w:t xml:space="preserve"> </w:t>
      </w:r>
      <w:r>
        <w:rPr>
          <w:i/>
        </w:rPr>
        <w:t>Id</w:t>
      </w:r>
      <w:r>
        <w:t>.</w:t>
      </w:r>
    </w:p>
  </w:footnote>
  <w:footnote w:id="200">
    <w:p w:rsidR="00FE4663" w:rsidRPr="00065CA4" w:rsidRDefault="00FE4663">
      <w:pPr>
        <w:pStyle w:val="FootnoteText"/>
        <w:rPr>
          <w:i/>
        </w:rPr>
      </w:pPr>
      <w:r>
        <w:rPr>
          <w:rStyle w:val="FootnoteReference"/>
        </w:rPr>
        <w:footnoteRef/>
      </w:r>
      <w:r>
        <w:t xml:space="preserve"> </w:t>
      </w:r>
      <w:r>
        <w:rPr>
          <w:i/>
        </w:rPr>
        <w:t>See Auction 66 Procedures Public Notice</w:t>
      </w:r>
      <w:r>
        <w:t xml:space="preserve">, </w:t>
      </w:r>
      <w:r w:rsidRPr="00916822">
        <w:rPr>
          <w:color w:val="000000"/>
        </w:rPr>
        <w:t xml:space="preserve">21 FCC Rcd </w:t>
      </w:r>
      <w:r>
        <w:t>at 4606 ¶ 159.</w:t>
      </w:r>
      <w:r>
        <w:rPr>
          <w:i/>
        </w:rPr>
        <w:t xml:space="preserve"> </w:t>
      </w:r>
    </w:p>
  </w:footnote>
  <w:footnote w:id="201">
    <w:p w:rsidR="00FE4663" w:rsidRPr="00206CE7" w:rsidRDefault="00FE4663" w:rsidP="0083488E">
      <w:pPr>
        <w:pStyle w:val="FootnoteText"/>
      </w:pPr>
      <w:r w:rsidRPr="00603F6F">
        <w:rPr>
          <w:rStyle w:val="FootnoteReference"/>
          <w:sz w:val="20"/>
        </w:rPr>
        <w:footnoteRef/>
      </w:r>
      <w:r w:rsidRPr="00603F6F">
        <w:t xml:space="preserve"> </w:t>
      </w:r>
      <w:r w:rsidRPr="00206CE7">
        <w:rPr>
          <w:i/>
        </w:rPr>
        <w:t xml:space="preserve">See </w:t>
      </w:r>
      <w:r w:rsidRPr="00206CE7">
        <w:t>Section III.D.3. “Upfront Payments and Bidding Eligibility,” above.</w:t>
      </w:r>
    </w:p>
  </w:footnote>
  <w:footnote w:id="202">
    <w:p w:rsidR="00FE4663" w:rsidRPr="0023256E" w:rsidRDefault="00FE4663" w:rsidP="00E65BD2">
      <w:pPr>
        <w:pStyle w:val="FootnoteText"/>
        <w:rPr>
          <w:i/>
        </w:rPr>
      </w:pPr>
      <w:r w:rsidRPr="00206CE7">
        <w:rPr>
          <w:rStyle w:val="FootnoteReference"/>
          <w:sz w:val="20"/>
        </w:rPr>
        <w:footnoteRef/>
      </w:r>
      <w:r w:rsidRPr="00206CE7">
        <w:t xml:space="preserve"> Provisionally winning bids are bids that would become final winning bids if the auction were to close after the given round.  </w:t>
      </w:r>
      <w:r w:rsidRPr="00206CE7">
        <w:rPr>
          <w:i/>
        </w:rPr>
        <w:t>See</w:t>
      </w:r>
      <w:r w:rsidRPr="00206CE7">
        <w:t xml:space="preserve"> Section IV.B.4. “</w:t>
      </w:r>
      <w:r w:rsidRPr="0023256E">
        <w:t>Provisionally Winning Bids,” below</w:t>
      </w:r>
      <w:r w:rsidRPr="0023256E">
        <w:rPr>
          <w:i/>
        </w:rPr>
        <w:t xml:space="preserve">.  </w:t>
      </w:r>
    </w:p>
  </w:footnote>
  <w:footnote w:id="203">
    <w:p w:rsidR="00FE4663" w:rsidRDefault="00FE4663" w:rsidP="00A81516">
      <w:pPr>
        <w:pStyle w:val="FootnoteText"/>
      </w:pPr>
      <w:r>
        <w:rPr>
          <w:rStyle w:val="FootnoteReference"/>
        </w:rPr>
        <w:footnoteRef/>
      </w:r>
      <w:r>
        <w:t xml:space="preserve"> </w:t>
      </w:r>
      <w:r w:rsidRPr="00A34F95">
        <w:rPr>
          <w:i/>
        </w:rPr>
        <w:t>See</w:t>
      </w:r>
      <w:r w:rsidRPr="00A34F95">
        <w:t xml:space="preserve"> Section IV.A.6.</w:t>
      </w:r>
      <w:r w:rsidRPr="00A34F95">
        <w:rPr>
          <w:i/>
        </w:rPr>
        <w:t xml:space="preserve"> </w:t>
      </w:r>
      <w:r w:rsidRPr="00A34F95">
        <w:t>“Activity</w:t>
      </w:r>
      <w:r>
        <w:t xml:space="preserve"> Rule Waivers,” below.</w:t>
      </w:r>
    </w:p>
  </w:footnote>
  <w:footnote w:id="204">
    <w:p w:rsidR="00FE4663" w:rsidRDefault="00FE4663" w:rsidP="00FC576C">
      <w:pPr>
        <w:pStyle w:val="FootnoteText"/>
      </w:pPr>
      <w:r>
        <w:rPr>
          <w:rStyle w:val="FootnoteReference"/>
        </w:rPr>
        <w:footnoteRef/>
      </w:r>
      <w:r>
        <w:t xml:space="preserve"> </w:t>
      </w:r>
      <w:r>
        <w:rPr>
          <w:rStyle w:val="FootnoteTextCharCharCharChar3CharCharChar1"/>
          <w:i/>
        </w:rPr>
        <w:t xml:space="preserve">Auction 96 Comment </w:t>
      </w:r>
      <w:r>
        <w:rPr>
          <w:i/>
        </w:rPr>
        <w:t>Public Notice</w:t>
      </w:r>
      <w:r>
        <w:t>, 28 FCC Rcd at 10023-24 ¶¶ 40-42.</w:t>
      </w:r>
    </w:p>
  </w:footnote>
  <w:footnote w:id="205">
    <w:p w:rsidR="00FE4663" w:rsidRDefault="00FE4663">
      <w:pPr>
        <w:pStyle w:val="FootnoteText"/>
      </w:pPr>
      <w:r>
        <w:rPr>
          <w:rStyle w:val="FootnoteReference"/>
        </w:rPr>
        <w:footnoteRef/>
      </w:r>
      <w:r>
        <w:t xml:space="preserve"> </w:t>
      </w:r>
      <w:r>
        <w:rPr>
          <w:i/>
        </w:rPr>
        <w:t>See</w:t>
      </w:r>
      <w:r>
        <w:t xml:space="preserve"> note 16</w:t>
      </w:r>
      <w:r w:rsidR="002F2094">
        <w:t>7</w:t>
      </w:r>
      <w:r>
        <w:t xml:space="preserve">, </w:t>
      </w:r>
      <w:r w:rsidRPr="00223DBC">
        <w:t xml:space="preserve">above </w:t>
      </w:r>
    </w:p>
  </w:footnote>
  <w:footnote w:id="206">
    <w:p w:rsidR="00FE4663" w:rsidRDefault="00FE4663" w:rsidP="00FC576C">
      <w:pPr>
        <w:pStyle w:val="FootnoteText"/>
      </w:pPr>
      <w:r>
        <w:rPr>
          <w:rStyle w:val="FootnoteReference"/>
        </w:rPr>
        <w:footnoteRef/>
      </w:r>
      <w:r>
        <w:t xml:space="preserve"> </w:t>
      </w:r>
      <w:r>
        <w:rPr>
          <w:rStyle w:val="FootnoteTextCharCharCharChar3CharCharChar1"/>
          <w:i/>
        </w:rPr>
        <w:t xml:space="preserve">Auction 96 Comment </w:t>
      </w:r>
      <w:r>
        <w:rPr>
          <w:i/>
        </w:rPr>
        <w:t>Public Notice</w:t>
      </w:r>
      <w:r>
        <w:t xml:space="preserve">, 28 FCC Rcd at 10024 ¶¶ </w:t>
      </w:r>
      <w:r w:rsidRPr="00510C4B">
        <w:t>41-42.</w:t>
      </w:r>
    </w:p>
  </w:footnote>
  <w:footnote w:id="207">
    <w:p w:rsidR="00FE4663" w:rsidRDefault="00FE4663" w:rsidP="00FC576C">
      <w:pPr>
        <w:pStyle w:val="FootnoteText"/>
      </w:pPr>
      <w:r>
        <w:rPr>
          <w:rStyle w:val="FootnoteReference"/>
        </w:rPr>
        <w:footnoteRef/>
      </w:r>
      <w:r>
        <w:t xml:space="preserve"> If the Bureau implements stages with activity requirements other than the ones listed above, a bidder’s reduced eligibility for the next round will be calculated by multiplying the bidder’s current round activity by the reciprocal of the activity requirement.  For example, with a 98 percent activity requirement, the bidder’s current round activity would be multiplied by 50/49; with a 100 percent activity requirement, the bidder’s current round activity would become its bidding eligibility (current round activity would be multiplied by 1/1).</w:t>
      </w:r>
    </w:p>
  </w:footnote>
  <w:footnote w:id="208">
    <w:p w:rsidR="00FE4663" w:rsidRDefault="00FE4663">
      <w:pPr>
        <w:pStyle w:val="FootnoteText"/>
      </w:pPr>
      <w:r>
        <w:rPr>
          <w:rStyle w:val="FootnoteReference"/>
        </w:rPr>
        <w:footnoteRef/>
      </w:r>
      <w:r>
        <w:t xml:space="preserve"> </w:t>
      </w:r>
      <w:r>
        <w:rPr>
          <w:i/>
        </w:rPr>
        <w:t>See</w:t>
      </w:r>
      <w:r>
        <w:t xml:space="preserve"> note 16</w:t>
      </w:r>
      <w:r w:rsidR="002F2094">
        <w:t>7</w:t>
      </w:r>
      <w:r>
        <w:t xml:space="preserve">, </w:t>
      </w:r>
      <w:r w:rsidRPr="00223DBC">
        <w:t>above.</w:t>
      </w:r>
    </w:p>
  </w:footnote>
  <w:footnote w:id="209">
    <w:p w:rsidR="00FE4663" w:rsidRDefault="00FE4663" w:rsidP="00FC576C">
      <w:pPr>
        <w:pStyle w:val="FootnoteText"/>
      </w:pPr>
      <w:r w:rsidRPr="00686FC6">
        <w:rPr>
          <w:rStyle w:val="FootnoteReference"/>
        </w:rPr>
        <w:footnoteRef/>
      </w:r>
      <w:r w:rsidRPr="00686FC6">
        <w:t xml:space="preserve"> The stage of the auction does not affect the auction stopping rules; the auction may conclude in Stage One.  </w:t>
      </w:r>
      <w:r w:rsidRPr="00686FC6">
        <w:rPr>
          <w:i/>
        </w:rPr>
        <w:t xml:space="preserve">See </w:t>
      </w:r>
      <w:r w:rsidRPr="00A34F95">
        <w:t>Section IV.A.7. “Auction</w:t>
      </w:r>
      <w:r>
        <w:t xml:space="preserve"> Stopping Rules,” below.</w:t>
      </w:r>
    </w:p>
  </w:footnote>
  <w:footnote w:id="210">
    <w:p w:rsidR="00FE4663" w:rsidRDefault="00FE4663" w:rsidP="00FC576C">
      <w:pPr>
        <w:pStyle w:val="FootnoteText"/>
      </w:pPr>
      <w:r>
        <w:rPr>
          <w:rStyle w:val="FootnoteReference"/>
        </w:rPr>
        <w:footnoteRef/>
      </w:r>
      <w:r>
        <w:t xml:space="preserve"> For example, when monitoring activity to determine when to change stages, the Bureau may consider the percentage of bidding units of the licenses receiving new provisionally winning bids, excluding any FCC-held licenses.  In past auctions, the Bureau has generally — but not always — changed stages when this measure was approximately twenty percent or below for three consecutive rounds of bidding.</w:t>
      </w:r>
    </w:p>
  </w:footnote>
  <w:footnote w:id="211">
    <w:p w:rsidR="00FE4663" w:rsidRPr="00915E0F" w:rsidRDefault="00FE4663" w:rsidP="0083488E">
      <w:pPr>
        <w:pStyle w:val="FootnoteText"/>
      </w:pPr>
      <w:r w:rsidRPr="00915E0F">
        <w:rPr>
          <w:rStyle w:val="FootnoteReference"/>
          <w:sz w:val="20"/>
        </w:rPr>
        <w:footnoteRef/>
      </w:r>
      <w:r w:rsidRPr="00915E0F">
        <w:t xml:space="preserve"> </w:t>
      </w:r>
      <w:r w:rsidRPr="00915E0F">
        <w:rPr>
          <w:rStyle w:val="FootnoteTextCharCharCharChar3CharCharChar1"/>
          <w:i/>
        </w:rPr>
        <w:t xml:space="preserve">Auction </w:t>
      </w:r>
      <w:r>
        <w:rPr>
          <w:rStyle w:val="FootnoteTextCharCharCharChar3CharCharChar1"/>
          <w:i/>
        </w:rPr>
        <w:t>96</w:t>
      </w:r>
      <w:r w:rsidRPr="00915E0F">
        <w:rPr>
          <w:rStyle w:val="FootnoteTextCharCharCharChar3CharCharChar1"/>
          <w:i/>
        </w:rPr>
        <w:t xml:space="preserve"> Comment </w:t>
      </w:r>
      <w:r w:rsidRPr="00915E0F">
        <w:rPr>
          <w:i/>
        </w:rPr>
        <w:t xml:space="preserve">Public </w:t>
      </w:r>
      <w:r w:rsidRPr="00DF7948">
        <w:rPr>
          <w:i/>
        </w:rPr>
        <w:t>Notice</w:t>
      </w:r>
      <w:r>
        <w:t>, 28 FCC Rcd</w:t>
      </w:r>
      <w:r w:rsidRPr="00DF7948">
        <w:t xml:space="preserve"> </w:t>
      </w:r>
      <w:r w:rsidRPr="0023256E">
        <w:t xml:space="preserve">at </w:t>
      </w:r>
      <w:r>
        <w:t xml:space="preserve">10025 </w:t>
      </w:r>
      <w:r w:rsidRPr="0023256E">
        <w:t xml:space="preserve">¶ </w:t>
      </w:r>
      <w:r>
        <w:t>48</w:t>
      </w:r>
      <w:r w:rsidRPr="0023256E">
        <w:t>.</w:t>
      </w:r>
    </w:p>
  </w:footnote>
  <w:footnote w:id="212">
    <w:p w:rsidR="00FE4663" w:rsidRDefault="00FE4663">
      <w:pPr>
        <w:pStyle w:val="FootnoteText"/>
      </w:pPr>
      <w:r>
        <w:rPr>
          <w:rStyle w:val="FootnoteReference"/>
        </w:rPr>
        <w:footnoteRef/>
      </w:r>
      <w:r>
        <w:t xml:space="preserve"> </w:t>
      </w:r>
      <w:r>
        <w:rPr>
          <w:i/>
        </w:rPr>
        <w:t>See</w:t>
      </w:r>
      <w:r>
        <w:t xml:space="preserve"> note 16</w:t>
      </w:r>
      <w:r w:rsidR="002F2094">
        <w:t>7</w:t>
      </w:r>
      <w:r>
        <w:t xml:space="preserve">, </w:t>
      </w:r>
      <w:r w:rsidRPr="00223DBC">
        <w:t>above.</w:t>
      </w:r>
    </w:p>
  </w:footnote>
  <w:footnote w:id="213">
    <w:p w:rsidR="00FE4663" w:rsidRPr="00915E0F" w:rsidRDefault="00FE4663" w:rsidP="00447416">
      <w:pPr>
        <w:pStyle w:val="FootnoteText"/>
      </w:pPr>
      <w:r w:rsidRPr="00915E0F">
        <w:rPr>
          <w:rStyle w:val="FootnoteReference"/>
          <w:sz w:val="20"/>
        </w:rPr>
        <w:footnoteRef/>
      </w:r>
      <w:r w:rsidRPr="00915E0F">
        <w:t xml:space="preserve"> </w:t>
      </w:r>
      <w:r w:rsidRPr="00915E0F">
        <w:rPr>
          <w:rStyle w:val="FootnoteTextCharCharCharChar3CharCharChar1"/>
          <w:i/>
        </w:rPr>
        <w:t xml:space="preserve">Auction </w:t>
      </w:r>
      <w:r>
        <w:rPr>
          <w:rStyle w:val="FootnoteTextCharCharCharChar3CharCharChar1"/>
          <w:i/>
        </w:rPr>
        <w:t>96</w:t>
      </w:r>
      <w:r w:rsidRPr="00915E0F">
        <w:rPr>
          <w:rStyle w:val="FootnoteTextCharCharCharChar3CharCharChar1"/>
          <w:i/>
        </w:rPr>
        <w:t xml:space="preserve"> Comment </w:t>
      </w:r>
      <w:r w:rsidRPr="00915E0F">
        <w:rPr>
          <w:i/>
        </w:rPr>
        <w:t xml:space="preserve">Public </w:t>
      </w:r>
      <w:r w:rsidRPr="0023256E">
        <w:rPr>
          <w:i/>
        </w:rPr>
        <w:t>Notice</w:t>
      </w:r>
      <w:r>
        <w:t>, 28 FCC Rcd</w:t>
      </w:r>
      <w:r w:rsidRPr="0023256E">
        <w:t xml:space="preserve"> at </w:t>
      </w:r>
      <w:r>
        <w:t xml:space="preserve">10021-22 </w:t>
      </w:r>
      <w:r w:rsidRPr="0023256E">
        <w:t>¶¶</w:t>
      </w:r>
      <w:r>
        <w:t xml:space="preserve"> 33-34</w:t>
      </w:r>
      <w:r w:rsidRPr="0023256E">
        <w:t>.</w:t>
      </w:r>
      <w:r w:rsidRPr="00915E0F">
        <w:t xml:space="preserve"> </w:t>
      </w:r>
    </w:p>
  </w:footnote>
  <w:footnote w:id="214">
    <w:p w:rsidR="00FE4663" w:rsidRPr="00915E0F" w:rsidRDefault="00FE4663" w:rsidP="0083488E">
      <w:pPr>
        <w:pStyle w:val="FootnoteText"/>
      </w:pPr>
      <w:r w:rsidRPr="00915E0F">
        <w:rPr>
          <w:rStyle w:val="FootnoteReference"/>
          <w:sz w:val="20"/>
        </w:rPr>
        <w:footnoteRef/>
      </w:r>
      <w:r w:rsidR="009E4684">
        <w:rPr>
          <w:i/>
        </w:rPr>
        <w:t xml:space="preserve"> </w:t>
      </w:r>
      <w:r w:rsidRPr="00447416">
        <w:rPr>
          <w:i/>
        </w:rPr>
        <w:t>Id</w:t>
      </w:r>
      <w:r w:rsidRPr="0023256E">
        <w:t>.</w:t>
      </w:r>
      <w:r w:rsidRPr="00915E0F">
        <w:t xml:space="preserve"> </w:t>
      </w:r>
    </w:p>
  </w:footnote>
  <w:footnote w:id="215">
    <w:p w:rsidR="00FE4663" w:rsidRPr="00915E0F" w:rsidRDefault="00FE4663" w:rsidP="0083488E">
      <w:pPr>
        <w:pStyle w:val="FootnoteText"/>
      </w:pPr>
      <w:r w:rsidRPr="00915E0F">
        <w:rPr>
          <w:rStyle w:val="FootnoteReference"/>
          <w:sz w:val="20"/>
        </w:rPr>
        <w:footnoteRef/>
      </w:r>
      <w:r w:rsidRPr="00915E0F">
        <w:t xml:space="preserve"> </w:t>
      </w:r>
      <w:r w:rsidRPr="00915E0F">
        <w:rPr>
          <w:i/>
        </w:rPr>
        <w:t>I</w:t>
      </w:r>
      <w:r>
        <w:rPr>
          <w:i/>
        </w:rPr>
        <w:t>d</w:t>
      </w:r>
      <w:r w:rsidRPr="005E52E0">
        <w:t xml:space="preserve">. </w:t>
      </w:r>
      <w:r w:rsidRPr="00115DCF">
        <w:t xml:space="preserve">at </w:t>
      </w:r>
      <w:r>
        <w:t xml:space="preserve">10022 </w:t>
      </w:r>
      <w:r w:rsidRPr="00115DCF">
        <w:t xml:space="preserve">¶ </w:t>
      </w:r>
      <w:r>
        <w:t>35</w:t>
      </w:r>
      <w:r w:rsidRPr="00115DCF">
        <w:t>.</w:t>
      </w:r>
    </w:p>
  </w:footnote>
  <w:footnote w:id="216">
    <w:p w:rsidR="00FE4663" w:rsidRPr="00915E0F" w:rsidRDefault="00FE4663" w:rsidP="0083488E">
      <w:pPr>
        <w:pStyle w:val="FootnoteText"/>
      </w:pPr>
      <w:r w:rsidRPr="0004248F">
        <w:rPr>
          <w:rStyle w:val="FootnoteReference"/>
          <w:sz w:val="20"/>
        </w:rPr>
        <w:footnoteRef/>
      </w:r>
      <w:r w:rsidRPr="0004248F">
        <w:t xml:space="preserve"> </w:t>
      </w:r>
      <w:r w:rsidRPr="0004248F">
        <w:rPr>
          <w:i/>
        </w:rPr>
        <w:t>Id</w:t>
      </w:r>
      <w:r w:rsidRPr="0004248F">
        <w:t>.</w:t>
      </w:r>
    </w:p>
  </w:footnote>
  <w:footnote w:id="217">
    <w:p w:rsidR="00FE4663" w:rsidRDefault="00FE4663" w:rsidP="0083488E">
      <w:pPr>
        <w:pStyle w:val="FootnoteText"/>
      </w:pPr>
      <w:r w:rsidRPr="00F27021">
        <w:rPr>
          <w:rStyle w:val="FootnoteReference"/>
          <w:sz w:val="20"/>
        </w:rPr>
        <w:footnoteRef/>
      </w:r>
      <w:r>
        <w:t xml:space="preserve"> </w:t>
      </w:r>
      <w:r>
        <w:rPr>
          <w:i/>
        </w:rPr>
        <w:t>Id.</w:t>
      </w:r>
    </w:p>
  </w:footnote>
  <w:footnote w:id="218">
    <w:p w:rsidR="00FE4663" w:rsidRDefault="00FE4663">
      <w:pPr>
        <w:pStyle w:val="FootnoteText"/>
      </w:pPr>
      <w:r>
        <w:rPr>
          <w:rStyle w:val="FootnoteReference"/>
        </w:rPr>
        <w:footnoteRef/>
      </w:r>
      <w:r>
        <w:t xml:space="preserve"> </w:t>
      </w:r>
      <w:r>
        <w:rPr>
          <w:i/>
        </w:rPr>
        <w:t xml:space="preserve">See </w:t>
      </w:r>
      <w:r>
        <w:t xml:space="preserve">Sprint Comments at 11.  </w:t>
      </w:r>
    </w:p>
  </w:footnote>
  <w:footnote w:id="219">
    <w:p w:rsidR="00FE4663" w:rsidRPr="00915E0F" w:rsidRDefault="00FE4663" w:rsidP="0083488E">
      <w:pPr>
        <w:pStyle w:val="FootnoteText"/>
      </w:pPr>
      <w:r w:rsidRPr="00915E0F">
        <w:rPr>
          <w:rStyle w:val="FootnoteReference"/>
          <w:sz w:val="20"/>
        </w:rPr>
        <w:footnoteRef/>
      </w:r>
      <w:r w:rsidRPr="00915E0F">
        <w:t xml:space="preserve"> </w:t>
      </w:r>
      <w:r>
        <w:rPr>
          <w:i/>
        </w:rPr>
        <w:t>See Auction 96 Procedures Public Notice</w:t>
      </w:r>
      <w:r>
        <w:t>, 28 FCC Rcd</w:t>
      </w:r>
      <w:r w:rsidRPr="00915E0F">
        <w:rPr>
          <w:i/>
        </w:rPr>
        <w:t xml:space="preserve"> </w:t>
      </w:r>
      <w:r w:rsidRPr="00115DCF">
        <w:t>at</w:t>
      </w:r>
      <w:r>
        <w:t xml:space="preserve"> 10022 ¶ 36</w:t>
      </w:r>
      <w:r w:rsidRPr="00115DCF">
        <w:t>.</w:t>
      </w:r>
    </w:p>
  </w:footnote>
  <w:footnote w:id="220">
    <w:p w:rsidR="00FE4663" w:rsidRDefault="00FE4663">
      <w:pPr>
        <w:pStyle w:val="FootnoteText"/>
      </w:pPr>
      <w:r>
        <w:rPr>
          <w:rStyle w:val="FootnoteReference"/>
        </w:rPr>
        <w:footnoteRef/>
      </w:r>
      <w:r>
        <w:t xml:space="preserve"> </w:t>
      </w:r>
      <w:r>
        <w:rPr>
          <w:i/>
        </w:rPr>
        <w:t>See</w:t>
      </w:r>
      <w:r>
        <w:t xml:space="preserve"> note 16</w:t>
      </w:r>
      <w:r w:rsidR="002F2094">
        <w:t>7</w:t>
      </w:r>
      <w:r>
        <w:t xml:space="preserve">, </w:t>
      </w:r>
      <w:r w:rsidRPr="00223DBC">
        <w:t>above.</w:t>
      </w:r>
    </w:p>
  </w:footnote>
  <w:footnote w:id="221">
    <w:p w:rsidR="00FE4663" w:rsidRPr="00915E0F" w:rsidRDefault="00FE4663" w:rsidP="0083488E">
      <w:pPr>
        <w:pStyle w:val="FootnoteText"/>
      </w:pPr>
      <w:r w:rsidRPr="00915E0F">
        <w:rPr>
          <w:rStyle w:val="FootnoteReference"/>
          <w:sz w:val="20"/>
        </w:rPr>
        <w:footnoteRef/>
      </w:r>
      <w:r w:rsidRPr="00915E0F">
        <w:t xml:space="preserve"> 47 U.S.C. § 309(j)(4)(F).</w:t>
      </w:r>
    </w:p>
  </w:footnote>
  <w:footnote w:id="222">
    <w:p w:rsidR="00FE4663" w:rsidRPr="00915E0F" w:rsidRDefault="00FE4663" w:rsidP="0083488E">
      <w:pPr>
        <w:pStyle w:val="FootnoteText"/>
      </w:pPr>
      <w:r w:rsidRPr="001F60FA">
        <w:rPr>
          <w:rStyle w:val="FootnoteReference"/>
          <w:sz w:val="20"/>
        </w:rPr>
        <w:footnoteRef/>
      </w:r>
      <w:r w:rsidRPr="001F60FA">
        <w:t xml:space="preserve"> </w:t>
      </w:r>
      <w:r w:rsidRPr="001F60FA">
        <w:rPr>
          <w:i/>
        </w:rPr>
        <w:t>Part 1 Third Report and Order</w:t>
      </w:r>
      <w:r w:rsidRPr="001F60FA">
        <w:t>, FCC 97-413, 13 FCC Rcd at 455-56 ¶ 141.</w:t>
      </w:r>
    </w:p>
  </w:footnote>
  <w:footnote w:id="223">
    <w:p w:rsidR="00FE4663" w:rsidRPr="00915E0F" w:rsidRDefault="00FE4663" w:rsidP="0083488E">
      <w:pPr>
        <w:pStyle w:val="FootnoteText"/>
      </w:pPr>
      <w:r w:rsidRPr="00915E0F">
        <w:rPr>
          <w:rStyle w:val="FootnoteReference"/>
          <w:sz w:val="20"/>
        </w:rPr>
        <w:footnoteRef/>
      </w:r>
      <w:r w:rsidRPr="00915E0F">
        <w:t xml:space="preserve"> </w:t>
      </w:r>
      <w:r w:rsidRPr="00915E0F">
        <w:rPr>
          <w:i/>
        </w:rPr>
        <w:t>Id</w:t>
      </w:r>
      <w:r w:rsidRPr="00915E0F">
        <w:t>.</w:t>
      </w:r>
    </w:p>
  </w:footnote>
  <w:footnote w:id="224">
    <w:p w:rsidR="00FE4663" w:rsidRPr="00915E0F" w:rsidRDefault="00FE4663" w:rsidP="0083488E">
      <w:pPr>
        <w:pStyle w:val="FootnoteText"/>
      </w:pPr>
      <w:r w:rsidRPr="00915E0F">
        <w:rPr>
          <w:rStyle w:val="FootnoteReference"/>
          <w:sz w:val="20"/>
        </w:rPr>
        <w:footnoteRef/>
      </w:r>
      <w:r w:rsidRPr="00915E0F">
        <w:t xml:space="preserve"> </w:t>
      </w:r>
      <w:r w:rsidRPr="00915E0F">
        <w:rPr>
          <w:i/>
        </w:rPr>
        <w:t>Id</w:t>
      </w:r>
      <w:r w:rsidRPr="00915E0F">
        <w:t>.</w:t>
      </w:r>
    </w:p>
  </w:footnote>
  <w:footnote w:id="225">
    <w:p w:rsidR="00FE4663" w:rsidRPr="00672743" w:rsidRDefault="00FE4663" w:rsidP="00D141A0">
      <w:pPr>
        <w:pStyle w:val="FootnoteText"/>
      </w:pPr>
      <w:r w:rsidRPr="00672743">
        <w:rPr>
          <w:rStyle w:val="FootnoteReference"/>
        </w:rPr>
        <w:footnoteRef/>
      </w:r>
      <w:r w:rsidRPr="00672743">
        <w:t xml:space="preserve"> 47 U.S.C. § 309(j)(3)(C).</w:t>
      </w:r>
    </w:p>
  </w:footnote>
  <w:footnote w:id="226">
    <w:p w:rsidR="00FE4663" w:rsidRDefault="00FE4663" w:rsidP="00D141A0">
      <w:pPr>
        <w:pStyle w:val="FootnoteText"/>
      </w:pPr>
      <w:r>
        <w:rPr>
          <w:rStyle w:val="FootnoteReference"/>
        </w:rPr>
        <w:footnoteRef/>
      </w:r>
      <w:r>
        <w:t xml:space="preserve"> Spectrum Act, §§ 6401(c)(4),</w:t>
      </w:r>
      <w:r w:rsidRPr="009937F5">
        <w:rPr>
          <w:szCs w:val="22"/>
        </w:rPr>
        <w:t xml:space="preserve"> 6413</w:t>
      </w:r>
      <w:r>
        <w:t xml:space="preserve">, codified at 47 U.S.C. §§ 309(j)(8)(F), 1457; </w:t>
      </w:r>
      <w:r>
        <w:rPr>
          <w:i/>
        </w:rPr>
        <w:t>see also</w:t>
      </w:r>
      <w:r>
        <w:t xml:space="preserve"> Spectrum Act, § 6202(a), codified at 47 U.S.C. § 1422(a). </w:t>
      </w:r>
    </w:p>
  </w:footnote>
  <w:footnote w:id="227">
    <w:p w:rsidR="00FE4663" w:rsidRPr="0051606A" w:rsidRDefault="00FE4663">
      <w:pPr>
        <w:pStyle w:val="FootnoteText"/>
      </w:pPr>
      <w:r>
        <w:rPr>
          <w:rStyle w:val="FootnoteReference"/>
        </w:rPr>
        <w:footnoteRef/>
      </w:r>
      <w:r>
        <w:t xml:space="preserve"> </w:t>
      </w:r>
      <w:r w:rsidRPr="001C2E9C">
        <w:rPr>
          <w:i/>
          <w:szCs w:val="22"/>
        </w:rPr>
        <w:t>Auction</w:t>
      </w:r>
      <w:r w:rsidRPr="001C2E9C" w:rsidDel="008B3F0F">
        <w:rPr>
          <w:i/>
          <w:szCs w:val="22"/>
        </w:rPr>
        <w:t xml:space="preserve"> </w:t>
      </w:r>
      <w:r>
        <w:rPr>
          <w:i/>
          <w:szCs w:val="22"/>
        </w:rPr>
        <w:t>96</w:t>
      </w:r>
      <w:r w:rsidRPr="001C2E9C">
        <w:rPr>
          <w:i/>
          <w:szCs w:val="22"/>
        </w:rPr>
        <w:t xml:space="preserve"> Comment Public Notice</w:t>
      </w:r>
      <w:r>
        <w:rPr>
          <w:szCs w:val="22"/>
        </w:rPr>
        <w:t xml:space="preserve">, 28 FCC Rcd at 10026 </w:t>
      </w:r>
      <w:r w:rsidRPr="001F60FA">
        <w:t>¶</w:t>
      </w:r>
      <w:r>
        <w:t xml:space="preserve"> 52.</w:t>
      </w:r>
    </w:p>
  </w:footnote>
  <w:footnote w:id="228">
    <w:p w:rsidR="00FE4663" w:rsidRPr="0051606A" w:rsidRDefault="00FE4663">
      <w:pPr>
        <w:pStyle w:val="FootnoteText"/>
      </w:pPr>
      <w:r>
        <w:rPr>
          <w:rStyle w:val="FootnoteReference"/>
        </w:rPr>
        <w:footnoteRef/>
      </w:r>
      <w:r>
        <w:t xml:space="preserve"> </w:t>
      </w:r>
      <w:r>
        <w:rPr>
          <w:i/>
        </w:rPr>
        <w:t>Id</w:t>
      </w:r>
      <w:r>
        <w:t xml:space="preserve">. </w:t>
      </w:r>
    </w:p>
  </w:footnote>
  <w:footnote w:id="229">
    <w:p w:rsidR="00FE4663" w:rsidRPr="00E60E6E" w:rsidRDefault="00FE4663">
      <w:pPr>
        <w:pStyle w:val="FootnoteText"/>
      </w:pPr>
      <w:r>
        <w:rPr>
          <w:rStyle w:val="FootnoteReference"/>
        </w:rPr>
        <w:footnoteRef/>
      </w:r>
      <w:r>
        <w:t xml:space="preserve"> </w:t>
      </w:r>
      <w:r>
        <w:rPr>
          <w:i/>
        </w:rPr>
        <w:t>Id</w:t>
      </w:r>
      <w:r>
        <w:t xml:space="preserve">. at </w:t>
      </w:r>
      <w:r>
        <w:rPr>
          <w:szCs w:val="22"/>
        </w:rPr>
        <w:t xml:space="preserve">10026 </w:t>
      </w:r>
      <w:r w:rsidRPr="001F60FA">
        <w:t>¶¶</w:t>
      </w:r>
      <w:r>
        <w:t xml:space="preserve"> 52-53.</w:t>
      </w:r>
    </w:p>
  </w:footnote>
  <w:footnote w:id="230">
    <w:p w:rsidR="00FE4663" w:rsidRDefault="00FE4663">
      <w:pPr>
        <w:pStyle w:val="FootnoteText"/>
      </w:pPr>
      <w:r>
        <w:rPr>
          <w:rStyle w:val="FootnoteReference"/>
        </w:rPr>
        <w:footnoteRef/>
      </w:r>
      <w:r>
        <w:t xml:space="preserve"> </w:t>
      </w:r>
      <w:r>
        <w:rPr>
          <w:i/>
        </w:rPr>
        <w:t>Id</w:t>
      </w:r>
      <w:r>
        <w:t xml:space="preserve">. at </w:t>
      </w:r>
      <w:r>
        <w:rPr>
          <w:szCs w:val="22"/>
        </w:rPr>
        <w:t xml:space="preserve">10026 </w:t>
      </w:r>
      <w:r w:rsidRPr="001F60FA">
        <w:t>¶</w:t>
      </w:r>
      <w:r>
        <w:t xml:space="preserve"> 53.</w:t>
      </w:r>
    </w:p>
  </w:footnote>
  <w:footnote w:id="231">
    <w:p w:rsidR="00FE4663" w:rsidRPr="003434AE" w:rsidRDefault="00FE4663" w:rsidP="00E170DD">
      <w:pPr>
        <w:pStyle w:val="FootnoteText"/>
      </w:pPr>
      <w:r>
        <w:rPr>
          <w:rStyle w:val="FootnoteReference"/>
        </w:rPr>
        <w:footnoteRef/>
      </w:r>
      <w:r>
        <w:t xml:space="preserve"> </w:t>
      </w:r>
      <w:r>
        <w:rPr>
          <w:i/>
        </w:rPr>
        <w:t xml:space="preserve">See </w:t>
      </w:r>
      <w:r>
        <w:t xml:space="preserve">C Spire Reply Comments at 5; Sprint Comments at 11-12; T-Mobile Comments at 6-7; DISH </w:t>
      </w:r>
      <w:r>
        <w:rPr>
          <w:i/>
        </w:rPr>
        <w:t>Ex Parte</w:t>
      </w:r>
      <w:r>
        <w:t xml:space="preserve"> at 1.</w:t>
      </w:r>
    </w:p>
  </w:footnote>
  <w:footnote w:id="232">
    <w:p w:rsidR="00FE4663" w:rsidRPr="00A55F71" w:rsidRDefault="00FE4663">
      <w:pPr>
        <w:pStyle w:val="FootnoteText"/>
      </w:pPr>
      <w:r>
        <w:rPr>
          <w:rStyle w:val="FootnoteReference"/>
        </w:rPr>
        <w:footnoteRef/>
      </w:r>
      <w:r>
        <w:t xml:space="preserve"> </w:t>
      </w:r>
      <w:r>
        <w:rPr>
          <w:i/>
        </w:rPr>
        <w:t xml:space="preserve">See </w:t>
      </w:r>
      <w:r>
        <w:t>Sprint Comments at 11-12.</w:t>
      </w:r>
    </w:p>
  </w:footnote>
  <w:footnote w:id="233">
    <w:p w:rsidR="00FE4663" w:rsidRDefault="00FE4663">
      <w:pPr>
        <w:pStyle w:val="FootnoteText"/>
      </w:pPr>
      <w:r>
        <w:rPr>
          <w:rStyle w:val="FootnoteReference"/>
        </w:rPr>
        <w:footnoteRef/>
      </w:r>
      <w:r>
        <w:t xml:space="preserve"> </w:t>
      </w:r>
      <w:r>
        <w:rPr>
          <w:i/>
        </w:rPr>
        <w:t xml:space="preserve">See </w:t>
      </w:r>
      <w:r>
        <w:t>C Spire Reply Comments at 5.  C Spire initially advocated setting minimum opening bids equal to the pre-determined reserve price for each license being auctioned (</w:t>
      </w:r>
      <w:r w:rsidRPr="00095073">
        <w:rPr>
          <w:i/>
        </w:rPr>
        <w:t>see</w:t>
      </w:r>
      <w:r>
        <w:t xml:space="preserve"> C Spire Comments at 4-5), but on reply said it was persuaded by other commenters that aggregated license reserve pricing is an equally effective alternative.  </w:t>
      </w:r>
      <w:r>
        <w:rPr>
          <w:i/>
        </w:rPr>
        <w:t xml:space="preserve">See </w:t>
      </w:r>
      <w:r>
        <w:t xml:space="preserve">C Spire Reply Comments at 5.  </w:t>
      </w:r>
    </w:p>
  </w:footnote>
  <w:footnote w:id="234">
    <w:p w:rsidR="00FE4663" w:rsidRDefault="00FE4663">
      <w:pPr>
        <w:pStyle w:val="FootnoteText"/>
      </w:pPr>
      <w:r>
        <w:rPr>
          <w:rStyle w:val="FootnoteReference"/>
        </w:rPr>
        <w:footnoteRef/>
      </w:r>
      <w:r>
        <w:t xml:space="preserve"> </w:t>
      </w:r>
      <w:r>
        <w:rPr>
          <w:i/>
        </w:rPr>
        <w:t xml:space="preserve">See </w:t>
      </w:r>
      <w:r>
        <w:t>T-Mobile Comments at 6-7.</w:t>
      </w:r>
    </w:p>
  </w:footnote>
  <w:footnote w:id="235">
    <w:p w:rsidR="00FE4663" w:rsidRDefault="00FE4663">
      <w:pPr>
        <w:pStyle w:val="FootnoteText"/>
      </w:pPr>
      <w:r>
        <w:rPr>
          <w:rStyle w:val="FootnoteReference"/>
        </w:rPr>
        <w:footnoteRef/>
      </w:r>
      <w:r>
        <w:t xml:space="preserve"> </w:t>
      </w:r>
      <w:r>
        <w:rPr>
          <w:i/>
        </w:rPr>
        <w:t xml:space="preserve">See </w:t>
      </w:r>
      <w:r>
        <w:t xml:space="preserve">DISH </w:t>
      </w:r>
      <w:r>
        <w:rPr>
          <w:i/>
        </w:rPr>
        <w:t xml:space="preserve">Ex Parte </w:t>
      </w:r>
      <w:r>
        <w:t xml:space="preserve">at 1.  </w:t>
      </w:r>
    </w:p>
  </w:footnote>
  <w:footnote w:id="236">
    <w:p w:rsidR="00FE4663" w:rsidRPr="00CB6EC3" w:rsidRDefault="00FE4663">
      <w:pPr>
        <w:pStyle w:val="FootnoteText"/>
        <w:rPr>
          <w:i/>
        </w:rPr>
      </w:pPr>
      <w:r>
        <w:rPr>
          <w:rStyle w:val="FootnoteReference"/>
        </w:rPr>
        <w:footnoteRef/>
      </w:r>
      <w:r>
        <w:t xml:space="preserve"> Specifically, DISH cites estimates from financial institutions of values for the H block spectrum that are, on average, between $0.62/</w:t>
      </w:r>
      <w:r w:rsidRPr="00AC1677">
        <w:t>MHz</w:t>
      </w:r>
      <w:r w:rsidR="00FA5EB9">
        <w:t>-</w:t>
      </w:r>
      <w:r w:rsidRPr="00AC1677">
        <w:t>pop</w:t>
      </w:r>
      <w:r>
        <w:t xml:space="preserve"> and $1.00/</w:t>
      </w:r>
      <w:r w:rsidRPr="00AC1677">
        <w:t>MHz</w:t>
      </w:r>
      <w:r w:rsidR="00FA5EB9">
        <w:t>-</w:t>
      </w:r>
      <w:r w:rsidRPr="00AC1677">
        <w:t>pop</w:t>
      </w:r>
      <w:r>
        <w:t xml:space="preserve">.  </w:t>
      </w:r>
      <w:r>
        <w:rPr>
          <w:i/>
        </w:rPr>
        <w:t xml:space="preserve">See id.  </w:t>
      </w:r>
    </w:p>
  </w:footnote>
  <w:footnote w:id="237">
    <w:p w:rsidR="00FE4663" w:rsidRDefault="00FE4663">
      <w:pPr>
        <w:pStyle w:val="FootnoteText"/>
      </w:pPr>
      <w:r>
        <w:rPr>
          <w:rStyle w:val="FootnoteReference"/>
        </w:rPr>
        <w:footnoteRef/>
      </w:r>
      <w:r>
        <w:t xml:space="preserve"> </w:t>
      </w:r>
      <w:r>
        <w:rPr>
          <w:i/>
        </w:rPr>
        <w:t xml:space="preserve">See </w:t>
      </w:r>
      <w:r>
        <w:t>Sprint Comments at 12; C Spire Reply Comments at 6.</w:t>
      </w:r>
    </w:p>
  </w:footnote>
  <w:footnote w:id="238">
    <w:p w:rsidR="00FE4663" w:rsidRPr="008F179E" w:rsidRDefault="00FE4663">
      <w:pPr>
        <w:pStyle w:val="FootnoteText"/>
      </w:pPr>
      <w:r>
        <w:rPr>
          <w:rStyle w:val="FootnoteReference"/>
        </w:rPr>
        <w:footnoteRef/>
      </w:r>
      <w:r>
        <w:t xml:space="preserve"> </w:t>
      </w:r>
      <w:r>
        <w:rPr>
          <w:i/>
        </w:rPr>
        <w:t>Id</w:t>
      </w:r>
      <w:r>
        <w:t>.</w:t>
      </w:r>
    </w:p>
  </w:footnote>
  <w:footnote w:id="239">
    <w:p w:rsidR="00FE4663" w:rsidRPr="00123056" w:rsidRDefault="00FE4663" w:rsidP="00183159">
      <w:pPr>
        <w:pStyle w:val="FootnoteText"/>
        <w:rPr>
          <w:color w:val="1F497D"/>
        </w:rPr>
      </w:pPr>
      <w:r>
        <w:rPr>
          <w:rStyle w:val="FootnoteReference"/>
        </w:rPr>
        <w:footnoteRef/>
      </w:r>
      <w:r>
        <w:t xml:space="preserve"> </w:t>
      </w:r>
      <w:r w:rsidRPr="00123056">
        <w:rPr>
          <w:snapToGrid w:val="0"/>
          <w:szCs w:val="22"/>
        </w:rPr>
        <w:t xml:space="preserve">We include withdrawn bids in our calculation </w:t>
      </w:r>
      <w:r>
        <w:rPr>
          <w:snapToGrid w:val="0"/>
          <w:szCs w:val="22"/>
        </w:rPr>
        <w:t>consistent with</w:t>
      </w:r>
      <w:r w:rsidRPr="00123056">
        <w:rPr>
          <w:snapToGrid w:val="0"/>
          <w:szCs w:val="22"/>
        </w:rPr>
        <w:t xml:space="preserve"> our bid withdrawal payment rules</w:t>
      </w:r>
      <w:r>
        <w:rPr>
          <w:snapToGrid w:val="0"/>
          <w:szCs w:val="22"/>
        </w:rPr>
        <w:t xml:space="preserve"> which</w:t>
      </w:r>
      <w:r w:rsidRPr="00123056">
        <w:rPr>
          <w:snapToGrid w:val="0"/>
          <w:szCs w:val="22"/>
        </w:rPr>
        <w:t xml:space="preserve"> ensure that the Commission ultimately is able to collect the difference between a withdrawn provisionally winning bid and the final selling price of a license, if the final price is less than the withdrawn </w:t>
      </w:r>
      <w:r w:rsidRPr="00123056">
        <w:t>provisionally</w:t>
      </w:r>
      <w:r w:rsidRPr="00123056">
        <w:rPr>
          <w:snapToGrid w:val="0"/>
          <w:szCs w:val="22"/>
        </w:rPr>
        <w:t xml:space="preserve"> winning bid. </w:t>
      </w:r>
      <w:r w:rsidRPr="0012422D">
        <w:rPr>
          <w:i/>
          <w:snapToGrid w:val="0"/>
          <w:szCs w:val="22"/>
        </w:rPr>
        <w:t>See</w:t>
      </w:r>
      <w:r>
        <w:rPr>
          <w:snapToGrid w:val="0"/>
          <w:szCs w:val="22"/>
        </w:rPr>
        <w:t xml:space="preserve"> </w:t>
      </w:r>
      <w:r>
        <w:t>Section IV.B.6</w:t>
      </w:r>
      <w:r w:rsidRPr="00A34F95">
        <w:t>. “</w:t>
      </w:r>
      <w:r>
        <w:t>Bid Removal and Bid Withdrawal</w:t>
      </w:r>
      <w:r w:rsidRPr="005E52E0">
        <w:t xml:space="preserve">,” </w:t>
      </w:r>
      <w:r>
        <w:t>below</w:t>
      </w:r>
      <w:r w:rsidRPr="00123056">
        <w:rPr>
          <w:snapToGrid w:val="0"/>
          <w:szCs w:val="22"/>
        </w:rPr>
        <w:t>.</w:t>
      </w:r>
      <w:r>
        <w:rPr>
          <w:color w:val="1F497D"/>
        </w:rPr>
        <w:t xml:space="preserve"> </w:t>
      </w:r>
    </w:p>
  </w:footnote>
  <w:footnote w:id="240">
    <w:p w:rsidR="00FE4663" w:rsidRDefault="00FE4663">
      <w:pPr>
        <w:pStyle w:val="FootnoteText"/>
      </w:pPr>
      <w:r>
        <w:rPr>
          <w:rStyle w:val="FootnoteReference"/>
        </w:rPr>
        <w:footnoteRef/>
      </w:r>
      <w:r>
        <w:t xml:space="preserve"> </w:t>
      </w:r>
      <w:r w:rsidRPr="001C2E9C">
        <w:rPr>
          <w:i/>
          <w:szCs w:val="22"/>
        </w:rPr>
        <w:t>Auction</w:t>
      </w:r>
      <w:r w:rsidRPr="001C2E9C" w:rsidDel="008B3F0F">
        <w:rPr>
          <w:i/>
          <w:szCs w:val="22"/>
        </w:rPr>
        <w:t xml:space="preserve"> </w:t>
      </w:r>
      <w:r>
        <w:rPr>
          <w:i/>
          <w:szCs w:val="22"/>
        </w:rPr>
        <w:t>96</w:t>
      </w:r>
      <w:r w:rsidRPr="001C2E9C">
        <w:rPr>
          <w:i/>
          <w:szCs w:val="22"/>
        </w:rPr>
        <w:t xml:space="preserve"> Comment Public Notice</w:t>
      </w:r>
      <w:r>
        <w:rPr>
          <w:szCs w:val="22"/>
        </w:rPr>
        <w:t xml:space="preserve">, 28 FCC Rcd at 10026-27 </w:t>
      </w:r>
      <w:r w:rsidRPr="001F60FA">
        <w:t>¶¶</w:t>
      </w:r>
      <w:r>
        <w:t xml:space="preserve"> 55-56. </w:t>
      </w:r>
    </w:p>
  </w:footnote>
  <w:footnote w:id="241">
    <w:p w:rsidR="00FE4663" w:rsidRDefault="00FE4663" w:rsidP="00D141A0">
      <w:pPr>
        <w:pStyle w:val="FootnoteText"/>
      </w:pPr>
      <w:r>
        <w:rPr>
          <w:rStyle w:val="FootnoteReference"/>
        </w:rPr>
        <w:footnoteRef/>
      </w:r>
      <w:r>
        <w:t xml:space="preserve"> </w:t>
      </w:r>
      <w:r>
        <w:rPr>
          <w:i/>
          <w:iCs/>
        </w:rPr>
        <w:t>See</w:t>
      </w:r>
      <w:r>
        <w:t xml:space="preserve">, </w:t>
      </w:r>
      <w:r>
        <w:rPr>
          <w:i/>
          <w:iCs/>
        </w:rPr>
        <w:t>e.g.</w:t>
      </w:r>
      <w:r>
        <w:t xml:space="preserve">, Auction of 800 MHz SMR Upper 10 MHz Band, Minimum Opening Bids or Reserve Prices, </w:t>
      </w:r>
      <w:r>
        <w:rPr>
          <w:i/>
          <w:iCs/>
        </w:rPr>
        <w:t>Order</w:t>
      </w:r>
      <w:r>
        <w:t xml:space="preserve">, DA 97-2147, 12 FCC Rcd 16354 (1997); Auction of the Phase II 220 MHz Service Licenses, Auction Notice and Filing Requirements for 908 Licenses Consisting of Economic Area (EA), Economic Area Grouping (EAG), and Nationwide Licenses, Scheduled for September 15, 1998, Minimum Opening Bids and Other Procedural Issues, </w:t>
      </w:r>
      <w:r>
        <w:rPr>
          <w:i/>
          <w:iCs/>
        </w:rPr>
        <w:t>Public Notice</w:t>
      </w:r>
      <w:r>
        <w:t>, DA 98-1010, 13 FCC Rcd 16445 (1998).</w:t>
      </w:r>
    </w:p>
  </w:footnote>
  <w:footnote w:id="242">
    <w:p w:rsidR="00FE4663" w:rsidRDefault="00FE4663" w:rsidP="00D141A0">
      <w:pPr>
        <w:pStyle w:val="FootnoteText"/>
      </w:pPr>
      <w:r>
        <w:rPr>
          <w:rStyle w:val="FootnoteReference"/>
          <w:sz w:val="20"/>
        </w:rPr>
        <w:footnoteRef/>
      </w:r>
      <w:r>
        <w:t xml:space="preserve"> </w:t>
      </w:r>
      <w:r w:rsidRPr="007A0F52">
        <w:rPr>
          <w:kern w:val="28"/>
        </w:rPr>
        <w:t xml:space="preserve">All population figures are from the 2010 U.S. Census, U.S. Department of Commerce, Bureau of the Census.  </w:t>
      </w:r>
      <w:r w:rsidRPr="007A0F52">
        <w:rPr>
          <w:i/>
          <w:iCs/>
          <w:kern w:val="28"/>
        </w:rPr>
        <w:t>See</w:t>
      </w:r>
      <w:r w:rsidRPr="007A0F52">
        <w:rPr>
          <w:kern w:val="28"/>
        </w:rPr>
        <w:t xml:space="preserve"> Census 2010 Summary File 1 (SF1) and </w:t>
      </w:r>
      <w:r>
        <w:rPr>
          <w:kern w:val="28"/>
        </w:rPr>
        <w:t>Island Areas: 2010 Census Summary File (</w:t>
      </w:r>
      <w:r w:rsidRPr="007A0F52">
        <w:rPr>
          <w:kern w:val="28"/>
        </w:rPr>
        <w:t>covering the U.S. Virgin Islands, Guam, the Northern Mariana Islands, and American Samoa</w:t>
      </w:r>
      <w:r>
        <w:rPr>
          <w:kern w:val="28"/>
        </w:rPr>
        <w:t>).</w:t>
      </w:r>
    </w:p>
  </w:footnote>
  <w:footnote w:id="243">
    <w:p w:rsidR="00FE4663" w:rsidRDefault="00FE4663">
      <w:pPr>
        <w:pStyle w:val="FootnoteText"/>
      </w:pPr>
      <w:r>
        <w:rPr>
          <w:rStyle w:val="FootnoteReference"/>
        </w:rPr>
        <w:footnoteRef/>
      </w:r>
      <w:r>
        <w:t xml:space="preserve">  </w:t>
      </w:r>
      <w:r>
        <w:rPr>
          <w:i/>
        </w:rPr>
        <w:t>See</w:t>
      </w:r>
      <w:r w:rsidRPr="000A4CED">
        <w:t xml:space="preserve"> Broadband Properties </w:t>
      </w:r>
      <w:r>
        <w:t>Comments at 2.</w:t>
      </w:r>
    </w:p>
  </w:footnote>
  <w:footnote w:id="244">
    <w:p w:rsidR="00FE4663" w:rsidRPr="00754EF9" w:rsidRDefault="00FE4663">
      <w:pPr>
        <w:pStyle w:val="FootnoteText"/>
      </w:pPr>
      <w:r>
        <w:rPr>
          <w:rStyle w:val="FootnoteReference"/>
        </w:rPr>
        <w:footnoteRef/>
      </w:r>
      <w:r>
        <w:t xml:space="preserve"> </w:t>
      </w:r>
      <w:r>
        <w:rPr>
          <w:i/>
        </w:rPr>
        <w:t>Id</w:t>
      </w:r>
      <w:r>
        <w:t>.</w:t>
      </w:r>
    </w:p>
  </w:footnote>
  <w:footnote w:id="245">
    <w:p w:rsidR="00FE4663" w:rsidRDefault="00FE4663">
      <w:pPr>
        <w:pStyle w:val="FootnoteText"/>
      </w:pPr>
      <w:r>
        <w:rPr>
          <w:rStyle w:val="FootnoteReference"/>
        </w:rPr>
        <w:footnoteRef/>
      </w:r>
      <w:r>
        <w:t xml:space="preserve"> </w:t>
      </w:r>
      <w:r w:rsidRPr="00F233BB">
        <w:rPr>
          <w:i/>
        </w:rPr>
        <w:t>See</w:t>
      </w:r>
      <w:r>
        <w:t xml:space="preserve"> 47 U.S.C. § 309(j)(3)(c).</w:t>
      </w:r>
    </w:p>
  </w:footnote>
  <w:footnote w:id="246">
    <w:p w:rsidR="00FE4663" w:rsidRPr="000172DA" w:rsidRDefault="00FE4663" w:rsidP="0067093E">
      <w:pPr>
        <w:pStyle w:val="FootnoteText"/>
      </w:pPr>
      <w:r>
        <w:rPr>
          <w:rStyle w:val="FootnoteReference"/>
        </w:rPr>
        <w:footnoteRef/>
      </w:r>
      <w:r>
        <w:t xml:space="preserve"> Bidders must have sufficient eligibility to place a bid on the particular license.  </w:t>
      </w:r>
      <w:r>
        <w:rPr>
          <w:i/>
        </w:rPr>
        <w:t>Se</w:t>
      </w:r>
      <w:r w:rsidRPr="00686FC6">
        <w:rPr>
          <w:i/>
        </w:rPr>
        <w:t xml:space="preserve">e </w:t>
      </w:r>
      <w:r w:rsidRPr="00115B71">
        <w:t>Section III.D.3</w:t>
      </w:r>
      <w:r w:rsidRPr="00C15957">
        <w:t xml:space="preserve"> “</w:t>
      </w:r>
      <w:r w:rsidRPr="00686FC6">
        <w:t>U</w:t>
      </w:r>
      <w:r>
        <w:t>pfront Payments and Bidding Eligibility,” above</w:t>
      </w:r>
      <w:r>
        <w:rPr>
          <w:i/>
        </w:rPr>
        <w:t>.</w:t>
      </w:r>
    </w:p>
  </w:footnote>
  <w:footnote w:id="247">
    <w:p w:rsidR="00FE4663" w:rsidRDefault="00FE4663" w:rsidP="0067093E">
      <w:pPr>
        <w:pStyle w:val="FootnoteText"/>
      </w:pPr>
      <w:r>
        <w:rPr>
          <w:rStyle w:val="FootnoteReference"/>
        </w:rPr>
        <w:footnoteRef/>
      </w:r>
      <w:r>
        <w:t xml:space="preserve"> In the event of duplicate bid amounts due to rounding, the FCC Auction System will omit the duplicates and will list fewer acceptable bid amounts for the license.</w:t>
      </w:r>
    </w:p>
  </w:footnote>
  <w:footnote w:id="248">
    <w:p w:rsidR="00FE4663" w:rsidRDefault="00FE4663">
      <w:pPr>
        <w:pStyle w:val="FootnoteText"/>
      </w:pPr>
      <w:r>
        <w:rPr>
          <w:rStyle w:val="FootnoteReference"/>
        </w:rPr>
        <w:footnoteRef/>
      </w:r>
      <w:r>
        <w:t xml:space="preserve"> </w:t>
      </w:r>
      <w:r>
        <w:rPr>
          <w:i/>
        </w:rPr>
        <w:t>See</w:t>
      </w:r>
      <w:r>
        <w:t xml:space="preserve"> note 16</w:t>
      </w:r>
      <w:r w:rsidR="002F2094">
        <w:t>7</w:t>
      </w:r>
      <w:r>
        <w:t xml:space="preserve">, </w:t>
      </w:r>
      <w:r w:rsidRPr="00223DBC">
        <w:t>above.</w:t>
      </w:r>
    </w:p>
  </w:footnote>
  <w:footnote w:id="249">
    <w:p w:rsidR="00FE4663" w:rsidRDefault="00FE4663">
      <w:pPr>
        <w:pStyle w:val="FootnoteText"/>
      </w:pPr>
      <w:r>
        <w:rPr>
          <w:rStyle w:val="FootnoteReference"/>
        </w:rPr>
        <w:footnoteRef/>
      </w:r>
      <w:r>
        <w:t xml:space="preserve"> </w:t>
      </w:r>
      <w:r>
        <w:rPr>
          <w:i/>
        </w:rPr>
        <w:t>See</w:t>
      </w:r>
      <w:r>
        <w:t xml:space="preserve"> Section IV.B.6. “Bid Removal and Bid Withdrawal,” below.</w:t>
      </w:r>
    </w:p>
  </w:footnote>
  <w:footnote w:id="250">
    <w:p w:rsidR="00FE4663" w:rsidRDefault="00FE4663" w:rsidP="00A05A29">
      <w:pPr>
        <w:pStyle w:val="FootnoteText"/>
      </w:pPr>
      <w:r>
        <w:rPr>
          <w:rStyle w:val="FootnoteReference"/>
        </w:rPr>
        <w:footnoteRef/>
      </w:r>
      <w:r>
        <w:t xml:space="preserve"> For Round 1 calculations, because there is no prior round (i.e., no round 0), the activity index from the prior round is set at 0.</w:t>
      </w:r>
    </w:p>
  </w:footnote>
  <w:footnote w:id="251">
    <w:p w:rsidR="00FE4663" w:rsidRDefault="00FE4663">
      <w:pPr>
        <w:pStyle w:val="FootnoteText"/>
      </w:pPr>
      <w:r>
        <w:rPr>
          <w:rStyle w:val="FootnoteReference"/>
        </w:rPr>
        <w:footnoteRef/>
      </w:r>
      <w:r>
        <w:t xml:space="preserve"> </w:t>
      </w:r>
      <w:r w:rsidRPr="00672743">
        <w:t xml:space="preserve">The Bureau will round the result using </w:t>
      </w:r>
      <w:r>
        <w:t>its</w:t>
      </w:r>
      <w:r w:rsidRPr="00672743">
        <w:t xml:space="preserve"> standard rounding procedures: results above $10,000 are rounded to the nearest $1,000; results below $10,000 but above $1,000 are rounded to the nearest $100; and results below $1,000 are rounded to the nearest $10</w:t>
      </w:r>
      <w:r>
        <w:t>.</w:t>
      </w:r>
    </w:p>
  </w:footnote>
  <w:footnote w:id="252">
    <w:p w:rsidR="00FE4663" w:rsidRPr="00912A0F" w:rsidRDefault="00FE4663">
      <w:pPr>
        <w:pStyle w:val="FootnoteText"/>
      </w:pPr>
      <w:r>
        <w:rPr>
          <w:rStyle w:val="FootnoteReference"/>
        </w:rPr>
        <w:footnoteRef/>
      </w:r>
      <w:r>
        <w:t xml:space="preserve"> </w:t>
      </w:r>
      <w:r>
        <w:rPr>
          <w:i/>
        </w:rPr>
        <w:t>Auction 96 Comment Public Notice</w:t>
      </w:r>
      <w:r>
        <w:t xml:space="preserve">, 28 FCC Rcd at 10028 </w:t>
      </w:r>
      <w:r w:rsidRPr="001F60FA">
        <w:t>¶</w:t>
      </w:r>
      <w:r>
        <w:t xml:space="preserve"> 64.</w:t>
      </w:r>
    </w:p>
  </w:footnote>
  <w:footnote w:id="253">
    <w:p w:rsidR="00FE4663" w:rsidRDefault="00FE4663">
      <w:pPr>
        <w:pStyle w:val="FootnoteText"/>
      </w:pPr>
      <w:r>
        <w:rPr>
          <w:rStyle w:val="FootnoteReference"/>
        </w:rPr>
        <w:footnoteRef/>
      </w:r>
      <w:r>
        <w:t xml:space="preserve"> </w:t>
      </w:r>
      <w:r>
        <w:rPr>
          <w:i/>
        </w:rPr>
        <w:t>See</w:t>
      </w:r>
      <w:r>
        <w:t xml:space="preserve"> note 16</w:t>
      </w:r>
      <w:r w:rsidR="002F2094">
        <w:t>7</w:t>
      </w:r>
      <w:r>
        <w:t xml:space="preserve">, </w:t>
      </w:r>
      <w:r w:rsidRPr="00223DBC">
        <w:t>above.</w:t>
      </w:r>
    </w:p>
  </w:footnote>
  <w:footnote w:id="254">
    <w:p w:rsidR="00FE4663" w:rsidRDefault="00FE4663">
      <w:pPr>
        <w:pStyle w:val="FootnoteText"/>
      </w:pPr>
      <w:r>
        <w:rPr>
          <w:rStyle w:val="FootnoteReference"/>
        </w:rPr>
        <w:footnoteRef/>
      </w:r>
      <w:r>
        <w:t xml:space="preserve"> </w:t>
      </w:r>
      <w:r w:rsidRPr="001C2E9C">
        <w:rPr>
          <w:i/>
          <w:szCs w:val="22"/>
        </w:rPr>
        <w:t>Auction</w:t>
      </w:r>
      <w:r w:rsidRPr="001C2E9C" w:rsidDel="008B3F0F">
        <w:rPr>
          <w:i/>
          <w:szCs w:val="22"/>
        </w:rPr>
        <w:t xml:space="preserve"> </w:t>
      </w:r>
      <w:r>
        <w:rPr>
          <w:i/>
          <w:szCs w:val="22"/>
        </w:rPr>
        <w:t>96</w:t>
      </w:r>
      <w:r w:rsidRPr="001C2E9C">
        <w:rPr>
          <w:i/>
          <w:szCs w:val="22"/>
        </w:rPr>
        <w:t xml:space="preserve"> Comment Public Notice</w:t>
      </w:r>
      <w:r>
        <w:rPr>
          <w:szCs w:val="22"/>
        </w:rPr>
        <w:t xml:space="preserve">, 28 FCC Rcd at 10028 </w:t>
      </w:r>
      <w:r w:rsidRPr="001F60FA">
        <w:t>¶</w:t>
      </w:r>
      <w:r>
        <w:t xml:space="preserve"> 65.</w:t>
      </w:r>
    </w:p>
  </w:footnote>
  <w:footnote w:id="255">
    <w:p w:rsidR="00FE4663" w:rsidRDefault="00FE4663" w:rsidP="002E31D3">
      <w:pPr>
        <w:autoSpaceDE w:val="0"/>
        <w:autoSpaceDN w:val="0"/>
        <w:adjustRightInd w:val="0"/>
        <w:spacing w:after="120"/>
        <w:rPr>
          <w:sz w:val="20"/>
        </w:rPr>
      </w:pPr>
      <w:r>
        <w:rPr>
          <w:rStyle w:val="FootnoteReference"/>
          <w:sz w:val="20"/>
        </w:rPr>
        <w:footnoteRef/>
      </w:r>
      <w:r>
        <w:rPr>
          <w:sz w:val="20"/>
        </w:rPr>
        <w:t xml:space="preserve"> </w:t>
      </w:r>
      <w:r>
        <w:rPr>
          <w:i/>
          <w:iCs/>
          <w:sz w:val="20"/>
        </w:rPr>
        <w:t>See</w:t>
      </w:r>
      <w:r>
        <w:rPr>
          <w:sz w:val="20"/>
        </w:rPr>
        <w:t xml:space="preserve"> note 246 (concerning rounding), above. </w:t>
      </w:r>
    </w:p>
  </w:footnote>
  <w:footnote w:id="256">
    <w:p w:rsidR="00FE4663" w:rsidRDefault="00FE4663">
      <w:pPr>
        <w:pStyle w:val="FootnoteText"/>
      </w:pPr>
      <w:r>
        <w:rPr>
          <w:rStyle w:val="FootnoteReference"/>
        </w:rPr>
        <w:footnoteRef/>
      </w:r>
      <w:r>
        <w:t xml:space="preserve"> </w:t>
      </w:r>
      <w:r w:rsidRPr="001C2E9C">
        <w:rPr>
          <w:i/>
          <w:szCs w:val="22"/>
        </w:rPr>
        <w:t>Auction</w:t>
      </w:r>
      <w:r w:rsidRPr="001C2E9C" w:rsidDel="008B3F0F">
        <w:rPr>
          <w:i/>
          <w:szCs w:val="22"/>
        </w:rPr>
        <w:t xml:space="preserve"> </w:t>
      </w:r>
      <w:r>
        <w:rPr>
          <w:i/>
          <w:szCs w:val="22"/>
        </w:rPr>
        <w:t>96</w:t>
      </w:r>
      <w:r w:rsidRPr="001C2E9C">
        <w:rPr>
          <w:i/>
          <w:szCs w:val="22"/>
        </w:rPr>
        <w:t xml:space="preserve"> Comment Public Notice</w:t>
      </w:r>
      <w:r>
        <w:rPr>
          <w:szCs w:val="22"/>
        </w:rPr>
        <w:t xml:space="preserve">, 28 FCC Rcd at 10029 </w:t>
      </w:r>
      <w:r w:rsidRPr="001F60FA">
        <w:t>¶</w:t>
      </w:r>
      <w:r>
        <w:t xml:space="preserve"> 66.</w:t>
      </w:r>
    </w:p>
  </w:footnote>
  <w:footnote w:id="257">
    <w:p w:rsidR="00FE4663" w:rsidRDefault="00FE4663">
      <w:pPr>
        <w:pStyle w:val="FootnoteText"/>
      </w:pPr>
      <w:r>
        <w:rPr>
          <w:rStyle w:val="FootnoteReference"/>
        </w:rPr>
        <w:footnoteRef/>
      </w:r>
      <w:r>
        <w:t xml:space="preserve"> </w:t>
      </w:r>
      <w:r>
        <w:rPr>
          <w:i/>
        </w:rPr>
        <w:t>See</w:t>
      </w:r>
      <w:r w:rsidR="002F2094">
        <w:t xml:space="preserve"> note 167</w:t>
      </w:r>
      <w:r>
        <w:t xml:space="preserve">, </w:t>
      </w:r>
      <w:r w:rsidRPr="00223DBC">
        <w:t>above.</w:t>
      </w:r>
    </w:p>
  </w:footnote>
  <w:footnote w:id="258">
    <w:p w:rsidR="00FE4663" w:rsidRDefault="00FE4663" w:rsidP="00CF0F8C">
      <w:pPr>
        <w:pStyle w:val="FootnoteText"/>
      </w:pPr>
      <w:r>
        <w:rPr>
          <w:rStyle w:val="FootnoteReference"/>
        </w:rPr>
        <w:footnoteRef/>
      </w:r>
      <w:r>
        <w:t xml:space="preserve"> </w:t>
      </w:r>
      <w:r>
        <w:rPr>
          <w:i/>
        </w:rPr>
        <w:t>See</w:t>
      </w:r>
      <w:r w:rsidR="002F2094">
        <w:t xml:space="preserve"> note 167</w:t>
      </w:r>
      <w:r>
        <w:t xml:space="preserve">, </w:t>
      </w:r>
      <w:r w:rsidRPr="00163B78">
        <w:t>above.</w:t>
      </w:r>
    </w:p>
  </w:footnote>
  <w:footnote w:id="259">
    <w:p w:rsidR="00FE4663" w:rsidRPr="00183E39" w:rsidRDefault="00FE4663" w:rsidP="0083488E">
      <w:pPr>
        <w:pStyle w:val="FootnoteText"/>
      </w:pPr>
      <w:r w:rsidRPr="00A34F95">
        <w:rPr>
          <w:rStyle w:val="FootnoteReference"/>
          <w:sz w:val="20"/>
        </w:rPr>
        <w:footnoteRef/>
      </w:r>
      <w:r w:rsidRPr="00A34F95">
        <w:rPr>
          <w:i/>
        </w:rPr>
        <w:t xml:space="preserve"> </w:t>
      </w:r>
      <w:r w:rsidRPr="00A34F95">
        <w:t>Section IV.A.3. “Eligibility</w:t>
      </w:r>
      <w:r w:rsidRPr="00603F6F">
        <w:t xml:space="preserve"> and</w:t>
      </w:r>
      <w:r w:rsidRPr="005E52E0">
        <w:t xml:space="preserve"> Activity Rules,” above.</w:t>
      </w:r>
    </w:p>
  </w:footnote>
  <w:footnote w:id="260">
    <w:p w:rsidR="00FE4663" w:rsidRPr="00183E39" w:rsidRDefault="00FE4663" w:rsidP="0083488E">
      <w:pPr>
        <w:pStyle w:val="FootnoteText"/>
      </w:pPr>
      <w:r w:rsidRPr="00183E39">
        <w:rPr>
          <w:rStyle w:val="FootnoteReference"/>
          <w:sz w:val="20"/>
        </w:rPr>
        <w:footnoteRef/>
      </w:r>
      <w:r w:rsidRPr="00183E39">
        <w:t xml:space="preserve"> </w:t>
      </w:r>
      <w:r w:rsidRPr="00183E39">
        <w:rPr>
          <w:rStyle w:val="FootnoteTextCharCharCharChar3CharCharChar1"/>
          <w:i/>
        </w:rPr>
        <w:t xml:space="preserve">Auction </w:t>
      </w:r>
      <w:r>
        <w:rPr>
          <w:rStyle w:val="FootnoteTextCharCharCharChar3CharCharChar1"/>
          <w:i/>
        </w:rPr>
        <w:t>96</w:t>
      </w:r>
      <w:r w:rsidRPr="00183E39">
        <w:rPr>
          <w:rStyle w:val="FootnoteTextCharCharCharChar3CharCharChar1"/>
          <w:i/>
        </w:rPr>
        <w:t xml:space="preserve"> Comment </w:t>
      </w:r>
      <w:r w:rsidRPr="00183E39">
        <w:rPr>
          <w:i/>
        </w:rPr>
        <w:t xml:space="preserve">Public </w:t>
      </w:r>
      <w:r w:rsidRPr="0023256E">
        <w:rPr>
          <w:i/>
        </w:rPr>
        <w:t>Notice</w:t>
      </w:r>
      <w:r w:rsidRPr="0023256E">
        <w:t xml:space="preserve"> at </w:t>
      </w:r>
      <w:r>
        <w:t xml:space="preserve">10029-30 </w:t>
      </w:r>
      <w:r w:rsidRPr="0023256E">
        <w:t xml:space="preserve">¶ </w:t>
      </w:r>
      <w:r>
        <w:t>70</w:t>
      </w:r>
      <w:r w:rsidRPr="0023256E">
        <w:t>.</w:t>
      </w:r>
    </w:p>
  </w:footnote>
  <w:footnote w:id="261">
    <w:p w:rsidR="00FE4663" w:rsidRDefault="00FE4663">
      <w:pPr>
        <w:pStyle w:val="FootnoteText"/>
      </w:pPr>
      <w:r>
        <w:rPr>
          <w:rStyle w:val="FootnoteReference"/>
        </w:rPr>
        <w:footnoteRef/>
      </w:r>
      <w:r>
        <w:t xml:space="preserve"> </w:t>
      </w:r>
      <w:r>
        <w:rPr>
          <w:i/>
        </w:rPr>
        <w:t>See</w:t>
      </w:r>
      <w:r>
        <w:t xml:space="preserve"> note 16</w:t>
      </w:r>
      <w:r w:rsidR="002F2094">
        <w:t>7</w:t>
      </w:r>
      <w:r>
        <w:t xml:space="preserve">, </w:t>
      </w:r>
      <w:r w:rsidRPr="00163B78">
        <w:t>above.</w:t>
      </w:r>
    </w:p>
  </w:footnote>
  <w:footnote w:id="262">
    <w:p w:rsidR="00FE4663" w:rsidRPr="00915E0F" w:rsidRDefault="00FE4663" w:rsidP="0083488E">
      <w:pPr>
        <w:pStyle w:val="FootnoteText"/>
        <w:rPr>
          <w:i/>
        </w:rPr>
      </w:pPr>
      <w:r w:rsidRPr="00183E39">
        <w:rPr>
          <w:rStyle w:val="FootnoteReference"/>
          <w:sz w:val="20"/>
        </w:rPr>
        <w:footnoteRef/>
      </w:r>
      <w:r w:rsidRPr="00183E39">
        <w:t xml:space="preserve"> Bidders must have sufficient eligibility to place a bid on the particular </w:t>
      </w:r>
      <w:r>
        <w:t>license</w:t>
      </w:r>
      <w:r w:rsidRPr="00183E39">
        <w:t xml:space="preserve">.  </w:t>
      </w:r>
      <w:r w:rsidRPr="00A34F95">
        <w:rPr>
          <w:i/>
        </w:rPr>
        <w:t>See</w:t>
      </w:r>
      <w:r w:rsidRPr="00A34F95">
        <w:t xml:space="preserve"> Section III.D.3. “Upfront</w:t>
      </w:r>
      <w:r w:rsidRPr="00C15957">
        <w:t xml:space="preserve"> Payments and Bidding Eligibility,” above.</w:t>
      </w:r>
      <w:r w:rsidRPr="00915E0F">
        <w:rPr>
          <w:i/>
        </w:rPr>
        <w:t xml:space="preserve"> </w:t>
      </w:r>
    </w:p>
  </w:footnote>
  <w:footnote w:id="263">
    <w:p w:rsidR="00FE4663" w:rsidRPr="00915E0F" w:rsidRDefault="00FE4663" w:rsidP="0083488E">
      <w:pPr>
        <w:pStyle w:val="FootnoteText"/>
      </w:pPr>
      <w:r w:rsidRPr="00183E39">
        <w:rPr>
          <w:rStyle w:val="FootnoteReference"/>
          <w:sz w:val="20"/>
        </w:rPr>
        <w:footnoteRef/>
      </w:r>
      <w:r w:rsidRPr="00183E39">
        <w:t xml:space="preserve"> </w:t>
      </w:r>
      <w:r w:rsidRPr="00A34F95">
        <w:rPr>
          <w:i/>
        </w:rPr>
        <w:t>See</w:t>
      </w:r>
      <w:r w:rsidRPr="00A34F95">
        <w:t xml:space="preserve"> Section IV.B.3. “Bid</w:t>
      </w:r>
      <w:r w:rsidRPr="006B5854">
        <w:t xml:space="preserve"> Amounts</w:t>
      </w:r>
      <w:r w:rsidRPr="00183E39">
        <w:t>,” above.</w:t>
      </w:r>
    </w:p>
  </w:footnote>
  <w:footnote w:id="264">
    <w:p w:rsidR="00FE4663" w:rsidRDefault="00FE4663" w:rsidP="00B5528C">
      <w:pPr>
        <w:pStyle w:val="FootnoteText"/>
      </w:pPr>
      <w:r>
        <w:rPr>
          <w:rStyle w:val="FootnoteReference"/>
        </w:rPr>
        <w:footnoteRef/>
      </w:r>
      <w:r>
        <w:t xml:space="preserve"> </w:t>
      </w:r>
      <w:r>
        <w:rPr>
          <w:rStyle w:val="FootnoteTextCharCharCharChar3CharCharChar1"/>
          <w:i/>
        </w:rPr>
        <w:t xml:space="preserve">Auction 96 Comment </w:t>
      </w:r>
      <w:r>
        <w:rPr>
          <w:i/>
        </w:rPr>
        <w:t>Public Notice</w:t>
      </w:r>
      <w:r>
        <w:t xml:space="preserve"> at 10030-31 ¶¶ </w:t>
      </w:r>
      <w:r w:rsidRPr="00724DC5">
        <w:t>72-75.</w:t>
      </w:r>
    </w:p>
  </w:footnote>
  <w:footnote w:id="265">
    <w:p w:rsidR="00FE4663" w:rsidRDefault="00FE4663">
      <w:pPr>
        <w:pStyle w:val="FootnoteText"/>
      </w:pPr>
      <w:r>
        <w:rPr>
          <w:rStyle w:val="FootnoteReference"/>
        </w:rPr>
        <w:footnoteRef/>
      </w:r>
      <w:r>
        <w:t xml:space="preserve"> </w:t>
      </w:r>
      <w:r>
        <w:rPr>
          <w:rStyle w:val="FootnoteTextCharCharCharChar3CharCharChar1"/>
          <w:i/>
        </w:rPr>
        <w:t xml:space="preserve">Auction 96 Comment </w:t>
      </w:r>
      <w:r>
        <w:rPr>
          <w:i/>
        </w:rPr>
        <w:t>Public Notice</w:t>
      </w:r>
      <w:r>
        <w:t xml:space="preserve"> at 10030 ¶ 73.  </w:t>
      </w:r>
    </w:p>
  </w:footnote>
  <w:footnote w:id="266">
    <w:p w:rsidR="00FE4663" w:rsidRPr="004B1086" w:rsidRDefault="00FE4663" w:rsidP="002270F5">
      <w:pPr>
        <w:pStyle w:val="FootnoteText"/>
      </w:pPr>
      <w:r w:rsidRPr="004B1086">
        <w:rPr>
          <w:rStyle w:val="FootnoteReference"/>
          <w:sz w:val="20"/>
        </w:rPr>
        <w:footnoteRef/>
      </w:r>
      <w:r w:rsidRPr="004B1086">
        <w:t xml:space="preserve"> </w:t>
      </w:r>
      <w:r w:rsidRPr="004B1086">
        <w:rPr>
          <w:i/>
          <w:iCs/>
        </w:rPr>
        <w:t>Part 1 Third Report and Order</w:t>
      </w:r>
      <w:r w:rsidRPr="004B1086">
        <w:t>, 13 FCC Rcd at 459-60 ¶ 150.</w:t>
      </w:r>
    </w:p>
  </w:footnote>
  <w:footnote w:id="267">
    <w:p w:rsidR="00FE4663" w:rsidRDefault="00FE4663" w:rsidP="00960DBB">
      <w:pPr>
        <w:pStyle w:val="FootnoteText"/>
      </w:pPr>
      <w:r>
        <w:rPr>
          <w:rStyle w:val="FootnoteReference"/>
          <w:sz w:val="20"/>
        </w:rPr>
        <w:footnoteRef/>
      </w:r>
      <w:r>
        <w:t xml:space="preserve"> </w:t>
      </w:r>
      <w:r>
        <w:rPr>
          <w:color w:val="000000"/>
        </w:rPr>
        <w:t xml:space="preserve">The Commission stated that the Bureau should exercise its discretion, consider limiting the number of rounds in which bidders may withdraw bids, and prevent bidders from bidding on a particular market if the Bureau finds that a bidder is abusing the Commission’s bid withdrawal procedures.  </w:t>
      </w:r>
      <w:r>
        <w:rPr>
          <w:i/>
          <w:iCs/>
        </w:rPr>
        <w:t>Id</w:t>
      </w:r>
      <w:r>
        <w:t xml:space="preserve">.  </w:t>
      </w:r>
    </w:p>
  </w:footnote>
  <w:footnote w:id="268">
    <w:p w:rsidR="00FE4663" w:rsidRPr="00020D3E" w:rsidRDefault="00FE4663">
      <w:pPr>
        <w:pStyle w:val="FootnoteText"/>
      </w:pPr>
      <w:r>
        <w:rPr>
          <w:rStyle w:val="FootnoteReference"/>
        </w:rPr>
        <w:footnoteRef/>
      </w:r>
      <w:r>
        <w:t xml:space="preserve"> </w:t>
      </w:r>
      <w:r>
        <w:rPr>
          <w:i/>
        </w:rPr>
        <w:t>See</w:t>
      </w:r>
      <w:r>
        <w:t xml:space="preserve"> note 16</w:t>
      </w:r>
      <w:r w:rsidR="002F2094">
        <w:t>7</w:t>
      </w:r>
      <w:r>
        <w:t>, above.</w:t>
      </w:r>
    </w:p>
  </w:footnote>
  <w:footnote w:id="269">
    <w:p w:rsidR="00FE4663" w:rsidRDefault="00FE4663" w:rsidP="00020D3E">
      <w:pPr>
        <w:pStyle w:val="FootnoteText"/>
      </w:pPr>
      <w:r>
        <w:rPr>
          <w:rStyle w:val="FootnoteReference"/>
        </w:rPr>
        <w:footnoteRef/>
      </w:r>
      <w:r>
        <w:t xml:space="preserve"> RDL Comments at 19-23.</w:t>
      </w:r>
    </w:p>
  </w:footnote>
  <w:footnote w:id="270">
    <w:p w:rsidR="00FE4663" w:rsidRDefault="00FE4663" w:rsidP="00B5528C">
      <w:pPr>
        <w:pStyle w:val="FootnoteText"/>
      </w:pPr>
      <w:r>
        <w:rPr>
          <w:rStyle w:val="FootnoteReference"/>
        </w:rPr>
        <w:footnoteRef/>
      </w:r>
      <w:r>
        <w:t xml:space="preserve"> 47 C.F.R. § 1.2104(g).</w:t>
      </w:r>
    </w:p>
  </w:footnote>
  <w:footnote w:id="271">
    <w:p w:rsidR="00FE4663" w:rsidRDefault="00FE4663" w:rsidP="00B5528C">
      <w:pPr>
        <w:pStyle w:val="FootnoteText"/>
      </w:pPr>
      <w:r>
        <w:rPr>
          <w:rStyle w:val="FootnoteReference"/>
        </w:rPr>
        <w:footnoteRef/>
      </w:r>
      <w:r>
        <w:t xml:space="preserve"> The Bureau retains the discretion to lower the minimum acceptable bid on such licenses in the next round or in later rounds.</w:t>
      </w:r>
    </w:p>
  </w:footnote>
  <w:footnote w:id="272">
    <w:p w:rsidR="00FE4663" w:rsidRDefault="00FE4663" w:rsidP="00B5528C">
      <w:pPr>
        <w:pStyle w:val="FootnoteText"/>
      </w:pPr>
      <w:r>
        <w:rPr>
          <w:rStyle w:val="FootnoteReference"/>
        </w:rPr>
        <w:footnoteRef/>
      </w:r>
      <w:r>
        <w:t xml:space="preserve"> 47 C.F.R. §§ 1.2104(g), 1.2109.</w:t>
      </w:r>
    </w:p>
  </w:footnote>
  <w:footnote w:id="273">
    <w:p w:rsidR="00FE4663" w:rsidRDefault="00FE4663" w:rsidP="00B5528C">
      <w:pPr>
        <w:pStyle w:val="FootnoteText"/>
      </w:pPr>
      <w:r>
        <w:rPr>
          <w:rStyle w:val="FootnoteReference"/>
        </w:rPr>
        <w:footnoteRef/>
      </w:r>
      <w:r>
        <w:t xml:space="preserve"> The payment will equal the lower of: (1) the difference between the net withdrawn bid and the subsequent net winning bid; or (2) the difference between the gross withdrawn bid and the subsequent gross winning bid.  </w:t>
      </w:r>
      <w:r>
        <w:rPr>
          <w:i/>
        </w:rPr>
        <w:t>See</w:t>
      </w:r>
      <w:r>
        <w:t xml:space="preserve"> 47 C.F.R. § 1.2104(g)(1).</w:t>
      </w:r>
    </w:p>
  </w:footnote>
  <w:footnote w:id="274">
    <w:p w:rsidR="00FE4663" w:rsidRDefault="00FE4663" w:rsidP="00B5528C">
      <w:pPr>
        <w:pStyle w:val="FootnoteText"/>
      </w:pPr>
      <w:r>
        <w:rPr>
          <w:rStyle w:val="FootnoteReference"/>
        </w:rPr>
        <w:footnoteRef/>
      </w:r>
      <w:r>
        <w:t xml:space="preserve"> See following paragraphs for discussion of interim bid withdrawal payments.</w:t>
      </w:r>
    </w:p>
  </w:footnote>
  <w:footnote w:id="275">
    <w:p w:rsidR="00FE4663" w:rsidRDefault="00FE4663" w:rsidP="00B5528C">
      <w:pPr>
        <w:pStyle w:val="FootnoteText"/>
      </w:pPr>
      <w:r>
        <w:rPr>
          <w:rStyle w:val="FootnoteReference"/>
        </w:rPr>
        <w:footnoteRef/>
      </w:r>
      <w:r>
        <w:t xml:space="preserve"> 47 C.F.R. § 1.2104(g)(1); </w:t>
      </w:r>
      <w:r>
        <w:rPr>
          <w:i/>
        </w:rPr>
        <w:t>see</w:t>
      </w:r>
      <w:r>
        <w:t xml:space="preserve"> </w:t>
      </w:r>
      <w:r w:rsidRPr="00F6658A">
        <w:rPr>
          <w:i/>
        </w:rPr>
        <w:t>Part 1 Fifth Report and Order</w:t>
      </w:r>
      <w:r w:rsidRPr="00F6658A">
        <w:t>, 15 FCC Rcd at 15302 ¶ 15.</w:t>
      </w:r>
    </w:p>
  </w:footnote>
  <w:footnote w:id="276">
    <w:p w:rsidR="00FE4663" w:rsidRDefault="00FE4663" w:rsidP="00EA4594">
      <w:pPr>
        <w:pStyle w:val="FootnoteText"/>
      </w:pPr>
      <w:r>
        <w:rPr>
          <w:rStyle w:val="FootnoteReference"/>
        </w:rPr>
        <w:footnoteRef/>
      </w:r>
      <w:r>
        <w:t xml:space="preserve"> </w:t>
      </w:r>
      <w:r>
        <w:rPr>
          <w:rStyle w:val="FootnoteTextCharCharCharChar3CharCharChar1"/>
          <w:i/>
        </w:rPr>
        <w:t xml:space="preserve">Auction 96 Comment </w:t>
      </w:r>
      <w:r>
        <w:rPr>
          <w:i/>
        </w:rPr>
        <w:t>Public Notice</w:t>
      </w:r>
      <w:r>
        <w:t>, 28 FCC Rcd at 10031-322 ¶¶ 79-80.</w:t>
      </w:r>
      <w:r w:rsidRPr="00E05B87">
        <w:t xml:space="preserve"> </w:t>
      </w:r>
    </w:p>
  </w:footnote>
  <w:footnote w:id="277">
    <w:p w:rsidR="00FE4663" w:rsidRDefault="00FE4663" w:rsidP="00B5528C">
      <w:pPr>
        <w:pStyle w:val="FootnoteText"/>
      </w:pPr>
      <w:r>
        <w:rPr>
          <w:rStyle w:val="FootnoteReference"/>
        </w:rPr>
        <w:footnoteRef/>
      </w:r>
      <w:r>
        <w:t xml:space="preserve"> </w:t>
      </w:r>
      <w:r>
        <w:rPr>
          <w:rStyle w:val="FootnoteTextCharCharCharChar3CharCharChar1"/>
          <w:i/>
        </w:rPr>
        <w:t>Id</w:t>
      </w:r>
      <w:r>
        <w:rPr>
          <w:rStyle w:val="FootnoteTextCharCharCharChar3CharCharChar1"/>
        </w:rPr>
        <w:t>.</w:t>
      </w:r>
      <w:r>
        <w:t xml:space="preserve"> at 10032 ¶ 80.</w:t>
      </w:r>
      <w:r w:rsidRPr="00E05B87">
        <w:t xml:space="preserve"> </w:t>
      </w:r>
    </w:p>
  </w:footnote>
  <w:footnote w:id="278">
    <w:p w:rsidR="00FE4663" w:rsidRDefault="00FE4663">
      <w:pPr>
        <w:pStyle w:val="FootnoteText"/>
      </w:pPr>
      <w:r>
        <w:rPr>
          <w:rStyle w:val="FootnoteReference"/>
        </w:rPr>
        <w:footnoteRef/>
      </w:r>
      <w:r>
        <w:t xml:space="preserve"> </w:t>
      </w:r>
      <w:r>
        <w:rPr>
          <w:i/>
        </w:rPr>
        <w:t>See</w:t>
      </w:r>
      <w:r w:rsidR="002F2094">
        <w:t xml:space="preserve"> note 167</w:t>
      </w:r>
      <w:r>
        <w:t xml:space="preserve">, </w:t>
      </w:r>
      <w:r w:rsidRPr="00163B78">
        <w:t>above.</w:t>
      </w:r>
    </w:p>
  </w:footnote>
  <w:footnote w:id="279">
    <w:p w:rsidR="00FE4663" w:rsidRPr="00DD51CD" w:rsidRDefault="00FE4663">
      <w:pPr>
        <w:pStyle w:val="FootnoteText"/>
      </w:pPr>
      <w:r>
        <w:rPr>
          <w:rStyle w:val="FootnoteReference"/>
        </w:rPr>
        <w:footnoteRef/>
      </w:r>
      <w:r>
        <w:t xml:space="preserve"> </w:t>
      </w:r>
      <w:r>
        <w:rPr>
          <w:i/>
        </w:rPr>
        <w:t xml:space="preserve">See, e.g., </w:t>
      </w:r>
      <w:r>
        <w:t xml:space="preserve">Auction of Lower and Upper Paging Bands Licenses Scheduled for May 25, 2010; Notice and Filing Requirements, Minimum Opening Bids, Upfront Payments, and Other Procedures for Auction 87, </w:t>
      </w:r>
      <w:r>
        <w:rPr>
          <w:i/>
        </w:rPr>
        <w:t>Public Notice</w:t>
      </w:r>
      <w:r>
        <w:t xml:space="preserve">, DA 10-18, 25 FCC Rcd 6333, 6675 ¶¶ 197 (WTB 2010).  </w:t>
      </w:r>
    </w:p>
  </w:footnote>
  <w:footnote w:id="280">
    <w:p w:rsidR="00FE4663" w:rsidRDefault="00FE4663" w:rsidP="00B5528C">
      <w:pPr>
        <w:pStyle w:val="FootnoteText"/>
      </w:pPr>
      <w:r>
        <w:rPr>
          <w:rStyle w:val="FootnoteReference"/>
        </w:rPr>
        <w:footnoteRef/>
      </w:r>
      <w:r>
        <w:t xml:space="preserve"> 47 C.F.R. § 1.2104(g).</w:t>
      </w:r>
    </w:p>
  </w:footnote>
  <w:footnote w:id="281">
    <w:p w:rsidR="00FE4663" w:rsidRDefault="00FE4663">
      <w:pPr>
        <w:pStyle w:val="FootnoteText"/>
      </w:pPr>
      <w:r>
        <w:rPr>
          <w:rStyle w:val="FootnoteReference"/>
        </w:rPr>
        <w:footnoteRef/>
      </w:r>
      <w:r>
        <w:t xml:space="preserve"> The identities of parties that are qualified to bid in Auction 96 will be available before the auction.  Thus, bidders will know in advance of this auction the identities of the other parties against which they may be bidding in the auction.</w:t>
      </w:r>
    </w:p>
  </w:footnote>
  <w:footnote w:id="282">
    <w:p w:rsidR="00FE4663" w:rsidRPr="00915E0F" w:rsidRDefault="00FE4663" w:rsidP="0083488E">
      <w:pPr>
        <w:pStyle w:val="FootnoteText"/>
        <w:rPr>
          <w:i/>
        </w:rPr>
      </w:pPr>
      <w:r w:rsidRPr="00915E0F">
        <w:rPr>
          <w:rStyle w:val="FootnoteReference"/>
          <w:sz w:val="20"/>
        </w:rPr>
        <w:footnoteRef/>
      </w:r>
      <w:r w:rsidRPr="00915E0F">
        <w:t xml:space="preserve"> 47 C.F.R. § 1.2107(b).  </w:t>
      </w:r>
    </w:p>
  </w:footnote>
  <w:footnote w:id="283">
    <w:p w:rsidR="00FE4663" w:rsidRPr="00915E0F" w:rsidRDefault="00FE4663" w:rsidP="0083488E">
      <w:pPr>
        <w:pStyle w:val="FootnoteText"/>
        <w:rPr>
          <w:i/>
        </w:rPr>
      </w:pPr>
      <w:r w:rsidRPr="00915E0F">
        <w:rPr>
          <w:rStyle w:val="FootnoteReference"/>
          <w:sz w:val="20"/>
        </w:rPr>
        <w:footnoteRef/>
      </w:r>
      <w:r w:rsidRPr="00915E0F">
        <w:t xml:space="preserve"> 47 C.F.R. § 1.2109(a).</w:t>
      </w:r>
    </w:p>
  </w:footnote>
  <w:footnote w:id="284">
    <w:p w:rsidR="00FE4663" w:rsidRDefault="00FE4663" w:rsidP="00E7362C">
      <w:pPr>
        <w:pStyle w:val="FootnoteText"/>
      </w:pPr>
      <w:r>
        <w:rPr>
          <w:rStyle w:val="FootnoteReference"/>
        </w:rPr>
        <w:footnoteRef/>
      </w:r>
      <w:r>
        <w:t xml:space="preserve"> 47 C.F.R. § 1.2112(b).</w:t>
      </w:r>
    </w:p>
  </w:footnote>
  <w:footnote w:id="285">
    <w:p w:rsidR="00FE4663" w:rsidRDefault="00FE4663" w:rsidP="00E7362C">
      <w:pPr>
        <w:pStyle w:val="FootnoteText"/>
      </w:pPr>
      <w:r>
        <w:rPr>
          <w:rStyle w:val="FootnoteReference"/>
        </w:rPr>
        <w:footnoteRef/>
      </w:r>
      <w:r>
        <w:t xml:space="preserve"> </w:t>
      </w:r>
      <w:r w:rsidRPr="00A529A0">
        <w:rPr>
          <w:i/>
        </w:rPr>
        <w:t>CSEA/Part 1</w:t>
      </w:r>
      <w:r>
        <w:rPr>
          <w:i/>
        </w:rPr>
        <w:t xml:space="preserve"> </w:t>
      </w:r>
      <w:r w:rsidRPr="00F6658A">
        <w:rPr>
          <w:i/>
        </w:rPr>
        <w:t>Report and Order</w:t>
      </w:r>
      <w:r w:rsidRPr="00F6658A">
        <w:t>, 21 FCC Rcd at 911-12 ¶¶ 51-52.  Applicants</w:t>
      </w:r>
      <w:r>
        <w:t xml:space="preserve"> applying as consortia should review the </w:t>
      </w:r>
      <w:r w:rsidRPr="00A529A0">
        <w:rPr>
          <w:i/>
        </w:rPr>
        <w:t>CSEA/Part 1</w:t>
      </w:r>
      <w:r>
        <w:rPr>
          <w:i/>
        </w:rPr>
        <w:t xml:space="preserve"> Report and Order</w:t>
      </w:r>
      <w:r>
        <w:t xml:space="preserve"> in detail and monitor any relevant future proceedings to understand how the members of the consortia will apply for a license in the event they are winning bidders.</w:t>
      </w:r>
    </w:p>
  </w:footnote>
  <w:footnote w:id="286">
    <w:p w:rsidR="00FE4663" w:rsidRDefault="00FE4663" w:rsidP="00E7362C">
      <w:pPr>
        <w:pStyle w:val="FootnoteText"/>
      </w:pPr>
      <w:r>
        <w:rPr>
          <w:rStyle w:val="FootnoteReference"/>
        </w:rPr>
        <w:footnoteRef/>
      </w:r>
      <w:r>
        <w:t xml:space="preserve"> </w:t>
      </w:r>
      <w:r>
        <w:rPr>
          <w:i/>
        </w:rPr>
        <w:t>Id.</w:t>
      </w:r>
    </w:p>
  </w:footnote>
  <w:footnote w:id="287">
    <w:p w:rsidR="00FE4663" w:rsidRDefault="00FE4663" w:rsidP="00E7362C">
      <w:pPr>
        <w:pStyle w:val="FootnoteText"/>
      </w:pPr>
      <w:r>
        <w:rPr>
          <w:rStyle w:val="FootnoteReference"/>
        </w:rPr>
        <w:footnoteRef/>
      </w:r>
      <w:r>
        <w:t xml:space="preserve"> 47 C.F.R. §§ 1.913, 1.919, 1.2107(f) and 1.2112.</w:t>
      </w:r>
    </w:p>
  </w:footnote>
  <w:footnote w:id="288">
    <w:p w:rsidR="00FE4663" w:rsidRDefault="00FE4663" w:rsidP="00E7362C">
      <w:pPr>
        <w:pStyle w:val="FootnoteText"/>
      </w:pPr>
      <w:r>
        <w:rPr>
          <w:rStyle w:val="FootnoteReference"/>
        </w:rPr>
        <w:footnoteRef/>
      </w:r>
      <w:r>
        <w:t xml:space="preserve"> 47 C.F.R. §§ 1.2107 and 1.2110(f).</w:t>
      </w:r>
    </w:p>
  </w:footnote>
  <w:footnote w:id="289">
    <w:p w:rsidR="00FE4663" w:rsidRDefault="00FE4663" w:rsidP="00B0654F">
      <w:pPr>
        <w:pStyle w:val="FootnoteText"/>
      </w:pPr>
      <w:r>
        <w:rPr>
          <w:rStyle w:val="FootnoteReference"/>
        </w:rPr>
        <w:footnoteRef/>
      </w:r>
      <w:r>
        <w:t xml:space="preserve"> </w:t>
      </w:r>
      <w:r>
        <w:rPr>
          <w:i/>
        </w:rPr>
        <w:t xml:space="preserve">See </w:t>
      </w:r>
      <w:r>
        <w:t>47 C.F.R. §§ 1.2110(f)(3)(ii) – (vii).</w:t>
      </w:r>
    </w:p>
  </w:footnote>
  <w:footnote w:id="290">
    <w:p w:rsidR="00FE4663" w:rsidRDefault="00FE4663" w:rsidP="00E7362C">
      <w:pPr>
        <w:pStyle w:val="FootnoteText"/>
      </w:pPr>
      <w:r>
        <w:rPr>
          <w:rStyle w:val="FootnoteReference"/>
        </w:rPr>
        <w:footnoteRef/>
      </w:r>
      <w:r>
        <w:t xml:space="preserve"> </w:t>
      </w:r>
      <w:r>
        <w:rPr>
          <w:rStyle w:val="FootnoteTextCharCharCharChar3CharCharChar1"/>
          <w:i/>
        </w:rPr>
        <w:t xml:space="preserve">See </w:t>
      </w:r>
      <w:r w:rsidRPr="00F6658A">
        <w:rPr>
          <w:rStyle w:val="FootnoteTextCharCharCharChar3CharCharChar1"/>
          <w:i/>
        </w:rPr>
        <w:t>generally</w:t>
      </w:r>
      <w:r w:rsidRPr="00F6658A">
        <w:rPr>
          <w:rStyle w:val="FootnoteTextCharCharCharChar3CharCharChar1"/>
        </w:rPr>
        <w:t xml:space="preserve">, Extending Wireless Telecommunications Services to Tribal Lands, WT Docket No. 99-266, </w:t>
      </w:r>
      <w:r w:rsidRPr="00F6658A">
        <w:rPr>
          <w:rStyle w:val="FootnoteTextCharCharCharChar3CharCharChar1"/>
          <w:i/>
        </w:rPr>
        <w:t>Report and Order and Further Notice of Proposed Rule Making</w:t>
      </w:r>
      <w:r w:rsidRPr="00F6658A">
        <w:rPr>
          <w:rStyle w:val="FootnoteTextCharCharCharChar3CharCharChar1"/>
        </w:rPr>
        <w:t xml:space="preserve">, FCC 00-209, 15 FCC Rcd 11794 (2000); </w:t>
      </w:r>
      <w:r w:rsidRPr="00F6658A">
        <w:rPr>
          <w:rStyle w:val="FootnoteTextCharCharCharChar3CharCharChar1"/>
          <w:i/>
        </w:rPr>
        <w:t>Second Report and Order and Second Further Notice of Proposed Rulemaking</w:t>
      </w:r>
      <w:r w:rsidRPr="00F6658A">
        <w:rPr>
          <w:rStyle w:val="FootnoteTextCharCharCharChar3CharCharChar1"/>
        </w:rPr>
        <w:t xml:space="preserve">, FCC 03-51, 18 FCC Rcd 4775, 4778-79 ¶ 10 (2003); </w:t>
      </w:r>
      <w:r w:rsidRPr="00F6658A">
        <w:rPr>
          <w:rStyle w:val="FootnoteTextCharCharCharChar3CharCharChar1"/>
          <w:i/>
        </w:rPr>
        <w:t>Third Report and Order</w:t>
      </w:r>
      <w:r w:rsidRPr="00F6658A">
        <w:rPr>
          <w:rStyle w:val="FootnoteTextCharCharCharChar3CharCharChar1"/>
        </w:rPr>
        <w:t xml:space="preserve">, FCC 04-202, 19 FCC Rcd 17652 (2004).  </w:t>
      </w:r>
      <w:r w:rsidRPr="00F6658A">
        <w:rPr>
          <w:rStyle w:val="FootnoteTextCharCharCharChar3CharCharChar1"/>
          <w:i/>
        </w:rPr>
        <w:t>See also</w:t>
      </w:r>
      <w:r w:rsidRPr="00F6658A">
        <w:rPr>
          <w:rStyle w:val="FootnoteTextCharCharCharChar3CharCharChar1"/>
        </w:rPr>
        <w:t xml:space="preserve"> “Wireless Telecommunications Bureau Announces Enhancements to the Universal Licensing System to Help Winning Bidders of FCC Auctions File for Tribal Land Bidding Credits,” </w:t>
      </w:r>
      <w:r w:rsidRPr="00F6658A">
        <w:rPr>
          <w:rStyle w:val="FootnoteTextCharCharCharChar3CharCharChar1"/>
          <w:i/>
        </w:rPr>
        <w:t>Public Notice</w:t>
      </w:r>
      <w:r w:rsidRPr="00F6658A">
        <w:rPr>
          <w:rStyle w:val="FootnoteTextCharCharCharChar3CharCharChar1"/>
        </w:rPr>
        <w:t xml:space="preserve">, DA 01-613, 16 FCC Rcd 5355 (2001); “Wireless Telecommunications Bureau Releases Additional Information Regarding the Procedures for Obtaining a Tribal Lands Bidding Credit and List of Tribal Lands,” </w:t>
      </w:r>
      <w:r w:rsidRPr="00F6658A">
        <w:rPr>
          <w:rStyle w:val="FootnoteTextCharCharCharChar3CharCharChar1"/>
          <w:i/>
        </w:rPr>
        <w:t>Public Notice</w:t>
      </w:r>
      <w:r w:rsidRPr="00F6658A">
        <w:rPr>
          <w:rStyle w:val="FootnoteTextCharCharCharChar3CharCharChar1"/>
        </w:rPr>
        <w:t xml:space="preserve">, DA 00-2836, 15 FCC Rcd 24838 (2000); “Wireless Telecommunications Bureau Announces Availability of Bidding Credits for Providing Wireless Services to Qualifying Tribal Lands: Tribal Lands Bidding Credits to be Available Beginning in Auction No. 36 (800 MHz Specialized Mobile Radio (SMR) Lower 80 Channels) and in Future Auctions,” </w:t>
      </w:r>
      <w:r w:rsidRPr="00F6658A">
        <w:rPr>
          <w:rStyle w:val="FootnoteTextCharCharCharChar3CharCharChar1"/>
          <w:i/>
        </w:rPr>
        <w:t>Public Notice</w:t>
      </w:r>
      <w:r w:rsidRPr="00F6658A">
        <w:rPr>
          <w:rStyle w:val="FootnoteTextCharCharCharChar3CharCharChar1"/>
        </w:rPr>
        <w:t>, DA 00-2219, 15 FCC Rcd 18351 (2000).</w:t>
      </w:r>
    </w:p>
  </w:footnote>
  <w:footnote w:id="291">
    <w:p w:rsidR="00FE4663" w:rsidRPr="00915E0F" w:rsidRDefault="00FE4663" w:rsidP="0083488E">
      <w:pPr>
        <w:pStyle w:val="FootnoteText"/>
      </w:pPr>
      <w:r w:rsidRPr="00915E0F">
        <w:rPr>
          <w:rStyle w:val="FootnoteReference"/>
          <w:sz w:val="20"/>
        </w:rPr>
        <w:footnoteRef/>
      </w:r>
      <w:r w:rsidRPr="00915E0F">
        <w:t xml:space="preserve"> 47 C.F.R. § 1.2104(g)(2).</w:t>
      </w:r>
    </w:p>
  </w:footnote>
  <w:footnote w:id="292">
    <w:p w:rsidR="00FE4663" w:rsidRDefault="00FE4663" w:rsidP="0097196E">
      <w:pPr>
        <w:pStyle w:val="FootnoteText"/>
      </w:pPr>
      <w:r>
        <w:rPr>
          <w:rStyle w:val="FootnoteReference"/>
        </w:rPr>
        <w:footnoteRef/>
      </w:r>
      <w:r>
        <w:t xml:space="preserve"> </w:t>
      </w:r>
      <w:r w:rsidRPr="00CA6286">
        <w:rPr>
          <w:i/>
          <w:kern w:val="28"/>
        </w:rPr>
        <w:t>See CSEA/Part 1 Report and Order</w:t>
      </w:r>
      <w:r w:rsidRPr="00CA6286">
        <w:rPr>
          <w:kern w:val="28"/>
        </w:rPr>
        <w:t>, 21 FCC Rcd at 903</w:t>
      </w:r>
      <w:r>
        <w:rPr>
          <w:kern w:val="28"/>
        </w:rPr>
        <w:t>-04</w:t>
      </w:r>
      <w:r w:rsidRPr="00CA6286">
        <w:rPr>
          <w:kern w:val="28"/>
        </w:rPr>
        <w:t xml:space="preserve"> ¶¶ 30</w:t>
      </w:r>
      <w:r>
        <w:rPr>
          <w:kern w:val="28"/>
        </w:rPr>
        <w:t>-31.</w:t>
      </w:r>
    </w:p>
  </w:footnote>
  <w:footnote w:id="293">
    <w:p w:rsidR="00FE4663" w:rsidRDefault="00FE4663" w:rsidP="0097196E">
      <w:pPr>
        <w:pStyle w:val="FootnoteText"/>
      </w:pPr>
      <w:r>
        <w:rPr>
          <w:rStyle w:val="FootnoteReference"/>
          <w:sz w:val="20"/>
        </w:rPr>
        <w:footnoteRef/>
      </w:r>
      <w:r>
        <w:t xml:space="preserve"> </w:t>
      </w:r>
      <w:r w:rsidRPr="00260E33">
        <w:rPr>
          <w:i/>
          <w:szCs w:val="22"/>
        </w:rPr>
        <w:t>Auction 96 Comment Public Notice</w:t>
      </w:r>
      <w:r>
        <w:rPr>
          <w:szCs w:val="22"/>
        </w:rPr>
        <w:t>,</w:t>
      </w:r>
      <w:r>
        <w:t xml:space="preserve"> 28 FCC Rcd at 10033 ¶ 83.</w:t>
      </w:r>
    </w:p>
  </w:footnote>
  <w:footnote w:id="294">
    <w:p w:rsidR="00FE4663" w:rsidRPr="00B77C44" w:rsidRDefault="00FE4663" w:rsidP="0097196E">
      <w:pPr>
        <w:pStyle w:val="FootnoteText"/>
        <w:rPr>
          <w:i/>
        </w:rPr>
      </w:pPr>
      <w:r>
        <w:rPr>
          <w:rStyle w:val="FootnoteReference"/>
        </w:rPr>
        <w:footnoteRef/>
      </w:r>
      <w:r>
        <w:t xml:space="preserve"> </w:t>
      </w:r>
      <w:r>
        <w:rPr>
          <w:i/>
        </w:rPr>
        <w:t>Id</w:t>
      </w:r>
      <w:r w:rsidRPr="00B77C44">
        <w:t>.</w:t>
      </w:r>
    </w:p>
  </w:footnote>
  <w:footnote w:id="295">
    <w:p w:rsidR="00FE4663" w:rsidRPr="00B35D00" w:rsidRDefault="00FE4663">
      <w:pPr>
        <w:pStyle w:val="FootnoteText"/>
        <w:rPr>
          <w:i/>
        </w:rPr>
      </w:pPr>
      <w:r>
        <w:rPr>
          <w:rStyle w:val="FootnoteReference"/>
        </w:rPr>
        <w:footnoteRef/>
      </w:r>
      <w:r>
        <w:t xml:space="preserve"> </w:t>
      </w:r>
      <w:r>
        <w:rPr>
          <w:i/>
        </w:rPr>
        <w:t>Id.</w:t>
      </w:r>
    </w:p>
  </w:footnote>
  <w:footnote w:id="296">
    <w:p w:rsidR="00FE4663" w:rsidRDefault="00FE4663" w:rsidP="0097196E">
      <w:pPr>
        <w:pStyle w:val="FootnoteText"/>
      </w:pPr>
      <w:r>
        <w:rPr>
          <w:rStyle w:val="FootnoteReference"/>
        </w:rPr>
        <w:footnoteRef/>
      </w:r>
      <w:r>
        <w:t xml:space="preserve"> </w:t>
      </w:r>
      <w:r>
        <w:rPr>
          <w:i/>
        </w:rPr>
        <w:t>See</w:t>
      </w:r>
      <w:r w:rsidR="002F2094">
        <w:t xml:space="preserve"> note 167</w:t>
      </w:r>
      <w:r>
        <w:t xml:space="preserve">, </w:t>
      </w:r>
      <w:r w:rsidRPr="00163B78">
        <w:t>above.</w:t>
      </w:r>
    </w:p>
  </w:footnote>
  <w:footnote w:id="297">
    <w:p w:rsidR="00FE4663" w:rsidRPr="00915E0F" w:rsidRDefault="00FE4663" w:rsidP="0083488E">
      <w:pPr>
        <w:pStyle w:val="FootnoteText"/>
      </w:pPr>
      <w:r w:rsidRPr="00915E0F">
        <w:rPr>
          <w:rStyle w:val="FootnoteReference"/>
          <w:sz w:val="20"/>
        </w:rPr>
        <w:footnoteRef/>
      </w:r>
      <w:r w:rsidRPr="00915E0F">
        <w:t xml:space="preserve"> 47 C.F.R. §§ 1.2109(b) and (c).</w:t>
      </w:r>
    </w:p>
  </w:footnote>
  <w:footnote w:id="298">
    <w:p w:rsidR="00FE4663" w:rsidRPr="00915E0F" w:rsidRDefault="00FE4663" w:rsidP="0083488E">
      <w:pPr>
        <w:pStyle w:val="FootnoteText"/>
      </w:pPr>
      <w:r w:rsidRPr="00915E0F">
        <w:rPr>
          <w:rStyle w:val="FootnoteReference"/>
          <w:sz w:val="20"/>
        </w:rPr>
        <w:footnoteRef/>
      </w:r>
      <w:r w:rsidRPr="00915E0F">
        <w:t xml:space="preserve"> 47 C.F.R. § 1.2109(d).</w:t>
      </w:r>
    </w:p>
  </w:footnote>
  <w:footnote w:id="299">
    <w:p w:rsidR="00FE4663" w:rsidRPr="00915E0F" w:rsidRDefault="00FE4663" w:rsidP="0083488E">
      <w:pPr>
        <w:pStyle w:val="FootnoteText"/>
      </w:pPr>
      <w:r w:rsidRPr="00915E0F">
        <w:rPr>
          <w:rStyle w:val="FootnoteReference"/>
          <w:sz w:val="20"/>
        </w:rPr>
        <w:footnoteRef/>
      </w:r>
      <w:r w:rsidRPr="00915E0F">
        <w:t xml:space="preserve"> 47 C.F.R. § 0.459.</w:t>
      </w:r>
    </w:p>
  </w:footnote>
  <w:footnote w:id="300">
    <w:p w:rsidR="00FE4663" w:rsidRPr="00915E0F" w:rsidRDefault="00FE4663" w:rsidP="0083488E">
      <w:pPr>
        <w:pStyle w:val="FootnoteText"/>
      </w:pPr>
      <w:r w:rsidRPr="00915E0F">
        <w:rPr>
          <w:rStyle w:val="FootnoteReference"/>
          <w:sz w:val="20"/>
        </w:rPr>
        <w:footnoteRef/>
      </w:r>
      <w:r w:rsidRPr="00915E0F">
        <w:t xml:space="preserve"> 47 C.F.R. § 0.459(a).</w:t>
      </w:r>
    </w:p>
  </w:footnote>
  <w:footnote w:id="301">
    <w:p w:rsidR="00FE4663" w:rsidRPr="00915E0F" w:rsidRDefault="00FE4663" w:rsidP="0083488E">
      <w:pPr>
        <w:pStyle w:val="FootnoteText"/>
      </w:pPr>
      <w:r w:rsidRPr="00915E0F">
        <w:rPr>
          <w:rStyle w:val="FootnoteReference"/>
          <w:sz w:val="20"/>
        </w:rPr>
        <w:footnoteRef/>
      </w:r>
      <w:r w:rsidRPr="00915E0F">
        <w:t xml:space="preserve"> </w:t>
      </w:r>
      <w:r w:rsidRPr="00915E0F">
        <w:rPr>
          <w:i/>
        </w:rPr>
        <w:t>See generally</w:t>
      </w:r>
      <w:r w:rsidRPr="00915E0F">
        <w:t>, 47 C.F.R. § 1.2105.</w:t>
      </w:r>
    </w:p>
  </w:footnote>
  <w:footnote w:id="302">
    <w:p w:rsidR="00FE4663" w:rsidRPr="007E1D09" w:rsidRDefault="00FE4663" w:rsidP="0083488E">
      <w:pPr>
        <w:pStyle w:val="FootnoteText"/>
      </w:pPr>
      <w:r>
        <w:rPr>
          <w:rStyle w:val="FootnoteReference"/>
        </w:rPr>
        <w:footnoteRef/>
      </w:r>
      <w:r>
        <w:t xml:space="preserve"> </w:t>
      </w:r>
      <w:r w:rsidRPr="00A34F95">
        <w:rPr>
          <w:i/>
        </w:rPr>
        <w:t>See</w:t>
      </w:r>
      <w:r w:rsidRPr="00A34F95">
        <w:t xml:space="preserve"> Section VI. “Contact</w:t>
      </w:r>
      <w:r w:rsidRPr="006B5854">
        <w:t xml:space="preserve"> Information</w:t>
      </w:r>
      <w:r>
        <w:t>,” above.</w:t>
      </w:r>
    </w:p>
  </w:footnote>
  <w:footnote w:id="303">
    <w:p w:rsidR="00FE4663" w:rsidRPr="00DF7948" w:rsidRDefault="00FE4663" w:rsidP="00463239">
      <w:pPr>
        <w:pStyle w:val="FootnoteText"/>
      </w:pPr>
      <w:r w:rsidRPr="00DF7948">
        <w:rPr>
          <w:rStyle w:val="FootnoteReference"/>
        </w:rPr>
        <w:footnoteRef/>
      </w:r>
      <w:r w:rsidRPr="00DF7948">
        <w:t xml:space="preserve"> </w:t>
      </w:r>
      <w:r w:rsidRPr="00DF7948">
        <w:rPr>
          <w:i/>
        </w:rPr>
        <w:t xml:space="preserve">See </w:t>
      </w:r>
      <w:r w:rsidRPr="00DF7948">
        <w:t>47 C.F.R. § 1.2105(a)(2)(ii)(A).</w:t>
      </w:r>
    </w:p>
  </w:footnote>
  <w:footnote w:id="304">
    <w:p w:rsidR="00FE4663" w:rsidRPr="00DF7948" w:rsidRDefault="00FE4663">
      <w:pPr>
        <w:pStyle w:val="FootnoteText"/>
      </w:pPr>
      <w:r w:rsidRPr="00DF7948">
        <w:rPr>
          <w:rStyle w:val="FootnoteReference"/>
        </w:rPr>
        <w:footnoteRef/>
      </w:r>
      <w:r w:rsidRPr="00DF7948">
        <w:t xml:space="preserve"> Section 1.2105(a)(2) requires that the name and title of an officer or director be reported if the applicant is a corporation.  This rule requires disclosure of the name and title of a responsible person if a partner is not a natural person.  </w:t>
      </w:r>
    </w:p>
  </w:footnote>
  <w:footnote w:id="305">
    <w:p w:rsidR="00FE4663" w:rsidRPr="00DF7948" w:rsidRDefault="00FE4663" w:rsidP="0083488E">
      <w:pPr>
        <w:pStyle w:val="FootnoteText"/>
      </w:pPr>
      <w:r w:rsidRPr="00DF7948">
        <w:rPr>
          <w:rStyle w:val="FootnoteReference"/>
          <w:sz w:val="20"/>
        </w:rPr>
        <w:footnoteRef/>
      </w:r>
      <w:r w:rsidRPr="00DF7948">
        <w:t xml:space="preserve"> </w:t>
      </w:r>
      <w:r>
        <w:t>Commission staff</w:t>
      </w:r>
      <w:r w:rsidRPr="00DF7948">
        <w:t xml:space="preserve"> will communicate only with an applicant’s contact person or certifying official, as designated on the applicant’s FCC Form 175, unless the applicant’s certifying official or contact person notifies the Commission in writing that applicant’s counsel or other representative is authorized to speak on its behalf.  Authorizations may be sent by e-mail to </w:t>
      </w:r>
      <w:hyperlink r:id="rId4" w:history="1">
        <w:r w:rsidRPr="000B19B0">
          <w:rPr>
            <w:rStyle w:val="Hyperlink"/>
          </w:rPr>
          <w:t>auction9</w:t>
        </w:r>
        <w:r>
          <w:rPr>
            <w:rStyle w:val="Hyperlink"/>
          </w:rPr>
          <w:t>6</w:t>
        </w:r>
        <w:r w:rsidRPr="000B19B0">
          <w:rPr>
            <w:rStyle w:val="Hyperlink"/>
          </w:rPr>
          <w:t>@fcc.gov</w:t>
        </w:r>
      </w:hyperlink>
      <w:r w:rsidRPr="00DF7948">
        <w:t>.</w:t>
      </w:r>
    </w:p>
  </w:footnote>
  <w:footnote w:id="306">
    <w:p w:rsidR="00FE4663" w:rsidRPr="00764293" w:rsidRDefault="00FE4663" w:rsidP="00463239">
      <w:pPr>
        <w:pStyle w:val="FootnoteText"/>
      </w:pPr>
      <w:r w:rsidRPr="00DF7948">
        <w:rPr>
          <w:rStyle w:val="FootnoteReference"/>
        </w:rPr>
        <w:footnoteRef/>
      </w:r>
      <w:r w:rsidRPr="00DF7948">
        <w:t xml:space="preserve"> </w:t>
      </w:r>
      <w:r w:rsidRPr="00DF7948">
        <w:rPr>
          <w:i/>
        </w:rPr>
        <w:t xml:space="preserve">See </w:t>
      </w:r>
      <w:r w:rsidRPr="00DF7948">
        <w:t>47 C.F.R. § 1.2105(a)(2)(iii).</w:t>
      </w:r>
    </w:p>
  </w:footnote>
  <w:footnote w:id="307">
    <w:p w:rsidR="00FE4663" w:rsidRPr="00764293" w:rsidRDefault="00FE4663" w:rsidP="0083488E">
      <w:pPr>
        <w:pStyle w:val="FootnoteText"/>
      </w:pPr>
      <w:r w:rsidRPr="00764293">
        <w:rPr>
          <w:rStyle w:val="FootnoteReference"/>
        </w:rPr>
        <w:footnoteRef/>
      </w:r>
      <w:r w:rsidRPr="00764293">
        <w:t xml:space="preserve"> </w:t>
      </w:r>
      <w:r w:rsidRPr="00764293">
        <w:rPr>
          <w:i/>
        </w:rPr>
        <w:t xml:space="preserve">See </w:t>
      </w:r>
      <w:r w:rsidRPr="00764293">
        <w:t>47 C.F.R. §§ 1.2105</w:t>
      </w:r>
      <w:r>
        <w:t>(a)(2)(iv)</w:t>
      </w:r>
      <w:r w:rsidRPr="00764293">
        <w:t>.</w:t>
      </w:r>
    </w:p>
  </w:footnote>
  <w:footnote w:id="308">
    <w:p w:rsidR="00FE4663" w:rsidRPr="00F46145" w:rsidRDefault="00FE4663" w:rsidP="0003214A">
      <w:pPr>
        <w:pStyle w:val="FootnoteText"/>
      </w:pPr>
      <w:r w:rsidRPr="00915E0F">
        <w:rPr>
          <w:rStyle w:val="FootnoteReference"/>
          <w:sz w:val="20"/>
        </w:rPr>
        <w:footnoteRef/>
      </w:r>
      <w:r w:rsidRPr="00F46145">
        <w:t xml:space="preserve"> 47 C.F.R. § 1.2105(a)(2)(i).</w:t>
      </w:r>
    </w:p>
  </w:footnote>
  <w:footnote w:id="309">
    <w:p w:rsidR="00FE4663" w:rsidRPr="001F60FA" w:rsidRDefault="00FE4663" w:rsidP="0083488E">
      <w:pPr>
        <w:pStyle w:val="FootnoteText"/>
      </w:pPr>
      <w:r w:rsidRPr="001F60FA">
        <w:rPr>
          <w:rStyle w:val="FootnoteReference"/>
          <w:sz w:val="20"/>
        </w:rPr>
        <w:footnoteRef/>
      </w:r>
      <w:r w:rsidRPr="001F60FA">
        <w:t xml:space="preserve"> 47 C.F.R. § 1.2105(a)(2)(viii).</w:t>
      </w:r>
    </w:p>
  </w:footnote>
  <w:footnote w:id="310">
    <w:p w:rsidR="00FE4663" w:rsidRPr="001F60FA" w:rsidRDefault="00FE4663" w:rsidP="0083488E">
      <w:pPr>
        <w:pStyle w:val="FootnoteText"/>
      </w:pPr>
      <w:r w:rsidRPr="001F60FA">
        <w:rPr>
          <w:rStyle w:val="FootnoteReference"/>
        </w:rPr>
        <w:footnoteRef/>
      </w:r>
      <w:r w:rsidRPr="001F60FA">
        <w:t xml:space="preserve"> </w:t>
      </w:r>
      <w:r w:rsidRPr="001F60FA">
        <w:rPr>
          <w:bCs/>
        </w:rPr>
        <w:t xml:space="preserve">Applicants are reminded that, for purposes </w:t>
      </w:r>
      <w:r w:rsidRPr="00F338B6">
        <w:t>of the communication prohibition</w:t>
      </w:r>
      <w:r>
        <w:t>s</w:t>
      </w:r>
      <w:r w:rsidRPr="00F338B6">
        <w:t xml:space="preserve"> of 47</w:t>
      </w:r>
      <w:r w:rsidRPr="001F60FA">
        <w:t xml:space="preserve"> C.F.R. §</w:t>
      </w:r>
      <w:r>
        <w:t xml:space="preserve"> 1.2105(c), section</w:t>
      </w:r>
      <w:r w:rsidRPr="001F60FA">
        <w:t xml:space="preserve"> 1.2105(c)(7)(i) defines “applicant” as including all officers and directors of the entity submitting a short-form application to participate in the auction, all controlling interests of that entity, as well as all holders of partnership and other ownership interests and any stock interest amounting to 10 percent or more of the entity, or outstanding stock, or outstanding voting stock of the entity submitting a short-form application.</w:t>
      </w:r>
    </w:p>
  </w:footnote>
  <w:footnote w:id="311">
    <w:p w:rsidR="00FE4663" w:rsidRPr="001D7C3F" w:rsidRDefault="00FE4663" w:rsidP="0083488E">
      <w:pPr>
        <w:pStyle w:val="FootnoteText"/>
      </w:pPr>
      <w:r w:rsidRPr="001F60FA">
        <w:rPr>
          <w:rStyle w:val="FootnoteReference"/>
        </w:rPr>
        <w:footnoteRef/>
      </w:r>
      <w:r w:rsidRPr="001F60FA">
        <w:t xml:space="preserve"> As explained in the discussion above</w:t>
      </w:r>
      <w:r>
        <w:t xml:space="preserve"> about the communication prohibitions of section 1.2105(c)</w:t>
      </w:r>
      <w:r w:rsidRPr="001F60FA">
        <w:t xml:space="preserve">, the failure to report an agreement in both short-form applications when </w:t>
      </w:r>
      <w:r>
        <w:t xml:space="preserve">a </w:t>
      </w:r>
      <w:r w:rsidRPr="001F60FA">
        <w:t>specified individual</w:t>
      </w:r>
      <w:r>
        <w:t xml:space="preserve"> i</w:t>
      </w:r>
      <w:r w:rsidRPr="001F60FA">
        <w:t xml:space="preserve">s involved with two applicants in the same auction can result in a violation of </w:t>
      </w:r>
      <w:r>
        <w:t>section 1.2105(c)</w:t>
      </w:r>
      <w:r w:rsidRPr="001F60FA">
        <w:t>.  Where an individual served as an officer for two</w:t>
      </w:r>
      <w:r>
        <w:t xml:space="preserve"> or more applicants, the Bureau</w:t>
      </w:r>
      <w:r w:rsidRPr="001F60FA">
        <w:t xml:space="preserve"> ha</w:t>
      </w:r>
      <w:r>
        <w:t>s</w:t>
      </w:r>
      <w:r w:rsidRPr="001F60FA">
        <w:t xml:space="preserve"> found that the bids and bidding strategies of one applicant are necessarily conveyed to the other applicant, and, absent a disclosed bidding agreement, an apparent violation of </w:t>
      </w:r>
      <w:r>
        <w:t>section 1.2105(c)</w:t>
      </w:r>
      <w:r w:rsidRPr="001F60FA">
        <w:t xml:space="preserve"> occurs.  </w:t>
      </w:r>
      <w:r w:rsidRPr="00DF7948">
        <w:rPr>
          <w:i/>
        </w:rPr>
        <w:t>See, e.g., Trinity</w:t>
      </w:r>
      <w:r w:rsidRPr="00DF7948">
        <w:t>, 20 FCC Rcd at 14648(finding apparent violation</w:t>
      </w:r>
      <w:r w:rsidRPr="001F60FA">
        <w:t xml:space="preserve"> of </w:t>
      </w:r>
      <w:r>
        <w:t>communication prohibitions of section 1.2105(c)</w:t>
      </w:r>
      <w:r w:rsidRPr="001F60FA">
        <w:t xml:space="preserve"> where applicants with mutually exclusive applications reported sharing same individual as an officer and director and reported having no bidding agreement).</w:t>
      </w:r>
      <w:r w:rsidRPr="001D7C3F">
        <w:t xml:space="preserve">  </w:t>
      </w:r>
    </w:p>
  </w:footnote>
  <w:footnote w:id="312">
    <w:p w:rsidR="00FE4663" w:rsidRPr="00915E0F" w:rsidRDefault="00FE4663" w:rsidP="0083488E">
      <w:pPr>
        <w:pStyle w:val="FootnoteText"/>
      </w:pPr>
      <w:r w:rsidRPr="00915E0F">
        <w:rPr>
          <w:rStyle w:val="FootnoteReference"/>
          <w:sz w:val="20"/>
        </w:rPr>
        <w:footnoteRef/>
      </w:r>
      <w:r w:rsidRPr="00915E0F">
        <w:t xml:space="preserve"> 47 C.F.R. §§ 1.2105(a)(</w:t>
      </w:r>
      <w:r w:rsidRPr="00DF7948">
        <w:t>2)(ii)(A)-(B), 1.2110,</w:t>
      </w:r>
      <w:r>
        <w:t xml:space="preserve"> and</w:t>
      </w:r>
      <w:r w:rsidRPr="00DF7948">
        <w:t xml:space="preserve"> 1.2112</w:t>
      </w:r>
      <w:r w:rsidRPr="001F60FA">
        <w:t>.</w:t>
      </w:r>
    </w:p>
  </w:footnote>
  <w:footnote w:id="313">
    <w:p w:rsidR="00FE4663" w:rsidRPr="00915E0F" w:rsidRDefault="00FE4663" w:rsidP="0083488E">
      <w:pPr>
        <w:pStyle w:val="FootnoteText"/>
      </w:pPr>
      <w:r w:rsidRPr="00915E0F">
        <w:rPr>
          <w:rStyle w:val="FootnoteReference"/>
          <w:sz w:val="20"/>
        </w:rPr>
        <w:footnoteRef/>
      </w:r>
      <w:r w:rsidRPr="00915E0F">
        <w:t xml:space="preserve"> 47 C.F.R. § 1.2112.</w:t>
      </w:r>
    </w:p>
  </w:footnote>
  <w:footnote w:id="314">
    <w:p w:rsidR="00FE4663" w:rsidRDefault="00FE4663" w:rsidP="002131B0">
      <w:pPr>
        <w:pStyle w:val="FootnoteText"/>
        <w:tabs>
          <w:tab w:val="left" w:pos="4590"/>
        </w:tabs>
        <w:rPr>
          <w:i/>
        </w:rPr>
      </w:pPr>
      <w:r>
        <w:rPr>
          <w:rStyle w:val="FootnoteReference"/>
        </w:rPr>
        <w:footnoteRef/>
      </w:r>
      <w:r>
        <w:t xml:space="preserve"> Applicants claiming eligibility for bidding credits based on revenues are also required to disclose in separate attachments information related to arrangements for the lease or resale (including wholesale agreements) of any of the capacity of any of the applicant’s spectrum.  47 C.F.R. §§ 1.2112(b)(1)(iii) and (iv).  The procedure for attaching this information to the application is described below</w:t>
      </w:r>
      <w:r>
        <w:rPr>
          <w:i/>
        </w:rPr>
        <w:t xml:space="preserve"> </w:t>
      </w:r>
      <w:r w:rsidRPr="00864271">
        <w:t xml:space="preserve">in </w:t>
      </w:r>
      <w:r w:rsidRPr="00115B71">
        <w:t>Section I.C.6</w:t>
      </w:r>
      <w:r w:rsidRPr="00C3296C">
        <w:t>. “</w:t>
      </w:r>
      <w:r>
        <w:t>Attaching Additional Information,” below.</w:t>
      </w:r>
    </w:p>
  </w:footnote>
  <w:footnote w:id="315">
    <w:p w:rsidR="00FE4663" w:rsidRPr="00915E0F" w:rsidRDefault="00FE4663" w:rsidP="0083488E">
      <w:pPr>
        <w:spacing w:after="120"/>
        <w:rPr>
          <w:sz w:val="20"/>
        </w:rPr>
      </w:pPr>
      <w:r w:rsidRPr="00915E0F">
        <w:rPr>
          <w:rStyle w:val="FootnoteReference"/>
          <w:snapToGrid/>
          <w:kern w:val="0"/>
          <w:sz w:val="20"/>
        </w:rPr>
        <w:footnoteRef/>
      </w:r>
      <w:r>
        <w:rPr>
          <w:snapToGrid/>
          <w:kern w:val="0"/>
          <w:sz w:val="20"/>
        </w:rPr>
        <w:t xml:space="preserve"> </w:t>
      </w:r>
      <w:r w:rsidRPr="00915E0F">
        <w:rPr>
          <w:sz w:val="20"/>
        </w:rPr>
        <w:t xml:space="preserve">47 C.F.R. §§ 1.2105, 1.2112(a). </w:t>
      </w:r>
      <w:r>
        <w:rPr>
          <w:sz w:val="20"/>
        </w:rPr>
        <w:t xml:space="preserve"> Section 1.2105 requires the disclosure on the short-form application of applicant ownership information as set forth in Section 1.2112.  </w:t>
      </w:r>
    </w:p>
  </w:footnote>
  <w:footnote w:id="316">
    <w:p w:rsidR="00FE4663" w:rsidRPr="00422291" w:rsidRDefault="00FE4663" w:rsidP="0083488E">
      <w:pPr>
        <w:spacing w:after="120"/>
        <w:rPr>
          <w:sz w:val="20"/>
          <w:lang w:val="es-ES_tradnl"/>
        </w:rPr>
      </w:pPr>
      <w:r w:rsidRPr="00915E0F">
        <w:rPr>
          <w:rStyle w:val="FootnoteReference"/>
          <w:snapToGrid/>
          <w:kern w:val="0"/>
          <w:sz w:val="20"/>
        </w:rPr>
        <w:footnoteRef/>
      </w:r>
      <w:r>
        <w:rPr>
          <w:snapToGrid/>
          <w:kern w:val="0"/>
          <w:sz w:val="20"/>
          <w:lang w:val="es-ES_tradnl"/>
        </w:rPr>
        <w:t xml:space="preserve"> </w:t>
      </w:r>
      <w:r w:rsidRPr="00422291">
        <w:rPr>
          <w:sz w:val="20"/>
          <w:lang w:val="es-ES_tradnl"/>
        </w:rPr>
        <w:t>47 C.F.R. § 1.2112(a)(7).</w:t>
      </w:r>
    </w:p>
  </w:footnote>
  <w:footnote w:id="317">
    <w:p w:rsidR="00FE4663" w:rsidRPr="00422291" w:rsidRDefault="00FE4663" w:rsidP="0083488E">
      <w:pPr>
        <w:pStyle w:val="FootnoteText"/>
        <w:rPr>
          <w:lang w:val="es-ES_tradnl"/>
        </w:rPr>
      </w:pPr>
      <w:r w:rsidRPr="00915E0F">
        <w:rPr>
          <w:rStyle w:val="FootnoteReference"/>
          <w:sz w:val="20"/>
        </w:rPr>
        <w:footnoteRef/>
      </w:r>
      <w:r w:rsidRPr="00422291">
        <w:rPr>
          <w:lang w:val="es-ES_tradnl"/>
        </w:rPr>
        <w:t xml:space="preserve"> 47 C.F.R. § 1.2112(a)(6).</w:t>
      </w:r>
    </w:p>
  </w:footnote>
  <w:footnote w:id="318">
    <w:p w:rsidR="00FE4663" w:rsidRPr="00422291" w:rsidRDefault="00FE4663" w:rsidP="0083488E">
      <w:pPr>
        <w:pStyle w:val="FootnoteText"/>
        <w:rPr>
          <w:lang w:val="es-ES_tradnl"/>
        </w:rPr>
      </w:pPr>
      <w:r w:rsidRPr="00915E0F">
        <w:rPr>
          <w:rStyle w:val="FootnoteReference"/>
          <w:sz w:val="20"/>
        </w:rPr>
        <w:footnoteRef/>
      </w:r>
      <w:r w:rsidRPr="00422291">
        <w:rPr>
          <w:lang w:val="es-ES_tradnl"/>
        </w:rPr>
        <w:t xml:space="preserve"> </w:t>
      </w:r>
      <w:r w:rsidRPr="00422291">
        <w:rPr>
          <w:i/>
          <w:lang w:val="es-ES_tradnl"/>
        </w:rPr>
        <w:t>Id</w:t>
      </w:r>
      <w:r w:rsidRPr="00422291">
        <w:rPr>
          <w:lang w:val="es-ES_tradnl"/>
        </w:rPr>
        <w:t>.</w:t>
      </w:r>
    </w:p>
  </w:footnote>
  <w:footnote w:id="319">
    <w:p w:rsidR="00FE4663" w:rsidRDefault="00FE4663">
      <w:pPr>
        <w:pStyle w:val="FootnoteText"/>
      </w:pPr>
      <w:r>
        <w:rPr>
          <w:rStyle w:val="FootnoteReference"/>
        </w:rPr>
        <w:footnoteRef/>
      </w:r>
      <w:r>
        <w:t xml:space="preserve"> </w:t>
      </w:r>
      <w:r w:rsidRPr="002131B0">
        <w:rPr>
          <w:i/>
        </w:rPr>
        <w:t>See</w:t>
      </w:r>
      <w:r>
        <w:t xml:space="preserve"> </w:t>
      </w:r>
      <w:r w:rsidRPr="00422291">
        <w:rPr>
          <w:lang w:val="es-ES_tradnl"/>
        </w:rPr>
        <w:t>47 C.F.R. § 1.2112</w:t>
      </w:r>
      <w:r>
        <w:rPr>
          <w:lang w:val="es-ES_tradnl"/>
        </w:rPr>
        <w:t>(b)(1)(i).</w:t>
      </w:r>
    </w:p>
  </w:footnote>
  <w:footnote w:id="320">
    <w:p w:rsidR="00FE4663" w:rsidRDefault="00FE4663" w:rsidP="005228F0">
      <w:pPr>
        <w:pStyle w:val="FootnoteText"/>
        <w:rPr>
          <w:i/>
        </w:rPr>
      </w:pPr>
      <w:r>
        <w:rPr>
          <w:rStyle w:val="FootnoteReference"/>
        </w:rPr>
        <w:footnoteRef/>
      </w:r>
      <w:r>
        <w:t xml:space="preserve"> </w:t>
      </w:r>
      <w:r>
        <w:rPr>
          <w:i/>
        </w:rPr>
        <w:t>See</w:t>
      </w:r>
      <w:r>
        <w:t xml:space="preserve"> 47 C.F.R. §§ 1.2112(b)(1)(iii) and (iv).</w:t>
      </w:r>
    </w:p>
  </w:footnote>
  <w:footnote w:id="321">
    <w:p w:rsidR="00FE4663" w:rsidRDefault="00FE4663" w:rsidP="005228F0">
      <w:pPr>
        <w:pStyle w:val="FootnoteText"/>
        <w:rPr>
          <w:lang w:val="es-ES_tradnl"/>
        </w:rPr>
      </w:pPr>
      <w:r>
        <w:rPr>
          <w:rStyle w:val="FootnoteReference"/>
        </w:rPr>
        <w:footnoteRef/>
      </w:r>
      <w:r>
        <w:rPr>
          <w:lang w:val="es-ES_tradnl"/>
        </w:rPr>
        <w:t xml:space="preserve"> 47 C.F.R. § 1.2110(o).</w:t>
      </w:r>
    </w:p>
  </w:footnote>
  <w:footnote w:id="322">
    <w:p w:rsidR="00FE4663" w:rsidRDefault="00FE4663" w:rsidP="005228F0">
      <w:pPr>
        <w:pStyle w:val="FootnoteText"/>
        <w:rPr>
          <w:lang w:val="es-ES_tradnl"/>
        </w:rPr>
      </w:pPr>
      <w:r>
        <w:rPr>
          <w:rStyle w:val="FootnoteReference"/>
        </w:rPr>
        <w:footnoteRef/>
      </w:r>
      <w:r>
        <w:rPr>
          <w:lang w:val="es-ES_tradnl"/>
        </w:rPr>
        <w:t xml:space="preserve"> 47 C.F.R. § 1.2112(b)(1)(iii).</w:t>
      </w:r>
    </w:p>
  </w:footnote>
  <w:footnote w:id="323">
    <w:p w:rsidR="00FE4663" w:rsidRDefault="00FE4663" w:rsidP="005228F0">
      <w:pPr>
        <w:pStyle w:val="FootnoteText"/>
        <w:rPr>
          <w:lang w:val="es-ES_tradnl"/>
        </w:rPr>
      </w:pPr>
      <w:r>
        <w:rPr>
          <w:rStyle w:val="FootnoteReference"/>
        </w:rPr>
        <w:footnoteRef/>
      </w:r>
      <w:r>
        <w:rPr>
          <w:lang w:val="es-ES_tradnl"/>
        </w:rPr>
        <w:t xml:space="preserve"> 47 C.F.R. § 1.2110(c)(5).</w:t>
      </w:r>
    </w:p>
  </w:footnote>
  <w:footnote w:id="324">
    <w:p w:rsidR="00FE4663" w:rsidRDefault="00FE4663" w:rsidP="005228F0">
      <w:pPr>
        <w:pStyle w:val="FootnoteText"/>
        <w:rPr>
          <w:lang w:val="es-ES_tradnl"/>
        </w:rPr>
      </w:pPr>
      <w:r>
        <w:rPr>
          <w:rStyle w:val="FootnoteReference"/>
        </w:rPr>
        <w:footnoteRef/>
      </w:r>
      <w:r>
        <w:rPr>
          <w:lang w:val="es-ES_tradnl"/>
        </w:rPr>
        <w:t xml:space="preserve"> 47 C.F.R. § 1.2112(b)(1)(iii).</w:t>
      </w:r>
    </w:p>
  </w:footnote>
  <w:footnote w:id="325">
    <w:p w:rsidR="00FE4663" w:rsidRDefault="00FE4663" w:rsidP="005228F0">
      <w:pPr>
        <w:pStyle w:val="FootnoteText"/>
      </w:pPr>
      <w:r>
        <w:rPr>
          <w:rStyle w:val="FootnoteReference"/>
        </w:rPr>
        <w:footnoteRef/>
      </w:r>
      <w:r>
        <w:t xml:space="preserve"> </w:t>
      </w:r>
      <w:r>
        <w:rPr>
          <w:i/>
        </w:rPr>
        <w:t xml:space="preserve">Compare </w:t>
      </w:r>
      <w:r>
        <w:t>47 C.F.R. § 1.2110(c)(2) (definition of controlling interests) and (c)(5)(definition of affiliate)</w:t>
      </w:r>
      <w:r>
        <w:rPr>
          <w:i/>
        </w:rPr>
        <w:t xml:space="preserve"> with </w:t>
      </w:r>
      <w:r>
        <w:t>47 C.F.R. § 1.2112(a) (describing disclosable interest holders).</w:t>
      </w:r>
    </w:p>
  </w:footnote>
  <w:footnote w:id="326">
    <w:p w:rsidR="00FE4663" w:rsidRDefault="00FE4663" w:rsidP="005228F0">
      <w:pPr>
        <w:pStyle w:val="FootnoteText"/>
      </w:pPr>
      <w:r>
        <w:rPr>
          <w:rStyle w:val="FootnoteReference"/>
        </w:rPr>
        <w:footnoteRef/>
      </w:r>
      <w:r>
        <w:t xml:space="preserve"> 47 C.F.R. § 1.2110(b)(3)(iii).</w:t>
      </w:r>
    </w:p>
  </w:footnote>
  <w:footnote w:id="327">
    <w:p w:rsidR="00FE4663" w:rsidRDefault="00FE4663" w:rsidP="005228F0">
      <w:pPr>
        <w:pStyle w:val="FootnoteText"/>
      </w:pPr>
      <w:r>
        <w:rPr>
          <w:rStyle w:val="FootnoteReference"/>
        </w:rPr>
        <w:footnoteRef/>
      </w:r>
      <w:r>
        <w:t xml:space="preserve"> </w:t>
      </w:r>
      <w:r w:rsidRPr="00F6658A">
        <w:rPr>
          <w:i/>
        </w:rPr>
        <w:t>See Fifth Report and Order’s Second Reconsideration Order</w:t>
      </w:r>
      <w:r w:rsidRPr="00F6658A">
        <w:t>, 20 FCC Rcd at 1942.</w:t>
      </w:r>
    </w:p>
  </w:footnote>
  <w:footnote w:id="328">
    <w:p w:rsidR="00FE4663" w:rsidRDefault="00FE4663" w:rsidP="005228F0">
      <w:pPr>
        <w:pStyle w:val="FootnoteText"/>
      </w:pPr>
      <w:r>
        <w:rPr>
          <w:rStyle w:val="FootnoteReference"/>
        </w:rPr>
        <w:footnoteRef/>
      </w:r>
      <w:r>
        <w:t xml:space="preserve"> 47 C.F.R. § 1.2112(b)(1)(iii).</w:t>
      </w:r>
    </w:p>
  </w:footnote>
  <w:footnote w:id="329">
    <w:p w:rsidR="00FE4663" w:rsidRDefault="00FE4663" w:rsidP="005228F0">
      <w:pPr>
        <w:pStyle w:val="FootnoteText"/>
      </w:pPr>
      <w:r>
        <w:rPr>
          <w:rStyle w:val="FootnoteReference"/>
        </w:rPr>
        <w:footnoteRef/>
      </w:r>
      <w:r>
        <w:t xml:space="preserve"> </w:t>
      </w:r>
      <w:r>
        <w:rPr>
          <w:i/>
        </w:rPr>
        <w:t>Id</w:t>
      </w:r>
      <w:r>
        <w:t>.</w:t>
      </w:r>
    </w:p>
  </w:footnote>
  <w:footnote w:id="330">
    <w:p w:rsidR="00FE4663" w:rsidRPr="00BC39E5" w:rsidRDefault="00FE4663" w:rsidP="00FE70ED">
      <w:pPr>
        <w:pStyle w:val="FootnoteText"/>
        <w:rPr>
          <w:u w:val="single"/>
        </w:rPr>
      </w:pPr>
      <w:r w:rsidRPr="00AC5BC5">
        <w:rPr>
          <w:rStyle w:val="FootnoteReference"/>
          <w:sz w:val="20"/>
        </w:rPr>
        <w:footnoteRef/>
      </w:r>
      <w:r w:rsidRPr="00AC5BC5">
        <w:t xml:space="preserve"> </w:t>
      </w:r>
      <w:r w:rsidRPr="00BC39E5">
        <w:rPr>
          <w:i/>
        </w:rPr>
        <w:t xml:space="preserve">See </w:t>
      </w:r>
      <w:r w:rsidRPr="00BC39E5">
        <w:t>47 U.S.C. §§ 310</w:t>
      </w:r>
      <w:r>
        <w:t xml:space="preserve"> (a), (b)</w:t>
      </w:r>
      <w:r w:rsidRPr="00BC39E5">
        <w:t xml:space="preserve">.  </w:t>
      </w:r>
    </w:p>
  </w:footnote>
  <w:footnote w:id="331">
    <w:p w:rsidR="00FE4663" w:rsidRPr="00BC39E5" w:rsidRDefault="00FE4663" w:rsidP="00FE70ED">
      <w:pPr>
        <w:pStyle w:val="FootnoteText"/>
      </w:pPr>
      <w:r w:rsidRPr="00BC39E5">
        <w:rPr>
          <w:rStyle w:val="FootnoteReference"/>
          <w:sz w:val="20"/>
        </w:rPr>
        <w:footnoteRef/>
      </w:r>
      <w:r>
        <w:t xml:space="preserve"> </w:t>
      </w:r>
      <w:r w:rsidRPr="00BC39E5">
        <w:rPr>
          <w:i/>
        </w:rPr>
        <w:t xml:space="preserve">See </w:t>
      </w:r>
      <w:r w:rsidRPr="00BC39E5">
        <w:rPr>
          <w:bCs/>
        </w:rPr>
        <w:t xml:space="preserve">Review of Foreign Ownership Policies for Common Carrier and Aeronautical Radio Licensees under Section 310(b)(4) of the Communications Act of 1934, as Amended, </w:t>
      </w:r>
      <w:r w:rsidRPr="00BC39E5">
        <w:rPr>
          <w:bCs/>
          <w:i/>
        </w:rPr>
        <w:t>Second Report and Order</w:t>
      </w:r>
      <w:r w:rsidRPr="00BC39E5">
        <w:t>, FCC 13-50, 28 FCC Rcd 5741, 574</w:t>
      </w:r>
      <w:r>
        <w:t>7</w:t>
      </w:r>
      <w:r w:rsidRPr="00BC39E5">
        <w:t>-4</w:t>
      </w:r>
      <w:r>
        <w:t>8</w:t>
      </w:r>
      <w:r w:rsidRPr="00BC39E5">
        <w:t xml:space="preserve"> ¶ </w:t>
      </w:r>
      <w:r>
        <w:t>7</w:t>
      </w:r>
      <w:r w:rsidRPr="00BC39E5">
        <w:t xml:space="preserve"> (2013) (“</w:t>
      </w:r>
      <w:r w:rsidRPr="00BC39E5">
        <w:rPr>
          <w:i/>
        </w:rPr>
        <w:t>Foreign Ownership Second Report and Order</w:t>
      </w:r>
      <w:r w:rsidRPr="00BC39E5">
        <w:t>”).</w:t>
      </w:r>
    </w:p>
  </w:footnote>
  <w:footnote w:id="332">
    <w:p w:rsidR="00FE4663" w:rsidRPr="00CF011D" w:rsidRDefault="00FE4663" w:rsidP="00FE70ED">
      <w:pPr>
        <w:pStyle w:val="FootnoteText"/>
      </w:pPr>
      <w:r w:rsidRPr="00BC39E5">
        <w:rPr>
          <w:rStyle w:val="FootnoteReference"/>
          <w:sz w:val="20"/>
        </w:rPr>
        <w:footnoteRef/>
      </w:r>
      <w:r w:rsidRPr="00BC39E5">
        <w:t xml:space="preserve"> 47 U.S.C. § 310(a).  This prohibition is absolute, and the Commission has no discretion to waive it.  </w:t>
      </w:r>
      <w:r w:rsidRPr="00BC39E5">
        <w:rPr>
          <w:i/>
        </w:rPr>
        <w:t>See Foreign Ownership Second Report and Order</w:t>
      </w:r>
      <w:r w:rsidRPr="00BC39E5">
        <w:t>, 28 FCC Rcd 5741, 5748-49 ¶ 8</w:t>
      </w:r>
      <w:r>
        <w:t xml:space="preserve">.  Section 310(a) </w:t>
      </w:r>
      <w:r w:rsidRPr="00CF011D">
        <w:t>does not</w:t>
      </w:r>
      <w:r>
        <w:t>, however,</w:t>
      </w:r>
      <w:r w:rsidRPr="00CF011D">
        <w:t xml:space="preserve"> prohibit indirect foreign government control of licensees</w:t>
      </w:r>
      <w:r>
        <w:t xml:space="preserve">. </w:t>
      </w:r>
      <w:r w:rsidRPr="00BC39E5">
        <w:rPr>
          <w:i/>
        </w:rPr>
        <w:t>See</w:t>
      </w:r>
      <w:r>
        <w:rPr>
          <w:i/>
        </w:rPr>
        <w:t xml:space="preserve"> id</w:t>
      </w:r>
      <w:r>
        <w:t>.</w:t>
      </w:r>
    </w:p>
  </w:footnote>
  <w:footnote w:id="333">
    <w:p w:rsidR="00FE4663" w:rsidRPr="004B551B" w:rsidRDefault="00FE4663" w:rsidP="00FE70ED">
      <w:pPr>
        <w:pStyle w:val="FootnoteText"/>
      </w:pPr>
      <w:r w:rsidRPr="00BC39E5">
        <w:rPr>
          <w:rStyle w:val="FootnoteReference"/>
          <w:sz w:val="20"/>
        </w:rPr>
        <w:footnoteRef/>
      </w:r>
      <w:r w:rsidRPr="00BC39E5">
        <w:t xml:space="preserve"> </w:t>
      </w:r>
      <w:r>
        <w:rPr>
          <w:i/>
        </w:rPr>
        <w:t xml:space="preserve">See </w:t>
      </w:r>
      <w:r w:rsidRPr="00BC39E5">
        <w:t>47 U.S.C. §§ 310(b)(1)</w:t>
      </w:r>
      <w:r w:rsidRPr="00BC39E5" w:rsidDel="00591324">
        <w:t xml:space="preserve">, </w:t>
      </w:r>
      <w:r w:rsidRPr="00BC39E5">
        <w:t>(2)</w:t>
      </w:r>
      <w:r>
        <w:t xml:space="preserve">; </w:t>
      </w:r>
      <w:r w:rsidRPr="00BC39E5">
        <w:rPr>
          <w:i/>
        </w:rPr>
        <w:t>Foreign Ownership Second Report and Order</w:t>
      </w:r>
      <w:r>
        <w:t xml:space="preserve">, 28 FCC Rcd at </w:t>
      </w:r>
      <w:r w:rsidRPr="00BC39E5">
        <w:t>574</w:t>
      </w:r>
      <w:r>
        <w:t xml:space="preserve">9 </w:t>
      </w:r>
      <w:r w:rsidRPr="00BC39E5">
        <w:t xml:space="preserve">¶ </w:t>
      </w:r>
      <w:r>
        <w:t>9</w:t>
      </w:r>
      <w:r w:rsidRPr="00BC39E5">
        <w:t>.  The prohibitions in sections 310(b)(1) and (b)(2) are absolute, and the Commission has no discretion to waive them.  As with section 310(a), these provisions do not bar an alien or representative, or a foreign-organized entity, from holding a controlling ownership interest in a U.S.-organized company that controls the licensee pursuant to the discretionary authority afforded by section 310(b)(4).</w:t>
      </w:r>
      <w:r>
        <w:t xml:space="preserve">  </w:t>
      </w:r>
      <w:r>
        <w:rPr>
          <w:i/>
        </w:rPr>
        <w:t xml:space="preserve">See </w:t>
      </w:r>
      <w:r w:rsidRPr="00BC39E5">
        <w:rPr>
          <w:i/>
        </w:rPr>
        <w:t>Foreign Ownership Second Report and Order</w:t>
      </w:r>
      <w:r>
        <w:t xml:space="preserve">, 28 FCC Rcd at </w:t>
      </w:r>
      <w:r w:rsidRPr="00BC39E5">
        <w:t>574</w:t>
      </w:r>
      <w:r>
        <w:t xml:space="preserve">9 </w:t>
      </w:r>
      <w:r w:rsidRPr="00BC39E5">
        <w:t xml:space="preserve">¶ </w:t>
      </w:r>
      <w:r>
        <w:t>9.  For ease of reference, we refer to aeronautical en route and aeronautical fixed radio station licenses as “aeronautical” licenses.</w:t>
      </w:r>
    </w:p>
  </w:footnote>
  <w:footnote w:id="334">
    <w:p w:rsidR="00FE4663" w:rsidRPr="00564D47" w:rsidRDefault="00FE4663" w:rsidP="00FE70ED">
      <w:pPr>
        <w:pStyle w:val="ParaNum"/>
        <w:numPr>
          <w:ilvl w:val="0"/>
          <w:numId w:val="0"/>
        </w:numPr>
        <w:tabs>
          <w:tab w:val="left" w:pos="720"/>
        </w:tabs>
        <w:rPr>
          <w:sz w:val="20"/>
        </w:rPr>
      </w:pPr>
      <w:r w:rsidRPr="005B74DC">
        <w:rPr>
          <w:rStyle w:val="FootnoteReference"/>
          <w:sz w:val="20"/>
        </w:rPr>
        <w:footnoteRef/>
      </w:r>
      <w:r w:rsidRPr="005B74DC">
        <w:rPr>
          <w:sz w:val="20"/>
        </w:rPr>
        <w:t xml:space="preserve"> </w:t>
      </w:r>
      <w:r w:rsidRPr="005B74DC">
        <w:rPr>
          <w:i/>
          <w:sz w:val="20"/>
        </w:rPr>
        <w:t xml:space="preserve">See </w:t>
      </w:r>
      <w:r w:rsidRPr="005B74DC">
        <w:rPr>
          <w:sz w:val="20"/>
        </w:rPr>
        <w:t>47 U.S.C. § 310(b)(3);</w:t>
      </w:r>
      <w:r w:rsidRPr="00564D47">
        <w:rPr>
          <w:sz w:val="20"/>
        </w:rPr>
        <w:t xml:space="preserve"> </w:t>
      </w:r>
      <w:r w:rsidRPr="00BC39E5">
        <w:rPr>
          <w:i/>
          <w:sz w:val="20"/>
        </w:rPr>
        <w:t>Foreign Ownership Second Report and Order</w:t>
      </w:r>
      <w:r w:rsidRPr="00BC39E5">
        <w:rPr>
          <w:sz w:val="20"/>
        </w:rPr>
        <w:t xml:space="preserve">, </w:t>
      </w:r>
      <w:r w:rsidRPr="00564D47">
        <w:rPr>
          <w:sz w:val="20"/>
        </w:rPr>
        <w:t xml:space="preserve">28 FCC Rcd at 5749 ¶ 9. </w:t>
      </w:r>
    </w:p>
  </w:footnote>
  <w:footnote w:id="335">
    <w:p w:rsidR="00FE4663" w:rsidRPr="00A422A3" w:rsidRDefault="00FE4663" w:rsidP="00FE70ED">
      <w:pPr>
        <w:pStyle w:val="ParaNum"/>
        <w:numPr>
          <w:ilvl w:val="0"/>
          <w:numId w:val="0"/>
        </w:numPr>
        <w:tabs>
          <w:tab w:val="left" w:pos="720"/>
        </w:tabs>
        <w:rPr>
          <w:i/>
          <w:sz w:val="20"/>
        </w:rPr>
      </w:pPr>
      <w:r w:rsidRPr="00A422A3">
        <w:rPr>
          <w:rStyle w:val="FootnoteReference"/>
          <w:sz w:val="20"/>
        </w:rPr>
        <w:footnoteRef/>
      </w:r>
      <w:r w:rsidRPr="00A422A3">
        <w:rPr>
          <w:sz w:val="20"/>
        </w:rPr>
        <w:t xml:space="preserve"> </w:t>
      </w:r>
      <w:r>
        <w:rPr>
          <w:i/>
          <w:sz w:val="20"/>
        </w:rPr>
        <w:t xml:space="preserve">See </w:t>
      </w:r>
      <w:r w:rsidRPr="00A422A3">
        <w:rPr>
          <w:sz w:val="20"/>
        </w:rPr>
        <w:t>47 U.S.C. § 310(b)(4)</w:t>
      </w:r>
      <w:r>
        <w:rPr>
          <w:sz w:val="20"/>
        </w:rPr>
        <w:t xml:space="preserve">; </w:t>
      </w:r>
      <w:r w:rsidRPr="00BC39E5">
        <w:rPr>
          <w:i/>
          <w:sz w:val="20"/>
        </w:rPr>
        <w:t>Foreign Ownership Second Report and Order</w:t>
      </w:r>
      <w:r w:rsidRPr="00BC39E5">
        <w:rPr>
          <w:sz w:val="20"/>
        </w:rPr>
        <w:t xml:space="preserve">, </w:t>
      </w:r>
      <w:r w:rsidRPr="00564D47">
        <w:rPr>
          <w:sz w:val="20"/>
        </w:rPr>
        <w:t>28 FCC Rcd at 5749 ¶ 9</w:t>
      </w:r>
      <w:r w:rsidRPr="00A422A3">
        <w:rPr>
          <w:sz w:val="20"/>
        </w:rPr>
        <w:t xml:space="preserve">.  A foreign individual, government, or entity may own, directly or indirectly, more than twenty-five percent (and up to one hundred percent) of the stock of a U.S.-organized entity that holds a controlling interest in a common carrier or aeronautical radio licensee, unless the Commission finds that the public interest will be served by refusing to permit such foreign ownership.  </w:t>
      </w:r>
      <w:r w:rsidRPr="00A422A3">
        <w:rPr>
          <w:i/>
          <w:sz w:val="20"/>
        </w:rPr>
        <w:t>See</w:t>
      </w:r>
      <w:r w:rsidRPr="005B74DC">
        <w:rPr>
          <w:i/>
          <w:sz w:val="20"/>
        </w:rPr>
        <w:t xml:space="preserve"> </w:t>
      </w:r>
      <w:r w:rsidRPr="00BC39E5">
        <w:rPr>
          <w:i/>
          <w:sz w:val="20"/>
        </w:rPr>
        <w:t>Foreign Ownership Second Report and Order</w:t>
      </w:r>
      <w:r w:rsidRPr="00A422A3">
        <w:rPr>
          <w:sz w:val="20"/>
        </w:rPr>
        <w:t>, 28 FCC Rcd 5741, 5749 ¶ 10</w:t>
      </w:r>
      <w:r>
        <w:rPr>
          <w:sz w:val="20"/>
        </w:rPr>
        <w:t xml:space="preserve">. </w:t>
      </w:r>
      <w:r w:rsidRPr="00A422A3">
        <w:rPr>
          <w:sz w:val="20"/>
        </w:rPr>
        <w:t xml:space="preserve"> </w:t>
      </w:r>
      <w:r w:rsidRPr="00AE23FC">
        <w:rPr>
          <w:sz w:val="20"/>
        </w:rPr>
        <w:t xml:space="preserve">Foreign interests in a U.S.-organized parent that controls the licensee are subject to section 310(b)(4), not section 310(b)(3), and </w:t>
      </w:r>
      <w:r>
        <w:rPr>
          <w:sz w:val="20"/>
        </w:rPr>
        <w:t>the Commission</w:t>
      </w:r>
      <w:r w:rsidRPr="00AE23FC">
        <w:rPr>
          <w:sz w:val="20"/>
        </w:rPr>
        <w:t xml:space="preserve"> will continue to assess foreign ownership interests subject to section 310(b)(4) separately from foreign ownership interests subject to section 310(b)(3).  </w:t>
      </w:r>
      <w:r>
        <w:rPr>
          <w:i/>
          <w:sz w:val="20"/>
        </w:rPr>
        <w:t xml:space="preserve">See </w:t>
      </w:r>
      <w:r w:rsidRPr="00AE23FC">
        <w:rPr>
          <w:i/>
          <w:sz w:val="20"/>
        </w:rPr>
        <w:t xml:space="preserve">Foreign Ownership </w:t>
      </w:r>
      <w:r>
        <w:rPr>
          <w:i/>
          <w:sz w:val="20"/>
        </w:rPr>
        <w:t>Second</w:t>
      </w:r>
      <w:r w:rsidRPr="00AE23FC">
        <w:rPr>
          <w:i/>
          <w:sz w:val="20"/>
        </w:rPr>
        <w:t xml:space="preserve"> Report and Order</w:t>
      </w:r>
      <w:r>
        <w:rPr>
          <w:sz w:val="20"/>
        </w:rPr>
        <w:t>, 28 FCC Rcd</w:t>
      </w:r>
      <w:r w:rsidRPr="00AE23FC">
        <w:rPr>
          <w:sz w:val="20"/>
        </w:rPr>
        <w:t xml:space="preserve"> at </w:t>
      </w:r>
      <w:r>
        <w:rPr>
          <w:sz w:val="20"/>
        </w:rPr>
        <w:t>5749</w:t>
      </w:r>
      <w:r w:rsidRPr="00AE23FC">
        <w:rPr>
          <w:sz w:val="20"/>
        </w:rPr>
        <w:t xml:space="preserve"> ¶ </w:t>
      </w:r>
      <w:r>
        <w:rPr>
          <w:sz w:val="20"/>
        </w:rPr>
        <w:t>9</w:t>
      </w:r>
      <w:r w:rsidRPr="00AE23FC">
        <w:rPr>
          <w:sz w:val="20"/>
        </w:rPr>
        <w:t xml:space="preserve"> n.</w:t>
      </w:r>
      <w:r>
        <w:rPr>
          <w:sz w:val="20"/>
        </w:rPr>
        <w:t>31</w:t>
      </w:r>
      <w:r w:rsidRPr="00AE23FC">
        <w:rPr>
          <w:sz w:val="20"/>
        </w:rPr>
        <w:t>.</w:t>
      </w:r>
    </w:p>
  </w:footnote>
  <w:footnote w:id="336">
    <w:p w:rsidR="00FE4663" w:rsidRDefault="00FE4663" w:rsidP="00FE70ED">
      <w:pPr>
        <w:pStyle w:val="ParaNum"/>
        <w:numPr>
          <w:ilvl w:val="0"/>
          <w:numId w:val="0"/>
        </w:numPr>
        <w:tabs>
          <w:tab w:val="left" w:pos="720"/>
        </w:tabs>
      </w:pPr>
      <w:r w:rsidRPr="00AE23FC">
        <w:rPr>
          <w:rStyle w:val="FootnoteReference"/>
          <w:sz w:val="20"/>
        </w:rPr>
        <w:footnoteRef/>
      </w:r>
      <w:r w:rsidRPr="00AE23FC">
        <w:rPr>
          <w:sz w:val="20"/>
        </w:rPr>
        <w:t xml:space="preserve"> </w:t>
      </w:r>
      <w:r w:rsidRPr="00AE23FC">
        <w:rPr>
          <w:i/>
          <w:sz w:val="20"/>
        </w:rPr>
        <w:t xml:space="preserve">See </w:t>
      </w:r>
      <w:r w:rsidRPr="00AE23FC">
        <w:rPr>
          <w:bCs/>
          <w:sz w:val="20"/>
        </w:rPr>
        <w:t xml:space="preserve">Review of Foreign Ownership Policies for Common Carrier and Aeronautical Radio Licensees under Section 310(b)(4) of the Communications Act of 1934, as Amended, </w:t>
      </w:r>
      <w:r w:rsidRPr="00AE23FC">
        <w:rPr>
          <w:i/>
          <w:sz w:val="20"/>
        </w:rPr>
        <w:t>First Report and Order</w:t>
      </w:r>
      <w:r w:rsidRPr="00AE23FC">
        <w:rPr>
          <w:sz w:val="20"/>
        </w:rPr>
        <w:t>, FCC 12-93, 27 FCC Rcd 9832 (2012) (“</w:t>
      </w:r>
      <w:r w:rsidRPr="00AE23FC">
        <w:rPr>
          <w:i/>
          <w:sz w:val="20"/>
        </w:rPr>
        <w:t>Foreign Ownership First Report and Order</w:t>
      </w:r>
      <w:r w:rsidRPr="00AE23FC">
        <w:rPr>
          <w:sz w:val="20"/>
        </w:rPr>
        <w:t xml:space="preserve">”).  </w:t>
      </w:r>
    </w:p>
  </w:footnote>
  <w:footnote w:id="337">
    <w:p w:rsidR="00FE4663" w:rsidRDefault="00FE4663" w:rsidP="00FE70ED">
      <w:pPr>
        <w:pStyle w:val="FootnoteText"/>
      </w:pPr>
      <w:r>
        <w:rPr>
          <w:rStyle w:val="FootnoteReference"/>
        </w:rPr>
        <w:footnoteRef/>
      </w:r>
      <w:r>
        <w:t xml:space="preserve"> </w:t>
      </w:r>
      <w:r w:rsidRPr="00B54C6C">
        <w:rPr>
          <w:i/>
        </w:rPr>
        <w:t xml:space="preserve">See </w:t>
      </w:r>
      <w:r w:rsidRPr="00A422A3">
        <w:rPr>
          <w:i/>
        </w:rPr>
        <w:t>Foreign Ownership Second Report and Order</w:t>
      </w:r>
      <w:r>
        <w:rPr>
          <w:i/>
        </w:rPr>
        <w:t>,</w:t>
      </w:r>
      <w:r w:rsidRPr="00E50F64">
        <w:t xml:space="preserve"> 28 FCC Rcd </w:t>
      </w:r>
      <w:r>
        <w:t xml:space="preserve">at 5758-5763 </w:t>
      </w:r>
      <w:r w:rsidRPr="00A422A3">
        <w:t>¶¶</w:t>
      </w:r>
      <w:r>
        <w:t xml:space="preserve"> 28-37; </w:t>
      </w:r>
      <w:r w:rsidRPr="009B21F9">
        <w:t>47 C.F.R. §</w:t>
      </w:r>
      <w:r>
        <w:t xml:space="preserve"> 1.990(a</w:t>
      </w:r>
      <w:r w:rsidRPr="009B21F9">
        <w:t>)</w:t>
      </w:r>
      <w:r>
        <w:t>(2)</w:t>
      </w:r>
      <w:r w:rsidRPr="00E50F64">
        <w:t>.</w:t>
      </w:r>
      <w:r>
        <w:t xml:space="preserve">  </w:t>
      </w:r>
      <w:r w:rsidRPr="00AE23FC">
        <w:t>In reviewing a licensee’s request to approve a higher level of foreign ownership</w:t>
      </w:r>
      <w:r>
        <w:t xml:space="preserve"> under the Commission’s section 310(b)(3) forbearance approach</w:t>
      </w:r>
      <w:r w:rsidRPr="00AE23FC">
        <w:t xml:space="preserve">, the Commission will apply the same foreign ownership policies and procedures that it applies under section 310(b)(4).  </w:t>
      </w:r>
      <w:r w:rsidRPr="00AE23FC">
        <w:rPr>
          <w:i/>
        </w:rPr>
        <w:t>Id.</w:t>
      </w:r>
    </w:p>
  </w:footnote>
  <w:footnote w:id="338">
    <w:p w:rsidR="00FE4663" w:rsidRPr="00E50F64" w:rsidRDefault="00FE4663" w:rsidP="00FE70ED">
      <w:pPr>
        <w:pStyle w:val="FootnoteText"/>
        <w:rPr>
          <w:i/>
        </w:rPr>
      </w:pPr>
      <w:r w:rsidRPr="00B54C6C">
        <w:rPr>
          <w:rStyle w:val="FootnoteReference"/>
        </w:rPr>
        <w:footnoteRef/>
      </w:r>
      <w:r w:rsidRPr="00B54C6C">
        <w:t xml:space="preserve"> </w:t>
      </w:r>
      <w:r w:rsidRPr="00B54C6C">
        <w:rPr>
          <w:i/>
        </w:rPr>
        <w:t xml:space="preserve">See </w:t>
      </w:r>
      <w:r w:rsidRPr="00A422A3">
        <w:rPr>
          <w:i/>
        </w:rPr>
        <w:t>Foreign Ownership Second Report and Order</w:t>
      </w:r>
      <w:r>
        <w:rPr>
          <w:i/>
        </w:rPr>
        <w:t>,</w:t>
      </w:r>
      <w:r w:rsidRPr="00E50F64">
        <w:t xml:space="preserve"> 28 FCC Rcd </w:t>
      </w:r>
      <w:r>
        <w:t xml:space="preserve">at 5758-5763 </w:t>
      </w:r>
      <w:r w:rsidRPr="00A422A3">
        <w:t>¶¶</w:t>
      </w:r>
      <w:r>
        <w:t xml:space="preserve"> 28-37; </w:t>
      </w:r>
      <w:r w:rsidRPr="009B21F9">
        <w:t>47 C.F.R. §</w:t>
      </w:r>
      <w:r>
        <w:t xml:space="preserve"> 1.990(a</w:t>
      </w:r>
      <w:r w:rsidRPr="009B21F9">
        <w:t>)</w:t>
      </w:r>
      <w:r>
        <w:t>(1).</w:t>
      </w:r>
    </w:p>
  </w:footnote>
  <w:footnote w:id="339">
    <w:p w:rsidR="00FE4663" w:rsidRPr="00B54C6C" w:rsidRDefault="00FE4663" w:rsidP="00FE70ED">
      <w:pPr>
        <w:pStyle w:val="FootnoteText"/>
      </w:pPr>
      <w:r w:rsidRPr="00B54C6C">
        <w:rPr>
          <w:rStyle w:val="FootnoteReference"/>
        </w:rPr>
        <w:footnoteRef/>
      </w:r>
      <w:r w:rsidRPr="00B54C6C">
        <w:t xml:space="preserve"> </w:t>
      </w:r>
      <w:r>
        <w:rPr>
          <w:i/>
        </w:rPr>
        <w:t xml:space="preserve">See </w:t>
      </w:r>
      <w:r w:rsidRPr="00B54C6C">
        <w:t xml:space="preserve">47 C.F.R. § 1.2105(a)(2)(v), (vi).  An applicant should attach to its short-form application as an exhibit a copy of its date-stamped request for declaratory ruling concerning its foreign ownership.  If an applicant has received a declaratory ruling </w:t>
      </w:r>
      <w:r>
        <w:t>from</w:t>
      </w:r>
      <w:r w:rsidRPr="00B54C6C">
        <w:t xml:space="preserve"> the Commission granting it permission to exceed the </w:t>
      </w:r>
      <w:r>
        <w:t xml:space="preserve">applicable foreign ownership limit or </w:t>
      </w:r>
      <w:r w:rsidRPr="00B54C6C">
        <w:t xml:space="preserve">benchmark </w:t>
      </w:r>
      <w:r>
        <w:t>in</w:t>
      </w:r>
      <w:r w:rsidRPr="00B54C6C">
        <w:t xml:space="preserve"> Section 310</w:t>
      </w:r>
      <w:r>
        <w:t>(b)</w:t>
      </w:r>
      <w:r w:rsidRPr="00B54C6C">
        <w:t>, it should attach to its short-form application an exhibit that identifies the citation(s) of the applicable declaratory ruling(s) by “DA” or “FCC” number, or by the FCC Record citation, if available, as well as the release date of the declaratory ruling, and any other identifying information.  It is not necessary for an applicant to file a request for declaratory ruling concerning its foreign ownership if the applicant attaches to its short-form application an exhibit showing that the requested license is exempt from the provisions of Section 310</w:t>
      </w:r>
      <w:r>
        <w:t>(b)(3</w:t>
      </w:r>
      <w:r w:rsidRPr="00B54C6C">
        <w:t xml:space="preserve">) </w:t>
      </w:r>
      <w:r>
        <w:t xml:space="preserve">or </w:t>
      </w:r>
      <w:r w:rsidRPr="00B54C6C">
        <w:t xml:space="preserve">(b)(4).  </w:t>
      </w:r>
    </w:p>
  </w:footnote>
  <w:footnote w:id="340">
    <w:p w:rsidR="00FE4663" w:rsidRPr="009B21F9" w:rsidRDefault="00FE4663" w:rsidP="00FE70ED">
      <w:pPr>
        <w:pStyle w:val="FootnoteText"/>
        <w:rPr>
          <w:i/>
        </w:rPr>
      </w:pPr>
      <w:r w:rsidRPr="009B21F9">
        <w:rPr>
          <w:rStyle w:val="FootnoteReference"/>
          <w:sz w:val="20"/>
        </w:rPr>
        <w:footnoteRef/>
      </w:r>
      <w:r w:rsidRPr="009B21F9">
        <w:t xml:space="preserve"> 47 C.F.R. § 1.990(b).  </w:t>
      </w:r>
    </w:p>
  </w:footnote>
  <w:footnote w:id="341">
    <w:p w:rsidR="00FE4663" w:rsidRDefault="00FE4663" w:rsidP="00B82213">
      <w:pPr>
        <w:pStyle w:val="FootnoteText"/>
      </w:pPr>
      <w:r>
        <w:rPr>
          <w:rStyle w:val="FootnoteReference"/>
        </w:rPr>
        <w:footnoteRef/>
      </w:r>
      <w:r>
        <w:t xml:space="preserve"> Applicants claiming eligibility for bidding credits must disclose (1) a list of all parties with which the applicant has entered into arrangements for the lease or resale (including wholesale agreements) of any of the capacity of any of the applicant’s spectrum, and (2) a list, separately and in the aggregate, of the gross revenues of entities with which the applicant has an attributable material relationship.  47 C.F.R. §§ 1.2112(b)(1)(iii)-(iv).  These lists should be provided in an attachment to the application, with the attachment type identified as “Other.”</w:t>
      </w:r>
    </w:p>
  </w:footnote>
  <w:footnote w:id="342">
    <w:p w:rsidR="00FE4663" w:rsidRPr="00915E0F" w:rsidRDefault="00FE4663" w:rsidP="0083488E">
      <w:pPr>
        <w:pStyle w:val="FootnoteText"/>
      </w:pPr>
      <w:r w:rsidRPr="00915E0F">
        <w:rPr>
          <w:rStyle w:val="FootnoteReference"/>
          <w:sz w:val="20"/>
        </w:rPr>
        <w:footnoteRef/>
      </w:r>
      <w:r w:rsidRPr="00915E0F">
        <w:t xml:space="preserve"> </w:t>
      </w:r>
      <w:r w:rsidRPr="00915E0F">
        <w:rPr>
          <w:i/>
        </w:rPr>
        <w:t>See generally</w:t>
      </w:r>
      <w:r w:rsidRPr="00915E0F">
        <w:t>, 47 C.F.R. §§ 1.2105(a)(2)(iv)-(xi).</w:t>
      </w:r>
    </w:p>
  </w:footnote>
  <w:footnote w:id="343">
    <w:p w:rsidR="00FE4663" w:rsidRPr="00C51C45" w:rsidRDefault="00FE4663">
      <w:pPr>
        <w:pStyle w:val="FootnoteText"/>
      </w:pPr>
      <w:r>
        <w:rPr>
          <w:rStyle w:val="FootnoteReference"/>
        </w:rPr>
        <w:footnoteRef/>
      </w:r>
      <w:r>
        <w:t xml:space="preserve"> </w:t>
      </w:r>
      <w:r>
        <w:rPr>
          <w:i/>
        </w:rPr>
        <w:t xml:space="preserve">See </w:t>
      </w:r>
      <w:r w:rsidRPr="00915E0F">
        <w:t>47 C.F.R. §§ 1.2105(a)(2)(xi</w:t>
      </w:r>
      <w:r>
        <w:t>i</w:t>
      </w:r>
      <w:r w:rsidRPr="00915E0F">
        <w:t>)</w:t>
      </w:r>
      <w:r>
        <w:t>.</w:t>
      </w:r>
    </w:p>
  </w:footnote>
  <w:footnote w:id="344">
    <w:p w:rsidR="00FE4663" w:rsidRPr="00915E0F" w:rsidRDefault="00FE4663" w:rsidP="0083488E">
      <w:pPr>
        <w:pStyle w:val="FootnoteText"/>
      </w:pPr>
      <w:r w:rsidRPr="00915E0F">
        <w:rPr>
          <w:rStyle w:val="FootnoteReference"/>
          <w:sz w:val="20"/>
        </w:rPr>
        <w:footnoteRef/>
      </w:r>
      <w:r w:rsidRPr="00915E0F">
        <w:t xml:space="preserve"> 47 C.F.R. § 1.2105(a)(2)(xi).  </w:t>
      </w:r>
    </w:p>
  </w:footnote>
  <w:footnote w:id="345">
    <w:p w:rsidR="00FE4663" w:rsidRPr="00915E0F" w:rsidRDefault="00FE4663" w:rsidP="0083488E">
      <w:pPr>
        <w:pStyle w:val="FootnoteText"/>
      </w:pPr>
      <w:r w:rsidRPr="00915E0F">
        <w:rPr>
          <w:rStyle w:val="FootnoteReference"/>
          <w:sz w:val="20"/>
        </w:rPr>
        <w:footnoteRef/>
      </w:r>
      <w:r w:rsidRPr="00915E0F">
        <w:t xml:space="preserve"> 47 C.F</w:t>
      </w:r>
      <w:r w:rsidRPr="002774E9">
        <w:t>.R. §§ 1.2105(a)(2)(xi), 1.2106(a).</w:t>
      </w:r>
    </w:p>
  </w:footnote>
  <w:footnote w:id="346">
    <w:p w:rsidR="00FE4663" w:rsidRPr="00915E0F" w:rsidRDefault="00FE4663" w:rsidP="0083488E">
      <w:pPr>
        <w:pStyle w:val="FootnoteText"/>
      </w:pPr>
      <w:r w:rsidRPr="00915E0F">
        <w:rPr>
          <w:rStyle w:val="FootnoteReference"/>
          <w:sz w:val="20"/>
        </w:rPr>
        <w:footnoteRef/>
      </w:r>
      <w:r w:rsidRPr="00915E0F">
        <w:t xml:space="preserve"> 47 C.F.R. § 1.2105(a)(2)(v).  </w:t>
      </w:r>
    </w:p>
  </w:footnote>
  <w:footnote w:id="347">
    <w:p w:rsidR="00FE4663" w:rsidRPr="00915E0F" w:rsidRDefault="00FE4663" w:rsidP="0083488E">
      <w:pPr>
        <w:pStyle w:val="FootnoteText"/>
      </w:pPr>
      <w:r w:rsidRPr="00915E0F">
        <w:rPr>
          <w:rStyle w:val="FootnoteReference"/>
          <w:sz w:val="20"/>
        </w:rPr>
        <w:footnoteRef/>
      </w:r>
      <w:r w:rsidRPr="00915E0F">
        <w:t xml:space="preserve"> 47 C.F.R. § 1.2105(b).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46" w:rsidRDefault="00C44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63" w:rsidRPr="00404A1F" w:rsidRDefault="00FE4663" w:rsidP="00404A1F">
    <w:pPr>
      <w:tabs>
        <w:tab w:val="center" w:pos="4680"/>
        <w:tab w:val="right" w:pos="9360"/>
      </w:tabs>
      <w:rPr>
        <w:b/>
        <w:szCs w:val="22"/>
      </w:rPr>
    </w:pPr>
    <w:r>
      <w:rPr>
        <w:b/>
        <w:noProof/>
        <w:snapToGrid/>
        <w:szCs w:val="22"/>
      </w:rPr>
      <mc:AlternateContent>
        <mc:Choice Requires="wps">
          <w:drawing>
            <wp:anchor distT="0" distB="0" distL="114300" distR="114300" simplePos="0" relativeHeight="251657728" behindDoc="1" locked="0" layoutInCell="0" allowOverlap="1" wp14:anchorId="77E6E31D" wp14:editId="6FA3B5BC">
              <wp:simplePos x="0" y="0"/>
              <wp:positionH relativeFrom="margin">
                <wp:posOffset>0</wp:posOffset>
              </wp:positionH>
              <wp:positionV relativeFrom="paragraph">
                <wp:posOffset>177800</wp:posOffset>
              </wp:positionV>
              <wp:extent cx="5943600" cy="12065"/>
              <wp:effectExtent l="0" t="0" r="0" b="6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4663" w:rsidRDefault="00FE4663" w:rsidP="007304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4" style="position:absolute;margin-left:0;margin-top:14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T87A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" o:allowincell="f" fillcolor="black" stroked="f" strokeweight=".05pt">
              <v:textbox>
                <w:txbxContent>
                  <w:p w:rsidR="00FE4663" w:rsidRDefault="00FE4663" w:rsidP="0073045D"/>
                </w:txbxContent>
              </v:textbox>
              <w10:wrap anchorx="margin"/>
            </v:rect>
          </w:pict>
        </mc:Fallback>
      </mc:AlternateContent>
    </w:r>
    <w:r>
      <w:rPr>
        <w:b/>
        <w:szCs w:val="22"/>
      </w:rPr>
      <w:tab/>
    </w:r>
    <w:r w:rsidRPr="00404A1F">
      <w:rPr>
        <w:b/>
        <w:szCs w:val="22"/>
      </w:rPr>
      <w:t>Federal Communications Commission</w:t>
    </w:r>
    <w:r>
      <w:rPr>
        <w:b/>
        <w:szCs w:val="22"/>
      </w:rPr>
      <w:tab/>
    </w:r>
    <w:r w:rsidRPr="00404A1F">
      <w:rPr>
        <w:b/>
        <w:szCs w:val="22"/>
      </w:rPr>
      <w:t xml:space="preserve">DA </w:t>
    </w:r>
    <w:r>
      <w:rPr>
        <w:b/>
        <w:szCs w:val="22"/>
      </w:rPr>
      <w:t>13-</w:t>
    </w:r>
    <w:r w:rsidR="008D0F41">
      <w:rPr>
        <w:b/>
        <w:szCs w:val="22"/>
      </w:rPr>
      <w:t>1885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63" w:rsidRPr="00801638" w:rsidRDefault="00FE4663" w:rsidP="00212089">
    <w:pPr>
      <w:pStyle w:val="Header"/>
      <w:rPr>
        <w:rFonts w:ascii="Arial" w:hAnsi="Arial" w:cs="Arial"/>
        <w:b/>
      </w:rPr>
    </w:pPr>
    <w:r>
      <w:rPr>
        <w:rFonts w:ascii="Arial" w:hAnsi="Arial" w:cs="Arial"/>
        <w:noProof/>
        <w:snapToGrid/>
      </w:rPr>
      <w:drawing>
        <wp:anchor distT="0" distB="0" distL="114300" distR="114300" simplePos="0" relativeHeight="251656704" behindDoc="0" locked="0" layoutInCell="1" allowOverlap="1" wp14:anchorId="767FE435" wp14:editId="2362A949">
          <wp:simplePos x="0" y="0"/>
          <wp:positionH relativeFrom="column">
            <wp:posOffset>24765</wp:posOffset>
          </wp:positionH>
          <wp:positionV relativeFrom="paragraph">
            <wp:posOffset>78740</wp:posOffset>
          </wp:positionV>
          <wp:extent cx="530225" cy="530225"/>
          <wp:effectExtent l="0" t="0" r="3175" b="3175"/>
          <wp:wrapSquare wrapText="bothSides"/>
          <wp:docPr id="4"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638">
      <w:rPr>
        <w:rFonts w:ascii="Arial" w:hAnsi="Arial" w:cs="Arial"/>
        <w:b/>
      </w:rPr>
      <w:t>PUBLIC NOTICE</w:t>
    </w:r>
  </w:p>
  <w:p w:rsidR="00FE4663" w:rsidRPr="00801638" w:rsidRDefault="00FE4663" w:rsidP="00212089">
    <w:pPr>
      <w:pStyle w:val="Header"/>
      <w:rPr>
        <w:rFonts w:ascii="Arial" w:hAnsi="Arial" w:cs="Arial"/>
        <w:b/>
      </w:rPr>
    </w:pPr>
    <w:r>
      <w:rPr>
        <w:rFonts w:ascii="Arial" w:hAnsi="Arial" w:cs="Arial"/>
        <w:b/>
        <w:noProof/>
        <w:snapToGrid/>
      </w:rPr>
      <mc:AlternateContent>
        <mc:Choice Requires="wps">
          <w:drawing>
            <wp:anchor distT="0" distB="0" distL="114300" distR="114300" simplePos="0" relativeHeight="251659776" behindDoc="0" locked="0" layoutInCell="1" allowOverlap="1" wp14:anchorId="1B051BE1" wp14:editId="2E0B4FB8">
              <wp:simplePos x="0" y="0"/>
              <wp:positionH relativeFrom="column">
                <wp:posOffset>610870</wp:posOffset>
              </wp:positionH>
              <wp:positionV relativeFrom="paragraph">
                <wp:posOffset>123190</wp:posOffset>
              </wp:positionV>
              <wp:extent cx="3108960" cy="650240"/>
              <wp:effectExtent l="1270" t="0" r="444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663" w:rsidRDefault="00FE4663" w:rsidP="00212089">
                          <w:pPr>
                            <w:rPr>
                              <w:rFonts w:ascii="Arial" w:hAnsi="Arial"/>
                              <w:b/>
                            </w:rPr>
                          </w:pPr>
                          <w:r>
                            <w:rPr>
                              <w:rFonts w:ascii="Arial" w:hAnsi="Arial"/>
                              <w:b/>
                            </w:rPr>
                            <w:t>Federal Communications Commission</w:t>
                          </w:r>
                        </w:p>
                        <w:p w:rsidR="00FE4663" w:rsidRDefault="00FE4663" w:rsidP="0021208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E4663" w:rsidRDefault="00FE4663" w:rsidP="0021208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5" type="#_x0000_t202" style="position:absolute;left:0;text-align:left;margin-left:48.1pt;margin-top:9.7pt;width:244.8pt;height:5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" stroked="f">
              <v:textbox>
                <w:txbxContent>
                  <w:p w:rsidR="00FE4663" w:rsidRDefault="00FE4663" w:rsidP="00212089">
                    <w:pPr>
                      <w:rPr>
                        <w:rFonts w:ascii="Arial" w:hAnsi="Arial"/>
                        <w:b/>
                      </w:rPr>
                    </w:pPr>
                    <w:r>
                      <w:rPr>
                        <w:rFonts w:ascii="Arial" w:hAnsi="Arial"/>
                        <w:b/>
                      </w:rPr>
                      <w:t>Federal Communications Commission</w:t>
                    </w:r>
                  </w:p>
                  <w:p w:rsidR="00FE4663" w:rsidRDefault="00FE4663" w:rsidP="0021208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E4663" w:rsidRDefault="00FE4663" w:rsidP="00212089">
                    <w:pPr>
                      <w:rPr>
                        <w:rFonts w:ascii="Arial" w:hAnsi="Arial"/>
                        <w:sz w:val="24"/>
                      </w:rPr>
                    </w:pPr>
                    <w:r>
                      <w:rPr>
                        <w:rFonts w:ascii="Arial" w:hAnsi="Arial"/>
                        <w:b/>
                      </w:rPr>
                      <w:t>Washington, D.C. 20554</w:t>
                    </w:r>
                  </w:p>
                </w:txbxContent>
              </v:textbox>
            </v:shape>
          </w:pict>
        </mc:Fallback>
      </mc:AlternateContent>
    </w:r>
    <w:r>
      <w:rPr>
        <w:rFonts w:ascii="Arial" w:hAnsi="Arial" w:cs="Arial"/>
        <w:noProof/>
        <w:snapToGrid/>
        <w:sz w:val="24"/>
      </w:rPr>
      <mc:AlternateContent>
        <mc:Choice Requires="wps">
          <w:drawing>
            <wp:anchor distT="0" distB="0" distL="114300" distR="114300" simplePos="0" relativeHeight="251655680" behindDoc="0" locked="0" layoutInCell="1" allowOverlap="1" wp14:anchorId="02FE1C8A" wp14:editId="699993AD">
              <wp:simplePos x="0" y="0"/>
              <wp:positionH relativeFrom="column">
                <wp:posOffset>3900805</wp:posOffset>
              </wp:positionH>
              <wp:positionV relativeFrom="paragraph">
                <wp:posOffset>194310</wp:posOffset>
              </wp:positionV>
              <wp:extent cx="2113280" cy="42926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663" w:rsidRDefault="00FE4663" w:rsidP="00C82B6B">
                          <w:pPr>
                            <w:spacing w:before="40"/>
                            <w:jc w:val="right"/>
                            <w:rPr>
                              <w:rFonts w:ascii="Arial" w:hAnsi="Arial"/>
                              <w:b/>
                              <w:sz w:val="16"/>
                            </w:rPr>
                          </w:pPr>
                          <w:r>
                            <w:rPr>
                              <w:rFonts w:ascii="Arial" w:hAnsi="Arial"/>
                              <w:b/>
                              <w:sz w:val="16"/>
                            </w:rPr>
                            <w:t>News Media Information 202 / 418-0500</w:t>
                          </w:r>
                        </w:p>
                        <w:p w:rsidR="00FE4663" w:rsidRDefault="00FE4663" w:rsidP="00C82B6B">
                          <w:pPr>
                            <w:jc w:val="right"/>
                            <w:rPr>
                              <w:rFonts w:ascii="Arial" w:hAnsi="Arial"/>
                              <w:b/>
                              <w:sz w:val="16"/>
                            </w:rPr>
                          </w:pPr>
                          <w:r>
                            <w:rPr>
                              <w:rFonts w:ascii="Arial" w:hAnsi="Arial"/>
                              <w:b/>
                              <w:sz w:val="16"/>
                            </w:rPr>
                            <w:tab/>
                            <w:t xml:space="preserve">Internet: </w:t>
                          </w:r>
                          <w:bookmarkStart w:id="4478" w:name="_Hlt233824"/>
                          <w:r>
                            <w:rPr>
                              <w:rFonts w:ascii="Arial" w:hAnsi="Arial"/>
                              <w:b/>
                              <w:sz w:val="16"/>
                            </w:rPr>
                            <w:t>h</w:t>
                          </w:r>
                          <w:bookmarkEnd w:id="4478"/>
                          <w:r>
                            <w:rPr>
                              <w:rFonts w:ascii="Arial" w:hAnsi="Arial"/>
                              <w:b/>
                              <w:sz w:val="16"/>
                            </w:rPr>
                            <w:t>ttp://www.fcc.gov</w:t>
                          </w:r>
                        </w:p>
                        <w:p w:rsidR="00FE4663" w:rsidRDefault="00FE4663" w:rsidP="00C82B6B">
                          <w:pPr>
                            <w:jc w:val="right"/>
                            <w:rPr>
                              <w:rFonts w:ascii="Arial" w:hAnsi="Arial"/>
                              <w:b/>
                              <w:sz w:val="16"/>
                            </w:rPr>
                          </w:pPr>
                          <w:r>
                            <w:rPr>
                              <w:rFonts w:ascii="Arial" w:hAnsi="Arial"/>
                              <w:b/>
                              <w:sz w:val="16"/>
                            </w:rPr>
                            <w:t>TTY: 1-888-835-5322</w:t>
                          </w:r>
                        </w:p>
                        <w:p w:rsidR="00FE4663" w:rsidRDefault="00FE4663" w:rsidP="00C82B6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6" type="#_x0000_t202" style="position:absolute;left:0;text-align:left;margin-left:307.15pt;margin-top:15.3pt;width:166.4pt;height:3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" stroked="f">
              <v:textbox inset=",0,,0">
                <w:txbxContent>
                  <w:p w:rsidR="00FE4663" w:rsidRDefault="00FE4663" w:rsidP="00C82B6B">
                    <w:pPr>
                      <w:spacing w:before="40"/>
                      <w:jc w:val="right"/>
                      <w:rPr>
                        <w:rFonts w:ascii="Arial" w:hAnsi="Arial"/>
                        <w:b/>
                        <w:sz w:val="16"/>
                      </w:rPr>
                    </w:pPr>
                    <w:r>
                      <w:rPr>
                        <w:rFonts w:ascii="Arial" w:hAnsi="Arial"/>
                        <w:b/>
                        <w:sz w:val="16"/>
                      </w:rPr>
                      <w:t>News Media Information 202 / 418-0500</w:t>
                    </w:r>
                  </w:p>
                  <w:p w:rsidR="00FE4663" w:rsidRDefault="00FE4663" w:rsidP="00C82B6B">
                    <w:pPr>
                      <w:jc w:val="right"/>
                      <w:rPr>
                        <w:rFonts w:ascii="Arial" w:hAnsi="Arial"/>
                        <w:b/>
                        <w:sz w:val="16"/>
                      </w:rPr>
                    </w:pPr>
                    <w:r>
                      <w:rPr>
                        <w:rFonts w:ascii="Arial" w:hAnsi="Arial"/>
                        <w:b/>
                        <w:sz w:val="16"/>
                      </w:rPr>
                      <w:tab/>
                      <w:t xml:space="preserve">Internet: </w:t>
                    </w:r>
                    <w:bookmarkStart w:id="4382" w:name="_Hlt233824"/>
                    <w:r>
                      <w:rPr>
                        <w:rFonts w:ascii="Arial" w:hAnsi="Arial"/>
                        <w:b/>
                        <w:sz w:val="16"/>
                      </w:rPr>
                      <w:t>h</w:t>
                    </w:r>
                    <w:bookmarkEnd w:id="4382"/>
                    <w:r>
                      <w:rPr>
                        <w:rFonts w:ascii="Arial" w:hAnsi="Arial"/>
                        <w:b/>
                        <w:sz w:val="16"/>
                      </w:rPr>
                      <w:t>ttp://www.fcc.gov</w:t>
                    </w:r>
                  </w:p>
                  <w:p w:rsidR="00FE4663" w:rsidRDefault="00FE4663" w:rsidP="00C82B6B">
                    <w:pPr>
                      <w:jc w:val="right"/>
                      <w:rPr>
                        <w:rFonts w:ascii="Arial" w:hAnsi="Arial"/>
                        <w:b/>
                        <w:sz w:val="16"/>
                      </w:rPr>
                    </w:pPr>
                    <w:r>
                      <w:rPr>
                        <w:rFonts w:ascii="Arial" w:hAnsi="Arial"/>
                        <w:b/>
                        <w:sz w:val="16"/>
                      </w:rPr>
                      <w:t>TTY: 1-888-835-5322</w:t>
                    </w:r>
                  </w:p>
                  <w:p w:rsidR="00FE4663" w:rsidRDefault="00FE4663" w:rsidP="00C82B6B">
                    <w:pPr>
                      <w:jc w:val="right"/>
                    </w:pPr>
                  </w:p>
                </w:txbxContent>
              </v:textbox>
            </v:shape>
          </w:pict>
        </mc:Fallback>
      </mc:AlternateContent>
    </w:r>
  </w:p>
  <w:p w:rsidR="00FE4663" w:rsidRPr="00801638" w:rsidRDefault="00FE4663" w:rsidP="001B17B4">
    <w:pPr>
      <w:pStyle w:val="Header"/>
      <w:rPr>
        <w:rFonts w:ascii="Arial" w:hAnsi="Arial" w:cs="Arial"/>
        <w:sz w:val="36"/>
        <w:szCs w:val="36"/>
      </w:rPr>
    </w:pPr>
    <w:r>
      <w:rPr>
        <w:rFonts w:ascii="Arial" w:hAnsi="Arial" w:cs="Arial"/>
        <w:noProof/>
        <w:snapToGrid/>
      </w:rPr>
      <mc:AlternateContent>
        <mc:Choice Requires="wps">
          <w:drawing>
            <wp:anchor distT="0" distB="0" distL="114300" distR="114300" simplePos="0" relativeHeight="251658752" behindDoc="0" locked="0" layoutInCell="1" allowOverlap="1" wp14:anchorId="43C340DF" wp14:editId="349C8082">
              <wp:simplePos x="0" y="0"/>
              <wp:positionH relativeFrom="column">
                <wp:posOffset>-5715</wp:posOffset>
              </wp:positionH>
              <wp:positionV relativeFrom="paragraph">
                <wp:posOffset>118110</wp:posOffset>
              </wp:positionV>
              <wp:extent cx="5991225" cy="0"/>
              <wp:effectExtent l="13335" t="13335" r="571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79DFA3"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3pt" to="471.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Y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"/>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63" w:rsidRPr="00772CD8" w:rsidRDefault="00FE4663" w:rsidP="00F822E5">
    <w:pPr>
      <w:pBdr>
        <w:bottom w:val="single" w:sz="4" w:space="1" w:color="auto"/>
      </w:pBdr>
      <w:tabs>
        <w:tab w:val="center" w:pos="4680"/>
        <w:tab w:val="right" w:pos="9360"/>
      </w:tabs>
      <w:rPr>
        <w:b/>
        <w:szCs w:val="22"/>
      </w:rPr>
    </w:pPr>
    <w:r>
      <w:rPr>
        <w:b/>
        <w:szCs w:val="22"/>
      </w:rPr>
      <w:tab/>
    </w:r>
    <w:r w:rsidRPr="00772CD8">
      <w:rPr>
        <w:b/>
        <w:szCs w:val="22"/>
      </w:rPr>
      <w:t>Federal Communications Commission</w:t>
    </w:r>
    <w:r>
      <w:rPr>
        <w:szCs w:val="22"/>
      </w:rPr>
      <w:tab/>
    </w:r>
    <w:r w:rsidRPr="00560224">
      <w:rPr>
        <w:b/>
        <w:szCs w:val="22"/>
      </w:rPr>
      <w:t xml:space="preserve">DA </w:t>
    </w:r>
    <w:r>
      <w:rPr>
        <w:b/>
        <w:szCs w:val="22"/>
      </w:rPr>
      <w:t>13</w:t>
    </w:r>
    <w:r w:rsidRPr="00560224">
      <w:rPr>
        <w:b/>
        <w:szCs w:val="22"/>
      </w:rPr>
      <w:t>-</w:t>
    </w:r>
    <w:r w:rsidR="008D0F41">
      <w:rPr>
        <w:b/>
        <w:szCs w:val="22"/>
      </w:rPr>
      <w:t>1885</w:t>
    </w:r>
  </w:p>
  <w:p w:rsidR="00FE4663" w:rsidRPr="00EC2ED3" w:rsidRDefault="00FE4663" w:rsidP="00F822E5">
    <w:pPr>
      <w:tabs>
        <w:tab w:val="right" w:pos="864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63" w:rsidRPr="000150CD" w:rsidRDefault="00FE4663" w:rsidP="000150CD">
    <w:pPr>
      <w:pStyle w:val="Header"/>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63" w:rsidRPr="00772CD8" w:rsidRDefault="00FE4663" w:rsidP="00F822E5">
    <w:pPr>
      <w:pBdr>
        <w:bottom w:val="single" w:sz="4" w:space="1" w:color="auto"/>
      </w:pBdr>
      <w:tabs>
        <w:tab w:val="center" w:pos="4680"/>
        <w:tab w:val="right" w:pos="9360"/>
      </w:tabs>
      <w:rPr>
        <w:b/>
        <w:szCs w:val="22"/>
      </w:rPr>
    </w:pPr>
    <w:r>
      <w:rPr>
        <w:b/>
        <w:szCs w:val="22"/>
      </w:rPr>
      <w:tab/>
    </w:r>
    <w:r w:rsidRPr="00772CD8">
      <w:rPr>
        <w:b/>
        <w:szCs w:val="22"/>
      </w:rPr>
      <w:t>Federal Communications Commission</w:t>
    </w:r>
    <w:r>
      <w:rPr>
        <w:szCs w:val="22"/>
      </w:rPr>
      <w:tab/>
    </w:r>
    <w:r w:rsidRPr="00560224">
      <w:rPr>
        <w:b/>
        <w:szCs w:val="22"/>
      </w:rPr>
      <w:t xml:space="preserve">DA </w:t>
    </w:r>
    <w:r>
      <w:rPr>
        <w:b/>
        <w:szCs w:val="22"/>
      </w:rPr>
      <w:t>13</w:t>
    </w:r>
    <w:r w:rsidRPr="00560224">
      <w:rPr>
        <w:b/>
        <w:szCs w:val="22"/>
      </w:rPr>
      <w:t>-</w:t>
    </w:r>
    <w:r w:rsidR="008D0F41">
      <w:rPr>
        <w:b/>
        <w:szCs w:val="22"/>
      </w:rPr>
      <w:t>1885</w:t>
    </w:r>
  </w:p>
  <w:p w:rsidR="00FE4663" w:rsidRPr="00EC2ED3" w:rsidRDefault="00FE4663" w:rsidP="00F822E5">
    <w:pPr>
      <w:tabs>
        <w:tab w:val="right" w:pos="864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63" w:rsidRPr="00772CD8" w:rsidRDefault="00FE4663" w:rsidP="00F822E5">
    <w:pPr>
      <w:pBdr>
        <w:bottom w:val="single" w:sz="4" w:space="1" w:color="auto"/>
      </w:pBdr>
      <w:tabs>
        <w:tab w:val="center" w:pos="4680"/>
        <w:tab w:val="right" w:pos="9360"/>
      </w:tabs>
      <w:rPr>
        <w:b/>
        <w:szCs w:val="22"/>
      </w:rPr>
    </w:pPr>
    <w:r>
      <w:rPr>
        <w:b/>
        <w:szCs w:val="22"/>
      </w:rPr>
      <w:tab/>
    </w:r>
    <w:r w:rsidRPr="00772CD8">
      <w:rPr>
        <w:b/>
        <w:szCs w:val="22"/>
      </w:rPr>
      <w:t>Federal Communications Commission</w:t>
    </w:r>
    <w:r>
      <w:rPr>
        <w:szCs w:val="22"/>
      </w:rPr>
      <w:tab/>
    </w:r>
    <w:r w:rsidRPr="00560224">
      <w:rPr>
        <w:b/>
        <w:szCs w:val="22"/>
      </w:rPr>
      <w:t xml:space="preserve">DA </w:t>
    </w:r>
    <w:r>
      <w:rPr>
        <w:b/>
        <w:szCs w:val="22"/>
      </w:rPr>
      <w:t>13</w:t>
    </w:r>
    <w:r w:rsidRPr="00560224">
      <w:rPr>
        <w:b/>
        <w:szCs w:val="22"/>
      </w:rPr>
      <w:t>-</w:t>
    </w:r>
    <w:r w:rsidR="008D0F41">
      <w:rPr>
        <w:b/>
        <w:szCs w:val="22"/>
      </w:rPr>
      <w:t>1885</w:t>
    </w:r>
  </w:p>
  <w:p w:rsidR="00FE4663" w:rsidRPr="00EC2ED3" w:rsidRDefault="00FE4663" w:rsidP="00F822E5">
    <w:pPr>
      <w:tabs>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AFD"/>
    <w:multiLevelType w:val="multilevel"/>
    <w:tmpl w:val="23DAC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C71A6"/>
    <w:multiLevelType w:val="multilevel"/>
    <w:tmpl w:val="95D6A44C"/>
    <w:lvl w:ilvl="0">
      <w:start w:val="158"/>
      <w:numFmt w:val="decimal"/>
      <w:lvlText w:val="%1"/>
      <w:lvlJc w:val="left"/>
      <w:pPr>
        <w:ind w:left="780" w:hanging="780"/>
      </w:pPr>
      <w:rPr>
        <w:rFonts w:hint="default"/>
      </w:rPr>
    </w:lvl>
    <w:lvl w:ilvl="1">
      <w:start w:val="69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3BE111A"/>
    <w:multiLevelType w:val="multilevel"/>
    <w:tmpl w:val="7F36DCEA"/>
    <w:lvl w:ilvl="0">
      <w:start w:val="35"/>
      <w:numFmt w:val="decimal"/>
      <w:lvlText w:val="%1"/>
      <w:lvlJc w:val="left"/>
      <w:pPr>
        <w:ind w:left="540" w:hanging="540"/>
      </w:pPr>
      <w:rPr>
        <w:rFonts w:hint="default"/>
      </w:rPr>
    </w:lvl>
    <w:lvl w:ilvl="1">
      <w:start w:val="6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494FEC"/>
    <w:multiLevelType w:val="hybridMultilevel"/>
    <w:tmpl w:val="B0D2D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633FD"/>
    <w:multiLevelType w:val="hybridMultilevel"/>
    <w:tmpl w:val="7220D2A4"/>
    <w:lvl w:ilvl="0" w:tplc="61160F76">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575D1C"/>
    <w:multiLevelType w:val="hybridMultilevel"/>
    <w:tmpl w:val="A7249088"/>
    <w:lvl w:ilvl="0" w:tplc="61160F76">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D2764"/>
    <w:multiLevelType w:val="hybridMultilevel"/>
    <w:tmpl w:val="B71EA6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1F3D3A"/>
    <w:multiLevelType w:val="hybridMultilevel"/>
    <w:tmpl w:val="D628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F40A0F"/>
    <w:multiLevelType w:val="singleLevel"/>
    <w:tmpl w:val="3244DD0A"/>
    <w:lvl w:ilvl="0">
      <w:start w:val="1"/>
      <w:numFmt w:val="bullet"/>
      <w:pStyle w:val="BulletCharChar"/>
      <w:lvlText w:val=""/>
      <w:lvlJc w:val="left"/>
      <w:pPr>
        <w:tabs>
          <w:tab w:val="num" w:pos="360"/>
        </w:tabs>
        <w:ind w:left="360" w:hanging="360"/>
      </w:pPr>
      <w:rPr>
        <w:rFonts w:ascii="Symbol" w:hAnsi="Symbol" w:hint="default"/>
      </w:rPr>
    </w:lvl>
  </w:abstractNum>
  <w:abstractNum w:abstractNumId="9">
    <w:nsid w:val="2785425F"/>
    <w:multiLevelType w:val="multilevel"/>
    <w:tmpl w:val="CF407768"/>
    <w:lvl w:ilvl="0">
      <w:start w:val="43"/>
      <w:numFmt w:val="decimal"/>
      <w:lvlText w:val="%1"/>
      <w:lvlJc w:val="left"/>
      <w:pPr>
        <w:ind w:left="540" w:hanging="540"/>
      </w:pPr>
      <w:rPr>
        <w:rFonts w:hint="default"/>
      </w:rPr>
    </w:lvl>
    <w:lvl w:ilvl="1">
      <w:start w:val="6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7E06CBB"/>
    <w:multiLevelType w:val="multilevel"/>
    <w:tmpl w:val="6494E830"/>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1">
    <w:nsid w:val="2D84686F"/>
    <w:multiLevelType w:val="hybridMultilevel"/>
    <w:tmpl w:val="5F583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6773AE"/>
    <w:multiLevelType w:val="hybridMultilevel"/>
    <w:tmpl w:val="3CDAC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40D52"/>
    <w:multiLevelType w:val="hybridMultilevel"/>
    <w:tmpl w:val="E99E0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7281C"/>
    <w:multiLevelType w:val="hybridMultilevel"/>
    <w:tmpl w:val="D520C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90566F"/>
    <w:multiLevelType w:val="multilevel"/>
    <w:tmpl w:val="61F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61CE4"/>
    <w:multiLevelType w:val="multilevel"/>
    <w:tmpl w:val="F1A86982"/>
    <w:lvl w:ilvl="0">
      <w:start w:val="1"/>
      <w:numFmt w:val="upperRoman"/>
      <w:pStyle w:val="12PtBullet"/>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5210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1182925"/>
    <w:multiLevelType w:val="singleLevel"/>
    <w:tmpl w:val="E87A3EDC"/>
    <w:lvl w:ilvl="0">
      <w:start w:val="1"/>
      <w:numFmt w:val="decimal"/>
      <w:pStyle w:val="ParaNum"/>
      <w:lvlText w:val="%1."/>
      <w:lvlJc w:val="left"/>
      <w:pPr>
        <w:tabs>
          <w:tab w:val="num" w:pos="1260"/>
        </w:tabs>
        <w:ind w:left="180" w:firstLine="720"/>
      </w:pPr>
      <w:rPr>
        <w:b w:val="0"/>
      </w:rPr>
    </w:lvl>
  </w:abstractNum>
  <w:abstractNum w:abstractNumId="19">
    <w:nsid w:val="6974585C"/>
    <w:multiLevelType w:val="multilevel"/>
    <w:tmpl w:val="33024296"/>
    <w:lvl w:ilvl="0">
      <w:start w:val="152"/>
      <w:numFmt w:val="decimal"/>
      <w:lvlText w:val="%1"/>
      <w:lvlJc w:val="left"/>
      <w:pPr>
        <w:ind w:left="1545" w:hanging="1545"/>
      </w:pPr>
      <w:rPr>
        <w:rFonts w:hint="default"/>
      </w:rPr>
    </w:lvl>
    <w:lvl w:ilvl="1">
      <w:start w:val="795"/>
      <w:numFmt w:val="decimal"/>
      <w:lvlText w:val="%1.%2"/>
      <w:lvlJc w:val="left"/>
      <w:pPr>
        <w:ind w:left="1545" w:hanging="1545"/>
      </w:pPr>
      <w:rPr>
        <w:rFonts w:hint="default"/>
      </w:rPr>
    </w:lvl>
    <w:lvl w:ilvl="2">
      <w:start w:val="152"/>
      <w:numFmt w:val="decimal"/>
      <w:lvlText w:val="%1.%2-%3"/>
      <w:lvlJc w:val="left"/>
      <w:pPr>
        <w:ind w:left="1545" w:hanging="1545"/>
      </w:pPr>
      <w:rPr>
        <w:rFonts w:hint="default"/>
      </w:rPr>
    </w:lvl>
    <w:lvl w:ilvl="3">
      <w:start w:val="825"/>
      <w:numFmt w:val="decimal"/>
      <w:lvlText w:val="%1.%2-%3.%4"/>
      <w:lvlJc w:val="left"/>
      <w:pPr>
        <w:ind w:left="1545" w:hanging="1545"/>
      </w:pPr>
      <w:rPr>
        <w:rFonts w:hint="default"/>
      </w:rPr>
    </w:lvl>
    <w:lvl w:ilvl="4">
      <w:start w:val="1"/>
      <w:numFmt w:val="decimal"/>
      <w:lvlText w:val="%1.%2-%3.%4.%5"/>
      <w:lvlJc w:val="left"/>
      <w:pPr>
        <w:ind w:left="1545" w:hanging="1545"/>
      </w:pPr>
      <w:rPr>
        <w:rFonts w:hint="default"/>
      </w:rPr>
    </w:lvl>
    <w:lvl w:ilvl="5">
      <w:start w:val="1"/>
      <w:numFmt w:val="decimal"/>
      <w:lvlText w:val="%1.%2-%3.%4.%5.%6"/>
      <w:lvlJc w:val="left"/>
      <w:pPr>
        <w:ind w:left="1545" w:hanging="1545"/>
      </w:pPr>
      <w:rPr>
        <w:rFonts w:hint="default"/>
      </w:rPr>
    </w:lvl>
    <w:lvl w:ilvl="6">
      <w:start w:val="1"/>
      <w:numFmt w:val="decimal"/>
      <w:lvlText w:val="%1.%2-%3.%4.%5.%6.%7"/>
      <w:lvlJc w:val="left"/>
      <w:pPr>
        <w:ind w:left="1545" w:hanging="1545"/>
      </w:pPr>
      <w:rPr>
        <w:rFonts w:hint="default"/>
      </w:rPr>
    </w:lvl>
    <w:lvl w:ilvl="7">
      <w:start w:val="1"/>
      <w:numFmt w:val="decimal"/>
      <w:lvlText w:val="%1.%2-%3.%4.%5.%6.%7.%8"/>
      <w:lvlJc w:val="left"/>
      <w:pPr>
        <w:ind w:left="1545" w:hanging="1545"/>
      </w:pPr>
      <w:rPr>
        <w:rFonts w:hint="default"/>
      </w:rPr>
    </w:lvl>
    <w:lvl w:ilvl="8">
      <w:start w:val="1"/>
      <w:numFmt w:val="decimal"/>
      <w:lvlText w:val="%1.%2-%3.%4.%5.%6.%7.%8.%9"/>
      <w:lvlJc w:val="left"/>
      <w:pPr>
        <w:ind w:left="1800" w:hanging="1800"/>
      </w:pPr>
      <w:rPr>
        <w:rFonts w:hint="default"/>
      </w:rPr>
    </w:lvl>
  </w:abstractNum>
  <w:abstractNum w:abstractNumId="20">
    <w:nsid w:val="6A604618"/>
    <w:multiLevelType w:val="hybridMultilevel"/>
    <w:tmpl w:val="B6985C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35454"/>
    <w:multiLevelType w:val="hybridMultilevel"/>
    <w:tmpl w:val="8B42C8DE"/>
    <w:lvl w:ilvl="0" w:tplc="E67A9B2C">
      <w:start w:val="1"/>
      <w:numFmt w:val="decimal"/>
      <w:lvlText w:val="%1."/>
      <w:lvlJc w:val="left"/>
      <w:pPr>
        <w:ind w:left="-18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nsid w:val="729D515A"/>
    <w:multiLevelType w:val="hybridMultilevel"/>
    <w:tmpl w:val="6E08AB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37517C3"/>
    <w:multiLevelType w:val="hybridMultilevel"/>
    <w:tmpl w:val="B754969A"/>
    <w:lvl w:ilvl="0" w:tplc="E9D0865C">
      <w:start w:val="1"/>
      <w:numFmt w:val="decimal"/>
      <w:lvlText w:val="%1."/>
      <w:lvlJc w:val="left"/>
      <w:pPr>
        <w:ind w:left="1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805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9395A2A"/>
    <w:multiLevelType w:val="hybridMultilevel"/>
    <w:tmpl w:val="7804D30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B887090"/>
    <w:multiLevelType w:val="hybridMultilevel"/>
    <w:tmpl w:val="1E2A84BE"/>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7">
    <w:nsid w:val="7CC847F2"/>
    <w:multiLevelType w:val="multilevel"/>
    <w:tmpl w:val="A1FE1A02"/>
    <w:lvl w:ilvl="0">
      <w:start w:val="454"/>
      <w:numFmt w:val="decimal"/>
      <w:lvlText w:val="%1"/>
      <w:lvlJc w:val="left"/>
      <w:pPr>
        <w:ind w:left="1770" w:hanging="1770"/>
      </w:pPr>
      <w:rPr>
        <w:rFonts w:hint="default"/>
      </w:rPr>
    </w:lvl>
    <w:lvl w:ilvl="1">
      <w:start w:val="6375"/>
      <w:numFmt w:val="decimal"/>
      <w:lvlText w:val="%1.%2"/>
      <w:lvlJc w:val="left"/>
      <w:pPr>
        <w:ind w:left="1770" w:hanging="1770"/>
      </w:pPr>
      <w:rPr>
        <w:rFonts w:hint="default"/>
      </w:rPr>
    </w:lvl>
    <w:lvl w:ilvl="2">
      <w:start w:val="454"/>
      <w:numFmt w:val="decimal"/>
      <w:lvlText w:val="%1.%2-%3"/>
      <w:lvlJc w:val="left"/>
      <w:pPr>
        <w:ind w:left="1770" w:hanging="1770"/>
      </w:pPr>
      <w:rPr>
        <w:rFonts w:hint="default"/>
      </w:rPr>
    </w:lvl>
    <w:lvl w:ilvl="3">
      <w:start w:val="6625"/>
      <w:numFmt w:val="decimal"/>
      <w:lvlText w:val="%1.%2-%3.%4"/>
      <w:lvlJc w:val="left"/>
      <w:pPr>
        <w:ind w:left="1770" w:hanging="1770"/>
      </w:pPr>
      <w:rPr>
        <w:rFonts w:hint="default"/>
      </w:rPr>
    </w:lvl>
    <w:lvl w:ilvl="4">
      <w:start w:val="1"/>
      <w:numFmt w:val="decimal"/>
      <w:lvlText w:val="%1.%2-%3.%4.%5"/>
      <w:lvlJc w:val="left"/>
      <w:pPr>
        <w:ind w:left="1770" w:hanging="1770"/>
      </w:pPr>
      <w:rPr>
        <w:rFonts w:hint="default"/>
      </w:rPr>
    </w:lvl>
    <w:lvl w:ilvl="5">
      <w:start w:val="1"/>
      <w:numFmt w:val="decimal"/>
      <w:lvlText w:val="%1.%2-%3.%4.%5.%6"/>
      <w:lvlJc w:val="left"/>
      <w:pPr>
        <w:ind w:left="1770" w:hanging="1770"/>
      </w:pPr>
      <w:rPr>
        <w:rFonts w:hint="default"/>
      </w:rPr>
    </w:lvl>
    <w:lvl w:ilvl="6">
      <w:start w:val="1"/>
      <w:numFmt w:val="decimal"/>
      <w:lvlText w:val="%1.%2-%3.%4.%5.%6.%7"/>
      <w:lvlJc w:val="left"/>
      <w:pPr>
        <w:ind w:left="1770" w:hanging="1770"/>
      </w:pPr>
      <w:rPr>
        <w:rFonts w:hint="default"/>
      </w:rPr>
    </w:lvl>
    <w:lvl w:ilvl="7">
      <w:start w:val="1"/>
      <w:numFmt w:val="decimal"/>
      <w:lvlText w:val="%1.%2-%3.%4.%5.%6.%7.%8"/>
      <w:lvlJc w:val="left"/>
      <w:pPr>
        <w:ind w:left="1770" w:hanging="1770"/>
      </w:pPr>
      <w:rPr>
        <w:rFonts w:hint="default"/>
      </w:rPr>
    </w:lvl>
    <w:lvl w:ilvl="8">
      <w:start w:val="1"/>
      <w:numFmt w:val="decimal"/>
      <w:lvlText w:val="%1.%2-%3.%4.%5.%6.%7.%8.%9"/>
      <w:lvlJc w:val="left"/>
      <w:pPr>
        <w:ind w:left="1800" w:hanging="1800"/>
      </w:pPr>
      <w:rPr>
        <w:rFonts w:hint="default"/>
      </w:rPr>
    </w:lvl>
  </w:abstractNum>
  <w:abstractNum w:abstractNumId="28">
    <w:nsid w:val="7FA53098"/>
    <w:multiLevelType w:val="hybridMultilevel"/>
    <w:tmpl w:val="E6FAA396"/>
    <w:lvl w:ilvl="0" w:tplc="2AA6A0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0"/>
  </w:num>
  <w:num w:numId="4">
    <w:abstractNumId w:val="16"/>
  </w:num>
  <w:num w:numId="5">
    <w:abstractNumId w:val="4"/>
  </w:num>
  <w:num w:numId="6">
    <w:abstractNumId w:val="5"/>
  </w:num>
  <w:num w:numId="7">
    <w:abstractNumId w:val="13"/>
  </w:num>
  <w:num w:numId="8">
    <w:abstractNumId w:val="15"/>
  </w:num>
  <w:num w:numId="9">
    <w:abstractNumId w:val="0"/>
  </w:num>
  <w:num w:numId="10">
    <w:abstractNumId w:val="25"/>
  </w:num>
  <w:num w:numId="11">
    <w:abstractNumId w:val="7"/>
  </w:num>
  <w:num w:numId="12">
    <w:abstractNumId w:val="17"/>
  </w:num>
  <w:num w:numId="13">
    <w:abstractNumId w:val="2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1"/>
  </w:num>
  <w:num w:numId="18">
    <w:abstractNumId w:val="19"/>
  </w:num>
  <w:num w:numId="19">
    <w:abstractNumId w:val="27"/>
  </w:num>
  <w:num w:numId="20">
    <w:abstractNumId w:val="14"/>
  </w:num>
  <w:num w:numId="21">
    <w:abstractNumId w:val="11"/>
  </w:num>
  <w:num w:numId="22">
    <w:abstractNumId w:val="18"/>
    <w:lvlOverride w:ilvl="0">
      <w:startOverride w:val="1"/>
    </w:lvlOverride>
  </w:num>
  <w:num w:numId="23">
    <w:abstractNumId w:val="18"/>
  </w:num>
  <w:num w:numId="24">
    <w:abstractNumId w:val="10"/>
  </w:num>
  <w:num w:numId="25">
    <w:abstractNumId w:val="10"/>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num>
  <w:num w:numId="30">
    <w:abstractNumId w:val="18"/>
    <w:lvlOverride w:ilvl="0">
      <w:startOverride w:val="1"/>
    </w:lvlOverride>
  </w:num>
  <w:num w:numId="31">
    <w:abstractNumId w:val="18"/>
  </w:num>
  <w:num w:numId="32">
    <w:abstractNumId w:val="10"/>
  </w:num>
  <w:num w:numId="33">
    <w:abstractNumId w:val="10"/>
  </w:num>
  <w:num w:numId="34">
    <w:abstractNumId w:val="6"/>
  </w:num>
  <w:num w:numId="35">
    <w:abstractNumId w:val="20"/>
  </w:num>
  <w:num w:numId="36">
    <w:abstractNumId w:val="22"/>
  </w:num>
  <w:num w:numId="37">
    <w:abstractNumId w:val="12"/>
  </w:num>
  <w:num w:numId="38">
    <w:abstractNumId w:val="18"/>
  </w:num>
  <w:num w:numId="39">
    <w:abstractNumId w:val="10"/>
  </w:num>
  <w:num w:numId="40">
    <w:abstractNumId w:val="10"/>
  </w:num>
  <w:num w:numId="41">
    <w:abstractNumId w:val="18"/>
    <w:lvlOverride w:ilvl="0">
      <w:startOverride w:val="1"/>
    </w:lvlOverride>
  </w:num>
  <w:num w:numId="42">
    <w:abstractNumId w:val="18"/>
  </w:num>
  <w:num w:numId="43">
    <w:abstractNumId w:val="26"/>
  </w:num>
  <w:num w:numId="44">
    <w:abstractNumId w:val="21"/>
  </w:num>
  <w:num w:numId="45">
    <w:abstractNumId w:val="23"/>
  </w:num>
  <w:num w:numId="46">
    <w:abstractNumId w:val="3"/>
  </w:num>
  <w:num w:numId="47">
    <w:abstractNumId w:val="18"/>
  </w:num>
  <w:num w:numId="48">
    <w:abstractNumId w:val="28"/>
  </w:num>
  <w:num w:numId="49">
    <w:abstractNumId w:val="18"/>
    <w:lvlOverride w:ilvl="0">
      <w:startOverride w:val="1"/>
    </w:lvlOverride>
  </w:num>
  <w:num w:numId="50">
    <w:abstractNumId w:val="18"/>
  </w:num>
  <w:num w:numId="51">
    <w:abstractNumId w:val="18"/>
  </w:num>
  <w:num w:numId="52">
    <w:abstractNumId w:val="18"/>
  </w:num>
  <w:num w:numId="53">
    <w:abstractNumId w:val="18"/>
  </w:num>
  <w:num w:numId="5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16"/>
    <w:rsid w:val="000001F9"/>
    <w:rsid w:val="00000B07"/>
    <w:rsid w:val="00001138"/>
    <w:rsid w:val="00001189"/>
    <w:rsid w:val="00001C3F"/>
    <w:rsid w:val="00002763"/>
    <w:rsid w:val="00002E97"/>
    <w:rsid w:val="00004088"/>
    <w:rsid w:val="000048B1"/>
    <w:rsid w:val="00004FFD"/>
    <w:rsid w:val="00006636"/>
    <w:rsid w:val="00007776"/>
    <w:rsid w:val="00007B2E"/>
    <w:rsid w:val="000107C0"/>
    <w:rsid w:val="00010818"/>
    <w:rsid w:val="00011712"/>
    <w:rsid w:val="0001191C"/>
    <w:rsid w:val="00011B1E"/>
    <w:rsid w:val="00011F2D"/>
    <w:rsid w:val="000120E4"/>
    <w:rsid w:val="0001221C"/>
    <w:rsid w:val="000137FA"/>
    <w:rsid w:val="00013837"/>
    <w:rsid w:val="000144CD"/>
    <w:rsid w:val="00014666"/>
    <w:rsid w:val="00014757"/>
    <w:rsid w:val="000147DC"/>
    <w:rsid w:val="000150CD"/>
    <w:rsid w:val="0001581F"/>
    <w:rsid w:val="00015AFC"/>
    <w:rsid w:val="0001645F"/>
    <w:rsid w:val="000172BE"/>
    <w:rsid w:val="00017496"/>
    <w:rsid w:val="000209DB"/>
    <w:rsid w:val="00020D04"/>
    <w:rsid w:val="00020D3E"/>
    <w:rsid w:val="00021440"/>
    <w:rsid w:val="0002149E"/>
    <w:rsid w:val="00021C1F"/>
    <w:rsid w:val="0002222F"/>
    <w:rsid w:val="00022342"/>
    <w:rsid w:val="0002316C"/>
    <w:rsid w:val="00023448"/>
    <w:rsid w:val="000238E9"/>
    <w:rsid w:val="00023A59"/>
    <w:rsid w:val="00023B9B"/>
    <w:rsid w:val="000242AF"/>
    <w:rsid w:val="000243B7"/>
    <w:rsid w:val="00024C23"/>
    <w:rsid w:val="00025A0B"/>
    <w:rsid w:val="000260EB"/>
    <w:rsid w:val="000274DC"/>
    <w:rsid w:val="00027960"/>
    <w:rsid w:val="00030312"/>
    <w:rsid w:val="000308F8"/>
    <w:rsid w:val="00030A32"/>
    <w:rsid w:val="00030F13"/>
    <w:rsid w:val="000316FC"/>
    <w:rsid w:val="00031FDD"/>
    <w:rsid w:val="0003214A"/>
    <w:rsid w:val="00033C34"/>
    <w:rsid w:val="0003402A"/>
    <w:rsid w:val="0003569B"/>
    <w:rsid w:val="00035CF8"/>
    <w:rsid w:val="00036039"/>
    <w:rsid w:val="00036312"/>
    <w:rsid w:val="000364CF"/>
    <w:rsid w:val="00036D8E"/>
    <w:rsid w:val="00037F90"/>
    <w:rsid w:val="000406D4"/>
    <w:rsid w:val="0004090F"/>
    <w:rsid w:val="00040C4B"/>
    <w:rsid w:val="00040E3C"/>
    <w:rsid w:val="00040F00"/>
    <w:rsid w:val="00041621"/>
    <w:rsid w:val="00041EA6"/>
    <w:rsid w:val="0004248F"/>
    <w:rsid w:val="00042575"/>
    <w:rsid w:val="00042D54"/>
    <w:rsid w:val="00043755"/>
    <w:rsid w:val="00043E55"/>
    <w:rsid w:val="00046278"/>
    <w:rsid w:val="000466D3"/>
    <w:rsid w:val="00046F57"/>
    <w:rsid w:val="00047062"/>
    <w:rsid w:val="00047C9E"/>
    <w:rsid w:val="00047DA4"/>
    <w:rsid w:val="000502E0"/>
    <w:rsid w:val="00050D64"/>
    <w:rsid w:val="000510D8"/>
    <w:rsid w:val="000513B4"/>
    <w:rsid w:val="0005175D"/>
    <w:rsid w:val="0005191E"/>
    <w:rsid w:val="000521A3"/>
    <w:rsid w:val="00053410"/>
    <w:rsid w:val="000553A3"/>
    <w:rsid w:val="000554A8"/>
    <w:rsid w:val="000571A1"/>
    <w:rsid w:val="000573F8"/>
    <w:rsid w:val="00057926"/>
    <w:rsid w:val="00057976"/>
    <w:rsid w:val="00060295"/>
    <w:rsid w:val="000606F2"/>
    <w:rsid w:val="00060BC1"/>
    <w:rsid w:val="00060C50"/>
    <w:rsid w:val="00060FCD"/>
    <w:rsid w:val="00060FFD"/>
    <w:rsid w:val="000611A0"/>
    <w:rsid w:val="000617D4"/>
    <w:rsid w:val="00061BF3"/>
    <w:rsid w:val="00062282"/>
    <w:rsid w:val="00062F77"/>
    <w:rsid w:val="000635F6"/>
    <w:rsid w:val="000637C2"/>
    <w:rsid w:val="00064A6C"/>
    <w:rsid w:val="00065CA4"/>
    <w:rsid w:val="00066076"/>
    <w:rsid w:val="0006676B"/>
    <w:rsid w:val="00067257"/>
    <w:rsid w:val="000673C0"/>
    <w:rsid w:val="000678F1"/>
    <w:rsid w:val="00067A7A"/>
    <w:rsid w:val="000701D2"/>
    <w:rsid w:val="00071C5D"/>
    <w:rsid w:val="00071F3C"/>
    <w:rsid w:val="0007255A"/>
    <w:rsid w:val="000727AB"/>
    <w:rsid w:val="00072AE0"/>
    <w:rsid w:val="00074628"/>
    <w:rsid w:val="00074EB9"/>
    <w:rsid w:val="0007514F"/>
    <w:rsid w:val="00075785"/>
    <w:rsid w:val="000759A9"/>
    <w:rsid w:val="00075C08"/>
    <w:rsid w:val="00075FFE"/>
    <w:rsid w:val="0007683C"/>
    <w:rsid w:val="0007728A"/>
    <w:rsid w:val="00080108"/>
    <w:rsid w:val="000816A3"/>
    <w:rsid w:val="0008295D"/>
    <w:rsid w:val="000829EE"/>
    <w:rsid w:val="00083B48"/>
    <w:rsid w:val="0008447A"/>
    <w:rsid w:val="00084785"/>
    <w:rsid w:val="00084B60"/>
    <w:rsid w:val="00085620"/>
    <w:rsid w:val="00085706"/>
    <w:rsid w:val="00085BB9"/>
    <w:rsid w:val="00085E7D"/>
    <w:rsid w:val="00085F66"/>
    <w:rsid w:val="00086A35"/>
    <w:rsid w:val="00086C75"/>
    <w:rsid w:val="00086E6B"/>
    <w:rsid w:val="000875BF"/>
    <w:rsid w:val="00090BF1"/>
    <w:rsid w:val="00091AD7"/>
    <w:rsid w:val="00092265"/>
    <w:rsid w:val="00092450"/>
    <w:rsid w:val="00092456"/>
    <w:rsid w:val="00092850"/>
    <w:rsid w:val="0009298D"/>
    <w:rsid w:val="0009301E"/>
    <w:rsid w:val="000938FF"/>
    <w:rsid w:val="00094AD3"/>
    <w:rsid w:val="00095073"/>
    <w:rsid w:val="00096AF0"/>
    <w:rsid w:val="00096D8C"/>
    <w:rsid w:val="00096F68"/>
    <w:rsid w:val="000A0AB2"/>
    <w:rsid w:val="000A0DCA"/>
    <w:rsid w:val="000A1E69"/>
    <w:rsid w:val="000A228F"/>
    <w:rsid w:val="000A22C2"/>
    <w:rsid w:val="000A25B8"/>
    <w:rsid w:val="000A2987"/>
    <w:rsid w:val="000A2B42"/>
    <w:rsid w:val="000A3BFB"/>
    <w:rsid w:val="000A45CD"/>
    <w:rsid w:val="000A492C"/>
    <w:rsid w:val="000A4B41"/>
    <w:rsid w:val="000A4CED"/>
    <w:rsid w:val="000A530C"/>
    <w:rsid w:val="000A55A7"/>
    <w:rsid w:val="000A5F9F"/>
    <w:rsid w:val="000A695B"/>
    <w:rsid w:val="000A6F8D"/>
    <w:rsid w:val="000A6FE0"/>
    <w:rsid w:val="000A7223"/>
    <w:rsid w:val="000A7FBC"/>
    <w:rsid w:val="000B0BEA"/>
    <w:rsid w:val="000B12E4"/>
    <w:rsid w:val="000B1461"/>
    <w:rsid w:val="000B1D57"/>
    <w:rsid w:val="000B262D"/>
    <w:rsid w:val="000B3E6E"/>
    <w:rsid w:val="000B4032"/>
    <w:rsid w:val="000B4697"/>
    <w:rsid w:val="000B638E"/>
    <w:rsid w:val="000B665C"/>
    <w:rsid w:val="000B748D"/>
    <w:rsid w:val="000B7DCB"/>
    <w:rsid w:val="000B7EE5"/>
    <w:rsid w:val="000C0207"/>
    <w:rsid w:val="000C0B65"/>
    <w:rsid w:val="000C1471"/>
    <w:rsid w:val="000C1A90"/>
    <w:rsid w:val="000C2100"/>
    <w:rsid w:val="000C2D46"/>
    <w:rsid w:val="000C2EA4"/>
    <w:rsid w:val="000C360D"/>
    <w:rsid w:val="000C3E7E"/>
    <w:rsid w:val="000C4007"/>
    <w:rsid w:val="000C4911"/>
    <w:rsid w:val="000C5448"/>
    <w:rsid w:val="000C5674"/>
    <w:rsid w:val="000C588E"/>
    <w:rsid w:val="000C5B7B"/>
    <w:rsid w:val="000C5B88"/>
    <w:rsid w:val="000C6E91"/>
    <w:rsid w:val="000C7390"/>
    <w:rsid w:val="000C73FE"/>
    <w:rsid w:val="000D06B2"/>
    <w:rsid w:val="000D0912"/>
    <w:rsid w:val="000D0C03"/>
    <w:rsid w:val="000D0D1B"/>
    <w:rsid w:val="000D0E11"/>
    <w:rsid w:val="000D189B"/>
    <w:rsid w:val="000D2076"/>
    <w:rsid w:val="000D2C6A"/>
    <w:rsid w:val="000D31C8"/>
    <w:rsid w:val="000D37C5"/>
    <w:rsid w:val="000D3EEF"/>
    <w:rsid w:val="000D4150"/>
    <w:rsid w:val="000D4391"/>
    <w:rsid w:val="000D48B0"/>
    <w:rsid w:val="000D5EA6"/>
    <w:rsid w:val="000D6108"/>
    <w:rsid w:val="000D6C96"/>
    <w:rsid w:val="000D72B7"/>
    <w:rsid w:val="000D7572"/>
    <w:rsid w:val="000D76D2"/>
    <w:rsid w:val="000D7EAB"/>
    <w:rsid w:val="000D7F58"/>
    <w:rsid w:val="000E0BF0"/>
    <w:rsid w:val="000E25C3"/>
    <w:rsid w:val="000E25E0"/>
    <w:rsid w:val="000E2EF1"/>
    <w:rsid w:val="000E3CA6"/>
    <w:rsid w:val="000E3D42"/>
    <w:rsid w:val="000E45A2"/>
    <w:rsid w:val="000E4924"/>
    <w:rsid w:val="000E4AEB"/>
    <w:rsid w:val="000E50DA"/>
    <w:rsid w:val="000E536F"/>
    <w:rsid w:val="000E5884"/>
    <w:rsid w:val="000E61D4"/>
    <w:rsid w:val="000E6498"/>
    <w:rsid w:val="000E6DBB"/>
    <w:rsid w:val="000E7652"/>
    <w:rsid w:val="000F05A8"/>
    <w:rsid w:val="000F0A50"/>
    <w:rsid w:val="000F0CF7"/>
    <w:rsid w:val="000F0F56"/>
    <w:rsid w:val="000F163C"/>
    <w:rsid w:val="000F215E"/>
    <w:rsid w:val="000F3316"/>
    <w:rsid w:val="000F340F"/>
    <w:rsid w:val="000F3D3C"/>
    <w:rsid w:val="000F43FD"/>
    <w:rsid w:val="000F6743"/>
    <w:rsid w:val="000F6958"/>
    <w:rsid w:val="000F6C16"/>
    <w:rsid w:val="000F70D3"/>
    <w:rsid w:val="000F7B18"/>
    <w:rsid w:val="0010078C"/>
    <w:rsid w:val="00100AA1"/>
    <w:rsid w:val="00101BBC"/>
    <w:rsid w:val="001026E9"/>
    <w:rsid w:val="0010334D"/>
    <w:rsid w:val="00103AF7"/>
    <w:rsid w:val="00103C2D"/>
    <w:rsid w:val="00103D07"/>
    <w:rsid w:val="001047F7"/>
    <w:rsid w:val="00104F19"/>
    <w:rsid w:val="001050FE"/>
    <w:rsid w:val="00105F8F"/>
    <w:rsid w:val="00106108"/>
    <w:rsid w:val="0010666C"/>
    <w:rsid w:val="0010681D"/>
    <w:rsid w:val="00106B69"/>
    <w:rsid w:val="00107701"/>
    <w:rsid w:val="00110123"/>
    <w:rsid w:val="00111934"/>
    <w:rsid w:val="00112159"/>
    <w:rsid w:val="001124B7"/>
    <w:rsid w:val="0011272C"/>
    <w:rsid w:val="00112AE6"/>
    <w:rsid w:val="00112C30"/>
    <w:rsid w:val="00113ACB"/>
    <w:rsid w:val="001142B7"/>
    <w:rsid w:val="00114756"/>
    <w:rsid w:val="00114A63"/>
    <w:rsid w:val="00114FD7"/>
    <w:rsid w:val="00115B71"/>
    <w:rsid w:val="00115DCF"/>
    <w:rsid w:val="001167AA"/>
    <w:rsid w:val="00116869"/>
    <w:rsid w:val="001169C8"/>
    <w:rsid w:val="00116E7F"/>
    <w:rsid w:val="00117243"/>
    <w:rsid w:val="0011725E"/>
    <w:rsid w:val="001175CB"/>
    <w:rsid w:val="001209FA"/>
    <w:rsid w:val="0012100A"/>
    <w:rsid w:val="0012113E"/>
    <w:rsid w:val="001216B4"/>
    <w:rsid w:val="0012182C"/>
    <w:rsid w:val="00121FB7"/>
    <w:rsid w:val="00122BD5"/>
    <w:rsid w:val="001239BF"/>
    <w:rsid w:val="00123C7A"/>
    <w:rsid w:val="00123E66"/>
    <w:rsid w:val="0012542B"/>
    <w:rsid w:val="00125713"/>
    <w:rsid w:val="001259A6"/>
    <w:rsid w:val="00125D89"/>
    <w:rsid w:val="0012682A"/>
    <w:rsid w:val="001303F0"/>
    <w:rsid w:val="00130B5D"/>
    <w:rsid w:val="00131286"/>
    <w:rsid w:val="0013128D"/>
    <w:rsid w:val="00132156"/>
    <w:rsid w:val="00132743"/>
    <w:rsid w:val="001332BF"/>
    <w:rsid w:val="001342BB"/>
    <w:rsid w:val="00134488"/>
    <w:rsid w:val="00134E4E"/>
    <w:rsid w:val="00135743"/>
    <w:rsid w:val="00136D10"/>
    <w:rsid w:val="00136D71"/>
    <w:rsid w:val="0013732C"/>
    <w:rsid w:val="00137735"/>
    <w:rsid w:val="00140108"/>
    <w:rsid w:val="00140183"/>
    <w:rsid w:val="00141466"/>
    <w:rsid w:val="00143362"/>
    <w:rsid w:val="00143976"/>
    <w:rsid w:val="00143F9A"/>
    <w:rsid w:val="00144A44"/>
    <w:rsid w:val="00144FAC"/>
    <w:rsid w:val="0014649B"/>
    <w:rsid w:val="001479AF"/>
    <w:rsid w:val="00147AB8"/>
    <w:rsid w:val="00150FA3"/>
    <w:rsid w:val="001514F4"/>
    <w:rsid w:val="001523EE"/>
    <w:rsid w:val="001529AD"/>
    <w:rsid w:val="00152CD2"/>
    <w:rsid w:val="001531FF"/>
    <w:rsid w:val="00153737"/>
    <w:rsid w:val="00153BE2"/>
    <w:rsid w:val="00153D83"/>
    <w:rsid w:val="00153DA4"/>
    <w:rsid w:val="00154343"/>
    <w:rsid w:val="00154611"/>
    <w:rsid w:val="00154DB3"/>
    <w:rsid w:val="00154DDC"/>
    <w:rsid w:val="00155BA1"/>
    <w:rsid w:val="0015678A"/>
    <w:rsid w:val="001569C0"/>
    <w:rsid w:val="00156A07"/>
    <w:rsid w:val="00157F1D"/>
    <w:rsid w:val="00160A48"/>
    <w:rsid w:val="00161419"/>
    <w:rsid w:val="0016144F"/>
    <w:rsid w:val="00161993"/>
    <w:rsid w:val="00161EBE"/>
    <w:rsid w:val="00161F62"/>
    <w:rsid w:val="00162114"/>
    <w:rsid w:val="0016214F"/>
    <w:rsid w:val="001623F6"/>
    <w:rsid w:val="001627F0"/>
    <w:rsid w:val="001635D1"/>
    <w:rsid w:val="00163B78"/>
    <w:rsid w:val="001648EC"/>
    <w:rsid w:val="00164DB5"/>
    <w:rsid w:val="001652CF"/>
    <w:rsid w:val="00165A13"/>
    <w:rsid w:val="00166B99"/>
    <w:rsid w:val="00166E2A"/>
    <w:rsid w:val="001708DF"/>
    <w:rsid w:val="00170981"/>
    <w:rsid w:val="00170E2E"/>
    <w:rsid w:val="00171574"/>
    <w:rsid w:val="00172775"/>
    <w:rsid w:val="00172AFC"/>
    <w:rsid w:val="00172C66"/>
    <w:rsid w:val="00173B8C"/>
    <w:rsid w:val="0017419E"/>
    <w:rsid w:val="00175517"/>
    <w:rsid w:val="001757AA"/>
    <w:rsid w:val="00175BAB"/>
    <w:rsid w:val="00176266"/>
    <w:rsid w:val="0017645A"/>
    <w:rsid w:val="001770E8"/>
    <w:rsid w:val="00177975"/>
    <w:rsid w:val="001800BF"/>
    <w:rsid w:val="00181378"/>
    <w:rsid w:val="00181559"/>
    <w:rsid w:val="0018185F"/>
    <w:rsid w:val="00182541"/>
    <w:rsid w:val="00182E18"/>
    <w:rsid w:val="00183159"/>
    <w:rsid w:val="00183276"/>
    <w:rsid w:val="00183AE9"/>
    <w:rsid w:val="00183E39"/>
    <w:rsid w:val="00184513"/>
    <w:rsid w:val="0018602F"/>
    <w:rsid w:val="00186428"/>
    <w:rsid w:val="0018706A"/>
    <w:rsid w:val="0018757D"/>
    <w:rsid w:val="00187D13"/>
    <w:rsid w:val="001901DE"/>
    <w:rsid w:val="00191631"/>
    <w:rsid w:val="00191EB3"/>
    <w:rsid w:val="00192391"/>
    <w:rsid w:val="00192C47"/>
    <w:rsid w:val="001932C1"/>
    <w:rsid w:val="00194AA6"/>
    <w:rsid w:val="00194F06"/>
    <w:rsid w:val="00194F98"/>
    <w:rsid w:val="0019542F"/>
    <w:rsid w:val="00195F38"/>
    <w:rsid w:val="00195F47"/>
    <w:rsid w:val="00196178"/>
    <w:rsid w:val="0019632B"/>
    <w:rsid w:val="00196583"/>
    <w:rsid w:val="001967E2"/>
    <w:rsid w:val="00196E03"/>
    <w:rsid w:val="001971B5"/>
    <w:rsid w:val="001972AA"/>
    <w:rsid w:val="0019742F"/>
    <w:rsid w:val="00197ADE"/>
    <w:rsid w:val="00197AE8"/>
    <w:rsid w:val="001A0571"/>
    <w:rsid w:val="001A0F42"/>
    <w:rsid w:val="001A20C4"/>
    <w:rsid w:val="001A2AF4"/>
    <w:rsid w:val="001A36DB"/>
    <w:rsid w:val="001A39A4"/>
    <w:rsid w:val="001A3A92"/>
    <w:rsid w:val="001A3C41"/>
    <w:rsid w:val="001A4BCB"/>
    <w:rsid w:val="001A4E02"/>
    <w:rsid w:val="001A5BB0"/>
    <w:rsid w:val="001A7B9E"/>
    <w:rsid w:val="001B02EA"/>
    <w:rsid w:val="001B0C1C"/>
    <w:rsid w:val="001B0F60"/>
    <w:rsid w:val="001B133F"/>
    <w:rsid w:val="001B17B4"/>
    <w:rsid w:val="001B18C9"/>
    <w:rsid w:val="001B1AE9"/>
    <w:rsid w:val="001B2542"/>
    <w:rsid w:val="001B2632"/>
    <w:rsid w:val="001B2A7F"/>
    <w:rsid w:val="001B2AAC"/>
    <w:rsid w:val="001B2C55"/>
    <w:rsid w:val="001B2DA3"/>
    <w:rsid w:val="001B389F"/>
    <w:rsid w:val="001B449F"/>
    <w:rsid w:val="001B5CDE"/>
    <w:rsid w:val="001B5CE7"/>
    <w:rsid w:val="001B69D6"/>
    <w:rsid w:val="001B7001"/>
    <w:rsid w:val="001B7283"/>
    <w:rsid w:val="001B7A4B"/>
    <w:rsid w:val="001B7AFA"/>
    <w:rsid w:val="001B7E1E"/>
    <w:rsid w:val="001C009A"/>
    <w:rsid w:val="001C0B2A"/>
    <w:rsid w:val="001C154F"/>
    <w:rsid w:val="001C1D0F"/>
    <w:rsid w:val="001C2459"/>
    <w:rsid w:val="001C2E9C"/>
    <w:rsid w:val="001C3713"/>
    <w:rsid w:val="001C4131"/>
    <w:rsid w:val="001C430B"/>
    <w:rsid w:val="001C4814"/>
    <w:rsid w:val="001C5577"/>
    <w:rsid w:val="001C5A63"/>
    <w:rsid w:val="001C721B"/>
    <w:rsid w:val="001C721C"/>
    <w:rsid w:val="001D0151"/>
    <w:rsid w:val="001D02E0"/>
    <w:rsid w:val="001D1C1D"/>
    <w:rsid w:val="001D2C3A"/>
    <w:rsid w:val="001D2F15"/>
    <w:rsid w:val="001D422D"/>
    <w:rsid w:val="001D5635"/>
    <w:rsid w:val="001D56AA"/>
    <w:rsid w:val="001D570D"/>
    <w:rsid w:val="001D5884"/>
    <w:rsid w:val="001D6BCF"/>
    <w:rsid w:val="001D6F0C"/>
    <w:rsid w:val="001D6F62"/>
    <w:rsid w:val="001D7C3F"/>
    <w:rsid w:val="001D7DB2"/>
    <w:rsid w:val="001D7DC6"/>
    <w:rsid w:val="001E01CA"/>
    <w:rsid w:val="001E04A4"/>
    <w:rsid w:val="001E07D4"/>
    <w:rsid w:val="001E07EE"/>
    <w:rsid w:val="001E0C26"/>
    <w:rsid w:val="001E1FF8"/>
    <w:rsid w:val="001E21AE"/>
    <w:rsid w:val="001E23F6"/>
    <w:rsid w:val="001E28F2"/>
    <w:rsid w:val="001E2B66"/>
    <w:rsid w:val="001E331F"/>
    <w:rsid w:val="001E3F8D"/>
    <w:rsid w:val="001E4CA7"/>
    <w:rsid w:val="001E585F"/>
    <w:rsid w:val="001E5FC6"/>
    <w:rsid w:val="001E609D"/>
    <w:rsid w:val="001E66A8"/>
    <w:rsid w:val="001E7456"/>
    <w:rsid w:val="001E7611"/>
    <w:rsid w:val="001E766E"/>
    <w:rsid w:val="001E7B17"/>
    <w:rsid w:val="001E7F6A"/>
    <w:rsid w:val="001F08F0"/>
    <w:rsid w:val="001F16B0"/>
    <w:rsid w:val="001F2770"/>
    <w:rsid w:val="001F2A72"/>
    <w:rsid w:val="001F32EF"/>
    <w:rsid w:val="001F3899"/>
    <w:rsid w:val="001F3A5A"/>
    <w:rsid w:val="001F60FA"/>
    <w:rsid w:val="001F6439"/>
    <w:rsid w:val="001F6C9F"/>
    <w:rsid w:val="001F6D7F"/>
    <w:rsid w:val="001F73BD"/>
    <w:rsid w:val="001F7659"/>
    <w:rsid w:val="00200CB4"/>
    <w:rsid w:val="00200F8D"/>
    <w:rsid w:val="00201231"/>
    <w:rsid w:val="00202519"/>
    <w:rsid w:val="00203CD2"/>
    <w:rsid w:val="00204DD9"/>
    <w:rsid w:val="00204F1B"/>
    <w:rsid w:val="00205254"/>
    <w:rsid w:val="0020626D"/>
    <w:rsid w:val="002069E9"/>
    <w:rsid w:val="00206CE7"/>
    <w:rsid w:val="00207A04"/>
    <w:rsid w:val="00207A6D"/>
    <w:rsid w:val="00207E98"/>
    <w:rsid w:val="002114CA"/>
    <w:rsid w:val="00212089"/>
    <w:rsid w:val="002126A3"/>
    <w:rsid w:val="00212878"/>
    <w:rsid w:val="00212D70"/>
    <w:rsid w:val="00213090"/>
    <w:rsid w:val="002130AD"/>
    <w:rsid w:val="002131B0"/>
    <w:rsid w:val="002137AC"/>
    <w:rsid w:val="00214662"/>
    <w:rsid w:val="0021589C"/>
    <w:rsid w:val="002169B5"/>
    <w:rsid w:val="00217BB9"/>
    <w:rsid w:val="00217EE2"/>
    <w:rsid w:val="00217F13"/>
    <w:rsid w:val="0022004B"/>
    <w:rsid w:val="00220241"/>
    <w:rsid w:val="0022033A"/>
    <w:rsid w:val="0022068F"/>
    <w:rsid w:val="0022174D"/>
    <w:rsid w:val="00221D27"/>
    <w:rsid w:val="002222D3"/>
    <w:rsid w:val="00223DBC"/>
    <w:rsid w:val="00224589"/>
    <w:rsid w:val="00224993"/>
    <w:rsid w:val="00224C0F"/>
    <w:rsid w:val="002257BA"/>
    <w:rsid w:val="00225DDA"/>
    <w:rsid w:val="002260D5"/>
    <w:rsid w:val="00226822"/>
    <w:rsid w:val="00226C29"/>
    <w:rsid w:val="002270F5"/>
    <w:rsid w:val="0023096E"/>
    <w:rsid w:val="00230AD2"/>
    <w:rsid w:val="00230DEB"/>
    <w:rsid w:val="00231881"/>
    <w:rsid w:val="00231A78"/>
    <w:rsid w:val="00231BE7"/>
    <w:rsid w:val="002321F9"/>
    <w:rsid w:val="0023228D"/>
    <w:rsid w:val="0023252C"/>
    <w:rsid w:val="0023256E"/>
    <w:rsid w:val="002329B0"/>
    <w:rsid w:val="00232B58"/>
    <w:rsid w:val="00233492"/>
    <w:rsid w:val="00233A75"/>
    <w:rsid w:val="0023517A"/>
    <w:rsid w:val="00235294"/>
    <w:rsid w:val="002353F0"/>
    <w:rsid w:val="00235ACD"/>
    <w:rsid w:val="00235C01"/>
    <w:rsid w:val="00235D02"/>
    <w:rsid w:val="00235D9F"/>
    <w:rsid w:val="00236299"/>
    <w:rsid w:val="00236528"/>
    <w:rsid w:val="0023732E"/>
    <w:rsid w:val="0024053C"/>
    <w:rsid w:val="00240719"/>
    <w:rsid w:val="0024204C"/>
    <w:rsid w:val="00242387"/>
    <w:rsid w:val="00242B9B"/>
    <w:rsid w:val="0024402C"/>
    <w:rsid w:val="0024430D"/>
    <w:rsid w:val="002443E9"/>
    <w:rsid w:val="002446D8"/>
    <w:rsid w:val="00244A22"/>
    <w:rsid w:val="00245236"/>
    <w:rsid w:val="002458DD"/>
    <w:rsid w:val="00245946"/>
    <w:rsid w:val="00245EB0"/>
    <w:rsid w:val="0024640C"/>
    <w:rsid w:val="00246632"/>
    <w:rsid w:val="002500D9"/>
    <w:rsid w:val="002506DC"/>
    <w:rsid w:val="00251395"/>
    <w:rsid w:val="002520E6"/>
    <w:rsid w:val="00252280"/>
    <w:rsid w:val="002532DF"/>
    <w:rsid w:val="002534A2"/>
    <w:rsid w:val="002539E2"/>
    <w:rsid w:val="00254D6A"/>
    <w:rsid w:val="0025560C"/>
    <w:rsid w:val="002556CF"/>
    <w:rsid w:val="00255AA2"/>
    <w:rsid w:val="002567FB"/>
    <w:rsid w:val="00256E61"/>
    <w:rsid w:val="002571F0"/>
    <w:rsid w:val="00257BD8"/>
    <w:rsid w:val="00257CB5"/>
    <w:rsid w:val="0026038B"/>
    <w:rsid w:val="002603D0"/>
    <w:rsid w:val="0026171D"/>
    <w:rsid w:val="00261DF1"/>
    <w:rsid w:val="00262044"/>
    <w:rsid w:val="002620B4"/>
    <w:rsid w:val="0026232C"/>
    <w:rsid w:val="00262D4C"/>
    <w:rsid w:val="002633DF"/>
    <w:rsid w:val="0026348C"/>
    <w:rsid w:val="002638D7"/>
    <w:rsid w:val="00263ABE"/>
    <w:rsid w:val="00263EF8"/>
    <w:rsid w:val="0026484C"/>
    <w:rsid w:val="00264F7D"/>
    <w:rsid w:val="002658CA"/>
    <w:rsid w:val="00265AB4"/>
    <w:rsid w:val="00265D4F"/>
    <w:rsid w:val="002665E3"/>
    <w:rsid w:val="00266798"/>
    <w:rsid w:val="00267129"/>
    <w:rsid w:val="00267167"/>
    <w:rsid w:val="0026751E"/>
    <w:rsid w:val="00267FBB"/>
    <w:rsid w:val="002701ED"/>
    <w:rsid w:val="002714CC"/>
    <w:rsid w:val="00271B80"/>
    <w:rsid w:val="00271C49"/>
    <w:rsid w:val="00273051"/>
    <w:rsid w:val="0027377E"/>
    <w:rsid w:val="002752D1"/>
    <w:rsid w:val="00275377"/>
    <w:rsid w:val="00275FD3"/>
    <w:rsid w:val="002765C6"/>
    <w:rsid w:val="00276658"/>
    <w:rsid w:val="00277103"/>
    <w:rsid w:val="002774E9"/>
    <w:rsid w:val="00277E9C"/>
    <w:rsid w:val="00280963"/>
    <w:rsid w:val="00280E19"/>
    <w:rsid w:val="002810E7"/>
    <w:rsid w:val="002811F7"/>
    <w:rsid w:val="002814E2"/>
    <w:rsid w:val="00281807"/>
    <w:rsid w:val="002823FD"/>
    <w:rsid w:val="00282F8F"/>
    <w:rsid w:val="0028318E"/>
    <w:rsid w:val="00283498"/>
    <w:rsid w:val="00283AD9"/>
    <w:rsid w:val="002847A7"/>
    <w:rsid w:val="002847FA"/>
    <w:rsid w:val="00284F13"/>
    <w:rsid w:val="00285017"/>
    <w:rsid w:val="00285624"/>
    <w:rsid w:val="002864EE"/>
    <w:rsid w:val="00286621"/>
    <w:rsid w:val="0028689E"/>
    <w:rsid w:val="00286CD4"/>
    <w:rsid w:val="00287967"/>
    <w:rsid w:val="00287AFF"/>
    <w:rsid w:val="00290AF5"/>
    <w:rsid w:val="002914E3"/>
    <w:rsid w:val="00291654"/>
    <w:rsid w:val="00292253"/>
    <w:rsid w:val="002922F9"/>
    <w:rsid w:val="00292E01"/>
    <w:rsid w:val="00293EE0"/>
    <w:rsid w:val="002944EE"/>
    <w:rsid w:val="002947D7"/>
    <w:rsid w:val="0029488F"/>
    <w:rsid w:val="00294F38"/>
    <w:rsid w:val="0029553D"/>
    <w:rsid w:val="00295647"/>
    <w:rsid w:val="00295CF3"/>
    <w:rsid w:val="002962E4"/>
    <w:rsid w:val="002964CB"/>
    <w:rsid w:val="0029651A"/>
    <w:rsid w:val="002969A1"/>
    <w:rsid w:val="00297C5A"/>
    <w:rsid w:val="002A0154"/>
    <w:rsid w:val="002A0BE3"/>
    <w:rsid w:val="002A10F0"/>
    <w:rsid w:val="002A18A3"/>
    <w:rsid w:val="002A1A60"/>
    <w:rsid w:val="002A1D72"/>
    <w:rsid w:val="002A2597"/>
    <w:rsid w:val="002A276F"/>
    <w:rsid w:val="002A2BE3"/>
    <w:rsid w:val="002A2C4A"/>
    <w:rsid w:val="002A2D2E"/>
    <w:rsid w:val="002A3858"/>
    <w:rsid w:val="002A4B64"/>
    <w:rsid w:val="002A4F14"/>
    <w:rsid w:val="002A4F1A"/>
    <w:rsid w:val="002A4F65"/>
    <w:rsid w:val="002A5487"/>
    <w:rsid w:val="002A5DA3"/>
    <w:rsid w:val="002A6128"/>
    <w:rsid w:val="002A74B9"/>
    <w:rsid w:val="002B0195"/>
    <w:rsid w:val="002B0337"/>
    <w:rsid w:val="002B07FA"/>
    <w:rsid w:val="002B0C15"/>
    <w:rsid w:val="002B0C19"/>
    <w:rsid w:val="002B1CD8"/>
    <w:rsid w:val="002B53BC"/>
    <w:rsid w:val="002B5D3E"/>
    <w:rsid w:val="002B5E69"/>
    <w:rsid w:val="002B6C54"/>
    <w:rsid w:val="002B6CC7"/>
    <w:rsid w:val="002B6DC6"/>
    <w:rsid w:val="002B7E1A"/>
    <w:rsid w:val="002C07D1"/>
    <w:rsid w:val="002C095E"/>
    <w:rsid w:val="002C0ABF"/>
    <w:rsid w:val="002C0F3F"/>
    <w:rsid w:val="002C0F65"/>
    <w:rsid w:val="002C1688"/>
    <w:rsid w:val="002C2660"/>
    <w:rsid w:val="002C26AA"/>
    <w:rsid w:val="002C2D04"/>
    <w:rsid w:val="002C2F4A"/>
    <w:rsid w:val="002C38D5"/>
    <w:rsid w:val="002C4C67"/>
    <w:rsid w:val="002C5856"/>
    <w:rsid w:val="002C6074"/>
    <w:rsid w:val="002C6371"/>
    <w:rsid w:val="002C68DE"/>
    <w:rsid w:val="002C6A5A"/>
    <w:rsid w:val="002C6C2D"/>
    <w:rsid w:val="002C6D4D"/>
    <w:rsid w:val="002C6E4A"/>
    <w:rsid w:val="002C7646"/>
    <w:rsid w:val="002C7A59"/>
    <w:rsid w:val="002C7C61"/>
    <w:rsid w:val="002C7D19"/>
    <w:rsid w:val="002D05D0"/>
    <w:rsid w:val="002D062C"/>
    <w:rsid w:val="002D064E"/>
    <w:rsid w:val="002D167D"/>
    <w:rsid w:val="002D1C3F"/>
    <w:rsid w:val="002D2EA7"/>
    <w:rsid w:val="002D3017"/>
    <w:rsid w:val="002D315D"/>
    <w:rsid w:val="002D349A"/>
    <w:rsid w:val="002D3E27"/>
    <w:rsid w:val="002D4172"/>
    <w:rsid w:val="002D437B"/>
    <w:rsid w:val="002D4619"/>
    <w:rsid w:val="002D4A1F"/>
    <w:rsid w:val="002D4AF3"/>
    <w:rsid w:val="002D4FE0"/>
    <w:rsid w:val="002D53E6"/>
    <w:rsid w:val="002D5B08"/>
    <w:rsid w:val="002D5EAE"/>
    <w:rsid w:val="002D60FF"/>
    <w:rsid w:val="002D66CA"/>
    <w:rsid w:val="002D69C9"/>
    <w:rsid w:val="002D6B8F"/>
    <w:rsid w:val="002D6C6A"/>
    <w:rsid w:val="002D6CEE"/>
    <w:rsid w:val="002D785B"/>
    <w:rsid w:val="002D7F3D"/>
    <w:rsid w:val="002E0194"/>
    <w:rsid w:val="002E0233"/>
    <w:rsid w:val="002E0794"/>
    <w:rsid w:val="002E0A98"/>
    <w:rsid w:val="002E1167"/>
    <w:rsid w:val="002E215F"/>
    <w:rsid w:val="002E2A47"/>
    <w:rsid w:val="002E31D3"/>
    <w:rsid w:val="002E37DD"/>
    <w:rsid w:val="002E44F6"/>
    <w:rsid w:val="002E4C5B"/>
    <w:rsid w:val="002E4E3D"/>
    <w:rsid w:val="002E503D"/>
    <w:rsid w:val="002E5B64"/>
    <w:rsid w:val="002E5E24"/>
    <w:rsid w:val="002E633E"/>
    <w:rsid w:val="002E7198"/>
    <w:rsid w:val="002F0554"/>
    <w:rsid w:val="002F0745"/>
    <w:rsid w:val="002F0A9B"/>
    <w:rsid w:val="002F17CB"/>
    <w:rsid w:val="002F1B1A"/>
    <w:rsid w:val="002F1FDF"/>
    <w:rsid w:val="002F2094"/>
    <w:rsid w:val="002F2523"/>
    <w:rsid w:val="002F28D6"/>
    <w:rsid w:val="002F3391"/>
    <w:rsid w:val="002F33EE"/>
    <w:rsid w:val="002F3571"/>
    <w:rsid w:val="002F3FB5"/>
    <w:rsid w:val="002F4493"/>
    <w:rsid w:val="002F4AAE"/>
    <w:rsid w:val="002F4D97"/>
    <w:rsid w:val="002F4E7B"/>
    <w:rsid w:val="002F4F6C"/>
    <w:rsid w:val="002F5096"/>
    <w:rsid w:val="002F52ED"/>
    <w:rsid w:val="002F57BC"/>
    <w:rsid w:val="002F5FF9"/>
    <w:rsid w:val="002F69A9"/>
    <w:rsid w:val="002F6BF6"/>
    <w:rsid w:val="002F7E39"/>
    <w:rsid w:val="00300099"/>
    <w:rsid w:val="00300CA8"/>
    <w:rsid w:val="00300DD1"/>
    <w:rsid w:val="00301209"/>
    <w:rsid w:val="00301514"/>
    <w:rsid w:val="00301736"/>
    <w:rsid w:val="003021D5"/>
    <w:rsid w:val="003023B4"/>
    <w:rsid w:val="00302683"/>
    <w:rsid w:val="00302D5A"/>
    <w:rsid w:val="003033BC"/>
    <w:rsid w:val="00304F22"/>
    <w:rsid w:val="00305490"/>
    <w:rsid w:val="003058B2"/>
    <w:rsid w:val="00306995"/>
    <w:rsid w:val="00310669"/>
    <w:rsid w:val="00310B0B"/>
    <w:rsid w:val="00310B60"/>
    <w:rsid w:val="00310D9E"/>
    <w:rsid w:val="003117D5"/>
    <w:rsid w:val="00311934"/>
    <w:rsid w:val="00311D7E"/>
    <w:rsid w:val="00312046"/>
    <w:rsid w:val="003123BC"/>
    <w:rsid w:val="003124D0"/>
    <w:rsid w:val="00312800"/>
    <w:rsid w:val="00312AF9"/>
    <w:rsid w:val="003131D6"/>
    <w:rsid w:val="00313CA8"/>
    <w:rsid w:val="00313ED4"/>
    <w:rsid w:val="00314DCE"/>
    <w:rsid w:val="00315705"/>
    <w:rsid w:val="00315842"/>
    <w:rsid w:val="00315F29"/>
    <w:rsid w:val="00316278"/>
    <w:rsid w:val="00317922"/>
    <w:rsid w:val="00317A96"/>
    <w:rsid w:val="00317D91"/>
    <w:rsid w:val="00317E50"/>
    <w:rsid w:val="00317F63"/>
    <w:rsid w:val="003204B3"/>
    <w:rsid w:val="0032088A"/>
    <w:rsid w:val="003211AB"/>
    <w:rsid w:val="00321FAC"/>
    <w:rsid w:val="0032251D"/>
    <w:rsid w:val="003230DE"/>
    <w:rsid w:val="00323D46"/>
    <w:rsid w:val="00323E63"/>
    <w:rsid w:val="0032440F"/>
    <w:rsid w:val="00324AE3"/>
    <w:rsid w:val="00324DF6"/>
    <w:rsid w:val="00325188"/>
    <w:rsid w:val="00325468"/>
    <w:rsid w:val="00325C5A"/>
    <w:rsid w:val="0032692E"/>
    <w:rsid w:val="00326D89"/>
    <w:rsid w:val="00326DE6"/>
    <w:rsid w:val="00327B06"/>
    <w:rsid w:val="0033006A"/>
    <w:rsid w:val="00330F27"/>
    <w:rsid w:val="003314B3"/>
    <w:rsid w:val="00333010"/>
    <w:rsid w:val="00333619"/>
    <w:rsid w:val="00334EA6"/>
    <w:rsid w:val="00335460"/>
    <w:rsid w:val="00335A61"/>
    <w:rsid w:val="00335D7C"/>
    <w:rsid w:val="003377BA"/>
    <w:rsid w:val="0033786F"/>
    <w:rsid w:val="00337C2D"/>
    <w:rsid w:val="0034008F"/>
    <w:rsid w:val="00340ABE"/>
    <w:rsid w:val="003414A5"/>
    <w:rsid w:val="00341BCE"/>
    <w:rsid w:val="00341DD7"/>
    <w:rsid w:val="00341DF6"/>
    <w:rsid w:val="00342E95"/>
    <w:rsid w:val="00343580"/>
    <w:rsid w:val="00343749"/>
    <w:rsid w:val="00343F9C"/>
    <w:rsid w:val="0034409C"/>
    <w:rsid w:val="003446AC"/>
    <w:rsid w:val="00344E1B"/>
    <w:rsid w:val="003460F2"/>
    <w:rsid w:val="00346C69"/>
    <w:rsid w:val="003473B2"/>
    <w:rsid w:val="003474F2"/>
    <w:rsid w:val="00347601"/>
    <w:rsid w:val="00347C7F"/>
    <w:rsid w:val="0035027F"/>
    <w:rsid w:val="0035074D"/>
    <w:rsid w:val="00350A69"/>
    <w:rsid w:val="00350B7B"/>
    <w:rsid w:val="0035122C"/>
    <w:rsid w:val="00353674"/>
    <w:rsid w:val="003539AD"/>
    <w:rsid w:val="003540DB"/>
    <w:rsid w:val="003541C7"/>
    <w:rsid w:val="00354782"/>
    <w:rsid w:val="00355FC1"/>
    <w:rsid w:val="0035685D"/>
    <w:rsid w:val="00357439"/>
    <w:rsid w:val="00357CF7"/>
    <w:rsid w:val="00357E60"/>
    <w:rsid w:val="003603F5"/>
    <w:rsid w:val="00360F9A"/>
    <w:rsid w:val="003620B7"/>
    <w:rsid w:val="00362D2A"/>
    <w:rsid w:val="003631CB"/>
    <w:rsid w:val="003633C9"/>
    <w:rsid w:val="003638A1"/>
    <w:rsid w:val="00363C08"/>
    <w:rsid w:val="003643E3"/>
    <w:rsid w:val="00364B7D"/>
    <w:rsid w:val="00364ED4"/>
    <w:rsid w:val="003652BD"/>
    <w:rsid w:val="0036566F"/>
    <w:rsid w:val="00365A63"/>
    <w:rsid w:val="00366699"/>
    <w:rsid w:val="00366AED"/>
    <w:rsid w:val="00366E9A"/>
    <w:rsid w:val="003670ED"/>
    <w:rsid w:val="003671B2"/>
    <w:rsid w:val="003672ED"/>
    <w:rsid w:val="00367B3B"/>
    <w:rsid w:val="00367CB2"/>
    <w:rsid w:val="003702FD"/>
    <w:rsid w:val="0037044B"/>
    <w:rsid w:val="00370605"/>
    <w:rsid w:val="00371802"/>
    <w:rsid w:val="00372177"/>
    <w:rsid w:val="00372DB9"/>
    <w:rsid w:val="00372F06"/>
    <w:rsid w:val="0037310A"/>
    <w:rsid w:val="003733B9"/>
    <w:rsid w:val="003739A0"/>
    <w:rsid w:val="0037450E"/>
    <w:rsid w:val="00374582"/>
    <w:rsid w:val="00374664"/>
    <w:rsid w:val="00374733"/>
    <w:rsid w:val="00374C6E"/>
    <w:rsid w:val="00374DB4"/>
    <w:rsid w:val="0037525D"/>
    <w:rsid w:val="003753FD"/>
    <w:rsid w:val="00375444"/>
    <w:rsid w:val="0037566D"/>
    <w:rsid w:val="00375824"/>
    <w:rsid w:val="00375F5B"/>
    <w:rsid w:val="00376A6D"/>
    <w:rsid w:val="00376E5F"/>
    <w:rsid w:val="003773A4"/>
    <w:rsid w:val="00380BE1"/>
    <w:rsid w:val="00380FEB"/>
    <w:rsid w:val="003812DF"/>
    <w:rsid w:val="003814DF"/>
    <w:rsid w:val="003822EE"/>
    <w:rsid w:val="003827FD"/>
    <w:rsid w:val="00384264"/>
    <w:rsid w:val="00384474"/>
    <w:rsid w:val="00384B60"/>
    <w:rsid w:val="003863CC"/>
    <w:rsid w:val="00386910"/>
    <w:rsid w:val="00387DEA"/>
    <w:rsid w:val="0039078C"/>
    <w:rsid w:val="00390C94"/>
    <w:rsid w:val="00390F57"/>
    <w:rsid w:val="0039206E"/>
    <w:rsid w:val="003936F0"/>
    <w:rsid w:val="00393BFF"/>
    <w:rsid w:val="003942E2"/>
    <w:rsid w:val="00394801"/>
    <w:rsid w:val="00394877"/>
    <w:rsid w:val="00394FAA"/>
    <w:rsid w:val="00395409"/>
    <w:rsid w:val="00397151"/>
    <w:rsid w:val="00397461"/>
    <w:rsid w:val="003974A6"/>
    <w:rsid w:val="003A04B4"/>
    <w:rsid w:val="003A0DCC"/>
    <w:rsid w:val="003A2044"/>
    <w:rsid w:val="003A2B95"/>
    <w:rsid w:val="003A2BAE"/>
    <w:rsid w:val="003A2EF7"/>
    <w:rsid w:val="003A3F57"/>
    <w:rsid w:val="003A43E0"/>
    <w:rsid w:val="003A5F10"/>
    <w:rsid w:val="003A63C9"/>
    <w:rsid w:val="003A6C8B"/>
    <w:rsid w:val="003A6CD6"/>
    <w:rsid w:val="003A6E8F"/>
    <w:rsid w:val="003B0550"/>
    <w:rsid w:val="003B0CD8"/>
    <w:rsid w:val="003B1283"/>
    <w:rsid w:val="003B2972"/>
    <w:rsid w:val="003B363F"/>
    <w:rsid w:val="003B37D9"/>
    <w:rsid w:val="003B5B78"/>
    <w:rsid w:val="003B65A0"/>
    <w:rsid w:val="003B694F"/>
    <w:rsid w:val="003B6A7C"/>
    <w:rsid w:val="003B770F"/>
    <w:rsid w:val="003B77F8"/>
    <w:rsid w:val="003C0343"/>
    <w:rsid w:val="003C096F"/>
    <w:rsid w:val="003C1740"/>
    <w:rsid w:val="003C248C"/>
    <w:rsid w:val="003C294B"/>
    <w:rsid w:val="003C34D4"/>
    <w:rsid w:val="003C364E"/>
    <w:rsid w:val="003C3919"/>
    <w:rsid w:val="003C3AC6"/>
    <w:rsid w:val="003C3D47"/>
    <w:rsid w:val="003C3F38"/>
    <w:rsid w:val="003C459B"/>
    <w:rsid w:val="003C47AF"/>
    <w:rsid w:val="003C4885"/>
    <w:rsid w:val="003C4A10"/>
    <w:rsid w:val="003C4A3E"/>
    <w:rsid w:val="003C4C04"/>
    <w:rsid w:val="003C4F90"/>
    <w:rsid w:val="003C609F"/>
    <w:rsid w:val="003C6111"/>
    <w:rsid w:val="003C63B8"/>
    <w:rsid w:val="003C6C46"/>
    <w:rsid w:val="003C6F53"/>
    <w:rsid w:val="003C72C0"/>
    <w:rsid w:val="003C77EE"/>
    <w:rsid w:val="003D009F"/>
    <w:rsid w:val="003D10EA"/>
    <w:rsid w:val="003D1F78"/>
    <w:rsid w:val="003D2A1B"/>
    <w:rsid w:val="003D48FD"/>
    <w:rsid w:val="003D4DE3"/>
    <w:rsid w:val="003D4DF0"/>
    <w:rsid w:val="003D4E91"/>
    <w:rsid w:val="003D5412"/>
    <w:rsid w:val="003D55C6"/>
    <w:rsid w:val="003D61C8"/>
    <w:rsid w:val="003D65BB"/>
    <w:rsid w:val="003D6CD1"/>
    <w:rsid w:val="003D7FEF"/>
    <w:rsid w:val="003E025A"/>
    <w:rsid w:val="003E02C9"/>
    <w:rsid w:val="003E0477"/>
    <w:rsid w:val="003E0498"/>
    <w:rsid w:val="003E17DD"/>
    <w:rsid w:val="003E1BB5"/>
    <w:rsid w:val="003E41C6"/>
    <w:rsid w:val="003E4D6A"/>
    <w:rsid w:val="003E5058"/>
    <w:rsid w:val="003E5288"/>
    <w:rsid w:val="003E6887"/>
    <w:rsid w:val="003E689C"/>
    <w:rsid w:val="003E6F77"/>
    <w:rsid w:val="003E796D"/>
    <w:rsid w:val="003E7DAE"/>
    <w:rsid w:val="003F07AC"/>
    <w:rsid w:val="003F0AFA"/>
    <w:rsid w:val="003F0CC7"/>
    <w:rsid w:val="003F0EA9"/>
    <w:rsid w:val="003F171C"/>
    <w:rsid w:val="003F2FFD"/>
    <w:rsid w:val="003F310D"/>
    <w:rsid w:val="003F3314"/>
    <w:rsid w:val="003F5843"/>
    <w:rsid w:val="003F5B43"/>
    <w:rsid w:val="003F5E0C"/>
    <w:rsid w:val="003F6074"/>
    <w:rsid w:val="003F624E"/>
    <w:rsid w:val="003F6481"/>
    <w:rsid w:val="003F64A5"/>
    <w:rsid w:val="003F7046"/>
    <w:rsid w:val="003F7960"/>
    <w:rsid w:val="0040032F"/>
    <w:rsid w:val="004004AD"/>
    <w:rsid w:val="00400FB4"/>
    <w:rsid w:val="00402020"/>
    <w:rsid w:val="004021E7"/>
    <w:rsid w:val="004023B2"/>
    <w:rsid w:val="0040241C"/>
    <w:rsid w:val="004028AB"/>
    <w:rsid w:val="0040291A"/>
    <w:rsid w:val="00402F57"/>
    <w:rsid w:val="004033C6"/>
    <w:rsid w:val="00403751"/>
    <w:rsid w:val="00404A1F"/>
    <w:rsid w:val="004066AF"/>
    <w:rsid w:val="004067BF"/>
    <w:rsid w:val="004073A2"/>
    <w:rsid w:val="00407A52"/>
    <w:rsid w:val="00410BA6"/>
    <w:rsid w:val="00411790"/>
    <w:rsid w:val="004118A0"/>
    <w:rsid w:val="004121AB"/>
    <w:rsid w:val="00412581"/>
    <w:rsid w:val="00412664"/>
    <w:rsid w:val="004126F2"/>
    <w:rsid w:val="00412FC5"/>
    <w:rsid w:val="00413149"/>
    <w:rsid w:val="00413DDE"/>
    <w:rsid w:val="0041422C"/>
    <w:rsid w:val="004146FF"/>
    <w:rsid w:val="00414F0C"/>
    <w:rsid w:val="00415D8E"/>
    <w:rsid w:val="00415E2E"/>
    <w:rsid w:val="004163EE"/>
    <w:rsid w:val="004169A3"/>
    <w:rsid w:val="004171F1"/>
    <w:rsid w:val="0041726E"/>
    <w:rsid w:val="00417277"/>
    <w:rsid w:val="00421547"/>
    <w:rsid w:val="00421A0D"/>
    <w:rsid w:val="00421A21"/>
    <w:rsid w:val="00422276"/>
    <w:rsid w:val="00422291"/>
    <w:rsid w:val="00422C78"/>
    <w:rsid w:val="00422C8E"/>
    <w:rsid w:val="00422F83"/>
    <w:rsid w:val="00423134"/>
    <w:rsid w:val="004237E1"/>
    <w:rsid w:val="00423EC6"/>
    <w:rsid w:val="004242F1"/>
    <w:rsid w:val="0042490E"/>
    <w:rsid w:val="00424C5C"/>
    <w:rsid w:val="004256DA"/>
    <w:rsid w:val="0042606C"/>
    <w:rsid w:val="00426295"/>
    <w:rsid w:val="00426610"/>
    <w:rsid w:val="0042663E"/>
    <w:rsid w:val="00426AFA"/>
    <w:rsid w:val="00430223"/>
    <w:rsid w:val="0043075D"/>
    <w:rsid w:val="00430851"/>
    <w:rsid w:val="00430E94"/>
    <w:rsid w:val="00430F32"/>
    <w:rsid w:val="0043266D"/>
    <w:rsid w:val="00432E82"/>
    <w:rsid w:val="00432F91"/>
    <w:rsid w:val="00433172"/>
    <w:rsid w:val="0043336F"/>
    <w:rsid w:val="0043439A"/>
    <w:rsid w:val="0043510C"/>
    <w:rsid w:val="00435DBE"/>
    <w:rsid w:val="00435F97"/>
    <w:rsid w:val="004360D3"/>
    <w:rsid w:val="004371A3"/>
    <w:rsid w:val="0043789B"/>
    <w:rsid w:val="00440406"/>
    <w:rsid w:val="004407BF"/>
    <w:rsid w:val="00441858"/>
    <w:rsid w:val="00441C16"/>
    <w:rsid w:val="004426DA"/>
    <w:rsid w:val="00442B63"/>
    <w:rsid w:val="00443EEC"/>
    <w:rsid w:val="004447F2"/>
    <w:rsid w:val="00444FFF"/>
    <w:rsid w:val="0044529C"/>
    <w:rsid w:val="00445304"/>
    <w:rsid w:val="0044568F"/>
    <w:rsid w:val="00445A00"/>
    <w:rsid w:val="00445AEA"/>
    <w:rsid w:val="00445B51"/>
    <w:rsid w:val="00445CA3"/>
    <w:rsid w:val="00445D8B"/>
    <w:rsid w:val="004460FC"/>
    <w:rsid w:val="004463A7"/>
    <w:rsid w:val="00447416"/>
    <w:rsid w:val="0045001F"/>
    <w:rsid w:val="0045006C"/>
    <w:rsid w:val="00450F71"/>
    <w:rsid w:val="004516EB"/>
    <w:rsid w:val="00451781"/>
    <w:rsid w:val="00451931"/>
    <w:rsid w:val="00451A8B"/>
    <w:rsid w:val="00451B0F"/>
    <w:rsid w:val="0045291B"/>
    <w:rsid w:val="00452DB3"/>
    <w:rsid w:val="00453164"/>
    <w:rsid w:val="004532C7"/>
    <w:rsid w:val="004559E4"/>
    <w:rsid w:val="00455DDE"/>
    <w:rsid w:val="00455ECB"/>
    <w:rsid w:val="00456056"/>
    <w:rsid w:val="0045615D"/>
    <w:rsid w:val="00456682"/>
    <w:rsid w:val="0045683F"/>
    <w:rsid w:val="0045781B"/>
    <w:rsid w:val="004579F3"/>
    <w:rsid w:val="00460451"/>
    <w:rsid w:val="00460E0F"/>
    <w:rsid w:val="004625DE"/>
    <w:rsid w:val="00462865"/>
    <w:rsid w:val="00462C40"/>
    <w:rsid w:val="00462F35"/>
    <w:rsid w:val="00463239"/>
    <w:rsid w:val="00463D88"/>
    <w:rsid w:val="00464766"/>
    <w:rsid w:val="00466358"/>
    <w:rsid w:val="00470065"/>
    <w:rsid w:val="004712AE"/>
    <w:rsid w:val="0047165B"/>
    <w:rsid w:val="00471A16"/>
    <w:rsid w:val="00471DF3"/>
    <w:rsid w:val="004723A4"/>
    <w:rsid w:val="00472523"/>
    <w:rsid w:val="00472706"/>
    <w:rsid w:val="0047335F"/>
    <w:rsid w:val="00473C6B"/>
    <w:rsid w:val="00474171"/>
    <w:rsid w:val="004753C8"/>
    <w:rsid w:val="0047544C"/>
    <w:rsid w:val="00475A8C"/>
    <w:rsid w:val="00475F56"/>
    <w:rsid w:val="00476CCD"/>
    <w:rsid w:val="00477DFF"/>
    <w:rsid w:val="00480335"/>
    <w:rsid w:val="00481897"/>
    <w:rsid w:val="00482B3B"/>
    <w:rsid w:val="004830B2"/>
    <w:rsid w:val="00483FF8"/>
    <w:rsid w:val="00484AFF"/>
    <w:rsid w:val="00484B53"/>
    <w:rsid w:val="00485147"/>
    <w:rsid w:val="00485610"/>
    <w:rsid w:val="004873B6"/>
    <w:rsid w:val="00487A53"/>
    <w:rsid w:val="0049062D"/>
    <w:rsid w:val="004907FD"/>
    <w:rsid w:val="00490AC4"/>
    <w:rsid w:val="00490BF6"/>
    <w:rsid w:val="00491190"/>
    <w:rsid w:val="004916C5"/>
    <w:rsid w:val="00491977"/>
    <w:rsid w:val="00491FE6"/>
    <w:rsid w:val="0049239B"/>
    <w:rsid w:val="00492DDC"/>
    <w:rsid w:val="004934C2"/>
    <w:rsid w:val="00494BB4"/>
    <w:rsid w:val="00495125"/>
    <w:rsid w:val="004953EB"/>
    <w:rsid w:val="004958B9"/>
    <w:rsid w:val="00495E3E"/>
    <w:rsid w:val="004971D6"/>
    <w:rsid w:val="0049744C"/>
    <w:rsid w:val="00497BD5"/>
    <w:rsid w:val="004A06FB"/>
    <w:rsid w:val="004A0EE0"/>
    <w:rsid w:val="004A10E7"/>
    <w:rsid w:val="004A121C"/>
    <w:rsid w:val="004A1A3B"/>
    <w:rsid w:val="004A28C3"/>
    <w:rsid w:val="004A2964"/>
    <w:rsid w:val="004A3868"/>
    <w:rsid w:val="004A38D0"/>
    <w:rsid w:val="004A401C"/>
    <w:rsid w:val="004A44E6"/>
    <w:rsid w:val="004A46E0"/>
    <w:rsid w:val="004A509D"/>
    <w:rsid w:val="004A562B"/>
    <w:rsid w:val="004A660A"/>
    <w:rsid w:val="004A7BD4"/>
    <w:rsid w:val="004A7E39"/>
    <w:rsid w:val="004B04D0"/>
    <w:rsid w:val="004B0F4D"/>
    <w:rsid w:val="004B2069"/>
    <w:rsid w:val="004B2533"/>
    <w:rsid w:val="004B2CEF"/>
    <w:rsid w:val="004B2E28"/>
    <w:rsid w:val="004B2F92"/>
    <w:rsid w:val="004B325C"/>
    <w:rsid w:val="004B389C"/>
    <w:rsid w:val="004B3C9B"/>
    <w:rsid w:val="004B4614"/>
    <w:rsid w:val="004B4783"/>
    <w:rsid w:val="004B4CBC"/>
    <w:rsid w:val="004B4D95"/>
    <w:rsid w:val="004B4DBB"/>
    <w:rsid w:val="004B5A96"/>
    <w:rsid w:val="004B5FA3"/>
    <w:rsid w:val="004B60FF"/>
    <w:rsid w:val="004C0FE3"/>
    <w:rsid w:val="004C1825"/>
    <w:rsid w:val="004C2DF4"/>
    <w:rsid w:val="004C2EE3"/>
    <w:rsid w:val="004C3CF4"/>
    <w:rsid w:val="004C4637"/>
    <w:rsid w:val="004C660E"/>
    <w:rsid w:val="004C7798"/>
    <w:rsid w:val="004C7FF7"/>
    <w:rsid w:val="004D0196"/>
    <w:rsid w:val="004D029D"/>
    <w:rsid w:val="004D02F3"/>
    <w:rsid w:val="004D0402"/>
    <w:rsid w:val="004D051E"/>
    <w:rsid w:val="004D1157"/>
    <w:rsid w:val="004D2305"/>
    <w:rsid w:val="004D2972"/>
    <w:rsid w:val="004D34A8"/>
    <w:rsid w:val="004D373D"/>
    <w:rsid w:val="004D3EBD"/>
    <w:rsid w:val="004D469E"/>
    <w:rsid w:val="004D4BCF"/>
    <w:rsid w:val="004D4BEF"/>
    <w:rsid w:val="004D5686"/>
    <w:rsid w:val="004D5885"/>
    <w:rsid w:val="004D5EE9"/>
    <w:rsid w:val="004D62CC"/>
    <w:rsid w:val="004D6A63"/>
    <w:rsid w:val="004D72CC"/>
    <w:rsid w:val="004D78F2"/>
    <w:rsid w:val="004E3260"/>
    <w:rsid w:val="004E43BF"/>
    <w:rsid w:val="004E4A22"/>
    <w:rsid w:val="004E4C79"/>
    <w:rsid w:val="004E56AB"/>
    <w:rsid w:val="004E5B94"/>
    <w:rsid w:val="004E5EDE"/>
    <w:rsid w:val="004E736A"/>
    <w:rsid w:val="004E79B9"/>
    <w:rsid w:val="004F00B3"/>
    <w:rsid w:val="004F06E2"/>
    <w:rsid w:val="004F0A34"/>
    <w:rsid w:val="004F0B06"/>
    <w:rsid w:val="004F0BD8"/>
    <w:rsid w:val="004F0D0C"/>
    <w:rsid w:val="004F135C"/>
    <w:rsid w:val="004F1670"/>
    <w:rsid w:val="004F1860"/>
    <w:rsid w:val="004F2222"/>
    <w:rsid w:val="004F272B"/>
    <w:rsid w:val="004F42FA"/>
    <w:rsid w:val="004F48D6"/>
    <w:rsid w:val="004F4D4B"/>
    <w:rsid w:val="004F4E83"/>
    <w:rsid w:val="004F55E6"/>
    <w:rsid w:val="004F58B2"/>
    <w:rsid w:val="004F5B3A"/>
    <w:rsid w:val="004F60DE"/>
    <w:rsid w:val="004F6F0E"/>
    <w:rsid w:val="004F709C"/>
    <w:rsid w:val="004F77C6"/>
    <w:rsid w:val="0050011A"/>
    <w:rsid w:val="00500EB8"/>
    <w:rsid w:val="00501F33"/>
    <w:rsid w:val="00504862"/>
    <w:rsid w:val="00504A66"/>
    <w:rsid w:val="00505099"/>
    <w:rsid w:val="00505220"/>
    <w:rsid w:val="0050561E"/>
    <w:rsid w:val="00505634"/>
    <w:rsid w:val="00505B93"/>
    <w:rsid w:val="005060AB"/>
    <w:rsid w:val="005065F4"/>
    <w:rsid w:val="00507216"/>
    <w:rsid w:val="0050738B"/>
    <w:rsid w:val="005074EC"/>
    <w:rsid w:val="00510422"/>
    <w:rsid w:val="00510C4B"/>
    <w:rsid w:val="00511500"/>
    <w:rsid w:val="00511968"/>
    <w:rsid w:val="00512257"/>
    <w:rsid w:val="005125D4"/>
    <w:rsid w:val="0051368D"/>
    <w:rsid w:val="00513B18"/>
    <w:rsid w:val="005140D2"/>
    <w:rsid w:val="005145E9"/>
    <w:rsid w:val="005145EF"/>
    <w:rsid w:val="00514C15"/>
    <w:rsid w:val="00514ECB"/>
    <w:rsid w:val="00515549"/>
    <w:rsid w:val="0051606A"/>
    <w:rsid w:val="00516BBC"/>
    <w:rsid w:val="0051766E"/>
    <w:rsid w:val="005177E2"/>
    <w:rsid w:val="00521101"/>
    <w:rsid w:val="005215DE"/>
    <w:rsid w:val="005228F0"/>
    <w:rsid w:val="00522DBB"/>
    <w:rsid w:val="00523404"/>
    <w:rsid w:val="00527467"/>
    <w:rsid w:val="005278C7"/>
    <w:rsid w:val="00530B79"/>
    <w:rsid w:val="00531120"/>
    <w:rsid w:val="00531A2B"/>
    <w:rsid w:val="00532E61"/>
    <w:rsid w:val="00533166"/>
    <w:rsid w:val="00533ABB"/>
    <w:rsid w:val="00534B69"/>
    <w:rsid w:val="00534D87"/>
    <w:rsid w:val="00535C3F"/>
    <w:rsid w:val="00535C8E"/>
    <w:rsid w:val="00535D0B"/>
    <w:rsid w:val="005373D9"/>
    <w:rsid w:val="00537958"/>
    <w:rsid w:val="00537A4F"/>
    <w:rsid w:val="00537FA2"/>
    <w:rsid w:val="005405CA"/>
    <w:rsid w:val="005421F4"/>
    <w:rsid w:val="005422D4"/>
    <w:rsid w:val="005428D6"/>
    <w:rsid w:val="005436E3"/>
    <w:rsid w:val="00543F9E"/>
    <w:rsid w:val="00544859"/>
    <w:rsid w:val="00544957"/>
    <w:rsid w:val="00545571"/>
    <w:rsid w:val="00545624"/>
    <w:rsid w:val="00545B8C"/>
    <w:rsid w:val="00545BE2"/>
    <w:rsid w:val="005462EE"/>
    <w:rsid w:val="005465B2"/>
    <w:rsid w:val="00550175"/>
    <w:rsid w:val="00551C5F"/>
    <w:rsid w:val="00551E35"/>
    <w:rsid w:val="0055201D"/>
    <w:rsid w:val="00552844"/>
    <w:rsid w:val="00552AB0"/>
    <w:rsid w:val="00552CB4"/>
    <w:rsid w:val="00553602"/>
    <w:rsid w:val="00553CF3"/>
    <w:rsid w:val="00553FF9"/>
    <w:rsid w:val="005547FA"/>
    <w:rsid w:val="00554F8C"/>
    <w:rsid w:val="005552EC"/>
    <w:rsid w:val="0055614C"/>
    <w:rsid w:val="0055642F"/>
    <w:rsid w:val="00556455"/>
    <w:rsid w:val="0055697F"/>
    <w:rsid w:val="00557C7D"/>
    <w:rsid w:val="00560224"/>
    <w:rsid w:val="00560FB3"/>
    <w:rsid w:val="00561AB7"/>
    <w:rsid w:val="00562F78"/>
    <w:rsid w:val="005630B3"/>
    <w:rsid w:val="0056397F"/>
    <w:rsid w:val="00563C5F"/>
    <w:rsid w:val="00563E25"/>
    <w:rsid w:val="00564571"/>
    <w:rsid w:val="005651B3"/>
    <w:rsid w:val="00566117"/>
    <w:rsid w:val="00566BA4"/>
    <w:rsid w:val="00566C2B"/>
    <w:rsid w:val="0057005D"/>
    <w:rsid w:val="00570471"/>
    <w:rsid w:val="00570AEA"/>
    <w:rsid w:val="00570F3B"/>
    <w:rsid w:val="00572CFF"/>
    <w:rsid w:val="0057327B"/>
    <w:rsid w:val="005732F5"/>
    <w:rsid w:val="00574237"/>
    <w:rsid w:val="00574344"/>
    <w:rsid w:val="005749A5"/>
    <w:rsid w:val="00576695"/>
    <w:rsid w:val="00576A76"/>
    <w:rsid w:val="00576ECF"/>
    <w:rsid w:val="00577500"/>
    <w:rsid w:val="0057752A"/>
    <w:rsid w:val="0057754F"/>
    <w:rsid w:val="0057757D"/>
    <w:rsid w:val="0057772E"/>
    <w:rsid w:val="00580593"/>
    <w:rsid w:val="00580CF2"/>
    <w:rsid w:val="00581C81"/>
    <w:rsid w:val="00583F81"/>
    <w:rsid w:val="005840C2"/>
    <w:rsid w:val="00584C4F"/>
    <w:rsid w:val="00584CD9"/>
    <w:rsid w:val="00585396"/>
    <w:rsid w:val="00585738"/>
    <w:rsid w:val="00585D49"/>
    <w:rsid w:val="00586087"/>
    <w:rsid w:val="0058615F"/>
    <w:rsid w:val="00586282"/>
    <w:rsid w:val="00586581"/>
    <w:rsid w:val="00586BC0"/>
    <w:rsid w:val="00586EFF"/>
    <w:rsid w:val="00587E03"/>
    <w:rsid w:val="005900C6"/>
    <w:rsid w:val="00590356"/>
    <w:rsid w:val="00590AF2"/>
    <w:rsid w:val="005921EA"/>
    <w:rsid w:val="00592C8D"/>
    <w:rsid w:val="00593095"/>
    <w:rsid w:val="0059445A"/>
    <w:rsid w:val="005946FB"/>
    <w:rsid w:val="0059491A"/>
    <w:rsid w:val="00594DE8"/>
    <w:rsid w:val="00595B5C"/>
    <w:rsid w:val="00595D41"/>
    <w:rsid w:val="005964C8"/>
    <w:rsid w:val="00596680"/>
    <w:rsid w:val="00596DB8"/>
    <w:rsid w:val="00597291"/>
    <w:rsid w:val="00597588"/>
    <w:rsid w:val="005A04B8"/>
    <w:rsid w:val="005A0C12"/>
    <w:rsid w:val="005A1908"/>
    <w:rsid w:val="005A1B74"/>
    <w:rsid w:val="005A1C76"/>
    <w:rsid w:val="005A1CE0"/>
    <w:rsid w:val="005A1F01"/>
    <w:rsid w:val="005A253D"/>
    <w:rsid w:val="005A2C59"/>
    <w:rsid w:val="005A3439"/>
    <w:rsid w:val="005A39D3"/>
    <w:rsid w:val="005A3C4A"/>
    <w:rsid w:val="005A5103"/>
    <w:rsid w:val="005A59A3"/>
    <w:rsid w:val="005A60FE"/>
    <w:rsid w:val="005A61B7"/>
    <w:rsid w:val="005A6DC7"/>
    <w:rsid w:val="005A7482"/>
    <w:rsid w:val="005A782D"/>
    <w:rsid w:val="005A7BB3"/>
    <w:rsid w:val="005B12F5"/>
    <w:rsid w:val="005B1515"/>
    <w:rsid w:val="005B1517"/>
    <w:rsid w:val="005B17BB"/>
    <w:rsid w:val="005B1C3E"/>
    <w:rsid w:val="005B2B09"/>
    <w:rsid w:val="005B2E23"/>
    <w:rsid w:val="005B3595"/>
    <w:rsid w:val="005B3B23"/>
    <w:rsid w:val="005B3BAF"/>
    <w:rsid w:val="005B3D86"/>
    <w:rsid w:val="005B404F"/>
    <w:rsid w:val="005B4CFD"/>
    <w:rsid w:val="005B525B"/>
    <w:rsid w:val="005B5A11"/>
    <w:rsid w:val="005B5CE9"/>
    <w:rsid w:val="005B7C36"/>
    <w:rsid w:val="005C0066"/>
    <w:rsid w:val="005C1D46"/>
    <w:rsid w:val="005C1FAD"/>
    <w:rsid w:val="005C2426"/>
    <w:rsid w:val="005C369E"/>
    <w:rsid w:val="005C3C80"/>
    <w:rsid w:val="005C4548"/>
    <w:rsid w:val="005C4570"/>
    <w:rsid w:val="005C5D41"/>
    <w:rsid w:val="005C610C"/>
    <w:rsid w:val="005C678A"/>
    <w:rsid w:val="005C6B0A"/>
    <w:rsid w:val="005C76FD"/>
    <w:rsid w:val="005C7DA8"/>
    <w:rsid w:val="005D0D65"/>
    <w:rsid w:val="005D1D6A"/>
    <w:rsid w:val="005D2AC5"/>
    <w:rsid w:val="005D3692"/>
    <w:rsid w:val="005D4887"/>
    <w:rsid w:val="005D553E"/>
    <w:rsid w:val="005D57EA"/>
    <w:rsid w:val="005D61F2"/>
    <w:rsid w:val="005D69EA"/>
    <w:rsid w:val="005D6DD5"/>
    <w:rsid w:val="005D703D"/>
    <w:rsid w:val="005D73C9"/>
    <w:rsid w:val="005E06CD"/>
    <w:rsid w:val="005E0E60"/>
    <w:rsid w:val="005E16B9"/>
    <w:rsid w:val="005E1849"/>
    <w:rsid w:val="005E19CB"/>
    <w:rsid w:val="005E1E71"/>
    <w:rsid w:val="005E2127"/>
    <w:rsid w:val="005E24A8"/>
    <w:rsid w:val="005E3007"/>
    <w:rsid w:val="005E3585"/>
    <w:rsid w:val="005E42AF"/>
    <w:rsid w:val="005E4C83"/>
    <w:rsid w:val="005E4E08"/>
    <w:rsid w:val="005E4EF9"/>
    <w:rsid w:val="005E52E0"/>
    <w:rsid w:val="005E534E"/>
    <w:rsid w:val="005E559B"/>
    <w:rsid w:val="005E5734"/>
    <w:rsid w:val="005E5F0C"/>
    <w:rsid w:val="005E6185"/>
    <w:rsid w:val="005E6548"/>
    <w:rsid w:val="005E7EF3"/>
    <w:rsid w:val="005F0E2C"/>
    <w:rsid w:val="005F1A56"/>
    <w:rsid w:val="005F2923"/>
    <w:rsid w:val="005F32EB"/>
    <w:rsid w:val="005F4235"/>
    <w:rsid w:val="005F4BFF"/>
    <w:rsid w:val="005F5590"/>
    <w:rsid w:val="005F6D1A"/>
    <w:rsid w:val="005F7008"/>
    <w:rsid w:val="005F7073"/>
    <w:rsid w:val="005F7A56"/>
    <w:rsid w:val="00600029"/>
    <w:rsid w:val="00600214"/>
    <w:rsid w:val="006002A0"/>
    <w:rsid w:val="0060045B"/>
    <w:rsid w:val="006008F4"/>
    <w:rsid w:val="00601149"/>
    <w:rsid w:val="0060135C"/>
    <w:rsid w:val="006016AD"/>
    <w:rsid w:val="006021CB"/>
    <w:rsid w:val="00602278"/>
    <w:rsid w:val="006027D5"/>
    <w:rsid w:val="0060310C"/>
    <w:rsid w:val="00603662"/>
    <w:rsid w:val="00603F6F"/>
    <w:rsid w:val="00607127"/>
    <w:rsid w:val="00607806"/>
    <w:rsid w:val="00607BA5"/>
    <w:rsid w:val="00607F82"/>
    <w:rsid w:val="00610197"/>
    <w:rsid w:val="00610458"/>
    <w:rsid w:val="00610A45"/>
    <w:rsid w:val="00610AEC"/>
    <w:rsid w:val="00611C52"/>
    <w:rsid w:val="00611D2D"/>
    <w:rsid w:val="00613AA5"/>
    <w:rsid w:val="00614095"/>
    <w:rsid w:val="00614E93"/>
    <w:rsid w:val="00615AA2"/>
    <w:rsid w:val="006160C3"/>
    <w:rsid w:val="00617392"/>
    <w:rsid w:val="006179C7"/>
    <w:rsid w:val="00617C9E"/>
    <w:rsid w:val="00617FCD"/>
    <w:rsid w:val="00621B3B"/>
    <w:rsid w:val="00621C8A"/>
    <w:rsid w:val="00622534"/>
    <w:rsid w:val="0062259B"/>
    <w:rsid w:val="00624619"/>
    <w:rsid w:val="0062469E"/>
    <w:rsid w:val="00624ED9"/>
    <w:rsid w:val="006251E4"/>
    <w:rsid w:val="006255B2"/>
    <w:rsid w:val="00625683"/>
    <w:rsid w:val="00625F52"/>
    <w:rsid w:val="00626C21"/>
    <w:rsid w:val="00626DC6"/>
    <w:rsid w:val="00626EB6"/>
    <w:rsid w:val="00626F13"/>
    <w:rsid w:val="006275A6"/>
    <w:rsid w:val="006276D6"/>
    <w:rsid w:val="0063031E"/>
    <w:rsid w:val="0063165A"/>
    <w:rsid w:val="0063182D"/>
    <w:rsid w:val="00632D14"/>
    <w:rsid w:val="00632EBD"/>
    <w:rsid w:val="00633A2F"/>
    <w:rsid w:val="00636854"/>
    <w:rsid w:val="00636AC8"/>
    <w:rsid w:val="00637407"/>
    <w:rsid w:val="00637D05"/>
    <w:rsid w:val="006406EE"/>
    <w:rsid w:val="00640A26"/>
    <w:rsid w:val="00640E12"/>
    <w:rsid w:val="00641A3A"/>
    <w:rsid w:val="00642584"/>
    <w:rsid w:val="006429CA"/>
    <w:rsid w:val="00642D42"/>
    <w:rsid w:val="00643156"/>
    <w:rsid w:val="00643ADB"/>
    <w:rsid w:val="006442E6"/>
    <w:rsid w:val="00644439"/>
    <w:rsid w:val="00644E5A"/>
    <w:rsid w:val="00645679"/>
    <w:rsid w:val="00645824"/>
    <w:rsid w:val="00645B07"/>
    <w:rsid w:val="00646126"/>
    <w:rsid w:val="0064691B"/>
    <w:rsid w:val="00646AC2"/>
    <w:rsid w:val="0064745A"/>
    <w:rsid w:val="00647B88"/>
    <w:rsid w:val="00650F8B"/>
    <w:rsid w:val="00650F9A"/>
    <w:rsid w:val="0065174D"/>
    <w:rsid w:val="00652011"/>
    <w:rsid w:val="0065340D"/>
    <w:rsid w:val="00654937"/>
    <w:rsid w:val="00654CEA"/>
    <w:rsid w:val="00654E04"/>
    <w:rsid w:val="00655003"/>
    <w:rsid w:val="00655A37"/>
    <w:rsid w:val="00655D03"/>
    <w:rsid w:val="00655DEC"/>
    <w:rsid w:val="00655EDD"/>
    <w:rsid w:val="00656164"/>
    <w:rsid w:val="00656456"/>
    <w:rsid w:val="00656460"/>
    <w:rsid w:val="00656711"/>
    <w:rsid w:val="0065685E"/>
    <w:rsid w:val="00657025"/>
    <w:rsid w:val="0065795E"/>
    <w:rsid w:val="00657E92"/>
    <w:rsid w:val="00660971"/>
    <w:rsid w:val="00660B0D"/>
    <w:rsid w:val="00660C62"/>
    <w:rsid w:val="006613A6"/>
    <w:rsid w:val="00662188"/>
    <w:rsid w:val="00662379"/>
    <w:rsid w:val="006626D6"/>
    <w:rsid w:val="00662A07"/>
    <w:rsid w:val="00663417"/>
    <w:rsid w:val="0066402F"/>
    <w:rsid w:val="0066410D"/>
    <w:rsid w:val="006642E9"/>
    <w:rsid w:val="00664856"/>
    <w:rsid w:val="00664AB4"/>
    <w:rsid w:val="00666151"/>
    <w:rsid w:val="0066663B"/>
    <w:rsid w:val="00666DFB"/>
    <w:rsid w:val="00667AE5"/>
    <w:rsid w:val="00670473"/>
    <w:rsid w:val="0067058C"/>
    <w:rsid w:val="0067093E"/>
    <w:rsid w:val="006711EF"/>
    <w:rsid w:val="006712A9"/>
    <w:rsid w:val="00671311"/>
    <w:rsid w:val="00671F16"/>
    <w:rsid w:val="0067200C"/>
    <w:rsid w:val="00672052"/>
    <w:rsid w:val="0067296D"/>
    <w:rsid w:val="00672D48"/>
    <w:rsid w:val="00672F55"/>
    <w:rsid w:val="00673545"/>
    <w:rsid w:val="00673794"/>
    <w:rsid w:val="00674113"/>
    <w:rsid w:val="00674387"/>
    <w:rsid w:val="00674967"/>
    <w:rsid w:val="00674A03"/>
    <w:rsid w:val="006754CA"/>
    <w:rsid w:val="0067559C"/>
    <w:rsid w:val="006761DD"/>
    <w:rsid w:val="0067691F"/>
    <w:rsid w:val="00677312"/>
    <w:rsid w:val="006774B0"/>
    <w:rsid w:val="00677C1B"/>
    <w:rsid w:val="0068103C"/>
    <w:rsid w:val="00681087"/>
    <w:rsid w:val="00682FDC"/>
    <w:rsid w:val="00683005"/>
    <w:rsid w:val="00683503"/>
    <w:rsid w:val="00683C83"/>
    <w:rsid w:val="00683E49"/>
    <w:rsid w:val="00683F84"/>
    <w:rsid w:val="00684907"/>
    <w:rsid w:val="006861E4"/>
    <w:rsid w:val="00686754"/>
    <w:rsid w:val="00687201"/>
    <w:rsid w:val="006878ED"/>
    <w:rsid w:val="00690458"/>
    <w:rsid w:val="0069068E"/>
    <w:rsid w:val="00690926"/>
    <w:rsid w:val="0069175B"/>
    <w:rsid w:val="006918B5"/>
    <w:rsid w:val="00692C26"/>
    <w:rsid w:val="00693536"/>
    <w:rsid w:val="006940C2"/>
    <w:rsid w:val="0069479E"/>
    <w:rsid w:val="00695721"/>
    <w:rsid w:val="00695C0E"/>
    <w:rsid w:val="00695CBC"/>
    <w:rsid w:val="00695D4C"/>
    <w:rsid w:val="0069603D"/>
    <w:rsid w:val="00696A33"/>
    <w:rsid w:val="0069738B"/>
    <w:rsid w:val="00697548"/>
    <w:rsid w:val="0069757D"/>
    <w:rsid w:val="0069770D"/>
    <w:rsid w:val="00697D4E"/>
    <w:rsid w:val="00697FFB"/>
    <w:rsid w:val="006A1996"/>
    <w:rsid w:val="006A2DB1"/>
    <w:rsid w:val="006A2EB6"/>
    <w:rsid w:val="006A3E8D"/>
    <w:rsid w:val="006A4720"/>
    <w:rsid w:val="006A51D4"/>
    <w:rsid w:val="006A53C4"/>
    <w:rsid w:val="006A5676"/>
    <w:rsid w:val="006A632B"/>
    <w:rsid w:val="006A6A81"/>
    <w:rsid w:val="006A7C15"/>
    <w:rsid w:val="006A7DCB"/>
    <w:rsid w:val="006B0E4B"/>
    <w:rsid w:val="006B18AF"/>
    <w:rsid w:val="006B1B07"/>
    <w:rsid w:val="006B1B3C"/>
    <w:rsid w:val="006B1B5B"/>
    <w:rsid w:val="006B1E6D"/>
    <w:rsid w:val="006B2A1D"/>
    <w:rsid w:val="006B2F84"/>
    <w:rsid w:val="006B3231"/>
    <w:rsid w:val="006B39C1"/>
    <w:rsid w:val="006B40AF"/>
    <w:rsid w:val="006B4723"/>
    <w:rsid w:val="006B48F2"/>
    <w:rsid w:val="006B5854"/>
    <w:rsid w:val="006B627A"/>
    <w:rsid w:val="006B6952"/>
    <w:rsid w:val="006B6BD2"/>
    <w:rsid w:val="006B6F8B"/>
    <w:rsid w:val="006B7DBD"/>
    <w:rsid w:val="006C0766"/>
    <w:rsid w:val="006C094E"/>
    <w:rsid w:val="006C193F"/>
    <w:rsid w:val="006C30AF"/>
    <w:rsid w:val="006C395B"/>
    <w:rsid w:val="006C51D3"/>
    <w:rsid w:val="006C6298"/>
    <w:rsid w:val="006C7352"/>
    <w:rsid w:val="006C73FD"/>
    <w:rsid w:val="006D0022"/>
    <w:rsid w:val="006D0154"/>
    <w:rsid w:val="006D02B1"/>
    <w:rsid w:val="006D03EE"/>
    <w:rsid w:val="006D14DC"/>
    <w:rsid w:val="006D2DF6"/>
    <w:rsid w:val="006D303D"/>
    <w:rsid w:val="006D3A9E"/>
    <w:rsid w:val="006D4E17"/>
    <w:rsid w:val="006D5712"/>
    <w:rsid w:val="006D585E"/>
    <w:rsid w:val="006D589A"/>
    <w:rsid w:val="006D5BB5"/>
    <w:rsid w:val="006D6A81"/>
    <w:rsid w:val="006D6B23"/>
    <w:rsid w:val="006D7C26"/>
    <w:rsid w:val="006D7C76"/>
    <w:rsid w:val="006E0BFD"/>
    <w:rsid w:val="006E0C67"/>
    <w:rsid w:val="006E0E8A"/>
    <w:rsid w:val="006E3618"/>
    <w:rsid w:val="006E5119"/>
    <w:rsid w:val="006E5210"/>
    <w:rsid w:val="006E532B"/>
    <w:rsid w:val="006E55A8"/>
    <w:rsid w:val="006E6FA3"/>
    <w:rsid w:val="006E7962"/>
    <w:rsid w:val="006F0679"/>
    <w:rsid w:val="006F0971"/>
    <w:rsid w:val="006F12B5"/>
    <w:rsid w:val="006F21B8"/>
    <w:rsid w:val="006F26AF"/>
    <w:rsid w:val="006F3217"/>
    <w:rsid w:val="006F350E"/>
    <w:rsid w:val="006F3E78"/>
    <w:rsid w:val="006F5394"/>
    <w:rsid w:val="006F5A22"/>
    <w:rsid w:val="006F5C16"/>
    <w:rsid w:val="006F5DDD"/>
    <w:rsid w:val="006F7393"/>
    <w:rsid w:val="006F7921"/>
    <w:rsid w:val="00700017"/>
    <w:rsid w:val="00700628"/>
    <w:rsid w:val="00700D38"/>
    <w:rsid w:val="007010B7"/>
    <w:rsid w:val="00701BB5"/>
    <w:rsid w:val="00701DFB"/>
    <w:rsid w:val="0070224F"/>
    <w:rsid w:val="0070243D"/>
    <w:rsid w:val="00702D63"/>
    <w:rsid w:val="00704138"/>
    <w:rsid w:val="007045E4"/>
    <w:rsid w:val="00704A96"/>
    <w:rsid w:val="007051CD"/>
    <w:rsid w:val="00705276"/>
    <w:rsid w:val="0070556D"/>
    <w:rsid w:val="0070594D"/>
    <w:rsid w:val="00705A45"/>
    <w:rsid w:val="00706817"/>
    <w:rsid w:val="007068ED"/>
    <w:rsid w:val="00706901"/>
    <w:rsid w:val="00706B70"/>
    <w:rsid w:val="00706DF2"/>
    <w:rsid w:val="00706EEC"/>
    <w:rsid w:val="00707BF7"/>
    <w:rsid w:val="00707DC4"/>
    <w:rsid w:val="0071036B"/>
    <w:rsid w:val="007108F2"/>
    <w:rsid w:val="007114DB"/>
    <w:rsid w:val="007115F7"/>
    <w:rsid w:val="00711E42"/>
    <w:rsid w:val="00711EC3"/>
    <w:rsid w:val="00712800"/>
    <w:rsid w:val="00713BE8"/>
    <w:rsid w:val="00713DAD"/>
    <w:rsid w:val="00714E88"/>
    <w:rsid w:val="007152D2"/>
    <w:rsid w:val="00715F3E"/>
    <w:rsid w:val="007164D5"/>
    <w:rsid w:val="007169CE"/>
    <w:rsid w:val="00716FDA"/>
    <w:rsid w:val="007171FE"/>
    <w:rsid w:val="0071734E"/>
    <w:rsid w:val="007176D5"/>
    <w:rsid w:val="00720AB6"/>
    <w:rsid w:val="00721083"/>
    <w:rsid w:val="00721559"/>
    <w:rsid w:val="00721AD3"/>
    <w:rsid w:val="0072262B"/>
    <w:rsid w:val="00722CF4"/>
    <w:rsid w:val="00723AB2"/>
    <w:rsid w:val="00724DC5"/>
    <w:rsid w:val="007250A3"/>
    <w:rsid w:val="00726350"/>
    <w:rsid w:val="0072690D"/>
    <w:rsid w:val="007273EA"/>
    <w:rsid w:val="0072743C"/>
    <w:rsid w:val="0072770E"/>
    <w:rsid w:val="007302A2"/>
    <w:rsid w:val="0073045D"/>
    <w:rsid w:val="00730FD5"/>
    <w:rsid w:val="00731E99"/>
    <w:rsid w:val="00733A77"/>
    <w:rsid w:val="007346B3"/>
    <w:rsid w:val="0073493A"/>
    <w:rsid w:val="00735630"/>
    <w:rsid w:val="00735C2B"/>
    <w:rsid w:val="00735C30"/>
    <w:rsid w:val="0073621A"/>
    <w:rsid w:val="007412E2"/>
    <w:rsid w:val="0074137C"/>
    <w:rsid w:val="00741444"/>
    <w:rsid w:val="0074174C"/>
    <w:rsid w:val="0074254A"/>
    <w:rsid w:val="00743960"/>
    <w:rsid w:val="00744143"/>
    <w:rsid w:val="007447AE"/>
    <w:rsid w:val="0074499C"/>
    <w:rsid w:val="007454AD"/>
    <w:rsid w:val="00745856"/>
    <w:rsid w:val="00745D0C"/>
    <w:rsid w:val="00746397"/>
    <w:rsid w:val="007468F9"/>
    <w:rsid w:val="00747CCC"/>
    <w:rsid w:val="00747DAE"/>
    <w:rsid w:val="007503BF"/>
    <w:rsid w:val="00750529"/>
    <w:rsid w:val="00751E21"/>
    <w:rsid w:val="00751FD9"/>
    <w:rsid w:val="007532C9"/>
    <w:rsid w:val="00753399"/>
    <w:rsid w:val="00753AF8"/>
    <w:rsid w:val="007542A9"/>
    <w:rsid w:val="00754444"/>
    <w:rsid w:val="00754EF9"/>
    <w:rsid w:val="0075532E"/>
    <w:rsid w:val="007555B6"/>
    <w:rsid w:val="007557C3"/>
    <w:rsid w:val="007558ED"/>
    <w:rsid w:val="00755947"/>
    <w:rsid w:val="00756A5E"/>
    <w:rsid w:val="00756B8F"/>
    <w:rsid w:val="00757971"/>
    <w:rsid w:val="0076001B"/>
    <w:rsid w:val="00760218"/>
    <w:rsid w:val="00760D68"/>
    <w:rsid w:val="00761761"/>
    <w:rsid w:val="00761B77"/>
    <w:rsid w:val="00761C07"/>
    <w:rsid w:val="00762645"/>
    <w:rsid w:val="00763201"/>
    <w:rsid w:val="0076357A"/>
    <w:rsid w:val="00763CFB"/>
    <w:rsid w:val="00764293"/>
    <w:rsid w:val="0076442A"/>
    <w:rsid w:val="0076525B"/>
    <w:rsid w:val="007659BB"/>
    <w:rsid w:val="00765B04"/>
    <w:rsid w:val="007664BF"/>
    <w:rsid w:val="00766F92"/>
    <w:rsid w:val="0077018E"/>
    <w:rsid w:val="0077054A"/>
    <w:rsid w:val="007707AC"/>
    <w:rsid w:val="00770B62"/>
    <w:rsid w:val="00770F7D"/>
    <w:rsid w:val="00771402"/>
    <w:rsid w:val="0077183E"/>
    <w:rsid w:val="00771908"/>
    <w:rsid w:val="00771AAD"/>
    <w:rsid w:val="007725CD"/>
    <w:rsid w:val="0077262F"/>
    <w:rsid w:val="007728CB"/>
    <w:rsid w:val="007728CE"/>
    <w:rsid w:val="007735CD"/>
    <w:rsid w:val="00774E76"/>
    <w:rsid w:val="00775068"/>
    <w:rsid w:val="007752CD"/>
    <w:rsid w:val="007760DF"/>
    <w:rsid w:val="0077657D"/>
    <w:rsid w:val="007772A6"/>
    <w:rsid w:val="007774EC"/>
    <w:rsid w:val="007774FB"/>
    <w:rsid w:val="007776B2"/>
    <w:rsid w:val="00777A57"/>
    <w:rsid w:val="00777AC1"/>
    <w:rsid w:val="00780357"/>
    <w:rsid w:val="0078047D"/>
    <w:rsid w:val="00780D5B"/>
    <w:rsid w:val="0078136C"/>
    <w:rsid w:val="00782245"/>
    <w:rsid w:val="007825C4"/>
    <w:rsid w:val="007825E8"/>
    <w:rsid w:val="00783902"/>
    <w:rsid w:val="00783F49"/>
    <w:rsid w:val="00783F5F"/>
    <w:rsid w:val="00785689"/>
    <w:rsid w:val="007857E0"/>
    <w:rsid w:val="00785A14"/>
    <w:rsid w:val="00786EE1"/>
    <w:rsid w:val="00786FDF"/>
    <w:rsid w:val="00787BC8"/>
    <w:rsid w:val="00790BC8"/>
    <w:rsid w:val="00790D63"/>
    <w:rsid w:val="00790DEC"/>
    <w:rsid w:val="007915D0"/>
    <w:rsid w:val="00791633"/>
    <w:rsid w:val="007918E5"/>
    <w:rsid w:val="00791B09"/>
    <w:rsid w:val="00792ADA"/>
    <w:rsid w:val="00792B48"/>
    <w:rsid w:val="00793B7B"/>
    <w:rsid w:val="00793BE7"/>
    <w:rsid w:val="00793D4A"/>
    <w:rsid w:val="00793E5A"/>
    <w:rsid w:val="00793E63"/>
    <w:rsid w:val="00794B35"/>
    <w:rsid w:val="007951FA"/>
    <w:rsid w:val="0079677E"/>
    <w:rsid w:val="0079754B"/>
    <w:rsid w:val="00797BCA"/>
    <w:rsid w:val="00797E58"/>
    <w:rsid w:val="007A01C6"/>
    <w:rsid w:val="007A02A2"/>
    <w:rsid w:val="007A0519"/>
    <w:rsid w:val="007A0CED"/>
    <w:rsid w:val="007A1B6B"/>
    <w:rsid w:val="007A1C73"/>
    <w:rsid w:val="007A1E6D"/>
    <w:rsid w:val="007A284B"/>
    <w:rsid w:val="007A2B9B"/>
    <w:rsid w:val="007A2BA5"/>
    <w:rsid w:val="007A35C6"/>
    <w:rsid w:val="007A3AF7"/>
    <w:rsid w:val="007A3E07"/>
    <w:rsid w:val="007A4F71"/>
    <w:rsid w:val="007A5029"/>
    <w:rsid w:val="007A506A"/>
    <w:rsid w:val="007A6D55"/>
    <w:rsid w:val="007A7507"/>
    <w:rsid w:val="007A79FA"/>
    <w:rsid w:val="007B01A0"/>
    <w:rsid w:val="007B0AD9"/>
    <w:rsid w:val="007B0EC1"/>
    <w:rsid w:val="007B14AE"/>
    <w:rsid w:val="007B1622"/>
    <w:rsid w:val="007B232E"/>
    <w:rsid w:val="007B24CC"/>
    <w:rsid w:val="007B2533"/>
    <w:rsid w:val="007B2A56"/>
    <w:rsid w:val="007B2CE2"/>
    <w:rsid w:val="007B34BD"/>
    <w:rsid w:val="007B3B6F"/>
    <w:rsid w:val="007B45D1"/>
    <w:rsid w:val="007B4F3A"/>
    <w:rsid w:val="007B530C"/>
    <w:rsid w:val="007B590B"/>
    <w:rsid w:val="007B647B"/>
    <w:rsid w:val="007B6DDE"/>
    <w:rsid w:val="007B725A"/>
    <w:rsid w:val="007B72D6"/>
    <w:rsid w:val="007B746C"/>
    <w:rsid w:val="007B755D"/>
    <w:rsid w:val="007B799E"/>
    <w:rsid w:val="007B7E68"/>
    <w:rsid w:val="007C167F"/>
    <w:rsid w:val="007C1B76"/>
    <w:rsid w:val="007C253B"/>
    <w:rsid w:val="007C27EB"/>
    <w:rsid w:val="007C2959"/>
    <w:rsid w:val="007C3C8F"/>
    <w:rsid w:val="007C44AD"/>
    <w:rsid w:val="007C4BE5"/>
    <w:rsid w:val="007C4D62"/>
    <w:rsid w:val="007C5CAD"/>
    <w:rsid w:val="007C62E8"/>
    <w:rsid w:val="007C63BD"/>
    <w:rsid w:val="007C6F2B"/>
    <w:rsid w:val="007C7AF5"/>
    <w:rsid w:val="007C7C0A"/>
    <w:rsid w:val="007C7D5A"/>
    <w:rsid w:val="007C7DE2"/>
    <w:rsid w:val="007D004F"/>
    <w:rsid w:val="007D00DC"/>
    <w:rsid w:val="007D0331"/>
    <w:rsid w:val="007D07A7"/>
    <w:rsid w:val="007D1734"/>
    <w:rsid w:val="007D17FE"/>
    <w:rsid w:val="007D1FBE"/>
    <w:rsid w:val="007D33EC"/>
    <w:rsid w:val="007D3544"/>
    <w:rsid w:val="007D37C5"/>
    <w:rsid w:val="007D39F0"/>
    <w:rsid w:val="007D3B83"/>
    <w:rsid w:val="007D3CE1"/>
    <w:rsid w:val="007D4A04"/>
    <w:rsid w:val="007D582A"/>
    <w:rsid w:val="007D6272"/>
    <w:rsid w:val="007D6622"/>
    <w:rsid w:val="007D72EE"/>
    <w:rsid w:val="007E12CF"/>
    <w:rsid w:val="007E1D09"/>
    <w:rsid w:val="007E2668"/>
    <w:rsid w:val="007E2CA7"/>
    <w:rsid w:val="007E2CB1"/>
    <w:rsid w:val="007E3E01"/>
    <w:rsid w:val="007E3FF8"/>
    <w:rsid w:val="007E42E2"/>
    <w:rsid w:val="007E4690"/>
    <w:rsid w:val="007E4A5E"/>
    <w:rsid w:val="007E4D90"/>
    <w:rsid w:val="007E4E93"/>
    <w:rsid w:val="007E5000"/>
    <w:rsid w:val="007E5680"/>
    <w:rsid w:val="007E5A8E"/>
    <w:rsid w:val="007E601F"/>
    <w:rsid w:val="007E68D1"/>
    <w:rsid w:val="007E7460"/>
    <w:rsid w:val="007E766E"/>
    <w:rsid w:val="007E794F"/>
    <w:rsid w:val="007F136C"/>
    <w:rsid w:val="007F1458"/>
    <w:rsid w:val="007F1ED5"/>
    <w:rsid w:val="007F2007"/>
    <w:rsid w:val="007F3475"/>
    <w:rsid w:val="007F3646"/>
    <w:rsid w:val="007F3C47"/>
    <w:rsid w:val="007F43CB"/>
    <w:rsid w:val="007F470C"/>
    <w:rsid w:val="007F4C36"/>
    <w:rsid w:val="007F50A2"/>
    <w:rsid w:val="007F5580"/>
    <w:rsid w:val="007F6847"/>
    <w:rsid w:val="007F688E"/>
    <w:rsid w:val="007F6D5C"/>
    <w:rsid w:val="007F78C3"/>
    <w:rsid w:val="007F7A14"/>
    <w:rsid w:val="00801638"/>
    <w:rsid w:val="008020A2"/>
    <w:rsid w:val="00802123"/>
    <w:rsid w:val="00803D0D"/>
    <w:rsid w:val="00804622"/>
    <w:rsid w:val="00804AEE"/>
    <w:rsid w:val="00806CC7"/>
    <w:rsid w:val="00807BF1"/>
    <w:rsid w:val="00807C2A"/>
    <w:rsid w:val="008102A3"/>
    <w:rsid w:val="008118BE"/>
    <w:rsid w:val="00812EE5"/>
    <w:rsid w:val="0081338C"/>
    <w:rsid w:val="00813D3C"/>
    <w:rsid w:val="00813EB9"/>
    <w:rsid w:val="008141BC"/>
    <w:rsid w:val="00814575"/>
    <w:rsid w:val="008163E6"/>
    <w:rsid w:val="008167B6"/>
    <w:rsid w:val="008167D5"/>
    <w:rsid w:val="00816A75"/>
    <w:rsid w:val="00817795"/>
    <w:rsid w:val="00817B7D"/>
    <w:rsid w:val="00817E94"/>
    <w:rsid w:val="008220EA"/>
    <w:rsid w:val="00822A15"/>
    <w:rsid w:val="00822A43"/>
    <w:rsid w:val="00822CE0"/>
    <w:rsid w:val="00823535"/>
    <w:rsid w:val="008235F8"/>
    <w:rsid w:val="00823B7C"/>
    <w:rsid w:val="00823F77"/>
    <w:rsid w:val="00824303"/>
    <w:rsid w:val="00824590"/>
    <w:rsid w:val="008245DA"/>
    <w:rsid w:val="008249FA"/>
    <w:rsid w:val="00824E18"/>
    <w:rsid w:val="00825CA2"/>
    <w:rsid w:val="0082752E"/>
    <w:rsid w:val="008306D3"/>
    <w:rsid w:val="008313B4"/>
    <w:rsid w:val="00831F68"/>
    <w:rsid w:val="00832875"/>
    <w:rsid w:val="008337A7"/>
    <w:rsid w:val="00833FD9"/>
    <w:rsid w:val="0083488E"/>
    <w:rsid w:val="0083545D"/>
    <w:rsid w:val="00835D0D"/>
    <w:rsid w:val="00836659"/>
    <w:rsid w:val="00836F8E"/>
    <w:rsid w:val="00836FA1"/>
    <w:rsid w:val="00837284"/>
    <w:rsid w:val="008376F2"/>
    <w:rsid w:val="0084003E"/>
    <w:rsid w:val="00840234"/>
    <w:rsid w:val="00840F50"/>
    <w:rsid w:val="00841586"/>
    <w:rsid w:val="008417EB"/>
    <w:rsid w:val="00841AB1"/>
    <w:rsid w:val="00841D01"/>
    <w:rsid w:val="00841FAD"/>
    <w:rsid w:val="00842900"/>
    <w:rsid w:val="00842938"/>
    <w:rsid w:val="00842A0A"/>
    <w:rsid w:val="00842BAF"/>
    <w:rsid w:val="00842C6F"/>
    <w:rsid w:val="008433EB"/>
    <w:rsid w:val="008434F5"/>
    <w:rsid w:val="00844B74"/>
    <w:rsid w:val="0084523D"/>
    <w:rsid w:val="008452D4"/>
    <w:rsid w:val="008455F5"/>
    <w:rsid w:val="00845EF0"/>
    <w:rsid w:val="00846B90"/>
    <w:rsid w:val="00846F76"/>
    <w:rsid w:val="00847368"/>
    <w:rsid w:val="00847665"/>
    <w:rsid w:val="00847825"/>
    <w:rsid w:val="0085045F"/>
    <w:rsid w:val="0085085C"/>
    <w:rsid w:val="00850AEE"/>
    <w:rsid w:val="00850CDD"/>
    <w:rsid w:val="00851523"/>
    <w:rsid w:val="00851803"/>
    <w:rsid w:val="008521C9"/>
    <w:rsid w:val="00852CEE"/>
    <w:rsid w:val="00853006"/>
    <w:rsid w:val="008530D4"/>
    <w:rsid w:val="00853152"/>
    <w:rsid w:val="00853699"/>
    <w:rsid w:val="008540ED"/>
    <w:rsid w:val="0085441E"/>
    <w:rsid w:val="00854E24"/>
    <w:rsid w:val="00854F2D"/>
    <w:rsid w:val="008556A8"/>
    <w:rsid w:val="00855E54"/>
    <w:rsid w:val="00856743"/>
    <w:rsid w:val="008569B6"/>
    <w:rsid w:val="00857A04"/>
    <w:rsid w:val="008600A2"/>
    <w:rsid w:val="008602F4"/>
    <w:rsid w:val="008604D2"/>
    <w:rsid w:val="008612AD"/>
    <w:rsid w:val="008625DD"/>
    <w:rsid w:val="00862AA3"/>
    <w:rsid w:val="0086346F"/>
    <w:rsid w:val="008638A6"/>
    <w:rsid w:val="00863EAE"/>
    <w:rsid w:val="00865981"/>
    <w:rsid w:val="00865A14"/>
    <w:rsid w:val="00867714"/>
    <w:rsid w:val="00867958"/>
    <w:rsid w:val="00867A4F"/>
    <w:rsid w:val="00870324"/>
    <w:rsid w:val="00870375"/>
    <w:rsid w:val="00870976"/>
    <w:rsid w:val="00871D1F"/>
    <w:rsid w:val="0087283C"/>
    <w:rsid w:val="00872B2A"/>
    <w:rsid w:val="008736C5"/>
    <w:rsid w:val="008738DB"/>
    <w:rsid w:val="00874984"/>
    <w:rsid w:val="00874B60"/>
    <w:rsid w:val="00874BA9"/>
    <w:rsid w:val="0087517E"/>
    <w:rsid w:val="008757B8"/>
    <w:rsid w:val="00876547"/>
    <w:rsid w:val="0087681F"/>
    <w:rsid w:val="0087761E"/>
    <w:rsid w:val="00877996"/>
    <w:rsid w:val="00877C6F"/>
    <w:rsid w:val="008805A0"/>
    <w:rsid w:val="00881421"/>
    <w:rsid w:val="00881FCF"/>
    <w:rsid w:val="0088201F"/>
    <w:rsid w:val="00884404"/>
    <w:rsid w:val="00884535"/>
    <w:rsid w:val="008846B0"/>
    <w:rsid w:val="00884976"/>
    <w:rsid w:val="00886406"/>
    <w:rsid w:val="00886488"/>
    <w:rsid w:val="008869CF"/>
    <w:rsid w:val="00886BCB"/>
    <w:rsid w:val="00886FD2"/>
    <w:rsid w:val="00887110"/>
    <w:rsid w:val="00887F48"/>
    <w:rsid w:val="008909FA"/>
    <w:rsid w:val="00890A30"/>
    <w:rsid w:val="008917C9"/>
    <w:rsid w:val="00891999"/>
    <w:rsid w:val="00891C6C"/>
    <w:rsid w:val="00892351"/>
    <w:rsid w:val="00892C9D"/>
    <w:rsid w:val="00893034"/>
    <w:rsid w:val="00893A03"/>
    <w:rsid w:val="008942C9"/>
    <w:rsid w:val="00894960"/>
    <w:rsid w:val="008949C1"/>
    <w:rsid w:val="00896063"/>
    <w:rsid w:val="00896917"/>
    <w:rsid w:val="0089795E"/>
    <w:rsid w:val="00897CF9"/>
    <w:rsid w:val="00897E38"/>
    <w:rsid w:val="00897FE6"/>
    <w:rsid w:val="008A06CD"/>
    <w:rsid w:val="008A099F"/>
    <w:rsid w:val="008A1288"/>
    <w:rsid w:val="008A1828"/>
    <w:rsid w:val="008A19CF"/>
    <w:rsid w:val="008A1E0F"/>
    <w:rsid w:val="008A21AA"/>
    <w:rsid w:val="008A235D"/>
    <w:rsid w:val="008A23B2"/>
    <w:rsid w:val="008A2EBD"/>
    <w:rsid w:val="008A338B"/>
    <w:rsid w:val="008A3FA4"/>
    <w:rsid w:val="008A67DE"/>
    <w:rsid w:val="008A7446"/>
    <w:rsid w:val="008A7909"/>
    <w:rsid w:val="008A7A6E"/>
    <w:rsid w:val="008B0056"/>
    <w:rsid w:val="008B06C7"/>
    <w:rsid w:val="008B08D9"/>
    <w:rsid w:val="008B0F1A"/>
    <w:rsid w:val="008B16B9"/>
    <w:rsid w:val="008B29B9"/>
    <w:rsid w:val="008B2CCF"/>
    <w:rsid w:val="008B3711"/>
    <w:rsid w:val="008B38E6"/>
    <w:rsid w:val="008B3EAE"/>
    <w:rsid w:val="008B3F0F"/>
    <w:rsid w:val="008B40AB"/>
    <w:rsid w:val="008B4724"/>
    <w:rsid w:val="008B5339"/>
    <w:rsid w:val="008B558E"/>
    <w:rsid w:val="008B5990"/>
    <w:rsid w:val="008B5D3E"/>
    <w:rsid w:val="008B5D5A"/>
    <w:rsid w:val="008B65DC"/>
    <w:rsid w:val="008B6766"/>
    <w:rsid w:val="008B67BE"/>
    <w:rsid w:val="008B6BFA"/>
    <w:rsid w:val="008C0275"/>
    <w:rsid w:val="008C25EB"/>
    <w:rsid w:val="008C29E3"/>
    <w:rsid w:val="008C300A"/>
    <w:rsid w:val="008C3946"/>
    <w:rsid w:val="008C3A97"/>
    <w:rsid w:val="008C4905"/>
    <w:rsid w:val="008C4B1E"/>
    <w:rsid w:val="008C4C09"/>
    <w:rsid w:val="008C4C23"/>
    <w:rsid w:val="008C4E4D"/>
    <w:rsid w:val="008C56E4"/>
    <w:rsid w:val="008C5E13"/>
    <w:rsid w:val="008C613E"/>
    <w:rsid w:val="008C6565"/>
    <w:rsid w:val="008C6B7D"/>
    <w:rsid w:val="008D045F"/>
    <w:rsid w:val="008D09A8"/>
    <w:rsid w:val="008D0F41"/>
    <w:rsid w:val="008D160F"/>
    <w:rsid w:val="008D1ACF"/>
    <w:rsid w:val="008D1BD0"/>
    <w:rsid w:val="008D201E"/>
    <w:rsid w:val="008D2518"/>
    <w:rsid w:val="008D274F"/>
    <w:rsid w:val="008D3C4A"/>
    <w:rsid w:val="008D3E91"/>
    <w:rsid w:val="008D405E"/>
    <w:rsid w:val="008D46CA"/>
    <w:rsid w:val="008D4B73"/>
    <w:rsid w:val="008D5337"/>
    <w:rsid w:val="008D5B51"/>
    <w:rsid w:val="008D6B08"/>
    <w:rsid w:val="008D6B8D"/>
    <w:rsid w:val="008D6EC3"/>
    <w:rsid w:val="008D6F22"/>
    <w:rsid w:val="008D70CC"/>
    <w:rsid w:val="008E05F7"/>
    <w:rsid w:val="008E0624"/>
    <w:rsid w:val="008E113F"/>
    <w:rsid w:val="008E16F9"/>
    <w:rsid w:val="008E2CC9"/>
    <w:rsid w:val="008E30CA"/>
    <w:rsid w:val="008E360E"/>
    <w:rsid w:val="008E3E6E"/>
    <w:rsid w:val="008E49AE"/>
    <w:rsid w:val="008E4B9E"/>
    <w:rsid w:val="008E50F7"/>
    <w:rsid w:val="008E5659"/>
    <w:rsid w:val="008E5779"/>
    <w:rsid w:val="008E580F"/>
    <w:rsid w:val="008E5BAD"/>
    <w:rsid w:val="008E6D6D"/>
    <w:rsid w:val="008E70D7"/>
    <w:rsid w:val="008E7575"/>
    <w:rsid w:val="008E7680"/>
    <w:rsid w:val="008E7818"/>
    <w:rsid w:val="008F017A"/>
    <w:rsid w:val="008F01E3"/>
    <w:rsid w:val="008F0599"/>
    <w:rsid w:val="008F0D90"/>
    <w:rsid w:val="008F179E"/>
    <w:rsid w:val="008F1B57"/>
    <w:rsid w:val="008F1E65"/>
    <w:rsid w:val="008F2597"/>
    <w:rsid w:val="008F3B78"/>
    <w:rsid w:val="008F4D55"/>
    <w:rsid w:val="008F5BEE"/>
    <w:rsid w:val="008F5C10"/>
    <w:rsid w:val="008F6355"/>
    <w:rsid w:val="008F6C94"/>
    <w:rsid w:val="008F745B"/>
    <w:rsid w:val="00900A74"/>
    <w:rsid w:val="009011E7"/>
    <w:rsid w:val="009012F8"/>
    <w:rsid w:val="00901956"/>
    <w:rsid w:val="00902145"/>
    <w:rsid w:val="0090247A"/>
    <w:rsid w:val="00902677"/>
    <w:rsid w:val="00902E3C"/>
    <w:rsid w:val="009038A4"/>
    <w:rsid w:val="009040A4"/>
    <w:rsid w:val="0090463C"/>
    <w:rsid w:val="00904999"/>
    <w:rsid w:val="00906241"/>
    <w:rsid w:val="009073BF"/>
    <w:rsid w:val="009075B1"/>
    <w:rsid w:val="00907BE3"/>
    <w:rsid w:val="00907D23"/>
    <w:rsid w:val="00910904"/>
    <w:rsid w:val="00912037"/>
    <w:rsid w:val="009121AB"/>
    <w:rsid w:val="00912A0F"/>
    <w:rsid w:val="00912B46"/>
    <w:rsid w:val="00913A96"/>
    <w:rsid w:val="009140FB"/>
    <w:rsid w:val="009149A1"/>
    <w:rsid w:val="00914C02"/>
    <w:rsid w:val="009150A3"/>
    <w:rsid w:val="009157BE"/>
    <w:rsid w:val="0091584B"/>
    <w:rsid w:val="00915B85"/>
    <w:rsid w:val="00915BEA"/>
    <w:rsid w:val="00915E0F"/>
    <w:rsid w:val="009162A8"/>
    <w:rsid w:val="00916822"/>
    <w:rsid w:val="00917548"/>
    <w:rsid w:val="009175B2"/>
    <w:rsid w:val="009179B3"/>
    <w:rsid w:val="009179F6"/>
    <w:rsid w:val="009202CA"/>
    <w:rsid w:val="009211B6"/>
    <w:rsid w:val="00921242"/>
    <w:rsid w:val="00922318"/>
    <w:rsid w:val="009225FF"/>
    <w:rsid w:val="00922616"/>
    <w:rsid w:val="00923611"/>
    <w:rsid w:val="00923D44"/>
    <w:rsid w:val="009242F5"/>
    <w:rsid w:val="00926503"/>
    <w:rsid w:val="0092651F"/>
    <w:rsid w:val="0092691A"/>
    <w:rsid w:val="00926BBD"/>
    <w:rsid w:val="00926E3E"/>
    <w:rsid w:val="00927487"/>
    <w:rsid w:val="0092762F"/>
    <w:rsid w:val="00927CBF"/>
    <w:rsid w:val="00930466"/>
    <w:rsid w:val="00930F72"/>
    <w:rsid w:val="00931E13"/>
    <w:rsid w:val="0093361B"/>
    <w:rsid w:val="00934282"/>
    <w:rsid w:val="009342FD"/>
    <w:rsid w:val="009355CA"/>
    <w:rsid w:val="009358C5"/>
    <w:rsid w:val="00935D1F"/>
    <w:rsid w:val="00935E6B"/>
    <w:rsid w:val="00935F98"/>
    <w:rsid w:val="00940765"/>
    <w:rsid w:val="0094175F"/>
    <w:rsid w:val="0094213F"/>
    <w:rsid w:val="00942866"/>
    <w:rsid w:val="009430B9"/>
    <w:rsid w:val="009434FE"/>
    <w:rsid w:val="009435E0"/>
    <w:rsid w:val="00944878"/>
    <w:rsid w:val="0094537D"/>
    <w:rsid w:val="00945859"/>
    <w:rsid w:val="00945C1C"/>
    <w:rsid w:val="00945F45"/>
    <w:rsid w:val="00945F77"/>
    <w:rsid w:val="0094714B"/>
    <w:rsid w:val="00947C50"/>
    <w:rsid w:val="00947C65"/>
    <w:rsid w:val="0095006F"/>
    <w:rsid w:val="00950D1B"/>
    <w:rsid w:val="00950DEF"/>
    <w:rsid w:val="00951AE6"/>
    <w:rsid w:val="0095299E"/>
    <w:rsid w:val="00952D8F"/>
    <w:rsid w:val="00953045"/>
    <w:rsid w:val="00953810"/>
    <w:rsid w:val="00953ACF"/>
    <w:rsid w:val="009548B9"/>
    <w:rsid w:val="0095499C"/>
    <w:rsid w:val="00954A7E"/>
    <w:rsid w:val="00954FE3"/>
    <w:rsid w:val="00955202"/>
    <w:rsid w:val="00956095"/>
    <w:rsid w:val="00956A2B"/>
    <w:rsid w:val="00957760"/>
    <w:rsid w:val="00957FBF"/>
    <w:rsid w:val="00960461"/>
    <w:rsid w:val="00960A66"/>
    <w:rsid w:val="00960DBB"/>
    <w:rsid w:val="00961183"/>
    <w:rsid w:val="00961A35"/>
    <w:rsid w:val="00961FBF"/>
    <w:rsid w:val="009625BD"/>
    <w:rsid w:val="00963C89"/>
    <w:rsid w:val="00964EB8"/>
    <w:rsid w:val="00964EDA"/>
    <w:rsid w:val="009652F4"/>
    <w:rsid w:val="00965830"/>
    <w:rsid w:val="009665AF"/>
    <w:rsid w:val="00966890"/>
    <w:rsid w:val="0096705C"/>
    <w:rsid w:val="009672F7"/>
    <w:rsid w:val="0097006E"/>
    <w:rsid w:val="009700BA"/>
    <w:rsid w:val="009703E1"/>
    <w:rsid w:val="00970565"/>
    <w:rsid w:val="0097196E"/>
    <w:rsid w:val="0097236D"/>
    <w:rsid w:val="0097276A"/>
    <w:rsid w:val="0097277E"/>
    <w:rsid w:val="009727D1"/>
    <w:rsid w:val="009727FA"/>
    <w:rsid w:val="00972B17"/>
    <w:rsid w:val="0097331B"/>
    <w:rsid w:val="00973C37"/>
    <w:rsid w:val="00973C8B"/>
    <w:rsid w:val="0097423A"/>
    <w:rsid w:val="00975586"/>
    <w:rsid w:val="0097688C"/>
    <w:rsid w:val="009768DB"/>
    <w:rsid w:val="00976BC2"/>
    <w:rsid w:val="009774A1"/>
    <w:rsid w:val="00977717"/>
    <w:rsid w:val="00980806"/>
    <w:rsid w:val="00980A8B"/>
    <w:rsid w:val="00980C44"/>
    <w:rsid w:val="0098115A"/>
    <w:rsid w:val="009812E1"/>
    <w:rsid w:val="00981441"/>
    <w:rsid w:val="009814A7"/>
    <w:rsid w:val="00981786"/>
    <w:rsid w:val="0098182A"/>
    <w:rsid w:val="00981A69"/>
    <w:rsid w:val="00981EA6"/>
    <w:rsid w:val="00981FAD"/>
    <w:rsid w:val="00982ADA"/>
    <w:rsid w:val="009831B0"/>
    <w:rsid w:val="0098467C"/>
    <w:rsid w:val="009848DE"/>
    <w:rsid w:val="00984952"/>
    <w:rsid w:val="00984E22"/>
    <w:rsid w:val="00985CAD"/>
    <w:rsid w:val="0098610D"/>
    <w:rsid w:val="00986C49"/>
    <w:rsid w:val="00986D6E"/>
    <w:rsid w:val="0098733A"/>
    <w:rsid w:val="009874B1"/>
    <w:rsid w:val="00987C23"/>
    <w:rsid w:val="009918BA"/>
    <w:rsid w:val="00992A1C"/>
    <w:rsid w:val="00992B23"/>
    <w:rsid w:val="00992DE1"/>
    <w:rsid w:val="00993166"/>
    <w:rsid w:val="009934B7"/>
    <w:rsid w:val="00993BD0"/>
    <w:rsid w:val="00993C2B"/>
    <w:rsid w:val="00993F87"/>
    <w:rsid w:val="009944E1"/>
    <w:rsid w:val="009944E7"/>
    <w:rsid w:val="00995C39"/>
    <w:rsid w:val="00996ECF"/>
    <w:rsid w:val="0099783C"/>
    <w:rsid w:val="009A002F"/>
    <w:rsid w:val="009A11A1"/>
    <w:rsid w:val="009A19D5"/>
    <w:rsid w:val="009A1A76"/>
    <w:rsid w:val="009A354D"/>
    <w:rsid w:val="009A363C"/>
    <w:rsid w:val="009A3E25"/>
    <w:rsid w:val="009A4ED4"/>
    <w:rsid w:val="009A4F1C"/>
    <w:rsid w:val="009A5816"/>
    <w:rsid w:val="009A58E2"/>
    <w:rsid w:val="009A66A4"/>
    <w:rsid w:val="009A686F"/>
    <w:rsid w:val="009A6D10"/>
    <w:rsid w:val="009A6E98"/>
    <w:rsid w:val="009A7416"/>
    <w:rsid w:val="009A7972"/>
    <w:rsid w:val="009B0263"/>
    <w:rsid w:val="009B2052"/>
    <w:rsid w:val="009B207A"/>
    <w:rsid w:val="009B2810"/>
    <w:rsid w:val="009B35F0"/>
    <w:rsid w:val="009B47C1"/>
    <w:rsid w:val="009B4BDA"/>
    <w:rsid w:val="009B4ED1"/>
    <w:rsid w:val="009B5166"/>
    <w:rsid w:val="009B5CDB"/>
    <w:rsid w:val="009B5EE0"/>
    <w:rsid w:val="009B6D7F"/>
    <w:rsid w:val="009C044D"/>
    <w:rsid w:val="009C0802"/>
    <w:rsid w:val="009C0A0F"/>
    <w:rsid w:val="009C296B"/>
    <w:rsid w:val="009C2A5F"/>
    <w:rsid w:val="009C38E4"/>
    <w:rsid w:val="009C3ADC"/>
    <w:rsid w:val="009C544E"/>
    <w:rsid w:val="009C55D8"/>
    <w:rsid w:val="009C57B2"/>
    <w:rsid w:val="009C5C17"/>
    <w:rsid w:val="009C688E"/>
    <w:rsid w:val="009C68B7"/>
    <w:rsid w:val="009C6980"/>
    <w:rsid w:val="009C6E90"/>
    <w:rsid w:val="009C6F7A"/>
    <w:rsid w:val="009C719D"/>
    <w:rsid w:val="009D01E7"/>
    <w:rsid w:val="009D02C1"/>
    <w:rsid w:val="009D0D13"/>
    <w:rsid w:val="009D18A9"/>
    <w:rsid w:val="009D2A37"/>
    <w:rsid w:val="009D327E"/>
    <w:rsid w:val="009D40D6"/>
    <w:rsid w:val="009D4319"/>
    <w:rsid w:val="009D43AF"/>
    <w:rsid w:val="009D4A3F"/>
    <w:rsid w:val="009D4BF4"/>
    <w:rsid w:val="009D521C"/>
    <w:rsid w:val="009D5452"/>
    <w:rsid w:val="009D63D9"/>
    <w:rsid w:val="009E0F44"/>
    <w:rsid w:val="009E16FC"/>
    <w:rsid w:val="009E16FD"/>
    <w:rsid w:val="009E1B0D"/>
    <w:rsid w:val="009E1F46"/>
    <w:rsid w:val="009E2223"/>
    <w:rsid w:val="009E2D48"/>
    <w:rsid w:val="009E3432"/>
    <w:rsid w:val="009E4047"/>
    <w:rsid w:val="009E4684"/>
    <w:rsid w:val="009E659F"/>
    <w:rsid w:val="009F0405"/>
    <w:rsid w:val="009F0566"/>
    <w:rsid w:val="009F0EEA"/>
    <w:rsid w:val="009F15CD"/>
    <w:rsid w:val="009F1805"/>
    <w:rsid w:val="009F18D5"/>
    <w:rsid w:val="009F2877"/>
    <w:rsid w:val="009F29BE"/>
    <w:rsid w:val="009F35E0"/>
    <w:rsid w:val="009F3E88"/>
    <w:rsid w:val="009F401B"/>
    <w:rsid w:val="009F4486"/>
    <w:rsid w:val="009F4B33"/>
    <w:rsid w:val="009F5584"/>
    <w:rsid w:val="009F56B4"/>
    <w:rsid w:val="009F5C46"/>
    <w:rsid w:val="009F60F1"/>
    <w:rsid w:val="009F6F97"/>
    <w:rsid w:val="00A00303"/>
    <w:rsid w:val="00A01CEE"/>
    <w:rsid w:val="00A0221B"/>
    <w:rsid w:val="00A02414"/>
    <w:rsid w:val="00A02476"/>
    <w:rsid w:val="00A025FF"/>
    <w:rsid w:val="00A02F4C"/>
    <w:rsid w:val="00A03283"/>
    <w:rsid w:val="00A041C9"/>
    <w:rsid w:val="00A04366"/>
    <w:rsid w:val="00A047A6"/>
    <w:rsid w:val="00A04A70"/>
    <w:rsid w:val="00A04F3A"/>
    <w:rsid w:val="00A04F51"/>
    <w:rsid w:val="00A05196"/>
    <w:rsid w:val="00A0591B"/>
    <w:rsid w:val="00A05A29"/>
    <w:rsid w:val="00A0602C"/>
    <w:rsid w:val="00A06949"/>
    <w:rsid w:val="00A06C70"/>
    <w:rsid w:val="00A06F0E"/>
    <w:rsid w:val="00A07589"/>
    <w:rsid w:val="00A07715"/>
    <w:rsid w:val="00A07748"/>
    <w:rsid w:val="00A109A0"/>
    <w:rsid w:val="00A11DAE"/>
    <w:rsid w:val="00A12E8A"/>
    <w:rsid w:val="00A13012"/>
    <w:rsid w:val="00A13F91"/>
    <w:rsid w:val="00A144B9"/>
    <w:rsid w:val="00A144DC"/>
    <w:rsid w:val="00A14C9E"/>
    <w:rsid w:val="00A150B7"/>
    <w:rsid w:val="00A15CAA"/>
    <w:rsid w:val="00A16B09"/>
    <w:rsid w:val="00A1765F"/>
    <w:rsid w:val="00A176F0"/>
    <w:rsid w:val="00A17727"/>
    <w:rsid w:val="00A219B1"/>
    <w:rsid w:val="00A221BC"/>
    <w:rsid w:val="00A22C86"/>
    <w:rsid w:val="00A238EA"/>
    <w:rsid w:val="00A23DD5"/>
    <w:rsid w:val="00A2440D"/>
    <w:rsid w:val="00A24B34"/>
    <w:rsid w:val="00A25037"/>
    <w:rsid w:val="00A269FB"/>
    <w:rsid w:val="00A27A14"/>
    <w:rsid w:val="00A30E66"/>
    <w:rsid w:val="00A319E9"/>
    <w:rsid w:val="00A31A47"/>
    <w:rsid w:val="00A32B46"/>
    <w:rsid w:val="00A33C8E"/>
    <w:rsid w:val="00A3408A"/>
    <w:rsid w:val="00A341ED"/>
    <w:rsid w:val="00A34CC1"/>
    <w:rsid w:val="00A34F95"/>
    <w:rsid w:val="00A3572D"/>
    <w:rsid w:val="00A35C16"/>
    <w:rsid w:val="00A35D10"/>
    <w:rsid w:val="00A36130"/>
    <w:rsid w:val="00A36219"/>
    <w:rsid w:val="00A366E3"/>
    <w:rsid w:val="00A36BC3"/>
    <w:rsid w:val="00A3713E"/>
    <w:rsid w:val="00A372C6"/>
    <w:rsid w:val="00A37EFB"/>
    <w:rsid w:val="00A40E04"/>
    <w:rsid w:val="00A410F3"/>
    <w:rsid w:val="00A4121E"/>
    <w:rsid w:val="00A419EA"/>
    <w:rsid w:val="00A41C2F"/>
    <w:rsid w:val="00A41F82"/>
    <w:rsid w:val="00A41FC7"/>
    <w:rsid w:val="00A427AE"/>
    <w:rsid w:val="00A42AD6"/>
    <w:rsid w:val="00A433CC"/>
    <w:rsid w:val="00A44409"/>
    <w:rsid w:val="00A448E4"/>
    <w:rsid w:val="00A44B33"/>
    <w:rsid w:val="00A44E81"/>
    <w:rsid w:val="00A45426"/>
    <w:rsid w:val="00A455FD"/>
    <w:rsid w:val="00A45F4F"/>
    <w:rsid w:val="00A46924"/>
    <w:rsid w:val="00A46D1D"/>
    <w:rsid w:val="00A46D48"/>
    <w:rsid w:val="00A470E9"/>
    <w:rsid w:val="00A47E1C"/>
    <w:rsid w:val="00A5028E"/>
    <w:rsid w:val="00A50776"/>
    <w:rsid w:val="00A50864"/>
    <w:rsid w:val="00A50CA5"/>
    <w:rsid w:val="00A515B5"/>
    <w:rsid w:val="00A51CBD"/>
    <w:rsid w:val="00A51FD8"/>
    <w:rsid w:val="00A52FDA"/>
    <w:rsid w:val="00A5318B"/>
    <w:rsid w:val="00A542E6"/>
    <w:rsid w:val="00A5441B"/>
    <w:rsid w:val="00A552A9"/>
    <w:rsid w:val="00A55F71"/>
    <w:rsid w:val="00A561C7"/>
    <w:rsid w:val="00A56F0C"/>
    <w:rsid w:val="00A57602"/>
    <w:rsid w:val="00A57B22"/>
    <w:rsid w:val="00A57B8A"/>
    <w:rsid w:val="00A600A9"/>
    <w:rsid w:val="00A60990"/>
    <w:rsid w:val="00A60A85"/>
    <w:rsid w:val="00A61234"/>
    <w:rsid w:val="00A6217A"/>
    <w:rsid w:val="00A62533"/>
    <w:rsid w:val="00A627AA"/>
    <w:rsid w:val="00A627C7"/>
    <w:rsid w:val="00A63AB6"/>
    <w:rsid w:val="00A6419B"/>
    <w:rsid w:val="00A64DD6"/>
    <w:rsid w:val="00A658BD"/>
    <w:rsid w:val="00A65F60"/>
    <w:rsid w:val="00A67897"/>
    <w:rsid w:val="00A7017F"/>
    <w:rsid w:val="00A7062D"/>
    <w:rsid w:val="00A70E6A"/>
    <w:rsid w:val="00A712C5"/>
    <w:rsid w:val="00A71771"/>
    <w:rsid w:val="00A71D87"/>
    <w:rsid w:val="00A71F4E"/>
    <w:rsid w:val="00A72151"/>
    <w:rsid w:val="00A721A6"/>
    <w:rsid w:val="00A77F26"/>
    <w:rsid w:val="00A80016"/>
    <w:rsid w:val="00A811A5"/>
    <w:rsid w:val="00A81516"/>
    <w:rsid w:val="00A815F9"/>
    <w:rsid w:val="00A81ED1"/>
    <w:rsid w:val="00A828B0"/>
    <w:rsid w:val="00A8320D"/>
    <w:rsid w:val="00A832AD"/>
    <w:rsid w:val="00A8357A"/>
    <w:rsid w:val="00A84037"/>
    <w:rsid w:val="00A84138"/>
    <w:rsid w:val="00A84FD2"/>
    <w:rsid w:val="00A85B05"/>
    <w:rsid w:val="00A85BFE"/>
    <w:rsid w:val="00A86AFE"/>
    <w:rsid w:val="00A87722"/>
    <w:rsid w:val="00A903D4"/>
    <w:rsid w:val="00A90C21"/>
    <w:rsid w:val="00A90DE1"/>
    <w:rsid w:val="00A91985"/>
    <w:rsid w:val="00A927E9"/>
    <w:rsid w:val="00A9310A"/>
    <w:rsid w:val="00A93FF0"/>
    <w:rsid w:val="00A9479B"/>
    <w:rsid w:val="00A94A14"/>
    <w:rsid w:val="00A94D03"/>
    <w:rsid w:val="00A95360"/>
    <w:rsid w:val="00A95520"/>
    <w:rsid w:val="00A95726"/>
    <w:rsid w:val="00A95820"/>
    <w:rsid w:val="00A95D48"/>
    <w:rsid w:val="00A95DEA"/>
    <w:rsid w:val="00A96015"/>
    <w:rsid w:val="00A96F78"/>
    <w:rsid w:val="00A9751C"/>
    <w:rsid w:val="00AA0293"/>
    <w:rsid w:val="00AA0C6E"/>
    <w:rsid w:val="00AA0E1B"/>
    <w:rsid w:val="00AA0F2D"/>
    <w:rsid w:val="00AA1D6C"/>
    <w:rsid w:val="00AA1DA4"/>
    <w:rsid w:val="00AA1FF5"/>
    <w:rsid w:val="00AA2727"/>
    <w:rsid w:val="00AA2B80"/>
    <w:rsid w:val="00AA3532"/>
    <w:rsid w:val="00AA3685"/>
    <w:rsid w:val="00AA371F"/>
    <w:rsid w:val="00AA383D"/>
    <w:rsid w:val="00AA3CA6"/>
    <w:rsid w:val="00AA3D08"/>
    <w:rsid w:val="00AA3E29"/>
    <w:rsid w:val="00AA4466"/>
    <w:rsid w:val="00AA4591"/>
    <w:rsid w:val="00AA4EB0"/>
    <w:rsid w:val="00AA4F64"/>
    <w:rsid w:val="00AA51E5"/>
    <w:rsid w:val="00AA55B7"/>
    <w:rsid w:val="00AA5795"/>
    <w:rsid w:val="00AA5B9E"/>
    <w:rsid w:val="00AA5FC3"/>
    <w:rsid w:val="00AA65CD"/>
    <w:rsid w:val="00AA6630"/>
    <w:rsid w:val="00AA76E0"/>
    <w:rsid w:val="00AB0920"/>
    <w:rsid w:val="00AB0B84"/>
    <w:rsid w:val="00AB2269"/>
    <w:rsid w:val="00AB2407"/>
    <w:rsid w:val="00AB2EAF"/>
    <w:rsid w:val="00AB341F"/>
    <w:rsid w:val="00AB3534"/>
    <w:rsid w:val="00AB3578"/>
    <w:rsid w:val="00AB3B40"/>
    <w:rsid w:val="00AB4873"/>
    <w:rsid w:val="00AB49B7"/>
    <w:rsid w:val="00AB53DF"/>
    <w:rsid w:val="00AB5960"/>
    <w:rsid w:val="00AB5DD0"/>
    <w:rsid w:val="00AB5E8A"/>
    <w:rsid w:val="00AB6B04"/>
    <w:rsid w:val="00AB6E97"/>
    <w:rsid w:val="00AB726E"/>
    <w:rsid w:val="00AB7669"/>
    <w:rsid w:val="00AB7A98"/>
    <w:rsid w:val="00AC0138"/>
    <w:rsid w:val="00AC09B5"/>
    <w:rsid w:val="00AC12E0"/>
    <w:rsid w:val="00AC1677"/>
    <w:rsid w:val="00AC1BA8"/>
    <w:rsid w:val="00AC24AA"/>
    <w:rsid w:val="00AC2520"/>
    <w:rsid w:val="00AC3190"/>
    <w:rsid w:val="00AC38B9"/>
    <w:rsid w:val="00AC3E68"/>
    <w:rsid w:val="00AC49D5"/>
    <w:rsid w:val="00AC4F5C"/>
    <w:rsid w:val="00AC51F6"/>
    <w:rsid w:val="00AC6CAE"/>
    <w:rsid w:val="00AC7212"/>
    <w:rsid w:val="00AC76A4"/>
    <w:rsid w:val="00AD005B"/>
    <w:rsid w:val="00AD038E"/>
    <w:rsid w:val="00AD0D6D"/>
    <w:rsid w:val="00AD10C5"/>
    <w:rsid w:val="00AD217E"/>
    <w:rsid w:val="00AD23AD"/>
    <w:rsid w:val="00AD285E"/>
    <w:rsid w:val="00AD2DA8"/>
    <w:rsid w:val="00AD2F44"/>
    <w:rsid w:val="00AD3079"/>
    <w:rsid w:val="00AD3B87"/>
    <w:rsid w:val="00AD4869"/>
    <w:rsid w:val="00AD497F"/>
    <w:rsid w:val="00AD54F6"/>
    <w:rsid w:val="00AD57AD"/>
    <w:rsid w:val="00AD5DEC"/>
    <w:rsid w:val="00AD5E51"/>
    <w:rsid w:val="00AD63D0"/>
    <w:rsid w:val="00AD7549"/>
    <w:rsid w:val="00AD78E5"/>
    <w:rsid w:val="00AD7E60"/>
    <w:rsid w:val="00AE01D7"/>
    <w:rsid w:val="00AE0FD5"/>
    <w:rsid w:val="00AE16F4"/>
    <w:rsid w:val="00AE17F9"/>
    <w:rsid w:val="00AE298D"/>
    <w:rsid w:val="00AE41C8"/>
    <w:rsid w:val="00AE4A2B"/>
    <w:rsid w:val="00AE4E79"/>
    <w:rsid w:val="00AE5132"/>
    <w:rsid w:val="00AE5241"/>
    <w:rsid w:val="00AE53DB"/>
    <w:rsid w:val="00AE5C81"/>
    <w:rsid w:val="00AE62D0"/>
    <w:rsid w:val="00AE6C0B"/>
    <w:rsid w:val="00AE6D0F"/>
    <w:rsid w:val="00AE77F1"/>
    <w:rsid w:val="00AE7919"/>
    <w:rsid w:val="00AF0068"/>
    <w:rsid w:val="00AF0FF6"/>
    <w:rsid w:val="00AF1348"/>
    <w:rsid w:val="00AF13D1"/>
    <w:rsid w:val="00AF1BC6"/>
    <w:rsid w:val="00AF1C37"/>
    <w:rsid w:val="00AF4025"/>
    <w:rsid w:val="00AF50FF"/>
    <w:rsid w:val="00AF517B"/>
    <w:rsid w:val="00AF5C50"/>
    <w:rsid w:val="00AF67A2"/>
    <w:rsid w:val="00AF71B8"/>
    <w:rsid w:val="00AF7A97"/>
    <w:rsid w:val="00B007C2"/>
    <w:rsid w:val="00B00C71"/>
    <w:rsid w:val="00B01793"/>
    <w:rsid w:val="00B01C42"/>
    <w:rsid w:val="00B01DE5"/>
    <w:rsid w:val="00B01E33"/>
    <w:rsid w:val="00B02033"/>
    <w:rsid w:val="00B02427"/>
    <w:rsid w:val="00B02B6C"/>
    <w:rsid w:val="00B02D18"/>
    <w:rsid w:val="00B037D8"/>
    <w:rsid w:val="00B03D56"/>
    <w:rsid w:val="00B0400A"/>
    <w:rsid w:val="00B045C1"/>
    <w:rsid w:val="00B04A98"/>
    <w:rsid w:val="00B0567C"/>
    <w:rsid w:val="00B0571A"/>
    <w:rsid w:val="00B05A79"/>
    <w:rsid w:val="00B0654F"/>
    <w:rsid w:val="00B06D1F"/>
    <w:rsid w:val="00B07ADD"/>
    <w:rsid w:val="00B07E5C"/>
    <w:rsid w:val="00B10120"/>
    <w:rsid w:val="00B1014A"/>
    <w:rsid w:val="00B11210"/>
    <w:rsid w:val="00B122F7"/>
    <w:rsid w:val="00B1324C"/>
    <w:rsid w:val="00B1357E"/>
    <w:rsid w:val="00B13807"/>
    <w:rsid w:val="00B1387D"/>
    <w:rsid w:val="00B14012"/>
    <w:rsid w:val="00B145D4"/>
    <w:rsid w:val="00B149C2"/>
    <w:rsid w:val="00B14D9E"/>
    <w:rsid w:val="00B15925"/>
    <w:rsid w:val="00B1610D"/>
    <w:rsid w:val="00B1678B"/>
    <w:rsid w:val="00B16BC1"/>
    <w:rsid w:val="00B17B13"/>
    <w:rsid w:val="00B17BD4"/>
    <w:rsid w:val="00B216C1"/>
    <w:rsid w:val="00B21FB5"/>
    <w:rsid w:val="00B225E6"/>
    <w:rsid w:val="00B22E43"/>
    <w:rsid w:val="00B23A68"/>
    <w:rsid w:val="00B2415C"/>
    <w:rsid w:val="00B2446C"/>
    <w:rsid w:val="00B24E03"/>
    <w:rsid w:val="00B24E04"/>
    <w:rsid w:val="00B24ED9"/>
    <w:rsid w:val="00B252E8"/>
    <w:rsid w:val="00B257E0"/>
    <w:rsid w:val="00B2640F"/>
    <w:rsid w:val="00B27F0F"/>
    <w:rsid w:val="00B27F8D"/>
    <w:rsid w:val="00B27F98"/>
    <w:rsid w:val="00B3068D"/>
    <w:rsid w:val="00B30830"/>
    <w:rsid w:val="00B31807"/>
    <w:rsid w:val="00B31D9A"/>
    <w:rsid w:val="00B32C72"/>
    <w:rsid w:val="00B33320"/>
    <w:rsid w:val="00B34C79"/>
    <w:rsid w:val="00B34CF0"/>
    <w:rsid w:val="00B34EEA"/>
    <w:rsid w:val="00B34F33"/>
    <w:rsid w:val="00B34F79"/>
    <w:rsid w:val="00B35D00"/>
    <w:rsid w:val="00B36B1C"/>
    <w:rsid w:val="00B3741D"/>
    <w:rsid w:val="00B37612"/>
    <w:rsid w:val="00B3782B"/>
    <w:rsid w:val="00B37FB6"/>
    <w:rsid w:val="00B40B3F"/>
    <w:rsid w:val="00B412FF"/>
    <w:rsid w:val="00B41A63"/>
    <w:rsid w:val="00B424A3"/>
    <w:rsid w:val="00B434B8"/>
    <w:rsid w:val="00B43E23"/>
    <w:rsid w:val="00B44569"/>
    <w:rsid w:val="00B454BD"/>
    <w:rsid w:val="00B45841"/>
    <w:rsid w:val="00B50615"/>
    <w:rsid w:val="00B50708"/>
    <w:rsid w:val="00B50E57"/>
    <w:rsid w:val="00B51BF8"/>
    <w:rsid w:val="00B53D37"/>
    <w:rsid w:val="00B54242"/>
    <w:rsid w:val="00B54432"/>
    <w:rsid w:val="00B5474D"/>
    <w:rsid w:val="00B549DB"/>
    <w:rsid w:val="00B5517C"/>
    <w:rsid w:val="00B5528C"/>
    <w:rsid w:val="00B55C3A"/>
    <w:rsid w:val="00B56504"/>
    <w:rsid w:val="00B56A55"/>
    <w:rsid w:val="00B57405"/>
    <w:rsid w:val="00B57C9F"/>
    <w:rsid w:val="00B604E1"/>
    <w:rsid w:val="00B60C6C"/>
    <w:rsid w:val="00B61527"/>
    <w:rsid w:val="00B6180C"/>
    <w:rsid w:val="00B61A3A"/>
    <w:rsid w:val="00B6297A"/>
    <w:rsid w:val="00B62B22"/>
    <w:rsid w:val="00B632A2"/>
    <w:rsid w:val="00B635F9"/>
    <w:rsid w:val="00B638D4"/>
    <w:rsid w:val="00B63BCB"/>
    <w:rsid w:val="00B63DB2"/>
    <w:rsid w:val="00B655E1"/>
    <w:rsid w:val="00B66855"/>
    <w:rsid w:val="00B6722B"/>
    <w:rsid w:val="00B67CEB"/>
    <w:rsid w:val="00B70020"/>
    <w:rsid w:val="00B70495"/>
    <w:rsid w:val="00B70717"/>
    <w:rsid w:val="00B70802"/>
    <w:rsid w:val="00B713B4"/>
    <w:rsid w:val="00B71956"/>
    <w:rsid w:val="00B72492"/>
    <w:rsid w:val="00B72F13"/>
    <w:rsid w:val="00B744C9"/>
    <w:rsid w:val="00B749AB"/>
    <w:rsid w:val="00B74C32"/>
    <w:rsid w:val="00B76777"/>
    <w:rsid w:val="00B769F2"/>
    <w:rsid w:val="00B76D83"/>
    <w:rsid w:val="00B77A6A"/>
    <w:rsid w:val="00B77C44"/>
    <w:rsid w:val="00B80936"/>
    <w:rsid w:val="00B811F7"/>
    <w:rsid w:val="00B8128E"/>
    <w:rsid w:val="00B8139D"/>
    <w:rsid w:val="00B8140F"/>
    <w:rsid w:val="00B820EF"/>
    <w:rsid w:val="00B82213"/>
    <w:rsid w:val="00B82702"/>
    <w:rsid w:val="00B842D8"/>
    <w:rsid w:val="00B845C5"/>
    <w:rsid w:val="00B84CF5"/>
    <w:rsid w:val="00B84F9F"/>
    <w:rsid w:val="00B85010"/>
    <w:rsid w:val="00B8550C"/>
    <w:rsid w:val="00B86641"/>
    <w:rsid w:val="00B867FD"/>
    <w:rsid w:val="00B8694F"/>
    <w:rsid w:val="00B871C8"/>
    <w:rsid w:val="00B87B9C"/>
    <w:rsid w:val="00B90096"/>
    <w:rsid w:val="00B905A1"/>
    <w:rsid w:val="00B90C3E"/>
    <w:rsid w:val="00B91017"/>
    <w:rsid w:val="00B914F8"/>
    <w:rsid w:val="00B919B9"/>
    <w:rsid w:val="00B91B36"/>
    <w:rsid w:val="00B91CCC"/>
    <w:rsid w:val="00B91E8A"/>
    <w:rsid w:val="00B929E4"/>
    <w:rsid w:val="00B9342C"/>
    <w:rsid w:val="00B93849"/>
    <w:rsid w:val="00B939C1"/>
    <w:rsid w:val="00B93BA3"/>
    <w:rsid w:val="00B947AC"/>
    <w:rsid w:val="00B94AE2"/>
    <w:rsid w:val="00B95248"/>
    <w:rsid w:val="00B95428"/>
    <w:rsid w:val="00B95986"/>
    <w:rsid w:val="00B95DD8"/>
    <w:rsid w:val="00B96722"/>
    <w:rsid w:val="00B972BE"/>
    <w:rsid w:val="00B97391"/>
    <w:rsid w:val="00BA084F"/>
    <w:rsid w:val="00BA0A1B"/>
    <w:rsid w:val="00BA0C33"/>
    <w:rsid w:val="00BA125F"/>
    <w:rsid w:val="00BA16B0"/>
    <w:rsid w:val="00BA2258"/>
    <w:rsid w:val="00BA2685"/>
    <w:rsid w:val="00BA313A"/>
    <w:rsid w:val="00BA4732"/>
    <w:rsid w:val="00BA498A"/>
    <w:rsid w:val="00BA5352"/>
    <w:rsid w:val="00BA5D1C"/>
    <w:rsid w:val="00BA5DC6"/>
    <w:rsid w:val="00BA5EC8"/>
    <w:rsid w:val="00BA6196"/>
    <w:rsid w:val="00BA711C"/>
    <w:rsid w:val="00BA73B9"/>
    <w:rsid w:val="00BA77E3"/>
    <w:rsid w:val="00BA7EAA"/>
    <w:rsid w:val="00BA7F63"/>
    <w:rsid w:val="00BB0434"/>
    <w:rsid w:val="00BB0809"/>
    <w:rsid w:val="00BB139B"/>
    <w:rsid w:val="00BB13F3"/>
    <w:rsid w:val="00BB1BE9"/>
    <w:rsid w:val="00BB28C5"/>
    <w:rsid w:val="00BB2B71"/>
    <w:rsid w:val="00BB42BA"/>
    <w:rsid w:val="00BB5BB3"/>
    <w:rsid w:val="00BB5E4A"/>
    <w:rsid w:val="00BB661D"/>
    <w:rsid w:val="00BB67DC"/>
    <w:rsid w:val="00BB68D7"/>
    <w:rsid w:val="00BB6C19"/>
    <w:rsid w:val="00BB6CCA"/>
    <w:rsid w:val="00BB7879"/>
    <w:rsid w:val="00BB7972"/>
    <w:rsid w:val="00BC025D"/>
    <w:rsid w:val="00BC0806"/>
    <w:rsid w:val="00BC0BF3"/>
    <w:rsid w:val="00BC12BA"/>
    <w:rsid w:val="00BC1DF8"/>
    <w:rsid w:val="00BC273F"/>
    <w:rsid w:val="00BC2A00"/>
    <w:rsid w:val="00BC3076"/>
    <w:rsid w:val="00BC3266"/>
    <w:rsid w:val="00BC387B"/>
    <w:rsid w:val="00BC402B"/>
    <w:rsid w:val="00BC4BEF"/>
    <w:rsid w:val="00BC513F"/>
    <w:rsid w:val="00BC58E5"/>
    <w:rsid w:val="00BC6D8C"/>
    <w:rsid w:val="00BC6DC7"/>
    <w:rsid w:val="00BC7A47"/>
    <w:rsid w:val="00BD125D"/>
    <w:rsid w:val="00BD14DB"/>
    <w:rsid w:val="00BD1A2F"/>
    <w:rsid w:val="00BD21DF"/>
    <w:rsid w:val="00BD21EE"/>
    <w:rsid w:val="00BD26D0"/>
    <w:rsid w:val="00BD270F"/>
    <w:rsid w:val="00BD2CBD"/>
    <w:rsid w:val="00BD30A5"/>
    <w:rsid w:val="00BD3751"/>
    <w:rsid w:val="00BD37BD"/>
    <w:rsid w:val="00BD3A97"/>
    <w:rsid w:val="00BD4C05"/>
    <w:rsid w:val="00BD5279"/>
    <w:rsid w:val="00BD53AB"/>
    <w:rsid w:val="00BD5478"/>
    <w:rsid w:val="00BD6C42"/>
    <w:rsid w:val="00BD6EB4"/>
    <w:rsid w:val="00BD75B1"/>
    <w:rsid w:val="00BD7AF1"/>
    <w:rsid w:val="00BD7B9D"/>
    <w:rsid w:val="00BD7FD4"/>
    <w:rsid w:val="00BE0256"/>
    <w:rsid w:val="00BE0A13"/>
    <w:rsid w:val="00BE0C6D"/>
    <w:rsid w:val="00BE0FB4"/>
    <w:rsid w:val="00BE180E"/>
    <w:rsid w:val="00BE187E"/>
    <w:rsid w:val="00BE1E7D"/>
    <w:rsid w:val="00BE1EE0"/>
    <w:rsid w:val="00BE20E8"/>
    <w:rsid w:val="00BE3A9E"/>
    <w:rsid w:val="00BE3D58"/>
    <w:rsid w:val="00BE47F0"/>
    <w:rsid w:val="00BE4918"/>
    <w:rsid w:val="00BE4951"/>
    <w:rsid w:val="00BE4C3D"/>
    <w:rsid w:val="00BE4C6D"/>
    <w:rsid w:val="00BE51F6"/>
    <w:rsid w:val="00BE53B5"/>
    <w:rsid w:val="00BE5B6D"/>
    <w:rsid w:val="00BE70A8"/>
    <w:rsid w:val="00BF06C5"/>
    <w:rsid w:val="00BF1829"/>
    <w:rsid w:val="00BF22DF"/>
    <w:rsid w:val="00BF2A53"/>
    <w:rsid w:val="00BF33FF"/>
    <w:rsid w:val="00BF35AF"/>
    <w:rsid w:val="00BF3983"/>
    <w:rsid w:val="00BF3BA5"/>
    <w:rsid w:val="00BF4234"/>
    <w:rsid w:val="00BF423D"/>
    <w:rsid w:val="00BF4CE4"/>
    <w:rsid w:val="00BF4D7D"/>
    <w:rsid w:val="00BF4E6B"/>
    <w:rsid w:val="00BF553A"/>
    <w:rsid w:val="00BF5BC5"/>
    <w:rsid w:val="00BF69E6"/>
    <w:rsid w:val="00BF6C34"/>
    <w:rsid w:val="00BF75E4"/>
    <w:rsid w:val="00BF7C98"/>
    <w:rsid w:val="00C005BF"/>
    <w:rsid w:val="00C00DFA"/>
    <w:rsid w:val="00C00F60"/>
    <w:rsid w:val="00C00FC2"/>
    <w:rsid w:val="00C011BD"/>
    <w:rsid w:val="00C01241"/>
    <w:rsid w:val="00C0127D"/>
    <w:rsid w:val="00C017C9"/>
    <w:rsid w:val="00C020D5"/>
    <w:rsid w:val="00C031E9"/>
    <w:rsid w:val="00C03939"/>
    <w:rsid w:val="00C03EAF"/>
    <w:rsid w:val="00C0420D"/>
    <w:rsid w:val="00C051FF"/>
    <w:rsid w:val="00C065F0"/>
    <w:rsid w:val="00C067B8"/>
    <w:rsid w:val="00C0686A"/>
    <w:rsid w:val="00C06A17"/>
    <w:rsid w:val="00C06C2E"/>
    <w:rsid w:val="00C06F74"/>
    <w:rsid w:val="00C07A1D"/>
    <w:rsid w:val="00C07B4C"/>
    <w:rsid w:val="00C07C81"/>
    <w:rsid w:val="00C07F5A"/>
    <w:rsid w:val="00C1043E"/>
    <w:rsid w:val="00C10454"/>
    <w:rsid w:val="00C106D8"/>
    <w:rsid w:val="00C10B85"/>
    <w:rsid w:val="00C10F4A"/>
    <w:rsid w:val="00C12257"/>
    <w:rsid w:val="00C124E6"/>
    <w:rsid w:val="00C12A09"/>
    <w:rsid w:val="00C14131"/>
    <w:rsid w:val="00C141F1"/>
    <w:rsid w:val="00C14745"/>
    <w:rsid w:val="00C14977"/>
    <w:rsid w:val="00C14C9B"/>
    <w:rsid w:val="00C14F2F"/>
    <w:rsid w:val="00C153C7"/>
    <w:rsid w:val="00C15529"/>
    <w:rsid w:val="00C15926"/>
    <w:rsid w:val="00C15957"/>
    <w:rsid w:val="00C16AB4"/>
    <w:rsid w:val="00C16C59"/>
    <w:rsid w:val="00C1771C"/>
    <w:rsid w:val="00C17C9E"/>
    <w:rsid w:val="00C17F19"/>
    <w:rsid w:val="00C21D79"/>
    <w:rsid w:val="00C21F54"/>
    <w:rsid w:val="00C22BD1"/>
    <w:rsid w:val="00C22CF9"/>
    <w:rsid w:val="00C23386"/>
    <w:rsid w:val="00C24092"/>
    <w:rsid w:val="00C240E5"/>
    <w:rsid w:val="00C2430B"/>
    <w:rsid w:val="00C2726E"/>
    <w:rsid w:val="00C272E9"/>
    <w:rsid w:val="00C27711"/>
    <w:rsid w:val="00C278A0"/>
    <w:rsid w:val="00C27E2A"/>
    <w:rsid w:val="00C30994"/>
    <w:rsid w:val="00C31867"/>
    <w:rsid w:val="00C324AC"/>
    <w:rsid w:val="00C3296C"/>
    <w:rsid w:val="00C34006"/>
    <w:rsid w:val="00C356F9"/>
    <w:rsid w:val="00C36122"/>
    <w:rsid w:val="00C363FB"/>
    <w:rsid w:val="00C369F5"/>
    <w:rsid w:val="00C36DFF"/>
    <w:rsid w:val="00C370E0"/>
    <w:rsid w:val="00C373B2"/>
    <w:rsid w:val="00C37434"/>
    <w:rsid w:val="00C37865"/>
    <w:rsid w:val="00C378CE"/>
    <w:rsid w:val="00C405BF"/>
    <w:rsid w:val="00C4263A"/>
    <w:rsid w:val="00C426B1"/>
    <w:rsid w:val="00C434C1"/>
    <w:rsid w:val="00C438C1"/>
    <w:rsid w:val="00C44546"/>
    <w:rsid w:val="00C45511"/>
    <w:rsid w:val="00C4580B"/>
    <w:rsid w:val="00C45B29"/>
    <w:rsid w:val="00C467FF"/>
    <w:rsid w:val="00C46F78"/>
    <w:rsid w:val="00C470F0"/>
    <w:rsid w:val="00C47DBF"/>
    <w:rsid w:val="00C511FB"/>
    <w:rsid w:val="00C515C2"/>
    <w:rsid w:val="00C51C45"/>
    <w:rsid w:val="00C51C79"/>
    <w:rsid w:val="00C521F8"/>
    <w:rsid w:val="00C5244A"/>
    <w:rsid w:val="00C5313B"/>
    <w:rsid w:val="00C548AF"/>
    <w:rsid w:val="00C550C4"/>
    <w:rsid w:val="00C5579E"/>
    <w:rsid w:val="00C55B81"/>
    <w:rsid w:val="00C55C8C"/>
    <w:rsid w:val="00C56CDA"/>
    <w:rsid w:val="00C56D23"/>
    <w:rsid w:val="00C578A5"/>
    <w:rsid w:val="00C57EBE"/>
    <w:rsid w:val="00C608E9"/>
    <w:rsid w:val="00C61277"/>
    <w:rsid w:val="00C61479"/>
    <w:rsid w:val="00C61679"/>
    <w:rsid w:val="00C61993"/>
    <w:rsid w:val="00C61F39"/>
    <w:rsid w:val="00C62061"/>
    <w:rsid w:val="00C6237F"/>
    <w:rsid w:val="00C6270B"/>
    <w:rsid w:val="00C62BF4"/>
    <w:rsid w:val="00C6338F"/>
    <w:rsid w:val="00C63497"/>
    <w:rsid w:val="00C63AF9"/>
    <w:rsid w:val="00C64454"/>
    <w:rsid w:val="00C65590"/>
    <w:rsid w:val="00C663AA"/>
    <w:rsid w:val="00C667C0"/>
    <w:rsid w:val="00C66FDC"/>
    <w:rsid w:val="00C671CA"/>
    <w:rsid w:val="00C67AF5"/>
    <w:rsid w:val="00C67D82"/>
    <w:rsid w:val="00C70BA9"/>
    <w:rsid w:val="00C71D60"/>
    <w:rsid w:val="00C71E4A"/>
    <w:rsid w:val="00C722E3"/>
    <w:rsid w:val="00C72C69"/>
    <w:rsid w:val="00C73325"/>
    <w:rsid w:val="00C739B8"/>
    <w:rsid w:val="00C73E93"/>
    <w:rsid w:val="00C74A2D"/>
    <w:rsid w:val="00C74BED"/>
    <w:rsid w:val="00C75913"/>
    <w:rsid w:val="00C75DFB"/>
    <w:rsid w:val="00C75E96"/>
    <w:rsid w:val="00C76019"/>
    <w:rsid w:val="00C76DF7"/>
    <w:rsid w:val="00C8014D"/>
    <w:rsid w:val="00C80405"/>
    <w:rsid w:val="00C80526"/>
    <w:rsid w:val="00C806C0"/>
    <w:rsid w:val="00C813E9"/>
    <w:rsid w:val="00C819C2"/>
    <w:rsid w:val="00C82B6B"/>
    <w:rsid w:val="00C83134"/>
    <w:rsid w:val="00C83633"/>
    <w:rsid w:val="00C83CA0"/>
    <w:rsid w:val="00C84836"/>
    <w:rsid w:val="00C84FCD"/>
    <w:rsid w:val="00C85EF1"/>
    <w:rsid w:val="00C86470"/>
    <w:rsid w:val="00C869E9"/>
    <w:rsid w:val="00C873A9"/>
    <w:rsid w:val="00C87C2A"/>
    <w:rsid w:val="00C900E9"/>
    <w:rsid w:val="00C90C1F"/>
    <w:rsid w:val="00C90D6A"/>
    <w:rsid w:val="00C91413"/>
    <w:rsid w:val="00C9146F"/>
    <w:rsid w:val="00C92CC4"/>
    <w:rsid w:val="00C92F4A"/>
    <w:rsid w:val="00C93CBB"/>
    <w:rsid w:val="00C9435E"/>
    <w:rsid w:val="00C945C2"/>
    <w:rsid w:val="00C94C5D"/>
    <w:rsid w:val="00C94E1F"/>
    <w:rsid w:val="00C951EE"/>
    <w:rsid w:val="00C9558E"/>
    <w:rsid w:val="00C95CDF"/>
    <w:rsid w:val="00C95F5D"/>
    <w:rsid w:val="00C9734D"/>
    <w:rsid w:val="00C97651"/>
    <w:rsid w:val="00C979B9"/>
    <w:rsid w:val="00CA1BA0"/>
    <w:rsid w:val="00CA1CAE"/>
    <w:rsid w:val="00CA290B"/>
    <w:rsid w:val="00CA2A3B"/>
    <w:rsid w:val="00CA2A7F"/>
    <w:rsid w:val="00CA2DD8"/>
    <w:rsid w:val="00CA3062"/>
    <w:rsid w:val="00CA33E7"/>
    <w:rsid w:val="00CA4EFD"/>
    <w:rsid w:val="00CA4F78"/>
    <w:rsid w:val="00CA5347"/>
    <w:rsid w:val="00CA53BF"/>
    <w:rsid w:val="00CA591F"/>
    <w:rsid w:val="00CA5C8D"/>
    <w:rsid w:val="00CA6103"/>
    <w:rsid w:val="00CA6286"/>
    <w:rsid w:val="00CA6B80"/>
    <w:rsid w:val="00CA6CE0"/>
    <w:rsid w:val="00CA6D38"/>
    <w:rsid w:val="00CA755E"/>
    <w:rsid w:val="00CA7B1C"/>
    <w:rsid w:val="00CB0D45"/>
    <w:rsid w:val="00CB0F8D"/>
    <w:rsid w:val="00CB2A98"/>
    <w:rsid w:val="00CB3054"/>
    <w:rsid w:val="00CB394B"/>
    <w:rsid w:val="00CB3C0D"/>
    <w:rsid w:val="00CB3E2B"/>
    <w:rsid w:val="00CB4837"/>
    <w:rsid w:val="00CB4986"/>
    <w:rsid w:val="00CB4E00"/>
    <w:rsid w:val="00CB4F30"/>
    <w:rsid w:val="00CB5093"/>
    <w:rsid w:val="00CB6085"/>
    <w:rsid w:val="00CB6360"/>
    <w:rsid w:val="00CB6EC3"/>
    <w:rsid w:val="00CB78CE"/>
    <w:rsid w:val="00CB7903"/>
    <w:rsid w:val="00CB7AAC"/>
    <w:rsid w:val="00CC0081"/>
    <w:rsid w:val="00CC01BC"/>
    <w:rsid w:val="00CC1919"/>
    <w:rsid w:val="00CC3BF0"/>
    <w:rsid w:val="00CC3D3B"/>
    <w:rsid w:val="00CC4EED"/>
    <w:rsid w:val="00CC5252"/>
    <w:rsid w:val="00CC581C"/>
    <w:rsid w:val="00CC5C94"/>
    <w:rsid w:val="00CC5CF0"/>
    <w:rsid w:val="00CC6E50"/>
    <w:rsid w:val="00CC6FEB"/>
    <w:rsid w:val="00CC7242"/>
    <w:rsid w:val="00CC72B6"/>
    <w:rsid w:val="00CC7321"/>
    <w:rsid w:val="00CC7903"/>
    <w:rsid w:val="00CD0306"/>
    <w:rsid w:val="00CD0816"/>
    <w:rsid w:val="00CD11C6"/>
    <w:rsid w:val="00CD1878"/>
    <w:rsid w:val="00CD1A14"/>
    <w:rsid w:val="00CD2338"/>
    <w:rsid w:val="00CD25E1"/>
    <w:rsid w:val="00CD2BD8"/>
    <w:rsid w:val="00CD3182"/>
    <w:rsid w:val="00CD3C09"/>
    <w:rsid w:val="00CD4074"/>
    <w:rsid w:val="00CD409B"/>
    <w:rsid w:val="00CD4D27"/>
    <w:rsid w:val="00CD4F54"/>
    <w:rsid w:val="00CD5BE1"/>
    <w:rsid w:val="00CD63F0"/>
    <w:rsid w:val="00CD6B26"/>
    <w:rsid w:val="00CD6BC4"/>
    <w:rsid w:val="00CD6C1E"/>
    <w:rsid w:val="00CD6D68"/>
    <w:rsid w:val="00CD79A7"/>
    <w:rsid w:val="00CE0728"/>
    <w:rsid w:val="00CE0CA2"/>
    <w:rsid w:val="00CE0D5D"/>
    <w:rsid w:val="00CE10D8"/>
    <w:rsid w:val="00CE12F1"/>
    <w:rsid w:val="00CE14C7"/>
    <w:rsid w:val="00CE14E5"/>
    <w:rsid w:val="00CE151D"/>
    <w:rsid w:val="00CE1777"/>
    <w:rsid w:val="00CE222B"/>
    <w:rsid w:val="00CE252A"/>
    <w:rsid w:val="00CE2597"/>
    <w:rsid w:val="00CE2689"/>
    <w:rsid w:val="00CE27CC"/>
    <w:rsid w:val="00CE2A8D"/>
    <w:rsid w:val="00CE2E6D"/>
    <w:rsid w:val="00CE310E"/>
    <w:rsid w:val="00CE3186"/>
    <w:rsid w:val="00CE3996"/>
    <w:rsid w:val="00CE404D"/>
    <w:rsid w:val="00CE4C18"/>
    <w:rsid w:val="00CE577F"/>
    <w:rsid w:val="00CE5A54"/>
    <w:rsid w:val="00CE5E88"/>
    <w:rsid w:val="00CE6573"/>
    <w:rsid w:val="00CE722D"/>
    <w:rsid w:val="00CF0208"/>
    <w:rsid w:val="00CF0271"/>
    <w:rsid w:val="00CF05F2"/>
    <w:rsid w:val="00CF07C6"/>
    <w:rsid w:val="00CF0B49"/>
    <w:rsid w:val="00CF0F8C"/>
    <w:rsid w:val="00CF1499"/>
    <w:rsid w:val="00CF16E6"/>
    <w:rsid w:val="00CF217D"/>
    <w:rsid w:val="00CF236C"/>
    <w:rsid w:val="00CF2A99"/>
    <w:rsid w:val="00CF36C5"/>
    <w:rsid w:val="00CF3D5B"/>
    <w:rsid w:val="00CF3E79"/>
    <w:rsid w:val="00CF4FC3"/>
    <w:rsid w:val="00CF5529"/>
    <w:rsid w:val="00CF5C58"/>
    <w:rsid w:val="00CF5ED1"/>
    <w:rsid w:val="00CF65AB"/>
    <w:rsid w:val="00CF77F3"/>
    <w:rsid w:val="00D0071B"/>
    <w:rsid w:val="00D009CA"/>
    <w:rsid w:val="00D00B87"/>
    <w:rsid w:val="00D00CEC"/>
    <w:rsid w:val="00D00E00"/>
    <w:rsid w:val="00D015DA"/>
    <w:rsid w:val="00D0218D"/>
    <w:rsid w:val="00D022B1"/>
    <w:rsid w:val="00D031E4"/>
    <w:rsid w:val="00D03602"/>
    <w:rsid w:val="00D04084"/>
    <w:rsid w:val="00D05379"/>
    <w:rsid w:val="00D05745"/>
    <w:rsid w:val="00D05FF8"/>
    <w:rsid w:val="00D062E2"/>
    <w:rsid w:val="00D07D71"/>
    <w:rsid w:val="00D10118"/>
    <w:rsid w:val="00D10AFD"/>
    <w:rsid w:val="00D1164B"/>
    <w:rsid w:val="00D119F2"/>
    <w:rsid w:val="00D11A8B"/>
    <w:rsid w:val="00D122C4"/>
    <w:rsid w:val="00D12AE2"/>
    <w:rsid w:val="00D12DA0"/>
    <w:rsid w:val="00D141A0"/>
    <w:rsid w:val="00D14E5E"/>
    <w:rsid w:val="00D14EF9"/>
    <w:rsid w:val="00D1504A"/>
    <w:rsid w:val="00D1516F"/>
    <w:rsid w:val="00D1527F"/>
    <w:rsid w:val="00D157A6"/>
    <w:rsid w:val="00D15A90"/>
    <w:rsid w:val="00D16814"/>
    <w:rsid w:val="00D20321"/>
    <w:rsid w:val="00D203A7"/>
    <w:rsid w:val="00D20AED"/>
    <w:rsid w:val="00D215A0"/>
    <w:rsid w:val="00D218EA"/>
    <w:rsid w:val="00D222ED"/>
    <w:rsid w:val="00D22A00"/>
    <w:rsid w:val="00D22F43"/>
    <w:rsid w:val="00D2358A"/>
    <w:rsid w:val="00D23DE6"/>
    <w:rsid w:val="00D25662"/>
    <w:rsid w:val="00D27918"/>
    <w:rsid w:val="00D30188"/>
    <w:rsid w:val="00D311D0"/>
    <w:rsid w:val="00D31475"/>
    <w:rsid w:val="00D31C28"/>
    <w:rsid w:val="00D322AF"/>
    <w:rsid w:val="00D32573"/>
    <w:rsid w:val="00D33212"/>
    <w:rsid w:val="00D3387A"/>
    <w:rsid w:val="00D339B4"/>
    <w:rsid w:val="00D33FCB"/>
    <w:rsid w:val="00D34247"/>
    <w:rsid w:val="00D34C70"/>
    <w:rsid w:val="00D34D5A"/>
    <w:rsid w:val="00D35797"/>
    <w:rsid w:val="00D35E47"/>
    <w:rsid w:val="00D363C5"/>
    <w:rsid w:val="00D36708"/>
    <w:rsid w:val="00D3749E"/>
    <w:rsid w:val="00D3796D"/>
    <w:rsid w:val="00D40ABE"/>
    <w:rsid w:val="00D41754"/>
    <w:rsid w:val="00D419BE"/>
    <w:rsid w:val="00D422DE"/>
    <w:rsid w:val="00D42CC6"/>
    <w:rsid w:val="00D43600"/>
    <w:rsid w:val="00D43ED0"/>
    <w:rsid w:val="00D45117"/>
    <w:rsid w:val="00D46865"/>
    <w:rsid w:val="00D46DAB"/>
    <w:rsid w:val="00D4760B"/>
    <w:rsid w:val="00D477CD"/>
    <w:rsid w:val="00D50023"/>
    <w:rsid w:val="00D504B9"/>
    <w:rsid w:val="00D50B00"/>
    <w:rsid w:val="00D50DCD"/>
    <w:rsid w:val="00D54394"/>
    <w:rsid w:val="00D5446B"/>
    <w:rsid w:val="00D54B5B"/>
    <w:rsid w:val="00D553E4"/>
    <w:rsid w:val="00D554EF"/>
    <w:rsid w:val="00D55AC7"/>
    <w:rsid w:val="00D56582"/>
    <w:rsid w:val="00D575F7"/>
    <w:rsid w:val="00D57FDD"/>
    <w:rsid w:val="00D602DD"/>
    <w:rsid w:val="00D60315"/>
    <w:rsid w:val="00D60732"/>
    <w:rsid w:val="00D60A80"/>
    <w:rsid w:val="00D61335"/>
    <w:rsid w:val="00D61359"/>
    <w:rsid w:val="00D62F81"/>
    <w:rsid w:val="00D632F0"/>
    <w:rsid w:val="00D6330F"/>
    <w:rsid w:val="00D658D1"/>
    <w:rsid w:val="00D671BA"/>
    <w:rsid w:val="00D67B60"/>
    <w:rsid w:val="00D67C35"/>
    <w:rsid w:val="00D70253"/>
    <w:rsid w:val="00D70320"/>
    <w:rsid w:val="00D71D9D"/>
    <w:rsid w:val="00D7264F"/>
    <w:rsid w:val="00D727D6"/>
    <w:rsid w:val="00D72817"/>
    <w:rsid w:val="00D72C75"/>
    <w:rsid w:val="00D72D0E"/>
    <w:rsid w:val="00D73561"/>
    <w:rsid w:val="00D74281"/>
    <w:rsid w:val="00D75027"/>
    <w:rsid w:val="00D75D12"/>
    <w:rsid w:val="00D75FA5"/>
    <w:rsid w:val="00D76018"/>
    <w:rsid w:val="00D76205"/>
    <w:rsid w:val="00D7644C"/>
    <w:rsid w:val="00D770E8"/>
    <w:rsid w:val="00D77403"/>
    <w:rsid w:val="00D77520"/>
    <w:rsid w:val="00D77FF0"/>
    <w:rsid w:val="00D80778"/>
    <w:rsid w:val="00D81636"/>
    <w:rsid w:val="00D83622"/>
    <w:rsid w:val="00D836FF"/>
    <w:rsid w:val="00D83DCA"/>
    <w:rsid w:val="00D84091"/>
    <w:rsid w:val="00D841AD"/>
    <w:rsid w:val="00D84866"/>
    <w:rsid w:val="00D84D34"/>
    <w:rsid w:val="00D84DBC"/>
    <w:rsid w:val="00D850EF"/>
    <w:rsid w:val="00D86F70"/>
    <w:rsid w:val="00D86FBE"/>
    <w:rsid w:val="00D8702B"/>
    <w:rsid w:val="00D8774F"/>
    <w:rsid w:val="00D90945"/>
    <w:rsid w:val="00D9163A"/>
    <w:rsid w:val="00D924EC"/>
    <w:rsid w:val="00D92E71"/>
    <w:rsid w:val="00D92F30"/>
    <w:rsid w:val="00D932FF"/>
    <w:rsid w:val="00D93392"/>
    <w:rsid w:val="00D936BC"/>
    <w:rsid w:val="00D9442A"/>
    <w:rsid w:val="00D95429"/>
    <w:rsid w:val="00D954D8"/>
    <w:rsid w:val="00D95858"/>
    <w:rsid w:val="00D95B9A"/>
    <w:rsid w:val="00D96047"/>
    <w:rsid w:val="00D96D6E"/>
    <w:rsid w:val="00D976E7"/>
    <w:rsid w:val="00D97BC2"/>
    <w:rsid w:val="00D97FDC"/>
    <w:rsid w:val="00DA0C1B"/>
    <w:rsid w:val="00DA1580"/>
    <w:rsid w:val="00DA20FB"/>
    <w:rsid w:val="00DA2418"/>
    <w:rsid w:val="00DA2529"/>
    <w:rsid w:val="00DA264F"/>
    <w:rsid w:val="00DA2C1B"/>
    <w:rsid w:val="00DA3851"/>
    <w:rsid w:val="00DA4972"/>
    <w:rsid w:val="00DA4BF7"/>
    <w:rsid w:val="00DA535B"/>
    <w:rsid w:val="00DA60F8"/>
    <w:rsid w:val="00DA61F5"/>
    <w:rsid w:val="00DA70D7"/>
    <w:rsid w:val="00DA70EA"/>
    <w:rsid w:val="00DA7871"/>
    <w:rsid w:val="00DA7A19"/>
    <w:rsid w:val="00DB0771"/>
    <w:rsid w:val="00DB0A6A"/>
    <w:rsid w:val="00DB0DF4"/>
    <w:rsid w:val="00DB118D"/>
    <w:rsid w:val="00DB130A"/>
    <w:rsid w:val="00DB194E"/>
    <w:rsid w:val="00DB1982"/>
    <w:rsid w:val="00DB1C33"/>
    <w:rsid w:val="00DB1D50"/>
    <w:rsid w:val="00DB2451"/>
    <w:rsid w:val="00DB32C2"/>
    <w:rsid w:val="00DB37B1"/>
    <w:rsid w:val="00DB3DC5"/>
    <w:rsid w:val="00DB3DEF"/>
    <w:rsid w:val="00DB408E"/>
    <w:rsid w:val="00DB4719"/>
    <w:rsid w:val="00DB4823"/>
    <w:rsid w:val="00DB65B9"/>
    <w:rsid w:val="00DB6C05"/>
    <w:rsid w:val="00DB7355"/>
    <w:rsid w:val="00DB7B8B"/>
    <w:rsid w:val="00DB7C40"/>
    <w:rsid w:val="00DB7D24"/>
    <w:rsid w:val="00DC10A1"/>
    <w:rsid w:val="00DC15EC"/>
    <w:rsid w:val="00DC1876"/>
    <w:rsid w:val="00DC1DB9"/>
    <w:rsid w:val="00DC24C1"/>
    <w:rsid w:val="00DC2CD4"/>
    <w:rsid w:val="00DC3A2D"/>
    <w:rsid w:val="00DC4494"/>
    <w:rsid w:val="00DC45DF"/>
    <w:rsid w:val="00DC573D"/>
    <w:rsid w:val="00DC6040"/>
    <w:rsid w:val="00DC655F"/>
    <w:rsid w:val="00DC6A71"/>
    <w:rsid w:val="00DC6C75"/>
    <w:rsid w:val="00DC7313"/>
    <w:rsid w:val="00DC745F"/>
    <w:rsid w:val="00DC75AC"/>
    <w:rsid w:val="00DC7E78"/>
    <w:rsid w:val="00DD04C0"/>
    <w:rsid w:val="00DD0C81"/>
    <w:rsid w:val="00DD2977"/>
    <w:rsid w:val="00DD38EF"/>
    <w:rsid w:val="00DD3A1C"/>
    <w:rsid w:val="00DD4489"/>
    <w:rsid w:val="00DD48F7"/>
    <w:rsid w:val="00DD51CD"/>
    <w:rsid w:val="00DD66C6"/>
    <w:rsid w:val="00DD7EBD"/>
    <w:rsid w:val="00DE0322"/>
    <w:rsid w:val="00DE058C"/>
    <w:rsid w:val="00DE24A2"/>
    <w:rsid w:val="00DE336B"/>
    <w:rsid w:val="00DE33DF"/>
    <w:rsid w:val="00DE4206"/>
    <w:rsid w:val="00DE4626"/>
    <w:rsid w:val="00DE5216"/>
    <w:rsid w:val="00DE54B0"/>
    <w:rsid w:val="00DE5D51"/>
    <w:rsid w:val="00DE65A9"/>
    <w:rsid w:val="00DE6869"/>
    <w:rsid w:val="00DF0095"/>
    <w:rsid w:val="00DF025A"/>
    <w:rsid w:val="00DF0471"/>
    <w:rsid w:val="00DF047A"/>
    <w:rsid w:val="00DF0A3F"/>
    <w:rsid w:val="00DF290E"/>
    <w:rsid w:val="00DF32D8"/>
    <w:rsid w:val="00DF3477"/>
    <w:rsid w:val="00DF3568"/>
    <w:rsid w:val="00DF35FD"/>
    <w:rsid w:val="00DF3CE3"/>
    <w:rsid w:val="00DF50C3"/>
    <w:rsid w:val="00DF53B8"/>
    <w:rsid w:val="00DF5A00"/>
    <w:rsid w:val="00DF62B6"/>
    <w:rsid w:val="00DF6685"/>
    <w:rsid w:val="00DF677C"/>
    <w:rsid w:val="00DF6901"/>
    <w:rsid w:val="00DF7320"/>
    <w:rsid w:val="00DF734C"/>
    <w:rsid w:val="00DF7476"/>
    <w:rsid w:val="00DF7948"/>
    <w:rsid w:val="00DF7B28"/>
    <w:rsid w:val="00DF7D09"/>
    <w:rsid w:val="00DF7DC8"/>
    <w:rsid w:val="00E00261"/>
    <w:rsid w:val="00E00277"/>
    <w:rsid w:val="00E00A1E"/>
    <w:rsid w:val="00E0106E"/>
    <w:rsid w:val="00E016E8"/>
    <w:rsid w:val="00E01D63"/>
    <w:rsid w:val="00E02E81"/>
    <w:rsid w:val="00E02F0F"/>
    <w:rsid w:val="00E03080"/>
    <w:rsid w:val="00E0372F"/>
    <w:rsid w:val="00E03EAD"/>
    <w:rsid w:val="00E03F14"/>
    <w:rsid w:val="00E0515D"/>
    <w:rsid w:val="00E059D8"/>
    <w:rsid w:val="00E05B87"/>
    <w:rsid w:val="00E069A1"/>
    <w:rsid w:val="00E07225"/>
    <w:rsid w:val="00E07F6E"/>
    <w:rsid w:val="00E103FB"/>
    <w:rsid w:val="00E10718"/>
    <w:rsid w:val="00E108DC"/>
    <w:rsid w:val="00E10CCF"/>
    <w:rsid w:val="00E11184"/>
    <w:rsid w:val="00E122F9"/>
    <w:rsid w:val="00E124C7"/>
    <w:rsid w:val="00E138DF"/>
    <w:rsid w:val="00E13A87"/>
    <w:rsid w:val="00E14553"/>
    <w:rsid w:val="00E146AE"/>
    <w:rsid w:val="00E14C7C"/>
    <w:rsid w:val="00E1507F"/>
    <w:rsid w:val="00E154BD"/>
    <w:rsid w:val="00E15A7D"/>
    <w:rsid w:val="00E15B5A"/>
    <w:rsid w:val="00E15DD7"/>
    <w:rsid w:val="00E164CD"/>
    <w:rsid w:val="00E1688E"/>
    <w:rsid w:val="00E170DD"/>
    <w:rsid w:val="00E17E89"/>
    <w:rsid w:val="00E203FA"/>
    <w:rsid w:val="00E2185F"/>
    <w:rsid w:val="00E21A8E"/>
    <w:rsid w:val="00E21BFD"/>
    <w:rsid w:val="00E21F95"/>
    <w:rsid w:val="00E22430"/>
    <w:rsid w:val="00E231D9"/>
    <w:rsid w:val="00E2338B"/>
    <w:rsid w:val="00E233C2"/>
    <w:rsid w:val="00E235BD"/>
    <w:rsid w:val="00E23B62"/>
    <w:rsid w:val="00E240BD"/>
    <w:rsid w:val="00E24457"/>
    <w:rsid w:val="00E246D2"/>
    <w:rsid w:val="00E246E1"/>
    <w:rsid w:val="00E24CC4"/>
    <w:rsid w:val="00E258AE"/>
    <w:rsid w:val="00E25BCB"/>
    <w:rsid w:val="00E26DC3"/>
    <w:rsid w:val="00E2731D"/>
    <w:rsid w:val="00E27E18"/>
    <w:rsid w:val="00E27EC4"/>
    <w:rsid w:val="00E312E8"/>
    <w:rsid w:val="00E3240D"/>
    <w:rsid w:val="00E33075"/>
    <w:rsid w:val="00E3328B"/>
    <w:rsid w:val="00E33691"/>
    <w:rsid w:val="00E33900"/>
    <w:rsid w:val="00E33D0F"/>
    <w:rsid w:val="00E343C9"/>
    <w:rsid w:val="00E34996"/>
    <w:rsid w:val="00E34D1B"/>
    <w:rsid w:val="00E34DDB"/>
    <w:rsid w:val="00E34DDF"/>
    <w:rsid w:val="00E3538F"/>
    <w:rsid w:val="00E37018"/>
    <w:rsid w:val="00E37224"/>
    <w:rsid w:val="00E41697"/>
    <w:rsid w:val="00E41F63"/>
    <w:rsid w:val="00E41FD0"/>
    <w:rsid w:val="00E420CC"/>
    <w:rsid w:val="00E425FF"/>
    <w:rsid w:val="00E428D8"/>
    <w:rsid w:val="00E43185"/>
    <w:rsid w:val="00E433A5"/>
    <w:rsid w:val="00E448F3"/>
    <w:rsid w:val="00E44923"/>
    <w:rsid w:val="00E45293"/>
    <w:rsid w:val="00E457F0"/>
    <w:rsid w:val="00E45813"/>
    <w:rsid w:val="00E4603F"/>
    <w:rsid w:val="00E46CCF"/>
    <w:rsid w:val="00E47702"/>
    <w:rsid w:val="00E47B3C"/>
    <w:rsid w:val="00E5003C"/>
    <w:rsid w:val="00E502F8"/>
    <w:rsid w:val="00E511B6"/>
    <w:rsid w:val="00E513F9"/>
    <w:rsid w:val="00E51603"/>
    <w:rsid w:val="00E51EE4"/>
    <w:rsid w:val="00E52BF7"/>
    <w:rsid w:val="00E53450"/>
    <w:rsid w:val="00E5375D"/>
    <w:rsid w:val="00E53897"/>
    <w:rsid w:val="00E53C1C"/>
    <w:rsid w:val="00E5409F"/>
    <w:rsid w:val="00E54138"/>
    <w:rsid w:val="00E54A59"/>
    <w:rsid w:val="00E551A5"/>
    <w:rsid w:val="00E555C0"/>
    <w:rsid w:val="00E55916"/>
    <w:rsid w:val="00E5602E"/>
    <w:rsid w:val="00E575F1"/>
    <w:rsid w:val="00E5766B"/>
    <w:rsid w:val="00E57A32"/>
    <w:rsid w:val="00E57C26"/>
    <w:rsid w:val="00E60808"/>
    <w:rsid w:val="00E60E6E"/>
    <w:rsid w:val="00E62580"/>
    <w:rsid w:val="00E62761"/>
    <w:rsid w:val="00E635FE"/>
    <w:rsid w:val="00E64696"/>
    <w:rsid w:val="00E65126"/>
    <w:rsid w:val="00E65447"/>
    <w:rsid w:val="00E65673"/>
    <w:rsid w:val="00E65BD2"/>
    <w:rsid w:val="00E6666C"/>
    <w:rsid w:val="00E66BD8"/>
    <w:rsid w:val="00E67217"/>
    <w:rsid w:val="00E67B50"/>
    <w:rsid w:val="00E67ED5"/>
    <w:rsid w:val="00E7005D"/>
    <w:rsid w:val="00E70847"/>
    <w:rsid w:val="00E71371"/>
    <w:rsid w:val="00E71C68"/>
    <w:rsid w:val="00E7362C"/>
    <w:rsid w:val="00E74445"/>
    <w:rsid w:val="00E7469C"/>
    <w:rsid w:val="00E74E34"/>
    <w:rsid w:val="00E74F17"/>
    <w:rsid w:val="00E7626F"/>
    <w:rsid w:val="00E7663F"/>
    <w:rsid w:val="00E766D9"/>
    <w:rsid w:val="00E77A54"/>
    <w:rsid w:val="00E77AC9"/>
    <w:rsid w:val="00E77C4C"/>
    <w:rsid w:val="00E77ECE"/>
    <w:rsid w:val="00E802A1"/>
    <w:rsid w:val="00E80A80"/>
    <w:rsid w:val="00E812DE"/>
    <w:rsid w:val="00E817AC"/>
    <w:rsid w:val="00E8182C"/>
    <w:rsid w:val="00E818B1"/>
    <w:rsid w:val="00E82656"/>
    <w:rsid w:val="00E82EE9"/>
    <w:rsid w:val="00E83C96"/>
    <w:rsid w:val="00E83F96"/>
    <w:rsid w:val="00E84140"/>
    <w:rsid w:val="00E842A5"/>
    <w:rsid w:val="00E8471A"/>
    <w:rsid w:val="00E85096"/>
    <w:rsid w:val="00E85511"/>
    <w:rsid w:val="00E85906"/>
    <w:rsid w:val="00E85BF1"/>
    <w:rsid w:val="00E86EEE"/>
    <w:rsid w:val="00E8727B"/>
    <w:rsid w:val="00E874DE"/>
    <w:rsid w:val="00E87572"/>
    <w:rsid w:val="00E87617"/>
    <w:rsid w:val="00E876C7"/>
    <w:rsid w:val="00E87E86"/>
    <w:rsid w:val="00E87F34"/>
    <w:rsid w:val="00E916F5"/>
    <w:rsid w:val="00E91BF1"/>
    <w:rsid w:val="00E9225F"/>
    <w:rsid w:val="00E92339"/>
    <w:rsid w:val="00E926B8"/>
    <w:rsid w:val="00E926D1"/>
    <w:rsid w:val="00E9415D"/>
    <w:rsid w:val="00E947CD"/>
    <w:rsid w:val="00E952B9"/>
    <w:rsid w:val="00E955ED"/>
    <w:rsid w:val="00E955FF"/>
    <w:rsid w:val="00E95FD6"/>
    <w:rsid w:val="00E96A22"/>
    <w:rsid w:val="00E96FA8"/>
    <w:rsid w:val="00E9723F"/>
    <w:rsid w:val="00E976ED"/>
    <w:rsid w:val="00E97C7B"/>
    <w:rsid w:val="00EA0DA7"/>
    <w:rsid w:val="00EA1104"/>
    <w:rsid w:val="00EA18D2"/>
    <w:rsid w:val="00EA2395"/>
    <w:rsid w:val="00EA2AFF"/>
    <w:rsid w:val="00EA3984"/>
    <w:rsid w:val="00EA3DF0"/>
    <w:rsid w:val="00EA408B"/>
    <w:rsid w:val="00EA4432"/>
    <w:rsid w:val="00EA4594"/>
    <w:rsid w:val="00EA476A"/>
    <w:rsid w:val="00EA48ED"/>
    <w:rsid w:val="00EA4BA1"/>
    <w:rsid w:val="00EA5049"/>
    <w:rsid w:val="00EA5D67"/>
    <w:rsid w:val="00EA5DD3"/>
    <w:rsid w:val="00EA733D"/>
    <w:rsid w:val="00EA7A81"/>
    <w:rsid w:val="00EA7DF6"/>
    <w:rsid w:val="00EB0073"/>
    <w:rsid w:val="00EB0B0B"/>
    <w:rsid w:val="00EB288F"/>
    <w:rsid w:val="00EB2DFB"/>
    <w:rsid w:val="00EB3171"/>
    <w:rsid w:val="00EB3419"/>
    <w:rsid w:val="00EB34BC"/>
    <w:rsid w:val="00EB36DC"/>
    <w:rsid w:val="00EB3ADC"/>
    <w:rsid w:val="00EB60A2"/>
    <w:rsid w:val="00EB6D41"/>
    <w:rsid w:val="00EB7871"/>
    <w:rsid w:val="00EC0A7C"/>
    <w:rsid w:val="00EC27B6"/>
    <w:rsid w:val="00EC28BE"/>
    <w:rsid w:val="00EC443B"/>
    <w:rsid w:val="00EC5412"/>
    <w:rsid w:val="00EC5CAE"/>
    <w:rsid w:val="00EC66E8"/>
    <w:rsid w:val="00EC7BE4"/>
    <w:rsid w:val="00EC7F75"/>
    <w:rsid w:val="00ED0922"/>
    <w:rsid w:val="00ED0962"/>
    <w:rsid w:val="00ED1042"/>
    <w:rsid w:val="00ED2DEF"/>
    <w:rsid w:val="00ED31DF"/>
    <w:rsid w:val="00ED3492"/>
    <w:rsid w:val="00ED3911"/>
    <w:rsid w:val="00ED3B28"/>
    <w:rsid w:val="00ED3C73"/>
    <w:rsid w:val="00ED3CB3"/>
    <w:rsid w:val="00ED3E7B"/>
    <w:rsid w:val="00ED5B75"/>
    <w:rsid w:val="00ED64E6"/>
    <w:rsid w:val="00ED6552"/>
    <w:rsid w:val="00ED6556"/>
    <w:rsid w:val="00ED6924"/>
    <w:rsid w:val="00ED722D"/>
    <w:rsid w:val="00EE0075"/>
    <w:rsid w:val="00EE1190"/>
    <w:rsid w:val="00EE195E"/>
    <w:rsid w:val="00EE1B4E"/>
    <w:rsid w:val="00EE234C"/>
    <w:rsid w:val="00EE2A1B"/>
    <w:rsid w:val="00EE2F52"/>
    <w:rsid w:val="00EE2F92"/>
    <w:rsid w:val="00EE3D17"/>
    <w:rsid w:val="00EE3D23"/>
    <w:rsid w:val="00EE3E6C"/>
    <w:rsid w:val="00EE40A7"/>
    <w:rsid w:val="00EE4425"/>
    <w:rsid w:val="00EE4C13"/>
    <w:rsid w:val="00EE4D99"/>
    <w:rsid w:val="00EE4FAE"/>
    <w:rsid w:val="00EE5FAD"/>
    <w:rsid w:val="00EE64FF"/>
    <w:rsid w:val="00EE67F7"/>
    <w:rsid w:val="00EE6C7D"/>
    <w:rsid w:val="00EE6C8C"/>
    <w:rsid w:val="00EE72EB"/>
    <w:rsid w:val="00EE794D"/>
    <w:rsid w:val="00EE7C33"/>
    <w:rsid w:val="00EF0260"/>
    <w:rsid w:val="00EF0443"/>
    <w:rsid w:val="00EF0C1B"/>
    <w:rsid w:val="00EF0FE9"/>
    <w:rsid w:val="00EF1ED8"/>
    <w:rsid w:val="00EF2019"/>
    <w:rsid w:val="00EF267B"/>
    <w:rsid w:val="00EF2EBD"/>
    <w:rsid w:val="00EF3A0E"/>
    <w:rsid w:val="00EF3FF5"/>
    <w:rsid w:val="00EF43B4"/>
    <w:rsid w:val="00EF5193"/>
    <w:rsid w:val="00EF5E80"/>
    <w:rsid w:val="00EF6A03"/>
    <w:rsid w:val="00EF776E"/>
    <w:rsid w:val="00EF77A1"/>
    <w:rsid w:val="00EF7D28"/>
    <w:rsid w:val="00F00640"/>
    <w:rsid w:val="00F00999"/>
    <w:rsid w:val="00F0102E"/>
    <w:rsid w:val="00F016CA"/>
    <w:rsid w:val="00F0197E"/>
    <w:rsid w:val="00F01AA8"/>
    <w:rsid w:val="00F021FA"/>
    <w:rsid w:val="00F02447"/>
    <w:rsid w:val="00F025DE"/>
    <w:rsid w:val="00F02C74"/>
    <w:rsid w:val="00F03BD1"/>
    <w:rsid w:val="00F03BE1"/>
    <w:rsid w:val="00F03C49"/>
    <w:rsid w:val="00F03F10"/>
    <w:rsid w:val="00F03FC3"/>
    <w:rsid w:val="00F04D61"/>
    <w:rsid w:val="00F052BB"/>
    <w:rsid w:val="00F054BC"/>
    <w:rsid w:val="00F05ABA"/>
    <w:rsid w:val="00F05CED"/>
    <w:rsid w:val="00F06209"/>
    <w:rsid w:val="00F063B5"/>
    <w:rsid w:val="00F0643C"/>
    <w:rsid w:val="00F06450"/>
    <w:rsid w:val="00F07439"/>
    <w:rsid w:val="00F079E6"/>
    <w:rsid w:val="00F12A14"/>
    <w:rsid w:val="00F12DC7"/>
    <w:rsid w:val="00F13860"/>
    <w:rsid w:val="00F13F23"/>
    <w:rsid w:val="00F14222"/>
    <w:rsid w:val="00F14260"/>
    <w:rsid w:val="00F1558C"/>
    <w:rsid w:val="00F16331"/>
    <w:rsid w:val="00F16D24"/>
    <w:rsid w:val="00F1740E"/>
    <w:rsid w:val="00F20270"/>
    <w:rsid w:val="00F20447"/>
    <w:rsid w:val="00F214E8"/>
    <w:rsid w:val="00F215B3"/>
    <w:rsid w:val="00F215D7"/>
    <w:rsid w:val="00F21829"/>
    <w:rsid w:val="00F21CAA"/>
    <w:rsid w:val="00F22146"/>
    <w:rsid w:val="00F2301B"/>
    <w:rsid w:val="00F230BB"/>
    <w:rsid w:val="00F23E95"/>
    <w:rsid w:val="00F24671"/>
    <w:rsid w:val="00F249EC"/>
    <w:rsid w:val="00F24A69"/>
    <w:rsid w:val="00F25338"/>
    <w:rsid w:val="00F259C1"/>
    <w:rsid w:val="00F25F23"/>
    <w:rsid w:val="00F26F13"/>
    <w:rsid w:val="00F27021"/>
    <w:rsid w:val="00F27356"/>
    <w:rsid w:val="00F30066"/>
    <w:rsid w:val="00F312AA"/>
    <w:rsid w:val="00F31439"/>
    <w:rsid w:val="00F31C58"/>
    <w:rsid w:val="00F31CE3"/>
    <w:rsid w:val="00F324E8"/>
    <w:rsid w:val="00F32F4B"/>
    <w:rsid w:val="00F338B6"/>
    <w:rsid w:val="00F351E4"/>
    <w:rsid w:val="00F35CA8"/>
    <w:rsid w:val="00F362AE"/>
    <w:rsid w:val="00F3676A"/>
    <w:rsid w:val="00F36AF6"/>
    <w:rsid w:val="00F36EAE"/>
    <w:rsid w:val="00F4007E"/>
    <w:rsid w:val="00F40C56"/>
    <w:rsid w:val="00F40D7A"/>
    <w:rsid w:val="00F417C0"/>
    <w:rsid w:val="00F42B9A"/>
    <w:rsid w:val="00F42E7E"/>
    <w:rsid w:val="00F43009"/>
    <w:rsid w:val="00F43C53"/>
    <w:rsid w:val="00F45DD3"/>
    <w:rsid w:val="00F45F9A"/>
    <w:rsid w:val="00F46145"/>
    <w:rsid w:val="00F466DB"/>
    <w:rsid w:val="00F50287"/>
    <w:rsid w:val="00F5067E"/>
    <w:rsid w:val="00F50918"/>
    <w:rsid w:val="00F509E2"/>
    <w:rsid w:val="00F50C49"/>
    <w:rsid w:val="00F50D05"/>
    <w:rsid w:val="00F50F17"/>
    <w:rsid w:val="00F513C2"/>
    <w:rsid w:val="00F51992"/>
    <w:rsid w:val="00F52108"/>
    <w:rsid w:val="00F5252A"/>
    <w:rsid w:val="00F52572"/>
    <w:rsid w:val="00F5279A"/>
    <w:rsid w:val="00F53DF5"/>
    <w:rsid w:val="00F55818"/>
    <w:rsid w:val="00F5586C"/>
    <w:rsid w:val="00F558AA"/>
    <w:rsid w:val="00F558E8"/>
    <w:rsid w:val="00F569CF"/>
    <w:rsid w:val="00F57260"/>
    <w:rsid w:val="00F5746C"/>
    <w:rsid w:val="00F57AD2"/>
    <w:rsid w:val="00F6136F"/>
    <w:rsid w:val="00F623A1"/>
    <w:rsid w:val="00F62815"/>
    <w:rsid w:val="00F62E97"/>
    <w:rsid w:val="00F6305D"/>
    <w:rsid w:val="00F63341"/>
    <w:rsid w:val="00F64209"/>
    <w:rsid w:val="00F65071"/>
    <w:rsid w:val="00F650FA"/>
    <w:rsid w:val="00F65CF7"/>
    <w:rsid w:val="00F65F2C"/>
    <w:rsid w:val="00F666F6"/>
    <w:rsid w:val="00F6795B"/>
    <w:rsid w:val="00F70528"/>
    <w:rsid w:val="00F7146F"/>
    <w:rsid w:val="00F724F8"/>
    <w:rsid w:val="00F72584"/>
    <w:rsid w:val="00F72666"/>
    <w:rsid w:val="00F72840"/>
    <w:rsid w:val="00F72C1A"/>
    <w:rsid w:val="00F73156"/>
    <w:rsid w:val="00F736E3"/>
    <w:rsid w:val="00F740AC"/>
    <w:rsid w:val="00F75FBA"/>
    <w:rsid w:val="00F77011"/>
    <w:rsid w:val="00F77570"/>
    <w:rsid w:val="00F77BC4"/>
    <w:rsid w:val="00F8024F"/>
    <w:rsid w:val="00F807FE"/>
    <w:rsid w:val="00F8092A"/>
    <w:rsid w:val="00F80E91"/>
    <w:rsid w:val="00F81162"/>
    <w:rsid w:val="00F811A8"/>
    <w:rsid w:val="00F822E5"/>
    <w:rsid w:val="00F823DE"/>
    <w:rsid w:val="00F83B58"/>
    <w:rsid w:val="00F83E86"/>
    <w:rsid w:val="00F8430D"/>
    <w:rsid w:val="00F84F81"/>
    <w:rsid w:val="00F850C7"/>
    <w:rsid w:val="00F85873"/>
    <w:rsid w:val="00F8593E"/>
    <w:rsid w:val="00F8597E"/>
    <w:rsid w:val="00F85CA6"/>
    <w:rsid w:val="00F87008"/>
    <w:rsid w:val="00F8764F"/>
    <w:rsid w:val="00F87F61"/>
    <w:rsid w:val="00F902F1"/>
    <w:rsid w:val="00F9037F"/>
    <w:rsid w:val="00F9226E"/>
    <w:rsid w:val="00F935BA"/>
    <w:rsid w:val="00F93BC5"/>
    <w:rsid w:val="00F93BF5"/>
    <w:rsid w:val="00F94129"/>
    <w:rsid w:val="00F9576A"/>
    <w:rsid w:val="00F957EE"/>
    <w:rsid w:val="00F95C5F"/>
    <w:rsid w:val="00F95C63"/>
    <w:rsid w:val="00F9678D"/>
    <w:rsid w:val="00F970B8"/>
    <w:rsid w:val="00F97FC2"/>
    <w:rsid w:val="00FA0B6A"/>
    <w:rsid w:val="00FA1365"/>
    <w:rsid w:val="00FA1B3D"/>
    <w:rsid w:val="00FA20A7"/>
    <w:rsid w:val="00FA2309"/>
    <w:rsid w:val="00FA3442"/>
    <w:rsid w:val="00FA3AAB"/>
    <w:rsid w:val="00FA42EF"/>
    <w:rsid w:val="00FA497B"/>
    <w:rsid w:val="00FA4D2B"/>
    <w:rsid w:val="00FA4D99"/>
    <w:rsid w:val="00FA56C4"/>
    <w:rsid w:val="00FA5EB9"/>
    <w:rsid w:val="00FA60B2"/>
    <w:rsid w:val="00FA7CFF"/>
    <w:rsid w:val="00FA7FBB"/>
    <w:rsid w:val="00FB0096"/>
    <w:rsid w:val="00FB1086"/>
    <w:rsid w:val="00FB11C9"/>
    <w:rsid w:val="00FB17CE"/>
    <w:rsid w:val="00FB1817"/>
    <w:rsid w:val="00FB1BAA"/>
    <w:rsid w:val="00FB3326"/>
    <w:rsid w:val="00FB3BF4"/>
    <w:rsid w:val="00FB43FD"/>
    <w:rsid w:val="00FB45C5"/>
    <w:rsid w:val="00FB491B"/>
    <w:rsid w:val="00FB576F"/>
    <w:rsid w:val="00FB5CF3"/>
    <w:rsid w:val="00FB624D"/>
    <w:rsid w:val="00FB7C47"/>
    <w:rsid w:val="00FC055D"/>
    <w:rsid w:val="00FC12E9"/>
    <w:rsid w:val="00FC1371"/>
    <w:rsid w:val="00FC20E4"/>
    <w:rsid w:val="00FC30B6"/>
    <w:rsid w:val="00FC3302"/>
    <w:rsid w:val="00FC34F9"/>
    <w:rsid w:val="00FC3A4F"/>
    <w:rsid w:val="00FC50DD"/>
    <w:rsid w:val="00FC54B9"/>
    <w:rsid w:val="00FC54ED"/>
    <w:rsid w:val="00FC576C"/>
    <w:rsid w:val="00FC57E4"/>
    <w:rsid w:val="00FC58EC"/>
    <w:rsid w:val="00FC5D84"/>
    <w:rsid w:val="00FC673A"/>
    <w:rsid w:val="00FC71A7"/>
    <w:rsid w:val="00FC7827"/>
    <w:rsid w:val="00FC79F4"/>
    <w:rsid w:val="00FC7A7F"/>
    <w:rsid w:val="00FD12B7"/>
    <w:rsid w:val="00FD1803"/>
    <w:rsid w:val="00FD1854"/>
    <w:rsid w:val="00FD1932"/>
    <w:rsid w:val="00FD1D03"/>
    <w:rsid w:val="00FD1FBE"/>
    <w:rsid w:val="00FD271E"/>
    <w:rsid w:val="00FD290F"/>
    <w:rsid w:val="00FD2BE6"/>
    <w:rsid w:val="00FD2D6C"/>
    <w:rsid w:val="00FD31E4"/>
    <w:rsid w:val="00FD3A47"/>
    <w:rsid w:val="00FD4D5A"/>
    <w:rsid w:val="00FD4DD8"/>
    <w:rsid w:val="00FD5675"/>
    <w:rsid w:val="00FE1835"/>
    <w:rsid w:val="00FE1DBE"/>
    <w:rsid w:val="00FE1E61"/>
    <w:rsid w:val="00FE2494"/>
    <w:rsid w:val="00FE4663"/>
    <w:rsid w:val="00FE4A8D"/>
    <w:rsid w:val="00FE5A84"/>
    <w:rsid w:val="00FE6599"/>
    <w:rsid w:val="00FE6884"/>
    <w:rsid w:val="00FE692D"/>
    <w:rsid w:val="00FE6A8E"/>
    <w:rsid w:val="00FE6F78"/>
    <w:rsid w:val="00FE70ED"/>
    <w:rsid w:val="00FE7162"/>
    <w:rsid w:val="00FE7314"/>
    <w:rsid w:val="00FF0B44"/>
    <w:rsid w:val="00FF0FEA"/>
    <w:rsid w:val="00FF14A6"/>
    <w:rsid w:val="00FF1803"/>
    <w:rsid w:val="00FF1831"/>
    <w:rsid w:val="00FF1958"/>
    <w:rsid w:val="00FF1EEA"/>
    <w:rsid w:val="00FF2AB2"/>
    <w:rsid w:val="00FF2C33"/>
    <w:rsid w:val="00FF2F6D"/>
    <w:rsid w:val="00FF45D2"/>
    <w:rsid w:val="00FF45E0"/>
    <w:rsid w:val="00FF4C26"/>
    <w:rsid w:val="00FF543C"/>
    <w:rsid w:val="00FF54F5"/>
    <w:rsid w:val="00FF5624"/>
    <w:rsid w:val="00FF563E"/>
    <w:rsid w:val="00FF5D9F"/>
    <w:rsid w:val="00FF6EE7"/>
    <w:rsid w:val="00FF7270"/>
    <w:rsid w:val="00FF74F3"/>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5F"/>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qFormat/>
    <w:rsid w:val="00E9225F"/>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
    <w:autoRedefine/>
    <w:qFormat/>
    <w:rsid w:val="000A22C2"/>
    <w:pPr>
      <w:keepNext/>
      <w:keepLines/>
      <w:numPr>
        <w:ilvl w:val="1"/>
        <w:numId w:val="3"/>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
    <w:qFormat/>
    <w:rsid w:val="00E9225F"/>
    <w:pPr>
      <w:keepNext/>
      <w:numPr>
        <w:ilvl w:val="2"/>
        <w:numId w:val="3"/>
      </w:numPr>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E9225F"/>
    <w:pPr>
      <w:keepNext/>
      <w:numPr>
        <w:ilvl w:val="3"/>
        <w:numId w:val="3"/>
      </w:numPr>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E9225F"/>
    <w:pPr>
      <w:keepNext/>
      <w:numPr>
        <w:ilvl w:val="4"/>
        <w:numId w:val="3"/>
      </w:numPr>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qFormat/>
    <w:rsid w:val="00E9225F"/>
    <w:pPr>
      <w:numPr>
        <w:ilvl w:val="5"/>
        <w:numId w:val="3"/>
      </w:numPr>
      <w:spacing w:after="120"/>
      <w:outlineLvl w:val="5"/>
    </w:pPr>
    <w:rPr>
      <w:b/>
    </w:rPr>
  </w:style>
  <w:style w:type="paragraph" w:styleId="Heading7">
    <w:name w:val="heading 7"/>
    <w:aliases w:val="Heading 7 Char"/>
    <w:basedOn w:val="Normal"/>
    <w:next w:val="ParaNum"/>
    <w:qFormat/>
    <w:rsid w:val="00E9225F"/>
    <w:pPr>
      <w:numPr>
        <w:ilvl w:val="6"/>
        <w:numId w:val="3"/>
      </w:numPr>
      <w:spacing w:after="120"/>
      <w:outlineLvl w:val="6"/>
    </w:pPr>
    <w:rPr>
      <w:b/>
    </w:rPr>
  </w:style>
  <w:style w:type="paragraph" w:styleId="Heading8">
    <w:name w:val="heading 8"/>
    <w:basedOn w:val="Normal"/>
    <w:next w:val="ParaNum"/>
    <w:qFormat/>
    <w:rsid w:val="00E9225F"/>
    <w:pPr>
      <w:numPr>
        <w:ilvl w:val="7"/>
        <w:numId w:val="3"/>
      </w:numPr>
      <w:tabs>
        <w:tab w:val="left" w:pos="5760"/>
      </w:tabs>
      <w:spacing w:after="120"/>
      <w:outlineLvl w:val="7"/>
    </w:pPr>
    <w:rPr>
      <w:b/>
    </w:rPr>
  </w:style>
  <w:style w:type="paragraph" w:styleId="Heading9">
    <w:name w:val="heading 9"/>
    <w:aliases w:val="Topic,table,t,9,Heading 9.table,Titre 9,Heading 9 Char"/>
    <w:basedOn w:val="Normal"/>
    <w:next w:val="ParaNum"/>
    <w:qFormat/>
    <w:rsid w:val="00E9225F"/>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E9225F"/>
    <w:pPr>
      <w:numPr>
        <w:numId w:val="2"/>
      </w:numPr>
      <w:spacing w:after="120"/>
    </w:pPr>
  </w:style>
  <w:style w:type="paragraph" w:styleId="EndnoteText">
    <w:name w:val="endnote text"/>
    <w:basedOn w:val="Normal"/>
    <w:semiHidden/>
    <w:rsid w:val="00E9225F"/>
    <w:rPr>
      <w:sz w:val="20"/>
    </w:rPr>
  </w:style>
  <w:style w:type="character" w:styleId="EndnoteReference">
    <w:name w:val="endnote reference"/>
    <w:semiHidden/>
    <w:rsid w:val="00E9225F"/>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uiPriority w:val="99"/>
    <w:rsid w:val="00E9225F"/>
    <w:pPr>
      <w:spacing w:after="120"/>
    </w:pPr>
  </w:style>
  <w:style w:type="character" w:styleId="FootnoteReference">
    <w:name w:val="footnote reference"/>
    <w:aliases w:val="Appel note de bas de p,Style 12,(NECG) Footnote Reference,Style 124,o,fr,Style 3,Style 17,FR,Style 13,Footnote Reference/,Style 6"/>
    <w:rsid w:val="00E9225F"/>
    <w:rPr>
      <w:rFonts w:ascii="Times New Roman" w:hAnsi="Times New Roman"/>
      <w:dstrike w:val="0"/>
      <w:color w:val="auto"/>
      <w:sz w:val="22"/>
      <w:vertAlign w:val="superscript"/>
    </w:rPr>
  </w:style>
  <w:style w:type="paragraph" w:styleId="TOC1">
    <w:name w:val="toc 1"/>
    <w:basedOn w:val="Normal"/>
    <w:next w:val="Normal"/>
    <w:uiPriority w:val="39"/>
    <w:rsid w:val="00E9225F"/>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E9225F"/>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E9225F"/>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rsid w:val="00E922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922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922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922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922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9225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9225F"/>
    <w:pPr>
      <w:tabs>
        <w:tab w:val="right" w:pos="9360"/>
      </w:tabs>
      <w:suppressAutoHyphens/>
    </w:pPr>
  </w:style>
  <w:style w:type="character" w:customStyle="1" w:styleId="EquationCaption">
    <w:name w:val="_Equation Caption"/>
    <w:rsid w:val="00E9225F"/>
  </w:style>
  <w:style w:type="paragraph" w:styleId="Header">
    <w:name w:val="header"/>
    <w:basedOn w:val="Normal"/>
    <w:autoRedefine/>
    <w:rsid w:val="00E9225F"/>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E9225F"/>
    <w:pPr>
      <w:tabs>
        <w:tab w:val="center" w:pos="4320"/>
        <w:tab w:val="right" w:pos="8640"/>
      </w:tabs>
    </w:pPr>
  </w:style>
  <w:style w:type="character" w:styleId="PageNumber">
    <w:name w:val="page number"/>
    <w:basedOn w:val="DefaultParagraphFont"/>
    <w:rsid w:val="00E9225F"/>
  </w:style>
  <w:style w:type="paragraph" w:styleId="BlockText">
    <w:name w:val="Block Text"/>
    <w:basedOn w:val="Normal"/>
    <w:rsid w:val="00E9225F"/>
    <w:pPr>
      <w:spacing w:after="240"/>
      <w:ind w:left="1440" w:right="1440"/>
    </w:pPr>
  </w:style>
  <w:style w:type="paragraph" w:customStyle="1" w:styleId="Paratitle">
    <w:name w:val="Para title"/>
    <w:basedOn w:val="Normal"/>
    <w:rsid w:val="00E9225F"/>
    <w:pPr>
      <w:tabs>
        <w:tab w:val="center" w:pos="9270"/>
      </w:tabs>
      <w:spacing w:after="240"/>
    </w:pPr>
    <w:rPr>
      <w:spacing w:val="-2"/>
    </w:rPr>
  </w:style>
  <w:style w:type="paragraph" w:customStyle="1" w:styleId="BulletCharChar">
    <w:name w:val="Bullet Char Char"/>
    <w:basedOn w:val="Normal"/>
    <w:link w:val="BulletCharCharChar"/>
    <w:pPr>
      <w:numPr>
        <w:numId w:val="1"/>
      </w:numPr>
      <w:tabs>
        <w:tab w:val="clear" w:pos="360"/>
        <w:tab w:val="left" w:pos="2160"/>
      </w:tabs>
      <w:spacing w:after="220"/>
      <w:ind w:left="2160" w:hanging="720"/>
    </w:pPr>
  </w:style>
  <w:style w:type="paragraph" w:customStyle="1" w:styleId="TableFormat">
    <w:name w:val="TableFormat"/>
    <w:basedOn w:val="Bullet"/>
    <w:rsid w:val="00E9225F"/>
    <w:pPr>
      <w:tabs>
        <w:tab w:val="clear" w:pos="2160"/>
        <w:tab w:val="left" w:pos="5040"/>
      </w:tabs>
      <w:ind w:left="5040" w:hanging="3600"/>
    </w:pPr>
  </w:style>
  <w:style w:type="paragraph" w:customStyle="1" w:styleId="TOCTitle">
    <w:name w:val="TOC Title"/>
    <w:basedOn w:val="Normal"/>
    <w:rsid w:val="00E922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9225F"/>
    <w:pPr>
      <w:jc w:val="center"/>
    </w:pPr>
    <w:rPr>
      <w:rFonts w:ascii="Times New Roman Bold" w:hAnsi="Times New Roman Bold"/>
      <w:b/>
      <w:bCs/>
      <w:caps/>
      <w:szCs w:val="22"/>
    </w:rPr>
  </w:style>
  <w:style w:type="character" w:styleId="Hyperlink">
    <w:name w:val="Hyperlink"/>
    <w:rsid w:val="00E9225F"/>
    <w:rPr>
      <w:color w:val="0000FF"/>
      <w:u w:val="single"/>
    </w:rPr>
  </w:style>
  <w:style w:type="paragraph" w:customStyle="1" w:styleId="ParaNumChar1Char">
    <w:name w:val="ParaNum Char1 Char"/>
    <w:basedOn w:val="Normal"/>
    <w:link w:val="ParaNumChar1CharChar"/>
    <w:rsid w:val="008434F5"/>
    <w:pPr>
      <w:tabs>
        <w:tab w:val="num" w:pos="1080"/>
      </w:tabs>
      <w:spacing w:after="120"/>
      <w:ind w:firstLine="720"/>
    </w:pPr>
  </w:style>
  <w:style w:type="character" w:customStyle="1" w:styleId="ParaNumChar1CharChar">
    <w:name w:val="ParaNum Char1 Char Char"/>
    <w:link w:val="ParaNumChar1Char"/>
    <w:rsid w:val="008434F5"/>
    <w:rPr>
      <w:snapToGrid w:val="0"/>
      <w:kern w:val="28"/>
      <w:sz w:val="22"/>
      <w:lang w:val="en-US" w:eastAsia="en-US" w:bidi="ar-SA"/>
    </w:rPr>
  </w:style>
  <w:style w:type="character" w:customStyle="1" w:styleId="FootnoteTextChar3">
    <w:name w:val="Footnote Text Char3"/>
    <w:aliases w:val="Footnote Text Char2 Char,Footnote Text Char Char Char1,Footnote Text Char1 Char1 Char Char,Footnote Text Char4 Char Char Char Char,Footnote Text Char3 Char1 Char Char Char Char,Footnote Text Char Char3 Char Char Char Char Char,f Char"/>
    <w:link w:val="FootnoteText"/>
    <w:rsid w:val="008434F5"/>
    <w:rPr>
      <w:lang w:val="en-US" w:eastAsia="en-US" w:bidi="ar-SA"/>
    </w:rPr>
  </w:style>
  <w:style w:type="character" w:customStyle="1" w:styleId="BulletCharCharChar">
    <w:name w:val="Bullet Char Char Char"/>
    <w:link w:val="BulletCharChar"/>
    <w:rsid w:val="008434F5"/>
    <w:rPr>
      <w:snapToGrid w:val="0"/>
      <w:kern w:val="28"/>
      <w:sz w:val="22"/>
    </w:rPr>
  </w:style>
  <w:style w:type="character" w:styleId="FollowedHyperlink">
    <w:name w:val="FollowedHyperlink"/>
    <w:rsid w:val="008434F5"/>
    <w:rPr>
      <w:color w:val="800080"/>
      <w:u w:val="single"/>
    </w:rPr>
  </w:style>
  <w:style w:type="character" w:customStyle="1" w:styleId="FootnoteTextChar1CharCharChar1Char1">
    <w:name w:val="Footnote Text Char1 Char Char Char1 Char1"/>
    <w:aliases w:val="Footnote Text Char Char Char Char1,Footnote Text Char1 Char1 Char Char1,ALTS FOOTNOTE Char Char1,fn Char Char1,fn Char1"/>
    <w:rsid w:val="008434F5"/>
    <w:rPr>
      <w:snapToGrid w:val="0"/>
      <w:kern w:val="28"/>
      <w:sz w:val="22"/>
      <w:lang w:val="en-US" w:eastAsia="en-US" w:bidi="ar-SA"/>
    </w:rPr>
  </w:style>
  <w:style w:type="paragraph" w:styleId="BodyTextIndent">
    <w:name w:val="Body Text Indent"/>
    <w:basedOn w:val="Normal"/>
    <w:rsid w:val="008434F5"/>
    <w:pPr>
      <w:widowControl/>
      <w:spacing w:after="120"/>
      <w:ind w:left="360"/>
    </w:pPr>
    <w:rPr>
      <w:snapToGrid/>
      <w:kern w:val="0"/>
      <w:sz w:val="24"/>
      <w:szCs w:val="24"/>
    </w:rPr>
  </w:style>
  <w:style w:type="paragraph" w:customStyle="1" w:styleId="ParaNumChar">
    <w:name w:val="ParaNum Char"/>
    <w:basedOn w:val="Normal"/>
    <w:rsid w:val="008434F5"/>
    <w:pPr>
      <w:widowControl/>
      <w:tabs>
        <w:tab w:val="num" w:pos="1080"/>
      </w:tabs>
      <w:spacing w:after="120"/>
      <w:ind w:firstLine="720"/>
    </w:pPr>
    <w:rPr>
      <w:snapToGrid/>
      <w:kern w:val="0"/>
      <w:sz w:val="24"/>
      <w:szCs w:val="24"/>
    </w:rPr>
  </w:style>
  <w:style w:type="character" w:customStyle="1" w:styleId="FootnoteTextCharChar1">
    <w:name w:val="Footnote Text Char Char1"/>
    <w:aliases w:val="Footnote Text Char Char Char Char,Footnote Text Char2 Char Char Char Char,Footnote Text Char Char Char Char Char Char,Footnote Text Char1 Char2"/>
    <w:rsid w:val="008434F5"/>
    <w:rPr>
      <w:sz w:val="22"/>
      <w:lang w:val="en-US" w:eastAsia="en-US" w:bidi="ar-SA"/>
    </w:rPr>
  </w:style>
  <w:style w:type="character" w:styleId="Emphasis">
    <w:name w:val="Emphasis"/>
    <w:qFormat/>
    <w:rsid w:val="008434F5"/>
    <w:rPr>
      <w:i/>
      <w:i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607806"/>
    <w:rPr>
      <w:lang w:val="en-US" w:eastAsia="en-US" w:bidi="ar-SA"/>
    </w:rPr>
  </w:style>
  <w:style w:type="paragraph" w:styleId="BodyText">
    <w:name w:val="Body Text"/>
    <w:basedOn w:val="Normal"/>
    <w:link w:val="BodyTextChar"/>
    <w:rsid w:val="000150CD"/>
    <w:pPr>
      <w:widowControl/>
      <w:spacing w:after="120"/>
    </w:pPr>
    <w:rPr>
      <w:snapToGrid/>
      <w:kern w:val="0"/>
      <w:sz w:val="24"/>
      <w:szCs w:val="24"/>
    </w:rPr>
  </w:style>
  <w:style w:type="character" w:styleId="Strong">
    <w:name w:val="Strong"/>
    <w:qFormat/>
    <w:rsid w:val="003F310D"/>
    <w:rPr>
      <w:b/>
    </w:rPr>
  </w:style>
  <w:style w:type="character" w:customStyle="1" w:styleId="a">
    <w:name w:val="_"/>
    <w:rsid w:val="003F310D"/>
    <w:rPr>
      <w:rFonts w:ascii="Times New Roman" w:hAnsi="Times New Roman"/>
      <w:sz w:val="24"/>
    </w:rPr>
  </w:style>
  <w:style w:type="paragraph" w:customStyle="1" w:styleId="12PtBullet">
    <w:name w:val="12PtBullet"/>
    <w:basedOn w:val="Normal"/>
    <w:rsid w:val="003F310D"/>
    <w:pPr>
      <w:widowControl/>
      <w:numPr>
        <w:numId w:val="4"/>
      </w:numPr>
    </w:pPr>
    <w:rPr>
      <w:snapToGrid/>
      <w:kern w:val="0"/>
      <w:sz w:val="24"/>
      <w:szCs w:val="24"/>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3F310D"/>
    <w:rPr>
      <w:lang w:val="en-US" w:eastAsia="en-US" w:bidi="ar-SA"/>
    </w:rPr>
  </w:style>
  <w:style w:type="paragraph" w:customStyle="1" w:styleId="Bullet">
    <w:name w:val="Bullet"/>
    <w:basedOn w:val="Normal"/>
    <w:rsid w:val="00E9225F"/>
    <w:pPr>
      <w:tabs>
        <w:tab w:val="left" w:pos="2160"/>
      </w:tabs>
      <w:spacing w:after="220"/>
      <w:ind w:left="2160" w:hanging="720"/>
    </w:pPr>
  </w:style>
  <w:style w:type="paragraph" w:styleId="BalloonText">
    <w:name w:val="Balloon Text"/>
    <w:basedOn w:val="Normal"/>
    <w:semiHidden/>
    <w:rsid w:val="002F2523"/>
    <w:rPr>
      <w:rFonts w:ascii="Tahoma" w:hAnsi="Tahoma"/>
      <w:sz w:val="16"/>
      <w:szCs w:val="16"/>
    </w:rPr>
  </w:style>
  <w:style w:type="character" w:customStyle="1" w:styleId="FootnoteTextChar1Char">
    <w:name w:val="Footnote Text Char1 Char"/>
    <w:aliases w:val="Footnote Text Char Char Char,Footnote Text Char2 Char Char Char,Footnote Text Char Char Char Char Char,Footnote Text Char2 Char Char Char Char Char,Footnote Text Char1 Char Char Char Char Char Char,Footnote Text Char Char2"/>
    <w:rsid w:val="00FE6599"/>
    <w:rPr>
      <w:snapToGrid w:val="0"/>
      <w:kern w:val="28"/>
      <w:lang w:val="en-US" w:eastAsia="en-US" w:bidi="ar-SA"/>
    </w:rPr>
  </w:style>
  <w:style w:type="character" w:customStyle="1" w:styleId="FootnoteTextChar1CharChar3CharCharChar1">
    <w:name w:val="Footnote Text Char1 Char Char3 Char Char Char1"/>
    <w:aliases w:val="Footnote Text Char Char Char Char3 Char Char Char"/>
    <w:rsid w:val="004021E7"/>
    <w:rPr>
      <w:lang w:val="en-US" w:eastAsia="en-US" w:bidi="ar-SA"/>
    </w:rPr>
  </w:style>
  <w:style w:type="character" w:styleId="CommentReference">
    <w:name w:val="annotation reference"/>
    <w:semiHidden/>
    <w:rsid w:val="009211B6"/>
    <w:rPr>
      <w:sz w:val="16"/>
      <w:szCs w:val="16"/>
    </w:rPr>
  </w:style>
  <w:style w:type="paragraph" w:styleId="CommentText">
    <w:name w:val="annotation text"/>
    <w:basedOn w:val="Normal"/>
    <w:semiHidden/>
    <w:rsid w:val="009211B6"/>
    <w:rPr>
      <w:sz w:val="20"/>
    </w:rPr>
  </w:style>
  <w:style w:type="paragraph" w:styleId="CommentSubject">
    <w:name w:val="annotation subject"/>
    <w:basedOn w:val="CommentText"/>
    <w:next w:val="CommentText"/>
    <w:semiHidden/>
    <w:rsid w:val="009211B6"/>
    <w:rPr>
      <w:b/>
      <w:bCs/>
    </w:rPr>
  </w:style>
  <w:style w:type="paragraph" w:styleId="BodyTextIndent3">
    <w:name w:val="Body Text Indent 3"/>
    <w:basedOn w:val="Normal"/>
    <w:rsid w:val="00586581"/>
    <w:pPr>
      <w:spacing w:after="120"/>
      <w:ind w:left="360"/>
    </w:pPr>
    <w:rPr>
      <w:sz w:val="16"/>
      <w:szCs w:val="16"/>
    </w:rPr>
  </w:style>
  <w:style w:type="character" w:customStyle="1" w:styleId="documentbody1">
    <w:name w:val="documentbody1"/>
    <w:rsid w:val="001932C1"/>
    <w:rPr>
      <w:rFonts w:ascii="Verdana" w:hAnsi="Verdana" w:hint="default"/>
      <w:sz w:val="19"/>
      <w:szCs w:val="19"/>
    </w:rPr>
  </w:style>
  <w:style w:type="character" w:customStyle="1" w:styleId="documentbody">
    <w:name w:val="documentbody"/>
    <w:basedOn w:val="DefaultParagraphFont"/>
    <w:rsid w:val="00D6330F"/>
  </w:style>
  <w:style w:type="table" w:styleId="TableGrid">
    <w:name w:val="Table Grid"/>
    <w:basedOn w:val="TableNormal"/>
    <w:uiPriority w:val="59"/>
    <w:rsid w:val="00601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
    <w:rsid w:val="00695C0E"/>
    <w:rPr>
      <w:rFonts w:ascii="Times New Roman" w:hAnsi="Times New Roman" w:cs="Times New Roman" w:hint="default"/>
    </w:rPr>
  </w:style>
  <w:style w:type="paragraph" w:styleId="Revision">
    <w:name w:val="Revision"/>
    <w:hidden/>
    <w:uiPriority w:val="99"/>
    <w:semiHidden/>
    <w:rsid w:val="002969A1"/>
    <w:rPr>
      <w:snapToGrid w:val="0"/>
      <w:kern w:val="28"/>
      <w:sz w:val="22"/>
    </w:rPr>
  </w:style>
  <w:style w:type="character" w:customStyle="1" w:styleId="FooterChar">
    <w:name w:val="Footer Char"/>
    <w:link w:val="Footer"/>
    <w:uiPriority w:val="99"/>
    <w:rsid w:val="004A7E39"/>
    <w:rPr>
      <w:snapToGrid w:val="0"/>
      <w:kern w:val="28"/>
      <w:sz w:val="22"/>
    </w:rPr>
  </w:style>
  <w:style w:type="character" w:customStyle="1" w:styleId="footnotetextcharcharcharchar3charcharchar10">
    <w:name w:val="footnotetextcharcharcharchar3charcharchar1"/>
    <w:rsid w:val="00BE180E"/>
  </w:style>
  <w:style w:type="character" w:customStyle="1" w:styleId="BodyTextChar">
    <w:name w:val="Body Text Char"/>
    <w:link w:val="BodyText"/>
    <w:rsid w:val="00EE4425"/>
    <w:rPr>
      <w:sz w:val="24"/>
      <w:szCs w:val="24"/>
    </w:rPr>
  </w:style>
  <w:style w:type="paragraph" w:styleId="ListParagraph">
    <w:name w:val="List Paragraph"/>
    <w:basedOn w:val="Normal"/>
    <w:uiPriority w:val="34"/>
    <w:qFormat/>
    <w:rsid w:val="002458DD"/>
    <w:pPr>
      <w:widowControl/>
      <w:spacing w:after="200" w:line="276" w:lineRule="auto"/>
      <w:ind w:left="720"/>
      <w:contextualSpacing/>
    </w:pPr>
    <w:rPr>
      <w:rFonts w:asciiTheme="minorHAnsi" w:eastAsiaTheme="minorHAnsi" w:hAnsiTheme="minorHAnsi" w:cstheme="minorBidi"/>
      <w:snapToGrid/>
      <w:kern w:val="0"/>
      <w:szCs w:val="22"/>
    </w:rPr>
  </w:style>
  <w:style w:type="paragraph" w:styleId="NoSpacing">
    <w:name w:val="No Spacing"/>
    <w:uiPriority w:val="1"/>
    <w:qFormat/>
    <w:rsid w:val="0055645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5F"/>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qFormat/>
    <w:rsid w:val="00E9225F"/>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
    <w:autoRedefine/>
    <w:qFormat/>
    <w:rsid w:val="000A22C2"/>
    <w:pPr>
      <w:keepNext/>
      <w:keepLines/>
      <w:numPr>
        <w:ilvl w:val="1"/>
        <w:numId w:val="3"/>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
    <w:qFormat/>
    <w:rsid w:val="00E9225F"/>
    <w:pPr>
      <w:keepNext/>
      <w:numPr>
        <w:ilvl w:val="2"/>
        <w:numId w:val="3"/>
      </w:numPr>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E9225F"/>
    <w:pPr>
      <w:keepNext/>
      <w:numPr>
        <w:ilvl w:val="3"/>
        <w:numId w:val="3"/>
      </w:numPr>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E9225F"/>
    <w:pPr>
      <w:keepNext/>
      <w:numPr>
        <w:ilvl w:val="4"/>
        <w:numId w:val="3"/>
      </w:numPr>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qFormat/>
    <w:rsid w:val="00E9225F"/>
    <w:pPr>
      <w:numPr>
        <w:ilvl w:val="5"/>
        <w:numId w:val="3"/>
      </w:numPr>
      <w:spacing w:after="120"/>
      <w:outlineLvl w:val="5"/>
    </w:pPr>
    <w:rPr>
      <w:b/>
    </w:rPr>
  </w:style>
  <w:style w:type="paragraph" w:styleId="Heading7">
    <w:name w:val="heading 7"/>
    <w:aliases w:val="Heading 7 Char"/>
    <w:basedOn w:val="Normal"/>
    <w:next w:val="ParaNum"/>
    <w:qFormat/>
    <w:rsid w:val="00E9225F"/>
    <w:pPr>
      <w:numPr>
        <w:ilvl w:val="6"/>
        <w:numId w:val="3"/>
      </w:numPr>
      <w:spacing w:after="120"/>
      <w:outlineLvl w:val="6"/>
    </w:pPr>
    <w:rPr>
      <w:b/>
    </w:rPr>
  </w:style>
  <w:style w:type="paragraph" w:styleId="Heading8">
    <w:name w:val="heading 8"/>
    <w:basedOn w:val="Normal"/>
    <w:next w:val="ParaNum"/>
    <w:qFormat/>
    <w:rsid w:val="00E9225F"/>
    <w:pPr>
      <w:numPr>
        <w:ilvl w:val="7"/>
        <w:numId w:val="3"/>
      </w:numPr>
      <w:tabs>
        <w:tab w:val="left" w:pos="5760"/>
      </w:tabs>
      <w:spacing w:after="120"/>
      <w:outlineLvl w:val="7"/>
    </w:pPr>
    <w:rPr>
      <w:b/>
    </w:rPr>
  </w:style>
  <w:style w:type="paragraph" w:styleId="Heading9">
    <w:name w:val="heading 9"/>
    <w:aliases w:val="Topic,table,t,9,Heading 9.table,Titre 9,Heading 9 Char"/>
    <w:basedOn w:val="Normal"/>
    <w:next w:val="ParaNum"/>
    <w:qFormat/>
    <w:rsid w:val="00E9225F"/>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E9225F"/>
    <w:pPr>
      <w:numPr>
        <w:numId w:val="2"/>
      </w:numPr>
      <w:spacing w:after="120"/>
    </w:pPr>
  </w:style>
  <w:style w:type="paragraph" w:styleId="EndnoteText">
    <w:name w:val="endnote text"/>
    <w:basedOn w:val="Normal"/>
    <w:semiHidden/>
    <w:rsid w:val="00E9225F"/>
    <w:rPr>
      <w:sz w:val="20"/>
    </w:rPr>
  </w:style>
  <w:style w:type="character" w:styleId="EndnoteReference">
    <w:name w:val="endnote reference"/>
    <w:semiHidden/>
    <w:rsid w:val="00E9225F"/>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uiPriority w:val="99"/>
    <w:rsid w:val="00E9225F"/>
    <w:pPr>
      <w:spacing w:after="120"/>
    </w:pPr>
  </w:style>
  <w:style w:type="character" w:styleId="FootnoteReference">
    <w:name w:val="footnote reference"/>
    <w:aliases w:val="Appel note de bas de p,Style 12,(NECG) Footnote Reference,Style 124,o,fr,Style 3,Style 17,FR,Style 13,Footnote Reference/,Style 6"/>
    <w:rsid w:val="00E9225F"/>
    <w:rPr>
      <w:rFonts w:ascii="Times New Roman" w:hAnsi="Times New Roman"/>
      <w:dstrike w:val="0"/>
      <w:color w:val="auto"/>
      <w:sz w:val="22"/>
      <w:vertAlign w:val="superscript"/>
    </w:rPr>
  </w:style>
  <w:style w:type="paragraph" w:styleId="TOC1">
    <w:name w:val="toc 1"/>
    <w:basedOn w:val="Normal"/>
    <w:next w:val="Normal"/>
    <w:uiPriority w:val="39"/>
    <w:rsid w:val="00E9225F"/>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E9225F"/>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E9225F"/>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rsid w:val="00E922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922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922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922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922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9225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9225F"/>
    <w:pPr>
      <w:tabs>
        <w:tab w:val="right" w:pos="9360"/>
      </w:tabs>
      <w:suppressAutoHyphens/>
    </w:pPr>
  </w:style>
  <w:style w:type="character" w:customStyle="1" w:styleId="EquationCaption">
    <w:name w:val="_Equation Caption"/>
    <w:rsid w:val="00E9225F"/>
  </w:style>
  <w:style w:type="paragraph" w:styleId="Header">
    <w:name w:val="header"/>
    <w:basedOn w:val="Normal"/>
    <w:autoRedefine/>
    <w:rsid w:val="00E9225F"/>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E9225F"/>
    <w:pPr>
      <w:tabs>
        <w:tab w:val="center" w:pos="4320"/>
        <w:tab w:val="right" w:pos="8640"/>
      </w:tabs>
    </w:pPr>
  </w:style>
  <w:style w:type="character" w:styleId="PageNumber">
    <w:name w:val="page number"/>
    <w:basedOn w:val="DefaultParagraphFont"/>
    <w:rsid w:val="00E9225F"/>
  </w:style>
  <w:style w:type="paragraph" w:styleId="BlockText">
    <w:name w:val="Block Text"/>
    <w:basedOn w:val="Normal"/>
    <w:rsid w:val="00E9225F"/>
    <w:pPr>
      <w:spacing w:after="240"/>
      <w:ind w:left="1440" w:right="1440"/>
    </w:pPr>
  </w:style>
  <w:style w:type="paragraph" w:customStyle="1" w:styleId="Paratitle">
    <w:name w:val="Para title"/>
    <w:basedOn w:val="Normal"/>
    <w:rsid w:val="00E9225F"/>
    <w:pPr>
      <w:tabs>
        <w:tab w:val="center" w:pos="9270"/>
      </w:tabs>
      <w:spacing w:after="240"/>
    </w:pPr>
    <w:rPr>
      <w:spacing w:val="-2"/>
    </w:rPr>
  </w:style>
  <w:style w:type="paragraph" w:customStyle="1" w:styleId="BulletCharChar">
    <w:name w:val="Bullet Char Char"/>
    <w:basedOn w:val="Normal"/>
    <w:link w:val="BulletCharCharChar"/>
    <w:pPr>
      <w:numPr>
        <w:numId w:val="1"/>
      </w:numPr>
      <w:tabs>
        <w:tab w:val="clear" w:pos="360"/>
        <w:tab w:val="left" w:pos="2160"/>
      </w:tabs>
      <w:spacing w:after="220"/>
      <w:ind w:left="2160" w:hanging="720"/>
    </w:pPr>
  </w:style>
  <w:style w:type="paragraph" w:customStyle="1" w:styleId="TableFormat">
    <w:name w:val="TableFormat"/>
    <w:basedOn w:val="Bullet"/>
    <w:rsid w:val="00E9225F"/>
    <w:pPr>
      <w:tabs>
        <w:tab w:val="clear" w:pos="2160"/>
        <w:tab w:val="left" w:pos="5040"/>
      </w:tabs>
      <w:ind w:left="5040" w:hanging="3600"/>
    </w:pPr>
  </w:style>
  <w:style w:type="paragraph" w:customStyle="1" w:styleId="TOCTitle">
    <w:name w:val="TOC Title"/>
    <w:basedOn w:val="Normal"/>
    <w:rsid w:val="00E922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9225F"/>
    <w:pPr>
      <w:jc w:val="center"/>
    </w:pPr>
    <w:rPr>
      <w:rFonts w:ascii="Times New Roman Bold" w:hAnsi="Times New Roman Bold"/>
      <w:b/>
      <w:bCs/>
      <w:caps/>
      <w:szCs w:val="22"/>
    </w:rPr>
  </w:style>
  <w:style w:type="character" w:styleId="Hyperlink">
    <w:name w:val="Hyperlink"/>
    <w:rsid w:val="00E9225F"/>
    <w:rPr>
      <w:color w:val="0000FF"/>
      <w:u w:val="single"/>
    </w:rPr>
  </w:style>
  <w:style w:type="paragraph" w:customStyle="1" w:styleId="ParaNumChar1Char">
    <w:name w:val="ParaNum Char1 Char"/>
    <w:basedOn w:val="Normal"/>
    <w:link w:val="ParaNumChar1CharChar"/>
    <w:rsid w:val="008434F5"/>
    <w:pPr>
      <w:tabs>
        <w:tab w:val="num" w:pos="1080"/>
      </w:tabs>
      <w:spacing w:after="120"/>
      <w:ind w:firstLine="720"/>
    </w:pPr>
  </w:style>
  <w:style w:type="character" w:customStyle="1" w:styleId="ParaNumChar1CharChar">
    <w:name w:val="ParaNum Char1 Char Char"/>
    <w:link w:val="ParaNumChar1Char"/>
    <w:rsid w:val="008434F5"/>
    <w:rPr>
      <w:snapToGrid w:val="0"/>
      <w:kern w:val="28"/>
      <w:sz w:val="22"/>
      <w:lang w:val="en-US" w:eastAsia="en-US" w:bidi="ar-SA"/>
    </w:rPr>
  </w:style>
  <w:style w:type="character" w:customStyle="1" w:styleId="FootnoteTextChar3">
    <w:name w:val="Footnote Text Char3"/>
    <w:aliases w:val="Footnote Text Char2 Char,Footnote Text Char Char Char1,Footnote Text Char1 Char1 Char Char,Footnote Text Char4 Char Char Char Char,Footnote Text Char3 Char1 Char Char Char Char,Footnote Text Char Char3 Char Char Char Char Char,f Char"/>
    <w:link w:val="FootnoteText"/>
    <w:rsid w:val="008434F5"/>
    <w:rPr>
      <w:lang w:val="en-US" w:eastAsia="en-US" w:bidi="ar-SA"/>
    </w:rPr>
  </w:style>
  <w:style w:type="character" w:customStyle="1" w:styleId="BulletCharCharChar">
    <w:name w:val="Bullet Char Char Char"/>
    <w:link w:val="BulletCharChar"/>
    <w:rsid w:val="008434F5"/>
    <w:rPr>
      <w:snapToGrid w:val="0"/>
      <w:kern w:val="28"/>
      <w:sz w:val="22"/>
    </w:rPr>
  </w:style>
  <w:style w:type="character" w:styleId="FollowedHyperlink">
    <w:name w:val="FollowedHyperlink"/>
    <w:rsid w:val="008434F5"/>
    <w:rPr>
      <w:color w:val="800080"/>
      <w:u w:val="single"/>
    </w:rPr>
  </w:style>
  <w:style w:type="character" w:customStyle="1" w:styleId="FootnoteTextChar1CharCharChar1Char1">
    <w:name w:val="Footnote Text Char1 Char Char Char1 Char1"/>
    <w:aliases w:val="Footnote Text Char Char Char Char1,Footnote Text Char1 Char1 Char Char1,ALTS FOOTNOTE Char Char1,fn Char Char1,fn Char1"/>
    <w:rsid w:val="008434F5"/>
    <w:rPr>
      <w:snapToGrid w:val="0"/>
      <w:kern w:val="28"/>
      <w:sz w:val="22"/>
      <w:lang w:val="en-US" w:eastAsia="en-US" w:bidi="ar-SA"/>
    </w:rPr>
  </w:style>
  <w:style w:type="paragraph" w:styleId="BodyTextIndent">
    <w:name w:val="Body Text Indent"/>
    <w:basedOn w:val="Normal"/>
    <w:rsid w:val="008434F5"/>
    <w:pPr>
      <w:widowControl/>
      <w:spacing w:after="120"/>
      <w:ind w:left="360"/>
    </w:pPr>
    <w:rPr>
      <w:snapToGrid/>
      <w:kern w:val="0"/>
      <w:sz w:val="24"/>
      <w:szCs w:val="24"/>
    </w:rPr>
  </w:style>
  <w:style w:type="paragraph" w:customStyle="1" w:styleId="ParaNumChar">
    <w:name w:val="ParaNum Char"/>
    <w:basedOn w:val="Normal"/>
    <w:rsid w:val="008434F5"/>
    <w:pPr>
      <w:widowControl/>
      <w:tabs>
        <w:tab w:val="num" w:pos="1080"/>
      </w:tabs>
      <w:spacing w:after="120"/>
      <w:ind w:firstLine="720"/>
    </w:pPr>
    <w:rPr>
      <w:snapToGrid/>
      <w:kern w:val="0"/>
      <w:sz w:val="24"/>
      <w:szCs w:val="24"/>
    </w:rPr>
  </w:style>
  <w:style w:type="character" w:customStyle="1" w:styleId="FootnoteTextCharChar1">
    <w:name w:val="Footnote Text Char Char1"/>
    <w:aliases w:val="Footnote Text Char Char Char Char,Footnote Text Char2 Char Char Char Char,Footnote Text Char Char Char Char Char Char,Footnote Text Char1 Char2"/>
    <w:rsid w:val="008434F5"/>
    <w:rPr>
      <w:sz w:val="22"/>
      <w:lang w:val="en-US" w:eastAsia="en-US" w:bidi="ar-SA"/>
    </w:rPr>
  </w:style>
  <w:style w:type="character" w:styleId="Emphasis">
    <w:name w:val="Emphasis"/>
    <w:qFormat/>
    <w:rsid w:val="008434F5"/>
    <w:rPr>
      <w:i/>
      <w:i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607806"/>
    <w:rPr>
      <w:lang w:val="en-US" w:eastAsia="en-US" w:bidi="ar-SA"/>
    </w:rPr>
  </w:style>
  <w:style w:type="paragraph" w:styleId="BodyText">
    <w:name w:val="Body Text"/>
    <w:basedOn w:val="Normal"/>
    <w:link w:val="BodyTextChar"/>
    <w:rsid w:val="000150CD"/>
    <w:pPr>
      <w:widowControl/>
      <w:spacing w:after="120"/>
    </w:pPr>
    <w:rPr>
      <w:snapToGrid/>
      <w:kern w:val="0"/>
      <w:sz w:val="24"/>
      <w:szCs w:val="24"/>
    </w:rPr>
  </w:style>
  <w:style w:type="character" w:styleId="Strong">
    <w:name w:val="Strong"/>
    <w:qFormat/>
    <w:rsid w:val="003F310D"/>
    <w:rPr>
      <w:b/>
    </w:rPr>
  </w:style>
  <w:style w:type="character" w:customStyle="1" w:styleId="a">
    <w:name w:val="_"/>
    <w:rsid w:val="003F310D"/>
    <w:rPr>
      <w:rFonts w:ascii="Times New Roman" w:hAnsi="Times New Roman"/>
      <w:sz w:val="24"/>
    </w:rPr>
  </w:style>
  <w:style w:type="paragraph" w:customStyle="1" w:styleId="12PtBullet">
    <w:name w:val="12PtBullet"/>
    <w:basedOn w:val="Normal"/>
    <w:rsid w:val="003F310D"/>
    <w:pPr>
      <w:widowControl/>
      <w:numPr>
        <w:numId w:val="4"/>
      </w:numPr>
    </w:pPr>
    <w:rPr>
      <w:snapToGrid/>
      <w:kern w:val="0"/>
      <w:sz w:val="24"/>
      <w:szCs w:val="24"/>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3F310D"/>
    <w:rPr>
      <w:lang w:val="en-US" w:eastAsia="en-US" w:bidi="ar-SA"/>
    </w:rPr>
  </w:style>
  <w:style w:type="paragraph" w:customStyle="1" w:styleId="Bullet">
    <w:name w:val="Bullet"/>
    <w:basedOn w:val="Normal"/>
    <w:rsid w:val="00E9225F"/>
    <w:pPr>
      <w:tabs>
        <w:tab w:val="left" w:pos="2160"/>
      </w:tabs>
      <w:spacing w:after="220"/>
      <w:ind w:left="2160" w:hanging="720"/>
    </w:pPr>
  </w:style>
  <w:style w:type="paragraph" w:styleId="BalloonText">
    <w:name w:val="Balloon Text"/>
    <w:basedOn w:val="Normal"/>
    <w:semiHidden/>
    <w:rsid w:val="002F2523"/>
    <w:rPr>
      <w:rFonts w:ascii="Tahoma" w:hAnsi="Tahoma"/>
      <w:sz w:val="16"/>
      <w:szCs w:val="16"/>
    </w:rPr>
  </w:style>
  <w:style w:type="character" w:customStyle="1" w:styleId="FootnoteTextChar1Char">
    <w:name w:val="Footnote Text Char1 Char"/>
    <w:aliases w:val="Footnote Text Char Char Char,Footnote Text Char2 Char Char Char,Footnote Text Char Char Char Char Char,Footnote Text Char2 Char Char Char Char Char,Footnote Text Char1 Char Char Char Char Char Char,Footnote Text Char Char2"/>
    <w:rsid w:val="00FE6599"/>
    <w:rPr>
      <w:snapToGrid w:val="0"/>
      <w:kern w:val="28"/>
      <w:lang w:val="en-US" w:eastAsia="en-US" w:bidi="ar-SA"/>
    </w:rPr>
  </w:style>
  <w:style w:type="character" w:customStyle="1" w:styleId="FootnoteTextChar1CharChar3CharCharChar1">
    <w:name w:val="Footnote Text Char1 Char Char3 Char Char Char1"/>
    <w:aliases w:val="Footnote Text Char Char Char Char3 Char Char Char"/>
    <w:rsid w:val="004021E7"/>
    <w:rPr>
      <w:lang w:val="en-US" w:eastAsia="en-US" w:bidi="ar-SA"/>
    </w:rPr>
  </w:style>
  <w:style w:type="character" w:styleId="CommentReference">
    <w:name w:val="annotation reference"/>
    <w:semiHidden/>
    <w:rsid w:val="009211B6"/>
    <w:rPr>
      <w:sz w:val="16"/>
      <w:szCs w:val="16"/>
    </w:rPr>
  </w:style>
  <w:style w:type="paragraph" w:styleId="CommentText">
    <w:name w:val="annotation text"/>
    <w:basedOn w:val="Normal"/>
    <w:semiHidden/>
    <w:rsid w:val="009211B6"/>
    <w:rPr>
      <w:sz w:val="20"/>
    </w:rPr>
  </w:style>
  <w:style w:type="paragraph" w:styleId="CommentSubject">
    <w:name w:val="annotation subject"/>
    <w:basedOn w:val="CommentText"/>
    <w:next w:val="CommentText"/>
    <w:semiHidden/>
    <w:rsid w:val="009211B6"/>
    <w:rPr>
      <w:b/>
      <w:bCs/>
    </w:rPr>
  </w:style>
  <w:style w:type="paragraph" w:styleId="BodyTextIndent3">
    <w:name w:val="Body Text Indent 3"/>
    <w:basedOn w:val="Normal"/>
    <w:rsid w:val="00586581"/>
    <w:pPr>
      <w:spacing w:after="120"/>
      <w:ind w:left="360"/>
    </w:pPr>
    <w:rPr>
      <w:sz w:val="16"/>
      <w:szCs w:val="16"/>
    </w:rPr>
  </w:style>
  <w:style w:type="character" w:customStyle="1" w:styleId="documentbody1">
    <w:name w:val="documentbody1"/>
    <w:rsid w:val="001932C1"/>
    <w:rPr>
      <w:rFonts w:ascii="Verdana" w:hAnsi="Verdana" w:hint="default"/>
      <w:sz w:val="19"/>
      <w:szCs w:val="19"/>
    </w:rPr>
  </w:style>
  <w:style w:type="character" w:customStyle="1" w:styleId="documentbody">
    <w:name w:val="documentbody"/>
    <w:basedOn w:val="DefaultParagraphFont"/>
    <w:rsid w:val="00D6330F"/>
  </w:style>
  <w:style w:type="table" w:styleId="TableGrid">
    <w:name w:val="Table Grid"/>
    <w:basedOn w:val="TableNormal"/>
    <w:uiPriority w:val="59"/>
    <w:rsid w:val="00601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
    <w:rsid w:val="00695C0E"/>
    <w:rPr>
      <w:rFonts w:ascii="Times New Roman" w:hAnsi="Times New Roman" w:cs="Times New Roman" w:hint="default"/>
    </w:rPr>
  </w:style>
  <w:style w:type="paragraph" w:styleId="Revision">
    <w:name w:val="Revision"/>
    <w:hidden/>
    <w:uiPriority w:val="99"/>
    <w:semiHidden/>
    <w:rsid w:val="002969A1"/>
    <w:rPr>
      <w:snapToGrid w:val="0"/>
      <w:kern w:val="28"/>
      <w:sz w:val="22"/>
    </w:rPr>
  </w:style>
  <w:style w:type="character" w:customStyle="1" w:styleId="FooterChar">
    <w:name w:val="Footer Char"/>
    <w:link w:val="Footer"/>
    <w:uiPriority w:val="99"/>
    <w:rsid w:val="004A7E39"/>
    <w:rPr>
      <w:snapToGrid w:val="0"/>
      <w:kern w:val="28"/>
      <w:sz w:val="22"/>
    </w:rPr>
  </w:style>
  <w:style w:type="character" w:customStyle="1" w:styleId="footnotetextcharcharcharchar3charcharchar10">
    <w:name w:val="footnotetextcharcharcharchar3charcharchar1"/>
    <w:rsid w:val="00BE180E"/>
  </w:style>
  <w:style w:type="character" w:customStyle="1" w:styleId="BodyTextChar">
    <w:name w:val="Body Text Char"/>
    <w:link w:val="BodyText"/>
    <w:rsid w:val="00EE4425"/>
    <w:rPr>
      <w:sz w:val="24"/>
      <w:szCs w:val="24"/>
    </w:rPr>
  </w:style>
  <w:style w:type="paragraph" w:styleId="ListParagraph">
    <w:name w:val="List Paragraph"/>
    <w:basedOn w:val="Normal"/>
    <w:uiPriority w:val="34"/>
    <w:qFormat/>
    <w:rsid w:val="002458DD"/>
    <w:pPr>
      <w:widowControl/>
      <w:spacing w:after="200" w:line="276" w:lineRule="auto"/>
      <w:ind w:left="720"/>
      <w:contextualSpacing/>
    </w:pPr>
    <w:rPr>
      <w:rFonts w:asciiTheme="minorHAnsi" w:eastAsiaTheme="minorHAnsi" w:hAnsiTheme="minorHAnsi" w:cstheme="minorBidi"/>
      <w:snapToGrid/>
      <w:kern w:val="0"/>
      <w:szCs w:val="22"/>
    </w:rPr>
  </w:style>
  <w:style w:type="paragraph" w:styleId="NoSpacing">
    <w:name w:val="No Spacing"/>
    <w:uiPriority w:val="1"/>
    <w:qFormat/>
    <w:rsid w:val="0055645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6442">
      <w:bodyDiv w:val="1"/>
      <w:marLeft w:val="0"/>
      <w:marRight w:val="0"/>
      <w:marTop w:val="0"/>
      <w:marBottom w:val="0"/>
      <w:divBdr>
        <w:top w:val="none" w:sz="0" w:space="0" w:color="auto"/>
        <w:left w:val="none" w:sz="0" w:space="0" w:color="auto"/>
        <w:bottom w:val="none" w:sz="0" w:space="0" w:color="auto"/>
        <w:right w:val="none" w:sz="0" w:space="0" w:color="auto"/>
      </w:divBdr>
    </w:div>
    <w:div w:id="1189292266">
      <w:bodyDiv w:val="1"/>
      <w:marLeft w:val="0"/>
      <w:marRight w:val="0"/>
      <w:marTop w:val="0"/>
      <w:marBottom w:val="0"/>
      <w:divBdr>
        <w:top w:val="none" w:sz="0" w:space="0" w:color="auto"/>
        <w:left w:val="none" w:sz="0" w:space="0" w:color="auto"/>
        <w:bottom w:val="none" w:sz="0" w:space="0" w:color="auto"/>
        <w:right w:val="none" w:sz="0" w:space="0" w:color="auto"/>
      </w:divBdr>
      <w:divsChild>
        <w:div w:id="1214465794">
          <w:marLeft w:val="0"/>
          <w:marRight w:val="0"/>
          <w:marTop w:val="0"/>
          <w:marBottom w:val="0"/>
          <w:divBdr>
            <w:top w:val="none" w:sz="0" w:space="0" w:color="auto"/>
            <w:left w:val="none" w:sz="0" w:space="0" w:color="auto"/>
            <w:bottom w:val="none" w:sz="0" w:space="0" w:color="auto"/>
            <w:right w:val="none" w:sz="0" w:space="0" w:color="auto"/>
          </w:divBdr>
        </w:div>
      </w:divsChild>
    </w:div>
    <w:div w:id="1227839045">
      <w:bodyDiv w:val="1"/>
      <w:marLeft w:val="0"/>
      <w:marRight w:val="0"/>
      <w:marTop w:val="0"/>
      <w:marBottom w:val="0"/>
      <w:divBdr>
        <w:top w:val="none" w:sz="0" w:space="0" w:color="auto"/>
        <w:left w:val="none" w:sz="0" w:space="0" w:color="auto"/>
        <w:bottom w:val="none" w:sz="0" w:space="0" w:color="auto"/>
        <w:right w:val="none" w:sz="0" w:space="0" w:color="auto"/>
      </w:divBdr>
    </w:div>
    <w:div w:id="1784301096">
      <w:bodyDiv w:val="1"/>
      <w:marLeft w:val="0"/>
      <w:marRight w:val="0"/>
      <w:marTop w:val="0"/>
      <w:marBottom w:val="0"/>
      <w:divBdr>
        <w:top w:val="none" w:sz="0" w:space="0" w:color="auto"/>
        <w:left w:val="none" w:sz="0" w:space="0" w:color="auto"/>
        <w:bottom w:val="none" w:sz="0" w:space="0" w:color="auto"/>
        <w:right w:val="none" w:sz="0" w:space="0" w:color="auto"/>
      </w:divBdr>
    </w:div>
    <w:div w:id="1926572249">
      <w:bodyDiv w:val="1"/>
      <w:marLeft w:val="0"/>
      <w:marRight w:val="0"/>
      <w:marTop w:val="0"/>
      <w:marBottom w:val="0"/>
      <w:divBdr>
        <w:top w:val="none" w:sz="0" w:space="0" w:color="auto"/>
        <w:left w:val="none" w:sz="0" w:space="0" w:color="auto"/>
        <w:bottom w:val="none" w:sz="0" w:space="0" w:color="auto"/>
        <w:right w:val="none" w:sz="0" w:space="0" w:color="auto"/>
      </w:divBdr>
    </w:div>
    <w:div w:id="19929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c.gov/bcp/edu/pubs/consumer/invest/inv03.shtm" TargetMode="External"/><Relationship Id="rId18" Type="http://schemas.openxmlformats.org/officeDocument/2006/relationships/hyperlink" Target="http://wireless.fcc.gov/auctions/96/" TargetMode="External"/><Relationship Id="rId26" Type="http://schemas.openxmlformats.org/officeDocument/2006/relationships/hyperlink" Target="http://wireless.fcc.gov/auctions" TargetMode="External"/><Relationship Id="rId39" Type="http://schemas.openxmlformats.org/officeDocument/2006/relationships/hyperlink" Target="http://www.oracle.com/technetwork/java/javase/downloads/index.html" TargetMode="External"/><Relationship Id="rId21" Type="http://schemas.openxmlformats.org/officeDocument/2006/relationships/hyperlink" Target="http://www.bcpiweb.com/" TargetMode="External"/><Relationship Id="rId34" Type="http://schemas.openxmlformats.org/officeDocument/2006/relationships/header" Target="header4.xml"/><Relationship Id="rId42" Type="http://schemas.openxmlformats.org/officeDocument/2006/relationships/hyperlink" Target="https://auctionsignon2.fcc.gov/signon/index.htm" TargetMode="External"/><Relationship Id="rId47" Type="http://schemas.openxmlformats.org/officeDocument/2006/relationships/footer" Target="footer7.xml"/><Relationship Id="rId50" Type="http://schemas.openxmlformats.org/officeDocument/2006/relationships/hyperlink" Target="http://wireless.fcc.gov/auctions/default.htm?job=prohibited_communication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reless.fcc.gov/index.htm?job=licensee_consumer_information" TargetMode="External"/><Relationship Id="rId17" Type="http://schemas.openxmlformats.org/officeDocument/2006/relationships/hyperlink" Target="mailto:auction96@fcc.gov" TargetMode="External"/><Relationship Id="rId25" Type="http://schemas.openxmlformats.org/officeDocument/2006/relationships/hyperlink" Target="http://www.fcc.gov/" TargetMode="External"/><Relationship Id="rId33" Type="http://schemas.openxmlformats.org/officeDocument/2006/relationships/footer" Target="footer3.xml"/><Relationship Id="rId38" Type="http://schemas.openxmlformats.org/officeDocument/2006/relationships/footer" Target="footer6.xml"/><Relationship Id="rId46" Type="http://schemas.openxmlformats.org/officeDocument/2006/relationships/hyperlink" Target="https://auctionsignon2.fcc.gov/signon/index.htm" TargetMode="External"/><Relationship Id="rId2" Type="http://schemas.openxmlformats.org/officeDocument/2006/relationships/styles" Target="styles.xml"/><Relationship Id="rId16" Type="http://schemas.openxmlformats.org/officeDocument/2006/relationships/hyperlink" Target="http://wireless.fcc.gov/auctions/96/" TargetMode="External"/><Relationship Id="rId20" Type="http://schemas.openxmlformats.org/officeDocument/2006/relationships/hyperlink" Target="http://wireless.fcc.gov/auctions/" TargetMode="External"/><Relationship Id="rId29" Type="http://schemas.openxmlformats.org/officeDocument/2006/relationships/header" Target="header2.xml"/><Relationship Id="rId41" Type="http://schemas.openxmlformats.org/officeDocument/2006/relationships/hyperlink" Target="https://auctionsignon.fcc.gov/signon/index.ht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reless.fcc.gov/auctions/default.htm?job=prohibited_communications" TargetMode="External"/><Relationship Id="rId24" Type="http://schemas.openxmlformats.org/officeDocument/2006/relationships/hyperlink" Target="http://www.fcc.gov/ocbo/"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hyperlink" Target="http://www.adobe.com/" TargetMode="External"/><Relationship Id="rId45" Type="http://schemas.openxmlformats.org/officeDocument/2006/relationships/hyperlink" Target="https://auctionsignon.fcc.gov/signon/index.htm" TargetMode="External"/><Relationship Id="rId53"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mailto:auction96@fcc.gov" TargetMode="External"/><Relationship Id="rId23" Type="http://schemas.openxmlformats.org/officeDocument/2006/relationships/hyperlink" Target="mailto:fcc504@fcc.gov" TargetMode="External"/><Relationship Id="rId28" Type="http://schemas.openxmlformats.org/officeDocument/2006/relationships/header" Target="header1.xml"/><Relationship Id="rId36" Type="http://schemas.openxmlformats.org/officeDocument/2006/relationships/header" Target="header5.xml"/><Relationship Id="rId49" Type="http://schemas.openxmlformats.org/officeDocument/2006/relationships/footer" Target="footer8.xml"/><Relationship Id="rId10" Type="http://schemas.openxmlformats.org/officeDocument/2006/relationships/hyperlink" Target="mailto:auction96@fcc.gov" TargetMode="External"/><Relationship Id="rId19" Type="http://schemas.openxmlformats.org/officeDocument/2006/relationships/hyperlink" Target="http://wireless.fcc.gov/auctions/96/" TargetMode="External"/><Relationship Id="rId31" Type="http://schemas.openxmlformats.org/officeDocument/2006/relationships/footer" Target="footer2.xml"/><Relationship Id="rId44" Type="http://schemas.openxmlformats.org/officeDocument/2006/relationships/hyperlink" Target="mailto:david.krech@fcc.gov" TargetMode="External"/><Relationship Id="rId52"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ireless.fcc.gov/auctions/default.htm?job=auctions_home" TargetMode="External"/><Relationship Id="rId14" Type="http://schemas.openxmlformats.org/officeDocument/2006/relationships/hyperlink" Target="http://sec.gov/cgi-bin/txt-srch-sec?text=fraud&amp;section=Investor+Information" TargetMode="External"/><Relationship Id="rId22" Type="http://schemas.openxmlformats.org/officeDocument/2006/relationships/hyperlink" Target="http://www.fcc.gov/formpage.html" TargetMode="External"/><Relationship Id="rId27" Type="http://schemas.openxmlformats.org/officeDocument/2006/relationships/hyperlink" Target="http://wireless.fcc.gov/uls"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hyperlink" Target="http://www.fcc.gov/ib" TargetMode="External"/><Relationship Id="rId48"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hyperlink" Target="http://www.bcpiweb.com/" TargetMode="Externa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get.adobe.com/flashplayer/" TargetMode="External"/><Relationship Id="rId2" Type="http://schemas.openxmlformats.org/officeDocument/2006/relationships/hyperlink" Target="http://wireless.fcc.gov/auctions/default.htm?job=auction_summary&amp;id=58" TargetMode="External"/><Relationship Id="rId1" Type="http://schemas.openxmlformats.org/officeDocument/2006/relationships/hyperlink" Target="http://wireless.fcc.gov/auctions/58/" TargetMode="External"/><Relationship Id="rId4" Type="http://schemas.openxmlformats.org/officeDocument/2006/relationships/hyperlink" Target="mailto:auction96@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33648</Words>
  <Characters>186345</Characters>
  <Application>Microsoft Office Word</Application>
  <DocSecurity>0</DocSecurity>
  <Lines>2978</Lines>
  <Paragraphs>930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220147</CharactersWithSpaces>
  <SharedDoc>false</SharedDoc>
  <HyperlinkBase> </HyperlinkBase>
  <HLinks>
    <vt:vector size="198" baseType="variant">
      <vt:variant>
        <vt:i4>2228350</vt:i4>
      </vt:variant>
      <vt:variant>
        <vt:i4>90</vt:i4>
      </vt:variant>
      <vt:variant>
        <vt:i4>0</vt:i4>
      </vt:variant>
      <vt:variant>
        <vt:i4>5</vt:i4>
      </vt:variant>
      <vt:variant>
        <vt:lpwstr>http://www.bcpiweb.com/</vt:lpwstr>
      </vt:variant>
      <vt:variant>
        <vt:lpwstr/>
      </vt:variant>
      <vt:variant>
        <vt:i4>4391022</vt:i4>
      </vt:variant>
      <vt:variant>
        <vt:i4>87</vt:i4>
      </vt:variant>
      <vt:variant>
        <vt:i4>0</vt:i4>
      </vt:variant>
      <vt:variant>
        <vt:i4>5</vt:i4>
      </vt:variant>
      <vt:variant>
        <vt:lpwstr>http://wireless.fcc.gov/auctions/default.htm?job=prohibited_communications</vt:lpwstr>
      </vt:variant>
      <vt:variant>
        <vt:lpwstr/>
      </vt:variant>
      <vt:variant>
        <vt:i4>2556027</vt:i4>
      </vt:variant>
      <vt:variant>
        <vt:i4>84</vt:i4>
      </vt:variant>
      <vt:variant>
        <vt:i4>0</vt:i4>
      </vt:variant>
      <vt:variant>
        <vt:i4>5</vt:i4>
      </vt:variant>
      <vt:variant>
        <vt:lpwstr>https://auctionsignon2.fcc.gov/signon/index.htm</vt:lpwstr>
      </vt:variant>
      <vt:variant>
        <vt:lpwstr/>
      </vt:variant>
      <vt:variant>
        <vt:i4>4063293</vt:i4>
      </vt:variant>
      <vt:variant>
        <vt:i4>81</vt:i4>
      </vt:variant>
      <vt:variant>
        <vt:i4>0</vt:i4>
      </vt:variant>
      <vt:variant>
        <vt:i4>5</vt:i4>
      </vt:variant>
      <vt:variant>
        <vt:lpwstr>https://auctionsignon.fcc.gov/signon/index.htm</vt:lpwstr>
      </vt:variant>
      <vt:variant>
        <vt:lpwstr/>
      </vt:variant>
      <vt:variant>
        <vt:i4>2556027</vt:i4>
      </vt:variant>
      <vt:variant>
        <vt:i4>78</vt:i4>
      </vt:variant>
      <vt:variant>
        <vt:i4>0</vt:i4>
      </vt:variant>
      <vt:variant>
        <vt:i4>5</vt:i4>
      </vt:variant>
      <vt:variant>
        <vt:lpwstr>https://auctionsignon2.fcc.gov/signon/index.htm</vt:lpwstr>
      </vt:variant>
      <vt:variant>
        <vt:lpwstr/>
      </vt:variant>
      <vt:variant>
        <vt:i4>4063293</vt:i4>
      </vt:variant>
      <vt:variant>
        <vt:i4>75</vt:i4>
      </vt:variant>
      <vt:variant>
        <vt:i4>0</vt:i4>
      </vt:variant>
      <vt:variant>
        <vt:i4>5</vt:i4>
      </vt:variant>
      <vt:variant>
        <vt:lpwstr>https://auctionsignon.fcc.gov/signon/index.htm</vt:lpwstr>
      </vt:variant>
      <vt:variant>
        <vt:lpwstr/>
      </vt:variant>
      <vt:variant>
        <vt:i4>5111831</vt:i4>
      </vt:variant>
      <vt:variant>
        <vt:i4>72</vt:i4>
      </vt:variant>
      <vt:variant>
        <vt:i4>0</vt:i4>
      </vt:variant>
      <vt:variant>
        <vt:i4>5</vt:i4>
      </vt:variant>
      <vt:variant>
        <vt:lpwstr>http://www.adobe.com/</vt:lpwstr>
      </vt:variant>
      <vt:variant>
        <vt:lpwstr/>
      </vt:variant>
      <vt:variant>
        <vt:i4>3997800</vt:i4>
      </vt:variant>
      <vt:variant>
        <vt:i4>69</vt:i4>
      </vt:variant>
      <vt:variant>
        <vt:i4>0</vt:i4>
      </vt:variant>
      <vt:variant>
        <vt:i4>5</vt:i4>
      </vt:variant>
      <vt:variant>
        <vt:lpwstr>http://www.oracle.com/technetwork/java/javase/downloads/index.html</vt:lpwstr>
      </vt:variant>
      <vt:variant>
        <vt:lpwstr/>
      </vt:variant>
      <vt:variant>
        <vt:i4>8257650</vt:i4>
      </vt:variant>
      <vt:variant>
        <vt:i4>66</vt:i4>
      </vt:variant>
      <vt:variant>
        <vt:i4>0</vt:i4>
      </vt:variant>
      <vt:variant>
        <vt:i4>5</vt:i4>
      </vt:variant>
      <vt:variant>
        <vt:lpwstr>http://wireless.fcc.gov/uls</vt:lpwstr>
      </vt:variant>
      <vt:variant>
        <vt:lpwstr/>
      </vt:variant>
      <vt:variant>
        <vt:i4>983042</vt:i4>
      </vt:variant>
      <vt:variant>
        <vt:i4>63</vt:i4>
      </vt:variant>
      <vt:variant>
        <vt:i4>0</vt:i4>
      </vt:variant>
      <vt:variant>
        <vt:i4>5</vt:i4>
      </vt:variant>
      <vt:variant>
        <vt:lpwstr>http://wireless.fcc.gov/auctions</vt:lpwstr>
      </vt:variant>
      <vt:variant>
        <vt:lpwstr/>
      </vt:variant>
      <vt:variant>
        <vt:i4>4128882</vt:i4>
      </vt:variant>
      <vt:variant>
        <vt:i4>60</vt:i4>
      </vt:variant>
      <vt:variant>
        <vt:i4>0</vt:i4>
      </vt:variant>
      <vt:variant>
        <vt:i4>5</vt:i4>
      </vt:variant>
      <vt:variant>
        <vt:lpwstr>http://www.fcc.gov/</vt:lpwstr>
      </vt:variant>
      <vt:variant>
        <vt:lpwstr/>
      </vt:variant>
      <vt:variant>
        <vt:i4>1900625</vt:i4>
      </vt:variant>
      <vt:variant>
        <vt:i4>57</vt:i4>
      </vt:variant>
      <vt:variant>
        <vt:i4>0</vt:i4>
      </vt:variant>
      <vt:variant>
        <vt:i4>5</vt:i4>
      </vt:variant>
      <vt:variant>
        <vt:lpwstr>http://www.fcc.gov/ocbo/</vt:lpwstr>
      </vt:variant>
      <vt:variant>
        <vt:lpwstr/>
      </vt:variant>
      <vt:variant>
        <vt:i4>3473482</vt:i4>
      </vt:variant>
      <vt:variant>
        <vt:i4>54</vt:i4>
      </vt:variant>
      <vt:variant>
        <vt:i4>0</vt:i4>
      </vt:variant>
      <vt:variant>
        <vt:i4>5</vt:i4>
      </vt:variant>
      <vt:variant>
        <vt:lpwstr>mailto:fcc504@fcc.gov</vt:lpwstr>
      </vt:variant>
      <vt:variant>
        <vt:lpwstr/>
      </vt:variant>
      <vt:variant>
        <vt:i4>655454</vt:i4>
      </vt:variant>
      <vt:variant>
        <vt:i4>51</vt:i4>
      </vt:variant>
      <vt:variant>
        <vt:i4>0</vt:i4>
      </vt:variant>
      <vt:variant>
        <vt:i4>5</vt:i4>
      </vt:variant>
      <vt:variant>
        <vt:lpwstr>http://www.fcc.gov/formpage.html</vt:lpwstr>
      </vt:variant>
      <vt:variant>
        <vt:lpwstr/>
      </vt:variant>
      <vt:variant>
        <vt:i4>2228350</vt:i4>
      </vt:variant>
      <vt:variant>
        <vt:i4>48</vt:i4>
      </vt:variant>
      <vt:variant>
        <vt:i4>0</vt:i4>
      </vt:variant>
      <vt:variant>
        <vt:i4>5</vt:i4>
      </vt:variant>
      <vt:variant>
        <vt:lpwstr>http://www.bcpiweb.com/</vt:lpwstr>
      </vt:variant>
      <vt:variant>
        <vt:lpwstr/>
      </vt:variant>
      <vt:variant>
        <vt:i4>983042</vt:i4>
      </vt:variant>
      <vt:variant>
        <vt:i4>45</vt:i4>
      </vt:variant>
      <vt:variant>
        <vt:i4>0</vt:i4>
      </vt:variant>
      <vt:variant>
        <vt:i4>5</vt:i4>
      </vt:variant>
      <vt:variant>
        <vt:lpwstr>http://wireless.fcc.gov/auctions/</vt:lpwstr>
      </vt:variant>
      <vt:variant>
        <vt:lpwstr/>
      </vt:variant>
      <vt:variant>
        <vt:i4>1638427</vt:i4>
      </vt:variant>
      <vt:variant>
        <vt:i4>42</vt:i4>
      </vt:variant>
      <vt:variant>
        <vt:i4>0</vt:i4>
      </vt:variant>
      <vt:variant>
        <vt:i4>5</vt:i4>
      </vt:variant>
      <vt:variant>
        <vt:lpwstr>http://wireless.fcc.gov/auctions/96/</vt:lpwstr>
      </vt:variant>
      <vt:variant>
        <vt:lpwstr/>
      </vt:variant>
      <vt:variant>
        <vt:i4>1638427</vt:i4>
      </vt:variant>
      <vt:variant>
        <vt:i4>39</vt:i4>
      </vt:variant>
      <vt:variant>
        <vt:i4>0</vt:i4>
      </vt:variant>
      <vt:variant>
        <vt:i4>5</vt:i4>
      </vt:variant>
      <vt:variant>
        <vt:lpwstr>http://wireless.fcc.gov/auctions/96/</vt:lpwstr>
      </vt:variant>
      <vt:variant>
        <vt:lpwstr/>
      </vt:variant>
      <vt:variant>
        <vt:i4>4522111</vt:i4>
      </vt:variant>
      <vt:variant>
        <vt:i4>36</vt:i4>
      </vt:variant>
      <vt:variant>
        <vt:i4>0</vt:i4>
      </vt:variant>
      <vt:variant>
        <vt:i4>5</vt:i4>
      </vt:variant>
      <vt:variant>
        <vt:lpwstr>mailto:auction96@fcc.gov</vt:lpwstr>
      </vt:variant>
      <vt:variant>
        <vt:lpwstr/>
      </vt:variant>
      <vt:variant>
        <vt:i4>1638427</vt:i4>
      </vt:variant>
      <vt:variant>
        <vt:i4>33</vt:i4>
      </vt:variant>
      <vt:variant>
        <vt:i4>0</vt:i4>
      </vt:variant>
      <vt:variant>
        <vt:i4>5</vt:i4>
      </vt:variant>
      <vt:variant>
        <vt:lpwstr>http://wireless.fcc.gov/auctions/96/</vt:lpwstr>
      </vt:variant>
      <vt:variant>
        <vt:lpwstr/>
      </vt:variant>
      <vt:variant>
        <vt:i4>4522111</vt:i4>
      </vt:variant>
      <vt:variant>
        <vt:i4>30</vt:i4>
      </vt:variant>
      <vt:variant>
        <vt:i4>0</vt:i4>
      </vt:variant>
      <vt:variant>
        <vt:i4>5</vt:i4>
      </vt:variant>
      <vt:variant>
        <vt:lpwstr>mailto:auction96@fcc.gov</vt:lpwstr>
      </vt:variant>
      <vt:variant>
        <vt:lpwstr/>
      </vt:variant>
      <vt:variant>
        <vt:i4>4522111</vt:i4>
      </vt:variant>
      <vt:variant>
        <vt:i4>27</vt:i4>
      </vt:variant>
      <vt:variant>
        <vt:i4>0</vt:i4>
      </vt:variant>
      <vt:variant>
        <vt:i4>5</vt:i4>
      </vt:variant>
      <vt:variant>
        <vt:lpwstr>mailto:auction96@fcc.gov</vt:lpwstr>
      </vt:variant>
      <vt:variant>
        <vt:lpwstr/>
      </vt:variant>
      <vt:variant>
        <vt:i4>7405690</vt:i4>
      </vt:variant>
      <vt:variant>
        <vt:i4>24</vt:i4>
      </vt:variant>
      <vt:variant>
        <vt:i4>0</vt:i4>
      </vt:variant>
      <vt:variant>
        <vt:i4>5</vt:i4>
      </vt:variant>
      <vt:variant>
        <vt:lpwstr>http://sec.gov/cgi-bin/txt-srch-sec?text=fraud&amp;section=Investor+Information</vt:lpwstr>
      </vt:variant>
      <vt:variant>
        <vt:lpwstr/>
      </vt:variant>
      <vt:variant>
        <vt:i4>3473524</vt:i4>
      </vt:variant>
      <vt:variant>
        <vt:i4>21</vt:i4>
      </vt:variant>
      <vt:variant>
        <vt:i4>0</vt:i4>
      </vt:variant>
      <vt:variant>
        <vt:i4>5</vt:i4>
      </vt:variant>
      <vt:variant>
        <vt:lpwstr>http://ftc.gov/bcp/edu/pubs/consumer/invest/inv03.shtm</vt:lpwstr>
      </vt:variant>
      <vt:variant>
        <vt:lpwstr/>
      </vt:variant>
      <vt:variant>
        <vt:i4>6291507</vt:i4>
      </vt:variant>
      <vt:variant>
        <vt:i4>18</vt:i4>
      </vt:variant>
      <vt:variant>
        <vt:i4>0</vt:i4>
      </vt:variant>
      <vt:variant>
        <vt:i4>5</vt:i4>
      </vt:variant>
      <vt:variant>
        <vt:lpwstr>http://wireless.fcc.gov/index.htm?job=licensee_consumer_information</vt:lpwstr>
      </vt:variant>
      <vt:variant>
        <vt:lpwstr>d36e37</vt:lpwstr>
      </vt:variant>
      <vt:variant>
        <vt:i4>5308418</vt:i4>
      </vt:variant>
      <vt:variant>
        <vt:i4>15</vt:i4>
      </vt:variant>
      <vt:variant>
        <vt:i4>0</vt:i4>
      </vt:variant>
      <vt:variant>
        <vt:i4>5</vt:i4>
      </vt:variant>
      <vt:variant>
        <vt:lpwstr>http://esupport.fcc.gov/licensing.htm</vt:lpwstr>
      </vt:variant>
      <vt:variant>
        <vt:lpwstr/>
      </vt:variant>
      <vt:variant>
        <vt:i4>4391022</vt:i4>
      </vt:variant>
      <vt:variant>
        <vt:i4>12</vt:i4>
      </vt:variant>
      <vt:variant>
        <vt:i4>0</vt:i4>
      </vt:variant>
      <vt:variant>
        <vt:i4>5</vt:i4>
      </vt:variant>
      <vt:variant>
        <vt:lpwstr>http://wireless.fcc.gov/auctions/default.htm?job=prohibited_communications</vt:lpwstr>
      </vt:variant>
      <vt:variant>
        <vt:lpwstr/>
      </vt:variant>
      <vt:variant>
        <vt:i4>4522111</vt:i4>
      </vt:variant>
      <vt:variant>
        <vt:i4>9</vt:i4>
      </vt:variant>
      <vt:variant>
        <vt:i4>0</vt:i4>
      </vt:variant>
      <vt:variant>
        <vt:i4>5</vt:i4>
      </vt:variant>
      <vt:variant>
        <vt:lpwstr>mailto:auction96@fcc.gov</vt:lpwstr>
      </vt:variant>
      <vt:variant>
        <vt:lpwstr/>
      </vt:variant>
      <vt:variant>
        <vt:i4>5308522</vt:i4>
      </vt:variant>
      <vt:variant>
        <vt:i4>6</vt:i4>
      </vt:variant>
      <vt:variant>
        <vt:i4>0</vt:i4>
      </vt:variant>
      <vt:variant>
        <vt:i4>5</vt:i4>
      </vt:variant>
      <vt:variant>
        <vt:lpwstr>http://wireless.fcc.gov/auctions/default.htm?job=auctions_home</vt:lpwstr>
      </vt:variant>
      <vt:variant>
        <vt:lpwstr/>
      </vt:variant>
      <vt:variant>
        <vt:i4>4587647</vt:i4>
      </vt:variant>
      <vt:variant>
        <vt:i4>9</vt:i4>
      </vt:variant>
      <vt:variant>
        <vt:i4>0</vt:i4>
      </vt:variant>
      <vt:variant>
        <vt:i4>5</vt:i4>
      </vt:variant>
      <vt:variant>
        <vt:lpwstr>mailto:auction95@fcc.gov</vt:lpwstr>
      </vt:variant>
      <vt:variant>
        <vt:lpwstr/>
      </vt:variant>
      <vt:variant>
        <vt:i4>5570625</vt:i4>
      </vt:variant>
      <vt:variant>
        <vt:i4>6</vt:i4>
      </vt:variant>
      <vt:variant>
        <vt:i4>0</vt:i4>
      </vt:variant>
      <vt:variant>
        <vt:i4>5</vt:i4>
      </vt:variant>
      <vt:variant>
        <vt:lpwstr>http://get.adobe.com/flashplayer/</vt:lpwstr>
      </vt:variant>
      <vt:variant>
        <vt:lpwstr/>
      </vt:variant>
      <vt:variant>
        <vt:i4>7209054</vt:i4>
      </vt:variant>
      <vt:variant>
        <vt:i4>3</vt:i4>
      </vt:variant>
      <vt:variant>
        <vt:i4>0</vt:i4>
      </vt:variant>
      <vt:variant>
        <vt:i4>5</vt:i4>
      </vt:variant>
      <vt:variant>
        <vt:lpwstr>http://wireless.fcc.gov/auctions/default.htm?job=auction_summary&amp;id=58</vt:lpwstr>
      </vt:variant>
      <vt:variant>
        <vt:lpwstr/>
      </vt:variant>
      <vt:variant>
        <vt:i4>1376277</vt:i4>
      </vt:variant>
      <vt:variant>
        <vt:i4>0</vt:i4>
      </vt:variant>
      <vt:variant>
        <vt:i4>0</vt:i4>
      </vt:variant>
      <vt:variant>
        <vt:i4>5</vt:i4>
      </vt:variant>
      <vt:variant>
        <vt:lpwstr>http://wireless.fcc.gov/auctions/58/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2013-09-06T19:02:00Z</cp:lastPrinted>
  <dcterms:created xsi:type="dcterms:W3CDTF">2013-09-13T18:14:00Z</dcterms:created>
  <dcterms:modified xsi:type="dcterms:W3CDTF">2013-09-13T18:14:00Z</dcterms:modified>
  <cp:category> </cp:category>
  <cp:contentStatus> </cp:contentStatus>
</cp:coreProperties>
</file>