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4BA" w:rsidRDefault="002654BA" w:rsidP="007B77C1">
      <w:pPr>
        <w:pStyle w:val="Title"/>
      </w:pPr>
      <w:bookmarkStart w:id="0" w:name="_GoBack"/>
      <w:bookmarkEnd w:id="0"/>
    </w:p>
    <w:p w:rsidR="002B3ABD" w:rsidRPr="00283FC2" w:rsidRDefault="002B3ABD" w:rsidP="007B77C1">
      <w:pPr>
        <w:pStyle w:val="Title"/>
      </w:pPr>
      <w:r w:rsidRPr="00283FC2">
        <w:t>Before the</w:t>
      </w:r>
    </w:p>
    <w:p w:rsidR="002B3ABD" w:rsidRPr="00283FC2" w:rsidRDefault="001E6642" w:rsidP="001045E6">
      <w:pPr>
        <w:pStyle w:val="Subtitle"/>
        <w:tabs>
          <w:tab w:val="center" w:pos="4680"/>
          <w:tab w:val="left" w:pos="8600"/>
        </w:tabs>
        <w:jc w:val="left"/>
        <w:rPr>
          <w:sz w:val="22"/>
        </w:rPr>
      </w:pPr>
      <w:r>
        <w:rPr>
          <w:sz w:val="22"/>
        </w:rPr>
        <w:tab/>
      </w:r>
      <w:r w:rsidR="002B3ABD" w:rsidRPr="00283FC2">
        <w:rPr>
          <w:sz w:val="22"/>
        </w:rPr>
        <w:t>Federal Communications Commission</w:t>
      </w:r>
      <w:r>
        <w:rPr>
          <w:sz w:val="22"/>
        </w:rPr>
        <w:tab/>
      </w:r>
    </w:p>
    <w:p w:rsidR="002B3ABD" w:rsidRPr="00283FC2" w:rsidRDefault="002B3ABD" w:rsidP="007B77C1">
      <w:pPr>
        <w:jc w:val="center"/>
        <w:rPr>
          <w:b/>
        </w:rPr>
      </w:pPr>
      <w:r w:rsidRPr="00283FC2">
        <w:rPr>
          <w:b/>
        </w:rPr>
        <w:t>Washington, D.C. 20554</w:t>
      </w:r>
    </w:p>
    <w:p w:rsidR="002B3ABD" w:rsidRPr="00283FC2" w:rsidRDefault="00F3319E" w:rsidP="001045E6">
      <w:pPr>
        <w:tabs>
          <w:tab w:val="left" w:pos="-720"/>
          <w:tab w:val="left" w:pos="6550"/>
        </w:tabs>
        <w:suppressAutoHyphens/>
        <w:spacing w:line="227" w:lineRule="auto"/>
        <w:rPr>
          <w:spacing w:val="-2"/>
        </w:rPr>
      </w:pPr>
      <w:r>
        <w:rPr>
          <w:spacing w:val="-2"/>
        </w:rPr>
        <w:tab/>
      </w:r>
    </w:p>
    <w:tbl>
      <w:tblPr>
        <w:tblW w:w="0" w:type="auto"/>
        <w:tblLayout w:type="fixed"/>
        <w:tblLook w:val="0000" w:firstRow="0" w:lastRow="0" w:firstColumn="0" w:lastColumn="0" w:noHBand="0" w:noVBand="0"/>
      </w:tblPr>
      <w:tblGrid>
        <w:gridCol w:w="4698"/>
        <w:gridCol w:w="630"/>
        <w:gridCol w:w="4248"/>
      </w:tblGrid>
      <w:tr w:rsidR="002B3ABD" w:rsidRPr="00283FC2">
        <w:tc>
          <w:tcPr>
            <w:tcW w:w="4698" w:type="dxa"/>
          </w:tcPr>
          <w:p w:rsidR="002B3ABD" w:rsidRPr="00283FC2" w:rsidRDefault="002B3ABD" w:rsidP="007B77C1">
            <w:pPr>
              <w:tabs>
                <w:tab w:val="center" w:pos="4680"/>
              </w:tabs>
              <w:suppressAutoHyphens/>
              <w:rPr>
                <w:spacing w:val="-2"/>
              </w:rPr>
            </w:pPr>
            <w:r w:rsidRPr="00283FC2">
              <w:rPr>
                <w:spacing w:val="-2"/>
              </w:rPr>
              <w:t>In the Matter of</w:t>
            </w:r>
          </w:p>
          <w:p w:rsidR="002B3ABD" w:rsidRPr="00283FC2" w:rsidRDefault="002B3ABD" w:rsidP="007B77C1">
            <w:pPr>
              <w:tabs>
                <w:tab w:val="center" w:pos="4680"/>
              </w:tabs>
              <w:suppressAutoHyphens/>
              <w:rPr>
                <w:spacing w:val="-2"/>
              </w:rPr>
            </w:pPr>
          </w:p>
          <w:p w:rsidR="00565F75" w:rsidRPr="00484185" w:rsidRDefault="00565F75" w:rsidP="007B77C1">
            <w:pPr>
              <w:tabs>
                <w:tab w:val="center" w:pos="4680"/>
              </w:tabs>
              <w:suppressAutoHyphens/>
            </w:pPr>
            <w:r w:rsidRPr="00484185">
              <w:t>Special Access for Price Cap Local Exchange Carriers;</w:t>
            </w:r>
          </w:p>
          <w:p w:rsidR="00565F75" w:rsidRPr="00484185" w:rsidRDefault="00565F75" w:rsidP="007B77C1">
            <w:pPr>
              <w:tabs>
                <w:tab w:val="center" w:pos="4680"/>
              </w:tabs>
              <w:suppressAutoHyphens/>
            </w:pPr>
          </w:p>
          <w:p w:rsidR="00565F75" w:rsidRPr="00484185" w:rsidRDefault="00565F75" w:rsidP="007B77C1">
            <w:pPr>
              <w:tabs>
                <w:tab w:val="center" w:pos="4680"/>
              </w:tabs>
              <w:suppressAutoHyphens/>
            </w:pPr>
            <w:r w:rsidRPr="00484185">
              <w:t>AT&amp;T Corporation Petition for Rulemaking to Reform Regulation of Incumbent Local Exchange Carrier Rates for Interstate Special Access Services</w:t>
            </w:r>
          </w:p>
          <w:p w:rsidR="002B3ABD" w:rsidRPr="00283FC2" w:rsidRDefault="002B3ABD" w:rsidP="007B77C1"/>
        </w:tc>
        <w:tc>
          <w:tcPr>
            <w:tcW w:w="630" w:type="dxa"/>
          </w:tcPr>
          <w:p w:rsidR="002B3ABD" w:rsidRPr="00283FC2" w:rsidRDefault="002B3ABD" w:rsidP="007B77C1">
            <w:pPr>
              <w:tabs>
                <w:tab w:val="center" w:pos="4680"/>
              </w:tabs>
              <w:suppressAutoHyphens/>
              <w:rPr>
                <w:b/>
                <w:spacing w:val="-2"/>
              </w:rPr>
            </w:pPr>
            <w:r w:rsidRPr="00283FC2">
              <w:rPr>
                <w:b/>
                <w:spacing w:val="-2"/>
              </w:rPr>
              <w:t>)</w:t>
            </w:r>
          </w:p>
          <w:p w:rsidR="002B3ABD" w:rsidRPr="00283FC2" w:rsidRDefault="002B3ABD" w:rsidP="007B77C1">
            <w:pPr>
              <w:tabs>
                <w:tab w:val="center" w:pos="4680"/>
              </w:tabs>
              <w:suppressAutoHyphens/>
              <w:rPr>
                <w:b/>
                <w:spacing w:val="-2"/>
              </w:rPr>
            </w:pPr>
            <w:r w:rsidRPr="00283FC2">
              <w:rPr>
                <w:b/>
                <w:spacing w:val="-2"/>
              </w:rPr>
              <w:t>)</w:t>
            </w:r>
          </w:p>
          <w:p w:rsidR="002B3ABD" w:rsidRPr="00283FC2" w:rsidRDefault="002B3ABD" w:rsidP="007B77C1">
            <w:pPr>
              <w:tabs>
                <w:tab w:val="center" w:pos="4680"/>
              </w:tabs>
              <w:suppressAutoHyphens/>
              <w:rPr>
                <w:b/>
                <w:spacing w:val="-2"/>
              </w:rPr>
            </w:pPr>
            <w:r w:rsidRPr="00283FC2">
              <w:rPr>
                <w:b/>
                <w:spacing w:val="-2"/>
              </w:rPr>
              <w:t>)</w:t>
            </w:r>
          </w:p>
          <w:p w:rsidR="002B3ABD" w:rsidRPr="00283FC2" w:rsidRDefault="002B3ABD" w:rsidP="007B77C1">
            <w:pPr>
              <w:tabs>
                <w:tab w:val="center" w:pos="4680"/>
              </w:tabs>
              <w:suppressAutoHyphens/>
              <w:rPr>
                <w:b/>
                <w:spacing w:val="-2"/>
              </w:rPr>
            </w:pPr>
            <w:r w:rsidRPr="00283FC2">
              <w:rPr>
                <w:b/>
                <w:spacing w:val="-2"/>
              </w:rPr>
              <w:t>)</w:t>
            </w:r>
          </w:p>
          <w:p w:rsidR="002B3ABD" w:rsidRPr="00283FC2" w:rsidRDefault="002B3ABD" w:rsidP="007B77C1">
            <w:pPr>
              <w:tabs>
                <w:tab w:val="center" w:pos="4680"/>
              </w:tabs>
              <w:suppressAutoHyphens/>
              <w:rPr>
                <w:b/>
                <w:spacing w:val="-2"/>
              </w:rPr>
            </w:pPr>
            <w:r w:rsidRPr="00283FC2">
              <w:rPr>
                <w:b/>
                <w:spacing w:val="-2"/>
              </w:rPr>
              <w:t>)</w:t>
            </w:r>
          </w:p>
          <w:p w:rsidR="002B3ABD" w:rsidRDefault="002B3ABD" w:rsidP="007B77C1">
            <w:pPr>
              <w:tabs>
                <w:tab w:val="center" w:pos="4680"/>
              </w:tabs>
              <w:suppressAutoHyphens/>
              <w:rPr>
                <w:b/>
                <w:spacing w:val="-2"/>
              </w:rPr>
            </w:pPr>
            <w:r w:rsidRPr="00283FC2">
              <w:rPr>
                <w:b/>
                <w:spacing w:val="-2"/>
              </w:rPr>
              <w:t>)</w:t>
            </w:r>
          </w:p>
          <w:p w:rsidR="00565F75" w:rsidRDefault="00565F75" w:rsidP="007B77C1">
            <w:pPr>
              <w:tabs>
                <w:tab w:val="center" w:pos="4680"/>
              </w:tabs>
              <w:suppressAutoHyphens/>
              <w:rPr>
                <w:b/>
                <w:spacing w:val="-2"/>
              </w:rPr>
            </w:pPr>
            <w:r>
              <w:rPr>
                <w:b/>
                <w:spacing w:val="-2"/>
              </w:rPr>
              <w:t>)</w:t>
            </w:r>
          </w:p>
          <w:p w:rsidR="00565F75" w:rsidRDefault="00565F75" w:rsidP="007B77C1">
            <w:pPr>
              <w:tabs>
                <w:tab w:val="center" w:pos="4680"/>
              </w:tabs>
              <w:suppressAutoHyphens/>
              <w:rPr>
                <w:b/>
                <w:spacing w:val="-2"/>
              </w:rPr>
            </w:pPr>
            <w:r>
              <w:rPr>
                <w:b/>
                <w:spacing w:val="-2"/>
              </w:rPr>
              <w:t>)</w:t>
            </w:r>
          </w:p>
          <w:p w:rsidR="00565F75" w:rsidRPr="00283FC2" w:rsidRDefault="00565F75" w:rsidP="007B77C1">
            <w:pPr>
              <w:tabs>
                <w:tab w:val="center" w:pos="4680"/>
              </w:tabs>
              <w:suppressAutoHyphens/>
              <w:rPr>
                <w:spacing w:val="-2"/>
              </w:rPr>
            </w:pPr>
            <w:r>
              <w:rPr>
                <w:b/>
                <w:spacing w:val="-2"/>
              </w:rPr>
              <w:t>)</w:t>
            </w:r>
          </w:p>
        </w:tc>
        <w:tc>
          <w:tcPr>
            <w:tcW w:w="4248" w:type="dxa"/>
          </w:tcPr>
          <w:p w:rsidR="002B3ABD" w:rsidRPr="00283FC2" w:rsidRDefault="002B3ABD" w:rsidP="007B77C1">
            <w:pPr>
              <w:tabs>
                <w:tab w:val="center" w:pos="4680"/>
              </w:tabs>
              <w:suppressAutoHyphens/>
              <w:rPr>
                <w:spacing w:val="-2"/>
              </w:rPr>
            </w:pPr>
          </w:p>
          <w:p w:rsidR="002B3ABD" w:rsidRPr="00283FC2" w:rsidRDefault="002B3ABD" w:rsidP="007B77C1">
            <w:pPr>
              <w:tabs>
                <w:tab w:val="center" w:pos="4680"/>
              </w:tabs>
              <w:suppressAutoHyphens/>
              <w:rPr>
                <w:spacing w:val="-2"/>
              </w:rPr>
            </w:pPr>
          </w:p>
          <w:p w:rsidR="00565F75" w:rsidRPr="00484185" w:rsidRDefault="00565F75" w:rsidP="005A5FB6">
            <w:pPr>
              <w:tabs>
                <w:tab w:val="left" w:pos="2615"/>
              </w:tabs>
              <w:suppressAutoHyphens/>
            </w:pPr>
            <w:r w:rsidRPr="00484185">
              <w:t>WC Docket No. 05-25</w:t>
            </w:r>
          </w:p>
          <w:p w:rsidR="00565F75" w:rsidRPr="00484185" w:rsidRDefault="00565F75" w:rsidP="007B77C1">
            <w:pPr>
              <w:tabs>
                <w:tab w:val="center" w:pos="4680"/>
              </w:tabs>
              <w:suppressAutoHyphens/>
            </w:pPr>
          </w:p>
          <w:p w:rsidR="00565F75" w:rsidRPr="00484185" w:rsidRDefault="00565F75" w:rsidP="007B77C1">
            <w:pPr>
              <w:tabs>
                <w:tab w:val="center" w:pos="4680"/>
              </w:tabs>
              <w:suppressAutoHyphens/>
            </w:pPr>
          </w:p>
          <w:p w:rsidR="00565F75" w:rsidRPr="00484185" w:rsidRDefault="00565F75" w:rsidP="007B77C1">
            <w:pPr>
              <w:tabs>
                <w:tab w:val="center" w:pos="4680"/>
              </w:tabs>
              <w:suppressAutoHyphens/>
            </w:pPr>
            <w:r w:rsidRPr="00484185">
              <w:t>RM-10593</w:t>
            </w:r>
          </w:p>
          <w:p w:rsidR="00565F75" w:rsidRPr="00565F75" w:rsidRDefault="00565F75" w:rsidP="007B77C1"/>
        </w:tc>
      </w:tr>
    </w:tbl>
    <w:p w:rsidR="00DC2177" w:rsidRDefault="00DC2177" w:rsidP="007B77C1">
      <w:pPr>
        <w:jc w:val="center"/>
        <w:rPr>
          <w:b/>
        </w:rPr>
      </w:pPr>
    </w:p>
    <w:p w:rsidR="002B3ABD" w:rsidRPr="00283FC2" w:rsidRDefault="00A15852" w:rsidP="007B77C1">
      <w:pPr>
        <w:jc w:val="center"/>
        <w:rPr>
          <w:b/>
        </w:rPr>
      </w:pPr>
      <w:r>
        <w:rPr>
          <w:b/>
        </w:rPr>
        <w:t>REPORT AND ORDER</w:t>
      </w:r>
    </w:p>
    <w:p w:rsidR="0003381B" w:rsidRDefault="0003381B" w:rsidP="007B77C1">
      <w:pPr>
        <w:tabs>
          <w:tab w:val="left" w:pos="720"/>
          <w:tab w:val="left" w:pos="5760"/>
          <w:tab w:val="right" w:pos="9270"/>
        </w:tabs>
        <w:suppressAutoHyphens/>
        <w:spacing w:line="228" w:lineRule="auto"/>
        <w:rPr>
          <w:b/>
          <w:spacing w:val="-2"/>
        </w:rPr>
      </w:pPr>
    </w:p>
    <w:p w:rsidR="002B3ABD" w:rsidRPr="00283FC2" w:rsidRDefault="002B3ABD" w:rsidP="007B77C1">
      <w:pPr>
        <w:tabs>
          <w:tab w:val="left" w:pos="720"/>
          <w:tab w:val="left" w:pos="5760"/>
          <w:tab w:val="right" w:pos="9360"/>
        </w:tabs>
        <w:suppressAutoHyphens/>
        <w:spacing w:line="227" w:lineRule="auto"/>
        <w:rPr>
          <w:spacing w:val="-2"/>
        </w:rPr>
      </w:pPr>
      <w:r w:rsidRPr="00283FC2">
        <w:rPr>
          <w:b/>
          <w:spacing w:val="-2"/>
        </w:rPr>
        <w:t xml:space="preserve">Adopted:  </w:t>
      </w:r>
      <w:r w:rsidR="00832B03">
        <w:rPr>
          <w:b/>
          <w:spacing w:val="-2"/>
        </w:rPr>
        <w:t xml:space="preserve">September </w:t>
      </w:r>
      <w:r w:rsidR="00A63DA0">
        <w:rPr>
          <w:b/>
          <w:spacing w:val="-2"/>
        </w:rPr>
        <w:t>18</w:t>
      </w:r>
      <w:r w:rsidRPr="00283FC2">
        <w:rPr>
          <w:b/>
          <w:spacing w:val="-2"/>
        </w:rPr>
        <w:t>, 201</w:t>
      </w:r>
      <w:r w:rsidR="000C569A">
        <w:rPr>
          <w:b/>
          <w:spacing w:val="-2"/>
        </w:rPr>
        <w:t>3</w:t>
      </w:r>
      <w:r w:rsidRPr="00283FC2">
        <w:rPr>
          <w:b/>
          <w:spacing w:val="-2"/>
        </w:rPr>
        <w:tab/>
      </w:r>
      <w:r w:rsidRPr="00283FC2">
        <w:rPr>
          <w:b/>
          <w:spacing w:val="-2"/>
        </w:rPr>
        <w:tab/>
        <w:t xml:space="preserve">Released:  </w:t>
      </w:r>
      <w:r w:rsidR="00832B03">
        <w:rPr>
          <w:b/>
          <w:spacing w:val="-2"/>
        </w:rPr>
        <w:t xml:space="preserve">September </w:t>
      </w:r>
      <w:r w:rsidR="001B310A">
        <w:rPr>
          <w:b/>
          <w:spacing w:val="-2"/>
        </w:rPr>
        <w:t>1</w:t>
      </w:r>
      <w:r w:rsidR="00A63DA0">
        <w:rPr>
          <w:b/>
          <w:spacing w:val="-2"/>
        </w:rPr>
        <w:t>8</w:t>
      </w:r>
      <w:r w:rsidRPr="00283FC2">
        <w:rPr>
          <w:b/>
          <w:spacing w:val="-2"/>
        </w:rPr>
        <w:t>, 201</w:t>
      </w:r>
      <w:r w:rsidR="000C569A">
        <w:rPr>
          <w:b/>
          <w:spacing w:val="-2"/>
        </w:rPr>
        <w:t>3</w:t>
      </w:r>
    </w:p>
    <w:p w:rsidR="00441ED3" w:rsidRDefault="00441ED3" w:rsidP="007B77C1">
      <w:pPr>
        <w:tabs>
          <w:tab w:val="left" w:pos="5760"/>
        </w:tabs>
      </w:pPr>
    </w:p>
    <w:p w:rsidR="002B3ABD" w:rsidRDefault="002B3ABD" w:rsidP="007B77C1">
      <w:pPr>
        <w:tabs>
          <w:tab w:val="left" w:pos="5760"/>
        </w:tabs>
        <w:rPr>
          <w:spacing w:val="-2"/>
        </w:rPr>
      </w:pPr>
      <w:r w:rsidRPr="00283FC2">
        <w:t xml:space="preserve">By the </w:t>
      </w:r>
      <w:r w:rsidRPr="00283FC2">
        <w:rPr>
          <w:spacing w:val="-2"/>
        </w:rPr>
        <w:t>Chief, Wireline Competition Bureau:</w:t>
      </w:r>
    </w:p>
    <w:p w:rsidR="00E478E3" w:rsidRDefault="00E478E3" w:rsidP="007B77C1">
      <w:pPr>
        <w:tabs>
          <w:tab w:val="left" w:pos="5760"/>
        </w:tabs>
      </w:pPr>
    </w:p>
    <w:p w:rsidR="002654BA" w:rsidRDefault="002654BA" w:rsidP="007B77C1">
      <w:pPr>
        <w:pStyle w:val="TOCTitle"/>
      </w:pPr>
      <w:bookmarkStart w:id="1" w:name="TOChere"/>
      <w:r>
        <w:t>Table of Contents</w:t>
      </w:r>
    </w:p>
    <w:p w:rsidR="002654BA" w:rsidRDefault="002654BA" w:rsidP="007B77C1">
      <w:pPr>
        <w:pStyle w:val="Paratitle"/>
      </w:pPr>
      <w:r>
        <w:t>Heading</w:t>
      </w:r>
      <w:r>
        <w:tab/>
        <w:t>Paragraph #</w:t>
      </w:r>
      <w:bookmarkStart w:id="2" w:name="start_here"/>
      <w:bookmarkEnd w:id="2"/>
    </w:p>
    <w:p w:rsidR="002654BA" w:rsidRPr="002A0E45" w:rsidRDefault="002654BA" w:rsidP="007B77C1">
      <w:pPr>
        <w:pStyle w:val="TOC1"/>
        <w:rPr>
          <w:rFonts w:ascii="Calibri" w:hAnsi="Calibri"/>
          <w:caps w:val="0"/>
          <w:snapToGrid/>
          <w:kern w:val="0"/>
          <w:szCs w:val="22"/>
        </w:rPr>
      </w:pPr>
      <w:r w:rsidRPr="00D1682E">
        <w:rPr>
          <w:spacing w:val="-2"/>
        </w:rPr>
        <w:t>I.</w:t>
      </w:r>
      <w:r w:rsidRPr="002A0E45">
        <w:rPr>
          <w:rFonts w:ascii="Calibri" w:hAnsi="Calibri"/>
          <w:caps w:val="0"/>
          <w:snapToGrid/>
          <w:kern w:val="0"/>
          <w:szCs w:val="22"/>
        </w:rPr>
        <w:tab/>
      </w:r>
      <w:r>
        <w:t>INTRODUCTION</w:t>
      </w:r>
      <w:r>
        <w:tab/>
        <w:t>1</w:t>
      </w:r>
    </w:p>
    <w:p w:rsidR="002654BA" w:rsidRPr="002A0E45" w:rsidRDefault="002654BA" w:rsidP="007B77C1">
      <w:pPr>
        <w:pStyle w:val="TOC1"/>
        <w:rPr>
          <w:rFonts w:ascii="Calibri" w:hAnsi="Calibri"/>
          <w:caps w:val="0"/>
          <w:snapToGrid/>
          <w:kern w:val="0"/>
          <w:szCs w:val="22"/>
        </w:rPr>
      </w:pPr>
      <w:r>
        <w:t>II.</w:t>
      </w:r>
      <w:r w:rsidRPr="002A0E45">
        <w:rPr>
          <w:rFonts w:ascii="Calibri" w:hAnsi="Calibri"/>
          <w:caps w:val="0"/>
          <w:snapToGrid/>
          <w:kern w:val="0"/>
          <w:szCs w:val="22"/>
        </w:rPr>
        <w:tab/>
      </w:r>
      <w:r>
        <w:t>BACKGROUND</w:t>
      </w:r>
      <w:r>
        <w:tab/>
        <w:t>2</w:t>
      </w:r>
    </w:p>
    <w:p w:rsidR="002654BA" w:rsidRPr="002A0E45" w:rsidRDefault="002654BA" w:rsidP="007B77C1">
      <w:pPr>
        <w:pStyle w:val="TOC1"/>
        <w:rPr>
          <w:rFonts w:ascii="Calibri" w:hAnsi="Calibri"/>
          <w:caps w:val="0"/>
          <w:snapToGrid/>
          <w:kern w:val="0"/>
          <w:szCs w:val="22"/>
        </w:rPr>
      </w:pPr>
      <w:r>
        <w:t>III.</w:t>
      </w:r>
      <w:r w:rsidRPr="002A0E45">
        <w:rPr>
          <w:rFonts w:ascii="Calibri" w:hAnsi="Calibri"/>
          <w:caps w:val="0"/>
          <w:snapToGrid/>
          <w:kern w:val="0"/>
          <w:szCs w:val="22"/>
        </w:rPr>
        <w:tab/>
      </w:r>
      <w:r w:rsidR="0058468C">
        <w:t>DISCUSSION</w:t>
      </w:r>
      <w:r>
        <w:tab/>
      </w:r>
      <w:r w:rsidR="00B768B9">
        <w:t>8</w:t>
      </w:r>
    </w:p>
    <w:p w:rsidR="002654BA" w:rsidRPr="002A0E45" w:rsidRDefault="002654BA" w:rsidP="007B77C1">
      <w:pPr>
        <w:pStyle w:val="TOC2"/>
        <w:tabs>
          <w:tab w:val="left" w:pos="360"/>
        </w:tabs>
        <w:rPr>
          <w:rFonts w:ascii="Calibri" w:hAnsi="Calibri"/>
          <w:snapToGrid/>
          <w:kern w:val="0"/>
          <w:szCs w:val="22"/>
        </w:rPr>
      </w:pPr>
      <w:r>
        <w:t>A.</w:t>
      </w:r>
      <w:r w:rsidRPr="002A0E45">
        <w:rPr>
          <w:rFonts w:ascii="Calibri" w:hAnsi="Calibri"/>
          <w:snapToGrid/>
          <w:kern w:val="0"/>
          <w:szCs w:val="22"/>
        </w:rPr>
        <w:tab/>
      </w:r>
      <w:r>
        <w:t>Clarifying the Scope of the Data Collection</w:t>
      </w:r>
      <w:r>
        <w:tab/>
      </w:r>
      <w:r w:rsidR="00B768B9">
        <w:t>8</w:t>
      </w:r>
    </w:p>
    <w:p w:rsidR="002654BA" w:rsidRPr="002A0E45" w:rsidRDefault="002654BA" w:rsidP="007B77C1">
      <w:pPr>
        <w:pStyle w:val="TOC3"/>
        <w:tabs>
          <w:tab w:val="left" w:pos="360"/>
        </w:tabs>
        <w:rPr>
          <w:rFonts w:ascii="Calibri" w:hAnsi="Calibri"/>
          <w:snapToGrid/>
          <w:kern w:val="0"/>
          <w:szCs w:val="22"/>
        </w:rPr>
      </w:pPr>
      <w:r>
        <w:t>1.</w:t>
      </w:r>
      <w:r w:rsidRPr="002A0E45">
        <w:rPr>
          <w:rFonts w:ascii="Calibri" w:hAnsi="Calibri"/>
          <w:snapToGrid/>
          <w:kern w:val="0"/>
          <w:szCs w:val="22"/>
        </w:rPr>
        <w:tab/>
      </w:r>
      <w:r>
        <w:t>Purchasers Subject to the Commission’s Jurisdiction</w:t>
      </w:r>
      <w:r>
        <w:tab/>
      </w:r>
      <w:r w:rsidR="00A74003">
        <w:t>1</w:t>
      </w:r>
      <w:r w:rsidR="00B768B9">
        <w:t>0</w:t>
      </w:r>
    </w:p>
    <w:p w:rsidR="002654BA" w:rsidRPr="002A0E45" w:rsidRDefault="002654BA" w:rsidP="007B77C1">
      <w:pPr>
        <w:pStyle w:val="TOC3"/>
        <w:tabs>
          <w:tab w:val="left" w:pos="360"/>
        </w:tabs>
        <w:rPr>
          <w:rFonts w:ascii="Calibri" w:hAnsi="Calibri"/>
          <w:snapToGrid/>
          <w:kern w:val="0"/>
          <w:szCs w:val="22"/>
        </w:rPr>
      </w:pPr>
      <w:r>
        <w:t>2.</w:t>
      </w:r>
      <w:r w:rsidRPr="002A0E45">
        <w:rPr>
          <w:rFonts w:ascii="Calibri" w:hAnsi="Calibri"/>
          <w:snapToGrid/>
          <w:kern w:val="0"/>
          <w:szCs w:val="22"/>
        </w:rPr>
        <w:tab/>
      </w:r>
      <w:r w:rsidR="0055616A">
        <w:t xml:space="preserve">Price </w:t>
      </w:r>
      <w:r>
        <w:t>Cap Areas</w:t>
      </w:r>
      <w:r>
        <w:tab/>
      </w:r>
      <w:r w:rsidR="00A74003">
        <w:t>1</w:t>
      </w:r>
      <w:r w:rsidR="00B768B9">
        <w:t>5</w:t>
      </w:r>
    </w:p>
    <w:p w:rsidR="002654BA" w:rsidRPr="002A0E45" w:rsidRDefault="002654BA" w:rsidP="007B77C1">
      <w:pPr>
        <w:pStyle w:val="TOC3"/>
        <w:tabs>
          <w:tab w:val="left" w:pos="360"/>
        </w:tabs>
        <w:rPr>
          <w:rFonts w:ascii="Calibri" w:hAnsi="Calibri"/>
          <w:snapToGrid/>
          <w:kern w:val="0"/>
          <w:szCs w:val="22"/>
        </w:rPr>
      </w:pPr>
      <w:r>
        <w:t>3.</w:t>
      </w:r>
      <w:r w:rsidRPr="002A0E45">
        <w:rPr>
          <w:rFonts w:ascii="Calibri" w:hAnsi="Calibri"/>
          <w:snapToGrid/>
          <w:kern w:val="0"/>
          <w:szCs w:val="22"/>
        </w:rPr>
        <w:tab/>
      </w:r>
      <w:r>
        <w:t>F</w:t>
      </w:r>
      <w:r w:rsidR="00D4782A">
        <w:t>CC F</w:t>
      </w:r>
      <w:r>
        <w:t>orm 477 Filers Reporting Broadband Connections</w:t>
      </w:r>
      <w:r>
        <w:tab/>
      </w:r>
      <w:r w:rsidR="00E25F7D">
        <w:t>1</w:t>
      </w:r>
      <w:r w:rsidR="00B768B9">
        <w:t>6</w:t>
      </w:r>
    </w:p>
    <w:p w:rsidR="002654BA" w:rsidRPr="002A0E45" w:rsidRDefault="002654BA" w:rsidP="007B77C1">
      <w:pPr>
        <w:pStyle w:val="TOC2"/>
        <w:tabs>
          <w:tab w:val="left" w:pos="360"/>
        </w:tabs>
        <w:rPr>
          <w:rFonts w:ascii="Calibri" w:hAnsi="Calibri"/>
          <w:snapToGrid/>
          <w:kern w:val="0"/>
          <w:szCs w:val="22"/>
        </w:rPr>
      </w:pPr>
      <w:r>
        <w:t>B.</w:t>
      </w:r>
      <w:r w:rsidRPr="002A0E45">
        <w:rPr>
          <w:rFonts w:ascii="Calibri" w:hAnsi="Calibri"/>
          <w:snapToGrid/>
          <w:kern w:val="0"/>
          <w:szCs w:val="22"/>
        </w:rPr>
        <w:tab/>
      </w:r>
      <w:r>
        <w:t>Inst</w:t>
      </w:r>
      <w:r w:rsidR="00A74003">
        <w:t>ructions – Data Specifications</w:t>
      </w:r>
      <w:r w:rsidR="00A74003">
        <w:tab/>
      </w:r>
      <w:r w:rsidR="00B768B9">
        <w:t>19</w:t>
      </w:r>
    </w:p>
    <w:p w:rsidR="002654BA" w:rsidRPr="002A0E45" w:rsidRDefault="002654BA" w:rsidP="007B77C1">
      <w:pPr>
        <w:pStyle w:val="TOC3"/>
        <w:tabs>
          <w:tab w:val="left" w:pos="360"/>
        </w:tabs>
        <w:rPr>
          <w:rFonts w:ascii="Calibri" w:hAnsi="Calibri"/>
          <w:snapToGrid/>
          <w:kern w:val="0"/>
          <w:szCs w:val="22"/>
        </w:rPr>
      </w:pPr>
      <w:r>
        <w:t>1.</w:t>
      </w:r>
      <w:r w:rsidRPr="002A0E45">
        <w:rPr>
          <w:rFonts w:ascii="Calibri" w:hAnsi="Calibri"/>
          <w:snapToGrid/>
          <w:kern w:val="0"/>
          <w:szCs w:val="22"/>
        </w:rPr>
        <w:tab/>
      </w:r>
      <w:r>
        <w:t>L</w:t>
      </w:r>
      <w:r w:rsidR="00E25F7D">
        <w:t>ocations with Connections</w:t>
      </w:r>
      <w:r w:rsidR="00E25F7D">
        <w:tab/>
        <w:t>2</w:t>
      </w:r>
      <w:r w:rsidR="00B768B9">
        <w:t>0</w:t>
      </w:r>
    </w:p>
    <w:p w:rsidR="002654BA" w:rsidRPr="002A0E45" w:rsidRDefault="002654BA" w:rsidP="00CB6AC3">
      <w:pPr>
        <w:pStyle w:val="TOC4"/>
        <w:rPr>
          <w:rFonts w:ascii="Calibri" w:hAnsi="Calibri"/>
          <w:snapToGrid/>
          <w:kern w:val="0"/>
          <w:szCs w:val="22"/>
        </w:rPr>
      </w:pPr>
      <w:r>
        <w:t>a.</w:t>
      </w:r>
      <w:r w:rsidRPr="002A0E45">
        <w:rPr>
          <w:rFonts w:ascii="Calibri" w:hAnsi="Calibri"/>
          <w:snapToGrid/>
          <w:kern w:val="0"/>
          <w:szCs w:val="22"/>
        </w:rPr>
        <w:tab/>
      </w:r>
      <w:r>
        <w:t>Guidance on Capable Connect</w:t>
      </w:r>
      <w:r w:rsidR="00E25F7D">
        <w:t>i</w:t>
      </w:r>
      <w:r w:rsidR="00B768B9">
        <w:t>ons for Competitive Providers</w:t>
      </w:r>
      <w:r w:rsidR="00B768B9">
        <w:tab/>
        <w:t>23</w:t>
      </w:r>
    </w:p>
    <w:p w:rsidR="002654BA" w:rsidRPr="002A0E45" w:rsidRDefault="002654BA" w:rsidP="00CB6AC3">
      <w:pPr>
        <w:pStyle w:val="TOC4"/>
        <w:rPr>
          <w:rFonts w:ascii="Calibri" w:hAnsi="Calibri"/>
          <w:snapToGrid/>
          <w:kern w:val="0"/>
          <w:szCs w:val="22"/>
        </w:rPr>
      </w:pPr>
      <w:r>
        <w:t>b.</w:t>
      </w:r>
      <w:r w:rsidRPr="002A0E45">
        <w:rPr>
          <w:rFonts w:ascii="Calibri" w:hAnsi="Calibri"/>
          <w:snapToGrid/>
          <w:kern w:val="0"/>
          <w:szCs w:val="22"/>
        </w:rPr>
        <w:tab/>
      </w:r>
      <w:r>
        <w:t>Guidance on Capable Connections for ILECs</w:t>
      </w:r>
      <w:r>
        <w:tab/>
        <w:t>2</w:t>
      </w:r>
      <w:r w:rsidR="00B768B9">
        <w:t>8</w:t>
      </w:r>
    </w:p>
    <w:p w:rsidR="002654BA" w:rsidRPr="002A0E45" w:rsidRDefault="002654BA" w:rsidP="007B77C1">
      <w:pPr>
        <w:pStyle w:val="TOC3"/>
        <w:tabs>
          <w:tab w:val="left" w:pos="360"/>
        </w:tabs>
        <w:rPr>
          <w:rFonts w:ascii="Calibri" w:hAnsi="Calibri"/>
          <w:snapToGrid/>
          <w:kern w:val="0"/>
          <w:szCs w:val="22"/>
        </w:rPr>
      </w:pPr>
      <w:r>
        <w:t>2.</w:t>
      </w:r>
      <w:r w:rsidRPr="002A0E45">
        <w:rPr>
          <w:rFonts w:ascii="Calibri" w:hAnsi="Calibri"/>
          <w:snapToGrid/>
          <w:kern w:val="0"/>
          <w:szCs w:val="22"/>
        </w:rPr>
        <w:tab/>
      </w:r>
      <w:r w:rsidR="00A74003">
        <w:t>Location Data</w:t>
      </w:r>
      <w:r w:rsidR="00A74003">
        <w:tab/>
        <w:t>3</w:t>
      </w:r>
      <w:r w:rsidR="00B768B9">
        <w:t>2</w:t>
      </w:r>
    </w:p>
    <w:p w:rsidR="002654BA" w:rsidRPr="002A0E45" w:rsidRDefault="002654BA" w:rsidP="007B77C1">
      <w:pPr>
        <w:pStyle w:val="TOC3"/>
        <w:tabs>
          <w:tab w:val="left" w:pos="360"/>
        </w:tabs>
        <w:rPr>
          <w:rFonts w:ascii="Calibri" w:hAnsi="Calibri"/>
          <w:snapToGrid/>
          <w:kern w:val="0"/>
          <w:szCs w:val="22"/>
        </w:rPr>
      </w:pPr>
      <w:r>
        <w:t>3.</w:t>
      </w:r>
      <w:r w:rsidRPr="002A0E45">
        <w:rPr>
          <w:rFonts w:ascii="Calibri" w:hAnsi="Calibri"/>
          <w:snapToGrid/>
          <w:kern w:val="0"/>
          <w:szCs w:val="22"/>
        </w:rPr>
        <w:tab/>
      </w:r>
      <w:r w:rsidR="00A74003">
        <w:t>Mapping Requirements</w:t>
      </w:r>
      <w:r w:rsidR="00A74003">
        <w:tab/>
        <w:t>3</w:t>
      </w:r>
      <w:r w:rsidR="00B768B9">
        <w:t>4</w:t>
      </w:r>
    </w:p>
    <w:p w:rsidR="002654BA" w:rsidRPr="002A0E45" w:rsidRDefault="002654BA" w:rsidP="007B77C1">
      <w:pPr>
        <w:pStyle w:val="TOC3"/>
        <w:tabs>
          <w:tab w:val="left" w:pos="360"/>
        </w:tabs>
        <w:rPr>
          <w:rFonts w:ascii="Calibri" w:hAnsi="Calibri"/>
          <w:snapToGrid/>
          <w:kern w:val="0"/>
          <w:szCs w:val="22"/>
        </w:rPr>
      </w:pPr>
      <w:r>
        <w:t>4.</w:t>
      </w:r>
      <w:r w:rsidRPr="002A0E45">
        <w:rPr>
          <w:rFonts w:ascii="Calibri" w:hAnsi="Calibri"/>
          <w:snapToGrid/>
          <w:kern w:val="0"/>
          <w:szCs w:val="22"/>
        </w:rPr>
        <w:tab/>
      </w:r>
      <w:r w:rsidR="00A74003">
        <w:t>Billing Information</w:t>
      </w:r>
      <w:r w:rsidR="00A74003">
        <w:tab/>
      </w:r>
      <w:r w:rsidR="00D94406">
        <w:t>4</w:t>
      </w:r>
      <w:r w:rsidR="006C7B48">
        <w:t>6</w:t>
      </w:r>
    </w:p>
    <w:p w:rsidR="002654BA" w:rsidRPr="002A0E45" w:rsidRDefault="002654BA" w:rsidP="007B77C1">
      <w:pPr>
        <w:pStyle w:val="TOC3"/>
        <w:tabs>
          <w:tab w:val="left" w:pos="360"/>
        </w:tabs>
        <w:rPr>
          <w:rFonts w:ascii="Calibri" w:hAnsi="Calibri"/>
          <w:snapToGrid/>
          <w:kern w:val="0"/>
          <w:szCs w:val="22"/>
        </w:rPr>
      </w:pPr>
      <w:r>
        <w:t>5.</w:t>
      </w:r>
      <w:r w:rsidRPr="002A0E45">
        <w:rPr>
          <w:rFonts w:ascii="Calibri" w:hAnsi="Calibri"/>
          <w:snapToGrid/>
          <w:kern w:val="0"/>
          <w:szCs w:val="22"/>
        </w:rPr>
        <w:tab/>
      </w:r>
      <w:r w:rsidR="00A74003">
        <w:t>Headquarters Information</w:t>
      </w:r>
      <w:r w:rsidR="00A74003">
        <w:tab/>
      </w:r>
      <w:r w:rsidR="00D94406">
        <w:t>4</w:t>
      </w:r>
      <w:r w:rsidR="006C7B48">
        <w:t>7</w:t>
      </w:r>
    </w:p>
    <w:p w:rsidR="002654BA" w:rsidRPr="002A0E45" w:rsidRDefault="002654BA" w:rsidP="007B77C1">
      <w:pPr>
        <w:pStyle w:val="TOC3"/>
        <w:tabs>
          <w:tab w:val="left" w:pos="360"/>
        </w:tabs>
        <w:rPr>
          <w:rFonts w:ascii="Calibri" w:hAnsi="Calibri"/>
          <w:snapToGrid/>
          <w:kern w:val="0"/>
          <w:szCs w:val="22"/>
        </w:rPr>
      </w:pPr>
      <w:r>
        <w:t>6.</w:t>
      </w:r>
      <w:r w:rsidRPr="002A0E45">
        <w:rPr>
          <w:rFonts w:ascii="Calibri" w:hAnsi="Calibri"/>
          <w:snapToGrid/>
          <w:kern w:val="0"/>
          <w:szCs w:val="22"/>
        </w:rPr>
        <w:tab/>
      </w:r>
      <w:r>
        <w:t>Certain Questions Requiring Narrative Responses from Purchasers</w:t>
      </w:r>
      <w:r>
        <w:tab/>
      </w:r>
      <w:r w:rsidR="005E109C">
        <w:t>5</w:t>
      </w:r>
      <w:r w:rsidR="006C7B48">
        <w:t>1</w:t>
      </w:r>
    </w:p>
    <w:p w:rsidR="002654BA" w:rsidRPr="002A0E45" w:rsidRDefault="002654BA" w:rsidP="007B77C1">
      <w:pPr>
        <w:pStyle w:val="TOC2"/>
        <w:tabs>
          <w:tab w:val="left" w:pos="360"/>
        </w:tabs>
        <w:rPr>
          <w:rFonts w:ascii="Calibri" w:hAnsi="Calibri"/>
          <w:snapToGrid/>
          <w:kern w:val="0"/>
          <w:szCs w:val="22"/>
        </w:rPr>
      </w:pPr>
      <w:r>
        <w:t>C.</w:t>
      </w:r>
      <w:r w:rsidRPr="002A0E45">
        <w:rPr>
          <w:rFonts w:ascii="Calibri" w:hAnsi="Calibri"/>
          <w:snapToGrid/>
          <w:kern w:val="0"/>
          <w:szCs w:val="22"/>
        </w:rPr>
        <w:tab/>
      </w:r>
      <w:r>
        <w:t>Modifications and Ame</w:t>
      </w:r>
      <w:r w:rsidR="00953719">
        <w:t>ndments to the Data Collection</w:t>
      </w:r>
      <w:r w:rsidR="00953719">
        <w:tab/>
        <w:t>5</w:t>
      </w:r>
      <w:r w:rsidR="006C7B48">
        <w:t>3</w:t>
      </w:r>
    </w:p>
    <w:p w:rsidR="002654BA" w:rsidRPr="002A0E45" w:rsidRDefault="002654BA" w:rsidP="007B77C1">
      <w:pPr>
        <w:pStyle w:val="TOC2"/>
        <w:tabs>
          <w:tab w:val="left" w:pos="360"/>
        </w:tabs>
        <w:rPr>
          <w:rFonts w:ascii="Calibri" w:hAnsi="Calibri"/>
          <w:snapToGrid/>
          <w:kern w:val="0"/>
          <w:szCs w:val="22"/>
        </w:rPr>
      </w:pPr>
      <w:r>
        <w:t>D.</w:t>
      </w:r>
      <w:r w:rsidRPr="002A0E45">
        <w:rPr>
          <w:rFonts w:ascii="Calibri" w:hAnsi="Calibri"/>
          <w:snapToGrid/>
          <w:kern w:val="0"/>
          <w:szCs w:val="22"/>
        </w:rPr>
        <w:tab/>
      </w:r>
      <w:r>
        <w:t>Other Request</w:t>
      </w:r>
      <w:r w:rsidR="00D4782A">
        <w:t>s</w:t>
      </w:r>
      <w:r>
        <w:t xml:space="preserve"> </w:t>
      </w:r>
      <w:r w:rsidR="00953719">
        <w:t>for Clarifications and Changes</w:t>
      </w:r>
      <w:r w:rsidR="00953719">
        <w:tab/>
        <w:t>5</w:t>
      </w:r>
      <w:r w:rsidR="006C7B48">
        <w:t>4</w:t>
      </w:r>
    </w:p>
    <w:p w:rsidR="002654BA" w:rsidRDefault="00DC0426" w:rsidP="007B77C1">
      <w:pPr>
        <w:pStyle w:val="TOC2"/>
        <w:tabs>
          <w:tab w:val="left" w:pos="360"/>
        </w:tabs>
        <w:ind w:left="0" w:firstLine="0"/>
      </w:pPr>
      <w:r>
        <w:t>IV</w:t>
      </w:r>
      <w:r w:rsidR="002654BA">
        <w:t>.</w:t>
      </w:r>
      <w:r w:rsidR="002654BA" w:rsidRPr="002A0E45">
        <w:rPr>
          <w:rFonts w:ascii="Calibri" w:hAnsi="Calibri"/>
          <w:snapToGrid/>
          <w:kern w:val="0"/>
          <w:szCs w:val="22"/>
        </w:rPr>
        <w:tab/>
      </w:r>
      <w:r>
        <w:t>PROCEDURAL MATTERS</w:t>
      </w:r>
      <w:r w:rsidR="00953719">
        <w:tab/>
        <w:t>5</w:t>
      </w:r>
      <w:r w:rsidR="006C7B48">
        <w:t>5</w:t>
      </w:r>
    </w:p>
    <w:p w:rsidR="00DC0426" w:rsidRDefault="00953719" w:rsidP="007B77C1">
      <w:pPr>
        <w:tabs>
          <w:tab w:val="left" w:pos="360"/>
          <w:tab w:val="right" w:leader="dot" w:pos="9360"/>
        </w:tabs>
      </w:pPr>
      <w:r>
        <w:t>V.</w:t>
      </w:r>
      <w:r>
        <w:tab/>
        <w:t>ORDERING CLAUSES</w:t>
      </w:r>
      <w:r>
        <w:tab/>
        <w:t>6</w:t>
      </w:r>
      <w:r w:rsidR="006C7B48">
        <w:t>3</w:t>
      </w:r>
    </w:p>
    <w:p w:rsidR="003B32D7" w:rsidRDefault="003B32D7" w:rsidP="007B77C1">
      <w:pPr>
        <w:tabs>
          <w:tab w:val="left" w:pos="360"/>
          <w:tab w:val="right" w:leader="dot" w:pos="9360"/>
        </w:tabs>
      </w:pPr>
      <w:r>
        <w:t>APPENDIX A – I</w:t>
      </w:r>
      <w:r w:rsidR="00441ED3">
        <w:t>nstructions for Data Collection</w:t>
      </w:r>
    </w:p>
    <w:p w:rsidR="003B32D7" w:rsidRPr="00DC0426" w:rsidRDefault="003B32D7" w:rsidP="007B77C1">
      <w:pPr>
        <w:tabs>
          <w:tab w:val="left" w:pos="360"/>
          <w:tab w:val="right" w:leader="dot" w:pos="9360"/>
        </w:tabs>
      </w:pPr>
      <w:r>
        <w:t xml:space="preserve">APPENDIX B – </w:t>
      </w:r>
      <w:r w:rsidR="00441ED3">
        <w:t>Revised Data Collection</w:t>
      </w:r>
    </w:p>
    <w:bookmarkEnd w:id="1"/>
    <w:p w:rsidR="002654BA" w:rsidRDefault="002654BA" w:rsidP="007B77C1">
      <w:pPr>
        <w:tabs>
          <w:tab w:val="left" w:pos="5760"/>
        </w:tabs>
      </w:pPr>
      <w:r>
        <w:br w:type="page"/>
      </w:r>
    </w:p>
    <w:p w:rsidR="000601C6" w:rsidRPr="00FE7E49" w:rsidRDefault="000601C6" w:rsidP="007B77C1">
      <w:pPr>
        <w:pStyle w:val="Heading1"/>
        <w:rPr>
          <w:spacing w:val="-2"/>
        </w:rPr>
      </w:pPr>
      <w:bookmarkStart w:id="3" w:name="_Toc360529161"/>
      <w:bookmarkStart w:id="4" w:name="_Toc360539478"/>
      <w:bookmarkStart w:id="5" w:name="_Toc360539635"/>
      <w:r w:rsidRPr="00EE2109">
        <w:lastRenderedPageBreak/>
        <w:t>INTRODUCTION</w:t>
      </w:r>
      <w:bookmarkEnd w:id="3"/>
      <w:bookmarkEnd w:id="4"/>
      <w:bookmarkEnd w:id="5"/>
    </w:p>
    <w:p w:rsidR="00050DD9" w:rsidRPr="00050DD9" w:rsidRDefault="00256209" w:rsidP="00A131AC">
      <w:pPr>
        <w:pStyle w:val="ParaNum"/>
        <w:rPr>
          <w:szCs w:val="22"/>
        </w:rPr>
      </w:pPr>
      <w:r>
        <w:t>On December 11, 2012, t</w:t>
      </w:r>
      <w:r w:rsidR="000C569A">
        <w:t xml:space="preserve">he Commission </w:t>
      </w:r>
      <w:r w:rsidR="006D7A64">
        <w:t xml:space="preserve">adopted </w:t>
      </w:r>
      <w:r w:rsidR="00A138D2">
        <w:t xml:space="preserve">the </w:t>
      </w:r>
      <w:r w:rsidR="008109F0">
        <w:rPr>
          <w:i/>
        </w:rPr>
        <w:t xml:space="preserve">Special Access </w:t>
      </w:r>
      <w:r w:rsidR="00A138D2" w:rsidRPr="006104C9">
        <w:rPr>
          <w:i/>
        </w:rPr>
        <w:t>Data Collection</w:t>
      </w:r>
      <w:r w:rsidR="000C569A" w:rsidRPr="006104C9">
        <w:rPr>
          <w:i/>
        </w:rPr>
        <w:t xml:space="preserve"> </w:t>
      </w:r>
      <w:r w:rsidR="00065A19" w:rsidRPr="006104C9">
        <w:rPr>
          <w:i/>
        </w:rPr>
        <w:t>O</w:t>
      </w:r>
      <w:r w:rsidR="000C569A" w:rsidRPr="006104C9">
        <w:rPr>
          <w:i/>
        </w:rPr>
        <w:t>rder</w:t>
      </w:r>
      <w:r w:rsidR="0003381B">
        <w:t xml:space="preserve">, </w:t>
      </w:r>
      <w:r w:rsidR="000C569A">
        <w:t xml:space="preserve">requiring providers and purchasers </w:t>
      </w:r>
      <w:r w:rsidR="0042502C">
        <w:t xml:space="preserve">of special access and </w:t>
      </w:r>
      <w:r w:rsidR="007723DF">
        <w:t xml:space="preserve">certain entities </w:t>
      </w:r>
      <w:r w:rsidR="0042502C">
        <w:t>provid</w:t>
      </w:r>
      <w:r w:rsidR="007723DF">
        <w:t xml:space="preserve">ing “best efforts” </w:t>
      </w:r>
      <w:r w:rsidR="0042502C">
        <w:t xml:space="preserve">service to submit data, information and documents </w:t>
      </w:r>
      <w:r w:rsidR="006104C9">
        <w:t>for</w:t>
      </w:r>
      <w:r w:rsidR="0042502C">
        <w:t xml:space="preserve"> a comprehensive evaluation of competition in the special access market.</w:t>
      </w:r>
      <w:r w:rsidR="0042502C" w:rsidRPr="00283FC2">
        <w:rPr>
          <w:rStyle w:val="FootnoteReference"/>
        </w:rPr>
        <w:footnoteReference w:id="2"/>
      </w:r>
      <w:r w:rsidR="0042502C">
        <w:t xml:space="preserve">  </w:t>
      </w:r>
      <w:r w:rsidR="0070237E">
        <w:t>In this Report and Order, we move forward in our efforts to review and ensure that our special access rules work to promote access, competition and investment by finalizing the comprehensive data collection.  Specifically</w:t>
      </w:r>
      <w:r w:rsidR="00F40820">
        <w:t>,</w:t>
      </w:r>
      <w:r w:rsidR="000F4EC3">
        <w:t xml:space="preserve"> pursuant to authority delegated by the Commission</w:t>
      </w:r>
      <w:r w:rsidR="00CA0561">
        <w:t xml:space="preserve">, we </w:t>
      </w:r>
      <w:r w:rsidR="00F72870">
        <w:t>(</w:t>
      </w:r>
      <w:r w:rsidR="00433F23">
        <w:t>1</w:t>
      </w:r>
      <w:r w:rsidR="006104C9">
        <w:t xml:space="preserve">) clarify </w:t>
      </w:r>
      <w:r w:rsidR="00F72870">
        <w:t>the scope of the collection</w:t>
      </w:r>
      <w:r w:rsidR="009765B4">
        <w:t xml:space="preserve"> to reduce burden where doing so is consistent with our delegated authority and will not impact the Commission’s ability to analyze the data</w:t>
      </w:r>
      <w:r w:rsidR="00F72870">
        <w:t>; (</w:t>
      </w:r>
      <w:r w:rsidR="00433F23">
        <w:t>2</w:t>
      </w:r>
      <w:r w:rsidR="006104C9">
        <w:t xml:space="preserve">) </w:t>
      </w:r>
      <w:r w:rsidR="00E742BB">
        <w:t>provide instructions and record format specifications for submitting information</w:t>
      </w:r>
      <w:r w:rsidR="00F72870">
        <w:t>; and (</w:t>
      </w:r>
      <w:r w:rsidR="00433F23">
        <w:t>3</w:t>
      </w:r>
      <w:r w:rsidR="006104C9">
        <w:t>)</w:t>
      </w:r>
      <w:r w:rsidR="00E742BB">
        <w:t xml:space="preserve"> modify and amend questions and definitions contained in the collection</w:t>
      </w:r>
      <w:r w:rsidR="00CA0561">
        <w:t>.</w:t>
      </w:r>
      <w:r w:rsidR="00173440">
        <w:t xml:space="preserve">  </w:t>
      </w:r>
      <w:r w:rsidR="00CC362B">
        <w:t xml:space="preserve">We will subsequently issue a public notice announcing the deadline for </w:t>
      </w:r>
      <w:r w:rsidR="00D4782A">
        <w:t>submissions</w:t>
      </w:r>
      <w:r w:rsidR="00CC362B">
        <w:t xml:space="preserve"> o</w:t>
      </w:r>
      <w:r w:rsidR="00903F1C">
        <w:t xml:space="preserve">nce approval </w:t>
      </w:r>
      <w:r w:rsidR="00CC362B">
        <w:t xml:space="preserve">for the collection </w:t>
      </w:r>
      <w:r w:rsidR="00903F1C">
        <w:t xml:space="preserve">is obtained </w:t>
      </w:r>
      <w:r w:rsidR="00433F23">
        <w:t xml:space="preserve">as required by the Paperwork Reduction Act of 1995 (PRA) </w:t>
      </w:r>
      <w:r w:rsidR="00903F1C">
        <w:t>from the Office of Management and Budget (OMB)</w:t>
      </w:r>
      <w:r w:rsidR="00173440">
        <w:t>.</w:t>
      </w:r>
      <w:r w:rsidR="00285033">
        <w:rPr>
          <w:rStyle w:val="FootnoteReference"/>
        </w:rPr>
        <w:footnoteReference w:id="3"/>
      </w:r>
      <w:r w:rsidR="00173440">
        <w:t xml:space="preserve"> </w:t>
      </w:r>
      <w:r w:rsidR="00065A19">
        <w:t xml:space="preserve"> </w:t>
      </w:r>
    </w:p>
    <w:p w:rsidR="002B3ABD" w:rsidRPr="000601C6" w:rsidRDefault="00065A19" w:rsidP="00A131AC">
      <w:pPr>
        <w:pStyle w:val="ParaNum"/>
        <w:numPr>
          <w:ilvl w:val="0"/>
          <w:numId w:val="0"/>
        </w:numPr>
        <w:ind w:left="720"/>
        <w:rPr>
          <w:szCs w:val="22"/>
        </w:rPr>
      </w:pPr>
      <w:r>
        <w:t xml:space="preserve"> </w:t>
      </w:r>
      <w:r w:rsidR="004B1AA8">
        <w:t xml:space="preserve">  </w:t>
      </w:r>
      <w:r w:rsidR="002B3ABD" w:rsidRPr="00283FC2">
        <w:t xml:space="preserve">  </w:t>
      </w:r>
      <w:r w:rsidR="002B3ABD" w:rsidRPr="00283FC2">
        <w:rPr>
          <w:szCs w:val="24"/>
        </w:rPr>
        <w:t xml:space="preserve"> </w:t>
      </w:r>
    </w:p>
    <w:p w:rsidR="000601C6" w:rsidRPr="000601C6" w:rsidRDefault="000601C6" w:rsidP="007B77C1">
      <w:pPr>
        <w:pStyle w:val="Heading1"/>
      </w:pPr>
      <w:bookmarkStart w:id="6" w:name="_Toc360529162"/>
      <w:bookmarkStart w:id="7" w:name="_Toc360539479"/>
      <w:bookmarkStart w:id="8" w:name="_Toc360539636"/>
      <w:r>
        <w:t>BACKGROUND</w:t>
      </w:r>
      <w:bookmarkEnd w:id="6"/>
      <w:bookmarkEnd w:id="7"/>
      <w:bookmarkEnd w:id="8"/>
    </w:p>
    <w:p w:rsidR="002B3ABD" w:rsidRPr="00283FC2" w:rsidRDefault="00F97044" w:rsidP="00263681">
      <w:pPr>
        <w:pStyle w:val="ParaNum"/>
      </w:pPr>
      <w:r>
        <w:t xml:space="preserve">On August </w:t>
      </w:r>
      <w:r w:rsidR="00813D40">
        <w:t>15</w:t>
      </w:r>
      <w:r>
        <w:t>, 2012, t</w:t>
      </w:r>
      <w:r w:rsidR="00E3167E">
        <w:t>he Commission suspended, on an interim basis, its rules a</w:t>
      </w:r>
      <w:r w:rsidR="00CC362B">
        <w:t>llowing the grant</w:t>
      </w:r>
      <w:r w:rsidR="00E3167E">
        <w:t xml:space="preserve"> of pricing flexibility for special access services in </w:t>
      </w:r>
      <w:r w:rsidR="00C930AD">
        <w:t>areas subject to price cap regulation</w:t>
      </w:r>
      <w:r w:rsidR="00CC362B">
        <w:t>.</w:t>
      </w:r>
      <w:r w:rsidR="00D7472C">
        <w:rPr>
          <w:rStyle w:val="FootnoteReference"/>
        </w:rPr>
        <w:footnoteReference w:id="4"/>
      </w:r>
      <w:r w:rsidR="00CC362B">
        <w:t xml:space="preserve">  The Commission </w:t>
      </w:r>
      <w:r w:rsidR="00D1456C">
        <w:t>took this step</w:t>
      </w:r>
      <w:r w:rsidR="00CC362B">
        <w:t xml:space="preserve"> based on </w:t>
      </w:r>
      <w:r w:rsidR="00F40820">
        <w:t>“</w:t>
      </w:r>
      <w:r w:rsidR="00CC362B">
        <w:t>significant evidence that th</w:t>
      </w:r>
      <w:r w:rsidR="00E3167E">
        <w:t>e</w:t>
      </w:r>
      <w:r w:rsidR="00F40820">
        <w:t>se</w:t>
      </w:r>
      <w:r w:rsidR="00E3167E">
        <w:t xml:space="preserve"> rules, adopted in 1999</w:t>
      </w:r>
      <w:r w:rsidR="00D1456C">
        <w:t xml:space="preserve">, </w:t>
      </w:r>
      <w:r w:rsidR="00F40820">
        <w:t>are</w:t>
      </w:r>
      <w:r w:rsidR="00D1456C">
        <w:t xml:space="preserve"> not working as predicted</w:t>
      </w:r>
      <w:r w:rsidR="00480D20">
        <w:t>,</w:t>
      </w:r>
      <w:r w:rsidR="00E3167E">
        <w:t xml:space="preserve"> and </w:t>
      </w:r>
      <w:r w:rsidR="00480D20">
        <w:t xml:space="preserve">widespread </w:t>
      </w:r>
      <w:r w:rsidR="00E3167E">
        <w:t>agreement ac</w:t>
      </w:r>
      <w:r w:rsidR="00CC362B">
        <w:t>ross industry sectors that the</w:t>
      </w:r>
      <w:r w:rsidR="00F40820">
        <w:t>se</w:t>
      </w:r>
      <w:r w:rsidR="00E3167E">
        <w:t xml:space="preserve"> rules fail to accurately reflect competition in today’s special access market</w:t>
      </w:r>
      <w:r w:rsidR="00F40820">
        <w:t>s</w:t>
      </w:r>
      <w:r w:rsidR="00E3167E">
        <w:t>.</w:t>
      </w:r>
      <w:r w:rsidR="00F40820">
        <w:t>”</w:t>
      </w:r>
      <w:r w:rsidR="00F40820">
        <w:rPr>
          <w:rStyle w:val="FootnoteReference"/>
        </w:rPr>
        <w:footnoteReference w:id="5"/>
      </w:r>
      <w:r w:rsidR="00E3167E">
        <w:t xml:space="preserve">  </w:t>
      </w:r>
      <w:r w:rsidR="00173440">
        <w:t xml:space="preserve">To </w:t>
      </w:r>
      <w:r w:rsidR="00256209">
        <w:t xml:space="preserve">identify </w:t>
      </w:r>
      <w:r w:rsidR="00C140F2">
        <w:t xml:space="preserve">a </w:t>
      </w:r>
      <w:r w:rsidR="003F67F3">
        <w:t xml:space="preserve">replacement </w:t>
      </w:r>
      <w:r w:rsidR="00C140F2">
        <w:t xml:space="preserve">framework, the Commission </w:t>
      </w:r>
      <w:r w:rsidR="00DC1A5A">
        <w:t>detailed</w:t>
      </w:r>
      <w:r w:rsidR="00173440">
        <w:t xml:space="preserve"> a </w:t>
      </w:r>
      <w:r w:rsidR="003F67F3">
        <w:t xml:space="preserve">plan to </w:t>
      </w:r>
      <w:r w:rsidR="008F50C3">
        <w:t xml:space="preserve">collect data and information for </w:t>
      </w:r>
      <w:r w:rsidR="00C930AD">
        <w:t xml:space="preserve">a robust </w:t>
      </w:r>
      <w:r w:rsidR="00A451C6">
        <w:t xml:space="preserve">market </w:t>
      </w:r>
      <w:r w:rsidR="00C930AD">
        <w:t xml:space="preserve">analysis </w:t>
      </w:r>
      <w:r w:rsidR="00C374C5">
        <w:t>to</w:t>
      </w:r>
      <w:r w:rsidR="00C930AD">
        <w:t xml:space="preserve"> </w:t>
      </w:r>
      <w:r w:rsidR="00610200">
        <w:t xml:space="preserve">gauge actual and potential competition for special access services.  </w:t>
      </w:r>
      <w:r w:rsidR="00480D20">
        <w:t>T</w:t>
      </w:r>
      <w:r w:rsidR="00610200">
        <w:t xml:space="preserve">here was </w:t>
      </w:r>
      <w:r w:rsidR="00480D20">
        <w:t>ample support in the record for “</w:t>
      </w:r>
      <w:r w:rsidR="00610200">
        <w:t>collecting additional data to inform our future actions.”</w:t>
      </w:r>
      <w:r w:rsidR="003F67F3">
        <w:rPr>
          <w:rStyle w:val="FootnoteReference"/>
        </w:rPr>
        <w:footnoteReference w:id="6"/>
      </w:r>
      <w:r w:rsidR="003F67F3">
        <w:t xml:space="preserve">  </w:t>
      </w:r>
      <w:r w:rsidR="00A138D2">
        <w:t xml:space="preserve">  </w:t>
      </w:r>
      <w:r w:rsidR="002C1344">
        <w:t xml:space="preserve">  </w:t>
      </w:r>
    </w:p>
    <w:p w:rsidR="000C3080" w:rsidRDefault="006D4FF3" w:rsidP="00A131AC">
      <w:pPr>
        <w:pStyle w:val="ParaNum"/>
      </w:pPr>
      <w:r>
        <w:t xml:space="preserve">On December 18, 2012, the Commission released the </w:t>
      </w:r>
      <w:r>
        <w:rPr>
          <w:i/>
        </w:rPr>
        <w:t>Special Access Data Collection Order</w:t>
      </w:r>
      <w:r>
        <w:t xml:space="preserve">, outlining </w:t>
      </w:r>
      <w:r w:rsidR="003C2E83">
        <w:t>the</w:t>
      </w:r>
      <w:r>
        <w:t xml:space="preserve"> data collection.</w:t>
      </w:r>
      <w:r>
        <w:rPr>
          <w:rStyle w:val="FootnoteReference"/>
        </w:rPr>
        <w:footnoteReference w:id="7"/>
      </w:r>
      <w:r>
        <w:t xml:space="preserve">  </w:t>
      </w:r>
      <w:r w:rsidR="008F50C3">
        <w:t xml:space="preserve">Services covered </w:t>
      </w:r>
      <w:r w:rsidR="00801928">
        <w:t xml:space="preserve">by the collection </w:t>
      </w:r>
      <w:r w:rsidR="0055257C">
        <w:t xml:space="preserve">include traditional special access service </w:t>
      </w:r>
      <w:r w:rsidR="008A760E">
        <w:t>(</w:t>
      </w:r>
      <w:r w:rsidR="0055257C">
        <w:t>including DS1s and DS3s</w:t>
      </w:r>
      <w:r w:rsidR="008A760E">
        <w:t>)</w:t>
      </w:r>
      <w:r w:rsidR="0055257C">
        <w:t xml:space="preserve">, </w:t>
      </w:r>
      <w:r w:rsidR="0055257C" w:rsidRPr="0055257C">
        <w:rPr>
          <w:i/>
        </w:rPr>
        <w:t>Packet-Based Dedicated Service</w:t>
      </w:r>
      <w:r w:rsidR="0055257C">
        <w:t xml:space="preserve"> (</w:t>
      </w:r>
      <w:r w:rsidR="0055257C" w:rsidRPr="0055257C">
        <w:rPr>
          <w:i/>
        </w:rPr>
        <w:t>PBDS</w:t>
      </w:r>
      <w:r w:rsidR="0055257C">
        <w:t xml:space="preserve">) such as Ethernet, and </w:t>
      </w:r>
      <w:r w:rsidR="0055257C" w:rsidRPr="00850783">
        <w:rPr>
          <w:i/>
          <w:szCs w:val="22"/>
        </w:rPr>
        <w:t>Best Efforts Business Broadband Internet Access Service</w:t>
      </w:r>
      <w:r w:rsidR="0055257C">
        <w:rPr>
          <w:szCs w:val="22"/>
        </w:rPr>
        <w:t xml:space="preserve"> </w:t>
      </w:r>
      <w:r w:rsidR="00C4363D">
        <w:rPr>
          <w:szCs w:val="22"/>
        </w:rPr>
        <w:t>to ensure a “clear picture of all competition in the marketplace</w:t>
      </w:r>
      <w:r w:rsidR="0055257C">
        <w:t>.</w:t>
      </w:r>
      <w:r w:rsidR="00C4363D">
        <w:t>”</w:t>
      </w:r>
      <w:r w:rsidR="0055257C">
        <w:rPr>
          <w:rStyle w:val="FootnoteReference"/>
        </w:rPr>
        <w:footnoteReference w:id="8"/>
      </w:r>
      <w:r w:rsidR="00C4363D">
        <w:t xml:space="preserve">  Th</w:t>
      </w:r>
      <w:r w:rsidR="008C4AE0">
        <w:t xml:space="preserve">ose required to respond </w:t>
      </w:r>
      <w:r w:rsidR="009765B4">
        <w:t xml:space="preserve">to the data collection </w:t>
      </w:r>
      <w:r w:rsidR="008C4AE0">
        <w:t xml:space="preserve">include </w:t>
      </w:r>
      <w:r w:rsidR="008C4AE0" w:rsidRPr="008C4AE0">
        <w:rPr>
          <w:i/>
        </w:rPr>
        <w:t>Providers</w:t>
      </w:r>
      <w:r w:rsidR="008C4AE0">
        <w:t xml:space="preserve"> and </w:t>
      </w:r>
      <w:r w:rsidR="008C4AE0" w:rsidRPr="008C4AE0">
        <w:rPr>
          <w:i/>
        </w:rPr>
        <w:t>Purchasers</w:t>
      </w:r>
      <w:r w:rsidR="008C4AE0">
        <w:t xml:space="preserve"> of special access services</w:t>
      </w:r>
      <w:r w:rsidR="00D30A0D">
        <w:rPr>
          <w:rStyle w:val="FootnoteReference"/>
        </w:rPr>
        <w:footnoteReference w:id="9"/>
      </w:r>
      <w:r w:rsidR="008C4AE0">
        <w:t xml:space="preserve"> and certain entities providing </w:t>
      </w:r>
      <w:r w:rsidR="008C4AE0" w:rsidRPr="00850783">
        <w:rPr>
          <w:i/>
          <w:szCs w:val="22"/>
        </w:rPr>
        <w:t>Best Efforts Business Broadband Internet Access Service</w:t>
      </w:r>
      <w:r w:rsidR="008C4AE0">
        <w:rPr>
          <w:szCs w:val="22"/>
        </w:rPr>
        <w:t>.</w:t>
      </w:r>
      <w:r w:rsidR="008C4AE0">
        <w:rPr>
          <w:rStyle w:val="FootnoteReference"/>
          <w:szCs w:val="22"/>
        </w:rPr>
        <w:footnoteReference w:id="10"/>
      </w:r>
      <w:r w:rsidR="008C4AE0">
        <w:rPr>
          <w:szCs w:val="22"/>
        </w:rPr>
        <w:t xml:space="preserve">  </w:t>
      </w:r>
      <w:r w:rsidR="008F50C3">
        <w:rPr>
          <w:szCs w:val="22"/>
        </w:rPr>
        <w:t>The</w:t>
      </w:r>
      <w:r w:rsidR="008F50C3">
        <w:t xml:space="preserve"> geographic and temporal scope includes data on a nationwide basis for</w:t>
      </w:r>
      <w:r w:rsidR="0055616A">
        <w:t xml:space="preserve"> </w:t>
      </w:r>
      <w:r w:rsidR="008F50C3">
        <w:t xml:space="preserve">areas </w:t>
      </w:r>
      <w:r w:rsidR="00C36B27">
        <w:t xml:space="preserve">where the </w:t>
      </w:r>
      <w:r w:rsidR="00C36B27">
        <w:rPr>
          <w:i/>
        </w:rPr>
        <w:t>Incumbent Local Exchange C</w:t>
      </w:r>
      <w:r w:rsidR="00C36B27" w:rsidRPr="00C36B27">
        <w:rPr>
          <w:i/>
        </w:rPr>
        <w:t>arrier</w:t>
      </w:r>
      <w:r w:rsidR="00C36B27">
        <w:t xml:space="preserve"> (</w:t>
      </w:r>
      <w:r w:rsidR="00C36B27" w:rsidRPr="00C36B27">
        <w:rPr>
          <w:i/>
        </w:rPr>
        <w:t>ILEC</w:t>
      </w:r>
      <w:r w:rsidR="00C36B27">
        <w:t>) is subject to price cap regulation (</w:t>
      </w:r>
      <w:r w:rsidR="00C36B27" w:rsidRPr="00C36B27">
        <w:rPr>
          <w:i/>
        </w:rPr>
        <w:t>i.e.</w:t>
      </w:r>
      <w:r w:rsidR="00C36B27">
        <w:t xml:space="preserve">, price cap areas) </w:t>
      </w:r>
      <w:r w:rsidR="008F50C3">
        <w:t>with the majority of the data from calendar years 2010 and 2012.</w:t>
      </w:r>
      <w:r w:rsidR="008F50C3">
        <w:rPr>
          <w:rStyle w:val="FootnoteReference"/>
        </w:rPr>
        <w:footnoteReference w:id="11"/>
      </w:r>
      <w:r w:rsidR="008F50C3">
        <w:t xml:space="preserve">  </w:t>
      </w:r>
    </w:p>
    <w:p w:rsidR="008C4AE0" w:rsidRDefault="00801928" w:rsidP="00F37E2A">
      <w:pPr>
        <w:pStyle w:val="ParaNum"/>
      </w:pPr>
      <w:r>
        <w:t>T</w:t>
      </w:r>
      <w:r w:rsidR="009606D3">
        <w:t xml:space="preserve">he </w:t>
      </w:r>
      <w:r w:rsidR="004A3655">
        <w:t>general</w:t>
      </w:r>
      <w:r w:rsidR="005C1E2F">
        <w:t xml:space="preserve"> categories of data and information </w:t>
      </w:r>
      <w:r w:rsidR="009765B4">
        <w:t xml:space="preserve">identified by the Commission for </w:t>
      </w:r>
      <w:r w:rsidR="00E1674C">
        <w:t>collection</w:t>
      </w:r>
      <w:r>
        <w:t xml:space="preserve"> are</w:t>
      </w:r>
      <w:r w:rsidR="004A3655">
        <w:t xml:space="preserve">: </w:t>
      </w:r>
      <w:r w:rsidR="00DA25C3">
        <w:t>market structure, pricing, demand, terms and conditions</w:t>
      </w:r>
      <w:r w:rsidR="00273675">
        <w:t>,</w:t>
      </w:r>
      <w:r w:rsidR="00DA25C3">
        <w:t xml:space="preserve"> and competition and pricing decisions</w:t>
      </w:r>
      <w:r w:rsidR="004A3655">
        <w:t>.</w:t>
      </w:r>
      <w:r w:rsidR="004A3655">
        <w:rPr>
          <w:rStyle w:val="FootnoteReference"/>
        </w:rPr>
        <w:footnoteReference w:id="12"/>
      </w:r>
      <w:r w:rsidR="000C3080">
        <w:t xml:space="preserve">  Under each category, </w:t>
      </w:r>
      <w:r w:rsidR="00913483">
        <w:t xml:space="preserve">most of which would be collected from </w:t>
      </w:r>
      <w:r w:rsidR="00913483" w:rsidRPr="00913483">
        <w:rPr>
          <w:i/>
        </w:rPr>
        <w:t>Providers</w:t>
      </w:r>
      <w:r w:rsidR="00913483">
        <w:t xml:space="preserve">, </w:t>
      </w:r>
      <w:r w:rsidR="000C3080">
        <w:t>t</w:t>
      </w:r>
      <w:r w:rsidR="005C1E2F">
        <w:t xml:space="preserve">he Commission highlighted the types of data </w:t>
      </w:r>
      <w:r w:rsidR="00DA25C3">
        <w:t xml:space="preserve">and information </w:t>
      </w:r>
      <w:r w:rsidR="000C3080">
        <w:t>covered</w:t>
      </w:r>
      <w:r w:rsidR="005C1E2F">
        <w:t>.  For example</w:t>
      </w:r>
      <w:r w:rsidR="00A22122">
        <w:t>, market structure included</w:t>
      </w:r>
      <w:r w:rsidR="00DA25C3">
        <w:t>, among other things,</w:t>
      </w:r>
      <w:r w:rsidR="00A22122">
        <w:t xml:space="preserve"> data </w:t>
      </w:r>
      <w:r w:rsidR="00913483">
        <w:t xml:space="preserve">exclusively </w:t>
      </w:r>
      <w:r w:rsidR="00A22122">
        <w:t xml:space="preserve">from </w:t>
      </w:r>
      <w:r w:rsidR="00A22122" w:rsidRPr="000C3080">
        <w:rPr>
          <w:i/>
        </w:rPr>
        <w:t>Providers</w:t>
      </w:r>
      <w:r w:rsidR="00A22122">
        <w:t xml:space="preserve"> on facilities used to </w:t>
      </w:r>
      <w:r w:rsidR="00913483">
        <w:t xml:space="preserve">provide </w:t>
      </w:r>
      <w:r w:rsidR="008A760E" w:rsidRPr="008A760E">
        <w:rPr>
          <w:i/>
        </w:rPr>
        <w:t>Dedicated Service</w:t>
      </w:r>
      <w:r w:rsidR="00A22122">
        <w:t xml:space="preserve">, non-price factors </w:t>
      </w:r>
      <w:r w:rsidR="008A760E">
        <w:t>affecting</w:t>
      </w:r>
      <w:r w:rsidR="00A22122">
        <w:t xml:space="preserve"> deploy</w:t>
      </w:r>
      <w:r w:rsidR="00913483">
        <w:t>ment</w:t>
      </w:r>
      <w:r w:rsidR="00A22122">
        <w:t>, collocations, and network maps.</w:t>
      </w:r>
      <w:r w:rsidR="00701FBB">
        <w:rPr>
          <w:rStyle w:val="FootnoteReference"/>
        </w:rPr>
        <w:footnoteReference w:id="13"/>
      </w:r>
      <w:r w:rsidR="00A22122">
        <w:t xml:space="preserve">  </w:t>
      </w:r>
      <w:r w:rsidR="00DA25C3">
        <w:t xml:space="preserve">The pricing information </w:t>
      </w:r>
      <w:r w:rsidR="009765B4">
        <w:t>included</w:t>
      </w:r>
      <w:r w:rsidR="00DA25C3">
        <w:t xml:space="preserve"> data </w:t>
      </w:r>
      <w:r w:rsidR="00913483">
        <w:t xml:space="preserve">exclusively </w:t>
      </w:r>
      <w:r w:rsidR="00DA25C3">
        <w:t xml:space="preserve">from </w:t>
      </w:r>
      <w:r w:rsidR="00DA25C3" w:rsidRPr="000C3080">
        <w:rPr>
          <w:i/>
        </w:rPr>
        <w:t>Providers</w:t>
      </w:r>
      <w:r w:rsidR="00DA25C3">
        <w:t xml:space="preserve"> on the “quantities sold and prices charged for special access services, by circuit element” and required </w:t>
      </w:r>
      <w:r w:rsidR="00DA25C3" w:rsidRPr="000C3080">
        <w:rPr>
          <w:i/>
        </w:rPr>
        <w:t>ILECs</w:t>
      </w:r>
      <w:r w:rsidR="00A22122">
        <w:t xml:space="preserve"> </w:t>
      </w:r>
      <w:r w:rsidR="00DA25C3">
        <w:t>to “list the form of pri</w:t>
      </w:r>
      <w:r w:rsidR="006F21FC">
        <w:t xml:space="preserve">ce regulation that applies . . . </w:t>
      </w:r>
      <w:r w:rsidR="00DA25C3">
        <w:t>on a wire-center-by-wire-center basis.”</w:t>
      </w:r>
      <w:r w:rsidR="00701FBB">
        <w:rPr>
          <w:rStyle w:val="FootnoteReference"/>
        </w:rPr>
        <w:footnoteReference w:id="14"/>
      </w:r>
      <w:r w:rsidR="00DA25C3">
        <w:t xml:space="preserve">  The demand data included not only </w:t>
      </w:r>
      <w:r w:rsidR="00701FBB">
        <w:t xml:space="preserve">information </w:t>
      </w:r>
      <w:r w:rsidR="00DA25C3">
        <w:t xml:space="preserve">on the bandwidth of special access sold and revenues earned by </w:t>
      </w:r>
      <w:r w:rsidR="00DA25C3" w:rsidRPr="000C3080">
        <w:rPr>
          <w:i/>
        </w:rPr>
        <w:t>Providers</w:t>
      </w:r>
      <w:r w:rsidR="00DA25C3">
        <w:t xml:space="preserve"> but also on the expenditures made by </w:t>
      </w:r>
      <w:r w:rsidR="00DA25C3" w:rsidRPr="000C3080">
        <w:rPr>
          <w:i/>
        </w:rPr>
        <w:t>Purchasers</w:t>
      </w:r>
      <w:r w:rsidR="00DA25C3">
        <w:t>.</w:t>
      </w:r>
      <w:r w:rsidR="00570AE5">
        <w:rPr>
          <w:rStyle w:val="FootnoteReference"/>
        </w:rPr>
        <w:footnoteReference w:id="15"/>
      </w:r>
      <w:r w:rsidR="00701FBB">
        <w:t xml:space="preserve"> </w:t>
      </w:r>
      <w:r w:rsidR="00DA25C3">
        <w:t xml:space="preserve"> </w:t>
      </w:r>
      <w:r w:rsidR="00796C35">
        <w:t xml:space="preserve">The </w:t>
      </w:r>
      <w:r w:rsidR="00E7064E">
        <w:t xml:space="preserve">terms and conditions section called for </w:t>
      </w:r>
      <w:r w:rsidR="00913483">
        <w:t xml:space="preserve">information and data from both </w:t>
      </w:r>
      <w:r w:rsidR="00913483" w:rsidRPr="00913483">
        <w:rPr>
          <w:i/>
        </w:rPr>
        <w:t>Providers</w:t>
      </w:r>
      <w:r w:rsidR="00913483">
        <w:t xml:space="preserve"> and </w:t>
      </w:r>
      <w:r w:rsidR="00913483" w:rsidRPr="00913483">
        <w:rPr>
          <w:i/>
        </w:rPr>
        <w:t>Purchasers</w:t>
      </w:r>
      <w:r w:rsidR="00913483">
        <w:t xml:space="preserve">, seeking </w:t>
      </w:r>
      <w:r w:rsidR="00E7064E">
        <w:t xml:space="preserve">details on </w:t>
      </w:r>
      <w:r w:rsidR="00913483">
        <w:t xml:space="preserve">topics such as </w:t>
      </w:r>
      <w:r w:rsidR="00E7064E">
        <w:t xml:space="preserve">the discounts and benefits associated with </w:t>
      </w:r>
      <w:r w:rsidR="00E7064E" w:rsidRPr="000C3080">
        <w:rPr>
          <w:i/>
        </w:rPr>
        <w:t>Tariff</w:t>
      </w:r>
      <w:r w:rsidR="00E7064E">
        <w:t xml:space="preserve"> plans and the business rationale for th</w:t>
      </w:r>
      <w:r w:rsidR="00913483">
        <w:t>ose</w:t>
      </w:r>
      <w:r w:rsidR="00E7064E">
        <w:t xml:space="preserve"> plans.</w:t>
      </w:r>
      <w:r w:rsidR="000C3080">
        <w:rPr>
          <w:rStyle w:val="FootnoteReference"/>
        </w:rPr>
        <w:footnoteReference w:id="16"/>
      </w:r>
      <w:r w:rsidR="00E7064E">
        <w:t xml:space="preserve">  </w:t>
      </w:r>
      <w:r w:rsidR="00F56FFF">
        <w:t>T</w:t>
      </w:r>
      <w:r w:rsidR="00570AE5">
        <w:t xml:space="preserve">he Commission </w:t>
      </w:r>
      <w:r w:rsidR="00F56FFF">
        <w:t xml:space="preserve">also </w:t>
      </w:r>
      <w:r w:rsidR="00913483">
        <w:t xml:space="preserve">sought </w:t>
      </w:r>
      <w:r w:rsidR="00570AE5">
        <w:t>information on Requests for Proposals and advertised and marketed services to help evaluate competition and pricing decisions</w:t>
      </w:r>
      <w:r w:rsidR="00F56FFF">
        <w:t xml:space="preserve"> </w:t>
      </w:r>
      <w:r w:rsidR="00913483">
        <w:t xml:space="preserve">for special access services.  Lastly, the Commission </w:t>
      </w:r>
      <w:r w:rsidR="00F56FFF">
        <w:t>described the coverage area and price</w:t>
      </w:r>
      <w:r w:rsidR="00913483">
        <w:t xml:space="preserve"> information it sought to collect from entities providing </w:t>
      </w:r>
      <w:r w:rsidR="00F56FFF" w:rsidRPr="000C3080">
        <w:rPr>
          <w:i/>
          <w:szCs w:val="22"/>
        </w:rPr>
        <w:t>Best Efforts Business Broadband Internet Access Service</w:t>
      </w:r>
      <w:r w:rsidR="00570AE5">
        <w:t>.</w:t>
      </w:r>
      <w:r w:rsidR="00570AE5">
        <w:rPr>
          <w:rStyle w:val="FootnoteReference"/>
        </w:rPr>
        <w:footnoteReference w:id="17"/>
      </w:r>
      <w:r w:rsidR="004A3655">
        <w:t xml:space="preserve">  The Commission provided an “initial version” of the questions and definitions for the collection</w:t>
      </w:r>
      <w:r w:rsidR="00913483" w:rsidRPr="00913483">
        <w:t xml:space="preserve"> </w:t>
      </w:r>
      <w:r w:rsidR="00913483">
        <w:t>as an appendix to the order</w:t>
      </w:r>
      <w:r w:rsidR="004A3655">
        <w:t>.</w:t>
      </w:r>
      <w:r w:rsidR="004A3655">
        <w:rPr>
          <w:rStyle w:val="FootnoteReference"/>
        </w:rPr>
        <w:footnoteReference w:id="18"/>
      </w:r>
      <w:r w:rsidR="00570AE5">
        <w:t xml:space="preserve">    </w:t>
      </w:r>
      <w:r w:rsidR="00DA25C3">
        <w:t xml:space="preserve">  </w:t>
      </w:r>
      <w:r w:rsidR="005C1E2F">
        <w:t xml:space="preserve">  </w:t>
      </w:r>
    </w:p>
    <w:p w:rsidR="009606D3" w:rsidRDefault="00D75A08" w:rsidP="00A131AC">
      <w:pPr>
        <w:pStyle w:val="ParaNum"/>
      </w:pPr>
      <w:r>
        <w:t>The Commission plan</w:t>
      </w:r>
      <w:r w:rsidR="00801928">
        <w:t>s</w:t>
      </w:r>
      <w:r>
        <w:t xml:space="preserve"> to use </w:t>
      </w:r>
      <w:r w:rsidR="00C13C2E">
        <w:t xml:space="preserve">the data </w:t>
      </w:r>
      <w:r w:rsidR="008D3D87">
        <w:t>collected</w:t>
      </w:r>
      <w:r w:rsidR="00C13C2E">
        <w:t xml:space="preserve"> for </w:t>
      </w:r>
      <w:r w:rsidR="008D3D87">
        <w:t>a one-time, multi-faceted market analysis.</w:t>
      </w:r>
      <w:r w:rsidR="008D3D87">
        <w:rPr>
          <w:rStyle w:val="FootnoteReference"/>
        </w:rPr>
        <w:footnoteReference w:id="19"/>
      </w:r>
      <w:r w:rsidR="008D3D87">
        <w:t xml:space="preserve">  The analysis </w:t>
      </w:r>
      <w:r w:rsidR="00625733">
        <w:t>will evaluate “</w:t>
      </w:r>
      <w:r w:rsidR="00B924D3">
        <w:t>how the intensity of competition (or lack thereof), whether actual or potential, affects prices, controlling for all other factors that affect prices</w:t>
      </w:r>
      <w:r w:rsidR="00625733">
        <w:t>.</w:t>
      </w:r>
      <w:r w:rsidR="00B924D3">
        <w:t>”</w:t>
      </w:r>
      <w:r w:rsidR="00625733">
        <w:rPr>
          <w:rStyle w:val="FootnoteReference"/>
        </w:rPr>
        <w:footnoteReference w:id="20"/>
      </w:r>
      <w:r w:rsidR="00625733">
        <w:t xml:space="preserve">  </w:t>
      </w:r>
      <w:r w:rsidR="00B924D3">
        <w:t xml:space="preserve">The </w:t>
      </w:r>
      <w:r w:rsidR="00625733">
        <w:t xml:space="preserve">analysis </w:t>
      </w:r>
      <w:r w:rsidR="008D3D87">
        <w:t xml:space="preserve">will </w:t>
      </w:r>
      <w:r w:rsidR="00625733">
        <w:t>include “econometricall</w:t>
      </w:r>
      <w:r w:rsidR="006F21FC">
        <w:t xml:space="preserve">y sound panel regressions . . . </w:t>
      </w:r>
      <w:r w:rsidR="00B924D3">
        <w:t>of the prices for special access on characteristics such as 1) the number of facilities-based competitors (both actual and potential); 2) the availability of, pricing of, and demand for best efforts business broadband Internet access services; 3) the characteristics of the purchased service; and 4) other factors that influence the pricing decisions of special access providers, including cost determinants (</w:t>
      </w:r>
      <w:r w:rsidR="00B924D3" w:rsidRPr="00B924D3">
        <w:rPr>
          <w:i/>
        </w:rPr>
        <w:t>e.g.</w:t>
      </w:r>
      <w:r w:rsidR="00B924D3">
        <w:t>, density of sales) and factors that deliver economies of scale and scope (</w:t>
      </w:r>
      <w:r w:rsidR="00B924D3" w:rsidRPr="00B924D3">
        <w:rPr>
          <w:i/>
        </w:rPr>
        <w:t>e.g.</w:t>
      </w:r>
      <w:r w:rsidR="00B924D3">
        <w:t>, level of sales).”</w:t>
      </w:r>
      <w:r w:rsidR="00B924D3">
        <w:rPr>
          <w:rStyle w:val="FootnoteReference"/>
        </w:rPr>
        <w:footnoteReference w:id="21"/>
      </w:r>
      <w:r w:rsidR="00B924D3">
        <w:t xml:space="preserve">  </w:t>
      </w:r>
      <w:r w:rsidR="0094223C">
        <w:t>T</w:t>
      </w:r>
      <w:r w:rsidR="00C13C2E">
        <w:t xml:space="preserve">he Commission </w:t>
      </w:r>
      <w:r w:rsidR="00E1674C">
        <w:t xml:space="preserve">also </w:t>
      </w:r>
      <w:r w:rsidR="00C13C2E">
        <w:t xml:space="preserve">plans to </w:t>
      </w:r>
      <w:r w:rsidR="0094223C">
        <w:t>assess the reasonableness of</w:t>
      </w:r>
      <w:r w:rsidR="00C13C2E">
        <w:t xml:space="preserve"> terms and conditions </w:t>
      </w:r>
      <w:r w:rsidR="0094223C">
        <w:t xml:space="preserve">offered by </w:t>
      </w:r>
      <w:r w:rsidR="0094223C" w:rsidRPr="0094223C">
        <w:rPr>
          <w:i/>
        </w:rPr>
        <w:t>ILECs</w:t>
      </w:r>
      <w:r w:rsidR="0094223C">
        <w:t xml:space="preserve"> </w:t>
      </w:r>
      <w:r w:rsidR="00C13C2E">
        <w:t>for special access service.</w:t>
      </w:r>
      <w:r w:rsidR="00C13C2E">
        <w:rPr>
          <w:rStyle w:val="FootnoteReference"/>
        </w:rPr>
        <w:footnoteReference w:id="22"/>
      </w:r>
      <w:r w:rsidR="00213F68">
        <w:t xml:space="preserve">  </w:t>
      </w:r>
      <w:r w:rsidR="008A760E">
        <w:t>Once the data are</w:t>
      </w:r>
      <w:r w:rsidR="00605F61">
        <w:t xml:space="preserve"> obtained and analyzed, the Commission </w:t>
      </w:r>
      <w:r w:rsidR="00B3512D">
        <w:t>will</w:t>
      </w:r>
      <w:r w:rsidR="00605F61">
        <w:t xml:space="preserve"> evaluate </w:t>
      </w:r>
      <w:r w:rsidR="00F418AC">
        <w:t xml:space="preserve">whether it is appropriate to make </w:t>
      </w:r>
      <w:r w:rsidR="00605F61">
        <w:t>changes to its existing pricing flexibility rules to better target regulatory relief in competitive areas</w:t>
      </w:r>
      <w:r w:rsidR="0094223C">
        <w:t xml:space="preserve"> and </w:t>
      </w:r>
      <w:r w:rsidR="00C96B06">
        <w:t xml:space="preserve">evaluate </w:t>
      </w:r>
      <w:r w:rsidR="00F418AC">
        <w:t xml:space="preserve">whether </w:t>
      </w:r>
      <w:r w:rsidR="0094223C">
        <w:t xml:space="preserve">remedies </w:t>
      </w:r>
      <w:r w:rsidR="00F418AC">
        <w:t xml:space="preserve">are appropriate </w:t>
      </w:r>
      <w:r w:rsidR="0094223C">
        <w:t xml:space="preserve">to address any </w:t>
      </w:r>
      <w:r w:rsidR="00F15D5D">
        <w:t xml:space="preserve">potentially </w:t>
      </w:r>
      <w:r w:rsidR="0094223C">
        <w:t>unreasonable terms and conditions</w:t>
      </w:r>
      <w:r w:rsidR="00605F61">
        <w:t>.</w:t>
      </w:r>
      <w:r w:rsidR="00605F61">
        <w:rPr>
          <w:rStyle w:val="FootnoteReference"/>
        </w:rPr>
        <w:footnoteReference w:id="23"/>
      </w:r>
      <w:r w:rsidR="00605F61">
        <w:t xml:space="preserve"> </w:t>
      </w:r>
    </w:p>
    <w:p w:rsidR="00173440" w:rsidRPr="00541338" w:rsidRDefault="00B5573A" w:rsidP="00A131AC">
      <w:pPr>
        <w:pStyle w:val="ParaNum"/>
      </w:pPr>
      <w:r>
        <w:t>T</w:t>
      </w:r>
      <w:r w:rsidR="008D3D87">
        <w:t xml:space="preserve">he Commission </w:t>
      </w:r>
      <w:r w:rsidR="00F54F97" w:rsidRPr="00541338">
        <w:t xml:space="preserve">delegated authority </w:t>
      </w:r>
      <w:r w:rsidR="00A138D2" w:rsidRPr="00541338">
        <w:t>to the Wireline Competition Bureau (Bureau) to</w:t>
      </w:r>
      <w:r w:rsidR="00213F68">
        <w:t xml:space="preserve"> implement the data collection</w:t>
      </w:r>
      <w:r w:rsidR="008D3D87">
        <w:t>.</w:t>
      </w:r>
      <w:r w:rsidR="00213F68">
        <w:t xml:space="preserve">  </w:t>
      </w:r>
      <w:r w:rsidR="008D3D87">
        <w:t xml:space="preserve">The </w:t>
      </w:r>
      <w:r w:rsidR="00A1499E">
        <w:t xml:space="preserve">Commission’s </w:t>
      </w:r>
      <w:r w:rsidR="008D3D87">
        <w:t>delegation give</w:t>
      </w:r>
      <w:r w:rsidR="00605F61">
        <w:t>s</w:t>
      </w:r>
      <w:r w:rsidR="008D3D87">
        <w:t xml:space="preserve"> the Bureau </w:t>
      </w:r>
      <w:r w:rsidR="00867F4D">
        <w:t>authority to</w:t>
      </w:r>
      <w:r w:rsidR="00F54F97" w:rsidRPr="00541338">
        <w:t xml:space="preserve">: “(a) draft instructions to the data collection and modify the data collection based on public feedback; (b) amend the data collection based on feedback received through the PRA process; (c) make corrections to the data collection to ensure it reflects the Commission’s needs as expressed in [the </w:t>
      </w:r>
      <w:r w:rsidR="008109F0" w:rsidRPr="0014029E">
        <w:rPr>
          <w:i/>
        </w:rPr>
        <w:t>Special Access Data Collection Order</w:t>
      </w:r>
      <w:r w:rsidR="00F54F97" w:rsidRPr="00541338">
        <w:t xml:space="preserve">]; </w:t>
      </w:r>
      <w:r w:rsidR="0027087D">
        <w:t>. . .</w:t>
      </w:r>
      <w:r w:rsidR="00F54F97" w:rsidRPr="00541338">
        <w:t xml:space="preserve"> (d) issue Bureau-level orders and Public Notices specifying the production of specific types of data, specifying a collection mechanism (including necessary forms or formats), and set</w:t>
      </w:r>
      <w:r w:rsidR="00F418AC">
        <w:t>[]</w:t>
      </w:r>
      <w:r w:rsidR="00F54F97" w:rsidRPr="00541338">
        <w:t xml:space="preserve"> deadlines for response to ensure that data collections are complied with in a timely manner; and (e) take other such actions as ar</w:t>
      </w:r>
      <w:r w:rsidR="00E36B67" w:rsidRPr="00541338">
        <w:t xml:space="preserve">e necessary to implement </w:t>
      </w:r>
      <w:r w:rsidR="00F97044">
        <w:t>[</w:t>
      </w:r>
      <w:r w:rsidR="0027087D">
        <w:t xml:space="preserve">the </w:t>
      </w:r>
      <w:r w:rsidR="00F97044" w:rsidRPr="0014029E">
        <w:rPr>
          <w:i/>
        </w:rPr>
        <w:t>Special Access Data Collection Order</w:t>
      </w:r>
      <w:r w:rsidR="00F97044">
        <w:t>]</w:t>
      </w:r>
      <w:r w:rsidR="00E36B67" w:rsidRPr="00541338">
        <w:t xml:space="preserve">. . . consistent with the terms of [the </w:t>
      </w:r>
      <w:r w:rsidR="008109F0" w:rsidRPr="0014029E">
        <w:rPr>
          <w:i/>
        </w:rPr>
        <w:t>Special Access Data Collection Order</w:t>
      </w:r>
      <w:r w:rsidR="00E36B67" w:rsidRPr="00541338">
        <w:t>].</w:t>
      </w:r>
      <w:r w:rsidR="00F54F97" w:rsidRPr="00541338">
        <w:t>”</w:t>
      </w:r>
      <w:r w:rsidR="00F54F97" w:rsidRPr="0014029E">
        <w:rPr>
          <w:rStyle w:val="FootnoteReference"/>
          <w:color w:val="000000"/>
        </w:rPr>
        <w:footnoteReference w:id="24"/>
      </w:r>
      <w:r w:rsidR="00F54F97" w:rsidRPr="00541338">
        <w:t xml:space="preserve">  </w:t>
      </w:r>
    </w:p>
    <w:p w:rsidR="00050DD9" w:rsidRDefault="00F11A76" w:rsidP="00B11E6E">
      <w:pPr>
        <w:pStyle w:val="ParaNum"/>
        <w:widowControl/>
      </w:pPr>
      <w:r>
        <w:t xml:space="preserve">After the release of the </w:t>
      </w:r>
      <w:r w:rsidRPr="00FA5E53">
        <w:rPr>
          <w:i/>
        </w:rPr>
        <w:t>Special Access Data Collection Order</w:t>
      </w:r>
      <w:r>
        <w:t xml:space="preserve">, we received several requests for clarifications and changes to the </w:t>
      </w:r>
      <w:r w:rsidR="00F56FFF">
        <w:t xml:space="preserve">initial version of the </w:t>
      </w:r>
      <w:r>
        <w:t>data collection</w:t>
      </w:r>
      <w:r w:rsidR="00F56FFF">
        <w:t xml:space="preserve"> definitions and questions</w:t>
      </w:r>
      <w:r w:rsidR="00041ADA">
        <w:t xml:space="preserve">; received </w:t>
      </w:r>
      <w:r>
        <w:t xml:space="preserve">comments </w:t>
      </w:r>
      <w:r w:rsidR="00036F49">
        <w:t xml:space="preserve">through </w:t>
      </w:r>
      <w:r w:rsidR="00041ADA">
        <w:t xml:space="preserve">the </w:t>
      </w:r>
      <w:r>
        <w:t>PRA process</w:t>
      </w:r>
      <w:r w:rsidR="00041ADA">
        <w:t xml:space="preserve">; and </w:t>
      </w:r>
      <w:r w:rsidR="00FF3563">
        <w:t>met</w:t>
      </w:r>
      <w:r w:rsidR="00041ADA">
        <w:t xml:space="preserve"> with </w:t>
      </w:r>
      <w:r w:rsidR="00FF3563">
        <w:t>several potential respond</w:t>
      </w:r>
      <w:r w:rsidR="00F40820">
        <w:t>ents</w:t>
      </w:r>
      <w:r w:rsidR="00FF3563">
        <w:t xml:space="preserve"> to </w:t>
      </w:r>
      <w:r w:rsidR="0014029E">
        <w:t xml:space="preserve">discuss </w:t>
      </w:r>
      <w:r w:rsidR="00FF3563">
        <w:t>the data collection</w:t>
      </w:r>
      <w:r>
        <w:t>.</w:t>
      </w:r>
      <w:r>
        <w:rPr>
          <w:rStyle w:val="FootnoteReference"/>
        </w:rPr>
        <w:footnoteReference w:id="25"/>
      </w:r>
      <w:r>
        <w:t xml:space="preserve">  </w:t>
      </w:r>
      <w:r w:rsidR="00041ADA">
        <w:t xml:space="preserve">We also </w:t>
      </w:r>
      <w:r w:rsidR="00A31F0A">
        <w:t>review</w:t>
      </w:r>
      <w:r w:rsidR="00036F49">
        <w:t>ed</w:t>
      </w:r>
      <w:r w:rsidR="00A31F0A">
        <w:t xml:space="preserve"> the collection for </w:t>
      </w:r>
      <w:r>
        <w:t xml:space="preserve">improvements to achieve the robust analysis </w:t>
      </w:r>
      <w:r w:rsidR="00FF3563">
        <w:t xml:space="preserve">proposed </w:t>
      </w:r>
      <w:r>
        <w:t xml:space="preserve">in the </w:t>
      </w:r>
      <w:r>
        <w:rPr>
          <w:i/>
        </w:rPr>
        <w:t xml:space="preserve">Special Access Data Collection </w:t>
      </w:r>
      <w:r w:rsidR="00FF3563">
        <w:rPr>
          <w:i/>
        </w:rPr>
        <w:t>FNPRM</w:t>
      </w:r>
      <w:r>
        <w:t>.</w:t>
      </w:r>
      <w:r w:rsidR="00FF3563">
        <w:rPr>
          <w:rStyle w:val="FootnoteReference"/>
        </w:rPr>
        <w:footnoteReference w:id="26"/>
      </w:r>
      <w:r w:rsidR="00A31F0A">
        <w:t xml:space="preserve">  In this </w:t>
      </w:r>
      <w:r w:rsidR="00E96590">
        <w:t>Report and Order</w:t>
      </w:r>
      <w:r w:rsidR="00A31F0A">
        <w:t xml:space="preserve">, </w:t>
      </w:r>
      <w:r w:rsidR="00832A72">
        <w:t xml:space="preserve">consistent with </w:t>
      </w:r>
      <w:r w:rsidR="00014F96">
        <w:t xml:space="preserve">our delegated </w:t>
      </w:r>
      <w:r w:rsidR="00832A72">
        <w:t xml:space="preserve">authority, </w:t>
      </w:r>
      <w:r w:rsidR="00A31F0A">
        <w:t xml:space="preserve">we </w:t>
      </w:r>
      <w:r w:rsidR="00041ADA">
        <w:t>clarify the scope of the collection</w:t>
      </w:r>
      <w:r w:rsidR="00A31F0A">
        <w:t xml:space="preserve">; </w:t>
      </w:r>
      <w:r w:rsidR="00F40820">
        <w:t>provide instructions on how to respond to the data collection questions</w:t>
      </w:r>
      <w:r w:rsidR="00832A72">
        <w:t xml:space="preserve">; and </w:t>
      </w:r>
      <w:r w:rsidR="00A31F0A">
        <w:t xml:space="preserve">provide </w:t>
      </w:r>
      <w:r w:rsidR="000B238F">
        <w:t xml:space="preserve">a list of all </w:t>
      </w:r>
      <w:r w:rsidR="00832A72">
        <w:t>modifications</w:t>
      </w:r>
      <w:r w:rsidR="0014029E">
        <w:t xml:space="preserve"> and</w:t>
      </w:r>
      <w:r w:rsidR="00832A72">
        <w:t xml:space="preserve"> amendments </w:t>
      </w:r>
      <w:r w:rsidR="00A31F0A">
        <w:t xml:space="preserve">to the data collection </w:t>
      </w:r>
      <w:r w:rsidR="000C3080">
        <w:t>questions and definitions</w:t>
      </w:r>
      <w:r w:rsidR="00041ADA">
        <w:t xml:space="preserve"> based on the feedback received and our further internal review</w:t>
      </w:r>
      <w:r w:rsidR="00A31F0A">
        <w:t>.</w:t>
      </w:r>
      <w:r w:rsidR="00832A72">
        <w:rPr>
          <w:rStyle w:val="FootnoteReference"/>
        </w:rPr>
        <w:footnoteReference w:id="27"/>
      </w:r>
    </w:p>
    <w:p w:rsidR="00F11A76" w:rsidRPr="00F11A76" w:rsidRDefault="00F11A76" w:rsidP="00A131AC">
      <w:pPr>
        <w:pStyle w:val="ParaNum"/>
        <w:numPr>
          <w:ilvl w:val="0"/>
          <w:numId w:val="0"/>
        </w:numPr>
        <w:ind w:left="720"/>
      </w:pPr>
      <w:r>
        <w:t xml:space="preserve"> </w:t>
      </w:r>
    </w:p>
    <w:p w:rsidR="00285033" w:rsidRPr="00067638" w:rsidRDefault="0058468C" w:rsidP="007B77C1">
      <w:pPr>
        <w:pStyle w:val="Heading1"/>
      </w:pPr>
      <w:r>
        <w:t>discussion</w:t>
      </w:r>
    </w:p>
    <w:p w:rsidR="00CC362B" w:rsidRDefault="00CC362B" w:rsidP="007B77C1">
      <w:pPr>
        <w:pStyle w:val="Heading2"/>
      </w:pPr>
      <w:bookmarkStart w:id="9" w:name="_Toc360529164"/>
      <w:bookmarkStart w:id="10" w:name="_Toc360539481"/>
      <w:bookmarkStart w:id="11" w:name="_Toc360539638"/>
      <w:r>
        <w:t xml:space="preserve">Clarifying the Scope of the </w:t>
      </w:r>
      <w:r w:rsidR="00F72870">
        <w:t xml:space="preserve">Data </w:t>
      </w:r>
      <w:r>
        <w:t>Collection</w:t>
      </w:r>
      <w:bookmarkEnd w:id="9"/>
      <w:bookmarkEnd w:id="10"/>
      <w:bookmarkEnd w:id="11"/>
    </w:p>
    <w:p w:rsidR="00F72870" w:rsidRDefault="00A77F15" w:rsidP="00A131AC">
      <w:pPr>
        <w:pStyle w:val="ParaNum"/>
      </w:pPr>
      <w:r>
        <w:t xml:space="preserve">As established by the </w:t>
      </w:r>
      <w:r>
        <w:rPr>
          <w:i/>
        </w:rPr>
        <w:t>Special Access Data Collection Order</w:t>
      </w:r>
      <w:r>
        <w:t>,</w:t>
      </w:r>
      <w:r>
        <w:rPr>
          <w:i/>
        </w:rPr>
        <w:t xml:space="preserve"> </w:t>
      </w:r>
      <w:r w:rsidR="0058468C" w:rsidRPr="0058468C">
        <w:rPr>
          <w:i/>
        </w:rPr>
        <w:t>P</w:t>
      </w:r>
      <w:r w:rsidR="00E36B67" w:rsidRPr="0058468C">
        <w:rPr>
          <w:i/>
        </w:rPr>
        <w:t>roviders</w:t>
      </w:r>
      <w:r w:rsidR="00E36B67">
        <w:t xml:space="preserve"> and </w:t>
      </w:r>
      <w:r w:rsidR="0058468C" w:rsidRPr="0058468C">
        <w:rPr>
          <w:i/>
        </w:rPr>
        <w:t>P</w:t>
      </w:r>
      <w:r w:rsidR="00E36B67" w:rsidRPr="0058468C">
        <w:rPr>
          <w:i/>
        </w:rPr>
        <w:t>urchasers</w:t>
      </w:r>
      <w:r w:rsidR="00E36B67">
        <w:t xml:space="preserve"> of special access services </w:t>
      </w:r>
      <w:r w:rsidR="00604CAC">
        <w:t xml:space="preserve">are required </w:t>
      </w:r>
      <w:r w:rsidR="00E36B67">
        <w:t xml:space="preserve">to respond to the </w:t>
      </w:r>
      <w:r w:rsidR="00D1456C">
        <w:t xml:space="preserve">data collection if they are </w:t>
      </w:r>
      <w:r w:rsidR="00E36B67">
        <w:t xml:space="preserve">subject to </w:t>
      </w:r>
      <w:r>
        <w:t xml:space="preserve">the </w:t>
      </w:r>
      <w:r w:rsidR="00E36B67">
        <w:t>Commission’s jurisdiction</w:t>
      </w:r>
      <w:r w:rsidR="00D1456C">
        <w:t xml:space="preserve"> under the Communications Act of 1934, as amended.</w:t>
      </w:r>
      <w:r w:rsidR="00D1456C">
        <w:rPr>
          <w:rStyle w:val="FootnoteReference"/>
          <w:szCs w:val="22"/>
        </w:rPr>
        <w:footnoteReference w:id="28"/>
      </w:r>
      <w:r w:rsidR="00D1456C">
        <w:t xml:space="preserve">  In addition,</w:t>
      </w:r>
      <w:r w:rsidR="00E36B67">
        <w:t xml:space="preserve"> </w:t>
      </w:r>
      <w:r w:rsidR="00A97831">
        <w:t xml:space="preserve">the Commission required </w:t>
      </w:r>
      <w:r w:rsidR="00D1456C">
        <w:t>e</w:t>
      </w:r>
      <w:r w:rsidR="00D5221C">
        <w:t>ntities providing</w:t>
      </w:r>
      <w:r w:rsidR="00F72870">
        <w:t xml:space="preserve"> </w:t>
      </w:r>
      <w:r w:rsidR="0014029E" w:rsidRPr="0014029E">
        <w:rPr>
          <w:i/>
        </w:rPr>
        <w:t>B</w:t>
      </w:r>
      <w:r w:rsidR="00F72870" w:rsidRPr="0014029E">
        <w:rPr>
          <w:i/>
        </w:rPr>
        <w:t>e</w:t>
      </w:r>
      <w:r w:rsidR="00D1456C" w:rsidRPr="0014029E">
        <w:rPr>
          <w:i/>
        </w:rPr>
        <w:t xml:space="preserve">st </w:t>
      </w:r>
      <w:r w:rsidR="0014029E" w:rsidRPr="0014029E">
        <w:rPr>
          <w:i/>
        </w:rPr>
        <w:t>E</w:t>
      </w:r>
      <w:r w:rsidR="00D1456C" w:rsidRPr="0014029E">
        <w:rPr>
          <w:i/>
        </w:rPr>
        <w:t xml:space="preserve">fforts </w:t>
      </w:r>
      <w:r w:rsidR="0014029E" w:rsidRPr="0014029E">
        <w:rPr>
          <w:i/>
        </w:rPr>
        <w:t>B</w:t>
      </w:r>
      <w:r w:rsidR="00D1456C" w:rsidRPr="0014029E">
        <w:rPr>
          <w:i/>
        </w:rPr>
        <w:t xml:space="preserve">usiness </w:t>
      </w:r>
      <w:r w:rsidR="0014029E" w:rsidRPr="0014029E">
        <w:rPr>
          <w:i/>
        </w:rPr>
        <w:t>B</w:t>
      </w:r>
      <w:r w:rsidR="00D1456C" w:rsidRPr="0014029E">
        <w:rPr>
          <w:i/>
        </w:rPr>
        <w:t xml:space="preserve">roadband Internet </w:t>
      </w:r>
      <w:r w:rsidR="0014029E" w:rsidRPr="0014029E">
        <w:rPr>
          <w:i/>
        </w:rPr>
        <w:t>A</w:t>
      </w:r>
      <w:r w:rsidR="00D1456C" w:rsidRPr="0014029E">
        <w:rPr>
          <w:i/>
        </w:rPr>
        <w:t xml:space="preserve">ccess </w:t>
      </w:r>
      <w:r w:rsidR="0014029E" w:rsidRPr="0014029E">
        <w:rPr>
          <w:i/>
        </w:rPr>
        <w:t>S</w:t>
      </w:r>
      <w:r w:rsidR="00F72870" w:rsidRPr="0014029E">
        <w:rPr>
          <w:i/>
        </w:rPr>
        <w:t>ervices</w:t>
      </w:r>
      <w:r w:rsidR="00F72870">
        <w:t xml:space="preserve"> to respond unless they have fewer than 15,000 customers and fewer than 1,500 business broadband customers.</w:t>
      </w:r>
      <w:r w:rsidR="00F72870">
        <w:rPr>
          <w:rStyle w:val="FootnoteReference"/>
          <w:szCs w:val="22"/>
        </w:rPr>
        <w:footnoteReference w:id="29"/>
      </w:r>
      <w:r w:rsidR="00A97831">
        <w:t xml:space="preserve">  The Commission limited the geographic scope of the collection to services provided and purchased</w:t>
      </w:r>
      <w:r w:rsidR="00A33D87">
        <w:t xml:space="preserve"> in price </w:t>
      </w:r>
      <w:r w:rsidR="001B06E9">
        <w:t>cap territories.</w:t>
      </w:r>
      <w:r w:rsidR="001B06E9">
        <w:rPr>
          <w:rStyle w:val="FootnoteReference"/>
        </w:rPr>
        <w:footnoteReference w:id="30"/>
      </w:r>
    </w:p>
    <w:p w:rsidR="00813A8F" w:rsidRDefault="00FB6059" w:rsidP="00A131AC">
      <w:pPr>
        <w:pStyle w:val="ParaNum"/>
      </w:pPr>
      <w:r>
        <w:t>W</w:t>
      </w:r>
      <w:r w:rsidR="005C0EFF">
        <w:t>e</w:t>
      </w:r>
      <w:r w:rsidR="00C237AD">
        <w:t xml:space="preserve"> </w:t>
      </w:r>
      <w:r>
        <w:t xml:space="preserve">have </w:t>
      </w:r>
      <w:r w:rsidR="00787801">
        <w:t xml:space="preserve">received </w:t>
      </w:r>
      <w:r>
        <w:t xml:space="preserve">several </w:t>
      </w:r>
      <w:r w:rsidR="00F5786D">
        <w:t>questions</w:t>
      </w:r>
      <w:r w:rsidR="001B06E9">
        <w:t xml:space="preserve"> </w:t>
      </w:r>
      <w:r>
        <w:t>about</w:t>
      </w:r>
      <w:r w:rsidR="001B06E9">
        <w:t xml:space="preserve"> the scope </w:t>
      </w:r>
      <w:r w:rsidR="00604CAC">
        <w:t xml:space="preserve">of </w:t>
      </w:r>
      <w:r w:rsidR="001B06E9">
        <w:t>the data collectio</w:t>
      </w:r>
      <w:r w:rsidR="00DC1A5A">
        <w:t>n</w:t>
      </w:r>
      <w:r w:rsidR="00C237AD">
        <w:t xml:space="preserve">.  </w:t>
      </w:r>
      <w:r w:rsidR="00913487">
        <w:t>P</w:t>
      </w:r>
      <w:r w:rsidR="00C237AD">
        <w:t>arties have asked</w:t>
      </w:r>
      <w:r w:rsidR="00DC1A5A">
        <w:t>: (1</w:t>
      </w:r>
      <w:r w:rsidR="004E479B">
        <w:t xml:space="preserve">) </w:t>
      </w:r>
      <w:r w:rsidR="00F5786D">
        <w:t>who is required to file</w:t>
      </w:r>
      <w:r w:rsidR="00BE059D">
        <w:t xml:space="preserve">; </w:t>
      </w:r>
      <w:r w:rsidR="00DC1A5A">
        <w:t>(2</w:t>
      </w:r>
      <w:r w:rsidR="004E479B">
        <w:t xml:space="preserve">) </w:t>
      </w:r>
      <w:r w:rsidR="00BE059D">
        <w:t xml:space="preserve">whether </w:t>
      </w:r>
      <w:r w:rsidR="00C237AD">
        <w:t>entities in rate-of-return areas must respond</w:t>
      </w:r>
      <w:r w:rsidR="00BE059D">
        <w:t xml:space="preserve">; and </w:t>
      </w:r>
      <w:r w:rsidR="00DC1A5A">
        <w:t>(3</w:t>
      </w:r>
      <w:r w:rsidR="004E479B">
        <w:t xml:space="preserve">) </w:t>
      </w:r>
      <w:r w:rsidR="00C237AD">
        <w:t xml:space="preserve">how the reference to </w:t>
      </w:r>
      <w:r w:rsidR="00B419C4">
        <w:t xml:space="preserve">FCC </w:t>
      </w:r>
      <w:r w:rsidR="00BE059D">
        <w:t xml:space="preserve">Form 477 </w:t>
      </w:r>
      <w:r w:rsidR="00024C7E">
        <w:t xml:space="preserve">(Form 477) </w:t>
      </w:r>
      <w:r w:rsidR="00BE059D">
        <w:t xml:space="preserve">filers reporting broadband connections in Section </w:t>
      </w:r>
      <w:r w:rsidR="00A638A6">
        <w:t>II.</w:t>
      </w:r>
      <w:r w:rsidR="00BE059D">
        <w:t xml:space="preserve">G of the data collection </w:t>
      </w:r>
      <w:r w:rsidR="00E96590">
        <w:t>affects</w:t>
      </w:r>
      <w:r w:rsidR="00C237AD">
        <w:t xml:space="preserve"> the pool of respondents.</w:t>
      </w:r>
      <w:r w:rsidR="00C76112">
        <w:rPr>
          <w:rStyle w:val="FootnoteReference"/>
        </w:rPr>
        <w:footnoteReference w:id="31"/>
      </w:r>
      <w:r w:rsidR="004E479B">
        <w:t xml:space="preserve">  We address these questions below.</w:t>
      </w:r>
      <w:r w:rsidR="00876BDA">
        <w:t xml:space="preserve">  </w:t>
      </w:r>
      <w:r w:rsidR="007442C3">
        <w:t xml:space="preserve"> </w:t>
      </w:r>
      <w:r w:rsidR="00504701">
        <w:t xml:space="preserve"> </w:t>
      </w:r>
    </w:p>
    <w:p w:rsidR="00071D27" w:rsidRPr="00071D27" w:rsidRDefault="00071D27" w:rsidP="007B77C1">
      <w:pPr>
        <w:pStyle w:val="Heading3"/>
      </w:pPr>
      <w:bookmarkStart w:id="12" w:name="_Toc360529165"/>
      <w:bookmarkStart w:id="13" w:name="_Toc360539482"/>
      <w:bookmarkStart w:id="14" w:name="_Toc360539639"/>
      <w:r w:rsidRPr="00850783">
        <w:t>Purchasers Subject to the Commission’s Jurisdiction</w:t>
      </w:r>
      <w:bookmarkEnd w:id="12"/>
      <w:bookmarkEnd w:id="13"/>
      <w:bookmarkEnd w:id="14"/>
      <w:r>
        <w:t xml:space="preserve">  </w:t>
      </w:r>
    </w:p>
    <w:p w:rsidR="00654849" w:rsidRDefault="00A77F15" w:rsidP="005B644D">
      <w:pPr>
        <w:pStyle w:val="ParaNum"/>
      </w:pPr>
      <w:r>
        <w:t xml:space="preserve">The </w:t>
      </w:r>
      <w:r>
        <w:rPr>
          <w:i/>
        </w:rPr>
        <w:t xml:space="preserve">Special Access Data Collection Order </w:t>
      </w:r>
      <w:r>
        <w:t xml:space="preserve">stated that </w:t>
      </w:r>
      <w:r>
        <w:rPr>
          <w:i/>
        </w:rPr>
        <w:t xml:space="preserve">Purchasers </w:t>
      </w:r>
      <w:r>
        <w:t xml:space="preserve">of </w:t>
      </w:r>
      <w:r>
        <w:rPr>
          <w:i/>
        </w:rPr>
        <w:t xml:space="preserve">Dedicated Service </w:t>
      </w:r>
      <w:r>
        <w:t>must supply certain information as part of the data collection.</w:t>
      </w:r>
      <w:r>
        <w:rPr>
          <w:rStyle w:val="FootnoteReference"/>
        </w:rPr>
        <w:footnoteReference w:id="32"/>
      </w:r>
      <w:r>
        <w:t xml:space="preserve">  </w:t>
      </w:r>
      <w:r w:rsidR="00654849">
        <w:t xml:space="preserve">A </w:t>
      </w:r>
      <w:r w:rsidR="00654849" w:rsidRPr="00ED2E87">
        <w:rPr>
          <w:i/>
        </w:rPr>
        <w:t>Purchaser</w:t>
      </w:r>
      <w:r w:rsidR="00654849">
        <w:t xml:space="preserve"> is a </w:t>
      </w:r>
      <w:r w:rsidR="00654849" w:rsidRPr="00ED2E87">
        <w:rPr>
          <w:i/>
        </w:rPr>
        <w:t>Competitive Provider</w:t>
      </w:r>
      <w:r w:rsidR="00654849">
        <w:t xml:space="preserve"> </w:t>
      </w:r>
      <w:r w:rsidR="0092213D">
        <w:t>or</w:t>
      </w:r>
      <w:r w:rsidR="00654849">
        <w:t xml:space="preserve"> an </w:t>
      </w:r>
      <w:r w:rsidR="00654849" w:rsidRPr="00ED2E87">
        <w:rPr>
          <w:i/>
        </w:rPr>
        <w:t>End User</w:t>
      </w:r>
      <w:r w:rsidR="00654849">
        <w:t>, which is defined as a</w:t>
      </w:r>
      <w:r w:rsidR="00654849">
        <w:rPr>
          <w:kern w:val="0"/>
        </w:rPr>
        <w:t xml:space="preserve"> </w:t>
      </w:r>
      <w:r w:rsidR="00654849">
        <w:t>“</w:t>
      </w:r>
      <w:r w:rsidR="00654849">
        <w:rPr>
          <w:kern w:val="0"/>
        </w:rPr>
        <w:t xml:space="preserve">business, institutional, or government entity that purchases a communications service </w:t>
      </w:r>
      <w:r w:rsidR="00654849">
        <w:rPr>
          <w:kern w:val="0"/>
          <w:szCs w:val="22"/>
        </w:rPr>
        <w:t>for its own purposes and does not resell such service</w:t>
      </w:r>
      <w:r w:rsidR="00654849">
        <w:rPr>
          <w:kern w:val="0"/>
        </w:rPr>
        <w:t>.</w:t>
      </w:r>
      <w:r w:rsidR="00654849">
        <w:t>”</w:t>
      </w:r>
      <w:r w:rsidR="00C75D21">
        <w:rPr>
          <w:rStyle w:val="FootnoteReference"/>
        </w:rPr>
        <w:footnoteReference w:id="33"/>
      </w:r>
      <w:r w:rsidR="00654849">
        <w:t xml:space="preserve">   </w:t>
      </w:r>
      <w:r w:rsidR="00C75D21">
        <w:t xml:space="preserve">In the collection, </w:t>
      </w:r>
      <w:r w:rsidR="00654849" w:rsidRPr="00ED2E87">
        <w:rPr>
          <w:i/>
        </w:rPr>
        <w:t>Purchasers</w:t>
      </w:r>
      <w:r w:rsidR="00654849">
        <w:t xml:space="preserve"> are generally required to report their expenditures for </w:t>
      </w:r>
      <w:r w:rsidR="00654849" w:rsidRPr="00ED2E87">
        <w:rPr>
          <w:i/>
        </w:rPr>
        <w:t>Dedicated Service</w:t>
      </w:r>
      <w:r w:rsidR="00654849">
        <w:t xml:space="preserve"> under </w:t>
      </w:r>
      <w:r w:rsidR="00654849" w:rsidRPr="00ED2E87">
        <w:rPr>
          <w:i/>
        </w:rPr>
        <w:t>Tariff</w:t>
      </w:r>
      <w:r w:rsidR="00654849">
        <w:t xml:space="preserve"> and non-</w:t>
      </w:r>
      <w:r w:rsidR="00654849" w:rsidRPr="00ED2E87">
        <w:rPr>
          <w:i/>
        </w:rPr>
        <w:t>Tariff</w:t>
      </w:r>
      <w:r w:rsidR="00654849">
        <w:t xml:space="preserve"> plans and </w:t>
      </w:r>
      <w:r w:rsidR="00C75D21">
        <w:t>provide details</w:t>
      </w:r>
      <w:r w:rsidR="00654849">
        <w:t xml:space="preserve"> on the terms and conditions associated with those plans.</w:t>
      </w:r>
      <w:r w:rsidR="00C75D21">
        <w:rPr>
          <w:rStyle w:val="FootnoteReference"/>
        </w:rPr>
        <w:footnoteReference w:id="34"/>
      </w:r>
      <w:r w:rsidR="004546A8">
        <w:t xml:space="preserve"> </w:t>
      </w:r>
      <w:r w:rsidR="00C75D21">
        <w:t xml:space="preserve"> </w:t>
      </w:r>
      <w:r w:rsidR="004546A8">
        <w:t>T</w:t>
      </w:r>
      <w:r w:rsidR="00C75D21">
        <w:t xml:space="preserve">his information is useful in evaluating allegations of harmful, anticompetitive conduct and cross-checking the information reported by </w:t>
      </w:r>
      <w:r w:rsidR="00C75D21" w:rsidRPr="00C75D21">
        <w:rPr>
          <w:i/>
        </w:rPr>
        <w:t>Providers</w:t>
      </w:r>
      <w:r w:rsidR="00C75D21">
        <w:t>.</w:t>
      </w:r>
      <w:r w:rsidR="00F418AC">
        <w:rPr>
          <w:rStyle w:val="FootnoteReference"/>
        </w:rPr>
        <w:footnoteReference w:id="35"/>
      </w:r>
      <w:r w:rsidR="00C75D21">
        <w:t xml:space="preserve"> </w:t>
      </w:r>
      <w:r w:rsidR="00654849">
        <w:t xml:space="preserve"> </w:t>
      </w:r>
    </w:p>
    <w:p w:rsidR="00677A19" w:rsidRDefault="00A77F15" w:rsidP="00A131AC">
      <w:pPr>
        <w:pStyle w:val="ParaNum"/>
      </w:pPr>
      <w:r>
        <w:t xml:space="preserve">The term </w:t>
      </w:r>
      <w:r>
        <w:rPr>
          <w:i/>
        </w:rPr>
        <w:t xml:space="preserve">Purchasers </w:t>
      </w:r>
      <w:r>
        <w:t xml:space="preserve">is </w:t>
      </w:r>
      <w:r w:rsidR="00F418AC">
        <w:t xml:space="preserve">broadly </w:t>
      </w:r>
      <w:r>
        <w:t>defined in th</w:t>
      </w:r>
      <w:r w:rsidR="00C75D21">
        <w:t xml:space="preserve">e </w:t>
      </w:r>
      <w:r w:rsidR="00C75D21">
        <w:rPr>
          <w:i/>
        </w:rPr>
        <w:t xml:space="preserve">Special Access Data Collection Order </w:t>
      </w:r>
      <w:r w:rsidR="00937ADD">
        <w:t>to include “any entity subject to the Commission’s jurisdiction . . . that purchases special access services</w:t>
      </w:r>
      <w:r>
        <w:t>.</w:t>
      </w:r>
      <w:r w:rsidR="00937ADD">
        <w:t>”</w:t>
      </w:r>
      <w:r w:rsidR="00937ADD">
        <w:rPr>
          <w:rStyle w:val="FootnoteReference"/>
        </w:rPr>
        <w:footnoteReference w:id="36"/>
      </w:r>
      <w:r>
        <w:t xml:space="preserve">  Read literally, that term encompasses a very broad range of entities that are consumers of </w:t>
      </w:r>
      <w:r>
        <w:rPr>
          <w:i/>
        </w:rPr>
        <w:t>Dedicated Services</w:t>
      </w:r>
      <w:r>
        <w:t xml:space="preserve"> and, in that regard, are no different from consumers of </w:t>
      </w:r>
      <w:r>
        <w:rPr>
          <w:i/>
        </w:rPr>
        <w:t xml:space="preserve">Dedicated Services </w:t>
      </w:r>
      <w:r>
        <w:t>that are not subject to our jurisdiction.  For example, a package delivery service that purchases a DS-1 to operate its business would be required to comply with the collection if it holds a private radio license for communications with its drivers</w:t>
      </w:r>
      <w:r w:rsidR="00677A19">
        <w:t xml:space="preserve"> (and is therefore “subject to the Commission’s jurisdiction”).  But if instead of holding its own wireless license the same company </w:t>
      </w:r>
      <w:r>
        <w:t xml:space="preserve">purchases </w:t>
      </w:r>
      <w:r w:rsidR="00937ADD">
        <w:t>a commercial mobile radio service (</w:t>
      </w:r>
      <w:r>
        <w:t>CMRS</w:t>
      </w:r>
      <w:r w:rsidR="00937ADD">
        <w:t>)</w:t>
      </w:r>
      <w:r>
        <w:t xml:space="preserve"> for those communications, </w:t>
      </w:r>
      <w:r w:rsidR="00561522">
        <w:t xml:space="preserve">and does not otherwise engage in an activity that would cause it to fall within </w:t>
      </w:r>
      <w:r w:rsidR="00FF408A">
        <w:t>the Commission’s</w:t>
      </w:r>
      <w:r w:rsidR="00561522">
        <w:t xml:space="preserve"> jurisdiction, </w:t>
      </w:r>
      <w:r>
        <w:t>it would not be required to</w:t>
      </w:r>
      <w:r w:rsidR="00677A19">
        <w:t xml:space="preserve"> comply with the data </w:t>
      </w:r>
      <w:r w:rsidR="001045E6">
        <w:t>collection</w:t>
      </w:r>
      <w:r w:rsidR="00677A19">
        <w:t xml:space="preserve">.  There are potentially hundreds of thousands of </w:t>
      </w:r>
      <w:r w:rsidR="008A760E">
        <w:t xml:space="preserve">license and </w:t>
      </w:r>
      <w:r w:rsidR="004546A8">
        <w:t>authorization</w:t>
      </w:r>
      <w:r w:rsidR="00677A19">
        <w:t xml:space="preserve"> holders, information service providers, or others that are “subject to the Commission’s jurisdiction” but otherwise are simply consumers of </w:t>
      </w:r>
      <w:r w:rsidR="00677A19">
        <w:rPr>
          <w:i/>
        </w:rPr>
        <w:t>Dedicated Services</w:t>
      </w:r>
      <w:r w:rsidR="00677A19">
        <w:t xml:space="preserve"> and </w:t>
      </w:r>
      <w:r w:rsidR="003321FA">
        <w:t xml:space="preserve">are unfamiliar with, and perhaps completely unaware of, the Commission’s requirements and proceedings involving the regulation of </w:t>
      </w:r>
      <w:r w:rsidR="003321FA" w:rsidRPr="003321FA">
        <w:rPr>
          <w:i/>
        </w:rPr>
        <w:t>ILECs</w:t>
      </w:r>
      <w:r w:rsidR="003321FA">
        <w:t xml:space="preserve"> in price cap areas</w:t>
      </w:r>
      <w:r w:rsidR="00677A19">
        <w:t>.</w:t>
      </w:r>
      <w:r w:rsidR="002878B8">
        <w:t xml:space="preserve"> </w:t>
      </w:r>
    </w:p>
    <w:p w:rsidR="00677A19" w:rsidRDefault="00677A19" w:rsidP="00F37E2A">
      <w:pPr>
        <w:pStyle w:val="ParaNum"/>
      </w:pPr>
      <w:r>
        <w:t xml:space="preserve">For several reasons, we do not believe the Commission intended to capture these consumers.  </w:t>
      </w:r>
      <w:r w:rsidR="00D35F09">
        <w:t>First</w:t>
      </w:r>
      <w:r>
        <w:t xml:space="preserve">, </w:t>
      </w:r>
      <w:r w:rsidR="00F209E3">
        <w:t xml:space="preserve">including literally all entities subject to the Commission’s jurisdiction would result in </w:t>
      </w:r>
      <w:r w:rsidR="00BC2F83">
        <w:t>the non-uniform treatment of</w:t>
      </w:r>
      <w:r w:rsidR="002D1B36">
        <w:t xml:space="preserve"> certain consumer categories</w:t>
      </w:r>
      <w:r w:rsidR="00887EEB">
        <w:t>; r</w:t>
      </w:r>
      <w:r w:rsidR="002878B8">
        <w:t>esponses from manufacturers</w:t>
      </w:r>
      <w:r w:rsidR="00DC4C2B">
        <w:t>, banks,</w:t>
      </w:r>
      <w:r w:rsidR="002878B8">
        <w:t xml:space="preserve"> or package delivery service providers </w:t>
      </w:r>
      <w:r w:rsidR="00BC2F83">
        <w:t xml:space="preserve">that purchase </w:t>
      </w:r>
      <w:r w:rsidR="00BC2F83" w:rsidRPr="00BC2F83">
        <w:rPr>
          <w:i/>
        </w:rPr>
        <w:t>Dedicated Service</w:t>
      </w:r>
      <w:r w:rsidR="00BC2F83">
        <w:t xml:space="preserve"> </w:t>
      </w:r>
      <w:r w:rsidR="002878B8">
        <w:t xml:space="preserve">would turn on whether an entity in that category just happened to </w:t>
      </w:r>
      <w:r w:rsidR="00DD3430">
        <w:t>engage in an unrelated activity that subjects it to the Commission’s jurisdiction</w:t>
      </w:r>
      <w:r w:rsidR="002878B8">
        <w:t xml:space="preserve">.  </w:t>
      </w:r>
      <w:r w:rsidR="008E6A92">
        <w:t>Second</w:t>
      </w:r>
      <w:r>
        <w:t>, in describing the entities required to submit data</w:t>
      </w:r>
      <w:r w:rsidR="00E6679D">
        <w:t xml:space="preserve"> in its Final Regulatory Flexibility Analysis (FRFA)</w:t>
      </w:r>
      <w:r>
        <w:t>, the Commission noted that</w:t>
      </w:r>
      <w:r w:rsidR="00C75D21">
        <w:t xml:space="preserve"> </w:t>
      </w:r>
      <w:r w:rsidR="00C75D21" w:rsidRPr="00E6679D">
        <w:rPr>
          <w:i/>
        </w:rPr>
        <w:t>Providers</w:t>
      </w:r>
      <w:r w:rsidR="00C75D21">
        <w:t xml:space="preserve"> and </w:t>
      </w:r>
      <w:r w:rsidR="00C75D21" w:rsidRPr="00E6679D">
        <w:rPr>
          <w:i/>
        </w:rPr>
        <w:t>Purchasers</w:t>
      </w:r>
      <w:r w:rsidR="00C75D21">
        <w:t xml:space="preserve"> </w:t>
      </w:r>
      <w:r w:rsidR="00E6679D">
        <w:t xml:space="preserve">required to respond </w:t>
      </w:r>
      <w:r w:rsidR="00C75D21">
        <w:t xml:space="preserve">may </w:t>
      </w:r>
      <w:r w:rsidR="00E6679D">
        <w:t>include “price cap regulated incumbent LECs, competitive LECs, interexchange carriers, cable operators, and companies that provide fixed wireless communications services” in addition to some entities providing “best efforts” services.</w:t>
      </w:r>
      <w:r w:rsidR="00E6679D">
        <w:rPr>
          <w:rStyle w:val="FootnoteReference"/>
        </w:rPr>
        <w:footnoteReference w:id="37"/>
      </w:r>
      <w:r>
        <w:t xml:space="preserve">  </w:t>
      </w:r>
      <w:r w:rsidR="008C279E">
        <w:t xml:space="preserve">We believe this statement </w:t>
      </w:r>
      <w:r w:rsidR="002878B8">
        <w:t>largely</w:t>
      </w:r>
      <w:r w:rsidR="00E6679D">
        <w:t xml:space="preserve"> </w:t>
      </w:r>
      <w:r w:rsidR="008C279E">
        <w:t xml:space="preserve">describes the categories of </w:t>
      </w:r>
      <w:r w:rsidR="002878B8">
        <w:t xml:space="preserve">entities </w:t>
      </w:r>
      <w:r w:rsidR="00D8061D">
        <w:t xml:space="preserve">from which responses were anticipated </w:t>
      </w:r>
      <w:r w:rsidR="002878B8">
        <w:t>by the</w:t>
      </w:r>
      <w:r w:rsidR="008C279E">
        <w:t xml:space="preserve"> Commission</w:t>
      </w:r>
      <w:r w:rsidR="0063164B">
        <w:t xml:space="preserve">; this is </w:t>
      </w:r>
      <w:r w:rsidR="00D31386">
        <w:t xml:space="preserve">also </w:t>
      </w:r>
      <w:r w:rsidR="0063164B">
        <w:t>consistent with the Commission’s estimated respondent pool of about 6,500</w:t>
      </w:r>
      <w:r w:rsidR="000665D6">
        <w:t>—</w:t>
      </w:r>
      <w:r w:rsidR="0063164B">
        <w:t xml:space="preserve">far </w:t>
      </w:r>
      <w:r w:rsidR="008A760E">
        <w:t>fewer</w:t>
      </w:r>
      <w:r w:rsidR="0063164B">
        <w:t xml:space="preserve"> than the potentially hundreds of thousands of entities if the definition of </w:t>
      </w:r>
      <w:r w:rsidR="0063164B">
        <w:rPr>
          <w:i/>
        </w:rPr>
        <w:t xml:space="preserve">Purchasers </w:t>
      </w:r>
      <w:r w:rsidR="0063164B">
        <w:t>were interpreted more broadly</w:t>
      </w:r>
      <w:r w:rsidR="008C279E">
        <w:t>.</w:t>
      </w:r>
      <w:r w:rsidR="00D31386">
        <w:rPr>
          <w:rStyle w:val="FootnoteReference"/>
        </w:rPr>
        <w:footnoteReference w:id="38"/>
      </w:r>
      <w:r w:rsidR="008C279E">
        <w:t xml:space="preserve">  </w:t>
      </w:r>
      <w:r w:rsidR="00F24448">
        <w:t>Third</w:t>
      </w:r>
      <w:r w:rsidR="008E6A92">
        <w:t xml:space="preserve">, defining </w:t>
      </w:r>
      <w:r w:rsidR="008E6A92" w:rsidRPr="00CF32C2">
        <w:rPr>
          <w:i/>
        </w:rPr>
        <w:t>Purchasers</w:t>
      </w:r>
      <w:r w:rsidR="008E6A92">
        <w:t xml:space="preserve"> more broadly will not contribute substantially to the </w:t>
      </w:r>
      <w:r w:rsidR="004B4B34">
        <w:t>economic</w:t>
      </w:r>
      <w:r w:rsidR="008E6A92">
        <w:t xml:space="preserve"> analysis.  As </w:t>
      </w:r>
      <w:r w:rsidR="00644B76">
        <w:t>proposed</w:t>
      </w:r>
      <w:r w:rsidR="008E6A92">
        <w:t xml:space="preserve"> in the </w:t>
      </w:r>
      <w:r w:rsidR="008E6A92" w:rsidRPr="0004058B">
        <w:rPr>
          <w:i/>
        </w:rPr>
        <w:t>Special Access Data Collection FNPRM</w:t>
      </w:r>
      <w:r w:rsidR="008E6A92">
        <w:t xml:space="preserve">, the analysis of the collected data will rely more heavily on the data obtained from </w:t>
      </w:r>
      <w:r w:rsidR="008E6A92" w:rsidRPr="0063164B">
        <w:rPr>
          <w:i/>
        </w:rPr>
        <w:t>Providers</w:t>
      </w:r>
      <w:r w:rsidR="008E6A92">
        <w:t xml:space="preserve">, </w:t>
      </w:r>
      <w:r w:rsidR="008E6A92" w:rsidRPr="0063164B">
        <w:rPr>
          <w:i/>
        </w:rPr>
        <w:t>e.g.</w:t>
      </w:r>
      <w:r w:rsidR="008E6A92">
        <w:t xml:space="preserve">, </w:t>
      </w:r>
      <w:r w:rsidR="008E6A92" w:rsidRPr="0063164B">
        <w:rPr>
          <w:i/>
        </w:rPr>
        <w:t>Locations</w:t>
      </w:r>
      <w:r w:rsidR="008E6A92">
        <w:t xml:space="preserve"> served and prices charged at the circuit-level, than the limited information on terms and conditions obtained from </w:t>
      </w:r>
      <w:r w:rsidR="00672FF0" w:rsidRPr="00E62258">
        <w:rPr>
          <w:i/>
        </w:rPr>
        <w:t>P</w:t>
      </w:r>
      <w:r w:rsidR="008E6A92" w:rsidRPr="00E62258">
        <w:rPr>
          <w:i/>
        </w:rPr>
        <w:t>urchasers</w:t>
      </w:r>
      <w:r w:rsidR="008E6A92">
        <w:t>.</w:t>
      </w:r>
      <w:r w:rsidR="008E6A92">
        <w:rPr>
          <w:rStyle w:val="FootnoteReference"/>
        </w:rPr>
        <w:footnoteReference w:id="39"/>
      </w:r>
      <w:r w:rsidR="008E6A92">
        <w:t xml:space="preserve">  </w:t>
      </w:r>
      <w:r w:rsidR="00F418AC">
        <w:t>Although</w:t>
      </w:r>
      <w:r w:rsidR="00207DEE">
        <w:t xml:space="preserve"> the data obtained from </w:t>
      </w:r>
      <w:r w:rsidR="00207DEE" w:rsidRPr="00207DEE">
        <w:rPr>
          <w:i/>
        </w:rPr>
        <w:t>Purchasers</w:t>
      </w:r>
      <w:r w:rsidR="00207DEE">
        <w:t xml:space="preserve"> will help to identify harmful, anticompetitive conduct in the sale of </w:t>
      </w:r>
      <w:r w:rsidR="00207DEE" w:rsidRPr="004B4B34">
        <w:rPr>
          <w:i/>
        </w:rPr>
        <w:t>Dedicated Service</w:t>
      </w:r>
      <w:r w:rsidR="00F418AC">
        <w:t xml:space="preserve">, it </w:t>
      </w:r>
      <w:r w:rsidR="00207DEE">
        <w:t>need not, and indeed cannot, be comprehensive</w:t>
      </w:r>
      <w:r w:rsidR="0090433D">
        <w:t xml:space="preserve"> to serve this purpose</w:t>
      </w:r>
      <w:r w:rsidR="00207DEE">
        <w:t>.</w:t>
      </w:r>
      <w:r w:rsidR="00672FF0">
        <w:rPr>
          <w:rStyle w:val="FootnoteReference"/>
        </w:rPr>
        <w:footnoteReference w:id="40"/>
      </w:r>
      <w:r w:rsidR="00207DEE">
        <w:t xml:space="preserve">  </w:t>
      </w:r>
      <w:r w:rsidR="00F24448" w:rsidRPr="00F24448">
        <w:t xml:space="preserve">Finally, these consumers of </w:t>
      </w:r>
      <w:r w:rsidR="00F24448" w:rsidRPr="00E62258">
        <w:rPr>
          <w:i/>
        </w:rPr>
        <w:t>Dedicated Service</w:t>
      </w:r>
      <w:r w:rsidR="00F24448" w:rsidRPr="00F24448">
        <w:t xml:space="preserve"> are unlikely to respond with any add</w:t>
      </w:r>
      <w:r w:rsidR="00F24448">
        <w:t>itional</w:t>
      </w:r>
      <w:r w:rsidR="00F24448" w:rsidRPr="00F24448">
        <w:t xml:space="preserve"> info</w:t>
      </w:r>
      <w:r w:rsidR="00F24448">
        <w:t>rmation</w:t>
      </w:r>
      <w:r w:rsidR="00F24448" w:rsidRPr="00F24448">
        <w:t xml:space="preserve"> on t</w:t>
      </w:r>
      <w:r w:rsidR="00F24448">
        <w:t xml:space="preserve">erms and conditions </w:t>
      </w:r>
      <w:r w:rsidR="00F24448" w:rsidRPr="00F24448">
        <w:t xml:space="preserve">that we would not </w:t>
      </w:r>
      <w:r w:rsidR="00F24448">
        <w:t>otherwise</w:t>
      </w:r>
      <w:r w:rsidR="00F24448" w:rsidRPr="00F24448">
        <w:t xml:space="preserve"> obtain from a smaller respondent pool</w:t>
      </w:r>
      <w:r w:rsidR="00A5331B">
        <w:t xml:space="preserve"> and so the benefit of having a broader array of </w:t>
      </w:r>
      <w:r w:rsidR="00A5331B" w:rsidRPr="00E62258">
        <w:rPr>
          <w:i/>
        </w:rPr>
        <w:t>Purchasers</w:t>
      </w:r>
      <w:r w:rsidR="00A5331B">
        <w:t xml:space="preserve"> respond is outweighed by the burden</w:t>
      </w:r>
      <w:r w:rsidR="00F24448" w:rsidRPr="00F24448">
        <w:t xml:space="preserve">.  </w:t>
      </w:r>
      <w:r w:rsidR="00DD3430">
        <w:t>Clarifying the scope</w:t>
      </w:r>
      <w:r w:rsidR="00D35F09">
        <w:t xml:space="preserve"> of </w:t>
      </w:r>
      <w:r w:rsidR="008A760E" w:rsidRPr="008A760E">
        <w:rPr>
          <w:i/>
        </w:rPr>
        <w:t>P</w:t>
      </w:r>
      <w:r w:rsidR="00D35F09" w:rsidRPr="008A760E">
        <w:rPr>
          <w:i/>
        </w:rPr>
        <w:t>urchaser</w:t>
      </w:r>
      <w:r w:rsidR="00D35F09">
        <w:t xml:space="preserve"> respondents is </w:t>
      </w:r>
      <w:r w:rsidR="00644B76">
        <w:t xml:space="preserve">therefore </w:t>
      </w:r>
      <w:r w:rsidR="00D35F09">
        <w:t>appropriate</w:t>
      </w:r>
      <w:r w:rsidR="00F24448">
        <w:t>.</w:t>
      </w:r>
      <w:r w:rsidR="00D35F09">
        <w:rPr>
          <w:rStyle w:val="FootnoteReference"/>
        </w:rPr>
        <w:footnoteReference w:id="41"/>
      </w:r>
      <w:r w:rsidR="002D1B36">
        <w:t xml:space="preserve">  </w:t>
      </w:r>
    </w:p>
    <w:p w:rsidR="004E479B" w:rsidRDefault="00677A19" w:rsidP="00A131AC">
      <w:pPr>
        <w:pStyle w:val="ParaNum"/>
      </w:pPr>
      <w:r>
        <w:t>Consistent with the Commission’s overall intent</w:t>
      </w:r>
      <w:r w:rsidR="005929E1">
        <w:t>, w</w:t>
      </w:r>
      <w:r w:rsidR="008A77B2">
        <w:t xml:space="preserve">e </w:t>
      </w:r>
      <w:r w:rsidR="004379AB">
        <w:t>clarify</w:t>
      </w:r>
      <w:r w:rsidR="008A77B2">
        <w:t xml:space="preserve"> </w:t>
      </w:r>
      <w:r w:rsidR="00DD3430">
        <w:t xml:space="preserve">that </w:t>
      </w:r>
      <w:r w:rsidR="008A77B2">
        <w:t xml:space="preserve">the </w:t>
      </w:r>
      <w:r>
        <w:t xml:space="preserve">definition of </w:t>
      </w:r>
      <w:r>
        <w:rPr>
          <w:i/>
        </w:rPr>
        <w:t xml:space="preserve">Purchasers </w:t>
      </w:r>
      <w:r w:rsidR="008A77B2" w:rsidRPr="005A6B33">
        <w:rPr>
          <w:i/>
        </w:rPr>
        <w:t>exclud</w:t>
      </w:r>
      <w:r w:rsidR="002B5628">
        <w:rPr>
          <w:i/>
        </w:rPr>
        <w:t>e</w:t>
      </w:r>
      <w:r w:rsidR="00DD3430">
        <w:rPr>
          <w:i/>
        </w:rPr>
        <w:t>s</w:t>
      </w:r>
      <w:r w:rsidR="008A77B2">
        <w:t xml:space="preserve"> </w:t>
      </w:r>
      <w:r w:rsidR="002B5628">
        <w:t xml:space="preserve">from the collection entities that are subject to </w:t>
      </w:r>
      <w:r w:rsidR="008A77B2">
        <w:t xml:space="preserve">the </w:t>
      </w:r>
      <w:r w:rsidR="002B5628">
        <w:t xml:space="preserve">Commission’s jurisdiction only </w:t>
      </w:r>
      <w:r w:rsidR="00DD3430">
        <w:t xml:space="preserve">because they fall within </w:t>
      </w:r>
      <w:r w:rsidR="002B5628">
        <w:t>one or more of the categories listed below.</w:t>
      </w:r>
      <w:r w:rsidR="0090433D">
        <w:rPr>
          <w:rStyle w:val="FootnoteReference"/>
        </w:rPr>
        <w:footnoteReference w:id="42"/>
      </w:r>
      <w:r w:rsidR="002B5628">
        <w:t xml:space="preserve">  These exclusions do not apply to entities that hold </w:t>
      </w:r>
      <w:r w:rsidR="00A61440">
        <w:t xml:space="preserve">licenses, </w:t>
      </w:r>
      <w:r w:rsidR="002B5628">
        <w:t xml:space="preserve">authorizations or registrations under any </w:t>
      </w:r>
      <w:r w:rsidR="007C4052">
        <w:t>other Part of the Commission’s r</w:t>
      </w:r>
      <w:r w:rsidR="002B5628">
        <w:t>ules</w:t>
      </w:r>
      <w:r w:rsidR="007C4052">
        <w:t xml:space="preserve"> not listed below,</w:t>
      </w:r>
      <w:r w:rsidR="002B5628">
        <w:t xml:space="preserve"> or that </w:t>
      </w:r>
      <w:r w:rsidR="00DE5357">
        <w:t>provide</w:t>
      </w:r>
      <w:r w:rsidR="004379AB">
        <w:t xml:space="preserve"> </w:t>
      </w:r>
      <w:r w:rsidR="007C4052">
        <w:t xml:space="preserve">a </w:t>
      </w:r>
      <w:r w:rsidR="000D4432" w:rsidRPr="00850783">
        <w:rPr>
          <w:i/>
        </w:rPr>
        <w:t>Dedicated Service</w:t>
      </w:r>
      <w:r w:rsidR="004379AB">
        <w:t xml:space="preserve"> or </w:t>
      </w:r>
      <w:r w:rsidR="007C4052">
        <w:t xml:space="preserve">a </w:t>
      </w:r>
      <w:r w:rsidR="000D4432" w:rsidRPr="00850783">
        <w:rPr>
          <w:i/>
        </w:rPr>
        <w:t>B</w:t>
      </w:r>
      <w:r w:rsidR="004379AB" w:rsidRPr="00850783">
        <w:rPr>
          <w:i/>
        </w:rPr>
        <w:t xml:space="preserve">est </w:t>
      </w:r>
      <w:r w:rsidR="000D4432" w:rsidRPr="00850783">
        <w:rPr>
          <w:i/>
        </w:rPr>
        <w:t>E</w:t>
      </w:r>
      <w:r w:rsidR="004379AB" w:rsidRPr="00850783">
        <w:rPr>
          <w:i/>
        </w:rPr>
        <w:t xml:space="preserve">fforts </w:t>
      </w:r>
      <w:r w:rsidR="000D4432" w:rsidRPr="00850783">
        <w:rPr>
          <w:i/>
        </w:rPr>
        <w:t>B</w:t>
      </w:r>
      <w:r w:rsidR="004379AB" w:rsidRPr="00850783">
        <w:rPr>
          <w:i/>
        </w:rPr>
        <w:t xml:space="preserve">usiness </w:t>
      </w:r>
      <w:r w:rsidR="000D4432" w:rsidRPr="00850783">
        <w:rPr>
          <w:i/>
        </w:rPr>
        <w:t>B</w:t>
      </w:r>
      <w:r w:rsidR="004379AB" w:rsidRPr="00850783">
        <w:rPr>
          <w:i/>
        </w:rPr>
        <w:t xml:space="preserve">roadband Internet </w:t>
      </w:r>
      <w:r w:rsidR="000D4432" w:rsidRPr="00850783">
        <w:rPr>
          <w:i/>
        </w:rPr>
        <w:t>A</w:t>
      </w:r>
      <w:r w:rsidR="004379AB" w:rsidRPr="00850783">
        <w:rPr>
          <w:i/>
        </w:rPr>
        <w:t xml:space="preserve">ccess </w:t>
      </w:r>
      <w:r w:rsidR="000D4432" w:rsidRPr="00850783">
        <w:rPr>
          <w:i/>
        </w:rPr>
        <w:t>S</w:t>
      </w:r>
      <w:r w:rsidR="004379AB" w:rsidRPr="00850783">
        <w:rPr>
          <w:i/>
        </w:rPr>
        <w:t>ervice</w:t>
      </w:r>
      <w:r w:rsidR="007C4052">
        <w:rPr>
          <w:i/>
        </w:rPr>
        <w:t xml:space="preserve"> </w:t>
      </w:r>
      <w:r w:rsidR="007C4052">
        <w:t>in a price cap area</w:t>
      </w:r>
      <w:r w:rsidR="00641ADF">
        <w:t>.</w:t>
      </w:r>
      <w:r w:rsidR="006332AF">
        <w:rPr>
          <w:rStyle w:val="FootnoteReference"/>
        </w:rPr>
        <w:footnoteReference w:id="43"/>
      </w:r>
      <w:r w:rsidR="000D5932">
        <w:t xml:space="preserve"> </w:t>
      </w:r>
      <w:r w:rsidR="00B97DE8">
        <w:t xml:space="preserve"> </w:t>
      </w:r>
      <w:r w:rsidR="0020344D">
        <w:t xml:space="preserve"> </w:t>
      </w:r>
      <w:r w:rsidR="00B97DE8">
        <w:t xml:space="preserve"> </w:t>
      </w:r>
    </w:p>
    <w:p w:rsidR="00E35EA2" w:rsidRDefault="00226155" w:rsidP="00EB5B97">
      <w:pPr>
        <w:pStyle w:val="ParaNum"/>
        <w:numPr>
          <w:ilvl w:val="0"/>
          <w:numId w:val="4"/>
        </w:numPr>
        <w:ind w:left="1440" w:hanging="720"/>
      </w:pPr>
      <w:r w:rsidRPr="00226155">
        <w:rPr>
          <w:i/>
        </w:rPr>
        <w:t>End Users</w:t>
      </w:r>
      <w:r>
        <w:t xml:space="preserve"> that provide an information service</w:t>
      </w:r>
      <w:r w:rsidR="00E35EA2">
        <w:t>;</w:t>
      </w:r>
      <w:r w:rsidR="00CB23CA">
        <w:t xml:space="preserve"> </w:t>
      </w:r>
    </w:p>
    <w:p w:rsidR="004379AB" w:rsidRDefault="004379AB" w:rsidP="00EB5B97">
      <w:pPr>
        <w:pStyle w:val="ParaNum"/>
        <w:numPr>
          <w:ilvl w:val="0"/>
          <w:numId w:val="4"/>
        </w:numPr>
        <w:ind w:left="1440" w:hanging="720"/>
      </w:pPr>
      <w:r>
        <w:t>Equipment authorization holders</w:t>
      </w:r>
      <w:r w:rsidR="005957EF">
        <w:t xml:space="preserve"> regulated under Part</w:t>
      </w:r>
      <w:r w:rsidR="00C618F6">
        <w:t>s</w:t>
      </w:r>
      <w:r w:rsidR="005957EF">
        <w:t xml:space="preserve"> 2 </w:t>
      </w:r>
      <w:r w:rsidR="00C618F6">
        <w:t xml:space="preserve">and 15 </w:t>
      </w:r>
      <w:r w:rsidR="005957EF">
        <w:t>of the Commission’s rules</w:t>
      </w:r>
      <w:r>
        <w:t>;</w:t>
      </w:r>
    </w:p>
    <w:p w:rsidR="005A6B33" w:rsidRDefault="005A6B33" w:rsidP="00EB5B97">
      <w:pPr>
        <w:pStyle w:val="ParaNum"/>
        <w:numPr>
          <w:ilvl w:val="0"/>
          <w:numId w:val="4"/>
        </w:numPr>
        <w:ind w:left="1440" w:hanging="720"/>
      </w:pPr>
      <w:r>
        <w:t>Accounting authorization holders in the maritime and maritime mobile-satellite radio services regulated under Part 3 of the Commission’s rules;</w:t>
      </w:r>
    </w:p>
    <w:p w:rsidR="004379AB" w:rsidRDefault="004379AB" w:rsidP="00EB5B97">
      <w:pPr>
        <w:pStyle w:val="ParaNum"/>
        <w:numPr>
          <w:ilvl w:val="0"/>
          <w:numId w:val="4"/>
        </w:numPr>
        <w:ind w:left="1440" w:hanging="720"/>
      </w:pPr>
      <w:r>
        <w:t xml:space="preserve">Experimental </w:t>
      </w:r>
      <w:r w:rsidR="005957EF">
        <w:t xml:space="preserve">radio </w:t>
      </w:r>
      <w:r w:rsidR="005A6B33">
        <w:t>authorization</w:t>
      </w:r>
      <w:r>
        <w:t xml:space="preserve"> holders</w:t>
      </w:r>
      <w:r w:rsidR="005957EF">
        <w:t xml:space="preserve"> regulated under Part 5 of the Commission’s rules</w:t>
      </w:r>
      <w:r>
        <w:t>;</w:t>
      </w:r>
    </w:p>
    <w:p w:rsidR="005A6B33" w:rsidRDefault="005A6B33" w:rsidP="00EB5B97">
      <w:pPr>
        <w:pStyle w:val="ParaNum"/>
        <w:numPr>
          <w:ilvl w:val="0"/>
          <w:numId w:val="4"/>
        </w:numPr>
        <w:ind w:left="1440" w:hanging="720"/>
      </w:pPr>
      <w:r>
        <w:t>Commercial radio operators regulated under Part 13 of the Commission’s rules;</w:t>
      </w:r>
    </w:p>
    <w:p w:rsidR="005A6B33" w:rsidRDefault="005A6B33" w:rsidP="00EB5B97">
      <w:pPr>
        <w:pStyle w:val="ParaNum"/>
        <w:numPr>
          <w:ilvl w:val="0"/>
          <w:numId w:val="4"/>
        </w:numPr>
        <w:ind w:left="1440" w:hanging="720"/>
      </w:pPr>
      <w:r>
        <w:t>Antenna structure registration holders regulated under Part 17 of the Commission’s rules;</w:t>
      </w:r>
    </w:p>
    <w:p w:rsidR="00CC5BF7" w:rsidRDefault="00CC5BF7" w:rsidP="00EB5B97">
      <w:pPr>
        <w:pStyle w:val="ParaNum"/>
        <w:numPr>
          <w:ilvl w:val="0"/>
          <w:numId w:val="4"/>
        </w:numPr>
        <w:ind w:left="1440" w:hanging="720"/>
      </w:pPr>
      <w:r>
        <w:t>Television and radio br</w:t>
      </w:r>
      <w:r w:rsidR="005A6B33">
        <w:t>oadcasters regulated under Part</w:t>
      </w:r>
      <w:r>
        <w:t xml:space="preserve"> 73</w:t>
      </w:r>
      <w:r w:rsidR="005A6B33">
        <w:t xml:space="preserve"> of the Commission’s rules</w:t>
      </w:r>
      <w:r>
        <w:t>;</w:t>
      </w:r>
    </w:p>
    <w:p w:rsidR="00CC5BF7" w:rsidRDefault="001737E1" w:rsidP="00EB5B97">
      <w:pPr>
        <w:pStyle w:val="ParaNum"/>
        <w:numPr>
          <w:ilvl w:val="0"/>
          <w:numId w:val="4"/>
        </w:numPr>
        <w:ind w:left="1440" w:hanging="720"/>
      </w:pPr>
      <w:r>
        <w:t>Holders of authorization</w:t>
      </w:r>
      <w:r w:rsidR="00F85E8A">
        <w:t>s</w:t>
      </w:r>
      <w:r>
        <w:t xml:space="preserve"> issued pursuant to Part 74 of the Commission’s rules such as e</w:t>
      </w:r>
      <w:r w:rsidR="00103CC6">
        <w:t>xperimental radio, auxiliary, s</w:t>
      </w:r>
      <w:r w:rsidR="00103CC6" w:rsidRPr="00103CC6">
        <w:t xml:space="preserve">pecial </w:t>
      </w:r>
      <w:r w:rsidR="00CC5BF7">
        <w:t>b</w:t>
      </w:r>
      <w:r w:rsidR="00103CC6">
        <w:t>roadcast and other program distribution service authorization</w:t>
      </w:r>
      <w:r>
        <w:t>s</w:t>
      </w:r>
      <w:r w:rsidR="00103CC6">
        <w:t>;</w:t>
      </w:r>
    </w:p>
    <w:p w:rsidR="005A6B33" w:rsidRDefault="005A6B33" w:rsidP="00EB5B97">
      <w:pPr>
        <w:pStyle w:val="ParaNum"/>
        <w:numPr>
          <w:ilvl w:val="0"/>
          <w:numId w:val="4"/>
        </w:numPr>
        <w:ind w:left="1440" w:hanging="720"/>
      </w:pPr>
      <w:r>
        <w:t>Maritime service authorization holders regulated under Part 80 of the Commission’s rules;</w:t>
      </w:r>
    </w:p>
    <w:p w:rsidR="005A6B33" w:rsidRDefault="005A6B33" w:rsidP="00EB5B97">
      <w:pPr>
        <w:pStyle w:val="ParaNum"/>
        <w:numPr>
          <w:ilvl w:val="0"/>
          <w:numId w:val="4"/>
        </w:numPr>
        <w:ind w:left="1440" w:hanging="720"/>
      </w:pPr>
      <w:r>
        <w:t>Aviation service authorization holders regulated under Part 87 of the Commission’s rules;</w:t>
      </w:r>
    </w:p>
    <w:p w:rsidR="004379AB" w:rsidRDefault="004379AB" w:rsidP="00EB5B97">
      <w:pPr>
        <w:pStyle w:val="ParaNum"/>
        <w:numPr>
          <w:ilvl w:val="0"/>
          <w:numId w:val="4"/>
        </w:numPr>
        <w:ind w:left="1440" w:hanging="720"/>
      </w:pPr>
      <w:r>
        <w:t xml:space="preserve">Private </w:t>
      </w:r>
      <w:r w:rsidR="00103CC6">
        <w:t xml:space="preserve">land mobile radio service authorization holders </w:t>
      </w:r>
      <w:r w:rsidR="00A804F1">
        <w:t xml:space="preserve">regulated under Part 90 of the Commission’s rules except for holders </w:t>
      </w:r>
      <w:r w:rsidR="00F85E8A">
        <w:t xml:space="preserve">of </w:t>
      </w:r>
      <w:r w:rsidR="003D7099">
        <w:t>authorizations under Part 90 for the provision of point-to-point fixed microwave services</w:t>
      </w:r>
      <w:r w:rsidR="00F85E8A">
        <w:t xml:space="preserve"> and authorizations in the Wireless Broadband Services frequency band, 3650-3700 MHz</w:t>
      </w:r>
      <w:r>
        <w:t>;</w:t>
      </w:r>
    </w:p>
    <w:p w:rsidR="005A6B33" w:rsidRDefault="005A6B33" w:rsidP="00EB5B97">
      <w:pPr>
        <w:pStyle w:val="ParaNum"/>
        <w:numPr>
          <w:ilvl w:val="0"/>
          <w:numId w:val="4"/>
        </w:numPr>
        <w:ind w:left="1440" w:hanging="720"/>
      </w:pPr>
      <w:r>
        <w:t>Personal radio service authorization holders regulated under Part 95 of the Commission’s rules;</w:t>
      </w:r>
      <w:r w:rsidR="000B238F">
        <w:t xml:space="preserve"> and</w:t>
      </w:r>
    </w:p>
    <w:p w:rsidR="00CB23CA" w:rsidRDefault="005957EF" w:rsidP="00EB5B97">
      <w:pPr>
        <w:pStyle w:val="ParaNum"/>
        <w:numPr>
          <w:ilvl w:val="0"/>
          <w:numId w:val="4"/>
        </w:numPr>
        <w:ind w:left="1440" w:hanging="720"/>
      </w:pPr>
      <w:r>
        <w:t xml:space="preserve">Amateur radio </w:t>
      </w:r>
      <w:r w:rsidR="00103CC6">
        <w:t xml:space="preserve">service </w:t>
      </w:r>
      <w:r>
        <w:t>authorization holders</w:t>
      </w:r>
      <w:r w:rsidR="00103CC6">
        <w:t xml:space="preserve"> regulated under Part 97 of the Commission’s rules</w:t>
      </w:r>
      <w:r w:rsidR="005A6B33">
        <w:t>.</w:t>
      </w:r>
    </w:p>
    <w:p w:rsidR="00BF18D5" w:rsidRDefault="0055616A" w:rsidP="0047272E">
      <w:pPr>
        <w:pStyle w:val="ParaNum"/>
        <w:widowControl/>
      </w:pPr>
      <w:r>
        <w:t xml:space="preserve">These exclusions only apply to the categorically excluded entity and do not extend to other entities within the same corporate structure or entities that are otherwise affiliated with the excluded entity.  For example, if an entity holding a television broadcast authorization is affiliated with a cable company that provides </w:t>
      </w:r>
      <w:r w:rsidRPr="00850783">
        <w:rPr>
          <w:i/>
        </w:rPr>
        <w:t>Dedicated Service</w:t>
      </w:r>
      <w:r>
        <w:t xml:space="preserve">, the affiliated cable company must still respond to the data collection even though the television broadcasting entity is not required to respond.  In addition, for clarity, </w:t>
      </w:r>
      <w:r w:rsidR="008A760E">
        <w:t xml:space="preserve">we point out that </w:t>
      </w:r>
      <w:r>
        <w:t>these categorical exclusions do not include common carriers</w:t>
      </w:r>
      <w:r w:rsidR="008A760E">
        <w:t xml:space="preserve"> (wired or wireless)</w:t>
      </w:r>
      <w:r>
        <w:t>,</w:t>
      </w:r>
      <w:r w:rsidR="008A760E">
        <w:t xml:space="preserve"> mobile wireless service providers,</w:t>
      </w:r>
      <w:r>
        <w:t xml:space="preserve"> cable system operators even if they only provide video </w:t>
      </w:r>
      <w:r w:rsidR="00FE2948">
        <w:t xml:space="preserve">program </w:t>
      </w:r>
      <w:r>
        <w:t xml:space="preserve">services, international service providers, satellite service providers, or entities that hold authorizations </w:t>
      </w:r>
      <w:r w:rsidR="00CA38C2">
        <w:t xml:space="preserve">issued by the Federal Communications Commission (FCC) </w:t>
      </w:r>
      <w:r>
        <w:t xml:space="preserve">for the provision of fixed point-to-point </w:t>
      </w:r>
      <w:r w:rsidR="00A33D87">
        <w:t xml:space="preserve">microwave </w:t>
      </w:r>
      <w:r>
        <w:t xml:space="preserve">services. </w:t>
      </w:r>
    </w:p>
    <w:p w:rsidR="00071D27" w:rsidRPr="004D3366" w:rsidRDefault="00A33D87" w:rsidP="007B77C1">
      <w:pPr>
        <w:pStyle w:val="Heading3"/>
      </w:pPr>
      <w:bookmarkStart w:id="15" w:name="_Toc360529166"/>
      <w:bookmarkStart w:id="16" w:name="_Toc360539483"/>
      <w:bookmarkStart w:id="17" w:name="_Toc360539640"/>
      <w:r>
        <w:t xml:space="preserve">Price </w:t>
      </w:r>
      <w:r w:rsidR="00071D27" w:rsidRPr="00850783">
        <w:t>Cap Areas</w:t>
      </w:r>
      <w:bookmarkEnd w:id="15"/>
      <w:bookmarkEnd w:id="16"/>
      <w:bookmarkEnd w:id="17"/>
    </w:p>
    <w:p w:rsidR="00813A8F" w:rsidRDefault="00FB6059" w:rsidP="00A131AC">
      <w:pPr>
        <w:pStyle w:val="ParaNum"/>
      </w:pPr>
      <w:r>
        <w:t>T</w:t>
      </w:r>
      <w:r w:rsidR="00813A8F">
        <w:t xml:space="preserve">he </w:t>
      </w:r>
      <w:r w:rsidR="00D9462B">
        <w:t xml:space="preserve">Commission </w:t>
      </w:r>
      <w:r>
        <w:t xml:space="preserve">is </w:t>
      </w:r>
      <w:r w:rsidR="00D9462B">
        <w:t>seek</w:t>
      </w:r>
      <w:r>
        <w:t>ing</w:t>
      </w:r>
      <w:r w:rsidR="00813A8F">
        <w:t xml:space="preserve"> data and information on the provision an</w:t>
      </w:r>
      <w:r w:rsidR="00A33D87">
        <w:t xml:space="preserve">d purchase of services in price </w:t>
      </w:r>
      <w:r w:rsidR="00813A8F">
        <w:t xml:space="preserve">cap </w:t>
      </w:r>
      <w:r w:rsidR="0081449B">
        <w:t>areas</w:t>
      </w:r>
      <w:r w:rsidR="00CF7044">
        <w:t xml:space="preserve"> “[b]ecause the focus of this proceeding is on the regulation of special access services in price-cap territories</w:t>
      </w:r>
      <w:r w:rsidR="00813A8F">
        <w:t>.</w:t>
      </w:r>
      <w:r w:rsidR="00CF7044">
        <w:t>”</w:t>
      </w:r>
      <w:r w:rsidR="00CF7044">
        <w:rPr>
          <w:rStyle w:val="FootnoteReference"/>
        </w:rPr>
        <w:footnoteReference w:id="44"/>
      </w:r>
      <w:r w:rsidR="00813A8F">
        <w:t xml:space="preserve">  </w:t>
      </w:r>
      <w:r>
        <w:t xml:space="preserve">While certain language in the </w:t>
      </w:r>
      <w:r w:rsidRPr="00FB6059">
        <w:rPr>
          <w:i/>
        </w:rPr>
        <w:t>Special Access Data Collection Order</w:t>
      </w:r>
      <w:r>
        <w:t xml:space="preserve"> has led to confusion on whether carriers in rate-of-return areas must respond, we clarify that </w:t>
      </w:r>
      <w:r w:rsidR="00D9462B">
        <w:t>entities provid</w:t>
      </w:r>
      <w:r>
        <w:t>ing</w:t>
      </w:r>
      <w:r w:rsidR="00D9462B">
        <w:t xml:space="preserve"> or purchas</w:t>
      </w:r>
      <w:r>
        <w:t>ing</w:t>
      </w:r>
      <w:r w:rsidR="00D9462B">
        <w:t xml:space="preserve"> </w:t>
      </w:r>
      <w:r w:rsidR="00D9462B" w:rsidRPr="00850783">
        <w:rPr>
          <w:i/>
        </w:rPr>
        <w:t>Dedicated Service</w:t>
      </w:r>
      <w:r w:rsidR="00D9462B">
        <w:t xml:space="preserve"> </w:t>
      </w:r>
      <w:r w:rsidR="00A4042A">
        <w:t xml:space="preserve">only </w:t>
      </w:r>
      <w:r w:rsidR="00532DF1">
        <w:t xml:space="preserve">in </w:t>
      </w:r>
      <w:r w:rsidR="00044492">
        <w:t xml:space="preserve">areas where the </w:t>
      </w:r>
      <w:r w:rsidR="00044492" w:rsidRPr="007D776A">
        <w:rPr>
          <w:i/>
        </w:rPr>
        <w:t>ILEC</w:t>
      </w:r>
      <w:r w:rsidR="00044492">
        <w:t xml:space="preserve"> is subject to </w:t>
      </w:r>
      <w:r w:rsidR="00532DF1">
        <w:t xml:space="preserve">interstate </w:t>
      </w:r>
      <w:r w:rsidR="00D9462B">
        <w:t xml:space="preserve">rate-of-return </w:t>
      </w:r>
      <w:r w:rsidR="00044492">
        <w:t>regulation</w:t>
      </w:r>
      <w:r>
        <w:t xml:space="preserve"> are not required to provide data and information in response </w:t>
      </w:r>
      <w:r w:rsidR="00D305DE">
        <w:t xml:space="preserve">to </w:t>
      </w:r>
      <w:r>
        <w:t>the data collection</w:t>
      </w:r>
      <w:r w:rsidR="00D9462B">
        <w:t xml:space="preserve">.  </w:t>
      </w:r>
      <w:r w:rsidR="00CF7044">
        <w:t xml:space="preserve">Likewise, </w:t>
      </w:r>
      <w:r w:rsidR="00F74455">
        <w:t xml:space="preserve">we clarify that </w:t>
      </w:r>
      <w:r w:rsidR="00CF7044">
        <w:t xml:space="preserve">an entity providing </w:t>
      </w:r>
      <w:r w:rsidR="00943635" w:rsidRPr="00850783">
        <w:rPr>
          <w:i/>
        </w:rPr>
        <w:t>B</w:t>
      </w:r>
      <w:r w:rsidR="00CF7044" w:rsidRPr="00850783">
        <w:rPr>
          <w:i/>
        </w:rPr>
        <w:t xml:space="preserve">est </w:t>
      </w:r>
      <w:r w:rsidR="00943635" w:rsidRPr="00850783">
        <w:rPr>
          <w:i/>
        </w:rPr>
        <w:t>E</w:t>
      </w:r>
      <w:r w:rsidR="00CF7044" w:rsidRPr="00850783">
        <w:rPr>
          <w:i/>
        </w:rPr>
        <w:t xml:space="preserve">fforts </w:t>
      </w:r>
      <w:r w:rsidR="00943635" w:rsidRPr="00850783">
        <w:rPr>
          <w:i/>
        </w:rPr>
        <w:t>B</w:t>
      </w:r>
      <w:r w:rsidR="00CF7044" w:rsidRPr="00850783">
        <w:rPr>
          <w:i/>
        </w:rPr>
        <w:t xml:space="preserve">usiness </w:t>
      </w:r>
      <w:r w:rsidR="00943635" w:rsidRPr="00850783">
        <w:rPr>
          <w:i/>
        </w:rPr>
        <w:t>B</w:t>
      </w:r>
      <w:r w:rsidR="00CF7044" w:rsidRPr="00850783">
        <w:rPr>
          <w:i/>
        </w:rPr>
        <w:t xml:space="preserve">roadband Internet </w:t>
      </w:r>
      <w:r w:rsidR="00943635" w:rsidRPr="00850783">
        <w:rPr>
          <w:i/>
        </w:rPr>
        <w:t>A</w:t>
      </w:r>
      <w:r w:rsidR="00CF7044" w:rsidRPr="00850783">
        <w:rPr>
          <w:i/>
        </w:rPr>
        <w:t xml:space="preserve">ccess </w:t>
      </w:r>
      <w:r w:rsidR="00943635" w:rsidRPr="00850783">
        <w:rPr>
          <w:i/>
        </w:rPr>
        <w:t>S</w:t>
      </w:r>
      <w:r w:rsidR="00CF7044" w:rsidRPr="00850783">
        <w:rPr>
          <w:i/>
        </w:rPr>
        <w:t>ervice</w:t>
      </w:r>
      <w:r w:rsidR="00CF7044">
        <w:t xml:space="preserve"> </w:t>
      </w:r>
      <w:r w:rsidR="00A4042A">
        <w:t xml:space="preserve">only </w:t>
      </w:r>
      <w:r w:rsidR="00532DF1">
        <w:t xml:space="preserve">in </w:t>
      </w:r>
      <w:r w:rsidR="00044492">
        <w:t xml:space="preserve">areas where the ILEC is subject to </w:t>
      </w:r>
      <w:r w:rsidR="005B0909">
        <w:t xml:space="preserve">interstate </w:t>
      </w:r>
      <w:r w:rsidR="00CF7044">
        <w:t xml:space="preserve">rate-of-return </w:t>
      </w:r>
      <w:r w:rsidR="00044492">
        <w:t>regulation</w:t>
      </w:r>
      <w:r w:rsidR="00CF7044">
        <w:t xml:space="preserve"> is not required to submit data in response.</w:t>
      </w:r>
      <w:r w:rsidR="00943635">
        <w:rPr>
          <w:rStyle w:val="FootnoteReference"/>
        </w:rPr>
        <w:footnoteReference w:id="45"/>
      </w:r>
      <w:r w:rsidR="002730C3">
        <w:t xml:space="preserve">  </w:t>
      </w:r>
      <w:r w:rsidR="00CD3392">
        <w:t>A</w:t>
      </w:r>
      <w:r w:rsidR="00C25052">
        <w:t xml:space="preserve"> </w:t>
      </w:r>
      <w:r w:rsidR="002730C3">
        <w:t>map dep</w:t>
      </w:r>
      <w:r w:rsidR="00C25052">
        <w:t xml:space="preserve">icting the study areas where </w:t>
      </w:r>
      <w:r w:rsidR="00044492">
        <w:t xml:space="preserve">the </w:t>
      </w:r>
      <w:r w:rsidR="002730C3" w:rsidRPr="007D776A">
        <w:rPr>
          <w:i/>
        </w:rPr>
        <w:t>ILEC</w:t>
      </w:r>
      <w:r w:rsidR="00C25052" w:rsidRPr="007D776A">
        <w:rPr>
          <w:i/>
        </w:rPr>
        <w:t>s</w:t>
      </w:r>
      <w:r w:rsidR="002730C3">
        <w:t xml:space="preserve"> </w:t>
      </w:r>
      <w:r w:rsidR="00044492">
        <w:t xml:space="preserve">are </w:t>
      </w:r>
      <w:r w:rsidR="002730C3">
        <w:t>su</w:t>
      </w:r>
      <w:r w:rsidR="00044492">
        <w:t xml:space="preserve">bject to price cap and rate-of-return regulation </w:t>
      </w:r>
      <w:r w:rsidR="002730C3">
        <w:t xml:space="preserve">is available on the </w:t>
      </w:r>
      <w:r w:rsidR="00C25052">
        <w:t>Commission</w:t>
      </w:r>
      <w:r w:rsidR="002730C3">
        <w:t>’s website</w:t>
      </w:r>
      <w:r>
        <w:t>; the map will</w:t>
      </w:r>
      <w:r w:rsidR="00CD3392">
        <w:t xml:space="preserve"> assist </w:t>
      </w:r>
      <w:r>
        <w:t xml:space="preserve">entities </w:t>
      </w:r>
      <w:r w:rsidR="00AE5C78">
        <w:t>in</w:t>
      </w:r>
      <w:r w:rsidR="00CD3392">
        <w:t xml:space="preserve"> determining whether or not </w:t>
      </w:r>
      <w:r>
        <w:t>they are</w:t>
      </w:r>
      <w:r w:rsidR="00CD3392">
        <w:t xml:space="preserve"> providing </w:t>
      </w:r>
      <w:r w:rsidR="00A33D87">
        <w:t xml:space="preserve">or purchasing services in price </w:t>
      </w:r>
      <w:r w:rsidR="00CD3392">
        <w:t xml:space="preserve">cap </w:t>
      </w:r>
      <w:r>
        <w:t>areas</w:t>
      </w:r>
      <w:r w:rsidR="00AE5C78">
        <w:t>.</w:t>
      </w:r>
      <w:r w:rsidR="00AE5C78">
        <w:rPr>
          <w:rStyle w:val="FootnoteReference"/>
        </w:rPr>
        <w:footnoteReference w:id="46"/>
      </w:r>
      <w:r w:rsidR="00AE5C78">
        <w:t xml:space="preserve">  </w:t>
      </w:r>
      <w:r w:rsidR="00A33D87">
        <w:t>In addition, w</w:t>
      </w:r>
      <w:r w:rsidR="0055616A">
        <w:t xml:space="preserve">e recognize that over the years </w:t>
      </w:r>
      <w:r w:rsidR="00532DF1">
        <w:t>some</w:t>
      </w:r>
      <w:r w:rsidR="00DF0244">
        <w:t xml:space="preserve"> </w:t>
      </w:r>
      <w:r w:rsidR="00044492">
        <w:t xml:space="preserve">ILECs </w:t>
      </w:r>
      <w:r w:rsidR="0055616A">
        <w:t>have converted to price cap regulation</w:t>
      </w:r>
      <w:r w:rsidR="00DF0244">
        <w:t xml:space="preserve"> and further clarify that </w:t>
      </w:r>
      <w:r w:rsidR="008A760E">
        <w:t>the data collection covers</w:t>
      </w:r>
      <w:r w:rsidR="00A33D87">
        <w:t xml:space="preserve"> </w:t>
      </w:r>
      <w:r w:rsidR="00A33D87" w:rsidRPr="00A33D87">
        <w:rPr>
          <w:i/>
        </w:rPr>
        <w:t>Dedicated Service</w:t>
      </w:r>
      <w:r w:rsidR="00A33D87">
        <w:t xml:space="preserve"> provided or purchased </w:t>
      </w:r>
      <w:r w:rsidR="00DF0244">
        <w:t xml:space="preserve">and </w:t>
      </w:r>
      <w:r w:rsidR="00DF0244" w:rsidRPr="00850783">
        <w:rPr>
          <w:i/>
        </w:rPr>
        <w:t>Best Efforts Business Broadband Internet Access Service</w:t>
      </w:r>
      <w:r w:rsidR="00DF0244">
        <w:t xml:space="preserve"> provided </w:t>
      </w:r>
      <w:r w:rsidR="00D64F2C">
        <w:t>if</w:t>
      </w:r>
      <w:r w:rsidR="000D2E2C">
        <w:t xml:space="preserve"> the </w:t>
      </w:r>
      <w:r w:rsidR="00044492" w:rsidRPr="00044492">
        <w:rPr>
          <w:i/>
        </w:rPr>
        <w:t>ILEC</w:t>
      </w:r>
      <w:r w:rsidR="00044492">
        <w:t xml:space="preserve"> </w:t>
      </w:r>
      <w:r w:rsidR="000D2E2C">
        <w:t xml:space="preserve">was subject to </w:t>
      </w:r>
      <w:r w:rsidR="00044492">
        <w:t xml:space="preserve">price cap </w:t>
      </w:r>
      <w:r w:rsidR="000D2E2C">
        <w:t xml:space="preserve">regulation </w:t>
      </w:r>
      <w:r w:rsidR="00044492">
        <w:t xml:space="preserve">in the area at any point </w:t>
      </w:r>
      <w:r w:rsidR="00A33D87">
        <w:t>during the relevant reporti</w:t>
      </w:r>
      <w:r w:rsidR="00DF0244">
        <w:t>ng periods, 2010 or 2012</w:t>
      </w:r>
      <w:r w:rsidR="0055616A">
        <w:t>.</w:t>
      </w:r>
      <w:r w:rsidR="000D2E2C">
        <w:rPr>
          <w:rStyle w:val="FootnoteReference"/>
        </w:rPr>
        <w:footnoteReference w:id="47"/>
      </w:r>
      <w:r w:rsidR="00A33D87">
        <w:t xml:space="preserve"> </w:t>
      </w:r>
      <w:r w:rsidR="00DF0244">
        <w:t xml:space="preserve"> </w:t>
      </w:r>
      <w:r w:rsidR="000D2E2C">
        <w:t xml:space="preserve">  </w:t>
      </w:r>
    </w:p>
    <w:p w:rsidR="00071D27" w:rsidRPr="004D3366" w:rsidRDefault="00071D27" w:rsidP="007B77C1">
      <w:pPr>
        <w:pStyle w:val="Heading3"/>
      </w:pPr>
      <w:bookmarkStart w:id="18" w:name="_Toc360529167"/>
      <w:bookmarkStart w:id="19" w:name="_Toc360539484"/>
      <w:bookmarkStart w:id="20" w:name="_Toc360539641"/>
      <w:r w:rsidRPr="00850783">
        <w:t>F</w:t>
      </w:r>
      <w:r w:rsidR="00D4782A">
        <w:t>CC F</w:t>
      </w:r>
      <w:r w:rsidRPr="00850783">
        <w:t>orm 477 Filers Reporting Broadband Connections</w:t>
      </w:r>
      <w:bookmarkEnd w:id="18"/>
      <w:bookmarkEnd w:id="19"/>
      <w:bookmarkEnd w:id="20"/>
    </w:p>
    <w:p w:rsidR="00B65B88" w:rsidRDefault="00CB1653" w:rsidP="00A131AC">
      <w:pPr>
        <w:pStyle w:val="ParaNum"/>
      </w:pPr>
      <w:r>
        <w:t xml:space="preserve">In </w:t>
      </w:r>
      <w:r w:rsidR="00494D4B">
        <w:t>delegatin</w:t>
      </w:r>
      <w:r>
        <w:t>g</w:t>
      </w:r>
      <w:r w:rsidR="00494D4B">
        <w:t xml:space="preserve"> authority</w:t>
      </w:r>
      <w:r>
        <w:t xml:space="preserve"> to the Bureau</w:t>
      </w:r>
      <w:r w:rsidR="00494D4B">
        <w:t>, the Commission noted that “[t]he delegation includes the authority to require entities subject to the Commission’s jurisdiction to certify whether or not they are special access providers, entities that provide best efforts business services, or purchasers for the purposes of this data collection.”</w:t>
      </w:r>
      <w:r w:rsidR="00494D4B">
        <w:rPr>
          <w:rStyle w:val="FootnoteReference"/>
        </w:rPr>
        <w:footnoteReference w:id="48"/>
      </w:r>
      <w:r w:rsidR="00494D4B">
        <w:t xml:space="preserve">  </w:t>
      </w:r>
      <w:r w:rsidR="00B65B88">
        <w:t xml:space="preserve">In </w:t>
      </w:r>
      <w:r w:rsidR="00DF0244">
        <w:t xml:space="preserve">Section II.G of </w:t>
      </w:r>
      <w:r w:rsidR="00B65B88">
        <w:t>the</w:t>
      </w:r>
      <w:r w:rsidR="00DF0244">
        <w:t xml:space="preserve"> initial version of the data collection attached to the</w:t>
      </w:r>
      <w:r w:rsidR="00B65B88">
        <w:t xml:space="preserve"> </w:t>
      </w:r>
      <w:r w:rsidR="00B65B88">
        <w:rPr>
          <w:i/>
        </w:rPr>
        <w:t xml:space="preserve">Special Access Data Collection </w:t>
      </w:r>
      <w:r w:rsidR="00B65B88" w:rsidRPr="00B65B88">
        <w:rPr>
          <w:i/>
        </w:rPr>
        <w:t>Order</w:t>
      </w:r>
      <w:r w:rsidR="00B65B88">
        <w:t xml:space="preserve">, the Commission stated that </w:t>
      </w:r>
      <w:r w:rsidR="000D2E2C">
        <w:t>“</w:t>
      </w:r>
      <w:r w:rsidR="00B65B88">
        <w:t>[</w:t>
      </w:r>
      <w:r w:rsidR="000D2E2C">
        <w:t>i]f you must respond to this data collection because you filed the FCC Form 477 in 2012 to report the provision of ‘broadband connections to end user locations’ but are not covered by the scope of the collection “then indicate as such . . . and complete the certification accompanying this data collection.”</w:t>
      </w:r>
      <w:r w:rsidR="00882CD7">
        <w:rPr>
          <w:rStyle w:val="FootnoteReference"/>
        </w:rPr>
        <w:footnoteReference w:id="49"/>
      </w:r>
      <w:r w:rsidR="000D2E2C">
        <w:t xml:space="preserve">  </w:t>
      </w:r>
    </w:p>
    <w:p w:rsidR="008246FC" w:rsidRDefault="00A638A6" w:rsidP="00AB5B63">
      <w:pPr>
        <w:pStyle w:val="ParaNum"/>
      </w:pPr>
      <w:r>
        <w:t xml:space="preserve">Smith Bagley </w:t>
      </w:r>
      <w:r w:rsidRPr="00A638A6">
        <w:rPr>
          <w:i/>
        </w:rPr>
        <w:t>et al</w:t>
      </w:r>
      <w:r>
        <w:t xml:space="preserve">. </w:t>
      </w:r>
      <w:r w:rsidR="000665D6">
        <w:t>i</w:t>
      </w:r>
      <w:r w:rsidR="000665D6" w:rsidRPr="00B65B88">
        <w:t>n</w:t>
      </w:r>
      <w:r w:rsidR="000665D6">
        <w:t xml:space="preserve"> their joint comments to the Commission as part of the PRA process highlighted</w:t>
      </w:r>
      <w:r>
        <w:t xml:space="preserve"> the reference to the Form 477 in Section II.G and requested a clarification </w:t>
      </w:r>
      <w:r w:rsidR="00B65B88">
        <w:t xml:space="preserve">as to which </w:t>
      </w:r>
      <w:r w:rsidR="000665D6">
        <w:t>entities</w:t>
      </w:r>
      <w:r>
        <w:t xml:space="preserve"> must </w:t>
      </w:r>
      <w:r w:rsidR="00B65B88">
        <w:t xml:space="preserve">submit </w:t>
      </w:r>
      <w:r>
        <w:t xml:space="preserve">data and which </w:t>
      </w:r>
      <w:r w:rsidR="000665D6">
        <w:t>entities</w:t>
      </w:r>
      <w:r w:rsidR="00B65B88">
        <w:t xml:space="preserve"> </w:t>
      </w:r>
      <w:r>
        <w:t xml:space="preserve">must only certify that they are not required to </w:t>
      </w:r>
      <w:r w:rsidR="00B65B88">
        <w:t xml:space="preserve">submit </w:t>
      </w:r>
      <w:r>
        <w:t>data and information in response to the collection.</w:t>
      </w:r>
      <w:r>
        <w:rPr>
          <w:rStyle w:val="FootnoteReference"/>
        </w:rPr>
        <w:footnoteReference w:id="50"/>
      </w:r>
      <w:r>
        <w:t xml:space="preserve">  </w:t>
      </w:r>
      <w:r w:rsidR="008638C4">
        <w:t>We therefore clarify that a</w:t>
      </w:r>
      <w:r w:rsidR="002B4F7A">
        <w:t xml:space="preserve">ll </w:t>
      </w:r>
      <w:r w:rsidR="005C410B">
        <w:t xml:space="preserve">entities required to submit </w:t>
      </w:r>
      <w:r w:rsidR="000665D6">
        <w:t xml:space="preserve">the </w:t>
      </w:r>
      <w:r w:rsidR="005C410B">
        <w:t>Form 477 because they provide broadband connections to end user</w:t>
      </w:r>
      <w:r w:rsidR="000665D6">
        <w:t xml:space="preserve"> locations</w:t>
      </w:r>
      <w:r w:rsidR="005C410B">
        <w:t xml:space="preserve"> in price</w:t>
      </w:r>
      <w:r w:rsidR="00A33D87">
        <w:t xml:space="preserve"> </w:t>
      </w:r>
      <w:r w:rsidR="005C410B">
        <w:t xml:space="preserve">cap areas must—at a minimum—submit a certification in this special access data collection.  Specifically, entities required to report </w:t>
      </w:r>
      <w:r w:rsidR="002B4F7A">
        <w:t>broadband connections to end user</w:t>
      </w:r>
      <w:r w:rsidR="000665D6">
        <w:t xml:space="preserve"> locations</w:t>
      </w:r>
      <w:r w:rsidR="002B4F7A">
        <w:t xml:space="preserve"> </w:t>
      </w:r>
      <w:r w:rsidR="005C410B">
        <w:t xml:space="preserve">on </w:t>
      </w:r>
      <w:r w:rsidR="00B3512D">
        <w:t xml:space="preserve">the </w:t>
      </w:r>
      <w:r w:rsidR="002B4F7A">
        <w:t xml:space="preserve">Form 477 </w:t>
      </w:r>
      <w:r w:rsidR="00C667B8">
        <w:t>must</w:t>
      </w:r>
      <w:r w:rsidR="002B4F7A">
        <w:t xml:space="preserve"> </w:t>
      </w:r>
      <w:r w:rsidR="00A4042A">
        <w:t>certify</w:t>
      </w:r>
      <w:r w:rsidR="002B4F7A">
        <w:t xml:space="preserve"> whether they are a </w:t>
      </w:r>
      <w:r w:rsidR="001B5736" w:rsidRPr="00850783">
        <w:rPr>
          <w:i/>
        </w:rPr>
        <w:t>P</w:t>
      </w:r>
      <w:r w:rsidR="002B4F7A" w:rsidRPr="00850783">
        <w:rPr>
          <w:i/>
        </w:rPr>
        <w:t>rovider</w:t>
      </w:r>
      <w:r w:rsidR="001B5736">
        <w:t>,</w:t>
      </w:r>
      <w:r w:rsidR="002B4F7A">
        <w:t xml:space="preserve"> </w:t>
      </w:r>
      <w:r w:rsidR="001B5736" w:rsidRPr="00850783">
        <w:rPr>
          <w:i/>
        </w:rPr>
        <w:t>P</w:t>
      </w:r>
      <w:r w:rsidR="002B4F7A" w:rsidRPr="00850783">
        <w:rPr>
          <w:i/>
        </w:rPr>
        <w:t>urchaser</w:t>
      </w:r>
      <w:r w:rsidR="001B5736">
        <w:t>,</w:t>
      </w:r>
      <w:r w:rsidR="002B4F7A">
        <w:t xml:space="preserve"> a covered entity providing </w:t>
      </w:r>
      <w:r w:rsidR="001B5736" w:rsidRPr="00850783">
        <w:rPr>
          <w:i/>
        </w:rPr>
        <w:t>B</w:t>
      </w:r>
      <w:r w:rsidR="002B4F7A" w:rsidRPr="00850783">
        <w:rPr>
          <w:i/>
        </w:rPr>
        <w:t xml:space="preserve">est </w:t>
      </w:r>
      <w:r w:rsidR="001B5736" w:rsidRPr="00850783">
        <w:rPr>
          <w:i/>
        </w:rPr>
        <w:t>E</w:t>
      </w:r>
      <w:r w:rsidR="002B4F7A" w:rsidRPr="00850783">
        <w:rPr>
          <w:i/>
        </w:rPr>
        <w:t xml:space="preserve">fforts </w:t>
      </w:r>
      <w:r w:rsidR="001B5736" w:rsidRPr="00850783">
        <w:rPr>
          <w:i/>
        </w:rPr>
        <w:t>B</w:t>
      </w:r>
      <w:r w:rsidR="002B4F7A" w:rsidRPr="00850783">
        <w:rPr>
          <w:i/>
        </w:rPr>
        <w:t xml:space="preserve">usiness </w:t>
      </w:r>
      <w:r w:rsidR="001B5736" w:rsidRPr="00850783">
        <w:rPr>
          <w:i/>
        </w:rPr>
        <w:t>B</w:t>
      </w:r>
      <w:r w:rsidR="002B4F7A" w:rsidRPr="00850783">
        <w:rPr>
          <w:i/>
        </w:rPr>
        <w:t xml:space="preserve">roadband Internet </w:t>
      </w:r>
      <w:r w:rsidR="001B5736" w:rsidRPr="00850783">
        <w:rPr>
          <w:i/>
        </w:rPr>
        <w:t>A</w:t>
      </w:r>
      <w:r w:rsidR="002B4F7A" w:rsidRPr="00850783">
        <w:rPr>
          <w:i/>
        </w:rPr>
        <w:t xml:space="preserve">ccess </w:t>
      </w:r>
      <w:r w:rsidR="001B5736" w:rsidRPr="00850783">
        <w:rPr>
          <w:i/>
        </w:rPr>
        <w:t>S</w:t>
      </w:r>
      <w:r w:rsidR="002B4F7A" w:rsidRPr="00850783">
        <w:rPr>
          <w:i/>
        </w:rPr>
        <w:t>ervice</w:t>
      </w:r>
      <w:r w:rsidR="005C410B">
        <w:t>, or none of the above</w:t>
      </w:r>
      <w:r w:rsidR="00B65B88">
        <w:t xml:space="preserve"> as part of </w:t>
      </w:r>
      <w:r w:rsidR="000665D6">
        <w:t>this</w:t>
      </w:r>
      <w:r w:rsidR="00B65B88">
        <w:t xml:space="preserve"> data collection</w:t>
      </w:r>
      <w:r w:rsidR="002B4F7A">
        <w:t>.</w:t>
      </w:r>
      <w:r w:rsidR="00651DD6">
        <w:rPr>
          <w:rStyle w:val="FootnoteReference"/>
        </w:rPr>
        <w:footnoteReference w:id="51"/>
      </w:r>
      <w:r w:rsidR="002B4F7A">
        <w:t xml:space="preserve">  </w:t>
      </w:r>
      <w:r w:rsidR="00AE5C78">
        <w:t>I</w:t>
      </w:r>
      <w:r w:rsidR="00C145B0">
        <w:t>f the Form 477 filer</w:t>
      </w:r>
      <w:r w:rsidR="008638C4">
        <w:t xml:space="preserve"> is </w:t>
      </w:r>
      <w:r w:rsidR="005C410B">
        <w:t xml:space="preserve">also </w:t>
      </w:r>
      <w:r w:rsidR="008638C4">
        <w:t xml:space="preserve">a </w:t>
      </w:r>
      <w:r w:rsidR="008638C4" w:rsidRPr="00850783">
        <w:rPr>
          <w:i/>
        </w:rPr>
        <w:t>Provider</w:t>
      </w:r>
      <w:r w:rsidR="008638C4">
        <w:t xml:space="preserve">, </w:t>
      </w:r>
      <w:r w:rsidR="008638C4" w:rsidRPr="00850783">
        <w:rPr>
          <w:i/>
        </w:rPr>
        <w:t>Purchaser</w:t>
      </w:r>
      <w:r w:rsidR="008638C4">
        <w:t xml:space="preserve">, or a covered entity providing </w:t>
      </w:r>
      <w:r w:rsidR="008638C4" w:rsidRPr="00850783">
        <w:rPr>
          <w:i/>
        </w:rPr>
        <w:t>Best Efforts Business Broadband Internet Access Service</w:t>
      </w:r>
      <w:r w:rsidR="008638C4">
        <w:t xml:space="preserve"> as defined in </w:t>
      </w:r>
      <w:r w:rsidR="005C410B">
        <w:t xml:space="preserve">this </w:t>
      </w:r>
      <w:r w:rsidR="008638C4">
        <w:t xml:space="preserve">collection, then it must </w:t>
      </w:r>
      <w:r w:rsidR="005C410B">
        <w:t xml:space="preserve">also </w:t>
      </w:r>
      <w:r w:rsidR="008638C4">
        <w:t xml:space="preserve">respond to </w:t>
      </w:r>
      <w:r w:rsidR="005C410B">
        <w:t xml:space="preserve">all </w:t>
      </w:r>
      <w:r w:rsidR="008638C4">
        <w:t xml:space="preserve">the relevant questions </w:t>
      </w:r>
      <w:r w:rsidR="005C410B">
        <w:t>for that category of entity</w:t>
      </w:r>
      <w:r w:rsidR="008638C4">
        <w:t>.</w:t>
      </w:r>
      <w:r w:rsidR="00C145B0">
        <w:t xml:space="preserve"> </w:t>
      </w:r>
      <w:r w:rsidR="008638C4">
        <w:t xml:space="preserve"> If the Form 477 filer </w:t>
      </w:r>
      <w:r w:rsidR="00C145B0">
        <w:t xml:space="preserve">does not fall within </w:t>
      </w:r>
      <w:r w:rsidR="005C410B">
        <w:t>any of those categories</w:t>
      </w:r>
      <w:r w:rsidR="00C145B0">
        <w:t xml:space="preserve">, </w:t>
      </w:r>
      <w:r w:rsidR="008638C4" w:rsidRPr="008638C4">
        <w:rPr>
          <w:i/>
        </w:rPr>
        <w:t>e.g.</w:t>
      </w:r>
      <w:r w:rsidR="008638C4">
        <w:t xml:space="preserve">, an entity only providing </w:t>
      </w:r>
      <w:r w:rsidR="008638C4" w:rsidRPr="00850783">
        <w:rPr>
          <w:i/>
        </w:rPr>
        <w:t>Best Efforts Business Broadband Internet Access Service</w:t>
      </w:r>
      <w:r w:rsidR="008638C4">
        <w:t xml:space="preserve"> in </w:t>
      </w:r>
      <w:r w:rsidR="00D305DE">
        <w:t xml:space="preserve">interstate </w:t>
      </w:r>
      <w:r w:rsidR="008638C4">
        <w:t xml:space="preserve">rate-of-return areas and not purchasing </w:t>
      </w:r>
      <w:r w:rsidR="008638C4" w:rsidRPr="008638C4">
        <w:rPr>
          <w:i/>
        </w:rPr>
        <w:t>Dedicated Service</w:t>
      </w:r>
      <w:r w:rsidR="008638C4">
        <w:t xml:space="preserve">, then the Form 477 filer need not </w:t>
      </w:r>
      <w:r w:rsidR="00C145B0">
        <w:t xml:space="preserve">submit any </w:t>
      </w:r>
      <w:r w:rsidR="00614813">
        <w:t xml:space="preserve">information or </w:t>
      </w:r>
      <w:r w:rsidR="00C145B0">
        <w:t xml:space="preserve">data </w:t>
      </w:r>
      <w:r w:rsidR="00614813">
        <w:t>beyond its certification</w:t>
      </w:r>
      <w:r w:rsidR="00C145B0">
        <w:t>.</w:t>
      </w:r>
      <w:r w:rsidR="008246FC">
        <w:rPr>
          <w:rStyle w:val="FootnoteReference"/>
        </w:rPr>
        <w:footnoteReference w:id="52"/>
      </w:r>
      <w:r w:rsidR="00C145B0">
        <w:t xml:space="preserve">  </w:t>
      </w:r>
    </w:p>
    <w:p w:rsidR="002359A4" w:rsidRPr="002359A4" w:rsidRDefault="00C145B0" w:rsidP="00A131AC">
      <w:pPr>
        <w:pStyle w:val="ParaNum"/>
      </w:pPr>
      <w:r>
        <w:t>Th</w:t>
      </w:r>
      <w:r w:rsidR="00C96F03">
        <w:t xml:space="preserve">e </w:t>
      </w:r>
      <w:r w:rsidR="000665D6">
        <w:t xml:space="preserve">intent of this </w:t>
      </w:r>
      <w:r w:rsidR="00C96F03">
        <w:t xml:space="preserve">certification </w:t>
      </w:r>
      <w:r w:rsidR="000665D6">
        <w:t xml:space="preserve">is </w:t>
      </w:r>
      <w:r>
        <w:t xml:space="preserve">to ensure </w:t>
      </w:r>
      <w:r w:rsidR="00AE5C78">
        <w:t>the</w:t>
      </w:r>
      <w:r>
        <w:t xml:space="preserve"> </w:t>
      </w:r>
      <w:r w:rsidR="00A4042A">
        <w:t xml:space="preserve">subsequent market </w:t>
      </w:r>
      <w:r>
        <w:t>analysi</w:t>
      </w:r>
      <w:r w:rsidR="00AE5C78">
        <w:t xml:space="preserve">s </w:t>
      </w:r>
      <w:r w:rsidR="005C7CEE">
        <w:t xml:space="preserve">of the collected data </w:t>
      </w:r>
      <w:r w:rsidR="00AE5C78">
        <w:t xml:space="preserve">comprehensively </w:t>
      </w:r>
      <w:r w:rsidR="005C7CEE">
        <w:t>includes</w:t>
      </w:r>
      <w:r w:rsidR="00AE5C78">
        <w:t xml:space="preserve"> all </w:t>
      </w:r>
      <w:r w:rsidR="00AE5C78" w:rsidRPr="00AE5C78">
        <w:rPr>
          <w:i/>
        </w:rPr>
        <w:t>P</w:t>
      </w:r>
      <w:r w:rsidRPr="00AE5C78">
        <w:rPr>
          <w:i/>
        </w:rPr>
        <w:t>roviders</w:t>
      </w:r>
      <w:r>
        <w:t xml:space="preserve"> with </w:t>
      </w:r>
      <w:r w:rsidR="000665D6" w:rsidRPr="0056770D">
        <w:rPr>
          <w:i/>
        </w:rPr>
        <w:t>Connections</w:t>
      </w:r>
      <w:r w:rsidR="000665D6">
        <w:t xml:space="preserve"> to </w:t>
      </w:r>
      <w:r w:rsidR="000665D6" w:rsidRPr="0056770D">
        <w:rPr>
          <w:i/>
        </w:rPr>
        <w:t>Locations</w:t>
      </w:r>
      <w:r w:rsidR="000665D6">
        <w:t xml:space="preserve"> that are owned, leased under an </w:t>
      </w:r>
      <w:r w:rsidR="009C3878">
        <w:rPr>
          <w:i/>
        </w:rPr>
        <w:t xml:space="preserve">Indefeasible Right of Use </w:t>
      </w:r>
      <w:r w:rsidR="009C3878">
        <w:t>(</w:t>
      </w:r>
      <w:r w:rsidR="000665D6" w:rsidRPr="0056770D">
        <w:rPr>
          <w:i/>
        </w:rPr>
        <w:t>IRU</w:t>
      </w:r>
      <w:r w:rsidR="009C3878">
        <w:t>)</w:t>
      </w:r>
      <w:r w:rsidR="000665D6">
        <w:t xml:space="preserve"> agreement</w:t>
      </w:r>
      <w:r w:rsidR="0056770D">
        <w:t xml:space="preserve">, or in the case of </w:t>
      </w:r>
      <w:r w:rsidR="0056770D" w:rsidRPr="0056770D">
        <w:rPr>
          <w:i/>
        </w:rPr>
        <w:t>Competitive Providers</w:t>
      </w:r>
      <w:r w:rsidR="0056770D">
        <w:t>, obtained as a</w:t>
      </w:r>
      <w:r w:rsidR="00CA38C2">
        <w:t xml:space="preserve">n </w:t>
      </w:r>
      <w:r w:rsidR="00CA38C2" w:rsidRPr="00CA38C2">
        <w:rPr>
          <w:i/>
        </w:rPr>
        <w:t>Unbundled Network Element</w:t>
      </w:r>
      <w:r w:rsidR="0056770D">
        <w:t xml:space="preserve"> </w:t>
      </w:r>
      <w:r w:rsidR="00CA38C2">
        <w:t>(</w:t>
      </w:r>
      <w:r w:rsidR="0056770D" w:rsidRPr="0056770D">
        <w:rPr>
          <w:i/>
        </w:rPr>
        <w:t>UNE</w:t>
      </w:r>
      <w:r w:rsidR="00CA38C2">
        <w:t>)</w:t>
      </w:r>
      <w:r w:rsidR="0056770D">
        <w:t xml:space="preserve"> to provide a </w:t>
      </w:r>
      <w:r w:rsidR="0056770D" w:rsidRPr="0056770D">
        <w:rPr>
          <w:i/>
        </w:rPr>
        <w:t>Dedicated Service</w:t>
      </w:r>
      <w:r w:rsidR="009C3878" w:rsidRPr="007D776A">
        <w:t>,</w:t>
      </w:r>
      <w:r w:rsidR="008E6B13">
        <w:t xml:space="preserve"> and covered entities providing </w:t>
      </w:r>
      <w:r w:rsidR="008E6B13" w:rsidRPr="00850783">
        <w:rPr>
          <w:i/>
        </w:rPr>
        <w:t>Best Efforts Business Broadband Internet Access Service</w:t>
      </w:r>
      <w:r w:rsidR="00935227">
        <w:t>.</w:t>
      </w:r>
      <w:r w:rsidR="00A4042A">
        <w:rPr>
          <w:rStyle w:val="FootnoteReference"/>
        </w:rPr>
        <w:footnoteReference w:id="53"/>
      </w:r>
      <w:r w:rsidR="00935227">
        <w:t xml:space="preserve">  </w:t>
      </w:r>
      <w:r w:rsidR="008246FC">
        <w:t>We estimate that</w:t>
      </w:r>
      <w:r w:rsidR="00C25052">
        <w:t xml:space="preserve"> most</w:t>
      </w:r>
      <w:r w:rsidR="008246FC">
        <w:t>,</w:t>
      </w:r>
      <w:r w:rsidR="00C25052">
        <w:t xml:space="preserve"> if not all</w:t>
      </w:r>
      <w:r w:rsidR="008246FC">
        <w:t>,</w:t>
      </w:r>
      <w:r w:rsidR="0056770D">
        <w:t xml:space="preserve"> of these </w:t>
      </w:r>
      <w:r w:rsidR="0056770D" w:rsidRPr="0056770D">
        <w:rPr>
          <w:i/>
        </w:rPr>
        <w:t>Providers</w:t>
      </w:r>
      <w:r w:rsidR="00C25052">
        <w:t xml:space="preserve"> and </w:t>
      </w:r>
      <w:r w:rsidR="0056770D">
        <w:t>covered entities providing “</w:t>
      </w:r>
      <w:r w:rsidR="00C25052">
        <w:t>best efforts</w:t>
      </w:r>
      <w:r w:rsidR="0056770D">
        <w:t>”</w:t>
      </w:r>
      <w:r w:rsidR="00C25052">
        <w:t xml:space="preserve"> services are </w:t>
      </w:r>
      <w:r w:rsidR="00F15D5D">
        <w:t xml:space="preserve">required </w:t>
      </w:r>
      <w:r w:rsidR="00C25052">
        <w:t>to file the Form 477</w:t>
      </w:r>
      <w:r w:rsidR="008246FC">
        <w:t xml:space="preserve"> based on th</w:t>
      </w:r>
      <w:r w:rsidR="0082424D">
        <w:t xml:space="preserve">at form’s </w:t>
      </w:r>
      <w:r w:rsidR="008246FC">
        <w:t>reporting criteria</w:t>
      </w:r>
      <w:r w:rsidR="00C25052">
        <w:t>.</w:t>
      </w:r>
      <w:r w:rsidR="000D4040">
        <w:rPr>
          <w:rStyle w:val="FootnoteReference"/>
          <w:szCs w:val="22"/>
        </w:rPr>
        <w:footnoteReference w:id="54"/>
      </w:r>
      <w:r w:rsidR="0056770D">
        <w:t xml:space="preserve">  Therefore, we can use the list of Form 477 filers as a </w:t>
      </w:r>
      <w:r w:rsidR="00F15D5D">
        <w:t xml:space="preserve">point of reference to ensure that appropriate </w:t>
      </w:r>
      <w:r w:rsidR="00F15D5D" w:rsidRPr="00E62258">
        <w:rPr>
          <w:i/>
        </w:rPr>
        <w:t>Providers</w:t>
      </w:r>
      <w:r w:rsidR="00F15D5D">
        <w:t xml:space="preserve"> respond to the collection</w:t>
      </w:r>
      <w:r w:rsidR="0056770D">
        <w:t>.  For example, if an entity filed the Form 477 but did not respond to the colle</w:t>
      </w:r>
      <w:r w:rsidR="00C84DA5">
        <w:t xml:space="preserve">ction, </w:t>
      </w:r>
      <w:r w:rsidR="008E6B13">
        <w:t>there is a strong</w:t>
      </w:r>
      <w:r w:rsidR="0056770D">
        <w:t xml:space="preserve"> likel</w:t>
      </w:r>
      <w:r w:rsidR="008E6B13">
        <w:t>ihood</w:t>
      </w:r>
      <w:r w:rsidR="0056770D">
        <w:t xml:space="preserve"> </w:t>
      </w:r>
      <w:r w:rsidR="008E6B13">
        <w:t xml:space="preserve">it </w:t>
      </w:r>
      <w:r w:rsidR="0056770D">
        <w:t xml:space="preserve">has data and information relevant to the collection.  </w:t>
      </w:r>
      <w:r w:rsidR="008E6B13">
        <w:t>Moreover, to the extent Form 477 filers not covered by the scope of the collection have to certify as such, this burden is minimal.</w:t>
      </w:r>
      <w:r w:rsidR="008E6B13">
        <w:rPr>
          <w:rStyle w:val="FootnoteReference"/>
        </w:rPr>
        <w:footnoteReference w:id="55"/>
      </w:r>
      <w:r w:rsidR="008E6B13">
        <w:t xml:space="preserve">  </w:t>
      </w:r>
      <w:r w:rsidR="00984C1F">
        <w:t>Thus, the Form 477 certification requirement furthers the Commission’s goal of conducting a comprehensive data collection in a minimally burdensome way.</w:t>
      </w:r>
      <w:r w:rsidR="00935227">
        <w:t xml:space="preserve">  </w:t>
      </w:r>
    </w:p>
    <w:p w:rsidR="00C91AC2" w:rsidRDefault="00C91AC2" w:rsidP="007B77C1">
      <w:pPr>
        <w:pStyle w:val="Heading2"/>
      </w:pPr>
      <w:bookmarkStart w:id="21" w:name="_Toc360529169"/>
      <w:bookmarkStart w:id="22" w:name="_Toc360539486"/>
      <w:bookmarkStart w:id="23" w:name="_Toc360539643"/>
      <w:r>
        <w:t>Instructions – Data Specifications</w:t>
      </w:r>
      <w:bookmarkEnd w:id="21"/>
      <w:bookmarkEnd w:id="22"/>
      <w:bookmarkEnd w:id="23"/>
    </w:p>
    <w:p w:rsidR="00C91AC2" w:rsidRDefault="00C91AC2" w:rsidP="00A131AC">
      <w:pPr>
        <w:pStyle w:val="ParaNum"/>
      </w:pPr>
      <w:r w:rsidRPr="00BB3F77">
        <w:t xml:space="preserve"> </w:t>
      </w:r>
      <w:r w:rsidR="0086347F">
        <w:t>Attached to</w:t>
      </w:r>
      <w:r>
        <w:t xml:space="preserve"> this </w:t>
      </w:r>
      <w:r w:rsidR="00E96590">
        <w:t>Report and Order</w:t>
      </w:r>
      <w:r>
        <w:t xml:space="preserve"> is a comprehensive set of instructions with format specifications for responding to the data collection.</w:t>
      </w:r>
      <w:r w:rsidR="00E742BB">
        <w:rPr>
          <w:rStyle w:val="FootnoteReference"/>
        </w:rPr>
        <w:footnoteReference w:id="56"/>
      </w:r>
      <w:r>
        <w:t xml:space="preserve">  </w:t>
      </w:r>
      <w:r w:rsidR="00D01C41">
        <w:t xml:space="preserve">These instructions address many requests for clarification received from parties since the release of the </w:t>
      </w:r>
      <w:r w:rsidR="00D01C41" w:rsidRPr="0020344D">
        <w:rPr>
          <w:i/>
        </w:rPr>
        <w:t>Special Access Data Collection Orde</w:t>
      </w:r>
      <w:r w:rsidR="00D01C41">
        <w:rPr>
          <w:i/>
        </w:rPr>
        <w:t xml:space="preserve">r.  </w:t>
      </w:r>
      <w:r w:rsidR="00D01C41">
        <w:t>The more significant clarifications contained in the instructions are discussed below.</w:t>
      </w:r>
      <w:r>
        <w:t xml:space="preserve"> </w:t>
      </w:r>
    </w:p>
    <w:p w:rsidR="007F0C57" w:rsidRPr="00850783" w:rsidRDefault="00FB2010" w:rsidP="00EB5B97">
      <w:pPr>
        <w:pStyle w:val="Heading3"/>
        <w:numPr>
          <w:ilvl w:val="2"/>
          <w:numId w:val="2"/>
        </w:numPr>
      </w:pPr>
      <w:bookmarkStart w:id="24" w:name="_Toc360529170"/>
      <w:bookmarkStart w:id="25" w:name="_Toc360539487"/>
      <w:bookmarkStart w:id="26" w:name="_Toc360539644"/>
      <w:r>
        <w:t>Locations with C</w:t>
      </w:r>
      <w:r w:rsidR="008800BC">
        <w:t>onnections</w:t>
      </w:r>
      <w:bookmarkEnd w:id="24"/>
      <w:bookmarkEnd w:id="25"/>
      <w:bookmarkEnd w:id="26"/>
      <w:r w:rsidR="008800BC">
        <w:t xml:space="preserve"> </w:t>
      </w:r>
      <w:r>
        <w:t xml:space="preserve"> </w:t>
      </w:r>
    </w:p>
    <w:p w:rsidR="00EF7CFF" w:rsidRDefault="0086347F" w:rsidP="000A13DE">
      <w:pPr>
        <w:pStyle w:val="ParaNum"/>
      </w:pPr>
      <w:r w:rsidRPr="0086347F">
        <w:rPr>
          <w:i/>
        </w:rPr>
        <w:t>Providers</w:t>
      </w:r>
      <w:r>
        <w:t xml:space="preserve"> are required to report</w:t>
      </w:r>
      <w:r w:rsidR="00D01C41">
        <w:t xml:space="preserve"> </w:t>
      </w:r>
      <w:r w:rsidR="0067181D" w:rsidRPr="00331E31">
        <w:rPr>
          <w:i/>
        </w:rPr>
        <w:t>Locations</w:t>
      </w:r>
      <w:r w:rsidR="00D01C41">
        <w:rPr>
          <w:i/>
        </w:rPr>
        <w:t xml:space="preserve"> </w:t>
      </w:r>
      <w:r w:rsidR="00D01C41">
        <w:t xml:space="preserve">with </w:t>
      </w:r>
      <w:r w:rsidR="00D01C41" w:rsidRPr="00D01C41">
        <w:rPr>
          <w:i/>
        </w:rPr>
        <w:t>Connections</w:t>
      </w:r>
      <w:r w:rsidR="00D01C41">
        <w:t xml:space="preserve"> </w:t>
      </w:r>
      <w:r w:rsidR="008D41CC">
        <w:t>to</w:t>
      </w:r>
      <w:r w:rsidR="003D0B25">
        <w:t xml:space="preserve"> help the Commission identify</w:t>
      </w:r>
      <w:r w:rsidR="00EF7CFF">
        <w:t xml:space="preserve">: </w:t>
      </w:r>
      <w:r w:rsidR="003D0B25">
        <w:t xml:space="preserve"> (1) facilities that can, or could, be used to provide a </w:t>
      </w:r>
      <w:r w:rsidR="003D0B25" w:rsidRPr="00331E31">
        <w:rPr>
          <w:i/>
        </w:rPr>
        <w:t>Dedicated Service</w:t>
      </w:r>
      <w:r w:rsidR="00E50E8A">
        <w:t>;</w:t>
      </w:r>
      <w:r w:rsidR="003D0B25">
        <w:t xml:space="preserve"> and (2) the demand for </w:t>
      </w:r>
      <w:r w:rsidR="003D0B25" w:rsidRPr="00331E31">
        <w:rPr>
          <w:i/>
        </w:rPr>
        <w:t>Dedicated Service</w:t>
      </w:r>
      <w:r w:rsidR="003D0B25">
        <w:t>.</w:t>
      </w:r>
      <w:r w:rsidR="00D01C41">
        <w:rPr>
          <w:rStyle w:val="FootnoteReference"/>
        </w:rPr>
        <w:footnoteReference w:id="57"/>
      </w:r>
      <w:r w:rsidR="00EF7CFF">
        <w:t xml:space="preserve">  </w:t>
      </w:r>
      <w:r w:rsidR="002C2218">
        <w:t xml:space="preserve">Regardless of what market analysis we adopt, this information is critical in determining how and where </w:t>
      </w:r>
      <w:r w:rsidR="00507789">
        <w:t xml:space="preserve">competition for </w:t>
      </w:r>
      <w:r w:rsidR="002C2218">
        <w:t xml:space="preserve">special access services </w:t>
      </w:r>
      <w:r w:rsidR="002C2218" w:rsidRPr="00202255">
        <w:t>exist</w:t>
      </w:r>
      <w:r w:rsidR="00507789">
        <w:t>s</w:t>
      </w:r>
      <w:r w:rsidR="002C2218">
        <w:t xml:space="preserve"> or </w:t>
      </w:r>
      <w:r w:rsidR="00507789">
        <w:t>is</w:t>
      </w:r>
      <w:r w:rsidR="002C2218">
        <w:t xml:space="preserve"> likely to </w:t>
      </w:r>
      <w:r w:rsidR="002C2218" w:rsidRPr="00202255">
        <w:t>develop</w:t>
      </w:r>
      <w:r w:rsidR="002C2218">
        <w:t>.</w:t>
      </w:r>
      <w:r w:rsidR="002C2218">
        <w:rPr>
          <w:rStyle w:val="FootnoteReference"/>
        </w:rPr>
        <w:footnoteReference w:id="58"/>
      </w:r>
    </w:p>
    <w:p w:rsidR="00A30E79" w:rsidRDefault="00A30E79" w:rsidP="00F37E2A">
      <w:pPr>
        <w:pStyle w:val="ParaNum"/>
      </w:pPr>
      <w:r>
        <w:t>A</w:t>
      </w:r>
      <w:r w:rsidR="00320FF4">
        <w:t xml:space="preserve"> </w:t>
      </w:r>
      <w:r w:rsidR="002E0D98" w:rsidRPr="002E0D98">
        <w:rPr>
          <w:i/>
        </w:rPr>
        <w:t>Connection</w:t>
      </w:r>
      <w:r w:rsidR="002E0D98">
        <w:t xml:space="preserve"> is defined as a communication path between a </w:t>
      </w:r>
      <w:r w:rsidR="002E0D98" w:rsidRPr="002E0D98">
        <w:rPr>
          <w:i/>
        </w:rPr>
        <w:t>Location</w:t>
      </w:r>
      <w:r w:rsidR="002E0D98">
        <w:t xml:space="preserve"> and a </w:t>
      </w:r>
      <w:r w:rsidR="002E0D98" w:rsidRPr="002E0D98">
        <w:rPr>
          <w:i/>
        </w:rPr>
        <w:t>Provider</w:t>
      </w:r>
      <w:r w:rsidR="002E0D98" w:rsidRPr="00E96590">
        <w:t>’s</w:t>
      </w:r>
      <w:r w:rsidR="002E0D98">
        <w:t xml:space="preserve"> network that provides a </w:t>
      </w:r>
      <w:r w:rsidR="002E0D98" w:rsidRPr="002E0D98">
        <w:rPr>
          <w:i/>
        </w:rPr>
        <w:t>Dedicated Service</w:t>
      </w:r>
      <w:r w:rsidR="002E0D98">
        <w:t xml:space="preserve"> or is </w:t>
      </w:r>
      <w:r w:rsidR="00694753">
        <w:t>“</w:t>
      </w:r>
      <w:r w:rsidR="002E0D98">
        <w:t>capable</w:t>
      </w:r>
      <w:r w:rsidR="00694753">
        <w:t>”</w:t>
      </w:r>
      <w:r w:rsidR="002E0D98">
        <w:t xml:space="preserve"> of providing a </w:t>
      </w:r>
      <w:r w:rsidR="002E0D98" w:rsidRPr="002E0D98">
        <w:rPr>
          <w:i/>
        </w:rPr>
        <w:t>Dedicated Service</w:t>
      </w:r>
      <w:r w:rsidR="002E0D98">
        <w:t>.</w:t>
      </w:r>
      <w:r w:rsidR="002E0D98">
        <w:rPr>
          <w:rStyle w:val="FootnoteReference"/>
        </w:rPr>
        <w:footnoteReference w:id="59"/>
      </w:r>
      <w:r w:rsidR="002E0D98">
        <w:t xml:space="preserve"> </w:t>
      </w:r>
      <w:r>
        <w:t xml:space="preserve"> By design, only </w:t>
      </w:r>
      <w:r w:rsidRPr="002E0D98">
        <w:rPr>
          <w:i/>
        </w:rPr>
        <w:t>Connections</w:t>
      </w:r>
      <w:r>
        <w:t xml:space="preserve"> to non-residential </w:t>
      </w:r>
      <w:r w:rsidRPr="002E0D98">
        <w:rPr>
          <w:i/>
        </w:rPr>
        <w:t>Locations</w:t>
      </w:r>
      <w:r>
        <w:t xml:space="preserve"> are reported.</w:t>
      </w:r>
      <w:r>
        <w:rPr>
          <w:rStyle w:val="FootnoteReference"/>
        </w:rPr>
        <w:footnoteReference w:id="60"/>
      </w:r>
      <w:r>
        <w:t xml:space="preserve">  Special access services are used by businesses, schools, libraries, and other institutions of state and local government.</w:t>
      </w:r>
      <w:r>
        <w:rPr>
          <w:rStyle w:val="FootnoteReference"/>
        </w:rPr>
        <w:footnoteReference w:id="61"/>
      </w:r>
      <w:r>
        <w:t xml:space="preserve">  Including facilities and services provided to residences will not help, and may distort, our analysis of the special access market.  Therefore, </w:t>
      </w:r>
      <w:r w:rsidRPr="002E0D98">
        <w:rPr>
          <w:i/>
        </w:rPr>
        <w:t>Providers</w:t>
      </w:r>
      <w:r>
        <w:t xml:space="preserve"> do not report </w:t>
      </w:r>
      <w:r w:rsidRPr="002E0D98">
        <w:rPr>
          <w:i/>
        </w:rPr>
        <w:t>Connections</w:t>
      </w:r>
      <w:r>
        <w:t xml:space="preserve"> to residential locations.</w:t>
      </w:r>
      <w:r w:rsidR="002E0D98">
        <w:t xml:space="preserve"> </w:t>
      </w:r>
    </w:p>
    <w:p w:rsidR="00613277" w:rsidRDefault="00B246C2" w:rsidP="00A131AC">
      <w:pPr>
        <w:pStyle w:val="ParaNum"/>
      </w:pPr>
      <w:r>
        <w:t>W</w:t>
      </w:r>
      <w:r w:rsidR="00214260">
        <w:t xml:space="preserve">e </w:t>
      </w:r>
      <w:r>
        <w:t xml:space="preserve">have </w:t>
      </w:r>
      <w:r w:rsidR="00214260">
        <w:t xml:space="preserve">received several questions about </w:t>
      </w:r>
      <w:r w:rsidR="006F00A6">
        <w:t>the meaning of</w:t>
      </w:r>
      <w:r w:rsidR="002E0D98">
        <w:t xml:space="preserve"> “capable”</w:t>
      </w:r>
      <w:r w:rsidR="005C40E3">
        <w:t xml:space="preserve"> </w:t>
      </w:r>
      <w:r w:rsidR="00694753">
        <w:t xml:space="preserve">within the definition of </w:t>
      </w:r>
      <w:r w:rsidR="00694753">
        <w:rPr>
          <w:i/>
        </w:rPr>
        <w:t xml:space="preserve">Connection </w:t>
      </w:r>
      <w:r w:rsidR="005C40E3">
        <w:t>for purposes of the data collection.</w:t>
      </w:r>
      <w:r w:rsidR="00214260">
        <w:rPr>
          <w:rStyle w:val="FootnoteReference"/>
        </w:rPr>
        <w:footnoteReference w:id="62"/>
      </w:r>
      <w:r w:rsidR="007A3410">
        <w:t xml:space="preserve">  </w:t>
      </w:r>
      <w:r w:rsidR="002E0D98">
        <w:t xml:space="preserve">In response, we provide </w:t>
      </w:r>
      <w:r w:rsidR="00A30E79">
        <w:t>the following</w:t>
      </w:r>
      <w:r w:rsidR="005A58E9">
        <w:t xml:space="preserve"> guidance on</w:t>
      </w:r>
      <w:r w:rsidR="002E0D98">
        <w:t xml:space="preserve"> what </w:t>
      </w:r>
      <w:r w:rsidR="005C40E3" w:rsidRPr="005C40E3">
        <w:rPr>
          <w:i/>
        </w:rPr>
        <w:t>Locations</w:t>
      </w:r>
      <w:r w:rsidR="005C40E3">
        <w:t xml:space="preserve"> with </w:t>
      </w:r>
      <w:r w:rsidR="005C40E3" w:rsidRPr="005C40E3">
        <w:rPr>
          <w:i/>
        </w:rPr>
        <w:t>Connections</w:t>
      </w:r>
      <w:r w:rsidR="002E0D98">
        <w:t xml:space="preserve"> to report</w:t>
      </w:r>
      <w:r w:rsidR="005C40E3">
        <w:t xml:space="preserve">, </w:t>
      </w:r>
      <w:r w:rsidR="005A58E9">
        <w:t xml:space="preserve">which varies </w:t>
      </w:r>
      <w:r w:rsidR="002E0D98">
        <w:t xml:space="preserve">depending on the </w:t>
      </w:r>
      <w:r w:rsidR="002E0D98" w:rsidRPr="002E0D98">
        <w:rPr>
          <w:i/>
        </w:rPr>
        <w:t>Provider</w:t>
      </w:r>
      <w:r w:rsidR="002E0D98">
        <w:t xml:space="preserve"> </w:t>
      </w:r>
      <w:r w:rsidR="005A58E9">
        <w:t xml:space="preserve">type.  </w:t>
      </w:r>
      <w:r w:rsidR="009C13F9">
        <w:t xml:space="preserve"> </w:t>
      </w:r>
      <w:r w:rsidR="00CE07CE">
        <w:t xml:space="preserve"> </w:t>
      </w:r>
    </w:p>
    <w:p w:rsidR="00FE4B96" w:rsidRDefault="00E75CAE" w:rsidP="007B77C1">
      <w:pPr>
        <w:pStyle w:val="Heading4"/>
      </w:pPr>
      <w:bookmarkStart w:id="27" w:name="_Toc360529171"/>
      <w:bookmarkStart w:id="28" w:name="_Toc360539645"/>
      <w:r>
        <w:t xml:space="preserve">Guidance on </w:t>
      </w:r>
      <w:r w:rsidR="00437E90">
        <w:t>Capable Connections for Competitive Providers</w:t>
      </w:r>
      <w:bookmarkEnd w:id="27"/>
      <w:bookmarkEnd w:id="28"/>
    </w:p>
    <w:p w:rsidR="002C2218" w:rsidRDefault="00A72940" w:rsidP="000350FC">
      <w:pPr>
        <w:pStyle w:val="ParaNum"/>
      </w:pPr>
      <w:r w:rsidRPr="00437E90">
        <w:rPr>
          <w:i/>
        </w:rPr>
        <w:t xml:space="preserve">Non-Cable Competitive Providers.  </w:t>
      </w:r>
      <w:r w:rsidR="002F0C09" w:rsidRPr="00437E90">
        <w:rPr>
          <w:i/>
        </w:rPr>
        <w:t>C</w:t>
      </w:r>
      <w:r w:rsidR="00C91AC2" w:rsidRPr="00437E90">
        <w:rPr>
          <w:i/>
        </w:rPr>
        <w:t xml:space="preserve">ompetitive </w:t>
      </w:r>
      <w:r w:rsidR="002F0C09" w:rsidRPr="00437E90">
        <w:rPr>
          <w:i/>
        </w:rPr>
        <w:t>P</w:t>
      </w:r>
      <w:r w:rsidR="00C91AC2" w:rsidRPr="00437E90">
        <w:rPr>
          <w:i/>
        </w:rPr>
        <w:t>roviders</w:t>
      </w:r>
      <w:r w:rsidR="008800BC" w:rsidRPr="00437E90">
        <w:rPr>
          <w:i/>
        </w:rPr>
        <w:t xml:space="preserve"> </w:t>
      </w:r>
      <w:r w:rsidR="008800BC" w:rsidRPr="00437E90">
        <w:t xml:space="preserve">other than </w:t>
      </w:r>
      <w:r w:rsidR="00C91AC2" w:rsidRPr="00437E90">
        <w:t xml:space="preserve">cable system operators must report all </w:t>
      </w:r>
      <w:r w:rsidR="002F0C09" w:rsidRPr="00437E90">
        <w:rPr>
          <w:i/>
        </w:rPr>
        <w:t>L</w:t>
      </w:r>
      <w:r w:rsidR="00C91AC2" w:rsidRPr="00437E90">
        <w:rPr>
          <w:i/>
        </w:rPr>
        <w:t>ocations</w:t>
      </w:r>
      <w:r w:rsidR="00C91AC2" w:rsidRPr="00437E90">
        <w:t xml:space="preserve"> with idle and in-service </w:t>
      </w:r>
      <w:r w:rsidR="00EE25E4" w:rsidRPr="00437E90">
        <w:rPr>
          <w:i/>
        </w:rPr>
        <w:t>Connections</w:t>
      </w:r>
      <w:r w:rsidR="00EE25E4" w:rsidRPr="00437E90">
        <w:t xml:space="preserve"> </w:t>
      </w:r>
      <w:r w:rsidR="00C91AC2" w:rsidRPr="00437E90">
        <w:t xml:space="preserve">that they own or lease as an </w:t>
      </w:r>
      <w:r w:rsidR="00C91AC2" w:rsidRPr="00437E90">
        <w:rPr>
          <w:i/>
        </w:rPr>
        <w:t>IRU</w:t>
      </w:r>
      <w:r w:rsidR="00A8371F">
        <w:t>,</w:t>
      </w:r>
      <w:r w:rsidR="00C91AC2" w:rsidRPr="00437E90">
        <w:t xml:space="preserve"> </w:t>
      </w:r>
      <w:r w:rsidR="00C91AC2">
        <w:t xml:space="preserve">regardless of the type of service provided over the </w:t>
      </w:r>
      <w:r w:rsidR="0041596F" w:rsidRPr="00437E90">
        <w:rPr>
          <w:i/>
        </w:rPr>
        <w:t>C</w:t>
      </w:r>
      <w:r w:rsidR="00C91AC2" w:rsidRPr="00437E90">
        <w:rPr>
          <w:i/>
        </w:rPr>
        <w:t>onnection</w:t>
      </w:r>
      <w:r w:rsidR="00C91AC2" w:rsidRPr="00437E90">
        <w:t>.</w:t>
      </w:r>
      <w:r w:rsidR="00A30E79">
        <w:rPr>
          <w:rStyle w:val="FootnoteReference"/>
        </w:rPr>
        <w:footnoteReference w:id="63"/>
      </w:r>
      <w:r w:rsidR="00437E90" w:rsidRPr="00437E90">
        <w:t xml:space="preserve">  </w:t>
      </w:r>
      <w:r w:rsidR="0000793F">
        <w:t>T</w:t>
      </w:r>
      <w:r w:rsidR="002C2218">
        <w:t xml:space="preserve">his </w:t>
      </w:r>
      <w:r w:rsidR="009649E0">
        <w:t>subcategory</w:t>
      </w:r>
      <w:r w:rsidR="002C2218">
        <w:t xml:space="preserve"> of </w:t>
      </w:r>
      <w:r w:rsidR="002C2218" w:rsidRPr="00437E90">
        <w:rPr>
          <w:i/>
        </w:rPr>
        <w:t>Competitive Providers</w:t>
      </w:r>
      <w:r w:rsidR="002C2218">
        <w:t xml:space="preserve"> </w:t>
      </w:r>
      <w:r w:rsidR="0000793F">
        <w:t>must</w:t>
      </w:r>
      <w:r w:rsidR="002C2218">
        <w:t xml:space="preserve"> report all </w:t>
      </w:r>
      <w:r w:rsidR="005C40E3">
        <w:t xml:space="preserve">of </w:t>
      </w:r>
      <w:r w:rsidR="002C2218">
        <w:t xml:space="preserve">their </w:t>
      </w:r>
      <w:r w:rsidR="002C2218" w:rsidRPr="00437E90">
        <w:rPr>
          <w:i/>
        </w:rPr>
        <w:t>Connections</w:t>
      </w:r>
      <w:r w:rsidR="002C2218">
        <w:t xml:space="preserve"> because </w:t>
      </w:r>
      <w:r w:rsidR="00A8371F">
        <w:t xml:space="preserve">these entities </w:t>
      </w:r>
      <w:r w:rsidR="002C2218">
        <w:t xml:space="preserve">typically target their service offerings </w:t>
      </w:r>
      <w:r w:rsidR="0000793F">
        <w:t>to</w:t>
      </w:r>
      <w:r w:rsidR="002C2218">
        <w:t xml:space="preserve"> business</w:t>
      </w:r>
      <w:r w:rsidR="00A8371F">
        <w:t>es</w:t>
      </w:r>
      <w:r w:rsidR="002C2218">
        <w:t xml:space="preserve"> and other higher-capacity users where sufficient demand exists </w:t>
      </w:r>
      <w:r w:rsidR="00A8371F">
        <w:t xml:space="preserve">to justify the investment.  They do not typically deploy their facilities (or lease </w:t>
      </w:r>
      <w:r w:rsidR="00A8371F">
        <w:rPr>
          <w:i/>
        </w:rPr>
        <w:t>IRUs</w:t>
      </w:r>
      <w:r w:rsidR="00A8371F">
        <w:t xml:space="preserve">) to blanket an entire area </w:t>
      </w:r>
      <w:r w:rsidR="00131925">
        <w:t xml:space="preserve">and instead deploy (or lease </w:t>
      </w:r>
      <w:r w:rsidR="00131925" w:rsidRPr="00D26D9E">
        <w:rPr>
          <w:i/>
        </w:rPr>
        <w:t>IRUs</w:t>
      </w:r>
      <w:r w:rsidR="00131925">
        <w:t xml:space="preserve">) to particular </w:t>
      </w:r>
      <w:r w:rsidR="00131925" w:rsidRPr="0000793F">
        <w:rPr>
          <w:i/>
        </w:rPr>
        <w:t>Locations</w:t>
      </w:r>
      <w:r w:rsidR="00131925">
        <w:t xml:space="preserve"> </w:t>
      </w:r>
      <w:r w:rsidR="0000793F">
        <w:t xml:space="preserve">within </w:t>
      </w:r>
      <w:r w:rsidR="00131925">
        <w:t>a local geographic area.</w:t>
      </w:r>
      <w:r w:rsidR="002C2218">
        <w:rPr>
          <w:rStyle w:val="FootnoteReference"/>
        </w:rPr>
        <w:footnoteReference w:id="64"/>
      </w:r>
      <w:r w:rsidR="002C2218">
        <w:t xml:space="preserve">  That is, they </w:t>
      </w:r>
      <w:r w:rsidR="00604CAC">
        <w:t xml:space="preserve">are likely to </w:t>
      </w:r>
      <w:r w:rsidR="002C2218">
        <w:t xml:space="preserve">only have built such </w:t>
      </w:r>
      <w:r w:rsidR="002C2218" w:rsidRPr="00437E90">
        <w:rPr>
          <w:i/>
        </w:rPr>
        <w:t>Connections</w:t>
      </w:r>
      <w:r w:rsidR="002C2218">
        <w:t xml:space="preserve"> </w:t>
      </w:r>
      <w:r w:rsidR="0000793F">
        <w:t xml:space="preserve">to a particular </w:t>
      </w:r>
      <w:r w:rsidR="0000793F" w:rsidRPr="0000793F">
        <w:rPr>
          <w:i/>
        </w:rPr>
        <w:t>Location</w:t>
      </w:r>
      <w:r w:rsidR="0000793F">
        <w:t xml:space="preserve"> </w:t>
      </w:r>
      <w:r w:rsidR="002C2218">
        <w:t>based on strong expectations of su</w:t>
      </w:r>
      <w:r w:rsidR="00C60C41">
        <w:t xml:space="preserve">fficient demand.  </w:t>
      </w:r>
      <w:r w:rsidR="00A8371F">
        <w:t>B</w:t>
      </w:r>
      <w:r w:rsidR="00C60C41">
        <w:t xml:space="preserve">oth the </w:t>
      </w:r>
      <w:r w:rsidR="00A8371F">
        <w:t xml:space="preserve">information about the </w:t>
      </w:r>
      <w:r w:rsidR="002C2218">
        <w:t>facilities</w:t>
      </w:r>
      <w:r w:rsidR="00C60C41">
        <w:t xml:space="preserve"> and </w:t>
      </w:r>
      <w:r w:rsidR="000B1568">
        <w:t xml:space="preserve">the </w:t>
      </w:r>
      <w:r w:rsidR="00C60C41">
        <w:t>demand</w:t>
      </w:r>
      <w:r w:rsidR="000B1568">
        <w:t xml:space="preserve"> leading to the deployment of those facilities</w:t>
      </w:r>
      <w:r w:rsidR="00C60C41">
        <w:t xml:space="preserve"> are relevant to our analysis</w:t>
      </w:r>
      <w:r w:rsidR="002C2218">
        <w:t>.</w:t>
      </w:r>
      <w:r w:rsidR="002C2218">
        <w:rPr>
          <w:rStyle w:val="FootnoteReference"/>
        </w:rPr>
        <w:footnoteReference w:id="65"/>
      </w:r>
      <w:r w:rsidR="002E0D98">
        <w:t xml:space="preserve"> </w:t>
      </w:r>
      <w:r w:rsidR="002C2218">
        <w:t xml:space="preserve"> </w:t>
      </w:r>
    </w:p>
    <w:p w:rsidR="008632E4" w:rsidRPr="008632E4" w:rsidRDefault="008632E4" w:rsidP="00A131AC">
      <w:pPr>
        <w:pStyle w:val="ParaNum"/>
      </w:pPr>
      <w:r>
        <w:t xml:space="preserve">In addition, </w:t>
      </w:r>
      <w:r w:rsidRPr="008632E4">
        <w:rPr>
          <w:i/>
        </w:rPr>
        <w:t>Competitive Providers</w:t>
      </w:r>
      <w:r>
        <w:t xml:space="preserve"> must report </w:t>
      </w:r>
      <w:r w:rsidRPr="008632E4">
        <w:rPr>
          <w:i/>
        </w:rPr>
        <w:t>Locations</w:t>
      </w:r>
      <w:r w:rsidRPr="008632E4">
        <w:t xml:space="preserve"> with </w:t>
      </w:r>
      <w:r w:rsidRPr="008632E4">
        <w:rPr>
          <w:i/>
        </w:rPr>
        <w:t>Connections</w:t>
      </w:r>
      <w:r w:rsidRPr="008632E4">
        <w:t xml:space="preserve"> obtained as a </w:t>
      </w:r>
      <w:r w:rsidRPr="008632E4">
        <w:rPr>
          <w:i/>
        </w:rPr>
        <w:t>UNE</w:t>
      </w:r>
      <w:r w:rsidRPr="008632E4">
        <w:t xml:space="preserve"> to provide a </w:t>
      </w:r>
      <w:r w:rsidRPr="008632E4">
        <w:rPr>
          <w:i/>
        </w:rPr>
        <w:t>Dedicated Service</w:t>
      </w:r>
      <w:r>
        <w:t>.</w:t>
      </w:r>
      <w:r w:rsidR="005C40E3">
        <w:rPr>
          <w:rStyle w:val="FootnoteReference"/>
        </w:rPr>
        <w:footnoteReference w:id="66"/>
      </w:r>
      <w:r>
        <w:t xml:space="preserve">  This includes </w:t>
      </w:r>
      <w:r w:rsidRPr="008632E4">
        <w:t xml:space="preserve">those </w:t>
      </w:r>
      <w:r w:rsidRPr="008632E4">
        <w:rPr>
          <w:i/>
        </w:rPr>
        <w:t>UNEs</w:t>
      </w:r>
      <w:r w:rsidRPr="008632E4">
        <w:t xml:space="preserve"> obtained to provide a service that incorporate</w:t>
      </w:r>
      <w:r>
        <w:t>s</w:t>
      </w:r>
      <w:r w:rsidRPr="008632E4">
        <w:t xml:space="preserve"> a </w:t>
      </w:r>
      <w:r w:rsidRPr="008632E4">
        <w:rPr>
          <w:i/>
        </w:rPr>
        <w:t>Dedicated Service</w:t>
      </w:r>
      <w:r w:rsidRPr="008632E4">
        <w:t xml:space="preserve"> within the offering as part of a managed solution or bundle of services sold to the customer.</w:t>
      </w:r>
      <w:r>
        <w:t xml:space="preserve">  Examples of services incorporating a </w:t>
      </w:r>
      <w:r w:rsidRPr="005B5654">
        <w:rPr>
          <w:i/>
        </w:rPr>
        <w:t>Dedicated Service</w:t>
      </w:r>
      <w:r>
        <w:t xml:space="preserve"> could include:  the Converged Business Network solution offered by Level 3</w:t>
      </w:r>
      <w:r w:rsidR="00E50E8A">
        <w:t xml:space="preserve"> Communications, Inc. (Level 3)</w:t>
      </w:r>
      <w:r>
        <w:t xml:space="preserve">; </w:t>
      </w:r>
      <w:r w:rsidR="00874B0F">
        <w:t xml:space="preserve">the </w:t>
      </w:r>
      <w:r>
        <w:t xml:space="preserve">High-Speed Dedicated Internet Access </w:t>
      </w:r>
      <w:r w:rsidR="00874B0F">
        <w:t xml:space="preserve">service </w:t>
      </w:r>
      <w:r>
        <w:t>from XO</w:t>
      </w:r>
      <w:r w:rsidR="00E50E8A">
        <w:t xml:space="preserve"> Communications, LLC (XO)</w:t>
      </w:r>
      <w:r w:rsidR="00874B0F">
        <w:t>;</w:t>
      </w:r>
      <w:r>
        <w:t xml:space="preserve"> or </w:t>
      </w:r>
      <w:r w:rsidR="005C40E3">
        <w:t>the</w:t>
      </w:r>
      <w:r>
        <w:t xml:space="preserve"> business Ethernet solution </w:t>
      </w:r>
      <w:r w:rsidR="00874B0F">
        <w:t>offered by</w:t>
      </w:r>
      <w:r>
        <w:t xml:space="preserve"> </w:t>
      </w:r>
      <w:r w:rsidR="00E50E8A">
        <w:t>TW Telecom</w:t>
      </w:r>
      <w:r>
        <w:t>.</w:t>
      </w:r>
      <w:bookmarkStart w:id="29" w:name="_Ref360540462"/>
      <w:r w:rsidRPr="008632E4">
        <w:rPr>
          <w:vertAlign w:val="superscript"/>
        </w:rPr>
        <w:footnoteReference w:id="67"/>
      </w:r>
      <w:bookmarkEnd w:id="29"/>
      <w:r w:rsidR="00874B0F">
        <w:t xml:space="preserve">  This information will </w:t>
      </w:r>
      <w:r w:rsidR="008604B7">
        <w:t xml:space="preserve">further </w:t>
      </w:r>
      <w:r w:rsidR="00874B0F">
        <w:t>help us identify the demand for special access service.</w:t>
      </w:r>
    </w:p>
    <w:p w:rsidR="001F711B" w:rsidRDefault="00A914EF" w:rsidP="00A131AC">
      <w:pPr>
        <w:pStyle w:val="ParaNum"/>
      </w:pPr>
      <w:r>
        <w:rPr>
          <w:i/>
        </w:rPr>
        <w:t xml:space="preserve">Competitive Providers Who Are Cable System Operators.  </w:t>
      </w:r>
      <w:r w:rsidR="009649E0">
        <w:t>Outside their F</w:t>
      </w:r>
      <w:r w:rsidR="008632E4">
        <w:t xml:space="preserve">ranchise </w:t>
      </w:r>
      <w:r w:rsidR="009649E0">
        <w:t>A</w:t>
      </w:r>
      <w:r w:rsidR="008632E4">
        <w:t>rea</w:t>
      </w:r>
      <w:r w:rsidR="009649E0">
        <w:t>s</w:t>
      </w:r>
      <w:r w:rsidR="0000793F">
        <w:t xml:space="preserve"> (</w:t>
      </w:r>
      <w:r w:rsidR="008632E4">
        <w:t>FAs)</w:t>
      </w:r>
      <w:r w:rsidR="009649E0">
        <w:t xml:space="preserve">, cable operators </w:t>
      </w:r>
      <w:r w:rsidR="004A6BFD">
        <w:t xml:space="preserve">must </w:t>
      </w:r>
      <w:r w:rsidR="009649E0">
        <w:t xml:space="preserve">follow the same reporting </w:t>
      </w:r>
      <w:r w:rsidR="003B6A63">
        <w:t>guidance</w:t>
      </w:r>
      <w:r w:rsidR="000044A4">
        <w:t xml:space="preserve"> on all </w:t>
      </w:r>
      <w:r w:rsidR="000044A4" w:rsidRPr="00205E5E">
        <w:rPr>
          <w:i/>
        </w:rPr>
        <w:t>Locations</w:t>
      </w:r>
      <w:r w:rsidR="000044A4">
        <w:t xml:space="preserve"> with </w:t>
      </w:r>
      <w:r w:rsidR="000044A4" w:rsidRPr="00205E5E">
        <w:rPr>
          <w:i/>
        </w:rPr>
        <w:t>Connections</w:t>
      </w:r>
      <w:r w:rsidR="00F70DFE">
        <w:t>, for the same reasons,</w:t>
      </w:r>
      <w:r w:rsidR="009649E0">
        <w:t xml:space="preserve"> as the non-cable </w:t>
      </w:r>
      <w:r w:rsidR="009649E0">
        <w:rPr>
          <w:i/>
        </w:rPr>
        <w:t xml:space="preserve">Competitive Providers </w:t>
      </w:r>
      <w:r w:rsidR="009649E0">
        <w:t>described above.</w:t>
      </w:r>
      <w:r w:rsidR="00874B0F">
        <w:rPr>
          <w:rStyle w:val="FootnoteReference"/>
        </w:rPr>
        <w:footnoteReference w:id="68"/>
      </w:r>
      <w:r w:rsidR="009649E0">
        <w:rPr>
          <w:i/>
        </w:rPr>
        <w:t xml:space="preserve"> </w:t>
      </w:r>
      <w:r w:rsidR="00F70DFE">
        <w:rPr>
          <w:i/>
        </w:rPr>
        <w:t xml:space="preserve"> </w:t>
      </w:r>
      <w:r w:rsidR="00F70DFE">
        <w:t>However, we require cable system operators to report</w:t>
      </w:r>
      <w:r w:rsidR="008632E4">
        <w:t xml:space="preserve"> </w:t>
      </w:r>
      <w:r w:rsidR="008632E4" w:rsidRPr="008632E4">
        <w:rPr>
          <w:i/>
        </w:rPr>
        <w:t>Locations</w:t>
      </w:r>
      <w:r w:rsidR="008632E4">
        <w:t xml:space="preserve"> </w:t>
      </w:r>
      <w:r w:rsidR="0000793F">
        <w:t xml:space="preserve">in their </w:t>
      </w:r>
      <w:r w:rsidR="00874B0F">
        <w:t xml:space="preserve">FAs </w:t>
      </w:r>
      <w:r w:rsidR="008632E4">
        <w:t>with</w:t>
      </w:r>
      <w:r w:rsidR="00F70DFE">
        <w:t xml:space="preserve"> </w:t>
      </w:r>
      <w:r w:rsidR="00F70DFE">
        <w:rPr>
          <w:i/>
        </w:rPr>
        <w:t xml:space="preserve">Connections </w:t>
      </w:r>
      <w:r w:rsidR="00874B0F">
        <w:t xml:space="preserve">they own or lease as an </w:t>
      </w:r>
      <w:r w:rsidR="00874B0F" w:rsidRPr="00874B0F">
        <w:rPr>
          <w:i/>
        </w:rPr>
        <w:t>IRU</w:t>
      </w:r>
      <w:r w:rsidR="00874B0F">
        <w:t xml:space="preserve"> </w:t>
      </w:r>
      <w:r w:rsidR="000067F4">
        <w:t>differently</w:t>
      </w:r>
      <w:r w:rsidR="00F70DFE">
        <w:t>.</w:t>
      </w:r>
      <w:r w:rsidR="007D76F5">
        <w:rPr>
          <w:rStyle w:val="FootnoteReference"/>
        </w:rPr>
        <w:footnoteReference w:id="69"/>
      </w:r>
      <w:r w:rsidR="00CF020B">
        <w:t xml:space="preserve">  </w:t>
      </w:r>
      <w:r w:rsidR="00F70DFE">
        <w:t xml:space="preserve">  </w:t>
      </w:r>
    </w:p>
    <w:p w:rsidR="00FE2948" w:rsidRDefault="001F711B" w:rsidP="00A131AC">
      <w:pPr>
        <w:pStyle w:val="ParaNum"/>
      </w:pPr>
      <w:r>
        <w:t>Cable system operators within their</w:t>
      </w:r>
      <w:r w:rsidR="000044A4">
        <w:t xml:space="preserve"> </w:t>
      </w:r>
      <w:r>
        <w:t>FA</w:t>
      </w:r>
      <w:r w:rsidR="007B1B6D">
        <w:t>s</w:t>
      </w:r>
      <w:r w:rsidR="000067F4">
        <w:t xml:space="preserve"> report </w:t>
      </w:r>
      <w:r w:rsidR="002103BD" w:rsidRPr="002103BD">
        <w:rPr>
          <w:i/>
        </w:rPr>
        <w:t>Locations</w:t>
      </w:r>
      <w:r w:rsidR="002103BD">
        <w:t xml:space="preserve"> </w:t>
      </w:r>
      <w:r>
        <w:t xml:space="preserve">based on the type of </w:t>
      </w:r>
      <w:r>
        <w:rPr>
          <w:i/>
        </w:rPr>
        <w:t xml:space="preserve">Connection.  </w:t>
      </w:r>
      <w:r w:rsidR="00CF020B">
        <w:t>T</w:t>
      </w:r>
      <w:r w:rsidR="000044A4">
        <w:t>hey</w:t>
      </w:r>
      <w:r w:rsidR="0041596F" w:rsidRPr="009649E0">
        <w:t xml:space="preserve"> </w:t>
      </w:r>
      <w:r w:rsidR="00C91AC2" w:rsidRPr="009649E0">
        <w:t xml:space="preserve">must report those </w:t>
      </w:r>
      <w:r w:rsidR="0041596F" w:rsidRPr="009649E0">
        <w:rPr>
          <w:i/>
        </w:rPr>
        <w:t>L</w:t>
      </w:r>
      <w:r w:rsidR="00C91AC2" w:rsidRPr="009649E0">
        <w:rPr>
          <w:i/>
        </w:rPr>
        <w:t>ocations</w:t>
      </w:r>
      <w:r w:rsidR="00C91AC2" w:rsidRPr="009649E0">
        <w:t xml:space="preserve"> with </w:t>
      </w:r>
      <w:r w:rsidR="0041596F" w:rsidRPr="009649E0">
        <w:rPr>
          <w:i/>
        </w:rPr>
        <w:t>C</w:t>
      </w:r>
      <w:r w:rsidR="00C91AC2" w:rsidRPr="009649E0">
        <w:rPr>
          <w:i/>
        </w:rPr>
        <w:t>onnections</w:t>
      </w:r>
      <w:r w:rsidR="00C91AC2" w:rsidRPr="009649E0">
        <w:t xml:space="preserve"> owned or leased as an </w:t>
      </w:r>
      <w:r w:rsidR="00C91AC2" w:rsidRPr="009649E0">
        <w:rPr>
          <w:i/>
        </w:rPr>
        <w:t>IRU</w:t>
      </w:r>
      <w:r w:rsidR="00C91AC2" w:rsidRPr="009649E0">
        <w:t xml:space="preserve"> </w:t>
      </w:r>
      <w:r w:rsidR="00C91AC2">
        <w:t xml:space="preserve">that are connected to a </w:t>
      </w:r>
      <w:r w:rsidR="002F0C09" w:rsidRPr="009649E0">
        <w:rPr>
          <w:i/>
        </w:rPr>
        <w:t>N</w:t>
      </w:r>
      <w:r w:rsidR="00C91AC2" w:rsidRPr="009649E0">
        <w:rPr>
          <w:i/>
        </w:rPr>
        <w:t>ode</w:t>
      </w:r>
      <w:r w:rsidR="00C91AC2">
        <w:t xml:space="preserve"> (</w:t>
      </w:r>
      <w:r w:rsidR="00C91AC2" w:rsidRPr="009649E0">
        <w:rPr>
          <w:i/>
        </w:rPr>
        <w:t>i.e.</w:t>
      </w:r>
      <w:r w:rsidR="00C91AC2">
        <w:t xml:space="preserve">, headend) </w:t>
      </w:r>
      <w:r>
        <w:t xml:space="preserve">that has been </w:t>
      </w:r>
      <w:r w:rsidR="00C91AC2">
        <w:t xml:space="preserve">upgraded </w:t>
      </w:r>
      <w:r w:rsidR="004A6BFD">
        <w:t xml:space="preserve">or was built </w:t>
      </w:r>
      <w:r w:rsidR="00C91AC2">
        <w:t>to provide Metro Ethernet (or its equivalent) service</w:t>
      </w:r>
      <w:r>
        <w:t>.</w:t>
      </w:r>
      <w:r w:rsidR="00AD06E0">
        <w:rPr>
          <w:rStyle w:val="FootnoteReference"/>
        </w:rPr>
        <w:footnoteReference w:id="70"/>
      </w:r>
      <w:r>
        <w:t xml:space="preserve">  They must report </w:t>
      </w:r>
      <w:r w:rsidRPr="00205E5E">
        <w:rPr>
          <w:i/>
        </w:rPr>
        <w:t xml:space="preserve">Locations </w:t>
      </w:r>
      <w:r w:rsidR="002103BD">
        <w:t xml:space="preserve">with </w:t>
      </w:r>
      <w:r>
        <w:t xml:space="preserve">these </w:t>
      </w:r>
      <w:r w:rsidRPr="00205E5E">
        <w:rPr>
          <w:i/>
        </w:rPr>
        <w:t>Connections</w:t>
      </w:r>
      <w:r w:rsidR="00C91AC2" w:rsidRPr="005E31C5">
        <w:t xml:space="preserve"> </w:t>
      </w:r>
      <w:r w:rsidR="00C91AC2">
        <w:t xml:space="preserve">regardless of the service provided over the </w:t>
      </w:r>
      <w:r w:rsidR="0041596F" w:rsidRPr="009649E0">
        <w:rPr>
          <w:i/>
        </w:rPr>
        <w:t>C</w:t>
      </w:r>
      <w:r w:rsidR="00C91AC2" w:rsidRPr="009649E0">
        <w:rPr>
          <w:i/>
        </w:rPr>
        <w:t>onnection</w:t>
      </w:r>
      <w:r w:rsidR="00FE2948">
        <w:t xml:space="preserve"> </w:t>
      </w:r>
      <w:r w:rsidR="00C91AC2">
        <w:t xml:space="preserve">or whether the </w:t>
      </w:r>
      <w:r w:rsidR="0041596F" w:rsidRPr="009649E0">
        <w:rPr>
          <w:i/>
        </w:rPr>
        <w:t>C</w:t>
      </w:r>
      <w:r w:rsidR="00C91AC2" w:rsidRPr="009649E0">
        <w:rPr>
          <w:i/>
        </w:rPr>
        <w:t>onnection</w:t>
      </w:r>
      <w:r w:rsidR="00C91AC2">
        <w:t xml:space="preserve"> is idle or in-service.</w:t>
      </w:r>
      <w:r w:rsidR="00FE2948">
        <w:t xml:space="preserve">  </w:t>
      </w:r>
      <w:r w:rsidR="00F15D5D">
        <w:t>Historically, c</w:t>
      </w:r>
      <w:r w:rsidR="00FE2948">
        <w:t xml:space="preserve">able companies deployed facilities widely in their FAs to serve </w:t>
      </w:r>
      <w:r w:rsidR="00595362">
        <w:t xml:space="preserve">primarily </w:t>
      </w:r>
      <w:r w:rsidR="00FE2948">
        <w:t>residential customers and other community needs</w:t>
      </w:r>
      <w:r w:rsidR="00F15D5D">
        <w:t>,</w:t>
      </w:r>
      <w:r w:rsidR="00FE2948">
        <w:rPr>
          <w:rStyle w:val="FootnoteReference"/>
        </w:rPr>
        <w:footnoteReference w:id="71"/>
      </w:r>
      <w:r w:rsidR="00F15D5D">
        <w:t xml:space="preserve"> and have more recently</w:t>
      </w:r>
      <w:r w:rsidR="00FE2948">
        <w:t xml:space="preserve"> expanded their service offerings to customers that are likely to buy </w:t>
      </w:r>
      <w:r w:rsidR="00FE2948">
        <w:rPr>
          <w:i/>
        </w:rPr>
        <w:t>Dedicated Service</w:t>
      </w:r>
      <w:r w:rsidR="00FE2948">
        <w:t>.</w:t>
      </w:r>
      <w:r w:rsidR="00FE2948">
        <w:rPr>
          <w:rStyle w:val="FootnoteReference"/>
        </w:rPr>
        <w:footnoteReference w:id="72"/>
      </w:r>
      <w:r w:rsidR="00FE2948">
        <w:t xml:space="preserve">  We are therefore particularly interested in </w:t>
      </w:r>
      <w:r w:rsidR="00FE2948" w:rsidRPr="00850783">
        <w:rPr>
          <w:i/>
        </w:rPr>
        <w:t>Connections</w:t>
      </w:r>
      <w:r w:rsidR="00FE2948">
        <w:t xml:space="preserve"> that have been upgraded to business class Metro Ethernet</w:t>
      </w:r>
      <w:r w:rsidR="00DC03DB">
        <w:t xml:space="preserve"> (or its equivalent)</w:t>
      </w:r>
      <w:r w:rsidR="00FE2948">
        <w:t xml:space="preserve">—whether or not those </w:t>
      </w:r>
      <w:r w:rsidR="00FE2948" w:rsidRPr="00850783">
        <w:rPr>
          <w:i/>
        </w:rPr>
        <w:t>Connections</w:t>
      </w:r>
      <w:r w:rsidR="00FE2948">
        <w:t xml:space="preserve"> are in service</w:t>
      </w:r>
      <w:r w:rsidR="0024520C">
        <w:t xml:space="preserve"> and regardless of the type of service provided</w:t>
      </w:r>
      <w:r w:rsidR="00FE2948">
        <w:t xml:space="preserve">—because it is reasonable to assume that such upgrades were made based on strong expectations as to the likelihood of sufficient demand for </w:t>
      </w:r>
      <w:r w:rsidR="00FE2948" w:rsidRPr="00850783">
        <w:rPr>
          <w:i/>
        </w:rPr>
        <w:t>Dedicated Service</w:t>
      </w:r>
      <w:r w:rsidR="00FE2948">
        <w:t xml:space="preserve"> and are sources of potential competition.</w:t>
      </w:r>
      <w:r w:rsidR="00DC03DB">
        <w:rPr>
          <w:rStyle w:val="FootnoteReference"/>
        </w:rPr>
        <w:footnoteReference w:id="73"/>
      </w:r>
      <w:r w:rsidR="00C91AC2">
        <w:t xml:space="preserve">  </w:t>
      </w:r>
    </w:p>
    <w:p w:rsidR="00C91AC2" w:rsidRPr="000E250C" w:rsidRDefault="00CF020B" w:rsidP="00A131AC">
      <w:pPr>
        <w:pStyle w:val="ParaNum"/>
      </w:pPr>
      <w:r>
        <w:t>F</w:t>
      </w:r>
      <w:r w:rsidR="00AD06E0">
        <w:t>or</w:t>
      </w:r>
      <w:r w:rsidR="009649E0">
        <w:t xml:space="preserve"> </w:t>
      </w:r>
      <w:r w:rsidR="0041596F" w:rsidRPr="009649E0">
        <w:rPr>
          <w:i/>
        </w:rPr>
        <w:t>L</w:t>
      </w:r>
      <w:r w:rsidR="00C91AC2" w:rsidRPr="009649E0">
        <w:rPr>
          <w:i/>
        </w:rPr>
        <w:t>ocations</w:t>
      </w:r>
      <w:r w:rsidR="00C91AC2">
        <w:t xml:space="preserve"> with </w:t>
      </w:r>
      <w:r w:rsidR="00F74758">
        <w:t>facilities</w:t>
      </w:r>
      <w:r w:rsidR="00C91AC2">
        <w:t xml:space="preserve"> </w:t>
      </w:r>
      <w:r w:rsidR="00C91AC2" w:rsidRPr="009649E0">
        <w:t xml:space="preserve">that are </w:t>
      </w:r>
      <w:r w:rsidR="0041596F" w:rsidRPr="00205E5E">
        <w:rPr>
          <w:i/>
        </w:rPr>
        <w:t>not</w:t>
      </w:r>
      <w:r w:rsidR="0041596F" w:rsidRPr="009649E0">
        <w:t xml:space="preserve"> linked to a </w:t>
      </w:r>
      <w:r w:rsidR="0041596F" w:rsidRPr="009649E0">
        <w:rPr>
          <w:i/>
        </w:rPr>
        <w:t>Node</w:t>
      </w:r>
      <w:r w:rsidR="0041596F" w:rsidRPr="009649E0">
        <w:t xml:space="preserve"> </w:t>
      </w:r>
      <w:r w:rsidR="004A6BFD">
        <w:t>capable of</w:t>
      </w:r>
      <w:r w:rsidR="0041596F" w:rsidRPr="009649E0">
        <w:t xml:space="preserve"> provid</w:t>
      </w:r>
      <w:r w:rsidR="004A6BFD">
        <w:t xml:space="preserve">ing </w:t>
      </w:r>
      <w:r w:rsidR="0041596F" w:rsidRPr="009649E0">
        <w:t>Metro Ethernet (or its equivalent),</w:t>
      </w:r>
      <w:r w:rsidR="001F711B">
        <w:t xml:space="preserve"> </w:t>
      </w:r>
      <w:r w:rsidR="00AD06E0">
        <w:t xml:space="preserve">cable system operators must report </w:t>
      </w:r>
      <w:r w:rsidR="002103BD">
        <w:t xml:space="preserve">in-service </w:t>
      </w:r>
      <w:r w:rsidR="002103BD" w:rsidRPr="005C418C">
        <w:rPr>
          <w:i/>
        </w:rPr>
        <w:t>Connections</w:t>
      </w:r>
      <w:r w:rsidR="002103BD">
        <w:t xml:space="preserve"> that were used during the relevant reporting period to provide a </w:t>
      </w:r>
      <w:r w:rsidR="002103BD" w:rsidRPr="00EF5D5F">
        <w:rPr>
          <w:i/>
        </w:rPr>
        <w:t>Dedicated Service</w:t>
      </w:r>
      <w:r w:rsidR="002103BD">
        <w:t xml:space="preserve"> or a service that incorporates a </w:t>
      </w:r>
      <w:r w:rsidR="002103BD" w:rsidRPr="005B5654">
        <w:rPr>
          <w:i/>
        </w:rPr>
        <w:t>Dedicated Service</w:t>
      </w:r>
      <w:r w:rsidR="002103BD">
        <w:t xml:space="preserve"> within the offering as part of a managed solution or bundle of services sold to the customer</w:t>
      </w:r>
      <w:r w:rsidR="0024520C">
        <w:t>.</w:t>
      </w:r>
      <w:r w:rsidR="002103BD">
        <w:rPr>
          <w:rStyle w:val="FootnoteReference"/>
          <w:color w:val="000000"/>
        </w:rPr>
        <w:footnoteReference w:id="74"/>
      </w:r>
      <w:r w:rsidR="002103BD">
        <w:t xml:space="preserve"> </w:t>
      </w:r>
      <w:r w:rsidR="0024520C">
        <w:t xml:space="preserve"> C</w:t>
      </w:r>
      <w:r w:rsidR="002103BD">
        <w:t xml:space="preserve">able </w:t>
      </w:r>
      <w:r w:rsidR="003B6A63">
        <w:t xml:space="preserve">system </w:t>
      </w:r>
      <w:r w:rsidR="002103BD">
        <w:t xml:space="preserve">operators do not report </w:t>
      </w:r>
      <w:r w:rsidR="002103BD" w:rsidRPr="002103BD">
        <w:rPr>
          <w:i/>
        </w:rPr>
        <w:t>Locations</w:t>
      </w:r>
      <w:r w:rsidR="002103BD">
        <w:t xml:space="preserve"> with </w:t>
      </w:r>
      <w:r w:rsidR="00F74758">
        <w:t>facilities</w:t>
      </w:r>
      <w:r w:rsidR="002103BD">
        <w:t xml:space="preserve"> used to provide a service that is </w:t>
      </w:r>
      <w:r w:rsidR="00CB376D">
        <w:t xml:space="preserve">substantially </w:t>
      </w:r>
      <w:r w:rsidR="002103BD">
        <w:t xml:space="preserve">similar to </w:t>
      </w:r>
      <w:r w:rsidR="003B6A63">
        <w:t xml:space="preserve">the </w:t>
      </w:r>
      <w:r w:rsidR="002103BD">
        <w:t xml:space="preserve">services provided to residential customers, </w:t>
      </w:r>
      <w:r w:rsidR="002103BD">
        <w:rPr>
          <w:i/>
          <w:iCs/>
        </w:rPr>
        <w:t>e.g.</w:t>
      </w:r>
      <w:r w:rsidR="002103BD">
        <w:t>, one or two line telephone service or best-efforts Internet access and subscription television services.</w:t>
      </w:r>
      <w:r w:rsidR="002103BD">
        <w:rPr>
          <w:rStyle w:val="FootnoteReference"/>
        </w:rPr>
        <w:footnoteReference w:id="75"/>
      </w:r>
      <w:r w:rsidR="00AD06E0">
        <w:t xml:space="preserve">  </w:t>
      </w:r>
      <w:r>
        <w:t>We exclude these facilities because they were most likely built to provide residential-type services instead of high-capacity services to non-residential customers</w:t>
      </w:r>
      <w:r w:rsidR="002E5EFC">
        <w:t xml:space="preserve"> based on the historical deployment of cable systems</w:t>
      </w:r>
      <w:r>
        <w:t>; their inclusion could thus skew our assessment of demand for special access service.</w:t>
      </w:r>
      <w:r w:rsidR="002E5EFC">
        <w:rPr>
          <w:rStyle w:val="FootnoteReference"/>
        </w:rPr>
        <w:footnoteReference w:id="76"/>
      </w:r>
      <w:r>
        <w:t xml:space="preserve">  </w:t>
      </w:r>
      <w:r w:rsidR="002E5EFC">
        <w:t>W</w:t>
      </w:r>
      <w:r w:rsidRPr="004A6BFD">
        <w:t xml:space="preserve">e can </w:t>
      </w:r>
      <w:r>
        <w:t xml:space="preserve">still </w:t>
      </w:r>
      <w:r w:rsidRPr="004A6BFD">
        <w:t>account for</w:t>
      </w:r>
      <w:r w:rsidRPr="00CF020B">
        <w:rPr>
          <w:i/>
        </w:rPr>
        <w:t xml:space="preserve"> </w:t>
      </w:r>
      <w:r>
        <w:t xml:space="preserve">the potential competition from these facilities by referencing data provided elsewhere in the collection, </w:t>
      </w:r>
      <w:r w:rsidR="0053037B">
        <w:rPr>
          <w:i/>
        </w:rPr>
        <w:t>e</w:t>
      </w:r>
      <w:r w:rsidRPr="00CF020B">
        <w:rPr>
          <w:i/>
        </w:rPr>
        <w:t>.</w:t>
      </w:r>
      <w:r w:rsidR="0053037B">
        <w:rPr>
          <w:i/>
        </w:rPr>
        <w:t>g</w:t>
      </w:r>
      <w:r w:rsidRPr="00CF020B">
        <w:rPr>
          <w:i/>
        </w:rPr>
        <w:t>.</w:t>
      </w:r>
      <w:r>
        <w:t xml:space="preserve">, we can refer to </w:t>
      </w:r>
      <w:r w:rsidR="0053037B">
        <w:t xml:space="preserve">the fiber maps filed by cable system operators, the location of </w:t>
      </w:r>
      <w:r w:rsidR="0053037B" w:rsidRPr="0024520C">
        <w:rPr>
          <w:i/>
        </w:rPr>
        <w:t>Nodes</w:t>
      </w:r>
      <w:r w:rsidR="0053037B">
        <w:t xml:space="preserve"> upgraded to provide Metro Ethernet (or its equivalent), and </w:t>
      </w:r>
      <w:r>
        <w:t>the information provided showing those census blocks within the FAs where the cable system operator reports making broadband service available with a bandwidth rate of at least 1.5 Mbps in both directions (upstream/downstream).</w:t>
      </w:r>
      <w:r>
        <w:rPr>
          <w:rStyle w:val="FootnoteReference"/>
        </w:rPr>
        <w:footnoteReference w:id="77"/>
      </w:r>
      <w:r w:rsidR="002E5EFC">
        <w:t xml:space="preserve">  Accordingly, this clarification </w:t>
      </w:r>
      <w:r w:rsidR="003778FA">
        <w:t xml:space="preserve">will </w:t>
      </w:r>
      <w:r w:rsidR="002E5EFC">
        <w:t xml:space="preserve">aid the Commission </w:t>
      </w:r>
      <w:r w:rsidR="003778FA">
        <w:t xml:space="preserve">by focusing the collection on </w:t>
      </w:r>
      <w:r w:rsidR="003778FA" w:rsidRPr="00E62258">
        <w:rPr>
          <w:i/>
        </w:rPr>
        <w:t>Locations</w:t>
      </w:r>
      <w:r w:rsidR="003778FA">
        <w:t xml:space="preserve"> with </w:t>
      </w:r>
      <w:r w:rsidR="003778FA" w:rsidRPr="00E62258">
        <w:rPr>
          <w:i/>
        </w:rPr>
        <w:t>Connections</w:t>
      </w:r>
      <w:r w:rsidR="003778FA">
        <w:t xml:space="preserve"> relevant </w:t>
      </w:r>
      <w:r w:rsidR="00C26CF0">
        <w:t>to</w:t>
      </w:r>
      <w:r w:rsidR="003778FA">
        <w:t xml:space="preserve"> </w:t>
      </w:r>
      <w:r w:rsidR="004F68F0">
        <w:t>our inquiry</w:t>
      </w:r>
      <w:r w:rsidR="00C26CF0">
        <w:t xml:space="preserve">, </w:t>
      </w:r>
      <w:r w:rsidR="004F68F0">
        <w:t>thus aiding the</w:t>
      </w:r>
      <w:r w:rsidR="00C26CF0">
        <w:t xml:space="preserve"> analysis, and has the</w:t>
      </w:r>
      <w:r w:rsidR="003778FA">
        <w:t xml:space="preserve"> benefit</w:t>
      </w:r>
      <w:r w:rsidR="00C26CF0">
        <w:t xml:space="preserve"> of</w:t>
      </w:r>
      <w:r w:rsidR="003778FA">
        <w:t xml:space="preserve"> </w:t>
      </w:r>
      <w:r w:rsidR="002E5EFC">
        <w:t>reduc</w:t>
      </w:r>
      <w:r w:rsidR="00C26CF0">
        <w:t>ing</w:t>
      </w:r>
      <w:r w:rsidR="002E5EFC">
        <w:t xml:space="preserve"> the reporting burden </w:t>
      </w:r>
      <w:r w:rsidR="003778FA">
        <w:t>for</w:t>
      </w:r>
      <w:r w:rsidR="002E5EFC">
        <w:t xml:space="preserve"> cable system operators.</w:t>
      </w:r>
      <w:r w:rsidR="00C91AC2">
        <w:t xml:space="preserve">       </w:t>
      </w:r>
    </w:p>
    <w:p w:rsidR="008C71AB" w:rsidRPr="00850783" w:rsidRDefault="00E75CAE" w:rsidP="007B77C1">
      <w:pPr>
        <w:pStyle w:val="Heading4"/>
      </w:pPr>
      <w:bookmarkStart w:id="30" w:name="_Toc360529172"/>
      <w:bookmarkStart w:id="31" w:name="_Toc360539646"/>
      <w:r>
        <w:t xml:space="preserve">Guidance on </w:t>
      </w:r>
      <w:r w:rsidR="008C71AB">
        <w:t>Capable Connections for ILECs</w:t>
      </w:r>
      <w:bookmarkEnd w:id="30"/>
      <w:bookmarkEnd w:id="31"/>
    </w:p>
    <w:p w:rsidR="00FA022C" w:rsidRDefault="00CF020B" w:rsidP="00A131AC">
      <w:pPr>
        <w:pStyle w:val="ParaNum"/>
      </w:pPr>
      <w:r>
        <w:t xml:space="preserve">In addition to the guidance provided to </w:t>
      </w:r>
      <w:r w:rsidRPr="00091A4B">
        <w:rPr>
          <w:i/>
        </w:rPr>
        <w:t>Competitive Providers</w:t>
      </w:r>
      <w:r>
        <w:t xml:space="preserve"> on the meaning of “capable” for the reporting of </w:t>
      </w:r>
      <w:r w:rsidRPr="00091A4B">
        <w:rPr>
          <w:i/>
        </w:rPr>
        <w:t>Locations</w:t>
      </w:r>
      <w:r>
        <w:t xml:space="preserve"> with </w:t>
      </w:r>
      <w:r w:rsidRPr="00091A4B">
        <w:rPr>
          <w:i/>
        </w:rPr>
        <w:t>Connections</w:t>
      </w:r>
      <w:r>
        <w:t xml:space="preserve">, we provide </w:t>
      </w:r>
      <w:r w:rsidR="00FA022C" w:rsidRPr="00091A4B">
        <w:rPr>
          <w:i/>
        </w:rPr>
        <w:t>ILECs</w:t>
      </w:r>
      <w:r w:rsidR="00FA022C">
        <w:t xml:space="preserve"> with </w:t>
      </w:r>
      <w:r>
        <w:t xml:space="preserve">this additional </w:t>
      </w:r>
      <w:r w:rsidR="00FA022C">
        <w:t>clarification</w:t>
      </w:r>
      <w:r>
        <w:t xml:space="preserve">.  </w:t>
      </w:r>
      <w:r w:rsidR="00F06750" w:rsidRPr="00091A4B">
        <w:rPr>
          <w:i/>
        </w:rPr>
        <w:t>ILECs</w:t>
      </w:r>
      <w:r w:rsidR="00F06750">
        <w:t xml:space="preserve"> are not required to report c</w:t>
      </w:r>
      <w:r w:rsidR="00064577" w:rsidRPr="002E14CA">
        <w:t>opper loops that were unable to provide a bandwidth connection of at least 1.5 Mbps in both directions (upstream/downstream)</w:t>
      </w:r>
      <w:r w:rsidR="00064577">
        <w:t xml:space="preserve"> </w:t>
      </w:r>
      <w:r w:rsidR="000E7224">
        <w:t xml:space="preserve">“as provisioned” </w:t>
      </w:r>
      <w:r w:rsidR="00064577" w:rsidRPr="002E14CA">
        <w:t>during the relevant reporting periods</w:t>
      </w:r>
      <w:r w:rsidR="00F81141">
        <w:t xml:space="preserve">, </w:t>
      </w:r>
      <w:r w:rsidR="00F81141" w:rsidRPr="00091A4B">
        <w:rPr>
          <w:i/>
        </w:rPr>
        <w:t>e.g.</w:t>
      </w:r>
      <w:r w:rsidR="00F81141">
        <w:t>, bare copper loops not upgraded with the necessary equipment.  T</w:t>
      </w:r>
      <w:r w:rsidR="00F06750">
        <w:t>he</w:t>
      </w:r>
      <w:r w:rsidR="00F81141">
        <w:t>se copper loops</w:t>
      </w:r>
      <w:r w:rsidR="00064577" w:rsidRPr="002E14CA">
        <w:t xml:space="preserve"> are not considered </w:t>
      </w:r>
      <w:r w:rsidR="00064577" w:rsidRPr="00091A4B">
        <w:rPr>
          <w:i/>
        </w:rPr>
        <w:t>Connections</w:t>
      </w:r>
      <w:r w:rsidR="00064577" w:rsidRPr="002E14CA">
        <w:t xml:space="preserve"> capable of providing a </w:t>
      </w:r>
      <w:r w:rsidR="00064577" w:rsidRPr="00091A4B">
        <w:rPr>
          <w:i/>
        </w:rPr>
        <w:t>Dedicated Service</w:t>
      </w:r>
      <w:r w:rsidR="00064577" w:rsidRPr="002E14CA">
        <w:t xml:space="preserve"> for the purposes of this data collection.</w:t>
      </w:r>
      <w:r w:rsidR="004F68F0">
        <w:t xml:space="preserve">  This clarification addresses a concern raised by Verizon on their inability “to </w:t>
      </w:r>
      <w:r w:rsidR="004F68F0" w:rsidRPr="004F68F0">
        <w:t>distinguish between UNEs that CLECs use to serve mass-market locations and those that they use to serve business locations.</w:t>
      </w:r>
      <w:r w:rsidR="004F68F0">
        <w:t>”</w:t>
      </w:r>
      <w:r w:rsidR="004F68F0">
        <w:rPr>
          <w:rStyle w:val="FootnoteReference"/>
        </w:rPr>
        <w:footnoteReference w:id="78"/>
      </w:r>
      <w:r w:rsidR="00FA022C">
        <w:t xml:space="preserve">  </w:t>
      </w:r>
      <w:r w:rsidR="00064577" w:rsidRPr="002E14CA">
        <w:t xml:space="preserve">  </w:t>
      </w:r>
    </w:p>
    <w:p w:rsidR="00064577" w:rsidRPr="002E14CA" w:rsidRDefault="00064577" w:rsidP="000A13DE">
      <w:pPr>
        <w:pStyle w:val="ParaNum"/>
      </w:pPr>
      <w:r w:rsidRPr="002E14CA">
        <w:t xml:space="preserve">We are collecting data to analyze the special access market to help </w:t>
      </w:r>
      <w:r w:rsidR="00C26CF0">
        <w:t xml:space="preserve">inform our analysis of the appropriate regulatory treatment of </w:t>
      </w:r>
      <w:r w:rsidRPr="002E14CA">
        <w:t>special access</w:t>
      </w:r>
      <w:r w:rsidR="00B5573A">
        <w:t xml:space="preserve"> services</w:t>
      </w:r>
      <w:r w:rsidRPr="002E14CA">
        <w:t xml:space="preserve">.  </w:t>
      </w:r>
      <w:r w:rsidR="00F0386D">
        <w:t xml:space="preserve">Special access services subject to dominant carrier </w:t>
      </w:r>
      <w:r w:rsidRPr="002E14CA">
        <w:t>regulat</w:t>
      </w:r>
      <w:r w:rsidR="00F0386D">
        <w:t xml:space="preserve">ion </w:t>
      </w:r>
      <w:r w:rsidRPr="002E14CA">
        <w:t xml:space="preserve">largely consist of </w:t>
      </w:r>
      <w:r w:rsidRPr="002E14CA">
        <w:rPr>
          <w:i/>
        </w:rPr>
        <w:t>DS1s</w:t>
      </w:r>
      <w:r w:rsidRPr="002E14CA">
        <w:t xml:space="preserve"> and </w:t>
      </w:r>
      <w:r w:rsidRPr="002E14CA">
        <w:rPr>
          <w:i/>
        </w:rPr>
        <w:t>DS3s</w:t>
      </w:r>
      <w:r w:rsidRPr="002E14CA">
        <w:t>, which have a symmetrical bandwidth of about 1.5 Mbps and 44 Mbps, respectively.</w:t>
      </w:r>
      <w:r w:rsidRPr="00CA4A8E">
        <w:rPr>
          <w:rStyle w:val="StyleFootnoteReferenceStyle12NECGFootnoteReferenceStyle1"/>
        </w:rPr>
        <w:footnoteReference w:id="79"/>
      </w:r>
      <w:r w:rsidRPr="002E14CA">
        <w:t xml:space="preserve">  Therefore, for the collection, we do not intend to collect data </w:t>
      </w:r>
      <w:r w:rsidR="00F06750">
        <w:t xml:space="preserve">from </w:t>
      </w:r>
      <w:r w:rsidR="00F06750" w:rsidRPr="00F06750">
        <w:rPr>
          <w:i/>
        </w:rPr>
        <w:t>ILECs</w:t>
      </w:r>
      <w:r w:rsidR="00F06750">
        <w:t xml:space="preserve"> </w:t>
      </w:r>
      <w:r w:rsidRPr="002E14CA">
        <w:t xml:space="preserve">on copper loops </w:t>
      </w:r>
      <w:r w:rsidR="0027087D">
        <w:t xml:space="preserve">that “as provisioned” are unable to provide </w:t>
      </w:r>
      <w:r w:rsidRPr="002E14CA">
        <w:t xml:space="preserve">a bandwidth of </w:t>
      </w:r>
      <w:r w:rsidR="0027087D">
        <w:t xml:space="preserve">at least </w:t>
      </w:r>
      <w:r w:rsidRPr="002E14CA">
        <w:t>1.5 Mbps</w:t>
      </w:r>
      <w:r>
        <w:t xml:space="preserve"> in both directions</w:t>
      </w:r>
      <w:r w:rsidRPr="002E14CA">
        <w:t>.</w:t>
      </w:r>
      <w:r w:rsidRPr="00CA4A8E">
        <w:rPr>
          <w:rStyle w:val="StyleFootnoteReferenceStyle12NECGFootnoteReferenceStyle11"/>
        </w:rPr>
        <w:footnoteReference w:id="80"/>
      </w:r>
      <w:r w:rsidRPr="002E14CA">
        <w:t xml:space="preserve">  </w:t>
      </w:r>
    </w:p>
    <w:p w:rsidR="00064577" w:rsidRDefault="00B37631" w:rsidP="004A081E">
      <w:pPr>
        <w:pStyle w:val="ParaNum"/>
      </w:pPr>
      <w:r>
        <w:t xml:space="preserve">This exclusion will significantly decrease the reporting burden for </w:t>
      </w:r>
      <w:r w:rsidRPr="00B37631">
        <w:rPr>
          <w:i/>
        </w:rPr>
        <w:t>ILECs</w:t>
      </w:r>
      <w:r>
        <w:t xml:space="preserve"> while not adversely affecting our analysis.  </w:t>
      </w:r>
      <w:r w:rsidR="00DA6051">
        <w:t xml:space="preserve">Information on each and every </w:t>
      </w:r>
      <w:r w:rsidR="00064577">
        <w:t xml:space="preserve">copper loop </w:t>
      </w:r>
      <w:r w:rsidR="00C26CF0">
        <w:t>an</w:t>
      </w:r>
      <w:r w:rsidR="00DA6051">
        <w:t xml:space="preserve"> </w:t>
      </w:r>
      <w:r w:rsidR="00DA6051" w:rsidRPr="00DA6051">
        <w:rPr>
          <w:i/>
        </w:rPr>
        <w:t>ILEC</w:t>
      </w:r>
      <w:r w:rsidR="00DA6051">
        <w:t xml:space="preserve"> has </w:t>
      </w:r>
      <w:r w:rsidR="00064577">
        <w:t>with a bandwidth of less than 1.5 Mbps in both directions</w:t>
      </w:r>
      <w:r>
        <w:t xml:space="preserve"> </w:t>
      </w:r>
      <w:r w:rsidR="00DA6051">
        <w:t xml:space="preserve">is unnecessary </w:t>
      </w:r>
      <w:r>
        <w:t>for the Commission to assess potential competition</w:t>
      </w:r>
      <w:r w:rsidR="00064577">
        <w:t xml:space="preserve">.  </w:t>
      </w:r>
      <w:r w:rsidR="00F06750">
        <w:t xml:space="preserve">We </w:t>
      </w:r>
      <w:r w:rsidR="00064577">
        <w:t xml:space="preserve">can </w:t>
      </w:r>
      <w:r w:rsidR="00F06750">
        <w:t xml:space="preserve">instead </w:t>
      </w:r>
      <w:r w:rsidR="00064577">
        <w:t xml:space="preserve">assume </w:t>
      </w:r>
      <w:r w:rsidR="00F06750">
        <w:t xml:space="preserve">that the </w:t>
      </w:r>
      <w:r w:rsidR="00F06750" w:rsidRPr="00F06750">
        <w:rPr>
          <w:i/>
        </w:rPr>
        <w:t>ILEC</w:t>
      </w:r>
      <w:r w:rsidR="00F06750">
        <w:t xml:space="preserve"> </w:t>
      </w:r>
      <w:r w:rsidR="00E856A9">
        <w:t>has</w:t>
      </w:r>
      <w:r w:rsidR="00064577">
        <w:t xml:space="preserve"> deployed </w:t>
      </w:r>
      <w:r w:rsidR="00E856A9">
        <w:t xml:space="preserve">facilities of some kind </w:t>
      </w:r>
      <w:r w:rsidR="00064577">
        <w:t xml:space="preserve">throughout its study area </w:t>
      </w:r>
      <w:r>
        <w:t xml:space="preserve">and </w:t>
      </w:r>
      <w:r w:rsidR="00064577">
        <w:t xml:space="preserve">has at least one </w:t>
      </w:r>
      <w:r w:rsidR="00F06750">
        <w:t>transmission link</w:t>
      </w:r>
      <w:r w:rsidR="00064577">
        <w:t xml:space="preserve">, albeit a bare copper loop, to every </w:t>
      </w:r>
      <w:r w:rsidR="00064577" w:rsidRPr="009C13F9">
        <w:rPr>
          <w:i/>
        </w:rPr>
        <w:t>Location</w:t>
      </w:r>
      <w:r w:rsidR="00064577">
        <w:t xml:space="preserve"> within its study area</w:t>
      </w:r>
      <w:r>
        <w:t xml:space="preserve"> even when the </w:t>
      </w:r>
      <w:r w:rsidRPr="000E6210">
        <w:rPr>
          <w:i/>
        </w:rPr>
        <w:t>ILEC</w:t>
      </w:r>
      <w:r>
        <w:t xml:space="preserve"> does not report having a </w:t>
      </w:r>
      <w:r w:rsidRPr="00B37631">
        <w:rPr>
          <w:i/>
        </w:rPr>
        <w:t>Location</w:t>
      </w:r>
      <w:r>
        <w:t xml:space="preserve"> with a </w:t>
      </w:r>
      <w:r w:rsidRPr="00B37631">
        <w:rPr>
          <w:i/>
        </w:rPr>
        <w:t>Connection</w:t>
      </w:r>
      <w:r w:rsidR="00064577">
        <w:t>.</w:t>
      </w:r>
      <w:r>
        <w:t xml:space="preserve">  We do recognize</w:t>
      </w:r>
      <w:r w:rsidR="00DA6051">
        <w:t>, however,</w:t>
      </w:r>
      <w:r>
        <w:t xml:space="preserve"> that copper loops can be modified to provide higher capacity services and will continue to collect information from </w:t>
      </w:r>
      <w:r w:rsidRPr="00F06750">
        <w:rPr>
          <w:i/>
        </w:rPr>
        <w:t>Competitive Providers</w:t>
      </w:r>
      <w:r>
        <w:t xml:space="preserve"> on the loops they obtain as </w:t>
      </w:r>
      <w:r w:rsidRPr="00CE07CE">
        <w:rPr>
          <w:i/>
        </w:rPr>
        <w:t>UNEs</w:t>
      </w:r>
      <w:r>
        <w:t xml:space="preserve"> and later modify to provide a bandwidth connection of at least 1.5 Mbps in both directions.</w:t>
      </w:r>
      <w:r>
        <w:rPr>
          <w:rStyle w:val="FootnoteReference"/>
        </w:rPr>
        <w:footnoteReference w:id="81"/>
      </w:r>
      <w:r>
        <w:t xml:space="preserve">  </w:t>
      </w:r>
      <w:r w:rsidR="00064577">
        <w:t xml:space="preserve">  </w:t>
      </w:r>
    </w:p>
    <w:p w:rsidR="003069CD" w:rsidRDefault="00F06750" w:rsidP="00A131AC">
      <w:pPr>
        <w:pStyle w:val="ParaNum"/>
      </w:pPr>
      <w:r>
        <w:rPr>
          <w:color w:val="000000"/>
        </w:rPr>
        <w:t>In addition</w:t>
      </w:r>
      <w:r w:rsidR="00DA6051">
        <w:rPr>
          <w:color w:val="000000"/>
        </w:rPr>
        <w:t xml:space="preserve"> to excluding </w:t>
      </w:r>
      <w:r w:rsidR="000E6210">
        <w:rPr>
          <w:color w:val="000000"/>
        </w:rPr>
        <w:t xml:space="preserve">certain </w:t>
      </w:r>
      <w:r w:rsidR="00DA6051">
        <w:rPr>
          <w:color w:val="000000"/>
        </w:rPr>
        <w:t>copper loops</w:t>
      </w:r>
      <w:r>
        <w:rPr>
          <w:color w:val="000000"/>
        </w:rPr>
        <w:t xml:space="preserve">, </w:t>
      </w:r>
      <w:r w:rsidR="00C91AC2" w:rsidRPr="00850783">
        <w:rPr>
          <w:i/>
          <w:color w:val="000000"/>
        </w:rPr>
        <w:t>ILECs</w:t>
      </w:r>
      <w:r w:rsidR="00C91AC2">
        <w:rPr>
          <w:color w:val="000000"/>
        </w:rPr>
        <w:t xml:space="preserve"> </w:t>
      </w:r>
      <w:r w:rsidR="00B117C3">
        <w:rPr>
          <w:color w:val="000000"/>
        </w:rPr>
        <w:t>are prohibited from</w:t>
      </w:r>
      <w:r w:rsidR="00C91AC2">
        <w:rPr>
          <w:color w:val="000000"/>
        </w:rPr>
        <w:t xml:space="preserve"> </w:t>
      </w:r>
      <w:r w:rsidR="00C91AC2" w:rsidRPr="00F8232D">
        <w:rPr>
          <w:color w:val="000000"/>
        </w:rPr>
        <w:t>report</w:t>
      </w:r>
      <w:r w:rsidR="00B117C3">
        <w:rPr>
          <w:color w:val="000000"/>
        </w:rPr>
        <w:t>ing</w:t>
      </w:r>
      <w:r w:rsidR="00C91AC2">
        <w:rPr>
          <w:color w:val="000000"/>
        </w:rPr>
        <w:t xml:space="preserve"> </w:t>
      </w:r>
      <w:r w:rsidR="00410815">
        <w:t>facilities</w:t>
      </w:r>
      <w:r w:rsidR="00C91AC2" w:rsidRPr="00F15FE6">
        <w:t xml:space="preserve"> to </w:t>
      </w:r>
      <w:r w:rsidR="00410815" w:rsidRPr="00850783">
        <w:rPr>
          <w:i/>
          <w:iCs/>
        </w:rPr>
        <w:t>L</w:t>
      </w:r>
      <w:r w:rsidR="00C91AC2" w:rsidRPr="00850783">
        <w:rPr>
          <w:i/>
          <w:iCs/>
        </w:rPr>
        <w:t>ocations</w:t>
      </w:r>
      <w:r w:rsidR="00C91AC2">
        <w:t xml:space="preserve"> used to provide services </w:t>
      </w:r>
      <w:r w:rsidR="00CB376D">
        <w:t xml:space="preserve">substantially </w:t>
      </w:r>
      <w:r w:rsidR="00C91AC2">
        <w:t xml:space="preserve">similar to the services provided to residential customers, </w:t>
      </w:r>
      <w:r w:rsidR="00C91AC2">
        <w:rPr>
          <w:i/>
          <w:iCs/>
        </w:rPr>
        <w:t>e.g.</w:t>
      </w:r>
      <w:r w:rsidR="00C91AC2">
        <w:t xml:space="preserve">, one or two line telephone service or best-efforts Internet access and subscription television services </w:t>
      </w:r>
      <w:r w:rsidR="00F00D8E">
        <w:t>such as</w:t>
      </w:r>
      <w:r w:rsidR="00C91AC2">
        <w:t xml:space="preserve"> AT&amp;T’s U-verse or Verizon’s FiOS service</w:t>
      </w:r>
      <w:r w:rsidR="00153B2A">
        <w:t xml:space="preserve"> (even if the facility is </w:t>
      </w:r>
      <w:r>
        <w:t xml:space="preserve">technically </w:t>
      </w:r>
      <w:r w:rsidR="00153B2A">
        <w:t>capable o</w:t>
      </w:r>
      <w:r>
        <w:t>f</w:t>
      </w:r>
      <w:r w:rsidR="00153B2A">
        <w:t xml:space="preserve"> providing </w:t>
      </w:r>
      <w:r>
        <w:t xml:space="preserve">a </w:t>
      </w:r>
      <w:r w:rsidR="00153B2A">
        <w:rPr>
          <w:i/>
        </w:rPr>
        <w:t>Dedicated Service</w:t>
      </w:r>
      <w:r w:rsidR="00153B2A">
        <w:t>)</w:t>
      </w:r>
      <w:r w:rsidR="00C91AC2">
        <w:t>.</w:t>
      </w:r>
      <w:r w:rsidR="0024520C">
        <w:rPr>
          <w:rStyle w:val="FootnoteReference"/>
        </w:rPr>
        <w:footnoteReference w:id="82"/>
      </w:r>
      <w:r w:rsidR="00C91AC2">
        <w:t xml:space="preserve">  This </w:t>
      </w:r>
      <w:r w:rsidR="00DA6051">
        <w:t>exclusion</w:t>
      </w:r>
      <w:r w:rsidR="00C91AC2">
        <w:t xml:space="preserve"> is again aimed at limiting the data reported to only </w:t>
      </w:r>
      <w:r w:rsidR="00410815" w:rsidRPr="00850783">
        <w:rPr>
          <w:i/>
        </w:rPr>
        <w:t>L</w:t>
      </w:r>
      <w:r w:rsidR="00C91AC2" w:rsidRPr="00850783">
        <w:rPr>
          <w:i/>
        </w:rPr>
        <w:t>ocations</w:t>
      </w:r>
      <w:r w:rsidR="00C91AC2">
        <w:t xml:space="preserve"> where the </w:t>
      </w:r>
      <w:r w:rsidR="00410815" w:rsidRPr="00850783">
        <w:rPr>
          <w:i/>
        </w:rPr>
        <w:t>E</w:t>
      </w:r>
      <w:r w:rsidR="00C91AC2" w:rsidRPr="00850783">
        <w:rPr>
          <w:i/>
        </w:rPr>
        <w:t xml:space="preserve">nd </w:t>
      </w:r>
      <w:r w:rsidR="00410815" w:rsidRPr="00850783">
        <w:rPr>
          <w:i/>
        </w:rPr>
        <w:t>U</w:t>
      </w:r>
      <w:r w:rsidR="00C91AC2" w:rsidRPr="00850783">
        <w:rPr>
          <w:i/>
        </w:rPr>
        <w:t>sers</w:t>
      </w:r>
      <w:r w:rsidR="00C91AC2">
        <w:t xml:space="preserve"> are demanding services relevant to our inquiry</w:t>
      </w:r>
      <w:r w:rsidR="00153B2A">
        <w:t xml:space="preserve"> (</w:t>
      </w:r>
      <w:r w:rsidR="00153B2A">
        <w:rPr>
          <w:i/>
        </w:rPr>
        <w:t>i.e.</w:t>
      </w:r>
      <w:r w:rsidR="00153B2A" w:rsidRPr="00E856A9">
        <w:t>,</w:t>
      </w:r>
      <w:r w:rsidR="00153B2A">
        <w:rPr>
          <w:i/>
        </w:rPr>
        <w:t xml:space="preserve"> </w:t>
      </w:r>
      <w:r w:rsidR="00153B2A">
        <w:t xml:space="preserve">buying </w:t>
      </w:r>
      <w:r w:rsidR="00153B2A">
        <w:rPr>
          <w:i/>
        </w:rPr>
        <w:t>Dedicated Services</w:t>
      </w:r>
      <w:r w:rsidR="00153B2A">
        <w:t>)</w:t>
      </w:r>
      <w:r w:rsidR="00C91AC2">
        <w:t>.</w:t>
      </w:r>
      <w:r w:rsidR="00410815">
        <w:t xml:space="preserve">  In these areas, </w:t>
      </w:r>
      <w:r w:rsidR="00F74758">
        <w:t xml:space="preserve">as with the exclusion for </w:t>
      </w:r>
      <w:r w:rsidR="00DA6051">
        <w:t xml:space="preserve">certain </w:t>
      </w:r>
      <w:r w:rsidR="00F74758">
        <w:t xml:space="preserve">copper loops, </w:t>
      </w:r>
      <w:r w:rsidR="00410815">
        <w:t xml:space="preserve">we can assume that the </w:t>
      </w:r>
      <w:r w:rsidR="00410815" w:rsidRPr="00064577">
        <w:rPr>
          <w:i/>
        </w:rPr>
        <w:t>ILEC</w:t>
      </w:r>
      <w:r w:rsidR="00410815">
        <w:t xml:space="preserve"> has a capable facility connecting every </w:t>
      </w:r>
      <w:r w:rsidR="00410815" w:rsidRPr="00850783">
        <w:rPr>
          <w:i/>
        </w:rPr>
        <w:t>Location</w:t>
      </w:r>
      <w:r w:rsidR="00410815">
        <w:t xml:space="preserve"> in its study area even when it </w:t>
      </w:r>
      <w:r w:rsidR="00DA6051">
        <w:t>did</w:t>
      </w:r>
      <w:r w:rsidR="00410815">
        <w:t xml:space="preserve"> not provid</w:t>
      </w:r>
      <w:r w:rsidR="00DA6051">
        <w:t>e</w:t>
      </w:r>
      <w:r w:rsidR="00410815">
        <w:t xml:space="preserve"> a </w:t>
      </w:r>
      <w:r w:rsidR="00410815" w:rsidRPr="00850783">
        <w:rPr>
          <w:i/>
        </w:rPr>
        <w:t>Dedicated Service</w:t>
      </w:r>
      <w:r w:rsidR="00410815">
        <w:t xml:space="preserve"> to </w:t>
      </w:r>
      <w:r w:rsidR="00DA6051">
        <w:t>the</w:t>
      </w:r>
      <w:r w:rsidR="00410815">
        <w:t xml:space="preserve"> </w:t>
      </w:r>
      <w:r w:rsidR="00410815" w:rsidRPr="00850783">
        <w:rPr>
          <w:i/>
        </w:rPr>
        <w:t>Location</w:t>
      </w:r>
      <w:r w:rsidR="00DA6051">
        <w:t xml:space="preserve"> during the relevant reporting period.</w:t>
      </w:r>
      <w:r w:rsidR="00C91AC2">
        <w:t xml:space="preserve"> </w:t>
      </w:r>
      <w:r w:rsidR="00C91AC2">
        <w:rPr>
          <w:color w:val="000000"/>
        </w:rPr>
        <w:t xml:space="preserve">  </w:t>
      </w:r>
      <w:r w:rsidR="00C91AC2">
        <w:t xml:space="preserve"> </w:t>
      </w:r>
    </w:p>
    <w:p w:rsidR="00C91AC2" w:rsidRPr="004D3366" w:rsidRDefault="003069CD" w:rsidP="007B77C1">
      <w:pPr>
        <w:pStyle w:val="Heading3"/>
      </w:pPr>
      <w:bookmarkStart w:id="32" w:name="_Toc360529173"/>
      <w:bookmarkStart w:id="33" w:name="_Toc360539488"/>
      <w:bookmarkStart w:id="34" w:name="_Toc360539647"/>
      <w:r w:rsidRPr="00850783">
        <w:t>Location Data</w:t>
      </w:r>
      <w:bookmarkEnd w:id="32"/>
      <w:bookmarkEnd w:id="33"/>
      <w:bookmarkEnd w:id="34"/>
      <w:r w:rsidR="00C91AC2" w:rsidRPr="004D3366">
        <w:t xml:space="preserve">           </w:t>
      </w:r>
    </w:p>
    <w:p w:rsidR="00C91AC2" w:rsidRDefault="00C91AC2" w:rsidP="00A131AC">
      <w:pPr>
        <w:pStyle w:val="ParaNum"/>
      </w:pPr>
      <w:r>
        <w:t xml:space="preserve">Several parties </w:t>
      </w:r>
      <w:r w:rsidR="00DA6051">
        <w:t>are concerned</w:t>
      </w:r>
      <w:r w:rsidR="00B7466C">
        <w:t xml:space="preserve"> about the </w:t>
      </w:r>
      <w:r w:rsidR="00B7466C" w:rsidRPr="00B7466C">
        <w:rPr>
          <w:i/>
        </w:rPr>
        <w:t>L</w:t>
      </w:r>
      <w:r w:rsidRPr="00B7466C">
        <w:rPr>
          <w:i/>
        </w:rPr>
        <w:t>ocation</w:t>
      </w:r>
      <w:r>
        <w:t xml:space="preserve"> informatio</w:t>
      </w:r>
      <w:r w:rsidR="005755E2">
        <w:t>n sought in the data collection, namely</w:t>
      </w:r>
      <w:r>
        <w:t xml:space="preserve"> </w:t>
      </w:r>
      <w:r w:rsidR="005755E2">
        <w:t xml:space="preserve">the requirement that </w:t>
      </w:r>
      <w:r w:rsidR="006756B2">
        <w:t xml:space="preserve">the </w:t>
      </w:r>
      <w:r w:rsidR="006756B2" w:rsidRPr="006756B2">
        <w:rPr>
          <w:i/>
        </w:rPr>
        <w:t>Provider</w:t>
      </w:r>
      <w:r w:rsidR="006756B2">
        <w:t xml:space="preserve"> </w:t>
      </w:r>
      <w:r>
        <w:t>(1)</w:t>
      </w:r>
      <w:r w:rsidR="005755E2">
        <w:t xml:space="preserve"> </w:t>
      </w:r>
      <w:r>
        <w:t xml:space="preserve">indicate whether the connected </w:t>
      </w:r>
      <w:r w:rsidR="00255A43" w:rsidRPr="00850783">
        <w:rPr>
          <w:i/>
        </w:rPr>
        <w:t>Location</w:t>
      </w:r>
      <w:r w:rsidR="00255A43">
        <w:t xml:space="preserve"> </w:t>
      </w:r>
      <w:r>
        <w:t xml:space="preserve">is a building, cell site, or other man-made structure, </w:t>
      </w:r>
      <w:r w:rsidRPr="00F16C51">
        <w:rPr>
          <w:i/>
        </w:rPr>
        <w:t>i.e.</w:t>
      </w:r>
      <w:r>
        <w:t xml:space="preserve">, </w:t>
      </w:r>
      <w:r w:rsidR="005755E2">
        <w:t xml:space="preserve">reporting </w:t>
      </w:r>
      <w:r>
        <w:t xml:space="preserve">the location type and (2) report the geocode (latitude and longitude) for each </w:t>
      </w:r>
      <w:r w:rsidR="00255A43" w:rsidRPr="00850783">
        <w:rPr>
          <w:i/>
        </w:rPr>
        <w:t>Location</w:t>
      </w:r>
      <w:r>
        <w:t>.</w:t>
      </w:r>
      <w:r>
        <w:rPr>
          <w:rStyle w:val="FootnoteReference"/>
        </w:rPr>
        <w:footnoteReference w:id="83"/>
      </w:r>
      <w:r>
        <w:t xml:space="preserve">  On location type, Comcast and Cox</w:t>
      </w:r>
      <w:r w:rsidR="006F749B">
        <w:t xml:space="preserve"> </w:t>
      </w:r>
      <w:r>
        <w:t>said “that they do not necessarily know or record the type of structure . . . and that recreating such data (</w:t>
      </w:r>
      <w:r w:rsidRPr="00612719">
        <w:rPr>
          <w:i/>
        </w:rPr>
        <w:t>e.g.</w:t>
      </w:r>
      <w:r>
        <w:t>, through site visits or requests to the customer) could be quite a burdensome exercise.”</w:t>
      </w:r>
      <w:r>
        <w:rPr>
          <w:rStyle w:val="FootnoteReference"/>
        </w:rPr>
        <w:footnoteReference w:id="84"/>
      </w:r>
      <w:r>
        <w:t xml:space="preserve">  In addition, A</w:t>
      </w:r>
      <w:r w:rsidR="006A21EE">
        <w:t xml:space="preserve">laska </w:t>
      </w:r>
      <w:r>
        <w:t>C</w:t>
      </w:r>
      <w:r w:rsidR="006A21EE">
        <w:t xml:space="preserve">ommunications </w:t>
      </w:r>
      <w:r>
        <w:t>S</w:t>
      </w:r>
      <w:r w:rsidR="006A21EE">
        <w:t>ystems (ACS)</w:t>
      </w:r>
      <w:r>
        <w:t xml:space="preserve">, Cincinnati Bell </w:t>
      </w:r>
      <w:r w:rsidR="000B684D">
        <w:t xml:space="preserve">Inc. (Cincinnati Bell), </w:t>
      </w:r>
      <w:r>
        <w:t xml:space="preserve">and members of the American </w:t>
      </w:r>
      <w:r w:rsidR="005755E2">
        <w:t xml:space="preserve">Cable Association (ACA) </w:t>
      </w:r>
      <w:r>
        <w:t xml:space="preserve">reported difficulty </w:t>
      </w:r>
      <w:r w:rsidR="005755E2">
        <w:t>with</w:t>
      </w:r>
      <w:r>
        <w:t xml:space="preserve"> determining not only the location type but also the geocode.</w:t>
      </w:r>
      <w:r>
        <w:rPr>
          <w:rStyle w:val="FootnoteReference"/>
        </w:rPr>
        <w:footnoteReference w:id="85"/>
      </w:r>
      <w:r>
        <w:t xml:space="preserve"> </w:t>
      </w:r>
    </w:p>
    <w:p w:rsidR="00C91AC2" w:rsidRDefault="003C6E40" w:rsidP="00A131AC">
      <w:pPr>
        <w:pStyle w:val="ParaNum"/>
      </w:pPr>
      <w:r>
        <w:t xml:space="preserve">In response, we clarify </w:t>
      </w:r>
      <w:r w:rsidR="00C91AC2">
        <w:t>in the instructions that if the filer does not know the location type</w:t>
      </w:r>
      <w:r w:rsidR="005755E2">
        <w:t>,</w:t>
      </w:r>
      <w:r w:rsidR="00C91AC2">
        <w:t xml:space="preserve"> it can report the type as “unknown.”</w:t>
      </w:r>
      <w:r>
        <w:rPr>
          <w:rStyle w:val="FootnoteReference"/>
        </w:rPr>
        <w:footnoteReference w:id="86"/>
      </w:r>
      <w:r w:rsidR="00C91AC2">
        <w:t xml:space="preserve">  </w:t>
      </w:r>
      <w:r>
        <w:t xml:space="preserve">While we intend to use the location type to further understand the demand segments for </w:t>
      </w:r>
      <w:r w:rsidRPr="00850783">
        <w:rPr>
          <w:i/>
        </w:rPr>
        <w:t>Dedicated Services</w:t>
      </w:r>
      <w:r>
        <w:t>, we can utilize information reported elsewhere in the collection for this purpose.</w:t>
      </w:r>
      <w:r>
        <w:rPr>
          <w:rStyle w:val="FootnoteReference"/>
        </w:rPr>
        <w:footnoteReference w:id="87"/>
      </w:r>
      <w:r>
        <w:t xml:space="preserve">  </w:t>
      </w:r>
      <w:r w:rsidR="00C91AC2">
        <w:t>Th</w:t>
      </w:r>
      <w:r>
        <w:t xml:space="preserve">erefore, </w:t>
      </w:r>
      <w:r w:rsidR="00E247BB">
        <w:t xml:space="preserve">while </w:t>
      </w:r>
      <w:r>
        <w:t xml:space="preserve">this clarification will </w:t>
      </w:r>
      <w:r w:rsidR="00A27C2A">
        <w:t xml:space="preserve">significantly reduce the reporting burden on </w:t>
      </w:r>
      <w:r w:rsidR="00A27C2A" w:rsidRPr="00A27C2A">
        <w:rPr>
          <w:i/>
        </w:rPr>
        <w:t>Providers</w:t>
      </w:r>
      <w:r w:rsidR="00E247BB">
        <w:t>, it will not adversely affect the Commission’s analysis</w:t>
      </w:r>
      <w:r w:rsidR="00C91AC2">
        <w:t xml:space="preserve">.  As for the location </w:t>
      </w:r>
      <w:r w:rsidR="00255A43">
        <w:t>geo</w:t>
      </w:r>
      <w:r w:rsidR="00C91AC2">
        <w:t xml:space="preserve">code, we understand that </w:t>
      </w:r>
      <w:r w:rsidR="006756B2" w:rsidRPr="006756B2">
        <w:rPr>
          <w:i/>
        </w:rPr>
        <w:t>P</w:t>
      </w:r>
      <w:r w:rsidR="00C91AC2" w:rsidRPr="006756B2">
        <w:rPr>
          <w:i/>
        </w:rPr>
        <w:t>roviders</w:t>
      </w:r>
      <w:r w:rsidR="00C91AC2">
        <w:t xml:space="preserve"> are more likely to have coordinate information for connected cell sites </w:t>
      </w:r>
      <w:r w:rsidR="005755E2">
        <w:t xml:space="preserve">than </w:t>
      </w:r>
      <w:r w:rsidR="00C91AC2">
        <w:t xml:space="preserve">for connected buildings.  </w:t>
      </w:r>
      <w:r w:rsidR="00C91AC2" w:rsidRPr="006756B2">
        <w:rPr>
          <w:i/>
        </w:rPr>
        <w:t>Providers</w:t>
      </w:r>
      <w:r w:rsidR="00C91AC2">
        <w:t xml:space="preserve"> do typically have</w:t>
      </w:r>
      <w:r w:rsidR="00A27C2A">
        <w:t>, however,</w:t>
      </w:r>
      <w:r w:rsidR="00C91AC2">
        <w:t xml:space="preserve"> at least the street address for a connect</w:t>
      </w:r>
      <w:r w:rsidR="005755E2">
        <w:t>ed building</w:t>
      </w:r>
      <w:r w:rsidR="00C91AC2">
        <w:t>.</w:t>
      </w:r>
      <w:r w:rsidR="00C91AC2">
        <w:rPr>
          <w:rStyle w:val="FootnoteReference"/>
        </w:rPr>
        <w:footnoteReference w:id="88"/>
      </w:r>
      <w:r w:rsidR="00C91AC2">
        <w:t xml:space="preserve">  </w:t>
      </w:r>
      <w:r w:rsidR="00A27C2A">
        <w:t>We therefore clarify i</w:t>
      </w:r>
      <w:r w:rsidR="00C91AC2">
        <w:t>n the instructions</w:t>
      </w:r>
      <w:r w:rsidR="00A27C2A">
        <w:t xml:space="preserve"> that </w:t>
      </w:r>
      <w:r w:rsidR="00A27C2A" w:rsidRPr="00A27C2A">
        <w:rPr>
          <w:i/>
        </w:rPr>
        <w:t>Providers</w:t>
      </w:r>
      <w:r w:rsidR="00A27C2A">
        <w:t xml:space="preserve"> can </w:t>
      </w:r>
      <w:r w:rsidR="00C91AC2">
        <w:t>report a location geocode derived from a postal address through use of a geocoding platform.</w:t>
      </w:r>
      <w:r w:rsidR="00C91AC2">
        <w:rPr>
          <w:rStyle w:val="FootnoteReference"/>
        </w:rPr>
        <w:footnoteReference w:id="89"/>
      </w:r>
      <w:r w:rsidR="00C91AC2">
        <w:t xml:space="preserve">  Th</w:t>
      </w:r>
      <w:r w:rsidR="00A27C2A">
        <w:t xml:space="preserve">is clarification will significantly reduce the reporting burden by eliminating the need for </w:t>
      </w:r>
      <w:r w:rsidR="00C91AC2">
        <w:t xml:space="preserve">site visits to obtain coordinate information.    </w:t>
      </w:r>
    </w:p>
    <w:p w:rsidR="004D3366" w:rsidRPr="004D3366" w:rsidRDefault="004D3366" w:rsidP="007B77C1">
      <w:pPr>
        <w:pStyle w:val="Heading3"/>
      </w:pPr>
      <w:bookmarkStart w:id="35" w:name="_Toc360529174"/>
      <w:bookmarkStart w:id="36" w:name="_Toc360539489"/>
      <w:bookmarkStart w:id="37" w:name="_Toc360539648"/>
      <w:r w:rsidRPr="00850783">
        <w:t>Mapping Requirements</w:t>
      </w:r>
      <w:bookmarkEnd w:id="35"/>
      <w:bookmarkEnd w:id="36"/>
      <w:bookmarkEnd w:id="37"/>
      <w:r w:rsidR="001040A2">
        <w:t xml:space="preserve">  </w:t>
      </w:r>
    </w:p>
    <w:p w:rsidR="001501AE" w:rsidRDefault="005755E2" w:rsidP="00A131AC">
      <w:pPr>
        <w:pStyle w:val="ParaNum"/>
      </w:pPr>
      <w:r>
        <w:t>T</w:t>
      </w:r>
      <w:r w:rsidR="00C91AC2">
        <w:t xml:space="preserve">he </w:t>
      </w:r>
      <w:r w:rsidR="00C84DA5" w:rsidRPr="001501AE">
        <w:rPr>
          <w:i/>
        </w:rPr>
        <w:t>Special Access Data Collection Order</w:t>
      </w:r>
      <w:r w:rsidR="00C91AC2">
        <w:t xml:space="preserve"> require</w:t>
      </w:r>
      <w:r w:rsidR="00C84DA5">
        <w:t>d</w:t>
      </w:r>
      <w:r w:rsidR="00C91AC2">
        <w:t xml:space="preserve"> </w:t>
      </w:r>
      <w:r w:rsidR="00E95468" w:rsidRPr="001501AE">
        <w:rPr>
          <w:i/>
        </w:rPr>
        <w:t>C</w:t>
      </w:r>
      <w:r w:rsidR="00C91AC2" w:rsidRPr="001501AE">
        <w:rPr>
          <w:i/>
        </w:rPr>
        <w:t xml:space="preserve">ompetitive </w:t>
      </w:r>
      <w:r w:rsidR="00E95468" w:rsidRPr="001501AE">
        <w:rPr>
          <w:i/>
        </w:rPr>
        <w:t>P</w:t>
      </w:r>
      <w:r w:rsidR="00C91AC2" w:rsidRPr="001501AE">
        <w:rPr>
          <w:i/>
        </w:rPr>
        <w:t>roviders</w:t>
      </w:r>
      <w:r w:rsidR="00C91AC2">
        <w:t xml:space="preserve"> to</w:t>
      </w:r>
      <w:r w:rsidR="00C84DA5">
        <w:t xml:space="preserve"> file maps showing:</w:t>
      </w:r>
      <w:r w:rsidR="00C91AC2">
        <w:t xml:space="preserve"> </w:t>
      </w:r>
      <w:r w:rsidR="00C84DA5">
        <w:t xml:space="preserve">(1) </w:t>
      </w:r>
      <w:r w:rsidR="00C91AC2">
        <w:t>the fiber routes constitut</w:t>
      </w:r>
      <w:r w:rsidR="006756B2">
        <w:t>ing</w:t>
      </w:r>
      <w:r w:rsidR="00C91AC2">
        <w:t xml:space="preserve"> their network and connect</w:t>
      </w:r>
      <w:r w:rsidR="006756B2">
        <w:t>ing</w:t>
      </w:r>
      <w:r w:rsidR="00C91AC2">
        <w:t xml:space="preserve"> their network</w:t>
      </w:r>
      <w:r w:rsidR="00AF39E7">
        <w:t>s</w:t>
      </w:r>
      <w:r w:rsidR="00C91AC2">
        <w:t xml:space="preserve"> to </w:t>
      </w:r>
      <w:r w:rsidR="00E95468" w:rsidRPr="001501AE">
        <w:rPr>
          <w:i/>
        </w:rPr>
        <w:t>L</w:t>
      </w:r>
      <w:r w:rsidR="00C91AC2" w:rsidRPr="001501AE">
        <w:rPr>
          <w:i/>
        </w:rPr>
        <w:t>ocat</w:t>
      </w:r>
      <w:r w:rsidR="00AF39E7" w:rsidRPr="001501AE">
        <w:rPr>
          <w:i/>
        </w:rPr>
        <w:t>ions</w:t>
      </w:r>
      <w:r w:rsidR="00C84DA5">
        <w:t>;</w:t>
      </w:r>
      <w:r w:rsidR="00C91AC2">
        <w:rPr>
          <w:rStyle w:val="FootnoteReference"/>
        </w:rPr>
        <w:footnoteReference w:id="90"/>
      </w:r>
      <w:r w:rsidR="00C84DA5">
        <w:t xml:space="preserve"> and</w:t>
      </w:r>
      <w:r w:rsidR="00C91AC2">
        <w:t xml:space="preserve"> </w:t>
      </w:r>
      <w:r w:rsidR="00424D91">
        <w:t>(2)</w:t>
      </w:r>
      <w:r w:rsidR="00C84DA5">
        <w:t xml:space="preserve"> the </w:t>
      </w:r>
      <w:r w:rsidR="00C84DA5" w:rsidRPr="001501AE">
        <w:rPr>
          <w:i/>
        </w:rPr>
        <w:t>Nodes</w:t>
      </w:r>
      <w:r w:rsidR="00C84DA5">
        <w:t xml:space="preserve"> used to interconnect with other providers and the year each </w:t>
      </w:r>
      <w:r w:rsidR="00C84DA5" w:rsidRPr="001501AE">
        <w:rPr>
          <w:i/>
        </w:rPr>
        <w:t>Node</w:t>
      </w:r>
      <w:r w:rsidR="00C84DA5">
        <w:t xml:space="preserve"> went live.</w:t>
      </w:r>
      <w:r w:rsidR="00C84DA5">
        <w:rPr>
          <w:rStyle w:val="FootnoteReference"/>
        </w:rPr>
        <w:footnoteReference w:id="91"/>
      </w:r>
      <w:r w:rsidR="00C84DA5">
        <w:t xml:space="preserve">  </w:t>
      </w:r>
      <w:r w:rsidR="002432B6">
        <w:t>The</w:t>
      </w:r>
      <w:r w:rsidR="00C84DA5">
        <w:t xml:space="preserve"> </w:t>
      </w:r>
      <w:r w:rsidR="00750961">
        <w:t xml:space="preserve">maps showing fiber routes </w:t>
      </w:r>
      <w:r w:rsidR="002432B6">
        <w:t xml:space="preserve">help </w:t>
      </w:r>
      <w:r w:rsidR="00F6000D">
        <w:t xml:space="preserve">the Commission </w:t>
      </w:r>
      <w:r w:rsidR="002432B6">
        <w:t xml:space="preserve">identify where </w:t>
      </w:r>
      <w:r w:rsidR="002432B6" w:rsidRPr="001501AE">
        <w:rPr>
          <w:i/>
        </w:rPr>
        <w:t>Competitive Providers</w:t>
      </w:r>
      <w:r w:rsidR="002432B6">
        <w:t xml:space="preserve"> </w:t>
      </w:r>
      <w:r w:rsidR="00F93417">
        <w:t xml:space="preserve">can or </w:t>
      </w:r>
      <w:r w:rsidR="00C84DA5">
        <w:t xml:space="preserve">potentially </w:t>
      </w:r>
      <w:r w:rsidR="002432B6">
        <w:t xml:space="preserve">could provide </w:t>
      </w:r>
      <w:r w:rsidR="002432B6" w:rsidRPr="001501AE">
        <w:rPr>
          <w:i/>
        </w:rPr>
        <w:t>Dedicated Service</w:t>
      </w:r>
      <w:r w:rsidR="002432B6">
        <w:t>.</w:t>
      </w:r>
      <w:r w:rsidR="002432B6">
        <w:rPr>
          <w:rStyle w:val="FootnoteReference"/>
        </w:rPr>
        <w:footnoteReference w:id="92"/>
      </w:r>
      <w:r w:rsidR="002432B6">
        <w:t xml:space="preserve">  </w:t>
      </w:r>
      <w:r w:rsidR="001F395A">
        <w:t xml:space="preserve">The </w:t>
      </w:r>
      <w:r w:rsidR="00F93417">
        <w:t xml:space="preserve">location of the </w:t>
      </w:r>
      <w:r w:rsidR="001F395A">
        <w:t xml:space="preserve">interconnection </w:t>
      </w:r>
      <w:r w:rsidR="00F93417" w:rsidRPr="00E62258">
        <w:rPr>
          <w:i/>
        </w:rPr>
        <w:t>Nodes</w:t>
      </w:r>
      <w:r w:rsidR="00F93417">
        <w:t xml:space="preserve"> </w:t>
      </w:r>
      <w:r w:rsidR="001F395A">
        <w:t>help</w:t>
      </w:r>
      <w:r w:rsidR="00F93417">
        <w:t>s</w:t>
      </w:r>
      <w:r w:rsidR="001F395A">
        <w:t xml:space="preserve"> the Commission understand the “non-price factors that may impact where special access providers build facilities or expand their network via UNEs</w:t>
      </w:r>
      <w:r w:rsidR="00EB0ABE">
        <w:t>.</w:t>
      </w:r>
      <w:r w:rsidR="001F395A">
        <w:t>”</w:t>
      </w:r>
      <w:r w:rsidR="001501AE">
        <w:rPr>
          <w:rStyle w:val="FootnoteReference"/>
        </w:rPr>
        <w:footnoteReference w:id="93"/>
      </w:r>
    </w:p>
    <w:p w:rsidR="00260187" w:rsidRDefault="00750961" w:rsidP="00F37E2A">
      <w:pPr>
        <w:pStyle w:val="ParaNum"/>
      </w:pPr>
      <w:r>
        <w:t>S</w:t>
      </w:r>
      <w:r w:rsidR="00C91AC2">
        <w:t xml:space="preserve">everal parties </w:t>
      </w:r>
      <w:r w:rsidR="00F93417">
        <w:t xml:space="preserve">raised concerns </w:t>
      </w:r>
      <w:r w:rsidR="00AD1420">
        <w:t>about</w:t>
      </w:r>
      <w:r w:rsidR="00C91AC2">
        <w:t xml:space="preserve"> the </w:t>
      </w:r>
      <w:r w:rsidR="004F3D52">
        <w:t>burden of</w:t>
      </w:r>
      <w:r w:rsidR="00C91AC2">
        <w:t xml:space="preserve"> </w:t>
      </w:r>
      <w:r w:rsidR="004F3D52">
        <w:t>p</w:t>
      </w:r>
      <w:r w:rsidR="00C91AC2">
        <w:t>roduc</w:t>
      </w:r>
      <w:r w:rsidR="004F3D52">
        <w:t>i</w:t>
      </w:r>
      <w:r w:rsidR="00C91AC2">
        <w:t>n</w:t>
      </w:r>
      <w:r w:rsidR="004F3D52">
        <w:t>g</w:t>
      </w:r>
      <w:r w:rsidR="00C91AC2">
        <w:t xml:space="preserve"> maps and </w:t>
      </w:r>
      <w:r w:rsidR="004F3D52">
        <w:t>verifying</w:t>
      </w:r>
      <w:r w:rsidR="00C91AC2">
        <w:t xml:space="preserve"> </w:t>
      </w:r>
      <w:r w:rsidR="006756B2">
        <w:t xml:space="preserve">interconnection </w:t>
      </w:r>
      <w:r w:rsidR="00255A43" w:rsidRPr="001501AE">
        <w:rPr>
          <w:i/>
        </w:rPr>
        <w:t>N</w:t>
      </w:r>
      <w:r w:rsidR="00C91AC2" w:rsidRPr="001501AE">
        <w:rPr>
          <w:i/>
        </w:rPr>
        <w:t>odes</w:t>
      </w:r>
      <w:r w:rsidR="00C91AC2">
        <w:t xml:space="preserve">.  Cable companies, </w:t>
      </w:r>
      <w:r w:rsidR="00F93417">
        <w:t>for example</w:t>
      </w:r>
      <w:r w:rsidR="00C91AC2">
        <w:t xml:space="preserve">, </w:t>
      </w:r>
      <w:r w:rsidR="00F93417">
        <w:t xml:space="preserve">stated </w:t>
      </w:r>
      <w:r w:rsidR="00C91AC2">
        <w:t xml:space="preserve">they do not keep maps </w:t>
      </w:r>
      <w:r>
        <w:t xml:space="preserve">at this level of detail </w:t>
      </w:r>
      <w:r w:rsidR="00C91AC2">
        <w:t xml:space="preserve">in the normal course of business and would have to </w:t>
      </w:r>
      <w:r>
        <w:t>c</w:t>
      </w:r>
      <w:r w:rsidR="00C91AC2">
        <w:t xml:space="preserve">onduct site visits </w:t>
      </w:r>
      <w:r>
        <w:t xml:space="preserve">and create them </w:t>
      </w:r>
      <w:r w:rsidR="00260187">
        <w:t>at considerable expense.</w:t>
      </w:r>
      <w:r w:rsidR="00AD1420">
        <w:rPr>
          <w:rStyle w:val="FootnoteReference"/>
        </w:rPr>
        <w:footnoteReference w:id="94"/>
      </w:r>
      <w:r w:rsidR="00260187">
        <w:t xml:space="preserve">  </w:t>
      </w:r>
      <w:r w:rsidR="00BD5ED2">
        <w:t>NTCA</w:t>
      </w:r>
      <w:r w:rsidR="00F93417">
        <w:t xml:space="preserve"> also expressed concern explaining that </w:t>
      </w:r>
      <w:r w:rsidR="004F3D52">
        <w:t xml:space="preserve">while </w:t>
      </w:r>
      <w:r w:rsidR="00F93417">
        <w:t>its members</w:t>
      </w:r>
      <w:r w:rsidR="004F3D52">
        <w:t xml:space="preserve"> </w:t>
      </w:r>
      <w:r w:rsidR="005755E2">
        <w:t>generally have maps showing “middle-mile” facilities</w:t>
      </w:r>
      <w:r w:rsidR="004F3D52">
        <w:t>, they do</w:t>
      </w:r>
      <w:r w:rsidR="005755E2">
        <w:t xml:space="preserve"> </w:t>
      </w:r>
      <w:r w:rsidR="009462EA">
        <w:t xml:space="preserve">not </w:t>
      </w:r>
      <w:r w:rsidR="004F3D52">
        <w:t xml:space="preserve">keep </w:t>
      </w:r>
      <w:r w:rsidR="009462EA">
        <w:t xml:space="preserve">maps </w:t>
      </w:r>
      <w:r w:rsidR="004F3D52">
        <w:t>with</w:t>
      </w:r>
      <w:r w:rsidR="009462EA">
        <w:t xml:space="preserve"> “last mile” facilities.</w:t>
      </w:r>
      <w:r w:rsidR="009462EA">
        <w:rPr>
          <w:rStyle w:val="FootnoteReference"/>
        </w:rPr>
        <w:footnoteReference w:id="95"/>
      </w:r>
      <w:r w:rsidR="009462EA">
        <w:t xml:space="preserve"> </w:t>
      </w:r>
      <w:r w:rsidR="00BD5ED2">
        <w:t xml:space="preserve"> </w:t>
      </w:r>
    </w:p>
    <w:p w:rsidR="00EB67A0" w:rsidRDefault="00C91AC2" w:rsidP="00A131AC">
      <w:pPr>
        <w:pStyle w:val="ParaNum"/>
      </w:pPr>
      <w:r>
        <w:t xml:space="preserve">NCTA </w:t>
      </w:r>
      <w:r w:rsidR="00415E79">
        <w:t xml:space="preserve">and ACA alternatively </w:t>
      </w:r>
      <w:r w:rsidR="00260187">
        <w:t>propose that</w:t>
      </w:r>
      <w:r w:rsidR="00F74953">
        <w:t xml:space="preserve"> </w:t>
      </w:r>
      <w:r>
        <w:t>the Commission</w:t>
      </w:r>
      <w:r w:rsidR="00415E79">
        <w:t>:</w:t>
      </w:r>
      <w:r w:rsidR="00AD1420">
        <w:t xml:space="preserve"> </w:t>
      </w:r>
      <w:r w:rsidR="005755E2">
        <w:t xml:space="preserve">(1) </w:t>
      </w:r>
      <w:r>
        <w:t>allow companies to simply submit whatever network maps they have or “a list or ‘airline’ map showing the network footprint (headend locations and customer locations served by those headends)”</w:t>
      </w:r>
      <w:r w:rsidR="00843E00">
        <w:t xml:space="preserve"> and (2) eliminate the </w:t>
      </w:r>
      <w:r w:rsidR="00843E00" w:rsidRPr="00843E00">
        <w:rPr>
          <w:i/>
        </w:rPr>
        <w:t>N</w:t>
      </w:r>
      <w:r w:rsidR="005755E2" w:rsidRPr="00843E00">
        <w:rPr>
          <w:i/>
        </w:rPr>
        <w:t>ode</w:t>
      </w:r>
      <w:r w:rsidR="005755E2">
        <w:t xml:space="preserve"> identification requirements.</w:t>
      </w:r>
      <w:r>
        <w:rPr>
          <w:rStyle w:val="FootnoteReference"/>
        </w:rPr>
        <w:footnoteReference w:id="96"/>
      </w:r>
      <w:r w:rsidR="005755E2">
        <w:t xml:space="preserve">  </w:t>
      </w:r>
      <w:r w:rsidR="00F74953">
        <w:t xml:space="preserve">USTelecom opposes </w:t>
      </w:r>
      <w:r w:rsidR="00415E79">
        <w:t>this proposal</w:t>
      </w:r>
      <w:r w:rsidR="00260187">
        <w:t>,</w:t>
      </w:r>
      <w:r w:rsidR="00363F6E">
        <w:t xml:space="preserve"> </w:t>
      </w:r>
      <w:r w:rsidR="00415E79">
        <w:t>argu</w:t>
      </w:r>
      <w:r w:rsidR="00363F6E">
        <w:t>ing</w:t>
      </w:r>
      <w:r w:rsidR="00F74953">
        <w:t xml:space="preserve"> </w:t>
      </w:r>
      <w:r w:rsidR="00260187">
        <w:t>this alternative</w:t>
      </w:r>
      <w:r w:rsidR="00F74953">
        <w:t xml:space="preserve"> will not provide the Commission with the necessary detail “to determine how both actual and potential competition provide competitive discipline in the high-capacity marketplace.”</w:t>
      </w:r>
      <w:r w:rsidR="00F74953">
        <w:rPr>
          <w:rStyle w:val="FootnoteReference"/>
        </w:rPr>
        <w:footnoteReference w:id="97"/>
      </w:r>
      <w:r w:rsidR="0070237E">
        <w:t xml:space="preserve">  As discussed below, although we do not eliminate the obligations as proposed by NCTA and ACA, we do make certain clarifications to reduce the burdens while ensuring the Commission has sufficient data for its analysis. </w:t>
      </w:r>
    </w:p>
    <w:p w:rsidR="00AB65D0" w:rsidRDefault="0070237E" w:rsidP="0047272E">
      <w:pPr>
        <w:pStyle w:val="ParaNum"/>
        <w:widowControl/>
      </w:pPr>
      <w:r w:rsidRPr="003C5428">
        <w:rPr>
          <w:i/>
        </w:rPr>
        <w:t>Fiber Maps</w:t>
      </w:r>
      <w:r>
        <w:t xml:space="preserve">.  </w:t>
      </w:r>
      <w:r w:rsidR="00415E79">
        <w:t xml:space="preserve">The Commission required </w:t>
      </w:r>
      <w:r w:rsidR="00415E79" w:rsidRPr="00E62258">
        <w:rPr>
          <w:i/>
        </w:rPr>
        <w:t>Competitive Providers</w:t>
      </w:r>
      <w:r w:rsidR="00415E79">
        <w:t xml:space="preserve"> to submit maps showing their fiber </w:t>
      </w:r>
      <w:r w:rsidR="00AB65D0">
        <w:t xml:space="preserve">routes, including </w:t>
      </w:r>
      <w:r w:rsidR="00415E79">
        <w:t xml:space="preserve">fiber </w:t>
      </w:r>
      <w:r w:rsidR="00415E79" w:rsidRPr="00E62258">
        <w:rPr>
          <w:i/>
        </w:rPr>
        <w:t>Connections</w:t>
      </w:r>
      <w:r w:rsidR="00415E79">
        <w:t xml:space="preserve"> to </w:t>
      </w:r>
      <w:r w:rsidR="00415E79" w:rsidRPr="00E62258">
        <w:rPr>
          <w:i/>
        </w:rPr>
        <w:t>Locations</w:t>
      </w:r>
      <w:r w:rsidR="00415E79">
        <w:t xml:space="preserve">, </w:t>
      </w:r>
      <w:r w:rsidR="00AB65D0">
        <w:t>for an</w:t>
      </w:r>
      <w:r w:rsidR="00415E79">
        <w:t xml:space="preserve"> </w:t>
      </w:r>
      <w:r w:rsidR="00AB65D0">
        <w:t>analysis</w:t>
      </w:r>
      <w:r w:rsidR="00415E79">
        <w:t xml:space="preserve"> </w:t>
      </w:r>
      <w:r w:rsidR="00AB65D0">
        <w:t xml:space="preserve">of </w:t>
      </w:r>
      <w:r w:rsidR="00415E79">
        <w:t>potential competition.</w:t>
      </w:r>
      <w:r w:rsidR="00A734FA">
        <w:rPr>
          <w:rStyle w:val="FootnoteReference"/>
        </w:rPr>
        <w:footnoteReference w:id="98"/>
      </w:r>
      <w:r w:rsidR="00415E79">
        <w:t xml:space="preserve">  </w:t>
      </w:r>
      <w:r w:rsidR="00AB65D0">
        <w:t xml:space="preserve">While we understand </w:t>
      </w:r>
      <w:r w:rsidR="00AB52C6">
        <w:t>the burden</w:t>
      </w:r>
      <w:r>
        <w:t>s</w:t>
      </w:r>
      <w:r w:rsidR="00AB52C6">
        <w:t xml:space="preserve"> of providing </w:t>
      </w:r>
      <w:r w:rsidR="00AB65D0">
        <w:t xml:space="preserve">these </w:t>
      </w:r>
      <w:r w:rsidR="00AB52C6">
        <w:t>comprehensive maps</w:t>
      </w:r>
      <w:r>
        <w:t>, t</w:t>
      </w:r>
      <w:r w:rsidR="00FD0F83">
        <w:t xml:space="preserve">he Commission has found that competition for </w:t>
      </w:r>
      <w:r w:rsidR="00FD0F83" w:rsidRPr="00C81FA7">
        <w:rPr>
          <w:i/>
        </w:rPr>
        <w:t>Dedicated Service</w:t>
      </w:r>
      <w:r w:rsidR="00FD0F83">
        <w:t xml:space="preserve"> “appears to occur at a very granular level—perhaps as low as the building/tower.”</w:t>
      </w:r>
      <w:r w:rsidR="00FD0F83">
        <w:rPr>
          <w:rStyle w:val="FootnoteReference"/>
        </w:rPr>
        <w:footnoteReference w:id="99"/>
      </w:r>
      <w:r w:rsidR="00D86FB6">
        <w:t xml:space="preserve"> </w:t>
      </w:r>
      <w:r w:rsidR="00FD0F83">
        <w:t xml:space="preserve"> The Commission therefore </w:t>
      </w:r>
      <w:r w:rsidR="006653AE">
        <w:t xml:space="preserve">needs to </w:t>
      </w:r>
      <w:r w:rsidR="00FD0F83">
        <w:t xml:space="preserve">collect information at an equally granular level, </w:t>
      </w:r>
      <w:r w:rsidR="00FD0F83" w:rsidRPr="00C81FA7">
        <w:rPr>
          <w:i/>
        </w:rPr>
        <w:t>i.e.</w:t>
      </w:r>
      <w:r w:rsidR="00FD0F83">
        <w:t xml:space="preserve">, the level of the connected </w:t>
      </w:r>
      <w:r w:rsidR="00FD0F83" w:rsidRPr="00C81FA7">
        <w:rPr>
          <w:i/>
        </w:rPr>
        <w:t>Location</w:t>
      </w:r>
      <w:r w:rsidR="00FD0F83">
        <w:t>.</w:t>
      </w:r>
      <w:r w:rsidR="00A734FA">
        <w:t xml:space="preserve">     </w:t>
      </w:r>
      <w:r w:rsidR="00FD0F83">
        <w:t xml:space="preserve">  </w:t>
      </w:r>
    </w:p>
    <w:p w:rsidR="00AB65D0" w:rsidRDefault="00AB65D0" w:rsidP="000350FC">
      <w:pPr>
        <w:pStyle w:val="ParaNum"/>
      </w:pPr>
      <w:r>
        <w:t xml:space="preserve">The </w:t>
      </w:r>
      <w:r w:rsidR="00882BB1">
        <w:t>map</w:t>
      </w:r>
      <w:r w:rsidR="00F415C5">
        <w:t>ping obligation is</w:t>
      </w:r>
      <w:r w:rsidR="00882BB1">
        <w:t xml:space="preserve"> </w:t>
      </w:r>
      <w:r w:rsidR="00F415C5">
        <w:t xml:space="preserve">already </w:t>
      </w:r>
      <w:r w:rsidR="00882BB1">
        <w:t xml:space="preserve">limited by focusing solely </w:t>
      </w:r>
      <w:r w:rsidR="00C624B2">
        <w:t xml:space="preserve">on </w:t>
      </w:r>
      <w:r w:rsidR="00882BB1">
        <w:t>fiber route</w:t>
      </w:r>
      <w:r w:rsidR="00C624B2">
        <w:t>s</w:t>
      </w:r>
      <w:r w:rsidR="00672E78">
        <w:t xml:space="preserve"> and not requiring the mapping of other transmission mediums.  </w:t>
      </w:r>
      <w:r w:rsidR="00C624B2">
        <w:t xml:space="preserve"> </w:t>
      </w:r>
      <w:r w:rsidR="00672E78">
        <w:t>R</w:t>
      </w:r>
      <w:r w:rsidR="0083172C">
        <w:t>elative to copper</w:t>
      </w:r>
      <w:r w:rsidR="00166E2D">
        <w:t xml:space="preserve"> or coaxial cable</w:t>
      </w:r>
      <w:r w:rsidR="0083172C">
        <w:t>, a</w:t>
      </w:r>
      <w:r w:rsidR="002C64B1">
        <w:t xml:space="preserve"> </w:t>
      </w:r>
      <w:r w:rsidR="002C64B1" w:rsidRPr="00C81FA7">
        <w:rPr>
          <w:i/>
        </w:rPr>
        <w:t>Competitive Provider</w:t>
      </w:r>
      <w:r w:rsidR="002C64B1">
        <w:t xml:space="preserve"> can</w:t>
      </w:r>
      <w:r w:rsidR="002C64B1" w:rsidRPr="00B2645A">
        <w:t xml:space="preserve"> eas</w:t>
      </w:r>
      <w:r w:rsidR="002C64B1">
        <w:t>il</w:t>
      </w:r>
      <w:r w:rsidR="002C64B1" w:rsidRPr="00B2645A">
        <w:t xml:space="preserve">y add additional </w:t>
      </w:r>
      <w:r w:rsidR="002C64B1" w:rsidRPr="00C81FA7">
        <w:rPr>
          <w:i/>
          <w:iCs/>
        </w:rPr>
        <w:t>Dedicated Services</w:t>
      </w:r>
      <w:r w:rsidR="002C64B1" w:rsidRPr="00B2645A">
        <w:t xml:space="preserve"> or other managed services to a fiber line</w:t>
      </w:r>
      <w:r w:rsidR="002C64B1">
        <w:t xml:space="preserve">.  </w:t>
      </w:r>
      <w:r w:rsidR="00FD0F83">
        <w:t>T</w:t>
      </w:r>
      <w:r w:rsidR="00115BAC">
        <w:t xml:space="preserve">he presence of fiber down a street </w:t>
      </w:r>
      <w:r w:rsidR="00166E2D">
        <w:t xml:space="preserve">is </w:t>
      </w:r>
      <w:r w:rsidR="00C81FA7">
        <w:t xml:space="preserve">thus </w:t>
      </w:r>
      <w:r w:rsidR="00166E2D">
        <w:t xml:space="preserve">a </w:t>
      </w:r>
      <w:r>
        <w:t xml:space="preserve">good </w:t>
      </w:r>
      <w:r w:rsidR="00FD0F83">
        <w:t>indicat</w:t>
      </w:r>
      <w:r w:rsidR="00166E2D">
        <w:t>or of</w:t>
      </w:r>
      <w:r w:rsidR="00FD0F83">
        <w:t xml:space="preserve"> </w:t>
      </w:r>
      <w:r w:rsidR="00166E2D">
        <w:t xml:space="preserve">a </w:t>
      </w:r>
      <w:r w:rsidR="00115BAC" w:rsidRPr="00C81FA7">
        <w:rPr>
          <w:i/>
        </w:rPr>
        <w:t>Competitive Provider</w:t>
      </w:r>
      <w:r w:rsidR="00115BAC" w:rsidRPr="00AB5715">
        <w:t>’s</w:t>
      </w:r>
      <w:r w:rsidR="00115BAC">
        <w:t xml:space="preserve"> ability to serve</w:t>
      </w:r>
      <w:r w:rsidR="00C624B2">
        <w:t xml:space="preserve"> nearby</w:t>
      </w:r>
      <w:r w:rsidR="00115BAC">
        <w:t xml:space="preserve"> </w:t>
      </w:r>
      <w:r w:rsidR="00FD0F83" w:rsidRPr="00C81FA7">
        <w:rPr>
          <w:i/>
        </w:rPr>
        <w:t>Locations</w:t>
      </w:r>
      <w:r w:rsidR="00115BAC">
        <w:t>.</w:t>
      </w:r>
      <w:r w:rsidR="00C81FA7">
        <w:rPr>
          <w:rStyle w:val="FootnoteReference"/>
        </w:rPr>
        <w:footnoteReference w:id="100"/>
      </w:r>
      <w:r w:rsidR="00AD1420">
        <w:t xml:space="preserve"> </w:t>
      </w:r>
      <w:r>
        <w:t xml:space="preserve"> </w:t>
      </w:r>
      <w:r w:rsidR="00672E78">
        <w:t xml:space="preserve">To further reduce </w:t>
      </w:r>
      <w:r w:rsidR="00263CCF">
        <w:t xml:space="preserve">the </w:t>
      </w:r>
      <w:r w:rsidR="00672E78">
        <w:t>burden</w:t>
      </w:r>
      <w:r w:rsidR="00263CCF">
        <w:t>s</w:t>
      </w:r>
      <w:r w:rsidR="00672E78">
        <w:t xml:space="preserve">, </w:t>
      </w:r>
      <w:r w:rsidR="00F415C5">
        <w:t xml:space="preserve">we clarify </w:t>
      </w:r>
      <w:r w:rsidR="00672E78">
        <w:t xml:space="preserve">in the instructions </w:t>
      </w:r>
      <w:r w:rsidR="00F415C5">
        <w:t xml:space="preserve">that the scale used for shapefile mapping data is </w:t>
      </w:r>
      <w:r w:rsidR="00714805">
        <w:t xml:space="preserve">1:24,000, which is the </w:t>
      </w:r>
      <w:r w:rsidR="00433236">
        <w:t xml:space="preserve">standard used by the U.S. Geological Survey National Map and the </w:t>
      </w:r>
      <w:r w:rsidR="003F0CCB">
        <w:t xml:space="preserve">same </w:t>
      </w:r>
      <w:r w:rsidR="00A97FE7">
        <w:t xml:space="preserve">scale used </w:t>
      </w:r>
      <w:r w:rsidR="00433236">
        <w:t xml:space="preserve">by the Bureau </w:t>
      </w:r>
      <w:r w:rsidR="003F0CCB">
        <w:t xml:space="preserve">for </w:t>
      </w:r>
      <w:r w:rsidR="00433236">
        <w:t xml:space="preserve">the </w:t>
      </w:r>
      <w:r w:rsidR="003F0CCB">
        <w:t>study area boundary (SAB) map</w:t>
      </w:r>
      <w:r w:rsidR="00FF6462">
        <w:t xml:space="preserve"> collection</w:t>
      </w:r>
      <w:r w:rsidR="00A97FE7">
        <w:t>.</w:t>
      </w:r>
      <w:r w:rsidR="003F0CCB">
        <w:rPr>
          <w:rStyle w:val="FootnoteReference"/>
        </w:rPr>
        <w:footnoteReference w:id="101"/>
      </w:r>
      <w:r w:rsidR="00786449">
        <w:t xml:space="preserve">  </w:t>
      </w:r>
      <w:r w:rsidR="00F415C5">
        <w:t xml:space="preserve">This </w:t>
      </w:r>
      <w:r w:rsidR="00672E78">
        <w:t xml:space="preserve">standard will give the Commission sufficient data on the streets and paths traversed by fiber while eliminating the need to report the </w:t>
      </w:r>
      <w:r w:rsidR="00263CCF">
        <w:t xml:space="preserve">exact location of </w:t>
      </w:r>
      <w:r w:rsidR="00672E78">
        <w:t xml:space="preserve">fiber on the street.  </w:t>
      </w:r>
      <w:r w:rsidR="00263CCF">
        <w:t xml:space="preserve">We expect that </w:t>
      </w:r>
      <w:r w:rsidR="00263CCF" w:rsidRPr="00E62258">
        <w:rPr>
          <w:i/>
        </w:rPr>
        <w:t>Competitive Providers</w:t>
      </w:r>
      <w:r w:rsidR="00263CCF">
        <w:t xml:space="preserve"> would know the streets and routes where their fiber runs without having to conduct site surveys so this clarification should significantly reduce the reporting burden for </w:t>
      </w:r>
      <w:r w:rsidR="00263CCF" w:rsidRPr="003C5428">
        <w:rPr>
          <w:i/>
        </w:rPr>
        <w:t>Competitive Providers</w:t>
      </w:r>
      <w:r w:rsidR="00263CCF">
        <w:t xml:space="preserve"> while still giving the Commission data on fiber routes to a sufficient level of accuracy for its analysis.</w:t>
      </w:r>
      <w:r w:rsidR="00263CCF">
        <w:rPr>
          <w:rStyle w:val="FootnoteReference"/>
        </w:rPr>
        <w:footnoteReference w:id="102"/>
      </w:r>
      <w:r w:rsidR="00263CCF">
        <w:t xml:space="preserve"> </w:t>
      </w:r>
      <w:r w:rsidR="00786449">
        <w:t xml:space="preserve">  </w:t>
      </w:r>
      <w:r w:rsidR="001E6642">
        <w:t xml:space="preserve"> </w:t>
      </w:r>
    </w:p>
    <w:p w:rsidR="0081449B" w:rsidRDefault="00E42AA2" w:rsidP="00A131AC">
      <w:pPr>
        <w:pStyle w:val="ParaNum"/>
      </w:pPr>
      <w:r w:rsidRPr="001E0F76">
        <w:rPr>
          <w:szCs w:val="22"/>
        </w:rPr>
        <w:t xml:space="preserve">We reject the alternative proposed by </w:t>
      </w:r>
      <w:r w:rsidR="00FD773C">
        <w:t>NCTA</w:t>
      </w:r>
      <w:r>
        <w:t xml:space="preserve"> and ACA</w:t>
      </w:r>
      <w:r w:rsidR="00FD773C">
        <w:t xml:space="preserve"> of requiring “whatever network maps” a </w:t>
      </w:r>
      <w:r w:rsidR="00FD773C" w:rsidRPr="001E0F76">
        <w:rPr>
          <w:i/>
        </w:rPr>
        <w:t>Competitive Provider</w:t>
      </w:r>
      <w:r w:rsidR="00FD773C">
        <w:t xml:space="preserve"> has or “a list or ‘airline’ map</w:t>
      </w:r>
      <w:r w:rsidR="002F7B88">
        <w:t xml:space="preserve"> showing a network footprint</w:t>
      </w:r>
      <w:r w:rsidR="00FD773C">
        <w:t>”</w:t>
      </w:r>
      <w:r w:rsidR="00FF6462">
        <w:t xml:space="preserve"> for two reasons.</w:t>
      </w:r>
      <w:r w:rsidR="002F7B88">
        <w:rPr>
          <w:rStyle w:val="FootnoteReference"/>
        </w:rPr>
        <w:footnoteReference w:id="103"/>
      </w:r>
      <w:r w:rsidR="00FD773C">
        <w:t xml:space="preserve"> </w:t>
      </w:r>
      <w:r>
        <w:t xml:space="preserve"> </w:t>
      </w:r>
      <w:r w:rsidR="00FF6462">
        <w:t>First, t</w:t>
      </w:r>
      <w:r>
        <w:t xml:space="preserve">his approach </w:t>
      </w:r>
      <w:r w:rsidR="004F67C5">
        <w:t xml:space="preserve">will produce </w:t>
      </w:r>
      <w:r w:rsidR="002F7B88">
        <w:t>non-uniform and less granular</w:t>
      </w:r>
      <w:r w:rsidR="004F67C5">
        <w:t xml:space="preserve"> data</w:t>
      </w:r>
      <w:r w:rsidR="00BC05D0">
        <w:t xml:space="preserve"> and will thus</w:t>
      </w:r>
      <w:r w:rsidR="002F7B88">
        <w:t xml:space="preserve"> affect the Commission’s analysis</w:t>
      </w:r>
      <w:r w:rsidR="004F67C5">
        <w:t xml:space="preserve">.  </w:t>
      </w:r>
      <w:r w:rsidR="002F7B88">
        <w:t>M</w:t>
      </w:r>
      <w:r w:rsidR="004F67C5">
        <w:t xml:space="preserve">aps would vary by respondent with some simply showing the boundaries of their network coverage and others providing details on some fiber routes but unlikely to the level of the connected </w:t>
      </w:r>
      <w:r w:rsidR="004F67C5" w:rsidRPr="001E0F76">
        <w:rPr>
          <w:i/>
        </w:rPr>
        <w:t>Location</w:t>
      </w:r>
      <w:r w:rsidR="002F7B88">
        <w:t xml:space="preserve">.  Even </w:t>
      </w:r>
      <w:r w:rsidR="004D376F">
        <w:t xml:space="preserve">a </w:t>
      </w:r>
      <w:r w:rsidR="002F7B88">
        <w:t>“list or ‘airline’ map</w:t>
      </w:r>
      <w:r w:rsidR="004D376F">
        <w:t xml:space="preserve"> showing the network footprint” would not </w:t>
      </w:r>
      <w:r w:rsidR="00FF6462">
        <w:t xml:space="preserve">necessarily </w:t>
      </w:r>
      <w:r w:rsidR="004D376F">
        <w:t>give the Commission the fiber routes</w:t>
      </w:r>
      <w:r w:rsidR="00BC05D0">
        <w:t xml:space="preserve"> to </w:t>
      </w:r>
      <w:r w:rsidR="00BC05D0" w:rsidRPr="00E62258">
        <w:rPr>
          <w:i/>
        </w:rPr>
        <w:t>Locations</w:t>
      </w:r>
      <w:r w:rsidR="00FF6462">
        <w:t xml:space="preserve">, at least not </w:t>
      </w:r>
      <w:r w:rsidR="004D376F">
        <w:t xml:space="preserve">to </w:t>
      </w:r>
      <w:r w:rsidR="002F7B88">
        <w:t>a sufficient level of accuracy.</w:t>
      </w:r>
      <w:r w:rsidR="00FF6462">
        <w:t xml:space="preserve">  Second</w:t>
      </w:r>
      <w:r>
        <w:t xml:space="preserve">, the variability of the maps would </w:t>
      </w:r>
      <w:r w:rsidR="00263CCF">
        <w:t xml:space="preserve">substantially </w:t>
      </w:r>
      <w:r>
        <w:t xml:space="preserve">increase </w:t>
      </w:r>
      <w:r w:rsidR="007A2CD5">
        <w:t xml:space="preserve">the burden on </w:t>
      </w:r>
      <w:r>
        <w:t xml:space="preserve">Commission </w:t>
      </w:r>
      <w:r w:rsidR="007A2CD5">
        <w:t>staff</w:t>
      </w:r>
      <w:r>
        <w:t xml:space="preserve">.  </w:t>
      </w:r>
      <w:r w:rsidR="009A1CDA">
        <w:t>For example, t</w:t>
      </w:r>
      <w:r w:rsidR="00FD773C">
        <w:t xml:space="preserve">he Commission </w:t>
      </w:r>
      <w:r w:rsidR="009A1CDA">
        <w:t>wo</w:t>
      </w:r>
      <w:r w:rsidR="00FD773C">
        <w:t xml:space="preserve">uld </w:t>
      </w:r>
      <w:r w:rsidR="009A1CDA">
        <w:t xml:space="preserve">have </w:t>
      </w:r>
      <w:r w:rsidR="00FD773C">
        <w:t xml:space="preserve">to </w:t>
      </w:r>
      <w:r w:rsidR="009A1CDA">
        <w:t xml:space="preserve">create a base map from the non-uniform data and </w:t>
      </w:r>
      <w:r w:rsidR="00FD773C">
        <w:t>offset gaps with information collected elsewhere or through third-party data sets</w:t>
      </w:r>
      <w:r w:rsidR="00FA3774">
        <w:t xml:space="preserve">.  </w:t>
      </w:r>
      <w:r w:rsidR="00AB5715">
        <w:t>E</w:t>
      </w:r>
      <w:r w:rsidR="00FA3774">
        <w:t xml:space="preserve">ven if </w:t>
      </w:r>
      <w:r w:rsidR="00AB5715">
        <w:t xml:space="preserve">the Commission could somehow </w:t>
      </w:r>
      <w:r w:rsidR="005B0909">
        <w:t>fill</w:t>
      </w:r>
      <w:r w:rsidR="005B0909" w:rsidDel="001E0F76">
        <w:t xml:space="preserve"> </w:t>
      </w:r>
      <w:r w:rsidR="001E0F76">
        <w:t>any</w:t>
      </w:r>
      <w:r w:rsidR="00AB5715">
        <w:t xml:space="preserve"> data gaps</w:t>
      </w:r>
      <w:r w:rsidR="00FA3774">
        <w:t xml:space="preserve">, </w:t>
      </w:r>
      <w:r w:rsidR="00FD773C">
        <w:t xml:space="preserve">the </w:t>
      </w:r>
      <w:r w:rsidR="001E0F76">
        <w:t>result would not be as detailed, uniform, or accurate as with</w:t>
      </w:r>
      <w:r w:rsidR="00AB52C6">
        <w:t xml:space="preserve"> </w:t>
      </w:r>
      <w:r w:rsidR="00FA3774">
        <w:t>having</w:t>
      </w:r>
      <w:r w:rsidR="00FD773C">
        <w:t xml:space="preserve"> </w:t>
      </w:r>
      <w:r w:rsidR="00FD773C" w:rsidRPr="001E0F76">
        <w:rPr>
          <w:i/>
        </w:rPr>
        <w:t>Competitive Providers</w:t>
      </w:r>
      <w:r w:rsidR="00FD773C">
        <w:t xml:space="preserve"> submit </w:t>
      </w:r>
      <w:r w:rsidR="00882BB1">
        <w:t xml:space="preserve">maps showing </w:t>
      </w:r>
      <w:r w:rsidR="00AB5715">
        <w:t xml:space="preserve">their fiber </w:t>
      </w:r>
      <w:r w:rsidR="00882BB1">
        <w:t>facilities to e</w:t>
      </w:r>
      <w:r w:rsidR="009A1CDA">
        <w:t>ach</w:t>
      </w:r>
      <w:r w:rsidR="00882BB1">
        <w:t xml:space="preserve"> </w:t>
      </w:r>
      <w:r w:rsidR="00882BB1" w:rsidRPr="001E0F76">
        <w:rPr>
          <w:i/>
        </w:rPr>
        <w:t>Location</w:t>
      </w:r>
      <w:r w:rsidR="00882BB1">
        <w:t>.</w:t>
      </w:r>
      <w:r w:rsidR="007A2CD5">
        <w:t xml:space="preserve">  It would also divert Commission resources from analyzing the data to create data necessary to begin the analysis.</w:t>
      </w:r>
      <w:r w:rsidR="00C81FA7">
        <w:t xml:space="preserve">  </w:t>
      </w:r>
      <w:r w:rsidR="007C7DA1">
        <w:t xml:space="preserve">  </w:t>
      </w:r>
      <w:r w:rsidR="00115BAC">
        <w:t xml:space="preserve">  </w:t>
      </w:r>
      <w:r w:rsidR="0083172C">
        <w:t xml:space="preserve">  </w:t>
      </w:r>
      <w:r w:rsidR="0081449B" w:rsidRPr="001E0F76">
        <w:rPr>
          <w:color w:val="FF0000"/>
        </w:rPr>
        <w:t xml:space="preserve"> </w:t>
      </w:r>
      <w:r w:rsidR="0081449B">
        <w:t xml:space="preserve">   </w:t>
      </w:r>
      <w:r w:rsidR="00B20375">
        <w:t xml:space="preserve">  </w:t>
      </w:r>
    </w:p>
    <w:p w:rsidR="00316DB1" w:rsidRDefault="00263CCF" w:rsidP="00A131AC">
      <w:pPr>
        <w:pStyle w:val="ParaNum"/>
      </w:pPr>
      <w:r w:rsidRPr="003C5428">
        <w:rPr>
          <w:i/>
        </w:rPr>
        <w:t>Nodes</w:t>
      </w:r>
      <w:r>
        <w:t xml:space="preserve">.  </w:t>
      </w:r>
      <w:r w:rsidR="00316DB1">
        <w:t xml:space="preserve">NCTA and ACA have also asked </w:t>
      </w:r>
      <w:r w:rsidR="00CD640C">
        <w:t>the Commission to</w:t>
      </w:r>
      <w:r w:rsidR="00316DB1">
        <w:t xml:space="preserve"> eliminate the requirement to </w:t>
      </w:r>
      <w:r w:rsidR="00804034">
        <w:t>include</w:t>
      </w:r>
      <w:r w:rsidR="00316DB1">
        <w:t xml:space="preserve"> </w:t>
      </w:r>
      <w:r w:rsidR="00316DB1" w:rsidRPr="00E62258">
        <w:rPr>
          <w:i/>
        </w:rPr>
        <w:t>Nodes</w:t>
      </w:r>
      <w:r w:rsidR="00316DB1">
        <w:t xml:space="preserve"> </w:t>
      </w:r>
      <w:r w:rsidR="00804034">
        <w:t>used for interconnecting</w:t>
      </w:r>
      <w:r w:rsidR="00316DB1">
        <w:t xml:space="preserve">.  </w:t>
      </w:r>
      <w:r w:rsidR="00CD640C">
        <w:t>One</w:t>
      </w:r>
      <w:r w:rsidR="00316DB1">
        <w:t xml:space="preserve"> NCTA member sa</w:t>
      </w:r>
      <w:r w:rsidR="00EB72B0">
        <w:t>id</w:t>
      </w:r>
      <w:r w:rsidR="00316DB1">
        <w:t xml:space="preserve"> it “cannot reasonably identify every node on the network used to interconnect . . . and the year that each node ‘went live</w:t>
      </w:r>
      <w:r w:rsidR="00CD640C">
        <w:t>,</w:t>
      </w:r>
      <w:r w:rsidR="00316DB1">
        <w:t xml:space="preserve">’” </w:t>
      </w:r>
      <w:r w:rsidR="007A2CD5">
        <w:t>asserting</w:t>
      </w:r>
      <w:r w:rsidR="00CD640C">
        <w:t xml:space="preserve"> that</w:t>
      </w:r>
      <w:r w:rsidR="00316DB1">
        <w:t xml:space="preserve"> it “would have to walk portions of the route to check for all splice points and/or interview local personnel”</w:t>
      </w:r>
      <w:r w:rsidR="00CD640C">
        <w:t xml:space="preserve"> to determine</w:t>
      </w:r>
      <w:r w:rsidR="007A2CD5">
        <w:t xml:space="preserve"> the location of interconnecting </w:t>
      </w:r>
      <w:r w:rsidR="007A2CD5" w:rsidRPr="003C5428">
        <w:rPr>
          <w:i/>
        </w:rPr>
        <w:t>Nodes</w:t>
      </w:r>
      <w:r w:rsidR="00CD640C">
        <w:t>.</w:t>
      </w:r>
      <w:r w:rsidR="00316DB1">
        <w:rPr>
          <w:rStyle w:val="FootnoteReference"/>
        </w:rPr>
        <w:footnoteReference w:id="104"/>
      </w:r>
      <w:r w:rsidR="005B0909">
        <w:t xml:space="preserve">  </w:t>
      </w:r>
      <w:r w:rsidR="00EB72B0">
        <w:t>An</w:t>
      </w:r>
      <w:r w:rsidR="00CD640C">
        <w:t xml:space="preserve"> ACA member </w:t>
      </w:r>
      <w:r w:rsidR="00EB72B0">
        <w:t>stated</w:t>
      </w:r>
      <w:r w:rsidR="00CD640C">
        <w:t xml:space="preserve"> it would have to review </w:t>
      </w:r>
      <w:r w:rsidR="00804034">
        <w:t xml:space="preserve">many </w:t>
      </w:r>
      <w:r w:rsidR="00CD640C">
        <w:t>end user agreements to determine</w:t>
      </w:r>
      <w:r w:rsidR="005B0909">
        <w:t xml:space="preserve"> </w:t>
      </w:r>
      <w:r w:rsidR="007A2CD5">
        <w:t>this information, while</w:t>
      </w:r>
      <w:r w:rsidR="005B0909">
        <w:t xml:space="preserve"> another member </w:t>
      </w:r>
      <w:r w:rsidR="007A2CD5">
        <w:t xml:space="preserve">stated </w:t>
      </w:r>
      <w:r w:rsidR="005B0909">
        <w:t xml:space="preserve">that </w:t>
      </w:r>
      <w:r w:rsidR="00D05223">
        <w:t xml:space="preserve">reporting the “live” date for </w:t>
      </w:r>
      <w:r w:rsidR="00CD640C">
        <w:t xml:space="preserve">each </w:t>
      </w:r>
      <w:r w:rsidR="00D05223">
        <w:t xml:space="preserve">interconnecting </w:t>
      </w:r>
      <w:r w:rsidR="00CD640C" w:rsidRPr="00E62258">
        <w:rPr>
          <w:i/>
        </w:rPr>
        <w:t>Node</w:t>
      </w:r>
      <w:r w:rsidR="00CD640C">
        <w:t xml:space="preserve"> is “the most difficult and time-consuming aspect of creating the maps.”</w:t>
      </w:r>
      <w:r w:rsidR="00CD640C">
        <w:rPr>
          <w:rStyle w:val="FootnoteReference"/>
        </w:rPr>
        <w:footnoteReference w:id="105"/>
      </w:r>
      <w:r w:rsidR="00316DB1">
        <w:t xml:space="preserve">   </w:t>
      </w:r>
    </w:p>
    <w:p w:rsidR="00CB7918" w:rsidRDefault="001E0F76" w:rsidP="00A131AC">
      <w:pPr>
        <w:pStyle w:val="ParaNum"/>
      </w:pPr>
      <w:r>
        <w:t xml:space="preserve">Although we </w:t>
      </w:r>
      <w:r w:rsidR="005C11D0">
        <w:t>retain</w:t>
      </w:r>
      <w:r>
        <w:t xml:space="preserve"> the requirement to provide fiber maps, we clarif</w:t>
      </w:r>
      <w:r w:rsidR="00F05E02">
        <w:t>y</w:t>
      </w:r>
      <w:r>
        <w:t xml:space="preserve"> the obligations for </w:t>
      </w:r>
      <w:r w:rsidR="00806C06">
        <w:t xml:space="preserve">identifying </w:t>
      </w:r>
      <w:r>
        <w:t xml:space="preserve">interconnection </w:t>
      </w:r>
      <w:r w:rsidR="00806C06" w:rsidRPr="00850783">
        <w:rPr>
          <w:i/>
        </w:rPr>
        <w:t>Node</w:t>
      </w:r>
      <w:r>
        <w:rPr>
          <w:i/>
        </w:rPr>
        <w:t>s</w:t>
      </w:r>
      <w:r w:rsidR="005C11D0">
        <w:t xml:space="preserve"> </w:t>
      </w:r>
      <w:r w:rsidR="00F05E02">
        <w:t>in the instructions</w:t>
      </w:r>
      <w:r w:rsidR="007A2CD5">
        <w:t xml:space="preserve"> to reduce burdens</w:t>
      </w:r>
      <w:r w:rsidR="005C11D0">
        <w:t>.</w:t>
      </w:r>
      <w:r w:rsidR="00A27C2A">
        <w:t xml:space="preserve">  </w:t>
      </w:r>
      <w:r w:rsidR="00CB7918">
        <w:t xml:space="preserve">First, we clarify that </w:t>
      </w:r>
      <w:r w:rsidR="00806C06" w:rsidRPr="00541006">
        <w:rPr>
          <w:i/>
        </w:rPr>
        <w:t>Competitive Providers</w:t>
      </w:r>
      <w:r w:rsidR="00806C06">
        <w:t xml:space="preserve"> can </w:t>
      </w:r>
      <w:r w:rsidR="00595362">
        <w:t xml:space="preserve">provide information reported to </w:t>
      </w:r>
      <w:r w:rsidR="00806C06">
        <w:t xml:space="preserve">the </w:t>
      </w:r>
      <w:r w:rsidR="00806C06" w:rsidRPr="0031458B">
        <w:t>Central Location Online Entry System (CLONES) database</w:t>
      </w:r>
      <w:r w:rsidR="00806C06">
        <w:t xml:space="preserve"> </w:t>
      </w:r>
      <w:r w:rsidR="00595362">
        <w:t>on their interconnection points in lieu of reporting information from their own internal records</w:t>
      </w:r>
      <w:r w:rsidR="00CB7918">
        <w:t>.</w:t>
      </w:r>
      <w:r w:rsidR="00CD5011">
        <w:rPr>
          <w:rStyle w:val="FootnoteReference"/>
        </w:rPr>
        <w:footnoteReference w:id="106"/>
      </w:r>
      <w:r w:rsidR="00CB7918">
        <w:t xml:space="preserve">  </w:t>
      </w:r>
      <w:r w:rsidR="00D96191">
        <w:rPr>
          <w:i/>
        </w:rPr>
        <w:t xml:space="preserve">Competitive Providers </w:t>
      </w:r>
      <w:r w:rsidR="00D96191">
        <w:t>electing this option must certify that their CLONES data are current and accurately identify their points of interconnection and the associated “live” dates to the best of their knowledge.</w:t>
      </w:r>
      <w:r w:rsidR="00D96191">
        <w:rPr>
          <w:rStyle w:val="FootnoteReference"/>
        </w:rPr>
        <w:footnoteReference w:id="107"/>
      </w:r>
      <w:r w:rsidR="00D96191">
        <w:t xml:space="preserve">  </w:t>
      </w:r>
      <w:r w:rsidR="00576CE8">
        <w:t>Second</w:t>
      </w:r>
      <w:r w:rsidR="005A46B8">
        <w:t xml:space="preserve">, we </w:t>
      </w:r>
      <w:r w:rsidR="00B26BA4">
        <w:t>clarify</w:t>
      </w:r>
      <w:r w:rsidR="005A46B8">
        <w:t xml:space="preserve"> in the instructions that </w:t>
      </w:r>
      <w:r w:rsidR="005A46B8" w:rsidRPr="00E62258">
        <w:rPr>
          <w:i/>
        </w:rPr>
        <w:t>Node</w:t>
      </w:r>
      <w:r w:rsidR="005A46B8">
        <w:t xml:space="preserve"> locations need only be accurate to the nearest </w:t>
      </w:r>
      <w:r w:rsidR="00F7711E" w:rsidRPr="00596A5A">
        <w:rPr>
          <w:rFonts w:cs="TimesNewRoman"/>
          <w:color w:val="010101"/>
          <w:szCs w:val="22"/>
        </w:rPr>
        <w:t>±0.0005</w:t>
      </w:r>
      <w:r w:rsidR="00F7711E">
        <w:rPr>
          <w:rFonts w:cs="TimesNewRoman"/>
          <w:color w:val="010101"/>
          <w:szCs w:val="22"/>
        </w:rPr>
        <w:t xml:space="preserve"> </w:t>
      </w:r>
      <w:r w:rsidR="007A2CD5">
        <w:rPr>
          <w:rFonts w:cs="TimesNewRoman"/>
          <w:color w:val="010101"/>
          <w:szCs w:val="22"/>
        </w:rPr>
        <w:t xml:space="preserve">decimal </w:t>
      </w:r>
      <w:r w:rsidR="00BD287A">
        <w:rPr>
          <w:rFonts w:cs="TimesNewRoman"/>
          <w:color w:val="010101"/>
          <w:szCs w:val="22"/>
        </w:rPr>
        <w:t>degrees</w:t>
      </w:r>
      <w:r w:rsidR="00576CE8">
        <w:rPr>
          <w:rFonts w:cs="TimesNewRoman"/>
          <w:color w:val="010101"/>
          <w:szCs w:val="22"/>
        </w:rPr>
        <w:t xml:space="preserve">.  Third, </w:t>
      </w:r>
      <w:r w:rsidR="00F7711E">
        <w:rPr>
          <w:rFonts w:cs="TimesNewRoman"/>
          <w:color w:val="010101"/>
          <w:szCs w:val="22"/>
        </w:rPr>
        <w:t xml:space="preserve">respondents do not have to report the </w:t>
      </w:r>
      <w:r w:rsidR="00C662AD">
        <w:rPr>
          <w:rFonts w:cs="TimesNewRoman"/>
          <w:color w:val="010101"/>
          <w:szCs w:val="22"/>
        </w:rPr>
        <w:t>year</w:t>
      </w:r>
      <w:r w:rsidR="00F7711E">
        <w:rPr>
          <w:rFonts w:cs="TimesNewRoman"/>
          <w:color w:val="010101"/>
          <w:szCs w:val="22"/>
        </w:rPr>
        <w:t xml:space="preserve"> the </w:t>
      </w:r>
      <w:r w:rsidR="00F7711E" w:rsidRPr="00E62258">
        <w:rPr>
          <w:rFonts w:cs="TimesNewRoman"/>
          <w:i/>
          <w:color w:val="010101"/>
          <w:szCs w:val="22"/>
        </w:rPr>
        <w:t>Node</w:t>
      </w:r>
      <w:r w:rsidR="00F7711E">
        <w:rPr>
          <w:rFonts w:cs="TimesNewRoman"/>
          <w:color w:val="010101"/>
          <w:szCs w:val="22"/>
        </w:rPr>
        <w:t xml:space="preserve"> went “live” if </w:t>
      </w:r>
      <w:r w:rsidR="00B26BA4">
        <w:rPr>
          <w:rFonts w:cs="TimesNewRoman"/>
          <w:color w:val="010101"/>
          <w:szCs w:val="22"/>
        </w:rPr>
        <w:t xml:space="preserve">it occurred </w:t>
      </w:r>
      <w:r w:rsidR="00F7711E">
        <w:rPr>
          <w:rFonts w:cs="TimesNewRoman"/>
          <w:color w:val="010101"/>
          <w:szCs w:val="22"/>
        </w:rPr>
        <w:t xml:space="preserve">before 1995 </w:t>
      </w:r>
      <w:r w:rsidR="00C662AD">
        <w:rPr>
          <w:rFonts w:cs="TimesNewRoman"/>
          <w:color w:val="010101"/>
          <w:szCs w:val="22"/>
        </w:rPr>
        <w:t>and is unknown</w:t>
      </w:r>
      <w:r w:rsidR="00F7711E">
        <w:rPr>
          <w:rFonts w:cs="TimesNewRoman"/>
          <w:color w:val="010101"/>
          <w:szCs w:val="22"/>
        </w:rPr>
        <w:t>.</w:t>
      </w:r>
      <w:r w:rsidR="00B26BA4">
        <w:rPr>
          <w:rStyle w:val="FootnoteReference"/>
          <w:rFonts w:cs="TimesNewRoman"/>
          <w:szCs w:val="22"/>
        </w:rPr>
        <w:footnoteReference w:id="108"/>
      </w:r>
    </w:p>
    <w:p w:rsidR="006C7B48" w:rsidRDefault="00EB0ABE" w:rsidP="00212F64">
      <w:pPr>
        <w:pStyle w:val="ParaNum"/>
      </w:pPr>
      <w:r>
        <w:t xml:space="preserve">These clarifications will </w:t>
      </w:r>
      <w:r w:rsidR="008D37EA">
        <w:t>not adversely affect</w:t>
      </w:r>
      <w:r>
        <w:t xml:space="preserve"> the data </w:t>
      </w:r>
      <w:r w:rsidR="008D37EA">
        <w:t xml:space="preserve">needed </w:t>
      </w:r>
      <w:r>
        <w:t>for the Commission’s analysis</w:t>
      </w:r>
      <w:r w:rsidR="007A2CD5">
        <w:t xml:space="preserve"> but will reduce burdens</w:t>
      </w:r>
      <w:r>
        <w:t xml:space="preserve">.  The Commission intends to gather data on interconnection points to understand </w:t>
      </w:r>
      <w:r w:rsidR="008D37EA">
        <w:t xml:space="preserve">whether the decision to deploy </w:t>
      </w:r>
      <w:r w:rsidR="00473659">
        <w:t xml:space="preserve">in an area </w:t>
      </w:r>
      <w:r w:rsidR="008D37EA">
        <w:t xml:space="preserve">is in response to the demand for </w:t>
      </w:r>
      <w:r w:rsidR="008D37EA" w:rsidRPr="00E62258">
        <w:rPr>
          <w:i/>
        </w:rPr>
        <w:t>Dedicated</w:t>
      </w:r>
      <w:r w:rsidR="008D37EA">
        <w:t xml:space="preserve"> </w:t>
      </w:r>
      <w:r w:rsidR="008D37EA" w:rsidRPr="00E62258">
        <w:rPr>
          <w:i/>
        </w:rPr>
        <w:t>Service</w:t>
      </w:r>
      <w:r w:rsidR="008D37EA">
        <w:t>.</w:t>
      </w:r>
      <w:r w:rsidR="006C7B48">
        <w:t xml:space="preserve">  Based on the responses received from non-cable </w:t>
      </w:r>
      <w:r w:rsidR="006C7B48" w:rsidRPr="00E62258">
        <w:rPr>
          <w:i/>
        </w:rPr>
        <w:t>Competitive Providers</w:t>
      </w:r>
      <w:r w:rsidR="006C7B48">
        <w:t xml:space="preserve"> to an earlier voluntary data request, we believe the deployment and interconnecting decisions of non-cable </w:t>
      </w:r>
      <w:r w:rsidR="006C7B48" w:rsidRPr="00E62258">
        <w:rPr>
          <w:i/>
        </w:rPr>
        <w:t>Competitive Providers</w:t>
      </w:r>
      <w:r w:rsidR="006C7B48">
        <w:t xml:space="preserve"> are largely driven by the demand for high-capacity, business services.</w:t>
      </w:r>
      <w:r w:rsidR="006C7B48" w:rsidRPr="00EB72B0">
        <w:rPr>
          <w:rStyle w:val="FootnoteReference"/>
        </w:rPr>
        <w:t xml:space="preserve"> </w:t>
      </w:r>
      <w:r w:rsidR="006C7B48">
        <w:rPr>
          <w:rStyle w:val="FootnoteReference"/>
        </w:rPr>
        <w:footnoteReference w:id="109"/>
      </w:r>
      <w:r w:rsidR="006C7B48">
        <w:t xml:space="preserve">  The reporting of interconnection points by these entities is thus valuable to the Commission.</w:t>
      </w:r>
      <w:r w:rsidR="006C7B48">
        <w:rPr>
          <w:rStyle w:val="FootnoteReference"/>
        </w:rPr>
        <w:footnoteReference w:id="110"/>
      </w:r>
      <w:r w:rsidR="008D37EA">
        <w:t xml:space="preserve"> </w:t>
      </w:r>
      <w:r w:rsidR="006C7B48">
        <w:t xml:space="preserve"> </w:t>
      </w:r>
    </w:p>
    <w:p w:rsidR="00777A1B" w:rsidRDefault="00777A1B" w:rsidP="00212F64">
      <w:pPr>
        <w:pStyle w:val="ParaNum"/>
      </w:pPr>
      <w:r>
        <w:t xml:space="preserve">The </w:t>
      </w:r>
      <w:r w:rsidR="00337201">
        <w:t xml:space="preserve">CLONES </w:t>
      </w:r>
      <w:r w:rsidR="00AB1C1D">
        <w:t>database is</w:t>
      </w:r>
      <w:r>
        <w:t xml:space="preserve"> widely used by industry </w:t>
      </w:r>
      <w:r w:rsidR="00AB1C1D">
        <w:t xml:space="preserve">to create, update, and maintain </w:t>
      </w:r>
      <w:r>
        <w:t xml:space="preserve">codes to uniquely identify </w:t>
      </w:r>
      <w:r w:rsidR="005B0909">
        <w:t xml:space="preserve">the location of </w:t>
      </w:r>
      <w:r>
        <w:t>geographic places and certain equipment</w:t>
      </w:r>
      <w:r w:rsidR="005A46B8">
        <w:t>.  It also</w:t>
      </w:r>
      <w:r w:rsidR="00786449">
        <w:t xml:space="preserve"> </w:t>
      </w:r>
      <w:r w:rsidR="00AB1C1D">
        <w:t xml:space="preserve">contains historical data on interconnection points as reported by the service providers. </w:t>
      </w:r>
      <w:r>
        <w:t xml:space="preserve"> </w:t>
      </w:r>
      <w:r w:rsidRPr="00212F64">
        <w:rPr>
          <w:i/>
        </w:rPr>
        <w:t>Competitive Providers</w:t>
      </w:r>
      <w:r>
        <w:t xml:space="preserve"> can </w:t>
      </w:r>
      <w:r w:rsidR="00473659">
        <w:t xml:space="preserve">therefore </w:t>
      </w:r>
      <w:r>
        <w:t>provide the information reported to CLONES without affecting the analysis</w:t>
      </w:r>
      <w:r w:rsidR="005B0909">
        <w:t xml:space="preserve"> provided they certify </w:t>
      </w:r>
      <w:r w:rsidR="00EB72B0">
        <w:t xml:space="preserve">to the best of their knowledge that </w:t>
      </w:r>
      <w:r w:rsidR="005B0909">
        <w:t>the data accurately reflect their interconnecting points and “live” dates</w:t>
      </w:r>
      <w:r>
        <w:t>.</w:t>
      </w:r>
      <w:r>
        <w:rPr>
          <w:rStyle w:val="FootnoteReference"/>
        </w:rPr>
        <w:footnoteReference w:id="111"/>
      </w:r>
      <w:r>
        <w:t xml:space="preserve"> </w:t>
      </w:r>
    </w:p>
    <w:p w:rsidR="00B26BA4" w:rsidRDefault="00EB0ABE" w:rsidP="0094478D">
      <w:pPr>
        <w:pStyle w:val="ParaNum"/>
        <w:widowControl/>
      </w:pPr>
      <w:r>
        <w:t xml:space="preserve"> </w:t>
      </w:r>
      <w:r w:rsidR="0024753A" w:rsidDel="0024753A">
        <w:t xml:space="preserve"> </w:t>
      </w:r>
      <w:r w:rsidR="00B26BA4">
        <w:t xml:space="preserve">As for the location accuracy level for those </w:t>
      </w:r>
      <w:r w:rsidR="00B26BA4" w:rsidRPr="0024753A">
        <w:rPr>
          <w:i/>
        </w:rPr>
        <w:t>Nodes</w:t>
      </w:r>
      <w:r w:rsidR="00B26BA4">
        <w:t xml:space="preserve"> identified, the Commission needs to know the neighborhood of the interconnection point.  Clarifying the accuracy level for </w:t>
      </w:r>
      <w:r w:rsidR="00B26BA4" w:rsidRPr="0024753A">
        <w:rPr>
          <w:i/>
        </w:rPr>
        <w:t>Nodes</w:t>
      </w:r>
      <w:r w:rsidR="00B26BA4">
        <w:t xml:space="preserve"> to the nearest </w:t>
      </w:r>
      <w:r w:rsidR="00B26BA4" w:rsidRPr="0024753A">
        <w:rPr>
          <w:rFonts w:cs="TimesNewRoman"/>
          <w:color w:val="010101"/>
          <w:szCs w:val="22"/>
        </w:rPr>
        <w:t xml:space="preserve">±0.0005 </w:t>
      </w:r>
      <w:r w:rsidR="00066D53" w:rsidRPr="0024753A">
        <w:rPr>
          <w:rFonts w:cs="TimesNewRoman"/>
          <w:color w:val="010101"/>
          <w:szCs w:val="22"/>
        </w:rPr>
        <w:t xml:space="preserve">decimal degrees </w:t>
      </w:r>
      <w:r w:rsidR="00B26BA4">
        <w:t xml:space="preserve">accomplishes this.  In addition, </w:t>
      </w:r>
      <w:r w:rsidR="004A3887">
        <w:t>reporting the</w:t>
      </w:r>
      <w:r w:rsidR="00FC6725">
        <w:t xml:space="preserve"> </w:t>
      </w:r>
      <w:r w:rsidR="004A3887">
        <w:t xml:space="preserve">year a </w:t>
      </w:r>
      <w:r w:rsidR="00FC6725" w:rsidRPr="0024753A">
        <w:rPr>
          <w:i/>
        </w:rPr>
        <w:t>Node</w:t>
      </w:r>
      <w:r w:rsidR="00FC6725">
        <w:t xml:space="preserve"> went “live” going as far back as 1995</w:t>
      </w:r>
      <w:r w:rsidR="004A3887">
        <w:t xml:space="preserve"> will help the Commission understand decisions to deploy facilities to meet the demand for </w:t>
      </w:r>
      <w:r w:rsidR="004A3887" w:rsidRPr="0024753A">
        <w:rPr>
          <w:i/>
        </w:rPr>
        <w:t>Dedicated Service</w:t>
      </w:r>
      <w:r w:rsidR="00FC6725">
        <w:t xml:space="preserve">.  </w:t>
      </w:r>
      <w:r w:rsidR="004A3887">
        <w:t xml:space="preserve">After 1995, significant competitive entry and merger activity occurred following the enactment of the </w:t>
      </w:r>
      <w:r w:rsidR="00FC6725">
        <w:t>Telecommunications Act of 1996.</w:t>
      </w:r>
      <w:r w:rsidR="00FC6725">
        <w:rPr>
          <w:rStyle w:val="FootnoteReference"/>
        </w:rPr>
        <w:footnoteReference w:id="112"/>
      </w:r>
      <w:r w:rsidR="00FC6725">
        <w:t xml:space="preserve">  </w:t>
      </w:r>
      <w:r w:rsidR="004A3887">
        <w:t xml:space="preserve">This timeframe </w:t>
      </w:r>
      <w:r w:rsidR="00C662AD">
        <w:t xml:space="preserve">will capture that activity along with those </w:t>
      </w:r>
      <w:r w:rsidR="004A3887">
        <w:t xml:space="preserve">headends </w:t>
      </w:r>
      <w:r w:rsidR="00C662AD">
        <w:t xml:space="preserve">recently </w:t>
      </w:r>
      <w:r w:rsidR="004A3887">
        <w:t>upgraded by cable operators to provide Metro Ethernet (or its equivalent) service.</w:t>
      </w:r>
      <w:r w:rsidR="004A3887">
        <w:rPr>
          <w:rStyle w:val="FootnoteReference"/>
        </w:rPr>
        <w:footnoteReference w:id="113"/>
      </w:r>
      <w:r w:rsidR="008A7091">
        <w:t xml:space="preserve">  </w:t>
      </w:r>
      <w:r w:rsidR="004A3887">
        <w:t>Accordingly, we will not adversely affect the Commission’s analysis by</w:t>
      </w:r>
      <w:r w:rsidR="00FC6725">
        <w:t xml:space="preserve"> allow</w:t>
      </w:r>
      <w:r w:rsidR="004A3887">
        <w:t>ing</w:t>
      </w:r>
      <w:r w:rsidR="00FC6725">
        <w:t xml:space="preserve"> respondents to only report “live” dates prior to 1995 if available.</w:t>
      </w:r>
    </w:p>
    <w:p w:rsidR="0069309E" w:rsidRDefault="007A2CD5" w:rsidP="000350FC">
      <w:pPr>
        <w:pStyle w:val="ParaNum"/>
      </w:pPr>
      <w:r>
        <w:t>T</w:t>
      </w:r>
      <w:r w:rsidR="00F05E02">
        <w:t>h</w:t>
      </w:r>
      <w:r w:rsidR="00473659">
        <w:t xml:space="preserve">ese clarifications will </w:t>
      </w:r>
      <w:r w:rsidR="00F05E02">
        <w:t xml:space="preserve">ease the </w:t>
      </w:r>
      <w:r w:rsidR="00473659">
        <w:t xml:space="preserve">reporting </w:t>
      </w:r>
      <w:r w:rsidR="00F05E02">
        <w:t xml:space="preserve">burden </w:t>
      </w:r>
      <w:r w:rsidR="00AB1C1D">
        <w:t xml:space="preserve">for </w:t>
      </w:r>
      <w:r w:rsidR="00AB1C1D" w:rsidRPr="00E62258">
        <w:rPr>
          <w:i/>
        </w:rPr>
        <w:t>Competitive Providers</w:t>
      </w:r>
      <w:r>
        <w:rPr>
          <w:i/>
        </w:rPr>
        <w:t xml:space="preserve"> </w:t>
      </w:r>
      <w:r>
        <w:t>while ensuring that the Commission has sufficient data for its analysis</w:t>
      </w:r>
      <w:r w:rsidR="00AB1C1D">
        <w:t xml:space="preserve">.  </w:t>
      </w:r>
      <w:r w:rsidR="00576CE8">
        <w:t>E</w:t>
      </w:r>
      <w:r w:rsidR="00AB1C1D">
        <w:t xml:space="preserve">ntities do not always retain historical data on interconnection points, </w:t>
      </w:r>
      <w:r w:rsidR="00C662AD">
        <w:t xml:space="preserve">so allowing for the submission of </w:t>
      </w:r>
      <w:r w:rsidR="00AB1C1D">
        <w:t>CLONES data</w:t>
      </w:r>
      <w:r w:rsidR="00C662AD">
        <w:t xml:space="preserve"> and for the reporting of “live” dates prior to 1995 only if available</w:t>
      </w:r>
      <w:r w:rsidR="00AB1C1D">
        <w:t xml:space="preserve"> </w:t>
      </w:r>
      <w:r w:rsidR="00C662AD">
        <w:t>will</w:t>
      </w:r>
      <w:r w:rsidR="00AB1C1D">
        <w:t xml:space="preserve"> ease the burden </w:t>
      </w:r>
      <w:r w:rsidR="00F42FE2">
        <w:t>on</w:t>
      </w:r>
      <w:r w:rsidR="00C662AD">
        <w:t xml:space="preserve"> these respondents</w:t>
      </w:r>
      <w:r w:rsidR="00AB1C1D">
        <w:t xml:space="preserve">.  </w:t>
      </w:r>
      <w:r w:rsidR="00576CE8">
        <w:t>T</w:t>
      </w:r>
      <w:r w:rsidR="00AB1C1D">
        <w:t xml:space="preserve">hese clarifications will </w:t>
      </w:r>
      <w:r w:rsidR="00576CE8">
        <w:t xml:space="preserve">also </w:t>
      </w:r>
      <w:r w:rsidR="00AB1C1D">
        <w:t xml:space="preserve">reduce, or completely eliminate, the need to </w:t>
      </w:r>
      <w:r w:rsidR="00F05E02">
        <w:t xml:space="preserve">conduct </w:t>
      </w:r>
      <w:r w:rsidR="00316DB1">
        <w:t xml:space="preserve">walkouts or </w:t>
      </w:r>
      <w:r w:rsidR="00F05E02">
        <w:t>surveys at the street or manhole level</w:t>
      </w:r>
      <w:r w:rsidR="00CB7918">
        <w:t>.</w:t>
      </w:r>
      <w:r w:rsidR="00806C06">
        <w:t xml:space="preserve">  </w:t>
      </w:r>
    </w:p>
    <w:p w:rsidR="004D3366" w:rsidRPr="004D3366" w:rsidRDefault="004D3366" w:rsidP="007B77C1">
      <w:pPr>
        <w:pStyle w:val="Heading3"/>
      </w:pPr>
      <w:bookmarkStart w:id="38" w:name="_Toc360529175"/>
      <w:bookmarkStart w:id="39" w:name="_Toc360539490"/>
      <w:bookmarkStart w:id="40" w:name="_Toc360539649"/>
      <w:r w:rsidRPr="00850783">
        <w:t>Billing Information</w:t>
      </w:r>
      <w:bookmarkEnd w:id="38"/>
      <w:bookmarkEnd w:id="39"/>
      <w:bookmarkEnd w:id="40"/>
    </w:p>
    <w:p w:rsidR="001D08B5" w:rsidRDefault="00C91AC2" w:rsidP="00A131AC">
      <w:pPr>
        <w:pStyle w:val="ParaNum"/>
      </w:pPr>
      <w:r>
        <w:t xml:space="preserve">The collection contains a section of questions asking for data on the </w:t>
      </w:r>
      <w:r w:rsidR="00E95468" w:rsidRPr="00850783">
        <w:rPr>
          <w:i/>
        </w:rPr>
        <w:t>D</w:t>
      </w:r>
      <w:r w:rsidRPr="00850783">
        <w:rPr>
          <w:i/>
        </w:rPr>
        <w:t xml:space="preserve">edicated </w:t>
      </w:r>
      <w:r w:rsidR="00E95468" w:rsidRPr="00850783">
        <w:rPr>
          <w:i/>
        </w:rPr>
        <w:t>S</w:t>
      </w:r>
      <w:r w:rsidRPr="00850783">
        <w:rPr>
          <w:i/>
        </w:rPr>
        <w:t>ervices</w:t>
      </w:r>
      <w:r>
        <w:t xml:space="preserve"> billed </w:t>
      </w:r>
      <w:r w:rsidR="001D08B5">
        <w:t xml:space="preserve">to customers </w:t>
      </w:r>
      <w:r w:rsidR="00D569BB">
        <w:t xml:space="preserve">by </w:t>
      </w:r>
      <w:r w:rsidR="00D569BB" w:rsidRPr="00D569BB">
        <w:rPr>
          <w:i/>
        </w:rPr>
        <w:t>Competitive P</w:t>
      </w:r>
      <w:r w:rsidRPr="00D569BB">
        <w:rPr>
          <w:i/>
        </w:rPr>
        <w:t>roviders</w:t>
      </w:r>
      <w:r>
        <w:t xml:space="preserve"> and </w:t>
      </w:r>
      <w:r w:rsidRPr="00D569BB">
        <w:rPr>
          <w:i/>
        </w:rPr>
        <w:t>ILECs</w:t>
      </w:r>
      <w:r>
        <w:t>.</w:t>
      </w:r>
      <w:r>
        <w:rPr>
          <w:rStyle w:val="FootnoteReference"/>
        </w:rPr>
        <w:footnoteReference w:id="114"/>
      </w:r>
      <w:r>
        <w:t xml:space="preserve">  The billing section consists of three interrelated questions:  (1) report</w:t>
      </w:r>
      <w:r w:rsidR="007957BA">
        <w:t>ing monthly billing information, billed at the level of the rate element</w:t>
      </w:r>
      <w:r w:rsidR="001D08B5">
        <w:t>,</w:t>
      </w:r>
      <w:r w:rsidR="007957BA">
        <w:t xml:space="preserve"> but tied to </w:t>
      </w:r>
      <w:r>
        <w:t>the circuit;</w:t>
      </w:r>
      <w:r w:rsidR="009462EA">
        <w:rPr>
          <w:rStyle w:val="FootnoteReference"/>
        </w:rPr>
        <w:footnoteReference w:id="115"/>
      </w:r>
      <w:r>
        <w:t xml:space="preserve"> (2) identifying adjustment codes; and (3) identifying billing codes.</w:t>
      </w:r>
      <w:r>
        <w:rPr>
          <w:rStyle w:val="FootnoteReference"/>
        </w:rPr>
        <w:footnoteReference w:id="116"/>
      </w:r>
      <w:r>
        <w:t xml:space="preserve">  In addition to</w:t>
      </w:r>
      <w:r w:rsidR="001D08B5">
        <w:t xml:space="preserve"> making minor</w:t>
      </w:r>
      <w:r>
        <w:t xml:space="preserve"> </w:t>
      </w:r>
      <w:r w:rsidR="001D08B5">
        <w:t xml:space="preserve">revisions to </w:t>
      </w:r>
      <w:r>
        <w:t xml:space="preserve">the billing questions – </w:t>
      </w:r>
      <w:r w:rsidR="001D08B5">
        <w:t>discussed</w:t>
      </w:r>
      <w:r>
        <w:t xml:space="preserve"> in Section </w:t>
      </w:r>
      <w:r w:rsidR="00E95468">
        <w:t>III.</w:t>
      </w:r>
      <w:r w:rsidR="00E742BB">
        <w:t>C</w:t>
      </w:r>
      <w:r>
        <w:t xml:space="preserve"> </w:t>
      </w:r>
      <w:r w:rsidR="00E742BB">
        <w:t>below</w:t>
      </w:r>
      <w:r w:rsidR="001D08B5">
        <w:t xml:space="preserve">, the instructions contain a detailed </w:t>
      </w:r>
      <w:r>
        <w:t xml:space="preserve">breakdown of how to interpret and respond to each </w:t>
      </w:r>
      <w:r w:rsidR="004A3EA7">
        <w:t xml:space="preserve">required </w:t>
      </w:r>
      <w:r>
        <w:t xml:space="preserve">data field </w:t>
      </w:r>
      <w:r w:rsidR="004A3EA7">
        <w:t>for</w:t>
      </w:r>
      <w:r>
        <w:t xml:space="preserve"> these questions.  The instructions address many of the </w:t>
      </w:r>
      <w:r w:rsidR="001D08B5">
        <w:t xml:space="preserve">requests for clarification </w:t>
      </w:r>
      <w:r>
        <w:t xml:space="preserve">on what is required.   For example, </w:t>
      </w:r>
      <w:r w:rsidR="00F00D8E">
        <w:t xml:space="preserve">some </w:t>
      </w:r>
      <w:r>
        <w:t>parties interpreted the ILEC-centric diagram of billed circuit elements contained in Question II.A.14 as a mandatory method of assigning billing codes.</w:t>
      </w:r>
      <w:r>
        <w:rPr>
          <w:rStyle w:val="FootnoteReference"/>
        </w:rPr>
        <w:footnoteReference w:id="117"/>
      </w:r>
      <w:r>
        <w:t xml:space="preserve">  As clarified in the instructions, the</w:t>
      </w:r>
      <w:r w:rsidR="00315FB5">
        <w:t>re</w:t>
      </w:r>
      <w:r>
        <w:t xml:space="preserve"> are </w:t>
      </w:r>
      <w:r w:rsidR="00315FB5">
        <w:t>two</w:t>
      </w:r>
      <w:r>
        <w:t xml:space="preserve"> option</w:t>
      </w:r>
      <w:r w:rsidR="00315FB5">
        <w:t>s</w:t>
      </w:r>
      <w:r>
        <w:t xml:space="preserve"> for </w:t>
      </w:r>
      <w:r w:rsidR="00315FB5">
        <w:t xml:space="preserve">describing </w:t>
      </w:r>
      <w:r>
        <w:t xml:space="preserve">billing codes for circuit elements.  </w:t>
      </w:r>
      <w:r w:rsidR="00315FB5">
        <w:t xml:space="preserve">A filer can either use the diagram and descriptions </w:t>
      </w:r>
      <w:r w:rsidR="001D08B5">
        <w:t xml:space="preserve">provided </w:t>
      </w:r>
      <w:r w:rsidR="00315FB5">
        <w:t>to describe the billed circuit element or cr</w:t>
      </w:r>
      <w:r w:rsidR="001D08B5">
        <w:t>eate</w:t>
      </w:r>
      <w:r w:rsidR="00315FB5">
        <w:t xml:space="preserve"> its own descriptions for the billed elements</w:t>
      </w:r>
      <w:r>
        <w:t xml:space="preserve">, </w:t>
      </w:r>
      <w:r w:rsidRPr="00F45299">
        <w:rPr>
          <w:i/>
        </w:rPr>
        <w:t>e.g.</w:t>
      </w:r>
      <w:r>
        <w:t>, a party could assign a billing code to a circuit element described as “</w:t>
      </w:r>
      <w:r w:rsidR="001D08B5">
        <w:t xml:space="preserve">private line </w:t>
      </w:r>
      <w:r>
        <w:t>end-to-end service.”</w:t>
      </w:r>
      <w:r w:rsidR="00315FB5">
        <w:rPr>
          <w:rStyle w:val="FootnoteReference"/>
        </w:rPr>
        <w:footnoteReference w:id="118"/>
      </w:r>
      <w:r>
        <w:t xml:space="preserve">  Parties also questioned whether they can use </w:t>
      </w:r>
      <w:r w:rsidRPr="00063B73">
        <w:rPr>
          <w:szCs w:val="22"/>
        </w:rPr>
        <w:t>Uniform Service Order Codes</w:t>
      </w:r>
      <w:r>
        <w:t xml:space="preserve"> (USOCs) for their unique billing code IDs.</w:t>
      </w:r>
      <w:r>
        <w:rPr>
          <w:rStyle w:val="FootnoteReference"/>
        </w:rPr>
        <w:footnoteReference w:id="119"/>
      </w:r>
      <w:r>
        <w:t xml:space="preserve">  The instructions </w:t>
      </w:r>
      <w:r w:rsidR="00315FB5">
        <w:t>clarify</w:t>
      </w:r>
      <w:r>
        <w:t xml:space="preserve"> that providers can use any unique billing code</w:t>
      </w:r>
      <w:r w:rsidR="001D08B5">
        <w:t>,</w:t>
      </w:r>
      <w:r>
        <w:t xml:space="preserve"> including USOCs.</w:t>
      </w:r>
      <w:r>
        <w:rPr>
          <w:rStyle w:val="FootnoteReference"/>
        </w:rPr>
        <w:footnoteReference w:id="120"/>
      </w:r>
      <w:r>
        <w:t xml:space="preserve">  These and other clarifications are </w:t>
      </w:r>
      <w:r w:rsidR="00315FB5">
        <w:t>provided</w:t>
      </w:r>
      <w:r>
        <w:t xml:space="preserve"> in the instructions. </w:t>
      </w:r>
    </w:p>
    <w:p w:rsidR="004D3366" w:rsidRPr="004D3366" w:rsidRDefault="004D3366" w:rsidP="007B77C1">
      <w:pPr>
        <w:pStyle w:val="Heading3"/>
      </w:pPr>
      <w:bookmarkStart w:id="41" w:name="_Toc360529176"/>
      <w:bookmarkStart w:id="42" w:name="_Toc360539491"/>
      <w:bookmarkStart w:id="43" w:name="_Toc360539650"/>
      <w:r w:rsidRPr="00850783">
        <w:t>Headquarters Information</w:t>
      </w:r>
      <w:bookmarkEnd w:id="41"/>
      <w:bookmarkEnd w:id="42"/>
      <w:bookmarkEnd w:id="43"/>
    </w:p>
    <w:p w:rsidR="002359A4" w:rsidRDefault="00D569BB" w:rsidP="006B7864">
      <w:pPr>
        <w:pStyle w:val="ParaNum"/>
        <w:widowControl/>
      </w:pPr>
      <w:r>
        <w:t xml:space="preserve">Question II.A.9 asks </w:t>
      </w:r>
      <w:r w:rsidRPr="00D569BB">
        <w:rPr>
          <w:i/>
        </w:rPr>
        <w:t>Competitive P</w:t>
      </w:r>
      <w:r w:rsidR="00BC07C3" w:rsidRPr="00D569BB">
        <w:rPr>
          <w:i/>
        </w:rPr>
        <w:t>roviders</w:t>
      </w:r>
      <w:r w:rsidR="00BC07C3">
        <w:t xml:space="preserve"> to report the location</w:t>
      </w:r>
      <w:r w:rsidR="00920276">
        <w:t>s</w:t>
      </w:r>
      <w:r w:rsidR="00BC07C3">
        <w:t xml:space="preserve"> of their U.S. headquarters and the headquarters </w:t>
      </w:r>
      <w:r w:rsidR="001B788D">
        <w:t>of</w:t>
      </w:r>
      <w:r w:rsidR="00BC07C3">
        <w:t xml:space="preserve"> certain affiliates, going as far back as 1995.</w:t>
      </w:r>
      <w:r w:rsidR="00BC07C3">
        <w:rPr>
          <w:rStyle w:val="FootnoteReference"/>
        </w:rPr>
        <w:footnoteReference w:id="121"/>
      </w:r>
      <w:r w:rsidR="00C91AC2">
        <w:t xml:space="preserve">  </w:t>
      </w:r>
      <w:r w:rsidR="00424064">
        <w:t xml:space="preserve">NCTA </w:t>
      </w:r>
      <w:r w:rsidR="008E1623">
        <w:t xml:space="preserve">questions the need for this information and asks the Commission </w:t>
      </w:r>
      <w:r w:rsidR="006F749B">
        <w:t xml:space="preserve">to </w:t>
      </w:r>
      <w:r w:rsidR="008E1623">
        <w:t>eliminate this requirement or limit the years covered to 2010 and 2012.</w:t>
      </w:r>
      <w:r w:rsidR="00375333">
        <w:rPr>
          <w:rStyle w:val="FootnoteReference"/>
        </w:rPr>
        <w:footnoteReference w:id="122"/>
      </w:r>
      <w:r w:rsidR="008E1623">
        <w:t xml:space="preserve">  </w:t>
      </w:r>
    </w:p>
    <w:p w:rsidR="002B411F" w:rsidRDefault="00C662AD" w:rsidP="004A081E">
      <w:pPr>
        <w:pStyle w:val="ParaNum"/>
      </w:pPr>
      <w:r>
        <w:t>Like the data sought on interconnection points, t</w:t>
      </w:r>
      <w:r w:rsidR="000A78FA">
        <w:t xml:space="preserve">he purpose of this question is to assess </w:t>
      </w:r>
      <w:r w:rsidR="002D7D30">
        <w:t>certain</w:t>
      </w:r>
      <w:r w:rsidR="002F5988">
        <w:t xml:space="preserve"> </w:t>
      </w:r>
      <w:r w:rsidR="0015417B">
        <w:t xml:space="preserve">non-price </w:t>
      </w:r>
      <w:r w:rsidR="002F5988">
        <w:t xml:space="preserve">factors </w:t>
      </w:r>
      <w:r w:rsidR="002D7D30">
        <w:t xml:space="preserve">that </w:t>
      </w:r>
      <w:r w:rsidR="002F5988">
        <w:t xml:space="preserve">may </w:t>
      </w:r>
      <w:r w:rsidR="002D7D30">
        <w:t>be relevant to</w:t>
      </w:r>
      <w:r w:rsidR="002F5988">
        <w:t xml:space="preserve"> where </w:t>
      </w:r>
      <w:r w:rsidR="002F5988">
        <w:rPr>
          <w:i/>
        </w:rPr>
        <w:t xml:space="preserve">Competitive Providers </w:t>
      </w:r>
      <w:r w:rsidR="002F5988">
        <w:t>build or expand their network.</w:t>
      </w:r>
      <w:r>
        <w:rPr>
          <w:rStyle w:val="FootnoteReference"/>
        </w:rPr>
        <w:footnoteReference w:id="123"/>
      </w:r>
      <w:r w:rsidR="002F5988">
        <w:t xml:space="preserve">  </w:t>
      </w:r>
      <w:r w:rsidR="000A78FA">
        <w:t>The question asks for the location</w:t>
      </w:r>
      <w:r w:rsidR="00920276">
        <w:t>s</w:t>
      </w:r>
      <w:r w:rsidR="000A78FA">
        <w:t xml:space="preserve"> of a </w:t>
      </w:r>
      <w:r w:rsidR="000A78FA" w:rsidRPr="00850783">
        <w:rPr>
          <w:i/>
        </w:rPr>
        <w:t>Competitive Provider</w:t>
      </w:r>
      <w:r w:rsidR="000A78FA" w:rsidRPr="00E00718">
        <w:t>’s</w:t>
      </w:r>
      <w:r w:rsidR="000A78FA">
        <w:t xml:space="preserve"> current and prior U.S. headquarters</w:t>
      </w:r>
      <w:r w:rsidR="003D2D65">
        <w:t>, going as far back as 1995</w:t>
      </w:r>
      <w:r w:rsidR="000A78FA">
        <w:t xml:space="preserve">.  In addition, </w:t>
      </w:r>
      <w:r w:rsidR="000A78FA" w:rsidRPr="00850783">
        <w:rPr>
          <w:i/>
        </w:rPr>
        <w:t>Competitive Providers</w:t>
      </w:r>
      <w:r w:rsidR="000A78FA">
        <w:t xml:space="preserve"> must identify the headquarters of </w:t>
      </w:r>
      <w:r w:rsidR="00FA2DBC">
        <w:t xml:space="preserve">affiliated entities and </w:t>
      </w:r>
      <w:r w:rsidR="000A78FA">
        <w:t>entities acquired through merger that no longer exist</w:t>
      </w:r>
      <w:r w:rsidR="000A78FA">
        <w:rPr>
          <w:rStyle w:val="FootnoteReference"/>
        </w:rPr>
        <w:footnoteReference w:id="124"/>
      </w:r>
      <w:r w:rsidR="000A78FA">
        <w:t xml:space="preserve"> </w:t>
      </w:r>
      <w:r w:rsidR="003D2D65">
        <w:t xml:space="preserve">if the </w:t>
      </w:r>
      <w:r w:rsidR="00FA2DBC">
        <w:t xml:space="preserve">affiliated or </w:t>
      </w:r>
      <w:r w:rsidR="003D2D65">
        <w:t xml:space="preserve">acquired entity </w:t>
      </w:r>
      <w:r w:rsidR="000A78FA">
        <w:t>own</w:t>
      </w:r>
      <w:r w:rsidR="003D2D65">
        <w:t>ed</w:t>
      </w:r>
      <w:r w:rsidR="000A78FA">
        <w:t xml:space="preserve"> (or lease</w:t>
      </w:r>
      <w:r w:rsidR="003D2D65">
        <w:t>d</w:t>
      </w:r>
      <w:r w:rsidR="000A78FA">
        <w:t xml:space="preserve"> under an </w:t>
      </w:r>
      <w:r w:rsidR="000A78FA" w:rsidRPr="00850783">
        <w:rPr>
          <w:i/>
        </w:rPr>
        <w:t>IRU</w:t>
      </w:r>
      <w:r w:rsidR="000A78FA">
        <w:t xml:space="preserve"> agreement) </w:t>
      </w:r>
      <w:r w:rsidR="003D2D65" w:rsidRPr="00850783">
        <w:rPr>
          <w:i/>
        </w:rPr>
        <w:t>Connections</w:t>
      </w:r>
      <w:r w:rsidR="003D2D65">
        <w:t xml:space="preserve"> to five or more </w:t>
      </w:r>
      <w:r w:rsidR="003D2D65" w:rsidRPr="00850783">
        <w:rPr>
          <w:i/>
        </w:rPr>
        <w:t>Locations</w:t>
      </w:r>
      <w:r w:rsidR="003D2D65">
        <w:t xml:space="preserve"> in a given </w:t>
      </w:r>
      <w:r w:rsidR="003D2D65" w:rsidRPr="00C63F5E">
        <w:rPr>
          <w:i/>
        </w:rPr>
        <w:t>MSA</w:t>
      </w:r>
      <w:r w:rsidR="003D2D65">
        <w:t xml:space="preserve"> </w:t>
      </w:r>
      <w:r w:rsidR="000A78FA">
        <w:t>at the time of affiliation</w:t>
      </w:r>
      <w:r w:rsidR="00FA2DBC">
        <w:t>/acquisition</w:t>
      </w:r>
      <w:r w:rsidR="003D2D65">
        <w:t>, going as far back as 1995</w:t>
      </w:r>
      <w:r w:rsidR="000A78FA">
        <w:t>.</w:t>
      </w:r>
      <w:r w:rsidR="000A78FA">
        <w:rPr>
          <w:rStyle w:val="FootnoteReference"/>
        </w:rPr>
        <w:footnoteReference w:id="125"/>
      </w:r>
      <w:r w:rsidR="000A78FA">
        <w:t xml:space="preserve">  </w:t>
      </w:r>
      <w:r w:rsidR="003D2D65">
        <w:t xml:space="preserve">We </w:t>
      </w:r>
      <w:r w:rsidR="00FC6725">
        <w:t xml:space="preserve">use </w:t>
      </w:r>
      <w:r w:rsidR="003D2D65">
        <w:t xml:space="preserve">1995 </w:t>
      </w:r>
      <w:r w:rsidR="00FC6725">
        <w:t xml:space="preserve">as the cutoff </w:t>
      </w:r>
      <w:r w:rsidR="003D2D65">
        <w:t xml:space="preserve">because significant competitive entry and merger activity </w:t>
      </w:r>
      <w:r w:rsidR="00FA2DBC">
        <w:t>occurred</w:t>
      </w:r>
      <w:r w:rsidR="00FC6725">
        <w:t xml:space="preserve"> after 1995</w:t>
      </w:r>
      <w:r w:rsidR="000A78FA">
        <w:t>.</w:t>
      </w:r>
      <w:r w:rsidR="000A78FA">
        <w:rPr>
          <w:rStyle w:val="FootnoteReference"/>
        </w:rPr>
        <w:footnoteReference w:id="126"/>
      </w:r>
      <w:r w:rsidR="000A78FA">
        <w:t xml:space="preserve">  </w:t>
      </w:r>
      <w:r w:rsidR="003D2D65">
        <w:t xml:space="preserve">The longer period </w:t>
      </w:r>
      <w:r w:rsidR="000F6395">
        <w:t xml:space="preserve">thus </w:t>
      </w:r>
      <w:r w:rsidR="003D2D65">
        <w:t>helps us understand why a competitor chose to expand its facilities in certain areas over time.</w:t>
      </w:r>
      <w:r w:rsidR="006F749B">
        <w:t xml:space="preserve"> </w:t>
      </w:r>
    </w:p>
    <w:p w:rsidR="004B030E" w:rsidRDefault="004B030E" w:rsidP="00275953">
      <w:pPr>
        <w:pStyle w:val="ParaNum"/>
        <w:widowControl/>
      </w:pPr>
      <w:r>
        <w:t>F</w:t>
      </w:r>
      <w:r w:rsidR="00947F64">
        <w:t xml:space="preserve">or certain </w:t>
      </w:r>
      <w:r w:rsidR="000443D0" w:rsidRPr="00850783">
        <w:rPr>
          <w:i/>
        </w:rPr>
        <w:t>C</w:t>
      </w:r>
      <w:r w:rsidR="00947F64" w:rsidRPr="00850783">
        <w:rPr>
          <w:i/>
        </w:rPr>
        <w:t xml:space="preserve">ompetitive </w:t>
      </w:r>
      <w:r w:rsidR="000443D0" w:rsidRPr="00850783">
        <w:rPr>
          <w:i/>
        </w:rPr>
        <w:t>P</w:t>
      </w:r>
      <w:r w:rsidR="00947F64" w:rsidRPr="00850783">
        <w:rPr>
          <w:i/>
        </w:rPr>
        <w:t>roviders</w:t>
      </w:r>
      <w:r w:rsidR="00947F64">
        <w:t xml:space="preserve">, namely cable system operators, the decision </w:t>
      </w:r>
      <w:r w:rsidR="006F749B">
        <w:t xml:space="preserve">of where </w:t>
      </w:r>
      <w:r w:rsidR="00947F64">
        <w:t xml:space="preserve">to deploy </w:t>
      </w:r>
      <w:r w:rsidR="009E6ACC" w:rsidRPr="009E6ACC">
        <w:rPr>
          <w:i/>
        </w:rPr>
        <w:t>Dedicated Service</w:t>
      </w:r>
      <w:r w:rsidR="009E6ACC">
        <w:t xml:space="preserve"> </w:t>
      </w:r>
      <w:r w:rsidR="00947F64">
        <w:t xml:space="preserve">facilities is </w:t>
      </w:r>
      <w:r w:rsidR="009E6ACC">
        <w:t xml:space="preserve">significantly influenced </w:t>
      </w:r>
      <w:r w:rsidR="00D26D9E">
        <w:t xml:space="preserve">by the </w:t>
      </w:r>
      <w:r w:rsidR="00947F64">
        <w:t>FAs awarded to the cable operator</w:t>
      </w:r>
      <w:r w:rsidR="009E6ACC">
        <w:t>, which are often unrelated to the location of its headquarters</w:t>
      </w:r>
      <w:r w:rsidR="00947F64">
        <w:t xml:space="preserve">.  For example, the headquarters for Cox, the </w:t>
      </w:r>
      <w:r w:rsidR="006F749B">
        <w:t xml:space="preserve">third </w:t>
      </w:r>
      <w:r w:rsidR="00947F64">
        <w:t xml:space="preserve">largest cable </w:t>
      </w:r>
      <w:r w:rsidR="006F749B">
        <w:t>provider</w:t>
      </w:r>
      <w:r w:rsidR="00947F64">
        <w:t xml:space="preserve"> in the United States, is located in Atlanta but </w:t>
      </w:r>
      <w:r w:rsidR="006F749B">
        <w:t>Cox</w:t>
      </w:r>
      <w:r w:rsidR="00947F64">
        <w:t xml:space="preserve"> has no cable network in that metropolitan area.</w:t>
      </w:r>
      <w:r w:rsidR="006F749B">
        <w:rPr>
          <w:rStyle w:val="FootnoteReference"/>
        </w:rPr>
        <w:footnoteReference w:id="127"/>
      </w:r>
      <w:r w:rsidR="00947F64">
        <w:t xml:space="preserve">  </w:t>
      </w:r>
      <w:r w:rsidR="000443D0">
        <w:t xml:space="preserve">In addition, cable </w:t>
      </w:r>
      <w:r w:rsidR="00EF394B">
        <w:t>operators</w:t>
      </w:r>
      <w:r w:rsidR="000443D0">
        <w:t xml:space="preserve"> have only </w:t>
      </w:r>
      <w:r w:rsidR="008F0554">
        <w:t xml:space="preserve">recently upgraded systems in their FAs to provide </w:t>
      </w:r>
      <w:r w:rsidR="008F0554" w:rsidRPr="00E62258">
        <w:rPr>
          <w:i/>
        </w:rPr>
        <w:t>Dedicated Service</w:t>
      </w:r>
      <w:r w:rsidR="000443D0">
        <w:t xml:space="preserve">.  </w:t>
      </w:r>
      <w:r w:rsidR="002359A4">
        <w:t xml:space="preserve">With this </w:t>
      </w:r>
      <w:r w:rsidR="0039332D">
        <w:t xml:space="preserve">in </w:t>
      </w:r>
      <w:r w:rsidR="002359A4">
        <w:t xml:space="preserve">mind, we question the benefits of obtaining information on headquarters </w:t>
      </w:r>
      <w:r w:rsidR="00EF394B">
        <w:t xml:space="preserve">going as far back as 1995 </w:t>
      </w:r>
      <w:r w:rsidR="002359A4">
        <w:t xml:space="preserve">from </w:t>
      </w:r>
      <w:r w:rsidR="00947F64">
        <w:t>cable compan</w:t>
      </w:r>
      <w:r w:rsidR="002359A4">
        <w:t xml:space="preserve">ies because </w:t>
      </w:r>
      <w:r w:rsidR="00190E44">
        <w:t xml:space="preserve">while this question is not particularly burdensome, </w:t>
      </w:r>
      <w:r w:rsidR="002359A4">
        <w:t xml:space="preserve">it </w:t>
      </w:r>
      <w:r w:rsidR="00947F64">
        <w:t xml:space="preserve">is unlikely </w:t>
      </w:r>
      <w:r w:rsidR="00BC5771">
        <w:t xml:space="preserve">to help us understand why a </w:t>
      </w:r>
      <w:r w:rsidR="00947F64">
        <w:t>cable</w:t>
      </w:r>
      <w:r w:rsidR="008C6DB7">
        <w:t xml:space="preserve"> </w:t>
      </w:r>
      <w:r w:rsidR="00BC5771">
        <w:t xml:space="preserve">company </w:t>
      </w:r>
      <w:r w:rsidR="008C6DB7">
        <w:t>deploy</w:t>
      </w:r>
      <w:r w:rsidR="00190E44">
        <w:t>ed</w:t>
      </w:r>
      <w:r w:rsidR="00BC5771">
        <w:t xml:space="preserve"> facilities </w:t>
      </w:r>
      <w:r w:rsidR="008F0554">
        <w:t xml:space="preserve">in an area to provide </w:t>
      </w:r>
      <w:r w:rsidR="008F0554" w:rsidRPr="00E62258">
        <w:rPr>
          <w:i/>
        </w:rPr>
        <w:t>Dedicated Service</w:t>
      </w:r>
      <w:r w:rsidR="00947F64">
        <w:t xml:space="preserve">.  </w:t>
      </w:r>
      <w:r w:rsidR="00190E44">
        <w:t>W</w:t>
      </w:r>
      <w:r w:rsidR="00BD6C08">
        <w:t xml:space="preserve">e will </w:t>
      </w:r>
      <w:r w:rsidR="00190E44">
        <w:t xml:space="preserve">therefore </w:t>
      </w:r>
      <w:r w:rsidR="00BC5771">
        <w:t>allow</w:t>
      </w:r>
      <w:r w:rsidR="00947F64">
        <w:t xml:space="preserve"> cable operators to respon</w:t>
      </w:r>
      <w:r w:rsidR="00BC5771">
        <w:t>d</w:t>
      </w:r>
      <w:r w:rsidR="00947F64">
        <w:t xml:space="preserve"> to this question </w:t>
      </w:r>
      <w:r w:rsidR="00BC5771">
        <w:t xml:space="preserve">by indicating </w:t>
      </w:r>
      <w:r w:rsidR="00947F64">
        <w:t>“Not Applicable.”</w:t>
      </w:r>
      <w:r w:rsidR="002359A4">
        <w:rPr>
          <w:rStyle w:val="FootnoteReference"/>
        </w:rPr>
        <w:footnoteReference w:id="128"/>
      </w:r>
      <w:r w:rsidR="00947F64">
        <w:t xml:space="preserve">  </w:t>
      </w:r>
    </w:p>
    <w:p w:rsidR="007535CE" w:rsidRDefault="00C90D79" w:rsidP="000A13DE">
      <w:pPr>
        <w:pStyle w:val="ParaNum"/>
      </w:pPr>
      <w:r>
        <w:t xml:space="preserve">The </w:t>
      </w:r>
      <w:r w:rsidR="00BD6C08">
        <w:t xml:space="preserve">rationale for treating cable system operators differently does not apply, however, to other </w:t>
      </w:r>
      <w:r w:rsidR="00BD6C08" w:rsidRPr="00BD6C08">
        <w:rPr>
          <w:i/>
        </w:rPr>
        <w:t>Competitive Providers</w:t>
      </w:r>
      <w:r w:rsidR="00BD6C08">
        <w:t xml:space="preserve"> who do not deploy facilities according to designated FAs.</w:t>
      </w:r>
      <w:r w:rsidR="00F03D96">
        <w:rPr>
          <w:rStyle w:val="FootnoteReference"/>
        </w:rPr>
        <w:footnoteReference w:id="129"/>
      </w:r>
      <w:r w:rsidR="00BD6C08">
        <w:t xml:space="preserve">  We therefore continue to find value and intend to collect headquarters information from non-cable </w:t>
      </w:r>
      <w:r w:rsidR="00BD6C08" w:rsidRPr="00BD6C08">
        <w:rPr>
          <w:i/>
        </w:rPr>
        <w:t>Competitive Providers</w:t>
      </w:r>
      <w:r w:rsidR="004B030E">
        <w:t xml:space="preserve"> for the analysis</w:t>
      </w:r>
      <w:r w:rsidR="00BD6C08">
        <w:t>.</w:t>
      </w:r>
      <w:r w:rsidR="00947F64">
        <w:t xml:space="preserve"> </w:t>
      </w:r>
      <w:r w:rsidR="000A205D">
        <w:t xml:space="preserve"> </w:t>
      </w:r>
      <w:r w:rsidR="00375333">
        <w:t xml:space="preserve">  </w:t>
      </w:r>
      <w:r w:rsidR="008E1623">
        <w:t xml:space="preserve"> </w:t>
      </w:r>
    </w:p>
    <w:p w:rsidR="007535CE" w:rsidRDefault="007535CE" w:rsidP="007B77C1">
      <w:pPr>
        <w:pStyle w:val="Heading3"/>
      </w:pPr>
      <w:bookmarkStart w:id="44" w:name="_Toc360529177"/>
      <w:bookmarkStart w:id="45" w:name="_Toc360539492"/>
      <w:bookmarkStart w:id="46" w:name="_Toc360539651"/>
      <w:r>
        <w:t>Certain Questions Requiring Narrative Responses from Purchasers</w:t>
      </w:r>
      <w:bookmarkEnd w:id="44"/>
      <w:bookmarkEnd w:id="45"/>
      <w:bookmarkEnd w:id="46"/>
    </w:p>
    <w:p w:rsidR="004F0D59" w:rsidRDefault="00190E44" w:rsidP="006B7864">
      <w:pPr>
        <w:pStyle w:val="ParaNum"/>
        <w:widowControl/>
      </w:pPr>
      <w:r>
        <w:t>T</w:t>
      </w:r>
      <w:r w:rsidR="006E0517">
        <w:t xml:space="preserve">he data collection </w:t>
      </w:r>
      <w:r>
        <w:t>requires</w:t>
      </w:r>
      <w:r w:rsidR="006E0517">
        <w:t xml:space="preserve"> </w:t>
      </w:r>
      <w:r w:rsidR="006E0517" w:rsidRPr="00850783">
        <w:rPr>
          <w:i/>
        </w:rPr>
        <w:t>Purchasers</w:t>
      </w:r>
      <w:r w:rsidR="006E0517">
        <w:t xml:space="preserve"> to provide a narrative response</w:t>
      </w:r>
      <w:r w:rsidR="0083676C">
        <w:t xml:space="preserve"> to certain questions</w:t>
      </w:r>
      <w:r w:rsidR="006E0517">
        <w:t xml:space="preserve">.  For example, Questions II.F.8-10 and 12 ask for information about any problems experienced with terms and conditions, switching of </w:t>
      </w:r>
      <w:r w:rsidR="006E0517" w:rsidRPr="00850783">
        <w:rPr>
          <w:i/>
        </w:rPr>
        <w:t>Providers</w:t>
      </w:r>
      <w:r w:rsidR="006E0517">
        <w:t xml:space="preserve">, or having to pay </w:t>
      </w:r>
      <w:r w:rsidR="006E0517" w:rsidRPr="00850783">
        <w:rPr>
          <w:i/>
        </w:rPr>
        <w:t>One Month Term Only Rates</w:t>
      </w:r>
      <w:r w:rsidR="006E0517">
        <w:t>.</w:t>
      </w:r>
      <w:r w:rsidR="001173BD">
        <w:rPr>
          <w:rStyle w:val="FootnoteReference"/>
        </w:rPr>
        <w:footnoteReference w:id="130"/>
      </w:r>
      <w:r w:rsidR="006E0517">
        <w:t xml:space="preserve">  </w:t>
      </w:r>
      <w:r w:rsidR="007235F5">
        <w:t xml:space="preserve">Smith Bagley </w:t>
      </w:r>
      <w:r w:rsidR="007235F5" w:rsidRPr="00850783">
        <w:rPr>
          <w:i/>
        </w:rPr>
        <w:t>et al</w:t>
      </w:r>
      <w:r w:rsidR="007235F5">
        <w:t xml:space="preserve">. objects to the mandatory submission of this “qualitative” information </w:t>
      </w:r>
      <w:r w:rsidR="004F0D59">
        <w:t xml:space="preserve">because it </w:t>
      </w:r>
      <w:r w:rsidR="007235F5">
        <w:t>is not quantitative or verifiable and asks for the voluntary submission of responses to these types of questions.</w:t>
      </w:r>
      <w:r w:rsidR="001173BD">
        <w:rPr>
          <w:rStyle w:val="FootnoteReference"/>
        </w:rPr>
        <w:footnoteReference w:id="131"/>
      </w:r>
      <w:r w:rsidR="007235F5">
        <w:t xml:space="preserve">  </w:t>
      </w:r>
    </w:p>
    <w:p w:rsidR="00C91AC2" w:rsidRPr="00C91AC2" w:rsidRDefault="001173BD" w:rsidP="00A131AC">
      <w:pPr>
        <w:pStyle w:val="ParaNum"/>
      </w:pPr>
      <w:r>
        <w:t>Q</w:t>
      </w:r>
      <w:r w:rsidR="007235F5">
        <w:t xml:space="preserve">uestions II.F.8-10 and 12 give </w:t>
      </w:r>
      <w:r w:rsidR="007235F5" w:rsidRPr="00850783">
        <w:rPr>
          <w:i/>
        </w:rPr>
        <w:t>Purchasers</w:t>
      </w:r>
      <w:r w:rsidR="007235F5">
        <w:t xml:space="preserve"> an opportunity </w:t>
      </w:r>
      <w:r>
        <w:t xml:space="preserve">to provide factual details to </w:t>
      </w:r>
      <w:r w:rsidR="007235F5">
        <w:t xml:space="preserve">highlight </w:t>
      </w:r>
      <w:r>
        <w:t xml:space="preserve">any </w:t>
      </w:r>
      <w:r w:rsidR="007235F5">
        <w:t xml:space="preserve">problems </w:t>
      </w:r>
      <w:r>
        <w:t>experienced in</w:t>
      </w:r>
      <w:r w:rsidR="007235F5">
        <w:t xml:space="preserve"> their dealings with </w:t>
      </w:r>
      <w:r w:rsidR="007235F5" w:rsidRPr="00850783">
        <w:rPr>
          <w:i/>
        </w:rPr>
        <w:t>Providers</w:t>
      </w:r>
      <w:r w:rsidR="007235F5">
        <w:t xml:space="preserve"> of </w:t>
      </w:r>
      <w:r w:rsidR="007235F5" w:rsidRPr="00850783">
        <w:rPr>
          <w:i/>
        </w:rPr>
        <w:t>Dedicated Service</w:t>
      </w:r>
      <w:r w:rsidR="007235F5">
        <w:t xml:space="preserve">.  </w:t>
      </w:r>
      <w:r>
        <w:t>The Commission plan</w:t>
      </w:r>
      <w:r w:rsidR="009C5849">
        <w:t>s</w:t>
      </w:r>
      <w:r>
        <w:t xml:space="preserve"> to use the information </w:t>
      </w:r>
      <w:r w:rsidR="009C5849">
        <w:t>t</w:t>
      </w:r>
      <w:r>
        <w:t xml:space="preserve">o help identify and document problems previously alleged by </w:t>
      </w:r>
      <w:r w:rsidRPr="00850783">
        <w:rPr>
          <w:i/>
        </w:rPr>
        <w:t>Competitive Providers</w:t>
      </w:r>
      <w:r>
        <w:t xml:space="preserve"> in this proceeding.  While these questions are </w:t>
      </w:r>
      <w:r w:rsidR="0083676C">
        <w:t xml:space="preserve">not </w:t>
      </w:r>
      <w:r>
        <w:t xml:space="preserve">particularly burdensome, and are instead an opportunity, we have clarified in the instructions that </w:t>
      </w:r>
      <w:r w:rsidR="007535CE">
        <w:rPr>
          <w:szCs w:val="22"/>
        </w:rPr>
        <w:t>i</w:t>
      </w:r>
      <w:r w:rsidR="007535CE" w:rsidRPr="00904906">
        <w:rPr>
          <w:szCs w:val="22"/>
        </w:rPr>
        <w:t xml:space="preserve">f </w:t>
      </w:r>
      <w:r w:rsidR="007535CE">
        <w:rPr>
          <w:szCs w:val="22"/>
        </w:rPr>
        <w:t xml:space="preserve">a </w:t>
      </w:r>
      <w:r w:rsidR="007535CE" w:rsidRPr="002F7EBC">
        <w:rPr>
          <w:i/>
          <w:szCs w:val="22"/>
        </w:rPr>
        <w:t>Purchaser</w:t>
      </w:r>
      <w:r w:rsidR="007535CE">
        <w:rPr>
          <w:szCs w:val="22"/>
        </w:rPr>
        <w:t xml:space="preserve"> </w:t>
      </w:r>
      <w:r w:rsidR="007535CE" w:rsidRPr="00904906">
        <w:rPr>
          <w:szCs w:val="22"/>
        </w:rPr>
        <w:t>do</w:t>
      </w:r>
      <w:r w:rsidR="007535CE">
        <w:rPr>
          <w:szCs w:val="22"/>
        </w:rPr>
        <w:t>es</w:t>
      </w:r>
      <w:r w:rsidR="007535CE" w:rsidRPr="00904906">
        <w:rPr>
          <w:szCs w:val="22"/>
        </w:rPr>
        <w:t xml:space="preserve"> not need, or want, to provide a response, </w:t>
      </w:r>
      <w:r w:rsidR="007535CE">
        <w:rPr>
          <w:i/>
          <w:szCs w:val="22"/>
        </w:rPr>
        <w:t>i</w:t>
      </w:r>
      <w:r w:rsidR="007535CE" w:rsidRPr="00904906">
        <w:rPr>
          <w:i/>
          <w:szCs w:val="22"/>
        </w:rPr>
        <w:t>.</w:t>
      </w:r>
      <w:r w:rsidR="007535CE">
        <w:rPr>
          <w:i/>
          <w:szCs w:val="22"/>
        </w:rPr>
        <w:t>e</w:t>
      </w:r>
      <w:r w:rsidR="007535CE" w:rsidRPr="00904906">
        <w:rPr>
          <w:i/>
          <w:szCs w:val="22"/>
        </w:rPr>
        <w:t>.</w:t>
      </w:r>
      <w:r w:rsidR="007535CE" w:rsidRPr="00904906">
        <w:rPr>
          <w:szCs w:val="22"/>
        </w:rPr>
        <w:t xml:space="preserve">, </w:t>
      </w:r>
      <w:r w:rsidR="007535CE">
        <w:rPr>
          <w:szCs w:val="22"/>
        </w:rPr>
        <w:t xml:space="preserve">the </w:t>
      </w:r>
      <w:r w:rsidR="007535CE" w:rsidRPr="00850783">
        <w:rPr>
          <w:i/>
          <w:szCs w:val="22"/>
        </w:rPr>
        <w:t>Purchaser</w:t>
      </w:r>
      <w:r w:rsidR="007535CE">
        <w:rPr>
          <w:szCs w:val="22"/>
        </w:rPr>
        <w:t xml:space="preserve"> is not experiencing or does not want to highlight </w:t>
      </w:r>
      <w:r w:rsidR="007535CE" w:rsidRPr="00904906">
        <w:rPr>
          <w:szCs w:val="22"/>
        </w:rPr>
        <w:t>any alleged problems</w:t>
      </w:r>
      <w:r w:rsidR="007535CE">
        <w:rPr>
          <w:szCs w:val="22"/>
        </w:rPr>
        <w:t xml:space="preserve">, </w:t>
      </w:r>
      <w:r w:rsidR="007535CE" w:rsidRPr="00904906">
        <w:rPr>
          <w:szCs w:val="22"/>
        </w:rPr>
        <w:t xml:space="preserve">then </w:t>
      </w:r>
      <w:r w:rsidR="007535CE">
        <w:rPr>
          <w:szCs w:val="22"/>
        </w:rPr>
        <w:t xml:space="preserve">the </w:t>
      </w:r>
      <w:r w:rsidR="007535CE" w:rsidRPr="00850783">
        <w:rPr>
          <w:i/>
          <w:szCs w:val="22"/>
        </w:rPr>
        <w:t>Purchaser</w:t>
      </w:r>
      <w:r w:rsidR="007535CE">
        <w:rPr>
          <w:szCs w:val="22"/>
        </w:rPr>
        <w:t xml:space="preserve"> can simply respond </w:t>
      </w:r>
      <w:r w:rsidR="009C5849">
        <w:rPr>
          <w:szCs w:val="22"/>
        </w:rPr>
        <w:t>stating as m</w:t>
      </w:r>
      <w:r>
        <w:rPr>
          <w:szCs w:val="22"/>
        </w:rPr>
        <w:t>uch.</w:t>
      </w:r>
      <w:r>
        <w:rPr>
          <w:rStyle w:val="FootnoteReference"/>
          <w:szCs w:val="22"/>
        </w:rPr>
        <w:footnoteReference w:id="132"/>
      </w:r>
      <w:r w:rsidR="007535CE">
        <w:rPr>
          <w:szCs w:val="22"/>
        </w:rPr>
        <w:t xml:space="preserve">  </w:t>
      </w:r>
      <w:r w:rsidR="007535CE">
        <w:t xml:space="preserve"> </w:t>
      </w:r>
      <w:r w:rsidR="008E1623">
        <w:t xml:space="preserve">  </w:t>
      </w:r>
      <w:r w:rsidR="00BC07C3">
        <w:t xml:space="preserve"> </w:t>
      </w:r>
    </w:p>
    <w:p w:rsidR="006E0872" w:rsidRPr="00C63420" w:rsidRDefault="006E0872" w:rsidP="007B77C1">
      <w:pPr>
        <w:pStyle w:val="Heading2"/>
      </w:pPr>
      <w:bookmarkStart w:id="47" w:name="_Toc360529178"/>
      <w:bookmarkStart w:id="48" w:name="_Toc360539493"/>
      <w:bookmarkStart w:id="49" w:name="_Toc360539652"/>
      <w:r>
        <w:t>Modifications</w:t>
      </w:r>
      <w:r w:rsidR="00DC2E07">
        <w:t xml:space="preserve"> and</w:t>
      </w:r>
      <w:r>
        <w:t xml:space="preserve"> Amendments to the Data Co</w:t>
      </w:r>
      <w:r w:rsidRPr="00252D0D">
        <w:t>llection</w:t>
      </w:r>
      <w:bookmarkEnd w:id="47"/>
      <w:bookmarkEnd w:id="48"/>
      <w:bookmarkEnd w:id="49"/>
    </w:p>
    <w:p w:rsidR="00C74A28" w:rsidRPr="00C74A28" w:rsidRDefault="00C74A28" w:rsidP="00A131AC">
      <w:pPr>
        <w:pStyle w:val="ParaNum"/>
      </w:pPr>
      <w:r>
        <w:t>The following is a list of the modifications</w:t>
      </w:r>
      <w:r w:rsidR="00DC2E07">
        <w:t xml:space="preserve"> and</w:t>
      </w:r>
      <w:r>
        <w:t xml:space="preserve"> amendments to the data collection definitions and questions based on th</w:t>
      </w:r>
      <w:r w:rsidR="00F11A76">
        <w:t>e received</w:t>
      </w:r>
      <w:r>
        <w:t xml:space="preserve"> feedback</w:t>
      </w:r>
      <w:r w:rsidR="00A34C52">
        <w:t xml:space="preserve"> and our further internal review.</w:t>
      </w:r>
      <w:r w:rsidR="00F627D4">
        <w:rPr>
          <w:rStyle w:val="FootnoteReference"/>
        </w:rPr>
        <w:footnoteReference w:id="133"/>
      </w:r>
      <w:r w:rsidR="00F80040">
        <w:t xml:space="preserve">  These changes are consistent with the terms of the </w:t>
      </w:r>
      <w:r w:rsidR="00F80040" w:rsidRPr="00F80040">
        <w:rPr>
          <w:i/>
        </w:rPr>
        <w:t>Special Access Data Collection Order</w:t>
      </w:r>
      <w:r w:rsidR="00F80040">
        <w:t>.</w:t>
      </w:r>
      <w:r w:rsidR="00F80040">
        <w:rPr>
          <w:rStyle w:val="FootnoteReference"/>
        </w:rPr>
        <w:footnoteReference w:id="134"/>
      </w:r>
      <w:r w:rsidR="00F627D4">
        <w:t xml:space="preserve">  </w:t>
      </w:r>
    </w:p>
    <w:p w:rsidR="00A27FFE" w:rsidRPr="00A27FFE" w:rsidRDefault="00A27FFE" w:rsidP="000A13DE">
      <w:pPr>
        <w:pStyle w:val="ParaNum"/>
        <w:numPr>
          <w:ilvl w:val="0"/>
          <w:numId w:val="5"/>
        </w:numPr>
        <w:ind w:left="1440" w:hanging="720"/>
      </w:pPr>
      <w:r>
        <w:rPr>
          <w:i/>
        </w:rPr>
        <w:t>Affiliated Company</w:t>
      </w:r>
      <w:r>
        <w:t xml:space="preserve">.  Definition revised to include not only affiliations with </w:t>
      </w:r>
      <w:r w:rsidR="003B4541" w:rsidRPr="003B4541">
        <w:rPr>
          <w:i/>
        </w:rPr>
        <w:t>P</w:t>
      </w:r>
      <w:r w:rsidR="004B48F3" w:rsidRPr="003B4541">
        <w:rPr>
          <w:i/>
        </w:rPr>
        <w:t>roviders</w:t>
      </w:r>
      <w:r>
        <w:t xml:space="preserve"> but also </w:t>
      </w:r>
      <w:r w:rsidR="003B4541" w:rsidRPr="003B4541">
        <w:rPr>
          <w:i/>
        </w:rPr>
        <w:t>P</w:t>
      </w:r>
      <w:r w:rsidR="004B48F3" w:rsidRPr="003B4541">
        <w:rPr>
          <w:i/>
        </w:rPr>
        <w:t>urchasers</w:t>
      </w:r>
      <w:r>
        <w:t xml:space="preserve">.  This revision will assist the Commission with internally linking information on sales and </w:t>
      </w:r>
      <w:r w:rsidR="002E4F85">
        <w:t>p</w:t>
      </w:r>
      <w:r>
        <w:t>urchases reported by filers to entities that have common ownership.</w:t>
      </w:r>
      <w:r w:rsidR="00705EEE">
        <w:t xml:space="preserve">  In addition, </w:t>
      </w:r>
      <w:r w:rsidR="007431F2">
        <w:t xml:space="preserve">we have changed the ownership interest for determining an affiliation from 25 to 10 percent.  Use of the lower percentage is consistent with the definition of affiliate used for the Form 499-A “Telecommunications Reporting Worksheet,” which is based on </w:t>
      </w:r>
      <w:r w:rsidR="00627BEE">
        <w:t xml:space="preserve">the </w:t>
      </w:r>
      <w:r w:rsidR="007431F2">
        <w:t>statutory definition of “affiliate” in Section 153(2) of the Communications Act of 1934, as amended.</w:t>
      </w:r>
      <w:r w:rsidR="007431F2">
        <w:rPr>
          <w:rStyle w:val="FootnoteReference"/>
        </w:rPr>
        <w:footnoteReference w:id="135"/>
      </w:r>
    </w:p>
    <w:p w:rsidR="000D2657" w:rsidRDefault="006E0872" w:rsidP="00EB5B97">
      <w:pPr>
        <w:pStyle w:val="ParaNum"/>
        <w:numPr>
          <w:ilvl w:val="0"/>
          <w:numId w:val="5"/>
        </w:numPr>
        <w:ind w:left="1440" w:hanging="720"/>
      </w:pPr>
      <w:r w:rsidRPr="006E0872">
        <w:rPr>
          <w:i/>
        </w:rPr>
        <w:t>Best Efforts Business Broadband Internet Access Service</w:t>
      </w:r>
      <w:r>
        <w:t xml:space="preserve">.  </w:t>
      </w:r>
      <w:r w:rsidR="00D7067B">
        <w:t>Term</w:t>
      </w:r>
      <w:r>
        <w:t xml:space="preserve"> modified </w:t>
      </w:r>
      <w:r w:rsidR="002F3BA1">
        <w:t>t</w:t>
      </w:r>
      <w:r>
        <w:t>o cl</w:t>
      </w:r>
      <w:r w:rsidR="002F3BA1">
        <w:t>arify</w:t>
      </w:r>
      <w:r>
        <w:t xml:space="preserve"> that only best efforts services with a</w:t>
      </w:r>
      <w:r w:rsidR="00E00718">
        <w:t xml:space="preserve"> minimum</w:t>
      </w:r>
      <w:r w:rsidR="000B635F">
        <w:t xml:space="preserve"> advertised</w:t>
      </w:r>
      <w:r>
        <w:t xml:space="preserve"> bandwidth connection of at least 1.5 Mbps in both directions (upstream/downstream) </w:t>
      </w:r>
      <w:r w:rsidR="000E6210">
        <w:t>must</w:t>
      </w:r>
      <w:r w:rsidR="00EF394B">
        <w:t xml:space="preserve"> be reported.</w:t>
      </w:r>
      <w:r w:rsidR="00C501D6">
        <w:rPr>
          <w:rStyle w:val="FootnoteReference"/>
        </w:rPr>
        <w:footnoteReference w:id="136"/>
      </w:r>
      <w:r w:rsidR="000B635F">
        <w:t xml:space="preserve">  The addition of “advertised bandwidth” also provides a clearer standard for respondents than the prior language that suggested an actual capacity, which could vary depending on case-specific variables such </w:t>
      </w:r>
      <w:r w:rsidR="004B48F3">
        <w:t xml:space="preserve">as </w:t>
      </w:r>
      <w:r w:rsidR="000B635F">
        <w:t>time of day, traffic congestion, etc.</w:t>
      </w:r>
    </w:p>
    <w:p w:rsidR="000D2657" w:rsidRDefault="006E0872" w:rsidP="00EB5B97">
      <w:pPr>
        <w:pStyle w:val="ParaNum"/>
        <w:numPr>
          <w:ilvl w:val="0"/>
          <w:numId w:val="5"/>
        </w:numPr>
        <w:ind w:left="1440" w:hanging="720"/>
      </w:pPr>
      <w:r w:rsidRPr="000D2657">
        <w:rPr>
          <w:i/>
        </w:rPr>
        <w:t>Circuit-Based Dedicated Service</w:t>
      </w:r>
      <w:r w:rsidR="00D42F32">
        <w:rPr>
          <w:i/>
        </w:rPr>
        <w:t xml:space="preserve"> (CBDS)</w:t>
      </w:r>
      <w:r w:rsidR="00D7067B">
        <w:t xml:space="preserve">.  </w:t>
      </w:r>
      <w:r w:rsidR="00FA5E53">
        <w:t xml:space="preserve">Term </w:t>
      </w:r>
      <w:r>
        <w:t xml:space="preserve">modified </w:t>
      </w:r>
      <w:r w:rsidR="00D7067B">
        <w:t>to clarify the Commission’s</w:t>
      </w:r>
      <w:r>
        <w:t xml:space="preserve"> intent of only capturing</w:t>
      </w:r>
      <w:r w:rsidR="00D42F32">
        <w:t xml:space="preserve"> those categories of</w:t>
      </w:r>
      <w:r>
        <w:t xml:space="preserve"> time-division multiplexing-based services, </w:t>
      </w:r>
      <w:r w:rsidR="00315FB5">
        <w:t>such as</w:t>
      </w:r>
      <w:r>
        <w:t xml:space="preserve"> DS1s and DS3s, </w:t>
      </w:r>
      <w:r w:rsidR="00D42F32">
        <w:t>which</w:t>
      </w:r>
      <w:r>
        <w:t xml:space="preserve"> </w:t>
      </w:r>
      <w:r w:rsidR="00D42F32">
        <w:t xml:space="preserve">largely </w:t>
      </w:r>
      <w:r>
        <w:t>remain subject to dominant carrier regulation.</w:t>
      </w:r>
      <w:r w:rsidR="00915A48">
        <w:rPr>
          <w:rStyle w:val="FootnoteReference"/>
        </w:rPr>
        <w:footnoteReference w:id="137"/>
      </w:r>
      <w:r>
        <w:t xml:space="preserve"> </w:t>
      </w:r>
    </w:p>
    <w:p w:rsidR="000D2657" w:rsidRDefault="006E0872" w:rsidP="00EB5B97">
      <w:pPr>
        <w:pStyle w:val="ParaNum"/>
        <w:numPr>
          <w:ilvl w:val="0"/>
          <w:numId w:val="5"/>
        </w:numPr>
        <w:ind w:left="1440" w:hanging="720"/>
      </w:pPr>
      <w:r w:rsidRPr="000D2657">
        <w:rPr>
          <w:i/>
        </w:rPr>
        <w:t>Collocation</w:t>
      </w:r>
      <w:r>
        <w:t xml:space="preserve">.  Definition deleted because </w:t>
      </w:r>
      <w:r w:rsidR="00472531">
        <w:t xml:space="preserve">the </w:t>
      </w:r>
      <w:r>
        <w:t xml:space="preserve">term </w:t>
      </w:r>
      <w:r w:rsidR="00472531">
        <w:t xml:space="preserve">is </w:t>
      </w:r>
      <w:r>
        <w:t xml:space="preserve">not used in </w:t>
      </w:r>
      <w:r w:rsidR="00472531">
        <w:t xml:space="preserve">the </w:t>
      </w:r>
      <w:r>
        <w:t>data collection.</w:t>
      </w:r>
    </w:p>
    <w:p w:rsidR="000D2657" w:rsidRDefault="006E0872" w:rsidP="00EB5B97">
      <w:pPr>
        <w:pStyle w:val="ParaNum"/>
        <w:numPr>
          <w:ilvl w:val="0"/>
          <w:numId w:val="5"/>
        </w:numPr>
        <w:ind w:left="1440" w:hanging="720"/>
      </w:pPr>
      <w:r w:rsidRPr="000D2657">
        <w:rPr>
          <w:i/>
        </w:rPr>
        <w:t>Connection</w:t>
      </w:r>
      <w:r>
        <w:t xml:space="preserve">.  </w:t>
      </w:r>
      <w:r w:rsidR="00D7067B">
        <w:t>We</w:t>
      </w:r>
      <w:r>
        <w:t xml:space="preserve"> modified </w:t>
      </w:r>
      <w:r w:rsidR="00472531">
        <w:t xml:space="preserve">the </w:t>
      </w:r>
      <w:r w:rsidR="00D7067B">
        <w:t xml:space="preserve">definition </w:t>
      </w:r>
      <w:r>
        <w:t xml:space="preserve">to eliminate potential confusion over </w:t>
      </w:r>
      <w:r w:rsidR="00472531">
        <w:t xml:space="preserve">the </w:t>
      </w:r>
      <w:r w:rsidR="00C76BBE">
        <w:t xml:space="preserve">reference to </w:t>
      </w:r>
      <w:r w:rsidR="00472531">
        <w:t>“</w:t>
      </w:r>
      <w:r w:rsidR="00627BEE">
        <w:t>e</w:t>
      </w:r>
      <w:r w:rsidR="00C76BBE">
        <w:t>nd user’s l</w:t>
      </w:r>
      <w:r w:rsidR="001274A8">
        <w:t>ocation,</w:t>
      </w:r>
      <w:r w:rsidR="00472531">
        <w:t>”</w:t>
      </w:r>
      <w:r w:rsidR="001274A8">
        <w:t xml:space="preserve"> which was a combination of two defined terms, </w:t>
      </w:r>
      <w:r w:rsidR="001274A8" w:rsidRPr="001274A8">
        <w:rPr>
          <w:i/>
        </w:rPr>
        <w:t>End User</w:t>
      </w:r>
      <w:r w:rsidR="001274A8">
        <w:t xml:space="preserve"> and </w:t>
      </w:r>
      <w:r w:rsidR="001274A8" w:rsidRPr="001274A8">
        <w:rPr>
          <w:i/>
        </w:rPr>
        <w:t>Location</w:t>
      </w:r>
      <w:r w:rsidR="001274A8">
        <w:t>.</w:t>
      </w:r>
      <w:r w:rsidR="002A3F6E">
        <w:rPr>
          <w:rStyle w:val="FootnoteReference"/>
        </w:rPr>
        <w:footnoteReference w:id="138"/>
      </w:r>
      <w:r>
        <w:t xml:space="preserve">  </w:t>
      </w:r>
      <w:r w:rsidR="00315FB5">
        <w:t>As modified, t</w:t>
      </w:r>
      <w:r w:rsidR="00C76BBE">
        <w:t>he t</w:t>
      </w:r>
      <w:r>
        <w:t xml:space="preserve">erm now </w:t>
      </w:r>
      <w:r w:rsidR="009C5849">
        <w:t>drops the modifier “</w:t>
      </w:r>
      <w:r w:rsidR="009C5849" w:rsidRPr="009C5849">
        <w:rPr>
          <w:i/>
        </w:rPr>
        <w:t>End User</w:t>
      </w:r>
      <w:r w:rsidR="009C5849" w:rsidRPr="00E96590">
        <w:t>’s</w:t>
      </w:r>
      <w:r w:rsidR="009C5849">
        <w:t xml:space="preserve">” and </w:t>
      </w:r>
      <w:r>
        <w:t>just refe</w:t>
      </w:r>
      <w:r w:rsidR="00C76BBE">
        <w:t xml:space="preserve">rences </w:t>
      </w:r>
      <w:r w:rsidR="00202CD0" w:rsidRPr="00850783">
        <w:rPr>
          <w:i/>
        </w:rPr>
        <w:t>L</w:t>
      </w:r>
      <w:r w:rsidRPr="00850783">
        <w:rPr>
          <w:i/>
        </w:rPr>
        <w:t>ocation</w:t>
      </w:r>
      <w:r>
        <w:t>, which is alread</w:t>
      </w:r>
      <w:r w:rsidR="00C76BBE">
        <w:t xml:space="preserve">y defined as a point where the </w:t>
      </w:r>
      <w:r w:rsidR="00202CD0" w:rsidRPr="00850783">
        <w:rPr>
          <w:i/>
        </w:rPr>
        <w:t>E</w:t>
      </w:r>
      <w:r w:rsidR="00C76BBE" w:rsidRPr="00850783">
        <w:rPr>
          <w:i/>
        </w:rPr>
        <w:t xml:space="preserve">nd </w:t>
      </w:r>
      <w:r w:rsidR="00202CD0" w:rsidRPr="00850783">
        <w:rPr>
          <w:i/>
        </w:rPr>
        <w:t>U</w:t>
      </w:r>
      <w:r w:rsidRPr="00850783">
        <w:rPr>
          <w:i/>
        </w:rPr>
        <w:t>ser</w:t>
      </w:r>
      <w:r>
        <w:t xml:space="preserve"> is connected.  We have also ch</w:t>
      </w:r>
      <w:r w:rsidR="00C76BBE">
        <w:t>anged subsequent references to end user l</w:t>
      </w:r>
      <w:r>
        <w:t>oca</w:t>
      </w:r>
      <w:r w:rsidR="00315FB5">
        <w:t xml:space="preserve">tion in the collection to </w:t>
      </w:r>
      <w:r w:rsidR="00202CD0" w:rsidRPr="00850783">
        <w:rPr>
          <w:i/>
        </w:rPr>
        <w:t>L</w:t>
      </w:r>
      <w:r w:rsidRPr="00850783">
        <w:rPr>
          <w:i/>
        </w:rPr>
        <w:t>ocation</w:t>
      </w:r>
      <w:r>
        <w:t>.</w:t>
      </w:r>
      <w:r w:rsidR="001274A8">
        <w:t xml:space="preserve">  In addition, consistent with our clarification of “capable” </w:t>
      </w:r>
      <w:r w:rsidR="001274A8" w:rsidRPr="004B48F3">
        <w:rPr>
          <w:i/>
        </w:rPr>
        <w:t>Connections</w:t>
      </w:r>
      <w:r w:rsidR="001274A8">
        <w:t xml:space="preserve"> in the instructions, we have modified the definition to clarify that an</w:t>
      </w:r>
      <w:r w:rsidR="001274A8">
        <w:rPr>
          <w:kern w:val="0"/>
        </w:rPr>
        <w:t xml:space="preserve"> </w:t>
      </w:r>
      <w:r w:rsidR="001274A8">
        <w:rPr>
          <w:i/>
          <w:kern w:val="0"/>
        </w:rPr>
        <w:t xml:space="preserve">Unbundled Copper Loop </w:t>
      </w:r>
      <w:r w:rsidR="001274A8">
        <w:rPr>
          <w:kern w:val="0"/>
        </w:rPr>
        <w:t xml:space="preserve">is only considered a </w:t>
      </w:r>
      <w:r w:rsidR="001274A8" w:rsidRPr="001274A8">
        <w:rPr>
          <w:i/>
          <w:kern w:val="0"/>
        </w:rPr>
        <w:t>Connection</w:t>
      </w:r>
      <w:r w:rsidR="001274A8">
        <w:rPr>
          <w:kern w:val="0"/>
        </w:rPr>
        <w:t xml:space="preserve"> </w:t>
      </w:r>
      <w:r w:rsidR="00547ED4">
        <w:rPr>
          <w:kern w:val="0"/>
        </w:rPr>
        <w:t>once modified to</w:t>
      </w:r>
      <w:r w:rsidR="001274A8">
        <w:rPr>
          <w:kern w:val="0"/>
        </w:rPr>
        <w:t xml:space="preserve"> provide a </w:t>
      </w:r>
      <w:r w:rsidR="001274A8" w:rsidRPr="00827F12">
        <w:rPr>
          <w:i/>
          <w:kern w:val="0"/>
        </w:rPr>
        <w:t>Dedicated Service</w:t>
      </w:r>
      <w:r w:rsidR="001274A8">
        <w:rPr>
          <w:kern w:val="0"/>
        </w:rPr>
        <w:t>.</w:t>
      </w:r>
      <w:r w:rsidR="001274A8">
        <w:t>”</w:t>
      </w:r>
      <w:r w:rsidR="001274A8">
        <w:rPr>
          <w:rStyle w:val="FootnoteReference"/>
        </w:rPr>
        <w:footnoteReference w:id="139"/>
      </w:r>
      <w:r>
        <w:t xml:space="preserve"> </w:t>
      </w:r>
    </w:p>
    <w:p w:rsidR="000D2657" w:rsidRDefault="006E0872" w:rsidP="00EB5B97">
      <w:pPr>
        <w:pStyle w:val="ParaNum"/>
        <w:numPr>
          <w:ilvl w:val="0"/>
          <w:numId w:val="5"/>
        </w:numPr>
        <w:ind w:left="1440" w:hanging="720"/>
      </w:pPr>
      <w:r w:rsidRPr="000D2657">
        <w:rPr>
          <w:i/>
        </w:rPr>
        <w:t>Dedicated Service</w:t>
      </w:r>
      <w:r w:rsidR="00472531">
        <w:t>.  Changed</w:t>
      </w:r>
      <w:r>
        <w:t xml:space="preserve"> </w:t>
      </w:r>
      <w:r w:rsidR="00FA5E53">
        <w:t xml:space="preserve">reference in definition from </w:t>
      </w:r>
      <w:r>
        <w:t>megabytes to megabits.</w:t>
      </w:r>
      <w:r w:rsidR="00A2642A">
        <w:t xml:space="preserve">  In addition, we clarified that the minimum bandwidth rate of 1.5 Mbps applies in both directions, upstream and downstream.</w:t>
      </w:r>
    </w:p>
    <w:p w:rsidR="002A3F6E" w:rsidRPr="002A3F6E" w:rsidRDefault="002A3F6E" w:rsidP="00EB5B97">
      <w:pPr>
        <w:pStyle w:val="ParaNum"/>
        <w:numPr>
          <w:ilvl w:val="0"/>
          <w:numId w:val="5"/>
        </w:numPr>
        <w:ind w:left="1440" w:hanging="720"/>
      </w:pPr>
      <w:r w:rsidRPr="002A3F6E">
        <w:rPr>
          <w:i/>
        </w:rPr>
        <w:t>End User</w:t>
      </w:r>
      <w:r>
        <w:t xml:space="preserve">.  </w:t>
      </w:r>
      <w:r w:rsidR="001045E6">
        <w:t>R</w:t>
      </w:r>
      <w:r>
        <w:t>evised this term to include n</w:t>
      </w:r>
      <w:r w:rsidR="00C76BBE">
        <w:t xml:space="preserve">ot just entities that purchase </w:t>
      </w:r>
      <w:r w:rsidR="00202CD0" w:rsidRPr="00850783">
        <w:rPr>
          <w:i/>
        </w:rPr>
        <w:t>D</w:t>
      </w:r>
      <w:r w:rsidR="00C76BBE" w:rsidRPr="00850783">
        <w:rPr>
          <w:i/>
        </w:rPr>
        <w:t xml:space="preserve">edicated </w:t>
      </w:r>
      <w:r w:rsidR="00202CD0" w:rsidRPr="00850783">
        <w:rPr>
          <w:i/>
        </w:rPr>
        <w:t>S</w:t>
      </w:r>
      <w:r w:rsidRPr="00850783">
        <w:rPr>
          <w:i/>
        </w:rPr>
        <w:t>ervice</w:t>
      </w:r>
      <w:r>
        <w:t xml:space="preserve"> for their own use and not for res</w:t>
      </w:r>
      <w:r w:rsidR="004A3EA7">
        <w:t>a</w:t>
      </w:r>
      <w:r>
        <w:t>l</w:t>
      </w:r>
      <w:r w:rsidR="004A3EA7">
        <w:t>e</w:t>
      </w:r>
      <w:r>
        <w:t xml:space="preserve"> but also entities that more broadly purchase communications services for their own use</w:t>
      </w:r>
      <w:r w:rsidR="00E232F0">
        <w:t xml:space="preserve"> and not for res</w:t>
      </w:r>
      <w:r w:rsidR="004A3EA7">
        <w:t>a</w:t>
      </w:r>
      <w:r w:rsidR="00E232F0">
        <w:t>l</w:t>
      </w:r>
      <w:r w:rsidR="004A3EA7">
        <w:t>e</w:t>
      </w:r>
      <w:r>
        <w:t xml:space="preserve">.  </w:t>
      </w:r>
    </w:p>
    <w:p w:rsidR="00202CD0" w:rsidRDefault="006E0872" w:rsidP="005122F8">
      <w:pPr>
        <w:pStyle w:val="ParaNum"/>
        <w:widowControl/>
        <w:numPr>
          <w:ilvl w:val="0"/>
          <w:numId w:val="5"/>
        </w:numPr>
        <w:ind w:left="1440" w:hanging="720"/>
      </w:pPr>
      <w:r w:rsidRPr="000D2657">
        <w:rPr>
          <w:i/>
        </w:rPr>
        <w:t>Indefeasible Right of Use (IRU)</w:t>
      </w:r>
      <w:r w:rsidR="00D7067B">
        <w:t>.  The</w:t>
      </w:r>
      <w:r w:rsidR="002A3F6E">
        <w:t xml:space="preserve"> definition </w:t>
      </w:r>
      <w:r w:rsidR="00D7067B">
        <w:t xml:space="preserve">for this term </w:t>
      </w:r>
      <w:r w:rsidR="002A3F6E">
        <w:t>previously included a</w:t>
      </w:r>
      <w:r>
        <w:t xml:space="preserve"> list of elements typically found in </w:t>
      </w:r>
      <w:r w:rsidRPr="00756400">
        <w:t>IRU</w:t>
      </w:r>
      <w:r>
        <w:t xml:space="preserve"> agreements, including a substantial</w:t>
      </w:r>
      <w:r w:rsidR="00D76E18">
        <w:t xml:space="preserve"> upfront fee, </w:t>
      </w:r>
      <w:r w:rsidR="00472531">
        <w:t xml:space="preserve">a </w:t>
      </w:r>
      <w:r w:rsidR="00D76E18">
        <w:t>minimum term of ten</w:t>
      </w:r>
      <w:r>
        <w:t xml:space="preserve"> years and no unreasonable limit on the grantee’s right to use the asset.  </w:t>
      </w:r>
      <w:r w:rsidR="00814083">
        <w:t>The d</w:t>
      </w:r>
      <w:r>
        <w:t>efinition gave respondent</w:t>
      </w:r>
      <w:r w:rsidR="00814083">
        <w:t>s considerable discretion to</w:t>
      </w:r>
      <w:r>
        <w:t xml:space="preserve"> determin</w:t>
      </w:r>
      <w:r w:rsidR="00814083">
        <w:t>e</w:t>
      </w:r>
      <w:r>
        <w:t xml:space="preserve"> whether a lease is an </w:t>
      </w:r>
      <w:r w:rsidRPr="00850783">
        <w:rPr>
          <w:i/>
        </w:rPr>
        <w:t>IRU</w:t>
      </w:r>
      <w:r>
        <w:t xml:space="preserve"> agreement.  </w:t>
      </w:r>
      <w:r w:rsidR="00814083">
        <w:t>Sprint</w:t>
      </w:r>
      <w:r w:rsidR="006F21FC">
        <w:t xml:space="preserve"> </w:t>
      </w:r>
      <w:r w:rsidR="00814083">
        <w:t>is concerned the definition will result in the over</w:t>
      </w:r>
      <w:r w:rsidR="00627BEE">
        <w:t xml:space="preserve"> </w:t>
      </w:r>
      <w:r w:rsidR="00814083">
        <w:t xml:space="preserve">inclusion of contracts that are effectively service level agreements but called </w:t>
      </w:r>
      <w:r w:rsidR="00814083" w:rsidRPr="00756400">
        <w:t>IRUs</w:t>
      </w:r>
      <w:r w:rsidR="00814083">
        <w:t xml:space="preserve"> by the parties.</w:t>
      </w:r>
      <w:r w:rsidR="00814083">
        <w:rPr>
          <w:rStyle w:val="FootnoteReference"/>
        </w:rPr>
        <w:footnoteReference w:id="140"/>
      </w:r>
      <w:r w:rsidR="00814083">
        <w:t xml:space="preserve">  </w:t>
      </w:r>
      <w:r>
        <w:t>Conversely,</w:t>
      </w:r>
      <w:r w:rsidR="00814083">
        <w:t xml:space="preserve"> AT&amp;T </w:t>
      </w:r>
      <w:r w:rsidR="00472531">
        <w:t>said the</w:t>
      </w:r>
      <w:r w:rsidR="00814083">
        <w:t xml:space="preserve"> term could be read to exclude </w:t>
      </w:r>
      <w:r w:rsidR="00814083" w:rsidRPr="00756400">
        <w:t>IRUs</w:t>
      </w:r>
      <w:r w:rsidR="00814083">
        <w:t xml:space="preserve"> with shorter terms and with upfront payments of less than 25 percent.</w:t>
      </w:r>
      <w:r w:rsidR="00814083">
        <w:rPr>
          <w:rStyle w:val="FootnoteReference"/>
        </w:rPr>
        <w:footnoteReference w:id="141"/>
      </w:r>
      <w:r w:rsidR="00814083">
        <w:t xml:space="preserve">  </w:t>
      </w:r>
    </w:p>
    <w:p w:rsidR="00E62450" w:rsidRDefault="00472531" w:rsidP="000350FC">
      <w:pPr>
        <w:pStyle w:val="ParaNum"/>
        <w:numPr>
          <w:ilvl w:val="0"/>
          <w:numId w:val="0"/>
        </w:numPr>
        <w:ind w:left="1440"/>
      </w:pPr>
      <w:r>
        <w:t>The definition is intended</w:t>
      </w:r>
      <w:r w:rsidR="006E0872">
        <w:t xml:space="preserve"> to capture facilities where the grantee effectively ha</w:t>
      </w:r>
      <w:r w:rsidR="004B48F3">
        <w:t xml:space="preserve">s an ownership interest in the </w:t>
      </w:r>
      <w:r w:rsidR="004B48F3" w:rsidRPr="004B48F3">
        <w:rPr>
          <w:i/>
        </w:rPr>
        <w:t>C</w:t>
      </w:r>
      <w:r w:rsidR="006E0872" w:rsidRPr="004B48F3">
        <w:rPr>
          <w:i/>
        </w:rPr>
        <w:t>onnection</w:t>
      </w:r>
      <w:r w:rsidR="006E0872">
        <w:t xml:space="preserve"> and has the right to use the asset for an extended period of time to provide a competitive service of its choos</w:t>
      </w:r>
      <w:r w:rsidR="00D76E18">
        <w:t xml:space="preserve">ing.  While </w:t>
      </w:r>
      <w:r w:rsidR="00D76E18" w:rsidRPr="00756400">
        <w:t>IRUs</w:t>
      </w:r>
      <w:r w:rsidR="00D76E18">
        <w:t xml:space="preserve"> of less than ten</w:t>
      </w:r>
      <w:r w:rsidR="006E0872">
        <w:t xml:space="preserve"> years in </w:t>
      </w:r>
      <w:r w:rsidR="00D76E18">
        <w:t xml:space="preserve">total </w:t>
      </w:r>
      <w:r w:rsidR="006E0872">
        <w:t>duration and with minimal upfront payments may indeed exist, for purposes of our analysis of facilities-based competition, we will focus on</w:t>
      </w:r>
      <w:r w:rsidR="00D76E18">
        <w:t xml:space="preserve"> </w:t>
      </w:r>
      <w:r w:rsidR="00D76E18" w:rsidRPr="004B48F3">
        <w:rPr>
          <w:i/>
        </w:rPr>
        <w:t>IRUs</w:t>
      </w:r>
      <w:r w:rsidR="00D76E18">
        <w:t xml:space="preserve"> with a total term of at least ten</w:t>
      </w:r>
      <w:r w:rsidR="006E0872">
        <w:t xml:space="preserve"> years where the grantee has a right to access and </w:t>
      </w:r>
      <w:r w:rsidR="00627BEE">
        <w:t xml:space="preserve">exclusively </w:t>
      </w:r>
      <w:r w:rsidR="006E0872">
        <w:t xml:space="preserve">use the </w:t>
      </w:r>
      <w:r w:rsidR="0083676C" w:rsidRPr="00E62258">
        <w:rPr>
          <w:i/>
        </w:rPr>
        <w:t>C</w:t>
      </w:r>
      <w:r w:rsidR="006E0872" w:rsidRPr="00E62258">
        <w:rPr>
          <w:i/>
        </w:rPr>
        <w:t>onnection</w:t>
      </w:r>
      <w:r w:rsidR="006E0872">
        <w:t xml:space="preserve"> absent unreasonable limits.</w:t>
      </w:r>
      <w:r w:rsidR="0006328F">
        <w:rPr>
          <w:rStyle w:val="FootnoteReference"/>
        </w:rPr>
        <w:footnoteReference w:id="142"/>
      </w:r>
      <w:r w:rsidR="006E0872">
        <w:t xml:space="preserve">  We have modified the definition </w:t>
      </w:r>
      <w:r w:rsidR="00D76E18">
        <w:t xml:space="preserve">as suggested by AT&amp;T </w:t>
      </w:r>
      <w:r w:rsidR="006E0872">
        <w:t>to clarify</w:t>
      </w:r>
      <w:r w:rsidR="00D76E18">
        <w:t xml:space="preserve"> </w:t>
      </w:r>
      <w:r w:rsidR="006E0872">
        <w:t xml:space="preserve">that the duration period </w:t>
      </w:r>
      <w:r w:rsidR="00D76E18">
        <w:t>of</w:t>
      </w:r>
      <w:r w:rsidR="006E0872">
        <w:t xml:space="preserve"> the </w:t>
      </w:r>
      <w:r w:rsidR="006E0872" w:rsidRPr="004B48F3">
        <w:rPr>
          <w:i/>
        </w:rPr>
        <w:t>IRU</w:t>
      </w:r>
      <w:r w:rsidR="006E0872">
        <w:t xml:space="preserve"> agreement need not equal the remaining economic life of the asset.</w:t>
      </w:r>
      <w:r w:rsidR="00814083">
        <w:rPr>
          <w:rStyle w:val="FootnoteReference"/>
        </w:rPr>
        <w:footnoteReference w:id="143"/>
      </w:r>
      <w:r w:rsidR="006E0872">
        <w:t xml:space="preserve"> </w:t>
      </w:r>
    </w:p>
    <w:p w:rsidR="00E62450" w:rsidRDefault="006E0872" w:rsidP="00EB5B97">
      <w:pPr>
        <w:pStyle w:val="ParaNum"/>
        <w:numPr>
          <w:ilvl w:val="0"/>
          <w:numId w:val="5"/>
        </w:numPr>
        <w:ind w:left="1440" w:hanging="720"/>
      </w:pPr>
      <w:r w:rsidRPr="00E62450">
        <w:rPr>
          <w:i/>
        </w:rPr>
        <w:t>Packet-Based Dedicated Service</w:t>
      </w:r>
      <w:r w:rsidR="00A22122">
        <w:rPr>
          <w:i/>
        </w:rPr>
        <w:t xml:space="preserve"> </w:t>
      </w:r>
      <w:r w:rsidR="00A22122">
        <w:t>(</w:t>
      </w:r>
      <w:r w:rsidR="00A22122">
        <w:rPr>
          <w:i/>
        </w:rPr>
        <w:t>PBDS</w:t>
      </w:r>
      <w:r w:rsidR="00A22122">
        <w:t>)</w:t>
      </w:r>
      <w:r>
        <w:t xml:space="preserve">.  </w:t>
      </w:r>
      <w:r w:rsidR="0083676C">
        <w:t>M</w:t>
      </w:r>
      <w:r w:rsidR="00AD4DB2">
        <w:t>odified th</w:t>
      </w:r>
      <w:r w:rsidR="003F508E">
        <w:t>is definition</w:t>
      </w:r>
      <w:r>
        <w:t xml:space="preserve"> to </w:t>
      </w:r>
      <w:r w:rsidR="00BB6625">
        <w:t>captur</w:t>
      </w:r>
      <w:r w:rsidR="00046158">
        <w:t>e</w:t>
      </w:r>
      <w:r>
        <w:t xml:space="preserve"> those </w:t>
      </w:r>
      <w:r w:rsidR="00046158">
        <w:t>types</w:t>
      </w:r>
      <w:r>
        <w:t xml:space="preserve"> of services </w:t>
      </w:r>
      <w:r w:rsidR="00547ED4">
        <w:t>for which the</w:t>
      </w:r>
      <w:r>
        <w:t xml:space="preserve"> Commission has largely granted relief from dominant carrier regulation.</w:t>
      </w:r>
      <w:r w:rsidR="00BB6625">
        <w:rPr>
          <w:rStyle w:val="FootnoteReference"/>
        </w:rPr>
        <w:footnoteReference w:id="144"/>
      </w:r>
      <w:r>
        <w:t xml:space="preserve"> </w:t>
      </w:r>
    </w:p>
    <w:p w:rsidR="00E62450" w:rsidRDefault="006E0872" w:rsidP="00EB5B97">
      <w:pPr>
        <w:pStyle w:val="ParaNum"/>
        <w:numPr>
          <w:ilvl w:val="0"/>
          <w:numId w:val="5"/>
        </w:numPr>
        <w:ind w:left="1440" w:hanging="720"/>
      </w:pPr>
      <w:r w:rsidRPr="00E62450">
        <w:rPr>
          <w:i/>
        </w:rPr>
        <w:t>Prior Purchase-Based Commitment</w:t>
      </w:r>
      <w:r>
        <w:t xml:space="preserve">.  Term </w:t>
      </w:r>
      <w:r w:rsidR="003F508E">
        <w:t>revised</w:t>
      </w:r>
      <w:r>
        <w:t xml:space="preserve"> to include commitments based </w:t>
      </w:r>
      <w:r w:rsidR="00547ED4">
        <w:t xml:space="preserve">on a </w:t>
      </w:r>
      <w:r>
        <w:t>dollar amount of revenues</w:t>
      </w:r>
      <w:r w:rsidR="00472531">
        <w:t xml:space="preserve"> </w:t>
      </w:r>
      <w:r w:rsidR="000E6210">
        <w:t>in addition to</w:t>
      </w:r>
      <w:r w:rsidR="00472531">
        <w:t xml:space="preserve"> a percentage of revenues.</w:t>
      </w:r>
      <w:r w:rsidR="003F508E">
        <w:rPr>
          <w:rStyle w:val="FootnoteReference"/>
        </w:rPr>
        <w:footnoteReference w:id="145"/>
      </w:r>
      <w:r>
        <w:t xml:space="preserve"> </w:t>
      </w:r>
    </w:p>
    <w:p w:rsidR="003D7099" w:rsidRPr="003D7099" w:rsidRDefault="003D7099" w:rsidP="00EB5B97">
      <w:pPr>
        <w:pStyle w:val="ParaNum"/>
        <w:numPr>
          <w:ilvl w:val="0"/>
          <w:numId w:val="5"/>
        </w:numPr>
        <w:ind w:left="1440" w:hanging="720"/>
      </w:pPr>
      <w:r>
        <w:rPr>
          <w:i/>
        </w:rPr>
        <w:t>Revenues</w:t>
      </w:r>
      <w:r>
        <w:t>.  Deleted second sentence in definition to eliminate confusion over the billed revenue amounts to report.</w:t>
      </w:r>
      <w:r>
        <w:rPr>
          <w:rStyle w:val="FootnoteReference"/>
        </w:rPr>
        <w:footnoteReference w:id="146"/>
      </w:r>
    </w:p>
    <w:p w:rsidR="0068761D" w:rsidRPr="00850783" w:rsidRDefault="0068761D" w:rsidP="00EB5B97">
      <w:pPr>
        <w:pStyle w:val="ParaNum"/>
        <w:numPr>
          <w:ilvl w:val="0"/>
          <w:numId w:val="5"/>
        </w:numPr>
        <w:ind w:left="1440" w:hanging="720"/>
      </w:pPr>
      <w:r w:rsidRPr="00850783">
        <w:rPr>
          <w:i/>
        </w:rPr>
        <w:t>Tariff</w:t>
      </w:r>
      <w:r>
        <w:t xml:space="preserve">.  Revised definition to clarify that term broadly includes both </w:t>
      </w:r>
      <w:r w:rsidRPr="00A83E1C">
        <w:rPr>
          <w:i/>
          <w:kern w:val="0"/>
          <w:szCs w:val="22"/>
        </w:rPr>
        <w:t>Tariff Plans</w:t>
      </w:r>
      <w:r>
        <w:rPr>
          <w:kern w:val="0"/>
          <w:szCs w:val="22"/>
        </w:rPr>
        <w:t xml:space="preserve"> and </w:t>
      </w:r>
      <w:r w:rsidRPr="00A83E1C">
        <w:rPr>
          <w:i/>
          <w:kern w:val="0"/>
          <w:szCs w:val="22"/>
        </w:rPr>
        <w:t>Contract-Based Tariffs</w:t>
      </w:r>
      <w:r>
        <w:rPr>
          <w:kern w:val="0"/>
          <w:szCs w:val="22"/>
        </w:rPr>
        <w:t>.</w:t>
      </w:r>
    </w:p>
    <w:p w:rsidR="00E62450" w:rsidRDefault="006E0872" w:rsidP="00EB5B97">
      <w:pPr>
        <w:pStyle w:val="ParaNum"/>
        <w:numPr>
          <w:ilvl w:val="0"/>
          <w:numId w:val="5"/>
        </w:numPr>
        <w:ind w:left="1440" w:hanging="720"/>
      </w:pPr>
      <w:r w:rsidRPr="00E62450">
        <w:rPr>
          <w:i/>
        </w:rPr>
        <w:t>Transport Service</w:t>
      </w:r>
      <w:r>
        <w:t xml:space="preserve">.  Definition revised to </w:t>
      </w:r>
      <w:r w:rsidR="00046158">
        <w:t xml:space="preserve">clarify intent </w:t>
      </w:r>
      <w:r w:rsidR="00547ED4">
        <w:t>of</w:t>
      </w:r>
      <w:r w:rsidR="00046158">
        <w:t xml:space="preserve"> </w:t>
      </w:r>
      <w:r>
        <w:t>includ</w:t>
      </w:r>
      <w:r w:rsidR="00547ED4">
        <w:t>ing</w:t>
      </w:r>
      <w:r>
        <w:t xml:space="preserve"> dedicated transport and special access services other than </w:t>
      </w:r>
      <w:r w:rsidR="00DC386A" w:rsidRPr="00850783">
        <w:rPr>
          <w:i/>
        </w:rPr>
        <w:t>End User C</w:t>
      </w:r>
      <w:r w:rsidRPr="00850783">
        <w:rPr>
          <w:i/>
        </w:rPr>
        <w:t xml:space="preserve">hannel </w:t>
      </w:r>
      <w:r w:rsidR="00DC386A" w:rsidRPr="00850783">
        <w:rPr>
          <w:i/>
        </w:rPr>
        <w:t>T</w:t>
      </w:r>
      <w:r w:rsidRPr="00850783">
        <w:rPr>
          <w:i/>
        </w:rPr>
        <w:t>erminations</w:t>
      </w:r>
      <w:r>
        <w:t>.</w:t>
      </w:r>
      <w:r w:rsidR="00046158">
        <w:rPr>
          <w:rStyle w:val="FootnoteReference"/>
        </w:rPr>
        <w:footnoteReference w:id="147"/>
      </w:r>
      <w:r>
        <w:t xml:space="preserve"> </w:t>
      </w:r>
    </w:p>
    <w:p w:rsidR="00E55451" w:rsidRPr="00E55451" w:rsidRDefault="00D7067B" w:rsidP="00EB5B97">
      <w:pPr>
        <w:pStyle w:val="ParaNum"/>
        <w:numPr>
          <w:ilvl w:val="0"/>
          <w:numId w:val="5"/>
        </w:numPr>
        <w:ind w:left="1440" w:hanging="720"/>
      </w:pPr>
      <w:r>
        <w:rPr>
          <w:i/>
        </w:rPr>
        <w:t>Question</w:t>
      </w:r>
      <w:r w:rsidR="00E55451">
        <w:rPr>
          <w:i/>
        </w:rPr>
        <w:t xml:space="preserve"> II.A.1</w:t>
      </w:r>
      <w:r w:rsidR="00224DCB">
        <w:rPr>
          <w:i/>
        </w:rPr>
        <w:t>:</w:t>
      </w:r>
      <w:r w:rsidR="00E50E8A">
        <w:rPr>
          <w:i/>
        </w:rPr>
        <w:t xml:space="preserve"> </w:t>
      </w:r>
      <w:r w:rsidR="00224DCB">
        <w:rPr>
          <w:i/>
        </w:rPr>
        <w:t xml:space="preserve"> Affiliated Company</w:t>
      </w:r>
      <w:r w:rsidR="00E55451">
        <w:t xml:space="preserve">.  </w:t>
      </w:r>
      <w:r w:rsidR="00472531">
        <w:t xml:space="preserve">Expanded the types of affiliated entities reported to </w:t>
      </w:r>
      <w:r w:rsidR="003B4541" w:rsidRPr="003B4541">
        <w:rPr>
          <w:i/>
        </w:rPr>
        <w:t>P</w:t>
      </w:r>
      <w:r w:rsidR="00472531" w:rsidRPr="003B4541">
        <w:rPr>
          <w:i/>
        </w:rPr>
        <w:t>roviders</w:t>
      </w:r>
      <w:r w:rsidR="00472531">
        <w:t xml:space="preserve"> and </w:t>
      </w:r>
      <w:r w:rsidR="003B4541" w:rsidRPr="003B4541">
        <w:rPr>
          <w:i/>
        </w:rPr>
        <w:t>P</w:t>
      </w:r>
      <w:r w:rsidR="00472531" w:rsidRPr="003B4541">
        <w:rPr>
          <w:i/>
        </w:rPr>
        <w:t>urchasers</w:t>
      </w:r>
      <w:r w:rsidR="003B4541">
        <w:t xml:space="preserve">, not just </w:t>
      </w:r>
      <w:r w:rsidR="003B4541" w:rsidRPr="003B4541">
        <w:rPr>
          <w:i/>
        </w:rPr>
        <w:t>P</w:t>
      </w:r>
      <w:r w:rsidR="00472531" w:rsidRPr="003B4541">
        <w:rPr>
          <w:i/>
        </w:rPr>
        <w:t>roviders</w:t>
      </w:r>
      <w:r w:rsidR="00472531">
        <w:t xml:space="preserve">, to internally track commonly-owned entities and rephrased question </w:t>
      </w:r>
      <w:r w:rsidR="00E55451">
        <w:t xml:space="preserve">to </w:t>
      </w:r>
      <w:r w:rsidR="00300E4D">
        <w:t>simplify electronic filing</w:t>
      </w:r>
      <w:r w:rsidR="00472531">
        <w:t xml:space="preserve">, </w:t>
      </w:r>
      <w:r w:rsidR="00472531" w:rsidRPr="00472531">
        <w:rPr>
          <w:i/>
        </w:rPr>
        <w:t>i.e.</w:t>
      </w:r>
      <w:r w:rsidR="00472531">
        <w:t xml:space="preserve">, deleted </w:t>
      </w:r>
      <w:r w:rsidR="00331CD5">
        <w:t>yes/no response</w:t>
      </w:r>
      <w:r w:rsidR="00472531">
        <w:t>.</w:t>
      </w:r>
      <w:r w:rsidR="00E55451">
        <w:t xml:space="preserve"> </w:t>
      </w:r>
    </w:p>
    <w:p w:rsidR="00E62450" w:rsidRDefault="006E0872" w:rsidP="0047272E">
      <w:pPr>
        <w:pStyle w:val="ParaNum"/>
        <w:widowControl/>
        <w:numPr>
          <w:ilvl w:val="0"/>
          <w:numId w:val="5"/>
        </w:numPr>
        <w:ind w:left="1440" w:hanging="720"/>
      </w:pPr>
      <w:r w:rsidRPr="00E62450">
        <w:rPr>
          <w:i/>
        </w:rPr>
        <w:t>Questions II.A.3</w:t>
      </w:r>
      <w:r w:rsidR="00E55451">
        <w:rPr>
          <w:i/>
        </w:rPr>
        <w:t>-</w:t>
      </w:r>
      <w:r w:rsidRPr="00E62450">
        <w:rPr>
          <w:i/>
        </w:rPr>
        <w:t>4</w:t>
      </w:r>
      <w:r w:rsidR="00224DCB">
        <w:rPr>
          <w:i/>
        </w:rPr>
        <w:t>:</w:t>
      </w:r>
      <w:r w:rsidR="00E50E8A">
        <w:rPr>
          <w:i/>
        </w:rPr>
        <w:t xml:space="preserve"> </w:t>
      </w:r>
      <w:r w:rsidR="00224DCB">
        <w:rPr>
          <w:i/>
        </w:rPr>
        <w:t xml:space="preserve"> Locations Data for Competitive Providers</w:t>
      </w:r>
      <w:r>
        <w:t xml:space="preserve">. </w:t>
      </w:r>
      <w:r w:rsidR="00E55451">
        <w:t xml:space="preserve"> </w:t>
      </w:r>
      <w:r w:rsidR="009E1F4C">
        <w:t xml:space="preserve">Consistent with our guidance on capable </w:t>
      </w:r>
      <w:r w:rsidR="009E1F4C" w:rsidRPr="009E1F4C">
        <w:rPr>
          <w:i/>
        </w:rPr>
        <w:t>Connections</w:t>
      </w:r>
      <w:r w:rsidR="009E1F4C">
        <w:t xml:space="preserve"> in Section III.B.1.a of this </w:t>
      </w:r>
      <w:r w:rsidR="00E96590">
        <w:t>Report and Order</w:t>
      </w:r>
      <w:r w:rsidR="009E1F4C">
        <w:t>, we r</w:t>
      </w:r>
      <w:r w:rsidR="00E55451">
        <w:t>evise</w:t>
      </w:r>
      <w:r w:rsidR="009E1F4C">
        <w:t>d</w:t>
      </w:r>
      <w:r w:rsidR="00E55451">
        <w:t xml:space="preserve"> </w:t>
      </w:r>
      <w:r w:rsidR="009E1F4C">
        <w:t xml:space="preserve">these </w:t>
      </w:r>
      <w:r w:rsidR="00E55451">
        <w:t xml:space="preserve">questions </w:t>
      </w:r>
      <w:r>
        <w:t>to includ</w:t>
      </w:r>
      <w:r w:rsidR="00C76BBE">
        <w:t xml:space="preserve">e not only </w:t>
      </w:r>
      <w:r w:rsidR="009E1F4C">
        <w:t xml:space="preserve">facilities in-use, </w:t>
      </w:r>
      <w:r w:rsidR="009E1F4C" w:rsidRPr="009E1F4C">
        <w:rPr>
          <w:i/>
        </w:rPr>
        <w:t>i.e.</w:t>
      </w:r>
      <w:r w:rsidR="009E1F4C">
        <w:t xml:space="preserve">, provisioned </w:t>
      </w:r>
      <w:r w:rsidR="009E1F4C" w:rsidRPr="009E1F4C">
        <w:rPr>
          <w:i/>
        </w:rPr>
        <w:t>C</w:t>
      </w:r>
      <w:r w:rsidR="00C76BBE" w:rsidRPr="009E1F4C">
        <w:rPr>
          <w:i/>
        </w:rPr>
        <w:t>onnections</w:t>
      </w:r>
      <w:r w:rsidR="00C76BBE">
        <w:t xml:space="preserve"> to </w:t>
      </w:r>
      <w:r w:rsidR="00DC386A" w:rsidRPr="009E1F4C">
        <w:rPr>
          <w:i/>
        </w:rPr>
        <w:t>L</w:t>
      </w:r>
      <w:r w:rsidRPr="009E1F4C">
        <w:rPr>
          <w:i/>
        </w:rPr>
        <w:t>ocation</w:t>
      </w:r>
      <w:r w:rsidR="009E1F4C" w:rsidRPr="009E1F4C">
        <w:rPr>
          <w:i/>
        </w:rPr>
        <w:t>s</w:t>
      </w:r>
      <w:r w:rsidR="009E1F4C">
        <w:t xml:space="preserve">, </w:t>
      </w:r>
      <w:r w:rsidRPr="009E1F4C">
        <w:t>but</w:t>
      </w:r>
      <w:r>
        <w:t xml:space="preserve"> also idle </w:t>
      </w:r>
      <w:r w:rsidR="00756400" w:rsidRPr="00850783">
        <w:rPr>
          <w:i/>
        </w:rPr>
        <w:t>C</w:t>
      </w:r>
      <w:r w:rsidRPr="00850783">
        <w:rPr>
          <w:i/>
        </w:rPr>
        <w:t>onnections</w:t>
      </w:r>
      <w:r w:rsidR="00E55451">
        <w:t xml:space="preserve"> </w:t>
      </w:r>
      <w:r w:rsidR="00747C7D">
        <w:t>to capture data on potential competition</w:t>
      </w:r>
      <w:r>
        <w:t>.</w:t>
      </w:r>
      <w:r w:rsidR="00E55451">
        <w:rPr>
          <w:rStyle w:val="FootnoteReference"/>
        </w:rPr>
        <w:footnoteReference w:id="148"/>
      </w:r>
      <w:r>
        <w:t xml:space="preserve">  </w:t>
      </w:r>
      <w:r w:rsidR="00747C7D">
        <w:t xml:space="preserve">In addition, </w:t>
      </w:r>
      <w:r w:rsidR="00A33502">
        <w:t xml:space="preserve">to match the </w:t>
      </w:r>
      <w:r w:rsidR="00962434">
        <w:t xml:space="preserve">reported </w:t>
      </w:r>
      <w:r w:rsidR="00A33502">
        <w:t>month-to-month billing information</w:t>
      </w:r>
      <w:r w:rsidR="00962434">
        <w:t xml:space="preserve">, filers will </w:t>
      </w:r>
      <w:r w:rsidR="00C76BBE">
        <w:t xml:space="preserve">report connected </w:t>
      </w:r>
      <w:r w:rsidR="00756400" w:rsidRPr="00850783">
        <w:rPr>
          <w:i/>
        </w:rPr>
        <w:t>L</w:t>
      </w:r>
      <w:r w:rsidR="00747C7D" w:rsidRPr="00850783">
        <w:rPr>
          <w:i/>
        </w:rPr>
        <w:t>ocations</w:t>
      </w:r>
      <w:r w:rsidR="00747C7D">
        <w:t xml:space="preserve"> </w:t>
      </w:r>
      <w:r w:rsidR="00747C7D" w:rsidRPr="009E1F4C">
        <w:t>during</w:t>
      </w:r>
      <w:r w:rsidR="00FA5E53">
        <w:t xml:space="preserve"> 201</w:t>
      </w:r>
      <w:r w:rsidR="00EB0D9E">
        <w:t>0</w:t>
      </w:r>
      <w:r w:rsidR="00FA5E53">
        <w:t xml:space="preserve"> and 201</w:t>
      </w:r>
      <w:r w:rsidR="00EB0D9E">
        <w:t>2</w:t>
      </w:r>
      <w:r w:rsidR="00FA5E53">
        <w:t xml:space="preserve"> instead of </w:t>
      </w:r>
      <w:r w:rsidR="00756400" w:rsidRPr="00850783">
        <w:rPr>
          <w:i/>
        </w:rPr>
        <w:t>L</w:t>
      </w:r>
      <w:r w:rsidR="00747C7D" w:rsidRPr="00850783">
        <w:rPr>
          <w:i/>
        </w:rPr>
        <w:t>ocations</w:t>
      </w:r>
      <w:r w:rsidR="00747C7D">
        <w:t xml:space="preserve"> as of </w:t>
      </w:r>
      <w:r w:rsidR="005D245A">
        <w:t>year-</w:t>
      </w:r>
      <w:r w:rsidR="009E1F4C">
        <w:t>end.  The wording of Q</w:t>
      </w:r>
      <w:r>
        <w:t xml:space="preserve">uestion II.A.3 </w:t>
      </w:r>
      <w:r w:rsidR="00747C7D">
        <w:t xml:space="preserve">is also changed </w:t>
      </w:r>
      <w:r w:rsidR="00C76BBE">
        <w:t xml:space="preserve">to clarify that </w:t>
      </w:r>
      <w:r w:rsidR="00756400" w:rsidRPr="00850783">
        <w:rPr>
          <w:i/>
        </w:rPr>
        <w:t>C</w:t>
      </w:r>
      <w:r w:rsidR="00C76BBE" w:rsidRPr="00850783">
        <w:rPr>
          <w:i/>
        </w:rPr>
        <w:t xml:space="preserve">ompetitive </w:t>
      </w:r>
      <w:r w:rsidR="00756400" w:rsidRPr="00850783">
        <w:rPr>
          <w:i/>
        </w:rPr>
        <w:t>P</w:t>
      </w:r>
      <w:r w:rsidR="00C76BBE" w:rsidRPr="00850783">
        <w:rPr>
          <w:i/>
        </w:rPr>
        <w:t>roviders</w:t>
      </w:r>
      <w:r w:rsidR="00C76BBE">
        <w:t xml:space="preserve"> need only report </w:t>
      </w:r>
      <w:r w:rsidR="00756400" w:rsidRPr="00850783">
        <w:rPr>
          <w:i/>
        </w:rPr>
        <w:t>L</w:t>
      </w:r>
      <w:r w:rsidR="00C76BBE" w:rsidRPr="00850783">
        <w:rPr>
          <w:i/>
        </w:rPr>
        <w:t>ocations</w:t>
      </w:r>
      <w:r w:rsidR="009E1F4C">
        <w:t xml:space="preserve"> with </w:t>
      </w:r>
      <w:r w:rsidR="009E1F4C" w:rsidRPr="009E1F4C">
        <w:rPr>
          <w:i/>
        </w:rPr>
        <w:t>C</w:t>
      </w:r>
      <w:r w:rsidRPr="009E1F4C">
        <w:rPr>
          <w:i/>
        </w:rPr>
        <w:t>onnections</w:t>
      </w:r>
      <w:r>
        <w:t xml:space="preserve"> in total and not separately by the enumerated categories.</w:t>
      </w:r>
      <w:r w:rsidR="00747C7D">
        <w:rPr>
          <w:rStyle w:val="FootnoteReference"/>
        </w:rPr>
        <w:footnoteReference w:id="149"/>
      </w:r>
      <w:r w:rsidR="001274A8">
        <w:t xml:space="preserve">  We also added Question II.A.4.</w:t>
      </w:r>
      <w:r w:rsidR="00CF2A53">
        <w:t xml:space="preserve">k </w:t>
      </w:r>
      <w:r w:rsidR="00CF2A53">
        <w:rPr>
          <w:kern w:val="0"/>
          <w:szCs w:val="22"/>
        </w:rPr>
        <w:t xml:space="preserve">to obtain the total bandwidth provided over the </w:t>
      </w:r>
      <w:r w:rsidR="00CF2A53" w:rsidRPr="00CF2A53">
        <w:rPr>
          <w:i/>
          <w:kern w:val="0"/>
          <w:szCs w:val="22"/>
        </w:rPr>
        <w:t>Connection</w:t>
      </w:r>
      <w:r w:rsidR="00CF2A53">
        <w:rPr>
          <w:kern w:val="0"/>
          <w:szCs w:val="22"/>
        </w:rPr>
        <w:t xml:space="preserve"> for the respondents’ own internal use or the internal use of an </w:t>
      </w:r>
      <w:r w:rsidR="00CF2A53" w:rsidRPr="00CF2A53">
        <w:rPr>
          <w:i/>
          <w:kern w:val="0"/>
          <w:szCs w:val="22"/>
        </w:rPr>
        <w:t>Affiliated Company</w:t>
      </w:r>
      <w:r w:rsidR="009E1F4C">
        <w:rPr>
          <w:kern w:val="0"/>
          <w:szCs w:val="22"/>
        </w:rPr>
        <w:t xml:space="preserve">.  </w:t>
      </w:r>
      <w:r w:rsidR="00C664C9">
        <w:rPr>
          <w:kern w:val="0"/>
          <w:szCs w:val="22"/>
        </w:rPr>
        <w:t xml:space="preserve">This </w:t>
      </w:r>
      <w:r w:rsidR="00161531">
        <w:rPr>
          <w:kern w:val="0"/>
          <w:szCs w:val="22"/>
        </w:rPr>
        <w:t xml:space="preserve">last piece of </w:t>
      </w:r>
      <w:r w:rsidR="00C664C9">
        <w:rPr>
          <w:kern w:val="0"/>
          <w:szCs w:val="22"/>
        </w:rPr>
        <w:t xml:space="preserve">information will help us </w:t>
      </w:r>
      <w:r w:rsidR="00161531">
        <w:rPr>
          <w:kern w:val="0"/>
          <w:szCs w:val="22"/>
        </w:rPr>
        <w:t>evaluate whether</w:t>
      </w:r>
      <w:r w:rsidR="00C664C9">
        <w:rPr>
          <w:kern w:val="0"/>
          <w:szCs w:val="22"/>
        </w:rPr>
        <w:t xml:space="preserve"> </w:t>
      </w:r>
      <w:r w:rsidR="00C664C9" w:rsidRPr="00C664C9">
        <w:rPr>
          <w:i/>
          <w:kern w:val="0"/>
          <w:szCs w:val="22"/>
        </w:rPr>
        <w:t>Competitive Providers</w:t>
      </w:r>
      <w:r w:rsidR="00C664C9">
        <w:rPr>
          <w:kern w:val="0"/>
          <w:szCs w:val="22"/>
        </w:rPr>
        <w:t xml:space="preserve"> are self-provi</w:t>
      </w:r>
      <w:r w:rsidR="00161531">
        <w:rPr>
          <w:kern w:val="0"/>
          <w:szCs w:val="22"/>
        </w:rPr>
        <w:t>ding</w:t>
      </w:r>
      <w:r w:rsidR="00C664C9">
        <w:rPr>
          <w:kern w:val="0"/>
          <w:szCs w:val="22"/>
        </w:rPr>
        <w:t xml:space="preserve"> service as an alternative to buying </w:t>
      </w:r>
      <w:r w:rsidR="00C664C9" w:rsidRPr="00C664C9">
        <w:rPr>
          <w:i/>
          <w:kern w:val="0"/>
          <w:szCs w:val="22"/>
        </w:rPr>
        <w:t>Dedicated Service</w:t>
      </w:r>
      <w:r w:rsidR="00C664C9">
        <w:rPr>
          <w:kern w:val="0"/>
          <w:szCs w:val="22"/>
        </w:rPr>
        <w:t>.</w:t>
      </w:r>
      <w:r>
        <w:t xml:space="preserve"> </w:t>
      </w:r>
    </w:p>
    <w:p w:rsidR="00E62450" w:rsidRDefault="006E0872" w:rsidP="00EB5B97">
      <w:pPr>
        <w:pStyle w:val="ParaNum"/>
        <w:numPr>
          <w:ilvl w:val="0"/>
          <w:numId w:val="5"/>
        </w:numPr>
        <w:ind w:left="1440" w:hanging="720"/>
      </w:pPr>
      <w:r w:rsidRPr="00E62450">
        <w:rPr>
          <w:i/>
        </w:rPr>
        <w:t>Question II.A.5</w:t>
      </w:r>
      <w:r w:rsidR="00224DCB">
        <w:rPr>
          <w:i/>
        </w:rPr>
        <w:t xml:space="preserve">: </w:t>
      </w:r>
      <w:r w:rsidR="00E50E8A">
        <w:rPr>
          <w:i/>
        </w:rPr>
        <w:t xml:space="preserve"> </w:t>
      </w:r>
      <w:r w:rsidR="00224DCB">
        <w:rPr>
          <w:i/>
        </w:rPr>
        <w:t>Fiber Network Map(s)</w:t>
      </w:r>
      <w:r>
        <w:t xml:space="preserve">.  </w:t>
      </w:r>
      <w:r w:rsidR="005D245A">
        <w:t xml:space="preserve">We received </w:t>
      </w:r>
      <w:r w:rsidR="002C3FC0">
        <w:t>inquiries</w:t>
      </w:r>
      <w:r w:rsidR="005D245A">
        <w:t xml:space="preserve"> from parties </w:t>
      </w:r>
      <w:r w:rsidR="002C3FC0">
        <w:t>requesting clarification of</w:t>
      </w:r>
      <w:r w:rsidR="005D245A">
        <w:t xml:space="preserve"> the mapping question </w:t>
      </w:r>
      <w:r w:rsidR="002C3FC0">
        <w:t xml:space="preserve">requirements </w:t>
      </w:r>
      <w:r w:rsidR="005D245A">
        <w:t>and have revised the question to only require a single map showing the fiber routes</w:t>
      </w:r>
      <w:r w:rsidR="00C76BBE">
        <w:t xml:space="preserve"> of a </w:t>
      </w:r>
      <w:r w:rsidR="00756400" w:rsidRPr="00850783">
        <w:rPr>
          <w:i/>
        </w:rPr>
        <w:t>C</w:t>
      </w:r>
      <w:r w:rsidR="00C76BBE" w:rsidRPr="00850783">
        <w:rPr>
          <w:i/>
        </w:rPr>
        <w:t xml:space="preserve">ompetitive </w:t>
      </w:r>
      <w:r w:rsidR="00756400" w:rsidRPr="00850783">
        <w:rPr>
          <w:i/>
        </w:rPr>
        <w:t>P</w:t>
      </w:r>
      <w:r w:rsidR="005D245A" w:rsidRPr="00850783">
        <w:rPr>
          <w:i/>
        </w:rPr>
        <w:t>rovider</w:t>
      </w:r>
      <w:r w:rsidR="005D245A" w:rsidRPr="00E96590">
        <w:t>’s</w:t>
      </w:r>
      <w:r w:rsidR="005D245A" w:rsidRPr="00850783">
        <w:rPr>
          <w:i/>
        </w:rPr>
        <w:t xml:space="preserve"> </w:t>
      </w:r>
      <w:r w:rsidR="005D245A">
        <w:t xml:space="preserve">network that </w:t>
      </w:r>
      <w:r w:rsidR="00183ABC">
        <w:t>are</w:t>
      </w:r>
      <w:r w:rsidR="005D245A">
        <w:t xml:space="preserve"> owned or leased under an </w:t>
      </w:r>
      <w:r w:rsidR="005D245A" w:rsidRPr="00850783">
        <w:rPr>
          <w:i/>
        </w:rPr>
        <w:t>IRU</w:t>
      </w:r>
      <w:r w:rsidR="005D245A">
        <w:t xml:space="preserve"> agreement.</w:t>
      </w:r>
      <w:r w:rsidR="00183ABC">
        <w:rPr>
          <w:rStyle w:val="FootnoteReference"/>
        </w:rPr>
        <w:footnoteReference w:id="150"/>
      </w:r>
      <w:r w:rsidR="005D245A">
        <w:t xml:space="preserve">  </w:t>
      </w:r>
    </w:p>
    <w:p w:rsidR="002C5699" w:rsidRPr="002C5699" w:rsidRDefault="002C5699" w:rsidP="00EB5B97">
      <w:pPr>
        <w:pStyle w:val="ParaNum"/>
        <w:numPr>
          <w:ilvl w:val="0"/>
          <w:numId w:val="5"/>
        </w:numPr>
        <w:ind w:left="1440" w:hanging="720"/>
      </w:pPr>
      <w:r w:rsidRPr="002C5699">
        <w:rPr>
          <w:i/>
        </w:rPr>
        <w:t>Question II.A.8</w:t>
      </w:r>
      <w:r w:rsidR="00665C0F">
        <w:rPr>
          <w:i/>
        </w:rPr>
        <w:t xml:space="preserve">: </w:t>
      </w:r>
      <w:r w:rsidR="00E50E8A">
        <w:rPr>
          <w:i/>
        </w:rPr>
        <w:t xml:space="preserve"> </w:t>
      </w:r>
      <w:r w:rsidR="00665C0F">
        <w:rPr>
          <w:i/>
        </w:rPr>
        <w:t>Business Rules for Deployment</w:t>
      </w:r>
      <w:r w:rsidR="003B1AC4">
        <w:t>.</w:t>
      </w:r>
      <w:r>
        <w:t xml:space="preserve">  </w:t>
      </w:r>
      <w:r w:rsidR="00300E4D">
        <w:t xml:space="preserve">Clarified </w:t>
      </w:r>
      <w:r w:rsidR="003B1AC4">
        <w:t xml:space="preserve">question to remove ambiguities and </w:t>
      </w:r>
      <w:r w:rsidR="00A8362F">
        <w:t>to help</w:t>
      </w:r>
      <w:r w:rsidR="003B1AC4">
        <w:t xml:space="preserve"> develop </w:t>
      </w:r>
      <w:r w:rsidR="00F00D8E">
        <w:t>competition proxy</w:t>
      </w:r>
      <w:r w:rsidR="003B1AC4">
        <w:t xml:space="preserve"> variable</w:t>
      </w:r>
      <w:r w:rsidR="00F00D8E">
        <w:t>s</w:t>
      </w:r>
      <w:r w:rsidR="003B1AC4">
        <w:t xml:space="preserve"> for the Commission’s econometric analysis. </w:t>
      </w:r>
    </w:p>
    <w:p w:rsidR="00224DCB" w:rsidRPr="00224DCB" w:rsidRDefault="00224DCB" w:rsidP="00EB5B97">
      <w:pPr>
        <w:pStyle w:val="ParaNum"/>
        <w:numPr>
          <w:ilvl w:val="0"/>
          <w:numId w:val="5"/>
        </w:numPr>
        <w:ind w:left="1440" w:hanging="720"/>
      </w:pPr>
      <w:r w:rsidRPr="00224DCB">
        <w:rPr>
          <w:i/>
        </w:rPr>
        <w:t>Question II.A.9</w:t>
      </w:r>
      <w:r w:rsidR="00665C0F">
        <w:rPr>
          <w:i/>
        </w:rPr>
        <w:t>:</w:t>
      </w:r>
      <w:r w:rsidR="00E50E8A">
        <w:rPr>
          <w:i/>
        </w:rPr>
        <w:t xml:space="preserve"> </w:t>
      </w:r>
      <w:r w:rsidR="00665C0F">
        <w:rPr>
          <w:i/>
        </w:rPr>
        <w:t xml:space="preserve"> Headquarters</w:t>
      </w:r>
      <w:r>
        <w:t xml:space="preserve">.  </w:t>
      </w:r>
      <w:r w:rsidR="00914332">
        <w:t xml:space="preserve">As </w:t>
      </w:r>
      <w:r w:rsidR="00D33AAD">
        <w:t>mentioned</w:t>
      </w:r>
      <w:r w:rsidR="00914332">
        <w:t xml:space="preserve"> in Section III.B.5 above, </w:t>
      </w:r>
      <w:r w:rsidR="00A8362F">
        <w:t xml:space="preserve">question </w:t>
      </w:r>
      <w:r w:rsidR="00D33AAD">
        <w:t xml:space="preserve">revised </w:t>
      </w:r>
      <w:r w:rsidR="00A8362F">
        <w:t xml:space="preserve">to facilitate responses for </w:t>
      </w:r>
      <w:r w:rsidR="00F00D8E">
        <w:t>proxy variables for competition</w:t>
      </w:r>
      <w:r w:rsidR="00D33AAD">
        <w:t xml:space="preserve">, </w:t>
      </w:r>
      <w:r w:rsidR="00D33AAD" w:rsidRPr="00850783">
        <w:rPr>
          <w:i/>
        </w:rPr>
        <w:t>i.e.</w:t>
      </w:r>
      <w:r w:rsidR="00D33AAD">
        <w:t xml:space="preserve">, </w:t>
      </w:r>
      <w:r w:rsidR="00A87415">
        <w:t xml:space="preserve">filers must </w:t>
      </w:r>
      <w:r w:rsidR="00A8362F">
        <w:t xml:space="preserve">now </w:t>
      </w:r>
      <w:r w:rsidR="00A87415">
        <w:t xml:space="preserve">also report the headquarters of </w:t>
      </w:r>
      <w:r w:rsidR="00D96B6C">
        <w:t>entities acquired through merger where the filer or its subsidiary was the surviving entity</w:t>
      </w:r>
      <w:r w:rsidR="00A8362F">
        <w:t xml:space="preserve">.  </w:t>
      </w:r>
    </w:p>
    <w:p w:rsidR="00D96B6C" w:rsidRPr="00D96B6C" w:rsidRDefault="00B27DA5" w:rsidP="00EB5B97">
      <w:pPr>
        <w:pStyle w:val="ParaNum"/>
        <w:numPr>
          <w:ilvl w:val="0"/>
          <w:numId w:val="5"/>
        </w:numPr>
        <w:ind w:left="1440" w:hanging="720"/>
      </w:pPr>
      <w:r>
        <w:rPr>
          <w:i/>
        </w:rPr>
        <w:t>Questions II.A.12-14</w:t>
      </w:r>
      <w:r w:rsidR="00D96B6C" w:rsidRPr="00D96B6C">
        <w:rPr>
          <w:i/>
        </w:rPr>
        <w:t>:  Billing Information</w:t>
      </w:r>
      <w:r w:rsidR="00C861AF">
        <w:rPr>
          <w:i/>
        </w:rPr>
        <w:t xml:space="preserve"> from Competitive Providers</w:t>
      </w:r>
      <w:r w:rsidR="00D96B6C">
        <w:t xml:space="preserve">.  </w:t>
      </w:r>
      <w:r>
        <w:t>Based on</w:t>
      </w:r>
      <w:r w:rsidR="001A108F">
        <w:t xml:space="preserve"> feedback, </w:t>
      </w:r>
      <w:r>
        <w:t xml:space="preserve">we revised </w:t>
      </w:r>
      <w:r w:rsidR="001A108F">
        <w:t xml:space="preserve">these questions </w:t>
      </w:r>
      <w:r>
        <w:t xml:space="preserve">so they </w:t>
      </w:r>
      <w:r w:rsidR="001A108F">
        <w:t>now refer to circuit element instead of rate element.</w:t>
      </w:r>
      <w:r>
        <w:rPr>
          <w:rStyle w:val="FootnoteReference"/>
        </w:rPr>
        <w:footnoteReference w:id="151"/>
      </w:r>
      <w:r>
        <w:t xml:space="preserve">  Question II.A.12 is also amended to require the reporting of the customer’s name in addition to the Form 499-A Filer ID, where applicable, or other unique </w:t>
      </w:r>
      <w:r w:rsidR="00C76BBE">
        <w:t>identifier (ID)</w:t>
      </w:r>
      <w:r w:rsidR="000969D5">
        <w:t>, a</w:t>
      </w:r>
      <w:r w:rsidR="00E84141">
        <w:t xml:space="preserve">nd </w:t>
      </w:r>
      <w:r>
        <w:t xml:space="preserve">Question II.A.13 is amended to require the reporting of a unique ID to link adjustments to a particular </w:t>
      </w:r>
      <w:r w:rsidRPr="00850783">
        <w:rPr>
          <w:i/>
        </w:rPr>
        <w:t>Tariff</w:t>
      </w:r>
      <w:r>
        <w:t xml:space="preserve"> or contract.</w:t>
      </w:r>
      <w:r w:rsidR="00E84141">
        <w:t xml:space="preserve">  These changes to Questions II.A.12-13 will help the Commission </w:t>
      </w:r>
      <w:r w:rsidR="000969D5">
        <w:t xml:space="preserve">identify and </w:t>
      </w:r>
      <w:r w:rsidR="00E84141">
        <w:t xml:space="preserve">internally track purchases by commonly-owned customers and link </w:t>
      </w:r>
      <w:r w:rsidR="00A9773A">
        <w:t xml:space="preserve">billing </w:t>
      </w:r>
      <w:r w:rsidR="00E84141">
        <w:t xml:space="preserve">adjustments to particular plans. </w:t>
      </w:r>
      <w:r>
        <w:t xml:space="preserve"> </w:t>
      </w:r>
      <w:r w:rsidR="000969D5">
        <w:t xml:space="preserve">Lastly, we </w:t>
      </w:r>
      <w:r w:rsidR="00A128F6">
        <w:t xml:space="preserve">added a new Question II.A.12.l to capture the per unit charge for the circuit element in addition to the total billed amount; modified former Question II.A.12.l to remove redundant language; and </w:t>
      </w:r>
      <w:r w:rsidR="000969D5">
        <w:t xml:space="preserve">deleted the requirement to report whether the circuit element is owned or leased as an </w:t>
      </w:r>
      <w:r w:rsidR="000969D5" w:rsidRPr="00850783">
        <w:rPr>
          <w:i/>
        </w:rPr>
        <w:t>IRU</w:t>
      </w:r>
      <w:r w:rsidR="000969D5">
        <w:t xml:space="preserve"> in </w:t>
      </w:r>
      <w:r w:rsidR="00A128F6">
        <w:t xml:space="preserve">former Question </w:t>
      </w:r>
      <w:r w:rsidR="000969D5">
        <w:t>II.A.12.o to address concerns over differentiating between owned and leased facilities.</w:t>
      </w:r>
      <w:r>
        <w:t xml:space="preserve">  </w:t>
      </w:r>
    </w:p>
    <w:p w:rsidR="00E62450" w:rsidRDefault="006E0872" w:rsidP="006C7B48">
      <w:pPr>
        <w:pStyle w:val="ParaNum"/>
        <w:widowControl/>
        <w:numPr>
          <w:ilvl w:val="0"/>
          <w:numId w:val="5"/>
        </w:numPr>
        <w:ind w:left="1440" w:hanging="720"/>
      </w:pPr>
      <w:r w:rsidRPr="00E62450">
        <w:rPr>
          <w:i/>
        </w:rPr>
        <w:t>Question II.A.19</w:t>
      </w:r>
      <w:r w:rsidR="00D92A76">
        <w:rPr>
          <w:i/>
        </w:rPr>
        <w:t>:  Justification for Term and Volume Commitments</w:t>
      </w:r>
      <w:r>
        <w:t xml:space="preserve">.  Question amended </w:t>
      </w:r>
      <w:r w:rsidR="000D4F32">
        <w:t xml:space="preserve">to include </w:t>
      </w:r>
      <w:r w:rsidR="000D4F32" w:rsidRPr="000D4F32">
        <w:rPr>
          <w:i/>
        </w:rPr>
        <w:t>T</w:t>
      </w:r>
      <w:r w:rsidRPr="000D4F32">
        <w:rPr>
          <w:i/>
        </w:rPr>
        <w:t>ariffs</w:t>
      </w:r>
      <w:r>
        <w:t xml:space="preserve"> and agreements in effect with a customer, in</w:t>
      </w:r>
      <w:r w:rsidR="000E6210">
        <w:t xml:space="preserve"> addition to</w:t>
      </w:r>
      <w:r w:rsidR="00300E4D">
        <w:t xml:space="preserve"> </w:t>
      </w:r>
      <w:r>
        <w:t>those offered.</w:t>
      </w:r>
      <w:r w:rsidR="00D92A76">
        <w:rPr>
          <w:rStyle w:val="FootnoteReference"/>
        </w:rPr>
        <w:footnoteReference w:id="152"/>
      </w:r>
      <w:r>
        <w:t xml:space="preserve"> </w:t>
      </w:r>
    </w:p>
    <w:p w:rsidR="00E55451" w:rsidRPr="00E55451" w:rsidRDefault="00E55451" w:rsidP="00EB5B97">
      <w:pPr>
        <w:pStyle w:val="ParaNum"/>
        <w:numPr>
          <w:ilvl w:val="0"/>
          <w:numId w:val="5"/>
        </w:numPr>
        <w:ind w:left="1440" w:hanging="720"/>
      </w:pPr>
      <w:r>
        <w:rPr>
          <w:i/>
        </w:rPr>
        <w:t>Question II.B.1</w:t>
      </w:r>
      <w:r w:rsidR="00502120">
        <w:rPr>
          <w:i/>
        </w:rPr>
        <w:t>:  Affiliated Company</w:t>
      </w:r>
      <w:r>
        <w:t xml:space="preserve">.  </w:t>
      </w:r>
      <w:r w:rsidR="00D92A76">
        <w:t xml:space="preserve">As </w:t>
      </w:r>
      <w:r w:rsidR="00C76BBE">
        <w:t xml:space="preserve">with the parallel question for </w:t>
      </w:r>
      <w:r w:rsidR="00EF4F0F" w:rsidRPr="00850783">
        <w:rPr>
          <w:i/>
        </w:rPr>
        <w:t>C</w:t>
      </w:r>
      <w:r w:rsidR="00C76BBE" w:rsidRPr="00850783">
        <w:rPr>
          <w:i/>
        </w:rPr>
        <w:t xml:space="preserve">ompetitive </w:t>
      </w:r>
      <w:r w:rsidR="00EF4F0F" w:rsidRPr="00850783">
        <w:rPr>
          <w:i/>
        </w:rPr>
        <w:t>P</w:t>
      </w:r>
      <w:r w:rsidR="00D92A76" w:rsidRPr="00850783">
        <w:rPr>
          <w:i/>
        </w:rPr>
        <w:t>roviders</w:t>
      </w:r>
      <w:r w:rsidR="00D92A76">
        <w:t xml:space="preserve">, we </w:t>
      </w:r>
      <w:r w:rsidR="00A8362F">
        <w:t>expanded the types of a</w:t>
      </w:r>
      <w:r w:rsidR="003B4541">
        <w:t xml:space="preserve">ffiliated entities reported to </w:t>
      </w:r>
      <w:r w:rsidR="003B4541" w:rsidRPr="003B4541">
        <w:rPr>
          <w:i/>
        </w:rPr>
        <w:t>Providers</w:t>
      </w:r>
      <w:r w:rsidR="003B4541">
        <w:t xml:space="preserve"> and </w:t>
      </w:r>
      <w:r w:rsidR="003B4541" w:rsidRPr="003B4541">
        <w:rPr>
          <w:i/>
        </w:rPr>
        <w:t>P</w:t>
      </w:r>
      <w:r w:rsidR="00A8362F" w:rsidRPr="003B4541">
        <w:rPr>
          <w:i/>
        </w:rPr>
        <w:t>urchasers</w:t>
      </w:r>
      <w:r w:rsidR="003B4541">
        <w:t xml:space="preserve">, not just </w:t>
      </w:r>
      <w:r w:rsidR="003B4541" w:rsidRPr="003B4541">
        <w:rPr>
          <w:i/>
        </w:rPr>
        <w:t>P</w:t>
      </w:r>
      <w:r w:rsidR="00A8362F" w:rsidRPr="003B4541">
        <w:rPr>
          <w:i/>
        </w:rPr>
        <w:t>roviders</w:t>
      </w:r>
      <w:r w:rsidR="00A8362F">
        <w:t xml:space="preserve">, to assist with the internal tracking of commonly owned entities and </w:t>
      </w:r>
      <w:r w:rsidR="00D92A76">
        <w:t>m</w:t>
      </w:r>
      <w:r>
        <w:t xml:space="preserve">odified </w:t>
      </w:r>
      <w:r w:rsidR="00D92A76">
        <w:t xml:space="preserve">the </w:t>
      </w:r>
      <w:r>
        <w:t xml:space="preserve">phrasing </w:t>
      </w:r>
      <w:r w:rsidR="00D92A76">
        <w:t xml:space="preserve">of this question </w:t>
      </w:r>
      <w:r>
        <w:t xml:space="preserve">to </w:t>
      </w:r>
      <w:r w:rsidR="00300E4D">
        <w:t>simplify electronic filing</w:t>
      </w:r>
      <w:r w:rsidR="00A8362F">
        <w:t xml:space="preserve">, </w:t>
      </w:r>
      <w:r w:rsidR="00A8362F" w:rsidRPr="00A8362F">
        <w:rPr>
          <w:i/>
        </w:rPr>
        <w:t>i.e.</w:t>
      </w:r>
      <w:r w:rsidR="00A8362F">
        <w:t>, deleted the yes/no response</w:t>
      </w:r>
      <w:r>
        <w:t>.</w:t>
      </w:r>
    </w:p>
    <w:p w:rsidR="009274D3" w:rsidRDefault="006E0872" w:rsidP="00EB5B97">
      <w:pPr>
        <w:pStyle w:val="ParaNum"/>
        <w:numPr>
          <w:ilvl w:val="0"/>
          <w:numId w:val="5"/>
        </w:numPr>
        <w:ind w:left="1440" w:hanging="720"/>
      </w:pPr>
      <w:r w:rsidRPr="00E62450">
        <w:rPr>
          <w:i/>
        </w:rPr>
        <w:t>Questions II.B.2-3</w:t>
      </w:r>
      <w:r w:rsidR="00502120">
        <w:rPr>
          <w:i/>
        </w:rPr>
        <w:t>:  Locations Data for ILECs</w:t>
      </w:r>
      <w:r>
        <w:t xml:space="preserve">.  </w:t>
      </w:r>
      <w:r w:rsidR="00800EBA">
        <w:t>W</w:t>
      </w:r>
      <w:r>
        <w:t>e revise</w:t>
      </w:r>
      <w:r w:rsidR="00502120">
        <w:t>d</w:t>
      </w:r>
      <w:r>
        <w:t xml:space="preserve"> these questions </w:t>
      </w:r>
      <w:r w:rsidR="00502120">
        <w:t xml:space="preserve">to eliminate the reporting of </w:t>
      </w:r>
      <w:r w:rsidR="00CF2A53" w:rsidRPr="00CF2A53">
        <w:rPr>
          <w:i/>
        </w:rPr>
        <w:t>C</w:t>
      </w:r>
      <w:r w:rsidRPr="00CF2A53">
        <w:rPr>
          <w:i/>
        </w:rPr>
        <w:t>onnections</w:t>
      </w:r>
      <w:r>
        <w:t xml:space="preserve"> sold a</w:t>
      </w:r>
      <w:r w:rsidR="00C76BBE">
        <w:t xml:space="preserve">s an </w:t>
      </w:r>
      <w:r w:rsidR="00EF4F0F" w:rsidRPr="00850783">
        <w:rPr>
          <w:i/>
        </w:rPr>
        <w:t>U</w:t>
      </w:r>
      <w:r w:rsidR="00C76BBE" w:rsidRPr="00850783">
        <w:rPr>
          <w:i/>
        </w:rPr>
        <w:t xml:space="preserve">nbundled </w:t>
      </w:r>
      <w:r w:rsidR="00EF4F0F" w:rsidRPr="00850783">
        <w:rPr>
          <w:i/>
        </w:rPr>
        <w:t>C</w:t>
      </w:r>
      <w:r w:rsidR="00C76BBE" w:rsidRPr="00850783">
        <w:rPr>
          <w:i/>
        </w:rPr>
        <w:t xml:space="preserve">opper </w:t>
      </w:r>
      <w:r w:rsidR="00EF4F0F" w:rsidRPr="00850783">
        <w:rPr>
          <w:i/>
        </w:rPr>
        <w:t>L</w:t>
      </w:r>
      <w:r w:rsidRPr="00850783">
        <w:rPr>
          <w:i/>
        </w:rPr>
        <w:t>oop</w:t>
      </w:r>
      <w:r w:rsidR="00502120">
        <w:t xml:space="preserve"> by the </w:t>
      </w:r>
      <w:r w:rsidR="00502120" w:rsidRPr="00CF2A53">
        <w:rPr>
          <w:i/>
        </w:rPr>
        <w:t>ILEC</w:t>
      </w:r>
      <w:r>
        <w:t xml:space="preserve">.  </w:t>
      </w:r>
      <w:r w:rsidR="00502120">
        <w:t xml:space="preserve">As </w:t>
      </w:r>
      <w:r w:rsidR="00CF2A53">
        <w:t>explained in Section III.B.1</w:t>
      </w:r>
      <w:r w:rsidR="000D4F32">
        <w:t>.b</w:t>
      </w:r>
      <w:r w:rsidR="00CF2A53">
        <w:t xml:space="preserve"> of this </w:t>
      </w:r>
      <w:r w:rsidR="00E96590">
        <w:t>Report and Order</w:t>
      </w:r>
      <w:r w:rsidR="00CF2A53">
        <w:t xml:space="preserve">, we do not intend to collect </w:t>
      </w:r>
      <w:r w:rsidR="009274D3">
        <w:t xml:space="preserve">data on </w:t>
      </w:r>
      <w:r w:rsidR="00CF2A53">
        <w:t xml:space="preserve">copper loops with a bandwidth of less than 1.5 Mbps.  If a </w:t>
      </w:r>
      <w:r w:rsidR="00CF2A53" w:rsidRPr="009274D3">
        <w:rPr>
          <w:i/>
        </w:rPr>
        <w:t>Competitive Provider</w:t>
      </w:r>
      <w:r w:rsidR="00CF2A53">
        <w:t xml:space="preserve"> has obtained an </w:t>
      </w:r>
      <w:r w:rsidR="00CF2A53" w:rsidRPr="009274D3">
        <w:rPr>
          <w:i/>
        </w:rPr>
        <w:t>Unbundled Copper Loop</w:t>
      </w:r>
      <w:r w:rsidR="00CF2A53">
        <w:t xml:space="preserve"> from the </w:t>
      </w:r>
      <w:r w:rsidR="00CF2A53" w:rsidRPr="009274D3">
        <w:rPr>
          <w:i/>
        </w:rPr>
        <w:t>ILEC</w:t>
      </w:r>
      <w:r w:rsidR="00CF2A53">
        <w:t xml:space="preserve"> as a </w:t>
      </w:r>
      <w:r w:rsidR="00CF2A53" w:rsidRPr="009274D3">
        <w:rPr>
          <w:i/>
        </w:rPr>
        <w:t>UNE</w:t>
      </w:r>
      <w:r w:rsidR="00CF2A53">
        <w:t xml:space="preserve"> and modified the loop to provide </w:t>
      </w:r>
      <w:r w:rsidR="009274D3">
        <w:t xml:space="preserve">a </w:t>
      </w:r>
      <w:r w:rsidR="009274D3" w:rsidRPr="009274D3">
        <w:rPr>
          <w:i/>
        </w:rPr>
        <w:t>Dedicated Service</w:t>
      </w:r>
      <w:r w:rsidR="009274D3">
        <w:t xml:space="preserve">, we will get that data directly from the </w:t>
      </w:r>
      <w:r w:rsidR="009274D3" w:rsidRPr="009274D3">
        <w:rPr>
          <w:i/>
        </w:rPr>
        <w:t>Competitive Provider</w:t>
      </w:r>
      <w:r w:rsidR="009274D3">
        <w:t xml:space="preserve">.  This change will greatly reduce the reporting burden for </w:t>
      </w:r>
      <w:r w:rsidR="009274D3" w:rsidRPr="009274D3">
        <w:rPr>
          <w:i/>
        </w:rPr>
        <w:t>ILECs</w:t>
      </w:r>
      <w:r w:rsidR="009274D3">
        <w:t xml:space="preserve">.  </w:t>
      </w:r>
    </w:p>
    <w:p w:rsidR="00502120" w:rsidRDefault="009274D3" w:rsidP="000350FC">
      <w:pPr>
        <w:pStyle w:val="ParaNum"/>
        <w:numPr>
          <w:ilvl w:val="0"/>
          <w:numId w:val="0"/>
        </w:numPr>
        <w:ind w:left="1440"/>
      </w:pPr>
      <w:r>
        <w:t>In addition, like</w:t>
      </w:r>
      <w:r w:rsidR="001A50FF">
        <w:t xml:space="preserve"> the </w:t>
      </w:r>
      <w:r w:rsidR="00EF4F0F" w:rsidRPr="00850783">
        <w:rPr>
          <w:i/>
        </w:rPr>
        <w:t>C</w:t>
      </w:r>
      <w:r w:rsidR="001A50FF" w:rsidRPr="00850783">
        <w:rPr>
          <w:i/>
        </w:rPr>
        <w:t xml:space="preserve">ompetitive </w:t>
      </w:r>
      <w:r w:rsidR="00EF4F0F" w:rsidRPr="00850783">
        <w:rPr>
          <w:i/>
        </w:rPr>
        <w:t>P</w:t>
      </w:r>
      <w:r w:rsidR="001A50FF" w:rsidRPr="00850783">
        <w:rPr>
          <w:i/>
        </w:rPr>
        <w:t>rovider</w:t>
      </w:r>
      <w:r w:rsidR="001A50FF">
        <w:t xml:space="preserve"> questions on connected </w:t>
      </w:r>
      <w:r w:rsidR="00EF4F0F" w:rsidRPr="00850783">
        <w:rPr>
          <w:i/>
        </w:rPr>
        <w:t>L</w:t>
      </w:r>
      <w:r w:rsidR="002D36ED" w:rsidRPr="00850783">
        <w:rPr>
          <w:i/>
        </w:rPr>
        <w:t>ocations</w:t>
      </w:r>
      <w:r w:rsidR="002D36ED">
        <w:t xml:space="preserve">, </w:t>
      </w:r>
      <w:r w:rsidR="002D4457">
        <w:t>we have revised these questions to require the</w:t>
      </w:r>
      <w:r w:rsidR="002D36ED">
        <w:t xml:space="preserve"> report</w:t>
      </w:r>
      <w:r w:rsidR="002D4457">
        <w:t>ing of</w:t>
      </w:r>
      <w:r w:rsidR="001A50FF">
        <w:t xml:space="preserve"> </w:t>
      </w:r>
      <w:r w:rsidR="00EF4F0F" w:rsidRPr="00850783">
        <w:rPr>
          <w:i/>
        </w:rPr>
        <w:t>L</w:t>
      </w:r>
      <w:r w:rsidR="002D36ED" w:rsidRPr="00850783">
        <w:rPr>
          <w:i/>
        </w:rPr>
        <w:t>ocations</w:t>
      </w:r>
      <w:r w:rsidR="002D36ED">
        <w:t xml:space="preserve"> connected </w:t>
      </w:r>
      <w:r w:rsidR="002D36ED" w:rsidRPr="00747C7D">
        <w:rPr>
          <w:i/>
        </w:rPr>
        <w:t>during</w:t>
      </w:r>
      <w:r w:rsidR="00456C31">
        <w:t xml:space="preserve"> 201</w:t>
      </w:r>
      <w:r w:rsidR="00EB0D9E">
        <w:t>0</w:t>
      </w:r>
      <w:r w:rsidR="001A50FF">
        <w:t xml:space="preserve"> and 201</w:t>
      </w:r>
      <w:r w:rsidR="00EB0D9E">
        <w:t>2</w:t>
      </w:r>
      <w:r w:rsidR="001A50FF">
        <w:t xml:space="preserve"> instead of </w:t>
      </w:r>
      <w:r w:rsidR="00EF4F0F" w:rsidRPr="00850783">
        <w:rPr>
          <w:i/>
        </w:rPr>
        <w:t>Locations</w:t>
      </w:r>
      <w:r w:rsidR="00EF4F0F">
        <w:t xml:space="preserve"> </w:t>
      </w:r>
      <w:r w:rsidR="002D36ED">
        <w:t>as of year-end</w:t>
      </w:r>
      <w:r w:rsidR="00C861AF">
        <w:t xml:space="preserve">; </w:t>
      </w:r>
      <w:r w:rsidR="002D4457">
        <w:t>this change is necessary</w:t>
      </w:r>
      <w:r w:rsidR="002D36ED">
        <w:t xml:space="preserve"> to match the reported month-to-month billing information.  Question II.B.2</w:t>
      </w:r>
      <w:r w:rsidR="00300E4D">
        <w:t>,</w:t>
      </w:r>
      <w:r w:rsidR="002D4457">
        <w:t xml:space="preserve"> </w:t>
      </w:r>
      <w:r w:rsidR="00300E4D">
        <w:t>similar to</w:t>
      </w:r>
      <w:r w:rsidR="002D4457">
        <w:t xml:space="preserve"> its</w:t>
      </w:r>
      <w:r w:rsidR="002D36ED">
        <w:t xml:space="preserve"> counterpart</w:t>
      </w:r>
      <w:r w:rsidR="00C76BBE">
        <w:t xml:space="preserve"> question for </w:t>
      </w:r>
      <w:r w:rsidR="00EF4F0F" w:rsidRPr="00850783">
        <w:rPr>
          <w:i/>
        </w:rPr>
        <w:t>C</w:t>
      </w:r>
      <w:r w:rsidR="00C76BBE" w:rsidRPr="00850783">
        <w:rPr>
          <w:i/>
        </w:rPr>
        <w:t xml:space="preserve">ompetitive </w:t>
      </w:r>
      <w:r w:rsidR="00EF4F0F" w:rsidRPr="00850783">
        <w:rPr>
          <w:i/>
        </w:rPr>
        <w:t>P</w:t>
      </w:r>
      <w:r w:rsidR="002D36ED" w:rsidRPr="00850783">
        <w:rPr>
          <w:i/>
        </w:rPr>
        <w:t>roviders</w:t>
      </w:r>
      <w:r w:rsidR="00300E4D">
        <w:t>,</w:t>
      </w:r>
      <w:r w:rsidR="002D36ED">
        <w:t xml:space="preserve"> is clarifi</w:t>
      </w:r>
      <w:r w:rsidR="00C76BBE">
        <w:t xml:space="preserve">ed so that </w:t>
      </w:r>
      <w:r w:rsidR="00C76BBE" w:rsidRPr="00850783">
        <w:rPr>
          <w:i/>
        </w:rPr>
        <w:t>ILECs</w:t>
      </w:r>
      <w:r w:rsidR="00C76BBE">
        <w:t xml:space="preserve"> report </w:t>
      </w:r>
      <w:r w:rsidR="00EF4F0F" w:rsidRPr="00850783">
        <w:rPr>
          <w:i/>
        </w:rPr>
        <w:t>L</w:t>
      </w:r>
      <w:r w:rsidR="002D36ED" w:rsidRPr="00850783">
        <w:rPr>
          <w:i/>
        </w:rPr>
        <w:t>ocations</w:t>
      </w:r>
      <w:r w:rsidR="002D36ED">
        <w:t xml:space="preserve"> </w:t>
      </w:r>
      <w:r w:rsidR="002D4457">
        <w:t xml:space="preserve">in total </w:t>
      </w:r>
      <w:r w:rsidR="002D36ED">
        <w:t>and not separately by the enumerated categories.</w:t>
      </w:r>
      <w:r w:rsidR="002D36ED">
        <w:rPr>
          <w:rStyle w:val="FootnoteReference"/>
        </w:rPr>
        <w:footnoteReference w:id="153"/>
      </w:r>
      <w:r w:rsidR="002D36ED">
        <w:t xml:space="preserve">    </w:t>
      </w:r>
      <w:r w:rsidR="006E0872">
        <w:t xml:space="preserve">  </w:t>
      </w:r>
      <w:r w:rsidR="004E4F02">
        <w:t xml:space="preserve">  </w:t>
      </w:r>
    </w:p>
    <w:p w:rsidR="00E62450" w:rsidRDefault="006E0872" w:rsidP="00EB5B97">
      <w:pPr>
        <w:pStyle w:val="ParaNum"/>
        <w:numPr>
          <w:ilvl w:val="0"/>
          <w:numId w:val="5"/>
        </w:numPr>
        <w:ind w:left="1440" w:hanging="720"/>
      </w:pPr>
      <w:r w:rsidRPr="00E62450">
        <w:rPr>
          <w:i/>
        </w:rPr>
        <w:t>Question II.B.4</w:t>
      </w:r>
      <w:r w:rsidR="00C861AF">
        <w:rPr>
          <w:i/>
        </w:rPr>
        <w:t>-6:  Billing Information from ILECs</w:t>
      </w:r>
      <w:r>
        <w:t xml:space="preserve">.  </w:t>
      </w:r>
      <w:r w:rsidR="00300E4D">
        <w:t xml:space="preserve">Similar to </w:t>
      </w:r>
      <w:r w:rsidR="00C861AF">
        <w:t>the questions on bil</w:t>
      </w:r>
      <w:r w:rsidR="001A50FF">
        <w:t xml:space="preserve">ling for </w:t>
      </w:r>
      <w:r w:rsidR="003B73C1" w:rsidRPr="00850783">
        <w:rPr>
          <w:i/>
        </w:rPr>
        <w:t>C</w:t>
      </w:r>
      <w:r w:rsidR="001A50FF" w:rsidRPr="00850783">
        <w:rPr>
          <w:i/>
        </w:rPr>
        <w:t xml:space="preserve">ompetitive </w:t>
      </w:r>
      <w:r w:rsidR="003B73C1" w:rsidRPr="00850783">
        <w:rPr>
          <w:i/>
        </w:rPr>
        <w:t>P</w:t>
      </w:r>
      <w:r w:rsidR="00C861AF" w:rsidRPr="00850783">
        <w:rPr>
          <w:i/>
        </w:rPr>
        <w:t>roviders</w:t>
      </w:r>
      <w:r w:rsidR="00C861AF">
        <w:t>, we revised these questions based on feedback to reference circuit element instead of rate element.  In addition, w</w:t>
      </w:r>
      <w:r>
        <w:t xml:space="preserve">e </w:t>
      </w:r>
      <w:r w:rsidR="00CA189F">
        <w:t>made the following changes:  (</w:t>
      </w:r>
      <w:r w:rsidR="00913487">
        <w:t>1</w:t>
      </w:r>
      <w:r w:rsidR="00CA189F">
        <w:t xml:space="preserve">) </w:t>
      </w:r>
      <w:r w:rsidR="000969D5">
        <w:t>amended Question II.B.4.b to require the reporting of the customer’s name to identify and internally track purchases by commonly-owned customers; (</w:t>
      </w:r>
      <w:r w:rsidR="00913487">
        <w:t>2</w:t>
      </w:r>
      <w:r w:rsidR="000969D5">
        <w:t xml:space="preserve">) </w:t>
      </w:r>
      <w:r>
        <w:t>remove</w:t>
      </w:r>
      <w:r w:rsidR="00C861AF">
        <w:t>d</w:t>
      </w:r>
      <w:r>
        <w:t xml:space="preserve"> the reference to </w:t>
      </w:r>
      <w:r w:rsidRPr="00850783">
        <w:rPr>
          <w:i/>
        </w:rPr>
        <w:t>U</w:t>
      </w:r>
      <w:r w:rsidR="000D4F32">
        <w:rPr>
          <w:i/>
        </w:rPr>
        <w:t xml:space="preserve">nbundled </w:t>
      </w:r>
      <w:r w:rsidRPr="00850783">
        <w:rPr>
          <w:i/>
        </w:rPr>
        <w:t>C</w:t>
      </w:r>
      <w:r w:rsidR="000D4F32">
        <w:rPr>
          <w:i/>
        </w:rPr>
        <w:t xml:space="preserve">opper </w:t>
      </w:r>
      <w:r w:rsidRPr="00850783">
        <w:rPr>
          <w:i/>
        </w:rPr>
        <w:t>L</w:t>
      </w:r>
      <w:r w:rsidR="000D4F32">
        <w:rPr>
          <w:i/>
        </w:rPr>
        <w:t>oop</w:t>
      </w:r>
      <w:r w:rsidRPr="00850783">
        <w:rPr>
          <w:i/>
        </w:rPr>
        <w:t>s</w:t>
      </w:r>
      <w:r>
        <w:t xml:space="preserve"> in </w:t>
      </w:r>
      <w:r w:rsidR="00C861AF">
        <w:t>Q</w:t>
      </w:r>
      <w:r>
        <w:t>uestion</w:t>
      </w:r>
      <w:r w:rsidR="001A50FF">
        <w:t xml:space="preserve"> II.B.4 because </w:t>
      </w:r>
      <w:r w:rsidR="003B73C1" w:rsidRPr="00850783">
        <w:rPr>
          <w:i/>
        </w:rPr>
        <w:t>Locations</w:t>
      </w:r>
      <w:r w:rsidR="003B73C1">
        <w:t xml:space="preserve"> </w:t>
      </w:r>
      <w:r w:rsidR="00C861AF">
        <w:t xml:space="preserve">connected with </w:t>
      </w:r>
      <w:r w:rsidR="000D4F32">
        <w:rPr>
          <w:i/>
        </w:rPr>
        <w:t>Unbundled Copper Loops</w:t>
      </w:r>
      <w:r w:rsidR="00C861AF">
        <w:t xml:space="preserve"> are no longer reported</w:t>
      </w:r>
      <w:r w:rsidR="003B73C1">
        <w:t xml:space="preserve"> by </w:t>
      </w:r>
      <w:r w:rsidR="003B73C1" w:rsidRPr="00850783">
        <w:rPr>
          <w:i/>
        </w:rPr>
        <w:t>ILECs</w:t>
      </w:r>
      <w:r w:rsidR="00CA189F">
        <w:t xml:space="preserve">; </w:t>
      </w:r>
      <w:r w:rsidR="009A0DBE">
        <w:t>(</w:t>
      </w:r>
      <w:r w:rsidR="00913487">
        <w:t>3</w:t>
      </w:r>
      <w:r w:rsidR="009A0DBE">
        <w:t xml:space="preserve">) </w:t>
      </w:r>
      <w:r w:rsidR="00A128F6">
        <w:t xml:space="preserve">revised Question II.B.5.g-h to refer to “contract or </w:t>
      </w:r>
      <w:r w:rsidR="00A128F6" w:rsidRPr="00850783">
        <w:rPr>
          <w:i/>
        </w:rPr>
        <w:t>Tariff</w:t>
      </w:r>
      <w:r w:rsidR="00A128F6">
        <w:t xml:space="preserve">” and not just contract; (4) </w:t>
      </w:r>
      <w:r w:rsidR="009A0DBE">
        <w:t>deleted references to accuracy levels in Question II.B.4.h-k;</w:t>
      </w:r>
      <w:r w:rsidR="009A0DBE">
        <w:rPr>
          <w:rStyle w:val="FootnoteReference"/>
        </w:rPr>
        <w:footnoteReference w:id="154"/>
      </w:r>
      <w:r w:rsidR="009A0DBE">
        <w:t xml:space="preserve"> </w:t>
      </w:r>
      <w:r w:rsidR="00C861AF">
        <w:t>(</w:t>
      </w:r>
      <w:r w:rsidR="00A128F6">
        <w:t>5</w:t>
      </w:r>
      <w:r>
        <w:t xml:space="preserve">) </w:t>
      </w:r>
      <w:r w:rsidR="00A128F6">
        <w:t xml:space="preserve">added a new Question II.B.4.t to capture the per unit charge for the circuit element in addition to the total billed amount; (6) modified former Question II.B.4.t to remove redundant language; (7) </w:t>
      </w:r>
      <w:r>
        <w:t>deleted former Question II.B.4.w because a revenue commitment is</w:t>
      </w:r>
      <w:r w:rsidR="001A50FF">
        <w:t xml:space="preserve"> included in the definition of </w:t>
      </w:r>
      <w:r w:rsidR="003B73C1" w:rsidRPr="00850783">
        <w:rPr>
          <w:i/>
        </w:rPr>
        <w:t>V</w:t>
      </w:r>
      <w:r w:rsidR="001A50FF" w:rsidRPr="00850783">
        <w:rPr>
          <w:i/>
        </w:rPr>
        <w:t xml:space="preserve">olume </w:t>
      </w:r>
      <w:r w:rsidR="003B73C1" w:rsidRPr="00850783">
        <w:rPr>
          <w:i/>
        </w:rPr>
        <w:t>C</w:t>
      </w:r>
      <w:r w:rsidRPr="00850783">
        <w:rPr>
          <w:i/>
        </w:rPr>
        <w:t>ommitment</w:t>
      </w:r>
      <w:r>
        <w:t xml:space="preserve"> referenc</w:t>
      </w:r>
      <w:r w:rsidR="00C861AF">
        <w:t xml:space="preserve">ed in </w:t>
      </w:r>
      <w:r w:rsidR="00CA189F">
        <w:t>a subsequent part of this question</w:t>
      </w:r>
      <w:r w:rsidR="00C861AF">
        <w:t xml:space="preserve">; </w:t>
      </w:r>
      <w:r w:rsidR="000969D5">
        <w:t>(</w:t>
      </w:r>
      <w:r w:rsidR="00A128F6">
        <w:t>8</w:t>
      </w:r>
      <w:r w:rsidR="00CA189F">
        <w:t xml:space="preserve">) deleted the requirement to report whether the circuit element is owned or leased as an </w:t>
      </w:r>
      <w:r w:rsidR="00CA189F" w:rsidRPr="00850783">
        <w:rPr>
          <w:i/>
        </w:rPr>
        <w:t>IRU</w:t>
      </w:r>
      <w:r w:rsidR="00CA189F">
        <w:t xml:space="preserve"> in II.B.4.y;</w:t>
      </w:r>
      <w:r w:rsidR="00CA189F">
        <w:rPr>
          <w:rStyle w:val="FootnoteReference"/>
        </w:rPr>
        <w:footnoteReference w:id="155"/>
      </w:r>
      <w:r w:rsidR="00CA189F">
        <w:t xml:space="preserve"> </w:t>
      </w:r>
      <w:r w:rsidR="00A128F6">
        <w:t xml:space="preserve">and </w:t>
      </w:r>
      <w:r w:rsidR="00C861AF">
        <w:t>(</w:t>
      </w:r>
      <w:r w:rsidR="00A128F6">
        <w:t>9</w:t>
      </w:r>
      <w:r>
        <w:t xml:space="preserve">) </w:t>
      </w:r>
      <w:r w:rsidR="0022189E">
        <w:t>deleted</w:t>
      </w:r>
      <w:r>
        <w:t xml:space="preserve"> former II.B.4.</w:t>
      </w:r>
      <w:r w:rsidR="0022189E">
        <w:t xml:space="preserve">aa because the burden outweighed the benefit of </w:t>
      </w:r>
      <w:r w:rsidR="00CD0233">
        <w:t>linking the billing information for a circuit to a particular tariff name and section number</w:t>
      </w:r>
      <w:r w:rsidR="00CF2A53">
        <w:t>.</w:t>
      </w:r>
    </w:p>
    <w:p w:rsidR="005678E0" w:rsidRDefault="006E0872" w:rsidP="00EB5B97">
      <w:pPr>
        <w:pStyle w:val="ParaNum"/>
        <w:numPr>
          <w:ilvl w:val="0"/>
          <w:numId w:val="5"/>
        </w:numPr>
        <w:ind w:left="1440" w:hanging="720"/>
      </w:pPr>
      <w:r w:rsidRPr="00E62450">
        <w:rPr>
          <w:i/>
        </w:rPr>
        <w:t>Question II.B.12</w:t>
      </w:r>
      <w:r w:rsidR="008C3EA0">
        <w:rPr>
          <w:i/>
        </w:rPr>
        <w:t>:  All Tariffs</w:t>
      </w:r>
      <w:r>
        <w:t>.</w:t>
      </w:r>
      <w:r w:rsidR="008C3EA0">
        <w:t xml:space="preserve">  Deleted “available” from the initial sentence to capture not only available </w:t>
      </w:r>
      <w:r w:rsidR="001A50FF">
        <w:t>t</w:t>
      </w:r>
      <w:r w:rsidR="00917C70">
        <w:t>ariffs</w:t>
      </w:r>
      <w:r w:rsidR="008C3EA0">
        <w:t xml:space="preserve"> but also </w:t>
      </w:r>
      <w:r w:rsidR="001A50FF">
        <w:t>t</w:t>
      </w:r>
      <w:r w:rsidR="00917C70">
        <w:t>ariffs</w:t>
      </w:r>
      <w:r w:rsidR="008C3EA0">
        <w:t xml:space="preserve"> currently in effect for the purchase of </w:t>
      </w:r>
      <w:r w:rsidR="008C3EA0" w:rsidRPr="00850783">
        <w:rPr>
          <w:i/>
        </w:rPr>
        <w:t>DS1</w:t>
      </w:r>
      <w:r w:rsidR="008C3EA0">
        <w:t xml:space="preserve">, </w:t>
      </w:r>
      <w:r w:rsidR="008C3EA0" w:rsidRPr="00850783">
        <w:rPr>
          <w:i/>
        </w:rPr>
        <w:t>DS3</w:t>
      </w:r>
      <w:r w:rsidR="008C3EA0">
        <w:t xml:space="preserve">, and </w:t>
      </w:r>
      <w:r w:rsidR="008C3EA0" w:rsidRPr="00850783">
        <w:rPr>
          <w:i/>
        </w:rPr>
        <w:t>P</w:t>
      </w:r>
      <w:r w:rsidR="00085C4E" w:rsidRPr="00850783">
        <w:rPr>
          <w:i/>
        </w:rPr>
        <w:t>BDS</w:t>
      </w:r>
      <w:r w:rsidR="00085C4E">
        <w:t xml:space="preserve"> services; this change </w:t>
      </w:r>
      <w:r w:rsidR="00FE5FC3">
        <w:t>enables us</w:t>
      </w:r>
      <w:r w:rsidR="00085C4E">
        <w:t xml:space="preserve"> to obtain information on all </w:t>
      </w:r>
      <w:r w:rsidR="00085C4E" w:rsidRPr="00850783">
        <w:rPr>
          <w:i/>
        </w:rPr>
        <w:t>Tariff</w:t>
      </w:r>
      <w:r w:rsidR="00917C70" w:rsidRPr="00850783">
        <w:rPr>
          <w:i/>
        </w:rPr>
        <w:t>s</w:t>
      </w:r>
      <w:r w:rsidR="00085C4E">
        <w:t xml:space="preserve"> that are currently used,</w:t>
      </w:r>
      <w:r w:rsidR="001A50FF">
        <w:t xml:space="preserve"> or could be used, to purchase </w:t>
      </w:r>
      <w:r w:rsidR="003B73C1" w:rsidRPr="00850783">
        <w:rPr>
          <w:i/>
        </w:rPr>
        <w:t>D</w:t>
      </w:r>
      <w:r w:rsidR="001A50FF" w:rsidRPr="00850783">
        <w:rPr>
          <w:i/>
        </w:rPr>
        <w:t xml:space="preserve">edicated </w:t>
      </w:r>
      <w:r w:rsidR="003B73C1" w:rsidRPr="00850783">
        <w:rPr>
          <w:i/>
        </w:rPr>
        <w:t>S</w:t>
      </w:r>
      <w:r w:rsidR="00085C4E" w:rsidRPr="00850783">
        <w:rPr>
          <w:i/>
        </w:rPr>
        <w:t>ervice</w:t>
      </w:r>
      <w:r w:rsidR="00085C4E">
        <w:t xml:space="preserve"> from </w:t>
      </w:r>
      <w:r w:rsidR="00085C4E" w:rsidRPr="00850783">
        <w:rPr>
          <w:i/>
        </w:rPr>
        <w:t>ILECs</w:t>
      </w:r>
      <w:r w:rsidR="00085C4E">
        <w:t>.</w:t>
      </w:r>
      <w:r w:rsidR="00917C70">
        <w:t xml:space="preserve">  </w:t>
      </w:r>
      <w:r w:rsidR="00DE30C2">
        <w:t xml:space="preserve">We amended </w:t>
      </w:r>
      <w:r w:rsidR="00917C70">
        <w:t>Question II.B.12.g to obtain additional information on the geographic areas covered by the identified plans to help the Commission differentiate between urban and rural areas.</w:t>
      </w:r>
      <w:r w:rsidR="00CD27C8">
        <w:t xml:space="preserve">  Added new Question II.B.12.k-l to indicate whether purchases in areas where pricing flexibility has been granted count towards meeting a </w:t>
      </w:r>
      <w:r w:rsidR="00CD27C8" w:rsidRPr="00850783">
        <w:rPr>
          <w:i/>
        </w:rPr>
        <w:t>Volume Commitment</w:t>
      </w:r>
      <w:r w:rsidR="00CD27C8">
        <w:t xml:space="preserve">.  </w:t>
      </w:r>
      <w:r w:rsidR="003C698C">
        <w:t xml:space="preserve">Added new Question II.B.12.n to indicate whether tariffed purchases of </w:t>
      </w:r>
      <w:r w:rsidR="003C698C" w:rsidRPr="00850783">
        <w:rPr>
          <w:i/>
        </w:rPr>
        <w:t>PBDS</w:t>
      </w:r>
      <w:r w:rsidR="003C698C">
        <w:t xml:space="preserve"> count towards meeting a </w:t>
      </w:r>
      <w:r w:rsidR="003C698C" w:rsidRPr="00850783">
        <w:rPr>
          <w:i/>
        </w:rPr>
        <w:t>Volume Commitment</w:t>
      </w:r>
      <w:r w:rsidR="003C698C">
        <w:t xml:space="preserve">.  </w:t>
      </w:r>
      <w:r w:rsidR="00DE30C2">
        <w:t xml:space="preserve">Revised </w:t>
      </w:r>
      <w:r w:rsidR="003C698C">
        <w:t xml:space="preserve">former </w:t>
      </w:r>
      <w:r w:rsidR="00DE30C2">
        <w:t>Question II.B.12.n</w:t>
      </w:r>
      <w:r w:rsidR="003C698C">
        <w:t xml:space="preserve"> (now Question II.B.12.q)</w:t>
      </w:r>
      <w:r w:rsidR="00DE30C2">
        <w:t xml:space="preserve"> to only require the reporting of </w:t>
      </w:r>
      <w:r w:rsidR="003B73C1" w:rsidRPr="00850783">
        <w:rPr>
          <w:i/>
        </w:rPr>
        <w:t>R</w:t>
      </w:r>
      <w:r w:rsidR="00DE30C2" w:rsidRPr="00850783">
        <w:rPr>
          <w:i/>
        </w:rPr>
        <w:t>evenues</w:t>
      </w:r>
      <w:r w:rsidR="00DE30C2">
        <w:t xml:space="preserve"> in total and not separately by additional categories</w:t>
      </w:r>
      <w:r w:rsidR="004A3EA7">
        <w:t>, and d</w:t>
      </w:r>
      <w:r w:rsidR="00DE30C2">
        <w:t xml:space="preserve">eleted </w:t>
      </w:r>
      <w:r w:rsidR="003C698C">
        <w:t xml:space="preserve">former </w:t>
      </w:r>
      <w:r w:rsidR="00DE30C2">
        <w:t xml:space="preserve">Question II.B.12.o-p because the burden of reporting outweighed the potential benefit of collecting the information.  </w:t>
      </w:r>
      <w:r w:rsidR="00300E4D">
        <w:t>Lastly,</w:t>
      </w:r>
      <w:r w:rsidR="00917C70">
        <w:t xml:space="preserve"> </w:t>
      </w:r>
      <w:r w:rsidR="00C973CC">
        <w:t xml:space="preserve">we </w:t>
      </w:r>
      <w:r w:rsidR="00917C70">
        <w:t xml:space="preserve">amended </w:t>
      </w:r>
      <w:r w:rsidR="00DE30C2">
        <w:t xml:space="preserve">former </w:t>
      </w:r>
      <w:r w:rsidR="00917C70">
        <w:t xml:space="preserve">Question II.B.12.r </w:t>
      </w:r>
      <w:r w:rsidR="00DE30C2">
        <w:t>(now Question II.B.12.</w:t>
      </w:r>
      <w:r w:rsidR="003C698C">
        <w:t>s</w:t>
      </w:r>
      <w:r w:rsidR="00DE30C2">
        <w:t xml:space="preserve">) </w:t>
      </w:r>
      <w:r w:rsidR="00917C70">
        <w:t>to address concerns raised by Level 3 about plans that effectively cont</w:t>
      </w:r>
      <w:r w:rsidR="001A50FF">
        <w:t xml:space="preserve">ain </w:t>
      </w:r>
      <w:r w:rsidR="003B73C1" w:rsidRPr="00850783">
        <w:rPr>
          <w:i/>
        </w:rPr>
        <w:t>P</w:t>
      </w:r>
      <w:r w:rsidR="001A50FF" w:rsidRPr="00850783">
        <w:rPr>
          <w:i/>
        </w:rPr>
        <w:t xml:space="preserve">rior </w:t>
      </w:r>
      <w:r w:rsidR="003B73C1" w:rsidRPr="00850783">
        <w:rPr>
          <w:i/>
        </w:rPr>
        <w:t>P</w:t>
      </w:r>
      <w:r w:rsidR="001A50FF" w:rsidRPr="00850783">
        <w:rPr>
          <w:i/>
        </w:rPr>
        <w:t>urchase-</w:t>
      </w:r>
      <w:r w:rsidR="003B73C1" w:rsidRPr="00850783">
        <w:rPr>
          <w:i/>
        </w:rPr>
        <w:t>B</w:t>
      </w:r>
      <w:r w:rsidR="001A50FF" w:rsidRPr="00850783">
        <w:rPr>
          <w:i/>
        </w:rPr>
        <w:t xml:space="preserve">ased </w:t>
      </w:r>
      <w:r w:rsidR="003B73C1" w:rsidRPr="00850783">
        <w:rPr>
          <w:i/>
        </w:rPr>
        <w:t>C</w:t>
      </w:r>
      <w:r w:rsidR="00917C70" w:rsidRPr="00850783">
        <w:rPr>
          <w:i/>
        </w:rPr>
        <w:t>ommitments</w:t>
      </w:r>
      <w:r w:rsidR="00917C70">
        <w:t xml:space="preserve"> without explicitly containing such provisions.</w:t>
      </w:r>
      <w:r w:rsidR="00917C70">
        <w:rPr>
          <w:rStyle w:val="FootnoteReference"/>
        </w:rPr>
        <w:footnoteReference w:id="156"/>
      </w:r>
    </w:p>
    <w:p w:rsidR="005678E0" w:rsidRDefault="005678E0" w:rsidP="00EB5B97">
      <w:pPr>
        <w:pStyle w:val="ParaNum"/>
        <w:numPr>
          <w:ilvl w:val="0"/>
          <w:numId w:val="5"/>
        </w:numPr>
        <w:ind w:left="1440" w:hanging="720"/>
      </w:pPr>
      <w:r>
        <w:rPr>
          <w:i/>
        </w:rPr>
        <w:t>Question II.B.13:  Non-Tariffed Agreements</w:t>
      </w:r>
      <w:r w:rsidRPr="005678E0">
        <w:t>.</w:t>
      </w:r>
      <w:r>
        <w:t xml:space="preserve">  Rephrased language to </w:t>
      </w:r>
      <w:r w:rsidR="00300E4D">
        <w:t>simplify electronic filing</w:t>
      </w:r>
      <w:r w:rsidR="004B027E">
        <w:t>,</w:t>
      </w:r>
      <w:r w:rsidR="004B027E" w:rsidRPr="004B027E">
        <w:rPr>
          <w:i/>
        </w:rPr>
        <w:t xml:space="preserve"> i.e.</w:t>
      </w:r>
      <w:r w:rsidR="004B027E">
        <w:t>, eliminate</w:t>
      </w:r>
      <w:r w:rsidR="00300E4D">
        <w:t xml:space="preserve">d </w:t>
      </w:r>
      <w:r w:rsidR="000D4F32">
        <w:t xml:space="preserve">the </w:t>
      </w:r>
      <w:r w:rsidR="004B027E">
        <w:t>need for a yes/no response.</w:t>
      </w:r>
    </w:p>
    <w:p w:rsidR="00B525D8" w:rsidRDefault="005678E0" w:rsidP="00EB5B97">
      <w:pPr>
        <w:pStyle w:val="ParaNum"/>
        <w:numPr>
          <w:ilvl w:val="0"/>
          <w:numId w:val="5"/>
        </w:numPr>
        <w:ind w:left="1440" w:hanging="720"/>
      </w:pPr>
      <w:r>
        <w:rPr>
          <w:i/>
        </w:rPr>
        <w:t>Question II.C</w:t>
      </w:r>
      <w:r w:rsidR="00B525D8">
        <w:rPr>
          <w:i/>
        </w:rPr>
        <w:t>.1-2</w:t>
      </w:r>
      <w:r>
        <w:rPr>
          <w:i/>
        </w:rPr>
        <w:t>:  Entities Providing Best Efforts Services</w:t>
      </w:r>
      <w:r>
        <w:t xml:space="preserve">.  Condensed Questions II.C.1-2 into one question and rephrased so that only covered entities, </w:t>
      </w:r>
      <w:r w:rsidRPr="005678E0">
        <w:rPr>
          <w:i/>
        </w:rPr>
        <w:t>i.e.</w:t>
      </w:r>
      <w:r>
        <w:t xml:space="preserve">, those not exempted, must answer.  Modified former </w:t>
      </w:r>
      <w:r w:rsidR="0010736B">
        <w:t xml:space="preserve">Question </w:t>
      </w:r>
      <w:r>
        <w:t>II.C.</w:t>
      </w:r>
      <w:r w:rsidR="00B525D8">
        <w:t>2</w:t>
      </w:r>
      <w:r>
        <w:t xml:space="preserve">.c.ii and d.ii to require reporting </w:t>
      </w:r>
      <w:r w:rsidR="00060185">
        <w:t>for areas where service is</w:t>
      </w:r>
      <w:r>
        <w:t xml:space="preserve"> offered</w:t>
      </w:r>
      <w:r w:rsidR="00B525D8">
        <w:t>,</w:t>
      </w:r>
      <w:r>
        <w:t xml:space="preserve"> instead of </w:t>
      </w:r>
      <w:r w:rsidR="00B525D8">
        <w:t xml:space="preserve">where service is </w:t>
      </w:r>
      <w:r>
        <w:t>provided.</w:t>
      </w:r>
      <w:r w:rsidR="00B525D8">
        <w:rPr>
          <w:rStyle w:val="FootnoteReference"/>
        </w:rPr>
        <w:footnoteReference w:id="157"/>
      </w:r>
      <w:r w:rsidR="00060185">
        <w:t xml:space="preserve">  This is consistent with how </w:t>
      </w:r>
      <w:r w:rsidR="004E60F6">
        <w:t xml:space="preserve">data </w:t>
      </w:r>
      <w:r w:rsidR="001045E6">
        <w:t>are</w:t>
      </w:r>
      <w:r w:rsidR="004E60F6">
        <w:t xml:space="preserve"> </w:t>
      </w:r>
      <w:r w:rsidR="00060185">
        <w:t xml:space="preserve">reported for the </w:t>
      </w:r>
      <w:r w:rsidR="004E60F6">
        <w:t>State Broadband Initiative (SBI) program</w:t>
      </w:r>
      <w:r w:rsidR="00060185">
        <w:t>.</w:t>
      </w:r>
      <w:r w:rsidR="00060185">
        <w:rPr>
          <w:rStyle w:val="FootnoteReference"/>
        </w:rPr>
        <w:footnoteReference w:id="158"/>
      </w:r>
    </w:p>
    <w:p w:rsidR="003C1116" w:rsidRPr="00850783" w:rsidRDefault="003C1116" w:rsidP="005122F8">
      <w:pPr>
        <w:pStyle w:val="ParaNum"/>
        <w:widowControl/>
        <w:numPr>
          <w:ilvl w:val="0"/>
          <w:numId w:val="5"/>
        </w:numPr>
        <w:ind w:left="1440" w:hanging="720"/>
      </w:pPr>
      <w:r w:rsidRPr="00850783">
        <w:rPr>
          <w:i/>
        </w:rPr>
        <w:t>Question II.D.3:  Procedures when Changing Transport Providers</w:t>
      </w:r>
      <w:r>
        <w:t xml:space="preserve">.  We are deleting this question and will instead rely on information obtained from similar questions directed at </w:t>
      </w:r>
      <w:r w:rsidRPr="00850783">
        <w:rPr>
          <w:i/>
        </w:rPr>
        <w:t>Purchasers</w:t>
      </w:r>
      <w:r>
        <w:t xml:space="preserve"> and follow-up as necessary with </w:t>
      </w:r>
      <w:r w:rsidRPr="00850783">
        <w:rPr>
          <w:i/>
        </w:rPr>
        <w:t>Providers</w:t>
      </w:r>
      <w:r>
        <w:t xml:space="preserve"> based on those responses.</w:t>
      </w:r>
      <w:r>
        <w:rPr>
          <w:rStyle w:val="FootnoteReference"/>
        </w:rPr>
        <w:footnoteReference w:id="159"/>
      </w:r>
      <w:r>
        <w:t xml:space="preserve">   </w:t>
      </w:r>
    </w:p>
    <w:p w:rsidR="00B525D8" w:rsidRDefault="00B525D8" w:rsidP="006C7B48">
      <w:pPr>
        <w:pStyle w:val="ParaNum"/>
        <w:widowControl/>
        <w:numPr>
          <w:ilvl w:val="0"/>
          <w:numId w:val="5"/>
        </w:numPr>
        <w:ind w:left="1440" w:hanging="720"/>
      </w:pPr>
      <w:r>
        <w:rPr>
          <w:i/>
        </w:rPr>
        <w:t>Section</w:t>
      </w:r>
      <w:r w:rsidR="00511E93">
        <w:rPr>
          <w:i/>
        </w:rPr>
        <w:t>s</w:t>
      </w:r>
      <w:r>
        <w:rPr>
          <w:i/>
        </w:rPr>
        <w:t xml:space="preserve"> II</w:t>
      </w:r>
      <w:r w:rsidRPr="00B525D8">
        <w:t>.</w:t>
      </w:r>
      <w:r>
        <w:rPr>
          <w:i/>
        </w:rPr>
        <w:t>E</w:t>
      </w:r>
      <w:r w:rsidR="00511E93">
        <w:rPr>
          <w:i/>
        </w:rPr>
        <w:t>-F</w:t>
      </w:r>
      <w:r>
        <w:rPr>
          <w:i/>
        </w:rPr>
        <w:t>:  Questions for Purchasers</w:t>
      </w:r>
      <w:r w:rsidR="00511E93">
        <w:rPr>
          <w:i/>
        </w:rPr>
        <w:t>.</w:t>
      </w:r>
      <w:r>
        <w:rPr>
          <w:i/>
        </w:rPr>
        <w:t xml:space="preserve">  </w:t>
      </w:r>
      <w:r>
        <w:t xml:space="preserve">To differentiate information from </w:t>
      </w:r>
      <w:r w:rsidR="007535CE" w:rsidRPr="00850783">
        <w:rPr>
          <w:i/>
        </w:rPr>
        <w:t>P</w:t>
      </w:r>
      <w:r w:rsidRPr="00850783">
        <w:rPr>
          <w:i/>
        </w:rPr>
        <w:t>urchasers</w:t>
      </w:r>
      <w:r>
        <w:t xml:space="preserve"> that are mobile wireless service</w:t>
      </w:r>
      <w:r w:rsidR="00917C70">
        <w:t xml:space="preserve"> </w:t>
      </w:r>
      <w:r>
        <w:t xml:space="preserve">providers from other </w:t>
      </w:r>
      <w:r w:rsidR="007535CE" w:rsidRPr="00850783">
        <w:rPr>
          <w:i/>
        </w:rPr>
        <w:t>P</w:t>
      </w:r>
      <w:r w:rsidRPr="00850783">
        <w:rPr>
          <w:i/>
        </w:rPr>
        <w:t>urchasers</w:t>
      </w:r>
      <w:r>
        <w:t>, we have dup</w:t>
      </w:r>
      <w:r w:rsidR="00E25583">
        <w:t>licated Q</w:t>
      </w:r>
      <w:r w:rsidR="00511E93">
        <w:t xml:space="preserve">uestions </w:t>
      </w:r>
      <w:r w:rsidR="00E25583">
        <w:t xml:space="preserve">II.F.2-14 </w:t>
      </w:r>
      <w:r w:rsidR="00511E93">
        <w:t>and added them to</w:t>
      </w:r>
      <w:r>
        <w:t xml:space="preserve"> Section II.E.  </w:t>
      </w:r>
      <w:r w:rsidRPr="00850783">
        <w:rPr>
          <w:i/>
        </w:rPr>
        <w:t>Purchasers</w:t>
      </w:r>
      <w:r>
        <w:t xml:space="preserve"> that are mobile wireless </w:t>
      </w:r>
      <w:r w:rsidR="00060185">
        <w:t xml:space="preserve">service </w:t>
      </w:r>
      <w:r>
        <w:t>providers will now only answer the questio</w:t>
      </w:r>
      <w:r w:rsidR="00511E93">
        <w:t xml:space="preserve">ns on purchases in Section II.E.  All other </w:t>
      </w:r>
      <w:r w:rsidR="007535CE" w:rsidRPr="00850783">
        <w:rPr>
          <w:i/>
        </w:rPr>
        <w:t>P</w:t>
      </w:r>
      <w:r w:rsidR="00511E93" w:rsidRPr="00850783">
        <w:rPr>
          <w:i/>
        </w:rPr>
        <w:t>urchasers</w:t>
      </w:r>
      <w:r w:rsidR="00511E93">
        <w:t xml:space="preserve"> will answer the questions in Section II.F.</w:t>
      </w:r>
    </w:p>
    <w:p w:rsidR="0010736B" w:rsidRPr="0010736B" w:rsidRDefault="0010736B" w:rsidP="00EB5B97">
      <w:pPr>
        <w:pStyle w:val="ParaNum"/>
        <w:numPr>
          <w:ilvl w:val="0"/>
          <w:numId w:val="5"/>
        </w:numPr>
        <w:ind w:left="1440" w:hanging="720"/>
      </w:pPr>
      <w:r>
        <w:rPr>
          <w:i/>
        </w:rPr>
        <w:t>Question II.E.2:  Cell Site Locations</w:t>
      </w:r>
      <w:r>
        <w:t>.  Revised Question II.E.2.g-h to clarify that the total bandwidth is reported.</w:t>
      </w:r>
    </w:p>
    <w:p w:rsidR="00F8232D" w:rsidRPr="00850783" w:rsidRDefault="00F8232D" w:rsidP="00EB5B97">
      <w:pPr>
        <w:pStyle w:val="ParaNum"/>
        <w:numPr>
          <w:ilvl w:val="0"/>
          <w:numId w:val="5"/>
        </w:numPr>
        <w:ind w:left="1440" w:hanging="720"/>
      </w:pPr>
      <w:r>
        <w:rPr>
          <w:i/>
        </w:rPr>
        <w:t xml:space="preserve">Questions II.F.3-4 (II.E.4-5): </w:t>
      </w:r>
      <w:r>
        <w:t xml:space="preserve">Added subpart asking </w:t>
      </w:r>
      <w:r w:rsidRPr="00850783">
        <w:rPr>
          <w:i/>
        </w:rPr>
        <w:t>Purchasers</w:t>
      </w:r>
      <w:r>
        <w:t xml:space="preserve"> to identify the percentage of expenditures </w:t>
      </w:r>
      <w:r w:rsidR="00920276">
        <w:t xml:space="preserve">made </w:t>
      </w:r>
      <w:r>
        <w:t xml:space="preserve">pursuant to </w:t>
      </w:r>
      <w:r w:rsidR="00920276">
        <w:t xml:space="preserve">purchases under </w:t>
      </w:r>
      <w:r>
        <w:t xml:space="preserve">a </w:t>
      </w:r>
      <w:r w:rsidRPr="00850783">
        <w:rPr>
          <w:i/>
        </w:rPr>
        <w:t>Tariff</w:t>
      </w:r>
      <w:r>
        <w:t xml:space="preserve"> in 201</w:t>
      </w:r>
      <w:r w:rsidR="00EB0D9E">
        <w:t>2</w:t>
      </w:r>
      <w:r>
        <w:t xml:space="preserve"> that were subject to a </w:t>
      </w:r>
      <w:r w:rsidRPr="00850783">
        <w:rPr>
          <w:i/>
        </w:rPr>
        <w:t>Term Commitment</w:t>
      </w:r>
      <w:r>
        <w:t xml:space="preserve"> of five or more years.  This will help us gauge the scope of expenditures tied to longer-term plans.</w:t>
      </w:r>
    </w:p>
    <w:p w:rsidR="00177729" w:rsidRPr="00177729" w:rsidRDefault="00E12513" w:rsidP="00EB5B97">
      <w:pPr>
        <w:pStyle w:val="ParaNum"/>
        <w:numPr>
          <w:ilvl w:val="0"/>
          <w:numId w:val="5"/>
        </w:numPr>
        <w:ind w:left="1440" w:hanging="720"/>
      </w:pPr>
      <w:r w:rsidRPr="00E12513">
        <w:rPr>
          <w:i/>
        </w:rPr>
        <w:t>Question II.F.8</w:t>
      </w:r>
      <w:r w:rsidR="001A273E">
        <w:rPr>
          <w:i/>
        </w:rPr>
        <w:t xml:space="preserve"> (</w:t>
      </w:r>
      <w:r w:rsidR="007F72A1">
        <w:rPr>
          <w:i/>
        </w:rPr>
        <w:t>II.E.</w:t>
      </w:r>
      <w:r w:rsidR="005D7148">
        <w:rPr>
          <w:i/>
        </w:rPr>
        <w:t>9</w:t>
      </w:r>
      <w:r w:rsidR="007F72A1">
        <w:rPr>
          <w:i/>
        </w:rPr>
        <w:t>)</w:t>
      </w:r>
      <w:r w:rsidRPr="00E12513">
        <w:rPr>
          <w:i/>
        </w:rPr>
        <w:t>:  Terms and Conditions Constraints</w:t>
      </w:r>
      <w:r>
        <w:t xml:space="preserve">.  </w:t>
      </w:r>
      <w:r w:rsidR="00E05864">
        <w:t>A</w:t>
      </w:r>
      <w:r w:rsidR="004B027E">
        <w:t xml:space="preserve">s suggested by parties, we </w:t>
      </w:r>
      <w:r w:rsidR="00E05864">
        <w:t>clarif</w:t>
      </w:r>
      <w:r w:rsidR="00300E4D">
        <w:t>ied</w:t>
      </w:r>
      <w:r w:rsidR="00E05864">
        <w:t xml:space="preserve"> this question </w:t>
      </w:r>
      <w:r w:rsidR="00300E4D">
        <w:t xml:space="preserve">to </w:t>
      </w:r>
      <w:r w:rsidR="00E05864">
        <w:t xml:space="preserve">give </w:t>
      </w:r>
      <w:r w:rsidR="007535CE" w:rsidRPr="00850783">
        <w:rPr>
          <w:i/>
        </w:rPr>
        <w:t>Purchasers</w:t>
      </w:r>
      <w:r w:rsidR="007535CE">
        <w:t xml:space="preserve"> </w:t>
      </w:r>
      <w:r w:rsidR="00E05864">
        <w:t>an opportunity to highlight alleged problems with terms and conditions not otherwise captured by the collection.</w:t>
      </w:r>
      <w:r w:rsidR="007F72A1">
        <w:rPr>
          <w:rStyle w:val="FootnoteReference"/>
        </w:rPr>
        <w:footnoteReference w:id="160"/>
      </w:r>
      <w:r w:rsidR="00E05864">
        <w:t xml:space="preserve">  </w:t>
      </w:r>
    </w:p>
    <w:p w:rsidR="001A273E" w:rsidRPr="001A273E" w:rsidRDefault="00177729" w:rsidP="00EB5B97">
      <w:pPr>
        <w:pStyle w:val="ParaNum"/>
        <w:numPr>
          <w:ilvl w:val="0"/>
          <w:numId w:val="5"/>
        </w:numPr>
        <w:ind w:left="1440" w:hanging="720"/>
      </w:pPr>
      <w:r>
        <w:rPr>
          <w:i/>
        </w:rPr>
        <w:t>Question II</w:t>
      </w:r>
      <w:r w:rsidRPr="00177729">
        <w:t>.</w:t>
      </w:r>
      <w:r w:rsidR="001A273E">
        <w:rPr>
          <w:i/>
        </w:rPr>
        <w:t>F.9 (</w:t>
      </w:r>
      <w:r w:rsidR="005D7148">
        <w:rPr>
          <w:i/>
        </w:rPr>
        <w:t>II.E.10</w:t>
      </w:r>
      <w:r>
        <w:rPr>
          <w:i/>
        </w:rPr>
        <w:t xml:space="preserve">):  </w:t>
      </w:r>
      <w:r w:rsidR="001A273E">
        <w:rPr>
          <w:i/>
        </w:rPr>
        <w:t xml:space="preserve">Changing Transport Providers.  </w:t>
      </w:r>
      <w:r w:rsidR="00611208">
        <w:t>Revised language to clarify</w:t>
      </w:r>
      <w:r w:rsidR="001A273E">
        <w:t xml:space="preserve"> intent of obtaining information in those instanc</w:t>
      </w:r>
      <w:r w:rsidR="001A50FF">
        <w:t xml:space="preserve">es where a </w:t>
      </w:r>
      <w:r w:rsidR="007535CE" w:rsidRPr="00850783">
        <w:rPr>
          <w:i/>
        </w:rPr>
        <w:t>P</w:t>
      </w:r>
      <w:r w:rsidR="001A50FF" w:rsidRPr="00850783">
        <w:rPr>
          <w:i/>
        </w:rPr>
        <w:t>urchaser</w:t>
      </w:r>
      <w:r w:rsidR="001A50FF">
        <w:t xml:space="preserve"> buys both </w:t>
      </w:r>
      <w:r w:rsidR="007535CE" w:rsidRPr="00850783">
        <w:rPr>
          <w:i/>
        </w:rPr>
        <w:t>T</w:t>
      </w:r>
      <w:r w:rsidR="001A50FF" w:rsidRPr="00850783">
        <w:rPr>
          <w:i/>
        </w:rPr>
        <w:t xml:space="preserve">ransport </w:t>
      </w:r>
      <w:r w:rsidR="007535CE" w:rsidRPr="00850783">
        <w:rPr>
          <w:i/>
        </w:rPr>
        <w:t>S</w:t>
      </w:r>
      <w:r w:rsidR="001A50FF" w:rsidRPr="00850783">
        <w:rPr>
          <w:i/>
        </w:rPr>
        <w:t>ervice</w:t>
      </w:r>
      <w:r w:rsidR="001A50FF">
        <w:t xml:space="preserve"> and </w:t>
      </w:r>
      <w:r w:rsidR="007535CE" w:rsidRPr="00850783">
        <w:rPr>
          <w:i/>
        </w:rPr>
        <w:t>E</w:t>
      </w:r>
      <w:r w:rsidR="001A50FF" w:rsidRPr="00850783">
        <w:rPr>
          <w:i/>
        </w:rPr>
        <w:t xml:space="preserve">nd </w:t>
      </w:r>
      <w:r w:rsidR="007535CE" w:rsidRPr="00850783">
        <w:rPr>
          <w:i/>
        </w:rPr>
        <w:t>User C</w:t>
      </w:r>
      <w:r w:rsidR="001A50FF" w:rsidRPr="00850783">
        <w:rPr>
          <w:i/>
        </w:rPr>
        <w:t xml:space="preserve">hannel </w:t>
      </w:r>
      <w:r w:rsidR="007535CE" w:rsidRPr="00850783">
        <w:rPr>
          <w:i/>
        </w:rPr>
        <w:t>T</w:t>
      </w:r>
      <w:r w:rsidR="001A273E" w:rsidRPr="00850783">
        <w:rPr>
          <w:i/>
        </w:rPr>
        <w:t>erminations</w:t>
      </w:r>
      <w:r w:rsidR="001A273E">
        <w:t xml:space="preserve"> </w:t>
      </w:r>
      <w:r w:rsidR="00611208">
        <w:t xml:space="preserve">from one </w:t>
      </w:r>
      <w:r w:rsidR="007535CE" w:rsidRPr="00850783">
        <w:rPr>
          <w:i/>
        </w:rPr>
        <w:t>P</w:t>
      </w:r>
      <w:r w:rsidR="00611208" w:rsidRPr="00850783">
        <w:rPr>
          <w:i/>
        </w:rPr>
        <w:t>rovider</w:t>
      </w:r>
      <w:r w:rsidR="00611208">
        <w:t xml:space="preserve"> </w:t>
      </w:r>
      <w:r w:rsidR="001A273E">
        <w:t xml:space="preserve">and </w:t>
      </w:r>
      <w:r w:rsidR="00611208">
        <w:t xml:space="preserve">then </w:t>
      </w:r>
      <w:r w:rsidR="001A50FF">
        <w:t xml:space="preserve">subsequently switches </w:t>
      </w:r>
      <w:r w:rsidR="007535CE" w:rsidRPr="00850783">
        <w:rPr>
          <w:i/>
        </w:rPr>
        <w:t>T</w:t>
      </w:r>
      <w:r w:rsidR="001A50FF" w:rsidRPr="00850783">
        <w:rPr>
          <w:i/>
        </w:rPr>
        <w:t xml:space="preserve">ransport </w:t>
      </w:r>
      <w:r w:rsidR="007535CE" w:rsidRPr="00850783">
        <w:rPr>
          <w:i/>
        </w:rPr>
        <w:t>P</w:t>
      </w:r>
      <w:r w:rsidR="001A273E" w:rsidRPr="00850783">
        <w:rPr>
          <w:i/>
        </w:rPr>
        <w:t>roviders</w:t>
      </w:r>
      <w:r w:rsidR="001A273E">
        <w:t xml:space="preserve"> while continuing to purchase the “last-mile” facilities from the original </w:t>
      </w:r>
      <w:r w:rsidR="007535CE" w:rsidRPr="00850783">
        <w:rPr>
          <w:i/>
        </w:rPr>
        <w:t>Provider</w:t>
      </w:r>
      <w:r w:rsidR="001A273E">
        <w:t>.</w:t>
      </w:r>
      <w:r w:rsidR="001A273E">
        <w:rPr>
          <w:rStyle w:val="FootnoteReference"/>
          <w:szCs w:val="22"/>
        </w:rPr>
        <w:footnoteReference w:id="161"/>
      </w:r>
    </w:p>
    <w:p w:rsidR="005D7148" w:rsidRPr="005D7148" w:rsidRDefault="001A273E" w:rsidP="00EB5B97">
      <w:pPr>
        <w:pStyle w:val="ParaNum"/>
        <w:numPr>
          <w:ilvl w:val="0"/>
          <w:numId w:val="5"/>
        </w:numPr>
        <w:ind w:left="1440" w:hanging="720"/>
      </w:pPr>
      <w:r>
        <w:rPr>
          <w:i/>
        </w:rPr>
        <w:t>Question II</w:t>
      </w:r>
      <w:r w:rsidRPr="001A273E">
        <w:t>.</w:t>
      </w:r>
      <w:r>
        <w:rPr>
          <w:i/>
        </w:rPr>
        <w:t>F.10 (</w:t>
      </w:r>
      <w:r w:rsidR="005D7148">
        <w:rPr>
          <w:i/>
        </w:rPr>
        <w:t>II.E.11</w:t>
      </w:r>
      <w:r>
        <w:rPr>
          <w:i/>
        </w:rPr>
        <w:t xml:space="preserve">):  Purchases Solely for the Purpose of Meeting a Prior Purchase-Based Commitment.  </w:t>
      </w:r>
      <w:r w:rsidR="00611208">
        <w:t xml:space="preserve">Modified language </w:t>
      </w:r>
      <w:r w:rsidR="004A3EA7">
        <w:t>to cover purchase</w:t>
      </w:r>
      <w:r w:rsidR="005D7148">
        <w:t xml:space="preserve">s </w:t>
      </w:r>
      <w:r w:rsidR="00800EBA">
        <w:t xml:space="preserve">that would not </w:t>
      </w:r>
      <w:r w:rsidR="00060185">
        <w:t xml:space="preserve">have </w:t>
      </w:r>
      <w:r w:rsidR="00800EBA">
        <w:t xml:space="preserve">been made </w:t>
      </w:r>
      <w:r w:rsidR="005D7148">
        <w:t>but for the commitment instead of purchases not utilized to meet a commitment</w:t>
      </w:r>
      <w:r w:rsidR="009A0DBE">
        <w:t>.</w:t>
      </w:r>
      <w:r w:rsidR="006F2312">
        <w:rPr>
          <w:rStyle w:val="FootnoteReference"/>
          <w:szCs w:val="22"/>
        </w:rPr>
        <w:footnoteReference w:id="162"/>
      </w:r>
      <w:r w:rsidR="009A0DBE">
        <w:t xml:space="preserve">  We further</w:t>
      </w:r>
      <w:r w:rsidR="005D7148">
        <w:t xml:space="preserve"> amended </w:t>
      </w:r>
      <w:r w:rsidR="009A0DBE">
        <w:t xml:space="preserve">the </w:t>
      </w:r>
      <w:r w:rsidR="005D7148">
        <w:t>question to obtain additional details on such purchases where applicable</w:t>
      </w:r>
      <w:r w:rsidR="00611208">
        <w:t>.</w:t>
      </w:r>
    </w:p>
    <w:p w:rsidR="009A0DBE" w:rsidRDefault="005D7148" w:rsidP="00EB5B97">
      <w:pPr>
        <w:pStyle w:val="ParaNum"/>
        <w:numPr>
          <w:ilvl w:val="0"/>
          <w:numId w:val="5"/>
        </w:numPr>
        <w:ind w:left="1440" w:hanging="720"/>
      </w:pPr>
      <w:r>
        <w:rPr>
          <w:i/>
        </w:rPr>
        <w:t xml:space="preserve">Question </w:t>
      </w:r>
      <w:r w:rsidR="009A0DBE">
        <w:rPr>
          <w:i/>
        </w:rPr>
        <w:t>II.F.11</w:t>
      </w:r>
      <w:r w:rsidR="00E25583">
        <w:rPr>
          <w:i/>
        </w:rPr>
        <w:t xml:space="preserve"> (II.E.12):  Switching Providers.  </w:t>
      </w:r>
      <w:r w:rsidR="00E25583">
        <w:t xml:space="preserve">Modified question based on feedback from parties </w:t>
      </w:r>
      <w:r w:rsidR="004B027E">
        <w:t xml:space="preserve">asking about </w:t>
      </w:r>
      <w:r w:rsidR="00E25583">
        <w:t>the scope of the question.</w:t>
      </w:r>
      <w:r w:rsidR="00E25583">
        <w:rPr>
          <w:rStyle w:val="FootnoteReference"/>
        </w:rPr>
        <w:footnoteReference w:id="163"/>
      </w:r>
    </w:p>
    <w:p w:rsidR="00800E15" w:rsidRDefault="009A0DBE" w:rsidP="000A13DE">
      <w:pPr>
        <w:pStyle w:val="ParaNum"/>
        <w:numPr>
          <w:ilvl w:val="0"/>
          <w:numId w:val="5"/>
        </w:numPr>
        <w:ind w:left="1440" w:hanging="720"/>
      </w:pPr>
      <w:r>
        <w:rPr>
          <w:i/>
        </w:rPr>
        <w:t>Question II.</w:t>
      </w:r>
      <w:r>
        <w:rPr>
          <w:i/>
          <w:szCs w:val="22"/>
        </w:rPr>
        <w:t xml:space="preserve">F.13 (II.E.14):  </w:t>
      </w:r>
      <w:r w:rsidR="00800E15">
        <w:rPr>
          <w:i/>
          <w:szCs w:val="22"/>
        </w:rPr>
        <w:t xml:space="preserve">Tariffs under which you Purchase Service.  </w:t>
      </w:r>
      <w:r w:rsidR="00800E15">
        <w:t xml:space="preserve">Deleted “available” from the initial sentence to capture all </w:t>
      </w:r>
      <w:r w:rsidR="00800E15" w:rsidRPr="00850783">
        <w:rPr>
          <w:i/>
        </w:rPr>
        <w:t>Tariffs</w:t>
      </w:r>
      <w:r w:rsidR="00800E15">
        <w:t xml:space="preserve"> used by </w:t>
      </w:r>
      <w:r w:rsidR="00060185">
        <w:t xml:space="preserve">the </w:t>
      </w:r>
      <w:r w:rsidR="007535CE" w:rsidRPr="00850783">
        <w:rPr>
          <w:i/>
        </w:rPr>
        <w:t>P</w:t>
      </w:r>
      <w:r w:rsidR="00800E15" w:rsidRPr="00850783">
        <w:rPr>
          <w:i/>
        </w:rPr>
        <w:t>urchaser</w:t>
      </w:r>
      <w:r w:rsidR="00800E15">
        <w:t xml:space="preserve"> to obtain </w:t>
      </w:r>
      <w:r w:rsidR="00800E15" w:rsidRPr="00850783">
        <w:rPr>
          <w:i/>
        </w:rPr>
        <w:t>DS1</w:t>
      </w:r>
      <w:r w:rsidR="00800E15">
        <w:t xml:space="preserve">, </w:t>
      </w:r>
      <w:r w:rsidR="00800E15" w:rsidRPr="00850783">
        <w:rPr>
          <w:i/>
        </w:rPr>
        <w:t>DS3</w:t>
      </w:r>
      <w:r w:rsidR="00800E15">
        <w:t xml:space="preserve">, and </w:t>
      </w:r>
      <w:r w:rsidR="00800E15" w:rsidRPr="00850783">
        <w:rPr>
          <w:i/>
        </w:rPr>
        <w:t>PBDS</w:t>
      </w:r>
      <w:r w:rsidR="00800E15">
        <w:t xml:space="preserve"> services; made minor improvements to the language in subparts (k.ii), (m.ii), (n.ii), and (o.ii) as to the geographic areas identified</w:t>
      </w:r>
      <w:r w:rsidR="00065397">
        <w:t xml:space="preserve"> and </w:t>
      </w:r>
      <w:r w:rsidR="00060185">
        <w:t xml:space="preserve">added the reporting of </w:t>
      </w:r>
      <w:r w:rsidR="00065397">
        <w:t xml:space="preserve">the </w:t>
      </w:r>
      <w:r w:rsidR="00065397" w:rsidRPr="00065397">
        <w:rPr>
          <w:i/>
        </w:rPr>
        <w:t>Provider</w:t>
      </w:r>
      <w:r w:rsidR="00065397" w:rsidRPr="00E96590">
        <w:t>’s</w:t>
      </w:r>
      <w:r w:rsidR="00065397">
        <w:t xml:space="preserve"> </w:t>
      </w:r>
      <w:r w:rsidR="00AE567B">
        <w:t>name</w:t>
      </w:r>
      <w:r w:rsidR="00DD2D2E">
        <w:t>; and s</w:t>
      </w:r>
      <w:r w:rsidR="002B1575">
        <w:t xml:space="preserve">eparated subpart </w:t>
      </w:r>
      <w:r w:rsidR="00DD2D2E">
        <w:t>(</w:t>
      </w:r>
      <w:r w:rsidR="002B1575">
        <w:t>m</w:t>
      </w:r>
      <w:r w:rsidR="00DD2D2E">
        <w:t>)</w:t>
      </w:r>
      <w:r w:rsidR="002B1575">
        <w:t xml:space="preserve"> into two questions – one for purchases in areas where the Commission has granted </w:t>
      </w:r>
      <w:r w:rsidR="002B1575" w:rsidRPr="00850783">
        <w:rPr>
          <w:i/>
        </w:rPr>
        <w:t>Phase I Pricing Flexibility</w:t>
      </w:r>
      <w:r w:rsidR="002B1575">
        <w:t xml:space="preserve"> and the other for </w:t>
      </w:r>
      <w:r w:rsidR="002B1575" w:rsidRPr="00850783">
        <w:rPr>
          <w:i/>
        </w:rPr>
        <w:t>Phase II Pricing Flexibility</w:t>
      </w:r>
      <w:r w:rsidR="002B1575">
        <w:t xml:space="preserve"> areas. </w:t>
      </w:r>
      <w:r w:rsidR="003C698C">
        <w:t xml:space="preserve">  </w:t>
      </w:r>
    </w:p>
    <w:p w:rsidR="00BF722C" w:rsidRPr="00BF722C" w:rsidRDefault="00800E15" w:rsidP="00F37E2A">
      <w:pPr>
        <w:pStyle w:val="ParaNum"/>
        <w:numPr>
          <w:ilvl w:val="0"/>
          <w:numId w:val="5"/>
        </w:numPr>
        <w:ind w:left="1440" w:hanging="720"/>
      </w:pPr>
      <w:r>
        <w:rPr>
          <w:i/>
        </w:rPr>
        <w:t>Question II.F.14 (II.E.15):  Non-Tariffed Agreements</w:t>
      </w:r>
      <w:r>
        <w:t xml:space="preserve">.  Rephrased language to </w:t>
      </w:r>
      <w:r w:rsidR="00300E4D">
        <w:t>simplify electronic filing</w:t>
      </w:r>
      <w:r w:rsidR="004B027E">
        <w:t xml:space="preserve">, </w:t>
      </w:r>
      <w:r w:rsidR="004B027E" w:rsidRPr="004B027E">
        <w:rPr>
          <w:i/>
        </w:rPr>
        <w:t>i.e.</w:t>
      </w:r>
      <w:r w:rsidR="004B027E">
        <w:t xml:space="preserve">, eliminated </w:t>
      </w:r>
      <w:r w:rsidR="00060185">
        <w:t xml:space="preserve">the </w:t>
      </w:r>
      <w:r w:rsidR="004B027E">
        <w:t>need for a yes/no re</w:t>
      </w:r>
      <w:r w:rsidR="004D543E">
        <w:t>s</w:t>
      </w:r>
      <w:r w:rsidR="004B027E">
        <w:t>ponse</w:t>
      </w:r>
      <w:r>
        <w:t xml:space="preserve">.   </w:t>
      </w:r>
      <w:r w:rsidR="00611208" w:rsidRPr="002C5A77">
        <w:rPr>
          <w:szCs w:val="22"/>
        </w:rPr>
        <w:t xml:space="preserve">  </w:t>
      </w:r>
    </w:p>
    <w:p w:rsidR="00C973CC" w:rsidRPr="00C973CC" w:rsidRDefault="00BF722C" w:rsidP="00EB5B97">
      <w:pPr>
        <w:pStyle w:val="ParaNum"/>
        <w:numPr>
          <w:ilvl w:val="0"/>
          <w:numId w:val="5"/>
        </w:numPr>
        <w:ind w:left="1440" w:hanging="720"/>
      </w:pPr>
      <w:r>
        <w:rPr>
          <w:i/>
        </w:rPr>
        <w:t>Question II</w:t>
      </w:r>
      <w:r w:rsidRPr="00850783">
        <w:t>.</w:t>
      </w:r>
      <w:r w:rsidRPr="00850783">
        <w:rPr>
          <w:i/>
        </w:rPr>
        <w:t>G.1</w:t>
      </w:r>
      <w:r>
        <w:t xml:space="preserve">:  Revised question so that entities providing </w:t>
      </w:r>
      <w:r w:rsidRPr="00850783">
        <w:rPr>
          <w:i/>
        </w:rPr>
        <w:t xml:space="preserve">Best Efforts Business Internet Access Services </w:t>
      </w:r>
      <w:r>
        <w:t>that are exempt from providing data and information in response to the data collection can certify as such</w:t>
      </w:r>
      <w:r w:rsidR="00FA022C">
        <w:t xml:space="preserve"> and clarified language to cover entities required to report broadband connections to end user locations on the Form 477 for 2012</w:t>
      </w:r>
      <w:r>
        <w:t xml:space="preserve">.  </w:t>
      </w:r>
      <w:r w:rsidR="001A273E" w:rsidRPr="002C5A77">
        <w:t xml:space="preserve"> </w:t>
      </w:r>
      <w:r w:rsidR="00E05864" w:rsidRPr="002C5A77">
        <w:t xml:space="preserve">  </w:t>
      </w:r>
      <w:r w:rsidR="008F28F4">
        <w:t xml:space="preserve"> </w:t>
      </w:r>
    </w:p>
    <w:p w:rsidR="004D543E" w:rsidRDefault="004D543E" w:rsidP="007B77C1">
      <w:pPr>
        <w:pStyle w:val="Heading2"/>
      </w:pPr>
      <w:bookmarkStart w:id="50" w:name="_Toc360529179"/>
      <w:bookmarkStart w:id="51" w:name="_Toc360539494"/>
      <w:bookmarkStart w:id="52" w:name="_Toc360539653"/>
      <w:r w:rsidRPr="004D543E">
        <w:t>Other Request</w:t>
      </w:r>
      <w:r w:rsidR="00D4782A">
        <w:t>s</w:t>
      </w:r>
      <w:r w:rsidRPr="004D543E">
        <w:t xml:space="preserve"> for Clarifications and Changes</w:t>
      </w:r>
      <w:bookmarkEnd w:id="50"/>
      <w:bookmarkEnd w:id="51"/>
      <w:bookmarkEnd w:id="52"/>
      <w:r>
        <w:t xml:space="preserve">  </w:t>
      </w:r>
    </w:p>
    <w:p w:rsidR="004D543E" w:rsidRDefault="004D543E" w:rsidP="004A081E">
      <w:pPr>
        <w:pStyle w:val="ParaNum"/>
        <w:keepLines/>
      </w:pPr>
      <w:r>
        <w:t xml:space="preserve">We have </w:t>
      </w:r>
      <w:r w:rsidR="00315FB5">
        <w:t xml:space="preserve">reviewed all of the requests </w:t>
      </w:r>
      <w:r>
        <w:t xml:space="preserve">for changes and clarifications </w:t>
      </w:r>
      <w:r w:rsidR="00315FB5">
        <w:t>to the data collection and have addressed many of the requests in the revised</w:t>
      </w:r>
      <w:r>
        <w:t xml:space="preserve"> questions described in Section </w:t>
      </w:r>
      <w:r w:rsidR="007535CE">
        <w:t>III.</w:t>
      </w:r>
      <w:r>
        <w:t xml:space="preserve">C or in the attached instructions.  Clarifications or changes not made as requested were because the benefit of collecting the information outweighed the burden or because the requested clarification or change </w:t>
      </w:r>
      <w:r w:rsidR="00F13FD4">
        <w:t xml:space="preserve">is </w:t>
      </w:r>
      <w:r>
        <w:t xml:space="preserve">inconsistent with the terms of the </w:t>
      </w:r>
      <w:r w:rsidRPr="00C91AC2">
        <w:rPr>
          <w:i/>
        </w:rPr>
        <w:t>Special Access Data Collection Order</w:t>
      </w:r>
      <w:r>
        <w:t>,</w:t>
      </w:r>
      <w:r w:rsidRPr="00C91AC2">
        <w:rPr>
          <w:i/>
        </w:rPr>
        <w:t xml:space="preserve"> </w:t>
      </w:r>
      <w:r>
        <w:t>outside the scope of our delegated authority, or because the Commission previously considered and rejected the requested relief.</w:t>
      </w:r>
      <w:r w:rsidRPr="008F28F4">
        <w:rPr>
          <w:rStyle w:val="FootnoteReference"/>
        </w:rPr>
        <w:footnoteReference w:id="164"/>
      </w:r>
    </w:p>
    <w:p w:rsidR="00F02772" w:rsidRDefault="00C63420" w:rsidP="007B77C1">
      <w:pPr>
        <w:pStyle w:val="Heading1"/>
      </w:pPr>
      <w:bookmarkStart w:id="53" w:name="_Toc360529180"/>
      <w:bookmarkStart w:id="54" w:name="_Toc360539495"/>
      <w:bookmarkStart w:id="55" w:name="_Toc360539654"/>
      <w:r>
        <w:t>Procedural Matters</w:t>
      </w:r>
      <w:bookmarkEnd w:id="53"/>
      <w:bookmarkEnd w:id="54"/>
      <w:bookmarkEnd w:id="55"/>
    </w:p>
    <w:p w:rsidR="002C5A77" w:rsidRPr="002C5A77" w:rsidRDefault="002C5A77" w:rsidP="00A131AC">
      <w:pPr>
        <w:pStyle w:val="ParaNum"/>
      </w:pPr>
      <w:r>
        <w:rPr>
          <w:i/>
        </w:rPr>
        <w:t>Deadline for Responding.</w:t>
      </w:r>
      <w:r w:rsidR="00FA3642">
        <w:rPr>
          <w:i/>
        </w:rPr>
        <w:t xml:space="preserve">  </w:t>
      </w:r>
      <w:r w:rsidR="00530984">
        <w:t xml:space="preserve">Once OMB </w:t>
      </w:r>
      <w:r w:rsidR="00FA3642">
        <w:t>has approved the data collection</w:t>
      </w:r>
      <w:r w:rsidR="00530984">
        <w:t xml:space="preserve">, we will </w:t>
      </w:r>
      <w:r w:rsidR="00F80040">
        <w:t xml:space="preserve">publish notice of such approval in the Federal Register and </w:t>
      </w:r>
      <w:r w:rsidR="00530984">
        <w:t>issue a public notice announcing the deadline for responding.</w:t>
      </w:r>
    </w:p>
    <w:p w:rsidR="00F97044" w:rsidRDefault="002C5A77" w:rsidP="00A131AC">
      <w:pPr>
        <w:pStyle w:val="ParaNum"/>
      </w:pPr>
      <w:r w:rsidRPr="00985BC0">
        <w:rPr>
          <w:i/>
        </w:rPr>
        <w:t xml:space="preserve">Responding to the Data </w:t>
      </w:r>
      <w:r w:rsidR="000533CA">
        <w:rPr>
          <w:i/>
        </w:rPr>
        <w:t>Collection</w:t>
      </w:r>
      <w:r>
        <w:t xml:space="preserve">.  </w:t>
      </w:r>
      <w:r w:rsidR="00300E4D">
        <w:t xml:space="preserve">In addition to the attached instructions discussing </w:t>
      </w:r>
      <w:r w:rsidR="00F13FD4">
        <w:t xml:space="preserve">the </w:t>
      </w:r>
      <w:r w:rsidR="00300E4D">
        <w:t>data specifications, w</w:t>
      </w:r>
      <w:r>
        <w:t xml:space="preserve">e will post additional instructions </w:t>
      </w:r>
      <w:r w:rsidR="00300E4D">
        <w:t xml:space="preserve">on the submission process </w:t>
      </w:r>
      <w:r>
        <w:t xml:space="preserve">on the Commission’s website.  </w:t>
      </w:r>
      <w:r w:rsidR="00800EBA">
        <w:t>T</w:t>
      </w:r>
      <w:r>
        <w:t>he Commission will create a</w:t>
      </w:r>
      <w:r w:rsidR="00800EBA">
        <w:t>n electronic interface</w:t>
      </w:r>
      <w:r>
        <w:t xml:space="preserve"> for the submission of information.  </w:t>
      </w:r>
      <w:r w:rsidR="005B4E89">
        <w:t>Submission</w:t>
      </w:r>
      <w:r w:rsidR="00484F58">
        <w:t>s</w:t>
      </w:r>
      <w:r w:rsidR="005B4E89">
        <w:t xml:space="preserve"> will involv</w:t>
      </w:r>
      <w:r w:rsidR="00484F58">
        <w:t xml:space="preserve">e the </w:t>
      </w:r>
      <w:r w:rsidR="005B4E89">
        <w:t>uploading of documents in response to various questions and interrogatories</w:t>
      </w:r>
      <w:r w:rsidR="00484F58">
        <w:t xml:space="preserve"> and the </w:t>
      </w:r>
      <w:r w:rsidR="00800EBA">
        <w:t xml:space="preserve">electronic </w:t>
      </w:r>
      <w:r w:rsidR="00484F58">
        <w:t xml:space="preserve">delivery of </w:t>
      </w:r>
      <w:r w:rsidR="00800EBA">
        <w:t>data.  We will provide a data</w:t>
      </w:r>
      <w:r w:rsidR="00484F58">
        <w:t xml:space="preserve"> container </w:t>
      </w:r>
      <w:r w:rsidR="00800EBA">
        <w:t xml:space="preserve">file for submitting data that </w:t>
      </w:r>
      <w:r>
        <w:t xml:space="preserve">will include </w:t>
      </w:r>
      <w:r w:rsidR="00F00D8E">
        <w:t>validation</w:t>
      </w:r>
      <w:r>
        <w:t xml:space="preserve"> </w:t>
      </w:r>
      <w:r w:rsidR="00F00D8E">
        <w:t>scripts</w:t>
      </w:r>
      <w:r>
        <w:t xml:space="preserve"> to verify that </w:t>
      </w:r>
      <w:r w:rsidR="00F00D8E">
        <w:t xml:space="preserve">the filer is providing the </w:t>
      </w:r>
      <w:r>
        <w:t>data in the appropriate format.</w:t>
      </w:r>
      <w:r>
        <w:rPr>
          <w:rStyle w:val="FootnoteReference"/>
        </w:rPr>
        <w:footnoteReference w:id="165"/>
      </w:r>
      <w:r>
        <w:t xml:space="preserve">  </w:t>
      </w:r>
    </w:p>
    <w:p w:rsidR="002B3ABD" w:rsidRPr="00F97044" w:rsidRDefault="00F97044" w:rsidP="00A131AC">
      <w:pPr>
        <w:pStyle w:val="ParaNum"/>
        <w:rPr>
          <w:rStyle w:val="StyleParaNum11ptChar"/>
          <w:snapToGrid w:val="0"/>
        </w:rPr>
      </w:pPr>
      <w:r w:rsidRPr="002C634A">
        <w:rPr>
          <w:i/>
        </w:rPr>
        <w:t>Confidential Information</w:t>
      </w:r>
      <w:r w:rsidRPr="009E40AB">
        <w:rPr>
          <w:rStyle w:val="StyleParaNum11ptChar"/>
        </w:rPr>
        <w:t xml:space="preserve">.  </w:t>
      </w:r>
      <w:r>
        <w:rPr>
          <w:rStyle w:val="StyleParaNum11ptChar"/>
        </w:rPr>
        <w:t>The data collection seeks information on facilities, billing, revenue, and expenditure that is considered confidential by businesses.  The Bureau will release separately a Protective Order outlining procedures for designating and accessing information deemed confidential and highly confidential.</w:t>
      </w:r>
      <w:r>
        <w:rPr>
          <w:rStyle w:val="FootnoteReference"/>
        </w:rPr>
        <w:footnoteReference w:id="166"/>
      </w:r>
      <w:r w:rsidR="00252D0D">
        <w:rPr>
          <w:rStyle w:val="StyleParaNum11ptChar"/>
        </w:rPr>
        <w:t xml:space="preserve">   </w:t>
      </w:r>
    </w:p>
    <w:p w:rsidR="00EF589F" w:rsidRPr="00EF589F" w:rsidRDefault="00295471" w:rsidP="000A13DE">
      <w:pPr>
        <w:pStyle w:val="ParaNum"/>
      </w:pPr>
      <w:r w:rsidRPr="009E40AB">
        <w:rPr>
          <w:rStyle w:val="StyleParaNumItalicChar"/>
        </w:rPr>
        <w:t>Paperwork Reduction Act Analysis</w:t>
      </w:r>
      <w:r w:rsidR="007F4BE2">
        <w:t xml:space="preserve">.  </w:t>
      </w:r>
      <w:r w:rsidR="009C5C24">
        <w:t xml:space="preserve">This Report and Order further implements the information collection requirement adopted by the Commission in the </w:t>
      </w:r>
      <w:r w:rsidR="009C5C24" w:rsidRPr="009C5C24">
        <w:rPr>
          <w:i/>
        </w:rPr>
        <w:t>Special Access Data Collection Order</w:t>
      </w:r>
      <w:r w:rsidR="009C5C24">
        <w:t>.  The Commission is in the process of seeking approval for the collection from OMB pursuant to the PRA, Public Law 104-13.  The actions taken in the Report and Order are based on comments received during the initial 60-day PRA comment period, meetings with industry, and our own internal further review to enhance the quality, utility, and clarity of the collection.</w:t>
      </w:r>
      <w:r w:rsidR="00A9092C">
        <w:rPr>
          <w:rStyle w:val="FootnoteReference"/>
        </w:rPr>
        <w:footnoteReference w:id="167"/>
      </w:r>
    </w:p>
    <w:p w:rsidR="00A9092C" w:rsidRDefault="00A9092C" w:rsidP="0047272E">
      <w:pPr>
        <w:pStyle w:val="ParaNum"/>
        <w:widowControl/>
      </w:pPr>
      <w:r w:rsidRPr="00A9092C">
        <w:rPr>
          <w:i/>
        </w:rPr>
        <w:t>Final Regulatory Flexibility Act</w:t>
      </w:r>
      <w:r>
        <w:t>.  The Regulatory Flexibility Act of 1980, as amended (RFA) requires that a regulatory flexibility analysis be prepared for rulemaking proceedings, unless the agency certifies that “the rule will not have a significant economic impact on a substantial number of small entities.”</w:t>
      </w:r>
      <w:r>
        <w:rPr>
          <w:rStyle w:val="FootnoteReference"/>
        </w:rPr>
        <w:footnoteReference w:id="168"/>
      </w:r>
      <w:r>
        <w:t xml:space="preserve">  The RFA generally defines “small entity” as having the same meaning as the terms “small business,” “small organization,” and “small governmental jurisdiction.”</w:t>
      </w:r>
      <w:r>
        <w:rPr>
          <w:rStyle w:val="FootnoteReference"/>
        </w:rPr>
        <w:footnoteReference w:id="169"/>
      </w:r>
      <w:r>
        <w:t xml:space="preserve">  In addition, the term “small business” has the same meaning as the term “small business concern” under the Small Business Act.</w:t>
      </w:r>
      <w:r>
        <w:rPr>
          <w:rStyle w:val="FootnoteReference"/>
        </w:rPr>
        <w:footnoteReference w:id="170"/>
      </w:r>
      <w:r>
        <w:t xml:space="preserve">  A small business concern is one which: (1) is independently owned and operated; (2) is not dominant in its field of operation; and (3) satisfies any additional criteria established by the Small Business Administration.</w:t>
      </w:r>
      <w:r>
        <w:rPr>
          <w:rStyle w:val="FootnoteReference"/>
        </w:rPr>
        <w:footnoteReference w:id="171"/>
      </w:r>
    </w:p>
    <w:p w:rsidR="00A9092C" w:rsidRDefault="00A9092C" w:rsidP="00A131AC">
      <w:pPr>
        <w:pStyle w:val="ParaNum"/>
      </w:pPr>
      <w:r>
        <w:t xml:space="preserve">The </w:t>
      </w:r>
      <w:r w:rsidRPr="009C5C24">
        <w:rPr>
          <w:i/>
        </w:rPr>
        <w:t>Special Access Data Collection Order</w:t>
      </w:r>
      <w:r>
        <w:t xml:space="preserve"> contains a Final Regulatory Flexibility Analysis (FRFA) that can </w:t>
      </w:r>
      <w:r w:rsidR="005E2515">
        <w:t>be found at Appendix B of that O</w:t>
      </w:r>
      <w:r>
        <w:t xml:space="preserve">rder.  </w:t>
      </w:r>
      <w:r w:rsidR="00A734FA" w:rsidRPr="00E62258">
        <w:rPr>
          <w:bCs/>
        </w:rPr>
        <w:t xml:space="preserve">We incorporate the FRFA contained in the </w:t>
      </w:r>
      <w:r w:rsidR="00A734FA" w:rsidRPr="00E62258">
        <w:rPr>
          <w:bCs/>
          <w:i/>
          <w:iCs/>
        </w:rPr>
        <w:t xml:space="preserve">Special Access Data Collection Order </w:t>
      </w:r>
      <w:r w:rsidR="00A734FA" w:rsidRPr="00E62258">
        <w:rPr>
          <w:bCs/>
        </w:rPr>
        <w:t>into this Report and Order.</w:t>
      </w:r>
      <w:r w:rsidR="00A734FA" w:rsidRPr="00A734FA">
        <w:rPr>
          <w:b/>
          <w:bCs/>
        </w:rPr>
        <w:t xml:space="preserve"> </w:t>
      </w:r>
      <w:r w:rsidR="00A734FA">
        <w:rPr>
          <w:b/>
          <w:bCs/>
        </w:rPr>
        <w:t xml:space="preserve"> </w:t>
      </w:r>
      <w:r>
        <w:t xml:space="preserve">The actions taken in this Report and Order do not create any burdens, benefits, or requirements that were not addressed by the FRFA attached to the </w:t>
      </w:r>
      <w:r w:rsidRPr="009C5C24">
        <w:rPr>
          <w:i/>
        </w:rPr>
        <w:t>Special Access Data Collection Order</w:t>
      </w:r>
      <w:r>
        <w:t>.</w:t>
      </w:r>
    </w:p>
    <w:p w:rsidR="00F55004" w:rsidRDefault="00F55004" w:rsidP="00A131AC">
      <w:pPr>
        <w:pStyle w:val="ParaNum"/>
      </w:pPr>
      <w:r w:rsidRPr="00F55004">
        <w:rPr>
          <w:i/>
        </w:rPr>
        <w:t>Congressional Review Act</w:t>
      </w:r>
      <w:r>
        <w:t xml:space="preserve">.  As required by the Congressional Review Act (CRA), the Commission previously sent a copy of the </w:t>
      </w:r>
      <w:r w:rsidRPr="009C5C24">
        <w:rPr>
          <w:i/>
        </w:rPr>
        <w:t>Special Access Data Collection Order</w:t>
      </w:r>
      <w:r>
        <w:t xml:space="preserve"> to Congress and the Government Accountability Office.  The Commission will send a copy of this Report and Order to Congress and the Government Accountability Office pursuant to the CRA.</w:t>
      </w:r>
      <w:r>
        <w:rPr>
          <w:rStyle w:val="FootnoteReference"/>
        </w:rPr>
        <w:footnoteReference w:id="172"/>
      </w:r>
      <w:r>
        <w:t xml:space="preserve"> </w:t>
      </w:r>
    </w:p>
    <w:p w:rsidR="002B3ABD" w:rsidRDefault="00295471" w:rsidP="00A131AC">
      <w:pPr>
        <w:pStyle w:val="ParaNum"/>
      </w:pPr>
      <w:r w:rsidRPr="001440F8">
        <w:t xml:space="preserve">Ex Parte </w:t>
      </w:r>
      <w:r w:rsidR="009A1CD8" w:rsidRPr="009E40AB">
        <w:rPr>
          <w:rStyle w:val="StyleParaNumItalicChar"/>
        </w:rPr>
        <w:t>Presentations</w:t>
      </w:r>
      <w:r w:rsidR="009A1CD8" w:rsidRPr="001440F8">
        <w:t xml:space="preserve">.  </w:t>
      </w:r>
      <w:r w:rsidR="002B3ABD" w:rsidRPr="001440F8">
        <w:t>This is a permit</w:t>
      </w:r>
      <w:r w:rsidR="002B3ABD" w:rsidRPr="001440F8">
        <w:noBreakHyphen/>
        <w:t>but</w:t>
      </w:r>
      <w:r w:rsidR="002B3ABD" w:rsidRPr="001440F8">
        <w:noBreakHyphen/>
        <w:t>disclose proceeding and subject to the requirements of section 1.1206(b) of the rules.</w:t>
      </w:r>
      <w:r w:rsidR="002B3ABD" w:rsidRPr="001440F8">
        <w:rPr>
          <w:rStyle w:val="FootnoteReference"/>
          <w:sz w:val="24"/>
          <w:szCs w:val="24"/>
        </w:rPr>
        <w:footnoteReference w:id="173"/>
      </w:r>
      <w:r w:rsidR="002B3ABD" w:rsidRPr="001440F8">
        <w:t xml:space="preserve">  Persons making oral </w:t>
      </w:r>
      <w:r w:rsidR="002B3ABD" w:rsidRPr="009E40AB">
        <w:rPr>
          <w:rStyle w:val="StyleParaNumItalicChar"/>
        </w:rPr>
        <w:t>ex parte</w:t>
      </w:r>
      <w:r w:rsidR="002B3ABD" w:rsidRPr="001440F8">
        <w:t xml:space="preserve"> presentations are reminded that memoranda summarizing the presentations must contain a summary of the substance of the presentation and not merely a listing of the subjects discussed.  More than a one-sentence or two-sentence description of the views and arguments presented is generally required.</w:t>
      </w:r>
      <w:r w:rsidR="002B3ABD" w:rsidRPr="001440F8">
        <w:rPr>
          <w:rStyle w:val="FootnoteReference"/>
          <w:sz w:val="24"/>
          <w:szCs w:val="24"/>
        </w:rPr>
        <w:footnoteReference w:id="174"/>
      </w:r>
      <w:r w:rsidR="002B3ABD" w:rsidRPr="001440F8">
        <w:t xml:space="preserve">  </w:t>
      </w:r>
    </w:p>
    <w:p w:rsidR="006B7864" w:rsidRDefault="006B7864">
      <w:pPr>
        <w:widowControl/>
      </w:pPr>
      <w:r>
        <w:br w:type="page"/>
      </w:r>
    </w:p>
    <w:p w:rsidR="002A4A24" w:rsidRDefault="002A4A24" w:rsidP="00A131AC">
      <w:pPr>
        <w:pStyle w:val="ParaNum"/>
        <w:numPr>
          <w:ilvl w:val="0"/>
          <w:numId w:val="0"/>
        </w:numPr>
        <w:ind w:left="720"/>
      </w:pPr>
    </w:p>
    <w:p w:rsidR="00264E8C" w:rsidRPr="001440F8" w:rsidRDefault="00264E8C" w:rsidP="007B77C1">
      <w:pPr>
        <w:pStyle w:val="Heading1"/>
      </w:pPr>
      <w:r>
        <w:t>ordering clauses</w:t>
      </w:r>
    </w:p>
    <w:p w:rsidR="001C6B31" w:rsidRDefault="002B3ABD" w:rsidP="003C5428">
      <w:pPr>
        <w:pStyle w:val="ParaNum"/>
      </w:pPr>
      <w:r w:rsidRPr="009E40AB">
        <w:rPr>
          <w:rStyle w:val="StyleParaNum12ptChar"/>
        </w:rPr>
        <w:t xml:space="preserve">ACCORDINGLY, IT IS ORDERED </w:t>
      </w:r>
      <w:r w:rsidR="001C6B31" w:rsidRPr="001C6B31">
        <w:t xml:space="preserve">pursuant to sections 1, 4(i), 4(j), 5, 201-205, 211, 215, 218, 219, 303(r), 332, 403, and 503 of the Communications Act of 1934, as amended, 47 U.S.C. §§ 151, 154(i), 154(j), 155, 201, 202, 203, 204, 205, 211, 215, 218, 219, 303(r), 332, 403, 503, and section 706 of the Telecommunications Act of 1996, 47 U.S.C. § 1302, sections 0.91 and 0.291 of the Commission’s rules, 47 C.F.R. §§ 0.91 and 0.291, and the authority delegated to the Bureau in the </w:t>
      </w:r>
      <w:r w:rsidR="001C6B31" w:rsidRPr="001C6B31">
        <w:rPr>
          <w:i/>
        </w:rPr>
        <w:t>Special Access Data Collection Order</w:t>
      </w:r>
      <w:r w:rsidR="001C6B31">
        <w:t>,</w:t>
      </w:r>
      <w:r w:rsidR="00484F58">
        <w:t xml:space="preserve"> </w:t>
      </w:r>
      <w:r w:rsidR="001C6B31">
        <w:t xml:space="preserve">that </w:t>
      </w:r>
      <w:r w:rsidR="007F4BE2" w:rsidRPr="009E40AB">
        <w:t xml:space="preserve">this </w:t>
      </w:r>
      <w:r w:rsidR="00E96590">
        <w:t>Report and Order</w:t>
      </w:r>
      <w:r w:rsidR="001C6B31">
        <w:t xml:space="preserve"> is ADOPTED.</w:t>
      </w:r>
    </w:p>
    <w:p w:rsidR="007F4BE2" w:rsidRPr="009E40AB" w:rsidRDefault="007F4BE2" w:rsidP="00A131AC">
      <w:pPr>
        <w:pStyle w:val="ParaNum"/>
        <w:rPr>
          <w:rStyle w:val="StyleParaNum11ptChar"/>
        </w:rPr>
      </w:pPr>
      <w:r w:rsidRPr="009E40AB">
        <w:t xml:space="preserve"> </w:t>
      </w:r>
      <w:r w:rsidR="001C6B31" w:rsidRPr="009E40AB">
        <w:t xml:space="preserve">IT IS FURTHER ORDERED that, pursuant to section 1.102(b)(1) of the Commission’s rules, 47 C.F.R. § 1.102(b)(1), this </w:t>
      </w:r>
      <w:r w:rsidR="00E96590">
        <w:t>Report and Order</w:t>
      </w:r>
      <w:r w:rsidR="001C6B31" w:rsidRPr="009E40AB">
        <w:t xml:space="preserve"> SH</w:t>
      </w:r>
      <w:r w:rsidR="001C6B31" w:rsidRPr="009E40AB">
        <w:rPr>
          <w:rStyle w:val="StyleParaNum11ptChar"/>
        </w:rPr>
        <w:t xml:space="preserve">ALL BE effective </w:t>
      </w:r>
      <w:r w:rsidR="00F55004">
        <w:rPr>
          <w:rStyle w:val="StyleParaNum11ptChar"/>
        </w:rPr>
        <w:t>30 days after publication in the Federal Register</w:t>
      </w:r>
      <w:r w:rsidR="001C6B31" w:rsidRPr="009E40AB">
        <w:rPr>
          <w:rStyle w:val="StyleParaNum11ptChar"/>
        </w:rPr>
        <w:t>.</w:t>
      </w:r>
    </w:p>
    <w:p w:rsidR="002B3ABD" w:rsidRPr="00283FC2" w:rsidRDefault="002B3ABD" w:rsidP="007B77C1">
      <w:pPr>
        <w:ind w:left="4320"/>
      </w:pPr>
      <w:r w:rsidRPr="00283FC2">
        <w:t>FEDERAL COMMUNICATIONS COMMISSION</w:t>
      </w:r>
    </w:p>
    <w:p w:rsidR="00212F64" w:rsidRDefault="00212F64" w:rsidP="007B77C1">
      <w:pPr>
        <w:ind w:left="3600" w:firstLine="720"/>
      </w:pPr>
    </w:p>
    <w:p w:rsidR="00212F64" w:rsidRDefault="00212F64" w:rsidP="007B77C1">
      <w:pPr>
        <w:ind w:left="3600" w:firstLine="720"/>
      </w:pPr>
    </w:p>
    <w:p w:rsidR="00212F64" w:rsidRDefault="00212F64" w:rsidP="007B77C1">
      <w:pPr>
        <w:ind w:left="3600" w:firstLine="720"/>
      </w:pPr>
    </w:p>
    <w:p w:rsidR="002B3ABD" w:rsidRPr="00283FC2" w:rsidRDefault="002B3ABD" w:rsidP="007B77C1">
      <w:pPr>
        <w:ind w:left="3600" w:firstLine="720"/>
      </w:pPr>
      <w:r>
        <w:t>Julie A. Veach</w:t>
      </w:r>
    </w:p>
    <w:p w:rsidR="00565F75" w:rsidRDefault="002B3ABD" w:rsidP="007B77C1">
      <w:pPr>
        <w:ind w:left="3600" w:firstLine="720"/>
      </w:pPr>
      <w:r w:rsidRPr="00283FC2">
        <w:t>Chief</w:t>
      </w:r>
    </w:p>
    <w:p w:rsidR="002B3ABD" w:rsidRDefault="002B3ABD" w:rsidP="00212F64">
      <w:pPr>
        <w:ind w:left="3600" w:firstLine="720"/>
      </w:pPr>
      <w:r w:rsidRPr="00283FC2">
        <w:t>Wireline Competition Bureau</w:t>
      </w:r>
    </w:p>
    <w:p w:rsidR="00212F64" w:rsidRPr="00283FC2" w:rsidRDefault="00212F64" w:rsidP="00212F64">
      <w:pPr>
        <w:ind w:left="3600" w:firstLine="720"/>
        <w:sectPr w:rsidR="00212F64" w:rsidRPr="00283FC2" w:rsidSect="002B3ABD">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type w:val="continuous"/>
          <w:pgSz w:w="12240" w:h="15840"/>
          <w:pgMar w:top="1440" w:right="1440" w:bottom="720" w:left="1440" w:header="720" w:footer="720" w:gutter="0"/>
          <w:pgNumType w:start="1"/>
          <w:cols w:space="720"/>
          <w:noEndnote/>
          <w:titlePg/>
        </w:sectPr>
      </w:pPr>
    </w:p>
    <w:p w:rsidR="00F97D54" w:rsidRDefault="00F97D54" w:rsidP="00EB5B97">
      <w:pPr>
        <w:jc w:val="center"/>
        <w:rPr>
          <w:rFonts w:ascii="Times New Roman Bold" w:hAnsi="Times New Roman Bold"/>
          <w:b/>
          <w:caps/>
        </w:rPr>
      </w:pPr>
      <w:r>
        <w:rPr>
          <w:rFonts w:ascii="Times New Roman Bold" w:hAnsi="Times New Roman Bold"/>
          <w:b/>
          <w:caps/>
        </w:rPr>
        <w:t>APPENDIX A</w:t>
      </w:r>
    </w:p>
    <w:p w:rsidR="00F97D54" w:rsidRDefault="00F97D54" w:rsidP="00EB5B97">
      <w:pPr>
        <w:jc w:val="center"/>
        <w:rPr>
          <w:rFonts w:ascii="Times New Roman Bold" w:hAnsi="Times New Roman Bold"/>
          <w:b/>
          <w:caps/>
        </w:rPr>
      </w:pPr>
    </w:p>
    <w:p w:rsidR="00F97D54" w:rsidRDefault="00F97D54" w:rsidP="00EB5B97">
      <w:pPr>
        <w:jc w:val="center"/>
        <w:rPr>
          <w:rFonts w:ascii="Times New Roman Bold" w:hAnsi="Times New Roman Bold"/>
          <w:b/>
          <w:caps/>
        </w:rPr>
      </w:pPr>
      <w:r w:rsidRPr="00C317D2">
        <w:rPr>
          <w:rFonts w:ascii="Times New Roman Bold" w:hAnsi="Times New Roman Bold"/>
          <w:b/>
          <w:caps/>
        </w:rPr>
        <w:t>Instructions For Data Collection</w:t>
      </w:r>
      <w:r>
        <w:rPr>
          <w:rFonts w:ascii="Times New Roman Bold" w:hAnsi="Times New Roman Bold"/>
          <w:b/>
          <w:caps/>
        </w:rPr>
        <w:t xml:space="preserve"> </w:t>
      </w:r>
    </w:p>
    <w:p w:rsidR="00F97D54" w:rsidRDefault="00F97D54" w:rsidP="00EB5B97">
      <w:pPr>
        <w:jc w:val="center"/>
        <w:rPr>
          <w:rFonts w:ascii="Times New Roman Bold" w:hAnsi="Times New Roman Bold"/>
          <w:b/>
          <w:caps/>
        </w:rPr>
      </w:pPr>
      <w:r>
        <w:rPr>
          <w:rFonts w:ascii="Times New Roman Bold" w:hAnsi="Times New Roman Bold"/>
          <w:b/>
          <w:caps/>
        </w:rPr>
        <w:t>for Special access proceeding</w:t>
      </w:r>
    </w:p>
    <w:p w:rsidR="00F97D54" w:rsidRPr="00C317D2" w:rsidRDefault="00F97D54" w:rsidP="00EB5B97">
      <w:pPr>
        <w:jc w:val="center"/>
        <w:rPr>
          <w:rFonts w:ascii="Times New Roman Bold" w:hAnsi="Times New Roman Bold"/>
          <w:b/>
          <w:caps/>
        </w:rPr>
      </w:pPr>
      <w:r>
        <w:rPr>
          <w:rFonts w:ascii="Times New Roman Bold" w:hAnsi="Times New Roman Bold"/>
          <w:b/>
          <w:caps/>
        </w:rPr>
        <w:t>wc docket no. 05-25, RM-10593</w:t>
      </w:r>
    </w:p>
    <w:p w:rsidR="00F97D54" w:rsidRDefault="00F97D54" w:rsidP="00EB5B97">
      <w:pPr>
        <w:spacing w:after="120"/>
        <w:jc w:val="center"/>
        <w:rPr>
          <w:b/>
        </w:rPr>
      </w:pPr>
    </w:p>
    <w:p w:rsidR="00F97D54" w:rsidRPr="00DA52FF" w:rsidRDefault="00F97D54" w:rsidP="00134632">
      <w:pPr>
        <w:tabs>
          <w:tab w:val="right" w:pos="8640"/>
        </w:tabs>
        <w:spacing w:after="120"/>
      </w:pPr>
      <w:bookmarkStart w:id="56" w:name="_Toc340567972"/>
      <w:r w:rsidRPr="00A53420">
        <w:rPr>
          <w:u w:val="single"/>
        </w:rPr>
        <w:t>TABLE OF CONTENTS</w:t>
      </w:r>
      <w:r>
        <w:tab/>
        <w:t>Page #</w:t>
      </w:r>
    </w:p>
    <w:p w:rsidR="00F97D54" w:rsidRPr="00CF4C6D" w:rsidRDefault="00F97D54" w:rsidP="00127F8E">
      <w:pPr>
        <w:pStyle w:val="TOC1"/>
        <w:tabs>
          <w:tab w:val="clear" w:pos="360"/>
          <w:tab w:val="clear" w:pos="9360"/>
          <w:tab w:val="left" w:pos="720"/>
          <w:tab w:val="right" w:leader="dot" w:pos="8640"/>
        </w:tabs>
        <w:spacing w:after="120"/>
        <w:ind w:left="720" w:right="0" w:hanging="720"/>
        <w:rPr>
          <w:rFonts w:ascii="Calibri" w:hAnsi="Calibri"/>
          <w:caps w:val="0"/>
          <w:szCs w:val="22"/>
        </w:rPr>
      </w:pPr>
      <w:r>
        <w:rPr>
          <w:b/>
        </w:rPr>
        <w:fldChar w:fldCharType="begin"/>
      </w:r>
      <w:r>
        <w:rPr>
          <w:b/>
        </w:rPr>
        <w:instrText xml:space="preserve"> TOC \o "1-5" \h \z \u </w:instrText>
      </w:r>
      <w:r>
        <w:rPr>
          <w:b/>
        </w:rPr>
        <w:fldChar w:fldCharType="separate"/>
      </w:r>
      <w:hyperlink w:anchor="_Toc365972064" w:history="1">
        <w:r w:rsidRPr="0082614F">
          <w:rPr>
            <w:rStyle w:val="Hyperlink"/>
          </w:rPr>
          <w:t>I.</w:t>
        </w:r>
        <w:r w:rsidRPr="00CF4C6D">
          <w:rPr>
            <w:rFonts w:ascii="Calibri" w:hAnsi="Calibri"/>
            <w:caps w:val="0"/>
            <w:szCs w:val="22"/>
          </w:rPr>
          <w:tab/>
        </w:r>
        <w:r w:rsidRPr="0082614F">
          <w:rPr>
            <w:rStyle w:val="Hyperlink"/>
          </w:rPr>
          <w:t>Introduction</w:t>
        </w:r>
        <w:r>
          <w:rPr>
            <w:webHidden/>
          </w:rPr>
          <w:tab/>
        </w:r>
        <w:r>
          <w:rPr>
            <w:webHidden/>
          </w:rPr>
          <w:fldChar w:fldCharType="begin"/>
        </w:r>
        <w:r>
          <w:rPr>
            <w:webHidden/>
          </w:rPr>
          <w:instrText xml:space="preserve"> PAGEREF _Toc365972064 \h </w:instrText>
        </w:r>
        <w:r>
          <w:rPr>
            <w:webHidden/>
          </w:rPr>
        </w:r>
        <w:r>
          <w:rPr>
            <w:webHidden/>
          </w:rPr>
          <w:fldChar w:fldCharType="separate"/>
        </w:r>
        <w:r w:rsidR="00DA300B">
          <w:rPr>
            <w:webHidden/>
          </w:rPr>
          <w:t>1</w:t>
        </w:r>
        <w:r>
          <w:rPr>
            <w:webHidden/>
          </w:rPr>
          <w:fldChar w:fldCharType="end"/>
        </w:r>
      </w:hyperlink>
    </w:p>
    <w:p w:rsidR="00F97D54" w:rsidRPr="00CF4C6D" w:rsidRDefault="00FB20A9" w:rsidP="00127F8E">
      <w:pPr>
        <w:pStyle w:val="TOC1"/>
        <w:tabs>
          <w:tab w:val="clear" w:pos="360"/>
          <w:tab w:val="left" w:pos="720"/>
          <w:tab w:val="right" w:leader="dot" w:pos="8640"/>
        </w:tabs>
        <w:spacing w:after="120"/>
        <w:ind w:left="720" w:hanging="720"/>
        <w:rPr>
          <w:rFonts w:ascii="Calibri" w:hAnsi="Calibri"/>
          <w:caps w:val="0"/>
          <w:szCs w:val="22"/>
        </w:rPr>
      </w:pPr>
      <w:hyperlink w:anchor="_Toc365972065" w:history="1">
        <w:r w:rsidR="00F97D54" w:rsidRPr="0082614F">
          <w:rPr>
            <w:rStyle w:val="Hyperlink"/>
          </w:rPr>
          <w:t>II.</w:t>
        </w:r>
        <w:r w:rsidR="00F97D54" w:rsidRPr="00CF4C6D">
          <w:rPr>
            <w:rFonts w:ascii="Calibri" w:hAnsi="Calibri"/>
            <w:caps w:val="0"/>
            <w:szCs w:val="22"/>
          </w:rPr>
          <w:tab/>
        </w:r>
        <w:r w:rsidR="00F97D54" w:rsidRPr="0082614F">
          <w:rPr>
            <w:rStyle w:val="Hyperlink"/>
          </w:rPr>
          <w:t>Filing Requirements and General Instructions</w:t>
        </w:r>
        <w:r w:rsidR="00F97D54">
          <w:rPr>
            <w:webHidden/>
          </w:rPr>
          <w:tab/>
        </w:r>
        <w:r w:rsidR="00F97D54">
          <w:rPr>
            <w:webHidden/>
          </w:rPr>
          <w:fldChar w:fldCharType="begin"/>
        </w:r>
        <w:r w:rsidR="00F97D54">
          <w:rPr>
            <w:webHidden/>
          </w:rPr>
          <w:instrText xml:space="preserve"> PAGEREF _Toc365972065 \h </w:instrText>
        </w:r>
        <w:r w:rsidR="00F97D54">
          <w:rPr>
            <w:webHidden/>
          </w:rPr>
        </w:r>
        <w:r w:rsidR="00F97D54">
          <w:rPr>
            <w:webHidden/>
          </w:rPr>
          <w:fldChar w:fldCharType="separate"/>
        </w:r>
        <w:r w:rsidR="00DA300B">
          <w:rPr>
            <w:webHidden/>
          </w:rPr>
          <w:t>1</w:t>
        </w:r>
        <w:r w:rsidR="00F97D54">
          <w:rPr>
            <w:webHidden/>
          </w:rPr>
          <w:fldChar w:fldCharType="end"/>
        </w:r>
      </w:hyperlink>
    </w:p>
    <w:p w:rsidR="00F97D54" w:rsidRPr="00CF4C6D" w:rsidRDefault="00FB20A9" w:rsidP="00127F8E">
      <w:pPr>
        <w:pStyle w:val="TOC2"/>
        <w:tabs>
          <w:tab w:val="clear" w:pos="720"/>
          <w:tab w:val="clear" w:pos="9360"/>
          <w:tab w:val="left" w:pos="1440"/>
          <w:tab w:val="right" w:leader="dot" w:pos="8640"/>
        </w:tabs>
        <w:ind w:left="1440" w:hanging="720"/>
        <w:rPr>
          <w:rFonts w:ascii="Calibri" w:hAnsi="Calibri"/>
          <w:szCs w:val="22"/>
        </w:rPr>
      </w:pPr>
      <w:hyperlink w:anchor="_Toc365972066" w:history="1">
        <w:r w:rsidR="00F97D54" w:rsidRPr="0082614F">
          <w:rPr>
            <w:rStyle w:val="Hyperlink"/>
          </w:rPr>
          <w:t>A.</w:t>
        </w:r>
        <w:r w:rsidR="00F97D54" w:rsidRPr="00CF4C6D">
          <w:rPr>
            <w:rFonts w:ascii="Calibri" w:hAnsi="Calibri"/>
            <w:szCs w:val="22"/>
          </w:rPr>
          <w:tab/>
        </w:r>
        <w:r w:rsidR="00F97D54" w:rsidRPr="0082614F">
          <w:rPr>
            <w:rStyle w:val="Hyperlink"/>
          </w:rPr>
          <w:t>Purpose of Data Collection</w:t>
        </w:r>
        <w:r w:rsidR="00F97D54">
          <w:rPr>
            <w:webHidden/>
          </w:rPr>
          <w:tab/>
        </w:r>
        <w:r w:rsidR="00F97D54">
          <w:rPr>
            <w:webHidden/>
          </w:rPr>
          <w:fldChar w:fldCharType="begin"/>
        </w:r>
        <w:r w:rsidR="00F97D54">
          <w:rPr>
            <w:webHidden/>
          </w:rPr>
          <w:instrText xml:space="preserve"> PAGEREF _Toc365972066 \h </w:instrText>
        </w:r>
        <w:r w:rsidR="00F97D54">
          <w:rPr>
            <w:webHidden/>
          </w:rPr>
        </w:r>
        <w:r w:rsidR="00F97D54">
          <w:rPr>
            <w:webHidden/>
          </w:rPr>
          <w:fldChar w:fldCharType="separate"/>
        </w:r>
        <w:r w:rsidR="00DA300B">
          <w:rPr>
            <w:webHidden/>
          </w:rPr>
          <w:t>1</w:t>
        </w:r>
        <w:r w:rsidR="00F97D54">
          <w:rPr>
            <w:webHidden/>
          </w:rPr>
          <w:fldChar w:fldCharType="end"/>
        </w:r>
      </w:hyperlink>
    </w:p>
    <w:p w:rsidR="00F97D54" w:rsidRPr="00CF4C6D" w:rsidRDefault="00FB20A9" w:rsidP="00127F8E">
      <w:pPr>
        <w:pStyle w:val="TOC2"/>
        <w:tabs>
          <w:tab w:val="clear" w:pos="720"/>
          <w:tab w:val="left" w:pos="1440"/>
          <w:tab w:val="right" w:leader="dot" w:pos="8640"/>
        </w:tabs>
        <w:ind w:left="1440" w:hanging="720"/>
        <w:rPr>
          <w:rFonts w:ascii="Calibri" w:hAnsi="Calibri"/>
          <w:szCs w:val="22"/>
        </w:rPr>
      </w:pPr>
      <w:hyperlink w:anchor="_Toc365972067" w:history="1">
        <w:r w:rsidR="00F97D54" w:rsidRPr="0082614F">
          <w:rPr>
            <w:rStyle w:val="Hyperlink"/>
          </w:rPr>
          <w:t>B.</w:t>
        </w:r>
        <w:r w:rsidR="00F97D54" w:rsidRPr="00CF4C6D">
          <w:rPr>
            <w:rFonts w:ascii="Calibri" w:hAnsi="Calibri"/>
            <w:szCs w:val="22"/>
          </w:rPr>
          <w:tab/>
        </w:r>
        <w:r w:rsidR="00F97D54" w:rsidRPr="0082614F">
          <w:rPr>
            <w:rStyle w:val="Hyperlink"/>
          </w:rPr>
          <w:t>Authority for Data Collection</w:t>
        </w:r>
        <w:r w:rsidR="00F97D54">
          <w:rPr>
            <w:webHidden/>
          </w:rPr>
          <w:tab/>
        </w:r>
        <w:r w:rsidR="00F97D54">
          <w:rPr>
            <w:webHidden/>
          </w:rPr>
          <w:fldChar w:fldCharType="begin"/>
        </w:r>
        <w:r w:rsidR="00F97D54">
          <w:rPr>
            <w:webHidden/>
          </w:rPr>
          <w:instrText xml:space="preserve"> PAGEREF _Toc365972067 \h </w:instrText>
        </w:r>
        <w:r w:rsidR="00F97D54">
          <w:rPr>
            <w:webHidden/>
          </w:rPr>
        </w:r>
        <w:r w:rsidR="00F97D54">
          <w:rPr>
            <w:webHidden/>
          </w:rPr>
          <w:fldChar w:fldCharType="separate"/>
        </w:r>
        <w:r w:rsidR="00DA300B">
          <w:rPr>
            <w:webHidden/>
          </w:rPr>
          <w:t>1</w:t>
        </w:r>
        <w:r w:rsidR="00F97D54">
          <w:rPr>
            <w:webHidden/>
          </w:rPr>
          <w:fldChar w:fldCharType="end"/>
        </w:r>
      </w:hyperlink>
    </w:p>
    <w:p w:rsidR="00F97D54" w:rsidRPr="00CF4C6D" w:rsidRDefault="00FB20A9" w:rsidP="00127F8E">
      <w:pPr>
        <w:pStyle w:val="TOC2"/>
        <w:tabs>
          <w:tab w:val="clear" w:pos="720"/>
          <w:tab w:val="left" w:pos="1440"/>
          <w:tab w:val="right" w:leader="dot" w:pos="8640"/>
        </w:tabs>
        <w:ind w:left="1440" w:hanging="720"/>
        <w:rPr>
          <w:rFonts w:ascii="Calibri" w:hAnsi="Calibri"/>
          <w:szCs w:val="22"/>
        </w:rPr>
      </w:pPr>
      <w:hyperlink w:anchor="_Toc365972068" w:history="1">
        <w:r w:rsidR="00F97D54" w:rsidRPr="0082614F">
          <w:rPr>
            <w:rStyle w:val="Hyperlink"/>
          </w:rPr>
          <w:t>C.</w:t>
        </w:r>
        <w:r w:rsidR="00F97D54" w:rsidRPr="00CF4C6D">
          <w:rPr>
            <w:rFonts w:ascii="Calibri" w:hAnsi="Calibri"/>
            <w:szCs w:val="22"/>
          </w:rPr>
          <w:tab/>
        </w:r>
        <w:r w:rsidR="00F97D54" w:rsidRPr="0082614F">
          <w:rPr>
            <w:rStyle w:val="Hyperlink"/>
          </w:rPr>
          <w:t>Who Must Respond to this Data Collection?</w:t>
        </w:r>
        <w:r w:rsidR="00F97D54">
          <w:rPr>
            <w:webHidden/>
          </w:rPr>
          <w:tab/>
        </w:r>
        <w:r w:rsidR="00F97D54">
          <w:rPr>
            <w:webHidden/>
          </w:rPr>
          <w:fldChar w:fldCharType="begin"/>
        </w:r>
        <w:r w:rsidR="00F97D54">
          <w:rPr>
            <w:webHidden/>
          </w:rPr>
          <w:instrText xml:space="preserve"> PAGEREF _Toc365972068 \h </w:instrText>
        </w:r>
        <w:r w:rsidR="00F97D54">
          <w:rPr>
            <w:webHidden/>
          </w:rPr>
        </w:r>
        <w:r w:rsidR="00F97D54">
          <w:rPr>
            <w:webHidden/>
          </w:rPr>
          <w:fldChar w:fldCharType="separate"/>
        </w:r>
        <w:r w:rsidR="00DA300B">
          <w:rPr>
            <w:webHidden/>
          </w:rPr>
          <w:t>2</w:t>
        </w:r>
        <w:r w:rsidR="00F97D54">
          <w:rPr>
            <w:webHidden/>
          </w:rPr>
          <w:fldChar w:fldCharType="end"/>
        </w:r>
      </w:hyperlink>
    </w:p>
    <w:p w:rsidR="00F97D54" w:rsidRPr="00CF4C6D" w:rsidRDefault="00FB20A9" w:rsidP="00127F8E">
      <w:pPr>
        <w:pStyle w:val="TOC2"/>
        <w:tabs>
          <w:tab w:val="clear" w:pos="720"/>
          <w:tab w:val="left" w:pos="1440"/>
          <w:tab w:val="right" w:leader="dot" w:pos="8640"/>
        </w:tabs>
        <w:ind w:left="1440" w:hanging="720"/>
        <w:rPr>
          <w:rFonts w:ascii="Calibri" w:hAnsi="Calibri"/>
          <w:szCs w:val="22"/>
        </w:rPr>
      </w:pPr>
      <w:hyperlink w:anchor="_Toc365972069" w:history="1">
        <w:r w:rsidR="00F97D54" w:rsidRPr="0082614F">
          <w:rPr>
            <w:rStyle w:val="Hyperlink"/>
          </w:rPr>
          <w:t>D.</w:t>
        </w:r>
        <w:r w:rsidR="00F97D54" w:rsidRPr="00CF4C6D">
          <w:rPr>
            <w:rFonts w:ascii="Calibri" w:hAnsi="Calibri"/>
            <w:szCs w:val="22"/>
          </w:rPr>
          <w:tab/>
        </w:r>
        <w:r w:rsidR="00F97D54" w:rsidRPr="0082614F">
          <w:rPr>
            <w:rStyle w:val="Hyperlink"/>
          </w:rPr>
          <w:t>Responding to the Data Collection</w:t>
        </w:r>
        <w:r w:rsidR="00F97D54">
          <w:rPr>
            <w:webHidden/>
          </w:rPr>
          <w:tab/>
        </w:r>
        <w:r w:rsidR="00F97D54">
          <w:rPr>
            <w:webHidden/>
          </w:rPr>
          <w:fldChar w:fldCharType="begin"/>
        </w:r>
        <w:r w:rsidR="00F97D54">
          <w:rPr>
            <w:webHidden/>
          </w:rPr>
          <w:instrText xml:space="preserve"> PAGEREF _Toc365972069 \h </w:instrText>
        </w:r>
        <w:r w:rsidR="00F97D54">
          <w:rPr>
            <w:webHidden/>
          </w:rPr>
        </w:r>
        <w:r w:rsidR="00F97D54">
          <w:rPr>
            <w:webHidden/>
          </w:rPr>
          <w:fldChar w:fldCharType="separate"/>
        </w:r>
        <w:r w:rsidR="00DA300B">
          <w:rPr>
            <w:webHidden/>
          </w:rPr>
          <w:t>4</w:t>
        </w:r>
        <w:r w:rsidR="00F97D54">
          <w:rPr>
            <w:webHidden/>
          </w:rPr>
          <w:fldChar w:fldCharType="end"/>
        </w:r>
      </w:hyperlink>
    </w:p>
    <w:p w:rsidR="00F97D54" w:rsidRPr="00CF4C6D" w:rsidRDefault="00FB20A9" w:rsidP="00127F8E">
      <w:pPr>
        <w:pStyle w:val="TOC2"/>
        <w:tabs>
          <w:tab w:val="clear" w:pos="720"/>
          <w:tab w:val="left" w:pos="1440"/>
          <w:tab w:val="right" w:leader="dot" w:pos="8640"/>
        </w:tabs>
        <w:ind w:left="1440" w:hanging="720"/>
        <w:rPr>
          <w:rFonts w:ascii="Calibri" w:hAnsi="Calibri"/>
          <w:szCs w:val="22"/>
        </w:rPr>
      </w:pPr>
      <w:hyperlink w:anchor="_Toc365972070" w:history="1">
        <w:r w:rsidR="00F97D54" w:rsidRPr="0082614F">
          <w:rPr>
            <w:rStyle w:val="Hyperlink"/>
          </w:rPr>
          <w:t>E.</w:t>
        </w:r>
        <w:r w:rsidR="00F97D54" w:rsidRPr="00CF4C6D">
          <w:rPr>
            <w:rFonts w:ascii="Calibri" w:hAnsi="Calibri"/>
            <w:szCs w:val="22"/>
          </w:rPr>
          <w:tab/>
        </w:r>
        <w:r w:rsidR="00F97D54" w:rsidRPr="0082614F">
          <w:rPr>
            <w:rStyle w:val="Hyperlink"/>
          </w:rPr>
          <w:t>Geographic Scope of Submitted Data and Information</w:t>
        </w:r>
        <w:r w:rsidR="00F97D54">
          <w:rPr>
            <w:webHidden/>
          </w:rPr>
          <w:tab/>
        </w:r>
        <w:r w:rsidR="00F97D54">
          <w:rPr>
            <w:webHidden/>
          </w:rPr>
          <w:fldChar w:fldCharType="begin"/>
        </w:r>
        <w:r w:rsidR="00F97D54">
          <w:rPr>
            <w:webHidden/>
          </w:rPr>
          <w:instrText xml:space="preserve"> PAGEREF _Toc365972070 \h </w:instrText>
        </w:r>
        <w:r w:rsidR="00F97D54">
          <w:rPr>
            <w:webHidden/>
          </w:rPr>
        </w:r>
        <w:r w:rsidR="00F97D54">
          <w:rPr>
            <w:webHidden/>
          </w:rPr>
          <w:fldChar w:fldCharType="separate"/>
        </w:r>
        <w:r w:rsidR="00DA300B">
          <w:rPr>
            <w:webHidden/>
          </w:rPr>
          <w:t>5</w:t>
        </w:r>
        <w:r w:rsidR="00F97D54">
          <w:rPr>
            <w:webHidden/>
          </w:rPr>
          <w:fldChar w:fldCharType="end"/>
        </w:r>
      </w:hyperlink>
    </w:p>
    <w:p w:rsidR="00F97D54" w:rsidRPr="00CF4C6D" w:rsidRDefault="00FB20A9" w:rsidP="00127F8E">
      <w:pPr>
        <w:pStyle w:val="TOC2"/>
        <w:tabs>
          <w:tab w:val="clear" w:pos="720"/>
          <w:tab w:val="left" w:pos="1440"/>
          <w:tab w:val="right" w:leader="dot" w:pos="8640"/>
        </w:tabs>
        <w:ind w:left="1440" w:hanging="720"/>
        <w:rPr>
          <w:rFonts w:ascii="Calibri" w:hAnsi="Calibri"/>
          <w:szCs w:val="22"/>
        </w:rPr>
      </w:pPr>
      <w:hyperlink w:anchor="_Toc365972071" w:history="1">
        <w:r w:rsidR="00F97D54" w:rsidRPr="0082614F">
          <w:rPr>
            <w:rStyle w:val="Hyperlink"/>
          </w:rPr>
          <w:t>F.</w:t>
        </w:r>
        <w:r w:rsidR="00F97D54" w:rsidRPr="00CF4C6D">
          <w:rPr>
            <w:rFonts w:ascii="Calibri" w:hAnsi="Calibri"/>
            <w:szCs w:val="22"/>
          </w:rPr>
          <w:tab/>
        </w:r>
        <w:r w:rsidR="00F97D54" w:rsidRPr="0082614F">
          <w:rPr>
            <w:rStyle w:val="Hyperlink"/>
          </w:rPr>
          <w:t>When to File</w:t>
        </w:r>
        <w:r w:rsidR="00F97D54">
          <w:rPr>
            <w:webHidden/>
          </w:rPr>
          <w:tab/>
        </w:r>
        <w:r w:rsidR="00F97D54">
          <w:rPr>
            <w:webHidden/>
          </w:rPr>
          <w:fldChar w:fldCharType="begin"/>
        </w:r>
        <w:r w:rsidR="00F97D54">
          <w:rPr>
            <w:webHidden/>
          </w:rPr>
          <w:instrText xml:space="preserve"> PAGEREF _Toc365972071 \h </w:instrText>
        </w:r>
        <w:r w:rsidR="00F97D54">
          <w:rPr>
            <w:webHidden/>
          </w:rPr>
        </w:r>
        <w:r w:rsidR="00F97D54">
          <w:rPr>
            <w:webHidden/>
          </w:rPr>
          <w:fldChar w:fldCharType="separate"/>
        </w:r>
        <w:r w:rsidR="00DA300B">
          <w:rPr>
            <w:webHidden/>
          </w:rPr>
          <w:t>5</w:t>
        </w:r>
        <w:r w:rsidR="00F97D54">
          <w:rPr>
            <w:webHidden/>
          </w:rPr>
          <w:fldChar w:fldCharType="end"/>
        </w:r>
      </w:hyperlink>
    </w:p>
    <w:p w:rsidR="00F97D54" w:rsidRPr="00CF4C6D" w:rsidRDefault="00FB20A9" w:rsidP="00127F8E">
      <w:pPr>
        <w:pStyle w:val="TOC2"/>
        <w:tabs>
          <w:tab w:val="clear" w:pos="720"/>
          <w:tab w:val="left" w:pos="1440"/>
          <w:tab w:val="right" w:leader="dot" w:pos="8640"/>
        </w:tabs>
        <w:ind w:left="1440" w:hanging="720"/>
        <w:rPr>
          <w:rFonts w:ascii="Calibri" w:hAnsi="Calibri"/>
          <w:szCs w:val="22"/>
        </w:rPr>
      </w:pPr>
      <w:hyperlink w:anchor="_Toc365972072" w:history="1">
        <w:r w:rsidR="00F97D54" w:rsidRPr="0082614F">
          <w:rPr>
            <w:rStyle w:val="Hyperlink"/>
          </w:rPr>
          <w:t>G.</w:t>
        </w:r>
        <w:r w:rsidR="00F97D54" w:rsidRPr="00CF4C6D">
          <w:rPr>
            <w:rFonts w:ascii="Calibri" w:hAnsi="Calibri"/>
            <w:szCs w:val="22"/>
          </w:rPr>
          <w:tab/>
        </w:r>
        <w:r w:rsidR="00F97D54" w:rsidRPr="0082614F">
          <w:rPr>
            <w:rStyle w:val="Hyperlink"/>
          </w:rPr>
          <w:t>Certification of Filing Accuracy</w:t>
        </w:r>
        <w:r w:rsidR="00F97D54">
          <w:rPr>
            <w:webHidden/>
          </w:rPr>
          <w:tab/>
        </w:r>
        <w:r w:rsidR="00F97D54">
          <w:rPr>
            <w:webHidden/>
          </w:rPr>
          <w:fldChar w:fldCharType="begin"/>
        </w:r>
        <w:r w:rsidR="00F97D54">
          <w:rPr>
            <w:webHidden/>
          </w:rPr>
          <w:instrText xml:space="preserve"> PAGEREF _Toc365972072 \h </w:instrText>
        </w:r>
        <w:r w:rsidR="00F97D54">
          <w:rPr>
            <w:webHidden/>
          </w:rPr>
        </w:r>
        <w:r w:rsidR="00F97D54">
          <w:rPr>
            <w:webHidden/>
          </w:rPr>
          <w:fldChar w:fldCharType="separate"/>
        </w:r>
        <w:r w:rsidR="00DA300B">
          <w:rPr>
            <w:webHidden/>
          </w:rPr>
          <w:t>5</w:t>
        </w:r>
        <w:r w:rsidR="00F97D54">
          <w:rPr>
            <w:webHidden/>
          </w:rPr>
          <w:fldChar w:fldCharType="end"/>
        </w:r>
      </w:hyperlink>
    </w:p>
    <w:p w:rsidR="00F97D54" w:rsidRPr="00CF4C6D" w:rsidRDefault="00FB20A9" w:rsidP="00127F8E">
      <w:pPr>
        <w:pStyle w:val="TOC2"/>
        <w:tabs>
          <w:tab w:val="clear" w:pos="720"/>
          <w:tab w:val="left" w:pos="1440"/>
          <w:tab w:val="right" w:leader="dot" w:pos="8640"/>
        </w:tabs>
        <w:ind w:left="1440" w:hanging="720"/>
        <w:rPr>
          <w:rFonts w:ascii="Calibri" w:hAnsi="Calibri"/>
          <w:szCs w:val="22"/>
        </w:rPr>
      </w:pPr>
      <w:hyperlink w:anchor="_Toc365972073" w:history="1">
        <w:r w:rsidR="00F97D54" w:rsidRPr="0082614F">
          <w:rPr>
            <w:rStyle w:val="Hyperlink"/>
          </w:rPr>
          <w:t>H.</w:t>
        </w:r>
        <w:r w:rsidR="00F97D54" w:rsidRPr="00CF4C6D">
          <w:rPr>
            <w:rFonts w:ascii="Calibri" w:hAnsi="Calibri"/>
            <w:szCs w:val="22"/>
          </w:rPr>
          <w:tab/>
        </w:r>
        <w:r w:rsidR="00F97D54" w:rsidRPr="0082614F">
          <w:rPr>
            <w:rStyle w:val="Hyperlink"/>
          </w:rPr>
          <w:t>Confidentiality</w:t>
        </w:r>
        <w:r w:rsidR="00F97D54">
          <w:rPr>
            <w:webHidden/>
          </w:rPr>
          <w:tab/>
        </w:r>
        <w:r w:rsidR="00F97D54">
          <w:rPr>
            <w:webHidden/>
          </w:rPr>
          <w:fldChar w:fldCharType="begin"/>
        </w:r>
        <w:r w:rsidR="00F97D54">
          <w:rPr>
            <w:webHidden/>
          </w:rPr>
          <w:instrText xml:space="preserve"> PAGEREF _Toc365972073 \h </w:instrText>
        </w:r>
        <w:r w:rsidR="00F97D54">
          <w:rPr>
            <w:webHidden/>
          </w:rPr>
        </w:r>
        <w:r w:rsidR="00F97D54">
          <w:rPr>
            <w:webHidden/>
          </w:rPr>
          <w:fldChar w:fldCharType="separate"/>
        </w:r>
        <w:r w:rsidR="00DA300B">
          <w:rPr>
            <w:webHidden/>
          </w:rPr>
          <w:t>5</w:t>
        </w:r>
        <w:r w:rsidR="00F97D54">
          <w:rPr>
            <w:webHidden/>
          </w:rPr>
          <w:fldChar w:fldCharType="end"/>
        </w:r>
      </w:hyperlink>
    </w:p>
    <w:p w:rsidR="00F97D54" w:rsidRPr="00CF4C6D" w:rsidRDefault="00FB20A9" w:rsidP="00127F8E">
      <w:pPr>
        <w:pStyle w:val="TOC2"/>
        <w:tabs>
          <w:tab w:val="clear" w:pos="720"/>
          <w:tab w:val="left" w:pos="1440"/>
          <w:tab w:val="right" w:leader="dot" w:pos="8640"/>
        </w:tabs>
        <w:ind w:left="1440" w:hanging="720"/>
        <w:rPr>
          <w:rFonts w:ascii="Calibri" w:hAnsi="Calibri"/>
          <w:szCs w:val="22"/>
        </w:rPr>
      </w:pPr>
      <w:hyperlink w:anchor="_Toc365972074" w:history="1">
        <w:r w:rsidR="00F97D54" w:rsidRPr="0082614F">
          <w:rPr>
            <w:rStyle w:val="Hyperlink"/>
          </w:rPr>
          <w:t>I.</w:t>
        </w:r>
        <w:r w:rsidR="00F97D54" w:rsidRPr="00CF4C6D">
          <w:rPr>
            <w:rFonts w:ascii="Calibri" w:hAnsi="Calibri"/>
            <w:szCs w:val="22"/>
          </w:rPr>
          <w:tab/>
        </w:r>
        <w:r w:rsidR="00F97D54" w:rsidRPr="0082614F">
          <w:rPr>
            <w:rStyle w:val="Hyperlink"/>
          </w:rPr>
          <w:t>Retention of Records</w:t>
        </w:r>
        <w:r w:rsidR="00F97D54">
          <w:rPr>
            <w:webHidden/>
          </w:rPr>
          <w:tab/>
        </w:r>
        <w:r w:rsidR="00F97D54">
          <w:rPr>
            <w:webHidden/>
          </w:rPr>
          <w:fldChar w:fldCharType="begin"/>
        </w:r>
        <w:r w:rsidR="00F97D54">
          <w:rPr>
            <w:webHidden/>
          </w:rPr>
          <w:instrText xml:space="preserve"> PAGEREF _Toc365972074 \h </w:instrText>
        </w:r>
        <w:r w:rsidR="00F97D54">
          <w:rPr>
            <w:webHidden/>
          </w:rPr>
        </w:r>
        <w:r w:rsidR="00F97D54">
          <w:rPr>
            <w:webHidden/>
          </w:rPr>
          <w:fldChar w:fldCharType="separate"/>
        </w:r>
        <w:r w:rsidR="00DA300B">
          <w:rPr>
            <w:webHidden/>
          </w:rPr>
          <w:t>5</w:t>
        </w:r>
        <w:r w:rsidR="00F97D54">
          <w:rPr>
            <w:webHidden/>
          </w:rPr>
          <w:fldChar w:fldCharType="end"/>
        </w:r>
      </w:hyperlink>
    </w:p>
    <w:p w:rsidR="00F97D54" w:rsidRPr="00CF4C6D" w:rsidRDefault="00FB20A9" w:rsidP="00127F8E">
      <w:pPr>
        <w:pStyle w:val="TOC2"/>
        <w:tabs>
          <w:tab w:val="clear" w:pos="720"/>
          <w:tab w:val="left" w:pos="1440"/>
          <w:tab w:val="right" w:leader="dot" w:pos="8640"/>
        </w:tabs>
        <w:spacing w:after="120"/>
        <w:ind w:left="1440" w:hanging="720"/>
        <w:rPr>
          <w:rFonts w:ascii="Calibri" w:hAnsi="Calibri"/>
          <w:szCs w:val="22"/>
        </w:rPr>
      </w:pPr>
      <w:hyperlink w:anchor="_Toc365972075" w:history="1">
        <w:r w:rsidR="00F97D54" w:rsidRPr="0082614F">
          <w:rPr>
            <w:rStyle w:val="Hyperlink"/>
          </w:rPr>
          <w:t>J.</w:t>
        </w:r>
        <w:r w:rsidR="00F97D54" w:rsidRPr="00CF4C6D">
          <w:rPr>
            <w:rFonts w:ascii="Calibri" w:hAnsi="Calibri"/>
            <w:szCs w:val="22"/>
          </w:rPr>
          <w:tab/>
        </w:r>
        <w:r w:rsidR="00F97D54" w:rsidRPr="0082614F">
          <w:rPr>
            <w:rStyle w:val="Hyperlink"/>
          </w:rPr>
          <w:t>Paperwork Reduction Act Notices</w:t>
        </w:r>
        <w:r w:rsidR="00F97D54">
          <w:rPr>
            <w:webHidden/>
          </w:rPr>
          <w:tab/>
        </w:r>
        <w:r w:rsidR="00F97D54">
          <w:rPr>
            <w:webHidden/>
          </w:rPr>
          <w:fldChar w:fldCharType="begin"/>
        </w:r>
        <w:r w:rsidR="00F97D54">
          <w:rPr>
            <w:webHidden/>
          </w:rPr>
          <w:instrText xml:space="preserve"> PAGEREF _Toc365972075 \h </w:instrText>
        </w:r>
        <w:r w:rsidR="00F97D54">
          <w:rPr>
            <w:webHidden/>
          </w:rPr>
        </w:r>
        <w:r w:rsidR="00F97D54">
          <w:rPr>
            <w:webHidden/>
          </w:rPr>
          <w:fldChar w:fldCharType="separate"/>
        </w:r>
        <w:r w:rsidR="00DA300B">
          <w:rPr>
            <w:webHidden/>
          </w:rPr>
          <w:t>6</w:t>
        </w:r>
        <w:r w:rsidR="00F97D54">
          <w:rPr>
            <w:webHidden/>
          </w:rPr>
          <w:fldChar w:fldCharType="end"/>
        </w:r>
      </w:hyperlink>
    </w:p>
    <w:p w:rsidR="00F97D54" w:rsidRPr="00CF4C6D" w:rsidRDefault="00FB20A9" w:rsidP="00F85A06">
      <w:pPr>
        <w:pStyle w:val="TOC1"/>
        <w:tabs>
          <w:tab w:val="clear" w:pos="360"/>
          <w:tab w:val="left" w:pos="720"/>
          <w:tab w:val="right" w:leader="dot" w:pos="8640"/>
        </w:tabs>
        <w:spacing w:after="120"/>
        <w:ind w:left="720" w:hanging="720"/>
        <w:rPr>
          <w:rFonts w:ascii="Calibri" w:hAnsi="Calibri"/>
          <w:caps w:val="0"/>
          <w:szCs w:val="22"/>
        </w:rPr>
      </w:pPr>
      <w:hyperlink w:anchor="_Toc365972076" w:history="1">
        <w:r w:rsidR="00F97D54" w:rsidRPr="0082614F">
          <w:rPr>
            <w:rStyle w:val="Hyperlink"/>
          </w:rPr>
          <w:t>III.</w:t>
        </w:r>
        <w:r w:rsidR="00F97D54" w:rsidRPr="00CF4C6D">
          <w:rPr>
            <w:rFonts w:ascii="Calibri" w:hAnsi="Calibri"/>
            <w:caps w:val="0"/>
            <w:szCs w:val="22"/>
          </w:rPr>
          <w:tab/>
        </w:r>
        <w:r w:rsidR="00F97D54" w:rsidRPr="0082614F">
          <w:rPr>
            <w:rStyle w:val="Hyperlink"/>
          </w:rPr>
          <w:t>Additional Instructions and Data Table Specifications</w:t>
        </w:r>
        <w:r w:rsidR="00F97D54">
          <w:rPr>
            <w:webHidden/>
          </w:rPr>
          <w:tab/>
        </w:r>
        <w:r w:rsidR="00F97D54">
          <w:rPr>
            <w:webHidden/>
          </w:rPr>
          <w:fldChar w:fldCharType="begin"/>
        </w:r>
        <w:r w:rsidR="00F97D54">
          <w:rPr>
            <w:webHidden/>
          </w:rPr>
          <w:instrText xml:space="preserve"> PAGEREF _Toc365972076 \h </w:instrText>
        </w:r>
        <w:r w:rsidR="00F97D54">
          <w:rPr>
            <w:webHidden/>
          </w:rPr>
        </w:r>
        <w:r w:rsidR="00F97D54">
          <w:rPr>
            <w:webHidden/>
          </w:rPr>
          <w:fldChar w:fldCharType="separate"/>
        </w:r>
        <w:r w:rsidR="00DA300B">
          <w:rPr>
            <w:webHidden/>
          </w:rPr>
          <w:t>6</w:t>
        </w:r>
        <w:r w:rsidR="00F97D54">
          <w:rPr>
            <w:webHidden/>
          </w:rPr>
          <w:fldChar w:fldCharType="end"/>
        </w:r>
      </w:hyperlink>
    </w:p>
    <w:p w:rsidR="00F97D54" w:rsidRPr="00CF4C6D" w:rsidRDefault="00FB20A9" w:rsidP="00127F8E">
      <w:pPr>
        <w:pStyle w:val="TOC3"/>
        <w:tabs>
          <w:tab w:val="right" w:leader="dot" w:pos="8640"/>
        </w:tabs>
        <w:spacing w:after="120"/>
        <w:rPr>
          <w:rFonts w:ascii="Calibri" w:hAnsi="Calibri"/>
          <w:caps/>
          <w:szCs w:val="22"/>
        </w:rPr>
      </w:pPr>
      <w:hyperlink w:anchor="_Toc365972077" w:history="1">
        <w:r w:rsidR="00F97D54" w:rsidRPr="0082614F">
          <w:rPr>
            <w:rStyle w:val="Hyperlink"/>
          </w:rPr>
          <w:t>EXPLANATORY ATTACHMENT</w:t>
        </w:r>
        <w:r w:rsidR="00F97D54">
          <w:rPr>
            <w:webHidden/>
          </w:rPr>
          <w:tab/>
        </w:r>
        <w:r w:rsidR="00F97D54">
          <w:rPr>
            <w:webHidden/>
          </w:rPr>
          <w:fldChar w:fldCharType="begin"/>
        </w:r>
        <w:r w:rsidR="00F97D54">
          <w:rPr>
            <w:webHidden/>
          </w:rPr>
          <w:instrText xml:space="preserve"> PAGEREF _Toc365972077 \h </w:instrText>
        </w:r>
        <w:r w:rsidR="00F97D54">
          <w:rPr>
            <w:webHidden/>
          </w:rPr>
        </w:r>
        <w:r w:rsidR="00F97D54">
          <w:rPr>
            <w:webHidden/>
          </w:rPr>
          <w:fldChar w:fldCharType="separate"/>
        </w:r>
        <w:r w:rsidR="00DA300B">
          <w:rPr>
            <w:webHidden/>
          </w:rPr>
          <w:t>9</w:t>
        </w:r>
        <w:r w:rsidR="00F97D54">
          <w:rPr>
            <w:webHidden/>
          </w:rPr>
          <w:fldChar w:fldCharType="end"/>
        </w:r>
      </w:hyperlink>
    </w:p>
    <w:p w:rsidR="00F97D54" w:rsidRPr="00CF4C6D" w:rsidRDefault="00FB20A9" w:rsidP="00127F8E">
      <w:pPr>
        <w:pStyle w:val="TOC3"/>
        <w:tabs>
          <w:tab w:val="right" w:leader="dot" w:pos="8640"/>
        </w:tabs>
        <w:spacing w:after="120"/>
        <w:rPr>
          <w:rFonts w:ascii="Calibri" w:hAnsi="Calibri"/>
          <w:caps/>
          <w:szCs w:val="22"/>
        </w:rPr>
      </w:pPr>
      <w:hyperlink w:anchor="_Toc365972078" w:history="1">
        <w:r w:rsidR="00F97D54" w:rsidRPr="0082614F">
          <w:rPr>
            <w:rStyle w:val="Hyperlink"/>
          </w:rPr>
          <w:t>QUESTIONS DIRECTED AT COMPETITIVE PROVIDERS</w:t>
        </w:r>
        <w:r w:rsidR="00F97D54">
          <w:rPr>
            <w:webHidden/>
          </w:rPr>
          <w:tab/>
        </w:r>
        <w:r w:rsidR="00F97D54">
          <w:rPr>
            <w:webHidden/>
          </w:rPr>
          <w:fldChar w:fldCharType="begin"/>
        </w:r>
        <w:r w:rsidR="00F97D54">
          <w:rPr>
            <w:webHidden/>
          </w:rPr>
          <w:instrText xml:space="preserve"> PAGEREF _Toc365972078 \h </w:instrText>
        </w:r>
        <w:r w:rsidR="00F97D54">
          <w:rPr>
            <w:webHidden/>
          </w:rPr>
        </w:r>
        <w:r w:rsidR="00F97D54">
          <w:rPr>
            <w:webHidden/>
          </w:rPr>
          <w:fldChar w:fldCharType="separate"/>
        </w:r>
        <w:r w:rsidR="00DA300B">
          <w:rPr>
            <w:webHidden/>
          </w:rPr>
          <w:t>9</w:t>
        </w:r>
        <w:r w:rsidR="00F97D54">
          <w:rPr>
            <w:webHidden/>
          </w:rPr>
          <w:fldChar w:fldCharType="end"/>
        </w:r>
      </w:hyperlink>
    </w:p>
    <w:p w:rsidR="00F97D54" w:rsidRPr="00CF4C6D" w:rsidRDefault="00FB20A9" w:rsidP="0011023B">
      <w:pPr>
        <w:pStyle w:val="TOC2"/>
        <w:tabs>
          <w:tab w:val="clear" w:pos="720"/>
          <w:tab w:val="left" w:pos="1440"/>
          <w:tab w:val="right" w:leader="dot" w:pos="8640"/>
        </w:tabs>
        <w:ind w:left="1440" w:hanging="720"/>
        <w:rPr>
          <w:rFonts w:ascii="Calibri" w:hAnsi="Calibri"/>
          <w:szCs w:val="22"/>
        </w:rPr>
      </w:pPr>
      <w:hyperlink w:anchor="_Toc365972079" w:history="1">
        <w:r w:rsidR="00F97D54" w:rsidRPr="0082614F">
          <w:rPr>
            <w:rStyle w:val="Hyperlink"/>
          </w:rPr>
          <w:t>Question II.A.1:  Affiliated Company</w:t>
        </w:r>
        <w:r w:rsidR="00F97D54">
          <w:rPr>
            <w:webHidden/>
          </w:rPr>
          <w:tab/>
        </w:r>
        <w:r w:rsidR="00F97D54">
          <w:rPr>
            <w:webHidden/>
          </w:rPr>
          <w:fldChar w:fldCharType="begin"/>
        </w:r>
        <w:r w:rsidR="00F97D54">
          <w:rPr>
            <w:webHidden/>
          </w:rPr>
          <w:instrText xml:space="preserve"> PAGEREF _Toc365972079 \h </w:instrText>
        </w:r>
        <w:r w:rsidR="00F97D54">
          <w:rPr>
            <w:webHidden/>
          </w:rPr>
        </w:r>
        <w:r w:rsidR="00F97D54">
          <w:rPr>
            <w:webHidden/>
          </w:rPr>
          <w:fldChar w:fldCharType="separate"/>
        </w:r>
        <w:r w:rsidR="00DA300B">
          <w:rPr>
            <w:webHidden/>
          </w:rPr>
          <w:t>9</w:t>
        </w:r>
        <w:r w:rsidR="00F97D54">
          <w:rPr>
            <w:webHidden/>
          </w:rPr>
          <w:fldChar w:fldCharType="end"/>
        </w:r>
      </w:hyperlink>
    </w:p>
    <w:p w:rsidR="00F97D54" w:rsidRPr="00CF4C6D" w:rsidRDefault="00FB20A9" w:rsidP="0011023B">
      <w:pPr>
        <w:pStyle w:val="TOC2"/>
        <w:tabs>
          <w:tab w:val="clear" w:pos="720"/>
          <w:tab w:val="left" w:pos="1440"/>
          <w:tab w:val="right" w:leader="dot" w:pos="8640"/>
        </w:tabs>
        <w:ind w:left="1440" w:hanging="720"/>
        <w:rPr>
          <w:rFonts w:ascii="Calibri" w:hAnsi="Calibri"/>
          <w:szCs w:val="22"/>
        </w:rPr>
      </w:pPr>
      <w:hyperlink w:anchor="_Toc365972080" w:history="1">
        <w:r w:rsidR="00F97D54" w:rsidRPr="0082614F">
          <w:rPr>
            <w:rStyle w:val="Hyperlink"/>
          </w:rPr>
          <w:t>Question II.A.2:  Facilities Requiring Additional Information</w:t>
        </w:r>
        <w:r w:rsidR="00F97D54">
          <w:rPr>
            <w:webHidden/>
          </w:rPr>
          <w:tab/>
        </w:r>
        <w:r w:rsidR="00F97D54">
          <w:rPr>
            <w:webHidden/>
          </w:rPr>
          <w:fldChar w:fldCharType="begin"/>
        </w:r>
        <w:r w:rsidR="00F97D54">
          <w:rPr>
            <w:webHidden/>
          </w:rPr>
          <w:instrText xml:space="preserve"> PAGEREF _Toc365972080 \h </w:instrText>
        </w:r>
        <w:r w:rsidR="00F97D54">
          <w:rPr>
            <w:webHidden/>
          </w:rPr>
        </w:r>
        <w:r w:rsidR="00F97D54">
          <w:rPr>
            <w:webHidden/>
          </w:rPr>
          <w:fldChar w:fldCharType="separate"/>
        </w:r>
        <w:r w:rsidR="00DA300B">
          <w:rPr>
            <w:webHidden/>
          </w:rPr>
          <w:t>10</w:t>
        </w:r>
        <w:r w:rsidR="00F97D54">
          <w:rPr>
            <w:webHidden/>
          </w:rPr>
          <w:fldChar w:fldCharType="end"/>
        </w:r>
      </w:hyperlink>
    </w:p>
    <w:p w:rsidR="00AB0A6B" w:rsidRDefault="00AB0A6B" w:rsidP="00FF2FC5">
      <w:pPr>
        <w:pStyle w:val="TOC5"/>
        <w:rPr>
          <w:rStyle w:val="Hyperlink"/>
        </w:rPr>
      </w:pPr>
    </w:p>
    <w:p w:rsidR="00F97D54" w:rsidRPr="00CF4C6D" w:rsidRDefault="00FB20A9" w:rsidP="0011023B">
      <w:pPr>
        <w:pStyle w:val="TOC2"/>
        <w:tabs>
          <w:tab w:val="clear" w:pos="720"/>
          <w:tab w:val="left" w:pos="1440"/>
          <w:tab w:val="right" w:leader="dot" w:pos="8640"/>
        </w:tabs>
        <w:ind w:left="1440" w:hanging="720"/>
        <w:rPr>
          <w:rFonts w:ascii="Calibri" w:hAnsi="Calibri"/>
          <w:szCs w:val="22"/>
        </w:rPr>
      </w:pPr>
      <w:hyperlink w:anchor="_Toc365972081" w:history="1">
        <w:r w:rsidR="00F97D54" w:rsidRPr="0011023B">
          <w:rPr>
            <w:rStyle w:val="Hyperlink"/>
          </w:rPr>
          <w:t>Facilities</w:t>
        </w:r>
        <w:r w:rsidR="00F97D54" w:rsidRPr="0082614F">
          <w:rPr>
            <w:rStyle w:val="Hyperlink"/>
          </w:rPr>
          <w:t xml:space="preserve"> Information</w:t>
        </w:r>
        <w:r w:rsidR="00F97D54">
          <w:rPr>
            <w:webHidden/>
          </w:rPr>
          <w:tab/>
        </w:r>
        <w:r w:rsidR="00F97D54">
          <w:rPr>
            <w:webHidden/>
          </w:rPr>
          <w:fldChar w:fldCharType="begin"/>
        </w:r>
        <w:r w:rsidR="00F97D54">
          <w:rPr>
            <w:webHidden/>
          </w:rPr>
          <w:instrText xml:space="preserve"> PAGEREF _Toc365972081 \h </w:instrText>
        </w:r>
        <w:r w:rsidR="00F97D54">
          <w:rPr>
            <w:webHidden/>
          </w:rPr>
        </w:r>
        <w:r w:rsidR="00F97D54">
          <w:rPr>
            <w:webHidden/>
          </w:rPr>
          <w:fldChar w:fldCharType="separate"/>
        </w:r>
        <w:r w:rsidR="00DA300B">
          <w:rPr>
            <w:webHidden/>
          </w:rPr>
          <w:t>10</w:t>
        </w:r>
        <w:r w:rsidR="00F97D54">
          <w:rPr>
            <w:webHidden/>
          </w:rPr>
          <w:fldChar w:fldCharType="end"/>
        </w:r>
      </w:hyperlink>
    </w:p>
    <w:p w:rsidR="00AB0A6B" w:rsidRDefault="00AB0A6B" w:rsidP="001B3FA0">
      <w:pPr>
        <w:pStyle w:val="TOC4"/>
        <w:rPr>
          <w:rStyle w:val="Hyperlink"/>
        </w:rPr>
      </w:pPr>
    </w:p>
    <w:p w:rsidR="00F97D54" w:rsidRPr="00CF4C6D" w:rsidRDefault="00FB20A9" w:rsidP="003C1C85">
      <w:pPr>
        <w:pStyle w:val="TOC2"/>
        <w:tabs>
          <w:tab w:val="clear" w:pos="720"/>
          <w:tab w:val="left" w:pos="1440"/>
          <w:tab w:val="right" w:leader="dot" w:pos="8640"/>
        </w:tabs>
        <w:ind w:left="1440" w:hanging="720"/>
        <w:rPr>
          <w:rFonts w:ascii="Calibri" w:hAnsi="Calibri"/>
          <w:szCs w:val="22"/>
        </w:rPr>
      </w:pPr>
      <w:hyperlink w:anchor="_Toc365972082" w:history="1">
        <w:r w:rsidR="00F97D54" w:rsidRPr="003C1C85">
          <w:rPr>
            <w:rStyle w:val="Hyperlink"/>
          </w:rPr>
          <w:t>Question</w:t>
        </w:r>
        <w:r w:rsidR="00F97D54" w:rsidRPr="0082614F">
          <w:rPr>
            <w:rStyle w:val="Hyperlink"/>
          </w:rPr>
          <w:t xml:space="preserve"> II.A.3:  Locations Data for Competitive Providers</w:t>
        </w:r>
        <w:r w:rsidR="00F97D54">
          <w:rPr>
            <w:webHidden/>
          </w:rPr>
          <w:tab/>
        </w:r>
        <w:r w:rsidR="00F97D54">
          <w:rPr>
            <w:webHidden/>
          </w:rPr>
          <w:fldChar w:fldCharType="begin"/>
        </w:r>
        <w:r w:rsidR="00F97D54">
          <w:rPr>
            <w:webHidden/>
          </w:rPr>
          <w:instrText xml:space="preserve"> PAGEREF _Toc365972082 \h </w:instrText>
        </w:r>
        <w:r w:rsidR="00F97D54">
          <w:rPr>
            <w:webHidden/>
          </w:rPr>
        </w:r>
        <w:r w:rsidR="00F97D54">
          <w:rPr>
            <w:webHidden/>
          </w:rPr>
          <w:fldChar w:fldCharType="separate"/>
        </w:r>
        <w:r w:rsidR="00DA300B">
          <w:rPr>
            <w:webHidden/>
          </w:rPr>
          <w:t>10</w:t>
        </w:r>
        <w:r w:rsidR="00F97D54">
          <w:rPr>
            <w:webHidden/>
          </w:rPr>
          <w:fldChar w:fldCharType="end"/>
        </w:r>
      </w:hyperlink>
    </w:p>
    <w:p w:rsidR="00F97D54" w:rsidRPr="00CF4C6D" w:rsidRDefault="00FB20A9" w:rsidP="007916AE">
      <w:pPr>
        <w:pStyle w:val="TOC2"/>
        <w:tabs>
          <w:tab w:val="clear" w:pos="720"/>
          <w:tab w:val="left" w:pos="1440"/>
          <w:tab w:val="right" w:leader="dot" w:pos="8640"/>
        </w:tabs>
        <w:ind w:left="1440" w:hanging="720"/>
        <w:rPr>
          <w:rFonts w:ascii="Calibri" w:hAnsi="Calibri"/>
          <w:szCs w:val="22"/>
        </w:rPr>
      </w:pPr>
      <w:hyperlink w:anchor="_Toc365972083" w:history="1">
        <w:r w:rsidR="00F97D54" w:rsidRPr="0082614F">
          <w:rPr>
            <w:rStyle w:val="Hyperlink"/>
          </w:rPr>
          <w:t>Question II.A.4:  Locations Data for Competitive Providers</w:t>
        </w:r>
        <w:r w:rsidR="00F97D54">
          <w:rPr>
            <w:webHidden/>
          </w:rPr>
          <w:tab/>
        </w:r>
        <w:r w:rsidR="00F97D54">
          <w:rPr>
            <w:webHidden/>
          </w:rPr>
          <w:fldChar w:fldCharType="begin"/>
        </w:r>
        <w:r w:rsidR="00F97D54">
          <w:rPr>
            <w:webHidden/>
          </w:rPr>
          <w:instrText xml:space="preserve"> PAGEREF _Toc365972083 \h </w:instrText>
        </w:r>
        <w:r w:rsidR="00F97D54">
          <w:rPr>
            <w:webHidden/>
          </w:rPr>
        </w:r>
        <w:r w:rsidR="00F97D54">
          <w:rPr>
            <w:webHidden/>
          </w:rPr>
          <w:fldChar w:fldCharType="separate"/>
        </w:r>
        <w:r w:rsidR="00DA300B">
          <w:rPr>
            <w:webHidden/>
          </w:rPr>
          <w:t>12</w:t>
        </w:r>
        <w:r w:rsidR="00F97D54">
          <w:rPr>
            <w:webHidden/>
          </w:rPr>
          <w:fldChar w:fldCharType="end"/>
        </w:r>
      </w:hyperlink>
    </w:p>
    <w:p w:rsidR="00F97D54" w:rsidRPr="00CF4C6D" w:rsidRDefault="00FB20A9" w:rsidP="007916AE">
      <w:pPr>
        <w:pStyle w:val="TOC2"/>
        <w:tabs>
          <w:tab w:val="clear" w:pos="720"/>
          <w:tab w:val="left" w:pos="1440"/>
          <w:tab w:val="right" w:leader="dot" w:pos="8640"/>
        </w:tabs>
        <w:ind w:left="1440" w:hanging="720"/>
        <w:rPr>
          <w:rFonts w:ascii="Calibri" w:hAnsi="Calibri"/>
          <w:szCs w:val="22"/>
        </w:rPr>
      </w:pPr>
      <w:hyperlink w:anchor="_Toc365972084" w:history="1">
        <w:r w:rsidR="00F97D54" w:rsidRPr="007916AE">
          <w:rPr>
            <w:rStyle w:val="Hyperlink"/>
          </w:rPr>
          <w:t>Question</w:t>
        </w:r>
        <w:r w:rsidR="00F97D54" w:rsidRPr="0082614F">
          <w:rPr>
            <w:rStyle w:val="Hyperlink"/>
          </w:rPr>
          <w:t xml:space="preserve"> II.A.5:  Fiber Network Map</w:t>
        </w:r>
        <w:r w:rsidR="00F97D54">
          <w:rPr>
            <w:webHidden/>
          </w:rPr>
          <w:tab/>
        </w:r>
        <w:r w:rsidR="00F97D54">
          <w:rPr>
            <w:webHidden/>
          </w:rPr>
          <w:fldChar w:fldCharType="begin"/>
        </w:r>
        <w:r w:rsidR="00F97D54">
          <w:rPr>
            <w:webHidden/>
          </w:rPr>
          <w:instrText xml:space="preserve"> PAGEREF _Toc365972084 \h </w:instrText>
        </w:r>
        <w:r w:rsidR="00F97D54">
          <w:rPr>
            <w:webHidden/>
          </w:rPr>
        </w:r>
        <w:r w:rsidR="00F97D54">
          <w:rPr>
            <w:webHidden/>
          </w:rPr>
          <w:fldChar w:fldCharType="separate"/>
        </w:r>
        <w:r w:rsidR="00DA300B">
          <w:rPr>
            <w:webHidden/>
          </w:rPr>
          <w:t>14</w:t>
        </w:r>
        <w:r w:rsidR="00F97D54">
          <w:rPr>
            <w:webHidden/>
          </w:rPr>
          <w:fldChar w:fldCharType="end"/>
        </w:r>
      </w:hyperlink>
    </w:p>
    <w:p w:rsidR="00F97D54" w:rsidRPr="00CF4C6D" w:rsidRDefault="00FB20A9" w:rsidP="007916AE">
      <w:pPr>
        <w:pStyle w:val="TOC2"/>
        <w:tabs>
          <w:tab w:val="clear" w:pos="720"/>
          <w:tab w:val="left" w:pos="1440"/>
          <w:tab w:val="right" w:leader="dot" w:pos="8640"/>
        </w:tabs>
        <w:ind w:left="1440" w:hanging="720"/>
        <w:rPr>
          <w:rFonts w:ascii="Calibri" w:hAnsi="Calibri"/>
          <w:szCs w:val="22"/>
        </w:rPr>
      </w:pPr>
      <w:hyperlink w:anchor="_Toc365972085" w:history="1">
        <w:r w:rsidR="00F97D54" w:rsidRPr="007916AE">
          <w:rPr>
            <w:rStyle w:val="Hyperlink"/>
          </w:rPr>
          <w:t>Question</w:t>
        </w:r>
        <w:r w:rsidR="00F97D54" w:rsidRPr="0082614F">
          <w:rPr>
            <w:rStyle w:val="Hyperlink"/>
          </w:rPr>
          <w:t xml:space="preserve"> II.A.6:  Sampling History of Competitive Connections by Location</w:t>
        </w:r>
        <w:r w:rsidR="00F97D54">
          <w:rPr>
            <w:webHidden/>
          </w:rPr>
          <w:tab/>
        </w:r>
        <w:r w:rsidR="00F97D54">
          <w:rPr>
            <w:webHidden/>
          </w:rPr>
          <w:fldChar w:fldCharType="begin"/>
        </w:r>
        <w:r w:rsidR="00F97D54">
          <w:rPr>
            <w:webHidden/>
          </w:rPr>
          <w:instrText xml:space="preserve"> PAGEREF _Toc365972085 \h </w:instrText>
        </w:r>
        <w:r w:rsidR="00F97D54">
          <w:rPr>
            <w:webHidden/>
          </w:rPr>
        </w:r>
        <w:r w:rsidR="00F97D54">
          <w:rPr>
            <w:webHidden/>
          </w:rPr>
          <w:fldChar w:fldCharType="separate"/>
        </w:r>
        <w:r w:rsidR="00DA300B">
          <w:rPr>
            <w:webHidden/>
          </w:rPr>
          <w:t>16</w:t>
        </w:r>
        <w:r w:rsidR="00F97D54">
          <w:rPr>
            <w:webHidden/>
          </w:rPr>
          <w:fldChar w:fldCharType="end"/>
        </w:r>
      </w:hyperlink>
    </w:p>
    <w:p w:rsidR="00F97D54" w:rsidRPr="00CF4C6D" w:rsidRDefault="00FB20A9" w:rsidP="007916AE">
      <w:pPr>
        <w:pStyle w:val="TOC2"/>
        <w:tabs>
          <w:tab w:val="clear" w:pos="720"/>
          <w:tab w:val="left" w:pos="1440"/>
          <w:tab w:val="right" w:leader="dot" w:pos="8640"/>
        </w:tabs>
        <w:ind w:left="1440" w:hanging="720"/>
        <w:rPr>
          <w:rFonts w:ascii="Calibri" w:hAnsi="Calibri"/>
          <w:szCs w:val="22"/>
        </w:rPr>
      </w:pPr>
      <w:hyperlink w:anchor="_Toc365972086" w:history="1">
        <w:r w:rsidR="00F97D54" w:rsidRPr="007916AE">
          <w:rPr>
            <w:rStyle w:val="Hyperlink"/>
          </w:rPr>
          <w:t>Question</w:t>
        </w:r>
        <w:r w:rsidR="00F97D54" w:rsidRPr="0082614F">
          <w:rPr>
            <w:rStyle w:val="Hyperlink"/>
          </w:rPr>
          <w:t xml:space="preserve"> II.A.7:  Collocations by Wire Center</w:t>
        </w:r>
        <w:r w:rsidR="00F97D54">
          <w:rPr>
            <w:webHidden/>
          </w:rPr>
          <w:tab/>
        </w:r>
        <w:r w:rsidR="00F97D54">
          <w:rPr>
            <w:webHidden/>
          </w:rPr>
          <w:fldChar w:fldCharType="begin"/>
        </w:r>
        <w:r w:rsidR="00F97D54">
          <w:rPr>
            <w:webHidden/>
          </w:rPr>
          <w:instrText xml:space="preserve"> PAGEREF _Toc365972086 \h </w:instrText>
        </w:r>
        <w:r w:rsidR="00F97D54">
          <w:rPr>
            <w:webHidden/>
          </w:rPr>
        </w:r>
        <w:r w:rsidR="00F97D54">
          <w:rPr>
            <w:webHidden/>
          </w:rPr>
          <w:fldChar w:fldCharType="separate"/>
        </w:r>
        <w:r w:rsidR="00DA300B">
          <w:rPr>
            <w:webHidden/>
          </w:rPr>
          <w:t>17</w:t>
        </w:r>
        <w:r w:rsidR="00F97D54">
          <w:rPr>
            <w:webHidden/>
          </w:rPr>
          <w:fldChar w:fldCharType="end"/>
        </w:r>
      </w:hyperlink>
    </w:p>
    <w:p w:rsidR="00F97D54" w:rsidRPr="00CF4C6D" w:rsidRDefault="00FB20A9" w:rsidP="007916AE">
      <w:pPr>
        <w:pStyle w:val="TOC2"/>
        <w:tabs>
          <w:tab w:val="clear" w:pos="720"/>
          <w:tab w:val="left" w:pos="1440"/>
          <w:tab w:val="right" w:leader="dot" w:pos="8640"/>
        </w:tabs>
        <w:ind w:left="1440" w:hanging="720"/>
        <w:rPr>
          <w:rFonts w:ascii="Calibri" w:hAnsi="Calibri"/>
          <w:szCs w:val="22"/>
        </w:rPr>
      </w:pPr>
      <w:hyperlink w:anchor="_Toc365972087" w:history="1">
        <w:r w:rsidR="00F97D54" w:rsidRPr="007916AE">
          <w:rPr>
            <w:rStyle w:val="Hyperlink"/>
          </w:rPr>
          <w:t>Question</w:t>
        </w:r>
        <w:r w:rsidR="00F97D54" w:rsidRPr="0082614F">
          <w:rPr>
            <w:rStyle w:val="Hyperlink"/>
            <w:iCs/>
          </w:rPr>
          <w:t xml:space="preserve"> II.A.8:  Business Rules for Deployment</w:t>
        </w:r>
        <w:r w:rsidR="00F97D54">
          <w:rPr>
            <w:webHidden/>
          </w:rPr>
          <w:tab/>
        </w:r>
        <w:r w:rsidR="00F97D54">
          <w:rPr>
            <w:webHidden/>
          </w:rPr>
          <w:fldChar w:fldCharType="begin"/>
        </w:r>
        <w:r w:rsidR="00F97D54">
          <w:rPr>
            <w:webHidden/>
          </w:rPr>
          <w:instrText xml:space="preserve"> PAGEREF _Toc365972087 \h </w:instrText>
        </w:r>
        <w:r w:rsidR="00F97D54">
          <w:rPr>
            <w:webHidden/>
          </w:rPr>
        </w:r>
        <w:r w:rsidR="00F97D54">
          <w:rPr>
            <w:webHidden/>
          </w:rPr>
          <w:fldChar w:fldCharType="separate"/>
        </w:r>
        <w:r w:rsidR="00DA300B">
          <w:rPr>
            <w:webHidden/>
          </w:rPr>
          <w:t>18</w:t>
        </w:r>
        <w:r w:rsidR="00F97D54">
          <w:rPr>
            <w:webHidden/>
          </w:rPr>
          <w:fldChar w:fldCharType="end"/>
        </w:r>
      </w:hyperlink>
    </w:p>
    <w:p w:rsidR="00F97D54" w:rsidRPr="00CF4C6D" w:rsidRDefault="00FB20A9" w:rsidP="007916AE">
      <w:pPr>
        <w:pStyle w:val="TOC2"/>
        <w:tabs>
          <w:tab w:val="clear" w:pos="720"/>
          <w:tab w:val="left" w:pos="1440"/>
          <w:tab w:val="right" w:leader="dot" w:pos="8640"/>
        </w:tabs>
        <w:ind w:left="1440" w:hanging="720"/>
        <w:rPr>
          <w:rFonts w:ascii="Calibri" w:hAnsi="Calibri"/>
          <w:szCs w:val="22"/>
        </w:rPr>
      </w:pPr>
      <w:hyperlink w:anchor="_Toc365972088" w:history="1">
        <w:r w:rsidR="00F97D54" w:rsidRPr="007916AE">
          <w:rPr>
            <w:rStyle w:val="Hyperlink"/>
          </w:rPr>
          <w:t>Question</w:t>
        </w:r>
        <w:r w:rsidR="00F97D54" w:rsidRPr="0082614F">
          <w:rPr>
            <w:rStyle w:val="Hyperlink"/>
          </w:rPr>
          <w:t xml:space="preserve"> II.A.9:  Headquarters</w:t>
        </w:r>
        <w:r w:rsidR="00F97D54">
          <w:rPr>
            <w:webHidden/>
          </w:rPr>
          <w:tab/>
        </w:r>
        <w:r w:rsidR="00F97D54">
          <w:rPr>
            <w:webHidden/>
          </w:rPr>
          <w:fldChar w:fldCharType="begin"/>
        </w:r>
        <w:r w:rsidR="00F97D54">
          <w:rPr>
            <w:webHidden/>
          </w:rPr>
          <w:instrText xml:space="preserve"> PAGEREF _Toc365972088 \h </w:instrText>
        </w:r>
        <w:r w:rsidR="00F97D54">
          <w:rPr>
            <w:webHidden/>
          </w:rPr>
        </w:r>
        <w:r w:rsidR="00F97D54">
          <w:rPr>
            <w:webHidden/>
          </w:rPr>
          <w:fldChar w:fldCharType="separate"/>
        </w:r>
        <w:r w:rsidR="00DA300B">
          <w:rPr>
            <w:webHidden/>
          </w:rPr>
          <w:t>18</w:t>
        </w:r>
        <w:r w:rsidR="00F97D54">
          <w:rPr>
            <w:webHidden/>
          </w:rPr>
          <w:fldChar w:fldCharType="end"/>
        </w:r>
      </w:hyperlink>
    </w:p>
    <w:p w:rsidR="00F97D54" w:rsidRPr="00CF4C6D" w:rsidRDefault="00FB20A9" w:rsidP="007916AE">
      <w:pPr>
        <w:pStyle w:val="TOC2"/>
        <w:tabs>
          <w:tab w:val="clear" w:pos="720"/>
          <w:tab w:val="left" w:pos="1440"/>
          <w:tab w:val="right" w:leader="dot" w:pos="8640"/>
        </w:tabs>
        <w:ind w:left="1440" w:hanging="720"/>
        <w:rPr>
          <w:rFonts w:ascii="Calibri" w:hAnsi="Calibri"/>
          <w:szCs w:val="22"/>
        </w:rPr>
      </w:pPr>
      <w:hyperlink w:anchor="_Toc365972089" w:history="1">
        <w:r w:rsidR="00F97D54" w:rsidRPr="007916AE">
          <w:rPr>
            <w:rStyle w:val="Hyperlink"/>
          </w:rPr>
          <w:t>Question</w:t>
        </w:r>
        <w:r w:rsidR="00F97D54" w:rsidRPr="0082614F">
          <w:rPr>
            <w:rStyle w:val="Hyperlink"/>
          </w:rPr>
          <w:t xml:space="preserve"> II.A.10:  Marketing Plans</w:t>
        </w:r>
        <w:r w:rsidR="00F97D54">
          <w:rPr>
            <w:webHidden/>
          </w:rPr>
          <w:tab/>
        </w:r>
        <w:r w:rsidR="00F97D54">
          <w:rPr>
            <w:webHidden/>
          </w:rPr>
          <w:fldChar w:fldCharType="begin"/>
        </w:r>
        <w:r w:rsidR="00F97D54">
          <w:rPr>
            <w:webHidden/>
          </w:rPr>
          <w:instrText xml:space="preserve"> PAGEREF _Toc365972089 \h </w:instrText>
        </w:r>
        <w:r w:rsidR="00F97D54">
          <w:rPr>
            <w:webHidden/>
          </w:rPr>
        </w:r>
        <w:r w:rsidR="00F97D54">
          <w:rPr>
            <w:webHidden/>
          </w:rPr>
          <w:fldChar w:fldCharType="separate"/>
        </w:r>
        <w:r w:rsidR="00DA300B">
          <w:rPr>
            <w:webHidden/>
          </w:rPr>
          <w:t>20</w:t>
        </w:r>
        <w:r w:rsidR="00F97D54">
          <w:rPr>
            <w:webHidden/>
          </w:rPr>
          <w:fldChar w:fldCharType="end"/>
        </w:r>
      </w:hyperlink>
    </w:p>
    <w:p w:rsidR="00F97D54" w:rsidRPr="00CF4C6D" w:rsidRDefault="00FB20A9" w:rsidP="007916AE">
      <w:pPr>
        <w:pStyle w:val="TOC2"/>
        <w:tabs>
          <w:tab w:val="clear" w:pos="720"/>
          <w:tab w:val="left" w:pos="1440"/>
          <w:tab w:val="right" w:leader="dot" w:pos="8640"/>
        </w:tabs>
        <w:ind w:left="1440" w:hanging="720"/>
        <w:rPr>
          <w:rFonts w:ascii="Calibri" w:hAnsi="Calibri"/>
          <w:szCs w:val="22"/>
        </w:rPr>
      </w:pPr>
      <w:hyperlink w:anchor="_Toc365972090" w:history="1">
        <w:r w:rsidR="00F97D54" w:rsidRPr="007916AE">
          <w:rPr>
            <w:rStyle w:val="Hyperlink"/>
          </w:rPr>
          <w:t>Question</w:t>
        </w:r>
        <w:r w:rsidR="00F97D54" w:rsidRPr="0082614F">
          <w:rPr>
            <w:rStyle w:val="Hyperlink"/>
          </w:rPr>
          <w:t xml:space="preserve"> II.A.11:  Information on Requests for Proposals (RFPs)</w:t>
        </w:r>
        <w:r w:rsidR="00F97D54">
          <w:rPr>
            <w:webHidden/>
          </w:rPr>
          <w:tab/>
        </w:r>
        <w:r w:rsidR="00F97D54">
          <w:rPr>
            <w:webHidden/>
          </w:rPr>
          <w:fldChar w:fldCharType="begin"/>
        </w:r>
        <w:r w:rsidR="00F97D54">
          <w:rPr>
            <w:webHidden/>
          </w:rPr>
          <w:instrText xml:space="preserve"> PAGEREF _Toc365972090 \h </w:instrText>
        </w:r>
        <w:r w:rsidR="00F97D54">
          <w:rPr>
            <w:webHidden/>
          </w:rPr>
        </w:r>
        <w:r w:rsidR="00F97D54">
          <w:rPr>
            <w:webHidden/>
          </w:rPr>
          <w:fldChar w:fldCharType="separate"/>
        </w:r>
        <w:r w:rsidR="00DA300B">
          <w:rPr>
            <w:webHidden/>
          </w:rPr>
          <w:t>21</w:t>
        </w:r>
        <w:r w:rsidR="00F97D54">
          <w:rPr>
            <w:webHidden/>
          </w:rPr>
          <w:fldChar w:fldCharType="end"/>
        </w:r>
      </w:hyperlink>
    </w:p>
    <w:p w:rsidR="00AB0A6B" w:rsidRDefault="00AB0A6B" w:rsidP="00FF2FC5">
      <w:pPr>
        <w:pStyle w:val="TOC5"/>
        <w:rPr>
          <w:rStyle w:val="Hyperlink"/>
        </w:rPr>
      </w:pPr>
    </w:p>
    <w:p w:rsidR="00F97D54" w:rsidRPr="00CF4C6D" w:rsidRDefault="00FB20A9" w:rsidP="007916AE">
      <w:pPr>
        <w:pStyle w:val="TOC2"/>
        <w:tabs>
          <w:tab w:val="clear" w:pos="720"/>
          <w:tab w:val="left" w:pos="1440"/>
          <w:tab w:val="right" w:leader="dot" w:pos="8640"/>
        </w:tabs>
        <w:ind w:left="1440" w:hanging="720"/>
        <w:rPr>
          <w:rFonts w:ascii="Calibri" w:hAnsi="Calibri"/>
          <w:szCs w:val="22"/>
        </w:rPr>
      </w:pPr>
      <w:hyperlink w:anchor="_Toc365972091" w:history="1">
        <w:r w:rsidR="00F97D54" w:rsidRPr="007916AE">
          <w:rPr>
            <w:rStyle w:val="Hyperlink"/>
          </w:rPr>
          <w:t>Billing</w:t>
        </w:r>
        <w:r w:rsidR="00F97D54" w:rsidRPr="0082614F">
          <w:rPr>
            <w:rStyle w:val="Hyperlink"/>
          </w:rPr>
          <w:t xml:space="preserve"> Information</w:t>
        </w:r>
        <w:r w:rsidR="00F97D54">
          <w:rPr>
            <w:webHidden/>
          </w:rPr>
          <w:tab/>
        </w:r>
        <w:r w:rsidR="00F97D54">
          <w:rPr>
            <w:webHidden/>
          </w:rPr>
          <w:fldChar w:fldCharType="begin"/>
        </w:r>
        <w:r w:rsidR="00F97D54">
          <w:rPr>
            <w:webHidden/>
          </w:rPr>
          <w:instrText xml:space="preserve"> PAGEREF _Toc365972091 \h </w:instrText>
        </w:r>
        <w:r w:rsidR="00F97D54">
          <w:rPr>
            <w:webHidden/>
          </w:rPr>
        </w:r>
        <w:r w:rsidR="00F97D54">
          <w:rPr>
            <w:webHidden/>
          </w:rPr>
          <w:fldChar w:fldCharType="separate"/>
        </w:r>
        <w:r w:rsidR="00DA300B">
          <w:rPr>
            <w:webHidden/>
          </w:rPr>
          <w:t>22</w:t>
        </w:r>
        <w:r w:rsidR="00F97D54">
          <w:rPr>
            <w:webHidden/>
          </w:rPr>
          <w:fldChar w:fldCharType="end"/>
        </w:r>
      </w:hyperlink>
    </w:p>
    <w:p w:rsidR="00AB0A6B" w:rsidRDefault="00AB0A6B" w:rsidP="001B3FA0">
      <w:pPr>
        <w:pStyle w:val="TOC4"/>
        <w:rPr>
          <w:rStyle w:val="Hyperlink"/>
        </w:rPr>
      </w:pPr>
    </w:p>
    <w:p w:rsidR="00F97D54" w:rsidRPr="00CF4C6D" w:rsidRDefault="00FB20A9" w:rsidP="007916AE">
      <w:pPr>
        <w:pStyle w:val="TOC2"/>
        <w:tabs>
          <w:tab w:val="clear" w:pos="720"/>
          <w:tab w:val="left" w:pos="1440"/>
          <w:tab w:val="right" w:leader="dot" w:pos="8640"/>
        </w:tabs>
        <w:ind w:left="1440" w:hanging="720"/>
        <w:rPr>
          <w:rFonts w:ascii="Calibri" w:hAnsi="Calibri"/>
          <w:szCs w:val="22"/>
        </w:rPr>
      </w:pPr>
      <w:hyperlink w:anchor="_Toc365972092" w:history="1">
        <w:r w:rsidR="00F97D54" w:rsidRPr="007916AE">
          <w:rPr>
            <w:rStyle w:val="Hyperlink"/>
          </w:rPr>
          <w:t>Question</w:t>
        </w:r>
        <w:r w:rsidR="00F97D54" w:rsidRPr="0082614F">
          <w:rPr>
            <w:rStyle w:val="Hyperlink"/>
          </w:rPr>
          <w:t xml:space="preserve"> II.A.12-14:  Billing Information Overview</w:t>
        </w:r>
        <w:r w:rsidR="00F97D54">
          <w:rPr>
            <w:webHidden/>
          </w:rPr>
          <w:tab/>
        </w:r>
        <w:r w:rsidR="00F97D54">
          <w:rPr>
            <w:webHidden/>
          </w:rPr>
          <w:fldChar w:fldCharType="begin"/>
        </w:r>
        <w:r w:rsidR="00F97D54">
          <w:rPr>
            <w:webHidden/>
          </w:rPr>
          <w:instrText xml:space="preserve"> PAGEREF _Toc365972092 \h </w:instrText>
        </w:r>
        <w:r w:rsidR="00F97D54">
          <w:rPr>
            <w:webHidden/>
          </w:rPr>
        </w:r>
        <w:r w:rsidR="00F97D54">
          <w:rPr>
            <w:webHidden/>
          </w:rPr>
          <w:fldChar w:fldCharType="separate"/>
        </w:r>
        <w:r w:rsidR="00DA300B">
          <w:rPr>
            <w:webHidden/>
          </w:rPr>
          <w:t>22</w:t>
        </w:r>
        <w:r w:rsidR="00F97D54">
          <w:rPr>
            <w:webHidden/>
          </w:rPr>
          <w:fldChar w:fldCharType="end"/>
        </w:r>
      </w:hyperlink>
    </w:p>
    <w:p w:rsidR="00F97D54" w:rsidRPr="00CF4C6D" w:rsidRDefault="00FB20A9" w:rsidP="007916AE">
      <w:pPr>
        <w:pStyle w:val="TOC2"/>
        <w:tabs>
          <w:tab w:val="clear" w:pos="720"/>
          <w:tab w:val="left" w:pos="1440"/>
          <w:tab w:val="right" w:leader="dot" w:pos="8640"/>
        </w:tabs>
        <w:ind w:left="1440" w:hanging="720"/>
        <w:rPr>
          <w:rFonts w:ascii="Calibri" w:hAnsi="Calibri"/>
          <w:szCs w:val="22"/>
        </w:rPr>
      </w:pPr>
      <w:hyperlink w:anchor="_Toc365972093" w:history="1">
        <w:r w:rsidR="00F97D54" w:rsidRPr="007916AE">
          <w:rPr>
            <w:rStyle w:val="Hyperlink"/>
          </w:rPr>
          <w:t>Question</w:t>
        </w:r>
        <w:r w:rsidR="00F97D54" w:rsidRPr="0082614F">
          <w:rPr>
            <w:rStyle w:val="Hyperlink"/>
          </w:rPr>
          <w:t xml:space="preserve"> II.A.12:  Prices by Circuit Element from Competitive Provider</w:t>
        </w:r>
        <w:r w:rsidR="00F97D54">
          <w:rPr>
            <w:webHidden/>
          </w:rPr>
          <w:tab/>
        </w:r>
        <w:r w:rsidR="00F97D54">
          <w:rPr>
            <w:webHidden/>
          </w:rPr>
          <w:fldChar w:fldCharType="begin"/>
        </w:r>
        <w:r w:rsidR="00F97D54">
          <w:rPr>
            <w:webHidden/>
          </w:rPr>
          <w:instrText xml:space="preserve"> PAGEREF _Toc365972093 \h </w:instrText>
        </w:r>
        <w:r w:rsidR="00F97D54">
          <w:rPr>
            <w:webHidden/>
          </w:rPr>
        </w:r>
        <w:r w:rsidR="00F97D54">
          <w:rPr>
            <w:webHidden/>
          </w:rPr>
          <w:fldChar w:fldCharType="separate"/>
        </w:r>
        <w:r w:rsidR="00DA300B">
          <w:rPr>
            <w:webHidden/>
          </w:rPr>
          <w:t>22</w:t>
        </w:r>
        <w:r w:rsidR="00F97D54">
          <w:rPr>
            <w:webHidden/>
          </w:rPr>
          <w:fldChar w:fldCharType="end"/>
        </w:r>
      </w:hyperlink>
    </w:p>
    <w:p w:rsidR="00F97D54" w:rsidRPr="00CF4C6D" w:rsidRDefault="00FB20A9" w:rsidP="007916AE">
      <w:pPr>
        <w:pStyle w:val="TOC2"/>
        <w:tabs>
          <w:tab w:val="clear" w:pos="720"/>
          <w:tab w:val="left" w:pos="1440"/>
          <w:tab w:val="right" w:leader="dot" w:pos="8640"/>
        </w:tabs>
        <w:ind w:left="1440" w:hanging="720"/>
        <w:rPr>
          <w:rFonts w:ascii="Calibri" w:hAnsi="Calibri"/>
          <w:szCs w:val="22"/>
        </w:rPr>
      </w:pPr>
      <w:hyperlink w:anchor="_Toc365972094" w:history="1">
        <w:r w:rsidR="00F97D54" w:rsidRPr="007916AE">
          <w:rPr>
            <w:rStyle w:val="Hyperlink"/>
          </w:rPr>
          <w:t>Question</w:t>
        </w:r>
        <w:r w:rsidR="00F97D54" w:rsidRPr="0082614F">
          <w:rPr>
            <w:rStyle w:val="Hyperlink"/>
          </w:rPr>
          <w:t xml:space="preserve"> II.A.13:  Billing Adjustments</w:t>
        </w:r>
        <w:r w:rsidR="00F97D54">
          <w:rPr>
            <w:webHidden/>
          </w:rPr>
          <w:tab/>
        </w:r>
        <w:r w:rsidR="00F97D54">
          <w:rPr>
            <w:webHidden/>
          </w:rPr>
          <w:fldChar w:fldCharType="begin"/>
        </w:r>
        <w:r w:rsidR="00F97D54">
          <w:rPr>
            <w:webHidden/>
          </w:rPr>
          <w:instrText xml:space="preserve"> PAGEREF _Toc365972094 \h </w:instrText>
        </w:r>
        <w:r w:rsidR="00F97D54">
          <w:rPr>
            <w:webHidden/>
          </w:rPr>
        </w:r>
        <w:r w:rsidR="00F97D54">
          <w:rPr>
            <w:webHidden/>
          </w:rPr>
          <w:fldChar w:fldCharType="separate"/>
        </w:r>
        <w:r w:rsidR="00DA300B">
          <w:rPr>
            <w:webHidden/>
          </w:rPr>
          <w:t>30</w:t>
        </w:r>
        <w:r w:rsidR="00F97D54">
          <w:rPr>
            <w:webHidden/>
          </w:rPr>
          <w:fldChar w:fldCharType="end"/>
        </w:r>
      </w:hyperlink>
    </w:p>
    <w:p w:rsidR="00F97D54" w:rsidRPr="00CF4C6D" w:rsidRDefault="00FB20A9" w:rsidP="007916AE">
      <w:pPr>
        <w:pStyle w:val="TOC2"/>
        <w:tabs>
          <w:tab w:val="clear" w:pos="720"/>
          <w:tab w:val="left" w:pos="1440"/>
          <w:tab w:val="right" w:leader="dot" w:pos="8640"/>
        </w:tabs>
        <w:ind w:left="1440" w:hanging="720"/>
        <w:rPr>
          <w:rFonts w:ascii="Calibri" w:hAnsi="Calibri"/>
          <w:szCs w:val="22"/>
        </w:rPr>
      </w:pPr>
      <w:hyperlink w:anchor="_Toc365972095" w:history="1">
        <w:r w:rsidR="00F97D54" w:rsidRPr="007916AE">
          <w:rPr>
            <w:rStyle w:val="Hyperlink"/>
          </w:rPr>
          <w:t>Question</w:t>
        </w:r>
        <w:r w:rsidR="00F97D54" w:rsidRPr="0082614F">
          <w:rPr>
            <w:rStyle w:val="Hyperlink"/>
          </w:rPr>
          <w:t xml:space="preserve"> II.A.14:  Billing Code Descriptions</w:t>
        </w:r>
        <w:r w:rsidR="00F97D54">
          <w:rPr>
            <w:webHidden/>
          </w:rPr>
          <w:tab/>
        </w:r>
        <w:r w:rsidR="00F97D54">
          <w:rPr>
            <w:webHidden/>
          </w:rPr>
          <w:fldChar w:fldCharType="begin"/>
        </w:r>
        <w:r w:rsidR="00F97D54">
          <w:rPr>
            <w:webHidden/>
          </w:rPr>
          <w:instrText xml:space="preserve"> PAGEREF _Toc365972095 \h </w:instrText>
        </w:r>
        <w:r w:rsidR="00F97D54">
          <w:rPr>
            <w:webHidden/>
          </w:rPr>
        </w:r>
        <w:r w:rsidR="00F97D54">
          <w:rPr>
            <w:webHidden/>
          </w:rPr>
          <w:fldChar w:fldCharType="separate"/>
        </w:r>
        <w:r w:rsidR="00DA300B">
          <w:rPr>
            <w:webHidden/>
          </w:rPr>
          <w:t>33</w:t>
        </w:r>
        <w:r w:rsidR="00F97D54">
          <w:rPr>
            <w:webHidden/>
          </w:rPr>
          <w:fldChar w:fldCharType="end"/>
        </w:r>
      </w:hyperlink>
    </w:p>
    <w:p w:rsidR="002E3E2F" w:rsidRDefault="002E3E2F">
      <w:pPr>
        <w:widowControl/>
        <w:rPr>
          <w:rStyle w:val="Hyperlink"/>
          <w:noProof/>
        </w:rPr>
      </w:pPr>
    </w:p>
    <w:p w:rsidR="00F97D54" w:rsidRPr="00CF4C6D" w:rsidRDefault="00FB20A9" w:rsidP="007916AE">
      <w:pPr>
        <w:pStyle w:val="TOC2"/>
        <w:tabs>
          <w:tab w:val="clear" w:pos="720"/>
          <w:tab w:val="left" w:pos="1440"/>
          <w:tab w:val="right" w:leader="dot" w:pos="8640"/>
        </w:tabs>
        <w:ind w:left="1440" w:hanging="720"/>
        <w:rPr>
          <w:rFonts w:ascii="Calibri" w:hAnsi="Calibri"/>
          <w:szCs w:val="22"/>
        </w:rPr>
      </w:pPr>
      <w:hyperlink w:anchor="_Toc365972096" w:history="1">
        <w:r w:rsidR="00F97D54" w:rsidRPr="007916AE">
          <w:rPr>
            <w:rStyle w:val="Hyperlink"/>
          </w:rPr>
          <w:t>Revenues</w:t>
        </w:r>
        <w:r w:rsidR="00F97D54" w:rsidRPr="0082614F">
          <w:rPr>
            <w:rStyle w:val="Hyperlink"/>
          </w:rPr>
          <w:t>, Terms and Conditions Information</w:t>
        </w:r>
        <w:r w:rsidR="00F97D54">
          <w:rPr>
            <w:webHidden/>
          </w:rPr>
          <w:tab/>
        </w:r>
        <w:r w:rsidR="00F97D54">
          <w:rPr>
            <w:webHidden/>
          </w:rPr>
          <w:fldChar w:fldCharType="begin"/>
        </w:r>
        <w:r w:rsidR="00F97D54">
          <w:rPr>
            <w:webHidden/>
          </w:rPr>
          <w:instrText xml:space="preserve"> PAGEREF _Toc365972096 \h </w:instrText>
        </w:r>
        <w:r w:rsidR="00F97D54">
          <w:rPr>
            <w:webHidden/>
          </w:rPr>
        </w:r>
        <w:r w:rsidR="00F97D54">
          <w:rPr>
            <w:webHidden/>
          </w:rPr>
          <w:fldChar w:fldCharType="separate"/>
        </w:r>
        <w:r w:rsidR="00DA300B">
          <w:rPr>
            <w:webHidden/>
          </w:rPr>
          <w:t>34</w:t>
        </w:r>
        <w:r w:rsidR="00F97D54">
          <w:rPr>
            <w:webHidden/>
          </w:rPr>
          <w:fldChar w:fldCharType="end"/>
        </w:r>
      </w:hyperlink>
    </w:p>
    <w:p w:rsidR="00576C5A" w:rsidRDefault="00576C5A" w:rsidP="007916AE">
      <w:pPr>
        <w:pStyle w:val="TOC2"/>
        <w:tabs>
          <w:tab w:val="clear" w:pos="720"/>
          <w:tab w:val="left" w:pos="1440"/>
          <w:tab w:val="right" w:leader="dot" w:pos="8640"/>
        </w:tabs>
        <w:ind w:left="1440" w:hanging="720"/>
      </w:pPr>
    </w:p>
    <w:p w:rsidR="00F97D54" w:rsidRPr="00CF4C6D" w:rsidRDefault="00FB20A9" w:rsidP="007916AE">
      <w:pPr>
        <w:pStyle w:val="TOC2"/>
        <w:tabs>
          <w:tab w:val="clear" w:pos="720"/>
          <w:tab w:val="left" w:pos="1440"/>
          <w:tab w:val="right" w:leader="dot" w:pos="8640"/>
        </w:tabs>
        <w:ind w:left="1440" w:hanging="720"/>
        <w:rPr>
          <w:rFonts w:ascii="Calibri" w:hAnsi="Calibri"/>
          <w:szCs w:val="22"/>
        </w:rPr>
      </w:pPr>
      <w:hyperlink w:anchor="_Toc365972097" w:history="1">
        <w:r w:rsidR="00F97D54" w:rsidRPr="007916AE">
          <w:rPr>
            <w:rStyle w:val="Hyperlink"/>
          </w:rPr>
          <w:t>Question</w:t>
        </w:r>
        <w:r w:rsidR="00F97D54" w:rsidRPr="0082614F">
          <w:rPr>
            <w:rStyle w:val="Hyperlink"/>
          </w:rPr>
          <w:t xml:space="preserve"> II.A.15:  Sales Revenues for CBDS</w:t>
        </w:r>
        <w:r w:rsidR="00F97D54">
          <w:rPr>
            <w:webHidden/>
          </w:rPr>
          <w:tab/>
        </w:r>
        <w:r w:rsidR="00F97D54">
          <w:rPr>
            <w:webHidden/>
          </w:rPr>
          <w:fldChar w:fldCharType="begin"/>
        </w:r>
        <w:r w:rsidR="00F97D54">
          <w:rPr>
            <w:webHidden/>
          </w:rPr>
          <w:instrText xml:space="preserve"> PAGEREF _Toc365972097 \h </w:instrText>
        </w:r>
        <w:r w:rsidR="00F97D54">
          <w:rPr>
            <w:webHidden/>
          </w:rPr>
        </w:r>
        <w:r w:rsidR="00F97D54">
          <w:rPr>
            <w:webHidden/>
          </w:rPr>
          <w:fldChar w:fldCharType="separate"/>
        </w:r>
        <w:r w:rsidR="00DA300B">
          <w:rPr>
            <w:webHidden/>
          </w:rPr>
          <w:t>34</w:t>
        </w:r>
        <w:r w:rsidR="00F97D54">
          <w:rPr>
            <w:webHidden/>
          </w:rPr>
          <w:fldChar w:fldCharType="end"/>
        </w:r>
      </w:hyperlink>
    </w:p>
    <w:p w:rsidR="00F97D54" w:rsidRPr="00CF4C6D" w:rsidRDefault="00FB20A9" w:rsidP="007916AE">
      <w:pPr>
        <w:pStyle w:val="TOC2"/>
        <w:tabs>
          <w:tab w:val="clear" w:pos="720"/>
          <w:tab w:val="left" w:pos="1440"/>
          <w:tab w:val="right" w:leader="dot" w:pos="8640"/>
        </w:tabs>
        <w:ind w:left="1440" w:hanging="720"/>
        <w:rPr>
          <w:rFonts w:ascii="Calibri" w:hAnsi="Calibri"/>
          <w:szCs w:val="22"/>
        </w:rPr>
      </w:pPr>
      <w:hyperlink w:anchor="_Toc365972098" w:history="1">
        <w:r w:rsidR="00F97D54" w:rsidRPr="007916AE">
          <w:rPr>
            <w:rStyle w:val="Hyperlink"/>
          </w:rPr>
          <w:t>Question</w:t>
        </w:r>
        <w:r w:rsidR="00F97D54" w:rsidRPr="0082614F">
          <w:rPr>
            <w:rStyle w:val="Hyperlink"/>
          </w:rPr>
          <w:t xml:space="preserve"> II.A.16:  Sales Revenues for PBDS</w:t>
        </w:r>
        <w:r w:rsidR="00F97D54">
          <w:rPr>
            <w:webHidden/>
          </w:rPr>
          <w:tab/>
        </w:r>
        <w:r w:rsidR="00F97D54">
          <w:rPr>
            <w:webHidden/>
          </w:rPr>
          <w:fldChar w:fldCharType="begin"/>
        </w:r>
        <w:r w:rsidR="00F97D54">
          <w:rPr>
            <w:webHidden/>
          </w:rPr>
          <w:instrText xml:space="preserve"> PAGEREF _Toc365972098 \h </w:instrText>
        </w:r>
        <w:r w:rsidR="00F97D54">
          <w:rPr>
            <w:webHidden/>
          </w:rPr>
        </w:r>
        <w:r w:rsidR="00F97D54">
          <w:rPr>
            <w:webHidden/>
          </w:rPr>
          <w:fldChar w:fldCharType="separate"/>
        </w:r>
        <w:r w:rsidR="00DA300B">
          <w:rPr>
            <w:webHidden/>
          </w:rPr>
          <w:t>35</w:t>
        </w:r>
        <w:r w:rsidR="00F97D54">
          <w:rPr>
            <w:webHidden/>
          </w:rPr>
          <w:fldChar w:fldCharType="end"/>
        </w:r>
      </w:hyperlink>
    </w:p>
    <w:p w:rsidR="00F97D54" w:rsidRPr="00CF4C6D" w:rsidRDefault="00FB20A9" w:rsidP="007916AE">
      <w:pPr>
        <w:pStyle w:val="TOC2"/>
        <w:tabs>
          <w:tab w:val="clear" w:pos="720"/>
          <w:tab w:val="left" w:pos="1440"/>
          <w:tab w:val="right" w:leader="dot" w:pos="8640"/>
        </w:tabs>
        <w:ind w:left="1440" w:hanging="720"/>
        <w:rPr>
          <w:rFonts w:ascii="Calibri" w:hAnsi="Calibri"/>
          <w:szCs w:val="22"/>
        </w:rPr>
      </w:pPr>
      <w:hyperlink w:anchor="_Toc365972099" w:history="1">
        <w:r w:rsidR="00F97D54" w:rsidRPr="007916AE">
          <w:rPr>
            <w:rStyle w:val="Hyperlink"/>
          </w:rPr>
          <w:t>Question</w:t>
        </w:r>
        <w:r w:rsidR="00F97D54" w:rsidRPr="0082614F">
          <w:rPr>
            <w:rStyle w:val="Hyperlink"/>
          </w:rPr>
          <w:t xml:space="preserve"> II.A.17:  Percentage of Revenues Generated from Agreement or Tariff Containing a Prior Purchase-Based Commitment</w:t>
        </w:r>
        <w:r w:rsidR="00F97D54">
          <w:rPr>
            <w:webHidden/>
          </w:rPr>
          <w:tab/>
        </w:r>
        <w:r w:rsidR="00F97D54">
          <w:rPr>
            <w:webHidden/>
          </w:rPr>
          <w:fldChar w:fldCharType="begin"/>
        </w:r>
        <w:r w:rsidR="00F97D54">
          <w:rPr>
            <w:webHidden/>
          </w:rPr>
          <w:instrText xml:space="preserve"> PAGEREF _Toc365972099 \h </w:instrText>
        </w:r>
        <w:r w:rsidR="00F97D54">
          <w:rPr>
            <w:webHidden/>
          </w:rPr>
        </w:r>
        <w:r w:rsidR="00F97D54">
          <w:rPr>
            <w:webHidden/>
          </w:rPr>
          <w:fldChar w:fldCharType="separate"/>
        </w:r>
        <w:r w:rsidR="00DA300B">
          <w:rPr>
            <w:webHidden/>
          </w:rPr>
          <w:t>35</w:t>
        </w:r>
        <w:r w:rsidR="00F97D54">
          <w:rPr>
            <w:webHidden/>
          </w:rPr>
          <w:fldChar w:fldCharType="end"/>
        </w:r>
      </w:hyperlink>
    </w:p>
    <w:p w:rsidR="00F97D54" w:rsidRPr="00CF4C6D" w:rsidRDefault="00FB20A9" w:rsidP="007916AE">
      <w:pPr>
        <w:pStyle w:val="TOC2"/>
        <w:tabs>
          <w:tab w:val="clear" w:pos="720"/>
          <w:tab w:val="left" w:pos="1440"/>
          <w:tab w:val="right" w:leader="dot" w:pos="8640"/>
        </w:tabs>
        <w:ind w:left="1440" w:hanging="720"/>
        <w:rPr>
          <w:rFonts w:ascii="Calibri" w:hAnsi="Calibri"/>
          <w:szCs w:val="22"/>
        </w:rPr>
      </w:pPr>
      <w:hyperlink w:anchor="_Toc365972100" w:history="1">
        <w:r w:rsidR="00F97D54" w:rsidRPr="007916AE">
          <w:rPr>
            <w:rStyle w:val="Hyperlink"/>
          </w:rPr>
          <w:t>Question</w:t>
        </w:r>
        <w:r w:rsidR="00F97D54" w:rsidRPr="0082614F">
          <w:rPr>
            <w:rStyle w:val="Hyperlink"/>
          </w:rPr>
          <w:t xml:space="preserve"> II.A.18:  How do your terms and conditions compare with ILEC offerings?</w:t>
        </w:r>
        <w:r w:rsidR="00F97D54">
          <w:rPr>
            <w:webHidden/>
          </w:rPr>
          <w:tab/>
        </w:r>
        <w:r w:rsidR="00F97D54">
          <w:rPr>
            <w:webHidden/>
          </w:rPr>
          <w:fldChar w:fldCharType="begin"/>
        </w:r>
        <w:r w:rsidR="00F97D54">
          <w:rPr>
            <w:webHidden/>
          </w:rPr>
          <w:instrText xml:space="preserve"> PAGEREF _Toc365972100 \h </w:instrText>
        </w:r>
        <w:r w:rsidR="00F97D54">
          <w:rPr>
            <w:webHidden/>
          </w:rPr>
        </w:r>
        <w:r w:rsidR="00F97D54">
          <w:rPr>
            <w:webHidden/>
          </w:rPr>
          <w:fldChar w:fldCharType="separate"/>
        </w:r>
        <w:r w:rsidR="00DA300B">
          <w:rPr>
            <w:webHidden/>
          </w:rPr>
          <w:t>35</w:t>
        </w:r>
        <w:r w:rsidR="00F97D54">
          <w:rPr>
            <w:webHidden/>
          </w:rPr>
          <w:fldChar w:fldCharType="end"/>
        </w:r>
      </w:hyperlink>
    </w:p>
    <w:p w:rsidR="00F97D54" w:rsidRPr="00CF4C6D" w:rsidRDefault="00FB20A9" w:rsidP="007916AE">
      <w:pPr>
        <w:pStyle w:val="TOC2"/>
        <w:tabs>
          <w:tab w:val="clear" w:pos="720"/>
          <w:tab w:val="left" w:pos="1440"/>
          <w:tab w:val="right" w:leader="dot" w:pos="8640"/>
        </w:tabs>
        <w:ind w:left="1440" w:hanging="720"/>
        <w:rPr>
          <w:rFonts w:ascii="Calibri" w:hAnsi="Calibri"/>
          <w:szCs w:val="22"/>
        </w:rPr>
      </w:pPr>
      <w:hyperlink w:anchor="_Toc365972101" w:history="1">
        <w:r w:rsidR="00F97D54" w:rsidRPr="007916AE">
          <w:rPr>
            <w:rStyle w:val="Hyperlink"/>
          </w:rPr>
          <w:t>Question</w:t>
        </w:r>
        <w:r w:rsidR="00F97D54" w:rsidRPr="0082614F">
          <w:rPr>
            <w:rStyle w:val="Hyperlink"/>
          </w:rPr>
          <w:t xml:space="preserve"> II.A.19:  Business Justification for Term and Volume Commitments</w:t>
        </w:r>
        <w:r w:rsidR="00F97D54">
          <w:rPr>
            <w:webHidden/>
          </w:rPr>
          <w:tab/>
        </w:r>
        <w:r w:rsidR="00F97D54">
          <w:rPr>
            <w:webHidden/>
          </w:rPr>
          <w:fldChar w:fldCharType="begin"/>
        </w:r>
        <w:r w:rsidR="00F97D54">
          <w:rPr>
            <w:webHidden/>
          </w:rPr>
          <w:instrText xml:space="preserve"> PAGEREF _Toc365972101 \h </w:instrText>
        </w:r>
        <w:r w:rsidR="00F97D54">
          <w:rPr>
            <w:webHidden/>
          </w:rPr>
        </w:r>
        <w:r w:rsidR="00F97D54">
          <w:rPr>
            <w:webHidden/>
          </w:rPr>
          <w:fldChar w:fldCharType="separate"/>
        </w:r>
        <w:r w:rsidR="00DA300B">
          <w:rPr>
            <w:webHidden/>
          </w:rPr>
          <w:t>35</w:t>
        </w:r>
        <w:r w:rsidR="00F97D54">
          <w:rPr>
            <w:webHidden/>
          </w:rPr>
          <w:fldChar w:fldCharType="end"/>
        </w:r>
      </w:hyperlink>
    </w:p>
    <w:p w:rsidR="00F97D54" w:rsidRPr="00CF4C6D" w:rsidRDefault="00FB20A9" w:rsidP="00127F8E">
      <w:pPr>
        <w:pStyle w:val="TOC3"/>
        <w:tabs>
          <w:tab w:val="right" w:leader="dot" w:pos="8640"/>
        </w:tabs>
        <w:spacing w:before="120" w:after="120"/>
        <w:rPr>
          <w:rFonts w:ascii="Calibri" w:hAnsi="Calibri"/>
          <w:caps/>
          <w:szCs w:val="22"/>
        </w:rPr>
      </w:pPr>
      <w:hyperlink w:anchor="_Toc365972102" w:history="1">
        <w:r w:rsidR="00F97D54" w:rsidRPr="0082614F">
          <w:rPr>
            <w:rStyle w:val="Hyperlink"/>
          </w:rPr>
          <w:t>QUESTIONS DIRECTED AT ILECS</w:t>
        </w:r>
        <w:r w:rsidR="00F97D54">
          <w:rPr>
            <w:webHidden/>
          </w:rPr>
          <w:tab/>
        </w:r>
        <w:r w:rsidR="00F97D54">
          <w:rPr>
            <w:webHidden/>
          </w:rPr>
          <w:fldChar w:fldCharType="begin"/>
        </w:r>
        <w:r w:rsidR="00F97D54">
          <w:rPr>
            <w:webHidden/>
          </w:rPr>
          <w:instrText xml:space="preserve"> PAGEREF _Toc365972102 \h </w:instrText>
        </w:r>
        <w:r w:rsidR="00F97D54">
          <w:rPr>
            <w:webHidden/>
          </w:rPr>
        </w:r>
        <w:r w:rsidR="00F97D54">
          <w:rPr>
            <w:webHidden/>
          </w:rPr>
          <w:fldChar w:fldCharType="separate"/>
        </w:r>
        <w:r w:rsidR="00DA300B">
          <w:rPr>
            <w:webHidden/>
          </w:rPr>
          <w:t>36</w:t>
        </w:r>
        <w:r w:rsidR="00F97D54">
          <w:rPr>
            <w:webHidden/>
          </w:rPr>
          <w:fldChar w:fldCharType="end"/>
        </w:r>
      </w:hyperlink>
    </w:p>
    <w:p w:rsidR="00F97D54" w:rsidRPr="00CF4C6D" w:rsidRDefault="00FB20A9" w:rsidP="007916AE">
      <w:pPr>
        <w:pStyle w:val="TOC2"/>
        <w:tabs>
          <w:tab w:val="clear" w:pos="720"/>
          <w:tab w:val="left" w:pos="1440"/>
          <w:tab w:val="right" w:leader="dot" w:pos="8640"/>
        </w:tabs>
        <w:ind w:left="1440" w:hanging="720"/>
        <w:rPr>
          <w:rFonts w:ascii="Calibri" w:hAnsi="Calibri"/>
          <w:szCs w:val="22"/>
        </w:rPr>
      </w:pPr>
      <w:hyperlink w:anchor="_Toc365972103" w:history="1">
        <w:r w:rsidR="00F97D54" w:rsidRPr="007916AE">
          <w:rPr>
            <w:rStyle w:val="Hyperlink"/>
          </w:rPr>
          <w:t>Question</w:t>
        </w:r>
        <w:r w:rsidR="00F97D54" w:rsidRPr="0082614F">
          <w:rPr>
            <w:rStyle w:val="Hyperlink"/>
          </w:rPr>
          <w:t xml:space="preserve"> II.B.1:  Affiliated Company</w:t>
        </w:r>
        <w:r w:rsidR="00F97D54">
          <w:rPr>
            <w:webHidden/>
          </w:rPr>
          <w:tab/>
        </w:r>
        <w:r w:rsidR="00F97D54">
          <w:rPr>
            <w:webHidden/>
          </w:rPr>
          <w:fldChar w:fldCharType="begin"/>
        </w:r>
        <w:r w:rsidR="00F97D54">
          <w:rPr>
            <w:webHidden/>
          </w:rPr>
          <w:instrText xml:space="preserve"> PAGEREF _Toc365972103 \h </w:instrText>
        </w:r>
        <w:r w:rsidR="00F97D54">
          <w:rPr>
            <w:webHidden/>
          </w:rPr>
        </w:r>
        <w:r w:rsidR="00F97D54">
          <w:rPr>
            <w:webHidden/>
          </w:rPr>
          <w:fldChar w:fldCharType="separate"/>
        </w:r>
        <w:r w:rsidR="00DA300B">
          <w:rPr>
            <w:webHidden/>
          </w:rPr>
          <w:t>36</w:t>
        </w:r>
        <w:r w:rsidR="00F97D54">
          <w:rPr>
            <w:webHidden/>
          </w:rPr>
          <w:fldChar w:fldCharType="end"/>
        </w:r>
      </w:hyperlink>
    </w:p>
    <w:p w:rsidR="00AB0A6B" w:rsidRDefault="00AB0A6B" w:rsidP="00FF2FC5">
      <w:pPr>
        <w:pStyle w:val="TOC5"/>
        <w:rPr>
          <w:rStyle w:val="Hyperlink"/>
        </w:rPr>
      </w:pPr>
    </w:p>
    <w:p w:rsidR="00F97D54" w:rsidRPr="00CF4C6D" w:rsidRDefault="00FB20A9" w:rsidP="007916AE">
      <w:pPr>
        <w:pStyle w:val="TOC2"/>
        <w:tabs>
          <w:tab w:val="clear" w:pos="720"/>
          <w:tab w:val="left" w:pos="1440"/>
          <w:tab w:val="right" w:leader="dot" w:pos="8640"/>
        </w:tabs>
        <w:ind w:left="1440" w:hanging="720"/>
        <w:rPr>
          <w:rFonts w:ascii="Calibri" w:hAnsi="Calibri"/>
          <w:szCs w:val="22"/>
        </w:rPr>
      </w:pPr>
      <w:hyperlink w:anchor="_Toc365972104" w:history="1">
        <w:r w:rsidR="00F97D54" w:rsidRPr="007916AE">
          <w:rPr>
            <w:rStyle w:val="Hyperlink"/>
          </w:rPr>
          <w:t>Facilities</w:t>
        </w:r>
        <w:r w:rsidR="00F97D54" w:rsidRPr="0082614F">
          <w:rPr>
            <w:rStyle w:val="Hyperlink"/>
          </w:rPr>
          <w:t xml:space="preserve"> Information</w:t>
        </w:r>
        <w:r w:rsidR="00F97D54">
          <w:rPr>
            <w:webHidden/>
          </w:rPr>
          <w:tab/>
        </w:r>
        <w:r w:rsidR="00F97D54">
          <w:rPr>
            <w:webHidden/>
          </w:rPr>
          <w:fldChar w:fldCharType="begin"/>
        </w:r>
        <w:r w:rsidR="00F97D54">
          <w:rPr>
            <w:webHidden/>
          </w:rPr>
          <w:instrText xml:space="preserve"> PAGEREF _Toc365972104 \h </w:instrText>
        </w:r>
        <w:r w:rsidR="00F97D54">
          <w:rPr>
            <w:webHidden/>
          </w:rPr>
        </w:r>
        <w:r w:rsidR="00F97D54">
          <w:rPr>
            <w:webHidden/>
          </w:rPr>
          <w:fldChar w:fldCharType="separate"/>
        </w:r>
        <w:r w:rsidR="00DA300B">
          <w:rPr>
            <w:webHidden/>
          </w:rPr>
          <w:t>36</w:t>
        </w:r>
        <w:r w:rsidR="00F97D54">
          <w:rPr>
            <w:webHidden/>
          </w:rPr>
          <w:fldChar w:fldCharType="end"/>
        </w:r>
      </w:hyperlink>
    </w:p>
    <w:p w:rsidR="00AB0A6B" w:rsidRDefault="00AB0A6B" w:rsidP="001B3FA0">
      <w:pPr>
        <w:pStyle w:val="TOC4"/>
        <w:rPr>
          <w:rStyle w:val="Hyperlink"/>
        </w:rPr>
      </w:pPr>
    </w:p>
    <w:p w:rsidR="00F97D54" w:rsidRPr="00CF4C6D" w:rsidRDefault="00FB20A9" w:rsidP="007916AE">
      <w:pPr>
        <w:pStyle w:val="TOC2"/>
        <w:tabs>
          <w:tab w:val="clear" w:pos="720"/>
          <w:tab w:val="left" w:pos="1440"/>
          <w:tab w:val="right" w:leader="dot" w:pos="8640"/>
        </w:tabs>
        <w:ind w:left="1440" w:hanging="720"/>
        <w:rPr>
          <w:rFonts w:ascii="Calibri" w:hAnsi="Calibri"/>
          <w:szCs w:val="22"/>
        </w:rPr>
      </w:pPr>
      <w:hyperlink w:anchor="_Toc365972105" w:history="1">
        <w:r w:rsidR="00F97D54" w:rsidRPr="007916AE">
          <w:rPr>
            <w:rStyle w:val="Hyperlink"/>
          </w:rPr>
          <w:t>Question</w:t>
        </w:r>
        <w:r w:rsidR="00F97D54" w:rsidRPr="0082614F">
          <w:rPr>
            <w:rStyle w:val="Hyperlink"/>
          </w:rPr>
          <w:t xml:space="preserve"> II.B.2:  ILEC Locations Data for ILECs</w:t>
        </w:r>
        <w:r w:rsidR="00F97D54">
          <w:rPr>
            <w:webHidden/>
          </w:rPr>
          <w:tab/>
        </w:r>
        <w:r w:rsidR="00F97D54">
          <w:rPr>
            <w:webHidden/>
          </w:rPr>
          <w:fldChar w:fldCharType="begin"/>
        </w:r>
        <w:r w:rsidR="00F97D54">
          <w:rPr>
            <w:webHidden/>
          </w:rPr>
          <w:instrText xml:space="preserve"> PAGEREF _Toc365972105 \h </w:instrText>
        </w:r>
        <w:r w:rsidR="00F97D54">
          <w:rPr>
            <w:webHidden/>
          </w:rPr>
        </w:r>
        <w:r w:rsidR="00F97D54">
          <w:rPr>
            <w:webHidden/>
          </w:rPr>
          <w:fldChar w:fldCharType="separate"/>
        </w:r>
        <w:r w:rsidR="00DA300B">
          <w:rPr>
            <w:webHidden/>
          </w:rPr>
          <w:t>36</w:t>
        </w:r>
        <w:r w:rsidR="00F97D54">
          <w:rPr>
            <w:webHidden/>
          </w:rPr>
          <w:fldChar w:fldCharType="end"/>
        </w:r>
      </w:hyperlink>
    </w:p>
    <w:p w:rsidR="00F97D54" w:rsidRPr="00CF4C6D" w:rsidRDefault="00FB20A9" w:rsidP="007916AE">
      <w:pPr>
        <w:pStyle w:val="TOC2"/>
        <w:tabs>
          <w:tab w:val="clear" w:pos="720"/>
          <w:tab w:val="left" w:pos="1440"/>
          <w:tab w:val="right" w:leader="dot" w:pos="8640"/>
        </w:tabs>
        <w:ind w:left="1440" w:hanging="720"/>
        <w:rPr>
          <w:rFonts w:ascii="Calibri" w:hAnsi="Calibri"/>
          <w:szCs w:val="22"/>
        </w:rPr>
      </w:pPr>
      <w:hyperlink w:anchor="_Toc365972106" w:history="1">
        <w:r w:rsidR="00F97D54" w:rsidRPr="007916AE">
          <w:rPr>
            <w:rStyle w:val="Hyperlink"/>
          </w:rPr>
          <w:t>Question</w:t>
        </w:r>
        <w:r w:rsidR="00F97D54" w:rsidRPr="0082614F">
          <w:rPr>
            <w:rStyle w:val="Hyperlink"/>
          </w:rPr>
          <w:t xml:space="preserve"> II.B.3:  Locations Data for ILECs</w:t>
        </w:r>
        <w:r w:rsidR="00F97D54">
          <w:rPr>
            <w:webHidden/>
          </w:rPr>
          <w:tab/>
        </w:r>
        <w:r w:rsidR="00F97D54">
          <w:rPr>
            <w:webHidden/>
          </w:rPr>
          <w:fldChar w:fldCharType="begin"/>
        </w:r>
        <w:r w:rsidR="00F97D54">
          <w:rPr>
            <w:webHidden/>
          </w:rPr>
          <w:instrText xml:space="preserve"> PAGEREF _Toc365972106 \h </w:instrText>
        </w:r>
        <w:r w:rsidR="00F97D54">
          <w:rPr>
            <w:webHidden/>
          </w:rPr>
        </w:r>
        <w:r w:rsidR="00F97D54">
          <w:rPr>
            <w:webHidden/>
          </w:rPr>
          <w:fldChar w:fldCharType="separate"/>
        </w:r>
        <w:r w:rsidR="00DA300B">
          <w:rPr>
            <w:webHidden/>
          </w:rPr>
          <w:t>38</w:t>
        </w:r>
        <w:r w:rsidR="00F97D54">
          <w:rPr>
            <w:webHidden/>
          </w:rPr>
          <w:fldChar w:fldCharType="end"/>
        </w:r>
      </w:hyperlink>
    </w:p>
    <w:p w:rsidR="00AB0A6B" w:rsidRDefault="00AB0A6B" w:rsidP="00FF2FC5">
      <w:pPr>
        <w:pStyle w:val="TOC5"/>
        <w:rPr>
          <w:rStyle w:val="Hyperlink"/>
        </w:rPr>
      </w:pPr>
    </w:p>
    <w:p w:rsidR="00F97D54" w:rsidRPr="00CF4C6D" w:rsidRDefault="00FB20A9" w:rsidP="007916AE">
      <w:pPr>
        <w:pStyle w:val="TOC2"/>
        <w:tabs>
          <w:tab w:val="clear" w:pos="720"/>
          <w:tab w:val="left" w:pos="1440"/>
          <w:tab w:val="right" w:leader="dot" w:pos="8640"/>
        </w:tabs>
        <w:ind w:left="1440" w:hanging="720"/>
        <w:rPr>
          <w:rFonts w:ascii="Calibri" w:hAnsi="Calibri"/>
          <w:szCs w:val="22"/>
        </w:rPr>
      </w:pPr>
      <w:hyperlink w:anchor="_Toc365972107" w:history="1">
        <w:r w:rsidR="00F97D54" w:rsidRPr="007916AE">
          <w:rPr>
            <w:rStyle w:val="Hyperlink"/>
          </w:rPr>
          <w:t>Billing</w:t>
        </w:r>
        <w:r w:rsidR="00F97D54" w:rsidRPr="0082614F">
          <w:rPr>
            <w:rStyle w:val="Hyperlink"/>
          </w:rPr>
          <w:t xml:space="preserve"> Information</w:t>
        </w:r>
        <w:r w:rsidR="00F97D54">
          <w:rPr>
            <w:webHidden/>
          </w:rPr>
          <w:tab/>
        </w:r>
        <w:r w:rsidR="00F97D54">
          <w:rPr>
            <w:webHidden/>
          </w:rPr>
          <w:fldChar w:fldCharType="begin"/>
        </w:r>
        <w:r w:rsidR="00F97D54">
          <w:rPr>
            <w:webHidden/>
          </w:rPr>
          <w:instrText xml:space="preserve"> PAGEREF _Toc365972107 \h </w:instrText>
        </w:r>
        <w:r w:rsidR="00F97D54">
          <w:rPr>
            <w:webHidden/>
          </w:rPr>
        </w:r>
        <w:r w:rsidR="00F97D54">
          <w:rPr>
            <w:webHidden/>
          </w:rPr>
          <w:fldChar w:fldCharType="separate"/>
        </w:r>
        <w:r w:rsidR="00DA300B">
          <w:rPr>
            <w:webHidden/>
          </w:rPr>
          <w:t>39</w:t>
        </w:r>
        <w:r w:rsidR="00F97D54">
          <w:rPr>
            <w:webHidden/>
          </w:rPr>
          <w:fldChar w:fldCharType="end"/>
        </w:r>
      </w:hyperlink>
    </w:p>
    <w:p w:rsidR="00AB0A6B" w:rsidRDefault="00AB0A6B" w:rsidP="001B3FA0">
      <w:pPr>
        <w:pStyle w:val="TOC4"/>
        <w:rPr>
          <w:rStyle w:val="Hyperlink"/>
        </w:rPr>
      </w:pPr>
    </w:p>
    <w:p w:rsidR="00F97D54" w:rsidRPr="00CF4C6D" w:rsidRDefault="00FB20A9" w:rsidP="007916AE">
      <w:pPr>
        <w:pStyle w:val="TOC2"/>
        <w:tabs>
          <w:tab w:val="clear" w:pos="720"/>
          <w:tab w:val="left" w:pos="1440"/>
          <w:tab w:val="right" w:leader="dot" w:pos="8640"/>
        </w:tabs>
        <w:ind w:left="1440" w:hanging="720"/>
        <w:rPr>
          <w:rFonts w:ascii="Calibri" w:hAnsi="Calibri"/>
          <w:szCs w:val="22"/>
        </w:rPr>
      </w:pPr>
      <w:hyperlink w:anchor="_Toc365972108" w:history="1">
        <w:r w:rsidR="00F97D54" w:rsidRPr="007916AE">
          <w:rPr>
            <w:rStyle w:val="Hyperlink"/>
          </w:rPr>
          <w:t>Question</w:t>
        </w:r>
        <w:r w:rsidR="00F97D54" w:rsidRPr="0082614F">
          <w:rPr>
            <w:rStyle w:val="Hyperlink"/>
          </w:rPr>
          <w:t xml:space="preserve"> II.B.4-6:  Billing Information Overview</w:t>
        </w:r>
        <w:r w:rsidR="00F97D54">
          <w:rPr>
            <w:webHidden/>
          </w:rPr>
          <w:tab/>
        </w:r>
        <w:r w:rsidR="00F97D54">
          <w:rPr>
            <w:webHidden/>
          </w:rPr>
          <w:fldChar w:fldCharType="begin"/>
        </w:r>
        <w:r w:rsidR="00F97D54">
          <w:rPr>
            <w:webHidden/>
          </w:rPr>
          <w:instrText xml:space="preserve"> PAGEREF _Toc365972108 \h </w:instrText>
        </w:r>
        <w:r w:rsidR="00F97D54">
          <w:rPr>
            <w:webHidden/>
          </w:rPr>
        </w:r>
        <w:r w:rsidR="00F97D54">
          <w:rPr>
            <w:webHidden/>
          </w:rPr>
          <w:fldChar w:fldCharType="separate"/>
        </w:r>
        <w:r w:rsidR="00DA300B">
          <w:rPr>
            <w:webHidden/>
          </w:rPr>
          <w:t>39</w:t>
        </w:r>
        <w:r w:rsidR="00F97D54">
          <w:rPr>
            <w:webHidden/>
          </w:rPr>
          <w:fldChar w:fldCharType="end"/>
        </w:r>
      </w:hyperlink>
    </w:p>
    <w:p w:rsidR="00F97D54" w:rsidRPr="00CF4C6D" w:rsidRDefault="00FB20A9" w:rsidP="007916AE">
      <w:pPr>
        <w:pStyle w:val="TOC2"/>
        <w:tabs>
          <w:tab w:val="clear" w:pos="720"/>
          <w:tab w:val="left" w:pos="1440"/>
          <w:tab w:val="right" w:leader="dot" w:pos="8640"/>
        </w:tabs>
        <w:ind w:left="1440" w:hanging="720"/>
        <w:rPr>
          <w:rFonts w:ascii="Calibri" w:hAnsi="Calibri"/>
          <w:szCs w:val="22"/>
        </w:rPr>
      </w:pPr>
      <w:hyperlink w:anchor="_Toc365972109" w:history="1">
        <w:r w:rsidR="00F97D54" w:rsidRPr="007916AE">
          <w:rPr>
            <w:rStyle w:val="Hyperlink"/>
          </w:rPr>
          <w:t>Question</w:t>
        </w:r>
        <w:r w:rsidR="00F97D54" w:rsidRPr="0082614F">
          <w:rPr>
            <w:rStyle w:val="Hyperlink"/>
          </w:rPr>
          <w:t xml:space="preserve"> II.B.4:  Prices by Circuit Element from ILECs</w:t>
        </w:r>
        <w:r w:rsidR="00F97D54">
          <w:rPr>
            <w:webHidden/>
          </w:rPr>
          <w:tab/>
        </w:r>
        <w:r w:rsidR="00F97D54">
          <w:rPr>
            <w:webHidden/>
          </w:rPr>
          <w:fldChar w:fldCharType="begin"/>
        </w:r>
        <w:r w:rsidR="00F97D54">
          <w:rPr>
            <w:webHidden/>
          </w:rPr>
          <w:instrText xml:space="preserve"> PAGEREF _Toc365972109 \h </w:instrText>
        </w:r>
        <w:r w:rsidR="00F97D54">
          <w:rPr>
            <w:webHidden/>
          </w:rPr>
        </w:r>
        <w:r w:rsidR="00F97D54">
          <w:rPr>
            <w:webHidden/>
          </w:rPr>
          <w:fldChar w:fldCharType="separate"/>
        </w:r>
        <w:r w:rsidR="00DA300B">
          <w:rPr>
            <w:webHidden/>
          </w:rPr>
          <w:t>39</w:t>
        </w:r>
        <w:r w:rsidR="00F97D54">
          <w:rPr>
            <w:webHidden/>
          </w:rPr>
          <w:fldChar w:fldCharType="end"/>
        </w:r>
      </w:hyperlink>
    </w:p>
    <w:p w:rsidR="00F97D54" w:rsidRPr="00CF4C6D" w:rsidRDefault="00FB20A9" w:rsidP="007916AE">
      <w:pPr>
        <w:pStyle w:val="TOC2"/>
        <w:tabs>
          <w:tab w:val="clear" w:pos="720"/>
          <w:tab w:val="left" w:pos="1440"/>
          <w:tab w:val="right" w:leader="dot" w:pos="8640"/>
        </w:tabs>
        <w:ind w:left="1440" w:hanging="720"/>
        <w:rPr>
          <w:rFonts w:ascii="Calibri" w:hAnsi="Calibri"/>
          <w:szCs w:val="22"/>
        </w:rPr>
      </w:pPr>
      <w:hyperlink w:anchor="_Toc365972110" w:history="1">
        <w:r w:rsidR="00F97D54" w:rsidRPr="007916AE">
          <w:rPr>
            <w:rStyle w:val="Hyperlink"/>
          </w:rPr>
          <w:t>Question</w:t>
        </w:r>
        <w:r w:rsidR="00F97D54" w:rsidRPr="0082614F">
          <w:rPr>
            <w:rStyle w:val="Hyperlink"/>
          </w:rPr>
          <w:t xml:space="preserve"> II.B.5:  Billing Adjustments</w:t>
        </w:r>
        <w:r w:rsidR="00F97D54">
          <w:rPr>
            <w:webHidden/>
          </w:rPr>
          <w:tab/>
        </w:r>
        <w:r w:rsidR="00F97D54">
          <w:rPr>
            <w:webHidden/>
          </w:rPr>
          <w:fldChar w:fldCharType="begin"/>
        </w:r>
        <w:r w:rsidR="00F97D54">
          <w:rPr>
            <w:webHidden/>
          </w:rPr>
          <w:instrText xml:space="preserve"> PAGEREF _Toc365972110 \h </w:instrText>
        </w:r>
        <w:r w:rsidR="00F97D54">
          <w:rPr>
            <w:webHidden/>
          </w:rPr>
        </w:r>
        <w:r w:rsidR="00F97D54">
          <w:rPr>
            <w:webHidden/>
          </w:rPr>
          <w:fldChar w:fldCharType="separate"/>
        </w:r>
        <w:r w:rsidR="00DA300B">
          <w:rPr>
            <w:webHidden/>
          </w:rPr>
          <w:t>48</w:t>
        </w:r>
        <w:r w:rsidR="00F97D54">
          <w:rPr>
            <w:webHidden/>
          </w:rPr>
          <w:fldChar w:fldCharType="end"/>
        </w:r>
      </w:hyperlink>
    </w:p>
    <w:p w:rsidR="00F97D54" w:rsidRPr="00CF4C6D" w:rsidRDefault="00FB20A9" w:rsidP="007916AE">
      <w:pPr>
        <w:pStyle w:val="TOC2"/>
        <w:tabs>
          <w:tab w:val="clear" w:pos="720"/>
          <w:tab w:val="left" w:pos="1440"/>
          <w:tab w:val="right" w:leader="dot" w:pos="8640"/>
        </w:tabs>
        <w:ind w:left="1440" w:hanging="720"/>
        <w:rPr>
          <w:rFonts w:ascii="Calibri" w:hAnsi="Calibri"/>
          <w:szCs w:val="22"/>
        </w:rPr>
      </w:pPr>
      <w:hyperlink w:anchor="_Toc365972111" w:history="1">
        <w:r w:rsidR="00F97D54" w:rsidRPr="007916AE">
          <w:rPr>
            <w:rStyle w:val="Hyperlink"/>
          </w:rPr>
          <w:t>Question</w:t>
        </w:r>
        <w:r w:rsidR="00F97D54" w:rsidRPr="0082614F">
          <w:rPr>
            <w:rStyle w:val="Hyperlink"/>
          </w:rPr>
          <w:t xml:space="preserve"> II.B.6:  Billing Code Descriptions</w:t>
        </w:r>
        <w:r w:rsidR="00F97D54">
          <w:rPr>
            <w:webHidden/>
          </w:rPr>
          <w:tab/>
        </w:r>
        <w:r w:rsidR="00F97D54">
          <w:rPr>
            <w:webHidden/>
          </w:rPr>
          <w:fldChar w:fldCharType="begin"/>
        </w:r>
        <w:r w:rsidR="00F97D54">
          <w:rPr>
            <w:webHidden/>
          </w:rPr>
          <w:instrText xml:space="preserve"> PAGEREF _Toc365972111 \h </w:instrText>
        </w:r>
        <w:r w:rsidR="00F97D54">
          <w:rPr>
            <w:webHidden/>
          </w:rPr>
        </w:r>
        <w:r w:rsidR="00F97D54">
          <w:rPr>
            <w:webHidden/>
          </w:rPr>
          <w:fldChar w:fldCharType="separate"/>
        </w:r>
        <w:r w:rsidR="00DA300B">
          <w:rPr>
            <w:webHidden/>
          </w:rPr>
          <w:t>52</w:t>
        </w:r>
        <w:r w:rsidR="00F97D54">
          <w:rPr>
            <w:webHidden/>
          </w:rPr>
          <w:fldChar w:fldCharType="end"/>
        </w:r>
      </w:hyperlink>
    </w:p>
    <w:p w:rsidR="00F97D54" w:rsidRPr="00CF4C6D" w:rsidRDefault="00FB20A9" w:rsidP="007916AE">
      <w:pPr>
        <w:pStyle w:val="TOC2"/>
        <w:tabs>
          <w:tab w:val="clear" w:pos="720"/>
          <w:tab w:val="left" w:pos="1440"/>
          <w:tab w:val="right" w:leader="dot" w:pos="8640"/>
        </w:tabs>
        <w:ind w:left="1440" w:hanging="720"/>
        <w:rPr>
          <w:rFonts w:ascii="Calibri" w:hAnsi="Calibri"/>
          <w:szCs w:val="22"/>
        </w:rPr>
      </w:pPr>
      <w:hyperlink w:anchor="_Toc365972112" w:history="1">
        <w:r w:rsidR="00F97D54" w:rsidRPr="007916AE">
          <w:rPr>
            <w:rStyle w:val="Hyperlink"/>
          </w:rPr>
          <w:t>Question</w:t>
        </w:r>
        <w:r w:rsidR="00F97D54" w:rsidRPr="0082614F">
          <w:rPr>
            <w:rStyle w:val="Hyperlink"/>
          </w:rPr>
          <w:t xml:space="preserve"> II.B.7:  Wire Centers - CLLI Codes - Regulatory Treatment</w:t>
        </w:r>
        <w:r w:rsidR="00F97D54">
          <w:rPr>
            <w:webHidden/>
          </w:rPr>
          <w:tab/>
        </w:r>
        <w:r w:rsidR="00F97D54">
          <w:rPr>
            <w:webHidden/>
          </w:rPr>
          <w:fldChar w:fldCharType="begin"/>
        </w:r>
        <w:r w:rsidR="00F97D54">
          <w:rPr>
            <w:webHidden/>
          </w:rPr>
          <w:instrText xml:space="preserve"> PAGEREF _Toc365972112 \h </w:instrText>
        </w:r>
        <w:r w:rsidR="00F97D54">
          <w:rPr>
            <w:webHidden/>
          </w:rPr>
        </w:r>
        <w:r w:rsidR="00F97D54">
          <w:rPr>
            <w:webHidden/>
          </w:rPr>
          <w:fldChar w:fldCharType="separate"/>
        </w:r>
        <w:r w:rsidR="00DA300B">
          <w:rPr>
            <w:webHidden/>
          </w:rPr>
          <w:t>53</w:t>
        </w:r>
        <w:r w:rsidR="00F97D54">
          <w:rPr>
            <w:webHidden/>
          </w:rPr>
          <w:fldChar w:fldCharType="end"/>
        </w:r>
      </w:hyperlink>
    </w:p>
    <w:p w:rsidR="00AB0A6B" w:rsidRDefault="00AB0A6B" w:rsidP="00FF2FC5">
      <w:pPr>
        <w:pStyle w:val="TOC5"/>
        <w:rPr>
          <w:rStyle w:val="Hyperlink"/>
        </w:rPr>
      </w:pPr>
    </w:p>
    <w:p w:rsidR="00F97D54" w:rsidRPr="00CF4C6D" w:rsidRDefault="00FB20A9" w:rsidP="007916AE">
      <w:pPr>
        <w:pStyle w:val="TOC2"/>
        <w:tabs>
          <w:tab w:val="clear" w:pos="720"/>
          <w:tab w:val="left" w:pos="1440"/>
          <w:tab w:val="right" w:leader="dot" w:pos="8640"/>
        </w:tabs>
        <w:ind w:left="1440" w:hanging="720"/>
        <w:rPr>
          <w:rFonts w:ascii="Calibri" w:hAnsi="Calibri"/>
          <w:szCs w:val="22"/>
        </w:rPr>
      </w:pPr>
      <w:hyperlink w:anchor="_Toc365972113" w:history="1">
        <w:r w:rsidR="00F97D54" w:rsidRPr="007916AE">
          <w:rPr>
            <w:rStyle w:val="Hyperlink"/>
          </w:rPr>
          <w:t>Revenues</w:t>
        </w:r>
        <w:r w:rsidR="00F97D54" w:rsidRPr="0082614F">
          <w:rPr>
            <w:rStyle w:val="Hyperlink"/>
          </w:rPr>
          <w:t>, Terms and Conditions Information</w:t>
        </w:r>
        <w:r w:rsidR="00F97D54">
          <w:rPr>
            <w:webHidden/>
          </w:rPr>
          <w:tab/>
        </w:r>
        <w:r w:rsidR="00F97D54">
          <w:rPr>
            <w:webHidden/>
          </w:rPr>
          <w:fldChar w:fldCharType="begin"/>
        </w:r>
        <w:r w:rsidR="00F97D54">
          <w:rPr>
            <w:webHidden/>
          </w:rPr>
          <w:instrText xml:space="preserve"> PAGEREF _Toc365972113 \h </w:instrText>
        </w:r>
        <w:r w:rsidR="00F97D54">
          <w:rPr>
            <w:webHidden/>
          </w:rPr>
        </w:r>
        <w:r w:rsidR="00F97D54">
          <w:rPr>
            <w:webHidden/>
          </w:rPr>
          <w:fldChar w:fldCharType="separate"/>
        </w:r>
        <w:r w:rsidR="00DA300B">
          <w:rPr>
            <w:webHidden/>
          </w:rPr>
          <w:t>53</w:t>
        </w:r>
        <w:r w:rsidR="00F97D54">
          <w:rPr>
            <w:webHidden/>
          </w:rPr>
          <w:fldChar w:fldCharType="end"/>
        </w:r>
      </w:hyperlink>
    </w:p>
    <w:p w:rsidR="00AB0A6B" w:rsidRDefault="00AB0A6B" w:rsidP="001B3FA0">
      <w:pPr>
        <w:pStyle w:val="TOC4"/>
        <w:rPr>
          <w:rStyle w:val="Hyperlink"/>
        </w:rPr>
      </w:pPr>
    </w:p>
    <w:p w:rsidR="00F97D54" w:rsidRPr="00CF4C6D" w:rsidRDefault="00FB20A9" w:rsidP="007916AE">
      <w:pPr>
        <w:pStyle w:val="TOC2"/>
        <w:tabs>
          <w:tab w:val="clear" w:pos="720"/>
          <w:tab w:val="left" w:pos="1440"/>
          <w:tab w:val="right" w:leader="dot" w:pos="8640"/>
        </w:tabs>
        <w:ind w:left="1440" w:hanging="720"/>
        <w:rPr>
          <w:rFonts w:ascii="Calibri" w:hAnsi="Calibri"/>
          <w:szCs w:val="22"/>
        </w:rPr>
      </w:pPr>
      <w:hyperlink w:anchor="_Toc365972114" w:history="1">
        <w:r w:rsidR="00F97D54" w:rsidRPr="007916AE">
          <w:rPr>
            <w:rStyle w:val="Hyperlink"/>
          </w:rPr>
          <w:t>Question</w:t>
        </w:r>
        <w:r w:rsidR="00F97D54" w:rsidRPr="0082614F">
          <w:rPr>
            <w:rStyle w:val="Hyperlink"/>
          </w:rPr>
          <w:t xml:space="preserve"> II.B.8:  Sales Revenues for CBDS</w:t>
        </w:r>
        <w:r w:rsidR="00F97D54">
          <w:rPr>
            <w:webHidden/>
          </w:rPr>
          <w:tab/>
        </w:r>
        <w:r w:rsidR="00F97D54">
          <w:rPr>
            <w:webHidden/>
          </w:rPr>
          <w:fldChar w:fldCharType="begin"/>
        </w:r>
        <w:r w:rsidR="00F97D54">
          <w:rPr>
            <w:webHidden/>
          </w:rPr>
          <w:instrText xml:space="preserve"> PAGEREF _Toc365972114 \h </w:instrText>
        </w:r>
        <w:r w:rsidR="00F97D54">
          <w:rPr>
            <w:webHidden/>
          </w:rPr>
        </w:r>
        <w:r w:rsidR="00F97D54">
          <w:rPr>
            <w:webHidden/>
          </w:rPr>
          <w:fldChar w:fldCharType="separate"/>
        </w:r>
        <w:r w:rsidR="00DA300B">
          <w:rPr>
            <w:webHidden/>
          </w:rPr>
          <w:t>53</w:t>
        </w:r>
        <w:r w:rsidR="00F97D54">
          <w:rPr>
            <w:webHidden/>
          </w:rPr>
          <w:fldChar w:fldCharType="end"/>
        </w:r>
      </w:hyperlink>
    </w:p>
    <w:p w:rsidR="00F97D54" w:rsidRPr="00CF4C6D" w:rsidRDefault="00FB20A9" w:rsidP="007916AE">
      <w:pPr>
        <w:pStyle w:val="TOC2"/>
        <w:tabs>
          <w:tab w:val="clear" w:pos="720"/>
          <w:tab w:val="left" w:pos="1440"/>
          <w:tab w:val="right" w:leader="dot" w:pos="8640"/>
        </w:tabs>
        <w:ind w:left="1440" w:hanging="720"/>
        <w:rPr>
          <w:rFonts w:ascii="Calibri" w:hAnsi="Calibri"/>
          <w:szCs w:val="22"/>
        </w:rPr>
      </w:pPr>
      <w:hyperlink w:anchor="_Toc365972115" w:history="1">
        <w:r w:rsidR="00F97D54" w:rsidRPr="007916AE">
          <w:rPr>
            <w:rStyle w:val="Hyperlink"/>
          </w:rPr>
          <w:t>Question</w:t>
        </w:r>
        <w:r w:rsidR="00F97D54" w:rsidRPr="0082614F">
          <w:rPr>
            <w:rStyle w:val="Hyperlink"/>
          </w:rPr>
          <w:t xml:space="preserve"> II.B.9:  Sales Revenues for PBDS</w:t>
        </w:r>
        <w:r w:rsidR="00F97D54">
          <w:rPr>
            <w:webHidden/>
          </w:rPr>
          <w:tab/>
        </w:r>
        <w:r w:rsidR="00F97D54">
          <w:rPr>
            <w:webHidden/>
          </w:rPr>
          <w:fldChar w:fldCharType="begin"/>
        </w:r>
        <w:r w:rsidR="00F97D54">
          <w:rPr>
            <w:webHidden/>
          </w:rPr>
          <w:instrText xml:space="preserve"> PAGEREF _Toc365972115 \h </w:instrText>
        </w:r>
        <w:r w:rsidR="00F97D54">
          <w:rPr>
            <w:webHidden/>
          </w:rPr>
        </w:r>
        <w:r w:rsidR="00F97D54">
          <w:rPr>
            <w:webHidden/>
          </w:rPr>
          <w:fldChar w:fldCharType="separate"/>
        </w:r>
        <w:r w:rsidR="00DA300B">
          <w:rPr>
            <w:webHidden/>
          </w:rPr>
          <w:t>54</w:t>
        </w:r>
        <w:r w:rsidR="00F97D54">
          <w:rPr>
            <w:webHidden/>
          </w:rPr>
          <w:fldChar w:fldCharType="end"/>
        </w:r>
      </w:hyperlink>
    </w:p>
    <w:p w:rsidR="00F97D54" w:rsidRPr="00CF4C6D" w:rsidRDefault="00FB20A9" w:rsidP="007916AE">
      <w:pPr>
        <w:pStyle w:val="TOC2"/>
        <w:tabs>
          <w:tab w:val="clear" w:pos="720"/>
          <w:tab w:val="left" w:pos="1440"/>
          <w:tab w:val="right" w:leader="dot" w:pos="8640"/>
        </w:tabs>
        <w:ind w:left="1440" w:hanging="720"/>
        <w:rPr>
          <w:rFonts w:ascii="Calibri" w:hAnsi="Calibri"/>
          <w:szCs w:val="22"/>
        </w:rPr>
      </w:pPr>
      <w:hyperlink w:anchor="_Toc365972116" w:history="1">
        <w:r w:rsidR="00F97D54" w:rsidRPr="007916AE">
          <w:rPr>
            <w:rStyle w:val="Hyperlink"/>
          </w:rPr>
          <w:t>Question</w:t>
        </w:r>
        <w:r w:rsidR="00F97D54" w:rsidRPr="0082614F">
          <w:rPr>
            <w:rStyle w:val="Hyperlink"/>
          </w:rPr>
          <w:t xml:space="preserve"> II.B.10:  Revenues from One Month Term Only Rates</w:t>
        </w:r>
        <w:r w:rsidR="00F97D54">
          <w:rPr>
            <w:webHidden/>
          </w:rPr>
          <w:tab/>
        </w:r>
        <w:r w:rsidR="00F97D54">
          <w:rPr>
            <w:webHidden/>
          </w:rPr>
          <w:fldChar w:fldCharType="begin"/>
        </w:r>
        <w:r w:rsidR="00F97D54">
          <w:rPr>
            <w:webHidden/>
          </w:rPr>
          <w:instrText xml:space="preserve"> PAGEREF _Toc365972116 \h </w:instrText>
        </w:r>
        <w:r w:rsidR="00F97D54">
          <w:rPr>
            <w:webHidden/>
          </w:rPr>
        </w:r>
        <w:r w:rsidR="00F97D54">
          <w:rPr>
            <w:webHidden/>
          </w:rPr>
          <w:fldChar w:fldCharType="separate"/>
        </w:r>
        <w:r w:rsidR="00DA300B">
          <w:rPr>
            <w:webHidden/>
          </w:rPr>
          <w:t>54</w:t>
        </w:r>
        <w:r w:rsidR="00F97D54">
          <w:rPr>
            <w:webHidden/>
          </w:rPr>
          <w:fldChar w:fldCharType="end"/>
        </w:r>
      </w:hyperlink>
    </w:p>
    <w:p w:rsidR="00F97D54" w:rsidRPr="00CF4C6D" w:rsidRDefault="00FB20A9" w:rsidP="007916AE">
      <w:pPr>
        <w:pStyle w:val="TOC2"/>
        <w:tabs>
          <w:tab w:val="clear" w:pos="720"/>
          <w:tab w:val="left" w:pos="1440"/>
          <w:tab w:val="right" w:leader="dot" w:pos="8640"/>
        </w:tabs>
        <w:ind w:left="1440" w:hanging="720"/>
        <w:rPr>
          <w:rFonts w:ascii="Calibri" w:hAnsi="Calibri"/>
          <w:szCs w:val="22"/>
        </w:rPr>
      </w:pPr>
      <w:hyperlink w:anchor="_Toc365972117" w:history="1">
        <w:r w:rsidR="00F97D54" w:rsidRPr="007916AE">
          <w:rPr>
            <w:rStyle w:val="Hyperlink"/>
          </w:rPr>
          <w:t>Question</w:t>
        </w:r>
        <w:r w:rsidR="00F97D54" w:rsidRPr="0082614F">
          <w:rPr>
            <w:rStyle w:val="Hyperlink"/>
          </w:rPr>
          <w:t xml:space="preserve"> II.B.11:  Number of Customers with One Month Term Only Rates</w:t>
        </w:r>
        <w:r w:rsidR="00F97D54">
          <w:rPr>
            <w:webHidden/>
          </w:rPr>
          <w:tab/>
        </w:r>
        <w:r w:rsidR="00F97D54">
          <w:rPr>
            <w:webHidden/>
          </w:rPr>
          <w:fldChar w:fldCharType="begin"/>
        </w:r>
        <w:r w:rsidR="00F97D54">
          <w:rPr>
            <w:webHidden/>
          </w:rPr>
          <w:instrText xml:space="preserve"> PAGEREF _Toc365972117 \h </w:instrText>
        </w:r>
        <w:r w:rsidR="00F97D54">
          <w:rPr>
            <w:webHidden/>
          </w:rPr>
        </w:r>
        <w:r w:rsidR="00F97D54">
          <w:rPr>
            <w:webHidden/>
          </w:rPr>
          <w:fldChar w:fldCharType="separate"/>
        </w:r>
        <w:r w:rsidR="00DA300B">
          <w:rPr>
            <w:webHidden/>
          </w:rPr>
          <w:t>54</w:t>
        </w:r>
        <w:r w:rsidR="00F97D54">
          <w:rPr>
            <w:webHidden/>
          </w:rPr>
          <w:fldChar w:fldCharType="end"/>
        </w:r>
      </w:hyperlink>
    </w:p>
    <w:p w:rsidR="00F97D54" w:rsidRPr="00CF4C6D" w:rsidRDefault="00FB20A9" w:rsidP="007916AE">
      <w:pPr>
        <w:pStyle w:val="TOC2"/>
        <w:tabs>
          <w:tab w:val="clear" w:pos="720"/>
          <w:tab w:val="left" w:pos="1440"/>
          <w:tab w:val="right" w:leader="dot" w:pos="8640"/>
        </w:tabs>
        <w:ind w:left="1440" w:hanging="720"/>
        <w:rPr>
          <w:rFonts w:ascii="Calibri" w:hAnsi="Calibri"/>
          <w:szCs w:val="22"/>
        </w:rPr>
      </w:pPr>
      <w:hyperlink w:anchor="_Toc365972118" w:history="1">
        <w:r w:rsidR="00F97D54" w:rsidRPr="007916AE">
          <w:rPr>
            <w:rStyle w:val="Hyperlink"/>
          </w:rPr>
          <w:t>Question</w:t>
        </w:r>
        <w:r w:rsidR="00F97D54" w:rsidRPr="0082614F">
          <w:rPr>
            <w:rStyle w:val="Hyperlink"/>
          </w:rPr>
          <w:t xml:space="preserve"> II.B.12:  All Applicable Tariff Plans and Contract-Based Tariffs</w:t>
        </w:r>
        <w:r w:rsidR="00F97D54">
          <w:rPr>
            <w:webHidden/>
          </w:rPr>
          <w:tab/>
        </w:r>
        <w:r w:rsidR="00F97D54">
          <w:rPr>
            <w:webHidden/>
          </w:rPr>
          <w:fldChar w:fldCharType="begin"/>
        </w:r>
        <w:r w:rsidR="00F97D54">
          <w:rPr>
            <w:webHidden/>
          </w:rPr>
          <w:instrText xml:space="preserve"> PAGEREF _Toc365972118 \h </w:instrText>
        </w:r>
        <w:r w:rsidR="00F97D54">
          <w:rPr>
            <w:webHidden/>
          </w:rPr>
        </w:r>
        <w:r w:rsidR="00F97D54">
          <w:rPr>
            <w:webHidden/>
          </w:rPr>
          <w:fldChar w:fldCharType="separate"/>
        </w:r>
        <w:r w:rsidR="00DA300B">
          <w:rPr>
            <w:webHidden/>
          </w:rPr>
          <w:t>55</w:t>
        </w:r>
        <w:r w:rsidR="00F97D54">
          <w:rPr>
            <w:webHidden/>
          </w:rPr>
          <w:fldChar w:fldCharType="end"/>
        </w:r>
      </w:hyperlink>
    </w:p>
    <w:p w:rsidR="00F97D54" w:rsidRPr="00CF4C6D" w:rsidRDefault="00FB20A9" w:rsidP="007916AE">
      <w:pPr>
        <w:pStyle w:val="TOC2"/>
        <w:tabs>
          <w:tab w:val="clear" w:pos="720"/>
          <w:tab w:val="left" w:pos="1440"/>
          <w:tab w:val="right" w:leader="dot" w:pos="8640"/>
        </w:tabs>
        <w:ind w:left="1440" w:hanging="720"/>
        <w:rPr>
          <w:rFonts w:ascii="Calibri" w:hAnsi="Calibri"/>
          <w:szCs w:val="22"/>
        </w:rPr>
      </w:pPr>
      <w:hyperlink w:anchor="_Toc365972119" w:history="1">
        <w:r w:rsidR="00F97D54" w:rsidRPr="007916AE">
          <w:rPr>
            <w:rStyle w:val="Hyperlink"/>
          </w:rPr>
          <w:t>Question</w:t>
        </w:r>
        <w:r w:rsidR="00F97D54" w:rsidRPr="0082614F">
          <w:rPr>
            <w:rStyle w:val="Hyperlink"/>
          </w:rPr>
          <w:t xml:space="preserve"> II.B.13:  Non-Tariffed Agreements</w:t>
        </w:r>
        <w:r w:rsidR="00F97D54">
          <w:rPr>
            <w:webHidden/>
          </w:rPr>
          <w:tab/>
        </w:r>
        <w:r w:rsidR="00F97D54">
          <w:rPr>
            <w:webHidden/>
          </w:rPr>
          <w:fldChar w:fldCharType="begin"/>
        </w:r>
        <w:r w:rsidR="00F97D54">
          <w:rPr>
            <w:webHidden/>
          </w:rPr>
          <w:instrText xml:space="preserve"> PAGEREF _Toc365972119 \h </w:instrText>
        </w:r>
        <w:r w:rsidR="00F97D54">
          <w:rPr>
            <w:webHidden/>
          </w:rPr>
        </w:r>
        <w:r w:rsidR="00F97D54">
          <w:rPr>
            <w:webHidden/>
          </w:rPr>
          <w:fldChar w:fldCharType="separate"/>
        </w:r>
        <w:r w:rsidR="00DA300B">
          <w:rPr>
            <w:webHidden/>
          </w:rPr>
          <w:t>57</w:t>
        </w:r>
        <w:r w:rsidR="00F97D54">
          <w:rPr>
            <w:webHidden/>
          </w:rPr>
          <w:fldChar w:fldCharType="end"/>
        </w:r>
      </w:hyperlink>
    </w:p>
    <w:p w:rsidR="00F97D54" w:rsidRPr="00CF4C6D" w:rsidRDefault="00FB20A9" w:rsidP="00127F8E">
      <w:pPr>
        <w:pStyle w:val="TOC3"/>
        <w:tabs>
          <w:tab w:val="clear" w:pos="1080"/>
          <w:tab w:val="left" w:pos="720"/>
          <w:tab w:val="right" w:leader="dot" w:pos="8640"/>
        </w:tabs>
        <w:spacing w:before="120" w:after="120"/>
        <w:ind w:left="720" w:firstLine="0"/>
        <w:rPr>
          <w:rFonts w:ascii="Calibri" w:hAnsi="Calibri"/>
          <w:caps/>
          <w:szCs w:val="22"/>
        </w:rPr>
      </w:pPr>
      <w:hyperlink w:anchor="_Toc365972120" w:history="1">
        <w:r w:rsidR="00F97D54" w:rsidRPr="0082614F">
          <w:rPr>
            <w:rStyle w:val="Hyperlink"/>
          </w:rPr>
          <w:t>QUESTIONS DIRECTED AT ENTITIES PROV</w:t>
        </w:r>
        <w:r w:rsidR="00356C23">
          <w:rPr>
            <w:rStyle w:val="Hyperlink"/>
          </w:rPr>
          <w:t>IDING BEST EFFORTS</w:t>
        </w:r>
        <w:r w:rsidR="00F97D54">
          <w:rPr>
            <w:webHidden/>
          </w:rPr>
          <w:tab/>
        </w:r>
        <w:r w:rsidR="00F97D54">
          <w:rPr>
            <w:webHidden/>
          </w:rPr>
          <w:fldChar w:fldCharType="begin"/>
        </w:r>
        <w:r w:rsidR="00F97D54">
          <w:rPr>
            <w:webHidden/>
          </w:rPr>
          <w:instrText xml:space="preserve"> PAGEREF _Toc365972120 \h </w:instrText>
        </w:r>
        <w:r w:rsidR="00F97D54">
          <w:rPr>
            <w:webHidden/>
          </w:rPr>
        </w:r>
        <w:r w:rsidR="00F97D54">
          <w:rPr>
            <w:webHidden/>
          </w:rPr>
          <w:fldChar w:fldCharType="separate"/>
        </w:r>
        <w:r w:rsidR="00DA300B">
          <w:rPr>
            <w:webHidden/>
          </w:rPr>
          <w:t>58</w:t>
        </w:r>
        <w:r w:rsidR="00F97D54">
          <w:rPr>
            <w:webHidden/>
          </w:rPr>
          <w:fldChar w:fldCharType="end"/>
        </w:r>
      </w:hyperlink>
    </w:p>
    <w:p w:rsidR="00F97D54" w:rsidRPr="00CF4C6D" w:rsidRDefault="00FB20A9" w:rsidP="00ED4FE9">
      <w:pPr>
        <w:pStyle w:val="TOC2"/>
        <w:tabs>
          <w:tab w:val="clear" w:pos="720"/>
          <w:tab w:val="left" w:pos="1440"/>
          <w:tab w:val="right" w:leader="dot" w:pos="8640"/>
        </w:tabs>
        <w:ind w:left="1440" w:hanging="720"/>
        <w:rPr>
          <w:rFonts w:ascii="Calibri" w:hAnsi="Calibri"/>
          <w:szCs w:val="22"/>
        </w:rPr>
      </w:pPr>
      <w:hyperlink w:anchor="_Toc365972121" w:history="1">
        <w:r w:rsidR="00F97D54" w:rsidRPr="00ED4FE9">
          <w:rPr>
            <w:rStyle w:val="Hyperlink"/>
          </w:rPr>
          <w:t>Question</w:t>
        </w:r>
        <w:r w:rsidR="00F97D54" w:rsidRPr="0082614F">
          <w:rPr>
            <w:rStyle w:val="Hyperlink"/>
          </w:rPr>
          <w:t xml:space="preserve"> II.C.1:  Census Blocks and Price Lists for 2010 and 2012</w:t>
        </w:r>
        <w:r w:rsidR="00F97D54">
          <w:rPr>
            <w:webHidden/>
          </w:rPr>
          <w:tab/>
        </w:r>
        <w:r w:rsidR="00F97D54">
          <w:rPr>
            <w:webHidden/>
          </w:rPr>
          <w:fldChar w:fldCharType="begin"/>
        </w:r>
        <w:r w:rsidR="00F97D54">
          <w:rPr>
            <w:webHidden/>
          </w:rPr>
          <w:instrText xml:space="preserve"> PAGEREF _Toc365972121 \h </w:instrText>
        </w:r>
        <w:r w:rsidR="00F97D54">
          <w:rPr>
            <w:webHidden/>
          </w:rPr>
        </w:r>
        <w:r w:rsidR="00F97D54">
          <w:rPr>
            <w:webHidden/>
          </w:rPr>
          <w:fldChar w:fldCharType="separate"/>
        </w:r>
        <w:r w:rsidR="00DA300B">
          <w:rPr>
            <w:webHidden/>
          </w:rPr>
          <w:t>58</w:t>
        </w:r>
        <w:r w:rsidR="00F97D54">
          <w:rPr>
            <w:webHidden/>
          </w:rPr>
          <w:fldChar w:fldCharType="end"/>
        </w:r>
      </w:hyperlink>
    </w:p>
    <w:p w:rsidR="00F97D54" w:rsidRPr="00CF4C6D" w:rsidRDefault="00FB20A9" w:rsidP="00127F8E">
      <w:pPr>
        <w:pStyle w:val="TOC3"/>
        <w:tabs>
          <w:tab w:val="right" w:leader="dot" w:pos="8640"/>
        </w:tabs>
        <w:spacing w:before="120" w:after="120"/>
        <w:rPr>
          <w:rFonts w:ascii="Calibri" w:hAnsi="Calibri"/>
          <w:caps/>
          <w:szCs w:val="22"/>
        </w:rPr>
      </w:pPr>
      <w:hyperlink w:anchor="_Toc365972122" w:history="1">
        <w:r w:rsidR="00F97D54" w:rsidRPr="0082614F">
          <w:rPr>
            <w:rStyle w:val="Hyperlink"/>
          </w:rPr>
          <w:t>QUESTIONS DIRECTED AT ALL PROVIDERS</w:t>
        </w:r>
        <w:r w:rsidR="00F97D54">
          <w:rPr>
            <w:webHidden/>
          </w:rPr>
          <w:tab/>
        </w:r>
        <w:r w:rsidR="00F97D54">
          <w:rPr>
            <w:webHidden/>
          </w:rPr>
          <w:fldChar w:fldCharType="begin"/>
        </w:r>
        <w:r w:rsidR="00F97D54">
          <w:rPr>
            <w:webHidden/>
          </w:rPr>
          <w:instrText xml:space="preserve"> PAGEREF _Toc365972122 \h </w:instrText>
        </w:r>
        <w:r w:rsidR="00F97D54">
          <w:rPr>
            <w:webHidden/>
          </w:rPr>
        </w:r>
        <w:r w:rsidR="00F97D54">
          <w:rPr>
            <w:webHidden/>
          </w:rPr>
          <w:fldChar w:fldCharType="separate"/>
        </w:r>
        <w:r w:rsidR="00DA300B">
          <w:rPr>
            <w:webHidden/>
          </w:rPr>
          <w:t>60</w:t>
        </w:r>
        <w:r w:rsidR="00F97D54">
          <w:rPr>
            <w:webHidden/>
          </w:rPr>
          <w:fldChar w:fldCharType="end"/>
        </w:r>
      </w:hyperlink>
    </w:p>
    <w:p w:rsidR="00F97D54" w:rsidRPr="00CF4C6D" w:rsidRDefault="00FB20A9" w:rsidP="00ED4FE9">
      <w:pPr>
        <w:pStyle w:val="TOC2"/>
        <w:tabs>
          <w:tab w:val="clear" w:pos="720"/>
          <w:tab w:val="left" w:pos="1440"/>
          <w:tab w:val="right" w:leader="dot" w:pos="8640"/>
        </w:tabs>
        <w:ind w:left="1440" w:hanging="720"/>
        <w:rPr>
          <w:rFonts w:ascii="Calibri" w:hAnsi="Calibri"/>
          <w:szCs w:val="22"/>
        </w:rPr>
      </w:pPr>
      <w:hyperlink w:anchor="_Toc365972123" w:history="1">
        <w:r w:rsidR="00F97D54" w:rsidRPr="00ED4FE9">
          <w:rPr>
            <w:rStyle w:val="Hyperlink"/>
          </w:rPr>
          <w:t>Question</w:t>
        </w:r>
        <w:r w:rsidR="00F97D54" w:rsidRPr="0082614F">
          <w:rPr>
            <w:rStyle w:val="Hyperlink"/>
          </w:rPr>
          <w:t xml:space="preserve"> II.D.1:  Short Term and Long-Range Strategies</w:t>
        </w:r>
        <w:r w:rsidR="00F97D54">
          <w:rPr>
            <w:webHidden/>
          </w:rPr>
          <w:tab/>
        </w:r>
        <w:r w:rsidR="00F97D54">
          <w:rPr>
            <w:webHidden/>
          </w:rPr>
          <w:fldChar w:fldCharType="begin"/>
        </w:r>
        <w:r w:rsidR="00F97D54">
          <w:rPr>
            <w:webHidden/>
          </w:rPr>
          <w:instrText xml:space="preserve"> PAGEREF _Toc365972123 \h </w:instrText>
        </w:r>
        <w:r w:rsidR="00F97D54">
          <w:rPr>
            <w:webHidden/>
          </w:rPr>
        </w:r>
        <w:r w:rsidR="00F97D54">
          <w:rPr>
            <w:webHidden/>
          </w:rPr>
          <w:fldChar w:fldCharType="separate"/>
        </w:r>
        <w:r w:rsidR="00DA300B">
          <w:rPr>
            <w:webHidden/>
          </w:rPr>
          <w:t>61</w:t>
        </w:r>
        <w:r w:rsidR="00F97D54">
          <w:rPr>
            <w:webHidden/>
          </w:rPr>
          <w:fldChar w:fldCharType="end"/>
        </w:r>
      </w:hyperlink>
    </w:p>
    <w:p w:rsidR="00F97D54" w:rsidRPr="00CF4C6D" w:rsidRDefault="00FB20A9" w:rsidP="00ED4FE9">
      <w:pPr>
        <w:pStyle w:val="TOC2"/>
        <w:tabs>
          <w:tab w:val="clear" w:pos="720"/>
          <w:tab w:val="left" w:pos="1440"/>
          <w:tab w:val="right" w:leader="dot" w:pos="8640"/>
        </w:tabs>
        <w:ind w:left="1440" w:hanging="720"/>
        <w:rPr>
          <w:rFonts w:ascii="Calibri" w:hAnsi="Calibri"/>
          <w:szCs w:val="22"/>
        </w:rPr>
      </w:pPr>
      <w:hyperlink w:anchor="_Toc365972124" w:history="1">
        <w:r w:rsidR="00F97D54" w:rsidRPr="00ED4FE9">
          <w:rPr>
            <w:rStyle w:val="Hyperlink"/>
          </w:rPr>
          <w:t>Question</w:t>
        </w:r>
        <w:r w:rsidR="00F97D54" w:rsidRPr="0082614F">
          <w:rPr>
            <w:rStyle w:val="Hyperlink"/>
          </w:rPr>
          <w:t xml:space="preserve"> II.D.2:  Location of Recorded Policies</w:t>
        </w:r>
        <w:r w:rsidR="00F97D54">
          <w:rPr>
            <w:webHidden/>
          </w:rPr>
          <w:tab/>
        </w:r>
        <w:r w:rsidR="00F97D54">
          <w:rPr>
            <w:webHidden/>
          </w:rPr>
          <w:fldChar w:fldCharType="begin"/>
        </w:r>
        <w:r w:rsidR="00F97D54">
          <w:rPr>
            <w:webHidden/>
          </w:rPr>
          <w:instrText xml:space="preserve"> PAGEREF _Toc365972124 \h </w:instrText>
        </w:r>
        <w:r w:rsidR="00F97D54">
          <w:rPr>
            <w:webHidden/>
          </w:rPr>
        </w:r>
        <w:r w:rsidR="00F97D54">
          <w:rPr>
            <w:webHidden/>
          </w:rPr>
          <w:fldChar w:fldCharType="separate"/>
        </w:r>
        <w:r w:rsidR="00DA300B">
          <w:rPr>
            <w:webHidden/>
          </w:rPr>
          <w:t>61</w:t>
        </w:r>
        <w:r w:rsidR="00F97D54">
          <w:rPr>
            <w:webHidden/>
          </w:rPr>
          <w:fldChar w:fldCharType="end"/>
        </w:r>
      </w:hyperlink>
    </w:p>
    <w:p w:rsidR="00F97D54" w:rsidRPr="00CF4C6D" w:rsidRDefault="00FB20A9" w:rsidP="00127F8E">
      <w:pPr>
        <w:pStyle w:val="TOC3"/>
        <w:tabs>
          <w:tab w:val="clear" w:pos="1080"/>
          <w:tab w:val="left" w:pos="720"/>
          <w:tab w:val="right" w:leader="dot" w:pos="8640"/>
        </w:tabs>
        <w:spacing w:before="120" w:after="120"/>
        <w:ind w:left="720" w:firstLine="0"/>
        <w:rPr>
          <w:rFonts w:ascii="Calibri" w:hAnsi="Calibri"/>
          <w:caps/>
          <w:szCs w:val="22"/>
        </w:rPr>
      </w:pPr>
      <w:hyperlink w:anchor="_Toc365972125" w:history="1">
        <w:r w:rsidR="00F97D54" w:rsidRPr="0082614F">
          <w:rPr>
            <w:rStyle w:val="Hyperlink"/>
          </w:rPr>
          <w:t xml:space="preserve">QUESTIONS </w:t>
        </w:r>
        <w:r w:rsidR="00CF7FBE">
          <w:rPr>
            <w:rStyle w:val="Hyperlink"/>
          </w:rPr>
          <w:t xml:space="preserve">DIRECTED AT PURCHASERS THAT ARE </w:t>
        </w:r>
        <w:r w:rsidR="00F97D54" w:rsidRPr="0082614F">
          <w:rPr>
            <w:rStyle w:val="Hyperlink"/>
          </w:rPr>
          <w:t>MOBILE WIRELESS SERVICE PROVIDERS</w:t>
        </w:r>
        <w:r w:rsidR="00F97D54">
          <w:rPr>
            <w:webHidden/>
          </w:rPr>
          <w:tab/>
        </w:r>
        <w:r w:rsidR="00F97D54">
          <w:rPr>
            <w:webHidden/>
          </w:rPr>
          <w:fldChar w:fldCharType="begin"/>
        </w:r>
        <w:r w:rsidR="00F97D54">
          <w:rPr>
            <w:webHidden/>
          </w:rPr>
          <w:instrText xml:space="preserve"> PAGEREF _Toc365972125 \h </w:instrText>
        </w:r>
        <w:r w:rsidR="00F97D54">
          <w:rPr>
            <w:webHidden/>
          </w:rPr>
        </w:r>
        <w:r w:rsidR="00F97D54">
          <w:rPr>
            <w:webHidden/>
          </w:rPr>
          <w:fldChar w:fldCharType="separate"/>
        </w:r>
        <w:r w:rsidR="00DA300B">
          <w:rPr>
            <w:webHidden/>
          </w:rPr>
          <w:t>61</w:t>
        </w:r>
        <w:r w:rsidR="00F97D54">
          <w:rPr>
            <w:webHidden/>
          </w:rPr>
          <w:fldChar w:fldCharType="end"/>
        </w:r>
      </w:hyperlink>
    </w:p>
    <w:p w:rsidR="00F97D54" w:rsidRPr="00CF4C6D" w:rsidRDefault="00FB20A9" w:rsidP="00ED4FE9">
      <w:pPr>
        <w:pStyle w:val="TOC2"/>
        <w:tabs>
          <w:tab w:val="clear" w:pos="720"/>
          <w:tab w:val="left" w:pos="1440"/>
          <w:tab w:val="right" w:leader="dot" w:pos="8640"/>
        </w:tabs>
        <w:ind w:left="1440" w:hanging="720"/>
        <w:rPr>
          <w:rFonts w:ascii="Calibri" w:hAnsi="Calibri"/>
          <w:szCs w:val="22"/>
        </w:rPr>
      </w:pPr>
      <w:hyperlink w:anchor="_Toc365972126" w:history="1">
        <w:r w:rsidR="00F97D54" w:rsidRPr="00ED4FE9">
          <w:rPr>
            <w:rStyle w:val="Hyperlink"/>
          </w:rPr>
          <w:t>Question</w:t>
        </w:r>
        <w:r w:rsidR="00F97D54" w:rsidRPr="0082614F">
          <w:rPr>
            <w:rStyle w:val="Hyperlink"/>
          </w:rPr>
          <w:t xml:space="preserve"> II.E.1:  Total Number of Cell Sites</w:t>
        </w:r>
        <w:r w:rsidR="00F97D54">
          <w:rPr>
            <w:webHidden/>
          </w:rPr>
          <w:tab/>
        </w:r>
        <w:r w:rsidR="00F97D54">
          <w:rPr>
            <w:webHidden/>
          </w:rPr>
          <w:fldChar w:fldCharType="begin"/>
        </w:r>
        <w:r w:rsidR="00F97D54">
          <w:rPr>
            <w:webHidden/>
          </w:rPr>
          <w:instrText xml:space="preserve"> PAGEREF _Toc365972126 \h </w:instrText>
        </w:r>
        <w:r w:rsidR="00F97D54">
          <w:rPr>
            <w:webHidden/>
          </w:rPr>
        </w:r>
        <w:r w:rsidR="00F97D54">
          <w:rPr>
            <w:webHidden/>
          </w:rPr>
          <w:fldChar w:fldCharType="separate"/>
        </w:r>
        <w:r w:rsidR="00DA300B">
          <w:rPr>
            <w:webHidden/>
          </w:rPr>
          <w:t>61</w:t>
        </w:r>
        <w:r w:rsidR="00F97D54">
          <w:rPr>
            <w:webHidden/>
          </w:rPr>
          <w:fldChar w:fldCharType="end"/>
        </w:r>
      </w:hyperlink>
    </w:p>
    <w:p w:rsidR="00F97D54" w:rsidRPr="00CF4C6D" w:rsidRDefault="00FB20A9" w:rsidP="00ED4FE9">
      <w:pPr>
        <w:pStyle w:val="TOC2"/>
        <w:tabs>
          <w:tab w:val="clear" w:pos="720"/>
          <w:tab w:val="left" w:pos="1440"/>
          <w:tab w:val="right" w:leader="dot" w:pos="8640"/>
        </w:tabs>
        <w:ind w:left="1440" w:hanging="720"/>
        <w:rPr>
          <w:rFonts w:ascii="Calibri" w:hAnsi="Calibri"/>
          <w:szCs w:val="22"/>
        </w:rPr>
      </w:pPr>
      <w:hyperlink w:anchor="_Toc365972127" w:history="1">
        <w:r w:rsidR="00F97D54" w:rsidRPr="0082614F">
          <w:rPr>
            <w:rStyle w:val="Hyperlink"/>
          </w:rPr>
          <w:t>Question II.E.2:  Cell Site Locations</w:t>
        </w:r>
        <w:r w:rsidR="00F97D54">
          <w:rPr>
            <w:webHidden/>
          </w:rPr>
          <w:tab/>
        </w:r>
        <w:r w:rsidR="00F97D54">
          <w:rPr>
            <w:webHidden/>
          </w:rPr>
          <w:fldChar w:fldCharType="begin"/>
        </w:r>
        <w:r w:rsidR="00F97D54">
          <w:rPr>
            <w:webHidden/>
          </w:rPr>
          <w:instrText xml:space="preserve"> PAGEREF _Toc365972127 \h </w:instrText>
        </w:r>
        <w:r w:rsidR="00F97D54">
          <w:rPr>
            <w:webHidden/>
          </w:rPr>
        </w:r>
        <w:r w:rsidR="00F97D54">
          <w:rPr>
            <w:webHidden/>
          </w:rPr>
          <w:fldChar w:fldCharType="separate"/>
        </w:r>
        <w:r w:rsidR="00DA300B">
          <w:rPr>
            <w:webHidden/>
          </w:rPr>
          <w:t>61</w:t>
        </w:r>
        <w:r w:rsidR="00F97D54">
          <w:rPr>
            <w:webHidden/>
          </w:rPr>
          <w:fldChar w:fldCharType="end"/>
        </w:r>
      </w:hyperlink>
    </w:p>
    <w:p w:rsidR="00AB0A6B" w:rsidRDefault="00AB0A6B" w:rsidP="00FF2FC5">
      <w:pPr>
        <w:pStyle w:val="TOC5"/>
        <w:rPr>
          <w:rStyle w:val="Hyperlink"/>
        </w:rPr>
      </w:pPr>
    </w:p>
    <w:p w:rsidR="00F97D54" w:rsidRPr="00CF4C6D" w:rsidRDefault="00FB20A9" w:rsidP="00ED4FE9">
      <w:pPr>
        <w:pStyle w:val="TOC2"/>
        <w:tabs>
          <w:tab w:val="clear" w:pos="720"/>
          <w:tab w:val="left" w:pos="1440"/>
          <w:tab w:val="right" w:leader="dot" w:pos="8640"/>
        </w:tabs>
        <w:ind w:left="1440" w:hanging="720"/>
        <w:rPr>
          <w:rFonts w:ascii="Calibri" w:hAnsi="Calibri"/>
          <w:szCs w:val="22"/>
        </w:rPr>
      </w:pPr>
      <w:hyperlink w:anchor="_Toc365972128" w:history="1">
        <w:r w:rsidR="00F97D54" w:rsidRPr="00ED4FE9">
          <w:rPr>
            <w:rStyle w:val="Hyperlink"/>
          </w:rPr>
          <w:t>Expenditures</w:t>
        </w:r>
        <w:r w:rsidR="00F97D54" w:rsidRPr="0082614F">
          <w:rPr>
            <w:rStyle w:val="Hyperlink"/>
          </w:rPr>
          <w:t xml:space="preserve"> Information</w:t>
        </w:r>
        <w:r w:rsidR="00F97D54">
          <w:rPr>
            <w:webHidden/>
          </w:rPr>
          <w:tab/>
        </w:r>
        <w:r w:rsidR="00F97D54">
          <w:rPr>
            <w:webHidden/>
          </w:rPr>
          <w:fldChar w:fldCharType="begin"/>
        </w:r>
        <w:r w:rsidR="00F97D54">
          <w:rPr>
            <w:webHidden/>
          </w:rPr>
          <w:instrText xml:space="preserve"> PAGEREF _Toc365972128 \h </w:instrText>
        </w:r>
        <w:r w:rsidR="00F97D54">
          <w:rPr>
            <w:webHidden/>
          </w:rPr>
        </w:r>
        <w:r w:rsidR="00F97D54">
          <w:rPr>
            <w:webHidden/>
          </w:rPr>
          <w:fldChar w:fldCharType="separate"/>
        </w:r>
        <w:r w:rsidR="00DA300B">
          <w:rPr>
            <w:webHidden/>
          </w:rPr>
          <w:t>63</w:t>
        </w:r>
        <w:r w:rsidR="00F97D54">
          <w:rPr>
            <w:webHidden/>
          </w:rPr>
          <w:fldChar w:fldCharType="end"/>
        </w:r>
      </w:hyperlink>
    </w:p>
    <w:p w:rsidR="00AB0A6B" w:rsidRDefault="00AB0A6B" w:rsidP="001B3FA0">
      <w:pPr>
        <w:pStyle w:val="TOC4"/>
        <w:rPr>
          <w:rStyle w:val="Hyperlink"/>
        </w:rPr>
      </w:pPr>
    </w:p>
    <w:p w:rsidR="00F97D54" w:rsidRPr="00CF4C6D" w:rsidRDefault="00FB20A9" w:rsidP="00ED4FE9">
      <w:pPr>
        <w:pStyle w:val="TOC2"/>
        <w:tabs>
          <w:tab w:val="clear" w:pos="720"/>
          <w:tab w:val="left" w:pos="1440"/>
          <w:tab w:val="right" w:leader="dot" w:pos="8640"/>
        </w:tabs>
        <w:ind w:left="1440" w:hanging="720"/>
        <w:rPr>
          <w:rFonts w:ascii="Calibri" w:hAnsi="Calibri"/>
          <w:szCs w:val="22"/>
        </w:rPr>
      </w:pPr>
      <w:hyperlink w:anchor="_Toc365972129" w:history="1">
        <w:r w:rsidR="00F97D54" w:rsidRPr="00ED4FE9">
          <w:rPr>
            <w:rStyle w:val="Hyperlink"/>
          </w:rPr>
          <w:t>Question</w:t>
        </w:r>
        <w:r w:rsidR="00F97D54" w:rsidRPr="0082614F">
          <w:rPr>
            <w:rStyle w:val="Hyperlink"/>
          </w:rPr>
          <w:t xml:space="preserve"> II.E.3:  Total Expenditures on Dedicated Services</w:t>
        </w:r>
        <w:r w:rsidR="00F97D54">
          <w:rPr>
            <w:webHidden/>
          </w:rPr>
          <w:tab/>
        </w:r>
        <w:r w:rsidR="00F97D54">
          <w:rPr>
            <w:webHidden/>
          </w:rPr>
          <w:fldChar w:fldCharType="begin"/>
        </w:r>
        <w:r w:rsidR="00F97D54">
          <w:rPr>
            <w:webHidden/>
          </w:rPr>
          <w:instrText xml:space="preserve"> PAGEREF _Toc365972129 \h </w:instrText>
        </w:r>
        <w:r w:rsidR="00F97D54">
          <w:rPr>
            <w:webHidden/>
          </w:rPr>
        </w:r>
        <w:r w:rsidR="00F97D54">
          <w:rPr>
            <w:webHidden/>
          </w:rPr>
          <w:fldChar w:fldCharType="separate"/>
        </w:r>
        <w:r w:rsidR="00DA300B">
          <w:rPr>
            <w:webHidden/>
          </w:rPr>
          <w:t>63</w:t>
        </w:r>
        <w:r w:rsidR="00F97D54">
          <w:rPr>
            <w:webHidden/>
          </w:rPr>
          <w:fldChar w:fldCharType="end"/>
        </w:r>
      </w:hyperlink>
    </w:p>
    <w:p w:rsidR="00F97D54" w:rsidRPr="00CF4C6D" w:rsidRDefault="00FB20A9" w:rsidP="00ED4FE9">
      <w:pPr>
        <w:pStyle w:val="TOC2"/>
        <w:tabs>
          <w:tab w:val="clear" w:pos="720"/>
          <w:tab w:val="left" w:pos="1440"/>
          <w:tab w:val="right" w:leader="dot" w:pos="8640"/>
        </w:tabs>
        <w:ind w:left="1440" w:hanging="720"/>
        <w:rPr>
          <w:rFonts w:ascii="Calibri" w:hAnsi="Calibri"/>
          <w:szCs w:val="22"/>
        </w:rPr>
      </w:pPr>
      <w:hyperlink w:anchor="_Toc365972130" w:history="1">
        <w:r w:rsidR="00F97D54" w:rsidRPr="00ED4FE9">
          <w:rPr>
            <w:rStyle w:val="Hyperlink"/>
          </w:rPr>
          <w:t>Question</w:t>
        </w:r>
        <w:r w:rsidR="00F97D54" w:rsidRPr="0082614F">
          <w:rPr>
            <w:rStyle w:val="Hyperlink"/>
          </w:rPr>
          <w:t xml:space="preserve"> II.E.4:  Expenditures with ILECs under Tariffs</w:t>
        </w:r>
        <w:r w:rsidR="00F97D54">
          <w:rPr>
            <w:webHidden/>
          </w:rPr>
          <w:tab/>
        </w:r>
        <w:r w:rsidR="00F97D54">
          <w:rPr>
            <w:webHidden/>
          </w:rPr>
          <w:fldChar w:fldCharType="begin"/>
        </w:r>
        <w:r w:rsidR="00F97D54">
          <w:rPr>
            <w:webHidden/>
          </w:rPr>
          <w:instrText xml:space="preserve"> PAGEREF _Toc365972130 \h </w:instrText>
        </w:r>
        <w:r w:rsidR="00F97D54">
          <w:rPr>
            <w:webHidden/>
          </w:rPr>
        </w:r>
        <w:r w:rsidR="00F97D54">
          <w:rPr>
            <w:webHidden/>
          </w:rPr>
          <w:fldChar w:fldCharType="separate"/>
        </w:r>
        <w:r w:rsidR="00DA300B">
          <w:rPr>
            <w:webHidden/>
          </w:rPr>
          <w:t>63</w:t>
        </w:r>
        <w:r w:rsidR="00F97D54">
          <w:rPr>
            <w:webHidden/>
          </w:rPr>
          <w:fldChar w:fldCharType="end"/>
        </w:r>
      </w:hyperlink>
    </w:p>
    <w:p w:rsidR="00F97D54" w:rsidRPr="00CF4C6D" w:rsidRDefault="00FB20A9" w:rsidP="00ED4FE9">
      <w:pPr>
        <w:pStyle w:val="TOC2"/>
        <w:tabs>
          <w:tab w:val="clear" w:pos="720"/>
          <w:tab w:val="left" w:pos="1440"/>
          <w:tab w:val="right" w:leader="dot" w:pos="8640"/>
        </w:tabs>
        <w:ind w:left="1440" w:hanging="720"/>
        <w:rPr>
          <w:rFonts w:ascii="Calibri" w:hAnsi="Calibri"/>
          <w:szCs w:val="22"/>
        </w:rPr>
      </w:pPr>
      <w:hyperlink w:anchor="_Toc365972131" w:history="1">
        <w:r w:rsidR="00F97D54" w:rsidRPr="00ED4FE9">
          <w:rPr>
            <w:rStyle w:val="Hyperlink"/>
          </w:rPr>
          <w:t>Question</w:t>
        </w:r>
        <w:r w:rsidR="00F97D54" w:rsidRPr="0082614F">
          <w:rPr>
            <w:rStyle w:val="Hyperlink"/>
          </w:rPr>
          <w:t xml:space="preserve"> II.E.5:  Expenditures with Competitive Providers under Tariffs</w:t>
        </w:r>
        <w:r w:rsidR="00F97D54">
          <w:rPr>
            <w:webHidden/>
          </w:rPr>
          <w:tab/>
        </w:r>
        <w:r w:rsidR="00F97D54">
          <w:rPr>
            <w:webHidden/>
          </w:rPr>
          <w:fldChar w:fldCharType="begin"/>
        </w:r>
        <w:r w:rsidR="00F97D54">
          <w:rPr>
            <w:webHidden/>
          </w:rPr>
          <w:instrText xml:space="preserve"> PAGEREF _Toc365972131 \h </w:instrText>
        </w:r>
        <w:r w:rsidR="00F97D54">
          <w:rPr>
            <w:webHidden/>
          </w:rPr>
        </w:r>
        <w:r w:rsidR="00F97D54">
          <w:rPr>
            <w:webHidden/>
          </w:rPr>
          <w:fldChar w:fldCharType="separate"/>
        </w:r>
        <w:r w:rsidR="00DA300B">
          <w:rPr>
            <w:webHidden/>
          </w:rPr>
          <w:t>64</w:t>
        </w:r>
        <w:r w:rsidR="00F97D54">
          <w:rPr>
            <w:webHidden/>
          </w:rPr>
          <w:fldChar w:fldCharType="end"/>
        </w:r>
      </w:hyperlink>
    </w:p>
    <w:p w:rsidR="00F97D54" w:rsidRPr="00CF4C6D" w:rsidRDefault="00FB20A9" w:rsidP="00ED4FE9">
      <w:pPr>
        <w:pStyle w:val="TOC2"/>
        <w:tabs>
          <w:tab w:val="clear" w:pos="720"/>
          <w:tab w:val="left" w:pos="1440"/>
          <w:tab w:val="right" w:leader="dot" w:pos="8640"/>
        </w:tabs>
        <w:ind w:left="1440" w:hanging="720"/>
        <w:rPr>
          <w:rFonts w:ascii="Calibri" w:hAnsi="Calibri"/>
          <w:szCs w:val="22"/>
        </w:rPr>
      </w:pPr>
      <w:hyperlink w:anchor="_Toc365972132" w:history="1">
        <w:r w:rsidR="00F97D54" w:rsidRPr="00ED4FE9">
          <w:rPr>
            <w:rStyle w:val="Hyperlink"/>
          </w:rPr>
          <w:t>Question</w:t>
        </w:r>
        <w:r w:rsidR="00F97D54" w:rsidRPr="0082614F">
          <w:rPr>
            <w:rStyle w:val="Hyperlink"/>
          </w:rPr>
          <w:t xml:space="preserve"> II.E.6:  Expenditures with ILECs and Competitive Providers Pursuant to Non-Tariffs</w:t>
        </w:r>
        <w:r w:rsidR="00F97D54">
          <w:rPr>
            <w:webHidden/>
          </w:rPr>
          <w:tab/>
        </w:r>
        <w:r w:rsidR="00F97D54">
          <w:rPr>
            <w:webHidden/>
          </w:rPr>
          <w:fldChar w:fldCharType="begin"/>
        </w:r>
        <w:r w:rsidR="00F97D54">
          <w:rPr>
            <w:webHidden/>
          </w:rPr>
          <w:instrText xml:space="preserve"> PAGEREF _Toc365972132 \h </w:instrText>
        </w:r>
        <w:r w:rsidR="00F97D54">
          <w:rPr>
            <w:webHidden/>
          </w:rPr>
        </w:r>
        <w:r w:rsidR="00F97D54">
          <w:rPr>
            <w:webHidden/>
          </w:rPr>
          <w:fldChar w:fldCharType="separate"/>
        </w:r>
        <w:r w:rsidR="00DA300B">
          <w:rPr>
            <w:webHidden/>
          </w:rPr>
          <w:t>65</w:t>
        </w:r>
        <w:r w:rsidR="00F97D54">
          <w:rPr>
            <w:webHidden/>
          </w:rPr>
          <w:fldChar w:fldCharType="end"/>
        </w:r>
      </w:hyperlink>
    </w:p>
    <w:p w:rsidR="00F97D54" w:rsidRPr="00CF4C6D" w:rsidRDefault="00FB20A9" w:rsidP="00ED4FE9">
      <w:pPr>
        <w:pStyle w:val="TOC2"/>
        <w:tabs>
          <w:tab w:val="clear" w:pos="720"/>
          <w:tab w:val="left" w:pos="1440"/>
          <w:tab w:val="right" w:leader="dot" w:pos="8640"/>
        </w:tabs>
        <w:ind w:left="1440" w:hanging="720"/>
        <w:rPr>
          <w:rFonts w:ascii="Calibri" w:hAnsi="Calibri"/>
          <w:szCs w:val="22"/>
        </w:rPr>
      </w:pPr>
      <w:hyperlink w:anchor="_Toc365972133" w:history="1">
        <w:r w:rsidR="00F97D54" w:rsidRPr="00ED4FE9">
          <w:rPr>
            <w:rStyle w:val="Hyperlink"/>
          </w:rPr>
          <w:t>Question</w:t>
        </w:r>
        <w:r w:rsidR="00F97D54" w:rsidRPr="0082614F">
          <w:rPr>
            <w:rStyle w:val="Hyperlink"/>
          </w:rPr>
          <w:t xml:space="preserve"> II.E.7:  Expenditures under Tariffs for PBDS</w:t>
        </w:r>
        <w:r w:rsidR="00F97D54">
          <w:rPr>
            <w:webHidden/>
          </w:rPr>
          <w:tab/>
        </w:r>
        <w:r w:rsidR="00F97D54">
          <w:rPr>
            <w:webHidden/>
          </w:rPr>
          <w:fldChar w:fldCharType="begin"/>
        </w:r>
        <w:r w:rsidR="00F97D54">
          <w:rPr>
            <w:webHidden/>
          </w:rPr>
          <w:instrText xml:space="preserve"> PAGEREF _Toc365972133 \h </w:instrText>
        </w:r>
        <w:r w:rsidR="00F97D54">
          <w:rPr>
            <w:webHidden/>
          </w:rPr>
        </w:r>
        <w:r w:rsidR="00F97D54">
          <w:rPr>
            <w:webHidden/>
          </w:rPr>
          <w:fldChar w:fldCharType="separate"/>
        </w:r>
        <w:r w:rsidR="00DA300B">
          <w:rPr>
            <w:webHidden/>
          </w:rPr>
          <w:t>65</w:t>
        </w:r>
        <w:r w:rsidR="00F97D54">
          <w:rPr>
            <w:webHidden/>
          </w:rPr>
          <w:fldChar w:fldCharType="end"/>
        </w:r>
      </w:hyperlink>
    </w:p>
    <w:p w:rsidR="00F97D54" w:rsidRPr="00CF4C6D" w:rsidRDefault="00FB20A9" w:rsidP="00ED4FE9">
      <w:pPr>
        <w:pStyle w:val="TOC2"/>
        <w:tabs>
          <w:tab w:val="clear" w:pos="720"/>
          <w:tab w:val="left" w:pos="1440"/>
          <w:tab w:val="right" w:leader="dot" w:pos="8640"/>
        </w:tabs>
        <w:ind w:left="1440" w:hanging="720"/>
        <w:rPr>
          <w:rFonts w:ascii="Calibri" w:hAnsi="Calibri"/>
          <w:szCs w:val="22"/>
        </w:rPr>
      </w:pPr>
      <w:hyperlink w:anchor="_Toc365972134" w:history="1">
        <w:r w:rsidR="00F97D54" w:rsidRPr="00ED4FE9">
          <w:rPr>
            <w:rStyle w:val="Hyperlink"/>
          </w:rPr>
          <w:t>Question</w:t>
        </w:r>
        <w:r w:rsidR="00F97D54" w:rsidRPr="0082614F">
          <w:rPr>
            <w:rStyle w:val="Hyperlink"/>
          </w:rPr>
          <w:t xml:space="preserve"> II.E.8:  Expenditures under Non-Tariffs for PBDS</w:t>
        </w:r>
        <w:r w:rsidR="00F97D54">
          <w:rPr>
            <w:webHidden/>
          </w:rPr>
          <w:tab/>
        </w:r>
        <w:r w:rsidR="00F97D54">
          <w:rPr>
            <w:webHidden/>
          </w:rPr>
          <w:fldChar w:fldCharType="begin"/>
        </w:r>
        <w:r w:rsidR="00F97D54">
          <w:rPr>
            <w:webHidden/>
          </w:rPr>
          <w:instrText xml:space="preserve"> PAGEREF _Toc365972134 \h </w:instrText>
        </w:r>
        <w:r w:rsidR="00F97D54">
          <w:rPr>
            <w:webHidden/>
          </w:rPr>
        </w:r>
        <w:r w:rsidR="00F97D54">
          <w:rPr>
            <w:webHidden/>
          </w:rPr>
          <w:fldChar w:fldCharType="separate"/>
        </w:r>
        <w:r w:rsidR="00DA300B">
          <w:rPr>
            <w:webHidden/>
          </w:rPr>
          <w:t>66</w:t>
        </w:r>
        <w:r w:rsidR="00F97D54">
          <w:rPr>
            <w:webHidden/>
          </w:rPr>
          <w:fldChar w:fldCharType="end"/>
        </w:r>
      </w:hyperlink>
    </w:p>
    <w:p w:rsidR="00AB0A6B" w:rsidRDefault="00AB0A6B" w:rsidP="00FF2FC5">
      <w:pPr>
        <w:pStyle w:val="TOC5"/>
        <w:rPr>
          <w:rStyle w:val="Hyperlink"/>
        </w:rPr>
      </w:pPr>
    </w:p>
    <w:p w:rsidR="00F97D54" w:rsidRPr="00CF4C6D" w:rsidRDefault="00FB20A9" w:rsidP="00ED4FE9">
      <w:pPr>
        <w:pStyle w:val="TOC2"/>
        <w:tabs>
          <w:tab w:val="clear" w:pos="720"/>
          <w:tab w:val="left" w:pos="1440"/>
          <w:tab w:val="right" w:leader="dot" w:pos="8640"/>
        </w:tabs>
        <w:ind w:left="1440" w:hanging="720"/>
        <w:rPr>
          <w:rFonts w:ascii="Calibri" w:hAnsi="Calibri"/>
          <w:szCs w:val="22"/>
        </w:rPr>
      </w:pPr>
      <w:hyperlink w:anchor="_Toc365972135" w:history="1">
        <w:r w:rsidR="00F97D54" w:rsidRPr="00ED4FE9">
          <w:rPr>
            <w:rStyle w:val="Hyperlink"/>
          </w:rPr>
          <w:t>Terms</w:t>
        </w:r>
        <w:r w:rsidR="00F97D54" w:rsidRPr="0082614F">
          <w:rPr>
            <w:rStyle w:val="Hyperlink"/>
          </w:rPr>
          <w:t xml:space="preserve"> and Conditions Information</w:t>
        </w:r>
        <w:r w:rsidR="00F97D54">
          <w:rPr>
            <w:webHidden/>
          </w:rPr>
          <w:tab/>
        </w:r>
        <w:r w:rsidR="00F97D54">
          <w:rPr>
            <w:webHidden/>
          </w:rPr>
          <w:fldChar w:fldCharType="begin"/>
        </w:r>
        <w:r w:rsidR="00F97D54">
          <w:rPr>
            <w:webHidden/>
          </w:rPr>
          <w:instrText xml:space="preserve"> PAGEREF _Toc365972135 \h </w:instrText>
        </w:r>
        <w:r w:rsidR="00F97D54">
          <w:rPr>
            <w:webHidden/>
          </w:rPr>
        </w:r>
        <w:r w:rsidR="00F97D54">
          <w:rPr>
            <w:webHidden/>
          </w:rPr>
          <w:fldChar w:fldCharType="separate"/>
        </w:r>
        <w:r w:rsidR="00DA300B">
          <w:rPr>
            <w:webHidden/>
          </w:rPr>
          <w:t>66</w:t>
        </w:r>
        <w:r w:rsidR="00F97D54">
          <w:rPr>
            <w:webHidden/>
          </w:rPr>
          <w:fldChar w:fldCharType="end"/>
        </w:r>
      </w:hyperlink>
    </w:p>
    <w:p w:rsidR="00AB0A6B" w:rsidRDefault="00AB0A6B" w:rsidP="001B3FA0">
      <w:pPr>
        <w:pStyle w:val="TOC4"/>
        <w:rPr>
          <w:rStyle w:val="Hyperlink"/>
        </w:rPr>
      </w:pPr>
    </w:p>
    <w:p w:rsidR="00F97D54" w:rsidRPr="00CF4C6D" w:rsidRDefault="00FB20A9" w:rsidP="00ED4FE9">
      <w:pPr>
        <w:pStyle w:val="TOC2"/>
        <w:tabs>
          <w:tab w:val="clear" w:pos="720"/>
          <w:tab w:val="left" w:pos="1440"/>
          <w:tab w:val="right" w:leader="dot" w:pos="8640"/>
        </w:tabs>
        <w:ind w:left="1440" w:hanging="720"/>
        <w:rPr>
          <w:rFonts w:ascii="Calibri" w:hAnsi="Calibri"/>
          <w:szCs w:val="22"/>
        </w:rPr>
      </w:pPr>
      <w:hyperlink w:anchor="_Toc365972136" w:history="1">
        <w:r w:rsidR="00F97D54" w:rsidRPr="00ED4FE9">
          <w:rPr>
            <w:rStyle w:val="Hyperlink"/>
          </w:rPr>
          <w:t>Question</w:t>
        </w:r>
        <w:r w:rsidR="00F97D54" w:rsidRPr="0082614F">
          <w:rPr>
            <w:rStyle w:val="Hyperlink"/>
          </w:rPr>
          <w:t xml:space="preserve"> II.E.9:  Terms and Conditions Constraints</w:t>
        </w:r>
        <w:r w:rsidR="00F97D54">
          <w:rPr>
            <w:webHidden/>
          </w:rPr>
          <w:tab/>
        </w:r>
        <w:r w:rsidR="00F97D54">
          <w:rPr>
            <w:webHidden/>
          </w:rPr>
          <w:fldChar w:fldCharType="begin"/>
        </w:r>
        <w:r w:rsidR="00F97D54">
          <w:rPr>
            <w:webHidden/>
          </w:rPr>
          <w:instrText xml:space="preserve"> PAGEREF _Toc365972136 \h </w:instrText>
        </w:r>
        <w:r w:rsidR="00F97D54">
          <w:rPr>
            <w:webHidden/>
          </w:rPr>
        </w:r>
        <w:r w:rsidR="00F97D54">
          <w:rPr>
            <w:webHidden/>
          </w:rPr>
          <w:fldChar w:fldCharType="separate"/>
        </w:r>
        <w:r w:rsidR="00DA300B">
          <w:rPr>
            <w:webHidden/>
          </w:rPr>
          <w:t>66</w:t>
        </w:r>
        <w:r w:rsidR="00F97D54">
          <w:rPr>
            <w:webHidden/>
          </w:rPr>
          <w:fldChar w:fldCharType="end"/>
        </w:r>
      </w:hyperlink>
    </w:p>
    <w:p w:rsidR="00F97D54" w:rsidRPr="00CF4C6D" w:rsidRDefault="00FB20A9" w:rsidP="00ED4FE9">
      <w:pPr>
        <w:pStyle w:val="TOC2"/>
        <w:tabs>
          <w:tab w:val="clear" w:pos="720"/>
          <w:tab w:val="left" w:pos="1440"/>
          <w:tab w:val="right" w:leader="dot" w:pos="8640"/>
        </w:tabs>
        <w:ind w:left="1440" w:hanging="720"/>
        <w:rPr>
          <w:rFonts w:ascii="Calibri" w:hAnsi="Calibri"/>
          <w:szCs w:val="22"/>
        </w:rPr>
      </w:pPr>
      <w:hyperlink w:anchor="_Toc365972137" w:history="1">
        <w:r w:rsidR="00F97D54" w:rsidRPr="00ED4FE9">
          <w:rPr>
            <w:rStyle w:val="Hyperlink"/>
          </w:rPr>
          <w:t>Question</w:t>
        </w:r>
        <w:r w:rsidR="00F97D54" w:rsidRPr="0082614F">
          <w:rPr>
            <w:rStyle w:val="Hyperlink"/>
          </w:rPr>
          <w:t xml:space="preserve"> II.E.10:  Changing Transport Providers</w:t>
        </w:r>
        <w:r w:rsidR="00F97D54">
          <w:rPr>
            <w:webHidden/>
          </w:rPr>
          <w:tab/>
        </w:r>
        <w:r w:rsidR="00F97D54">
          <w:rPr>
            <w:webHidden/>
          </w:rPr>
          <w:fldChar w:fldCharType="begin"/>
        </w:r>
        <w:r w:rsidR="00F97D54">
          <w:rPr>
            <w:webHidden/>
          </w:rPr>
          <w:instrText xml:space="preserve"> PAGEREF _Toc365972137 \h </w:instrText>
        </w:r>
        <w:r w:rsidR="00F97D54">
          <w:rPr>
            <w:webHidden/>
          </w:rPr>
        </w:r>
        <w:r w:rsidR="00F97D54">
          <w:rPr>
            <w:webHidden/>
          </w:rPr>
          <w:fldChar w:fldCharType="separate"/>
        </w:r>
        <w:r w:rsidR="00DA300B">
          <w:rPr>
            <w:webHidden/>
          </w:rPr>
          <w:t>66</w:t>
        </w:r>
        <w:r w:rsidR="00F97D54">
          <w:rPr>
            <w:webHidden/>
          </w:rPr>
          <w:fldChar w:fldCharType="end"/>
        </w:r>
      </w:hyperlink>
    </w:p>
    <w:p w:rsidR="00F97D54" w:rsidRPr="00CF4C6D" w:rsidRDefault="00FB20A9" w:rsidP="00ED4FE9">
      <w:pPr>
        <w:pStyle w:val="TOC2"/>
        <w:tabs>
          <w:tab w:val="clear" w:pos="720"/>
          <w:tab w:val="left" w:pos="1440"/>
          <w:tab w:val="right" w:leader="dot" w:pos="8640"/>
        </w:tabs>
        <w:ind w:left="1440" w:hanging="720"/>
        <w:rPr>
          <w:rFonts w:ascii="Calibri" w:hAnsi="Calibri"/>
          <w:szCs w:val="22"/>
        </w:rPr>
      </w:pPr>
      <w:hyperlink w:anchor="_Toc365972138" w:history="1">
        <w:r w:rsidR="00F97D54" w:rsidRPr="00ED4FE9">
          <w:rPr>
            <w:rStyle w:val="Hyperlink"/>
          </w:rPr>
          <w:t>Question</w:t>
        </w:r>
        <w:r w:rsidR="00F97D54" w:rsidRPr="0082614F">
          <w:rPr>
            <w:rStyle w:val="Hyperlink"/>
          </w:rPr>
          <w:t xml:space="preserve"> II.E.11:  Purchases Solely for the Purpose of Meeting a Prior Purchase-Based Commitment</w:t>
        </w:r>
        <w:r w:rsidR="00F97D54">
          <w:rPr>
            <w:webHidden/>
          </w:rPr>
          <w:tab/>
        </w:r>
        <w:r w:rsidR="00F97D54">
          <w:rPr>
            <w:webHidden/>
          </w:rPr>
          <w:fldChar w:fldCharType="begin"/>
        </w:r>
        <w:r w:rsidR="00F97D54">
          <w:rPr>
            <w:webHidden/>
          </w:rPr>
          <w:instrText xml:space="preserve"> PAGEREF _Toc365972138 \h </w:instrText>
        </w:r>
        <w:r w:rsidR="00F97D54">
          <w:rPr>
            <w:webHidden/>
          </w:rPr>
        </w:r>
        <w:r w:rsidR="00F97D54">
          <w:rPr>
            <w:webHidden/>
          </w:rPr>
          <w:fldChar w:fldCharType="separate"/>
        </w:r>
        <w:r w:rsidR="00DA300B">
          <w:rPr>
            <w:webHidden/>
          </w:rPr>
          <w:t>66</w:t>
        </w:r>
        <w:r w:rsidR="00F97D54">
          <w:rPr>
            <w:webHidden/>
          </w:rPr>
          <w:fldChar w:fldCharType="end"/>
        </w:r>
      </w:hyperlink>
    </w:p>
    <w:p w:rsidR="00F97D54" w:rsidRPr="00CF4C6D" w:rsidRDefault="00FB20A9" w:rsidP="00ED4FE9">
      <w:pPr>
        <w:pStyle w:val="TOC2"/>
        <w:tabs>
          <w:tab w:val="clear" w:pos="720"/>
          <w:tab w:val="left" w:pos="1440"/>
          <w:tab w:val="right" w:leader="dot" w:pos="8640"/>
        </w:tabs>
        <w:ind w:left="1440" w:hanging="720"/>
        <w:rPr>
          <w:rFonts w:ascii="Calibri" w:hAnsi="Calibri"/>
          <w:szCs w:val="22"/>
        </w:rPr>
      </w:pPr>
      <w:hyperlink w:anchor="_Toc365972139" w:history="1">
        <w:r w:rsidR="00F97D54" w:rsidRPr="00ED4FE9">
          <w:rPr>
            <w:rStyle w:val="Hyperlink"/>
          </w:rPr>
          <w:t>Question</w:t>
        </w:r>
        <w:r w:rsidR="00F97D54" w:rsidRPr="0082614F">
          <w:rPr>
            <w:rStyle w:val="Hyperlink"/>
          </w:rPr>
          <w:t xml:space="preserve"> II.E.12:  Switching Providers</w:t>
        </w:r>
        <w:r w:rsidR="00F97D54">
          <w:rPr>
            <w:webHidden/>
          </w:rPr>
          <w:tab/>
        </w:r>
        <w:r w:rsidR="00F97D54">
          <w:rPr>
            <w:webHidden/>
          </w:rPr>
          <w:fldChar w:fldCharType="begin"/>
        </w:r>
        <w:r w:rsidR="00F97D54">
          <w:rPr>
            <w:webHidden/>
          </w:rPr>
          <w:instrText xml:space="preserve"> PAGEREF _Toc365972139 \h </w:instrText>
        </w:r>
        <w:r w:rsidR="00F97D54">
          <w:rPr>
            <w:webHidden/>
          </w:rPr>
        </w:r>
        <w:r w:rsidR="00F97D54">
          <w:rPr>
            <w:webHidden/>
          </w:rPr>
          <w:fldChar w:fldCharType="separate"/>
        </w:r>
        <w:r w:rsidR="00DA300B">
          <w:rPr>
            <w:webHidden/>
          </w:rPr>
          <w:t>66</w:t>
        </w:r>
        <w:r w:rsidR="00F97D54">
          <w:rPr>
            <w:webHidden/>
          </w:rPr>
          <w:fldChar w:fldCharType="end"/>
        </w:r>
      </w:hyperlink>
    </w:p>
    <w:p w:rsidR="00F97D54" w:rsidRPr="00CF4C6D" w:rsidRDefault="00FB20A9" w:rsidP="00ED4FE9">
      <w:pPr>
        <w:pStyle w:val="TOC2"/>
        <w:tabs>
          <w:tab w:val="clear" w:pos="720"/>
          <w:tab w:val="left" w:pos="1440"/>
          <w:tab w:val="right" w:leader="dot" w:pos="8640"/>
        </w:tabs>
        <w:ind w:left="1440" w:hanging="720"/>
        <w:rPr>
          <w:rFonts w:ascii="Calibri" w:hAnsi="Calibri"/>
          <w:szCs w:val="22"/>
        </w:rPr>
      </w:pPr>
      <w:hyperlink w:anchor="_Toc365972140" w:history="1">
        <w:r w:rsidR="00F97D54" w:rsidRPr="00ED4FE9">
          <w:rPr>
            <w:rStyle w:val="Hyperlink"/>
          </w:rPr>
          <w:t>Question</w:t>
        </w:r>
        <w:r w:rsidR="00F97D54" w:rsidRPr="0082614F">
          <w:rPr>
            <w:rStyle w:val="Hyperlink"/>
          </w:rPr>
          <w:t xml:space="preserve"> II.E.13:  Paying One Month Term Only Rates</w:t>
        </w:r>
        <w:r w:rsidR="00F97D54">
          <w:rPr>
            <w:webHidden/>
          </w:rPr>
          <w:tab/>
        </w:r>
        <w:r w:rsidR="00F97D54">
          <w:rPr>
            <w:webHidden/>
          </w:rPr>
          <w:fldChar w:fldCharType="begin"/>
        </w:r>
        <w:r w:rsidR="00F97D54">
          <w:rPr>
            <w:webHidden/>
          </w:rPr>
          <w:instrText xml:space="preserve"> PAGEREF _Toc365972140 \h </w:instrText>
        </w:r>
        <w:r w:rsidR="00F97D54">
          <w:rPr>
            <w:webHidden/>
          </w:rPr>
        </w:r>
        <w:r w:rsidR="00F97D54">
          <w:rPr>
            <w:webHidden/>
          </w:rPr>
          <w:fldChar w:fldCharType="separate"/>
        </w:r>
        <w:r w:rsidR="00DA300B">
          <w:rPr>
            <w:webHidden/>
          </w:rPr>
          <w:t>66</w:t>
        </w:r>
        <w:r w:rsidR="00F97D54">
          <w:rPr>
            <w:webHidden/>
          </w:rPr>
          <w:fldChar w:fldCharType="end"/>
        </w:r>
      </w:hyperlink>
    </w:p>
    <w:p w:rsidR="00F97D54" w:rsidRPr="00CF4C6D" w:rsidRDefault="00FB20A9" w:rsidP="00ED4FE9">
      <w:pPr>
        <w:pStyle w:val="TOC2"/>
        <w:tabs>
          <w:tab w:val="clear" w:pos="720"/>
          <w:tab w:val="left" w:pos="1440"/>
          <w:tab w:val="right" w:leader="dot" w:pos="8640"/>
        </w:tabs>
        <w:ind w:left="1440" w:hanging="720"/>
        <w:rPr>
          <w:rFonts w:ascii="Calibri" w:hAnsi="Calibri"/>
          <w:szCs w:val="22"/>
        </w:rPr>
      </w:pPr>
      <w:hyperlink w:anchor="_Toc365972141" w:history="1">
        <w:r w:rsidR="00F97D54" w:rsidRPr="00ED4FE9">
          <w:rPr>
            <w:rStyle w:val="Hyperlink"/>
          </w:rPr>
          <w:t>Question</w:t>
        </w:r>
        <w:r w:rsidR="00F97D54" w:rsidRPr="0082614F">
          <w:rPr>
            <w:rStyle w:val="Hyperlink"/>
          </w:rPr>
          <w:t xml:space="preserve"> II.E.14:  Tariffs under which you Purchase Service</w:t>
        </w:r>
        <w:r w:rsidR="00F97D54">
          <w:rPr>
            <w:webHidden/>
          </w:rPr>
          <w:tab/>
        </w:r>
        <w:r w:rsidR="00F97D54">
          <w:rPr>
            <w:webHidden/>
          </w:rPr>
          <w:fldChar w:fldCharType="begin"/>
        </w:r>
        <w:r w:rsidR="00F97D54">
          <w:rPr>
            <w:webHidden/>
          </w:rPr>
          <w:instrText xml:space="preserve"> PAGEREF _Toc365972141 \h </w:instrText>
        </w:r>
        <w:r w:rsidR="00F97D54">
          <w:rPr>
            <w:webHidden/>
          </w:rPr>
        </w:r>
        <w:r w:rsidR="00F97D54">
          <w:rPr>
            <w:webHidden/>
          </w:rPr>
          <w:fldChar w:fldCharType="separate"/>
        </w:r>
        <w:r w:rsidR="00DA300B">
          <w:rPr>
            <w:webHidden/>
          </w:rPr>
          <w:t>67</w:t>
        </w:r>
        <w:r w:rsidR="00F97D54">
          <w:rPr>
            <w:webHidden/>
          </w:rPr>
          <w:fldChar w:fldCharType="end"/>
        </w:r>
      </w:hyperlink>
    </w:p>
    <w:p w:rsidR="00F97D54" w:rsidRPr="00CF4C6D" w:rsidRDefault="00FB20A9" w:rsidP="00ED4FE9">
      <w:pPr>
        <w:pStyle w:val="TOC2"/>
        <w:tabs>
          <w:tab w:val="clear" w:pos="720"/>
          <w:tab w:val="left" w:pos="1440"/>
          <w:tab w:val="right" w:leader="dot" w:pos="8640"/>
        </w:tabs>
        <w:ind w:left="1440" w:hanging="720"/>
        <w:rPr>
          <w:rFonts w:ascii="Calibri" w:hAnsi="Calibri"/>
          <w:szCs w:val="22"/>
        </w:rPr>
      </w:pPr>
      <w:hyperlink w:anchor="_Toc365972142" w:history="1">
        <w:r w:rsidR="00F97D54" w:rsidRPr="00ED4FE9">
          <w:rPr>
            <w:rStyle w:val="Hyperlink"/>
          </w:rPr>
          <w:t>Question</w:t>
        </w:r>
        <w:r w:rsidR="00F97D54" w:rsidRPr="0082614F">
          <w:rPr>
            <w:rStyle w:val="Hyperlink"/>
          </w:rPr>
          <w:t xml:space="preserve"> II.E.15:  Non-Tariffed Agreements</w:t>
        </w:r>
        <w:r w:rsidR="00F97D54">
          <w:rPr>
            <w:webHidden/>
          </w:rPr>
          <w:tab/>
        </w:r>
        <w:r w:rsidR="00F97D54">
          <w:rPr>
            <w:webHidden/>
          </w:rPr>
          <w:fldChar w:fldCharType="begin"/>
        </w:r>
        <w:r w:rsidR="00F97D54">
          <w:rPr>
            <w:webHidden/>
          </w:rPr>
          <w:instrText xml:space="preserve"> PAGEREF _Toc365972142 \h </w:instrText>
        </w:r>
        <w:r w:rsidR="00F97D54">
          <w:rPr>
            <w:webHidden/>
          </w:rPr>
        </w:r>
        <w:r w:rsidR="00F97D54">
          <w:rPr>
            <w:webHidden/>
          </w:rPr>
          <w:fldChar w:fldCharType="separate"/>
        </w:r>
        <w:r w:rsidR="00DA300B">
          <w:rPr>
            <w:webHidden/>
          </w:rPr>
          <w:t>70</w:t>
        </w:r>
        <w:r w:rsidR="00F97D54">
          <w:rPr>
            <w:webHidden/>
          </w:rPr>
          <w:fldChar w:fldCharType="end"/>
        </w:r>
      </w:hyperlink>
    </w:p>
    <w:p w:rsidR="00F97D54" w:rsidRPr="00CF4C6D" w:rsidRDefault="00FB20A9" w:rsidP="00127F8E">
      <w:pPr>
        <w:pStyle w:val="TOC3"/>
        <w:tabs>
          <w:tab w:val="right" w:leader="dot" w:pos="8640"/>
        </w:tabs>
        <w:spacing w:before="120" w:after="120"/>
        <w:rPr>
          <w:rFonts w:ascii="Calibri" w:hAnsi="Calibri"/>
          <w:caps/>
          <w:szCs w:val="22"/>
        </w:rPr>
      </w:pPr>
      <w:hyperlink w:anchor="_Toc365972143" w:history="1">
        <w:r w:rsidR="00F97D54" w:rsidRPr="0082614F">
          <w:rPr>
            <w:rStyle w:val="Hyperlink"/>
          </w:rPr>
          <w:t>QUESTIONS DIRECTED AT OTHER PURCHASERS</w:t>
        </w:r>
        <w:r w:rsidR="00F97D54">
          <w:rPr>
            <w:webHidden/>
          </w:rPr>
          <w:tab/>
        </w:r>
        <w:r w:rsidR="00F97D54">
          <w:rPr>
            <w:webHidden/>
          </w:rPr>
          <w:fldChar w:fldCharType="begin"/>
        </w:r>
        <w:r w:rsidR="00F97D54">
          <w:rPr>
            <w:webHidden/>
          </w:rPr>
          <w:instrText xml:space="preserve"> PAGEREF _Toc365972143 \h </w:instrText>
        </w:r>
        <w:r w:rsidR="00F97D54">
          <w:rPr>
            <w:webHidden/>
          </w:rPr>
        </w:r>
        <w:r w:rsidR="00F97D54">
          <w:rPr>
            <w:webHidden/>
          </w:rPr>
          <w:fldChar w:fldCharType="separate"/>
        </w:r>
        <w:r w:rsidR="00DA300B">
          <w:rPr>
            <w:webHidden/>
          </w:rPr>
          <w:t>71</w:t>
        </w:r>
        <w:r w:rsidR="00F97D54">
          <w:rPr>
            <w:webHidden/>
          </w:rPr>
          <w:fldChar w:fldCharType="end"/>
        </w:r>
      </w:hyperlink>
    </w:p>
    <w:p w:rsidR="00F97D54" w:rsidRPr="00CF4C6D" w:rsidRDefault="00FB20A9" w:rsidP="00ED4FE9">
      <w:pPr>
        <w:pStyle w:val="TOC2"/>
        <w:tabs>
          <w:tab w:val="clear" w:pos="720"/>
          <w:tab w:val="left" w:pos="1440"/>
          <w:tab w:val="right" w:leader="dot" w:pos="8640"/>
        </w:tabs>
        <w:ind w:left="1440" w:hanging="720"/>
        <w:rPr>
          <w:rFonts w:ascii="Calibri" w:hAnsi="Calibri"/>
          <w:szCs w:val="22"/>
        </w:rPr>
      </w:pPr>
      <w:hyperlink w:anchor="_Toc365972144" w:history="1">
        <w:r w:rsidR="00F97D54" w:rsidRPr="00ED4FE9">
          <w:rPr>
            <w:rStyle w:val="Hyperlink"/>
          </w:rPr>
          <w:t>Question</w:t>
        </w:r>
        <w:r w:rsidR="00F97D54" w:rsidRPr="0082614F">
          <w:rPr>
            <w:rStyle w:val="Hyperlink"/>
          </w:rPr>
          <w:t xml:space="preserve"> II.F.1:  Principal Nature of Business</w:t>
        </w:r>
        <w:r w:rsidR="00F97D54">
          <w:rPr>
            <w:webHidden/>
          </w:rPr>
          <w:tab/>
        </w:r>
        <w:r w:rsidR="00F97D54">
          <w:rPr>
            <w:webHidden/>
          </w:rPr>
          <w:fldChar w:fldCharType="begin"/>
        </w:r>
        <w:r w:rsidR="00F97D54">
          <w:rPr>
            <w:webHidden/>
          </w:rPr>
          <w:instrText xml:space="preserve"> PAGEREF _Toc365972144 \h </w:instrText>
        </w:r>
        <w:r w:rsidR="00F97D54">
          <w:rPr>
            <w:webHidden/>
          </w:rPr>
        </w:r>
        <w:r w:rsidR="00F97D54">
          <w:rPr>
            <w:webHidden/>
          </w:rPr>
          <w:fldChar w:fldCharType="separate"/>
        </w:r>
        <w:r w:rsidR="00DA300B">
          <w:rPr>
            <w:webHidden/>
          </w:rPr>
          <w:t>71</w:t>
        </w:r>
        <w:r w:rsidR="00F97D54">
          <w:rPr>
            <w:webHidden/>
          </w:rPr>
          <w:fldChar w:fldCharType="end"/>
        </w:r>
      </w:hyperlink>
    </w:p>
    <w:p w:rsidR="00AB0A6B" w:rsidRDefault="00AB0A6B" w:rsidP="00FF2FC5">
      <w:pPr>
        <w:pStyle w:val="TOC5"/>
        <w:rPr>
          <w:rStyle w:val="Hyperlink"/>
        </w:rPr>
      </w:pPr>
    </w:p>
    <w:p w:rsidR="00F97D54" w:rsidRPr="00CF4C6D" w:rsidRDefault="00FB20A9" w:rsidP="00ED4FE9">
      <w:pPr>
        <w:pStyle w:val="TOC2"/>
        <w:tabs>
          <w:tab w:val="clear" w:pos="720"/>
          <w:tab w:val="left" w:pos="1440"/>
          <w:tab w:val="right" w:leader="dot" w:pos="8640"/>
        </w:tabs>
        <w:ind w:left="1440" w:hanging="720"/>
        <w:rPr>
          <w:rFonts w:ascii="Calibri" w:hAnsi="Calibri"/>
          <w:szCs w:val="22"/>
        </w:rPr>
      </w:pPr>
      <w:hyperlink w:anchor="_Toc365972145" w:history="1">
        <w:r w:rsidR="00F97D54" w:rsidRPr="00ED4FE9">
          <w:rPr>
            <w:rStyle w:val="Hyperlink"/>
          </w:rPr>
          <w:t>Expenditures</w:t>
        </w:r>
        <w:r w:rsidR="00F97D54" w:rsidRPr="0082614F">
          <w:rPr>
            <w:rStyle w:val="Hyperlink"/>
          </w:rPr>
          <w:t xml:space="preserve"> Information</w:t>
        </w:r>
        <w:r w:rsidR="00F97D54">
          <w:rPr>
            <w:webHidden/>
          </w:rPr>
          <w:tab/>
        </w:r>
        <w:r w:rsidR="00F97D54">
          <w:rPr>
            <w:webHidden/>
          </w:rPr>
          <w:fldChar w:fldCharType="begin"/>
        </w:r>
        <w:r w:rsidR="00F97D54">
          <w:rPr>
            <w:webHidden/>
          </w:rPr>
          <w:instrText xml:space="preserve"> PAGEREF _Toc365972145 \h </w:instrText>
        </w:r>
        <w:r w:rsidR="00F97D54">
          <w:rPr>
            <w:webHidden/>
          </w:rPr>
        </w:r>
        <w:r w:rsidR="00F97D54">
          <w:rPr>
            <w:webHidden/>
          </w:rPr>
          <w:fldChar w:fldCharType="separate"/>
        </w:r>
        <w:r w:rsidR="00DA300B">
          <w:rPr>
            <w:webHidden/>
          </w:rPr>
          <w:t>71</w:t>
        </w:r>
        <w:r w:rsidR="00F97D54">
          <w:rPr>
            <w:webHidden/>
          </w:rPr>
          <w:fldChar w:fldCharType="end"/>
        </w:r>
      </w:hyperlink>
    </w:p>
    <w:p w:rsidR="00AB0A6B" w:rsidRDefault="00AB0A6B" w:rsidP="001B3FA0">
      <w:pPr>
        <w:pStyle w:val="TOC4"/>
        <w:rPr>
          <w:rStyle w:val="Hyperlink"/>
        </w:rPr>
      </w:pPr>
    </w:p>
    <w:p w:rsidR="00F97D54" w:rsidRPr="00CF4C6D" w:rsidRDefault="00FB20A9" w:rsidP="00ED4FE9">
      <w:pPr>
        <w:pStyle w:val="TOC2"/>
        <w:tabs>
          <w:tab w:val="clear" w:pos="720"/>
          <w:tab w:val="left" w:pos="1440"/>
          <w:tab w:val="right" w:leader="dot" w:pos="8640"/>
        </w:tabs>
        <w:ind w:left="1440" w:hanging="720"/>
        <w:rPr>
          <w:rFonts w:ascii="Calibri" w:hAnsi="Calibri"/>
          <w:szCs w:val="22"/>
        </w:rPr>
      </w:pPr>
      <w:hyperlink w:anchor="_Toc365972146" w:history="1">
        <w:r w:rsidR="00F97D54" w:rsidRPr="00ED4FE9">
          <w:rPr>
            <w:rStyle w:val="Hyperlink"/>
          </w:rPr>
          <w:t>Question</w:t>
        </w:r>
        <w:r w:rsidR="00F97D54" w:rsidRPr="0082614F">
          <w:rPr>
            <w:rStyle w:val="Hyperlink"/>
          </w:rPr>
          <w:t xml:space="preserve"> II.F.2:  Total Expenditures on Dedicated Services</w:t>
        </w:r>
        <w:r w:rsidR="00F97D54">
          <w:rPr>
            <w:webHidden/>
          </w:rPr>
          <w:tab/>
        </w:r>
        <w:r w:rsidR="00F97D54">
          <w:rPr>
            <w:webHidden/>
          </w:rPr>
          <w:fldChar w:fldCharType="begin"/>
        </w:r>
        <w:r w:rsidR="00F97D54">
          <w:rPr>
            <w:webHidden/>
          </w:rPr>
          <w:instrText xml:space="preserve"> PAGEREF _Toc365972146 \h </w:instrText>
        </w:r>
        <w:r w:rsidR="00F97D54">
          <w:rPr>
            <w:webHidden/>
          </w:rPr>
        </w:r>
        <w:r w:rsidR="00F97D54">
          <w:rPr>
            <w:webHidden/>
          </w:rPr>
          <w:fldChar w:fldCharType="separate"/>
        </w:r>
        <w:r w:rsidR="00DA300B">
          <w:rPr>
            <w:webHidden/>
          </w:rPr>
          <w:t>71</w:t>
        </w:r>
        <w:r w:rsidR="00F97D54">
          <w:rPr>
            <w:webHidden/>
          </w:rPr>
          <w:fldChar w:fldCharType="end"/>
        </w:r>
      </w:hyperlink>
    </w:p>
    <w:p w:rsidR="00F97D54" w:rsidRPr="00CF4C6D" w:rsidRDefault="00FB20A9" w:rsidP="00ED4FE9">
      <w:pPr>
        <w:pStyle w:val="TOC2"/>
        <w:tabs>
          <w:tab w:val="clear" w:pos="720"/>
          <w:tab w:val="left" w:pos="1440"/>
          <w:tab w:val="right" w:leader="dot" w:pos="8640"/>
        </w:tabs>
        <w:ind w:left="1440" w:hanging="720"/>
        <w:rPr>
          <w:rFonts w:ascii="Calibri" w:hAnsi="Calibri"/>
          <w:szCs w:val="22"/>
        </w:rPr>
      </w:pPr>
      <w:hyperlink w:anchor="_Toc365972147" w:history="1">
        <w:r w:rsidR="00F97D54" w:rsidRPr="00ED4FE9">
          <w:rPr>
            <w:rStyle w:val="Hyperlink"/>
          </w:rPr>
          <w:t>Question</w:t>
        </w:r>
        <w:r w:rsidR="00F97D54" w:rsidRPr="0082614F">
          <w:rPr>
            <w:rStyle w:val="Hyperlink"/>
          </w:rPr>
          <w:t xml:space="preserve"> II.F.3:  Expenditures with ILECs under Tariffs</w:t>
        </w:r>
        <w:r w:rsidR="00F97D54">
          <w:rPr>
            <w:webHidden/>
          </w:rPr>
          <w:tab/>
        </w:r>
        <w:r w:rsidR="00F97D54">
          <w:rPr>
            <w:webHidden/>
          </w:rPr>
          <w:fldChar w:fldCharType="begin"/>
        </w:r>
        <w:r w:rsidR="00F97D54">
          <w:rPr>
            <w:webHidden/>
          </w:rPr>
          <w:instrText xml:space="preserve"> PAGEREF _Toc365972147 \h </w:instrText>
        </w:r>
        <w:r w:rsidR="00F97D54">
          <w:rPr>
            <w:webHidden/>
          </w:rPr>
        </w:r>
        <w:r w:rsidR="00F97D54">
          <w:rPr>
            <w:webHidden/>
          </w:rPr>
          <w:fldChar w:fldCharType="separate"/>
        </w:r>
        <w:r w:rsidR="00DA300B">
          <w:rPr>
            <w:webHidden/>
          </w:rPr>
          <w:t>71</w:t>
        </w:r>
        <w:r w:rsidR="00F97D54">
          <w:rPr>
            <w:webHidden/>
          </w:rPr>
          <w:fldChar w:fldCharType="end"/>
        </w:r>
      </w:hyperlink>
    </w:p>
    <w:p w:rsidR="00F97D54" w:rsidRPr="00CF4C6D" w:rsidRDefault="00FB20A9" w:rsidP="00ED4FE9">
      <w:pPr>
        <w:pStyle w:val="TOC2"/>
        <w:tabs>
          <w:tab w:val="clear" w:pos="720"/>
          <w:tab w:val="left" w:pos="1440"/>
          <w:tab w:val="right" w:leader="dot" w:pos="8640"/>
        </w:tabs>
        <w:ind w:left="1440" w:hanging="720"/>
        <w:rPr>
          <w:rFonts w:ascii="Calibri" w:hAnsi="Calibri"/>
          <w:szCs w:val="22"/>
        </w:rPr>
      </w:pPr>
      <w:hyperlink w:anchor="_Toc365972148" w:history="1">
        <w:r w:rsidR="00F97D54" w:rsidRPr="00ED4FE9">
          <w:rPr>
            <w:rStyle w:val="Hyperlink"/>
          </w:rPr>
          <w:t>Question</w:t>
        </w:r>
        <w:r w:rsidR="00F97D54" w:rsidRPr="0082614F">
          <w:rPr>
            <w:rStyle w:val="Hyperlink"/>
          </w:rPr>
          <w:t xml:space="preserve"> II.F.4:  Expenditures with Competitive Providers under Tariffs</w:t>
        </w:r>
        <w:r w:rsidR="00F97D54">
          <w:rPr>
            <w:webHidden/>
          </w:rPr>
          <w:tab/>
        </w:r>
        <w:r w:rsidR="00F97D54">
          <w:rPr>
            <w:webHidden/>
          </w:rPr>
          <w:fldChar w:fldCharType="begin"/>
        </w:r>
        <w:r w:rsidR="00F97D54">
          <w:rPr>
            <w:webHidden/>
          </w:rPr>
          <w:instrText xml:space="preserve"> PAGEREF _Toc365972148 \h </w:instrText>
        </w:r>
        <w:r w:rsidR="00F97D54">
          <w:rPr>
            <w:webHidden/>
          </w:rPr>
        </w:r>
        <w:r w:rsidR="00F97D54">
          <w:rPr>
            <w:webHidden/>
          </w:rPr>
          <w:fldChar w:fldCharType="separate"/>
        </w:r>
        <w:r w:rsidR="00DA300B">
          <w:rPr>
            <w:webHidden/>
          </w:rPr>
          <w:t>72</w:t>
        </w:r>
        <w:r w:rsidR="00F97D54">
          <w:rPr>
            <w:webHidden/>
          </w:rPr>
          <w:fldChar w:fldCharType="end"/>
        </w:r>
      </w:hyperlink>
    </w:p>
    <w:p w:rsidR="00F97D54" w:rsidRPr="00CF4C6D" w:rsidRDefault="00FB20A9" w:rsidP="00ED4FE9">
      <w:pPr>
        <w:pStyle w:val="TOC2"/>
        <w:tabs>
          <w:tab w:val="clear" w:pos="720"/>
          <w:tab w:val="left" w:pos="1440"/>
          <w:tab w:val="right" w:leader="dot" w:pos="8640"/>
        </w:tabs>
        <w:ind w:left="1440" w:hanging="720"/>
        <w:rPr>
          <w:rFonts w:ascii="Calibri" w:hAnsi="Calibri"/>
          <w:szCs w:val="22"/>
        </w:rPr>
      </w:pPr>
      <w:hyperlink w:anchor="_Toc365972149" w:history="1">
        <w:r w:rsidR="00F97D54" w:rsidRPr="00ED4FE9">
          <w:rPr>
            <w:rStyle w:val="Hyperlink"/>
          </w:rPr>
          <w:t>Question</w:t>
        </w:r>
        <w:r w:rsidR="00F97D54" w:rsidRPr="0082614F">
          <w:rPr>
            <w:rStyle w:val="Hyperlink"/>
          </w:rPr>
          <w:t xml:space="preserve"> II.F.5:  Expenditures with ILECs and Competitive Providers Pursuant to Non-Tariffs</w:t>
        </w:r>
        <w:r w:rsidR="00F97D54">
          <w:rPr>
            <w:webHidden/>
          </w:rPr>
          <w:tab/>
        </w:r>
        <w:r w:rsidR="00F97D54">
          <w:rPr>
            <w:webHidden/>
          </w:rPr>
          <w:fldChar w:fldCharType="begin"/>
        </w:r>
        <w:r w:rsidR="00F97D54">
          <w:rPr>
            <w:webHidden/>
          </w:rPr>
          <w:instrText xml:space="preserve"> PAGEREF _Toc365972149 \h </w:instrText>
        </w:r>
        <w:r w:rsidR="00F97D54">
          <w:rPr>
            <w:webHidden/>
          </w:rPr>
        </w:r>
        <w:r w:rsidR="00F97D54">
          <w:rPr>
            <w:webHidden/>
          </w:rPr>
          <w:fldChar w:fldCharType="separate"/>
        </w:r>
        <w:r w:rsidR="00DA300B">
          <w:rPr>
            <w:webHidden/>
          </w:rPr>
          <w:t>73</w:t>
        </w:r>
        <w:r w:rsidR="00F97D54">
          <w:rPr>
            <w:webHidden/>
          </w:rPr>
          <w:fldChar w:fldCharType="end"/>
        </w:r>
      </w:hyperlink>
    </w:p>
    <w:p w:rsidR="00F97D54" w:rsidRPr="00CF4C6D" w:rsidRDefault="00FB20A9" w:rsidP="00ED4FE9">
      <w:pPr>
        <w:pStyle w:val="TOC2"/>
        <w:tabs>
          <w:tab w:val="clear" w:pos="720"/>
          <w:tab w:val="left" w:pos="1440"/>
          <w:tab w:val="right" w:leader="dot" w:pos="8640"/>
        </w:tabs>
        <w:ind w:left="1440" w:hanging="720"/>
        <w:rPr>
          <w:rFonts w:ascii="Calibri" w:hAnsi="Calibri"/>
          <w:szCs w:val="22"/>
        </w:rPr>
      </w:pPr>
      <w:hyperlink w:anchor="_Toc365972150" w:history="1">
        <w:r w:rsidR="00F97D54" w:rsidRPr="00ED4FE9">
          <w:rPr>
            <w:rStyle w:val="Hyperlink"/>
          </w:rPr>
          <w:t>Question</w:t>
        </w:r>
        <w:r w:rsidR="00F97D54" w:rsidRPr="0082614F">
          <w:rPr>
            <w:rStyle w:val="Hyperlink"/>
          </w:rPr>
          <w:t xml:space="preserve"> II.F.6:  Expenditures under Tariffs for PBDS</w:t>
        </w:r>
        <w:r w:rsidR="00F97D54">
          <w:rPr>
            <w:webHidden/>
          </w:rPr>
          <w:tab/>
        </w:r>
        <w:r w:rsidR="00F97D54">
          <w:rPr>
            <w:webHidden/>
          </w:rPr>
          <w:fldChar w:fldCharType="begin"/>
        </w:r>
        <w:r w:rsidR="00F97D54">
          <w:rPr>
            <w:webHidden/>
          </w:rPr>
          <w:instrText xml:space="preserve"> PAGEREF _Toc365972150 \h </w:instrText>
        </w:r>
        <w:r w:rsidR="00F97D54">
          <w:rPr>
            <w:webHidden/>
          </w:rPr>
        </w:r>
        <w:r w:rsidR="00F97D54">
          <w:rPr>
            <w:webHidden/>
          </w:rPr>
          <w:fldChar w:fldCharType="separate"/>
        </w:r>
        <w:r w:rsidR="00DA300B">
          <w:rPr>
            <w:webHidden/>
          </w:rPr>
          <w:t>73</w:t>
        </w:r>
        <w:r w:rsidR="00F97D54">
          <w:rPr>
            <w:webHidden/>
          </w:rPr>
          <w:fldChar w:fldCharType="end"/>
        </w:r>
      </w:hyperlink>
    </w:p>
    <w:p w:rsidR="00F97D54" w:rsidRPr="00CF4C6D" w:rsidRDefault="00FB20A9" w:rsidP="00ED4FE9">
      <w:pPr>
        <w:pStyle w:val="TOC2"/>
        <w:tabs>
          <w:tab w:val="clear" w:pos="720"/>
          <w:tab w:val="left" w:pos="1440"/>
          <w:tab w:val="right" w:leader="dot" w:pos="8640"/>
        </w:tabs>
        <w:ind w:left="1440" w:hanging="720"/>
        <w:rPr>
          <w:rFonts w:ascii="Calibri" w:hAnsi="Calibri"/>
          <w:szCs w:val="22"/>
        </w:rPr>
      </w:pPr>
      <w:hyperlink w:anchor="_Toc365972151" w:history="1">
        <w:r w:rsidR="00F97D54" w:rsidRPr="00ED4FE9">
          <w:rPr>
            <w:rStyle w:val="Hyperlink"/>
          </w:rPr>
          <w:t>Question</w:t>
        </w:r>
        <w:r w:rsidR="00F97D54" w:rsidRPr="0082614F">
          <w:rPr>
            <w:rStyle w:val="Hyperlink"/>
          </w:rPr>
          <w:t xml:space="preserve"> II.F.7:  Expenditures under Non-Tariffs for PBDS</w:t>
        </w:r>
        <w:r w:rsidR="00F97D54">
          <w:rPr>
            <w:webHidden/>
          </w:rPr>
          <w:tab/>
        </w:r>
        <w:r w:rsidR="00F97D54">
          <w:rPr>
            <w:webHidden/>
          </w:rPr>
          <w:fldChar w:fldCharType="begin"/>
        </w:r>
        <w:r w:rsidR="00F97D54">
          <w:rPr>
            <w:webHidden/>
          </w:rPr>
          <w:instrText xml:space="preserve"> PAGEREF _Toc365972151 \h </w:instrText>
        </w:r>
        <w:r w:rsidR="00F97D54">
          <w:rPr>
            <w:webHidden/>
          </w:rPr>
        </w:r>
        <w:r w:rsidR="00F97D54">
          <w:rPr>
            <w:webHidden/>
          </w:rPr>
          <w:fldChar w:fldCharType="separate"/>
        </w:r>
        <w:r w:rsidR="00DA300B">
          <w:rPr>
            <w:webHidden/>
          </w:rPr>
          <w:t>74</w:t>
        </w:r>
        <w:r w:rsidR="00F97D54">
          <w:rPr>
            <w:webHidden/>
          </w:rPr>
          <w:fldChar w:fldCharType="end"/>
        </w:r>
      </w:hyperlink>
    </w:p>
    <w:p w:rsidR="005D7275" w:rsidRDefault="005D7275" w:rsidP="005D7275">
      <w:pPr>
        <w:pStyle w:val="TOC5"/>
        <w:rPr>
          <w:rStyle w:val="Hyperlink"/>
        </w:rPr>
      </w:pPr>
    </w:p>
    <w:p w:rsidR="00F97D54" w:rsidRPr="00CF4C6D" w:rsidRDefault="00FB20A9" w:rsidP="005D7275">
      <w:pPr>
        <w:pStyle w:val="TOC2"/>
        <w:tabs>
          <w:tab w:val="clear" w:pos="720"/>
          <w:tab w:val="left" w:pos="1440"/>
          <w:tab w:val="right" w:leader="dot" w:pos="8640"/>
        </w:tabs>
        <w:ind w:left="1440" w:hanging="720"/>
        <w:rPr>
          <w:rFonts w:ascii="Calibri" w:hAnsi="Calibri"/>
          <w:szCs w:val="22"/>
        </w:rPr>
      </w:pPr>
      <w:hyperlink w:anchor="_Toc365972152" w:history="1">
        <w:r w:rsidR="00F97D54" w:rsidRPr="0082614F">
          <w:rPr>
            <w:rStyle w:val="Hyperlink"/>
          </w:rPr>
          <w:t>Terms and Conditions Information</w:t>
        </w:r>
        <w:r w:rsidR="00F97D54">
          <w:rPr>
            <w:webHidden/>
          </w:rPr>
          <w:tab/>
        </w:r>
        <w:r w:rsidR="00F97D54">
          <w:rPr>
            <w:webHidden/>
          </w:rPr>
          <w:fldChar w:fldCharType="begin"/>
        </w:r>
        <w:r w:rsidR="00F97D54">
          <w:rPr>
            <w:webHidden/>
          </w:rPr>
          <w:instrText xml:space="preserve"> PAGEREF _Toc365972152 \h </w:instrText>
        </w:r>
        <w:r w:rsidR="00F97D54">
          <w:rPr>
            <w:webHidden/>
          </w:rPr>
        </w:r>
        <w:r w:rsidR="00F97D54">
          <w:rPr>
            <w:webHidden/>
          </w:rPr>
          <w:fldChar w:fldCharType="separate"/>
        </w:r>
        <w:r w:rsidR="00DA300B">
          <w:rPr>
            <w:webHidden/>
          </w:rPr>
          <w:t>74</w:t>
        </w:r>
        <w:r w:rsidR="00F97D54">
          <w:rPr>
            <w:webHidden/>
          </w:rPr>
          <w:fldChar w:fldCharType="end"/>
        </w:r>
      </w:hyperlink>
    </w:p>
    <w:p w:rsidR="005D7275" w:rsidRDefault="005D7275" w:rsidP="005D7275">
      <w:pPr>
        <w:pStyle w:val="TOC5"/>
        <w:rPr>
          <w:rStyle w:val="Hyperlink"/>
        </w:rPr>
      </w:pPr>
    </w:p>
    <w:p w:rsidR="00F97D54" w:rsidRPr="00CF4C6D" w:rsidRDefault="00FB20A9" w:rsidP="00ED4FE9">
      <w:pPr>
        <w:pStyle w:val="TOC2"/>
        <w:tabs>
          <w:tab w:val="clear" w:pos="720"/>
          <w:tab w:val="left" w:pos="1440"/>
          <w:tab w:val="right" w:leader="dot" w:pos="8640"/>
        </w:tabs>
        <w:ind w:left="1440" w:hanging="720"/>
        <w:rPr>
          <w:rFonts w:ascii="Calibri" w:hAnsi="Calibri"/>
          <w:szCs w:val="22"/>
        </w:rPr>
      </w:pPr>
      <w:hyperlink w:anchor="_Toc365972153" w:history="1">
        <w:r w:rsidR="00F97D54" w:rsidRPr="00ED4FE9">
          <w:rPr>
            <w:rStyle w:val="Hyperlink"/>
          </w:rPr>
          <w:t>Question</w:t>
        </w:r>
        <w:r w:rsidR="00F97D54" w:rsidRPr="0082614F">
          <w:rPr>
            <w:rStyle w:val="Hyperlink"/>
          </w:rPr>
          <w:t xml:space="preserve"> II.F.8:  Terms and Conditions Constraints</w:t>
        </w:r>
        <w:r w:rsidR="00F97D54">
          <w:rPr>
            <w:webHidden/>
          </w:rPr>
          <w:tab/>
        </w:r>
        <w:r w:rsidR="00F97D54">
          <w:rPr>
            <w:webHidden/>
          </w:rPr>
          <w:fldChar w:fldCharType="begin"/>
        </w:r>
        <w:r w:rsidR="00F97D54">
          <w:rPr>
            <w:webHidden/>
          </w:rPr>
          <w:instrText xml:space="preserve"> PAGEREF _Toc365972153 \h </w:instrText>
        </w:r>
        <w:r w:rsidR="00F97D54">
          <w:rPr>
            <w:webHidden/>
          </w:rPr>
        </w:r>
        <w:r w:rsidR="00F97D54">
          <w:rPr>
            <w:webHidden/>
          </w:rPr>
          <w:fldChar w:fldCharType="separate"/>
        </w:r>
        <w:r w:rsidR="00DA300B">
          <w:rPr>
            <w:webHidden/>
          </w:rPr>
          <w:t>74</w:t>
        </w:r>
        <w:r w:rsidR="00F97D54">
          <w:rPr>
            <w:webHidden/>
          </w:rPr>
          <w:fldChar w:fldCharType="end"/>
        </w:r>
      </w:hyperlink>
    </w:p>
    <w:p w:rsidR="00F97D54" w:rsidRPr="00CF4C6D" w:rsidRDefault="00FB20A9" w:rsidP="00ED4FE9">
      <w:pPr>
        <w:pStyle w:val="TOC2"/>
        <w:tabs>
          <w:tab w:val="clear" w:pos="720"/>
          <w:tab w:val="left" w:pos="1440"/>
          <w:tab w:val="right" w:leader="dot" w:pos="8640"/>
        </w:tabs>
        <w:ind w:left="1440" w:hanging="720"/>
        <w:rPr>
          <w:rFonts w:ascii="Calibri" w:hAnsi="Calibri"/>
          <w:szCs w:val="22"/>
        </w:rPr>
      </w:pPr>
      <w:hyperlink w:anchor="_Toc365972154" w:history="1">
        <w:r w:rsidR="00F97D54" w:rsidRPr="00ED4FE9">
          <w:rPr>
            <w:rStyle w:val="Hyperlink"/>
          </w:rPr>
          <w:t>Question</w:t>
        </w:r>
        <w:r w:rsidR="00F97D54" w:rsidRPr="0082614F">
          <w:rPr>
            <w:rStyle w:val="Hyperlink"/>
          </w:rPr>
          <w:t xml:space="preserve"> II.F.9:  Changing Transport Providers</w:t>
        </w:r>
        <w:r w:rsidR="00F97D54">
          <w:rPr>
            <w:webHidden/>
          </w:rPr>
          <w:tab/>
        </w:r>
        <w:r w:rsidR="00F97D54">
          <w:rPr>
            <w:webHidden/>
          </w:rPr>
          <w:fldChar w:fldCharType="begin"/>
        </w:r>
        <w:r w:rsidR="00F97D54">
          <w:rPr>
            <w:webHidden/>
          </w:rPr>
          <w:instrText xml:space="preserve"> PAGEREF _Toc365972154 \h </w:instrText>
        </w:r>
        <w:r w:rsidR="00F97D54">
          <w:rPr>
            <w:webHidden/>
          </w:rPr>
        </w:r>
        <w:r w:rsidR="00F97D54">
          <w:rPr>
            <w:webHidden/>
          </w:rPr>
          <w:fldChar w:fldCharType="separate"/>
        </w:r>
        <w:r w:rsidR="00DA300B">
          <w:rPr>
            <w:webHidden/>
          </w:rPr>
          <w:t>74</w:t>
        </w:r>
        <w:r w:rsidR="00F97D54">
          <w:rPr>
            <w:webHidden/>
          </w:rPr>
          <w:fldChar w:fldCharType="end"/>
        </w:r>
      </w:hyperlink>
    </w:p>
    <w:p w:rsidR="00F97D54" w:rsidRPr="00CF4C6D" w:rsidRDefault="00FB20A9" w:rsidP="00ED4FE9">
      <w:pPr>
        <w:pStyle w:val="TOC2"/>
        <w:tabs>
          <w:tab w:val="clear" w:pos="720"/>
          <w:tab w:val="left" w:pos="1440"/>
          <w:tab w:val="right" w:leader="dot" w:pos="8640"/>
        </w:tabs>
        <w:ind w:left="1440" w:hanging="720"/>
        <w:rPr>
          <w:rFonts w:ascii="Calibri" w:hAnsi="Calibri"/>
          <w:szCs w:val="22"/>
        </w:rPr>
      </w:pPr>
      <w:hyperlink w:anchor="_Toc365972155" w:history="1">
        <w:r w:rsidR="00F97D54" w:rsidRPr="005D7275">
          <w:rPr>
            <w:rStyle w:val="Hyperlink"/>
          </w:rPr>
          <w:t>Question</w:t>
        </w:r>
        <w:r w:rsidR="00F97D54" w:rsidRPr="0082614F">
          <w:rPr>
            <w:rStyle w:val="Hyperlink"/>
          </w:rPr>
          <w:t xml:space="preserve"> II.F.10:  Purchases Solely for the Purpose of Meeting a Prior Purchase-Based Commitment</w:t>
        </w:r>
        <w:r w:rsidR="00F97D54">
          <w:rPr>
            <w:webHidden/>
          </w:rPr>
          <w:tab/>
        </w:r>
        <w:r w:rsidR="00F97D54">
          <w:rPr>
            <w:webHidden/>
          </w:rPr>
          <w:fldChar w:fldCharType="begin"/>
        </w:r>
        <w:r w:rsidR="00F97D54">
          <w:rPr>
            <w:webHidden/>
          </w:rPr>
          <w:instrText xml:space="preserve"> PAGEREF _Toc365972155 \h </w:instrText>
        </w:r>
        <w:r w:rsidR="00F97D54">
          <w:rPr>
            <w:webHidden/>
          </w:rPr>
        </w:r>
        <w:r w:rsidR="00F97D54">
          <w:rPr>
            <w:webHidden/>
          </w:rPr>
          <w:fldChar w:fldCharType="separate"/>
        </w:r>
        <w:r w:rsidR="00DA300B">
          <w:rPr>
            <w:webHidden/>
          </w:rPr>
          <w:t>74</w:t>
        </w:r>
        <w:r w:rsidR="00F97D54">
          <w:rPr>
            <w:webHidden/>
          </w:rPr>
          <w:fldChar w:fldCharType="end"/>
        </w:r>
      </w:hyperlink>
    </w:p>
    <w:p w:rsidR="00F97D54" w:rsidRPr="00CF4C6D" w:rsidRDefault="00FB20A9" w:rsidP="00ED4FE9">
      <w:pPr>
        <w:pStyle w:val="TOC2"/>
        <w:tabs>
          <w:tab w:val="clear" w:pos="720"/>
          <w:tab w:val="left" w:pos="1440"/>
          <w:tab w:val="right" w:leader="dot" w:pos="8640"/>
        </w:tabs>
        <w:ind w:left="1440" w:hanging="720"/>
        <w:rPr>
          <w:rFonts w:ascii="Calibri" w:hAnsi="Calibri"/>
          <w:szCs w:val="22"/>
        </w:rPr>
      </w:pPr>
      <w:hyperlink w:anchor="_Toc365972156" w:history="1">
        <w:r w:rsidR="00F97D54" w:rsidRPr="00ED4FE9">
          <w:rPr>
            <w:rStyle w:val="Hyperlink"/>
          </w:rPr>
          <w:t>Question</w:t>
        </w:r>
        <w:r w:rsidR="00F97D54" w:rsidRPr="0082614F">
          <w:rPr>
            <w:rStyle w:val="Hyperlink"/>
          </w:rPr>
          <w:t xml:space="preserve"> II.F.11:  Switching Providers</w:t>
        </w:r>
        <w:r w:rsidR="00F97D54">
          <w:rPr>
            <w:webHidden/>
          </w:rPr>
          <w:tab/>
        </w:r>
        <w:r w:rsidR="00F97D54">
          <w:rPr>
            <w:webHidden/>
          </w:rPr>
          <w:fldChar w:fldCharType="begin"/>
        </w:r>
        <w:r w:rsidR="00F97D54">
          <w:rPr>
            <w:webHidden/>
          </w:rPr>
          <w:instrText xml:space="preserve"> PAGEREF _Toc365972156 \h </w:instrText>
        </w:r>
        <w:r w:rsidR="00F97D54">
          <w:rPr>
            <w:webHidden/>
          </w:rPr>
        </w:r>
        <w:r w:rsidR="00F97D54">
          <w:rPr>
            <w:webHidden/>
          </w:rPr>
          <w:fldChar w:fldCharType="separate"/>
        </w:r>
        <w:r w:rsidR="00DA300B">
          <w:rPr>
            <w:webHidden/>
          </w:rPr>
          <w:t>74</w:t>
        </w:r>
        <w:r w:rsidR="00F97D54">
          <w:rPr>
            <w:webHidden/>
          </w:rPr>
          <w:fldChar w:fldCharType="end"/>
        </w:r>
      </w:hyperlink>
    </w:p>
    <w:p w:rsidR="00F97D54" w:rsidRPr="00CF4C6D" w:rsidRDefault="00FB20A9" w:rsidP="00ED4FE9">
      <w:pPr>
        <w:pStyle w:val="TOC2"/>
        <w:tabs>
          <w:tab w:val="clear" w:pos="720"/>
          <w:tab w:val="left" w:pos="1440"/>
          <w:tab w:val="right" w:leader="dot" w:pos="8640"/>
        </w:tabs>
        <w:ind w:left="1440" w:hanging="720"/>
        <w:rPr>
          <w:rFonts w:ascii="Calibri" w:hAnsi="Calibri"/>
          <w:szCs w:val="22"/>
        </w:rPr>
      </w:pPr>
      <w:hyperlink w:anchor="_Toc365972157" w:history="1">
        <w:r w:rsidR="00F97D54" w:rsidRPr="00ED4FE9">
          <w:rPr>
            <w:rStyle w:val="Hyperlink"/>
          </w:rPr>
          <w:t>Question</w:t>
        </w:r>
        <w:r w:rsidR="00F97D54" w:rsidRPr="0082614F">
          <w:rPr>
            <w:rStyle w:val="Hyperlink"/>
          </w:rPr>
          <w:t xml:space="preserve"> II.F.12:  Paying One Month Term Only Rates</w:t>
        </w:r>
        <w:r w:rsidR="00F97D54">
          <w:rPr>
            <w:webHidden/>
          </w:rPr>
          <w:tab/>
        </w:r>
        <w:r w:rsidR="00F97D54">
          <w:rPr>
            <w:webHidden/>
          </w:rPr>
          <w:fldChar w:fldCharType="begin"/>
        </w:r>
        <w:r w:rsidR="00F97D54">
          <w:rPr>
            <w:webHidden/>
          </w:rPr>
          <w:instrText xml:space="preserve"> PAGEREF _Toc365972157 \h </w:instrText>
        </w:r>
        <w:r w:rsidR="00F97D54">
          <w:rPr>
            <w:webHidden/>
          </w:rPr>
        </w:r>
        <w:r w:rsidR="00F97D54">
          <w:rPr>
            <w:webHidden/>
          </w:rPr>
          <w:fldChar w:fldCharType="separate"/>
        </w:r>
        <w:r w:rsidR="00DA300B">
          <w:rPr>
            <w:webHidden/>
          </w:rPr>
          <w:t>74</w:t>
        </w:r>
        <w:r w:rsidR="00F97D54">
          <w:rPr>
            <w:webHidden/>
          </w:rPr>
          <w:fldChar w:fldCharType="end"/>
        </w:r>
      </w:hyperlink>
    </w:p>
    <w:p w:rsidR="00F97D54" w:rsidRPr="00CF4C6D" w:rsidRDefault="00FB20A9" w:rsidP="00ED4FE9">
      <w:pPr>
        <w:pStyle w:val="TOC2"/>
        <w:tabs>
          <w:tab w:val="clear" w:pos="720"/>
          <w:tab w:val="left" w:pos="1440"/>
          <w:tab w:val="right" w:leader="dot" w:pos="8640"/>
        </w:tabs>
        <w:ind w:left="1440" w:hanging="720"/>
        <w:rPr>
          <w:rFonts w:ascii="Calibri" w:hAnsi="Calibri"/>
          <w:szCs w:val="22"/>
        </w:rPr>
      </w:pPr>
      <w:hyperlink w:anchor="_Toc365972158" w:history="1">
        <w:r w:rsidR="00F97D54" w:rsidRPr="00ED4FE9">
          <w:rPr>
            <w:rStyle w:val="Hyperlink"/>
          </w:rPr>
          <w:t>Question</w:t>
        </w:r>
        <w:r w:rsidR="00F97D54" w:rsidRPr="0082614F">
          <w:rPr>
            <w:rStyle w:val="Hyperlink"/>
          </w:rPr>
          <w:t xml:space="preserve"> II.F.13:  Tariffs under which you Purchase Service</w:t>
        </w:r>
        <w:r w:rsidR="00F97D54">
          <w:rPr>
            <w:webHidden/>
          </w:rPr>
          <w:tab/>
        </w:r>
        <w:r w:rsidR="00F97D54">
          <w:rPr>
            <w:webHidden/>
          </w:rPr>
          <w:fldChar w:fldCharType="begin"/>
        </w:r>
        <w:r w:rsidR="00F97D54">
          <w:rPr>
            <w:webHidden/>
          </w:rPr>
          <w:instrText xml:space="preserve"> PAGEREF _Toc365972158 \h </w:instrText>
        </w:r>
        <w:r w:rsidR="00F97D54">
          <w:rPr>
            <w:webHidden/>
          </w:rPr>
        </w:r>
        <w:r w:rsidR="00F97D54">
          <w:rPr>
            <w:webHidden/>
          </w:rPr>
          <w:fldChar w:fldCharType="separate"/>
        </w:r>
        <w:r w:rsidR="00DA300B">
          <w:rPr>
            <w:webHidden/>
          </w:rPr>
          <w:t>75</w:t>
        </w:r>
        <w:r w:rsidR="00F97D54">
          <w:rPr>
            <w:webHidden/>
          </w:rPr>
          <w:fldChar w:fldCharType="end"/>
        </w:r>
      </w:hyperlink>
    </w:p>
    <w:p w:rsidR="00F97D54" w:rsidRPr="00CF4C6D" w:rsidRDefault="00FB20A9" w:rsidP="00ED4FE9">
      <w:pPr>
        <w:pStyle w:val="TOC2"/>
        <w:tabs>
          <w:tab w:val="clear" w:pos="720"/>
          <w:tab w:val="left" w:pos="1440"/>
          <w:tab w:val="right" w:leader="dot" w:pos="8640"/>
        </w:tabs>
        <w:ind w:left="1440" w:hanging="720"/>
        <w:rPr>
          <w:rFonts w:ascii="Calibri" w:hAnsi="Calibri"/>
          <w:szCs w:val="22"/>
        </w:rPr>
      </w:pPr>
      <w:hyperlink w:anchor="_Toc365972159" w:history="1">
        <w:r w:rsidR="00F97D54" w:rsidRPr="00ED4FE9">
          <w:rPr>
            <w:rStyle w:val="Hyperlink"/>
          </w:rPr>
          <w:t>Question</w:t>
        </w:r>
        <w:r w:rsidR="00F97D54" w:rsidRPr="0082614F">
          <w:rPr>
            <w:rStyle w:val="Hyperlink"/>
          </w:rPr>
          <w:t xml:space="preserve"> II.F.14:  Non-Tariffed Agreements</w:t>
        </w:r>
        <w:r w:rsidR="00F97D54">
          <w:rPr>
            <w:webHidden/>
          </w:rPr>
          <w:tab/>
        </w:r>
        <w:r w:rsidR="00F97D54">
          <w:rPr>
            <w:webHidden/>
          </w:rPr>
          <w:fldChar w:fldCharType="begin"/>
        </w:r>
        <w:r w:rsidR="00F97D54">
          <w:rPr>
            <w:webHidden/>
          </w:rPr>
          <w:instrText xml:space="preserve"> PAGEREF _Toc365972159 \h </w:instrText>
        </w:r>
        <w:r w:rsidR="00F97D54">
          <w:rPr>
            <w:webHidden/>
          </w:rPr>
        </w:r>
        <w:r w:rsidR="00F97D54">
          <w:rPr>
            <w:webHidden/>
          </w:rPr>
          <w:fldChar w:fldCharType="separate"/>
        </w:r>
        <w:r w:rsidR="00DA300B">
          <w:rPr>
            <w:webHidden/>
          </w:rPr>
          <w:t>78</w:t>
        </w:r>
        <w:r w:rsidR="00F97D54">
          <w:rPr>
            <w:webHidden/>
          </w:rPr>
          <w:fldChar w:fldCharType="end"/>
        </w:r>
      </w:hyperlink>
    </w:p>
    <w:p w:rsidR="00576C5A" w:rsidRDefault="00576C5A">
      <w:pPr>
        <w:widowControl/>
        <w:rPr>
          <w:noProof/>
        </w:rPr>
      </w:pPr>
    </w:p>
    <w:p w:rsidR="00F97D54" w:rsidRPr="00127F8E" w:rsidRDefault="00FB20A9" w:rsidP="00127F8E">
      <w:pPr>
        <w:pStyle w:val="TOC3"/>
        <w:tabs>
          <w:tab w:val="clear" w:pos="1080"/>
          <w:tab w:val="left" w:pos="720"/>
          <w:tab w:val="right" w:leader="dot" w:pos="8640"/>
        </w:tabs>
        <w:spacing w:before="120" w:after="120"/>
        <w:ind w:left="720" w:right="0" w:firstLine="0"/>
        <w:rPr>
          <w:rFonts w:ascii="Calibri" w:hAnsi="Calibri"/>
          <w:caps/>
          <w:szCs w:val="22"/>
        </w:rPr>
      </w:pPr>
      <w:hyperlink w:anchor="_Toc365972160" w:history="1">
        <w:r w:rsidR="00F97D54" w:rsidRPr="00127F8E">
          <w:rPr>
            <w:rStyle w:val="Hyperlink"/>
            <w:caps/>
          </w:rPr>
          <w:t>Question Directed at Non-Providers, Non-Purchasers, and Other Entities Not Covered by the Data Collection</w:t>
        </w:r>
        <w:r w:rsidR="00F97D54" w:rsidRPr="00127F8E">
          <w:rPr>
            <w:caps/>
            <w:webHidden/>
          </w:rPr>
          <w:tab/>
        </w:r>
        <w:r w:rsidR="00F97D54" w:rsidRPr="00127F8E">
          <w:rPr>
            <w:caps/>
            <w:webHidden/>
          </w:rPr>
          <w:fldChar w:fldCharType="begin"/>
        </w:r>
        <w:r w:rsidR="00F97D54" w:rsidRPr="00127F8E">
          <w:rPr>
            <w:caps/>
            <w:webHidden/>
          </w:rPr>
          <w:instrText xml:space="preserve"> PAGEREF _Toc365972160 \h </w:instrText>
        </w:r>
        <w:r w:rsidR="00F97D54" w:rsidRPr="00127F8E">
          <w:rPr>
            <w:caps/>
            <w:webHidden/>
          </w:rPr>
        </w:r>
        <w:r w:rsidR="00F97D54" w:rsidRPr="00127F8E">
          <w:rPr>
            <w:caps/>
            <w:webHidden/>
          </w:rPr>
          <w:fldChar w:fldCharType="separate"/>
        </w:r>
        <w:r w:rsidR="00DA300B">
          <w:rPr>
            <w:caps/>
            <w:webHidden/>
          </w:rPr>
          <w:t>79</w:t>
        </w:r>
        <w:r w:rsidR="00F97D54" w:rsidRPr="00127F8E">
          <w:rPr>
            <w:caps/>
            <w:webHidden/>
          </w:rPr>
          <w:fldChar w:fldCharType="end"/>
        </w:r>
      </w:hyperlink>
    </w:p>
    <w:p w:rsidR="00027FAD" w:rsidRDefault="00FB20A9" w:rsidP="00162BEB">
      <w:pPr>
        <w:pStyle w:val="TOC2"/>
        <w:tabs>
          <w:tab w:val="clear" w:pos="720"/>
          <w:tab w:val="left" w:pos="1440"/>
          <w:tab w:val="right" w:leader="dot" w:pos="8640"/>
        </w:tabs>
        <w:ind w:left="1440" w:hanging="720"/>
      </w:pPr>
      <w:hyperlink w:anchor="_Toc365972161" w:history="1">
        <w:r w:rsidR="00F97D54" w:rsidRPr="00ED4FE9">
          <w:rPr>
            <w:rStyle w:val="Hyperlink"/>
          </w:rPr>
          <w:t>Question</w:t>
        </w:r>
        <w:r w:rsidR="00F97D54" w:rsidRPr="0082614F">
          <w:rPr>
            <w:rStyle w:val="Hyperlink"/>
          </w:rPr>
          <w:t xml:space="preserve"> II.G.1:  Not Required to Submit Data</w:t>
        </w:r>
        <w:r w:rsidR="00F97D54">
          <w:rPr>
            <w:webHidden/>
          </w:rPr>
          <w:tab/>
        </w:r>
        <w:r w:rsidR="00F97D54">
          <w:rPr>
            <w:webHidden/>
          </w:rPr>
          <w:fldChar w:fldCharType="begin"/>
        </w:r>
        <w:r w:rsidR="00F97D54">
          <w:rPr>
            <w:webHidden/>
          </w:rPr>
          <w:instrText xml:space="preserve"> PAGEREF _Toc365972161 \h </w:instrText>
        </w:r>
        <w:r w:rsidR="00F97D54">
          <w:rPr>
            <w:webHidden/>
          </w:rPr>
        </w:r>
        <w:r w:rsidR="00F97D54">
          <w:rPr>
            <w:webHidden/>
          </w:rPr>
          <w:fldChar w:fldCharType="separate"/>
        </w:r>
        <w:r w:rsidR="00DA300B">
          <w:rPr>
            <w:webHidden/>
          </w:rPr>
          <w:t>79</w:t>
        </w:r>
        <w:r w:rsidR="00F97D54">
          <w:rPr>
            <w:webHidden/>
          </w:rPr>
          <w:fldChar w:fldCharType="end"/>
        </w:r>
      </w:hyperlink>
      <w:r w:rsidR="00F97D54">
        <w:rPr>
          <w:b/>
        </w:rPr>
        <w:fldChar w:fldCharType="end"/>
      </w:r>
    </w:p>
    <w:p w:rsidR="00882ED8" w:rsidRDefault="00882ED8" w:rsidP="00162BEB">
      <w:pPr>
        <w:rPr>
          <w:b/>
        </w:rPr>
        <w:sectPr w:rsidR="00882ED8" w:rsidSect="001650DD">
          <w:headerReference w:type="default" r:id="rId14"/>
          <w:footerReference w:type="even" r:id="rId15"/>
          <w:footerReference w:type="default" r:id="rId16"/>
          <w:headerReference w:type="first" r:id="rId17"/>
          <w:footnotePr>
            <w:numRestart w:val="eachSect"/>
          </w:footnotePr>
          <w:endnotePr>
            <w:numFmt w:val="decimal"/>
          </w:endnotePr>
          <w:pgSz w:w="12240" w:h="15840"/>
          <w:pgMar w:top="1440" w:right="1440" w:bottom="720" w:left="1440" w:header="720" w:footer="1008" w:gutter="0"/>
          <w:pgNumType w:fmt="lowerRoman" w:start="1"/>
          <w:cols w:space="720"/>
          <w:noEndnote/>
          <w:titlePg/>
          <w:docGrid w:linePitch="299"/>
        </w:sectPr>
      </w:pPr>
    </w:p>
    <w:p w:rsidR="00F97D54" w:rsidRDefault="00F97D54" w:rsidP="00DE5CB2">
      <w:pPr>
        <w:rPr>
          <w:b/>
        </w:rPr>
      </w:pPr>
    </w:p>
    <w:p w:rsidR="00F97D54" w:rsidRDefault="00F97D54" w:rsidP="00EB5B97">
      <w:pPr>
        <w:pStyle w:val="Heading1"/>
        <w:numPr>
          <w:ilvl w:val="0"/>
          <w:numId w:val="9"/>
        </w:numPr>
        <w:suppressAutoHyphens w:val="0"/>
        <w:spacing w:after="220"/>
      </w:pPr>
      <w:bookmarkStart w:id="57" w:name="_Toc350777038"/>
      <w:bookmarkStart w:id="58" w:name="_Toc365972064"/>
      <w:r>
        <w:t>Introduction</w:t>
      </w:r>
      <w:bookmarkEnd w:id="57"/>
      <w:bookmarkEnd w:id="58"/>
    </w:p>
    <w:p w:rsidR="00F97D54" w:rsidRDefault="00F97D54" w:rsidP="00EB5B97">
      <w:pPr>
        <w:rPr>
          <w:b/>
        </w:rPr>
      </w:pPr>
      <w:r>
        <w:t>On December 18, 2012, the Commission released an Order calling for the mandatory collection of data, information and documents from entities that provide and purchase special access services in price cap areas.</w:t>
      </w:r>
      <w:r>
        <w:rPr>
          <w:rStyle w:val="FootnoteReference"/>
          <w:szCs w:val="22"/>
        </w:rPr>
        <w:footnoteReference w:id="175"/>
      </w:r>
      <w:r>
        <w:t xml:space="preserve">  Larger entities providing best efforts business broadband Internet access services are also required to respond to the data collection.  With the data, the Commission will conduct a comprehensive analysis of special access markets to determine where relief from special access regulation is appropriate and otherwise update its rules to ensure that they reflect the state of competition today and promote competition.  </w:t>
      </w:r>
      <w:r>
        <w:rPr>
          <w:b/>
        </w:rPr>
        <w:t>I</w:t>
      </w:r>
      <w:r w:rsidRPr="00896D61">
        <w:rPr>
          <w:b/>
        </w:rPr>
        <w:t xml:space="preserve">talicized terms in these instructions are defined </w:t>
      </w:r>
      <w:r>
        <w:rPr>
          <w:b/>
        </w:rPr>
        <w:t>in</w:t>
      </w:r>
      <w:r w:rsidRPr="00896D61">
        <w:rPr>
          <w:b/>
        </w:rPr>
        <w:t xml:space="preserve"> Section I of the Mandatory Data Collection</w:t>
      </w:r>
      <w:r>
        <w:rPr>
          <w:b/>
        </w:rPr>
        <w:t>, which is available on the FCC’s website</w:t>
      </w:r>
      <w:r w:rsidRPr="00521DC5">
        <w:t>.</w:t>
      </w:r>
      <w:r w:rsidRPr="00521DC5">
        <w:rPr>
          <w:rStyle w:val="FootnoteReference"/>
        </w:rPr>
        <w:footnoteReference w:id="176"/>
      </w:r>
    </w:p>
    <w:p w:rsidR="00F97D54" w:rsidRDefault="00F97D54" w:rsidP="00EB5B97">
      <w:pPr>
        <w:rPr>
          <w:b/>
        </w:rPr>
      </w:pPr>
    </w:p>
    <w:p w:rsidR="00F97D54" w:rsidRDefault="00F97D54" w:rsidP="00EB5B97">
      <w:pPr>
        <w:rPr>
          <w:b/>
        </w:rPr>
      </w:pPr>
    </w:p>
    <w:p w:rsidR="00F97D54" w:rsidRPr="00F516D9" w:rsidRDefault="00F97D54" w:rsidP="00EB5B97">
      <w:pPr>
        <w:pStyle w:val="Heading1"/>
        <w:numPr>
          <w:ilvl w:val="0"/>
          <w:numId w:val="9"/>
        </w:numPr>
        <w:suppressAutoHyphens w:val="0"/>
        <w:spacing w:after="220"/>
      </w:pPr>
      <w:bookmarkStart w:id="59" w:name="_Toc350777039"/>
      <w:bookmarkStart w:id="60" w:name="_Toc365972065"/>
      <w:r>
        <w:t>Filing Requirements and General Instructions</w:t>
      </w:r>
      <w:bookmarkEnd w:id="59"/>
      <w:bookmarkEnd w:id="60"/>
    </w:p>
    <w:p w:rsidR="00F97D54" w:rsidRPr="00896D61" w:rsidRDefault="00F97D54" w:rsidP="00EB5B97">
      <w:pPr>
        <w:pStyle w:val="Heading2"/>
        <w:numPr>
          <w:ilvl w:val="1"/>
          <w:numId w:val="9"/>
        </w:numPr>
        <w:tabs>
          <w:tab w:val="clear" w:pos="1080"/>
          <w:tab w:val="left" w:pos="1440"/>
        </w:tabs>
        <w:spacing w:after="220"/>
        <w:ind w:left="1440" w:hanging="720"/>
      </w:pPr>
      <w:bookmarkStart w:id="61" w:name="_Toc350777040"/>
      <w:bookmarkStart w:id="62" w:name="_Toc365972066"/>
      <w:r w:rsidRPr="00896D61">
        <w:t>Purpose of Data Collection</w:t>
      </w:r>
      <w:bookmarkEnd w:id="56"/>
      <w:bookmarkEnd w:id="61"/>
      <w:bookmarkEnd w:id="62"/>
    </w:p>
    <w:p w:rsidR="00F97D54" w:rsidRDefault="00F97D54" w:rsidP="00EB5B97">
      <w:pPr>
        <w:autoSpaceDE w:val="0"/>
        <w:autoSpaceDN w:val="0"/>
        <w:adjustRightInd w:val="0"/>
        <w:rPr>
          <w:szCs w:val="22"/>
        </w:rPr>
      </w:pPr>
      <w:r>
        <w:rPr>
          <w:szCs w:val="22"/>
        </w:rPr>
        <w:t>This collection will enable the Commission to obtain the data, information, and documents needed to conduct a comprehensive evaluation of competition in the special access market.  In conjunction with the market analysis proposed by the Commission in the Further Notice, the data, information, and documents acquired through this collection will aid the Commission in “evaluating whether the pricing flexibility rules result in just and reasonable special access rates and what regulatory changes may be needed.”</w:t>
      </w:r>
      <w:r>
        <w:rPr>
          <w:rStyle w:val="FootnoteReference"/>
          <w:szCs w:val="22"/>
        </w:rPr>
        <w:footnoteReference w:id="177"/>
      </w:r>
      <w:r>
        <w:rPr>
          <w:szCs w:val="22"/>
        </w:rPr>
        <w:t xml:space="preserve">  </w:t>
      </w:r>
    </w:p>
    <w:p w:rsidR="00F97D54" w:rsidRDefault="00F97D54" w:rsidP="00EB5B97">
      <w:pPr>
        <w:autoSpaceDE w:val="0"/>
        <w:autoSpaceDN w:val="0"/>
        <w:adjustRightInd w:val="0"/>
        <w:rPr>
          <w:szCs w:val="22"/>
        </w:rPr>
      </w:pPr>
    </w:p>
    <w:p w:rsidR="00F97D54" w:rsidRDefault="00F97D54" w:rsidP="00EB5B97">
      <w:pPr>
        <w:pStyle w:val="Heading2"/>
        <w:numPr>
          <w:ilvl w:val="1"/>
          <w:numId w:val="9"/>
        </w:numPr>
        <w:tabs>
          <w:tab w:val="clear" w:pos="1080"/>
          <w:tab w:val="left" w:pos="1440"/>
        </w:tabs>
        <w:spacing w:after="220"/>
        <w:ind w:left="1440" w:hanging="720"/>
      </w:pPr>
      <w:bookmarkStart w:id="63" w:name="_Toc350777041"/>
      <w:bookmarkStart w:id="64" w:name="_Toc365972067"/>
      <w:r>
        <w:t>Authority for Data Collection</w:t>
      </w:r>
      <w:bookmarkEnd w:id="63"/>
      <w:bookmarkEnd w:id="64"/>
    </w:p>
    <w:p w:rsidR="00F97D54" w:rsidRPr="001A30E9" w:rsidRDefault="00F97D54" w:rsidP="00EB5B97">
      <w:pPr>
        <w:autoSpaceDE w:val="0"/>
        <w:autoSpaceDN w:val="0"/>
        <w:adjustRightInd w:val="0"/>
        <w:rPr>
          <w:szCs w:val="22"/>
        </w:rPr>
      </w:pPr>
      <w:r>
        <w:rPr>
          <w:szCs w:val="22"/>
        </w:rPr>
        <w:t xml:space="preserve">This collection of information stems from the Commission’s </w:t>
      </w:r>
      <w:r w:rsidRPr="0041184D">
        <w:rPr>
          <w:szCs w:val="22"/>
        </w:rPr>
        <w:t>authority under sections 1, 4(i), 4(j), 5, 201-205, 211, 215, 218, 219, 303(r), 332, 403, and 503 of the Communications Act of 1934, as amended</w:t>
      </w:r>
      <w:r>
        <w:rPr>
          <w:szCs w:val="22"/>
        </w:rPr>
        <w:t>,</w:t>
      </w:r>
      <w:r w:rsidRPr="0041184D">
        <w:rPr>
          <w:szCs w:val="22"/>
        </w:rPr>
        <w:t xml:space="preserve"> 47 U.S.C. §§ 151, 154(i), 154(j), 155, 201, 202, 203, 204, 205, 211, 215, 218, 219, 303(r), 332, 403, 503, and section 706 of the Telecommunications Act of 1996, 47 U.S.C. § 1302.</w:t>
      </w:r>
    </w:p>
    <w:p w:rsidR="00702015" w:rsidRDefault="00702015">
      <w:r>
        <w:br w:type="page"/>
      </w:r>
    </w:p>
    <w:p w:rsidR="00F97D54" w:rsidRPr="00472B58" w:rsidRDefault="00F97D54" w:rsidP="00EB5B97"/>
    <w:p w:rsidR="00F97D54" w:rsidRDefault="00F97D54" w:rsidP="00EB5B97">
      <w:pPr>
        <w:pStyle w:val="Heading2"/>
        <w:numPr>
          <w:ilvl w:val="1"/>
          <w:numId w:val="9"/>
        </w:numPr>
        <w:tabs>
          <w:tab w:val="clear" w:pos="1080"/>
          <w:tab w:val="left" w:pos="1440"/>
        </w:tabs>
        <w:spacing w:after="220"/>
        <w:ind w:left="1440" w:hanging="720"/>
      </w:pPr>
      <w:bookmarkStart w:id="65" w:name="_Toc340567973"/>
      <w:bookmarkStart w:id="66" w:name="_Toc350777042"/>
      <w:bookmarkStart w:id="67" w:name="_Toc365972068"/>
      <w:r w:rsidRPr="001351D5">
        <w:t>Who Must Respond to this Data Collection?</w:t>
      </w:r>
      <w:bookmarkEnd w:id="65"/>
      <w:bookmarkEnd w:id="66"/>
      <w:bookmarkEnd w:id="67"/>
    </w:p>
    <w:p w:rsidR="00F97D54" w:rsidRDefault="00F97D54" w:rsidP="00EB5B97">
      <w:pPr>
        <w:rPr>
          <w:szCs w:val="22"/>
        </w:rPr>
      </w:pPr>
      <w:r>
        <w:rPr>
          <w:szCs w:val="22"/>
        </w:rPr>
        <w:t xml:space="preserve">All </w:t>
      </w:r>
      <w:r w:rsidRPr="00532D82">
        <w:rPr>
          <w:i/>
          <w:szCs w:val="22"/>
        </w:rPr>
        <w:t>Providers</w:t>
      </w:r>
      <w:r>
        <w:rPr>
          <w:szCs w:val="22"/>
        </w:rPr>
        <w:t xml:space="preserve"> and </w:t>
      </w:r>
      <w:r w:rsidRPr="00532D82">
        <w:rPr>
          <w:i/>
          <w:szCs w:val="22"/>
        </w:rPr>
        <w:t>Purchasers</w:t>
      </w:r>
      <w:r>
        <w:rPr>
          <w:szCs w:val="22"/>
        </w:rPr>
        <w:t xml:space="preserve"> of </w:t>
      </w:r>
      <w:r w:rsidRPr="00532D82">
        <w:rPr>
          <w:i/>
          <w:szCs w:val="22"/>
        </w:rPr>
        <w:t>Dedicated Service</w:t>
      </w:r>
      <w:r>
        <w:rPr>
          <w:szCs w:val="22"/>
        </w:rPr>
        <w:t xml:space="preserve"> in areas where the incumbent local exchange carrier (ILEC) is subject to price cap regulation (</w:t>
      </w:r>
      <w:r w:rsidRPr="00B40C71">
        <w:rPr>
          <w:i/>
          <w:szCs w:val="22"/>
        </w:rPr>
        <w:t>i.e.</w:t>
      </w:r>
      <w:r>
        <w:rPr>
          <w:szCs w:val="22"/>
        </w:rPr>
        <w:t>, price cap areas)</w:t>
      </w:r>
      <w:r>
        <w:rPr>
          <w:rStyle w:val="FootnoteReference"/>
          <w:szCs w:val="22"/>
        </w:rPr>
        <w:footnoteReference w:id="178"/>
      </w:r>
      <w:r>
        <w:rPr>
          <w:szCs w:val="22"/>
        </w:rPr>
        <w:t xml:space="preserve"> must respond to this data collection unless specifically excluded.</w:t>
      </w:r>
      <w:r>
        <w:rPr>
          <w:rStyle w:val="FootnoteReference"/>
          <w:szCs w:val="22"/>
        </w:rPr>
        <w:footnoteReference w:id="179"/>
      </w:r>
      <w:r>
        <w:rPr>
          <w:szCs w:val="22"/>
        </w:rPr>
        <w:t xml:space="preserve">  By </w:t>
      </w:r>
      <w:r w:rsidRPr="00532D82">
        <w:rPr>
          <w:i/>
          <w:szCs w:val="22"/>
        </w:rPr>
        <w:t>Providers</w:t>
      </w:r>
      <w:r>
        <w:rPr>
          <w:szCs w:val="22"/>
        </w:rPr>
        <w:t xml:space="preserve">, we mean any entity subject to the Commission’s jurisdiction under the Communications Act of 1934, as amended, that provides </w:t>
      </w:r>
      <w:r w:rsidRPr="00532D82">
        <w:rPr>
          <w:i/>
          <w:szCs w:val="22"/>
        </w:rPr>
        <w:t>Dedicated Service</w:t>
      </w:r>
      <w:r>
        <w:rPr>
          <w:szCs w:val="22"/>
        </w:rPr>
        <w:t xml:space="preserve"> in a price cap area or provides a </w:t>
      </w:r>
      <w:r w:rsidRPr="00532D82">
        <w:rPr>
          <w:i/>
          <w:szCs w:val="22"/>
        </w:rPr>
        <w:t>Connection</w:t>
      </w:r>
      <w:r>
        <w:rPr>
          <w:szCs w:val="22"/>
        </w:rPr>
        <w:t xml:space="preserve"> that is capable of providing a </w:t>
      </w:r>
      <w:r w:rsidRPr="00532D82">
        <w:rPr>
          <w:i/>
          <w:szCs w:val="22"/>
        </w:rPr>
        <w:t>Dedicated Service</w:t>
      </w:r>
      <w:r>
        <w:rPr>
          <w:szCs w:val="22"/>
        </w:rPr>
        <w:t xml:space="preserve"> in a price cap area.  By </w:t>
      </w:r>
      <w:r w:rsidRPr="001B7C1A">
        <w:rPr>
          <w:i/>
          <w:szCs w:val="22"/>
        </w:rPr>
        <w:t>Purchasers</w:t>
      </w:r>
      <w:r>
        <w:rPr>
          <w:szCs w:val="22"/>
        </w:rPr>
        <w:t xml:space="preserve">, we mean any entity subject to the Commission’s jurisdiction that purchases </w:t>
      </w:r>
      <w:r w:rsidRPr="00532D82">
        <w:rPr>
          <w:i/>
          <w:szCs w:val="22"/>
        </w:rPr>
        <w:t>Dedicated Service</w:t>
      </w:r>
      <w:r>
        <w:rPr>
          <w:szCs w:val="22"/>
        </w:rPr>
        <w:t xml:space="preserve"> in a price cap area.  Entities that provide </w:t>
      </w:r>
      <w:r w:rsidRPr="00D92088">
        <w:rPr>
          <w:i/>
          <w:szCs w:val="22"/>
        </w:rPr>
        <w:t>Best Efforts Business Broadband Internet Access Services</w:t>
      </w:r>
      <w:r>
        <w:rPr>
          <w:szCs w:val="22"/>
        </w:rPr>
        <w:t xml:space="preserve"> in an area where the ILEC is subject to price cap regulation are also required to respond to this data collection unless they have fewer than 15,000 customers and fewer than 1,500 business broadband customers as of December 18, 2012.</w:t>
      </w:r>
      <w:r>
        <w:rPr>
          <w:rStyle w:val="FootnoteReference"/>
          <w:szCs w:val="22"/>
        </w:rPr>
        <w:footnoteReference w:id="180"/>
      </w:r>
      <w:r>
        <w:rPr>
          <w:szCs w:val="22"/>
        </w:rPr>
        <w:t xml:space="preserve">  </w:t>
      </w:r>
    </w:p>
    <w:p w:rsidR="00F97D54" w:rsidRDefault="00F97D54" w:rsidP="00EB5B97">
      <w:pPr>
        <w:rPr>
          <w:szCs w:val="22"/>
        </w:rPr>
      </w:pPr>
    </w:p>
    <w:p w:rsidR="00F97D54" w:rsidRDefault="00F97D54" w:rsidP="00EB5B97">
      <w:pPr>
        <w:autoSpaceDE w:val="0"/>
        <w:autoSpaceDN w:val="0"/>
        <w:adjustRightInd w:val="0"/>
        <w:rPr>
          <w:szCs w:val="22"/>
        </w:rPr>
      </w:pPr>
      <w:r w:rsidRPr="008C6921">
        <w:rPr>
          <w:szCs w:val="22"/>
          <w:u w:val="single"/>
        </w:rPr>
        <w:t xml:space="preserve">Covered </w:t>
      </w:r>
      <w:r w:rsidRPr="00A63486">
        <w:rPr>
          <w:i/>
          <w:szCs w:val="22"/>
          <w:u w:val="single"/>
        </w:rPr>
        <w:t>Providers</w:t>
      </w:r>
      <w:r>
        <w:rPr>
          <w:szCs w:val="22"/>
        </w:rPr>
        <w:t xml:space="preserve">.  Types of </w:t>
      </w:r>
      <w:r w:rsidRPr="001B7C1A">
        <w:rPr>
          <w:i/>
          <w:szCs w:val="22"/>
        </w:rPr>
        <w:t>Providers</w:t>
      </w:r>
      <w:r>
        <w:rPr>
          <w:szCs w:val="22"/>
        </w:rPr>
        <w:t xml:space="preserve"> that must respond if they provide a </w:t>
      </w:r>
      <w:r w:rsidRPr="00D92088">
        <w:rPr>
          <w:i/>
          <w:szCs w:val="22"/>
        </w:rPr>
        <w:t>Dedicated Service</w:t>
      </w:r>
      <w:r>
        <w:rPr>
          <w:szCs w:val="22"/>
        </w:rPr>
        <w:t xml:space="preserve"> or have </w:t>
      </w:r>
      <w:r w:rsidRPr="008C6921">
        <w:rPr>
          <w:i/>
          <w:szCs w:val="22"/>
        </w:rPr>
        <w:t>Connections</w:t>
      </w:r>
      <w:r>
        <w:rPr>
          <w:szCs w:val="22"/>
        </w:rPr>
        <w:t xml:space="preserve"> with the capability of providing a </w:t>
      </w:r>
      <w:r w:rsidRPr="00D92088">
        <w:rPr>
          <w:i/>
          <w:szCs w:val="22"/>
        </w:rPr>
        <w:t>Dedicated Service</w:t>
      </w:r>
      <w:r>
        <w:rPr>
          <w:szCs w:val="22"/>
        </w:rPr>
        <w:t xml:space="preserve"> could include, but are not limited to, incumbent local exchange carriers, competitive local exchange carriers, interexchange carriers, cable system operators, fixed wireless service providers (including wireless Internet service providers (WISPs)), terrestrial and satellite mobile wireless service providers, electric utilities, local government entities, certain providers of information services and </w:t>
      </w:r>
      <w:r>
        <w:rPr>
          <w:rFonts w:ascii="TimesNewRomanPSMT" w:hAnsi="TimesNewRomanPSMT" w:cs="TimesNewRomanPSMT"/>
          <w:szCs w:val="22"/>
        </w:rPr>
        <w:t>third party network providers</w:t>
      </w:r>
      <w:r>
        <w:rPr>
          <w:szCs w:val="22"/>
        </w:rPr>
        <w:t xml:space="preserve">.  </w:t>
      </w:r>
    </w:p>
    <w:p w:rsidR="00F97D54" w:rsidRDefault="00F97D54" w:rsidP="00EB5B97">
      <w:pPr>
        <w:rPr>
          <w:szCs w:val="22"/>
        </w:rPr>
      </w:pPr>
    </w:p>
    <w:p w:rsidR="00F97D54" w:rsidRDefault="00F97D54" w:rsidP="00EB5B97">
      <w:pPr>
        <w:rPr>
          <w:szCs w:val="22"/>
        </w:rPr>
      </w:pPr>
      <w:r>
        <w:rPr>
          <w:szCs w:val="22"/>
        </w:rPr>
        <w:t>T</w:t>
      </w:r>
      <w:r w:rsidRPr="00FE7164">
        <w:rPr>
          <w:szCs w:val="22"/>
        </w:rPr>
        <w:t xml:space="preserve">o </w:t>
      </w:r>
      <w:r>
        <w:rPr>
          <w:szCs w:val="22"/>
        </w:rPr>
        <w:t xml:space="preserve">help </w:t>
      </w:r>
      <w:r w:rsidRPr="00FE7164">
        <w:rPr>
          <w:szCs w:val="22"/>
        </w:rPr>
        <w:t xml:space="preserve">ensure that </w:t>
      </w:r>
      <w:r>
        <w:rPr>
          <w:szCs w:val="22"/>
        </w:rPr>
        <w:t>our analysis includes all</w:t>
      </w:r>
      <w:r w:rsidRPr="00FE7164">
        <w:rPr>
          <w:szCs w:val="22"/>
        </w:rPr>
        <w:t xml:space="preserve"> </w:t>
      </w:r>
      <w:r w:rsidRPr="001B7C1A">
        <w:rPr>
          <w:i/>
          <w:szCs w:val="22"/>
        </w:rPr>
        <w:t>Providers</w:t>
      </w:r>
      <w:r w:rsidRPr="00FE7164">
        <w:rPr>
          <w:szCs w:val="22"/>
        </w:rPr>
        <w:t xml:space="preserve"> </w:t>
      </w:r>
      <w:r>
        <w:rPr>
          <w:szCs w:val="22"/>
        </w:rPr>
        <w:t xml:space="preserve">that have </w:t>
      </w:r>
      <w:r w:rsidRPr="00FE7164">
        <w:rPr>
          <w:i/>
          <w:szCs w:val="22"/>
        </w:rPr>
        <w:t>Connections</w:t>
      </w:r>
      <w:r w:rsidRPr="00FE7164">
        <w:rPr>
          <w:szCs w:val="22"/>
        </w:rPr>
        <w:t xml:space="preserve"> </w:t>
      </w:r>
      <w:r>
        <w:rPr>
          <w:szCs w:val="22"/>
        </w:rPr>
        <w:t xml:space="preserve">capable of providing a </w:t>
      </w:r>
      <w:r w:rsidRPr="00FE7164">
        <w:rPr>
          <w:i/>
          <w:szCs w:val="22"/>
        </w:rPr>
        <w:t>Dedicated Service</w:t>
      </w:r>
      <w:r w:rsidRPr="00FE7164">
        <w:rPr>
          <w:szCs w:val="22"/>
        </w:rPr>
        <w:t xml:space="preserve">, any entity </w:t>
      </w:r>
      <w:r>
        <w:rPr>
          <w:szCs w:val="22"/>
        </w:rPr>
        <w:t>required to report broadband connections to end user locations on the FCC Form 477 (</w:t>
      </w:r>
      <w:r w:rsidRPr="00FE7164">
        <w:rPr>
          <w:szCs w:val="22"/>
        </w:rPr>
        <w:t>“Local Telephone Competition and Broadband Reporting”</w:t>
      </w:r>
      <w:r>
        <w:rPr>
          <w:szCs w:val="22"/>
        </w:rPr>
        <w:t xml:space="preserve">) for 2012 must respond to this collection, </w:t>
      </w:r>
      <w:r w:rsidRPr="004A30E5">
        <w:rPr>
          <w:i/>
          <w:szCs w:val="22"/>
        </w:rPr>
        <w:t>i.e.</w:t>
      </w:r>
      <w:r>
        <w:rPr>
          <w:szCs w:val="22"/>
        </w:rPr>
        <w:t xml:space="preserve">, required to file the FCC Form 477 on March 1, 2013, to report connections as of December 31, 2012.  If a FCC Form 477 filer does not (i) provide a </w:t>
      </w:r>
      <w:r w:rsidRPr="00154F36">
        <w:rPr>
          <w:i/>
          <w:szCs w:val="22"/>
        </w:rPr>
        <w:t>Dedicated Service</w:t>
      </w:r>
      <w:r>
        <w:rPr>
          <w:szCs w:val="22"/>
        </w:rPr>
        <w:t xml:space="preserve"> in a price cap area; (ii) provide a </w:t>
      </w:r>
      <w:r w:rsidRPr="00154F36">
        <w:rPr>
          <w:i/>
          <w:szCs w:val="22"/>
        </w:rPr>
        <w:t>Connection</w:t>
      </w:r>
      <w:r>
        <w:rPr>
          <w:szCs w:val="22"/>
        </w:rPr>
        <w:t xml:space="preserve"> capable of providing a </w:t>
      </w:r>
      <w:r w:rsidRPr="00154F36">
        <w:rPr>
          <w:i/>
          <w:szCs w:val="22"/>
        </w:rPr>
        <w:t>Dedicated Service</w:t>
      </w:r>
      <w:r>
        <w:rPr>
          <w:szCs w:val="22"/>
        </w:rPr>
        <w:t xml:space="preserve"> in a price cap area; or (iii) provide a </w:t>
      </w:r>
      <w:r w:rsidRPr="000D7F6D">
        <w:rPr>
          <w:i/>
          <w:szCs w:val="22"/>
        </w:rPr>
        <w:t>Best Efforts Business Broadband Internet Access Service</w:t>
      </w:r>
      <w:r>
        <w:rPr>
          <w:szCs w:val="22"/>
        </w:rPr>
        <w:t xml:space="preserve">, then it will only need to certify as such when responding to this data collection.  </w:t>
      </w:r>
    </w:p>
    <w:p w:rsidR="00F97D54" w:rsidRDefault="00F97D54" w:rsidP="00EB5B97">
      <w:pPr>
        <w:rPr>
          <w:szCs w:val="22"/>
        </w:rPr>
      </w:pPr>
    </w:p>
    <w:p w:rsidR="00F97D54" w:rsidRDefault="00F97D54" w:rsidP="0047272E">
      <w:pPr>
        <w:widowControl/>
        <w:rPr>
          <w:szCs w:val="22"/>
        </w:rPr>
      </w:pPr>
      <w:r>
        <w:rPr>
          <w:szCs w:val="22"/>
        </w:rPr>
        <w:t xml:space="preserve">For example, a carrier providing or purchasing a </w:t>
      </w:r>
      <w:r w:rsidRPr="001B7C1A">
        <w:rPr>
          <w:i/>
          <w:szCs w:val="22"/>
        </w:rPr>
        <w:t>Dedicated Service</w:t>
      </w:r>
      <w:r>
        <w:rPr>
          <w:szCs w:val="22"/>
        </w:rPr>
        <w:t xml:space="preserve"> in an interstate rate-of-return area and that reported broadband connections to end user locations in the Form 477 for Year 2012 would have to respond to this data collection only to indicate that it is not a </w:t>
      </w:r>
      <w:r w:rsidRPr="001F1673">
        <w:rPr>
          <w:i/>
          <w:szCs w:val="22"/>
        </w:rPr>
        <w:t>Provider</w:t>
      </w:r>
      <w:r>
        <w:rPr>
          <w:szCs w:val="22"/>
        </w:rPr>
        <w:t xml:space="preserve">, </w:t>
      </w:r>
      <w:r w:rsidRPr="001F1673">
        <w:rPr>
          <w:i/>
          <w:szCs w:val="22"/>
        </w:rPr>
        <w:t>Purchaser</w:t>
      </w:r>
      <w:r>
        <w:rPr>
          <w:szCs w:val="22"/>
        </w:rPr>
        <w:t xml:space="preserve">, or entity that provides </w:t>
      </w:r>
      <w:r w:rsidRPr="00D92088">
        <w:rPr>
          <w:i/>
          <w:szCs w:val="22"/>
        </w:rPr>
        <w:t>Best Efforts Business Broadband Internet Access Services</w:t>
      </w:r>
      <w:r>
        <w:rPr>
          <w:szCs w:val="22"/>
        </w:rPr>
        <w:t xml:space="preserve"> in a price cap area.</w:t>
      </w:r>
    </w:p>
    <w:p w:rsidR="00F97D54" w:rsidRDefault="00F97D54" w:rsidP="00EB5B97">
      <w:pPr>
        <w:rPr>
          <w:szCs w:val="22"/>
        </w:rPr>
      </w:pPr>
    </w:p>
    <w:p w:rsidR="00F97D54" w:rsidRPr="00B4078F" w:rsidRDefault="00F97D54" w:rsidP="00EB5B97">
      <w:r>
        <w:t xml:space="preserve">For guidance on determining whether you are a </w:t>
      </w:r>
      <w:r w:rsidRPr="002347A7">
        <w:rPr>
          <w:i/>
        </w:rPr>
        <w:t>Provider</w:t>
      </w:r>
      <w:r>
        <w:t xml:space="preserve"> with </w:t>
      </w:r>
      <w:r w:rsidRPr="002347A7">
        <w:rPr>
          <w:i/>
        </w:rPr>
        <w:t>Connections</w:t>
      </w:r>
      <w:r>
        <w:t xml:space="preserve"> “capable” of providing </w:t>
      </w:r>
      <w:r w:rsidRPr="002347A7">
        <w:rPr>
          <w:i/>
        </w:rPr>
        <w:t>Dedicated Service</w:t>
      </w:r>
      <w:r>
        <w:t xml:space="preserve">, see the additional instructions provided </w:t>
      </w:r>
      <w:r>
        <w:rPr>
          <w:szCs w:val="22"/>
        </w:rPr>
        <w:t xml:space="preserve">for identifying reportable </w:t>
      </w:r>
      <w:r w:rsidRPr="002347A7">
        <w:rPr>
          <w:i/>
          <w:szCs w:val="22"/>
        </w:rPr>
        <w:t>Locations</w:t>
      </w:r>
      <w:r>
        <w:rPr>
          <w:szCs w:val="22"/>
        </w:rPr>
        <w:t xml:space="preserve"> with </w:t>
      </w:r>
      <w:r w:rsidRPr="002347A7">
        <w:rPr>
          <w:i/>
          <w:szCs w:val="22"/>
        </w:rPr>
        <w:t>Connections</w:t>
      </w:r>
      <w:r>
        <w:rPr>
          <w:szCs w:val="22"/>
        </w:rPr>
        <w:t xml:space="preserve"> </w:t>
      </w:r>
      <w:r>
        <w:t xml:space="preserve">in “Section III. </w:t>
      </w:r>
      <w:r w:rsidRPr="005B5654">
        <w:rPr>
          <w:szCs w:val="22"/>
        </w:rPr>
        <w:t>Additional Instructions and Data Table Specifications</w:t>
      </w:r>
      <w:r>
        <w:rPr>
          <w:szCs w:val="22"/>
        </w:rPr>
        <w:t>,</w:t>
      </w:r>
      <w:r w:rsidRPr="00596B90">
        <w:rPr>
          <w:szCs w:val="22"/>
        </w:rPr>
        <w:t>”</w:t>
      </w:r>
      <w:r>
        <w:rPr>
          <w:b/>
          <w:szCs w:val="22"/>
        </w:rPr>
        <w:t xml:space="preserve"> </w:t>
      </w:r>
      <w:r>
        <w:rPr>
          <w:szCs w:val="22"/>
        </w:rPr>
        <w:t>Question II.A.3</w:t>
      </w:r>
      <w:r>
        <w:rPr>
          <w:b/>
          <w:szCs w:val="22"/>
        </w:rPr>
        <w:t xml:space="preserve"> (</w:t>
      </w:r>
      <w:r>
        <w:rPr>
          <w:szCs w:val="22"/>
        </w:rPr>
        <w:t xml:space="preserve">directed at </w:t>
      </w:r>
      <w:r w:rsidRPr="005E31C5">
        <w:rPr>
          <w:i/>
          <w:szCs w:val="22"/>
        </w:rPr>
        <w:t>Competitive Providers</w:t>
      </w:r>
      <w:r>
        <w:rPr>
          <w:szCs w:val="22"/>
        </w:rPr>
        <w:t xml:space="preserve">) and Question II.B.2 (directed at </w:t>
      </w:r>
      <w:r w:rsidRPr="005E31C5">
        <w:rPr>
          <w:i/>
          <w:szCs w:val="22"/>
        </w:rPr>
        <w:t>ILECs</w:t>
      </w:r>
      <w:r>
        <w:rPr>
          <w:szCs w:val="22"/>
        </w:rPr>
        <w:t>).</w:t>
      </w:r>
    </w:p>
    <w:p w:rsidR="00F97D54" w:rsidRDefault="00F97D54" w:rsidP="00EB5B97">
      <w:pPr>
        <w:rPr>
          <w:szCs w:val="22"/>
          <w:u w:val="single"/>
        </w:rPr>
      </w:pPr>
    </w:p>
    <w:p w:rsidR="00F97D54" w:rsidRDefault="00F97D54" w:rsidP="00EB5B97">
      <w:pPr>
        <w:rPr>
          <w:szCs w:val="22"/>
        </w:rPr>
      </w:pPr>
      <w:r w:rsidRPr="00632E26">
        <w:rPr>
          <w:szCs w:val="22"/>
          <w:u w:val="single"/>
        </w:rPr>
        <w:t xml:space="preserve">Covered </w:t>
      </w:r>
      <w:r w:rsidRPr="001F1673">
        <w:rPr>
          <w:i/>
          <w:szCs w:val="22"/>
          <w:u w:val="single"/>
        </w:rPr>
        <w:t>Purchasers</w:t>
      </w:r>
      <w:r>
        <w:rPr>
          <w:szCs w:val="22"/>
        </w:rPr>
        <w:t xml:space="preserve">.  Types of </w:t>
      </w:r>
      <w:r w:rsidRPr="001F1673">
        <w:rPr>
          <w:i/>
          <w:szCs w:val="22"/>
        </w:rPr>
        <w:t>Purchasers</w:t>
      </w:r>
      <w:r>
        <w:rPr>
          <w:szCs w:val="22"/>
        </w:rPr>
        <w:t xml:space="preserve"> that must respond if they buy a </w:t>
      </w:r>
      <w:r w:rsidRPr="00840F7E">
        <w:rPr>
          <w:i/>
          <w:szCs w:val="22"/>
        </w:rPr>
        <w:t>Dedicated Service</w:t>
      </w:r>
      <w:r>
        <w:rPr>
          <w:szCs w:val="22"/>
        </w:rPr>
        <w:t xml:space="preserve"> in a price cap area include, but are not limited to, ILECs, competitive local exchange carriers, interexchange carriers (CLECs), cable system operators, wireless providers, satellite service providers, international service providers to and from points in the United States, interconnected and non-interconnected VoIP providers, and certain information service providers such as Internet access providers.</w:t>
      </w:r>
    </w:p>
    <w:p w:rsidR="00F97D54" w:rsidRDefault="00F97D54" w:rsidP="00EB5B97">
      <w:pPr>
        <w:autoSpaceDE w:val="0"/>
        <w:autoSpaceDN w:val="0"/>
        <w:adjustRightInd w:val="0"/>
        <w:rPr>
          <w:szCs w:val="22"/>
        </w:rPr>
      </w:pPr>
    </w:p>
    <w:p w:rsidR="00F97D54" w:rsidRDefault="00F97D54" w:rsidP="00EB5B97">
      <w:pPr>
        <w:autoSpaceDE w:val="0"/>
        <w:autoSpaceDN w:val="0"/>
        <w:adjustRightInd w:val="0"/>
        <w:rPr>
          <w:szCs w:val="22"/>
        </w:rPr>
      </w:pPr>
      <w:r>
        <w:rPr>
          <w:szCs w:val="22"/>
        </w:rPr>
        <w:t xml:space="preserve">Responses are mandatory for covered </w:t>
      </w:r>
      <w:r w:rsidRPr="00A95535">
        <w:rPr>
          <w:i/>
          <w:szCs w:val="22"/>
        </w:rPr>
        <w:t>Purchasers</w:t>
      </w:r>
      <w:r>
        <w:rPr>
          <w:szCs w:val="22"/>
        </w:rPr>
        <w:t xml:space="preserve"> and </w:t>
      </w:r>
      <w:r w:rsidRPr="00A95535">
        <w:rPr>
          <w:i/>
          <w:szCs w:val="22"/>
        </w:rPr>
        <w:t>Providers</w:t>
      </w:r>
      <w:r>
        <w:rPr>
          <w:i/>
          <w:szCs w:val="22"/>
        </w:rPr>
        <w:t xml:space="preserve"> </w:t>
      </w:r>
      <w:r>
        <w:rPr>
          <w:szCs w:val="22"/>
        </w:rPr>
        <w:t xml:space="preserve">and covered entities providing </w:t>
      </w:r>
      <w:r w:rsidRPr="00850783">
        <w:rPr>
          <w:i/>
        </w:rPr>
        <w:t>Best Efforts Business Broadband Internet Access Service</w:t>
      </w:r>
      <w:r>
        <w:rPr>
          <w:szCs w:val="22"/>
        </w:rPr>
        <w:t xml:space="preserve">.  </w:t>
      </w:r>
      <w:r w:rsidRPr="00201D40">
        <w:rPr>
          <w:szCs w:val="22"/>
        </w:rPr>
        <w:t xml:space="preserve">Failure to </w:t>
      </w:r>
      <w:r>
        <w:rPr>
          <w:szCs w:val="22"/>
        </w:rPr>
        <w:t>respond</w:t>
      </w:r>
      <w:r w:rsidRPr="00201D40">
        <w:rPr>
          <w:szCs w:val="22"/>
        </w:rPr>
        <w:t xml:space="preserve"> </w:t>
      </w:r>
      <w:r>
        <w:rPr>
          <w:szCs w:val="22"/>
        </w:rPr>
        <w:t>to this collection</w:t>
      </w:r>
      <w:r w:rsidRPr="00201D40">
        <w:rPr>
          <w:szCs w:val="22"/>
        </w:rPr>
        <w:t xml:space="preserve"> may result in monetary penalties.</w:t>
      </w:r>
      <w:r>
        <w:rPr>
          <w:rStyle w:val="FootnoteReference"/>
          <w:szCs w:val="22"/>
        </w:rPr>
        <w:footnoteReference w:id="181"/>
      </w:r>
      <w:r>
        <w:rPr>
          <w:szCs w:val="22"/>
        </w:rPr>
        <w:t xml:space="preserve">   </w:t>
      </w:r>
    </w:p>
    <w:p w:rsidR="00F97D54" w:rsidRDefault="00F97D54" w:rsidP="00EB5B97">
      <w:pPr>
        <w:autoSpaceDE w:val="0"/>
        <w:autoSpaceDN w:val="0"/>
        <w:adjustRightInd w:val="0"/>
        <w:rPr>
          <w:szCs w:val="22"/>
        </w:rPr>
      </w:pPr>
    </w:p>
    <w:p w:rsidR="00F97D54" w:rsidRDefault="00F97D54" w:rsidP="00EB5B97">
      <w:pPr>
        <w:pStyle w:val="ParaNum"/>
        <w:numPr>
          <w:ilvl w:val="0"/>
          <w:numId w:val="0"/>
        </w:numPr>
      </w:pPr>
      <w:r w:rsidRPr="00457A71">
        <w:rPr>
          <w:szCs w:val="22"/>
          <w:u w:val="single"/>
        </w:rPr>
        <w:t>Entities Specifically Excluded from the Data Collection</w:t>
      </w:r>
      <w:r>
        <w:rPr>
          <w:szCs w:val="22"/>
        </w:rPr>
        <w:t xml:space="preserve">.   Entities falling into </w:t>
      </w:r>
      <w:r>
        <w:t>only one or more of the categories listed below</w:t>
      </w:r>
      <w:r>
        <w:rPr>
          <w:szCs w:val="22"/>
        </w:rPr>
        <w:t xml:space="preserve"> are </w:t>
      </w:r>
      <w:r>
        <w:t xml:space="preserve">specifically </w:t>
      </w:r>
      <w:r w:rsidRPr="00B40C71">
        <w:t>excluded</w:t>
      </w:r>
      <w:r>
        <w:t xml:space="preserve"> from the collection even if they purchase </w:t>
      </w:r>
      <w:r w:rsidRPr="00051455">
        <w:rPr>
          <w:i/>
        </w:rPr>
        <w:t>Dedicated Service</w:t>
      </w:r>
      <w:r>
        <w:t xml:space="preserve"> in a price cap area.  These exclusions do not apply, however, to entities that hold licenses, authorizations or registrations under any other Part of the Commission’s rules not listed below, or that provide a </w:t>
      </w:r>
      <w:r w:rsidRPr="00850783">
        <w:rPr>
          <w:i/>
        </w:rPr>
        <w:t>Dedicated Service</w:t>
      </w:r>
      <w:r>
        <w:t xml:space="preserve"> or a </w:t>
      </w:r>
      <w:r w:rsidRPr="00850783">
        <w:rPr>
          <w:i/>
        </w:rPr>
        <w:t>Best Efforts Business Broadband Internet Access Service</w:t>
      </w:r>
      <w:r>
        <w:rPr>
          <w:i/>
        </w:rPr>
        <w:t xml:space="preserve"> </w:t>
      </w:r>
      <w:r>
        <w:t>in a price cap area.</w:t>
      </w:r>
      <w:r>
        <w:rPr>
          <w:rStyle w:val="FootnoteReference"/>
        </w:rPr>
        <w:footnoteReference w:id="182"/>
      </w:r>
      <w:r>
        <w:t xml:space="preserve">    </w:t>
      </w:r>
    </w:p>
    <w:p w:rsidR="00F97D54" w:rsidRDefault="00F97D54" w:rsidP="00EB5B97">
      <w:pPr>
        <w:pStyle w:val="ParaNum"/>
        <w:numPr>
          <w:ilvl w:val="0"/>
          <w:numId w:val="4"/>
        </w:numPr>
        <w:tabs>
          <w:tab w:val="left" w:pos="1080"/>
        </w:tabs>
        <w:ind w:left="1080"/>
      </w:pPr>
      <w:r w:rsidRPr="00226155">
        <w:rPr>
          <w:i/>
        </w:rPr>
        <w:t>End Users</w:t>
      </w:r>
      <w:r>
        <w:t xml:space="preserve"> that provide an information service; </w:t>
      </w:r>
    </w:p>
    <w:p w:rsidR="00F97D54" w:rsidRDefault="00F97D54" w:rsidP="00EB5B97">
      <w:pPr>
        <w:pStyle w:val="ParaNum"/>
        <w:numPr>
          <w:ilvl w:val="0"/>
          <w:numId w:val="4"/>
        </w:numPr>
        <w:tabs>
          <w:tab w:val="left" w:pos="1080"/>
        </w:tabs>
        <w:ind w:left="1080"/>
      </w:pPr>
      <w:r>
        <w:t>Equipment authorization holders regulated under Parts 2 and 15 of the Commission’s rules;</w:t>
      </w:r>
    </w:p>
    <w:p w:rsidR="00F97D54" w:rsidRDefault="00F97D54" w:rsidP="00EB5B97">
      <w:pPr>
        <w:pStyle w:val="ParaNum"/>
        <w:numPr>
          <w:ilvl w:val="0"/>
          <w:numId w:val="4"/>
        </w:numPr>
        <w:tabs>
          <w:tab w:val="left" w:pos="1080"/>
        </w:tabs>
        <w:ind w:left="1080"/>
      </w:pPr>
      <w:r>
        <w:t>Accounting authorization holders in the maritime and maritime mobile-satellite radio services regulated under Part 3 of the Commission’s rules;</w:t>
      </w:r>
    </w:p>
    <w:p w:rsidR="00F97D54" w:rsidRDefault="00F97D54" w:rsidP="0047272E">
      <w:pPr>
        <w:pStyle w:val="ParaNum"/>
        <w:widowControl/>
        <w:numPr>
          <w:ilvl w:val="0"/>
          <w:numId w:val="4"/>
        </w:numPr>
        <w:tabs>
          <w:tab w:val="left" w:pos="1080"/>
        </w:tabs>
        <w:ind w:left="1080"/>
      </w:pPr>
      <w:r>
        <w:t>Experimental radio authorization holders regulated under Part 5 of the Commission’s rules;</w:t>
      </w:r>
    </w:p>
    <w:p w:rsidR="00F97D54" w:rsidRDefault="00F97D54" w:rsidP="00EB5B97">
      <w:pPr>
        <w:pStyle w:val="ParaNum"/>
        <w:numPr>
          <w:ilvl w:val="0"/>
          <w:numId w:val="4"/>
        </w:numPr>
        <w:tabs>
          <w:tab w:val="left" w:pos="1080"/>
        </w:tabs>
        <w:ind w:left="1080"/>
      </w:pPr>
      <w:r>
        <w:t>Commercial radio operators regulated under Part 13 of the Commission’s rules;</w:t>
      </w:r>
    </w:p>
    <w:p w:rsidR="00F97D54" w:rsidRDefault="00F97D54" w:rsidP="00EB5B97">
      <w:pPr>
        <w:pStyle w:val="ParaNum"/>
        <w:numPr>
          <w:ilvl w:val="0"/>
          <w:numId w:val="4"/>
        </w:numPr>
        <w:tabs>
          <w:tab w:val="left" w:pos="1080"/>
        </w:tabs>
        <w:ind w:left="1080"/>
      </w:pPr>
      <w:r>
        <w:t>Antenna structure registration holders regulated under Part 17 of the Commission’s rules;</w:t>
      </w:r>
    </w:p>
    <w:p w:rsidR="00F97D54" w:rsidRDefault="00F97D54" w:rsidP="00EB5B97">
      <w:pPr>
        <w:pStyle w:val="ParaNum"/>
        <w:numPr>
          <w:ilvl w:val="0"/>
          <w:numId w:val="4"/>
        </w:numPr>
        <w:tabs>
          <w:tab w:val="left" w:pos="1080"/>
        </w:tabs>
        <w:ind w:left="1080"/>
      </w:pPr>
      <w:r>
        <w:t>Television and radio broadcasters regulated under Part 73 of the Commission’s rules;</w:t>
      </w:r>
    </w:p>
    <w:p w:rsidR="00F97D54" w:rsidRDefault="00F97D54" w:rsidP="009F64C0">
      <w:pPr>
        <w:pStyle w:val="ParaNum"/>
        <w:widowControl/>
        <w:numPr>
          <w:ilvl w:val="0"/>
          <w:numId w:val="4"/>
        </w:numPr>
        <w:tabs>
          <w:tab w:val="left" w:pos="1080"/>
        </w:tabs>
        <w:ind w:left="1080"/>
      </w:pPr>
      <w:r>
        <w:t>Holders of authorizations issued pursuant to Part 74 of the Commission’s rules such as experimental radio, auxiliary, s</w:t>
      </w:r>
      <w:r w:rsidRPr="00103CC6">
        <w:t xml:space="preserve">pecial </w:t>
      </w:r>
      <w:r>
        <w:t>broadcast and other program distribution service authorizations;</w:t>
      </w:r>
    </w:p>
    <w:p w:rsidR="00F97D54" w:rsidRDefault="00F97D54" w:rsidP="00EB5B97">
      <w:pPr>
        <w:pStyle w:val="ParaNum"/>
        <w:numPr>
          <w:ilvl w:val="0"/>
          <w:numId w:val="4"/>
        </w:numPr>
        <w:tabs>
          <w:tab w:val="left" w:pos="1080"/>
        </w:tabs>
        <w:ind w:left="1080"/>
      </w:pPr>
      <w:r>
        <w:t>Maritime service authorization holders regulated under Part 80 of the Commission’s rules;</w:t>
      </w:r>
    </w:p>
    <w:p w:rsidR="00F97D54" w:rsidRDefault="00F97D54" w:rsidP="00EB5B97">
      <w:pPr>
        <w:pStyle w:val="ParaNum"/>
        <w:numPr>
          <w:ilvl w:val="0"/>
          <w:numId w:val="4"/>
        </w:numPr>
        <w:tabs>
          <w:tab w:val="left" w:pos="1080"/>
        </w:tabs>
        <w:ind w:left="1080"/>
      </w:pPr>
      <w:r>
        <w:t>Aviation service authorization holders regulated under Part 87 of the Commission’s rules;</w:t>
      </w:r>
    </w:p>
    <w:p w:rsidR="00F97D54" w:rsidRDefault="00F97D54" w:rsidP="00EB5B97">
      <w:pPr>
        <w:pStyle w:val="ParaNum"/>
        <w:numPr>
          <w:ilvl w:val="0"/>
          <w:numId w:val="4"/>
        </w:numPr>
        <w:tabs>
          <w:tab w:val="left" w:pos="1080"/>
        </w:tabs>
        <w:ind w:left="1080"/>
      </w:pPr>
      <w:r>
        <w:t>Private land mobile radio service authorization holders regulated under Part 90 of the Commission’s rules except for holders of authorizations under Part 90 for the provision of point-to-point fixed microwave services and authorizations in the Wireless Broadband Services frequency band, 3650-3700 MHz;</w:t>
      </w:r>
    </w:p>
    <w:p w:rsidR="00F97D54" w:rsidRDefault="00F97D54" w:rsidP="00EB5B97">
      <w:pPr>
        <w:pStyle w:val="ParaNum"/>
        <w:numPr>
          <w:ilvl w:val="0"/>
          <w:numId w:val="4"/>
        </w:numPr>
        <w:tabs>
          <w:tab w:val="left" w:pos="1080"/>
        </w:tabs>
        <w:ind w:left="1080"/>
      </w:pPr>
      <w:r>
        <w:t>Personal radio service authorization holders regulated under Part 95 of the Commission’s rules; and</w:t>
      </w:r>
    </w:p>
    <w:p w:rsidR="00F97D54" w:rsidRDefault="00F97D54" w:rsidP="00EB5B97">
      <w:pPr>
        <w:pStyle w:val="ParaNum"/>
        <w:numPr>
          <w:ilvl w:val="0"/>
          <w:numId w:val="4"/>
        </w:numPr>
        <w:tabs>
          <w:tab w:val="left" w:pos="1080"/>
        </w:tabs>
        <w:ind w:left="1080"/>
      </w:pPr>
      <w:r>
        <w:t>Amateur radio service authorization holders regulated under Part 97 of the Commission’s rules.</w:t>
      </w:r>
    </w:p>
    <w:p w:rsidR="00F97D54" w:rsidRDefault="00F97D54" w:rsidP="00EB5B97">
      <w:pPr>
        <w:autoSpaceDE w:val="0"/>
        <w:autoSpaceDN w:val="0"/>
        <w:adjustRightInd w:val="0"/>
        <w:rPr>
          <w:szCs w:val="22"/>
        </w:rPr>
      </w:pPr>
      <w:r>
        <w:t xml:space="preserve">These exclusions only apply to the categorically excluded entity and do not extend to other entities within the same corporate structure or entities that are otherwise affiliated with the excluded entity.  For example, if an entity holding a television broadcast authorization is affiliated with a cable company that provides </w:t>
      </w:r>
      <w:r w:rsidRPr="00850783">
        <w:rPr>
          <w:i/>
        </w:rPr>
        <w:t>Dedicated Service</w:t>
      </w:r>
      <w:r>
        <w:t>, the affiliated cable company must still respond to the data collection even though the television broadcasting entity is not required to respond.  In addition, for clarity, we point out that these categorical exclusions do not include common carriers (wired or wireless), mobile wireless service providers, cable system operators even if they only provide video program services, international service providers, satellite service providers, or entities that hold FCC authorizations for the provision of fixed point-to-point microwave services.</w:t>
      </w:r>
    </w:p>
    <w:p w:rsidR="00F97D54" w:rsidRDefault="00F97D54" w:rsidP="00EB5B97">
      <w:pPr>
        <w:rPr>
          <w:szCs w:val="22"/>
        </w:rPr>
      </w:pPr>
    </w:p>
    <w:p w:rsidR="00F97D54" w:rsidRDefault="00F97D54" w:rsidP="00EB5B97">
      <w:pPr>
        <w:rPr>
          <w:szCs w:val="22"/>
        </w:rPr>
      </w:pPr>
      <w:r>
        <w:rPr>
          <w:szCs w:val="22"/>
        </w:rPr>
        <w:t xml:space="preserve">Note that even if you fall within one of these specific exclusion categories but were required to report broadband connections to end users on the Form 477 for 2012, you are still required to respond to this data collection only to indicate that you are not a </w:t>
      </w:r>
      <w:r w:rsidRPr="001F1673">
        <w:rPr>
          <w:i/>
          <w:szCs w:val="22"/>
        </w:rPr>
        <w:t>Provider</w:t>
      </w:r>
      <w:r>
        <w:rPr>
          <w:szCs w:val="22"/>
        </w:rPr>
        <w:t xml:space="preserve">, </w:t>
      </w:r>
      <w:r w:rsidRPr="001F1673">
        <w:rPr>
          <w:i/>
          <w:szCs w:val="22"/>
        </w:rPr>
        <w:t>Purchaser</w:t>
      </w:r>
      <w:r>
        <w:rPr>
          <w:szCs w:val="22"/>
        </w:rPr>
        <w:t xml:space="preserve">, or entity that provides </w:t>
      </w:r>
      <w:r w:rsidRPr="00D92088">
        <w:rPr>
          <w:i/>
          <w:szCs w:val="22"/>
        </w:rPr>
        <w:t>Best Efforts Business Broadband Internet Access Services</w:t>
      </w:r>
      <w:r>
        <w:rPr>
          <w:szCs w:val="22"/>
        </w:rPr>
        <w:t xml:space="preserve"> in a price cap area.</w:t>
      </w:r>
    </w:p>
    <w:p w:rsidR="00F97D54" w:rsidRDefault="00F97D54" w:rsidP="00EB5B97">
      <w:pPr>
        <w:rPr>
          <w:szCs w:val="22"/>
        </w:rPr>
      </w:pPr>
    </w:p>
    <w:p w:rsidR="00702015" w:rsidRDefault="00702015">
      <w:pPr>
        <w:rPr>
          <w:b/>
        </w:rPr>
      </w:pPr>
      <w:bookmarkStart w:id="68" w:name="_Toc340567974"/>
      <w:bookmarkStart w:id="69" w:name="_Toc350777043"/>
      <w:bookmarkStart w:id="70" w:name="_Toc365972069"/>
    </w:p>
    <w:p w:rsidR="00F97D54" w:rsidRDefault="00F97D54" w:rsidP="00EB5B97">
      <w:pPr>
        <w:pStyle w:val="Heading2"/>
        <w:numPr>
          <w:ilvl w:val="1"/>
          <w:numId w:val="9"/>
        </w:numPr>
        <w:tabs>
          <w:tab w:val="clear" w:pos="1080"/>
          <w:tab w:val="left" w:pos="1440"/>
        </w:tabs>
        <w:spacing w:after="220"/>
        <w:ind w:left="1440" w:hanging="720"/>
      </w:pPr>
      <w:r w:rsidRPr="001351D5">
        <w:t>Responding to the Data Collection</w:t>
      </w:r>
      <w:bookmarkEnd w:id="68"/>
      <w:bookmarkEnd w:id="69"/>
      <w:bookmarkEnd w:id="70"/>
    </w:p>
    <w:p w:rsidR="00F97D54" w:rsidRPr="00377ADE" w:rsidRDefault="00F97D54" w:rsidP="00EB5B97">
      <w:pPr>
        <w:rPr>
          <w:szCs w:val="22"/>
        </w:rPr>
      </w:pPr>
      <w:r>
        <w:rPr>
          <w:szCs w:val="22"/>
        </w:rPr>
        <w:t>The Commission will create a secure Special Access Web Portal for the electronic submission of responses.</w:t>
      </w:r>
      <w:r>
        <w:rPr>
          <w:rStyle w:val="FootnoteReference"/>
          <w:szCs w:val="22"/>
        </w:rPr>
        <w:footnoteReference w:id="183"/>
      </w:r>
      <w:r>
        <w:rPr>
          <w:szCs w:val="22"/>
        </w:rPr>
        <w:t xml:space="preserve">  Filers will login using an FCC Registration Number (FRN) and password and</w:t>
      </w:r>
      <w:r w:rsidRPr="00377ADE">
        <w:rPr>
          <w:szCs w:val="22"/>
        </w:rPr>
        <w:t xml:space="preserve"> download a data container that will include </w:t>
      </w:r>
      <w:r>
        <w:rPr>
          <w:szCs w:val="22"/>
        </w:rPr>
        <w:t>record specifications</w:t>
      </w:r>
      <w:r w:rsidRPr="00377ADE">
        <w:rPr>
          <w:szCs w:val="22"/>
        </w:rPr>
        <w:t xml:space="preserve"> for compiling data responses and softwar</w:t>
      </w:r>
      <w:r>
        <w:rPr>
          <w:szCs w:val="22"/>
        </w:rPr>
        <w:t>e tools to verify that data is submitted</w:t>
      </w:r>
      <w:r w:rsidRPr="00377ADE">
        <w:rPr>
          <w:szCs w:val="22"/>
        </w:rPr>
        <w:t xml:space="preserve"> in the appropriate format.</w:t>
      </w:r>
      <w:r w:rsidRPr="00377ADE">
        <w:rPr>
          <w:rStyle w:val="FootnoteReference"/>
          <w:szCs w:val="22"/>
        </w:rPr>
        <w:footnoteReference w:id="184"/>
      </w:r>
      <w:r w:rsidRPr="00377ADE">
        <w:rPr>
          <w:szCs w:val="22"/>
        </w:rPr>
        <w:t xml:space="preserve">  </w:t>
      </w:r>
      <w:r>
        <w:rPr>
          <w:szCs w:val="22"/>
        </w:rPr>
        <w:t>Filers</w:t>
      </w:r>
      <w:r w:rsidRPr="00377ADE">
        <w:rPr>
          <w:szCs w:val="22"/>
        </w:rPr>
        <w:t xml:space="preserve"> </w:t>
      </w:r>
      <w:r>
        <w:rPr>
          <w:szCs w:val="22"/>
        </w:rPr>
        <w:t xml:space="preserve">will subsequently login using its FRN and password and </w:t>
      </w:r>
      <w:r w:rsidRPr="00377ADE">
        <w:rPr>
          <w:szCs w:val="22"/>
        </w:rPr>
        <w:t xml:space="preserve">electronically </w:t>
      </w:r>
      <w:r>
        <w:rPr>
          <w:szCs w:val="22"/>
        </w:rPr>
        <w:t>submit responses to the data collection.  The Wireline Competition Bureau (Bureau) will provide additional details on the electronic filing</w:t>
      </w:r>
      <w:r w:rsidRPr="00377ADE">
        <w:rPr>
          <w:szCs w:val="22"/>
        </w:rPr>
        <w:t xml:space="preserve"> </w:t>
      </w:r>
      <w:r>
        <w:rPr>
          <w:szCs w:val="22"/>
        </w:rPr>
        <w:t>process in advance of the submission deadline.</w:t>
      </w:r>
    </w:p>
    <w:p w:rsidR="00F97D54" w:rsidRDefault="00F97D54" w:rsidP="00EB5B97"/>
    <w:p w:rsidR="00F97D54" w:rsidRPr="00B05344" w:rsidRDefault="00F97D54" w:rsidP="00EB5B97">
      <w:pPr>
        <w:pStyle w:val="Heading2"/>
        <w:numPr>
          <w:ilvl w:val="1"/>
          <w:numId w:val="9"/>
        </w:numPr>
        <w:tabs>
          <w:tab w:val="clear" w:pos="1080"/>
          <w:tab w:val="left" w:pos="1440"/>
        </w:tabs>
        <w:spacing w:after="220"/>
        <w:ind w:left="1440" w:hanging="720"/>
      </w:pPr>
      <w:bookmarkStart w:id="71" w:name="_Toc350777044"/>
      <w:bookmarkStart w:id="72" w:name="_Toc365972070"/>
      <w:r w:rsidRPr="00B05344">
        <w:t>Geographic Scope of Submitted Data and Information</w:t>
      </w:r>
      <w:bookmarkEnd w:id="71"/>
      <w:bookmarkEnd w:id="72"/>
    </w:p>
    <w:p w:rsidR="00F97D54" w:rsidRPr="00B05344" w:rsidRDefault="00F97D54" w:rsidP="00EB5B97">
      <w:r w:rsidRPr="00B05344">
        <w:t xml:space="preserve">With </w:t>
      </w:r>
      <w:r>
        <w:t>limited</w:t>
      </w:r>
      <w:r w:rsidRPr="00B05344">
        <w:t xml:space="preserve"> exceptions, we are requesting data on a nationwide basis for those geographic areas </w:t>
      </w:r>
      <w:r>
        <w:t xml:space="preserve">where the </w:t>
      </w:r>
      <w:r w:rsidRPr="00051455">
        <w:t>ILEC</w:t>
      </w:r>
      <w:r>
        <w:t xml:space="preserve"> is </w:t>
      </w:r>
      <w:r w:rsidRPr="00B05344">
        <w:t xml:space="preserve">subject to price cap regulation.  </w:t>
      </w:r>
      <w:r>
        <w:t xml:space="preserve">However, for administrative ease, respondents can submit data that includes both price cap and non-price cap areas.  </w:t>
      </w:r>
    </w:p>
    <w:p w:rsidR="00F97D54" w:rsidRPr="00377ADE" w:rsidRDefault="00F97D54" w:rsidP="00EB5B97"/>
    <w:p w:rsidR="00F97D54" w:rsidRPr="00DC7175" w:rsidRDefault="00F97D54" w:rsidP="00EB5B97">
      <w:pPr>
        <w:pStyle w:val="Heading2"/>
        <w:numPr>
          <w:ilvl w:val="1"/>
          <w:numId w:val="9"/>
        </w:numPr>
        <w:tabs>
          <w:tab w:val="clear" w:pos="1080"/>
          <w:tab w:val="left" w:pos="1440"/>
        </w:tabs>
        <w:spacing w:after="220"/>
        <w:ind w:left="1440" w:hanging="720"/>
      </w:pPr>
      <w:bookmarkStart w:id="73" w:name="_Toc350777045"/>
      <w:bookmarkStart w:id="74" w:name="_Toc365972071"/>
      <w:r w:rsidRPr="001351D5">
        <w:t>When to File</w:t>
      </w:r>
      <w:bookmarkEnd w:id="73"/>
      <w:bookmarkEnd w:id="74"/>
    </w:p>
    <w:p w:rsidR="00F97D54" w:rsidRDefault="00F97D54" w:rsidP="00EB5B97">
      <w:pPr>
        <w:autoSpaceDE w:val="0"/>
        <w:autoSpaceDN w:val="0"/>
        <w:adjustRightInd w:val="0"/>
        <w:rPr>
          <w:szCs w:val="22"/>
        </w:rPr>
      </w:pPr>
      <w:r>
        <w:rPr>
          <w:szCs w:val="22"/>
        </w:rPr>
        <w:t xml:space="preserve">Once the collection is approved by the Office of Management and Budget (OMB) in accordance with the Paperwork Reduction Act of 1995, the Bureau will issue a public notice announcing when responses are due.   </w:t>
      </w:r>
    </w:p>
    <w:p w:rsidR="00F97D54" w:rsidRPr="001321DF" w:rsidRDefault="00F97D54" w:rsidP="00EB5B97">
      <w:pPr>
        <w:autoSpaceDE w:val="0"/>
        <w:autoSpaceDN w:val="0"/>
        <w:adjustRightInd w:val="0"/>
        <w:rPr>
          <w:szCs w:val="22"/>
        </w:rPr>
      </w:pPr>
    </w:p>
    <w:p w:rsidR="00F97D54" w:rsidRPr="00DC7175" w:rsidRDefault="00F97D54" w:rsidP="00EB5B97">
      <w:pPr>
        <w:pStyle w:val="Heading2"/>
        <w:numPr>
          <w:ilvl w:val="1"/>
          <w:numId w:val="9"/>
        </w:numPr>
        <w:tabs>
          <w:tab w:val="clear" w:pos="1080"/>
          <w:tab w:val="left" w:pos="1440"/>
        </w:tabs>
        <w:spacing w:after="220"/>
        <w:ind w:left="1440" w:hanging="720"/>
      </w:pPr>
      <w:bookmarkStart w:id="75" w:name="_Toc340567978"/>
      <w:bookmarkStart w:id="76" w:name="_Toc350777046"/>
      <w:bookmarkStart w:id="77" w:name="_Toc365972072"/>
      <w:r w:rsidRPr="00863914">
        <w:t>Certification of Filing Accuracy</w:t>
      </w:r>
      <w:bookmarkEnd w:id="75"/>
      <w:bookmarkEnd w:id="76"/>
      <w:bookmarkEnd w:id="77"/>
    </w:p>
    <w:p w:rsidR="00F97D54" w:rsidRPr="008668C8" w:rsidRDefault="00F97D54" w:rsidP="00EB5B97">
      <w:pPr>
        <w:autoSpaceDE w:val="0"/>
        <w:autoSpaceDN w:val="0"/>
        <w:adjustRightInd w:val="0"/>
        <w:rPr>
          <w:color w:val="000000"/>
          <w:szCs w:val="22"/>
        </w:rPr>
      </w:pPr>
      <w:r w:rsidRPr="008668C8">
        <w:rPr>
          <w:color w:val="000000"/>
          <w:szCs w:val="22"/>
        </w:rPr>
        <w:t>Each submission must include a completed certifi</w:t>
      </w:r>
      <w:r>
        <w:rPr>
          <w:color w:val="000000"/>
          <w:szCs w:val="22"/>
        </w:rPr>
        <w:t>cation of filing accuracy.  The</w:t>
      </w:r>
      <w:r w:rsidRPr="008668C8">
        <w:rPr>
          <w:color w:val="000000"/>
          <w:szCs w:val="22"/>
        </w:rPr>
        <w:t xml:space="preserve"> certification must include the name and signature of a company official (</w:t>
      </w:r>
      <w:r>
        <w:rPr>
          <w:i/>
          <w:color w:val="000000"/>
          <w:szCs w:val="22"/>
        </w:rPr>
        <w:t>e.g.</w:t>
      </w:r>
      <w:r>
        <w:rPr>
          <w:color w:val="000000"/>
          <w:szCs w:val="22"/>
        </w:rPr>
        <w:t xml:space="preserve">, </w:t>
      </w:r>
      <w:r w:rsidRPr="008668C8">
        <w:rPr>
          <w:color w:val="000000"/>
          <w:szCs w:val="22"/>
        </w:rPr>
        <w:t xml:space="preserve">corporate officer, managing partner, or sole proprietor) who certifies that he or she has examined the information contained in the data request submission and that, to the best of his/her knowledge, information, and belief, all statements of fact, data, and information contained in the submission are true and correct.  Persons making </w:t>
      </w:r>
      <w:r w:rsidRPr="008668C8">
        <w:rPr>
          <w:szCs w:val="22"/>
        </w:rPr>
        <w:t>false statements or misrepresentations to the Commission can be punished by fine or imprisonment under Title 18 of the U.S. Code.</w:t>
      </w:r>
      <w:r>
        <w:rPr>
          <w:szCs w:val="22"/>
        </w:rPr>
        <w:t xml:space="preserve">  A sample certification is contained in the Mandatory Data Collection.</w:t>
      </w:r>
      <w:r>
        <w:rPr>
          <w:rStyle w:val="FootnoteReference"/>
          <w:szCs w:val="22"/>
        </w:rPr>
        <w:footnoteReference w:id="185"/>
      </w:r>
      <w:r>
        <w:rPr>
          <w:szCs w:val="22"/>
        </w:rPr>
        <w:t xml:space="preserve">  </w:t>
      </w:r>
      <w:r w:rsidRPr="007F7301">
        <w:rPr>
          <w:b/>
          <w:szCs w:val="22"/>
        </w:rPr>
        <w:t xml:space="preserve">Filers will electronically submit the certification when submitting the Filer Identification Information electronically filed with each submission, </w:t>
      </w:r>
      <w:r w:rsidRPr="007F7301">
        <w:rPr>
          <w:i/>
          <w:szCs w:val="22"/>
        </w:rPr>
        <w:t>see</w:t>
      </w:r>
      <w:r w:rsidRPr="007F7301">
        <w:rPr>
          <w:szCs w:val="22"/>
        </w:rPr>
        <w:t xml:space="preserve"> “Section III:  Additional Instructions and Data Table Specifications.”</w:t>
      </w:r>
      <w:r>
        <w:rPr>
          <w:szCs w:val="22"/>
        </w:rPr>
        <w:t xml:space="preserve"> </w:t>
      </w:r>
    </w:p>
    <w:p w:rsidR="00F97D54" w:rsidRPr="00F13503" w:rsidRDefault="00F97D54" w:rsidP="00EB5B97"/>
    <w:p w:rsidR="00F97D54" w:rsidRPr="00DC7175" w:rsidRDefault="00F97D54" w:rsidP="00EB5B97">
      <w:pPr>
        <w:pStyle w:val="Heading2"/>
        <w:numPr>
          <w:ilvl w:val="1"/>
          <w:numId w:val="9"/>
        </w:numPr>
        <w:tabs>
          <w:tab w:val="clear" w:pos="1080"/>
          <w:tab w:val="left" w:pos="1440"/>
        </w:tabs>
        <w:spacing w:after="220"/>
        <w:ind w:left="1440" w:hanging="720"/>
      </w:pPr>
      <w:bookmarkStart w:id="78" w:name="_Toc340567979"/>
      <w:bookmarkStart w:id="79" w:name="_Toc350777047"/>
      <w:bookmarkStart w:id="80" w:name="_Toc365972073"/>
      <w:r w:rsidRPr="00863914">
        <w:t>Confidentiality</w:t>
      </w:r>
      <w:bookmarkEnd w:id="78"/>
      <w:bookmarkEnd w:id="79"/>
      <w:bookmarkEnd w:id="80"/>
      <w:r w:rsidRPr="00863914">
        <w:t xml:space="preserve"> </w:t>
      </w:r>
    </w:p>
    <w:p w:rsidR="00F97D54" w:rsidRPr="00BF2EA8" w:rsidRDefault="00F97D54" w:rsidP="00EB5B97">
      <w:pPr>
        <w:autoSpaceDE w:val="0"/>
        <w:autoSpaceDN w:val="0"/>
        <w:adjustRightInd w:val="0"/>
        <w:rPr>
          <w:szCs w:val="22"/>
        </w:rPr>
      </w:pPr>
      <w:r>
        <w:rPr>
          <w:szCs w:val="22"/>
        </w:rPr>
        <w:t>Respondents are required to submit data and information on revenues, prices, expenditures, subscribers, and facilities for the collection that is highly sensitive and not routinely made available to the public.  In advance of the filing deadline, the Bureau will issue a Protective Order detailing the procedures for requesting confidentiality and accessing confidential and highly confidential data and information.</w:t>
      </w:r>
      <w:r>
        <w:rPr>
          <w:rStyle w:val="FootnoteReference"/>
          <w:szCs w:val="22"/>
        </w:rPr>
        <w:footnoteReference w:id="186"/>
      </w:r>
      <w:r>
        <w:rPr>
          <w:szCs w:val="22"/>
        </w:rPr>
        <w:t xml:space="preserve">              </w:t>
      </w:r>
    </w:p>
    <w:p w:rsidR="00F97D54" w:rsidRPr="005726F0" w:rsidRDefault="00F97D54" w:rsidP="00EB5B97"/>
    <w:p w:rsidR="00F97D54" w:rsidRPr="00DC7175" w:rsidRDefault="00F97D54" w:rsidP="00EB5B97">
      <w:pPr>
        <w:pStyle w:val="Heading2"/>
        <w:numPr>
          <w:ilvl w:val="1"/>
          <w:numId w:val="9"/>
        </w:numPr>
        <w:tabs>
          <w:tab w:val="clear" w:pos="1080"/>
          <w:tab w:val="left" w:pos="1440"/>
        </w:tabs>
        <w:spacing w:after="220"/>
        <w:ind w:left="1440" w:hanging="720"/>
      </w:pPr>
      <w:bookmarkStart w:id="81" w:name="_Toc350777048"/>
      <w:bookmarkStart w:id="82" w:name="_Toc365972074"/>
      <w:r w:rsidRPr="00496D66">
        <w:t xml:space="preserve">Retention of </w:t>
      </w:r>
      <w:r>
        <w:t>Records</w:t>
      </w:r>
      <w:bookmarkEnd w:id="81"/>
      <w:bookmarkEnd w:id="82"/>
    </w:p>
    <w:p w:rsidR="00F97D54" w:rsidRDefault="00F97D54" w:rsidP="00EB5B97">
      <w:pPr>
        <w:autoSpaceDE w:val="0"/>
        <w:autoSpaceDN w:val="0"/>
        <w:adjustRightInd w:val="0"/>
        <w:rPr>
          <w:szCs w:val="22"/>
        </w:rPr>
      </w:pPr>
      <w:r w:rsidRPr="00BA23CF">
        <w:rPr>
          <w:szCs w:val="22"/>
        </w:rPr>
        <w:t>Respondents are required to retain</w:t>
      </w:r>
      <w:r>
        <w:rPr>
          <w:szCs w:val="22"/>
        </w:rPr>
        <w:t xml:space="preserve">, for a period of three years </w:t>
      </w:r>
      <w:r w:rsidRPr="00BA23CF">
        <w:rPr>
          <w:szCs w:val="22"/>
        </w:rPr>
        <w:t xml:space="preserve">or until the </w:t>
      </w:r>
      <w:r>
        <w:rPr>
          <w:szCs w:val="22"/>
        </w:rPr>
        <w:t>Commission</w:t>
      </w:r>
      <w:r w:rsidRPr="00BA23CF">
        <w:rPr>
          <w:szCs w:val="22"/>
        </w:rPr>
        <w:t xml:space="preserve"> issues a notice relieving respondents of this re</w:t>
      </w:r>
      <w:r>
        <w:rPr>
          <w:szCs w:val="22"/>
        </w:rPr>
        <w:t>quirement,</w:t>
      </w:r>
      <w:r w:rsidRPr="00BA23CF">
        <w:rPr>
          <w:szCs w:val="22"/>
        </w:rPr>
        <w:t xml:space="preserve"> any </w:t>
      </w:r>
      <w:r>
        <w:rPr>
          <w:szCs w:val="22"/>
        </w:rPr>
        <w:t xml:space="preserve">records, </w:t>
      </w:r>
      <w:r w:rsidRPr="00BA23CF">
        <w:rPr>
          <w:szCs w:val="22"/>
        </w:rPr>
        <w:t xml:space="preserve">data, documents, documentation, or other information </w:t>
      </w:r>
      <w:r>
        <w:rPr>
          <w:szCs w:val="22"/>
        </w:rPr>
        <w:t xml:space="preserve">prepared, used, or relied upon by the respondents for their responses </w:t>
      </w:r>
      <w:r w:rsidRPr="00BA23CF">
        <w:rPr>
          <w:szCs w:val="22"/>
        </w:rPr>
        <w:t>to th</w:t>
      </w:r>
      <w:r>
        <w:rPr>
          <w:szCs w:val="22"/>
        </w:rPr>
        <w:t>i</w:t>
      </w:r>
      <w:r w:rsidRPr="00BA23CF">
        <w:rPr>
          <w:szCs w:val="22"/>
        </w:rPr>
        <w:t xml:space="preserve">s data </w:t>
      </w:r>
      <w:r>
        <w:rPr>
          <w:szCs w:val="22"/>
        </w:rPr>
        <w:t>collection.</w:t>
      </w:r>
      <w:r>
        <w:rPr>
          <w:rStyle w:val="FootnoteReference"/>
          <w:szCs w:val="22"/>
        </w:rPr>
        <w:footnoteReference w:id="187"/>
      </w:r>
    </w:p>
    <w:p w:rsidR="00F97D54" w:rsidRDefault="00F97D54" w:rsidP="00EB5B97">
      <w:pPr>
        <w:autoSpaceDE w:val="0"/>
        <w:autoSpaceDN w:val="0"/>
        <w:adjustRightInd w:val="0"/>
        <w:rPr>
          <w:szCs w:val="22"/>
        </w:rPr>
      </w:pPr>
    </w:p>
    <w:p w:rsidR="00F97D54" w:rsidRPr="00DC7175" w:rsidRDefault="00F97D54" w:rsidP="00EB5B97">
      <w:pPr>
        <w:pStyle w:val="Heading2"/>
        <w:numPr>
          <w:ilvl w:val="1"/>
          <w:numId w:val="9"/>
        </w:numPr>
        <w:tabs>
          <w:tab w:val="clear" w:pos="1080"/>
          <w:tab w:val="left" w:pos="1440"/>
        </w:tabs>
        <w:spacing w:after="220"/>
        <w:ind w:left="1440" w:hanging="720"/>
      </w:pPr>
      <w:bookmarkStart w:id="83" w:name="_Toc350777049"/>
      <w:bookmarkStart w:id="84" w:name="_Toc365972075"/>
      <w:r>
        <w:t>Paperwork Reduction Act Notices</w:t>
      </w:r>
      <w:bookmarkEnd w:id="83"/>
      <w:bookmarkEnd w:id="84"/>
    </w:p>
    <w:p w:rsidR="00F97D54" w:rsidRDefault="00F97D54" w:rsidP="00EB5B97">
      <w:pPr>
        <w:autoSpaceDE w:val="0"/>
        <w:autoSpaceDN w:val="0"/>
        <w:adjustRightInd w:val="0"/>
        <w:rPr>
          <w:szCs w:val="22"/>
        </w:rPr>
      </w:pPr>
      <w:r>
        <w:rPr>
          <w:szCs w:val="22"/>
        </w:rPr>
        <w:t xml:space="preserve">This document contains information collection and recordkeeping requirements and will not become effective until approval has been given by the OMB.  Covered parties are not required to respond to the information collection and recordkeeping requirements contained herein until a notice of approval has been published in the Federal Register.  </w:t>
      </w:r>
    </w:p>
    <w:p w:rsidR="00F97D54" w:rsidRDefault="00F97D54" w:rsidP="00EB5B97">
      <w:pPr>
        <w:autoSpaceDE w:val="0"/>
        <w:autoSpaceDN w:val="0"/>
        <w:adjustRightInd w:val="0"/>
        <w:rPr>
          <w:szCs w:val="22"/>
        </w:rPr>
      </w:pPr>
    </w:p>
    <w:p w:rsidR="00F97D54" w:rsidRDefault="00F97D54" w:rsidP="00EB5B97">
      <w:pPr>
        <w:autoSpaceDE w:val="0"/>
        <w:autoSpaceDN w:val="0"/>
        <w:adjustRightInd w:val="0"/>
        <w:rPr>
          <w:szCs w:val="22"/>
        </w:rPr>
      </w:pPr>
      <w:r>
        <w:rPr>
          <w:szCs w:val="22"/>
        </w:rPr>
        <w:t xml:space="preserve">The time needed to complete and file responses to the data collection will vary depending on individual circumstances.  There is significant variation among </w:t>
      </w:r>
      <w:r w:rsidRPr="00FC0209">
        <w:rPr>
          <w:i/>
          <w:szCs w:val="22"/>
        </w:rPr>
        <w:t>Providers</w:t>
      </w:r>
      <w:r>
        <w:rPr>
          <w:szCs w:val="22"/>
        </w:rPr>
        <w:t xml:space="preserve"> and </w:t>
      </w:r>
      <w:r w:rsidRPr="00FC0209">
        <w:rPr>
          <w:i/>
          <w:szCs w:val="22"/>
        </w:rPr>
        <w:t>Purchasers</w:t>
      </w:r>
      <w:r>
        <w:rPr>
          <w:szCs w:val="22"/>
        </w:rPr>
        <w:t xml:space="preserve"> in the number of questions to be answered and the amount of responsive data and information they are required to furnish.  We have estimated that each response to this collection of information will take an average of </w:t>
      </w:r>
      <w:r w:rsidR="00576C5A">
        <w:rPr>
          <w:szCs w:val="22"/>
        </w:rPr>
        <w:t>XX</w:t>
      </w:r>
      <w:r>
        <w:rPr>
          <w:szCs w:val="22"/>
        </w:rPr>
        <w:t xml:space="preserve"> hours.  This estimate is a national average and does not necessarily represent a “typical” case.  Our estimate includes the time to read the instructions, look through existing records, gather and maintain required data, enter the data in the online interface, and submit it electronically.  If you have any comments on this estimate, or on how we can improve the collection and reduce the burden it causes you, please write the </w:t>
      </w:r>
      <w:r w:rsidRPr="0073609C">
        <w:rPr>
          <w:szCs w:val="22"/>
        </w:rPr>
        <w:t>Federal Communications Commission</w:t>
      </w:r>
      <w:r>
        <w:rPr>
          <w:szCs w:val="22"/>
        </w:rPr>
        <w:t xml:space="preserve">, Office of Managing Director, AMD-PERM, Washington, DC 20554, Paperwork Reduction Act Project (3060-XXXX).  We will also accept your PRA comments via the Internet if you send an email to </w:t>
      </w:r>
      <w:r w:rsidRPr="00AF7735">
        <w:rPr>
          <w:szCs w:val="22"/>
        </w:rPr>
        <w:t>PRA@fcc.gov</w:t>
      </w:r>
      <w:r>
        <w:rPr>
          <w:szCs w:val="22"/>
        </w:rPr>
        <w:t xml:space="preserve">. </w:t>
      </w:r>
    </w:p>
    <w:p w:rsidR="00F97D54" w:rsidRDefault="00F97D54" w:rsidP="00EB5B97">
      <w:pPr>
        <w:autoSpaceDE w:val="0"/>
        <w:autoSpaceDN w:val="0"/>
        <w:adjustRightInd w:val="0"/>
        <w:rPr>
          <w:szCs w:val="22"/>
        </w:rPr>
      </w:pPr>
    </w:p>
    <w:p w:rsidR="00F97D54" w:rsidRDefault="00F97D54" w:rsidP="00EB5B97">
      <w:pPr>
        <w:autoSpaceDE w:val="0"/>
        <w:autoSpaceDN w:val="0"/>
        <w:adjustRightInd w:val="0"/>
        <w:rPr>
          <w:szCs w:val="22"/>
        </w:rPr>
      </w:pPr>
      <w:r>
        <w:rPr>
          <w:szCs w:val="22"/>
        </w:rPr>
        <w:t>Please DO NOT SEND COMPLETED DATA COLLECTION RESPONSES TO THIS ADDRESS.  You are not required to respond to a collection of information sponsored by the Federal government, and the government may not sponsor this collection, unless it displays a currently valid OMB control number and/or we fail to provide you with this notice.  This collection has been assigned an OMB control number of 3060-XXXX.</w:t>
      </w:r>
    </w:p>
    <w:p w:rsidR="00F97D54" w:rsidRDefault="00F97D54" w:rsidP="00EB5B97">
      <w:pPr>
        <w:autoSpaceDE w:val="0"/>
        <w:autoSpaceDN w:val="0"/>
        <w:adjustRightInd w:val="0"/>
        <w:rPr>
          <w:szCs w:val="22"/>
        </w:rPr>
      </w:pPr>
    </w:p>
    <w:p w:rsidR="00F97D54" w:rsidRDefault="00F97D54" w:rsidP="00EB5B97">
      <w:pPr>
        <w:autoSpaceDE w:val="0"/>
        <w:autoSpaceDN w:val="0"/>
        <w:adjustRightInd w:val="0"/>
        <w:rPr>
          <w:b/>
          <w:szCs w:val="22"/>
        </w:rPr>
      </w:pPr>
      <w:r>
        <w:rPr>
          <w:szCs w:val="22"/>
        </w:rPr>
        <w:t>THIS NOTICE IS REQUIRED BY THE PAPERWORK REDUCTION ACT OF 1995, PUBLIC LAW 104-13, OCTOBER 1, 1995, 44 U.S.C. SECTION 3507.</w:t>
      </w:r>
    </w:p>
    <w:p w:rsidR="00F97D54" w:rsidRDefault="00F97D54" w:rsidP="00EB5B97">
      <w:pPr>
        <w:jc w:val="center"/>
        <w:rPr>
          <w:b/>
          <w:szCs w:val="22"/>
        </w:rPr>
      </w:pPr>
    </w:p>
    <w:p w:rsidR="00702015" w:rsidRDefault="00702015" w:rsidP="00EB5B97">
      <w:pPr>
        <w:jc w:val="center"/>
        <w:rPr>
          <w:b/>
          <w:szCs w:val="22"/>
        </w:rPr>
      </w:pPr>
    </w:p>
    <w:p w:rsidR="00F97D54" w:rsidRPr="00DC7175" w:rsidRDefault="00F97D54" w:rsidP="00EB5B97">
      <w:pPr>
        <w:pStyle w:val="Heading1"/>
        <w:numPr>
          <w:ilvl w:val="0"/>
          <w:numId w:val="9"/>
        </w:numPr>
        <w:suppressAutoHyphens w:val="0"/>
        <w:spacing w:after="220"/>
      </w:pPr>
      <w:bookmarkStart w:id="85" w:name="_Toc350777050"/>
      <w:bookmarkStart w:id="86" w:name="_Toc365972076"/>
      <w:r>
        <w:t>Additional Instructions and Data Table Specifications</w:t>
      </w:r>
      <w:bookmarkEnd w:id="85"/>
      <w:bookmarkEnd w:id="86"/>
      <w:r w:rsidRPr="00561A64">
        <w:t xml:space="preserve"> </w:t>
      </w:r>
    </w:p>
    <w:p w:rsidR="00F97D54" w:rsidRPr="0057094B" w:rsidRDefault="00F97D54" w:rsidP="00EB5B97">
      <w:pPr>
        <w:tabs>
          <w:tab w:val="num" w:pos="1440"/>
        </w:tabs>
        <w:rPr>
          <w:szCs w:val="22"/>
        </w:rPr>
      </w:pPr>
      <w:r>
        <w:rPr>
          <w:szCs w:val="22"/>
        </w:rPr>
        <w:t xml:space="preserve">To access the FCC website interface to submit responses to this data collection, each filer is required to provide an FRN that is unique to the filer and password, </w:t>
      </w:r>
      <w:r w:rsidRPr="005E31C5">
        <w:rPr>
          <w:i/>
          <w:szCs w:val="22"/>
        </w:rPr>
        <w:t>i.e.</w:t>
      </w:r>
      <w:r>
        <w:rPr>
          <w:szCs w:val="22"/>
        </w:rPr>
        <w:t>, no two filers can submit responses using the same FRN.</w:t>
      </w:r>
      <w:r>
        <w:rPr>
          <w:rStyle w:val="FootnoteReference"/>
          <w:szCs w:val="22"/>
        </w:rPr>
        <w:footnoteReference w:id="188"/>
      </w:r>
      <w:r>
        <w:rPr>
          <w:szCs w:val="22"/>
        </w:rPr>
        <w:t xml:space="preserve">  No filer can submit more than one response to the data collection questions; subsequent corrective filings are permitted however.  When submitting a response, each filer must provide the information identified below and the requisite certification.</w:t>
      </w:r>
      <w:r>
        <w:rPr>
          <w:rStyle w:val="FootnoteReference"/>
          <w:szCs w:val="22"/>
        </w:rPr>
        <w:footnoteReference w:id="189"/>
      </w:r>
    </w:p>
    <w:p w:rsidR="00F97D54" w:rsidRDefault="00F97D54" w:rsidP="00EB5B97">
      <w:pPr>
        <w:rPr>
          <w:rFonts w:ascii="Century" w:hAnsi="Century"/>
        </w:rPr>
      </w:pPr>
    </w:p>
    <w:p w:rsidR="00F97D54" w:rsidRDefault="00F97D54" w:rsidP="00EB5B97">
      <w:pPr>
        <w:rPr>
          <w:rFonts w:ascii="Century" w:hAnsi="Century"/>
        </w:rPr>
      </w:pPr>
    </w:p>
    <w:tbl>
      <w:tblPr>
        <w:tblW w:w="874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2898"/>
        <w:gridCol w:w="5850"/>
      </w:tblGrid>
      <w:tr w:rsidR="00F97D54" w:rsidTr="00EB5B97">
        <w:trPr>
          <w:trHeight w:val="357"/>
          <w:tblHeader/>
        </w:trPr>
        <w:tc>
          <w:tcPr>
            <w:tcW w:w="8748" w:type="dxa"/>
            <w:gridSpan w:val="2"/>
            <w:tcBorders>
              <w:bottom w:val="double" w:sz="4" w:space="0" w:color="auto"/>
            </w:tcBorders>
            <w:vAlign w:val="center"/>
          </w:tcPr>
          <w:p w:rsidR="00F97D54" w:rsidRPr="00886F07" w:rsidRDefault="00F97D54" w:rsidP="00EB5B97">
            <w:pPr>
              <w:jc w:val="center"/>
              <w:rPr>
                <w:b/>
                <w:szCs w:val="22"/>
              </w:rPr>
            </w:pPr>
            <w:r>
              <w:rPr>
                <w:b/>
                <w:szCs w:val="22"/>
              </w:rPr>
              <w:t>Filer Identification Information</w:t>
            </w:r>
          </w:p>
        </w:tc>
      </w:tr>
      <w:tr w:rsidR="00F97D54" w:rsidTr="00EB5B97">
        <w:trPr>
          <w:trHeight w:val="360"/>
        </w:trPr>
        <w:tc>
          <w:tcPr>
            <w:tcW w:w="2898" w:type="dxa"/>
            <w:tcBorders>
              <w:top w:val="double" w:sz="4" w:space="0" w:color="auto"/>
              <w:left w:val="single" w:sz="4" w:space="0" w:color="auto"/>
              <w:bottom w:val="single" w:sz="4" w:space="0" w:color="auto"/>
              <w:right w:val="single" w:sz="4" w:space="0" w:color="auto"/>
            </w:tcBorders>
            <w:vAlign w:val="center"/>
          </w:tcPr>
          <w:p w:rsidR="00F97D54" w:rsidRPr="009D6DBB" w:rsidRDefault="00F97D54" w:rsidP="00EB5B97">
            <w:pPr>
              <w:rPr>
                <w:sz w:val="16"/>
                <w:szCs w:val="16"/>
              </w:rPr>
            </w:pPr>
            <w:r w:rsidRPr="009D6DBB">
              <w:rPr>
                <w:sz w:val="16"/>
                <w:szCs w:val="16"/>
              </w:rPr>
              <w:t>Name of Filer</w:t>
            </w:r>
          </w:p>
        </w:tc>
        <w:tc>
          <w:tcPr>
            <w:tcW w:w="5850" w:type="dxa"/>
            <w:tcBorders>
              <w:top w:val="double" w:sz="4" w:space="0" w:color="auto"/>
              <w:left w:val="single" w:sz="4" w:space="0" w:color="auto"/>
              <w:bottom w:val="single" w:sz="4" w:space="0" w:color="auto"/>
              <w:right w:val="single" w:sz="4" w:space="0" w:color="auto"/>
            </w:tcBorders>
            <w:vAlign w:val="center"/>
          </w:tcPr>
          <w:p w:rsidR="00F97D54" w:rsidRDefault="00F97D54" w:rsidP="00EB5B97">
            <w:pPr>
              <w:rPr>
                <w:sz w:val="16"/>
                <w:szCs w:val="16"/>
              </w:rPr>
            </w:pPr>
            <w:r>
              <w:rPr>
                <w:sz w:val="16"/>
                <w:szCs w:val="16"/>
              </w:rPr>
              <w:t>[Text populated from CORES database]</w:t>
            </w:r>
          </w:p>
        </w:tc>
      </w:tr>
      <w:tr w:rsidR="00F97D54" w:rsidTr="00EB5B97">
        <w:trPr>
          <w:trHeight w:val="360"/>
        </w:trPr>
        <w:tc>
          <w:tcPr>
            <w:tcW w:w="2898" w:type="dxa"/>
            <w:tcBorders>
              <w:top w:val="single" w:sz="4" w:space="0" w:color="auto"/>
              <w:left w:val="single" w:sz="4" w:space="0" w:color="auto"/>
              <w:bottom w:val="single" w:sz="4" w:space="0" w:color="auto"/>
              <w:right w:val="single" w:sz="4" w:space="0" w:color="auto"/>
            </w:tcBorders>
            <w:vAlign w:val="center"/>
          </w:tcPr>
          <w:p w:rsidR="00F97D54" w:rsidRDefault="00F97D54" w:rsidP="00EB5B97">
            <w:pPr>
              <w:rPr>
                <w:sz w:val="16"/>
                <w:szCs w:val="16"/>
              </w:rPr>
            </w:pPr>
            <w:r>
              <w:rPr>
                <w:sz w:val="16"/>
                <w:szCs w:val="16"/>
              </w:rPr>
              <w:t>Filer’s FCC Registration Number (FRN)</w:t>
            </w:r>
          </w:p>
        </w:tc>
        <w:tc>
          <w:tcPr>
            <w:tcW w:w="5850" w:type="dxa"/>
            <w:tcBorders>
              <w:top w:val="single" w:sz="4" w:space="0" w:color="auto"/>
              <w:left w:val="single" w:sz="4" w:space="0" w:color="auto"/>
              <w:bottom w:val="single" w:sz="4" w:space="0" w:color="auto"/>
              <w:right w:val="single" w:sz="4" w:space="0" w:color="auto"/>
            </w:tcBorders>
            <w:vAlign w:val="center"/>
          </w:tcPr>
          <w:p w:rsidR="00F97D54" w:rsidRDefault="00F97D54" w:rsidP="00EB5B97">
            <w:pPr>
              <w:rPr>
                <w:sz w:val="16"/>
                <w:szCs w:val="16"/>
              </w:rPr>
            </w:pPr>
            <w:r>
              <w:rPr>
                <w:sz w:val="16"/>
                <w:szCs w:val="16"/>
              </w:rPr>
              <w:t>[Integer populated from CORES database]</w:t>
            </w:r>
          </w:p>
        </w:tc>
      </w:tr>
      <w:tr w:rsidR="00F97D54" w:rsidTr="00EB5B97">
        <w:trPr>
          <w:trHeight w:val="360"/>
        </w:trPr>
        <w:tc>
          <w:tcPr>
            <w:tcW w:w="2898" w:type="dxa"/>
            <w:tcBorders>
              <w:top w:val="single" w:sz="4" w:space="0" w:color="auto"/>
              <w:left w:val="single" w:sz="4" w:space="0" w:color="auto"/>
              <w:bottom w:val="single" w:sz="4" w:space="0" w:color="auto"/>
              <w:right w:val="single" w:sz="4" w:space="0" w:color="auto"/>
            </w:tcBorders>
            <w:vAlign w:val="center"/>
          </w:tcPr>
          <w:p w:rsidR="00F97D54" w:rsidRDefault="00F97D54" w:rsidP="00EB5B97">
            <w:pPr>
              <w:rPr>
                <w:sz w:val="16"/>
                <w:szCs w:val="16"/>
              </w:rPr>
            </w:pPr>
            <w:r>
              <w:rPr>
                <w:sz w:val="16"/>
                <w:szCs w:val="16"/>
              </w:rPr>
              <w:t>Name of Contact for Filer</w:t>
            </w:r>
          </w:p>
        </w:tc>
        <w:tc>
          <w:tcPr>
            <w:tcW w:w="5850" w:type="dxa"/>
            <w:tcBorders>
              <w:top w:val="single" w:sz="4" w:space="0" w:color="auto"/>
              <w:left w:val="single" w:sz="4" w:space="0" w:color="auto"/>
              <w:bottom w:val="single" w:sz="4" w:space="0" w:color="auto"/>
              <w:right w:val="single" w:sz="4" w:space="0" w:color="auto"/>
            </w:tcBorders>
            <w:vAlign w:val="center"/>
          </w:tcPr>
          <w:p w:rsidR="00F97D54" w:rsidRDefault="00F97D54" w:rsidP="00EB5B97">
            <w:pPr>
              <w:rPr>
                <w:sz w:val="16"/>
                <w:szCs w:val="16"/>
              </w:rPr>
            </w:pPr>
            <w:r>
              <w:rPr>
                <w:sz w:val="16"/>
                <w:szCs w:val="16"/>
              </w:rPr>
              <w:t>[Text]</w:t>
            </w:r>
          </w:p>
        </w:tc>
      </w:tr>
      <w:tr w:rsidR="00F97D54" w:rsidTr="00EB5B97">
        <w:trPr>
          <w:trHeight w:val="360"/>
        </w:trPr>
        <w:tc>
          <w:tcPr>
            <w:tcW w:w="2898" w:type="dxa"/>
            <w:tcBorders>
              <w:top w:val="single" w:sz="4" w:space="0" w:color="auto"/>
              <w:left w:val="single" w:sz="4" w:space="0" w:color="auto"/>
              <w:bottom w:val="single" w:sz="4" w:space="0" w:color="auto"/>
              <w:right w:val="single" w:sz="4" w:space="0" w:color="auto"/>
            </w:tcBorders>
            <w:vAlign w:val="center"/>
          </w:tcPr>
          <w:p w:rsidR="00F97D54" w:rsidRDefault="00F97D54" w:rsidP="00EB5B97">
            <w:pPr>
              <w:rPr>
                <w:sz w:val="16"/>
                <w:szCs w:val="16"/>
              </w:rPr>
            </w:pPr>
            <w:r>
              <w:rPr>
                <w:sz w:val="16"/>
                <w:szCs w:val="16"/>
              </w:rPr>
              <w:t>Contact Phone Number</w:t>
            </w:r>
          </w:p>
        </w:tc>
        <w:tc>
          <w:tcPr>
            <w:tcW w:w="5850" w:type="dxa"/>
            <w:tcBorders>
              <w:top w:val="single" w:sz="4" w:space="0" w:color="auto"/>
              <w:left w:val="single" w:sz="4" w:space="0" w:color="auto"/>
              <w:bottom w:val="single" w:sz="4" w:space="0" w:color="auto"/>
              <w:right w:val="single" w:sz="4" w:space="0" w:color="auto"/>
            </w:tcBorders>
            <w:vAlign w:val="center"/>
          </w:tcPr>
          <w:p w:rsidR="00F97D54" w:rsidRDefault="00F97D54" w:rsidP="00EB5B97">
            <w:pPr>
              <w:rPr>
                <w:sz w:val="16"/>
                <w:szCs w:val="16"/>
              </w:rPr>
            </w:pPr>
            <w:r>
              <w:rPr>
                <w:sz w:val="16"/>
                <w:szCs w:val="16"/>
              </w:rPr>
              <w:t>[Text]</w:t>
            </w:r>
          </w:p>
        </w:tc>
      </w:tr>
      <w:tr w:rsidR="00F97D54" w:rsidTr="00EB5B97">
        <w:trPr>
          <w:trHeight w:val="360"/>
        </w:trPr>
        <w:tc>
          <w:tcPr>
            <w:tcW w:w="2898" w:type="dxa"/>
            <w:tcBorders>
              <w:top w:val="single" w:sz="4" w:space="0" w:color="auto"/>
              <w:left w:val="single" w:sz="4" w:space="0" w:color="auto"/>
              <w:bottom w:val="single" w:sz="4" w:space="0" w:color="auto"/>
              <w:right w:val="single" w:sz="4" w:space="0" w:color="auto"/>
            </w:tcBorders>
            <w:vAlign w:val="center"/>
          </w:tcPr>
          <w:p w:rsidR="00F97D54" w:rsidRDefault="00F97D54" w:rsidP="00EB5B97">
            <w:pPr>
              <w:rPr>
                <w:sz w:val="16"/>
                <w:szCs w:val="16"/>
              </w:rPr>
            </w:pPr>
            <w:r>
              <w:rPr>
                <w:sz w:val="16"/>
                <w:szCs w:val="16"/>
              </w:rPr>
              <w:t>Contact Address</w:t>
            </w:r>
          </w:p>
        </w:tc>
        <w:tc>
          <w:tcPr>
            <w:tcW w:w="5850" w:type="dxa"/>
            <w:tcBorders>
              <w:top w:val="single" w:sz="4" w:space="0" w:color="auto"/>
              <w:left w:val="single" w:sz="4" w:space="0" w:color="auto"/>
              <w:bottom w:val="single" w:sz="4" w:space="0" w:color="auto"/>
              <w:right w:val="single" w:sz="4" w:space="0" w:color="auto"/>
            </w:tcBorders>
            <w:vAlign w:val="center"/>
          </w:tcPr>
          <w:p w:rsidR="00F97D54" w:rsidRDefault="00F97D54" w:rsidP="00EB5B97">
            <w:pPr>
              <w:rPr>
                <w:sz w:val="16"/>
                <w:szCs w:val="16"/>
              </w:rPr>
            </w:pPr>
            <w:r>
              <w:rPr>
                <w:sz w:val="16"/>
                <w:szCs w:val="16"/>
              </w:rPr>
              <w:t>[Text]</w:t>
            </w:r>
          </w:p>
        </w:tc>
      </w:tr>
      <w:tr w:rsidR="00F97D54" w:rsidTr="00EB5B97">
        <w:trPr>
          <w:trHeight w:val="360"/>
        </w:trPr>
        <w:tc>
          <w:tcPr>
            <w:tcW w:w="2898" w:type="dxa"/>
            <w:tcBorders>
              <w:top w:val="single" w:sz="4" w:space="0" w:color="auto"/>
              <w:left w:val="single" w:sz="4" w:space="0" w:color="auto"/>
              <w:bottom w:val="single" w:sz="4" w:space="0" w:color="auto"/>
              <w:right w:val="single" w:sz="4" w:space="0" w:color="auto"/>
            </w:tcBorders>
            <w:vAlign w:val="center"/>
          </w:tcPr>
          <w:p w:rsidR="00F97D54" w:rsidRDefault="00F97D54" w:rsidP="00EB5B97">
            <w:pPr>
              <w:rPr>
                <w:sz w:val="16"/>
                <w:szCs w:val="16"/>
              </w:rPr>
            </w:pPr>
            <w:r>
              <w:rPr>
                <w:sz w:val="16"/>
                <w:szCs w:val="16"/>
              </w:rPr>
              <w:t>Contact Email Address</w:t>
            </w:r>
          </w:p>
        </w:tc>
        <w:tc>
          <w:tcPr>
            <w:tcW w:w="5850" w:type="dxa"/>
            <w:tcBorders>
              <w:top w:val="single" w:sz="4" w:space="0" w:color="auto"/>
              <w:left w:val="single" w:sz="4" w:space="0" w:color="auto"/>
              <w:bottom w:val="single" w:sz="4" w:space="0" w:color="auto"/>
              <w:right w:val="single" w:sz="4" w:space="0" w:color="auto"/>
            </w:tcBorders>
            <w:vAlign w:val="center"/>
          </w:tcPr>
          <w:p w:rsidR="00F97D54" w:rsidRDefault="00F97D54" w:rsidP="00EB5B97">
            <w:pPr>
              <w:rPr>
                <w:sz w:val="16"/>
                <w:szCs w:val="16"/>
              </w:rPr>
            </w:pPr>
            <w:r>
              <w:rPr>
                <w:sz w:val="16"/>
                <w:szCs w:val="16"/>
              </w:rPr>
              <w:t>[Text]</w:t>
            </w:r>
          </w:p>
        </w:tc>
      </w:tr>
      <w:tr w:rsidR="00F97D54" w:rsidTr="00EB5B97">
        <w:trPr>
          <w:trHeight w:val="360"/>
        </w:trPr>
        <w:tc>
          <w:tcPr>
            <w:tcW w:w="2898" w:type="dxa"/>
            <w:tcBorders>
              <w:top w:val="single" w:sz="4" w:space="0" w:color="auto"/>
              <w:left w:val="single" w:sz="4" w:space="0" w:color="auto"/>
              <w:bottom w:val="single" w:sz="4" w:space="0" w:color="auto"/>
              <w:right w:val="single" w:sz="4" w:space="0" w:color="auto"/>
            </w:tcBorders>
            <w:vAlign w:val="center"/>
          </w:tcPr>
          <w:p w:rsidR="00F97D54" w:rsidRDefault="00F97D54" w:rsidP="00EB5B97">
            <w:pPr>
              <w:rPr>
                <w:sz w:val="16"/>
                <w:szCs w:val="16"/>
              </w:rPr>
            </w:pPr>
            <w:r>
              <w:rPr>
                <w:sz w:val="16"/>
                <w:szCs w:val="16"/>
              </w:rPr>
              <w:t xml:space="preserve">Counsel of Record Name </w:t>
            </w:r>
          </w:p>
        </w:tc>
        <w:tc>
          <w:tcPr>
            <w:tcW w:w="5850" w:type="dxa"/>
            <w:tcBorders>
              <w:top w:val="single" w:sz="4" w:space="0" w:color="auto"/>
              <w:left w:val="single" w:sz="4" w:space="0" w:color="auto"/>
              <w:bottom w:val="single" w:sz="4" w:space="0" w:color="auto"/>
              <w:right w:val="single" w:sz="4" w:space="0" w:color="auto"/>
            </w:tcBorders>
            <w:vAlign w:val="center"/>
          </w:tcPr>
          <w:p w:rsidR="00F97D54" w:rsidRDefault="00F97D54" w:rsidP="00EB5B97">
            <w:pPr>
              <w:rPr>
                <w:sz w:val="16"/>
                <w:szCs w:val="16"/>
              </w:rPr>
            </w:pPr>
            <w:r>
              <w:rPr>
                <w:sz w:val="16"/>
                <w:szCs w:val="16"/>
              </w:rPr>
              <w:t xml:space="preserve">[Text] </w:t>
            </w:r>
          </w:p>
        </w:tc>
      </w:tr>
      <w:tr w:rsidR="00F97D54" w:rsidTr="00EB5B97">
        <w:trPr>
          <w:trHeight w:val="360"/>
        </w:trPr>
        <w:tc>
          <w:tcPr>
            <w:tcW w:w="2898" w:type="dxa"/>
            <w:tcBorders>
              <w:top w:val="single" w:sz="4" w:space="0" w:color="auto"/>
              <w:left w:val="single" w:sz="4" w:space="0" w:color="auto"/>
              <w:bottom w:val="single" w:sz="4" w:space="0" w:color="auto"/>
              <w:right w:val="single" w:sz="4" w:space="0" w:color="auto"/>
            </w:tcBorders>
            <w:vAlign w:val="center"/>
          </w:tcPr>
          <w:p w:rsidR="00F97D54" w:rsidRDefault="00F97D54" w:rsidP="00EB5B97">
            <w:pPr>
              <w:rPr>
                <w:sz w:val="16"/>
                <w:szCs w:val="16"/>
              </w:rPr>
            </w:pPr>
            <w:r>
              <w:rPr>
                <w:sz w:val="16"/>
                <w:szCs w:val="16"/>
              </w:rPr>
              <w:t>Counsel of Record Phone Number</w:t>
            </w:r>
          </w:p>
        </w:tc>
        <w:tc>
          <w:tcPr>
            <w:tcW w:w="5850" w:type="dxa"/>
            <w:tcBorders>
              <w:top w:val="single" w:sz="4" w:space="0" w:color="auto"/>
              <w:left w:val="single" w:sz="4" w:space="0" w:color="auto"/>
              <w:bottom w:val="single" w:sz="4" w:space="0" w:color="auto"/>
              <w:right w:val="single" w:sz="4" w:space="0" w:color="auto"/>
            </w:tcBorders>
            <w:vAlign w:val="center"/>
          </w:tcPr>
          <w:p w:rsidR="00F97D54" w:rsidRDefault="00F97D54" w:rsidP="00EB5B97">
            <w:pPr>
              <w:rPr>
                <w:sz w:val="16"/>
                <w:szCs w:val="16"/>
              </w:rPr>
            </w:pPr>
            <w:r>
              <w:rPr>
                <w:sz w:val="16"/>
                <w:szCs w:val="16"/>
              </w:rPr>
              <w:t>[Text]</w:t>
            </w:r>
          </w:p>
        </w:tc>
      </w:tr>
      <w:tr w:rsidR="00F97D54" w:rsidTr="00EB5B97">
        <w:trPr>
          <w:trHeight w:val="360"/>
        </w:trPr>
        <w:tc>
          <w:tcPr>
            <w:tcW w:w="2898" w:type="dxa"/>
            <w:tcBorders>
              <w:top w:val="single" w:sz="4" w:space="0" w:color="auto"/>
              <w:left w:val="single" w:sz="4" w:space="0" w:color="auto"/>
              <w:bottom w:val="single" w:sz="4" w:space="0" w:color="auto"/>
              <w:right w:val="single" w:sz="4" w:space="0" w:color="auto"/>
            </w:tcBorders>
            <w:vAlign w:val="center"/>
          </w:tcPr>
          <w:p w:rsidR="00F97D54" w:rsidRDefault="00F97D54" w:rsidP="00EB5B97">
            <w:pPr>
              <w:rPr>
                <w:sz w:val="16"/>
                <w:szCs w:val="16"/>
              </w:rPr>
            </w:pPr>
            <w:r>
              <w:rPr>
                <w:sz w:val="16"/>
                <w:szCs w:val="16"/>
              </w:rPr>
              <w:t>Counsel of Record Address</w:t>
            </w:r>
          </w:p>
        </w:tc>
        <w:tc>
          <w:tcPr>
            <w:tcW w:w="5850" w:type="dxa"/>
            <w:tcBorders>
              <w:top w:val="single" w:sz="4" w:space="0" w:color="auto"/>
              <w:left w:val="single" w:sz="4" w:space="0" w:color="auto"/>
              <w:bottom w:val="single" w:sz="4" w:space="0" w:color="auto"/>
              <w:right w:val="single" w:sz="4" w:space="0" w:color="auto"/>
            </w:tcBorders>
            <w:vAlign w:val="center"/>
          </w:tcPr>
          <w:p w:rsidR="00F97D54" w:rsidRDefault="00F97D54" w:rsidP="00EB5B97">
            <w:pPr>
              <w:rPr>
                <w:sz w:val="16"/>
                <w:szCs w:val="16"/>
              </w:rPr>
            </w:pPr>
            <w:r>
              <w:rPr>
                <w:sz w:val="16"/>
                <w:szCs w:val="16"/>
              </w:rPr>
              <w:t>[Text]</w:t>
            </w:r>
          </w:p>
        </w:tc>
      </w:tr>
      <w:tr w:rsidR="00F97D54" w:rsidTr="00EB5B97">
        <w:trPr>
          <w:trHeight w:val="360"/>
        </w:trPr>
        <w:tc>
          <w:tcPr>
            <w:tcW w:w="2898" w:type="dxa"/>
            <w:tcBorders>
              <w:top w:val="single" w:sz="4" w:space="0" w:color="auto"/>
              <w:left w:val="single" w:sz="4" w:space="0" w:color="auto"/>
              <w:bottom w:val="single" w:sz="4" w:space="0" w:color="auto"/>
              <w:right w:val="single" w:sz="4" w:space="0" w:color="auto"/>
            </w:tcBorders>
            <w:vAlign w:val="center"/>
          </w:tcPr>
          <w:p w:rsidR="00F97D54" w:rsidRDefault="00F97D54" w:rsidP="00EB5B97">
            <w:pPr>
              <w:rPr>
                <w:sz w:val="16"/>
                <w:szCs w:val="16"/>
              </w:rPr>
            </w:pPr>
            <w:r>
              <w:rPr>
                <w:sz w:val="16"/>
                <w:szCs w:val="16"/>
              </w:rPr>
              <w:t>Counsel of Record Email Address</w:t>
            </w:r>
          </w:p>
        </w:tc>
        <w:tc>
          <w:tcPr>
            <w:tcW w:w="5850" w:type="dxa"/>
            <w:tcBorders>
              <w:top w:val="single" w:sz="4" w:space="0" w:color="auto"/>
              <w:left w:val="single" w:sz="4" w:space="0" w:color="auto"/>
              <w:bottom w:val="single" w:sz="4" w:space="0" w:color="auto"/>
              <w:right w:val="single" w:sz="4" w:space="0" w:color="auto"/>
            </w:tcBorders>
            <w:vAlign w:val="center"/>
          </w:tcPr>
          <w:p w:rsidR="00F97D54" w:rsidRDefault="00F97D54" w:rsidP="00EB5B97">
            <w:pPr>
              <w:rPr>
                <w:sz w:val="16"/>
                <w:szCs w:val="16"/>
              </w:rPr>
            </w:pPr>
            <w:r>
              <w:rPr>
                <w:sz w:val="16"/>
                <w:szCs w:val="16"/>
              </w:rPr>
              <w:t>[Text]</w:t>
            </w:r>
          </w:p>
        </w:tc>
      </w:tr>
      <w:tr w:rsidR="00F97D54" w:rsidTr="00EB5B97">
        <w:trPr>
          <w:trHeight w:val="360"/>
        </w:trPr>
        <w:tc>
          <w:tcPr>
            <w:tcW w:w="2898" w:type="dxa"/>
            <w:tcBorders>
              <w:top w:val="single" w:sz="4" w:space="0" w:color="auto"/>
              <w:left w:val="single" w:sz="4" w:space="0" w:color="auto"/>
              <w:bottom w:val="single" w:sz="4" w:space="0" w:color="auto"/>
              <w:right w:val="single" w:sz="4" w:space="0" w:color="auto"/>
            </w:tcBorders>
            <w:vAlign w:val="center"/>
          </w:tcPr>
          <w:p w:rsidR="00F97D54" w:rsidRDefault="00F97D54" w:rsidP="00EB5B97">
            <w:pPr>
              <w:rPr>
                <w:sz w:val="16"/>
                <w:szCs w:val="16"/>
              </w:rPr>
            </w:pPr>
            <w:r>
              <w:rPr>
                <w:sz w:val="16"/>
                <w:szCs w:val="16"/>
              </w:rPr>
              <w:t>Holding Company FRN</w:t>
            </w:r>
          </w:p>
        </w:tc>
        <w:tc>
          <w:tcPr>
            <w:tcW w:w="5850" w:type="dxa"/>
            <w:tcBorders>
              <w:top w:val="single" w:sz="4" w:space="0" w:color="auto"/>
              <w:left w:val="single" w:sz="4" w:space="0" w:color="auto"/>
              <w:bottom w:val="single" w:sz="4" w:space="0" w:color="auto"/>
              <w:right w:val="single" w:sz="4" w:space="0" w:color="auto"/>
            </w:tcBorders>
            <w:vAlign w:val="center"/>
          </w:tcPr>
          <w:p w:rsidR="00F97D54" w:rsidRDefault="00F97D54" w:rsidP="00EB5B97">
            <w:pPr>
              <w:rPr>
                <w:sz w:val="16"/>
                <w:szCs w:val="16"/>
              </w:rPr>
            </w:pPr>
            <w:r>
              <w:rPr>
                <w:sz w:val="16"/>
                <w:szCs w:val="16"/>
              </w:rPr>
              <w:t>[Integer]</w:t>
            </w:r>
          </w:p>
        </w:tc>
      </w:tr>
      <w:tr w:rsidR="00F97D54" w:rsidTr="00C454F1">
        <w:trPr>
          <w:trHeight w:val="360"/>
        </w:trPr>
        <w:tc>
          <w:tcPr>
            <w:tcW w:w="2898" w:type="dxa"/>
            <w:tcBorders>
              <w:top w:val="single" w:sz="4" w:space="0" w:color="auto"/>
              <w:left w:val="single" w:sz="4" w:space="0" w:color="auto"/>
              <w:bottom w:val="single" w:sz="4" w:space="0" w:color="auto"/>
              <w:right w:val="single" w:sz="4" w:space="0" w:color="auto"/>
            </w:tcBorders>
            <w:vAlign w:val="center"/>
          </w:tcPr>
          <w:p w:rsidR="00F97D54" w:rsidRDefault="00F97D54" w:rsidP="00EB5B97">
            <w:pPr>
              <w:rPr>
                <w:sz w:val="16"/>
                <w:szCs w:val="16"/>
              </w:rPr>
            </w:pPr>
            <w:r>
              <w:rPr>
                <w:sz w:val="16"/>
                <w:szCs w:val="16"/>
              </w:rPr>
              <w:t>Holding Company Name</w:t>
            </w:r>
          </w:p>
        </w:tc>
        <w:tc>
          <w:tcPr>
            <w:tcW w:w="5850" w:type="dxa"/>
            <w:tcBorders>
              <w:top w:val="single" w:sz="4" w:space="0" w:color="auto"/>
              <w:left w:val="single" w:sz="4" w:space="0" w:color="auto"/>
              <w:bottom w:val="single" w:sz="4" w:space="0" w:color="auto"/>
              <w:right w:val="single" w:sz="4" w:space="0" w:color="auto"/>
            </w:tcBorders>
            <w:vAlign w:val="center"/>
          </w:tcPr>
          <w:p w:rsidR="00F97D54" w:rsidRDefault="00F97D54" w:rsidP="00EB5B97">
            <w:pPr>
              <w:rPr>
                <w:sz w:val="16"/>
                <w:szCs w:val="16"/>
              </w:rPr>
            </w:pPr>
            <w:r>
              <w:rPr>
                <w:sz w:val="16"/>
                <w:szCs w:val="16"/>
              </w:rPr>
              <w:t>[Text populated from CORES database]</w:t>
            </w:r>
          </w:p>
        </w:tc>
      </w:tr>
    </w:tbl>
    <w:p w:rsidR="00162BEB" w:rsidRDefault="00162BEB"/>
    <w:tbl>
      <w:tblPr>
        <w:tblW w:w="874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2898"/>
        <w:gridCol w:w="5850"/>
      </w:tblGrid>
      <w:tr w:rsidR="00C454F1" w:rsidTr="00FB4066">
        <w:trPr>
          <w:trHeight w:val="357"/>
          <w:tblHeader/>
        </w:trPr>
        <w:tc>
          <w:tcPr>
            <w:tcW w:w="8748" w:type="dxa"/>
            <w:gridSpan w:val="2"/>
            <w:tcBorders>
              <w:bottom w:val="double" w:sz="4" w:space="0" w:color="auto"/>
            </w:tcBorders>
            <w:vAlign w:val="center"/>
          </w:tcPr>
          <w:p w:rsidR="00C454F1" w:rsidRPr="00886F07" w:rsidRDefault="00C454F1" w:rsidP="00FB4066">
            <w:pPr>
              <w:jc w:val="center"/>
              <w:rPr>
                <w:b/>
                <w:szCs w:val="22"/>
              </w:rPr>
            </w:pPr>
            <w:r>
              <w:rPr>
                <w:b/>
                <w:szCs w:val="22"/>
              </w:rPr>
              <w:t>Filer Identification Information cont.</w:t>
            </w:r>
          </w:p>
        </w:tc>
      </w:tr>
      <w:tr w:rsidR="00F97D54" w:rsidTr="00C454F1">
        <w:trPr>
          <w:cantSplit/>
          <w:trHeight w:val="360"/>
        </w:trPr>
        <w:tc>
          <w:tcPr>
            <w:tcW w:w="2898" w:type="dxa"/>
            <w:tcBorders>
              <w:top w:val="single" w:sz="4" w:space="0" w:color="auto"/>
              <w:left w:val="single" w:sz="4" w:space="0" w:color="auto"/>
              <w:bottom w:val="nil"/>
              <w:right w:val="single" w:sz="4" w:space="0" w:color="auto"/>
            </w:tcBorders>
            <w:vAlign w:val="center"/>
          </w:tcPr>
          <w:p w:rsidR="00F97D54" w:rsidRDefault="00F97D54" w:rsidP="00EB5B97">
            <w:pPr>
              <w:rPr>
                <w:sz w:val="16"/>
                <w:szCs w:val="16"/>
              </w:rPr>
            </w:pPr>
            <w:r>
              <w:rPr>
                <w:sz w:val="16"/>
                <w:szCs w:val="16"/>
              </w:rPr>
              <w:t>Type of Filer (select all that apply)</w:t>
            </w:r>
          </w:p>
        </w:tc>
        <w:tc>
          <w:tcPr>
            <w:tcW w:w="5850" w:type="dxa"/>
            <w:tcBorders>
              <w:top w:val="single" w:sz="4" w:space="0" w:color="auto"/>
              <w:left w:val="single" w:sz="4" w:space="0" w:color="auto"/>
              <w:bottom w:val="single" w:sz="4" w:space="0" w:color="auto"/>
              <w:right w:val="single" w:sz="4" w:space="0" w:color="auto"/>
            </w:tcBorders>
            <w:vAlign w:val="center"/>
          </w:tcPr>
          <w:p w:rsidR="00F97D54" w:rsidRDefault="00F97D54" w:rsidP="00EB5B97">
            <w:pPr>
              <w:spacing w:line="360" w:lineRule="auto"/>
              <w:rPr>
                <w:i/>
                <w:sz w:val="16"/>
                <w:szCs w:val="16"/>
              </w:rPr>
            </w:pPr>
            <w:r w:rsidRPr="005E31C5">
              <w:rPr>
                <w:rFonts w:ascii="Times New Roman Bold" w:hAnsi="Times New Roman Bold"/>
                <w:b/>
                <w:sz w:val="20"/>
              </w:rPr>
              <w:t>□</w:t>
            </w:r>
            <w:r>
              <w:rPr>
                <w:rFonts w:ascii="Times New Roman Bold" w:hAnsi="Times New Roman Bold"/>
                <w:b/>
                <w:sz w:val="28"/>
              </w:rPr>
              <w:t xml:space="preserve"> </w:t>
            </w:r>
            <w:r w:rsidRPr="00D0281B">
              <w:rPr>
                <w:i/>
                <w:sz w:val="16"/>
                <w:szCs w:val="16"/>
              </w:rPr>
              <w:t xml:space="preserve">Competitive  Provider  </w:t>
            </w:r>
          </w:p>
          <w:p w:rsidR="00F97D54" w:rsidRDefault="00F97D54" w:rsidP="00EB5B97">
            <w:pPr>
              <w:spacing w:line="360" w:lineRule="auto"/>
              <w:ind w:left="252"/>
              <w:rPr>
                <w:sz w:val="16"/>
                <w:szCs w:val="16"/>
              </w:rPr>
            </w:pPr>
            <w:r>
              <w:rPr>
                <w:sz w:val="16"/>
                <w:szCs w:val="16"/>
              </w:rPr>
              <w:t xml:space="preserve">Type of </w:t>
            </w:r>
            <w:r w:rsidRPr="005E31C5">
              <w:rPr>
                <w:i/>
                <w:sz w:val="16"/>
                <w:szCs w:val="16"/>
              </w:rPr>
              <w:t>Competitive Provider</w:t>
            </w:r>
            <w:r>
              <w:rPr>
                <w:sz w:val="16"/>
                <w:szCs w:val="16"/>
              </w:rPr>
              <w:t xml:space="preserve"> (select all that apply):</w:t>
            </w:r>
          </w:p>
          <w:p w:rsidR="00F97D54" w:rsidRDefault="00F97D54" w:rsidP="00EB5B97">
            <w:pPr>
              <w:spacing w:line="360" w:lineRule="auto"/>
              <w:ind w:left="702"/>
              <w:rPr>
                <w:sz w:val="16"/>
                <w:szCs w:val="16"/>
              </w:rPr>
            </w:pPr>
            <w:r w:rsidRPr="005E31C5">
              <w:rPr>
                <w:rFonts w:ascii="Times New Roman Bold" w:hAnsi="Times New Roman Bold"/>
                <w:b/>
                <w:sz w:val="20"/>
              </w:rPr>
              <w:t>□</w:t>
            </w:r>
            <w:r>
              <w:rPr>
                <w:rFonts w:ascii="Times New Roman Bold" w:hAnsi="Times New Roman Bold"/>
                <w:b/>
                <w:sz w:val="28"/>
              </w:rPr>
              <w:t xml:space="preserve"> </w:t>
            </w:r>
            <w:r w:rsidRPr="007D4F3B">
              <w:rPr>
                <w:sz w:val="16"/>
                <w:szCs w:val="16"/>
              </w:rPr>
              <w:t xml:space="preserve">Cable </w:t>
            </w:r>
            <w:r>
              <w:rPr>
                <w:sz w:val="16"/>
                <w:szCs w:val="16"/>
              </w:rPr>
              <w:t>system operator</w:t>
            </w:r>
            <w:r w:rsidRPr="005E31C5">
              <w:rPr>
                <w:sz w:val="16"/>
                <w:szCs w:val="16"/>
              </w:rPr>
              <w:t xml:space="preserve"> </w:t>
            </w:r>
            <w:r>
              <w:rPr>
                <w:sz w:val="16"/>
                <w:szCs w:val="16"/>
              </w:rPr>
              <w:t xml:space="preserve"> </w:t>
            </w:r>
          </w:p>
          <w:p w:rsidR="00F97D54" w:rsidRPr="008B31BB" w:rsidRDefault="00F97D54" w:rsidP="00EB5B97">
            <w:pPr>
              <w:spacing w:line="360" w:lineRule="auto"/>
              <w:ind w:left="702"/>
              <w:rPr>
                <w:sz w:val="16"/>
                <w:szCs w:val="16"/>
              </w:rPr>
            </w:pPr>
            <w:r w:rsidRPr="005E31C5">
              <w:rPr>
                <w:rFonts w:ascii="Times New Roman Bold" w:hAnsi="Times New Roman Bold"/>
                <w:b/>
                <w:sz w:val="20"/>
              </w:rPr>
              <w:t>□</w:t>
            </w:r>
            <w:r>
              <w:rPr>
                <w:rFonts w:ascii="Times New Roman Bold" w:hAnsi="Times New Roman Bold"/>
                <w:b/>
                <w:sz w:val="28"/>
              </w:rPr>
              <w:t xml:space="preserve"> </w:t>
            </w:r>
            <w:r>
              <w:rPr>
                <w:sz w:val="16"/>
                <w:szCs w:val="16"/>
              </w:rPr>
              <w:t>CLEC</w:t>
            </w:r>
            <w:r w:rsidRPr="008B31BB">
              <w:rPr>
                <w:sz w:val="16"/>
                <w:szCs w:val="16"/>
              </w:rPr>
              <w:t xml:space="preserve"> </w:t>
            </w:r>
            <w:r>
              <w:rPr>
                <w:sz w:val="16"/>
                <w:szCs w:val="16"/>
              </w:rPr>
              <w:t xml:space="preserve"> </w:t>
            </w:r>
          </w:p>
          <w:p w:rsidR="00F97D54" w:rsidRPr="008B31BB" w:rsidRDefault="00F97D54" w:rsidP="00EB5B97">
            <w:pPr>
              <w:spacing w:line="360" w:lineRule="auto"/>
              <w:ind w:left="702"/>
              <w:rPr>
                <w:sz w:val="16"/>
                <w:szCs w:val="16"/>
              </w:rPr>
            </w:pPr>
            <w:r w:rsidRPr="005E31C5">
              <w:rPr>
                <w:rFonts w:ascii="Times New Roman Bold" w:hAnsi="Times New Roman Bold"/>
                <w:b/>
                <w:sz w:val="20"/>
              </w:rPr>
              <w:t>□</w:t>
            </w:r>
            <w:r>
              <w:rPr>
                <w:rFonts w:ascii="Times New Roman Bold" w:hAnsi="Times New Roman Bold"/>
                <w:b/>
                <w:sz w:val="28"/>
              </w:rPr>
              <w:t xml:space="preserve"> </w:t>
            </w:r>
            <w:r>
              <w:rPr>
                <w:sz w:val="16"/>
                <w:szCs w:val="16"/>
              </w:rPr>
              <w:t>IXC</w:t>
            </w:r>
            <w:r w:rsidRPr="008B31BB">
              <w:rPr>
                <w:sz w:val="16"/>
                <w:szCs w:val="16"/>
              </w:rPr>
              <w:t xml:space="preserve"> </w:t>
            </w:r>
            <w:r>
              <w:rPr>
                <w:sz w:val="16"/>
                <w:szCs w:val="16"/>
              </w:rPr>
              <w:t xml:space="preserve"> </w:t>
            </w:r>
          </w:p>
          <w:p w:rsidR="00F97D54" w:rsidRPr="008B31BB" w:rsidRDefault="00F97D54" w:rsidP="00EB5B97">
            <w:pPr>
              <w:spacing w:line="360" w:lineRule="auto"/>
              <w:ind w:left="702"/>
              <w:rPr>
                <w:sz w:val="16"/>
                <w:szCs w:val="16"/>
              </w:rPr>
            </w:pPr>
            <w:r w:rsidRPr="005E31C5">
              <w:rPr>
                <w:rFonts w:ascii="Times New Roman Bold" w:hAnsi="Times New Roman Bold"/>
                <w:b/>
                <w:sz w:val="20"/>
              </w:rPr>
              <w:t>□</w:t>
            </w:r>
            <w:r>
              <w:rPr>
                <w:rFonts w:ascii="Times New Roman Bold" w:hAnsi="Times New Roman Bold"/>
                <w:b/>
                <w:sz w:val="28"/>
              </w:rPr>
              <w:t xml:space="preserve"> </w:t>
            </w:r>
            <w:r>
              <w:rPr>
                <w:sz w:val="16"/>
                <w:szCs w:val="16"/>
              </w:rPr>
              <w:t>Wireless provider</w:t>
            </w:r>
            <w:r w:rsidRPr="008B31BB">
              <w:rPr>
                <w:sz w:val="16"/>
                <w:szCs w:val="16"/>
              </w:rPr>
              <w:t xml:space="preserve"> </w:t>
            </w:r>
            <w:r>
              <w:rPr>
                <w:sz w:val="16"/>
                <w:szCs w:val="16"/>
              </w:rPr>
              <w:t xml:space="preserve"> </w:t>
            </w:r>
          </w:p>
          <w:p w:rsidR="00F97D54" w:rsidRPr="00AA221C" w:rsidRDefault="00F97D54" w:rsidP="00EB5B97">
            <w:pPr>
              <w:ind w:left="706"/>
              <w:rPr>
                <w:i/>
                <w:sz w:val="16"/>
                <w:szCs w:val="16"/>
              </w:rPr>
            </w:pPr>
            <w:r w:rsidRPr="005E31C5">
              <w:rPr>
                <w:rFonts w:ascii="Times New Roman Bold" w:hAnsi="Times New Roman Bold"/>
                <w:b/>
                <w:sz w:val="20"/>
              </w:rPr>
              <w:t>□</w:t>
            </w:r>
            <w:r>
              <w:rPr>
                <w:sz w:val="16"/>
                <w:szCs w:val="16"/>
              </w:rPr>
              <w:t xml:space="preserve">  Other</w:t>
            </w:r>
            <w:r w:rsidRPr="008B31BB">
              <w:rPr>
                <w:sz w:val="16"/>
                <w:szCs w:val="16"/>
              </w:rPr>
              <w:t xml:space="preserve"> </w:t>
            </w:r>
            <w:r>
              <w:rPr>
                <w:sz w:val="16"/>
                <w:szCs w:val="16"/>
              </w:rPr>
              <w:t xml:space="preserve"> </w:t>
            </w:r>
          </w:p>
        </w:tc>
      </w:tr>
      <w:tr w:rsidR="00F97D54" w:rsidTr="00C454F1">
        <w:trPr>
          <w:trHeight w:val="360"/>
        </w:trPr>
        <w:tc>
          <w:tcPr>
            <w:tcW w:w="2898" w:type="dxa"/>
            <w:tcBorders>
              <w:top w:val="nil"/>
              <w:left w:val="single" w:sz="4" w:space="0" w:color="auto"/>
              <w:bottom w:val="single" w:sz="4" w:space="0" w:color="auto"/>
              <w:right w:val="single" w:sz="4" w:space="0" w:color="auto"/>
            </w:tcBorders>
            <w:vAlign w:val="center"/>
          </w:tcPr>
          <w:p w:rsidR="00F97D54" w:rsidRDefault="00F97D54" w:rsidP="00EB5B97">
            <w:pPr>
              <w:rPr>
                <w:sz w:val="16"/>
                <w:szCs w:val="16"/>
              </w:rPr>
            </w:pPr>
          </w:p>
        </w:tc>
        <w:tc>
          <w:tcPr>
            <w:tcW w:w="5850" w:type="dxa"/>
            <w:tcBorders>
              <w:top w:val="single" w:sz="4" w:space="0" w:color="auto"/>
              <w:left w:val="single" w:sz="4" w:space="0" w:color="auto"/>
              <w:bottom w:val="single" w:sz="4" w:space="0" w:color="auto"/>
              <w:right w:val="single" w:sz="4" w:space="0" w:color="auto"/>
            </w:tcBorders>
            <w:vAlign w:val="center"/>
          </w:tcPr>
          <w:p w:rsidR="00F97D54" w:rsidRPr="005E31C5" w:rsidRDefault="00F97D54" w:rsidP="00EB5B97">
            <w:pPr>
              <w:spacing w:line="360" w:lineRule="auto"/>
              <w:rPr>
                <w:i/>
                <w:sz w:val="16"/>
                <w:szCs w:val="16"/>
              </w:rPr>
            </w:pPr>
            <w:r w:rsidRPr="00261775">
              <w:rPr>
                <w:rFonts w:ascii="Times New Roman Bold" w:hAnsi="Times New Roman Bold"/>
                <w:b/>
                <w:sz w:val="20"/>
              </w:rPr>
              <w:t>□</w:t>
            </w:r>
            <w:r>
              <w:rPr>
                <w:rFonts w:ascii="Times New Roman Bold" w:hAnsi="Times New Roman Bold"/>
                <w:b/>
                <w:sz w:val="28"/>
              </w:rPr>
              <w:t xml:space="preserve"> </w:t>
            </w:r>
            <w:r w:rsidRPr="00D0281B">
              <w:rPr>
                <w:i/>
                <w:sz w:val="16"/>
                <w:szCs w:val="16"/>
              </w:rPr>
              <w:t xml:space="preserve">ILEC  </w:t>
            </w:r>
          </w:p>
        </w:tc>
      </w:tr>
      <w:tr w:rsidR="00F97D54" w:rsidTr="00F85A06">
        <w:trPr>
          <w:cantSplit/>
          <w:trHeight w:val="360"/>
        </w:trPr>
        <w:tc>
          <w:tcPr>
            <w:tcW w:w="2898" w:type="dxa"/>
            <w:tcBorders>
              <w:top w:val="single" w:sz="4" w:space="0" w:color="auto"/>
              <w:left w:val="single" w:sz="4" w:space="0" w:color="auto"/>
              <w:bottom w:val="nil"/>
              <w:right w:val="single" w:sz="6" w:space="0" w:color="auto"/>
            </w:tcBorders>
            <w:vAlign w:val="center"/>
          </w:tcPr>
          <w:p w:rsidR="00F97D54" w:rsidRDefault="00F97D54" w:rsidP="00EB5B97">
            <w:pPr>
              <w:rPr>
                <w:sz w:val="16"/>
                <w:szCs w:val="16"/>
              </w:rPr>
            </w:pPr>
            <w:r>
              <w:rPr>
                <w:sz w:val="16"/>
                <w:szCs w:val="16"/>
              </w:rPr>
              <w:t>Type of Filer cont. (select all that apply)</w:t>
            </w:r>
          </w:p>
        </w:tc>
        <w:tc>
          <w:tcPr>
            <w:tcW w:w="5850" w:type="dxa"/>
            <w:tcBorders>
              <w:top w:val="single" w:sz="4" w:space="0" w:color="auto"/>
              <w:left w:val="single" w:sz="6" w:space="0" w:color="auto"/>
              <w:bottom w:val="single" w:sz="4" w:space="0" w:color="auto"/>
              <w:right w:val="single" w:sz="4" w:space="0" w:color="auto"/>
            </w:tcBorders>
            <w:vAlign w:val="center"/>
          </w:tcPr>
          <w:p w:rsidR="00F97D54" w:rsidRPr="00261775" w:rsidRDefault="00F97D54" w:rsidP="00EB5B97">
            <w:pPr>
              <w:spacing w:after="120"/>
              <w:rPr>
                <w:rFonts w:ascii="Times New Roman Bold" w:hAnsi="Times New Roman Bold"/>
                <w:b/>
                <w:sz w:val="20"/>
              </w:rPr>
            </w:pPr>
            <w:r w:rsidRPr="00261775">
              <w:rPr>
                <w:rFonts w:ascii="Times New Roman Bold" w:hAnsi="Times New Roman Bold"/>
                <w:b/>
                <w:sz w:val="20"/>
              </w:rPr>
              <w:t>□</w:t>
            </w:r>
            <w:r>
              <w:rPr>
                <w:rFonts w:ascii="Times New Roman Bold" w:hAnsi="Times New Roman Bold"/>
                <w:b/>
                <w:sz w:val="28"/>
              </w:rPr>
              <w:t xml:space="preserve"> </w:t>
            </w:r>
            <w:r w:rsidRPr="00AA0D0C">
              <w:rPr>
                <w:sz w:val="16"/>
                <w:szCs w:val="16"/>
              </w:rPr>
              <w:t xml:space="preserve">Entity that provides </w:t>
            </w:r>
            <w:r>
              <w:rPr>
                <w:i/>
                <w:sz w:val="16"/>
                <w:szCs w:val="16"/>
              </w:rPr>
              <w:t>B</w:t>
            </w:r>
            <w:r w:rsidRPr="00D0281B">
              <w:rPr>
                <w:i/>
                <w:sz w:val="16"/>
                <w:szCs w:val="16"/>
              </w:rPr>
              <w:t>est Efforts Business Broadband Internet Access Service</w:t>
            </w:r>
            <w:r>
              <w:rPr>
                <w:sz w:val="16"/>
                <w:szCs w:val="16"/>
              </w:rPr>
              <w:t xml:space="preserve"> to 15,000 or more customers or 1,500 or more business broadband customers in price cap areas</w:t>
            </w:r>
          </w:p>
        </w:tc>
      </w:tr>
      <w:tr w:rsidR="00F97D54" w:rsidTr="00F85A06">
        <w:trPr>
          <w:cantSplit/>
          <w:trHeight w:val="360"/>
        </w:trPr>
        <w:tc>
          <w:tcPr>
            <w:tcW w:w="2898" w:type="dxa"/>
            <w:tcBorders>
              <w:top w:val="nil"/>
              <w:left w:val="single" w:sz="4" w:space="0" w:color="auto"/>
              <w:bottom w:val="nil"/>
              <w:right w:val="single" w:sz="4" w:space="0" w:color="auto"/>
            </w:tcBorders>
            <w:vAlign w:val="center"/>
          </w:tcPr>
          <w:p w:rsidR="00F97D54" w:rsidRDefault="00F97D54" w:rsidP="00EB5B97">
            <w:pPr>
              <w:rPr>
                <w:sz w:val="16"/>
                <w:szCs w:val="16"/>
              </w:rPr>
            </w:pPr>
          </w:p>
        </w:tc>
        <w:tc>
          <w:tcPr>
            <w:tcW w:w="5850" w:type="dxa"/>
            <w:tcBorders>
              <w:top w:val="single" w:sz="4" w:space="0" w:color="auto"/>
              <w:left w:val="single" w:sz="4" w:space="0" w:color="auto"/>
              <w:bottom w:val="single" w:sz="4" w:space="0" w:color="auto"/>
              <w:right w:val="single" w:sz="4" w:space="0" w:color="auto"/>
            </w:tcBorders>
            <w:vAlign w:val="center"/>
          </w:tcPr>
          <w:p w:rsidR="00F97D54" w:rsidRDefault="00F97D54" w:rsidP="00EB5B97">
            <w:pPr>
              <w:spacing w:line="360" w:lineRule="auto"/>
              <w:rPr>
                <w:sz w:val="16"/>
                <w:szCs w:val="16"/>
              </w:rPr>
            </w:pPr>
            <w:r w:rsidRPr="00261775">
              <w:rPr>
                <w:rFonts w:ascii="Times New Roman Bold" w:hAnsi="Times New Roman Bold"/>
                <w:b/>
                <w:sz w:val="20"/>
              </w:rPr>
              <w:t>□</w:t>
            </w:r>
            <w:r>
              <w:rPr>
                <w:rFonts w:ascii="Times New Roman Bold" w:hAnsi="Times New Roman Bold"/>
                <w:b/>
                <w:sz w:val="28"/>
              </w:rPr>
              <w:t xml:space="preserve"> </w:t>
            </w:r>
            <w:r>
              <w:rPr>
                <w:sz w:val="16"/>
                <w:szCs w:val="16"/>
              </w:rPr>
              <w:t xml:space="preserve"> </w:t>
            </w:r>
            <w:r w:rsidRPr="005E31C5">
              <w:rPr>
                <w:i/>
                <w:sz w:val="16"/>
                <w:szCs w:val="16"/>
              </w:rPr>
              <w:t>Purchaser</w:t>
            </w:r>
          </w:p>
          <w:p w:rsidR="00F97D54" w:rsidRDefault="00F97D54" w:rsidP="00EB5B97">
            <w:pPr>
              <w:spacing w:line="360" w:lineRule="auto"/>
              <w:ind w:left="252"/>
              <w:rPr>
                <w:sz w:val="16"/>
                <w:szCs w:val="16"/>
              </w:rPr>
            </w:pPr>
            <w:r>
              <w:rPr>
                <w:sz w:val="16"/>
                <w:szCs w:val="16"/>
              </w:rPr>
              <w:t xml:space="preserve">Type of </w:t>
            </w:r>
            <w:r w:rsidRPr="00261775">
              <w:rPr>
                <w:i/>
                <w:sz w:val="16"/>
                <w:szCs w:val="16"/>
              </w:rPr>
              <w:t>Purchaser</w:t>
            </w:r>
            <w:r>
              <w:rPr>
                <w:sz w:val="16"/>
                <w:szCs w:val="16"/>
              </w:rPr>
              <w:t xml:space="preserve"> (select all that apply):</w:t>
            </w:r>
          </w:p>
          <w:p w:rsidR="00F97D54" w:rsidRDefault="00F97D54" w:rsidP="00EB5B97">
            <w:pPr>
              <w:spacing w:line="360" w:lineRule="auto"/>
              <w:ind w:left="702"/>
              <w:rPr>
                <w:sz w:val="16"/>
                <w:szCs w:val="16"/>
              </w:rPr>
            </w:pPr>
            <w:r w:rsidRPr="00261775">
              <w:rPr>
                <w:rFonts w:ascii="Times New Roman Bold" w:hAnsi="Times New Roman Bold"/>
                <w:b/>
                <w:sz w:val="20"/>
              </w:rPr>
              <w:t>□</w:t>
            </w:r>
            <w:r>
              <w:rPr>
                <w:rFonts w:ascii="Times New Roman Bold" w:hAnsi="Times New Roman Bold"/>
                <w:b/>
                <w:sz w:val="28"/>
              </w:rPr>
              <w:t xml:space="preserve"> </w:t>
            </w:r>
            <w:r>
              <w:rPr>
                <w:sz w:val="16"/>
                <w:szCs w:val="16"/>
              </w:rPr>
              <w:t>Mobile wireless service provider</w:t>
            </w:r>
            <w:r w:rsidRPr="00261775">
              <w:rPr>
                <w:sz w:val="16"/>
                <w:szCs w:val="16"/>
              </w:rPr>
              <w:t xml:space="preserve"> </w:t>
            </w:r>
            <w:r>
              <w:rPr>
                <w:sz w:val="16"/>
                <w:szCs w:val="16"/>
              </w:rPr>
              <w:t xml:space="preserve"> </w:t>
            </w:r>
          </w:p>
          <w:p w:rsidR="00F97D54" w:rsidRPr="005E31C5" w:rsidRDefault="00F97D54" w:rsidP="00EB5B97">
            <w:pPr>
              <w:spacing w:line="360" w:lineRule="auto"/>
              <w:ind w:left="702"/>
              <w:rPr>
                <w:sz w:val="16"/>
                <w:szCs w:val="16"/>
              </w:rPr>
            </w:pPr>
            <w:r w:rsidRPr="00261775">
              <w:rPr>
                <w:rFonts w:ascii="Times New Roman Bold" w:hAnsi="Times New Roman Bold"/>
                <w:b/>
                <w:sz w:val="20"/>
              </w:rPr>
              <w:t>□</w:t>
            </w:r>
            <w:r>
              <w:rPr>
                <w:rFonts w:ascii="Times New Roman Bold" w:hAnsi="Times New Roman Bold"/>
                <w:b/>
                <w:sz w:val="28"/>
              </w:rPr>
              <w:t xml:space="preserve"> </w:t>
            </w:r>
            <w:r>
              <w:rPr>
                <w:sz w:val="16"/>
                <w:szCs w:val="16"/>
              </w:rPr>
              <w:t xml:space="preserve">Other </w:t>
            </w:r>
            <w:r w:rsidRPr="008B31BB">
              <w:rPr>
                <w:sz w:val="16"/>
                <w:szCs w:val="16"/>
              </w:rPr>
              <w:t xml:space="preserve"> </w:t>
            </w:r>
            <w:r>
              <w:rPr>
                <w:sz w:val="16"/>
                <w:szCs w:val="16"/>
              </w:rPr>
              <w:t xml:space="preserve"> </w:t>
            </w:r>
          </w:p>
        </w:tc>
      </w:tr>
      <w:tr w:rsidR="00F97D54" w:rsidTr="00EB5B97">
        <w:trPr>
          <w:trHeight w:val="360"/>
        </w:trPr>
        <w:tc>
          <w:tcPr>
            <w:tcW w:w="2898" w:type="dxa"/>
            <w:tcBorders>
              <w:top w:val="nil"/>
              <w:left w:val="single" w:sz="4" w:space="0" w:color="auto"/>
              <w:bottom w:val="double" w:sz="4" w:space="0" w:color="auto"/>
              <w:right w:val="single" w:sz="4" w:space="0" w:color="auto"/>
            </w:tcBorders>
            <w:vAlign w:val="center"/>
          </w:tcPr>
          <w:p w:rsidR="00F97D54" w:rsidRDefault="00F97D54" w:rsidP="00EB5B97">
            <w:pPr>
              <w:rPr>
                <w:sz w:val="16"/>
                <w:szCs w:val="16"/>
              </w:rPr>
            </w:pPr>
          </w:p>
        </w:tc>
        <w:tc>
          <w:tcPr>
            <w:tcW w:w="5850" w:type="dxa"/>
            <w:tcBorders>
              <w:top w:val="single" w:sz="4" w:space="0" w:color="auto"/>
              <w:left w:val="single" w:sz="4" w:space="0" w:color="auto"/>
              <w:bottom w:val="double" w:sz="4" w:space="0" w:color="auto"/>
              <w:right w:val="single" w:sz="4" w:space="0" w:color="auto"/>
            </w:tcBorders>
            <w:vAlign w:val="center"/>
          </w:tcPr>
          <w:p w:rsidR="00F97D54" w:rsidRDefault="00F97D54" w:rsidP="00EB5B97">
            <w:pPr>
              <w:spacing w:line="360" w:lineRule="auto"/>
              <w:rPr>
                <w:sz w:val="16"/>
                <w:szCs w:val="16"/>
              </w:rPr>
            </w:pPr>
            <w:r w:rsidRPr="00261775">
              <w:rPr>
                <w:rFonts w:ascii="Times New Roman Bold" w:hAnsi="Times New Roman Bold"/>
                <w:b/>
                <w:sz w:val="20"/>
              </w:rPr>
              <w:t>□</w:t>
            </w:r>
            <w:r>
              <w:rPr>
                <w:rFonts w:ascii="Times New Roman Bold" w:hAnsi="Times New Roman Bold"/>
                <w:b/>
                <w:sz w:val="28"/>
              </w:rPr>
              <w:t xml:space="preserve">  </w:t>
            </w:r>
            <w:r w:rsidRPr="00AA221C">
              <w:rPr>
                <w:sz w:val="16"/>
                <w:szCs w:val="16"/>
              </w:rPr>
              <w:t>None of the above</w:t>
            </w:r>
            <w:r>
              <w:rPr>
                <w:sz w:val="16"/>
                <w:szCs w:val="16"/>
              </w:rPr>
              <w:t xml:space="preserve"> </w:t>
            </w:r>
          </w:p>
          <w:p w:rsidR="00F97D54" w:rsidRDefault="00F97D54" w:rsidP="00EB5B97">
            <w:pPr>
              <w:rPr>
                <w:sz w:val="16"/>
                <w:szCs w:val="16"/>
              </w:rPr>
            </w:pPr>
            <w:r>
              <w:rPr>
                <w:sz w:val="16"/>
                <w:szCs w:val="16"/>
              </w:rPr>
              <w:t>(</w:t>
            </w:r>
            <w:r w:rsidRPr="007F341A">
              <w:rPr>
                <w:i/>
                <w:sz w:val="16"/>
                <w:szCs w:val="16"/>
              </w:rPr>
              <w:t>i.e.</w:t>
            </w:r>
            <w:r>
              <w:rPr>
                <w:sz w:val="16"/>
                <w:szCs w:val="16"/>
              </w:rPr>
              <w:t xml:space="preserve">, you are not a </w:t>
            </w:r>
            <w:r w:rsidRPr="007F341A">
              <w:rPr>
                <w:i/>
                <w:sz w:val="16"/>
                <w:szCs w:val="16"/>
              </w:rPr>
              <w:t>Provider</w:t>
            </w:r>
            <w:r>
              <w:rPr>
                <w:sz w:val="16"/>
                <w:szCs w:val="16"/>
              </w:rPr>
              <w:t xml:space="preserve">, </w:t>
            </w:r>
            <w:r w:rsidRPr="007F341A">
              <w:rPr>
                <w:i/>
                <w:sz w:val="16"/>
                <w:szCs w:val="16"/>
              </w:rPr>
              <w:t>Purchaser</w:t>
            </w:r>
            <w:r>
              <w:rPr>
                <w:sz w:val="16"/>
                <w:szCs w:val="16"/>
              </w:rPr>
              <w:t xml:space="preserve">, or an entity that </w:t>
            </w:r>
            <w:r w:rsidRPr="00AA0D0C">
              <w:rPr>
                <w:sz w:val="16"/>
                <w:szCs w:val="16"/>
              </w:rPr>
              <w:t xml:space="preserve">provides </w:t>
            </w:r>
            <w:r>
              <w:rPr>
                <w:i/>
                <w:sz w:val="16"/>
                <w:szCs w:val="16"/>
              </w:rPr>
              <w:t>B</w:t>
            </w:r>
            <w:r w:rsidRPr="00D0281B">
              <w:rPr>
                <w:i/>
                <w:sz w:val="16"/>
                <w:szCs w:val="16"/>
              </w:rPr>
              <w:t>est Efforts Business Broadband Internet Access Service</w:t>
            </w:r>
            <w:r>
              <w:rPr>
                <w:sz w:val="16"/>
                <w:szCs w:val="16"/>
              </w:rPr>
              <w:t xml:space="preserve"> to 15,000 or more customers or 1,500 or more business broadband customers in price cap areas</w:t>
            </w:r>
          </w:p>
          <w:p w:rsidR="00F97D54" w:rsidRPr="00261775" w:rsidRDefault="00F97D54" w:rsidP="00EB5B97">
            <w:pPr>
              <w:rPr>
                <w:rFonts w:ascii="Times New Roman Bold" w:hAnsi="Times New Roman Bold"/>
                <w:b/>
                <w:sz w:val="20"/>
              </w:rPr>
            </w:pPr>
          </w:p>
        </w:tc>
      </w:tr>
    </w:tbl>
    <w:p w:rsidR="00F97D54" w:rsidRDefault="00F97D54" w:rsidP="00EB5B97">
      <w:pPr>
        <w:tabs>
          <w:tab w:val="left" w:pos="1080"/>
        </w:tabs>
        <w:rPr>
          <w:szCs w:val="22"/>
        </w:rPr>
      </w:pPr>
    </w:p>
    <w:p w:rsidR="00F97D54" w:rsidRDefault="00F97D54" w:rsidP="00EB5B97">
      <w:pPr>
        <w:tabs>
          <w:tab w:val="left" w:pos="1080"/>
        </w:tabs>
        <w:rPr>
          <w:szCs w:val="22"/>
          <w:u w:val="single"/>
        </w:rPr>
      </w:pPr>
    </w:p>
    <w:p w:rsidR="00F97D54" w:rsidRPr="0075498C" w:rsidRDefault="00F97D54" w:rsidP="00EB5B97">
      <w:pPr>
        <w:tabs>
          <w:tab w:val="left" w:pos="1080"/>
        </w:tabs>
        <w:rPr>
          <w:szCs w:val="22"/>
        </w:rPr>
      </w:pPr>
      <w:r>
        <w:rPr>
          <w:szCs w:val="22"/>
          <w:u w:val="single"/>
        </w:rPr>
        <w:t>Counsel of Record</w:t>
      </w:r>
      <w:r>
        <w:rPr>
          <w:szCs w:val="22"/>
        </w:rPr>
        <w:t xml:space="preserve">.  If you are represented by counsel and want to designate such counsel for the service of notices and other documents, then complete the “Counsel of Record” fields in the Filer Identification Information. </w:t>
      </w:r>
    </w:p>
    <w:p w:rsidR="00F97D54" w:rsidRDefault="00F97D54" w:rsidP="00EB5B97">
      <w:pPr>
        <w:tabs>
          <w:tab w:val="left" w:pos="1080"/>
        </w:tabs>
        <w:rPr>
          <w:szCs w:val="22"/>
          <w:u w:val="single"/>
        </w:rPr>
      </w:pPr>
    </w:p>
    <w:p w:rsidR="00F97D54" w:rsidRDefault="00F97D54" w:rsidP="00EB5B97">
      <w:pPr>
        <w:tabs>
          <w:tab w:val="left" w:pos="1080"/>
        </w:tabs>
        <w:rPr>
          <w:szCs w:val="22"/>
        </w:rPr>
      </w:pPr>
      <w:r>
        <w:rPr>
          <w:szCs w:val="22"/>
          <w:u w:val="single"/>
        </w:rPr>
        <w:t>Holding</w:t>
      </w:r>
      <w:r w:rsidRPr="0075498C">
        <w:rPr>
          <w:szCs w:val="22"/>
          <w:u w:val="single"/>
        </w:rPr>
        <w:t xml:space="preserve"> Company</w:t>
      </w:r>
      <w:r>
        <w:rPr>
          <w:szCs w:val="22"/>
        </w:rPr>
        <w:t>.  Parties</w:t>
      </w:r>
      <w:r w:rsidRPr="00E0164C">
        <w:rPr>
          <w:szCs w:val="22"/>
        </w:rPr>
        <w:t xml:space="preserve"> can either </w:t>
      </w:r>
      <w:r>
        <w:rPr>
          <w:szCs w:val="22"/>
        </w:rPr>
        <w:t>submit</w:t>
      </w:r>
      <w:r w:rsidRPr="00E0164C">
        <w:rPr>
          <w:szCs w:val="22"/>
        </w:rPr>
        <w:t xml:space="preserve"> a single response reporting </w:t>
      </w:r>
      <w:r>
        <w:rPr>
          <w:szCs w:val="22"/>
        </w:rPr>
        <w:t>aggregate information</w:t>
      </w:r>
      <w:r w:rsidRPr="00E0164C">
        <w:rPr>
          <w:szCs w:val="22"/>
        </w:rPr>
        <w:t xml:space="preserve"> at the </w:t>
      </w:r>
      <w:r>
        <w:rPr>
          <w:szCs w:val="22"/>
        </w:rPr>
        <w:t xml:space="preserve">ultimate </w:t>
      </w:r>
      <w:r w:rsidRPr="00E0164C">
        <w:rPr>
          <w:szCs w:val="22"/>
        </w:rPr>
        <w:t>parent</w:t>
      </w:r>
      <w:r>
        <w:rPr>
          <w:szCs w:val="22"/>
        </w:rPr>
        <w:t>/holding</w:t>
      </w:r>
      <w:r w:rsidRPr="00E0164C">
        <w:rPr>
          <w:szCs w:val="22"/>
        </w:rPr>
        <w:t xml:space="preserve"> com</w:t>
      </w:r>
      <w:r>
        <w:rPr>
          <w:szCs w:val="22"/>
        </w:rPr>
        <w:t xml:space="preserve">pany level for all subsidiaries, </w:t>
      </w:r>
      <w:r w:rsidRPr="00E0164C">
        <w:rPr>
          <w:szCs w:val="22"/>
        </w:rPr>
        <w:t>affiliates</w:t>
      </w:r>
      <w:r>
        <w:rPr>
          <w:szCs w:val="22"/>
        </w:rPr>
        <w:t>, and intermediate holding companies</w:t>
      </w:r>
      <w:r w:rsidRPr="00E0164C">
        <w:rPr>
          <w:szCs w:val="22"/>
        </w:rPr>
        <w:t xml:space="preserve"> or submit separate responses </w:t>
      </w:r>
      <w:r>
        <w:rPr>
          <w:szCs w:val="22"/>
        </w:rPr>
        <w:t xml:space="preserve">for individual </w:t>
      </w:r>
      <w:r w:rsidRPr="00E0164C">
        <w:rPr>
          <w:szCs w:val="22"/>
        </w:rPr>
        <w:t>subsidiar</w:t>
      </w:r>
      <w:r>
        <w:rPr>
          <w:szCs w:val="22"/>
        </w:rPr>
        <w:t xml:space="preserve">ies, </w:t>
      </w:r>
      <w:r w:rsidRPr="00E0164C">
        <w:rPr>
          <w:szCs w:val="22"/>
        </w:rPr>
        <w:t>affiliate</w:t>
      </w:r>
      <w:r>
        <w:rPr>
          <w:szCs w:val="22"/>
        </w:rPr>
        <w:t>s, and intermediate holding companies</w:t>
      </w:r>
      <w:r w:rsidRPr="00E0164C">
        <w:rPr>
          <w:szCs w:val="22"/>
        </w:rPr>
        <w:t xml:space="preserve">.  </w:t>
      </w:r>
      <w:r>
        <w:t>In addition, list the name and FRN for all companies covered by the submission in the “Explanatory Attachment” and identify the companies whose information is being reported in response to a particular section of the data collection.</w:t>
      </w:r>
      <w:r>
        <w:rPr>
          <w:rStyle w:val="FootnoteReference"/>
        </w:rPr>
        <w:footnoteReference w:id="190"/>
      </w:r>
      <w:r>
        <w:t xml:space="preserve">  For example, the responses to Section II.A include information from ABC CLEC Co. and DEF CLEC Co. and the responses to Section II.E include information from ABC Wireless Co.</w:t>
      </w:r>
    </w:p>
    <w:p w:rsidR="00F97D54" w:rsidRDefault="00F97D54" w:rsidP="00EB5B97">
      <w:pPr>
        <w:tabs>
          <w:tab w:val="left" w:pos="1080"/>
        </w:tabs>
        <w:rPr>
          <w:szCs w:val="22"/>
        </w:rPr>
      </w:pPr>
    </w:p>
    <w:p w:rsidR="00F97D54" w:rsidRDefault="00F97D54" w:rsidP="00BE5996">
      <w:pPr>
        <w:tabs>
          <w:tab w:val="left" w:pos="1080"/>
        </w:tabs>
        <w:rPr>
          <w:szCs w:val="22"/>
        </w:rPr>
      </w:pPr>
      <w:r w:rsidRPr="00E0164C">
        <w:rPr>
          <w:szCs w:val="22"/>
        </w:rPr>
        <w:t xml:space="preserve">If filing separate responses, </w:t>
      </w:r>
      <w:r>
        <w:rPr>
          <w:szCs w:val="22"/>
        </w:rPr>
        <w:t xml:space="preserve">identify the name and FRN of the filer’s ultimate parent/holding company or controlling entity.  All reporting affiliates or commonly controlled entities must list the identical ultimate parent/holding company name or controlling entity and FRN </w:t>
      </w:r>
      <w:r w:rsidRPr="00E0164C">
        <w:rPr>
          <w:szCs w:val="22"/>
        </w:rPr>
        <w:t xml:space="preserve">so </w:t>
      </w:r>
      <w:r>
        <w:rPr>
          <w:szCs w:val="22"/>
        </w:rPr>
        <w:t>the FCC</w:t>
      </w:r>
      <w:r w:rsidRPr="00E0164C">
        <w:rPr>
          <w:szCs w:val="22"/>
        </w:rPr>
        <w:t xml:space="preserve"> can </w:t>
      </w:r>
      <w:r>
        <w:rPr>
          <w:szCs w:val="22"/>
        </w:rPr>
        <w:t xml:space="preserve">internally </w:t>
      </w:r>
      <w:r w:rsidRPr="00E0164C">
        <w:rPr>
          <w:szCs w:val="22"/>
        </w:rPr>
        <w:t xml:space="preserve">link the responses to a single </w:t>
      </w:r>
      <w:r>
        <w:rPr>
          <w:szCs w:val="22"/>
        </w:rPr>
        <w:t xml:space="preserve">ultimate </w:t>
      </w:r>
      <w:r w:rsidRPr="00E0164C">
        <w:rPr>
          <w:szCs w:val="22"/>
        </w:rPr>
        <w:t>parent</w:t>
      </w:r>
      <w:r>
        <w:rPr>
          <w:szCs w:val="22"/>
        </w:rPr>
        <w:t>/holding</w:t>
      </w:r>
      <w:r w:rsidRPr="00E0164C">
        <w:rPr>
          <w:szCs w:val="22"/>
        </w:rPr>
        <w:t xml:space="preserve"> company</w:t>
      </w:r>
      <w:r>
        <w:rPr>
          <w:szCs w:val="22"/>
        </w:rPr>
        <w:t xml:space="preserve"> or controlling entity</w:t>
      </w:r>
      <w:r w:rsidRPr="00E0164C">
        <w:rPr>
          <w:szCs w:val="22"/>
        </w:rPr>
        <w:t>.</w:t>
      </w:r>
      <w:r>
        <w:rPr>
          <w:szCs w:val="22"/>
        </w:rPr>
        <w:t xml:space="preserve">  In addition, the ultimate parent/holding company or controlling entity must separately file a letter in the Commission’s Electronic Comment Filing System (ECFS) in WC Docket No. 05-25 identifying its FRN and the FRN and name of all of its subsidiaries that are separately filing responses to this data collection; send a copy of this letter via email to [</w:t>
      </w:r>
      <w:r w:rsidRPr="00596B90">
        <w:rPr>
          <w:szCs w:val="22"/>
        </w:rPr>
        <w:t>FCC contact</w:t>
      </w:r>
      <w:r>
        <w:rPr>
          <w:szCs w:val="22"/>
        </w:rPr>
        <w:t>].</w:t>
      </w:r>
    </w:p>
    <w:p w:rsidR="00F97D54" w:rsidRDefault="00F97D54" w:rsidP="00EB5B97">
      <w:pPr>
        <w:tabs>
          <w:tab w:val="left" w:pos="1080"/>
        </w:tabs>
        <w:rPr>
          <w:szCs w:val="22"/>
        </w:rPr>
      </w:pPr>
    </w:p>
    <w:p w:rsidR="00F97D54" w:rsidRPr="000E064C" w:rsidRDefault="00F97D54" w:rsidP="00EB5B97">
      <w:pPr>
        <w:rPr>
          <w:szCs w:val="22"/>
        </w:rPr>
      </w:pPr>
      <w:r w:rsidRPr="000E064C">
        <w:rPr>
          <w:u w:val="single"/>
        </w:rPr>
        <w:t>Corrective Resubmissions</w:t>
      </w:r>
      <w:r>
        <w:t>.  If you need to make a corrective resubmission, contact [</w:t>
      </w:r>
      <w:r w:rsidRPr="00596B90">
        <w:t>FCC contact name</w:t>
      </w:r>
      <w:r>
        <w:t xml:space="preserve">] to make arrangements.  </w:t>
      </w:r>
      <w:r w:rsidRPr="000E064C">
        <w:rPr>
          <w:szCs w:val="22"/>
        </w:rPr>
        <w:t xml:space="preserve">Include with your corrective resubmission an explanation </w:t>
      </w:r>
      <w:r>
        <w:rPr>
          <w:szCs w:val="22"/>
        </w:rPr>
        <w:t xml:space="preserve">of the nature of the correction, </w:t>
      </w:r>
      <w:r w:rsidRPr="009050AD">
        <w:rPr>
          <w:i/>
          <w:szCs w:val="22"/>
        </w:rPr>
        <w:t>i.e.</w:t>
      </w:r>
      <w:r>
        <w:rPr>
          <w:szCs w:val="22"/>
        </w:rPr>
        <w:t>, explaining</w:t>
      </w:r>
      <w:r w:rsidRPr="000E064C">
        <w:rPr>
          <w:szCs w:val="22"/>
        </w:rPr>
        <w:t xml:space="preserve"> what information you </w:t>
      </w:r>
      <w:r>
        <w:rPr>
          <w:szCs w:val="22"/>
        </w:rPr>
        <w:t>are correcting and why.</w:t>
      </w:r>
    </w:p>
    <w:p w:rsidR="00F97D54" w:rsidRDefault="00F97D54" w:rsidP="00EB5B97">
      <w:pPr>
        <w:tabs>
          <w:tab w:val="left" w:pos="1080"/>
        </w:tabs>
      </w:pPr>
    </w:p>
    <w:p w:rsidR="00F97D54" w:rsidRDefault="00F97D54" w:rsidP="00EB5B97">
      <w:pPr>
        <w:tabs>
          <w:tab w:val="left" w:pos="108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7560"/>
      </w:tblGrid>
      <w:tr w:rsidR="00F97D54" w:rsidRPr="00D821F5" w:rsidTr="00EB5B97">
        <w:trPr>
          <w:trHeight w:val="360"/>
          <w:tblHeader/>
        </w:trPr>
        <w:tc>
          <w:tcPr>
            <w:tcW w:w="8748" w:type="dxa"/>
            <w:gridSpan w:val="2"/>
            <w:tcBorders>
              <w:top w:val="double" w:sz="4" w:space="0" w:color="auto"/>
              <w:bottom w:val="double" w:sz="4" w:space="0" w:color="auto"/>
            </w:tcBorders>
            <w:shd w:val="clear" w:color="auto" w:fill="auto"/>
            <w:vAlign w:val="center"/>
          </w:tcPr>
          <w:p w:rsidR="00F97D54" w:rsidRPr="00D821F5" w:rsidRDefault="00F97D54" w:rsidP="00EB5B97">
            <w:pPr>
              <w:tabs>
                <w:tab w:val="num" w:pos="1440"/>
              </w:tabs>
              <w:jc w:val="center"/>
              <w:rPr>
                <w:b/>
                <w:szCs w:val="22"/>
              </w:rPr>
            </w:pPr>
            <w:r w:rsidRPr="00D821F5">
              <w:rPr>
                <w:b/>
                <w:szCs w:val="22"/>
              </w:rPr>
              <w:t>Certification</w:t>
            </w:r>
          </w:p>
        </w:tc>
      </w:tr>
      <w:tr w:rsidR="00F97D54" w:rsidRPr="00261775" w:rsidTr="00EB5B97">
        <w:tc>
          <w:tcPr>
            <w:tcW w:w="8748" w:type="dxa"/>
            <w:gridSpan w:val="2"/>
            <w:tcBorders>
              <w:top w:val="double" w:sz="4" w:space="0" w:color="auto"/>
            </w:tcBorders>
            <w:shd w:val="clear" w:color="auto" w:fill="auto"/>
            <w:vAlign w:val="center"/>
          </w:tcPr>
          <w:p w:rsidR="00F97D54" w:rsidRDefault="00F97D54" w:rsidP="00EB5B97">
            <w:pPr>
              <w:tabs>
                <w:tab w:val="num" w:pos="1440"/>
              </w:tabs>
              <w:rPr>
                <w:sz w:val="16"/>
                <w:szCs w:val="16"/>
              </w:rPr>
            </w:pPr>
          </w:p>
          <w:p w:rsidR="00F97D54" w:rsidRDefault="00F97D54" w:rsidP="00EB5B97">
            <w:pPr>
              <w:tabs>
                <w:tab w:val="num" w:pos="1440"/>
              </w:tabs>
              <w:rPr>
                <w:sz w:val="16"/>
                <w:szCs w:val="16"/>
              </w:rPr>
            </w:pPr>
            <w:r w:rsidRPr="00D52FA9">
              <w:rPr>
                <w:sz w:val="16"/>
                <w:szCs w:val="16"/>
              </w:rPr>
              <w:t>I have examined the response and certify that, to the best of my knowledge, all statements of fact, data, and information contained therein are true and correct.</w:t>
            </w:r>
          </w:p>
          <w:p w:rsidR="00F97D54" w:rsidRPr="006A6B10" w:rsidRDefault="00F97D54" w:rsidP="00EB5B97">
            <w:pPr>
              <w:tabs>
                <w:tab w:val="num" w:pos="1440"/>
              </w:tabs>
              <w:rPr>
                <w:sz w:val="16"/>
                <w:szCs w:val="16"/>
              </w:rPr>
            </w:pPr>
          </w:p>
        </w:tc>
      </w:tr>
      <w:tr w:rsidR="00F97D54" w:rsidRPr="00261775" w:rsidTr="00EB5B97">
        <w:tc>
          <w:tcPr>
            <w:tcW w:w="1188" w:type="dxa"/>
            <w:shd w:val="clear" w:color="auto" w:fill="auto"/>
            <w:vAlign w:val="center"/>
          </w:tcPr>
          <w:p w:rsidR="00F97D54" w:rsidRPr="00E85A82" w:rsidRDefault="00F97D54" w:rsidP="00EB5B97">
            <w:pPr>
              <w:tabs>
                <w:tab w:val="num" w:pos="1440"/>
              </w:tabs>
              <w:rPr>
                <w:sz w:val="16"/>
                <w:szCs w:val="16"/>
              </w:rPr>
            </w:pPr>
            <w:r>
              <w:rPr>
                <w:sz w:val="16"/>
                <w:szCs w:val="16"/>
              </w:rPr>
              <w:t>Signature</w:t>
            </w:r>
          </w:p>
        </w:tc>
        <w:tc>
          <w:tcPr>
            <w:tcW w:w="7560" w:type="dxa"/>
            <w:shd w:val="clear" w:color="auto" w:fill="auto"/>
            <w:vAlign w:val="center"/>
          </w:tcPr>
          <w:p w:rsidR="00F97D54" w:rsidRPr="006A6B10" w:rsidRDefault="00F97D54" w:rsidP="00EB5B97">
            <w:pPr>
              <w:tabs>
                <w:tab w:val="num" w:pos="1440"/>
              </w:tabs>
              <w:rPr>
                <w:sz w:val="16"/>
                <w:szCs w:val="16"/>
              </w:rPr>
            </w:pPr>
          </w:p>
        </w:tc>
      </w:tr>
      <w:tr w:rsidR="00F97D54" w:rsidRPr="00261775" w:rsidTr="00EB5B97">
        <w:tc>
          <w:tcPr>
            <w:tcW w:w="1188" w:type="dxa"/>
            <w:shd w:val="clear" w:color="auto" w:fill="auto"/>
          </w:tcPr>
          <w:p w:rsidR="00F97D54" w:rsidRPr="006A6B10" w:rsidRDefault="00F97D54" w:rsidP="00EB5B97">
            <w:pPr>
              <w:tabs>
                <w:tab w:val="num" w:pos="1440"/>
              </w:tabs>
              <w:rPr>
                <w:sz w:val="16"/>
                <w:szCs w:val="16"/>
              </w:rPr>
            </w:pPr>
            <w:r>
              <w:rPr>
                <w:sz w:val="16"/>
                <w:szCs w:val="16"/>
              </w:rPr>
              <w:t xml:space="preserve">Name </w:t>
            </w:r>
          </w:p>
        </w:tc>
        <w:tc>
          <w:tcPr>
            <w:tcW w:w="7560" w:type="dxa"/>
            <w:shd w:val="clear" w:color="auto" w:fill="auto"/>
          </w:tcPr>
          <w:p w:rsidR="00F97D54" w:rsidRPr="006A6B10" w:rsidRDefault="00F97D54" w:rsidP="00EB5B97">
            <w:pPr>
              <w:tabs>
                <w:tab w:val="num" w:pos="1440"/>
              </w:tabs>
              <w:rPr>
                <w:sz w:val="16"/>
                <w:szCs w:val="16"/>
              </w:rPr>
            </w:pPr>
          </w:p>
        </w:tc>
      </w:tr>
      <w:tr w:rsidR="00F97D54" w:rsidRPr="00261775" w:rsidTr="00EB5B97">
        <w:tc>
          <w:tcPr>
            <w:tcW w:w="1188" w:type="dxa"/>
            <w:shd w:val="clear" w:color="auto" w:fill="auto"/>
          </w:tcPr>
          <w:p w:rsidR="00F97D54" w:rsidRPr="006A6B10" w:rsidRDefault="00F97D54" w:rsidP="00EB5B97">
            <w:pPr>
              <w:tabs>
                <w:tab w:val="num" w:pos="1440"/>
              </w:tabs>
              <w:rPr>
                <w:sz w:val="16"/>
                <w:szCs w:val="16"/>
              </w:rPr>
            </w:pPr>
            <w:r>
              <w:rPr>
                <w:sz w:val="16"/>
                <w:szCs w:val="16"/>
              </w:rPr>
              <w:t xml:space="preserve">Title </w:t>
            </w:r>
          </w:p>
        </w:tc>
        <w:tc>
          <w:tcPr>
            <w:tcW w:w="7560" w:type="dxa"/>
            <w:shd w:val="clear" w:color="auto" w:fill="auto"/>
          </w:tcPr>
          <w:p w:rsidR="00F97D54" w:rsidRPr="006A6B10" w:rsidRDefault="00F97D54" w:rsidP="00EB5B97">
            <w:pPr>
              <w:tabs>
                <w:tab w:val="num" w:pos="1440"/>
              </w:tabs>
              <w:rPr>
                <w:sz w:val="16"/>
                <w:szCs w:val="16"/>
              </w:rPr>
            </w:pPr>
          </w:p>
        </w:tc>
      </w:tr>
      <w:tr w:rsidR="00F97D54" w:rsidRPr="00261775" w:rsidTr="00EB5B97">
        <w:tc>
          <w:tcPr>
            <w:tcW w:w="1188" w:type="dxa"/>
            <w:tcBorders>
              <w:bottom w:val="single" w:sz="4" w:space="0" w:color="auto"/>
            </w:tcBorders>
            <w:shd w:val="clear" w:color="auto" w:fill="auto"/>
          </w:tcPr>
          <w:p w:rsidR="00F97D54" w:rsidRPr="00261775" w:rsidRDefault="00F97D54" w:rsidP="00EB5B97">
            <w:pPr>
              <w:tabs>
                <w:tab w:val="num" w:pos="1440"/>
              </w:tabs>
              <w:rPr>
                <w:sz w:val="16"/>
                <w:szCs w:val="16"/>
              </w:rPr>
            </w:pPr>
            <w:r>
              <w:rPr>
                <w:sz w:val="16"/>
                <w:szCs w:val="16"/>
              </w:rPr>
              <w:t>Date</w:t>
            </w:r>
          </w:p>
        </w:tc>
        <w:tc>
          <w:tcPr>
            <w:tcW w:w="7560" w:type="dxa"/>
            <w:tcBorders>
              <w:bottom w:val="single" w:sz="4" w:space="0" w:color="auto"/>
            </w:tcBorders>
            <w:shd w:val="clear" w:color="auto" w:fill="auto"/>
          </w:tcPr>
          <w:p w:rsidR="00F97D54" w:rsidRPr="006A6B10" w:rsidRDefault="00F97D54" w:rsidP="00EB5B97">
            <w:pPr>
              <w:tabs>
                <w:tab w:val="num" w:pos="1440"/>
              </w:tabs>
              <w:rPr>
                <w:sz w:val="16"/>
                <w:szCs w:val="16"/>
              </w:rPr>
            </w:pPr>
          </w:p>
        </w:tc>
      </w:tr>
      <w:tr w:rsidR="00F97D54" w:rsidRPr="00261775" w:rsidTr="00EB5B97">
        <w:tc>
          <w:tcPr>
            <w:tcW w:w="8748" w:type="dxa"/>
            <w:gridSpan w:val="2"/>
            <w:tcBorders>
              <w:bottom w:val="double" w:sz="4" w:space="0" w:color="auto"/>
            </w:tcBorders>
            <w:shd w:val="clear" w:color="auto" w:fill="auto"/>
          </w:tcPr>
          <w:p w:rsidR="00F97D54" w:rsidRDefault="00F97D54" w:rsidP="00EB5B97">
            <w:pPr>
              <w:tabs>
                <w:tab w:val="num" w:pos="1440"/>
              </w:tabs>
              <w:rPr>
                <w:sz w:val="16"/>
                <w:szCs w:val="16"/>
              </w:rPr>
            </w:pPr>
          </w:p>
          <w:p w:rsidR="00F97D54" w:rsidRDefault="00F97D54" w:rsidP="00EB5B97">
            <w:pPr>
              <w:tabs>
                <w:tab w:val="num" w:pos="1440"/>
              </w:tabs>
              <w:rPr>
                <w:sz w:val="16"/>
                <w:szCs w:val="16"/>
              </w:rPr>
            </w:pPr>
            <w:r w:rsidRPr="00D52FA9">
              <w:rPr>
                <w:sz w:val="16"/>
                <w:szCs w:val="16"/>
              </w:rPr>
              <w:t>Respondents are reminded that failure to comply with these data reporting requirements may subject them to monetary forfeitures of up to $150,000 for each violation or each day of a continuing violation, up to a maximum of $1,500,000 for any single act or failure to act that is a continuing violation.</w:t>
            </w:r>
            <w:r>
              <w:rPr>
                <w:sz w:val="16"/>
                <w:szCs w:val="16"/>
              </w:rPr>
              <w:t xml:space="preserve">  </w:t>
            </w:r>
            <w:r w:rsidRPr="00D52FA9">
              <w:rPr>
                <w:sz w:val="16"/>
                <w:szCs w:val="16"/>
              </w:rPr>
              <w:t xml:space="preserve">47 U.S.C. § 503(b)(2); 47 C.F.R. § 1.80(b); </w:t>
            </w:r>
            <w:r w:rsidRPr="00D52FA9">
              <w:rPr>
                <w:i/>
                <w:sz w:val="16"/>
                <w:szCs w:val="16"/>
              </w:rPr>
              <w:t>Amendment of Section 1.80(b) of the Commission’s Rules, Adjustment of Forfeiture Maxima to Reflect Inflation</w:t>
            </w:r>
            <w:r w:rsidRPr="00D52FA9">
              <w:rPr>
                <w:sz w:val="16"/>
                <w:szCs w:val="16"/>
              </w:rPr>
              <w:t>, Order, 23 FCC Rcd 9845 (2008).</w:t>
            </w:r>
            <w:r>
              <w:rPr>
                <w:sz w:val="16"/>
                <w:szCs w:val="16"/>
              </w:rPr>
              <w:t xml:space="preserve"> </w:t>
            </w:r>
            <w:r w:rsidRPr="00D52FA9">
              <w:rPr>
                <w:sz w:val="16"/>
                <w:szCs w:val="16"/>
              </w:rPr>
              <w:t xml:space="preserve"> False statements or misrepresentations to the Commission may be punishable by fine or imprisonment under Title 18 of the U.S. Code.</w:t>
            </w:r>
          </w:p>
          <w:p w:rsidR="00F97D54" w:rsidRPr="006A6B10" w:rsidRDefault="00F97D54" w:rsidP="00EB5B97">
            <w:pPr>
              <w:tabs>
                <w:tab w:val="num" w:pos="1440"/>
              </w:tabs>
              <w:rPr>
                <w:sz w:val="16"/>
                <w:szCs w:val="16"/>
              </w:rPr>
            </w:pPr>
          </w:p>
        </w:tc>
      </w:tr>
    </w:tbl>
    <w:p w:rsidR="00F97D54" w:rsidRDefault="00F97D54" w:rsidP="00EB5B97">
      <w:pPr>
        <w:tabs>
          <w:tab w:val="left" w:pos="1080"/>
        </w:tabs>
      </w:pPr>
    </w:p>
    <w:p w:rsidR="00F97D54" w:rsidRDefault="00F97D54" w:rsidP="00EB5B97">
      <w:pPr>
        <w:tabs>
          <w:tab w:val="left" w:pos="1080"/>
        </w:tabs>
      </w:pPr>
    </w:p>
    <w:p w:rsidR="00F97D54" w:rsidRDefault="00C454F1" w:rsidP="00EB5B97">
      <w:pPr>
        <w:tabs>
          <w:tab w:val="left" w:pos="1080"/>
        </w:tabs>
      </w:pPr>
      <w:r>
        <w:t xml:space="preserve">The following </w:t>
      </w:r>
      <w:r w:rsidR="00F97D54">
        <w:t xml:space="preserve">is a chart showing the types of filers and the corresponding sections of data collection questions that must be completed by each filer type.  Filers falling within multiple categories must respond to all applicable sections.  For example, a </w:t>
      </w:r>
      <w:r w:rsidR="00F97D54" w:rsidRPr="00261775">
        <w:rPr>
          <w:i/>
        </w:rPr>
        <w:t>Competitive Provider</w:t>
      </w:r>
      <w:r w:rsidR="00F97D54">
        <w:t xml:space="preserve"> that purchases </w:t>
      </w:r>
      <w:r w:rsidR="00F97D54" w:rsidRPr="00731766">
        <w:rPr>
          <w:i/>
        </w:rPr>
        <w:t>Dedicated Services</w:t>
      </w:r>
      <w:r w:rsidR="00F97D54">
        <w:t xml:space="preserve"> must respond to the data collection questions directed at </w:t>
      </w:r>
      <w:r w:rsidR="00F97D54" w:rsidRPr="00731766">
        <w:rPr>
          <w:i/>
        </w:rPr>
        <w:t>Competitive Providers</w:t>
      </w:r>
      <w:r w:rsidR="00F97D54">
        <w:t xml:space="preserve"> and </w:t>
      </w:r>
      <w:r w:rsidR="00F97D54" w:rsidRPr="00261775">
        <w:rPr>
          <w:i/>
        </w:rPr>
        <w:t>Purchaser</w:t>
      </w:r>
      <w:r w:rsidR="00F97D54">
        <w:rPr>
          <w:i/>
        </w:rPr>
        <w:t>s.</w:t>
      </w:r>
      <w:r w:rsidR="00F97D54">
        <w:t xml:space="preserve">       </w:t>
      </w:r>
    </w:p>
    <w:p w:rsidR="00F97D54" w:rsidRDefault="00F97D54" w:rsidP="00EB5B97">
      <w:pPr>
        <w:tabs>
          <w:tab w:val="left" w:pos="108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8"/>
        <w:gridCol w:w="5850"/>
      </w:tblGrid>
      <w:tr w:rsidR="00F97D54" w:rsidRPr="005E31C5" w:rsidTr="00EB5B97">
        <w:trPr>
          <w:trHeight w:val="360"/>
          <w:tblHeader/>
        </w:trPr>
        <w:tc>
          <w:tcPr>
            <w:tcW w:w="2898" w:type="dxa"/>
            <w:tcBorders>
              <w:top w:val="double" w:sz="4" w:space="0" w:color="auto"/>
              <w:bottom w:val="double" w:sz="4" w:space="0" w:color="auto"/>
            </w:tcBorders>
            <w:shd w:val="clear" w:color="auto" w:fill="auto"/>
            <w:vAlign w:val="center"/>
          </w:tcPr>
          <w:p w:rsidR="00F97D54" w:rsidRPr="005E31C5" w:rsidRDefault="00F97D54" w:rsidP="00EB5B97">
            <w:pPr>
              <w:tabs>
                <w:tab w:val="num" w:pos="1440"/>
              </w:tabs>
              <w:rPr>
                <w:b/>
                <w:sz w:val="20"/>
              </w:rPr>
            </w:pPr>
            <w:r w:rsidRPr="005E31C5">
              <w:rPr>
                <w:b/>
                <w:sz w:val="20"/>
              </w:rPr>
              <w:t>Type of Filer</w:t>
            </w:r>
          </w:p>
        </w:tc>
        <w:tc>
          <w:tcPr>
            <w:tcW w:w="5850" w:type="dxa"/>
            <w:tcBorders>
              <w:top w:val="double" w:sz="4" w:space="0" w:color="auto"/>
              <w:bottom w:val="double" w:sz="4" w:space="0" w:color="auto"/>
            </w:tcBorders>
            <w:shd w:val="clear" w:color="auto" w:fill="auto"/>
            <w:vAlign w:val="center"/>
          </w:tcPr>
          <w:p w:rsidR="00F97D54" w:rsidRPr="005E31C5" w:rsidRDefault="00F97D54" w:rsidP="00EB5B97">
            <w:pPr>
              <w:tabs>
                <w:tab w:val="num" w:pos="1440"/>
              </w:tabs>
              <w:rPr>
                <w:b/>
                <w:sz w:val="20"/>
              </w:rPr>
            </w:pPr>
            <w:r w:rsidRPr="005E31C5">
              <w:rPr>
                <w:b/>
                <w:sz w:val="20"/>
              </w:rPr>
              <w:t>Sections of the Data Collection that Must be Completed</w:t>
            </w:r>
          </w:p>
        </w:tc>
      </w:tr>
      <w:tr w:rsidR="00F97D54" w:rsidRPr="005E31C5" w:rsidTr="00EB5B97">
        <w:tc>
          <w:tcPr>
            <w:tcW w:w="2898" w:type="dxa"/>
            <w:tcBorders>
              <w:top w:val="double" w:sz="4" w:space="0" w:color="auto"/>
            </w:tcBorders>
            <w:shd w:val="clear" w:color="auto" w:fill="auto"/>
            <w:vAlign w:val="center"/>
          </w:tcPr>
          <w:p w:rsidR="00F97D54" w:rsidRPr="005E31C5" w:rsidRDefault="00F97D54" w:rsidP="00EB5B97">
            <w:pPr>
              <w:tabs>
                <w:tab w:val="num" w:pos="1440"/>
              </w:tabs>
              <w:rPr>
                <w:i/>
                <w:sz w:val="16"/>
                <w:szCs w:val="16"/>
              </w:rPr>
            </w:pPr>
            <w:r w:rsidRPr="00734389">
              <w:rPr>
                <w:i/>
                <w:sz w:val="16"/>
                <w:szCs w:val="16"/>
              </w:rPr>
              <w:t>Competitive Provider</w:t>
            </w:r>
          </w:p>
        </w:tc>
        <w:tc>
          <w:tcPr>
            <w:tcW w:w="5850" w:type="dxa"/>
            <w:tcBorders>
              <w:top w:val="double" w:sz="4" w:space="0" w:color="auto"/>
            </w:tcBorders>
            <w:shd w:val="clear" w:color="auto" w:fill="auto"/>
            <w:vAlign w:val="center"/>
          </w:tcPr>
          <w:p w:rsidR="00F97D54" w:rsidRPr="006A6B10" w:rsidRDefault="00F97D54" w:rsidP="00EB5B97">
            <w:pPr>
              <w:tabs>
                <w:tab w:val="num" w:pos="1440"/>
              </w:tabs>
              <w:rPr>
                <w:sz w:val="16"/>
                <w:szCs w:val="16"/>
              </w:rPr>
            </w:pPr>
            <w:r w:rsidRPr="002B4F3D">
              <w:rPr>
                <w:sz w:val="16"/>
                <w:szCs w:val="16"/>
              </w:rPr>
              <w:t xml:space="preserve">Sections II.A and II.D </w:t>
            </w:r>
            <w:r>
              <w:rPr>
                <w:sz w:val="16"/>
                <w:szCs w:val="16"/>
              </w:rPr>
              <w:t>if</w:t>
            </w:r>
            <w:r w:rsidRPr="002B4F3D">
              <w:rPr>
                <w:sz w:val="16"/>
                <w:szCs w:val="16"/>
              </w:rPr>
              <w:t xml:space="preserve"> answer</w:t>
            </w:r>
            <w:r>
              <w:rPr>
                <w:sz w:val="16"/>
                <w:szCs w:val="16"/>
              </w:rPr>
              <w:t xml:space="preserve"> to Questions II.A.2 or</w:t>
            </w:r>
            <w:r w:rsidRPr="002B4F3D">
              <w:rPr>
                <w:sz w:val="16"/>
                <w:szCs w:val="16"/>
              </w:rPr>
              <w:t xml:space="preserve"> II.A.2.a </w:t>
            </w:r>
            <w:r>
              <w:rPr>
                <w:sz w:val="16"/>
                <w:szCs w:val="16"/>
              </w:rPr>
              <w:t xml:space="preserve">is </w:t>
            </w:r>
            <w:r w:rsidRPr="002B4F3D">
              <w:rPr>
                <w:sz w:val="16"/>
                <w:szCs w:val="16"/>
              </w:rPr>
              <w:t>“</w:t>
            </w:r>
            <w:r>
              <w:rPr>
                <w:sz w:val="16"/>
                <w:szCs w:val="16"/>
              </w:rPr>
              <w:t>yes</w:t>
            </w:r>
            <w:r w:rsidRPr="002B4F3D">
              <w:rPr>
                <w:sz w:val="16"/>
                <w:szCs w:val="16"/>
              </w:rPr>
              <w:t>”</w:t>
            </w:r>
          </w:p>
        </w:tc>
      </w:tr>
      <w:tr w:rsidR="00F97D54" w:rsidRPr="005E31C5" w:rsidTr="00EB5B97">
        <w:tc>
          <w:tcPr>
            <w:tcW w:w="2898" w:type="dxa"/>
            <w:shd w:val="clear" w:color="auto" w:fill="auto"/>
            <w:vAlign w:val="center"/>
          </w:tcPr>
          <w:p w:rsidR="00F97D54" w:rsidRPr="006A6B10" w:rsidRDefault="00F97D54" w:rsidP="00EB5B97">
            <w:pPr>
              <w:tabs>
                <w:tab w:val="num" w:pos="1440"/>
              </w:tabs>
              <w:rPr>
                <w:i/>
                <w:sz w:val="16"/>
                <w:szCs w:val="16"/>
              </w:rPr>
            </w:pPr>
            <w:r w:rsidRPr="002B4F3D">
              <w:rPr>
                <w:i/>
                <w:sz w:val="16"/>
                <w:szCs w:val="16"/>
              </w:rPr>
              <w:t>ILEC</w:t>
            </w:r>
          </w:p>
        </w:tc>
        <w:tc>
          <w:tcPr>
            <w:tcW w:w="5850" w:type="dxa"/>
            <w:shd w:val="clear" w:color="auto" w:fill="auto"/>
            <w:vAlign w:val="center"/>
          </w:tcPr>
          <w:p w:rsidR="00F97D54" w:rsidRPr="006A6B10" w:rsidRDefault="00F97D54" w:rsidP="00EB5B97">
            <w:pPr>
              <w:tabs>
                <w:tab w:val="num" w:pos="1440"/>
              </w:tabs>
              <w:rPr>
                <w:sz w:val="16"/>
                <w:szCs w:val="16"/>
              </w:rPr>
            </w:pPr>
            <w:r>
              <w:rPr>
                <w:sz w:val="16"/>
                <w:szCs w:val="16"/>
              </w:rPr>
              <w:t>Sections II.B</w:t>
            </w:r>
            <w:r w:rsidRPr="002B4F3D">
              <w:rPr>
                <w:sz w:val="16"/>
                <w:szCs w:val="16"/>
              </w:rPr>
              <w:t xml:space="preserve"> and II.D</w:t>
            </w:r>
          </w:p>
        </w:tc>
      </w:tr>
      <w:tr w:rsidR="00F97D54" w:rsidRPr="005E31C5" w:rsidTr="00EB5B97">
        <w:tc>
          <w:tcPr>
            <w:tcW w:w="2898" w:type="dxa"/>
            <w:shd w:val="clear" w:color="auto" w:fill="auto"/>
          </w:tcPr>
          <w:p w:rsidR="00F97D54" w:rsidRPr="006A6B10" w:rsidRDefault="00F97D54" w:rsidP="00EB5B97">
            <w:pPr>
              <w:tabs>
                <w:tab w:val="num" w:pos="1440"/>
              </w:tabs>
              <w:rPr>
                <w:sz w:val="16"/>
                <w:szCs w:val="16"/>
              </w:rPr>
            </w:pPr>
            <w:r w:rsidRPr="002B4F3D">
              <w:rPr>
                <w:sz w:val="16"/>
                <w:szCs w:val="16"/>
              </w:rPr>
              <w:t xml:space="preserve">Entity that provides </w:t>
            </w:r>
            <w:r w:rsidRPr="002B4F3D">
              <w:rPr>
                <w:i/>
                <w:sz w:val="16"/>
                <w:szCs w:val="16"/>
              </w:rPr>
              <w:t>Best Efforts Business Broadband Internet Access Service</w:t>
            </w:r>
            <w:r w:rsidRPr="002B4F3D">
              <w:rPr>
                <w:sz w:val="16"/>
                <w:szCs w:val="16"/>
              </w:rPr>
              <w:t xml:space="preserve"> to 15,000 or more customers or 1,500 or more business broadband customers in price cap areas</w:t>
            </w:r>
          </w:p>
        </w:tc>
        <w:tc>
          <w:tcPr>
            <w:tcW w:w="5850" w:type="dxa"/>
            <w:shd w:val="clear" w:color="auto" w:fill="auto"/>
          </w:tcPr>
          <w:p w:rsidR="00F97D54" w:rsidRPr="006A6B10" w:rsidRDefault="00F97D54" w:rsidP="00EB5B97">
            <w:pPr>
              <w:tabs>
                <w:tab w:val="num" w:pos="1440"/>
              </w:tabs>
              <w:rPr>
                <w:sz w:val="16"/>
                <w:szCs w:val="16"/>
              </w:rPr>
            </w:pPr>
            <w:r w:rsidRPr="002B4F3D">
              <w:rPr>
                <w:sz w:val="16"/>
                <w:szCs w:val="16"/>
              </w:rPr>
              <w:t>Section II.C</w:t>
            </w:r>
          </w:p>
        </w:tc>
      </w:tr>
      <w:tr w:rsidR="00F97D54" w:rsidRPr="005E31C5" w:rsidTr="00EB5B97">
        <w:tc>
          <w:tcPr>
            <w:tcW w:w="2898" w:type="dxa"/>
            <w:shd w:val="clear" w:color="auto" w:fill="auto"/>
          </w:tcPr>
          <w:p w:rsidR="00F97D54" w:rsidRPr="006A6B10" w:rsidRDefault="00F97D54" w:rsidP="00EB5B97">
            <w:pPr>
              <w:tabs>
                <w:tab w:val="num" w:pos="1440"/>
              </w:tabs>
              <w:rPr>
                <w:sz w:val="16"/>
                <w:szCs w:val="16"/>
              </w:rPr>
            </w:pPr>
            <w:r w:rsidRPr="005E31C5">
              <w:rPr>
                <w:i/>
                <w:sz w:val="16"/>
                <w:szCs w:val="16"/>
              </w:rPr>
              <w:t>Purchaser</w:t>
            </w:r>
            <w:r>
              <w:rPr>
                <w:sz w:val="16"/>
                <w:szCs w:val="16"/>
              </w:rPr>
              <w:t xml:space="preserve"> that is a mobile wireless service p</w:t>
            </w:r>
            <w:r w:rsidRPr="002B4F3D">
              <w:rPr>
                <w:sz w:val="16"/>
                <w:szCs w:val="16"/>
              </w:rPr>
              <w:t>rovider</w:t>
            </w:r>
          </w:p>
        </w:tc>
        <w:tc>
          <w:tcPr>
            <w:tcW w:w="5850" w:type="dxa"/>
            <w:shd w:val="clear" w:color="auto" w:fill="auto"/>
          </w:tcPr>
          <w:p w:rsidR="00F97D54" w:rsidRPr="006A6B10" w:rsidRDefault="00F97D54" w:rsidP="00EB5B97">
            <w:pPr>
              <w:tabs>
                <w:tab w:val="num" w:pos="1440"/>
              </w:tabs>
              <w:rPr>
                <w:sz w:val="16"/>
                <w:szCs w:val="16"/>
              </w:rPr>
            </w:pPr>
            <w:r w:rsidRPr="002B4F3D">
              <w:rPr>
                <w:sz w:val="16"/>
                <w:szCs w:val="16"/>
              </w:rPr>
              <w:t>Section II.E</w:t>
            </w:r>
          </w:p>
        </w:tc>
      </w:tr>
      <w:tr w:rsidR="00F97D54" w:rsidRPr="005E31C5" w:rsidTr="00EB5B97">
        <w:tc>
          <w:tcPr>
            <w:tcW w:w="2898" w:type="dxa"/>
            <w:tcBorders>
              <w:bottom w:val="single" w:sz="4" w:space="0" w:color="auto"/>
            </w:tcBorders>
            <w:shd w:val="clear" w:color="auto" w:fill="auto"/>
          </w:tcPr>
          <w:p w:rsidR="00F97D54" w:rsidRPr="005E31C5" w:rsidRDefault="00F97D54" w:rsidP="00EB5B97">
            <w:pPr>
              <w:tabs>
                <w:tab w:val="num" w:pos="1440"/>
              </w:tabs>
              <w:rPr>
                <w:sz w:val="16"/>
                <w:szCs w:val="16"/>
              </w:rPr>
            </w:pPr>
            <w:r w:rsidRPr="005E31C5">
              <w:rPr>
                <w:i/>
                <w:sz w:val="16"/>
                <w:szCs w:val="16"/>
              </w:rPr>
              <w:t>Purchaser</w:t>
            </w:r>
            <w:r>
              <w:rPr>
                <w:i/>
                <w:sz w:val="16"/>
                <w:szCs w:val="16"/>
              </w:rPr>
              <w:t xml:space="preserve"> </w:t>
            </w:r>
            <w:r>
              <w:rPr>
                <w:sz w:val="16"/>
                <w:szCs w:val="16"/>
              </w:rPr>
              <w:t xml:space="preserve">that is </w:t>
            </w:r>
            <w:r>
              <w:rPr>
                <w:b/>
                <w:sz w:val="16"/>
                <w:szCs w:val="16"/>
                <w:u w:val="single"/>
              </w:rPr>
              <w:t>not</w:t>
            </w:r>
            <w:r>
              <w:rPr>
                <w:b/>
                <w:sz w:val="16"/>
                <w:szCs w:val="16"/>
              </w:rPr>
              <w:t xml:space="preserve"> </w:t>
            </w:r>
            <w:r>
              <w:rPr>
                <w:sz w:val="16"/>
                <w:szCs w:val="16"/>
              </w:rPr>
              <w:t>a mobile wireless service provider</w:t>
            </w:r>
          </w:p>
        </w:tc>
        <w:tc>
          <w:tcPr>
            <w:tcW w:w="5850" w:type="dxa"/>
            <w:tcBorders>
              <w:bottom w:val="single" w:sz="4" w:space="0" w:color="auto"/>
            </w:tcBorders>
            <w:shd w:val="clear" w:color="auto" w:fill="auto"/>
          </w:tcPr>
          <w:p w:rsidR="00F97D54" w:rsidRPr="006A6B10" w:rsidRDefault="00F97D54" w:rsidP="00EB5B97">
            <w:pPr>
              <w:tabs>
                <w:tab w:val="num" w:pos="1440"/>
              </w:tabs>
              <w:rPr>
                <w:sz w:val="16"/>
                <w:szCs w:val="16"/>
              </w:rPr>
            </w:pPr>
            <w:r w:rsidRPr="002B4F3D">
              <w:rPr>
                <w:sz w:val="16"/>
                <w:szCs w:val="16"/>
              </w:rPr>
              <w:t>Section II.F</w:t>
            </w:r>
          </w:p>
        </w:tc>
      </w:tr>
      <w:tr w:rsidR="00F97D54" w:rsidRPr="005E31C5" w:rsidTr="00EB5B97">
        <w:tc>
          <w:tcPr>
            <w:tcW w:w="2898" w:type="dxa"/>
            <w:tcBorders>
              <w:bottom w:val="double" w:sz="4" w:space="0" w:color="auto"/>
            </w:tcBorders>
            <w:shd w:val="clear" w:color="auto" w:fill="auto"/>
          </w:tcPr>
          <w:p w:rsidR="00F97D54" w:rsidRPr="006A6B10" w:rsidRDefault="00F97D54" w:rsidP="00EB5B97">
            <w:pPr>
              <w:tabs>
                <w:tab w:val="num" w:pos="1440"/>
              </w:tabs>
              <w:rPr>
                <w:sz w:val="16"/>
                <w:szCs w:val="16"/>
              </w:rPr>
            </w:pPr>
            <w:r w:rsidRPr="002B4F3D">
              <w:rPr>
                <w:sz w:val="16"/>
                <w:szCs w:val="16"/>
              </w:rPr>
              <w:t>None of the above</w:t>
            </w:r>
          </w:p>
        </w:tc>
        <w:tc>
          <w:tcPr>
            <w:tcW w:w="5850" w:type="dxa"/>
            <w:tcBorders>
              <w:bottom w:val="double" w:sz="4" w:space="0" w:color="auto"/>
            </w:tcBorders>
            <w:shd w:val="clear" w:color="auto" w:fill="auto"/>
          </w:tcPr>
          <w:p w:rsidR="00F97D54" w:rsidRPr="006A6B10" w:rsidRDefault="00F97D54" w:rsidP="00EB5B97">
            <w:pPr>
              <w:tabs>
                <w:tab w:val="num" w:pos="1440"/>
              </w:tabs>
              <w:rPr>
                <w:sz w:val="16"/>
                <w:szCs w:val="16"/>
              </w:rPr>
            </w:pPr>
            <w:r w:rsidRPr="002B4F3D">
              <w:rPr>
                <w:sz w:val="16"/>
                <w:szCs w:val="16"/>
              </w:rPr>
              <w:t>Section II.G</w:t>
            </w:r>
          </w:p>
        </w:tc>
      </w:tr>
    </w:tbl>
    <w:p w:rsidR="00F97D54" w:rsidRDefault="00F97D54" w:rsidP="00EB5B97">
      <w:pPr>
        <w:tabs>
          <w:tab w:val="num" w:pos="1440"/>
        </w:tabs>
      </w:pPr>
    </w:p>
    <w:p w:rsidR="00F97D54" w:rsidRDefault="00F97D54" w:rsidP="00EB5B97">
      <w:pPr>
        <w:tabs>
          <w:tab w:val="num" w:pos="1440"/>
        </w:tabs>
      </w:pPr>
    </w:p>
    <w:p w:rsidR="00F97D54" w:rsidRPr="00F97D54" w:rsidRDefault="00F97D54" w:rsidP="00F97D54">
      <w:pPr>
        <w:pStyle w:val="Heading3"/>
        <w:numPr>
          <w:ilvl w:val="0"/>
          <w:numId w:val="0"/>
        </w:numPr>
        <w:rPr>
          <w:b w:val="0"/>
          <w:caps/>
          <w:color w:val="000000"/>
          <w:szCs w:val="22"/>
          <w:u w:val="single"/>
        </w:rPr>
      </w:pPr>
      <w:bookmarkStart w:id="87" w:name="_Toc365972077"/>
      <w:r w:rsidRPr="00F97D54">
        <w:rPr>
          <w:b w:val="0"/>
          <w:u w:val="single"/>
        </w:rPr>
        <w:t>EXPLANATORY ATTACHMENT</w:t>
      </w:r>
      <w:bookmarkEnd w:id="87"/>
    </w:p>
    <w:p w:rsidR="00F97D54" w:rsidRDefault="00F97D54" w:rsidP="00EB5B97">
      <w:r>
        <w:t xml:space="preserve">To the extent you need to explain certain assumptions or procedures taken in collecting and reporting the information requested in this data collection, especially for the responses to the facilities and billing information questions, include a separate document with your submission, in Word or .pdf format, containing </w:t>
      </w:r>
      <w:r w:rsidRPr="00022B13">
        <w:rPr>
          <w:i/>
        </w:rPr>
        <w:t>all</w:t>
      </w:r>
      <w:r>
        <w:t xml:space="preserve"> of your explanations.</w:t>
      </w:r>
      <w:r>
        <w:rPr>
          <w:rStyle w:val="FootnoteReference"/>
        </w:rPr>
        <w:footnoteReference w:id="191"/>
      </w:r>
      <w:r>
        <w:t xml:space="preserve">  You must separately upload the Explanatory Attachment as a Word or .pdf document through the Special Access Web Portal; you will not include this document in the data container.</w:t>
      </w:r>
    </w:p>
    <w:p w:rsidR="00F97D54" w:rsidRDefault="00F97D54" w:rsidP="00EB5B97">
      <w:pPr>
        <w:rPr>
          <w:sz w:val="20"/>
          <w:szCs w:val="22"/>
        </w:rPr>
      </w:pPr>
    </w:p>
    <w:p w:rsidR="00F97D54" w:rsidRDefault="00F97D54" w:rsidP="00EB5B97">
      <w:pPr>
        <w:rPr>
          <w:sz w:val="20"/>
          <w:szCs w:val="22"/>
        </w:rPr>
      </w:pPr>
    </w:p>
    <w:p w:rsidR="00F97D54" w:rsidRPr="00F97D54" w:rsidRDefault="00F97D54" w:rsidP="00F97D54">
      <w:pPr>
        <w:pStyle w:val="Heading3"/>
        <w:numPr>
          <w:ilvl w:val="0"/>
          <w:numId w:val="0"/>
        </w:numPr>
        <w:rPr>
          <w:b w:val="0"/>
          <w:u w:val="single"/>
        </w:rPr>
      </w:pPr>
      <w:bookmarkStart w:id="88" w:name="_Toc350777051"/>
      <w:bookmarkStart w:id="89" w:name="_Toc365972078"/>
      <w:r w:rsidRPr="00F97D54">
        <w:rPr>
          <w:b w:val="0"/>
          <w:u w:val="single"/>
        </w:rPr>
        <w:t>QUESTIONS DIRECTED AT COMPETITIVE PROVIDERS</w:t>
      </w:r>
      <w:bookmarkEnd w:id="88"/>
      <w:bookmarkEnd w:id="89"/>
    </w:p>
    <w:p w:rsidR="00F97D54" w:rsidRPr="00F97D54" w:rsidRDefault="00F97D54" w:rsidP="00F97D54">
      <w:pPr>
        <w:pStyle w:val="Heading4"/>
        <w:numPr>
          <w:ilvl w:val="0"/>
          <w:numId w:val="0"/>
        </w:numPr>
        <w:rPr>
          <w:b w:val="0"/>
          <w:i/>
        </w:rPr>
      </w:pPr>
      <w:bookmarkStart w:id="90" w:name="_Toc365972079"/>
      <w:r w:rsidRPr="00F97D54">
        <w:rPr>
          <w:b w:val="0"/>
          <w:i/>
        </w:rPr>
        <w:t>Question II.A.1:  Affiliated Company</w:t>
      </w:r>
      <w:bookmarkEnd w:id="90"/>
    </w:p>
    <w:p w:rsidR="00F97D54" w:rsidRDefault="00F97D54" w:rsidP="00EB5B97">
      <w:r>
        <w:t xml:space="preserve">If you are an </w:t>
      </w:r>
      <w:r w:rsidRPr="00AB233E">
        <w:rPr>
          <w:i/>
        </w:rPr>
        <w:t>Affiliated Company</w:t>
      </w:r>
      <w:r>
        <w:t xml:space="preserve">, then you must identify each entity you are affiliated with that </w:t>
      </w:r>
      <w:r>
        <w:rPr>
          <w:szCs w:val="22"/>
        </w:rPr>
        <w:t xml:space="preserve">provides and/or purchases </w:t>
      </w:r>
      <w:r w:rsidRPr="0069663E">
        <w:rPr>
          <w:i/>
          <w:szCs w:val="22"/>
        </w:rPr>
        <w:t>Dedicated Service</w:t>
      </w:r>
      <w:r>
        <w:rPr>
          <w:szCs w:val="22"/>
        </w:rPr>
        <w:t xml:space="preserve"> in Table II.A.1 within the data container</w:t>
      </w:r>
      <w:r>
        <w:t xml:space="preserve">.  If you are not an </w:t>
      </w:r>
      <w:r w:rsidRPr="00AB233E">
        <w:rPr>
          <w:i/>
        </w:rPr>
        <w:t>Affiliated Company</w:t>
      </w:r>
      <w:r>
        <w:t xml:space="preserve">, then you must still type “Not Applicable” in the </w:t>
      </w:r>
      <w:r w:rsidRPr="00AB233E">
        <w:t>Affiliate_Name</w:t>
      </w:r>
      <w:r>
        <w:t xml:space="preserve"> field and “0000000000” in the </w:t>
      </w:r>
      <w:r w:rsidRPr="00AB233E">
        <w:t>Name_FRN</w:t>
      </w:r>
      <w:r>
        <w:t xml:space="preserve"> field.  You will receive an error message upon validation of the data container if you do not put any information into Table II.A.1.</w:t>
      </w:r>
    </w:p>
    <w:p w:rsidR="00F97D54" w:rsidRPr="0077545C" w:rsidRDefault="00F97D54" w:rsidP="00EB5B97"/>
    <w:tbl>
      <w:tblPr>
        <w:tblW w:w="8838" w:type="dxa"/>
        <w:tblLook w:val="01E0" w:firstRow="1" w:lastRow="1" w:firstColumn="1" w:lastColumn="1" w:noHBand="0" w:noVBand="0"/>
      </w:tblPr>
      <w:tblGrid>
        <w:gridCol w:w="2012"/>
        <w:gridCol w:w="3646"/>
        <w:gridCol w:w="1492"/>
        <w:gridCol w:w="1688"/>
      </w:tblGrid>
      <w:tr w:rsidR="00F97D54" w:rsidTr="00EB5B97">
        <w:trPr>
          <w:trHeight w:val="357"/>
        </w:trPr>
        <w:tc>
          <w:tcPr>
            <w:tcW w:w="8838" w:type="dxa"/>
            <w:gridSpan w:val="4"/>
            <w:tcBorders>
              <w:top w:val="double" w:sz="4" w:space="0" w:color="auto"/>
              <w:bottom w:val="single" w:sz="4" w:space="0" w:color="auto"/>
            </w:tcBorders>
            <w:vAlign w:val="center"/>
          </w:tcPr>
          <w:p w:rsidR="00F97D54" w:rsidRDefault="00F97D54" w:rsidP="00EB5B97">
            <w:pPr>
              <w:jc w:val="center"/>
              <w:rPr>
                <w:b/>
                <w:szCs w:val="22"/>
              </w:rPr>
            </w:pPr>
            <w:r>
              <w:rPr>
                <w:b/>
                <w:szCs w:val="22"/>
              </w:rPr>
              <w:t>Table II.A.1</w:t>
            </w:r>
          </w:p>
          <w:p w:rsidR="00F97D54" w:rsidRPr="000A5F03" w:rsidRDefault="00F97D54" w:rsidP="00EB5B97">
            <w:pPr>
              <w:jc w:val="center"/>
              <w:rPr>
                <w:b/>
                <w:szCs w:val="22"/>
              </w:rPr>
            </w:pPr>
            <w:r w:rsidRPr="00886F07">
              <w:rPr>
                <w:b/>
                <w:szCs w:val="22"/>
              </w:rPr>
              <w:t xml:space="preserve">Record Format for </w:t>
            </w:r>
            <w:r w:rsidRPr="00AA221C">
              <w:rPr>
                <w:b/>
                <w:i/>
                <w:szCs w:val="22"/>
              </w:rPr>
              <w:t>Affiliated</w:t>
            </w:r>
            <w:r>
              <w:rPr>
                <w:b/>
                <w:szCs w:val="22"/>
              </w:rPr>
              <w:t xml:space="preserve"> </w:t>
            </w:r>
            <w:r>
              <w:rPr>
                <w:b/>
                <w:i/>
                <w:szCs w:val="22"/>
              </w:rPr>
              <w:t xml:space="preserve">Company </w:t>
            </w:r>
          </w:p>
        </w:tc>
      </w:tr>
      <w:tr w:rsidR="00F97D54" w:rsidTr="00EB5B97">
        <w:trPr>
          <w:trHeight w:val="359"/>
        </w:trPr>
        <w:tc>
          <w:tcPr>
            <w:tcW w:w="2012" w:type="dxa"/>
            <w:tcBorders>
              <w:top w:val="single" w:sz="4" w:space="0" w:color="auto"/>
              <w:bottom w:val="single" w:sz="4" w:space="0" w:color="auto"/>
              <w:right w:val="single" w:sz="4" w:space="0" w:color="auto"/>
            </w:tcBorders>
            <w:vAlign w:val="center"/>
          </w:tcPr>
          <w:p w:rsidR="00F97D54" w:rsidRDefault="00F97D54" w:rsidP="00EB5B97">
            <w:pPr>
              <w:rPr>
                <w:b/>
                <w:sz w:val="18"/>
                <w:szCs w:val="18"/>
              </w:rPr>
            </w:pPr>
            <w:r>
              <w:rPr>
                <w:b/>
                <w:sz w:val="18"/>
                <w:szCs w:val="18"/>
              </w:rPr>
              <w:t>Field Name</w:t>
            </w:r>
          </w:p>
        </w:tc>
        <w:tc>
          <w:tcPr>
            <w:tcW w:w="3646" w:type="dxa"/>
            <w:tcBorders>
              <w:top w:val="single" w:sz="4" w:space="0" w:color="auto"/>
              <w:left w:val="single" w:sz="4" w:space="0" w:color="auto"/>
              <w:bottom w:val="single" w:sz="4" w:space="0" w:color="auto"/>
              <w:right w:val="single" w:sz="4" w:space="0" w:color="auto"/>
            </w:tcBorders>
            <w:vAlign w:val="center"/>
          </w:tcPr>
          <w:p w:rsidR="00F97D54" w:rsidRDefault="00F97D54" w:rsidP="00EB5B97">
            <w:pPr>
              <w:rPr>
                <w:b/>
                <w:sz w:val="18"/>
                <w:szCs w:val="18"/>
              </w:rPr>
            </w:pPr>
            <w:r>
              <w:rPr>
                <w:b/>
                <w:sz w:val="18"/>
                <w:szCs w:val="18"/>
              </w:rPr>
              <w:t>Description</w:t>
            </w:r>
          </w:p>
        </w:tc>
        <w:tc>
          <w:tcPr>
            <w:tcW w:w="1492" w:type="dxa"/>
            <w:tcBorders>
              <w:top w:val="single" w:sz="4" w:space="0" w:color="auto"/>
              <w:left w:val="single" w:sz="4" w:space="0" w:color="auto"/>
              <w:bottom w:val="single" w:sz="4" w:space="0" w:color="auto"/>
              <w:right w:val="single" w:sz="4" w:space="0" w:color="auto"/>
            </w:tcBorders>
            <w:vAlign w:val="center"/>
          </w:tcPr>
          <w:p w:rsidR="00F97D54" w:rsidRDefault="00F97D54" w:rsidP="00EB5B97">
            <w:pPr>
              <w:rPr>
                <w:b/>
                <w:sz w:val="18"/>
                <w:szCs w:val="18"/>
              </w:rPr>
            </w:pPr>
            <w:r>
              <w:rPr>
                <w:b/>
                <w:sz w:val="18"/>
                <w:szCs w:val="18"/>
              </w:rPr>
              <w:t>Type</w:t>
            </w:r>
          </w:p>
        </w:tc>
        <w:tc>
          <w:tcPr>
            <w:tcW w:w="1688" w:type="dxa"/>
            <w:tcBorders>
              <w:top w:val="single" w:sz="4" w:space="0" w:color="auto"/>
              <w:left w:val="single" w:sz="4" w:space="0" w:color="auto"/>
              <w:bottom w:val="single" w:sz="4" w:space="0" w:color="auto"/>
            </w:tcBorders>
            <w:vAlign w:val="center"/>
          </w:tcPr>
          <w:p w:rsidR="00F97D54" w:rsidRDefault="00F97D54" w:rsidP="00EB5B97">
            <w:pPr>
              <w:ind w:right="-108"/>
              <w:rPr>
                <w:b/>
                <w:sz w:val="18"/>
                <w:szCs w:val="18"/>
              </w:rPr>
            </w:pPr>
            <w:r>
              <w:rPr>
                <w:b/>
                <w:sz w:val="18"/>
                <w:szCs w:val="18"/>
              </w:rPr>
              <w:t>Example</w:t>
            </w:r>
          </w:p>
        </w:tc>
      </w:tr>
      <w:tr w:rsidR="00F97D54" w:rsidTr="00EB5B97">
        <w:trPr>
          <w:trHeight w:val="360"/>
        </w:trPr>
        <w:tc>
          <w:tcPr>
            <w:tcW w:w="2012" w:type="dxa"/>
            <w:vAlign w:val="center"/>
          </w:tcPr>
          <w:p w:rsidR="00F97D54" w:rsidRDefault="00F97D54" w:rsidP="00EB5B97">
            <w:pPr>
              <w:tabs>
                <w:tab w:val="left" w:pos="2022"/>
              </w:tabs>
              <w:rPr>
                <w:sz w:val="16"/>
                <w:szCs w:val="16"/>
              </w:rPr>
            </w:pPr>
            <w:r>
              <w:rPr>
                <w:sz w:val="16"/>
                <w:szCs w:val="16"/>
              </w:rPr>
              <w:t>Affiliate_ID</w:t>
            </w:r>
          </w:p>
        </w:tc>
        <w:tc>
          <w:tcPr>
            <w:tcW w:w="3646" w:type="dxa"/>
            <w:vAlign w:val="center"/>
          </w:tcPr>
          <w:p w:rsidR="00F97D54" w:rsidRDefault="00F97D54" w:rsidP="00EB5B97">
            <w:pPr>
              <w:rPr>
                <w:sz w:val="16"/>
                <w:szCs w:val="16"/>
              </w:rPr>
            </w:pPr>
            <w:r>
              <w:rPr>
                <w:sz w:val="16"/>
                <w:szCs w:val="16"/>
              </w:rPr>
              <w:t>Sequential number</w:t>
            </w:r>
          </w:p>
        </w:tc>
        <w:tc>
          <w:tcPr>
            <w:tcW w:w="1492" w:type="dxa"/>
            <w:vAlign w:val="center"/>
          </w:tcPr>
          <w:p w:rsidR="00F97D54" w:rsidRDefault="00F97D54" w:rsidP="00EB5B97">
            <w:pPr>
              <w:rPr>
                <w:sz w:val="16"/>
                <w:szCs w:val="16"/>
              </w:rPr>
            </w:pPr>
            <w:r>
              <w:rPr>
                <w:sz w:val="16"/>
                <w:szCs w:val="16"/>
              </w:rPr>
              <w:t>Integer</w:t>
            </w:r>
          </w:p>
        </w:tc>
        <w:tc>
          <w:tcPr>
            <w:tcW w:w="1688" w:type="dxa"/>
            <w:vAlign w:val="center"/>
          </w:tcPr>
          <w:p w:rsidR="00F97D54" w:rsidRDefault="00F97D54" w:rsidP="00EB5B97">
            <w:pPr>
              <w:rPr>
                <w:sz w:val="16"/>
                <w:szCs w:val="16"/>
              </w:rPr>
            </w:pPr>
            <w:r>
              <w:rPr>
                <w:sz w:val="16"/>
                <w:szCs w:val="16"/>
              </w:rPr>
              <w:t>1</w:t>
            </w:r>
          </w:p>
        </w:tc>
      </w:tr>
      <w:tr w:rsidR="00F97D54" w:rsidTr="00EB5B97">
        <w:trPr>
          <w:trHeight w:val="360"/>
        </w:trPr>
        <w:tc>
          <w:tcPr>
            <w:tcW w:w="2012" w:type="dxa"/>
            <w:vAlign w:val="center"/>
          </w:tcPr>
          <w:p w:rsidR="00F97D54" w:rsidRPr="00F43280" w:rsidRDefault="00F97D54" w:rsidP="00EB5B97">
            <w:pPr>
              <w:tabs>
                <w:tab w:val="left" w:pos="2022"/>
              </w:tabs>
              <w:rPr>
                <w:sz w:val="16"/>
                <w:szCs w:val="16"/>
              </w:rPr>
            </w:pPr>
            <w:r>
              <w:rPr>
                <w:sz w:val="16"/>
                <w:szCs w:val="16"/>
              </w:rPr>
              <w:t>Affiliate_Name</w:t>
            </w:r>
          </w:p>
        </w:tc>
        <w:tc>
          <w:tcPr>
            <w:tcW w:w="3646" w:type="dxa"/>
            <w:vAlign w:val="center"/>
          </w:tcPr>
          <w:p w:rsidR="00F97D54" w:rsidRPr="00F43280" w:rsidRDefault="00F97D54" w:rsidP="00EB5B97">
            <w:pPr>
              <w:rPr>
                <w:sz w:val="16"/>
                <w:szCs w:val="16"/>
              </w:rPr>
            </w:pPr>
            <w:r>
              <w:rPr>
                <w:sz w:val="16"/>
                <w:szCs w:val="16"/>
              </w:rPr>
              <w:t xml:space="preserve">Name of entity with which you are affiliated </w:t>
            </w:r>
          </w:p>
        </w:tc>
        <w:tc>
          <w:tcPr>
            <w:tcW w:w="1492" w:type="dxa"/>
            <w:vAlign w:val="center"/>
          </w:tcPr>
          <w:p w:rsidR="00F97D54" w:rsidRPr="00F43280" w:rsidRDefault="00F97D54" w:rsidP="00EB5B97">
            <w:pPr>
              <w:rPr>
                <w:sz w:val="16"/>
                <w:szCs w:val="16"/>
              </w:rPr>
            </w:pPr>
            <w:r>
              <w:rPr>
                <w:sz w:val="16"/>
                <w:szCs w:val="16"/>
              </w:rPr>
              <w:t>Text</w:t>
            </w:r>
          </w:p>
        </w:tc>
        <w:tc>
          <w:tcPr>
            <w:tcW w:w="1688" w:type="dxa"/>
            <w:vAlign w:val="center"/>
          </w:tcPr>
          <w:p w:rsidR="00F97D54" w:rsidRPr="00F43280" w:rsidRDefault="00F97D54" w:rsidP="00EB5B97">
            <w:pPr>
              <w:rPr>
                <w:sz w:val="16"/>
                <w:szCs w:val="16"/>
              </w:rPr>
            </w:pPr>
            <w:r>
              <w:rPr>
                <w:sz w:val="16"/>
                <w:szCs w:val="16"/>
              </w:rPr>
              <w:t>Local Fiber Incorporated</w:t>
            </w:r>
          </w:p>
        </w:tc>
      </w:tr>
      <w:tr w:rsidR="00F97D54" w:rsidTr="00EB5B97">
        <w:trPr>
          <w:trHeight w:val="360"/>
        </w:trPr>
        <w:tc>
          <w:tcPr>
            <w:tcW w:w="2012" w:type="dxa"/>
            <w:tcBorders>
              <w:bottom w:val="double" w:sz="4" w:space="0" w:color="auto"/>
            </w:tcBorders>
            <w:vAlign w:val="center"/>
          </w:tcPr>
          <w:p w:rsidR="00F97D54" w:rsidRDefault="00F97D54" w:rsidP="00EB5B97">
            <w:pPr>
              <w:rPr>
                <w:sz w:val="16"/>
                <w:szCs w:val="16"/>
              </w:rPr>
            </w:pPr>
            <w:r>
              <w:rPr>
                <w:sz w:val="16"/>
                <w:szCs w:val="16"/>
              </w:rPr>
              <w:t>Name_FRN</w:t>
            </w:r>
          </w:p>
        </w:tc>
        <w:tc>
          <w:tcPr>
            <w:tcW w:w="3646" w:type="dxa"/>
            <w:tcBorders>
              <w:bottom w:val="double" w:sz="4" w:space="0" w:color="auto"/>
            </w:tcBorders>
            <w:vAlign w:val="center"/>
          </w:tcPr>
          <w:p w:rsidR="00F97D54" w:rsidRDefault="00F97D54" w:rsidP="00EB5B97">
            <w:pPr>
              <w:rPr>
                <w:sz w:val="16"/>
                <w:szCs w:val="16"/>
              </w:rPr>
            </w:pPr>
            <w:r>
              <w:rPr>
                <w:sz w:val="16"/>
                <w:szCs w:val="16"/>
              </w:rPr>
              <w:t xml:space="preserve">Entity’s FCC Registration Number </w:t>
            </w:r>
          </w:p>
          <w:p w:rsidR="00F97D54" w:rsidRDefault="00F97D54" w:rsidP="00EB5B97">
            <w:pPr>
              <w:rPr>
                <w:sz w:val="16"/>
                <w:szCs w:val="16"/>
              </w:rPr>
            </w:pPr>
            <w:r>
              <w:rPr>
                <w:sz w:val="16"/>
                <w:szCs w:val="16"/>
              </w:rPr>
              <w:t>(with leading zeros)</w:t>
            </w:r>
          </w:p>
        </w:tc>
        <w:tc>
          <w:tcPr>
            <w:tcW w:w="1492" w:type="dxa"/>
            <w:tcBorders>
              <w:bottom w:val="double" w:sz="4" w:space="0" w:color="auto"/>
            </w:tcBorders>
            <w:vAlign w:val="center"/>
          </w:tcPr>
          <w:p w:rsidR="00F97D54" w:rsidRDefault="00F97D54" w:rsidP="00EB5B97">
            <w:pPr>
              <w:rPr>
                <w:sz w:val="16"/>
                <w:szCs w:val="16"/>
              </w:rPr>
            </w:pPr>
            <w:r>
              <w:rPr>
                <w:sz w:val="16"/>
                <w:szCs w:val="16"/>
              </w:rPr>
              <w:t>Integer</w:t>
            </w:r>
          </w:p>
        </w:tc>
        <w:tc>
          <w:tcPr>
            <w:tcW w:w="1688" w:type="dxa"/>
            <w:tcBorders>
              <w:bottom w:val="double" w:sz="4" w:space="0" w:color="auto"/>
            </w:tcBorders>
            <w:vAlign w:val="center"/>
          </w:tcPr>
          <w:p w:rsidR="00F97D54" w:rsidRDefault="00F97D54" w:rsidP="00EB5B97">
            <w:pPr>
              <w:rPr>
                <w:sz w:val="16"/>
                <w:szCs w:val="16"/>
              </w:rPr>
            </w:pPr>
            <w:r>
              <w:rPr>
                <w:sz w:val="16"/>
                <w:szCs w:val="16"/>
              </w:rPr>
              <w:t>0008402202</w:t>
            </w:r>
          </w:p>
        </w:tc>
      </w:tr>
    </w:tbl>
    <w:p w:rsidR="00F97D54" w:rsidRDefault="00F97D54" w:rsidP="00EB5B97">
      <w:pPr>
        <w:rPr>
          <w:b/>
          <w:i/>
          <w:sz w:val="20"/>
          <w:szCs w:val="22"/>
        </w:rPr>
      </w:pPr>
    </w:p>
    <w:p w:rsidR="00F97D54" w:rsidRPr="00F97D54" w:rsidRDefault="00F97D54" w:rsidP="00F97D54">
      <w:pPr>
        <w:pStyle w:val="Heading4"/>
        <w:numPr>
          <w:ilvl w:val="0"/>
          <w:numId w:val="0"/>
        </w:numPr>
        <w:rPr>
          <w:b w:val="0"/>
          <w:i/>
        </w:rPr>
      </w:pPr>
      <w:bookmarkStart w:id="91" w:name="_Toc365972080"/>
      <w:r w:rsidRPr="00F97D54">
        <w:rPr>
          <w:b w:val="0"/>
          <w:i/>
        </w:rPr>
        <w:t>Question II.A.2:  Facilities Requiring Additional Information</w:t>
      </w:r>
      <w:bookmarkEnd w:id="91"/>
    </w:p>
    <w:tbl>
      <w:tblPr>
        <w:tblW w:w="8838" w:type="dxa"/>
        <w:tblLook w:val="01E0" w:firstRow="1" w:lastRow="1" w:firstColumn="1" w:lastColumn="1" w:noHBand="0" w:noVBand="0"/>
      </w:tblPr>
      <w:tblGrid>
        <w:gridCol w:w="2012"/>
        <w:gridCol w:w="3646"/>
        <w:gridCol w:w="1492"/>
        <w:gridCol w:w="1688"/>
      </w:tblGrid>
      <w:tr w:rsidR="00F97D54" w:rsidTr="00EB5B97">
        <w:trPr>
          <w:trHeight w:val="357"/>
        </w:trPr>
        <w:tc>
          <w:tcPr>
            <w:tcW w:w="8838" w:type="dxa"/>
            <w:gridSpan w:val="4"/>
            <w:tcBorders>
              <w:top w:val="double" w:sz="4" w:space="0" w:color="auto"/>
              <w:bottom w:val="single" w:sz="4" w:space="0" w:color="auto"/>
            </w:tcBorders>
            <w:vAlign w:val="center"/>
          </w:tcPr>
          <w:p w:rsidR="00F97D54" w:rsidRDefault="00F97D54" w:rsidP="00EB5B97">
            <w:pPr>
              <w:jc w:val="center"/>
              <w:rPr>
                <w:b/>
                <w:szCs w:val="22"/>
              </w:rPr>
            </w:pPr>
            <w:r>
              <w:rPr>
                <w:b/>
                <w:szCs w:val="22"/>
              </w:rPr>
              <w:t>Table II.A.2</w:t>
            </w:r>
          </w:p>
          <w:p w:rsidR="00F97D54" w:rsidRPr="000A5F03" w:rsidRDefault="00F97D54" w:rsidP="00EB5B97">
            <w:pPr>
              <w:jc w:val="center"/>
              <w:rPr>
                <w:b/>
                <w:szCs w:val="22"/>
              </w:rPr>
            </w:pPr>
            <w:r w:rsidRPr="00886F07">
              <w:rPr>
                <w:b/>
                <w:szCs w:val="22"/>
              </w:rPr>
              <w:t xml:space="preserve">Record Format for </w:t>
            </w:r>
            <w:r w:rsidRPr="009D6DBB">
              <w:rPr>
                <w:b/>
                <w:szCs w:val="22"/>
              </w:rPr>
              <w:t>Facilities Triggering Need for Additional Information</w:t>
            </w:r>
          </w:p>
        </w:tc>
      </w:tr>
      <w:tr w:rsidR="00F97D54" w:rsidTr="00EB5B97">
        <w:trPr>
          <w:trHeight w:val="359"/>
        </w:trPr>
        <w:tc>
          <w:tcPr>
            <w:tcW w:w="2012" w:type="dxa"/>
            <w:tcBorders>
              <w:top w:val="single" w:sz="4" w:space="0" w:color="auto"/>
              <w:bottom w:val="single" w:sz="4" w:space="0" w:color="auto"/>
              <w:right w:val="single" w:sz="4" w:space="0" w:color="auto"/>
            </w:tcBorders>
            <w:vAlign w:val="center"/>
          </w:tcPr>
          <w:p w:rsidR="00F97D54" w:rsidRDefault="00F97D54" w:rsidP="00EB5B97">
            <w:pPr>
              <w:rPr>
                <w:b/>
                <w:sz w:val="18"/>
                <w:szCs w:val="18"/>
              </w:rPr>
            </w:pPr>
            <w:r>
              <w:rPr>
                <w:b/>
                <w:sz w:val="18"/>
                <w:szCs w:val="18"/>
              </w:rPr>
              <w:t>Field Name</w:t>
            </w:r>
          </w:p>
        </w:tc>
        <w:tc>
          <w:tcPr>
            <w:tcW w:w="3646" w:type="dxa"/>
            <w:tcBorders>
              <w:top w:val="single" w:sz="4" w:space="0" w:color="auto"/>
              <w:left w:val="single" w:sz="4" w:space="0" w:color="auto"/>
              <w:bottom w:val="single" w:sz="4" w:space="0" w:color="auto"/>
              <w:right w:val="single" w:sz="4" w:space="0" w:color="auto"/>
            </w:tcBorders>
            <w:vAlign w:val="center"/>
          </w:tcPr>
          <w:p w:rsidR="00F97D54" w:rsidRDefault="00F97D54" w:rsidP="00EB5B97">
            <w:pPr>
              <w:rPr>
                <w:b/>
                <w:sz w:val="18"/>
                <w:szCs w:val="18"/>
              </w:rPr>
            </w:pPr>
            <w:r>
              <w:rPr>
                <w:b/>
                <w:sz w:val="18"/>
                <w:szCs w:val="18"/>
              </w:rPr>
              <w:t>Description</w:t>
            </w:r>
          </w:p>
        </w:tc>
        <w:tc>
          <w:tcPr>
            <w:tcW w:w="1492" w:type="dxa"/>
            <w:tcBorders>
              <w:top w:val="single" w:sz="4" w:space="0" w:color="auto"/>
              <w:left w:val="single" w:sz="4" w:space="0" w:color="auto"/>
              <w:bottom w:val="single" w:sz="4" w:space="0" w:color="auto"/>
              <w:right w:val="single" w:sz="4" w:space="0" w:color="auto"/>
            </w:tcBorders>
            <w:vAlign w:val="center"/>
          </w:tcPr>
          <w:p w:rsidR="00F97D54" w:rsidRDefault="00F97D54" w:rsidP="00EB5B97">
            <w:pPr>
              <w:rPr>
                <w:b/>
                <w:sz w:val="18"/>
                <w:szCs w:val="18"/>
              </w:rPr>
            </w:pPr>
            <w:r>
              <w:rPr>
                <w:b/>
                <w:sz w:val="18"/>
                <w:szCs w:val="18"/>
              </w:rPr>
              <w:t>Type</w:t>
            </w:r>
          </w:p>
        </w:tc>
        <w:tc>
          <w:tcPr>
            <w:tcW w:w="1688" w:type="dxa"/>
            <w:tcBorders>
              <w:top w:val="single" w:sz="4" w:space="0" w:color="auto"/>
              <w:left w:val="single" w:sz="4" w:space="0" w:color="auto"/>
              <w:bottom w:val="single" w:sz="4" w:space="0" w:color="auto"/>
            </w:tcBorders>
            <w:vAlign w:val="center"/>
          </w:tcPr>
          <w:p w:rsidR="00F97D54" w:rsidRDefault="00F97D54" w:rsidP="00EB5B97">
            <w:pPr>
              <w:ind w:right="-108"/>
              <w:rPr>
                <w:b/>
                <w:sz w:val="18"/>
                <w:szCs w:val="18"/>
              </w:rPr>
            </w:pPr>
            <w:r>
              <w:rPr>
                <w:b/>
                <w:sz w:val="18"/>
                <w:szCs w:val="18"/>
              </w:rPr>
              <w:t>Example</w:t>
            </w:r>
          </w:p>
        </w:tc>
      </w:tr>
      <w:tr w:rsidR="00F97D54" w:rsidTr="00EB5B97">
        <w:trPr>
          <w:trHeight w:val="360"/>
        </w:trPr>
        <w:tc>
          <w:tcPr>
            <w:tcW w:w="2012" w:type="dxa"/>
            <w:vAlign w:val="center"/>
          </w:tcPr>
          <w:p w:rsidR="00F97D54" w:rsidRPr="00F43280" w:rsidRDefault="00F97D54" w:rsidP="00EB5B97">
            <w:pPr>
              <w:tabs>
                <w:tab w:val="left" w:pos="2022"/>
              </w:tabs>
              <w:rPr>
                <w:sz w:val="16"/>
                <w:szCs w:val="16"/>
              </w:rPr>
            </w:pPr>
            <w:r>
              <w:rPr>
                <w:sz w:val="16"/>
                <w:szCs w:val="16"/>
              </w:rPr>
              <w:t>Connection</w:t>
            </w:r>
          </w:p>
        </w:tc>
        <w:tc>
          <w:tcPr>
            <w:tcW w:w="3646" w:type="dxa"/>
            <w:vAlign w:val="center"/>
          </w:tcPr>
          <w:p w:rsidR="00F97D54" w:rsidRPr="00F43280" w:rsidRDefault="00F97D54" w:rsidP="00EB5B97">
            <w:pPr>
              <w:rPr>
                <w:sz w:val="16"/>
                <w:szCs w:val="16"/>
              </w:rPr>
            </w:pPr>
            <w:r>
              <w:rPr>
                <w:sz w:val="16"/>
                <w:szCs w:val="16"/>
              </w:rPr>
              <w:t xml:space="preserve">Do you own a </w:t>
            </w:r>
            <w:r w:rsidRPr="009D6DBB">
              <w:rPr>
                <w:i/>
                <w:sz w:val="16"/>
                <w:szCs w:val="16"/>
              </w:rPr>
              <w:t>Connection</w:t>
            </w:r>
            <w:r>
              <w:rPr>
                <w:sz w:val="16"/>
                <w:szCs w:val="16"/>
              </w:rPr>
              <w:t xml:space="preserve">; lease a </w:t>
            </w:r>
            <w:r w:rsidRPr="009D6DBB">
              <w:rPr>
                <w:i/>
                <w:sz w:val="16"/>
                <w:szCs w:val="16"/>
              </w:rPr>
              <w:t>Connection</w:t>
            </w:r>
            <w:r>
              <w:rPr>
                <w:sz w:val="16"/>
                <w:szCs w:val="16"/>
              </w:rPr>
              <w:t xml:space="preserve"> under an </w:t>
            </w:r>
            <w:r w:rsidRPr="009D6DBB">
              <w:rPr>
                <w:i/>
                <w:sz w:val="16"/>
                <w:szCs w:val="16"/>
              </w:rPr>
              <w:t>IRU</w:t>
            </w:r>
            <w:r>
              <w:rPr>
                <w:sz w:val="16"/>
                <w:szCs w:val="16"/>
              </w:rPr>
              <w:t xml:space="preserve"> agreement; or obtain a </w:t>
            </w:r>
            <w:r w:rsidRPr="009D6DBB">
              <w:rPr>
                <w:i/>
                <w:sz w:val="16"/>
                <w:szCs w:val="16"/>
              </w:rPr>
              <w:t>Connection</w:t>
            </w:r>
            <w:r>
              <w:rPr>
                <w:sz w:val="16"/>
                <w:szCs w:val="16"/>
              </w:rPr>
              <w:t xml:space="preserve"> as a </w:t>
            </w:r>
            <w:r w:rsidRPr="009D6DBB">
              <w:rPr>
                <w:i/>
                <w:sz w:val="16"/>
                <w:szCs w:val="16"/>
              </w:rPr>
              <w:t>UNE</w:t>
            </w:r>
            <w:r>
              <w:rPr>
                <w:sz w:val="16"/>
                <w:szCs w:val="16"/>
              </w:rPr>
              <w:t xml:space="preserve"> to provide a </w:t>
            </w:r>
            <w:r w:rsidRPr="00432F5C">
              <w:rPr>
                <w:i/>
                <w:sz w:val="16"/>
                <w:szCs w:val="16"/>
              </w:rPr>
              <w:t>Dedicated Service</w:t>
            </w:r>
            <w:r>
              <w:rPr>
                <w:sz w:val="16"/>
                <w:szCs w:val="16"/>
              </w:rPr>
              <w:t>? (Y=Yes, N=No)</w:t>
            </w:r>
          </w:p>
        </w:tc>
        <w:tc>
          <w:tcPr>
            <w:tcW w:w="1492" w:type="dxa"/>
            <w:vAlign w:val="center"/>
          </w:tcPr>
          <w:p w:rsidR="00F97D54" w:rsidRPr="00F43280" w:rsidRDefault="00F97D54" w:rsidP="00EB5B97">
            <w:pPr>
              <w:rPr>
                <w:sz w:val="16"/>
                <w:szCs w:val="16"/>
              </w:rPr>
            </w:pPr>
            <w:r>
              <w:rPr>
                <w:sz w:val="16"/>
                <w:szCs w:val="16"/>
              </w:rPr>
              <w:t>Text</w:t>
            </w:r>
          </w:p>
        </w:tc>
        <w:tc>
          <w:tcPr>
            <w:tcW w:w="1688" w:type="dxa"/>
            <w:vAlign w:val="center"/>
          </w:tcPr>
          <w:p w:rsidR="00F97D54" w:rsidRPr="00F43280" w:rsidRDefault="00F97D54" w:rsidP="00EB5B97">
            <w:pPr>
              <w:rPr>
                <w:sz w:val="16"/>
                <w:szCs w:val="16"/>
              </w:rPr>
            </w:pPr>
            <w:r>
              <w:rPr>
                <w:sz w:val="16"/>
                <w:szCs w:val="16"/>
              </w:rPr>
              <w:t>Y</w:t>
            </w:r>
          </w:p>
        </w:tc>
      </w:tr>
      <w:tr w:rsidR="00F97D54" w:rsidTr="00EB5B97">
        <w:trPr>
          <w:trHeight w:val="360"/>
        </w:trPr>
        <w:tc>
          <w:tcPr>
            <w:tcW w:w="2012" w:type="dxa"/>
            <w:tcBorders>
              <w:bottom w:val="double" w:sz="4" w:space="0" w:color="auto"/>
            </w:tcBorders>
            <w:vAlign w:val="center"/>
          </w:tcPr>
          <w:p w:rsidR="00F97D54" w:rsidRDefault="00F97D54" w:rsidP="00EB5B97">
            <w:pPr>
              <w:rPr>
                <w:sz w:val="16"/>
                <w:szCs w:val="16"/>
              </w:rPr>
            </w:pPr>
            <w:r>
              <w:rPr>
                <w:sz w:val="16"/>
                <w:szCs w:val="16"/>
              </w:rPr>
              <w:t>Price_Cap?</w:t>
            </w:r>
          </w:p>
        </w:tc>
        <w:tc>
          <w:tcPr>
            <w:tcW w:w="3646" w:type="dxa"/>
            <w:tcBorders>
              <w:bottom w:val="double" w:sz="4" w:space="0" w:color="auto"/>
            </w:tcBorders>
            <w:vAlign w:val="center"/>
          </w:tcPr>
          <w:p w:rsidR="00F97D54" w:rsidRDefault="00F97D54" w:rsidP="00EB5B97">
            <w:pPr>
              <w:rPr>
                <w:sz w:val="16"/>
                <w:szCs w:val="16"/>
              </w:rPr>
            </w:pPr>
            <w:r>
              <w:rPr>
                <w:sz w:val="16"/>
                <w:szCs w:val="16"/>
              </w:rPr>
              <w:t xml:space="preserve">Are any of the </w:t>
            </w:r>
            <w:r w:rsidRPr="007449FD">
              <w:rPr>
                <w:i/>
                <w:sz w:val="16"/>
                <w:szCs w:val="16"/>
              </w:rPr>
              <w:t>Connections</w:t>
            </w:r>
            <w:r>
              <w:rPr>
                <w:sz w:val="16"/>
                <w:szCs w:val="16"/>
              </w:rPr>
              <w:t xml:space="preserve"> – that you own; lease as an </w:t>
            </w:r>
            <w:r w:rsidRPr="008B5649">
              <w:rPr>
                <w:i/>
                <w:sz w:val="16"/>
                <w:szCs w:val="16"/>
              </w:rPr>
              <w:t>IRU</w:t>
            </w:r>
            <w:r>
              <w:rPr>
                <w:sz w:val="16"/>
                <w:szCs w:val="16"/>
              </w:rPr>
              <w:t xml:space="preserve">; or obtain as a </w:t>
            </w:r>
            <w:r w:rsidRPr="008B5649">
              <w:rPr>
                <w:i/>
                <w:sz w:val="16"/>
                <w:szCs w:val="16"/>
              </w:rPr>
              <w:t>UNE</w:t>
            </w:r>
            <w:r w:rsidRPr="008B5649">
              <w:rPr>
                <w:sz w:val="16"/>
                <w:szCs w:val="16"/>
              </w:rPr>
              <w:t xml:space="preserve"> </w:t>
            </w:r>
            <w:r>
              <w:rPr>
                <w:sz w:val="16"/>
                <w:szCs w:val="16"/>
              </w:rPr>
              <w:t xml:space="preserve">to provide a </w:t>
            </w:r>
            <w:r w:rsidRPr="008B5649">
              <w:rPr>
                <w:i/>
                <w:sz w:val="16"/>
                <w:szCs w:val="16"/>
              </w:rPr>
              <w:t>Dedicated Service</w:t>
            </w:r>
            <w:r>
              <w:rPr>
                <w:sz w:val="16"/>
                <w:szCs w:val="16"/>
              </w:rPr>
              <w:t xml:space="preserve"> – to a </w:t>
            </w:r>
            <w:r w:rsidRPr="007449FD">
              <w:rPr>
                <w:i/>
                <w:sz w:val="16"/>
                <w:szCs w:val="16"/>
              </w:rPr>
              <w:t>Location</w:t>
            </w:r>
            <w:r>
              <w:rPr>
                <w:sz w:val="16"/>
                <w:szCs w:val="16"/>
              </w:rPr>
              <w:t xml:space="preserve"> in a price cap area? (Y=Yes, N=No, NA=Not Applicable)</w:t>
            </w:r>
          </w:p>
        </w:tc>
        <w:tc>
          <w:tcPr>
            <w:tcW w:w="1492" w:type="dxa"/>
            <w:tcBorders>
              <w:bottom w:val="double" w:sz="4" w:space="0" w:color="auto"/>
            </w:tcBorders>
            <w:vAlign w:val="center"/>
          </w:tcPr>
          <w:p w:rsidR="00F97D54" w:rsidRDefault="00F97D54" w:rsidP="00EB5B97">
            <w:pPr>
              <w:rPr>
                <w:sz w:val="16"/>
                <w:szCs w:val="16"/>
              </w:rPr>
            </w:pPr>
            <w:r>
              <w:rPr>
                <w:sz w:val="16"/>
                <w:szCs w:val="16"/>
              </w:rPr>
              <w:t>Text</w:t>
            </w:r>
          </w:p>
        </w:tc>
        <w:tc>
          <w:tcPr>
            <w:tcW w:w="1688" w:type="dxa"/>
            <w:tcBorders>
              <w:bottom w:val="double" w:sz="4" w:space="0" w:color="auto"/>
            </w:tcBorders>
            <w:vAlign w:val="center"/>
          </w:tcPr>
          <w:p w:rsidR="00F97D54" w:rsidRDefault="00F97D54" w:rsidP="00EB5B97">
            <w:pPr>
              <w:rPr>
                <w:sz w:val="16"/>
                <w:szCs w:val="16"/>
              </w:rPr>
            </w:pPr>
            <w:r>
              <w:rPr>
                <w:sz w:val="16"/>
                <w:szCs w:val="16"/>
              </w:rPr>
              <w:t>Y</w:t>
            </w:r>
          </w:p>
        </w:tc>
      </w:tr>
    </w:tbl>
    <w:p w:rsidR="00F97D54" w:rsidRDefault="00F97D54" w:rsidP="00EB5B97">
      <w:pPr>
        <w:pStyle w:val="ListParagraph"/>
        <w:ind w:left="0"/>
        <w:rPr>
          <w:i/>
          <w:sz w:val="22"/>
          <w:szCs w:val="22"/>
        </w:rPr>
      </w:pPr>
    </w:p>
    <w:p w:rsidR="00F97D54" w:rsidRPr="00DC7175" w:rsidRDefault="00F97D54" w:rsidP="00F97D54">
      <w:pPr>
        <w:pStyle w:val="Heading5"/>
        <w:numPr>
          <w:ilvl w:val="0"/>
          <w:numId w:val="0"/>
        </w:numPr>
      </w:pPr>
      <w:bookmarkStart w:id="92" w:name="_Toc365972081"/>
      <w:r>
        <w:t>Facilities Information</w:t>
      </w:r>
      <w:bookmarkEnd w:id="92"/>
    </w:p>
    <w:p w:rsidR="00F97D54" w:rsidRPr="00F97D54" w:rsidRDefault="00F97D54" w:rsidP="00F97D54">
      <w:pPr>
        <w:pStyle w:val="Heading4"/>
        <w:numPr>
          <w:ilvl w:val="0"/>
          <w:numId w:val="0"/>
        </w:numPr>
        <w:rPr>
          <w:b w:val="0"/>
          <w:i/>
        </w:rPr>
      </w:pPr>
      <w:bookmarkStart w:id="93" w:name="_Toc365972082"/>
      <w:r w:rsidRPr="00F97D54">
        <w:rPr>
          <w:b w:val="0"/>
          <w:i/>
        </w:rPr>
        <w:t>Question II.A.3:  Locations Data for Competitive Providers</w:t>
      </w:r>
      <w:bookmarkEnd w:id="93"/>
    </w:p>
    <w:p w:rsidR="00F97D54" w:rsidRDefault="00F97D54" w:rsidP="00EB5B97">
      <w:r w:rsidRPr="004568E4">
        <w:rPr>
          <w:i/>
        </w:rPr>
        <w:t>Competitive Providers</w:t>
      </w:r>
      <w:r>
        <w:t xml:space="preserve"> are required to report </w:t>
      </w:r>
      <w:r w:rsidRPr="006D6972">
        <w:rPr>
          <w:color w:val="000000"/>
        </w:rPr>
        <w:t xml:space="preserve">the total number of </w:t>
      </w:r>
      <w:r>
        <w:rPr>
          <w:i/>
          <w:color w:val="000000"/>
        </w:rPr>
        <w:t>L</w:t>
      </w:r>
      <w:r w:rsidRPr="008308D1">
        <w:rPr>
          <w:i/>
          <w:color w:val="000000"/>
        </w:rPr>
        <w:t>ocations</w:t>
      </w:r>
      <w:r w:rsidRPr="006D6972">
        <w:rPr>
          <w:color w:val="000000"/>
        </w:rPr>
        <w:t xml:space="preserve"> to which </w:t>
      </w:r>
      <w:r>
        <w:rPr>
          <w:color w:val="000000"/>
        </w:rPr>
        <w:t>they</w:t>
      </w:r>
      <w:r w:rsidRPr="006D6972">
        <w:rPr>
          <w:color w:val="000000"/>
        </w:rPr>
        <w:t xml:space="preserve"> </w:t>
      </w:r>
      <w:r>
        <w:rPr>
          <w:color w:val="000000"/>
        </w:rPr>
        <w:t>had</w:t>
      </w:r>
      <w:r w:rsidRPr="006D6972">
        <w:rPr>
          <w:color w:val="000000"/>
        </w:rPr>
        <w:t xml:space="preserve"> a </w:t>
      </w:r>
      <w:r>
        <w:rPr>
          <w:i/>
          <w:color w:val="000000"/>
        </w:rPr>
        <w:t>C</w:t>
      </w:r>
      <w:r w:rsidRPr="008308D1">
        <w:rPr>
          <w:i/>
          <w:color w:val="000000"/>
        </w:rPr>
        <w:t>onnection</w:t>
      </w:r>
      <w:r w:rsidRPr="006D6972">
        <w:rPr>
          <w:color w:val="000000"/>
        </w:rPr>
        <w:t xml:space="preserve"> </w:t>
      </w:r>
      <w:r>
        <w:rPr>
          <w:color w:val="000000"/>
        </w:rPr>
        <w:t xml:space="preserve">during 2010 and during 2012 </w:t>
      </w:r>
      <w:r w:rsidRPr="006D6972">
        <w:rPr>
          <w:color w:val="000000"/>
        </w:rPr>
        <w:t xml:space="preserve">where </w:t>
      </w:r>
      <w:r>
        <w:rPr>
          <w:color w:val="000000"/>
        </w:rPr>
        <w:t xml:space="preserve">the </w:t>
      </w:r>
      <w:r w:rsidRPr="005416D6">
        <w:rPr>
          <w:i/>
          <w:color w:val="000000"/>
        </w:rPr>
        <w:t>Competitive Provider</w:t>
      </w:r>
      <w:r w:rsidRPr="006D6972">
        <w:rPr>
          <w:color w:val="000000"/>
        </w:rPr>
        <w:t xml:space="preserve"> either</w:t>
      </w:r>
      <w:r>
        <w:rPr>
          <w:color w:val="000000"/>
        </w:rPr>
        <w:t>:  (i</w:t>
      </w:r>
      <w:r w:rsidRPr="006D6972">
        <w:rPr>
          <w:color w:val="000000"/>
        </w:rPr>
        <w:t>) own</w:t>
      </w:r>
      <w:r>
        <w:rPr>
          <w:color w:val="000000"/>
        </w:rPr>
        <w:t>ed</w:t>
      </w:r>
      <w:r w:rsidRPr="006D6972">
        <w:rPr>
          <w:color w:val="000000"/>
        </w:rPr>
        <w:t xml:space="preserve"> the </w:t>
      </w:r>
      <w:r>
        <w:rPr>
          <w:i/>
          <w:color w:val="000000"/>
        </w:rPr>
        <w:t>C</w:t>
      </w:r>
      <w:r w:rsidRPr="008308D1">
        <w:rPr>
          <w:i/>
          <w:color w:val="000000"/>
        </w:rPr>
        <w:t>onnection</w:t>
      </w:r>
      <w:r w:rsidRPr="006D6972">
        <w:rPr>
          <w:color w:val="000000"/>
        </w:rPr>
        <w:t>; (</w:t>
      </w:r>
      <w:r>
        <w:rPr>
          <w:color w:val="000000"/>
        </w:rPr>
        <w:t>ii</w:t>
      </w:r>
      <w:r w:rsidRPr="006D6972">
        <w:rPr>
          <w:color w:val="000000"/>
        </w:rPr>
        <w:t xml:space="preserve">) </w:t>
      </w:r>
      <w:r>
        <w:rPr>
          <w:color w:val="000000"/>
        </w:rPr>
        <w:t>leased</w:t>
      </w:r>
      <w:r w:rsidRPr="006D6972">
        <w:rPr>
          <w:color w:val="000000"/>
        </w:rPr>
        <w:t xml:space="preserve"> the </w:t>
      </w:r>
      <w:r>
        <w:rPr>
          <w:i/>
          <w:color w:val="000000"/>
        </w:rPr>
        <w:t>C</w:t>
      </w:r>
      <w:r w:rsidRPr="008308D1">
        <w:rPr>
          <w:i/>
          <w:color w:val="000000"/>
        </w:rPr>
        <w:t>onnection</w:t>
      </w:r>
      <w:r w:rsidRPr="006D6972">
        <w:rPr>
          <w:color w:val="000000"/>
        </w:rPr>
        <w:t xml:space="preserve"> from another entity under a</w:t>
      </w:r>
      <w:r>
        <w:rPr>
          <w:color w:val="000000"/>
        </w:rPr>
        <w:t xml:space="preserve">n </w:t>
      </w:r>
      <w:r w:rsidRPr="00A63486">
        <w:rPr>
          <w:i/>
          <w:color w:val="000000"/>
        </w:rPr>
        <w:t>IRU</w:t>
      </w:r>
      <w:r w:rsidRPr="00563D99">
        <w:rPr>
          <w:color w:val="000000"/>
        </w:rPr>
        <w:t>; or (</w:t>
      </w:r>
      <w:r>
        <w:rPr>
          <w:color w:val="000000"/>
        </w:rPr>
        <w:t>iii) obtained</w:t>
      </w:r>
      <w:r w:rsidRPr="00563D99">
        <w:rPr>
          <w:color w:val="000000"/>
        </w:rPr>
        <w:t xml:space="preserve"> the </w:t>
      </w:r>
      <w:r>
        <w:rPr>
          <w:i/>
          <w:color w:val="000000"/>
        </w:rPr>
        <w:t>C</w:t>
      </w:r>
      <w:r w:rsidRPr="00563D99">
        <w:rPr>
          <w:i/>
          <w:color w:val="000000"/>
        </w:rPr>
        <w:t>onnection</w:t>
      </w:r>
      <w:r w:rsidRPr="00563D99">
        <w:rPr>
          <w:color w:val="000000"/>
        </w:rPr>
        <w:t xml:space="preserve"> as</w:t>
      </w:r>
      <w:r>
        <w:rPr>
          <w:color w:val="000000"/>
        </w:rPr>
        <w:t xml:space="preserve"> a</w:t>
      </w:r>
      <w:r w:rsidRPr="00563D99">
        <w:rPr>
          <w:color w:val="000000"/>
        </w:rPr>
        <w:t xml:space="preserve"> </w:t>
      </w:r>
      <w:r w:rsidRPr="00A63486">
        <w:rPr>
          <w:i/>
          <w:color w:val="000000"/>
        </w:rPr>
        <w:t>UNE</w:t>
      </w:r>
      <w:r>
        <w:rPr>
          <w:color w:val="000000"/>
        </w:rPr>
        <w:t xml:space="preserve"> to provide a </w:t>
      </w:r>
      <w:r w:rsidRPr="00A63486">
        <w:rPr>
          <w:i/>
          <w:color w:val="000000"/>
        </w:rPr>
        <w:t>Dedicated Service</w:t>
      </w:r>
      <w:r w:rsidRPr="00563D99">
        <w:rPr>
          <w:color w:val="000000"/>
        </w:rPr>
        <w:t>.</w:t>
      </w:r>
      <w:r>
        <w:rPr>
          <w:color w:val="000000"/>
        </w:rPr>
        <w:t xml:space="preserve">   </w:t>
      </w:r>
      <w:r>
        <w:t xml:space="preserve">The definition of </w:t>
      </w:r>
      <w:r w:rsidRPr="005E31C5">
        <w:rPr>
          <w:i/>
        </w:rPr>
        <w:t>Connection</w:t>
      </w:r>
      <w:r>
        <w:t xml:space="preserve"> is crafted to assist the Commission with sizing the broader market for </w:t>
      </w:r>
      <w:r>
        <w:rPr>
          <w:i/>
        </w:rPr>
        <w:t>Dedicated Services</w:t>
      </w:r>
      <w:r>
        <w:t xml:space="preserve"> by including transmission facilities used to provide a </w:t>
      </w:r>
      <w:r w:rsidRPr="005E31C5">
        <w:rPr>
          <w:i/>
        </w:rPr>
        <w:t>Dedicated Service</w:t>
      </w:r>
      <w:r>
        <w:t xml:space="preserve"> and facilities that are “capable” of providing a </w:t>
      </w:r>
      <w:r>
        <w:rPr>
          <w:i/>
        </w:rPr>
        <w:t>Dedicated Service</w:t>
      </w:r>
      <w:r>
        <w:t xml:space="preserve">.  </w:t>
      </w:r>
    </w:p>
    <w:p w:rsidR="00F97D54" w:rsidRPr="001E3EAE" w:rsidRDefault="00F97D54" w:rsidP="00EB5B97">
      <w:pPr>
        <w:rPr>
          <w:color w:val="000000"/>
        </w:rPr>
      </w:pPr>
    </w:p>
    <w:p w:rsidR="00F97D54" w:rsidRDefault="00F97D54" w:rsidP="00EB5B97">
      <w:r>
        <w:t xml:space="preserve">To help </w:t>
      </w:r>
      <w:r w:rsidRPr="00132063">
        <w:rPr>
          <w:i/>
        </w:rPr>
        <w:t>Competitive Providers</w:t>
      </w:r>
      <w:r>
        <w:t xml:space="preserve"> identify reportable </w:t>
      </w:r>
      <w:r w:rsidRPr="00132063">
        <w:rPr>
          <w:i/>
        </w:rPr>
        <w:t>Locations</w:t>
      </w:r>
      <w:r>
        <w:t xml:space="preserve">, we provide the following guidance:  </w:t>
      </w:r>
    </w:p>
    <w:p w:rsidR="00F97D54" w:rsidRDefault="00F97D54" w:rsidP="00EB5B97">
      <w:pPr>
        <w:numPr>
          <w:ilvl w:val="0"/>
          <w:numId w:val="3"/>
        </w:numPr>
      </w:pPr>
      <w:r>
        <w:t xml:space="preserve">Respondents must only report </w:t>
      </w:r>
      <w:r w:rsidRPr="00B06116">
        <w:rPr>
          <w:i/>
        </w:rPr>
        <w:t>Connections</w:t>
      </w:r>
      <w:r>
        <w:t xml:space="preserve"> to non-residential </w:t>
      </w:r>
      <w:r w:rsidRPr="00DE7E4E">
        <w:rPr>
          <w:i/>
        </w:rPr>
        <w:t>Locations</w:t>
      </w:r>
      <w:r>
        <w:t xml:space="preserve">.  A </w:t>
      </w:r>
      <w:r w:rsidRPr="00331E31">
        <w:rPr>
          <w:i/>
        </w:rPr>
        <w:t>Location</w:t>
      </w:r>
      <w:r>
        <w:t xml:space="preserve"> is where an </w:t>
      </w:r>
      <w:r w:rsidRPr="00331E31">
        <w:rPr>
          <w:i/>
        </w:rPr>
        <w:t>End User</w:t>
      </w:r>
      <w:r>
        <w:t xml:space="preserve"> is connected, and an </w:t>
      </w:r>
      <w:r w:rsidRPr="00331E31">
        <w:rPr>
          <w:i/>
        </w:rPr>
        <w:t>End User</w:t>
      </w:r>
      <w:r>
        <w:t xml:space="preserve"> means a business, institutional, or government entity that purchases service for its own purposes, not for resale.  Accordingly, residential locations connected by facilities are not reported.  </w:t>
      </w:r>
    </w:p>
    <w:p w:rsidR="00F97D54" w:rsidRDefault="00F97D54" w:rsidP="00EB5B97">
      <w:pPr>
        <w:ind w:left="720"/>
      </w:pPr>
    </w:p>
    <w:p w:rsidR="00F97D54" w:rsidRPr="009501C3" w:rsidRDefault="00F97D54" w:rsidP="00EB5B97">
      <w:pPr>
        <w:numPr>
          <w:ilvl w:val="0"/>
          <w:numId w:val="3"/>
        </w:numPr>
        <w:autoSpaceDE w:val="0"/>
        <w:autoSpaceDN w:val="0"/>
        <w:adjustRightInd w:val="0"/>
        <w:rPr>
          <w:color w:val="000000"/>
        </w:rPr>
      </w:pPr>
      <w:r w:rsidRPr="005E31C5">
        <w:rPr>
          <w:i/>
          <w:color w:val="000000"/>
        </w:rPr>
        <w:t>Competitive Providers</w:t>
      </w:r>
      <w:r>
        <w:rPr>
          <w:color w:val="000000"/>
        </w:rPr>
        <w:t xml:space="preserve">, except for cable system operators reporting </w:t>
      </w:r>
      <w:r w:rsidRPr="005C418C">
        <w:rPr>
          <w:i/>
          <w:color w:val="000000"/>
        </w:rPr>
        <w:t>Locations</w:t>
      </w:r>
      <w:r>
        <w:rPr>
          <w:color w:val="000000"/>
        </w:rPr>
        <w:t xml:space="preserve"> within their Franchise Areas (FAs), must report all </w:t>
      </w:r>
      <w:r w:rsidRPr="00B60C60">
        <w:rPr>
          <w:i/>
          <w:color w:val="000000"/>
        </w:rPr>
        <w:t>Locations</w:t>
      </w:r>
      <w:r>
        <w:rPr>
          <w:color w:val="000000"/>
        </w:rPr>
        <w:t xml:space="preserve"> with idle and in-service </w:t>
      </w:r>
      <w:r w:rsidRPr="004E7055">
        <w:rPr>
          <w:i/>
          <w:color w:val="000000"/>
        </w:rPr>
        <w:t>Connections</w:t>
      </w:r>
      <w:r>
        <w:rPr>
          <w:color w:val="000000"/>
        </w:rPr>
        <w:t xml:space="preserve"> during the relevant reporting period </w:t>
      </w:r>
      <w:r>
        <w:t xml:space="preserve">regardless of the type of service provided over the </w:t>
      </w:r>
      <w:r w:rsidRPr="00DB310E">
        <w:rPr>
          <w:i/>
        </w:rPr>
        <w:t>Connection</w:t>
      </w:r>
      <w:r>
        <w:rPr>
          <w:color w:val="000000"/>
        </w:rPr>
        <w:t xml:space="preserve">.  </w:t>
      </w:r>
    </w:p>
    <w:p w:rsidR="00F97D54" w:rsidRPr="003C3C19" w:rsidRDefault="00F97D54" w:rsidP="00EB5B97">
      <w:pPr>
        <w:autoSpaceDE w:val="0"/>
        <w:autoSpaceDN w:val="0"/>
        <w:adjustRightInd w:val="0"/>
        <w:ind w:left="720"/>
        <w:rPr>
          <w:color w:val="000000"/>
        </w:rPr>
      </w:pPr>
    </w:p>
    <w:p w:rsidR="00F97D54" w:rsidRPr="00DB310E" w:rsidRDefault="00F97D54" w:rsidP="00EB5B97">
      <w:pPr>
        <w:numPr>
          <w:ilvl w:val="0"/>
          <w:numId w:val="3"/>
        </w:numPr>
        <w:autoSpaceDE w:val="0"/>
        <w:autoSpaceDN w:val="0"/>
        <w:adjustRightInd w:val="0"/>
        <w:rPr>
          <w:color w:val="000000"/>
        </w:rPr>
      </w:pPr>
      <w:r>
        <w:rPr>
          <w:color w:val="000000"/>
        </w:rPr>
        <w:t xml:space="preserve">If you are a cable system operator and reporting </w:t>
      </w:r>
      <w:r w:rsidRPr="001E3EAE">
        <w:rPr>
          <w:i/>
          <w:color w:val="000000"/>
        </w:rPr>
        <w:t>Locations</w:t>
      </w:r>
      <w:r>
        <w:rPr>
          <w:color w:val="000000"/>
        </w:rPr>
        <w:t xml:space="preserve"> within your FA, you must report those </w:t>
      </w:r>
      <w:r w:rsidRPr="005E31C5">
        <w:rPr>
          <w:i/>
          <w:color w:val="000000"/>
        </w:rPr>
        <w:t>Locations</w:t>
      </w:r>
      <w:r>
        <w:rPr>
          <w:color w:val="000000"/>
        </w:rPr>
        <w:t xml:space="preserve"> with </w:t>
      </w:r>
      <w:r w:rsidRPr="005E31C5">
        <w:rPr>
          <w:i/>
          <w:color w:val="000000"/>
        </w:rPr>
        <w:t>Connections</w:t>
      </w:r>
      <w:r>
        <w:rPr>
          <w:color w:val="000000"/>
        </w:rPr>
        <w:t xml:space="preserve"> </w:t>
      </w:r>
      <w:r>
        <w:t xml:space="preserve">that were connected to a </w:t>
      </w:r>
      <w:r>
        <w:rPr>
          <w:i/>
        </w:rPr>
        <w:t>Node</w:t>
      </w:r>
      <w:r>
        <w:t xml:space="preserve"> (</w:t>
      </w:r>
      <w:r>
        <w:rPr>
          <w:i/>
        </w:rPr>
        <w:t>i.e.</w:t>
      </w:r>
      <w:r>
        <w:t>, headend) during the relevant reporting period that was upgraded or built to provide Metro Ethernet (or its equivalent) service</w:t>
      </w:r>
      <w:r w:rsidRPr="005E31C5">
        <w:t xml:space="preserve"> </w:t>
      </w:r>
      <w:r>
        <w:t xml:space="preserve">regardless of the type of service provided over the </w:t>
      </w:r>
      <w:r w:rsidRPr="00DB310E">
        <w:rPr>
          <w:i/>
        </w:rPr>
        <w:t>Connection</w:t>
      </w:r>
      <w:r>
        <w:t xml:space="preserve"> or whether the </w:t>
      </w:r>
      <w:r w:rsidRPr="00DB310E">
        <w:rPr>
          <w:i/>
        </w:rPr>
        <w:t>Connection</w:t>
      </w:r>
      <w:r>
        <w:t xml:space="preserve"> is idle or in-service.</w:t>
      </w:r>
      <w:r>
        <w:rPr>
          <w:rStyle w:val="FootnoteReference"/>
        </w:rPr>
        <w:footnoteReference w:id="192"/>
      </w:r>
      <w:r>
        <w:t xml:space="preserve">  In addition, for </w:t>
      </w:r>
      <w:r w:rsidRPr="00B60C60">
        <w:rPr>
          <w:i/>
        </w:rPr>
        <w:t>Locations</w:t>
      </w:r>
      <w:r>
        <w:t xml:space="preserve"> with </w:t>
      </w:r>
      <w:r w:rsidRPr="00B60C60">
        <w:rPr>
          <w:i/>
        </w:rPr>
        <w:t>Connections</w:t>
      </w:r>
      <w:r>
        <w:t xml:space="preserve"> </w:t>
      </w:r>
      <w:r>
        <w:rPr>
          <w:color w:val="000000"/>
        </w:rPr>
        <w:t xml:space="preserve">that were not connected to a </w:t>
      </w:r>
      <w:r w:rsidRPr="005C418C">
        <w:rPr>
          <w:i/>
          <w:color w:val="000000"/>
        </w:rPr>
        <w:t>Node</w:t>
      </w:r>
      <w:r>
        <w:rPr>
          <w:color w:val="000000"/>
        </w:rPr>
        <w:t xml:space="preserve"> during the relevant reporting period that is capable of providing Metro Ethernet (or its equivalent), report only in-service </w:t>
      </w:r>
      <w:r w:rsidRPr="005C418C">
        <w:rPr>
          <w:i/>
          <w:color w:val="000000"/>
        </w:rPr>
        <w:t>Connections</w:t>
      </w:r>
      <w:r>
        <w:rPr>
          <w:color w:val="000000"/>
        </w:rPr>
        <w:t xml:space="preserve"> that were used to provide a </w:t>
      </w:r>
      <w:r w:rsidRPr="00EF5D5F">
        <w:rPr>
          <w:i/>
          <w:color w:val="000000"/>
        </w:rPr>
        <w:t>Dedicated Service</w:t>
      </w:r>
      <w:r>
        <w:rPr>
          <w:color w:val="000000"/>
        </w:rPr>
        <w:t xml:space="preserve"> or a service that incorporates a </w:t>
      </w:r>
      <w:r w:rsidRPr="005B5654">
        <w:rPr>
          <w:i/>
          <w:color w:val="000000"/>
        </w:rPr>
        <w:t>Dedicated Service</w:t>
      </w:r>
      <w:r>
        <w:rPr>
          <w:color w:val="000000"/>
        </w:rPr>
        <w:t xml:space="preserve"> within the offering as part of a managed solution or bundle of services sold to the customer;</w:t>
      </w:r>
      <w:r>
        <w:rPr>
          <w:rStyle w:val="FootnoteReference"/>
          <w:color w:val="000000"/>
        </w:rPr>
        <w:footnoteReference w:id="193"/>
      </w:r>
      <w:r>
        <w:rPr>
          <w:color w:val="000000"/>
        </w:rPr>
        <w:t xml:space="preserve"> do not report </w:t>
      </w:r>
      <w:r w:rsidRPr="005C418C">
        <w:rPr>
          <w:i/>
          <w:color w:val="000000"/>
        </w:rPr>
        <w:t>Connections</w:t>
      </w:r>
      <w:r>
        <w:rPr>
          <w:color w:val="000000"/>
        </w:rPr>
        <w:t xml:space="preserve"> that were used to provide a service that is substantially similar to </w:t>
      </w:r>
      <w:r>
        <w:t xml:space="preserve">services provided to residential customers, </w:t>
      </w:r>
      <w:r>
        <w:rPr>
          <w:i/>
          <w:iCs/>
        </w:rPr>
        <w:t>e.g.</w:t>
      </w:r>
      <w:r>
        <w:t>, one or two line telephone service or best-efforts Internet access and subscription television services.</w:t>
      </w:r>
      <w:r>
        <w:rPr>
          <w:rStyle w:val="FootnoteReference"/>
        </w:rPr>
        <w:footnoteReference w:id="194"/>
      </w:r>
      <w:r>
        <w:t xml:space="preserve">  </w:t>
      </w:r>
    </w:p>
    <w:p w:rsidR="00F97D54" w:rsidRDefault="00F97D54" w:rsidP="00EB5B97">
      <w:pPr>
        <w:autoSpaceDE w:val="0"/>
        <w:autoSpaceDN w:val="0"/>
        <w:adjustRightInd w:val="0"/>
        <w:rPr>
          <w:color w:val="000000"/>
        </w:rPr>
      </w:pPr>
    </w:p>
    <w:p w:rsidR="00F97D54" w:rsidRDefault="00F97D54" w:rsidP="00EB5B97">
      <w:pPr>
        <w:numPr>
          <w:ilvl w:val="0"/>
          <w:numId w:val="3"/>
        </w:numPr>
        <w:autoSpaceDE w:val="0"/>
        <w:autoSpaceDN w:val="0"/>
        <w:adjustRightInd w:val="0"/>
        <w:rPr>
          <w:color w:val="000000"/>
        </w:rPr>
      </w:pPr>
      <w:r>
        <w:rPr>
          <w:color w:val="000000"/>
        </w:rPr>
        <w:t xml:space="preserve">For </w:t>
      </w:r>
      <w:r w:rsidRPr="005B5654">
        <w:rPr>
          <w:i/>
          <w:color w:val="000000"/>
        </w:rPr>
        <w:t>Locations</w:t>
      </w:r>
      <w:r>
        <w:rPr>
          <w:color w:val="000000"/>
        </w:rPr>
        <w:t xml:space="preserve"> with </w:t>
      </w:r>
      <w:r w:rsidRPr="00B60C60">
        <w:rPr>
          <w:i/>
          <w:color w:val="000000"/>
        </w:rPr>
        <w:t>Connections</w:t>
      </w:r>
      <w:r>
        <w:rPr>
          <w:color w:val="000000"/>
        </w:rPr>
        <w:t xml:space="preserve"> obtained as a </w:t>
      </w:r>
      <w:r w:rsidRPr="005B5654">
        <w:rPr>
          <w:i/>
          <w:color w:val="000000"/>
        </w:rPr>
        <w:t>UNE</w:t>
      </w:r>
      <w:r>
        <w:rPr>
          <w:color w:val="000000"/>
        </w:rPr>
        <w:t xml:space="preserve"> to provide a </w:t>
      </w:r>
      <w:r w:rsidRPr="005B5654">
        <w:rPr>
          <w:i/>
          <w:color w:val="000000"/>
        </w:rPr>
        <w:t>Dedicated Service</w:t>
      </w:r>
      <w:r>
        <w:rPr>
          <w:color w:val="000000"/>
        </w:rPr>
        <w:t xml:space="preserve"> during 2010 and during 2012, all </w:t>
      </w:r>
      <w:r w:rsidRPr="00B60C60">
        <w:rPr>
          <w:i/>
          <w:color w:val="000000"/>
        </w:rPr>
        <w:t>Competitive Providers</w:t>
      </w:r>
      <w:r>
        <w:rPr>
          <w:color w:val="000000"/>
        </w:rPr>
        <w:t xml:space="preserve"> must include those </w:t>
      </w:r>
      <w:r w:rsidRPr="005B5654">
        <w:rPr>
          <w:i/>
          <w:color w:val="000000"/>
        </w:rPr>
        <w:t>UNEs</w:t>
      </w:r>
      <w:r>
        <w:rPr>
          <w:color w:val="000000"/>
        </w:rPr>
        <w:t xml:space="preserve"> obtained to provide a service that incorporated a </w:t>
      </w:r>
      <w:r w:rsidRPr="005B5654">
        <w:rPr>
          <w:i/>
          <w:color w:val="000000"/>
        </w:rPr>
        <w:t>Dedicated Service</w:t>
      </w:r>
      <w:r>
        <w:rPr>
          <w:color w:val="000000"/>
        </w:rPr>
        <w:t xml:space="preserve"> within the offering as part of a managed solution or bundle of services sold to the customer.</w:t>
      </w:r>
      <w:r>
        <w:rPr>
          <w:rStyle w:val="FootnoteReference"/>
          <w:color w:val="000000"/>
        </w:rPr>
        <w:footnoteReference w:id="195"/>
      </w:r>
    </w:p>
    <w:p w:rsidR="00F97D54" w:rsidRDefault="00F97D54" w:rsidP="00EB5B97">
      <w:pPr>
        <w:autoSpaceDE w:val="0"/>
        <w:autoSpaceDN w:val="0"/>
        <w:adjustRightInd w:val="0"/>
        <w:rPr>
          <w:rFonts w:ascii="Century" w:hAnsi="Century"/>
        </w:rPr>
      </w:pPr>
    </w:p>
    <w:tbl>
      <w:tblPr>
        <w:tblW w:w="8838" w:type="dxa"/>
        <w:tblLook w:val="01E0" w:firstRow="1" w:lastRow="1" w:firstColumn="1" w:lastColumn="1" w:noHBand="0" w:noVBand="0"/>
      </w:tblPr>
      <w:tblGrid>
        <w:gridCol w:w="2012"/>
        <w:gridCol w:w="3646"/>
        <w:gridCol w:w="1492"/>
        <w:gridCol w:w="1688"/>
      </w:tblGrid>
      <w:tr w:rsidR="00F97D54" w:rsidTr="00EB5B97">
        <w:trPr>
          <w:trHeight w:val="357"/>
          <w:tblHeader/>
        </w:trPr>
        <w:tc>
          <w:tcPr>
            <w:tcW w:w="8838" w:type="dxa"/>
            <w:gridSpan w:val="4"/>
            <w:tcBorders>
              <w:top w:val="double" w:sz="4" w:space="0" w:color="auto"/>
              <w:bottom w:val="single" w:sz="4" w:space="0" w:color="auto"/>
            </w:tcBorders>
            <w:vAlign w:val="center"/>
          </w:tcPr>
          <w:p w:rsidR="00F97D54" w:rsidRDefault="00F97D54" w:rsidP="00EB5B97">
            <w:pPr>
              <w:jc w:val="center"/>
              <w:rPr>
                <w:b/>
                <w:szCs w:val="22"/>
              </w:rPr>
            </w:pPr>
            <w:r>
              <w:rPr>
                <w:b/>
                <w:szCs w:val="22"/>
              </w:rPr>
              <w:t>Table II.A.3</w:t>
            </w:r>
          </w:p>
          <w:p w:rsidR="00F97D54" w:rsidRPr="00886F07" w:rsidRDefault="00F97D54" w:rsidP="00EB5B97">
            <w:pPr>
              <w:jc w:val="center"/>
              <w:rPr>
                <w:b/>
                <w:szCs w:val="22"/>
              </w:rPr>
            </w:pPr>
            <w:r w:rsidRPr="00886F07">
              <w:rPr>
                <w:b/>
                <w:szCs w:val="22"/>
              </w:rPr>
              <w:t xml:space="preserve">Record Format for </w:t>
            </w:r>
            <w:r>
              <w:rPr>
                <w:b/>
                <w:szCs w:val="22"/>
              </w:rPr>
              <w:t xml:space="preserve">Total </w:t>
            </w:r>
            <w:r w:rsidRPr="008308D1">
              <w:rPr>
                <w:b/>
                <w:i/>
                <w:szCs w:val="22"/>
              </w:rPr>
              <w:t>Locations</w:t>
            </w:r>
          </w:p>
        </w:tc>
      </w:tr>
      <w:tr w:rsidR="00F97D54" w:rsidTr="00EB5B97">
        <w:trPr>
          <w:trHeight w:val="359"/>
          <w:tblHeader/>
        </w:trPr>
        <w:tc>
          <w:tcPr>
            <w:tcW w:w="2012" w:type="dxa"/>
            <w:tcBorders>
              <w:top w:val="single" w:sz="4" w:space="0" w:color="auto"/>
              <w:bottom w:val="single" w:sz="4" w:space="0" w:color="auto"/>
              <w:right w:val="single" w:sz="4" w:space="0" w:color="auto"/>
            </w:tcBorders>
            <w:vAlign w:val="center"/>
          </w:tcPr>
          <w:p w:rsidR="00F97D54" w:rsidRDefault="00F97D54" w:rsidP="00EB5B97">
            <w:pPr>
              <w:rPr>
                <w:b/>
                <w:sz w:val="18"/>
                <w:szCs w:val="18"/>
              </w:rPr>
            </w:pPr>
            <w:r>
              <w:rPr>
                <w:b/>
                <w:sz w:val="18"/>
                <w:szCs w:val="18"/>
              </w:rPr>
              <w:t>Field Name</w:t>
            </w:r>
          </w:p>
        </w:tc>
        <w:tc>
          <w:tcPr>
            <w:tcW w:w="3646" w:type="dxa"/>
            <w:tcBorders>
              <w:top w:val="single" w:sz="4" w:space="0" w:color="auto"/>
              <w:left w:val="single" w:sz="4" w:space="0" w:color="auto"/>
              <w:bottom w:val="single" w:sz="4" w:space="0" w:color="auto"/>
              <w:right w:val="single" w:sz="4" w:space="0" w:color="auto"/>
            </w:tcBorders>
            <w:vAlign w:val="center"/>
          </w:tcPr>
          <w:p w:rsidR="00F97D54" w:rsidRDefault="00F97D54" w:rsidP="00EB5B97">
            <w:pPr>
              <w:rPr>
                <w:b/>
                <w:sz w:val="18"/>
                <w:szCs w:val="18"/>
              </w:rPr>
            </w:pPr>
            <w:r>
              <w:rPr>
                <w:b/>
                <w:sz w:val="18"/>
                <w:szCs w:val="18"/>
              </w:rPr>
              <w:t>Description</w:t>
            </w:r>
          </w:p>
        </w:tc>
        <w:tc>
          <w:tcPr>
            <w:tcW w:w="1492" w:type="dxa"/>
            <w:tcBorders>
              <w:top w:val="single" w:sz="4" w:space="0" w:color="auto"/>
              <w:left w:val="single" w:sz="4" w:space="0" w:color="auto"/>
              <w:bottom w:val="single" w:sz="4" w:space="0" w:color="auto"/>
              <w:right w:val="single" w:sz="4" w:space="0" w:color="auto"/>
            </w:tcBorders>
            <w:vAlign w:val="center"/>
          </w:tcPr>
          <w:p w:rsidR="00F97D54" w:rsidRDefault="00F97D54" w:rsidP="00EB5B97">
            <w:pPr>
              <w:rPr>
                <w:b/>
                <w:sz w:val="18"/>
                <w:szCs w:val="18"/>
              </w:rPr>
            </w:pPr>
            <w:r>
              <w:rPr>
                <w:b/>
                <w:sz w:val="18"/>
                <w:szCs w:val="18"/>
              </w:rPr>
              <w:t>Type</w:t>
            </w:r>
          </w:p>
        </w:tc>
        <w:tc>
          <w:tcPr>
            <w:tcW w:w="1688" w:type="dxa"/>
            <w:tcBorders>
              <w:top w:val="single" w:sz="4" w:space="0" w:color="auto"/>
              <w:left w:val="single" w:sz="4" w:space="0" w:color="auto"/>
              <w:bottom w:val="single" w:sz="4" w:space="0" w:color="auto"/>
            </w:tcBorders>
            <w:vAlign w:val="center"/>
          </w:tcPr>
          <w:p w:rsidR="00F97D54" w:rsidRDefault="00F97D54" w:rsidP="00EB5B97">
            <w:pPr>
              <w:ind w:right="-108"/>
              <w:rPr>
                <w:b/>
                <w:sz w:val="18"/>
                <w:szCs w:val="18"/>
              </w:rPr>
            </w:pPr>
            <w:r>
              <w:rPr>
                <w:b/>
                <w:sz w:val="18"/>
                <w:szCs w:val="18"/>
              </w:rPr>
              <w:t>Example</w:t>
            </w:r>
          </w:p>
        </w:tc>
      </w:tr>
      <w:tr w:rsidR="00F97D54" w:rsidTr="00EB5B97">
        <w:trPr>
          <w:trHeight w:val="360"/>
        </w:trPr>
        <w:tc>
          <w:tcPr>
            <w:tcW w:w="2012" w:type="dxa"/>
            <w:vAlign w:val="center"/>
          </w:tcPr>
          <w:p w:rsidR="00F97D54" w:rsidRDefault="00F97D54" w:rsidP="00EB5B97">
            <w:pPr>
              <w:rPr>
                <w:sz w:val="16"/>
                <w:szCs w:val="16"/>
              </w:rPr>
            </w:pPr>
            <w:r>
              <w:rPr>
                <w:sz w:val="16"/>
                <w:szCs w:val="16"/>
              </w:rPr>
              <w:t>Year</w:t>
            </w:r>
          </w:p>
        </w:tc>
        <w:tc>
          <w:tcPr>
            <w:tcW w:w="3646" w:type="dxa"/>
            <w:vAlign w:val="center"/>
          </w:tcPr>
          <w:p w:rsidR="00F97D54" w:rsidRDefault="00F97D54" w:rsidP="00EB5B97">
            <w:pPr>
              <w:rPr>
                <w:color w:val="243F60"/>
                <w:sz w:val="16"/>
                <w:szCs w:val="16"/>
              </w:rPr>
            </w:pPr>
            <w:r>
              <w:rPr>
                <w:sz w:val="16"/>
                <w:szCs w:val="16"/>
              </w:rPr>
              <w:t>Indicator of the calendar year of the data</w:t>
            </w:r>
          </w:p>
        </w:tc>
        <w:tc>
          <w:tcPr>
            <w:tcW w:w="1492" w:type="dxa"/>
            <w:vAlign w:val="center"/>
          </w:tcPr>
          <w:p w:rsidR="00F97D54" w:rsidRDefault="00F97D54" w:rsidP="00EB5B97">
            <w:pPr>
              <w:rPr>
                <w:sz w:val="16"/>
                <w:szCs w:val="16"/>
              </w:rPr>
            </w:pPr>
            <w:r>
              <w:rPr>
                <w:sz w:val="16"/>
                <w:szCs w:val="16"/>
              </w:rPr>
              <w:t>Integer</w:t>
            </w:r>
          </w:p>
        </w:tc>
        <w:tc>
          <w:tcPr>
            <w:tcW w:w="1688" w:type="dxa"/>
            <w:vAlign w:val="center"/>
          </w:tcPr>
          <w:p w:rsidR="00F97D54" w:rsidRDefault="00F97D54" w:rsidP="00EB5B97">
            <w:pPr>
              <w:rPr>
                <w:sz w:val="16"/>
                <w:szCs w:val="16"/>
              </w:rPr>
            </w:pPr>
            <w:r>
              <w:rPr>
                <w:sz w:val="16"/>
                <w:szCs w:val="16"/>
              </w:rPr>
              <w:t>2010</w:t>
            </w:r>
          </w:p>
        </w:tc>
      </w:tr>
      <w:tr w:rsidR="00F97D54" w:rsidTr="00EB5B97">
        <w:trPr>
          <w:trHeight w:val="360"/>
        </w:trPr>
        <w:tc>
          <w:tcPr>
            <w:tcW w:w="2012" w:type="dxa"/>
            <w:tcBorders>
              <w:bottom w:val="double" w:sz="4" w:space="0" w:color="auto"/>
            </w:tcBorders>
            <w:vAlign w:val="center"/>
          </w:tcPr>
          <w:p w:rsidR="00F97D54" w:rsidRDefault="00F97D54" w:rsidP="00EB5B97">
            <w:pPr>
              <w:rPr>
                <w:sz w:val="16"/>
                <w:szCs w:val="16"/>
              </w:rPr>
            </w:pPr>
            <w:r>
              <w:rPr>
                <w:sz w:val="16"/>
                <w:szCs w:val="16"/>
              </w:rPr>
              <w:t>Locations</w:t>
            </w:r>
          </w:p>
        </w:tc>
        <w:tc>
          <w:tcPr>
            <w:tcW w:w="3646" w:type="dxa"/>
            <w:tcBorders>
              <w:bottom w:val="double" w:sz="4" w:space="0" w:color="auto"/>
            </w:tcBorders>
            <w:vAlign w:val="center"/>
          </w:tcPr>
          <w:p w:rsidR="00F97D54" w:rsidRDefault="00F97D54" w:rsidP="00EB5B97">
            <w:pPr>
              <w:rPr>
                <w:sz w:val="16"/>
                <w:szCs w:val="16"/>
              </w:rPr>
            </w:pPr>
            <w:r>
              <w:rPr>
                <w:sz w:val="16"/>
                <w:szCs w:val="16"/>
              </w:rPr>
              <w:t xml:space="preserve">Total </w:t>
            </w:r>
            <w:r>
              <w:rPr>
                <w:i/>
                <w:sz w:val="16"/>
                <w:szCs w:val="16"/>
              </w:rPr>
              <w:t>L</w:t>
            </w:r>
            <w:r w:rsidRPr="008308D1">
              <w:rPr>
                <w:i/>
                <w:sz w:val="16"/>
                <w:szCs w:val="16"/>
              </w:rPr>
              <w:t>ocations</w:t>
            </w:r>
            <w:r>
              <w:rPr>
                <w:sz w:val="16"/>
                <w:szCs w:val="16"/>
              </w:rPr>
              <w:t xml:space="preserve"> served during year</w:t>
            </w:r>
          </w:p>
        </w:tc>
        <w:tc>
          <w:tcPr>
            <w:tcW w:w="1492" w:type="dxa"/>
            <w:tcBorders>
              <w:bottom w:val="double" w:sz="4" w:space="0" w:color="auto"/>
            </w:tcBorders>
            <w:vAlign w:val="center"/>
          </w:tcPr>
          <w:p w:rsidR="00F97D54" w:rsidRDefault="00F97D54" w:rsidP="00EB5B97">
            <w:pPr>
              <w:rPr>
                <w:sz w:val="16"/>
                <w:szCs w:val="16"/>
              </w:rPr>
            </w:pPr>
            <w:r>
              <w:rPr>
                <w:sz w:val="16"/>
                <w:szCs w:val="16"/>
              </w:rPr>
              <w:t>Integer</w:t>
            </w:r>
          </w:p>
        </w:tc>
        <w:tc>
          <w:tcPr>
            <w:tcW w:w="1688" w:type="dxa"/>
            <w:tcBorders>
              <w:bottom w:val="double" w:sz="4" w:space="0" w:color="auto"/>
            </w:tcBorders>
            <w:vAlign w:val="center"/>
          </w:tcPr>
          <w:p w:rsidR="00F97D54" w:rsidRDefault="00F97D54" w:rsidP="00EB5B97">
            <w:pPr>
              <w:rPr>
                <w:sz w:val="16"/>
                <w:szCs w:val="16"/>
              </w:rPr>
            </w:pPr>
            <w:r>
              <w:rPr>
                <w:sz w:val="16"/>
                <w:szCs w:val="16"/>
              </w:rPr>
              <w:t>15</w:t>
            </w:r>
          </w:p>
        </w:tc>
      </w:tr>
    </w:tbl>
    <w:p w:rsidR="00F97D54" w:rsidRDefault="00F97D54" w:rsidP="00EB5B97">
      <w:pPr>
        <w:tabs>
          <w:tab w:val="left" w:pos="1080"/>
        </w:tabs>
        <w:spacing w:after="120"/>
        <w:rPr>
          <w:szCs w:val="22"/>
        </w:rPr>
      </w:pPr>
    </w:p>
    <w:p w:rsidR="00F97D54" w:rsidRDefault="00F97D54" w:rsidP="00EB5B97">
      <w:r>
        <w:t xml:space="preserve">Instructions for Table II.A.3, Record Format for Total </w:t>
      </w:r>
      <w:r w:rsidRPr="00E553CC">
        <w:rPr>
          <w:i/>
        </w:rPr>
        <w:t>Locations</w:t>
      </w:r>
      <w:r>
        <w:t xml:space="preserve"> (</w:t>
      </w:r>
      <w:r w:rsidRPr="00E553CC">
        <w:rPr>
          <w:i/>
        </w:rPr>
        <w:t>Competitive Providers</w:t>
      </w:r>
      <w:r>
        <w:t>):</w:t>
      </w:r>
    </w:p>
    <w:p w:rsidR="00F97D54" w:rsidRDefault="00F97D54" w:rsidP="00EB5B97"/>
    <w:p w:rsidR="00F97D54" w:rsidRPr="00126E39" w:rsidRDefault="00F97D54" w:rsidP="0083344C">
      <w:pPr>
        <w:pStyle w:val="ListParagraph"/>
        <w:widowControl/>
        <w:numPr>
          <w:ilvl w:val="0"/>
          <w:numId w:val="24"/>
        </w:numPr>
        <w:rPr>
          <w:sz w:val="22"/>
          <w:szCs w:val="22"/>
        </w:rPr>
      </w:pPr>
      <w:r w:rsidRPr="00E553CC">
        <w:rPr>
          <w:sz w:val="22"/>
          <w:szCs w:val="22"/>
          <w:u w:val="single"/>
        </w:rPr>
        <w:t>Locations</w:t>
      </w:r>
      <w:r>
        <w:rPr>
          <w:sz w:val="22"/>
          <w:szCs w:val="22"/>
        </w:rPr>
        <w:t xml:space="preserve">:  The number of </w:t>
      </w:r>
      <w:r w:rsidRPr="00126E39">
        <w:rPr>
          <w:i/>
          <w:sz w:val="22"/>
          <w:szCs w:val="22"/>
        </w:rPr>
        <w:t>Location</w:t>
      </w:r>
      <w:r>
        <w:rPr>
          <w:i/>
          <w:sz w:val="22"/>
          <w:szCs w:val="22"/>
        </w:rPr>
        <w:t>s</w:t>
      </w:r>
      <w:r w:rsidRPr="00126E39">
        <w:rPr>
          <w:sz w:val="22"/>
          <w:szCs w:val="22"/>
        </w:rPr>
        <w:t xml:space="preserve"> </w:t>
      </w:r>
      <w:r>
        <w:rPr>
          <w:sz w:val="22"/>
          <w:szCs w:val="22"/>
        </w:rPr>
        <w:t xml:space="preserve">is the count of unique </w:t>
      </w:r>
      <w:r w:rsidRPr="006215AA">
        <w:rPr>
          <w:i/>
          <w:sz w:val="22"/>
          <w:szCs w:val="22"/>
        </w:rPr>
        <w:t>Locations</w:t>
      </w:r>
      <w:r>
        <w:rPr>
          <w:sz w:val="22"/>
          <w:szCs w:val="22"/>
        </w:rPr>
        <w:t xml:space="preserve"> to which your company had a </w:t>
      </w:r>
      <w:r w:rsidRPr="006215AA">
        <w:rPr>
          <w:i/>
          <w:sz w:val="22"/>
          <w:szCs w:val="22"/>
        </w:rPr>
        <w:t>Connection</w:t>
      </w:r>
      <w:r>
        <w:rPr>
          <w:sz w:val="22"/>
          <w:szCs w:val="22"/>
        </w:rPr>
        <w:t xml:space="preserve"> in place during the year entered in Year.</w:t>
      </w:r>
      <w:r w:rsidRPr="00126E39">
        <w:rPr>
          <w:sz w:val="22"/>
          <w:szCs w:val="22"/>
        </w:rPr>
        <w:t xml:space="preserve"> </w:t>
      </w:r>
      <w:r>
        <w:rPr>
          <w:sz w:val="22"/>
          <w:szCs w:val="22"/>
        </w:rPr>
        <w:t xml:space="preserve"> The number of </w:t>
      </w:r>
      <w:r w:rsidRPr="00126E39">
        <w:rPr>
          <w:i/>
          <w:sz w:val="22"/>
          <w:szCs w:val="22"/>
        </w:rPr>
        <w:t>Location</w:t>
      </w:r>
      <w:r>
        <w:rPr>
          <w:i/>
          <w:sz w:val="22"/>
          <w:szCs w:val="22"/>
        </w:rPr>
        <w:t>s</w:t>
      </w:r>
      <w:r w:rsidRPr="00126E39">
        <w:rPr>
          <w:sz w:val="22"/>
          <w:szCs w:val="22"/>
        </w:rPr>
        <w:t xml:space="preserve"> listed here </w:t>
      </w:r>
      <w:r>
        <w:rPr>
          <w:sz w:val="22"/>
          <w:szCs w:val="22"/>
        </w:rPr>
        <w:t>must</w:t>
      </w:r>
      <w:r w:rsidRPr="00126E39">
        <w:rPr>
          <w:sz w:val="22"/>
          <w:szCs w:val="22"/>
        </w:rPr>
        <w:t xml:space="preserve"> equal the number of </w:t>
      </w:r>
      <w:r>
        <w:rPr>
          <w:sz w:val="22"/>
          <w:szCs w:val="22"/>
        </w:rPr>
        <w:t xml:space="preserve">unique </w:t>
      </w:r>
      <w:r w:rsidRPr="00126E39">
        <w:rPr>
          <w:i/>
          <w:sz w:val="22"/>
          <w:szCs w:val="22"/>
        </w:rPr>
        <w:t>Location</w:t>
      </w:r>
      <w:r>
        <w:rPr>
          <w:i/>
          <w:sz w:val="22"/>
          <w:szCs w:val="22"/>
        </w:rPr>
        <w:t>s</w:t>
      </w:r>
      <w:r w:rsidRPr="00126E39">
        <w:rPr>
          <w:sz w:val="22"/>
          <w:szCs w:val="22"/>
        </w:rPr>
        <w:t xml:space="preserve"> enumerated in Question II.A.4 for each year.</w:t>
      </w:r>
    </w:p>
    <w:p w:rsidR="00F97D54" w:rsidRDefault="00F97D54" w:rsidP="00EB5B97"/>
    <w:p w:rsidR="00F97D54" w:rsidRPr="00F97D54" w:rsidRDefault="00F97D54" w:rsidP="00F97D54">
      <w:pPr>
        <w:pStyle w:val="Heading4"/>
        <w:numPr>
          <w:ilvl w:val="0"/>
          <w:numId w:val="0"/>
        </w:numPr>
        <w:rPr>
          <w:b w:val="0"/>
          <w:i/>
        </w:rPr>
      </w:pPr>
      <w:bookmarkStart w:id="94" w:name="_Toc365972083"/>
      <w:r w:rsidRPr="00F97D54">
        <w:rPr>
          <w:b w:val="0"/>
          <w:i/>
        </w:rPr>
        <w:t>Question II.A.4:  Locations Data for Competitive Providers</w:t>
      </w:r>
      <w:bookmarkEnd w:id="94"/>
    </w:p>
    <w:p w:rsidR="00F97D54" w:rsidRDefault="00F97D54" w:rsidP="00EB5B97">
      <w:pPr>
        <w:autoSpaceDE w:val="0"/>
        <w:autoSpaceDN w:val="0"/>
        <w:adjustRightInd w:val="0"/>
      </w:pPr>
      <w:r>
        <w:t xml:space="preserve">The purpose of this question is to obtain additional information on the individual </w:t>
      </w:r>
      <w:r w:rsidRPr="00B60C60">
        <w:rPr>
          <w:i/>
        </w:rPr>
        <w:t>Locations</w:t>
      </w:r>
      <w:r>
        <w:t xml:space="preserve"> with </w:t>
      </w:r>
      <w:r w:rsidRPr="00B60C60">
        <w:rPr>
          <w:i/>
        </w:rPr>
        <w:t>Connections</w:t>
      </w:r>
      <w:r>
        <w:t xml:space="preserve"> that make up the total reported in response to Question II.A.3.  </w:t>
      </w:r>
    </w:p>
    <w:p w:rsidR="00F97D54" w:rsidRDefault="00F97D54" w:rsidP="00EB5B97">
      <w:pPr>
        <w:rPr>
          <w:rFonts w:ascii="Century" w:hAnsi="Century"/>
        </w:rPr>
      </w:pPr>
    </w:p>
    <w:tbl>
      <w:tblPr>
        <w:tblW w:w="8838" w:type="dxa"/>
        <w:tblLook w:val="01E0" w:firstRow="1" w:lastRow="1" w:firstColumn="1" w:lastColumn="1" w:noHBand="0" w:noVBand="0"/>
      </w:tblPr>
      <w:tblGrid>
        <w:gridCol w:w="2012"/>
        <w:gridCol w:w="3646"/>
        <w:gridCol w:w="1492"/>
        <w:gridCol w:w="1688"/>
      </w:tblGrid>
      <w:tr w:rsidR="00F97D54" w:rsidTr="00EB5B97">
        <w:trPr>
          <w:trHeight w:val="357"/>
          <w:tblHeader/>
        </w:trPr>
        <w:tc>
          <w:tcPr>
            <w:tcW w:w="8838" w:type="dxa"/>
            <w:gridSpan w:val="4"/>
            <w:tcBorders>
              <w:top w:val="double" w:sz="4" w:space="0" w:color="auto"/>
              <w:bottom w:val="single" w:sz="4" w:space="0" w:color="auto"/>
            </w:tcBorders>
            <w:vAlign w:val="center"/>
          </w:tcPr>
          <w:p w:rsidR="00F97D54" w:rsidRDefault="00F97D54" w:rsidP="00EB5B97">
            <w:pPr>
              <w:jc w:val="center"/>
              <w:rPr>
                <w:b/>
                <w:szCs w:val="22"/>
              </w:rPr>
            </w:pPr>
            <w:r>
              <w:rPr>
                <w:b/>
                <w:szCs w:val="22"/>
              </w:rPr>
              <w:t>Table II.A.4</w:t>
            </w:r>
          </w:p>
          <w:p w:rsidR="00F97D54" w:rsidRPr="00886F07" w:rsidRDefault="00F97D54" w:rsidP="00EB5B97">
            <w:pPr>
              <w:jc w:val="center"/>
              <w:rPr>
                <w:b/>
                <w:szCs w:val="22"/>
              </w:rPr>
            </w:pPr>
            <w:r w:rsidRPr="00886F07">
              <w:rPr>
                <w:b/>
                <w:szCs w:val="22"/>
              </w:rPr>
              <w:t xml:space="preserve">Record Format for </w:t>
            </w:r>
            <w:r>
              <w:rPr>
                <w:b/>
                <w:szCs w:val="22"/>
              </w:rPr>
              <w:t xml:space="preserve">Each </w:t>
            </w:r>
            <w:r w:rsidRPr="008308D1">
              <w:rPr>
                <w:b/>
                <w:i/>
                <w:szCs w:val="22"/>
              </w:rPr>
              <w:t>Location</w:t>
            </w:r>
          </w:p>
        </w:tc>
      </w:tr>
      <w:tr w:rsidR="00F97D54" w:rsidTr="00EB5B97">
        <w:trPr>
          <w:trHeight w:val="359"/>
          <w:tblHeader/>
        </w:trPr>
        <w:tc>
          <w:tcPr>
            <w:tcW w:w="2012" w:type="dxa"/>
            <w:tcBorders>
              <w:top w:val="single" w:sz="4" w:space="0" w:color="auto"/>
              <w:bottom w:val="single" w:sz="4" w:space="0" w:color="auto"/>
              <w:right w:val="single" w:sz="4" w:space="0" w:color="auto"/>
            </w:tcBorders>
            <w:vAlign w:val="center"/>
          </w:tcPr>
          <w:p w:rsidR="00F97D54" w:rsidRDefault="00F97D54" w:rsidP="00EB5B97">
            <w:pPr>
              <w:rPr>
                <w:b/>
                <w:sz w:val="18"/>
                <w:szCs w:val="18"/>
              </w:rPr>
            </w:pPr>
            <w:r>
              <w:rPr>
                <w:b/>
                <w:sz w:val="18"/>
                <w:szCs w:val="18"/>
              </w:rPr>
              <w:t>Field Name</w:t>
            </w:r>
          </w:p>
        </w:tc>
        <w:tc>
          <w:tcPr>
            <w:tcW w:w="3646" w:type="dxa"/>
            <w:tcBorders>
              <w:top w:val="single" w:sz="4" w:space="0" w:color="auto"/>
              <w:left w:val="single" w:sz="4" w:space="0" w:color="auto"/>
              <w:bottom w:val="single" w:sz="4" w:space="0" w:color="auto"/>
              <w:right w:val="single" w:sz="4" w:space="0" w:color="auto"/>
            </w:tcBorders>
            <w:vAlign w:val="center"/>
          </w:tcPr>
          <w:p w:rsidR="00F97D54" w:rsidRDefault="00F97D54" w:rsidP="00EB5B97">
            <w:pPr>
              <w:rPr>
                <w:b/>
                <w:sz w:val="18"/>
                <w:szCs w:val="18"/>
              </w:rPr>
            </w:pPr>
            <w:r>
              <w:rPr>
                <w:b/>
                <w:sz w:val="18"/>
                <w:szCs w:val="18"/>
              </w:rPr>
              <w:t>Description</w:t>
            </w:r>
          </w:p>
        </w:tc>
        <w:tc>
          <w:tcPr>
            <w:tcW w:w="1492" w:type="dxa"/>
            <w:tcBorders>
              <w:top w:val="single" w:sz="4" w:space="0" w:color="auto"/>
              <w:left w:val="single" w:sz="4" w:space="0" w:color="auto"/>
              <w:bottom w:val="single" w:sz="4" w:space="0" w:color="auto"/>
              <w:right w:val="single" w:sz="4" w:space="0" w:color="auto"/>
            </w:tcBorders>
            <w:vAlign w:val="center"/>
          </w:tcPr>
          <w:p w:rsidR="00F97D54" w:rsidRDefault="00F97D54" w:rsidP="00EB5B97">
            <w:pPr>
              <w:rPr>
                <w:b/>
                <w:sz w:val="18"/>
                <w:szCs w:val="18"/>
              </w:rPr>
            </w:pPr>
            <w:r>
              <w:rPr>
                <w:b/>
                <w:sz w:val="18"/>
                <w:szCs w:val="18"/>
              </w:rPr>
              <w:t>Type</w:t>
            </w:r>
          </w:p>
        </w:tc>
        <w:tc>
          <w:tcPr>
            <w:tcW w:w="1688" w:type="dxa"/>
            <w:tcBorders>
              <w:top w:val="single" w:sz="4" w:space="0" w:color="auto"/>
              <w:left w:val="single" w:sz="4" w:space="0" w:color="auto"/>
              <w:bottom w:val="single" w:sz="4" w:space="0" w:color="auto"/>
            </w:tcBorders>
            <w:vAlign w:val="center"/>
          </w:tcPr>
          <w:p w:rsidR="00F97D54" w:rsidRDefault="00F97D54" w:rsidP="00EB5B97">
            <w:pPr>
              <w:ind w:right="-108"/>
              <w:rPr>
                <w:b/>
                <w:sz w:val="18"/>
                <w:szCs w:val="18"/>
              </w:rPr>
            </w:pPr>
            <w:r>
              <w:rPr>
                <w:b/>
                <w:sz w:val="18"/>
                <w:szCs w:val="18"/>
              </w:rPr>
              <w:t>Example</w:t>
            </w:r>
          </w:p>
        </w:tc>
      </w:tr>
      <w:tr w:rsidR="00F97D54" w:rsidTr="00EB5B97">
        <w:trPr>
          <w:trHeight w:val="404"/>
        </w:trPr>
        <w:tc>
          <w:tcPr>
            <w:tcW w:w="2012" w:type="dxa"/>
            <w:vAlign w:val="center"/>
          </w:tcPr>
          <w:p w:rsidR="00F97D54" w:rsidRDefault="00F97D54" w:rsidP="00EB5B97">
            <w:pPr>
              <w:rPr>
                <w:sz w:val="16"/>
                <w:szCs w:val="16"/>
              </w:rPr>
            </w:pPr>
            <w:r>
              <w:rPr>
                <w:sz w:val="16"/>
                <w:szCs w:val="16"/>
              </w:rPr>
              <w:t>Location_ID</w:t>
            </w:r>
          </w:p>
        </w:tc>
        <w:tc>
          <w:tcPr>
            <w:tcW w:w="3646" w:type="dxa"/>
            <w:vAlign w:val="center"/>
          </w:tcPr>
          <w:p w:rsidR="00F97D54" w:rsidRDefault="00F97D54" w:rsidP="00EB5B97">
            <w:pPr>
              <w:rPr>
                <w:sz w:val="16"/>
                <w:szCs w:val="16"/>
              </w:rPr>
            </w:pPr>
            <w:r>
              <w:rPr>
                <w:sz w:val="16"/>
                <w:szCs w:val="16"/>
              </w:rPr>
              <w:t xml:space="preserve">Sequential </w:t>
            </w:r>
            <w:r>
              <w:rPr>
                <w:i/>
                <w:sz w:val="16"/>
                <w:szCs w:val="16"/>
              </w:rPr>
              <w:t>L</w:t>
            </w:r>
            <w:r w:rsidRPr="00563D99">
              <w:rPr>
                <w:i/>
                <w:sz w:val="16"/>
                <w:szCs w:val="16"/>
              </w:rPr>
              <w:t>ocation</w:t>
            </w:r>
            <w:r>
              <w:rPr>
                <w:sz w:val="16"/>
                <w:szCs w:val="16"/>
              </w:rPr>
              <w:t xml:space="preserve"> number (same Location_ID will also be reported in the II.A.12 question related to billing).</w:t>
            </w:r>
          </w:p>
        </w:tc>
        <w:tc>
          <w:tcPr>
            <w:tcW w:w="1492" w:type="dxa"/>
            <w:vAlign w:val="center"/>
          </w:tcPr>
          <w:p w:rsidR="00F97D54" w:rsidRDefault="00F97D54" w:rsidP="00EB5B97">
            <w:pPr>
              <w:rPr>
                <w:sz w:val="16"/>
                <w:szCs w:val="16"/>
              </w:rPr>
            </w:pPr>
            <w:r>
              <w:rPr>
                <w:sz w:val="16"/>
                <w:szCs w:val="16"/>
              </w:rPr>
              <w:t>Integer</w:t>
            </w:r>
          </w:p>
        </w:tc>
        <w:tc>
          <w:tcPr>
            <w:tcW w:w="1688" w:type="dxa"/>
            <w:vAlign w:val="center"/>
          </w:tcPr>
          <w:p w:rsidR="00F97D54" w:rsidRDefault="00F97D54" w:rsidP="00EB5B97">
            <w:pPr>
              <w:rPr>
                <w:sz w:val="16"/>
                <w:szCs w:val="16"/>
              </w:rPr>
            </w:pPr>
            <w:r>
              <w:rPr>
                <w:sz w:val="16"/>
                <w:szCs w:val="16"/>
              </w:rPr>
              <w:t>1</w:t>
            </w:r>
          </w:p>
        </w:tc>
      </w:tr>
      <w:tr w:rsidR="00F97D54" w:rsidTr="00EB5B97">
        <w:trPr>
          <w:trHeight w:val="261"/>
        </w:trPr>
        <w:tc>
          <w:tcPr>
            <w:tcW w:w="2012" w:type="dxa"/>
            <w:vAlign w:val="center"/>
          </w:tcPr>
          <w:p w:rsidR="00F97D54" w:rsidRDefault="00F97D54" w:rsidP="00EB5B97">
            <w:pPr>
              <w:rPr>
                <w:sz w:val="16"/>
                <w:szCs w:val="16"/>
              </w:rPr>
            </w:pPr>
            <w:r>
              <w:rPr>
                <w:sz w:val="16"/>
                <w:szCs w:val="16"/>
              </w:rPr>
              <w:t>Year</w:t>
            </w:r>
          </w:p>
        </w:tc>
        <w:tc>
          <w:tcPr>
            <w:tcW w:w="3646" w:type="dxa"/>
            <w:vAlign w:val="center"/>
          </w:tcPr>
          <w:p w:rsidR="00F97D54" w:rsidRDefault="00F97D54" w:rsidP="00EB5B97">
            <w:pPr>
              <w:rPr>
                <w:color w:val="243F60"/>
                <w:sz w:val="16"/>
                <w:szCs w:val="16"/>
              </w:rPr>
            </w:pPr>
            <w:r>
              <w:rPr>
                <w:sz w:val="16"/>
                <w:szCs w:val="16"/>
              </w:rPr>
              <w:t>Indicator of the calendar year of the data</w:t>
            </w:r>
          </w:p>
        </w:tc>
        <w:tc>
          <w:tcPr>
            <w:tcW w:w="1492" w:type="dxa"/>
            <w:vAlign w:val="center"/>
          </w:tcPr>
          <w:p w:rsidR="00F97D54" w:rsidRDefault="00F97D54" w:rsidP="00EB5B97">
            <w:pPr>
              <w:rPr>
                <w:sz w:val="16"/>
                <w:szCs w:val="16"/>
              </w:rPr>
            </w:pPr>
            <w:r>
              <w:rPr>
                <w:sz w:val="16"/>
                <w:szCs w:val="16"/>
              </w:rPr>
              <w:t>Integer</w:t>
            </w:r>
          </w:p>
        </w:tc>
        <w:tc>
          <w:tcPr>
            <w:tcW w:w="1688" w:type="dxa"/>
            <w:vAlign w:val="center"/>
          </w:tcPr>
          <w:p w:rsidR="00F97D54" w:rsidRDefault="00F97D54" w:rsidP="00EB5B97">
            <w:pPr>
              <w:rPr>
                <w:sz w:val="16"/>
                <w:szCs w:val="16"/>
              </w:rPr>
            </w:pPr>
            <w:r>
              <w:rPr>
                <w:sz w:val="16"/>
                <w:szCs w:val="16"/>
              </w:rPr>
              <w:t>2010</w:t>
            </w:r>
          </w:p>
        </w:tc>
      </w:tr>
      <w:tr w:rsidR="00F97D54" w:rsidTr="00EB5B97">
        <w:trPr>
          <w:trHeight w:val="432"/>
        </w:trPr>
        <w:tc>
          <w:tcPr>
            <w:tcW w:w="2012" w:type="dxa"/>
            <w:vAlign w:val="center"/>
          </w:tcPr>
          <w:p w:rsidR="00F97D54" w:rsidRDefault="00F97D54" w:rsidP="00EB5B97">
            <w:pPr>
              <w:rPr>
                <w:sz w:val="16"/>
                <w:szCs w:val="16"/>
              </w:rPr>
            </w:pPr>
            <w:r>
              <w:rPr>
                <w:sz w:val="16"/>
                <w:szCs w:val="16"/>
              </w:rPr>
              <w:t>Street_address</w:t>
            </w:r>
          </w:p>
        </w:tc>
        <w:tc>
          <w:tcPr>
            <w:tcW w:w="3646" w:type="dxa"/>
            <w:vAlign w:val="center"/>
          </w:tcPr>
          <w:p w:rsidR="00F97D54" w:rsidRDefault="00F97D54" w:rsidP="00EB5B97">
            <w:pPr>
              <w:rPr>
                <w:sz w:val="16"/>
                <w:szCs w:val="16"/>
              </w:rPr>
            </w:pPr>
            <w:r>
              <w:rPr>
                <w:sz w:val="16"/>
                <w:szCs w:val="16"/>
              </w:rPr>
              <w:t xml:space="preserve">Actual situs for the </w:t>
            </w:r>
            <w:r>
              <w:rPr>
                <w:i/>
                <w:sz w:val="16"/>
                <w:szCs w:val="16"/>
              </w:rPr>
              <w:t>L</w:t>
            </w:r>
            <w:r w:rsidRPr="00563D99">
              <w:rPr>
                <w:i/>
                <w:sz w:val="16"/>
                <w:szCs w:val="16"/>
              </w:rPr>
              <w:t>ocation</w:t>
            </w:r>
            <w:r>
              <w:rPr>
                <w:sz w:val="16"/>
                <w:szCs w:val="16"/>
              </w:rPr>
              <w:t xml:space="preserve"> (</w:t>
            </w:r>
            <w:r>
              <w:rPr>
                <w:i/>
                <w:sz w:val="16"/>
                <w:szCs w:val="16"/>
              </w:rPr>
              <w:t>i.e.,</w:t>
            </w:r>
            <w:r>
              <w:rPr>
                <w:sz w:val="16"/>
                <w:szCs w:val="16"/>
              </w:rPr>
              <w:t xml:space="preserve"> land were building or cell site is located) </w:t>
            </w:r>
          </w:p>
        </w:tc>
        <w:tc>
          <w:tcPr>
            <w:tcW w:w="1492" w:type="dxa"/>
            <w:vAlign w:val="center"/>
          </w:tcPr>
          <w:p w:rsidR="00F97D54" w:rsidRDefault="00F97D54" w:rsidP="00EB5B97">
            <w:pPr>
              <w:rPr>
                <w:sz w:val="16"/>
                <w:szCs w:val="16"/>
              </w:rPr>
            </w:pPr>
            <w:r>
              <w:rPr>
                <w:sz w:val="16"/>
                <w:szCs w:val="16"/>
              </w:rPr>
              <w:t>Text</w:t>
            </w:r>
          </w:p>
        </w:tc>
        <w:tc>
          <w:tcPr>
            <w:tcW w:w="1688" w:type="dxa"/>
            <w:vAlign w:val="center"/>
          </w:tcPr>
          <w:p w:rsidR="00F97D54" w:rsidRDefault="00F97D54" w:rsidP="00EB5B97">
            <w:pPr>
              <w:rPr>
                <w:sz w:val="16"/>
                <w:szCs w:val="16"/>
              </w:rPr>
            </w:pPr>
            <w:r>
              <w:rPr>
                <w:sz w:val="16"/>
                <w:szCs w:val="16"/>
              </w:rPr>
              <w:t>445 Twelfth St SW</w:t>
            </w:r>
          </w:p>
        </w:tc>
      </w:tr>
      <w:tr w:rsidR="00F97D54" w:rsidTr="00EB5B97">
        <w:trPr>
          <w:trHeight w:val="317"/>
        </w:trPr>
        <w:tc>
          <w:tcPr>
            <w:tcW w:w="2012" w:type="dxa"/>
            <w:vAlign w:val="center"/>
          </w:tcPr>
          <w:p w:rsidR="00F97D54" w:rsidRDefault="00F97D54" w:rsidP="00EB5B97">
            <w:pPr>
              <w:rPr>
                <w:sz w:val="16"/>
                <w:szCs w:val="16"/>
              </w:rPr>
            </w:pPr>
            <w:r>
              <w:rPr>
                <w:sz w:val="16"/>
                <w:szCs w:val="16"/>
              </w:rPr>
              <w:t xml:space="preserve">City </w:t>
            </w:r>
          </w:p>
        </w:tc>
        <w:tc>
          <w:tcPr>
            <w:tcW w:w="3646" w:type="dxa"/>
            <w:vAlign w:val="center"/>
          </w:tcPr>
          <w:p w:rsidR="00F97D54" w:rsidRDefault="00F97D54" w:rsidP="00EB5B97">
            <w:pPr>
              <w:rPr>
                <w:sz w:val="16"/>
                <w:szCs w:val="16"/>
              </w:rPr>
            </w:pPr>
            <w:r>
              <w:rPr>
                <w:sz w:val="16"/>
                <w:szCs w:val="16"/>
              </w:rPr>
              <w:t xml:space="preserve">City of the </w:t>
            </w:r>
            <w:r>
              <w:rPr>
                <w:i/>
                <w:sz w:val="16"/>
                <w:szCs w:val="16"/>
              </w:rPr>
              <w:t>L</w:t>
            </w:r>
            <w:r w:rsidRPr="00563D99">
              <w:rPr>
                <w:i/>
                <w:sz w:val="16"/>
                <w:szCs w:val="16"/>
              </w:rPr>
              <w:t>ocation</w:t>
            </w:r>
          </w:p>
        </w:tc>
        <w:tc>
          <w:tcPr>
            <w:tcW w:w="1492" w:type="dxa"/>
            <w:vAlign w:val="center"/>
          </w:tcPr>
          <w:p w:rsidR="00F97D54" w:rsidRDefault="00F97D54" w:rsidP="00EB5B97">
            <w:pPr>
              <w:rPr>
                <w:sz w:val="16"/>
                <w:szCs w:val="16"/>
              </w:rPr>
            </w:pPr>
            <w:r>
              <w:rPr>
                <w:sz w:val="16"/>
                <w:szCs w:val="16"/>
              </w:rPr>
              <w:t>Text</w:t>
            </w:r>
          </w:p>
        </w:tc>
        <w:tc>
          <w:tcPr>
            <w:tcW w:w="1688" w:type="dxa"/>
            <w:vAlign w:val="center"/>
          </w:tcPr>
          <w:p w:rsidR="00F97D54" w:rsidRDefault="00F97D54" w:rsidP="00EB5B97">
            <w:pPr>
              <w:rPr>
                <w:sz w:val="16"/>
                <w:szCs w:val="16"/>
              </w:rPr>
            </w:pPr>
            <w:r>
              <w:rPr>
                <w:sz w:val="16"/>
                <w:szCs w:val="16"/>
              </w:rPr>
              <w:t>Washington</w:t>
            </w:r>
          </w:p>
        </w:tc>
      </w:tr>
      <w:tr w:rsidR="00F97D54" w:rsidTr="00EB5B97">
        <w:trPr>
          <w:trHeight w:val="317"/>
        </w:trPr>
        <w:tc>
          <w:tcPr>
            <w:tcW w:w="2012" w:type="dxa"/>
            <w:vAlign w:val="center"/>
          </w:tcPr>
          <w:p w:rsidR="00F97D54" w:rsidRDefault="00F97D54" w:rsidP="00EB5B97">
            <w:pPr>
              <w:rPr>
                <w:sz w:val="16"/>
                <w:szCs w:val="16"/>
              </w:rPr>
            </w:pPr>
            <w:r>
              <w:rPr>
                <w:sz w:val="16"/>
                <w:szCs w:val="16"/>
              </w:rPr>
              <w:t>State</w:t>
            </w:r>
          </w:p>
        </w:tc>
        <w:tc>
          <w:tcPr>
            <w:tcW w:w="3646" w:type="dxa"/>
            <w:vAlign w:val="center"/>
          </w:tcPr>
          <w:p w:rsidR="00F97D54" w:rsidRDefault="00F97D54" w:rsidP="00EB5B97">
            <w:pPr>
              <w:rPr>
                <w:sz w:val="16"/>
                <w:szCs w:val="16"/>
              </w:rPr>
            </w:pPr>
            <w:r>
              <w:rPr>
                <w:sz w:val="16"/>
                <w:szCs w:val="16"/>
              </w:rPr>
              <w:t xml:space="preserve">Two-letter state postal abbreviation of the </w:t>
            </w:r>
            <w:r>
              <w:rPr>
                <w:i/>
                <w:sz w:val="16"/>
                <w:szCs w:val="16"/>
              </w:rPr>
              <w:t>L</w:t>
            </w:r>
            <w:r w:rsidRPr="00563D99">
              <w:rPr>
                <w:i/>
                <w:sz w:val="16"/>
                <w:szCs w:val="16"/>
              </w:rPr>
              <w:t>ocation</w:t>
            </w:r>
          </w:p>
        </w:tc>
        <w:tc>
          <w:tcPr>
            <w:tcW w:w="1492" w:type="dxa"/>
            <w:vAlign w:val="center"/>
          </w:tcPr>
          <w:p w:rsidR="00F97D54" w:rsidRDefault="00F97D54" w:rsidP="00EB5B97">
            <w:pPr>
              <w:rPr>
                <w:sz w:val="16"/>
                <w:szCs w:val="16"/>
              </w:rPr>
            </w:pPr>
            <w:r>
              <w:rPr>
                <w:sz w:val="16"/>
                <w:szCs w:val="16"/>
              </w:rPr>
              <w:t>Text</w:t>
            </w:r>
          </w:p>
        </w:tc>
        <w:tc>
          <w:tcPr>
            <w:tcW w:w="1688" w:type="dxa"/>
            <w:vAlign w:val="center"/>
          </w:tcPr>
          <w:p w:rsidR="00F97D54" w:rsidRDefault="00F97D54" w:rsidP="00EB5B97">
            <w:pPr>
              <w:rPr>
                <w:sz w:val="16"/>
                <w:szCs w:val="16"/>
              </w:rPr>
            </w:pPr>
            <w:r>
              <w:rPr>
                <w:sz w:val="16"/>
                <w:szCs w:val="16"/>
              </w:rPr>
              <w:t>DC</w:t>
            </w:r>
          </w:p>
        </w:tc>
      </w:tr>
      <w:tr w:rsidR="00F97D54" w:rsidTr="00EB5B97">
        <w:trPr>
          <w:trHeight w:val="317"/>
        </w:trPr>
        <w:tc>
          <w:tcPr>
            <w:tcW w:w="2012" w:type="dxa"/>
            <w:vAlign w:val="center"/>
          </w:tcPr>
          <w:p w:rsidR="00F97D54" w:rsidRDefault="00F97D54" w:rsidP="00EB5B97">
            <w:pPr>
              <w:rPr>
                <w:sz w:val="16"/>
                <w:szCs w:val="16"/>
              </w:rPr>
            </w:pPr>
            <w:r>
              <w:rPr>
                <w:sz w:val="16"/>
                <w:szCs w:val="16"/>
              </w:rPr>
              <w:t>ZIP</w:t>
            </w:r>
          </w:p>
        </w:tc>
        <w:tc>
          <w:tcPr>
            <w:tcW w:w="3646" w:type="dxa"/>
            <w:vAlign w:val="center"/>
          </w:tcPr>
          <w:p w:rsidR="00F97D54" w:rsidRDefault="00F97D54" w:rsidP="00EB5B97">
            <w:pPr>
              <w:rPr>
                <w:sz w:val="16"/>
                <w:szCs w:val="16"/>
              </w:rPr>
            </w:pPr>
            <w:r>
              <w:rPr>
                <w:sz w:val="16"/>
                <w:szCs w:val="16"/>
              </w:rPr>
              <w:t xml:space="preserve">5-digit ZIP code (with leading zeros) of the </w:t>
            </w:r>
            <w:r>
              <w:rPr>
                <w:i/>
                <w:sz w:val="16"/>
                <w:szCs w:val="16"/>
              </w:rPr>
              <w:t>L</w:t>
            </w:r>
            <w:r w:rsidRPr="00563D99">
              <w:rPr>
                <w:i/>
                <w:sz w:val="16"/>
                <w:szCs w:val="16"/>
              </w:rPr>
              <w:t>ocation</w:t>
            </w:r>
          </w:p>
        </w:tc>
        <w:tc>
          <w:tcPr>
            <w:tcW w:w="1492" w:type="dxa"/>
            <w:vAlign w:val="center"/>
          </w:tcPr>
          <w:p w:rsidR="00F97D54" w:rsidRDefault="00F97D54" w:rsidP="00EB5B97">
            <w:pPr>
              <w:rPr>
                <w:sz w:val="16"/>
                <w:szCs w:val="16"/>
              </w:rPr>
            </w:pPr>
            <w:r>
              <w:rPr>
                <w:sz w:val="16"/>
                <w:szCs w:val="16"/>
              </w:rPr>
              <w:t>Text</w:t>
            </w:r>
          </w:p>
        </w:tc>
        <w:tc>
          <w:tcPr>
            <w:tcW w:w="1688" w:type="dxa"/>
            <w:vAlign w:val="center"/>
          </w:tcPr>
          <w:p w:rsidR="00F97D54" w:rsidRDefault="00F97D54" w:rsidP="00EB5B97">
            <w:pPr>
              <w:rPr>
                <w:sz w:val="16"/>
                <w:szCs w:val="16"/>
              </w:rPr>
            </w:pPr>
            <w:r>
              <w:rPr>
                <w:sz w:val="16"/>
                <w:szCs w:val="16"/>
              </w:rPr>
              <w:t>20554</w:t>
            </w:r>
          </w:p>
        </w:tc>
      </w:tr>
      <w:tr w:rsidR="00F97D54" w:rsidTr="00EB5B97">
        <w:trPr>
          <w:trHeight w:val="360"/>
        </w:trPr>
        <w:tc>
          <w:tcPr>
            <w:tcW w:w="2012" w:type="dxa"/>
            <w:vAlign w:val="center"/>
          </w:tcPr>
          <w:p w:rsidR="00F97D54" w:rsidRDefault="00F97D54" w:rsidP="00EB5B97">
            <w:pPr>
              <w:rPr>
                <w:sz w:val="16"/>
                <w:szCs w:val="16"/>
              </w:rPr>
            </w:pPr>
            <w:r>
              <w:rPr>
                <w:sz w:val="16"/>
                <w:szCs w:val="16"/>
              </w:rPr>
              <w:t>ZIP4</w:t>
            </w:r>
          </w:p>
        </w:tc>
        <w:tc>
          <w:tcPr>
            <w:tcW w:w="3646" w:type="dxa"/>
            <w:vAlign w:val="center"/>
          </w:tcPr>
          <w:p w:rsidR="00F97D54" w:rsidRDefault="00F97D54" w:rsidP="00EB5B97">
            <w:pPr>
              <w:rPr>
                <w:sz w:val="16"/>
                <w:szCs w:val="16"/>
              </w:rPr>
            </w:pPr>
            <w:r>
              <w:rPr>
                <w:sz w:val="16"/>
                <w:szCs w:val="16"/>
              </w:rPr>
              <w:t xml:space="preserve">4-digit add-on code (with leading zeros) of the </w:t>
            </w:r>
            <w:r>
              <w:rPr>
                <w:i/>
                <w:sz w:val="16"/>
                <w:szCs w:val="16"/>
              </w:rPr>
              <w:t>L</w:t>
            </w:r>
            <w:r w:rsidRPr="00563D99">
              <w:rPr>
                <w:i/>
                <w:sz w:val="16"/>
                <w:szCs w:val="16"/>
              </w:rPr>
              <w:t>ocation</w:t>
            </w:r>
          </w:p>
        </w:tc>
        <w:tc>
          <w:tcPr>
            <w:tcW w:w="1492" w:type="dxa"/>
            <w:vAlign w:val="center"/>
          </w:tcPr>
          <w:p w:rsidR="00F97D54" w:rsidRDefault="00F97D54" w:rsidP="00EB5B97">
            <w:pPr>
              <w:rPr>
                <w:sz w:val="16"/>
                <w:szCs w:val="16"/>
              </w:rPr>
            </w:pPr>
            <w:r>
              <w:rPr>
                <w:sz w:val="16"/>
                <w:szCs w:val="16"/>
              </w:rPr>
              <w:t>Text</w:t>
            </w:r>
          </w:p>
        </w:tc>
        <w:tc>
          <w:tcPr>
            <w:tcW w:w="1688" w:type="dxa"/>
            <w:vAlign w:val="center"/>
          </w:tcPr>
          <w:p w:rsidR="00F97D54" w:rsidRDefault="00F97D54" w:rsidP="00EB5B97">
            <w:pPr>
              <w:rPr>
                <w:sz w:val="16"/>
                <w:szCs w:val="16"/>
              </w:rPr>
            </w:pPr>
            <w:r>
              <w:rPr>
                <w:sz w:val="16"/>
                <w:szCs w:val="16"/>
              </w:rPr>
              <w:t>0000</w:t>
            </w:r>
          </w:p>
        </w:tc>
      </w:tr>
      <w:tr w:rsidR="00F97D54" w:rsidTr="00EB5B97">
        <w:trPr>
          <w:cantSplit/>
          <w:trHeight w:val="360"/>
        </w:trPr>
        <w:tc>
          <w:tcPr>
            <w:tcW w:w="2012" w:type="dxa"/>
            <w:vAlign w:val="center"/>
          </w:tcPr>
          <w:p w:rsidR="00F97D54" w:rsidRDefault="00F97D54" w:rsidP="00EB5B97">
            <w:pPr>
              <w:rPr>
                <w:sz w:val="16"/>
                <w:szCs w:val="16"/>
              </w:rPr>
            </w:pPr>
            <w:r>
              <w:rPr>
                <w:sz w:val="16"/>
                <w:szCs w:val="16"/>
              </w:rPr>
              <w:t>Lat</w:t>
            </w:r>
          </w:p>
        </w:tc>
        <w:tc>
          <w:tcPr>
            <w:tcW w:w="3646" w:type="dxa"/>
            <w:vAlign w:val="center"/>
          </w:tcPr>
          <w:p w:rsidR="00F97D54" w:rsidRDefault="00F97D54" w:rsidP="00EB5B97">
            <w:pPr>
              <w:rPr>
                <w:sz w:val="16"/>
                <w:szCs w:val="16"/>
              </w:rPr>
            </w:pPr>
            <w:r>
              <w:rPr>
                <w:sz w:val="16"/>
                <w:szCs w:val="16"/>
              </w:rPr>
              <w:t>Latitude</w:t>
            </w:r>
          </w:p>
        </w:tc>
        <w:tc>
          <w:tcPr>
            <w:tcW w:w="1492" w:type="dxa"/>
            <w:vAlign w:val="center"/>
          </w:tcPr>
          <w:p w:rsidR="00F97D54" w:rsidRDefault="00F97D54" w:rsidP="00EB5B97">
            <w:pPr>
              <w:rPr>
                <w:sz w:val="16"/>
                <w:szCs w:val="16"/>
              </w:rPr>
            </w:pPr>
            <w:r>
              <w:rPr>
                <w:sz w:val="16"/>
                <w:szCs w:val="16"/>
              </w:rPr>
              <w:t>Float</w:t>
            </w:r>
          </w:p>
        </w:tc>
        <w:tc>
          <w:tcPr>
            <w:tcW w:w="1688" w:type="dxa"/>
            <w:vAlign w:val="center"/>
          </w:tcPr>
          <w:p w:rsidR="00F97D54" w:rsidRDefault="00F97D54" w:rsidP="00EB5B97">
            <w:pPr>
              <w:rPr>
                <w:sz w:val="16"/>
                <w:szCs w:val="16"/>
              </w:rPr>
            </w:pPr>
            <w:r>
              <w:rPr>
                <w:sz w:val="16"/>
                <w:szCs w:val="16"/>
              </w:rPr>
              <w:t>38.8835</w:t>
            </w:r>
          </w:p>
        </w:tc>
      </w:tr>
      <w:tr w:rsidR="00F97D54" w:rsidTr="00EB5B97">
        <w:trPr>
          <w:cantSplit/>
          <w:trHeight w:val="225"/>
        </w:trPr>
        <w:tc>
          <w:tcPr>
            <w:tcW w:w="2012" w:type="dxa"/>
            <w:vAlign w:val="center"/>
          </w:tcPr>
          <w:p w:rsidR="00F97D54" w:rsidRDefault="00F97D54" w:rsidP="00EB5B97">
            <w:pPr>
              <w:rPr>
                <w:sz w:val="16"/>
                <w:szCs w:val="16"/>
              </w:rPr>
            </w:pPr>
            <w:r>
              <w:rPr>
                <w:sz w:val="16"/>
                <w:szCs w:val="16"/>
              </w:rPr>
              <w:t>Long</w:t>
            </w:r>
          </w:p>
        </w:tc>
        <w:tc>
          <w:tcPr>
            <w:tcW w:w="3646" w:type="dxa"/>
            <w:vAlign w:val="center"/>
          </w:tcPr>
          <w:p w:rsidR="00F97D54" w:rsidRDefault="00F97D54" w:rsidP="00EB5B97">
            <w:pPr>
              <w:rPr>
                <w:sz w:val="16"/>
                <w:szCs w:val="16"/>
              </w:rPr>
            </w:pPr>
            <w:r>
              <w:rPr>
                <w:sz w:val="16"/>
                <w:szCs w:val="16"/>
              </w:rPr>
              <w:t>Longitude</w:t>
            </w:r>
          </w:p>
        </w:tc>
        <w:tc>
          <w:tcPr>
            <w:tcW w:w="1492" w:type="dxa"/>
            <w:vAlign w:val="center"/>
          </w:tcPr>
          <w:p w:rsidR="00F97D54" w:rsidRDefault="00F97D54" w:rsidP="00EB5B97">
            <w:pPr>
              <w:rPr>
                <w:sz w:val="16"/>
                <w:szCs w:val="16"/>
              </w:rPr>
            </w:pPr>
            <w:r>
              <w:rPr>
                <w:sz w:val="16"/>
                <w:szCs w:val="16"/>
              </w:rPr>
              <w:t>Float</w:t>
            </w:r>
          </w:p>
        </w:tc>
        <w:tc>
          <w:tcPr>
            <w:tcW w:w="1688" w:type="dxa"/>
            <w:vAlign w:val="center"/>
          </w:tcPr>
          <w:p w:rsidR="00F97D54" w:rsidRDefault="00F97D54" w:rsidP="00EB5B97">
            <w:pPr>
              <w:rPr>
                <w:sz w:val="16"/>
                <w:szCs w:val="16"/>
              </w:rPr>
            </w:pPr>
            <w:r>
              <w:rPr>
                <w:sz w:val="16"/>
                <w:szCs w:val="16"/>
              </w:rPr>
              <w:t>-77.0280</w:t>
            </w:r>
          </w:p>
        </w:tc>
      </w:tr>
      <w:tr w:rsidR="00F97D54" w:rsidTr="00EB5B97">
        <w:trPr>
          <w:cantSplit/>
          <w:trHeight w:val="981"/>
        </w:trPr>
        <w:tc>
          <w:tcPr>
            <w:tcW w:w="2012" w:type="dxa"/>
            <w:vAlign w:val="center"/>
          </w:tcPr>
          <w:p w:rsidR="00F97D54" w:rsidRDefault="00F97D54" w:rsidP="00EB5B97">
            <w:pPr>
              <w:rPr>
                <w:sz w:val="16"/>
                <w:szCs w:val="16"/>
              </w:rPr>
            </w:pPr>
            <w:r>
              <w:rPr>
                <w:sz w:val="16"/>
                <w:szCs w:val="16"/>
              </w:rPr>
              <w:t>Loc_type</w:t>
            </w:r>
          </w:p>
        </w:tc>
        <w:tc>
          <w:tcPr>
            <w:tcW w:w="3646" w:type="dxa"/>
            <w:vAlign w:val="center"/>
          </w:tcPr>
          <w:p w:rsidR="00F97D54" w:rsidRPr="009F0970" w:rsidRDefault="00F97D54" w:rsidP="00EB5B97">
            <w:pPr>
              <w:rPr>
                <w:b/>
                <w:sz w:val="16"/>
                <w:szCs w:val="16"/>
              </w:rPr>
            </w:pPr>
            <w:r>
              <w:rPr>
                <w:sz w:val="16"/>
                <w:szCs w:val="16"/>
              </w:rPr>
              <w:t>T</w:t>
            </w:r>
            <w:r w:rsidRPr="009F0970">
              <w:rPr>
                <w:sz w:val="16"/>
                <w:szCs w:val="16"/>
              </w:rPr>
              <w:t>h</w:t>
            </w:r>
            <w:r>
              <w:rPr>
                <w:sz w:val="16"/>
                <w:szCs w:val="16"/>
              </w:rPr>
              <w:t xml:space="preserve">e type of </w:t>
            </w:r>
            <w:r>
              <w:rPr>
                <w:i/>
                <w:sz w:val="16"/>
                <w:szCs w:val="16"/>
              </w:rPr>
              <w:t>L</w:t>
            </w:r>
            <w:r w:rsidRPr="001D2890">
              <w:rPr>
                <w:i/>
                <w:sz w:val="16"/>
                <w:szCs w:val="16"/>
              </w:rPr>
              <w:t>ocation</w:t>
            </w:r>
            <w:r w:rsidRPr="009F0970">
              <w:rPr>
                <w:sz w:val="16"/>
                <w:szCs w:val="16"/>
              </w:rPr>
              <w:t xml:space="preserve"> is </w:t>
            </w:r>
            <w:r>
              <w:rPr>
                <w:sz w:val="16"/>
                <w:szCs w:val="16"/>
              </w:rPr>
              <w:t>a 1=bu</w:t>
            </w:r>
            <w:r w:rsidRPr="009F0970">
              <w:rPr>
                <w:sz w:val="16"/>
                <w:szCs w:val="16"/>
              </w:rPr>
              <w:t>ilding;</w:t>
            </w:r>
            <w:r>
              <w:rPr>
                <w:sz w:val="16"/>
                <w:szCs w:val="16"/>
              </w:rPr>
              <w:t xml:space="preserve"> 2=other man-made structure;</w:t>
            </w:r>
            <w:r w:rsidRPr="009F0970">
              <w:rPr>
                <w:sz w:val="16"/>
                <w:szCs w:val="16"/>
              </w:rPr>
              <w:t xml:space="preserve"> </w:t>
            </w:r>
            <w:r>
              <w:rPr>
                <w:sz w:val="16"/>
                <w:szCs w:val="16"/>
              </w:rPr>
              <w:t>3</w:t>
            </w:r>
            <w:r w:rsidRPr="009F0970">
              <w:rPr>
                <w:sz w:val="16"/>
                <w:szCs w:val="16"/>
              </w:rPr>
              <w:t>=</w:t>
            </w:r>
            <w:r>
              <w:rPr>
                <w:sz w:val="16"/>
                <w:szCs w:val="16"/>
              </w:rPr>
              <w:t>c</w:t>
            </w:r>
            <w:r w:rsidRPr="009F0970">
              <w:rPr>
                <w:sz w:val="16"/>
                <w:szCs w:val="16"/>
              </w:rPr>
              <w:t>ell site in or on a building;</w:t>
            </w:r>
            <w:r>
              <w:rPr>
                <w:sz w:val="16"/>
                <w:szCs w:val="16"/>
              </w:rPr>
              <w:t xml:space="preserve"> 4</w:t>
            </w:r>
            <w:r w:rsidRPr="009F0970">
              <w:rPr>
                <w:sz w:val="16"/>
                <w:szCs w:val="16"/>
              </w:rPr>
              <w:t>=</w:t>
            </w:r>
            <w:r>
              <w:rPr>
                <w:sz w:val="16"/>
                <w:szCs w:val="16"/>
              </w:rPr>
              <w:t>f</w:t>
            </w:r>
            <w:r w:rsidRPr="009F0970">
              <w:rPr>
                <w:sz w:val="16"/>
                <w:szCs w:val="16"/>
              </w:rPr>
              <w:t>ree-standing cell site</w:t>
            </w:r>
            <w:r>
              <w:rPr>
                <w:sz w:val="16"/>
                <w:szCs w:val="16"/>
              </w:rPr>
              <w:t>;</w:t>
            </w:r>
            <w:r w:rsidRPr="009F0970">
              <w:rPr>
                <w:sz w:val="16"/>
                <w:szCs w:val="16"/>
              </w:rPr>
              <w:t xml:space="preserve"> </w:t>
            </w:r>
            <w:r>
              <w:rPr>
                <w:sz w:val="16"/>
                <w:szCs w:val="16"/>
              </w:rPr>
              <w:t>5</w:t>
            </w:r>
            <w:r w:rsidRPr="00474931">
              <w:rPr>
                <w:sz w:val="16"/>
                <w:szCs w:val="16"/>
              </w:rPr>
              <w:t>=</w:t>
            </w:r>
            <w:r>
              <w:rPr>
                <w:sz w:val="16"/>
                <w:szCs w:val="16"/>
              </w:rPr>
              <w:t xml:space="preserve">cell site on some other man-made structure, </w:t>
            </w:r>
            <w:r w:rsidRPr="00095347">
              <w:rPr>
                <w:i/>
                <w:sz w:val="16"/>
                <w:szCs w:val="16"/>
              </w:rPr>
              <w:t>e.g.</w:t>
            </w:r>
            <w:r>
              <w:rPr>
                <w:sz w:val="16"/>
                <w:szCs w:val="16"/>
              </w:rPr>
              <w:t>, water tower; or 6=unknown.</w:t>
            </w:r>
          </w:p>
        </w:tc>
        <w:tc>
          <w:tcPr>
            <w:tcW w:w="1492" w:type="dxa"/>
            <w:vAlign w:val="center"/>
          </w:tcPr>
          <w:p w:rsidR="00F97D54" w:rsidRDefault="00F97D54" w:rsidP="00EB5B97">
            <w:pPr>
              <w:rPr>
                <w:sz w:val="16"/>
                <w:szCs w:val="16"/>
              </w:rPr>
            </w:pPr>
            <w:r>
              <w:rPr>
                <w:sz w:val="16"/>
                <w:szCs w:val="16"/>
              </w:rPr>
              <w:t>Integer</w:t>
            </w:r>
          </w:p>
        </w:tc>
        <w:tc>
          <w:tcPr>
            <w:tcW w:w="1688" w:type="dxa"/>
            <w:vAlign w:val="center"/>
          </w:tcPr>
          <w:p w:rsidR="00F97D54" w:rsidRDefault="00F97D54" w:rsidP="00EB5B97">
            <w:pPr>
              <w:rPr>
                <w:sz w:val="16"/>
                <w:szCs w:val="16"/>
              </w:rPr>
            </w:pPr>
            <w:r>
              <w:rPr>
                <w:sz w:val="16"/>
                <w:szCs w:val="16"/>
              </w:rPr>
              <w:t>1</w:t>
            </w:r>
          </w:p>
        </w:tc>
      </w:tr>
      <w:tr w:rsidR="00F97D54" w:rsidTr="00EB5B97">
        <w:trPr>
          <w:trHeight w:val="693"/>
        </w:trPr>
        <w:tc>
          <w:tcPr>
            <w:tcW w:w="2012" w:type="dxa"/>
            <w:vAlign w:val="center"/>
          </w:tcPr>
          <w:p w:rsidR="00F97D54" w:rsidRDefault="00F97D54" w:rsidP="00EB5B97">
            <w:pPr>
              <w:rPr>
                <w:sz w:val="16"/>
                <w:szCs w:val="16"/>
              </w:rPr>
            </w:pPr>
            <w:r>
              <w:rPr>
                <w:sz w:val="16"/>
                <w:szCs w:val="16"/>
              </w:rPr>
              <w:t>IRU_Supplier</w:t>
            </w:r>
          </w:p>
        </w:tc>
        <w:tc>
          <w:tcPr>
            <w:tcW w:w="3646" w:type="dxa"/>
            <w:vAlign w:val="center"/>
          </w:tcPr>
          <w:p w:rsidR="00F97D54" w:rsidRDefault="00F97D54" w:rsidP="00EB5B97">
            <w:pPr>
              <w:rPr>
                <w:sz w:val="16"/>
                <w:szCs w:val="16"/>
              </w:rPr>
            </w:pPr>
            <w:r>
              <w:rPr>
                <w:sz w:val="16"/>
                <w:szCs w:val="16"/>
              </w:rPr>
              <w:t xml:space="preserve">If </w:t>
            </w:r>
            <w:r>
              <w:rPr>
                <w:i/>
                <w:sz w:val="16"/>
                <w:szCs w:val="16"/>
              </w:rPr>
              <w:t>C</w:t>
            </w:r>
            <w:r w:rsidRPr="001D2890">
              <w:rPr>
                <w:i/>
                <w:sz w:val="16"/>
                <w:szCs w:val="16"/>
              </w:rPr>
              <w:t>onnections</w:t>
            </w:r>
            <w:r>
              <w:rPr>
                <w:sz w:val="16"/>
                <w:szCs w:val="16"/>
              </w:rPr>
              <w:t xml:space="preserve"> to this </w:t>
            </w:r>
            <w:r>
              <w:rPr>
                <w:i/>
                <w:sz w:val="16"/>
                <w:szCs w:val="16"/>
              </w:rPr>
              <w:t>L</w:t>
            </w:r>
            <w:r w:rsidRPr="001D2890">
              <w:rPr>
                <w:i/>
                <w:sz w:val="16"/>
                <w:szCs w:val="16"/>
              </w:rPr>
              <w:t>ocation</w:t>
            </w:r>
            <w:r>
              <w:rPr>
                <w:sz w:val="16"/>
                <w:szCs w:val="16"/>
              </w:rPr>
              <w:t xml:space="preserve"> are obtained under an </w:t>
            </w:r>
            <w:r w:rsidRPr="009113C0">
              <w:rPr>
                <w:i/>
                <w:sz w:val="16"/>
                <w:szCs w:val="16"/>
              </w:rPr>
              <w:t>IRU</w:t>
            </w:r>
            <w:r>
              <w:rPr>
                <w:sz w:val="16"/>
                <w:szCs w:val="16"/>
              </w:rPr>
              <w:t>, enter the name of the entity from which the majority of capacity is obtained.</w:t>
            </w:r>
          </w:p>
        </w:tc>
        <w:tc>
          <w:tcPr>
            <w:tcW w:w="1492" w:type="dxa"/>
            <w:vAlign w:val="center"/>
          </w:tcPr>
          <w:p w:rsidR="00F97D54" w:rsidRDefault="00F97D54" w:rsidP="00EB5B97">
            <w:pPr>
              <w:rPr>
                <w:sz w:val="16"/>
                <w:szCs w:val="16"/>
              </w:rPr>
            </w:pPr>
            <w:r>
              <w:rPr>
                <w:sz w:val="16"/>
                <w:szCs w:val="16"/>
              </w:rPr>
              <w:t>Text</w:t>
            </w:r>
          </w:p>
        </w:tc>
        <w:tc>
          <w:tcPr>
            <w:tcW w:w="1688" w:type="dxa"/>
            <w:vAlign w:val="center"/>
          </w:tcPr>
          <w:p w:rsidR="00F97D54" w:rsidRDefault="00F97D54" w:rsidP="00EB5B97">
            <w:pPr>
              <w:rPr>
                <w:sz w:val="16"/>
                <w:szCs w:val="16"/>
              </w:rPr>
            </w:pPr>
            <w:r>
              <w:rPr>
                <w:sz w:val="16"/>
                <w:szCs w:val="16"/>
              </w:rPr>
              <w:t>DEF Co.</w:t>
            </w:r>
          </w:p>
        </w:tc>
      </w:tr>
      <w:tr w:rsidR="00F97D54" w:rsidTr="00EB5B97">
        <w:trPr>
          <w:trHeight w:val="693"/>
        </w:trPr>
        <w:tc>
          <w:tcPr>
            <w:tcW w:w="2012" w:type="dxa"/>
            <w:vAlign w:val="center"/>
          </w:tcPr>
          <w:p w:rsidR="00F97D54" w:rsidRDefault="00F97D54" w:rsidP="00EB5B97">
            <w:pPr>
              <w:rPr>
                <w:sz w:val="16"/>
                <w:szCs w:val="16"/>
              </w:rPr>
            </w:pPr>
            <w:r>
              <w:rPr>
                <w:sz w:val="16"/>
                <w:szCs w:val="16"/>
              </w:rPr>
              <w:t>UNE_Supplier</w:t>
            </w:r>
          </w:p>
        </w:tc>
        <w:tc>
          <w:tcPr>
            <w:tcW w:w="3646" w:type="dxa"/>
            <w:vAlign w:val="center"/>
          </w:tcPr>
          <w:p w:rsidR="00F97D54" w:rsidRDefault="00F97D54" w:rsidP="00EB5B97">
            <w:pPr>
              <w:rPr>
                <w:sz w:val="16"/>
                <w:szCs w:val="16"/>
              </w:rPr>
            </w:pPr>
            <w:r>
              <w:rPr>
                <w:sz w:val="16"/>
                <w:szCs w:val="16"/>
              </w:rPr>
              <w:t xml:space="preserve">If </w:t>
            </w:r>
            <w:r>
              <w:rPr>
                <w:i/>
                <w:sz w:val="16"/>
                <w:szCs w:val="16"/>
              </w:rPr>
              <w:t>C</w:t>
            </w:r>
            <w:r w:rsidRPr="001D2890">
              <w:rPr>
                <w:i/>
                <w:sz w:val="16"/>
                <w:szCs w:val="16"/>
              </w:rPr>
              <w:t>onnections</w:t>
            </w:r>
            <w:r>
              <w:rPr>
                <w:sz w:val="16"/>
                <w:szCs w:val="16"/>
              </w:rPr>
              <w:t xml:space="preserve"> to this </w:t>
            </w:r>
            <w:r>
              <w:rPr>
                <w:i/>
                <w:sz w:val="16"/>
                <w:szCs w:val="16"/>
              </w:rPr>
              <w:t>L</w:t>
            </w:r>
            <w:r w:rsidRPr="001D2890">
              <w:rPr>
                <w:i/>
                <w:sz w:val="16"/>
                <w:szCs w:val="16"/>
              </w:rPr>
              <w:t>ocation</w:t>
            </w:r>
            <w:r>
              <w:rPr>
                <w:sz w:val="16"/>
                <w:szCs w:val="16"/>
              </w:rPr>
              <w:t xml:space="preserve"> are obtained as a </w:t>
            </w:r>
            <w:r w:rsidRPr="0018006F">
              <w:rPr>
                <w:i/>
                <w:sz w:val="16"/>
                <w:szCs w:val="16"/>
              </w:rPr>
              <w:t>DS1/DS3 UNE</w:t>
            </w:r>
            <w:r>
              <w:rPr>
                <w:sz w:val="16"/>
                <w:szCs w:val="16"/>
              </w:rPr>
              <w:t xml:space="preserve">, enter the name of the entity from which the </w:t>
            </w:r>
            <w:r w:rsidRPr="00331A96">
              <w:rPr>
                <w:i/>
                <w:sz w:val="16"/>
                <w:szCs w:val="16"/>
              </w:rPr>
              <w:t>UNE</w:t>
            </w:r>
            <w:r>
              <w:rPr>
                <w:sz w:val="16"/>
                <w:szCs w:val="16"/>
              </w:rPr>
              <w:t xml:space="preserve"> is obtained.</w:t>
            </w:r>
          </w:p>
        </w:tc>
        <w:tc>
          <w:tcPr>
            <w:tcW w:w="1492" w:type="dxa"/>
            <w:vAlign w:val="center"/>
          </w:tcPr>
          <w:p w:rsidR="00F97D54" w:rsidRDefault="00F97D54" w:rsidP="00EB5B97">
            <w:pPr>
              <w:rPr>
                <w:sz w:val="16"/>
                <w:szCs w:val="16"/>
              </w:rPr>
            </w:pPr>
            <w:r>
              <w:rPr>
                <w:sz w:val="16"/>
                <w:szCs w:val="16"/>
              </w:rPr>
              <w:t>Text</w:t>
            </w:r>
          </w:p>
        </w:tc>
        <w:tc>
          <w:tcPr>
            <w:tcW w:w="1688" w:type="dxa"/>
            <w:vAlign w:val="center"/>
          </w:tcPr>
          <w:p w:rsidR="00F97D54" w:rsidRDefault="00F97D54" w:rsidP="00EB5B97">
            <w:pPr>
              <w:rPr>
                <w:sz w:val="16"/>
                <w:szCs w:val="16"/>
              </w:rPr>
            </w:pPr>
            <w:r>
              <w:rPr>
                <w:sz w:val="16"/>
                <w:szCs w:val="16"/>
              </w:rPr>
              <w:t>DEF Co.</w:t>
            </w:r>
          </w:p>
        </w:tc>
      </w:tr>
      <w:tr w:rsidR="00F97D54" w:rsidTr="00EB5B97">
        <w:trPr>
          <w:trHeight w:val="693"/>
        </w:trPr>
        <w:tc>
          <w:tcPr>
            <w:tcW w:w="2012" w:type="dxa"/>
            <w:vAlign w:val="center"/>
          </w:tcPr>
          <w:p w:rsidR="00F97D54" w:rsidRDefault="00F97D54" w:rsidP="00EB5B97">
            <w:pPr>
              <w:rPr>
                <w:sz w:val="16"/>
                <w:szCs w:val="16"/>
              </w:rPr>
            </w:pPr>
            <w:r>
              <w:rPr>
                <w:sz w:val="16"/>
                <w:szCs w:val="16"/>
              </w:rPr>
              <w:t>UCL_Supplier</w:t>
            </w:r>
          </w:p>
        </w:tc>
        <w:tc>
          <w:tcPr>
            <w:tcW w:w="3646" w:type="dxa"/>
            <w:vAlign w:val="center"/>
          </w:tcPr>
          <w:p w:rsidR="00F97D54" w:rsidRDefault="00F97D54" w:rsidP="00EB5B97">
            <w:pPr>
              <w:rPr>
                <w:sz w:val="16"/>
                <w:szCs w:val="16"/>
              </w:rPr>
            </w:pPr>
            <w:r>
              <w:rPr>
                <w:sz w:val="16"/>
                <w:szCs w:val="16"/>
              </w:rPr>
              <w:t xml:space="preserve">If </w:t>
            </w:r>
            <w:r>
              <w:rPr>
                <w:i/>
                <w:sz w:val="16"/>
                <w:szCs w:val="16"/>
              </w:rPr>
              <w:t>C</w:t>
            </w:r>
            <w:r w:rsidRPr="001D2890">
              <w:rPr>
                <w:i/>
                <w:sz w:val="16"/>
                <w:szCs w:val="16"/>
              </w:rPr>
              <w:t>onnections</w:t>
            </w:r>
            <w:r>
              <w:rPr>
                <w:sz w:val="16"/>
                <w:szCs w:val="16"/>
              </w:rPr>
              <w:t xml:space="preserve"> to this </w:t>
            </w:r>
            <w:r>
              <w:rPr>
                <w:i/>
                <w:sz w:val="16"/>
                <w:szCs w:val="16"/>
              </w:rPr>
              <w:t>L</w:t>
            </w:r>
            <w:r w:rsidRPr="001D2890">
              <w:rPr>
                <w:i/>
                <w:sz w:val="16"/>
                <w:szCs w:val="16"/>
              </w:rPr>
              <w:t>ocation</w:t>
            </w:r>
            <w:r>
              <w:rPr>
                <w:sz w:val="16"/>
                <w:szCs w:val="16"/>
              </w:rPr>
              <w:t xml:space="preserve"> are obtained as an </w:t>
            </w:r>
            <w:r w:rsidRPr="0018006F">
              <w:rPr>
                <w:i/>
                <w:sz w:val="16"/>
                <w:szCs w:val="16"/>
              </w:rPr>
              <w:t>Unbundled Copper Loop</w:t>
            </w:r>
            <w:r>
              <w:rPr>
                <w:sz w:val="16"/>
                <w:szCs w:val="16"/>
              </w:rPr>
              <w:t xml:space="preserve">, enter the name of the entity from which the </w:t>
            </w:r>
            <w:r w:rsidRPr="00331A96">
              <w:rPr>
                <w:i/>
                <w:sz w:val="16"/>
                <w:szCs w:val="16"/>
              </w:rPr>
              <w:t>UCL</w:t>
            </w:r>
            <w:r>
              <w:rPr>
                <w:sz w:val="16"/>
                <w:szCs w:val="16"/>
              </w:rPr>
              <w:t xml:space="preserve"> is obtained.</w:t>
            </w:r>
          </w:p>
        </w:tc>
        <w:tc>
          <w:tcPr>
            <w:tcW w:w="1492" w:type="dxa"/>
            <w:vAlign w:val="center"/>
          </w:tcPr>
          <w:p w:rsidR="00F97D54" w:rsidRDefault="00F97D54" w:rsidP="00EB5B97">
            <w:pPr>
              <w:rPr>
                <w:sz w:val="16"/>
                <w:szCs w:val="16"/>
              </w:rPr>
            </w:pPr>
            <w:r>
              <w:rPr>
                <w:sz w:val="16"/>
                <w:szCs w:val="16"/>
              </w:rPr>
              <w:t>Text</w:t>
            </w:r>
          </w:p>
        </w:tc>
        <w:tc>
          <w:tcPr>
            <w:tcW w:w="1688" w:type="dxa"/>
            <w:vAlign w:val="center"/>
          </w:tcPr>
          <w:p w:rsidR="00F97D54" w:rsidRDefault="00F97D54" w:rsidP="00EB5B97">
            <w:pPr>
              <w:rPr>
                <w:sz w:val="16"/>
                <w:szCs w:val="16"/>
              </w:rPr>
            </w:pPr>
            <w:r>
              <w:rPr>
                <w:sz w:val="16"/>
                <w:szCs w:val="16"/>
              </w:rPr>
              <w:t>DEF Co.</w:t>
            </w:r>
          </w:p>
        </w:tc>
      </w:tr>
      <w:tr w:rsidR="00F97D54" w:rsidTr="00EB5B97">
        <w:trPr>
          <w:trHeight w:val="504"/>
        </w:trPr>
        <w:tc>
          <w:tcPr>
            <w:tcW w:w="2012" w:type="dxa"/>
            <w:vAlign w:val="center"/>
          </w:tcPr>
          <w:p w:rsidR="00F97D54" w:rsidRDefault="00F97D54" w:rsidP="00EB5B97">
            <w:pPr>
              <w:rPr>
                <w:sz w:val="16"/>
                <w:szCs w:val="16"/>
              </w:rPr>
            </w:pPr>
            <w:r>
              <w:rPr>
                <w:sz w:val="16"/>
                <w:szCs w:val="16"/>
              </w:rPr>
              <w:t>Medium</w:t>
            </w:r>
          </w:p>
        </w:tc>
        <w:tc>
          <w:tcPr>
            <w:tcW w:w="3646" w:type="dxa"/>
            <w:vAlign w:val="center"/>
          </w:tcPr>
          <w:p w:rsidR="00F97D54" w:rsidRDefault="00F97D54" w:rsidP="00EB5B97">
            <w:pPr>
              <w:rPr>
                <w:sz w:val="16"/>
                <w:szCs w:val="16"/>
              </w:rPr>
            </w:pPr>
            <w:r>
              <w:rPr>
                <w:sz w:val="16"/>
                <w:szCs w:val="16"/>
              </w:rPr>
              <w:t xml:space="preserve">Are any of the </w:t>
            </w:r>
            <w:r>
              <w:rPr>
                <w:i/>
                <w:sz w:val="16"/>
                <w:szCs w:val="16"/>
              </w:rPr>
              <w:t>C</w:t>
            </w:r>
            <w:r w:rsidRPr="001D2890">
              <w:rPr>
                <w:i/>
                <w:sz w:val="16"/>
                <w:szCs w:val="16"/>
              </w:rPr>
              <w:t>onnections</w:t>
            </w:r>
            <w:r>
              <w:rPr>
                <w:sz w:val="16"/>
                <w:szCs w:val="16"/>
              </w:rPr>
              <w:t xml:space="preserve"> to this </w:t>
            </w:r>
            <w:r>
              <w:rPr>
                <w:i/>
                <w:sz w:val="16"/>
                <w:szCs w:val="16"/>
              </w:rPr>
              <w:t>L</w:t>
            </w:r>
            <w:r w:rsidRPr="001D2890">
              <w:rPr>
                <w:i/>
                <w:sz w:val="16"/>
                <w:szCs w:val="16"/>
              </w:rPr>
              <w:t>ocation</w:t>
            </w:r>
            <w:r>
              <w:rPr>
                <w:sz w:val="16"/>
                <w:szCs w:val="16"/>
              </w:rPr>
              <w:t xml:space="preserve"> provided over fiber? (Y/N)</w:t>
            </w:r>
          </w:p>
        </w:tc>
        <w:tc>
          <w:tcPr>
            <w:tcW w:w="1492" w:type="dxa"/>
            <w:vAlign w:val="center"/>
          </w:tcPr>
          <w:p w:rsidR="00F97D54" w:rsidRDefault="00F97D54" w:rsidP="00EB5B97">
            <w:pPr>
              <w:rPr>
                <w:sz w:val="16"/>
                <w:szCs w:val="16"/>
              </w:rPr>
            </w:pPr>
            <w:r>
              <w:rPr>
                <w:sz w:val="16"/>
                <w:szCs w:val="16"/>
              </w:rPr>
              <w:t>Text</w:t>
            </w:r>
          </w:p>
        </w:tc>
        <w:tc>
          <w:tcPr>
            <w:tcW w:w="1688" w:type="dxa"/>
            <w:vAlign w:val="center"/>
          </w:tcPr>
          <w:p w:rsidR="00F97D54" w:rsidRDefault="00F97D54" w:rsidP="00EB5B97">
            <w:pPr>
              <w:rPr>
                <w:sz w:val="16"/>
                <w:szCs w:val="16"/>
              </w:rPr>
            </w:pPr>
            <w:r>
              <w:rPr>
                <w:sz w:val="16"/>
                <w:szCs w:val="16"/>
              </w:rPr>
              <w:t>Y</w:t>
            </w:r>
          </w:p>
        </w:tc>
      </w:tr>
      <w:tr w:rsidR="00F97D54" w:rsidTr="00EB5B97">
        <w:trPr>
          <w:trHeight w:val="486"/>
        </w:trPr>
        <w:tc>
          <w:tcPr>
            <w:tcW w:w="2012" w:type="dxa"/>
            <w:vAlign w:val="center"/>
          </w:tcPr>
          <w:p w:rsidR="00F97D54" w:rsidRDefault="00F97D54" w:rsidP="00EB5B97">
            <w:pPr>
              <w:rPr>
                <w:sz w:val="16"/>
                <w:szCs w:val="16"/>
              </w:rPr>
            </w:pPr>
            <w:r>
              <w:rPr>
                <w:sz w:val="16"/>
                <w:szCs w:val="16"/>
              </w:rPr>
              <w:t>Sold_bandwidth_total</w:t>
            </w:r>
          </w:p>
        </w:tc>
        <w:tc>
          <w:tcPr>
            <w:tcW w:w="3646" w:type="dxa"/>
            <w:vAlign w:val="center"/>
          </w:tcPr>
          <w:p w:rsidR="00F97D54" w:rsidRDefault="00F97D54" w:rsidP="00EB5B97">
            <w:pPr>
              <w:rPr>
                <w:sz w:val="16"/>
                <w:szCs w:val="16"/>
              </w:rPr>
            </w:pPr>
            <w:r>
              <w:rPr>
                <w:sz w:val="16"/>
                <w:szCs w:val="16"/>
              </w:rPr>
              <w:t>Total b</w:t>
            </w:r>
            <w:r w:rsidRPr="00D113C6">
              <w:rPr>
                <w:sz w:val="16"/>
                <w:szCs w:val="16"/>
              </w:rPr>
              <w:t>andwidth (</w:t>
            </w:r>
            <w:r>
              <w:rPr>
                <w:sz w:val="16"/>
                <w:szCs w:val="16"/>
              </w:rPr>
              <w:t>in Mbps</w:t>
            </w:r>
            <w:r w:rsidRPr="00D113C6">
              <w:rPr>
                <w:sz w:val="16"/>
                <w:szCs w:val="16"/>
              </w:rPr>
              <w:t xml:space="preserve">) of </w:t>
            </w:r>
            <w:r>
              <w:rPr>
                <w:i/>
                <w:sz w:val="16"/>
                <w:szCs w:val="16"/>
              </w:rPr>
              <w:t>C</w:t>
            </w:r>
            <w:r w:rsidRPr="001D2890">
              <w:rPr>
                <w:i/>
                <w:sz w:val="16"/>
                <w:szCs w:val="16"/>
              </w:rPr>
              <w:t>onnections</w:t>
            </w:r>
            <w:r w:rsidRPr="00D113C6">
              <w:rPr>
                <w:sz w:val="16"/>
                <w:szCs w:val="16"/>
              </w:rPr>
              <w:t xml:space="preserve"> </w:t>
            </w:r>
            <w:r>
              <w:rPr>
                <w:sz w:val="16"/>
                <w:szCs w:val="16"/>
              </w:rPr>
              <w:t xml:space="preserve">provided to the </w:t>
            </w:r>
            <w:r>
              <w:rPr>
                <w:i/>
                <w:sz w:val="16"/>
                <w:szCs w:val="16"/>
              </w:rPr>
              <w:t>L</w:t>
            </w:r>
            <w:r w:rsidRPr="00646863">
              <w:rPr>
                <w:i/>
                <w:sz w:val="16"/>
                <w:szCs w:val="16"/>
              </w:rPr>
              <w:t>ocation</w:t>
            </w:r>
            <w:r>
              <w:rPr>
                <w:sz w:val="16"/>
                <w:szCs w:val="16"/>
              </w:rPr>
              <w:t xml:space="preserve"> </w:t>
            </w:r>
            <w:r w:rsidRPr="00D113C6">
              <w:rPr>
                <w:sz w:val="16"/>
                <w:szCs w:val="16"/>
              </w:rPr>
              <w:t xml:space="preserve">as sold. </w:t>
            </w:r>
            <w:r>
              <w:rPr>
                <w:sz w:val="16"/>
                <w:szCs w:val="16"/>
              </w:rPr>
              <w:t xml:space="preserve"> </w:t>
            </w:r>
          </w:p>
        </w:tc>
        <w:tc>
          <w:tcPr>
            <w:tcW w:w="1492" w:type="dxa"/>
            <w:vAlign w:val="center"/>
          </w:tcPr>
          <w:p w:rsidR="00F97D54" w:rsidRDefault="00F97D54" w:rsidP="00EB5B97">
            <w:pPr>
              <w:rPr>
                <w:sz w:val="16"/>
                <w:szCs w:val="16"/>
              </w:rPr>
            </w:pPr>
            <w:r>
              <w:rPr>
                <w:sz w:val="16"/>
                <w:szCs w:val="16"/>
              </w:rPr>
              <w:t>Float</w:t>
            </w:r>
          </w:p>
        </w:tc>
        <w:tc>
          <w:tcPr>
            <w:tcW w:w="1688" w:type="dxa"/>
            <w:vAlign w:val="center"/>
          </w:tcPr>
          <w:p w:rsidR="00F97D54" w:rsidRDefault="00F97D54" w:rsidP="00EB5B97">
            <w:pPr>
              <w:rPr>
                <w:sz w:val="16"/>
                <w:szCs w:val="16"/>
              </w:rPr>
            </w:pPr>
            <w:r>
              <w:rPr>
                <w:sz w:val="16"/>
                <w:szCs w:val="16"/>
              </w:rPr>
              <w:t>1.544</w:t>
            </w:r>
          </w:p>
        </w:tc>
      </w:tr>
      <w:tr w:rsidR="00F97D54" w:rsidTr="00EB5B97">
        <w:trPr>
          <w:trHeight w:val="720"/>
        </w:trPr>
        <w:tc>
          <w:tcPr>
            <w:tcW w:w="2012" w:type="dxa"/>
            <w:vAlign w:val="center"/>
          </w:tcPr>
          <w:p w:rsidR="00F97D54" w:rsidRDefault="00F97D54" w:rsidP="00EB5B97">
            <w:pPr>
              <w:rPr>
                <w:sz w:val="16"/>
                <w:szCs w:val="16"/>
              </w:rPr>
            </w:pPr>
            <w:r>
              <w:rPr>
                <w:sz w:val="16"/>
                <w:szCs w:val="16"/>
              </w:rPr>
              <w:t>Sold_bandwidth_enduser</w:t>
            </w:r>
          </w:p>
        </w:tc>
        <w:tc>
          <w:tcPr>
            <w:tcW w:w="3646" w:type="dxa"/>
            <w:vAlign w:val="center"/>
          </w:tcPr>
          <w:p w:rsidR="00F97D54" w:rsidRDefault="00F97D54" w:rsidP="00EB5B97">
            <w:pPr>
              <w:rPr>
                <w:sz w:val="16"/>
                <w:szCs w:val="16"/>
              </w:rPr>
            </w:pPr>
            <w:r>
              <w:rPr>
                <w:sz w:val="16"/>
                <w:szCs w:val="16"/>
              </w:rPr>
              <w:t>Total b</w:t>
            </w:r>
            <w:r w:rsidRPr="00D113C6">
              <w:rPr>
                <w:sz w:val="16"/>
                <w:szCs w:val="16"/>
              </w:rPr>
              <w:t>andwidth (</w:t>
            </w:r>
            <w:r>
              <w:rPr>
                <w:sz w:val="16"/>
                <w:szCs w:val="16"/>
              </w:rPr>
              <w:t>in Mbps</w:t>
            </w:r>
            <w:r w:rsidRPr="00D113C6">
              <w:rPr>
                <w:sz w:val="16"/>
                <w:szCs w:val="16"/>
              </w:rPr>
              <w:t xml:space="preserve">) of </w:t>
            </w:r>
            <w:r>
              <w:rPr>
                <w:i/>
                <w:sz w:val="16"/>
                <w:szCs w:val="16"/>
              </w:rPr>
              <w:t>C</w:t>
            </w:r>
            <w:r w:rsidRPr="001D2890">
              <w:rPr>
                <w:i/>
                <w:sz w:val="16"/>
                <w:szCs w:val="16"/>
              </w:rPr>
              <w:t>onnections</w:t>
            </w:r>
            <w:r w:rsidRPr="00D113C6">
              <w:rPr>
                <w:sz w:val="16"/>
                <w:szCs w:val="16"/>
              </w:rPr>
              <w:t xml:space="preserve"> </w:t>
            </w:r>
            <w:r>
              <w:rPr>
                <w:sz w:val="16"/>
                <w:szCs w:val="16"/>
              </w:rPr>
              <w:t xml:space="preserve">provided to </w:t>
            </w:r>
            <w:r w:rsidRPr="00334A38">
              <w:rPr>
                <w:i/>
                <w:sz w:val="16"/>
                <w:szCs w:val="16"/>
              </w:rPr>
              <w:t>End Users</w:t>
            </w:r>
            <w:r>
              <w:rPr>
                <w:sz w:val="16"/>
                <w:szCs w:val="16"/>
              </w:rPr>
              <w:t xml:space="preserve"> at the </w:t>
            </w:r>
            <w:r>
              <w:rPr>
                <w:i/>
                <w:sz w:val="16"/>
                <w:szCs w:val="16"/>
              </w:rPr>
              <w:t>L</w:t>
            </w:r>
            <w:r w:rsidRPr="00646863">
              <w:rPr>
                <w:i/>
                <w:sz w:val="16"/>
                <w:szCs w:val="16"/>
              </w:rPr>
              <w:t>ocation</w:t>
            </w:r>
            <w:r>
              <w:rPr>
                <w:sz w:val="16"/>
                <w:szCs w:val="16"/>
              </w:rPr>
              <w:t xml:space="preserve"> </w:t>
            </w:r>
            <w:r w:rsidRPr="00D113C6">
              <w:rPr>
                <w:sz w:val="16"/>
                <w:szCs w:val="16"/>
              </w:rPr>
              <w:t xml:space="preserve">as sold. </w:t>
            </w:r>
            <w:r>
              <w:rPr>
                <w:sz w:val="16"/>
                <w:szCs w:val="16"/>
              </w:rPr>
              <w:t xml:space="preserve"> </w:t>
            </w:r>
          </w:p>
        </w:tc>
        <w:tc>
          <w:tcPr>
            <w:tcW w:w="1492" w:type="dxa"/>
            <w:vAlign w:val="center"/>
          </w:tcPr>
          <w:p w:rsidR="00F97D54" w:rsidRDefault="00F97D54" w:rsidP="00EB5B97">
            <w:pPr>
              <w:rPr>
                <w:sz w:val="16"/>
                <w:szCs w:val="16"/>
              </w:rPr>
            </w:pPr>
            <w:r>
              <w:rPr>
                <w:sz w:val="16"/>
                <w:szCs w:val="16"/>
              </w:rPr>
              <w:t>Float</w:t>
            </w:r>
          </w:p>
        </w:tc>
        <w:tc>
          <w:tcPr>
            <w:tcW w:w="1688" w:type="dxa"/>
            <w:vAlign w:val="center"/>
          </w:tcPr>
          <w:p w:rsidR="00F97D54" w:rsidRDefault="00F97D54" w:rsidP="00EB5B97">
            <w:pPr>
              <w:rPr>
                <w:sz w:val="16"/>
                <w:szCs w:val="16"/>
              </w:rPr>
            </w:pPr>
            <w:r>
              <w:rPr>
                <w:sz w:val="16"/>
                <w:szCs w:val="16"/>
              </w:rPr>
              <w:t>1.544</w:t>
            </w:r>
          </w:p>
        </w:tc>
      </w:tr>
      <w:tr w:rsidR="00F97D54" w:rsidTr="00EB5B97">
        <w:trPr>
          <w:trHeight w:val="720"/>
        </w:trPr>
        <w:tc>
          <w:tcPr>
            <w:tcW w:w="2012" w:type="dxa"/>
            <w:vAlign w:val="center"/>
          </w:tcPr>
          <w:p w:rsidR="00F97D54" w:rsidRDefault="00F97D54" w:rsidP="00EB5B97">
            <w:pPr>
              <w:rPr>
                <w:sz w:val="16"/>
                <w:szCs w:val="16"/>
              </w:rPr>
            </w:pPr>
            <w:r>
              <w:rPr>
                <w:sz w:val="16"/>
                <w:szCs w:val="16"/>
              </w:rPr>
              <w:t>Sold_bandwidth_tfw</w:t>
            </w:r>
          </w:p>
        </w:tc>
        <w:tc>
          <w:tcPr>
            <w:tcW w:w="3646" w:type="dxa"/>
            <w:vAlign w:val="center"/>
          </w:tcPr>
          <w:p w:rsidR="00F97D54" w:rsidRDefault="00F97D54" w:rsidP="00EB5B97">
            <w:pPr>
              <w:rPr>
                <w:sz w:val="16"/>
                <w:szCs w:val="16"/>
              </w:rPr>
            </w:pPr>
            <w:r>
              <w:rPr>
                <w:sz w:val="16"/>
                <w:szCs w:val="16"/>
              </w:rPr>
              <w:t xml:space="preserve">Total bandwidth (in Mbps) of </w:t>
            </w:r>
            <w:r>
              <w:rPr>
                <w:i/>
                <w:sz w:val="16"/>
                <w:szCs w:val="16"/>
              </w:rPr>
              <w:t>C</w:t>
            </w:r>
            <w:r w:rsidRPr="00455609">
              <w:rPr>
                <w:i/>
                <w:sz w:val="16"/>
                <w:szCs w:val="16"/>
              </w:rPr>
              <w:t>onnections</w:t>
            </w:r>
            <w:r>
              <w:rPr>
                <w:sz w:val="16"/>
                <w:szCs w:val="16"/>
              </w:rPr>
              <w:t xml:space="preserve"> provided to the </w:t>
            </w:r>
            <w:r w:rsidRPr="00095347">
              <w:rPr>
                <w:i/>
                <w:sz w:val="16"/>
                <w:szCs w:val="16"/>
              </w:rPr>
              <w:t>Location</w:t>
            </w:r>
            <w:r>
              <w:rPr>
                <w:sz w:val="16"/>
                <w:szCs w:val="16"/>
              </w:rPr>
              <w:t xml:space="preserve"> using terrestrial fixed wireless </w:t>
            </w:r>
            <w:r w:rsidRPr="00D113C6">
              <w:rPr>
                <w:sz w:val="16"/>
                <w:szCs w:val="16"/>
              </w:rPr>
              <w:t xml:space="preserve">as sold. </w:t>
            </w:r>
            <w:r>
              <w:rPr>
                <w:sz w:val="16"/>
                <w:szCs w:val="16"/>
              </w:rPr>
              <w:t xml:space="preserve"> </w:t>
            </w:r>
          </w:p>
        </w:tc>
        <w:tc>
          <w:tcPr>
            <w:tcW w:w="1492" w:type="dxa"/>
            <w:vAlign w:val="center"/>
          </w:tcPr>
          <w:p w:rsidR="00F97D54" w:rsidRDefault="00F97D54" w:rsidP="00EB5B97">
            <w:pPr>
              <w:rPr>
                <w:sz w:val="16"/>
                <w:szCs w:val="16"/>
              </w:rPr>
            </w:pPr>
            <w:r>
              <w:rPr>
                <w:sz w:val="16"/>
                <w:szCs w:val="16"/>
              </w:rPr>
              <w:t>Float</w:t>
            </w:r>
          </w:p>
        </w:tc>
        <w:tc>
          <w:tcPr>
            <w:tcW w:w="1688" w:type="dxa"/>
            <w:vAlign w:val="center"/>
          </w:tcPr>
          <w:p w:rsidR="00F97D54" w:rsidRDefault="00F97D54" w:rsidP="00EB5B97">
            <w:pPr>
              <w:rPr>
                <w:sz w:val="16"/>
                <w:szCs w:val="16"/>
              </w:rPr>
            </w:pPr>
            <w:r>
              <w:rPr>
                <w:sz w:val="16"/>
                <w:szCs w:val="16"/>
              </w:rPr>
              <w:t>1.544</w:t>
            </w:r>
          </w:p>
        </w:tc>
      </w:tr>
      <w:tr w:rsidR="00F97D54" w:rsidTr="00EB5B97">
        <w:trPr>
          <w:trHeight w:val="720"/>
        </w:trPr>
        <w:tc>
          <w:tcPr>
            <w:tcW w:w="2012" w:type="dxa"/>
            <w:vAlign w:val="center"/>
          </w:tcPr>
          <w:p w:rsidR="00F97D54" w:rsidRDefault="00F97D54" w:rsidP="00EB5B97">
            <w:pPr>
              <w:rPr>
                <w:sz w:val="16"/>
                <w:szCs w:val="16"/>
              </w:rPr>
            </w:pPr>
            <w:r>
              <w:rPr>
                <w:sz w:val="16"/>
                <w:szCs w:val="16"/>
              </w:rPr>
              <w:t>Sold_bandwidth_Mobile</w:t>
            </w:r>
          </w:p>
        </w:tc>
        <w:tc>
          <w:tcPr>
            <w:tcW w:w="3646" w:type="dxa"/>
            <w:vAlign w:val="center"/>
          </w:tcPr>
          <w:p w:rsidR="00F97D54" w:rsidRDefault="00F97D54" w:rsidP="00EB5B97">
            <w:pPr>
              <w:rPr>
                <w:sz w:val="16"/>
                <w:szCs w:val="16"/>
              </w:rPr>
            </w:pPr>
            <w:r>
              <w:rPr>
                <w:sz w:val="16"/>
                <w:szCs w:val="16"/>
              </w:rPr>
              <w:t xml:space="preserve">Total bandwidth (in Mbps) of </w:t>
            </w:r>
            <w:r>
              <w:rPr>
                <w:i/>
                <w:sz w:val="16"/>
                <w:szCs w:val="16"/>
              </w:rPr>
              <w:t>C</w:t>
            </w:r>
            <w:r w:rsidRPr="00455609">
              <w:rPr>
                <w:i/>
                <w:sz w:val="16"/>
                <w:szCs w:val="16"/>
              </w:rPr>
              <w:t>onnections</w:t>
            </w:r>
            <w:r>
              <w:rPr>
                <w:sz w:val="16"/>
                <w:szCs w:val="16"/>
              </w:rPr>
              <w:t xml:space="preserve"> to cell sites at the </w:t>
            </w:r>
            <w:r w:rsidRPr="00095347">
              <w:rPr>
                <w:i/>
                <w:sz w:val="16"/>
                <w:szCs w:val="16"/>
              </w:rPr>
              <w:t>Location</w:t>
            </w:r>
            <w:r>
              <w:rPr>
                <w:sz w:val="16"/>
                <w:szCs w:val="16"/>
              </w:rPr>
              <w:t xml:space="preserve"> </w:t>
            </w:r>
            <w:r w:rsidRPr="00D113C6">
              <w:rPr>
                <w:sz w:val="16"/>
                <w:szCs w:val="16"/>
              </w:rPr>
              <w:t xml:space="preserve">as sold. </w:t>
            </w:r>
            <w:r>
              <w:rPr>
                <w:sz w:val="16"/>
                <w:szCs w:val="16"/>
              </w:rPr>
              <w:t xml:space="preserve"> </w:t>
            </w:r>
          </w:p>
        </w:tc>
        <w:tc>
          <w:tcPr>
            <w:tcW w:w="1492" w:type="dxa"/>
            <w:vAlign w:val="center"/>
          </w:tcPr>
          <w:p w:rsidR="00F97D54" w:rsidRDefault="00F97D54" w:rsidP="00EB5B97">
            <w:pPr>
              <w:rPr>
                <w:sz w:val="16"/>
                <w:szCs w:val="16"/>
              </w:rPr>
            </w:pPr>
            <w:r>
              <w:rPr>
                <w:sz w:val="16"/>
                <w:szCs w:val="16"/>
              </w:rPr>
              <w:t>Float</w:t>
            </w:r>
          </w:p>
        </w:tc>
        <w:tc>
          <w:tcPr>
            <w:tcW w:w="1688" w:type="dxa"/>
            <w:vAlign w:val="center"/>
          </w:tcPr>
          <w:p w:rsidR="00F97D54" w:rsidRDefault="00F97D54" w:rsidP="00EB5B97">
            <w:pPr>
              <w:rPr>
                <w:sz w:val="16"/>
                <w:szCs w:val="16"/>
              </w:rPr>
            </w:pPr>
            <w:r>
              <w:rPr>
                <w:sz w:val="16"/>
                <w:szCs w:val="16"/>
              </w:rPr>
              <w:t>1.544</w:t>
            </w:r>
          </w:p>
        </w:tc>
      </w:tr>
      <w:tr w:rsidR="00F97D54" w:rsidTr="00EB5B97">
        <w:trPr>
          <w:trHeight w:val="720"/>
        </w:trPr>
        <w:tc>
          <w:tcPr>
            <w:tcW w:w="2012" w:type="dxa"/>
            <w:tcBorders>
              <w:bottom w:val="double" w:sz="4" w:space="0" w:color="auto"/>
            </w:tcBorders>
            <w:vAlign w:val="center"/>
          </w:tcPr>
          <w:p w:rsidR="00F97D54" w:rsidRDefault="00F97D54" w:rsidP="00EB5B97">
            <w:pPr>
              <w:rPr>
                <w:sz w:val="16"/>
                <w:szCs w:val="16"/>
              </w:rPr>
            </w:pPr>
            <w:r>
              <w:rPr>
                <w:sz w:val="16"/>
                <w:szCs w:val="16"/>
              </w:rPr>
              <w:t>Bandwidth_Internal</w:t>
            </w:r>
          </w:p>
        </w:tc>
        <w:tc>
          <w:tcPr>
            <w:tcW w:w="3646" w:type="dxa"/>
            <w:tcBorders>
              <w:bottom w:val="double" w:sz="4" w:space="0" w:color="auto"/>
            </w:tcBorders>
            <w:vAlign w:val="center"/>
          </w:tcPr>
          <w:p w:rsidR="00F97D54" w:rsidRDefault="00F97D54" w:rsidP="00EB5B97">
            <w:pPr>
              <w:rPr>
                <w:sz w:val="16"/>
                <w:szCs w:val="16"/>
              </w:rPr>
            </w:pPr>
            <w:r>
              <w:rPr>
                <w:sz w:val="16"/>
                <w:szCs w:val="16"/>
              </w:rPr>
              <w:t>Total bandwidth used internally.</w:t>
            </w:r>
          </w:p>
        </w:tc>
        <w:tc>
          <w:tcPr>
            <w:tcW w:w="1492" w:type="dxa"/>
            <w:tcBorders>
              <w:bottom w:val="double" w:sz="4" w:space="0" w:color="auto"/>
            </w:tcBorders>
            <w:vAlign w:val="center"/>
          </w:tcPr>
          <w:p w:rsidR="00F97D54" w:rsidRDefault="00F97D54" w:rsidP="00EB5B97">
            <w:pPr>
              <w:rPr>
                <w:sz w:val="16"/>
                <w:szCs w:val="16"/>
              </w:rPr>
            </w:pPr>
            <w:r>
              <w:rPr>
                <w:sz w:val="16"/>
                <w:szCs w:val="16"/>
              </w:rPr>
              <w:t>Float</w:t>
            </w:r>
          </w:p>
        </w:tc>
        <w:tc>
          <w:tcPr>
            <w:tcW w:w="1688" w:type="dxa"/>
            <w:tcBorders>
              <w:bottom w:val="double" w:sz="4" w:space="0" w:color="auto"/>
            </w:tcBorders>
            <w:vAlign w:val="center"/>
          </w:tcPr>
          <w:p w:rsidR="00F97D54" w:rsidRDefault="00F97D54" w:rsidP="00EB5B97">
            <w:pPr>
              <w:rPr>
                <w:sz w:val="16"/>
                <w:szCs w:val="16"/>
              </w:rPr>
            </w:pPr>
            <w:r>
              <w:rPr>
                <w:sz w:val="16"/>
                <w:szCs w:val="16"/>
              </w:rPr>
              <w:t>1.544</w:t>
            </w:r>
          </w:p>
        </w:tc>
      </w:tr>
    </w:tbl>
    <w:p w:rsidR="00F97D54" w:rsidRDefault="00F97D54" w:rsidP="00EB5B97"/>
    <w:p w:rsidR="00F97D54" w:rsidRDefault="00F97D54" w:rsidP="00EB5B97">
      <w:pPr>
        <w:rPr>
          <w:szCs w:val="22"/>
        </w:rPr>
      </w:pPr>
      <w:r>
        <w:rPr>
          <w:szCs w:val="22"/>
        </w:rPr>
        <w:t xml:space="preserve">Instructions for Table II.A.4, Record Format for Each </w:t>
      </w:r>
      <w:r w:rsidRPr="007F341A">
        <w:rPr>
          <w:i/>
          <w:szCs w:val="22"/>
        </w:rPr>
        <w:t>Location</w:t>
      </w:r>
      <w:r>
        <w:rPr>
          <w:szCs w:val="22"/>
        </w:rPr>
        <w:t xml:space="preserve"> (</w:t>
      </w:r>
      <w:r w:rsidRPr="00E553CC">
        <w:rPr>
          <w:i/>
          <w:szCs w:val="22"/>
        </w:rPr>
        <w:t>Competitive Providers</w:t>
      </w:r>
      <w:r>
        <w:rPr>
          <w:szCs w:val="22"/>
        </w:rPr>
        <w:t>):</w:t>
      </w:r>
    </w:p>
    <w:p w:rsidR="00F97D54" w:rsidRDefault="00F97D54" w:rsidP="00EB5B97">
      <w:pPr>
        <w:rPr>
          <w:szCs w:val="22"/>
        </w:rPr>
      </w:pPr>
    </w:p>
    <w:p w:rsidR="00F97D54" w:rsidRDefault="00F97D54" w:rsidP="00EB5B97">
      <w:pPr>
        <w:numPr>
          <w:ilvl w:val="0"/>
          <w:numId w:val="24"/>
        </w:numPr>
        <w:rPr>
          <w:szCs w:val="22"/>
        </w:rPr>
      </w:pPr>
      <w:r>
        <w:rPr>
          <w:szCs w:val="22"/>
          <w:u w:val="single"/>
        </w:rPr>
        <w:t>Location</w:t>
      </w:r>
      <w:r w:rsidRPr="00095347">
        <w:rPr>
          <w:szCs w:val="22"/>
          <w:u w:val="single"/>
        </w:rPr>
        <w:t>_ID</w:t>
      </w:r>
      <w:r>
        <w:rPr>
          <w:szCs w:val="22"/>
        </w:rPr>
        <w:t xml:space="preserve">:  This </w:t>
      </w:r>
      <w:r w:rsidRPr="00126E39">
        <w:rPr>
          <w:szCs w:val="22"/>
        </w:rPr>
        <w:t xml:space="preserve">is a sequential integer ranging from 1 to the total number of </w:t>
      </w:r>
      <w:r>
        <w:rPr>
          <w:szCs w:val="22"/>
        </w:rPr>
        <w:t xml:space="preserve">unique </w:t>
      </w:r>
      <w:r w:rsidRPr="006B479C">
        <w:rPr>
          <w:i/>
          <w:szCs w:val="22"/>
        </w:rPr>
        <w:t>L</w:t>
      </w:r>
      <w:r w:rsidRPr="00126E39">
        <w:rPr>
          <w:i/>
          <w:szCs w:val="22"/>
        </w:rPr>
        <w:t>ocations</w:t>
      </w:r>
      <w:r w:rsidRPr="006B479C">
        <w:rPr>
          <w:szCs w:val="22"/>
        </w:rPr>
        <w:t xml:space="preserve"> to which your company had a </w:t>
      </w:r>
      <w:r>
        <w:rPr>
          <w:i/>
          <w:szCs w:val="22"/>
        </w:rPr>
        <w:t>C</w:t>
      </w:r>
      <w:r w:rsidRPr="00D26396">
        <w:rPr>
          <w:i/>
          <w:szCs w:val="22"/>
        </w:rPr>
        <w:t>onnection</w:t>
      </w:r>
      <w:r>
        <w:rPr>
          <w:szCs w:val="22"/>
        </w:rPr>
        <w:t xml:space="preserve"> during the year reported</w:t>
      </w:r>
      <w:r w:rsidRPr="00126E39">
        <w:rPr>
          <w:szCs w:val="22"/>
        </w:rPr>
        <w:t xml:space="preserve">.  </w:t>
      </w:r>
      <w:r>
        <w:rPr>
          <w:szCs w:val="22"/>
        </w:rPr>
        <w:t xml:space="preserve">This field is linked to the billing information reported in Question II.A.12 so that you must identify in Table II.A.4 every Location ID referenced in response to the billing information question.  </w:t>
      </w:r>
    </w:p>
    <w:p w:rsidR="00F97D54" w:rsidRDefault="00F97D54" w:rsidP="00EB5B97">
      <w:pPr>
        <w:numPr>
          <w:ilvl w:val="0"/>
          <w:numId w:val="24"/>
        </w:numPr>
        <w:rPr>
          <w:szCs w:val="22"/>
        </w:rPr>
      </w:pPr>
      <w:r w:rsidRPr="002664B4">
        <w:rPr>
          <w:szCs w:val="22"/>
          <w:u w:val="single"/>
        </w:rPr>
        <w:t>Year</w:t>
      </w:r>
      <w:r w:rsidRPr="002664B4">
        <w:rPr>
          <w:szCs w:val="22"/>
        </w:rPr>
        <w:t xml:space="preserve">:  Report the year during which your company had a </w:t>
      </w:r>
      <w:r w:rsidRPr="002664B4">
        <w:rPr>
          <w:i/>
          <w:szCs w:val="22"/>
        </w:rPr>
        <w:t>Connection</w:t>
      </w:r>
      <w:r w:rsidRPr="002664B4">
        <w:rPr>
          <w:szCs w:val="22"/>
        </w:rPr>
        <w:t xml:space="preserve"> to the </w:t>
      </w:r>
      <w:r w:rsidRPr="002664B4">
        <w:rPr>
          <w:i/>
          <w:szCs w:val="22"/>
        </w:rPr>
        <w:t>Location</w:t>
      </w:r>
      <w:r w:rsidRPr="002664B4">
        <w:rPr>
          <w:szCs w:val="22"/>
        </w:rPr>
        <w:t xml:space="preserve">, </w:t>
      </w:r>
      <w:r w:rsidRPr="002664B4">
        <w:rPr>
          <w:i/>
          <w:szCs w:val="22"/>
        </w:rPr>
        <w:t>i.e.</w:t>
      </w:r>
      <w:r w:rsidRPr="002664B4">
        <w:rPr>
          <w:szCs w:val="22"/>
        </w:rPr>
        <w:t xml:space="preserve">, </w:t>
      </w:r>
      <w:r>
        <w:rPr>
          <w:szCs w:val="22"/>
        </w:rPr>
        <w:t>2010</w:t>
      </w:r>
      <w:r w:rsidRPr="002664B4">
        <w:rPr>
          <w:szCs w:val="22"/>
        </w:rPr>
        <w:t xml:space="preserve"> or </w:t>
      </w:r>
      <w:r>
        <w:rPr>
          <w:szCs w:val="22"/>
        </w:rPr>
        <w:t>2012</w:t>
      </w:r>
      <w:r w:rsidRPr="002664B4">
        <w:rPr>
          <w:szCs w:val="22"/>
        </w:rPr>
        <w:t>.</w:t>
      </w:r>
    </w:p>
    <w:p w:rsidR="00F97D54" w:rsidRDefault="00F97D54" w:rsidP="00EB5B97">
      <w:pPr>
        <w:numPr>
          <w:ilvl w:val="0"/>
          <w:numId w:val="24"/>
        </w:numPr>
        <w:rPr>
          <w:szCs w:val="22"/>
        </w:rPr>
      </w:pPr>
      <w:r w:rsidRPr="00DA6AF5">
        <w:rPr>
          <w:szCs w:val="22"/>
        </w:rPr>
        <w:t xml:space="preserve">The data fields used to identify the actual situs address must be space-delimited in standardized Postal Service form.  </w:t>
      </w:r>
      <w:r w:rsidRPr="00DA6AF5">
        <w:rPr>
          <w:i/>
          <w:szCs w:val="22"/>
        </w:rPr>
        <w:t>See</w:t>
      </w:r>
      <w:r w:rsidRPr="00DA6AF5">
        <w:rPr>
          <w:szCs w:val="22"/>
        </w:rPr>
        <w:t xml:space="preserve"> </w:t>
      </w:r>
      <w:r w:rsidRPr="00E33B54">
        <w:rPr>
          <w:szCs w:val="22"/>
          <w:u w:val="single"/>
        </w:rPr>
        <w:t>http://pe.usps.gov/cpim/ftp/pubs/Pub28/pub28.pdf</w:t>
      </w:r>
      <w:r w:rsidRPr="00DA6AF5">
        <w:rPr>
          <w:szCs w:val="22"/>
        </w:rPr>
        <w:t xml:space="preserve">. </w:t>
      </w:r>
    </w:p>
    <w:p w:rsidR="00F97D54" w:rsidRDefault="00F97D54" w:rsidP="00EB5B97">
      <w:pPr>
        <w:numPr>
          <w:ilvl w:val="0"/>
          <w:numId w:val="24"/>
        </w:numPr>
        <w:rPr>
          <w:szCs w:val="22"/>
        </w:rPr>
      </w:pPr>
      <w:r w:rsidRPr="00DA6AF5">
        <w:rPr>
          <w:szCs w:val="22"/>
          <w:u w:val="single"/>
        </w:rPr>
        <w:t>Lat</w:t>
      </w:r>
      <w:r>
        <w:rPr>
          <w:szCs w:val="22"/>
          <w:u w:val="single"/>
        </w:rPr>
        <w:t>itude</w:t>
      </w:r>
      <w:r>
        <w:rPr>
          <w:szCs w:val="22"/>
        </w:rPr>
        <w:t xml:space="preserve"> and </w:t>
      </w:r>
      <w:r w:rsidRPr="00DA6AF5">
        <w:rPr>
          <w:szCs w:val="22"/>
          <w:u w:val="single"/>
        </w:rPr>
        <w:t>Long</w:t>
      </w:r>
      <w:r>
        <w:rPr>
          <w:szCs w:val="22"/>
          <w:u w:val="single"/>
        </w:rPr>
        <w:t>itude</w:t>
      </w:r>
      <w:r>
        <w:rPr>
          <w:szCs w:val="22"/>
        </w:rPr>
        <w:t>:  You can</w:t>
      </w:r>
      <w:r w:rsidRPr="00DA6AF5">
        <w:rPr>
          <w:szCs w:val="22"/>
        </w:rPr>
        <w:t xml:space="preserve"> derive the </w:t>
      </w:r>
      <w:r>
        <w:rPr>
          <w:szCs w:val="22"/>
        </w:rPr>
        <w:t>coordinate</w:t>
      </w:r>
      <w:r w:rsidRPr="00DA6AF5">
        <w:rPr>
          <w:szCs w:val="22"/>
        </w:rPr>
        <w:t xml:space="preserve"> fields for the</w:t>
      </w:r>
      <w:r>
        <w:rPr>
          <w:szCs w:val="22"/>
        </w:rPr>
        <w:t xml:space="preserve"> location address</w:t>
      </w:r>
      <w:r w:rsidRPr="00DA6AF5">
        <w:rPr>
          <w:szCs w:val="22"/>
        </w:rPr>
        <w:t xml:space="preserve"> from a known geocoding platform like Bing maps, Google, Yahoo, batchgeo.com, </w:t>
      </w:r>
      <w:r>
        <w:rPr>
          <w:szCs w:val="22"/>
        </w:rPr>
        <w:t xml:space="preserve">Texas A&amp;M Geoservices </w:t>
      </w:r>
      <w:r w:rsidRPr="00DA6AF5">
        <w:rPr>
          <w:szCs w:val="22"/>
        </w:rPr>
        <w:t xml:space="preserve">or other geocoding solution.  Enter values in decimal degrees </w:t>
      </w:r>
      <w:r>
        <w:rPr>
          <w:szCs w:val="22"/>
        </w:rPr>
        <w:t xml:space="preserve">to the nearest ±0.0005, </w:t>
      </w:r>
      <w:r>
        <w:rPr>
          <w:i/>
          <w:szCs w:val="22"/>
        </w:rPr>
        <w:t>i.e.</w:t>
      </w:r>
      <w:r>
        <w:rPr>
          <w:szCs w:val="22"/>
        </w:rPr>
        <w:t>, each coordinate must end in #.###0 or #.###5</w:t>
      </w:r>
      <w:r w:rsidRPr="00DA6AF5">
        <w:rPr>
          <w:szCs w:val="22"/>
        </w:rPr>
        <w:t>.  C</w:t>
      </w:r>
      <w:r>
        <w:rPr>
          <w:szCs w:val="22"/>
        </w:rPr>
        <w:t>oordinates must be in the WGS</w:t>
      </w:r>
      <w:r w:rsidRPr="00DA6AF5">
        <w:rPr>
          <w:szCs w:val="22"/>
        </w:rPr>
        <w:t xml:space="preserve">84 </w:t>
      </w:r>
      <w:r>
        <w:rPr>
          <w:szCs w:val="22"/>
        </w:rPr>
        <w:t xml:space="preserve">or NAD83 </w:t>
      </w:r>
      <w:r w:rsidRPr="00DA6AF5">
        <w:rPr>
          <w:szCs w:val="22"/>
        </w:rPr>
        <w:t>geographic coordinate system.</w:t>
      </w:r>
    </w:p>
    <w:p w:rsidR="00F97D54" w:rsidRPr="00A20779" w:rsidRDefault="00F97D54" w:rsidP="00EB5B97">
      <w:pPr>
        <w:numPr>
          <w:ilvl w:val="0"/>
          <w:numId w:val="24"/>
        </w:numPr>
        <w:rPr>
          <w:szCs w:val="22"/>
        </w:rPr>
      </w:pPr>
      <w:r w:rsidRPr="009422A4">
        <w:rPr>
          <w:szCs w:val="22"/>
          <w:u w:val="single"/>
        </w:rPr>
        <w:t>IRU_Supplier</w:t>
      </w:r>
      <w:r>
        <w:rPr>
          <w:szCs w:val="22"/>
        </w:rPr>
        <w:t xml:space="preserve">:  Because multiple dedicated communication paths serving one or more </w:t>
      </w:r>
      <w:r w:rsidRPr="00331A96">
        <w:rPr>
          <w:i/>
          <w:szCs w:val="22"/>
        </w:rPr>
        <w:t>End Users</w:t>
      </w:r>
      <w:r>
        <w:rPr>
          <w:szCs w:val="22"/>
        </w:rPr>
        <w:t xml:space="preserve"> at the same </w:t>
      </w:r>
      <w:r w:rsidRPr="00331A96">
        <w:rPr>
          <w:i/>
          <w:szCs w:val="22"/>
        </w:rPr>
        <w:t>Location</w:t>
      </w:r>
      <w:r>
        <w:rPr>
          <w:szCs w:val="22"/>
        </w:rPr>
        <w:t xml:space="preserve"> must be counted as a single </w:t>
      </w:r>
      <w:r w:rsidRPr="00331A96">
        <w:rPr>
          <w:i/>
          <w:szCs w:val="22"/>
        </w:rPr>
        <w:t>Connection</w:t>
      </w:r>
      <w:r>
        <w:rPr>
          <w:szCs w:val="22"/>
        </w:rPr>
        <w:t xml:space="preserve"> (</w:t>
      </w:r>
      <w:r w:rsidRPr="00331A96">
        <w:rPr>
          <w:i/>
          <w:szCs w:val="22"/>
        </w:rPr>
        <w:t>see</w:t>
      </w:r>
      <w:r>
        <w:rPr>
          <w:szCs w:val="22"/>
        </w:rPr>
        <w:t xml:space="preserve"> definition of </w:t>
      </w:r>
      <w:r w:rsidRPr="00331A96">
        <w:rPr>
          <w:i/>
          <w:szCs w:val="22"/>
        </w:rPr>
        <w:t>Connection</w:t>
      </w:r>
      <w:r>
        <w:rPr>
          <w:szCs w:val="22"/>
        </w:rPr>
        <w:t xml:space="preserve">), if you lease multiple </w:t>
      </w:r>
      <w:r w:rsidRPr="00331A96">
        <w:rPr>
          <w:i/>
          <w:szCs w:val="22"/>
        </w:rPr>
        <w:t>IRUs</w:t>
      </w:r>
      <w:r>
        <w:rPr>
          <w:szCs w:val="22"/>
        </w:rPr>
        <w:t xml:space="preserve"> to this </w:t>
      </w:r>
      <w:r w:rsidRPr="00331A96">
        <w:rPr>
          <w:i/>
          <w:szCs w:val="22"/>
        </w:rPr>
        <w:t>Location</w:t>
      </w:r>
      <w:r>
        <w:rPr>
          <w:szCs w:val="22"/>
        </w:rPr>
        <w:t xml:space="preserve"> from different </w:t>
      </w:r>
      <w:r w:rsidRPr="00331A96">
        <w:rPr>
          <w:i/>
          <w:szCs w:val="22"/>
        </w:rPr>
        <w:t>Providers</w:t>
      </w:r>
      <w:r>
        <w:rPr>
          <w:szCs w:val="22"/>
        </w:rPr>
        <w:t xml:space="preserve">, identify the </w:t>
      </w:r>
      <w:r w:rsidRPr="00331A96">
        <w:rPr>
          <w:i/>
          <w:szCs w:val="22"/>
        </w:rPr>
        <w:t>Provider</w:t>
      </w:r>
      <w:r>
        <w:rPr>
          <w:szCs w:val="22"/>
        </w:rPr>
        <w:t xml:space="preserve"> that supplies the majority of the capacity you lease per an </w:t>
      </w:r>
      <w:r w:rsidRPr="00331A96">
        <w:rPr>
          <w:i/>
          <w:szCs w:val="22"/>
        </w:rPr>
        <w:t>IRU</w:t>
      </w:r>
      <w:r>
        <w:rPr>
          <w:szCs w:val="22"/>
        </w:rPr>
        <w:t xml:space="preserve">.  If only one </w:t>
      </w:r>
      <w:r w:rsidRPr="00331A96">
        <w:rPr>
          <w:i/>
          <w:szCs w:val="22"/>
        </w:rPr>
        <w:t>Provider</w:t>
      </w:r>
      <w:r>
        <w:rPr>
          <w:szCs w:val="22"/>
        </w:rPr>
        <w:t xml:space="preserve"> supplies the </w:t>
      </w:r>
      <w:r w:rsidRPr="00331A96">
        <w:rPr>
          <w:i/>
          <w:szCs w:val="22"/>
        </w:rPr>
        <w:t>IRU</w:t>
      </w:r>
      <w:r>
        <w:rPr>
          <w:szCs w:val="22"/>
        </w:rPr>
        <w:t xml:space="preserve">(s), then identify that </w:t>
      </w:r>
      <w:r w:rsidRPr="00331A96">
        <w:rPr>
          <w:i/>
          <w:szCs w:val="22"/>
        </w:rPr>
        <w:t>Provider</w:t>
      </w:r>
      <w:r>
        <w:rPr>
          <w:szCs w:val="22"/>
        </w:rPr>
        <w:t xml:space="preserve"> as the supplier.  If you do not know the name of the supplier of your </w:t>
      </w:r>
      <w:r w:rsidRPr="00A20779">
        <w:rPr>
          <w:i/>
          <w:szCs w:val="22"/>
        </w:rPr>
        <w:t>Connection</w:t>
      </w:r>
      <w:r>
        <w:rPr>
          <w:i/>
          <w:szCs w:val="22"/>
        </w:rPr>
        <w:t>s</w:t>
      </w:r>
      <w:r>
        <w:rPr>
          <w:szCs w:val="22"/>
        </w:rPr>
        <w:t xml:space="preserve"> via </w:t>
      </w:r>
      <w:r w:rsidRPr="00A20779">
        <w:rPr>
          <w:i/>
          <w:szCs w:val="22"/>
        </w:rPr>
        <w:t>IRU</w:t>
      </w:r>
      <w:r>
        <w:rPr>
          <w:szCs w:val="22"/>
        </w:rPr>
        <w:t xml:space="preserve"> agreement(s), and cannot reasonably identify the supplier for each </w:t>
      </w:r>
      <w:r w:rsidRPr="00A20779">
        <w:rPr>
          <w:i/>
          <w:szCs w:val="22"/>
        </w:rPr>
        <w:t>IRU</w:t>
      </w:r>
      <w:r>
        <w:rPr>
          <w:szCs w:val="22"/>
        </w:rPr>
        <w:t xml:space="preserve">, you can alternatively enter “unknown” in this field and indicate in the Explanatory Attachment the total number of </w:t>
      </w:r>
      <w:r w:rsidRPr="00A20779">
        <w:rPr>
          <w:i/>
          <w:szCs w:val="22"/>
        </w:rPr>
        <w:t>Connections</w:t>
      </w:r>
      <w:r>
        <w:rPr>
          <w:szCs w:val="22"/>
        </w:rPr>
        <w:t xml:space="preserve"> to </w:t>
      </w:r>
      <w:r w:rsidRPr="00A20779">
        <w:rPr>
          <w:i/>
          <w:szCs w:val="22"/>
        </w:rPr>
        <w:t>Locations</w:t>
      </w:r>
      <w:r>
        <w:rPr>
          <w:szCs w:val="22"/>
        </w:rPr>
        <w:t xml:space="preserve"> you obtain as an </w:t>
      </w:r>
      <w:r w:rsidRPr="00A20779">
        <w:rPr>
          <w:i/>
          <w:szCs w:val="22"/>
        </w:rPr>
        <w:t>IRU</w:t>
      </w:r>
      <w:r>
        <w:rPr>
          <w:szCs w:val="22"/>
        </w:rPr>
        <w:t xml:space="preserve"> and the general percentage of </w:t>
      </w:r>
      <w:r w:rsidRPr="00A20779">
        <w:rPr>
          <w:i/>
          <w:szCs w:val="22"/>
        </w:rPr>
        <w:t>IRU</w:t>
      </w:r>
      <w:r>
        <w:rPr>
          <w:szCs w:val="22"/>
        </w:rPr>
        <w:t xml:space="preserve"> leasing arrangements you have with particular types of suppliers, </w:t>
      </w:r>
      <w:r w:rsidRPr="00A20779">
        <w:rPr>
          <w:i/>
          <w:szCs w:val="22"/>
        </w:rPr>
        <w:t>e.g.</w:t>
      </w:r>
      <w:r>
        <w:rPr>
          <w:szCs w:val="22"/>
        </w:rPr>
        <w:t xml:space="preserve">, 45% of our </w:t>
      </w:r>
      <w:r w:rsidRPr="00A20779">
        <w:rPr>
          <w:i/>
          <w:szCs w:val="22"/>
        </w:rPr>
        <w:t>IRUs</w:t>
      </w:r>
      <w:r>
        <w:rPr>
          <w:szCs w:val="22"/>
        </w:rPr>
        <w:t xml:space="preserve"> are with </w:t>
      </w:r>
      <w:r w:rsidRPr="00A20779">
        <w:rPr>
          <w:i/>
          <w:szCs w:val="22"/>
        </w:rPr>
        <w:t>ILECs</w:t>
      </w:r>
      <w:r>
        <w:rPr>
          <w:szCs w:val="22"/>
        </w:rPr>
        <w:t xml:space="preserve">, 55% with </w:t>
      </w:r>
      <w:r w:rsidRPr="00A20779">
        <w:rPr>
          <w:i/>
          <w:szCs w:val="22"/>
        </w:rPr>
        <w:t>Competitive Providers</w:t>
      </w:r>
      <w:r>
        <w:rPr>
          <w:szCs w:val="22"/>
        </w:rPr>
        <w:t xml:space="preserve"> or non-</w:t>
      </w:r>
      <w:r w:rsidRPr="00A20779">
        <w:rPr>
          <w:i/>
          <w:szCs w:val="22"/>
        </w:rPr>
        <w:t>ILECs</w:t>
      </w:r>
      <w:r>
        <w:rPr>
          <w:szCs w:val="22"/>
        </w:rPr>
        <w:t xml:space="preserve">. </w:t>
      </w:r>
    </w:p>
    <w:p w:rsidR="00F97D54" w:rsidRDefault="00F97D54" w:rsidP="00EB5B97">
      <w:pPr>
        <w:numPr>
          <w:ilvl w:val="0"/>
          <w:numId w:val="24"/>
        </w:numPr>
        <w:rPr>
          <w:szCs w:val="22"/>
        </w:rPr>
      </w:pPr>
      <w:r w:rsidRPr="00DA6AF5">
        <w:rPr>
          <w:szCs w:val="22"/>
          <w:u w:val="single"/>
        </w:rPr>
        <w:t>Sold_bandwidth</w:t>
      </w:r>
      <w:r>
        <w:rPr>
          <w:szCs w:val="22"/>
        </w:rPr>
        <w:t xml:space="preserve"> fields:  </w:t>
      </w:r>
      <w:r w:rsidRPr="00DA6AF5">
        <w:rPr>
          <w:szCs w:val="22"/>
        </w:rPr>
        <w:t xml:space="preserve">These data fields call for the reporting of total bandwidth sold.  Report the downstream or upstream bandwidth of </w:t>
      </w:r>
      <w:r w:rsidRPr="00DA6AF5">
        <w:rPr>
          <w:i/>
          <w:szCs w:val="22"/>
        </w:rPr>
        <w:t>Dedicated Services</w:t>
      </w:r>
      <w:r w:rsidRPr="00DA6AF5">
        <w:rPr>
          <w:szCs w:val="22"/>
        </w:rPr>
        <w:t xml:space="preserve"> sold across all sold </w:t>
      </w:r>
      <w:r w:rsidRPr="00DA6AF5">
        <w:rPr>
          <w:i/>
          <w:szCs w:val="22"/>
        </w:rPr>
        <w:t>Connections</w:t>
      </w:r>
      <w:r w:rsidRPr="00DA6AF5">
        <w:rPr>
          <w:szCs w:val="22"/>
        </w:rPr>
        <w:t xml:space="preserve"> of the type requested at the </w:t>
      </w:r>
      <w:r w:rsidRPr="00DA6AF5">
        <w:rPr>
          <w:i/>
          <w:szCs w:val="22"/>
        </w:rPr>
        <w:t>Location</w:t>
      </w:r>
      <w:r w:rsidRPr="00DA6AF5">
        <w:rPr>
          <w:szCs w:val="22"/>
        </w:rPr>
        <w:t xml:space="preserve"> as of December 31 of the year.  Report the upstream or downstream bandwidth for symmetric services.  For asymmetric services, report the average of the upstream and downstream bandwidths.  For example, for a DS1 record 1.544, for three DS1s record 4.63</w:t>
      </w:r>
      <w:r>
        <w:rPr>
          <w:szCs w:val="22"/>
        </w:rPr>
        <w:t>2</w:t>
      </w:r>
      <w:r w:rsidRPr="00DA6AF5">
        <w:rPr>
          <w:szCs w:val="22"/>
        </w:rPr>
        <w:t xml:space="preserve">, while for a 10 Gbit Ethernet service, </w:t>
      </w:r>
      <w:r>
        <w:rPr>
          <w:szCs w:val="22"/>
        </w:rPr>
        <w:t>10,240</w:t>
      </w:r>
      <w:r w:rsidRPr="00DA6AF5">
        <w:rPr>
          <w:szCs w:val="22"/>
        </w:rPr>
        <w:t>, and for a fractional DS1 sold as a 384 Kbps service record 0.</w:t>
      </w:r>
      <w:r>
        <w:rPr>
          <w:szCs w:val="22"/>
        </w:rPr>
        <w:t>375</w:t>
      </w:r>
      <w:r w:rsidRPr="00DA6AF5">
        <w:rPr>
          <w:szCs w:val="22"/>
        </w:rPr>
        <w:t xml:space="preserve">.  In the case where a </w:t>
      </w:r>
      <w:r w:rsidRPr="00DA6AF5">
        <w:rPr>
          <w:i/>
          <w:szCs w:val="22"/>
        </w:rPr>
        <w:t>Connection</w:t>
      </w:r>
      <w:r w:rsidRPr="00DA6AF5">
        <w:rPr>
          <w:szCs w:val="22"/>
        </w:rPr>
        <w:t xml:space="preserve"> is in place but no bandwidth was provided as of December 31 of the year, enter </w:t>
      </w:r>
      <w:r>
        <w:rPr>
          <w:szCs w:val="22"/>
        </w:rPr>
        <w:t>the total bandwidth sold at the last known date during the relevant reporting period.  For example</w:t>
      </w:r>
      <w:r w:rsidRPr="00DA6AF5">
        <w:rPr>
          <w:szCs w:val="22"/>
        </w:rPr>
        <w:t xml:space="preserve">, a customer or customers at the </w:t>
      </w:r>
      <w:r w:rsidRPr="00DA6AF5">
        <w:rPr>
          <w:i/>
          <w:szCs w:val="22"/>
        </w:rPr>
        <w:t>Location</w:t>
      </w:r>
      <w:r w:rsidRPr="00DA6AF5">
        <w:rPr>
          <w:szCs w:val="22"/>
        </w:rPr>
        <w:t xml:space="preserve"> purchased service through October of the year but then terminated the service</w:t>
      </w:r>
      <w:r>
        <w:rPr>
          <w:szCs w:val="22"/>
        </w:rPr>
        <w:t xml:space="preserve"> so that there was no service sold as of</w:t>
      </w:r>
      <w:r w:rsidRPr="00DA6AF5">
        <w:rPr>
          <w:szCs w:val="22"/>
        </w:rPr>
        <w:t xml:space="preserve"> December 31</w:t>
      </w:r>
      <w:r>
        <w:rPr>
          <w:szCs w:val="22"/>
        </w:rPr>
        <w:t>; in that instance, report the total bandwidth sold in October</w:t>
      </w:r>
      <w:r w:rsidRPr="00DA6AF5">
        <w:rPr>
          <w:szCs w:val="22"/>
        </w:rPr>
        <w:t xml:space="preserve">.  Exclude services other than </w:t>
      </w:r>
      <w:r w:rsidRPr="00DA6AF5">
        <w:rPr>
          <w:i/>
          <w:szCs w:val="22"/>
        </w:rPr>
        <w:t>Dedicated Service</w:t>
      </w:r>
      <w:r w:rsidRPr="00DA6AF5">
        <w:rPr>
          <w:szCs w:val="22"/>
        </w:rPr>
        <w:t xml:space="preserve"> provided to the </w:t>
      </w:r>
      <w:r w:rsidRPr="00DA6AF5">
        <w:rPr>
          <w:i/>
          <w:szCs w:val="22"/>
        </w:rPr>
        <w:t>Location</w:t>
      </w:r>
      <w:r w:rsidRPr="00DA6AF5">
        <w:rPr>
          <w:szCs w:val="22"/>
        </w:rPr>
        <w:t xml:space="preserve"> from your re</w:t>
      </w:r>
      <w:r>
        <w:rPr>
          <w:szCs w:val="22"/>
        </w:rPr>
        <w:t>sponse</w:t>
      </w:r>
      <w:r w:rsidRPr="00DA6AF5">
        <w:rPr>
          <w:szCs w:val="22"/>
        </w:rPr>
        <w:t xml:space="preserve">.  In the case where no </w:t>
      </w:r>
      <w:r w:rsidRPr="00DA6AF5">
        <w:rPr>
          <w:i/>
          <w:szCs w:val="22"/>
        </w:rPr>
        <w:t>Dedicated Service</w:t>
      </w:r>
      <w:r w:rsidRPr="00DA6AF5">
        <w:rPr>
          <w:szCs w:val="22"/>
        </w:rPr>
        <w:t xml:space="preserve"> was sold to the </w:t>
      </w:r>
      <w:r w:rsidRPr="00DA6AF5">
        <w:rPr>
          <w:i/>
          <w:szCs w:val="22"/>
        </w:rPr>
        <w:t>Location</w:t>
      </w:r>
      <w:r w:rsidRPr="00DA6AF5">
        <w:rPr>
          <w:szCs w:val="22"/>
        </w:rPr>
        <w:t>, enter zero</w:t>
      </w:r>
      <w:r>
        <w:rPr>
          <w:szCs w:val="22"/>
        </w:rPr>
        <w:t>.</w:t>
      </w:r>
      <w:r w:rsidRPr="00DA6AF5">
        <w:rPr>
          <w:szCs w:val="22"/>
        </w:rPr>
        <w:t xml:space="preserve"> </w:t>
      </w:r>
    </w:p>
    <w:p w:rsidR="00F97D54" w:rsidRPr="00DA6AF5" w:rsidRDefault="00F97D54" w:rsidP="00EB5B97">
      <w:pPr>
        <w:numPr>
          <w:ilvl w:val="0"/>
          <w:numId w:val="24"/>
        </w:numPr>
        <w:rPr>
          <w:szCs w:val="22"/>
        </w:rPr>
      </w:pPr>
      <w:r w:rsidRPr="005E2E47">
        <w:rPr>
          <w:szCs w:val="22"/>
          <w:u w:val="single"/>
        </w:rPr>
        <w:t>Bandwidth_Internal</w:t>
      </w:r>
      <w:r>
        <w:rPr>
          <w:szCs w:val="22"/>
        </w:rPr>
        <w:t xml:space="preserve">:  </w:t>
      </w:r>
      <w:r w:rsidRPr="005E2E47">
        <w:rPr>
          <w:szCs w:val="22"/>
        </w:rPr>
        <w:t xml:space="preserve">If you are using </w:t>
      </w:r>
      <w:r>
        <w:rPr>
          <w:szCs w:val="22"/>
        </w:rPr>
        <w:t xml:space="preserve">bandwidth on this </w:t>
      </w:r>
      <w:r w:rsidRPr="005E2E47">
        <w:rPr>
          <w:i/>
          <w:szCs w:val="22"/>
        </w:rPr>
        <w:t>Connection</w:t>
      </w:r>
      <w:r w:rsidRPr="005E2E47">
        <w:rPr>
          <w:szCs w:val="22"/>
        </w:rPr>
        <w:t xml:space="preserve"> </w:t>
      </w:r>
      <w:r>
        <w:rPr>
          <w:szCs w:val="22"/>
        </w:rPr>
        <w:t xml:space="preserve">to the </w:t>
      </w:r>
      <w:r w:rsidRPr="005E2E47">
        <w:rPr>
          <w:i/>
          <w:szCs w:val="22"/>
        </w:rPr>
        <w:t>Location</w:t>
      </w:r>
      <w:r>
        <w:rPr>
          <w:szCs w:val="22"/>
        </w:rPr>
        <w:t xml:space="preserve"> </w:t>
      </w:r>
      <w:r w:rsidRPr="005E2E47">
        <w:rPr>
          <w:szCs w:val="22"/>
        </w:rPr>
        <w:t xml:space="preserve">for your own internal purposes, </w:t>
      </w:r>
      <w:r w:rsidRPr="00541D13">
        <w:rPr>
          <w:i/>
          <w:szCs w:val="22"/>
        </w:rPr>
        <w:t>i.e.</w:t>
      </w:r>
      <w:r w:rsidRPr="005E2E47">
        <w:rPr>
          <w:szCs w:val="22"/>
        </w:rPr>
        <w:t xml:space="preserve">, self-provisioning service to yourself or an </w:t>
      </w:r>
      <w:r w:rsidRPr="005E2E47">
        <w:rPr>
          <w:i/>
          <w:szCs w:val="22"/>
        </w:rPr>
        <w:t>Affiliated Company</w:t>
      </w:r>
      <w:r w:rsidRPr="005E2E47">
        <w:rPr>
          <w:szCs w:val="22"/>
        </w:rPr>
        <w:t>, then report the</w:t>
      </w:r>
      <w:r>
        <w:rPr>
          <w:szCs w:val="22"/>
        </w:rPr>
        <w:t xml:space="preserve"> total bandwidth used internally as of December 31 of the year.  </w:t>
      </w:r>
      <w:r w:rsidRPr="00DA6AF5">
        <w:rPr>
          <w:szCs w:val="22"/>
        </w:rPr>
        <w:t>Report the upstream or downstream bandwidth for symmetric services.  For asymmetric services, report the average of the upstream and downstream bandwidths.  For example, for a DS1 record 1.544, for three DS1s record 4.63</w:t>
      </w:r>
      <w:r>
        <w:rPr>
          <w:szCs w:val="22"/>
        </w:rPr>
        <w:t>2</w:t>
      </w:r>
      <w:r w:rsidRPr="00DA6AF5">
        <w:rPr>
          <w:szCs w:val="22"/>
        </w:rPr>
        <w:t xml:space="preserve">, while for a 10 Gbit Ethernet service, </w:t>
      </w:r>
      <w:r>
        <w:rPr>
          <w:szCs w:val="22"/>
        </w:rPr>
        <w:t>10,240</w:t>
      </w:r>
      <w:r w:rsidRPr="00DA6AF5">
        <w:rPr>
          <w:szCs w:val="22"/>
        </w:rPr>
        <w:t>, and for a fractional DS1 sold as a 384 Kbps service record 0.</w:t>
      </w:r>
      <w:r>
        <w:rPr>
          <w:szCs w:val="22"/>
        </w:rPr>
        <w:t>375</w:t>
      </w:r>
      <w:r w:rsidRPr="00DA6AF5">
        <w:rPr>
          <w:szCs w:val="22"/>
        </w:rPr>
        <w:t xml:space="preserve">.  In the case where a </w:t>
      </w:r>
      <w:r w:rsidRPr="00DA6AF5">
        <w:rPr>
          <w:i/>
          <w:szCs w:val="22"/>
        </w:rPr>
        <w:t>Connection</w:t>
      </w:r>
      <w:r w:rsidRPr="00DA6AF5">
        <w:rPr>
          <w:szCs w:val="22"/>
        </w:rPr>
        <w:t xml:space="preserve"> is in place but no bandwidth was </w:t>
      </w:r>
      <w:r>
        <w:rPr>
          <w:szCs w:val="22"/>
        </w:rPr>
        <w:t>used internally</w:t>
      </w:r>
      <w:r w:rsidRPr="00DA6AF5">
        <w:rPr>
          <w:szCs w:val="22"/>
        </w:rPr>
        <w:t xml:space="preserve"> as of December 31 of the year, enter </w:t>
      </w:r>
      <w:r>
        <w:rPr>
          <w:szCs w:val="22"/>
        </w:rPr>
        <w:t xml:space="preserve">the total bandwidth used internally at the last known date during the relevant reporting period.  </w:t>
      </w:r>
      <w:r w:rsidRPr="00DA6AF5">
        <w:rPr>
          <w:szCs w:val="22"/>
        </w:rPr>
        <w:t xml:space="preserve">In the case where no </w:t>
      </w:r>
      <w:r>
        <w:rPr>
          <w:szCs w:val="22"/>
        </w:rPr>
        <w:t>bandwidth</w:t>
      </w:r>
      <w:r w:rsidRPr="00DA6AF5">
        <w:rPr>
          <w:szCs w:val="22"/>
        </w:rPr>
        <w:t xml:space="preserve"> was </w:t>
      </w:r>
      <w:r>
        <w:rPr>
          <w:szCs w:val="22"/>
        </w:rPr>
        <w:t xml:space="preserve">used for internal use, </w:t>
      </w:r>
      <w:r w:rsidRPr="00DA6AF5">
        <w:rPr>
          <w:szCs w:val="22"/>
        </w:rPr>
        <w:t>enter zero</w:t>
      </w:r>
      <w:r>
        <w:rPr>
          <w:szCs w:val="22"/>
        </w:rPr>
        <w:t>.</w:t>
      </w:r>
    </w:p>
    <w:p w:rsidR="00F97D54" w:rsidRDefault="00F97D54" w:rsidP="00EB5B97">
      <w:pPr>
        <w:rPr>
          <w:szCs w:val="22"/>
          <w:u w:val="single"/>
        </w:rPr>
      </w:pPr>
    </w:p>
    <w:p w:rsidR="00F97D54" w:rsidRPr="00F97D54" w:rsidRDefault="00F97D54" w:rsidP="00F97D54">
      <w:pPr>
        <w:pStyle w:val="Heading4"/>
        <w:numPr>
          <w:ilvl w:val="0"/>
          <w:numId w:val="0"/>
        </w:numPr>
        <w:rPr>
          <w:b w:val="0"/>
          <w:i/>
          <w:szCs w:val="22"/>
        </w:rPr>
      </w:pPr>
      <w:bookmarkStart w:id="95" w:name="_Toc365972084"/>
      <w:r w:rsidRPr="00F97D54">
        <w:rPr>
          <w:b w:val="0"/>
          <w:i/>
        </w:rPr>
        <w:t>Question II.A.5:  Fiber Network Map</w:t>
      </w:r>
      <w:bookmarkEnd w:id="95"/>
    </w:p>
    <w:p w:rsidR="00F97D54" w:rsidRDefault="00F32374" w:rsidP="00EB5B97">
      <w:pPr>
        <w:autoSpaceDE w:val="0"/>
        <w:autoSpaceDN w:val="0"/>
        <w:adjustRightInd w:val="0"/>
      </w:pPr>
      <w:r>
        <w:rPr>
          <w:i/>
        </w:rPr>
        <w:t xml:space="preserve">Fiber </w:t>
      </w:r>
      <w:r w:rsidRPr="00F32374">
        <w:rPr>
          <w:i/>
        </w:rPr>
        <w:t>Map</w:t>
      </w:r>
      <w:r>
        <w:t xml:space="preserve">.  </w:t>
      </w:r>
      <w:r w:rsidR="00F97D54" w:rsidRPr="00CD5011">
        <w:rPr>
          <w:i/>
        </w:rPr>
        <w:t>Competitive</w:t>
      </w:r>
      <w:r w:rsidR="00F97D54" w:rsidRPr="00A80213">
        <w:rPr>
          <w:i/>
        </w:rPr>
        <w:t xml:space="preserve"> Providers</w:t>
      </w:r>
      <w:r w:rsidR="00F97D54">
        <w:t xml:space="preserve"> must provide a map of the fiber routes that constitute their network.  Include those fiber “spans” (</w:t>
      </w:r>
      <w:r w:rsidR="00F97D54">
        <w:rPr>
          <w:i/>
        </w:rPr>
        <w:t>i.e.,</w:t>
      </w:r>
      <w:r w:rsidR="00F97D54">
        <w:t xml:space="preserve"> lengths of fiber with terminating equipment on both ends) within your network that you (i) own or (ii) lease pursuant an </w:t>
      </w:r>
      <w:r w:rsidR="00F97D54" w:rsidRPr="00C26F9D">
        <w:rPr>
          <w:i/>
        </w:rPr>
        <w:t>IRU</w:t>
      </w:r>
      <w:r w:rsidR="00F97D54">
        <w:t xml:space="preserve"> agreement.  The map must show the fiber routes that constitute your network, including the “middle-mile” transport fiber network and any fiber routes to </w:t>
      </w:r>
      <w:r w:rsidR="00F97D54" w:rsidRPr="0078249F">
        <w:rPr>
          <w:i/>
        </w:rPr>
        <w:t>Locations</w:t>
      </w:r>
      <w:r w:rsidR="00F97D54">
        <w:t xml:space="preserve">.        </w:t>
      </w:r>
    </w:p>
    <w:p w:rsidR="00F97D54" w:rsidRDefault="00F97D54" w:rsidP="00EB5B97">
      <w:pPr>
        <w:autoSpaceDE w:val="0"/>
        <w:autoSpaceDN w:val="0"/>
        <w:adjustRightInd w:val="0"/>
      </w:pPr>
    </w:p>
    <w:p w:rsidR="00F97D54" w:rsidRDefault="00F97D54" w:rsidP="00EB5B97">
      <w:pPr>
        <w:autoSpaceDE w:val="0"/>
        <w:autoSpaceDN w:val="0"/>
        <w:adjustRightInd w:val="0"/>
      </w:pPr>
      <w:r>
        <w:t xml:space="preserve">You can file either a single map showing your network throughout your service territories in the United States or file separate maps showing the network on a regional/local basis.  Filers are not required to include their long haul connections between service territories, </w:t>
      </w:r>
      <w:r w:rsidRPr="00E125D6">
        <w:rPr>
          <w:i/>
        </w:rPr>
        <w:t>e.g.</w:t>
      </w:r>
      <w:r>
        <w:t>, interLATA connections between points of presence (POP) such as the connections between a POP in Los Angeles, California and POP in New York City.</w:t>
      </w:r>
    </w:p>
    <w:p w:rsidR="00F97D54" w:rsidRDefault="00F97D54" w:rsidP="00EB5B97">
      <w:pPr>
        <w:autoSpaceDE w:val="0"/>
        <w:autoSpaceDN w:val="0"/>
        <w:adjustRightInd w:val="0"/>
      </w:pPr>
    </w:p>
    <w:p w:rsidR="00F97D54" w:rsidRDefault="00576CE8" w:rsidP="00EB5B97">
      <w:pPr>
        <w:autoSpaceDE w:val="0"/>
        <w:autoSpaceDN w:val="0"/>
        <w:adjustRightInd w:val="0"/>
      </w:pPr>
      <w:r>
        <w:rPr>
          <w:i/>
          <w:u w:val="single"/>
        </w:rPr>
        <w:t>Nodes</w:t>
      </w:r>
      <w:r w:rsidR="00F97D54">
        <w:t>.  Identify</w:t>
      </w:r>
      <w:r w:rsidR="00F97D54" w:rsidRPr="00E413A3">
        <w:t xml:space="preserve"> all </w:t>
      </w:r>
      <w:r w:rsidR="00F97D54">
        <w:rPr>
          <w:i/>
        </w:rPr>
        <w:t>N</w:t>
      </w:r>
      <w:r w:rsidR="00F97D54" w:rsidRPr="00D80A48">
        <w:rPr>
          <w:i/>
        </w:rPr>
        <w:t>odes</w:t>
      </w:r>
      <w:r w:rsidR="00F97D54">
        <w:t xml:space="preserve"> on your</w:t>
      </w:r>
      <w:r w:rsidR="00F97D54" w:rsidRPr="00E413A3">
        <w:t xml:space="preserve"> network </w:t>
      </w:r>
      <w:r w:rsidR="00F97D54">
        <w:t>that</w:t>
      </w:r>
      <w:r w:rsidR="00F97D54" w:rsidRPr="00E413A3">
        <w:t xml:space="preserve"> are points of interconnection with</w:t>
      </w:r>
      <w:r w:rsidR="00F97D54">
        <w:t xml:space="preserve"> the networks of</w:t>
      </w:r>
      <w:r w:rsidR="00F97D54" w:rsidRPr="00E413A3">
        <w:t xml:space="preserve"> other </w:t>
      </w:r>
      <w:r w:rsidR="00F97D54">
        <w:rPr>
          <w:i/>
        </w:rPr>
        <w:t>P</w:t>
      </w:r>
      <w:r w:rsidR="00F97D54" w:rsidRPr="00D80A48">
        <w:rPr>
          <w:i/>
        </w:rPr>
        <w:t>roviders</w:t>
      </w:r>
      <w:r w:rsidR="00F97D54">
        <w:t xml:space="preserve"> and </w:t>
      </w:r>
      <w:r w:rsidR="00F97D54" w:rsidRPr="00E413A3">
        <w:t xml:space="preserve">indicate the year </w:t>
      </w:r>
      <w:r w:rsidR="00F97D54">
        <w:t xml:space="preserve">that the </w:t>
      </w:r>
      <w:r w:rsidR="00F97D54">
        <w:rPr>
          <w:i/>
        </w:rPr>
        <w:t>N</w:t>
      </w:r>
      <w:r w:rsidR="00F97D54" w:rsidRPr="00D80A48">
        <w:rPr>
          <w:i/>
        </w:rPr>
        <w:t>ode</w:t>
      </w:r>
      <w:r w:rsidR="00F97D54">
        <w:t xml:space="preserve"> was first used for interconnecting with another </w:t>
      </w:r>
      <w:r w:rsidR="00F97D54">
        <w:rPr>
          <w:i/>
        </w:rPr>
        <w:t>P</w:t>
      </w:r>
      <w:r w:rsidR="00F97D54" w:rsidRPr="00D80A48">
        <w:rPr>
          <w:i/>
        </w:rPr>
        <w:t>rovider</w:t>
      </w:r>
      <w:r w:rsidR="00F97D54">
        <w:t xml:space="preserve">.  </w:t>
      </w:r>
      <w:r>
        <w:t xml:space="preserve">Cable system operators must also separately indicate those </w:t>
      </w:r>
      <w:r w:rsidRPr="00CD5011">
        <w:rPr>
          <w:i/>
        </w:rPr>
        <w:t>Nodes</w:t>
      </w:r>
      <w:r>
        <w:t xml:space="preserve"> that are headends that have been upgraded to provide a Metro Ethernet (or its equivalent) service.  </w:t>
      </w:r>
      <w:r w:rsidR="00F97D54">
        <w:t xml:space="preserve">In lieu of identifying </w:t>
      </w:r>
      <w:r w:rsidR="00F97D54" w:rsidRPr="00402F23">
        <w:rPr>
          <w:i/>
        </w:rPr>
        <w:t>Nodes</w:t>
      </w:r>
      <w:r w:rsidR="00F97D54">
        <w:t xml:space="preserve"> used for interconnection, you can submit to the Commission the interconnection data on file with the </w:t>
      </w:r>
      <w:r w:rsidR="00F97D54" w:rsidRPr="0031458B">
        <w:t>Central Location Online Entry System (CLONES) database</w:t>
      </w:r>
      <w:r w:rsidR="00F97D54">
        <w:t xml:space="preserve"> for your operations.</w:t>
      </w:r>
      <w:r w:rsidR="00F97D54">
        <w:rPr>
          <w:rStyle w:val="FootnoteReference"/>
        </w:rPr>
        <w:footnoteReference w:id="196"/>
      </w:r>
      <w:r w:rsidR="00F97D54">
        <w:t xml:space="preserve">  The certification submitted in connection with your submission will attest that the CLONES data are current and accurately depict your network interconnection points and the “live” dates to the best of your knowledge.    </w:t>
      </w:r>
    </w:p>
    <w:p w:rsidR="00F97D54" w:rsidRDefault="00F97D54" w:rsidP="00EB5B97">
      <w:pPr>
        <w:autoSpaceDE w:val="0"/>
        <w:autoSpaceDN w:val="0"/>
        <w:adjustRightInd w:val="0"/>
      </w:pPr>
    </w:p>
    <w:p w:rsidR="00F97D54" w:rsidRDefault="00F97D54" w:rsidP="00EB5B97">
      <w:pPr>
        <w:autoSpaceDE w:val="0"/>
        <w:autoSpaceDN w:val="0"/>
        <w:adjustRightInd w:val="0"/>
      </w:pPr>
      <w:r>
        <w:t>Mapping information must be provided as a separate ESRI Shapefile using a line feature class containing the data for each feature as noted below.</w:t>
      </w:r>
    </w:p>
    <w:p w:rsidR="0083344C" w:rsidRDefault="0083344C">
      <w:pPr>
        <w:widowControl/>
      </w:pPr>
      <w:r>
        <w:br w:type="page"/>
      </w:r>
    </w:p>
    <w:p w:rsidR="00F97D54" w:rsidRDefault="00F97D54" w:rsidP="00EB5B97">
      <w:pPr>
        <w:autoSpaceDE w:val="0"/>
        <w:autoSpaceDN w:val="0"/>
        <w:adjustRightInd w:val="0"/>
      </w:pPr>
    </w:p>
    <w:tbl>
      <w:tblPr>
        <w:tblW w:w="0" w:type="auto"/>
        <w:tblLook w:val="01E0" w:firstRow="1" w:lastRow="1" w:firstColumn="1" w:lastColumn="1" w:noHBand="0" w:noVBand="0"/>
      </w:tblPr>
      <w:tblGrid>
        <w:gridCol w:w="1631"/>
        <w:gridCol w:w="4400"/>
        <w:gridCol w:w="1061"/>
        <w:gridCol w:w="1764"/>
      </w:tblGrid>
      <w:tr w:rsidR="00F97D54" w:rsidTr="00EB5B97">
        <w:trPr>
          <w:trHeight w:val="432"/>
          <w:tblHeader/>
        </w:trPr>
        <w:tc>
          <w:tcPr>
            <w:tcW w:w="8856" w:type="dxa"/>
            <w:gridSpan w:val="4"/>
            <w:tcBorders>
              <w:top w:val="double" w:sz="4" w:space="0" w:color="auto"/>
              <w:bottom w:val="single" w:sz="4" w:space="0" w:color="auto"/>
            </w:tcBorders>
            <w:vAlign w:val="center"/>
          </w:tcPr>
          <w:p w:rsidR="00F97D54" w:rsidRDefault="00F97D54" w:rsidP="00EB5B97">
            <w:pPr>
              <w:jc w:val="center"/>
              <w:rPr>
                <w:rFonts w:ascii="Times New Roman Bold" w:hAnsi="Times New Roman Bold"/>
                <w:b/>
                <w:szCs w:val="22"/>
              </w:rPr>
            </w:pPr>
            <w:r>
              <w:rPr>
                <w:rFonts w:ascii="Times New Roman Bold" w:hAnsi="Times New Roman Bold"/>
                <w:b/>
                <w:szCs w:val="22"/>
              </w:rPr>
              <w:t>Shapefile Record Format for Fiber Network</w:t>
            </w:r>
          </w:p>
        </w:tc>
      </w:tr>
      <w:tr w:rsidR="00F97D54" w:rsidTr="00EB5B97">
        <w:trPr>
          <w:trHeight w:val="432"/>
          <w:tblHeader/>
        </w:trPr>
        <w:tc>
          <w:tcPr>
            <w:tcW w:w="1631" w:type="dxa"/>
            <w:tcBorders>
              <w:top w:val="single" w:sz="4" w:space="0" w:color="auto"/>
              <w:bottom w:val="single" w:sz="4" w:space="0" w:color="auto"/>
              <w:right w:val="single" w:sz="4" w:space="0" w:color="auto"/>
            </w:tcBorders>
            <w:vAlign w:val="center"/>
          </w:tcPr>
          <w:p w:rsidR="00F97D54" w:rsidRDefault="00F97D54" w:rsidP="00EB5B97">
            <w:pPr>
              <w:rPr>
                <w:b/>
                <w:sz w:val="18"/>
                <w:szCs w:val="18"/>
              </w:rPr>
            </w:pPr>
            <w:r>
              <w:rPr>
                <w:b/>
                <w:sz w:val="18"/>
                <w:szCs w:val="18"/>
              </w:rPr>
              <w:t>Field Name</w:t>
            </w:r>
          </w:p>
        </w:tc>
        <w:tc>
          <w:tcPr>
            <w:tcW w:w="4400" w:type="dxa"/>
            <w:tcBorders>
              <w:top w:val="single" w:sz="4" w:space="0" w:color="auto"/>
              <w:left w:val="single" w:sz="4" w:space="0" w:color="auto"/>
              <w:bottom w:val="single" w:sz="4" w:space="0" w:color="auto"/>
              <w:right w:val="single" w:sz="4" w:space="0" w:color="auto"/>
            </w:tcBorders>
            <w:vAlign w:val="center"/>
          </w:tcPr>
          <w:p w:rsidR="00F97D54" w:rsidRDefault="00F97D54" w:rsidP="00EB5B97">
            <w:pPr>
              <w:rPr>
                <w:b/>
                <w:sz w:val="18"/>
                <w:szCs w:val="18"/>
              </w:rPr>
            </w:pPr>
            <w:r>
              <w:rPr>
                <w:b/>
                <w:sz w:val="18"/>
                <w:szCs w:val="18"/>
              </w:rPr>
              <w:t>Description</w:t>
            </w:r>
          </w:p>
        </w:tc>
        <w:tc>
          <w:tcPr>
            <w:tcW w:w="1061" w:type="dxa"/>
            <w:tcBorders>
              <w:top w:val="single" w:sz="4" w:space="0" w:color="auto"/>
              <w:left w:val="single" w:sz="4" w:space="0" w:color="auto"/>
              <w:bottom w:val="single" w:sz="4" w:space="0" w:color="auto"/>
              <w:right w:val="single" w:sz="4" w:space="0" w:color="auto"/>
            </w:tcBorders>
            <w:vAlign w:val="center"/>
          </w:tcPr>
          <w:p w:rsidR="00F97D54" w:rsidRDefault="00F97D54" w:rsidP="00EB5B97">
            <w:pPr>
              <w:rPr>
                <w:b/>
                <w:sz w:val="18"/>
                <w:szCs w:val="18"/>
              </w:rPr>
            </w:pPr>
            <w:r>
              <w:rPr>
                <w:b/>
                <w:sz w:val="18"/>
                <w:szCs w:val="18"/>
              </w:rPr>
              <w:t>Type</w:t>
            </w:r>
          </w:p>
        </w:tc>
        <w:tc>
          <w:tcPr>
            <w:tcW w:w="1764" w:type="dxa"/>
            <w:tcBorders>
              <w:top w:val="single" w:sz="4" w:space="0" w:color="auto"/>
              <w:left w:val="single" w:sz="4" w:space="0" w:color="auto"/>
              <w:bottom w:val="single" w:sz="4" w:space="0" w:color="auto"/>
            </w:tcBorders>
            <w:vAlign w:val="center"/>
          </w:tcPr>
          <w:p w:rsidR="00F97D54" w:rsidRDefault="00F97D54" w:rsidP="00EB5B97">
            <w:pPr>
              <w:rPr>
                <w:b/>
                <w:sz w:val="18"/>
                <w:szCs w:val="18"/>
              </w:rPr>
            </w:pPr>
            <w:r>
              <w:rPr>
                <w:b/>
                <w:sz w:val="18"/>
                <w:szCs w:val="18"/>
              </w:rPr>
              <w:t>Example</w:t>
            </w:r>
          </w:p>
        </w:tc>
      </w:tr>
      <w:tr w:rsidR="00F97D54" w:rsidTr="00EB5B97">
        <w:trPr>
          <w:trHeight w:val="360"/>
        </w:trPr>
        <w:tc>
          <w:tcPr>
            <w:tcW w:w="1631" w:type="dxa"/>
            <w:tcBorders>
              <w:top w:val="single" w:sz="4" w:space="0" w:color="auto"/>
            </w:tcBorders>
            <w:vAlign w:val="center"/>
          </w:tcPr>
          <w:p w:rsidR="00F97D54" w:rsidRDefault="00F97D54" w:rsidP="00EB5B97">
            <w:pPr>
              <w:rPr>
                <w:sz w:val="16"/>
                <w:szCs w:val="16"/>
              </w:rPr>
            </w:pPr>
            <w:r>
              <w:rPr>
                <w:sz w:val="16"/>
                <w:szCs w:val="16"/>
              </w:rPr>
              <w:t>Provider</w:t>
            </w:r>
          </w:p>
        </w:tc>
        <w:tc>
          <w:tcPr>
            <w:tcW w:w="4400" w:type="dxa"/>
            <w:tcBorders>
              <w:top w:val="single" w:sz="4" w:space="0" w:color="auto"/>
            </w:tcBorders>
            <w:vAlign w:val="center"/>
          </w:tcPr>
          <w:p w:rsidR="00F97D54" w:rsidRDefault="00F97D54" w:rsidP="00EB5B97">
            <w:pPr>
              <w:rPr>
                <w:sz w:val="16"/>
                <w:szCs w:val="16"/>
              </w:rPr>
            </w:pPr>
            <w:r>
              <w:rPr>
                <w:sz w:val="16"/>
                <w:szCs w:val="16"/>
              </w:rPr>
              <w:t>Provider Name</w:t>
            </w:r>
          </w:p>
        </w:tc>
        <w:tc>
          <w:tcPr>
            <w:tcW w:w="1061" w:type="dxa"/>
            <w:tcBorders>
              <w:top w:val="single" w:sz="4" w:space="0" w:color="auto"/>
            </w:tcBorders>
            <w:vAlign w:val="center"/>
          </w:tcPr>
          <w:p w:rsidR="00F97D54" w:rsidRDefault="00F97D54" w:rsidP="00EB5B97">
            <w:pPr>
              <w:rPr>
                <w:sz w:val="16"/>
                <w:szCs w:val="16"/>
              </w:rPr>
            </w:pPr>
            <w:r>
              <w:rPr>
                <w:sz w:val="16"/>
                <w:szCs w:val="16"/>
              </w:rPr>
              <w:t>Text</w:t>
            </w:r>
          </w:p>
        </w:tc>
        <w:tc>
          <w:tcPr>
            <w:tcW w:w="1764" w:type="dxa"/>
            <w:tcBorders>
              <w:top w:val="single" w:sz="4" w:space="0" w:color="auto"/>
            </w:tcBorders>
            <w:vAlign w:val="center"/>
          </w:tcPr>
          <w:p w:rsidR="00F97D54" w:rsidRDefault="00F97D54" w:rsidP="00EB5B97">
            <w:pPr>
              <w:rPr>
                <w:sz w:val="16"/>
                <w:szCs w:val="16"/>
              </w:rPr>
            </w:pPr>
            <w:r>
              <w:rPr>
                <w:sz w:val="16"/>
                <w:szCs w:val="16"/>
              </w:rPr>
              <w:t>ABC Co.</w:t>
            </w:r>
          </w:p>
        </w:tc>
      </w:tr>
      <w:tr w:rsidR="00F97D54" w:rsidTr="00EB5B97">
        <w:trPr>
          <w:trHeight w:val="360"/>
        </w:trPr>
        <w:tc>
          <w:tcPr>
            <w:tcW w:w="1631" w:type="dxa"/>
            <w:vAlign w:val="center"/>
          </w:tcPr>
          <w:p w:rsidR="00F97D54" w:rsidRDefault="00F97D54" w:rsidP="00EB5B97">
            <w:pPr>
              <w:rPr>
                <w:sz w:val="16"/>
                <w:szCs w:val="16"/>
              </w:rPr>
            </w:pPr>
            <w:r>
              <w:rPr>
                <w:sz w:val="16"/>
                <w:szCs w:val="16"/>
              </w:rPr>
              <w:t>DBA</w:t>
            </w:r>
          </w:p>
        </w:tc>
        <w:tc>
          <w:tcPr>
            <w:tcW w:w="4400" w:type="dxa"/>
            <w:vAlign w:val="center"/>
          </w:tcPr>
          <w:p w:rsidR="00F97D54" w:rsidRDefault="00F97D54" w:rsidP="00EB5B97">
            <w:pPr>
              <w:rPr>
                <w:sz w:val="16"/>
                <w:szCs w:val="16"/>
              </w:rPr>
            </w:pPr>
            <w:r>
              <w:rPr>
                <w:sz w:val="16"/>
                <w:szCs w:val="16"/>
              </w:rPr>
              <w:t>“Doing-business-as” name</w:t>
            </w:r>
          </w:p>
        </w:tc>
        <w:tc>
          <w:tcPr>
            <w:tcW w:w="1061" w:type="dxa"/>
            <w:vAlign w:val="center"/>
          </w:tcPr>
          <w:p w:rsidR="00F97D54" w:rsidRDefault="00F97D54" w:rsidP="00EB5B97">
            <w:pPr>
              <w:rPr>
                <w:sz w:val="16"/>
                <w:szCs w:val="16"/>
              </w:rPr>
            </w:pPr>
            <w:r>
              <w:rPr>
                <w:sz w:val="16"/>
                <w:szCs w:val="16"/>
              </w:rPr>
              <w:t>Text</w:t>
            </w:r>
          </w:p>
        </w:tc>
        <w:tc>
          <w:tcPr>
            <w:tcW w:w="1764" w:type="dxa"/>
            <w:vAlign w:val="center"/>
          </w:tcPr>
          <w:p w:rsidR="00F97D54" w:rsidRDefault="00F97D54" w:rsidP="00EB5B97">
            <w:pPr>
              <w:rPr>
                <w:sz w:val="16"/>
                <w:szCs w:val="16"/>
              </w:rPr>
            </w:pPr>
            <w:r>
              <w:rPr>
                <w:sz w:val="16"/>
                <w:szCs w:val="16"/>
              </w:rPr>
              <w:t>Superfone, Inc.</w:t>
            </w:r>
          </w:p>
        </w:tc>
      </w:tr>
      <w:tr w:rsidR="00F97D54" w:rsidTr="00EB5B97">
        <w:trPr>
          <w:trHeight w:val="360"/>
        </w:trPr>
        <w:tc>
          <w:tcPr>
            <w:tcW w:w="1631" w:type="dxa"/>
            <w:vAlign w:val="center"/>
          </w:tcPr>
          <w:p w:rsidR="00F97D54" w:rsidRDefault="00F97D54" w:rsidP="00EB5B97">
            <w:pPr>
              <w:rPr>
                <w:sz w:val="16"/>
                <w:szCs w:val="16"/>
              </w:rPr>
            </w:pPr>
            <w:r>
              <w:rPr>
                <w:sz w:val="16"/>
                <w:szCs w:val="16"/>
              </w:rPr>
              <w:t>FRN</w:t>
            </w:r>
          </w:p>
        </w:tc>
        <w:tc>
          <w:tcPr>
            <w:tcW w:w="4400" w:type="dxa"/>
            <w:vAlign w:val="center"/>
          </w:tcPr>
          <w:p w:rsidR="00F97D54" w:rsidRDefault="00F97D54" w:rsidP="00EB5B97">
            <w:pPr>
              <w:rPr>
                <w:sz w:val="16"/>
                <w:szCs w:val="16"/>
              </w:rPr>
            </w:pPr>
            <w:r>
              <w:rPr>
                <w:sz w:val="16"/>
                <w:szCs w:val="16"/>
              </w:rPr>
              <w:t>Provider FCC Registration Number (with leading zeros)</w:t>
            </w:r>
          </w:p>
        </w:tc>
        <w:tc>
          <w:tcPr>
            <w:tcW w:w="1061" w:type="dxa"/>
            <w:vAlign w:val="center"/>
          </w:tcPr>
          <w:p w:rsidR="00F97D54" w:rsidRDefault="00F97D54" w:rsidP="00EB5B97">
            <w:pPr>
              <w:rPr>
                <w:sz w:val="16"/>
                <w:szCs w:val="16"/>
              </w:rPr>
            </w:pPr>
            <w:r>
              <w:rPr>
                <w:sz w:val="16"/>
                <w:szCs w:val="16"/>
              </w:rPr>
              <w:t>Text</w:t>
            </w:r>
          </w:p>
        </w:tc>
        <w:tc>
          <w:tcPr>
            <w:tcW w:w="1764" w:type="dxa"/>
            <w:vAlign w:val="center"/>
          </w:tcPr>
          <w:p w:rsidR="00F97D54" w:rsidRDefault="00F97D54" w:rsidP="00EB5B97">
            <w:pPr>
              <w:rPr>
                <w:sz w:val="16"/>
                <w:szCs w:val="16"/>
              </w:rPr>
            </w:pPr>
            <w:r>
              <w:rPr>
                <w:sz w:val="16"/>
                <w:szCs w:val="16"/>
              </w:rPr>
              <w:t>0008402202</w:t>
            </w:r>
          </w:p>
        </w:tc>
      </w:tr>
      <w:tr w:rsidR="00F97D54" w:rsidTr="00EB5B97">
        <w:trPr>
          <w:trHeight w:val="360"/>
        </w:trPr>
        <w:tc>
          <w:tcPr>
            <w:tcW w:w="1631" w:type="dxa"/>
            <w:tcBorders>
              <w:bottom w:val="double" w:sz="4" w:space="0" w:color="auto"/>
            </w:tcBorders>
            <w:vAlign w:val="center"/>
          </w:tcPr>
          <w:p w:rsidR="00F97D54" w:rsidRDefault="00F97D54" w:rsidP="00EB5B97">
            <w:pPr>
              <w:rPr>
                <w:sz w:val="16"/>
                <w:szCs w:val="16"/>
              </w:rPr>
            </w:pPr>
            <w:r>
              <w:rPr>
                <w:sz w:val="16"/>
                <w:szCs w:val="16"/>
              </w:rPr>
              <w:t>ID</w:t>
            </w:r>
          </w:p>
        </w:tc>
        <w:tc>
          <w:tcPr>
            <w:tcW w:w="4400" w:type="dxa"/>
            <w:tcBorders>
              <w:bottom w:val="double" w:sz="4" w:space="0" w:color="auto"/>
            </w:tcBorders>
            <w:vAlign w:val="center"/>
          </w:tcPr>
          <w:p w:rsidR="00F97D54" w:rsidRDefault="00F97D54" w:rsidP="00EB5B97">
            <w:pPr>
              <w:rPr>
                <w:sz w:val="16"/>
                <w:szCs w:val="16"/>
              </w:rPr>
            </w:pPr>
            <w:r>
              <w:rPr>
                <w:sz w:val="16"/>
                <w:szCs w:val="16"/>
              </w:rPr>
              <w:t>Sequential record number</w:t>
            </w:r>
          </w:p>
        </w:tc>
        <w:tc>
          <w:tcPr>
            <w:tcW w:w="1061" w:type="dxa"/>
            <w:tcBorders>
              <w:bottom w:val="double" w:sz="4" w:space="0" w:color="auto"/>
            </w:tcBorders>
            <w:vAlign w:val="center"/>
          </w:tcPr>
          <w:p w:rsidR="00F97D54" w:rsidRDefault="00F97D54" w:rsidP="00EB5B97">
            <w:pPr>
              <w:rPr>
                <w:sz w:val="16"/>
                <w:szCs w:val="16"/>
              </w:rPr>
            </w:pPr>
            <w:r>
              <w:rPr>
                <w:sz w:val="16"/>
                <w:szCs w:val="16"/>
              </w:rPr>
              <w:t>Integer</w:t>
            </w:r>
          </w:p>
        </w:tc>
        <w:tc>
          <w:tcPr>
            <w:tcW w:w="1764" w:type="dxa"/>
            <w:tcBorders>
              <w:bottom w:val="double" w:sz="4" w:space="0" w:color="auto"/>
            </w:tcBorders>
            <w:vAlign w:val="center"/>
          </w:tcPr>
          <w:p w:rsidR="00F97D54" w:rsidRDefault="00F97D54" w:rsidP="00EB5B97">
            <w:pPr>
              <w:rPr>
                <w:sz w:val="16"/>
                <w:szCs w:val="16"/>
              </w:rPr>
            </w:pPr>
            <w:r>
              <w:rPr>
                <w:sz w:val="16"/>
                <w:szCs w:val="16"/>
              </w:rPr>
              <w:t>1</w:t>
            </w:r>
          </w:p>
        </w:tc>
      </w:tr>
    </w:tbl>
    <w:p w:rsidR="00F97D54" w:rsidRDefault="00F97D54" w:rsidP="00EB5B97">
      <w:pPr>
        <w:keepNext/>
        <w:rPr>
          <w:color w:val="800000"/>
        </w:rPr>
      </w:pPr>
    </w:p>
    <w:p w:rsidR="00F97D54" w:rsidRDefault="00F97D54" w:rsidP="00EB5B97">
      <w:r>
        <w:t>Instructions for Shapefile Record Format for Fiber Network Map:</w:t>
      </w:r>
    </w:p>
    <w:p w:rsidR="00F97D54" w:rsidRDefault="00F97D54" w:rsidP="00EB5B97">
      <w:pPr>
        <w:keepNext/>
      </w:pPr>
    </w:p>
    <w:p w:rsidR="00F97D54" w:rsidRDefault="00F97D54" w:rsidP="00EB5B97">
      <w:pPr>
        <w:pStyle w:val="ColorfulList-Accent11"/>
        <w:numPr>
          <w:ilvl w:val="0"/>
          <w:numId w:val="16"/>
        </w:numPr>
        <w:autoSpaceDE w:val="0"/>
        <w:autoSpaceDN w:val="0"/>
        <w:adjustRightInd w:val="0"/>
        <w:rPr>
          <w:sz w:val="22"/>
          <w:szCs w:val="22"/>
        </w:rPr>
      </w:pPr>
      <w:r w:rsidRPr="00A544AC">
        <w:rPr>
          <w:rFonts w:cs="TimesNewRoman"/>
          <w:color w:val="010101"/>
          <w:sz w:val="22"/>
          <w:szCs w:val="22"/>
        </w:rPr>
        <w:t>The shapefile must have an assigned projection w/accompanying .prj file</w:t>
      </w:r>
      <w:r>
        <w:rPr>
          <w:rFonts w:cs="TimesNewRoman"/>
          <w:color w:val="010101"/>
          <w:sz w:val="22"/>
          <w:szCs w:val="22"/>
        </w:rPr>
        <w:t>.</w:t>
      </w:r>
    </w:p>
    <w:p w:rsidR="00F97D54" w:rsidRDefault="00F97D54" w:rsidP="00EB5B97">
      <w:pPr>
        <w:pStyle w:val="ColorfulList-Accent11"/>
        <w:numPr>
          <w:ilvl w:val="0"/>
          <w:numId w:val="16"/>
        </w:numPr>
        <w:autoSpaceDE w:val="0"/>
        <w:autoSpaceDN w:val="0"/>
        <w:adjustRightInd w:val="0"/>
        <w:rPr>
          <w:sz w:val="22"/>
          <w:szCs w:val="22"/>
        </w:rPr>
      </w:pPr>
      <w:r w:rsidRPr="00447EC7">
        <w:rPr>
          <w:sz w:val="22"/>
          <w:szCs w:val="22"/>
        </w:rPr>
        <w:t xml:space="preserve">The shapefile must use </w:t>
      </w:r>
      <w:r>
        <w:rPr>
          <w:sz w:val="22"/>
          <w:szCs w:val="22"/>
        </w:rPr>
        <w:t xml:space="preserve">an </w:t>
      </w:r>
      <w:r w:rsidRPr="00447EC7">
        <w:rPr>
          <w:sz w:val="22"/>
          <w:szCs w:val="22"/>
        </w:rPr>
        <w:t>unprojected (geographic) WGS84 geographic coordinate system</w:t>
      </w:r>
      <w:r>
        <w:rPr>
          <w:sz w:val="22"/>
          <w:szCs w:val="22"/>
        </w:rPr>
        <w:t>.</w:t>
      </w:r>
    </w:p>
    <w:p w:rsidR="00F97D54" w:rsidRDefault="00F97D54" w:rsidP="00EB5B97">
      <w:pPr>
        <w:pStyle w:val="ColorfulList-Accent11"/>
        <w:numPr>
          <w:ilvl w:val="0"/>
          <w:numId w:val="16"/>
        </w:numPr>
        <w:autoSpaceDE w:val="0"/>
        <w:autoSpaceDN w:val="0"/>
        <w:adjustRightInd w:val="0"/>
        <w:rPr>
          <w:sz w:val="22"/>
          <w:szCs w:val="22"/>
        </w:rPr>
      </w:pPr>
      <w:r>
        <w:rPr>
          <w:sz w:val="22"/>
          <w:szCs w:val="22"/>
        </w:rPr>
        <w:t xml:space="preserve">The shapefile must conform to the 1:24,000 U.S. Geological Survey National Map standard.  </w:t>
      </w:r>
    </w:p>
    <w:p w:rsidR="00F97D54" w:rsidRPr="00447EC7" w:rsidRDefault="00F97D54" w:rsidP="00EB5B97">
      <w:pPr>
        <w:pStyle w:val="ColorfulList-Accent11"/>
        <w:numPr>
          <w:ilvl w:val="0"/>
          <w:numId w:val="16"/>
        </w:numPr>
        <w:autoSpaceDE w:val="0"/>
        <w:autoSpaceDN w:val="0"/>
        <w:adjustRightInd w:val="0"/>
        <w:rPr>
          <w:sz w:val="22"/>
          <w:szCs w:val="22"/>
        </w:rPr>
      </w:pPr>
      <w:r w:rsidRPr="00447EC7">
        <w:rPr>
          <w:sz w:val="22"/>
          <w:szCs w:val="22"/>
        </w:rPr>
        <w:t>The ID field is a sequential integer ranging from 1 to the total number of line features.</w:t>
      </w:r>
    </w:p>
    <w:p w:rsidR="00F97D54" w:rsidRDefault="00F97D54" w:rsidP="00EB5B97">
      <w:pPr>
        <w:pStyle w:val="ColorfulList-Accent11"/>
        <w:numPr>
          <w:ilvl w:val="0"/>
          <w:numId w:val="16"/>
        </w:numPr>
        <w:autoSpaceDE w:val="0"/>
        <w:autoSpaceDN w:val="0"/>
        <w:adjustRightInd w:val="0"/>
        <w:rPr>
          <w:sz w:val="22"/>
          <w:szCs w:val="22"/>
        </w:rPr>
      </w:pPr>
      <w:r w:rsidRPr="00447EC7">
        <w:rPr>
          <w:sz w:val="22"/>
          <w:szCs w:val="22"/>
        </w:rPr>
        <w:t>Maps must be accompanied by metadata or a plain text “readme” file that contains a</w:t>
      </w:r>
      <w:r w:rsidRPr="00447EC7">
        <w:rPr>
          <w:rFonts w:cs="TimesNewRoman"/>
          <w:color w:val="010101"/>
          <w:sz w:val="22"/>
          <w:szCs w:val="22"/>
        </w:rPr>
        <w:t xml:space="preserve"> comprehensive explanation of the methodology employed to generate the map layer including any necessary assumptions and an assessment of the accuracy of the finished product.</w:t>
      </w:r>
    </w:p>
    <w:p w:rsidR="00F97D54" w:rsidRDefault="00F97D54" w:rsidP="00EB5B97">
      <w:pPr>
        <w:pStyle w:val="ColorfulList-Accent11"/>
        <w:numPr>
          <w:ilvl w:val="0"/>
          <w:numId w:val="16"/>
        </w:numPr>
        <w:autoSpaceDE w:val="0"/>
        <w:autoSpaceDN w:val="0"/>
        <w:adjustRightInd w:val="0"/>
        <w:rPr>
          <w:sz w:val="22"/>
          <w:szCs w:val="22"/>
        </w:rPr>
      </w:pPr>
      <w:r w:rsidRPr="00447EC7">
        <w:rPr>
          <w:sz w:val="22"/>
          <w:szCs w:val="22"/>
        </w:rPr>
        <w:t xml:space="preserve">The shapefile </w:t>
      </w:r>
      <w:r>
        <w:rPr>
          <w:sz w:val="22"/>
          <w:szCs w:val="22"/>
        </w:rPr>
        <w:t>must</w:t>
      </w:r>
      <w:r w:rsidRPr="00447EC7">
        <w:rPr>
          <w:sz w:val="22"/>
          <w:szCs w:val="22"/>
        </w:rPr>
        <w:t xml:space="preserve"> be submitted as a WinZip archive with a name containing the company name and FRN (</w:t>
      </w:r>
      <w:r w:rsidRPr="00447EC7">
        <w:rPr>
          <w:i/>
          <w:sz w:val="22"/>
          <w:szCs w:val="22"/>
        </w:rPr>
        <w:t>e.g.</w:t>
      </w:r>
      <w:r>
        <w:rPr>
          <w:sz w:val="22"/>
          <w:szCs w:val="22"/>
        </w:rPr>
        <w:t>, CompanyName_12345678_</w:t>
      </w:r>
      <w:r w:rsidRPr="00447EC7">
        <w:rPr>
          <w:sz w:val="22"/>
          <w:szCs w:val="22"/>
        </w:rPr>
        <w:t>Fiber.zip).</w:t>
      </w:r>
    </w:p>
    <w:p w:rsidR="00F97D54" w:rsidRPr="00447EC7" w:rsidRDefault="00F97D54" w:rsidP="00EB5B97">
      <w:pPr>
        <w:pStyle w:val="ColorfulList-Accent11"/>
        <w:numPr>
          <w:ilvl w:val="0"/>
          <w:numId w:val="16"/>
        </w:numPr>
        <w:autoSpaceDE w:val="0"/>
        <w:autoSpaceDN w:val="0"/>
        <w:adjustRightInd w:val="0"/>
        <w:rPr>
          <w:sz w:val="22"/>
          <w:szCs w:val="22"/>
        </w:rPr>
      </w:pPr>
      <w:r>
        <w:rPr>
          <w:sz w:val="22"/>
          <w:szCs w:val="22"/>
        </w:rPr>
        <w:t xml:space="preserve">Cable system operators must include the FCC-assigned Physical System Identifier (PSID) associated with each system identified. </w:t>
      </w:r>
    </w:p>
    <w:p w:rsidR="00F97D54" w:rsidRDefault="00F97D54" w:rsidP="00EB5B97"/>
    <w:p w:rsidR="00F97D54" w:rsidRDefault="00F97D54" w:rsidP="00EB5B97">
      <w:pPr>
        <w:autoSpaceDE w:val="0"/>
        <w:autoSpaceDN w:val="0"/>
        <w:adjustRightInd w:val="0"/>
      </w:pPr>
      <w:r w:rsidRPr="00304861">
        <w:rPr>
          <w:i/>
        </w:rPr>
        <w:t>Node</w:t>
      </w:r>
      <w:r>
        <w:t xml:space="preserve"> information must be provided as a delimited text file, </w:t>
      </w:r>
      <w:r w:rsidRPr="00890989">
        <w:rPr>
          <w:i/>
        </w:rPr>
        <w:t>e.g.</w:t>
      </w:r>
      <w:r>
        <w:t xml:space="preserve">, .csv, that contains the following information. </w:t>
      </w:r>
    </w:p>
    <w:p w:rsidR="00F97D54" w:rsidRDefault="00F97D54" w:rsidP="00EB5B97">
      <w:pPr>
        <w:autoSpaceDE w:val="0"/>
        <w:autoSpaceDN w:val="0"/>
        <w:adjustRightInd w:val="0"/>
      </w:pPr>
    </w:p>
    <w:tbl>
      <w:tblPr>
        <w:tblW w:w="0" w:type="auto"/>
        <w:tblLook w:val="01E0" w:firstRow="1" w:lastRow="1" w:firstColumn="1" w:lastColumn="1" w:noHBand="0" w:noVBand="0"/>
      </w:tblPr>
      <w:tblGrid>
        <w:gridCol w:w="1631"/>
        <w:gridCol w:w="4400"/>
        <w:gridCol w:w="1061"/>
        <w:gridCol w:w="1764"/>
      </w:tblGrid>
      <w:tr w:rsidR="00F97D54" w:rsidTr="00EB5B97">
        <w:trPr>
          <w:trHeight w:val="432"/>
          <w:tblHeader/>
        </w:trPr>
        <w:tc>
          <w:tcPr>
            <w:tcW w:w="8856" w:type="dxa"/>
            <w:gridSpan w:val="4"/>
            <w:tcBorders>
              <w:top w:val="double" w:sz="4" w:space="0" w:color="auto"/>
              <w:bottom w:val="single" w:sz="4" w:space="0" w:color="auto"/>
            </w:tcBorders>
            <w:vAlign w:val="center"/>
          </w:tcPr>
          <w:p w:rsidR="00F97D54" w:rsidRDefault="00F97D54" w:rsidP="00EB5B97">
            <w:pPr>
              <w:jc w:val="center"/>
              <w:rPr>
                <w:rFonts w:ascii="Times New Roman Bold" w:hAnsi="Times New Roman Bold"/>
                <w:b/>
                <w:szCs w:val="22"/>
              </w:rPr>
            </w:pPr>
            <w:r>
              <w:rPr>
                <w:rFonts w:ascii="Times New Roman Bold" w:hAnsi="Times New Roman Bold"/>
                <w:b/>
                <w:szCs w:val="22"/>
              </w:rPr>
              <w:t xml:space="preserve">Record Format for </w:t>
            </w:r>
            <w:r w:rsidRPr="00890989">
              <w:rPr>
                <w:rFonts w:ascii="Times New Roman Bold" w:hAnsi="Times New Roman Bold"/>
                <w:b/>
                <w:i/>
                <w:szCs w:val="22"/>
              </w:rPr>
              <w:t>Nodes</w:t>
            </w:r>
          </w:p>
        </w:tc>
      </w:tr>
      <w:tr w:rsidR="00F97D54" w:rsidTr="00EB5B97">
        <w:trPr>
          <w:trHeight w:val="432"/>
          <w:tblHeader/>
        </w:trPr>
        <w:tc>
          <w:tcPr>
            <w:tcW w:w="1631" w:type="dxa"/>
            <w:tcBorders>
              <w:top w:val="single" w:sz="4" w:space="0" w:color="auto"/>
              <w:bottom w:val="single" w:sz="4" w:space="0" w:color="auto"/>
              <w:right w:val="single" w:sz="4" w:space="0" w:color="auto"/>
            </w:tcBorders>
            <w:vAlign w:val="center"/>
          </w:tcPr>
          <w:p w:rsidR="00F97D54" w:rsidRDefault="00F97D54" w:rsidP="00EB5B97">
            <w:pPr>
              <w:rPr>
                <w:b/>
                <w:sz w:val="18"/>
                <w:szCs w:val="18"/>
              </w:rPr>
            </w:pPr>
            <w:r>
              <w:rPr>
                <w:b/>
                <w:sz w:val="18"/>
                <w:szCs w:val="18"/>
              </w:rPr>
              <w:t>Field Name</w:t>
            </w:r>
          </w:p>
        </w:tc>
        <w:tc>
          <w:tcPr>
            <w:tcW w:w="4400" w:type="dxa"/>
            <w:tcBorders>
              <w:top w:val="single" w:sz="4" w:space="0" w:color="auto"/>
              <w:left w:val="single" w:sz="4" w:space="0" w:color="auto"/>
              <w:bottom w:val="single" w:sz="4" w:space="0" w:color="auto"/>
              <w:right w:val="single" w:sz="4" w:space="0" w:color="auto"/>
            </w:tcBorders>
            <w:vAlign w:val="center"/>
          </w:tcPr>
          <w:p w:rsidR="00F97D54" w:rsidRDefault="00F97D54" w:rsidP="00EB5B97">
            <w:pPr>
              <w:rPr>
                <w:b/>
                <w:sz w:val="18"/>
                <w:szCs w:val="18"/>
              </w:rPr>
            </w:pPr>
            <w:r>
              <w:rPr>
                <w:b/>
                <w:sz w:val="18"/>
                <w:szCs w:val="18"/>
              </w:rPr>
              <w:t>Description</w:t>
            </w:r>
          </w:p>
        </w:tc>
        <w:tc>
          <w:tcPr>
            <w:tcW w:w="1061" w:type="dxa"/>
            <w:tcBorders>
              <w:top w:val="single" w:sz="4" w:space="0" w:color="auto"/>
              <w:left w:val="single" w:sz="4" w:space="0" w:color="auto"/>
              <w:bottom w:val="single" w:sz="4" w:space="0" w:color="auto"/>
              <w:right w:val="single" w:sz="4" w:space="0" w:color="auto"/>
            </w:tcBorders>
            <w:vAlign w:val="center"/>
          </w:tcPr>
          <w:p w:rsidR="00F97D54" w:rsidRDefault="00F97D54" w:rsidP="00EB5B97">
            <w:pPr>
              <w:rPr>
                <w:b/>
                <w:sz w:val="18"/>
                <w:szCs w:val="18"/>
              </w:rPr>
            </w:pPr>
            <w:r>
              <w:rPr>
                <w:b/>
                <w:sz w:val="18"/>
                <w:szCs w:val="18"/>
              </w:rPr>
              <w:t>Type</w:t>
            </w:r>
          </w:p>
        </w:tc>
        <w:tc>
          <w:tcPr>
            <w:tcW w:w="1764" w:type="dxa"/>
            <w:tcBorders>
              <w:top w:val="single" w:sz="4" w:space="0" w:color="auto"/>
              <w:left w:val="single" w:sz="4" w:space="0" w:color="auto"/>
              <w:bottom w:val="single" w:sz="4" w:space="0" w:color="auto"/>
            </w:tcBorders>
            <w:vAlign w:val="center"/>
          </w:tcPr>
          <w:p w:rsidR="00F97D54" w:rsidRDefault="00F97D54" w:rsidP="00EB5B97">
            <w:pPr>
              <w:rPr>
                <w:b/>
                <w:sz w:val="18"/>
                <w:szCs w:val="18"/>
              </w:rPr>
            </w:pPr>
            <w:r>
              <w:rPr>
                <w:b/>
                <w:sz w:val="18"/>
                <w:szCs w:val="18"/>
              </w:rPr>
              <w:t>Example</w:t>
            </w:r>
          </w:p>
        </w:tc>
      </w:tr>
      <w:tr w:rsidR="00F97D54" w:rsidTr="00EB5B97">
        <w:trPr>
          <w:trHeight w:val="360"/>
        </w:trPr>
        <w:tc>
          <w:tcPr>
            <w:tcW w:w="1631" w:type="dxa"/>
            <w:tcBorders>
              <w:top w:val="single" w:sz="4" w:space="0" w:color="auto"/>
            </w:tcBorders>
            <w:vAlign w:val="center"/>
          </w:tcPr>
          <w:p w:rsidR="00F97D54" w:rsidRDefault="00F97D54" w:rsidP="00EB5B97">
            <w:pPr>
              <w:rPr>
                <w:sz w:val="16"/>
                <w:szCs w:val="16"/>
              </w:rPr>
            </w:pPr>
            <w:r>
              <w:rPr>
                <w:sz w:val="16"/>
                <w:szCs w:val="16"/>
              </w:rPr>
              <w:t>Provider</w:t>
            </w:r>
          </w:p>
        </w:tc>
        <w:tc>
          <w:tcPr>
            <w:tcW w:w="4400" w:type="dxa"/>
            <w:tcBorders>
              <w:top w:val="single" w:sz="4" w:space="0" w:color="auto"/>
            </w:tcBorders>
            <w:vAlign w:val="center"/>
          </w:tcPr>
          <w:p w:rsidR="00F97D54" w:rsidRDefault="00F97D54" w:rsidP="00EB5B97">
            <w:pPr>
              <w:rPr>
                <w:sz w:val="16"/>
                <w:szCs w:val="16"/>
              </w:rPr>
            </w:pPr>
            <w:r>
              <w:rPr>
                <w:sz w:val="16"/>
                <w:szCs w:val="16"/>
              </w:rPr>
              <w:t>Provider Name</w:t>
            </w:r>
          </w:p>
        </w:tc>
        <w:tc>
          <w:tcPr>
            <w:tcW w:w="1061" w:type="dxa"/>
            <w:tcBorders>
              <w:top w:val="single" w:sz="4" w:space="0" w:color="auto"/>
            </w:tcBorders>
            <w:vAlign w:val="center"/>
          </w:tcPr>
          <w:p w:rsidR="00F97D54" w:rsidRDefault="00F97D54" w:rsidP="00EB5B97">
            <w:pPr>
              <w:rPr>
                <w:sz w:val="16"/>
                <w:szCs w:val="16"/>
              </w:rPr>
            </w:pPr>
            <w:r>
              <w:rPr>
                <w:sz w:val="16"/>
                <w:szCs w:val="16"/>
              </w:rPr>
              <w:t>Text</w:t>
            </w:r>
          </w:p>
        </w:tc>
        <w:tc>
          <w:tcPr>
            <w:tcW w:w="1764" w:type="dxa"/>
            <w:tcBorders>
              <w:top w:val="single" w:sz="4" w:space="0" w:color="auto"/>
            </w:tcBorders>
            <w:vAlign w:val="center"/>
          </w:tcPr>
          <w:p w:rsidR="00F97D54" w:rsidRDefault="00F97D54" w:rsidP="00EB5B97">
            <w:pPr>
              <w:rPr>
                <w:sz w:val="16"/>
                <w:szCs w:val="16"/>
              </w:rPr>
            </w:pPr>
            <w:r>
              <w:rPr>
                <w:sz w:val="16"/>
                <w:szCs w:val="16"/>
              </w:rPr>
              <w:t>ABC Co.</w:t>
            </w:r>
          </w:p>
        </w:tc>
      </w:tr>
      <w:tr w:rsidR="00F97D54" w:rsidTr="00EB5B97">
        <w:trPr>
          <w:trHeight w:val="360"/>
        </w:trPr>
        <w:tc>
          <w:tcPr>
            <w:tcW w:w="1631" w:type="dxa"/>
            <w:vAlign w:val="center"/>
          </w:tcPr>
          <w:p w:rsidR="00F97D54" w:rsidRDefault="00F97D54" w:rsidP="00EB5B97">
            <w:pPr>
              <w:rPr>
                <w:sz w:val="16"/>
                <w:szCs w:val="16"/>
              </w:rPr>
            </w:pPr>
            <w:r>
              <w:rPr>
                <w:sz w:val="16"/>
                <w:szCs w:val="16"/>
              </w:rPr>
              <w:t>DBA</w:t>
            </w:r>
          </w:p>
        </w:tc>
        <w:tc>
          <w:tcPr>
            <w:tcW w:w="4400" w:type="dxa"/>
            <w:vAlign w:val="center"/>
          </w:tcPr>
          <w:p w:rsidR="00F97D54" w:rsidRDefault="00F97D54" w:rsidP="00EB5B97">
            <w:pPr>
              <w:rPr>
                <w:sz w:val="16"/>
                <w:szCs w:val="16"/>
              </w:rPr>
            </w:pPr>
            <w:r>
              <w:rPr>
                <w:sz w:val="16"/>
                <w:szCs w:val="16"/>
              </w:rPr>
              <w:t>“Doing-business-as” name</w:t>
            </w:r>
          </w:p>
        </w:tc>
        <w:tc>
          <w:tcPr>
            <w:tcW w:w="1061" w:type="dxa"/>
            <w:vAlign w:val="center"/>
          </w:tcPr>
          <w:p w:rsidR="00F97D54" w:rsidRDefault="00F97D54" w:rsidP="00EB5B97">
            <w:pPr>
              <w:rPr>
                <w:sz w:val="16"/>
                <w:szCs w:val="16"/>
              </w:rPr>
            </w:pPr>
            <w:r>
              <w:rPr>
                <w:sz w:val="16"/>
                <w:szCs w:val="16"/>
              </w:rPr>
              <w:t>Text</w:t>
            </w:r>
          </w:p>
        </w:tc>
        <w:tc>
          <w:tcPr>
            <w:tcW w:w="1764" w:type="dxa"/>
            <w:vAlign w:val="center"/>
          </w:tcPr>
          <w:p w:rsidR="00F97D54" w:rsidRDefault="00F97D54" w:rsidP="00EB5B97">
            <w:pPr>
              <w:rPr>
                <w:sz w:val="16"/>
                <w:szCs w:val="16"/>
              </w:rPr>
            </w:pPr>
            <w:r>
              <w:rPr>
                <w:sz w:val="16"/>
                <w:szCs w:val="16"/>
              </w:rPr>
              <w:t>Superfone, Inc.</w:t>
            </w:r>
          </w:p>
        </w:tc>
      </w:tr>
      <w:tr w:rsidR="00F97D54" w:rsidTr="00EB5B97">
        <w:trPr>
          <w:trHeight w:val="360"/>
        </w:trPr>
        <w:tc>
          <w:tcPr>
            <w:tcW w:w="1631" w:type="dxa"/>
            <w:vAlign w:val="center"/>
          </w:tcPr>
          <w:p w:rsidR="00F97D54" w:rsidRDefault="00F97D54" w:rsidP="00EB5B97">
            <w:pPr>
              <w:rPr>
                <w:sz w:val="16"/>
                <w:szCs w:val="16"/>
              </w:rPr>
            </w:pPr>
            <w:r>
              <w:rPr>
                <w:sz w:val="16"/>
                <w:szCs w:val="16"/>
              </w:rPr>
              <w:t>FRN</w:t>
            </w:r>
          </w:p>
        </w:tc>
        <w:tc>
          <w:tcPr>
            <w:tcW w:w="4400" w:type="dxa"/>
            <w:vAlign w:val="center"/>
          </w:tcPr>
          <w:p w:rsidR="00F97D54" w:rsidRDefault="00F97D54" w:rsidP="00EB5B97">
            <w:pPr>
              <w:rPr>
                <w:sz w:val="16"/>
                <w:szCs w:val="16"/>
              </w:rPr>
            </w:pPr>
            <w:r>
              <w:rPr>
                <w:sz w:val="16"/>
                <w:szCs w:val="16"/>
              </w:rPr>
              <w:t>Provider FCC Registration Number (with leading zeros)</w:t>
            </w:r>
          </w:p>
        </w:tc>
        <w:tc>
          <w:tcPr>
            <w:tcW w:w="1061" w:type="dxa"/>
            <w:vAlign w:val="center"/>
          </w:tcPr>
          <w:p w:rsidR="00F97D54" w:rsidRDefault="00F97D54" w:rsidP="00EB5B97">
            <w:pPr>
              <w:rPr>
                <w:sz w:val="16"/>
                <w:szCs w:val="16"/>
              </w:rPr>
            </w:pPr>
            <w:r>
              <w:rPr>
                <w:sz w:val="16"/>
                <w:szCs w:val="16"/>
              </w:rPr>
              <w:t>Text</w:t>
            </w:r>
          </w:p>
        </w:tc>
        <w:tc>
          <w:tcPr>
            <w:tcW w:w="1764" w:type="dxa"/>
            <w:vAlign w:val="center"/>
          </w:tcPr>
          <w:p w:rsidR="00F97D54" w:rsidRDefault="00F97D54" w:rsidP="00EB5B97">
            <w:pPr>
              <w:rPr>
                <w:sz w:val="16"/>
                <w:szCs w:val="16"/>
              </w:rPr>
            </w:pPr>
            <w:r>
              <w:rPr>
                <w:sz w:val="16"/>
                <w:szCs w:val="16"/>
              </w:rPr>
              <w:t>0008402202</w:t>
            </w:r>
          </w:p>
        </w:tc>
      </w:tr>
      <w:tr w:rsidR="00F97D54" w:rsidTr="00EB5B97">
        <w:trPr>
          <w:trHeight w:val="360"/>
        </w:trPr>
        <w:tc>
          <w:tcPr>
            <w:tcW w:w="1631" w:type="dxa"/>
            <w:vAlign w:val="center"/>
          </w:tcPr>
          <w:p w:rsidR="00F97D54" w:rsidRDefault="00F97D54" w:rsidP="00EB5B97">
            <w:pPr>
              <w:rPr>
                <w:sz w:val="16"/>
                <w:szCs w:val="16"/>
              </w:rPr>
            </w:pPr>
            <w:r>
              <w:rPr>
                <w:sz w:val="16"/>
                <w:szCs w:val="16"/>
              </w:rPr>
              <w:t>ID</w:t>
            </w:r>
          </w:p>
        </w:tc>
        <w:tc>
          <w:tcPr>
            <w:tcW w:w="4400" w:type="dxa"/>
            <w:vAlign w:val="center"/>
          </w:tcPr>
          <w:p w:rsidR="00F97D54" w:rsidRDefault="00F97D54" w:rsidP="00EB5B97">
            <w:pPr>
              <w:rPr>
                <w:sz w:val="16"/>
                <w:szCs w:val="16"/>
              </w:rPr>
            </w:pPr>
            <w:r>
              <w:rPr>
                <w:sz w:val="16"/>
                <w:szCs w:val="16"/>
              </w:rPr>
              <w:t>Sequential record number</w:t>
            </w:r>
          </w:p>
        </w:tc>
        <w:tc>
          <w:tcPr>
            <w:tcW w:w="1061" w:type="dxa"/>
            <w:vAlign w:val="center"/>
          </w:tcPr>
          <w:p w:rsidR="00F97D54" w:rsidRDefault="00F97D54" w:rsidP="00EB5B97">
            <w:pPr>
              <w:rPr>
                <w:sz w:val="16"/>
                <w:szCs w:val="16"/>
              </w:rPr>
            </w:pPr>
            <w:r>
              <w:rPr>
                <w:sz w:val="16"/>
                <w:szCs w:val="16"/>
              </w:rPr>
              <w:t>Integer</w:t>
            </w:r>
          </w:p>
        </w:tc>
        <w:tc>
          <w:tcPr>
            <w:tcW w:w="1764" w:type="dxa"/>
            <w:vAlign w:val="center"/>
          </w:tcPr>
          <w:p w:rsidR="00F97D54" w:rsidRDefault="00F97D54" w:rsidP="00EB5B97">
            <w:pPr>
              <w:rPr>
                <w:sz w:val="16"/>
                <w:szCs w:val="16"/>
              </w:rPr>
            </w:pPr>
            <w:r>
              <w:rPr>
                <w:sz w:val="16"/>
                <w:szCs w:val="16"/>
              </w:rPr>
              <w:t>1</w:t>
            </w:r>
          </w:p>
        </w:tc>
      </w:tr>
      <w:tr w:rsidR="00F97D54" w:rsidTr="00EB5B97">
        <w:trPr>
          <w:trHeight w:val="360"/>
        </w:trPr>
        <w:tc>
          <w:tcPr>
            <w:tcW w:w="1631" w:type="dxa"/>
            <w:vAlign w:val="center"/>
          </w:tcPr>
          <w:p w:rsidR="00F97D54" w:rsidRDefault="00F97D54" w:rsidP="00EB5B97">
            <w:pPr>
              <w:rPr>
                <w:sz w:val="16"/>
                <w:szCs w:val="16"/>
              </w:rPr>
            </w:pPr>
            <w:r>
              <w:rPr>
                <w:sz w:val="16"/>
                <w:szCs w:val="16"/>
              </w:rPr>
              <w:t>Lat</w:t>
            </w:r>
          </w:p>
        </w:tc>
        <w:tc>
          <w:tcPr>
            <w:tcW w:w="4400" w:type="dxa"/>
            <w:vAlign w:val="center"/>
          </w:tcPr>
          <w:p w:rsidR="00F97D54" w:rsidRDefault="00F97D54" w:rsidP="00EB5B97">
            <w:pPr>
              <w:rPr>
                <w:sz w:val="16"/>
                <w:szCs w:val="16"/>
              </w:rPr>
            </w:pPr>
            <w:r>
              <w:rPr>
                <w:sz w:val="16"/>
                <w:szCs w:val="16"/>
              </w:rPr>
              <w:t>Latitude</w:t>
            </w:r>
          </w:p>
        </w:tc>
        <w:tc>
          <w:tcPr>
            <w:tcW w:w="1061" w:type="dxa"/>
            <w:vAlign w:val="center"/>
          </w:tcPr>
          <w:p w:rsidR="00F97D54" w:rsidRDefault="00F97D54" w:rsidP="00EB5B97">
            <w:pPr>
              <w:rPr>
                <w:sz w:val="16"/>
                <w:szCs w:val="16"/>
              </w:rPr>
            </w:pPr>
            <w:r>
              <w:rPr>
                <w:sz w:val="16"/>
                <w:szCs w:val="16"/>
              </w:rPr>
              <w:t>Float</w:t>
            </w:r>
          </w:p>
        </w:tc>
        <w:tc>
          <w:tcPr>
            <w:tcW w:w="1764" w:type="dxa"/>
            <w:vAlign w:val="center"/>
          </w:tcPr>
          <w:p w:rsidR="00F97D54" w:rsidRDefault="00F97D54" w:rsidP="00EB5B97">
            <w:pPr>
              <w:rPr>
                <w:sz w:val="16"/>
                <w:szCs w:val="16"/>
              </w:rPr>
            </w:pPr>
            <w:r>
              <w:rPr>
                <w:sz w:val="16"/>
                <w:szCs w:val="16"/>
              </w:rPr>
              <w:t>38.8835</w:t>
            </w:r>
          </w:p>
        </w:tc>
      </w:tr>
      <w:tr w:rsidR="00F97D54" w:rsidTr="00EB5B97">
        <w:trPr>
          <w:trHeight w:val="360"/>
        </w:trPr>
        <w:tc>
          <w:tcPr>
            <w:tcW w:w="1631" w:type="dxa"/>
            <w:vAlign w:val="center"/>
          </w:tcPr>
          <w:p w:rsidR="00F97D54" w:rsidRDefault="00F97D54" w:rsidP="00EB5B97">
            <w:pPr>
              <w:rPr>
                <w:sz w:val="16"/>
                <w:szCs w:val="16"/>
              </w:rPr>
            </w:pPr>
            <w:r>
              <w:rPr>
                <w:sz w:val="16"/>
                <w:szCs w:val="16"/>
              </w:rPr>
              <w:t>Long</w:t>
            </w:r>
          </w:p>
        </w:tc>
        <w:tc>
          <w:tcPr>
            <w:tcW w:w="4400" w:type="dxa"/>
            <w:vAlign w:val="center"/>
          </w:tcPr>
          <w:p w:rsidR="00F97D54" w:rsidRDefault="00F97D54" w:rsidP="00EB5B97">
            <w:pPr>
              <w:rPr>
                <w:sz w:val="16"/>
                <w:szCs w:val="16"/>
              </w:rPr>
            </w:pPr>
            <w:r>
              <w:rPr>
                <w:sz w:val="16"/>
                <w:szCs w:val="16"/>
              </w:rPr>
              <w:t>Longitude</w:t>
            </w:r>
          </w:p>
        </w:tc>
        <w:tc>
          <w:tcPr>
            <w:tcW w:w="1061" w:type="dxa"/>
            <w:vAlign w:val="center"/>
          </w:tcPr>
          <w:p w:rsidR="00F97D54" w:rsidRDefault="00F97D54" w:rsidP="00EB5B97">
            <w:pPr>
              <w:rPr>
                <w:sz w:val="16"/>
                <w:szCs w:val="16"/>
              </w:rPr>
            </w:pPr>
            <w:r>
              <w:rPr>
                <w:sz w:val="16"/>
                <w:szCs w:val="16"/>
              </w:rPr>
              <w:t>Float</w:t>
            </w:r>
          </w:p>
        </w:tc>
        <w:tc>
          <w:tcPr>
            <w:tcW w:w="1764" w:type="dxa"/>
            <w:vAlign w:val="center"/>
          </w:tcPr>
          <w:p w:rsidR="00F97D54" w:rsidRDefault="00F97D54" w:rsidP="00EB5B97">
            <w:pPr>
              <w:rPr>
                <w:sz w:val="16"/>
                <w:szCs w:val="16"/>
              </w:rPr>
            </w:pPr>
            <w:r>
              <w:rPr>
                <w:sz w:val="16"/>
                <w:szCs w:val="16"/>
              </w:rPr>
              <w:t>-77.0280</w:t>
            </w:r>
          </w:p>
        </w:tc>
      </w:tr>
      <w:tr w:rsidR="00576CE8" w:rsidTr="00CD5011">
        <w:trPr>
          <w:trHeight w:val="360"/>
        </w:trPr>
        <w:tc>
          <w:tcPr>
            <w:tcW w:w="1631" w:type="dxa"/>
            <w:vAlign w:val="center"/>
          </w:tcPr>
          <w:p w:rsidR="00576CE8" w:rsidRDefault="00576CE8" w:rsidP="00EB5B97">
            <w:pPr>
              <w:rPr>
                <w:sz w:val="16"/>
                <w:szCs w:val="16"/>
              </w:rPr>
            </w:pPr>
            <w:r>
              <w:rPr>
                <w:sz w:val="16"/>
                <w:szCs w:val="16"/>
              </w:rPr>
              <w:t>Headend</w:t>
            </w:r>
          </w:p>
        </w:tc>
        <w:tc>
          <w:tcPr>
            <w:tcW w:w="4400" w:type="dxa"/>
            <w:vAlign w:val="center"/>
          </w:tcPr>
          <w:p w:rsidR="00576CE8" w:rsidRDefault="00576CE8" w:rsidP="00EB5B97">
            <w:pPr>
              <w:rPr>
                <w:sz w:val="16"/>
                <w:szCs w:val="16"/>
              </w:rPr>
            </w:pPr>
            <w:r>
              <w:rPr>
                <w:sz w:val="16"/>
                <w:szCs w:val="16"/>
              </w:rPr>
              <w:t xml:space="preserve">Is this </w:t>
            </w:r>
            <w:r w:rsidRPr="00CD5011">
              <w:rPr>
                <w:i/>
                <w:sz w:val="16"/>
                <w:szCs w:val="16"/>
              </w:rPr>
              <w:t>Node</w:t>
            </w:r>
            <w:r>
              <w:rPr>
                <w:sz w:val="16"/>
                <w:szCs w:val="16"/>
              </w:rPr>
              <w:t xml:space="preserve"> a headend that has been upgraded to provide a Metro Ethernet (or its equivalent) service?  (Y=Yes; N=No)</w:t>
            </w:r>
          </w:p>
        </w:tc>
        <w:tc>
          <w:tcPr>
            <w:tcW w:w="1061" w:type="dxa"/>
            <w:vAlign w:val="center"/>
          </w:tcPr>
          <w:p w:rsidR="00576CE8" w:rsidRDefault="00576CE8" w:rsidP="00EB5B97">
            <w:pPr>
              <w:rPr>
                <w:sz w:val="16"/>
                <w:szCs w:val="16"/>
              </w:rPr>
            </w:pPr>
            <w:r>
              <w:rPr>
                <w:sz w:val="16"/>
                <w:szCs w:val="16"/>
              </w:rPr>
              <w:t>Text</w:t>
            </w:r>
          </w:p>
        </w:tc>
        <w:tc>
          <w:tcPr>
            <w:tcW w:w="1764" w:type="dxa"/>
            <w:vAlign w:val="center"/>
          </w:tcPr>
          <w:p w:rsidR="00576CE8" w:rsidRDefault="00576CE8" w:rsidP="00EB5B97">
            <w:pPr>
              <w:rPr>
                <w:sz w:val="16"/>
                <w:szCs w:val="16"/>
              </w:rPr>
            </w:pPr>
            <w:r>
              <w:rPr>
                <w:sz w:val="16"/>
                <w:szCs w:val="16"/>
              </w:rPr>
              <w:t>N</w:t>
            </w:r>
          </w:p>
        </w:tc>
      </w:tr>
      <w:tr w:rsidR="00F97D54" w:rsidTr="00EB5B97">
        <w:trPr>
          <w:trHeight w:val="360"/>
        </w:trPr>
        <w:tc>
          <w:tcPr>
            <w:tcW w:w="1631" w:type="dxa"/>
            <w:tcBorders>
              <w:bottom w:val="double" w:sz="4" w:space="0" w:color="auto"/>
            </w:tcBorders>
            <w:vAlign w:val="center"/>
          </w:tcPr>
          <w:p w:rsidR="00F97D54" w:rsidRDefault="00F97D54" w:rsidP="00EB5B97">
            <w:pPr>
              <w:rPr>
                <w:sz w:val="16"/>
                <w:szCs w:val="16"/>
              </w:rPr>
            </w:pPr>
            <w:r>
              <w:rPr>
                <w:sz w:val="16"/>
                <w:szCs w:val="16"/>
              </w:rPr>
              <w:t>NodeYear</w:t>
            </w:r>
          </w:p>
        </w:tc>
        <w:tc>
          <w:tcPr>
            <w:tcW w:w="4400" w:type="dxa"/>
            <w:tcBorders>
              <w:bottom w:val="double" w:sz="4" w:space="0" w:color="auto"/>
            </w:tcBorders>
            <w:vAlign w:val="center"/>
          </w:tcPr>
          <w:p w:rsidR="00F97D54" w:rsidRDefault="00F97D54" w:rsidP="00EB5B97">
            <w:pPr>
              <w:rPr>
                <w:sz w:val="16"/>
                <w:szCs w:val="16"/>
              </w:rPr>
            </w:pPr>
            <w:r>
              <w:rPr>
                <w:sz w:val="16"/>
                <w:szCs w:val="16"/>
              </w:rPr>
              <w:t>Date Node went “live” or when headend was upgraded to Metro Ethernet (or its equivalent) service</w:t>
            </w:r>
          </w:p>
        </w:tc>
        <w:tc>
          <w:tcPr>
            <w:tcW w:w="1061" w:type="dxa"/>
            <w:tcBorders>
              <w:bottom w:val="double" w:sz="4" w:space="0" w:color="auto"/>
            </w:tcBorders>
            <w:vAlign w:val="center"/>
          </w:tcPr>
          <w:p w:rsidR="00F97D54" w:rsidRDefault="00F97D54" w:rsidP="00EB5B97">
            <w:pPr>
              <w:rPr>
                <w:sz w:val="16"/>
                <w:szCs w:val="16"/>
              </w:rPr>
            </w:pPr>
            <w:r>
              <w:rPr>
                <w:sz w:val="16"/>
                <w:szCs w:val="16"/>
              </w:rPr>
              <w:t>Integer</w:t>
            </w:r>
          </w:p>
        </w:tc>
        <w:tc>
          <w:tcPr>
            <w:tcW w:w="1764" w:type="dxa"/>
            <w:tcBorders>
              <w:bottom w:val="double" w:sz="4" w:space="0" w:color="auto"/>
            </w:tcBorders>
            <w:vAlign w:val="center"/>
          </w:tcPr>
          <w:p w:rsidR="00F97D54" w:rsidRDefault="00F97D54" w:rsidP="00EB5B97">
            <w:pPr>
              <w:rPr>
                <w:sz w:val="16"/>
                <w:szCs w:val="16"/>
              </w:rPr>
            </w:pPr>
            <w:r>
              <w:rPr>
                <w:sz w:val="16"/>
                <w:szCs w:val="16"/>
              </w:rPr>
              <w:t>1996</w:t>
            </w:r>
          </w:p>
        </w:tc>
      </w:tr>
    </w:tbl>
    <w:p w:rsidR="00F97D54" w:rsidRDefault="00F97D54" w:rsidP="00EB5B97">
      <w:pPr>
        <w:keepNext/>
        <w:rPr>
          <w:color w:val="800000"/>
        </w:rPr>
      </w:pPr>
    </w:p>
    <w:p w:rsidR="0083344C" w:rsidRDefault="0083344C">
      <w:pPr>
        <w:widowControl/>
      </w:pPr>
      <w:r>
        <w:br w:type="page"/>
      </w:r>
    </w:p>
    <w:p w:rsidR="00F97D54" w:rsidRDefault="00F97D54" w:rsidP="00EB5B97">
      <w:r>
        <w:t xml:space="preserve">Instructions for Record Format for </w:t>
      </w:r>
      <w:r w:rsidRPr="00890989">
        <w:rPr>
          <w:i/>
        </w:rPr>
        <w:t>Nodes</w:t>
      </w:r>
      <w:r>
        <w:t>:</w:t>
      </w:r>
    </w:p>
    <w:p w:rsidR="00F97D54" w:rsidRDefault="00F97D54" w:rsidP="00EB5B97">
      <w:pPr>
        <w:keepNext/>
      </w:pPr>
    </w:p>
    <w:p w:rsidR="00F97D54" w:rsidRDefault="00F97D54" w:rsidP="00EB5B97">
      <w:pPr>
        <w:pStyle w:val="ColorfulList-Accent11"/>
        <w:numPr>
          <w:ilvl w:val="0"/>
          <w:numId w:val="16"/>
        </w:numPr>
        <w:autoSpaceDE w:val="0"/>
        <w:autoSpaceDN w:val="0"/>
        <w:adjustRightInd w:val="0"/>
        <w:rPr>
          <w:sz w:val="22"/>
          <w:szCs w:val="22"/>
        </w:rPr>
      </w:pPr>
      <w:r w:rsidRPr="00596A5A">
        <w:rPr>
          <w:rFonts w:cs="TimesNewRoman"/>
          <w:color w:val="010101"/>
          <w:sz w:val="22"/>
          <w:szCs w:val="22"/>
          <w:u w:val="single"/>
        </w:rPr>
        <w:t>Latitude</w:t>
      </w:r>
      <w:r w:rsidRPr="00596A5A">
        <w:rPr>
          <w:rFonts w:cs="TimesNewRoman"/>
          <w:color w:val="010101"/>
          <w:sz w:val="22"/>
          <w:szCs w:val="22"/>
        </w:rPr>
        <w:t xml:space="preserve"> and </w:t>
      </w:r>
      <w:r w:rsidRPr="00596A5A">
        <w:rPr>
          <w:rFonts w:cs="TimesNewRoman"/>
          <w:color w:val="010101"/>
          <w:sz w:val="22"/>
          <w:szCs w:val="22"/>
          <w:u w:val="single"/>
        </w:rPr>
        <w:t>Longitude</w:t>
      </w:r>
      <w:r w:rsidRPr="00596A5A">
        <w:rPr>
          <w:rFonts w:cs="TimesNewRoman"/>
          <w:color w:val="010101"/>
          <w:sz w:val="22"/>
          <w:szCs w:val="22"/>
        </w:rPr>
        <w:t xml:space="preserve">:  Enter values in decimal degrees to the nearest ±0.0005, </w:t>
      </w:r>
      <w:r w:rsidRPr="00596A5A">
        <w:rPr>
          <w:rFonts w:cs="TimesNewRoman"/>
          <w:i/>
          <w:color w:val="010101"/>
          <w:sz w:val="22"/>
          <w:szCs w:val="22"/>
        </w:rPr>
        <w:t>i.e.</w:t>
      </w:r>
      <w:r w:rsidRPr="00596A5A">
        <w:rPr>
          <w:rFonts w:cs="TimesNewRoman"/>
          <w:color w:val="010101"/>
          <w:sz w:val="22"/>
          <w:szCs w:val="22"/>
        </w:rPr>
        <w:t>, each coordinate must end in #.###0 or #.###5.  Coordinates must be in the WGS84 or NAD83 geographic coordinate system.</w:t>
      </w:r>
      <w:r w:rsidRPr="00447EC7">
        <w:rPr>
          <w:sz w:val="22"/>
          <w:szCs w:val="22"/>
        </w:rPr>
        <w:t xml:space="preserve">The shapefile </w:t>
      </w:r>
      <w:r>
        <w:rPr>
          <w:sz w:val="22"/>
          <w:szCs w:val="22"/>
        </w:rPr>
        <w:t>must</w:t>
      </w:r>
      <w:r w:rsidRPr="00447EC7">
        <w:rPr>
          <w:sz w:val="22"/>
          <w:szCs w:val="22"/>
        </w:rPr>
        <w:t xml:space="preserve"> be submitted as a WinZip archive with a name containing the company name and FRN (</w:t>
      </w:r>
      <w:r w:rsidRPr="00447EC7">
        <w:rPr>
          <w:i/>
          <w:sz w:val="22"/>
          <w:szCs w:val="22"/>
        </w:rPr>
        <w:t>e.g.</w:t>
      </w:r>
      <w:r>
        <w:rPr>
          <w:sz w:val="22"/>
          <w:szCs w:val="22"/>
        </w:rPr>
        <w:t>, CompanyName_12345678_</w:t>
      </w:r>
      <w:r w:rsidRPr="00447EC7">
        <w:rPr>
          <w:sz w:val="22"/>
          <w:szCs w:val="22"/>
        </w:rPr>
        <w:t>Fiber.zip).</w:t>
      </w:r>
    </w:p>
    <w:p w:rsidR="00F97D54" w:rsidRPr="00596A5A" w:rsidRDefault="00F97D54" w:rsidP="00EB5B97">
      <w:pPr>
        <w:pStyle w:val="ColorfulList-Accent11"/>
        <w:numPr>
          <w:ilvl w:val="0"/>
          <w:numId w:val="16"/>
        </w:numPr>
        <w:autoSpaceDE w:val="0"/>
        <w:autoSpaceDN w:val="0"/>
        <w:adjustRightInd w:val="0"/>
        <w:rPr>
          <w:sz w:val="22"/>
          <w:szCs w:val="22"/>
        </w:rPr>
      </w:pPr>
      <w:r>
        <w:rPr>
          <w:rFonts w:cs="TimesNewRoman"/>
          <w:color w:val="010101"/>
          <w:sz w:val="22"/>
          <w:szCs w:val="22"/>
          <w:u w:val="single"/>
        </w:rPr>
        <w:t>NodeYear</w:t>
      </w:r>
      <w:r>
        <w:rPr>
          <w:rFonts w:cs="TimesNewRoman"/>
          <w:color w:val="010101"/>
          <w:sz w:val="22"/>
          <w:szCs w:val="22"/>
        </w:rPr>
        <w:t xml:space="preserve">:  </w:t>
      </w:r>
      <w:r w:rsidRPr="00596A5A">
        <w:rPr>
          <w:rFonts w:cs="TimesNewRoman"/>
          <w:color w:val="010101"/>
          <w:sz w:val="22"/>
          <w:szCs w:val="22"/>
        </w:rPr>
        <w:t xml:space="preserve">If on or </w:t>
      </w:r>
      <w:r>
        <w:rPr>
          <w:rFonts w:cs="TimesNewRoman"/>
          <w:color w:val="010101"/>
          <w:sz w:val="22"/>
          <w:szCs w:val="22"/>
        </w:rPr>
        <w:t>after</w:t>
      </w:r>
      <w:r w:rsidRPr="00596A5A">
        <w:rPr>
          <w:rFonts w:cs="TimesNewRoman"/>
          <w:color w:val="010101"/>
          <w:sz w:val="22"/>
          <w:szCs w:val="22"/>
        </w:rPr>
        <w:t xml:space="preserve"> 1995</w:t>
      </w:r>
      <w:r>
        <w:rPr>
          <w:rFonts w:cs="TimesNewRoman"/>
          <w:color w:val="010101"/>
          <w:sz w:val="22"/>
          <w:szCs w:val="22"/>
        </w:rPr>
        <w:t xml:space="preserve"> </w:t>
      </w:r>
      <w:r w:rsidRPr="00596A5A">
        <w:rPr>
          <w:rFonts w:cs="TimesNewRoman"/>
          <w:color w:val="010101"/>
          <w:sz w:val="22"/>
          <w:szCs w:val="22"/>
        </w:rPr>
        <w:t xml:space="preserve">the </w:t>
      </w:r>
      <w:r w:rsidRPr="00596A5A">
        <w:rPr>
          <w:rFonts w:cs="TimesNewRoman"/>
          <w:i/>
          <w:color w:val="010101"/>
          <w:sz w:val="22"/>
          <w:szCs w:val="22"/>
        </w:rPr>
        <w:t>Node</w:t>
      </w:r>
      <w:r w:rsidRPr="00596A5A">
        <w:rPr>
          <w:rFonts w:cs="TimesNewRoman"/>
          <w:color w:val="010101"/>
          <w:sz w:val="22"/>
          <w:szCs w:val="22"/>
        </w:rPr>
        <w:t xml:space="preserve"> was first used for interconnecting with another </w:t>
      </w:r>
      <w:r w:rsidRPr="00596A5A">
        <w:rPr>
          <w:rFonts w:cs="TimesNewRoman"/>
          <w:i/>
          <w:color w:val="010101"/>
          <w:sz w:val="22"/>
          <w:szCs w:val="22"/>
        </w:rPr>
        <w:t>Provider</w:t>
      </w:r>
      <w:r w:rsidRPr="00596A5A">
        <w:rPr>
          <w:rFonts w:cs="TimesNewRoman"/>
          <w:color w:val="010101"/>
          <w:sz w:val="22"/>
          <w:szCs w:val="22"/>
        </w:rPr>
        <w:t xml:space="preserve"> </w:t>
      </w:r>
      <w:r>
        <w:rPr>
          <w:rFonts w:cs="TimesNewRoman"/>
          <w:color w:val="010101"/>
          <w:sz w:val="22"/>
          <w:szCs w:val="22"/>
        </w:rPr>
        <w:t>or in the case of cable system operators, was upgraded to provide Metro Ethernet (or its equivalent) service, then provide the year.  I</w:t>
      </w:r>
      <w:r w:rsidRPr="00596A5A">
        <w:rPr>
          <w:rFonts w:cs="TimesNewRoman"/>
          <w:color w:val="010101"/>
          <w:sz w:val="22"/>
          <w:szCs w:val="22"/>
        </w:rPr>
        <w:t xml:space="preserve">f </w:t>
      </w:r>
      <w:r>
        <w:rPr>
          <w:rFonts w:cs="TimesNewRoman"/>
          <w:color w:val="010101"/>
          <w:sz w:val="22"/>
          <w:szCs w:val="22"/>
        </w:rPr>
        <w:t>before 1995</w:t>
      </w:r>
      <w:r w:rsidRPr="00596A5A">
        <w:rPr>
          <w:rFonts w:cs="TimesNewRoman"/>
          <w:color w:val="010101"/>
          <w:sz w:val="22"/>
          <w:szCs w:val="22"/>
        </w:rPr>
        <w:t xml:space="preserve">, </w:t>
      </w:r>
      <w:r>
        <w:rPr>
          <w:rFonts w:cs="TimesNewRoman"/>
          <w:color w:val="010101"/>
          <w:sz w:val="22"/>
          <w:szCs w:val="22"/>
        </w:rPr>
        <w:t xml:space="preserve">then provide </w:t>
      </w:r>
      <w:r w:rsidRPr="00596A5A">
        <w:rPr>
          <w:rFonts w:cs="TimesNewRoman"/>
          <w:color w:val="010101"/>
          <w:sz w:val="22"/>
          <w:szCs w:val="22"/>
        </w:rPr>
        <w:t>the</w:t>
      </w:r>
      <w:r>
        <w:rPr>
          <w:rFonts w:cs="TimesNewRoman"/>
          <w:color w:val="010101"/>
          <w:sz w:val="22"/>
          <w:szCs w:val="22"/>
        </w:rPr>
        <w:t xml:space="preserve"> year or enter </w:t>
      </w:r>
      <w:r w:rsidRPr="00596A5A">
        <w:rPr>
          <w:rFonts w:cs="TimesNewRoman"/>
          <w:color w:val="010101"/>
          <w:sz w:val="22"/>
          <w:szCs w:val="22"/>
        </w:rPr>
        <w:t>1000</w:t>
      </w:r>
      <w:r>
        <w:rPr>
          <w:rFonts w:cs="TimesNewRoman"/>
          <w:color w:val="010101"/>
          <w:sz w:val="22"/>
          <w:szCs w:val="22"/>
        </w:rPr>
        <w:t xml:space="preserve"> if unknown</w:t>
      </w:r>
      <w:r w:rsidRPr="00596A5A">
        <w:rPr>
          <w:rFonts w:cs="TimesNewRoman"/>
          <w:color w:val="010101"/>
          <w:sz w:val="22"/>
          <w:szCs w:val="22"/>
        </w:rPr>
        <w:t xml:space="preserve">.  We encourage respondents to provide actual dates for as far back as they are able.  </w:t>
      </w:r>
      <w:r w:rsidRPr="00596A5A">
        <w:rPr>
          <w:sz w:val="22"/>
          <w:szCs w:val="22"/>
        </w:rPr>
        <w:t xml:space="preserve"> </w:t>
      </w:r>
    </w:p>
    <w:p w:rsidR="00F97D54" w:rsidRDefault="00F97D54" w:rsidP="00EB5B97">
      <w:pPr>
        <w:rPr>
          <w:u w:val="single"/>
        </w:rPr>
      </w:pPr>
    </w:p>
    <w:p w:rsidR="00F97D54" w:rsidRDefault="00F97D54" w:rsidP="00EB5B97">
      <w:r w:rsidRPr="00A75344">
        <w:rPr>
          <w:u w:val="single"/>
        </w:rPr>
        <w:t>Uploading Documents</w:t>
      </w:r>
      <w:r>
        <w:t xml:space="preserve">.  All files and documents responding to this question must be submitted to the FCC through the Special Access Web Portal (in the “Essay Questions – File Upload” section).    You will not include this information in the data container.  </w:t>
      </w:r>
    </w:p>
    <w:p w:rsidR="00F97D54" w:rsidRDefault="00F97D54" w:rsidP="00EB5B97"/>
    <w:p w:rsidR="00F97D54" w:rsidRPr="00E536A2" w:rsidRDefault="00F97D54" w:rsidP="00EB5B97">
      <w:pPr>
        <w:rPr>
          <w:iCs/>
        </w:rPr>
      </w:pPr>
      <w:r>
        <w:t xml:space="preserve">The web portal contains two areas for uploading documents and files.  One is for uploading the “Confidential” version of the document or file where you </w:t>
      </w:r>
      <w:r>
        <w:rPr>
          <w:rStyle w:val="Emphasis"/>
          <w:i w:val="0"/>
        </w:rPr>
        <w:t xml:space="preserve">will indicate information deemed </w:t>
      </w:r>
      <w:r w:rsidRPr="00974151">
        <w:rPr>
          <w:rStyle w:val="Emphasis"/>
          <w:i w:val="0"/>
        </w:rPr>
        <w:t>Confidential</w:t>
      </w:r>
      <w:r>
        <w:rPr>
          <w:rStyle w:val="Emphasis"/>
          <w:i w:val="0"/>
        </w:rPr>
        <w:t xml:space="preserve"> and redact information that is </w:t>
      </w:r>
      <w:r w:rsidRPr="00974151">
        <w:rPr>
          <w:rStyle w:val="Emphasis"/>
          <w:i w:val="0"/>
        </w:rPr>
        <w:t>Highly Confidential</w:t>
      </w:r>
      <w:r>
        <w:rPr>
          <w:rStyle w:val="Emphasis"/>
          <w:i w:val="0"/>
        </w:rPr>
        <w:t xml:space="preserve"> based on the Protective Order issued for the data collection.  The second area is for uploading the “Highly Confidential” version of the document or file noting both </w:t>
      </w:r>
      <w:r w:rsidRPr="00974151">
        <w:rPr>
          <w:rStyle w:val="Emphasis"/>
          <w:i w:val="0"/>
        </w:rPr>
        <w:t>Confidential</w:t>
      </w:r>
      <w:r>
        <w:rPr>
          <w:rStyle w:val="Emphasis"/>
          <w:i w:val="0"/>
        </w:rPr>
        <w:t xml:space="preserve"> and </w:t>
      </w:r>
      <w:r w:rsidRPr="00974151">
        <w:rPr>
          <w:rStyle w:val="Emphasis"/>
          <w:i w:val="0"/>
        </w:rPr>
        <w:t>Highly Confidential</w:t>
      </w:r>
      <w:r>
        <w:rPr>
          <w:rStyle w:val="Emphasis"/>
          <w:i w:val="0"/>
        </w:rPr>
        <w:t xml:space="preserve"> information without any redactions.  You must upload at least one document or file in each area or you will receive an error message during the submission process.  If the document or file does not contain Confidential or Highly Confidential information, </w:t>
      </w:r>
      <w:r w:rsidRPr="00FF31E9">
        <w:rPr>
          <w:rStyle w:val="Emphasis"/>
        </w:rPr>
        <w:t>e.g.</w:t>
      </w:r>
      <w:r>
        <w:rPr>
          <w:rStyle w:val="Emphasis"/>
          <w:i w:val="0"/>
        </w:rPr>
        <w:t xml:space="preserve">, all information is publicly available, then upload the document or file in each area without the relevant Confidential/Highly Confidential notations or redactions in the case of the Confidential upload area.  </w:t>
      </w:r>
      <w:r>
        <w:t xml:space="preserve"> </w:t>
      </w:r>
    </w:p>
    <w:p w:rsidR="00F97D54" w:rsidRDefault="00F97D54" w:rsidP="00EB5B97"/>
    <w:p w:rsidR="00F97D54" w:rsidRPr="004820FF" w:rsidRDefault="00F97D54" w:rsidP="004820FF">
      <w:pPr>
        <w:pStyle w:val="Heading4"/>
        <w:numPr>
          <w:ilvl w:val="0"/>
          <w:numId w:val="0"/>
        </w:numPr>
        <w:rPr>
          <w:b w:val="0"/>
          <w:i/>
          <w:szCs w:val="22"/>
        </w:rPr>
      </w:pPr>
      <w:bookmarkStart w:id="96" w:name="_Toc365972085"/>
      <w:r w:rsidRPr="004820FF">
        <w:rPr>
          <w:b w:val="0"/>
          <w:i/>
        </w:rPr>
        <w:t>Question II.A.6:  Sampling History of Competitive Connections by Location</w:t>
      </w:r>
      <w:bookmarkEnd w:id="96"/>
    </w:p>
    <w:p w:rsidR="00F97D54" w:rsidRDefault="00F97D54" w:rsidP="00EB5B97">
      <w:r>
        <w:t xml:space="preserve">Based on your response to Question II.A.4, we will provide you with a list of </w:t>
      </w:r>
      <w:r>
        <w:rPr>
          <w:i/>
        </w:rPr>
        <w:t>L</w:t>
      </w:r>
      <w:r w:rsidRPr="00222C4F">
        <w:rPr>
          <w:i/>
        </w:rPr>
        <w:t>ocations</w:t>
      </w:r>
      <w:r>
        <w:rPr>
          <w:i/>
        </w:rPr>
        <w:t xml:space="preserve"> </w:t>
      </w:r>
      <w:r w:rsidRPr="004E21F0">
        <w:t xml:space="preserve">to which your company had a </w:t>
      </w:r>
      <w:r w:rsidRPr="00320908">
        <w:rPr>
          <w:i/>
        </w:rPr>
        <w:t>Connection</w:t>
      </w:r>
      <w:r>
        <w:t xml:space="preserve"> in 2012</w:t>
      </w:r>
      <w:r w:rsidRPr="00320908">
        <w:t>.</w:t>
      </w:r>
      <w:r>
        <w:t xml:space="preserve">  For each </w:t>
      </w:r>
      <w:r>
        <w:rPr>
          <w:i/>
        </w:rPr>
        <w:t>L</w:t>
      </w:r>
      <w:r w:rsidRPr="00170B3E">
        <w:rPr>
          <w:i/>
        </w:rPr>
        <w:t>ocation</w:t>
      </w:r>
      <w:r>
        <w:t xml:space="preserve"> listed, provide the month and year – in the format set forth in Table II.A.6 – that you first served the </w:t>
      </w:r>
      <w:r>
        <w:rPr>
          <w:i/>
        </w:rPr>
        <w:t>L</w:t>
      </w:r>
      <w:r w:rsidRPr="00170B3E">
        <w:rPr>
          <w:i/>
        </w:rPr>
        <w:t>ocation</w:t>
      </w:r>
      <w:r>
        <w:rPr>
          <w:i/>
        </w:rPr>
        <w:t xml:space="preserve"> </w:t>
      </w:r>
      <w:r>
        <w:t xml:space="preserve">with a </w:t>
      </w:r>
      <w:r w:rsidRPr="00E832CC">
        <w:rPr>
          <w:i/>
        </w:rPr>
        <w:t>Connection</w:t>
      </w:r>
      <w:r>
        <w:t xml:space="preserve"> that you (i) owned; (ii) leased under an </w:t>
      </w:r>
      <w:r w:rsidRPr="00E832CC">
        <w:rPr>
          <w:i/>
        </w:rPr>
        <w:t>IRU</w:t>
      </w:r>
      <w:r>
        <w:t xml:space="preserve">; or (iii) obtained as a </w:t>
      </w:r>
      <w:r w:rsidRPr="00E832CC">
        <w:rPr>
          <w:i/>
        </w:rPr>
        <w:t>UNE</w:t>
      </w:r>
      <w:r>
        <w:t xml:space="preserve"> to provide </w:t>
      </w:r>
      <w:r w:rsidRPr="00E832CC">
        <w:rPr>
          <w:i/>
        </w:rPr>
        <w:t>Dedicated Service</w:t>
      </w:r>
      <w:r>
        <w:t xml:space="preserve">.  </w:t>
      </w:r>
    </w:p>
    <w:p w:rsidR="00F97D54" w:rsidRDefault="00F97D54" w:rsidP="00EB5B97">
      <w:r>
        <w:t xml:space="preserve">We will derive the sample list of </w:t>
      </w:r>
      <w:r w:rsidRPr="00C8314B">
        <w:rPr>
          <w:i/>
        </w:rPr>
        <w:t>Locations</w:t>
      </w:r>
      <w:r>
        <w:t xml:space="preserve"> as follows.  A random sample will be drawn from the </w:t>
      </w:r>
      <w:r>
        <w:rPr>
          <w:i/>
        </w:rPr>
        <w:t>L</w:t>
      </w:r>
      <w:r w:rsidRPr="00170B3E">
        <w:rPr>
          <w:i/>
        </w:rPr>
        <w:t>ocations</w:t>
      </w:r>
      <w:r>
        <w:t xml:space="preserve"> entered in Table II.A.4 equal </w:t>
      </w:r>
      <w:r w:rsidRPr="00C3531E">
        <w:t xml:space="preserve">to </w:t>
      </w:r>
      <w:r>
        <w:t xml:space="preserve">the maximum of:  (i) </w:t>
      </w:r>
      <w:r w:rsidRPr="004E21F0">
        <w:rPr>
          <w:i/>
        </w:rPr>
        <w:t>p</w:t>
      </w:r>
      <w:r>
        <w:t xml:space="preserve"> percent of the </w:t>
      </w:r>
      <w:r w:rsidRPr="0093312D">
        <w:rPr>
          <w:i/>
        </w:rPr>
        <w:t>Locations</w:t>
      </w:r>
      <w:r>
        <w:t xml:space="preserve"> </w:t>
      </w:r>
      <w:r w:rsidRPr="004F524D">
        <w:t xml:space="preserve">to which your company had a </w:t>
      </w:r>
      <w:r w:rsidRPr="00320908">
        <w:rPr>
          <w:i/>
        </w:rPr>
        <w:t>Connection</w:t>
      </w:r>
      <w:r>
        <w:t xml:space="preserve"> in 2012 rounded up to the nearest integer or (ii) the number two.</w:t>
      </w:r>
      <w:r>
        <w:rPr>
          <w:rStyle w:val="FootnoteReference"/>
        </w:rPr>
        <w:footnoteReference w:id="197"/>
      </w:r>
      <w:r>
        <w:t xml:space="preserve">  </w:t>
      </w:r>
      <w:r w:rsidRPr="004E21F0">
        <w:rPr>
          <w:i/>
        </w:rPr>
        <w:t>Competitive Providers</w:t>
      </w:r>
      <w:r>
        <w:t xml:space="preserve"> with one such </w:t>
      </w:r>
      <w:r w:rsidRPr="004E21F0">
        <w:rPr>
          <w:i/>
        </w:rPr>
        <w:t>Location</w:t>
      </w:r>
      <w:r>
        <w:t xml:space="preserve"> will not need to answer this question.  The percentage </w:t>
      </w:r>
      <w:r w:rsidRPr="004E21F0">
        <w:rPr>
          <w:i/>
        </w:rPr>
        <w:t>p</w:t>
      </w:r>
      <w:r>
        <w:t xml:space="preserve"> will be selected to ensure that about 1,600 sampling units are drawn; based on a current estimate that </w:t>
      </w:r>
      <w:r>
        <w:rPr>
          <w:i/>
        </w:rPr>
        <w:t>Competi</w:t>
      </w:r>
      <w:r w:rsidRPr="0093312D">
        <w:rPr>
          <w:i/>
        </w:rPr>
        <w:t>tive Providers</w:t>
      </w:r>
      <w:r>
        <w:t xml:space="preserve"> serve on their own facilities 200,000 </w:t>
      </w:r>
      <w:r w:rsidRPr="0093312D">
        <w:rPr>
          <w:i/>
        </w:rPr>
        <w:t>Locations</w:t>
      </w:r>
      <w:r>
        <w:t xml:space="preserve">, the value of </w:t>
      </w:r>
      <w:r w:rsidRPr="004E21F0">
        <w:rPr>
          <w:i/>
        </w:rPr>
        <w:t>p</w:t>
      </w:r>
      <w:r>
        <w:t xml:space="preserve"> is expected to be on the order of 0.8 percent.  </w:t>
      </w:r>
      <w:r>
        <w:rPr>
          <w:color w:val="000000"/>
        </w:rPr>
        <w:t>This sample size is expected to provide ranges for estimates of proportions of the national population that are with 95% confidence expected to include the true value of the estimated proportion within ±2.5% of the estimate.  For example, if the sample produces an estimate of 50% of the national population, the true value of the proportion would be in the range (47.5%, 52.5%) with 95% confidence.</w:t>
      </w:r>
      <w:r w:rsidRPr="004262CD">
        <w:t xml:space="preserve">  </w:t>
      </w:r>
      <w:r>
        <w:t xml:space="preserve">The </w:t>
      </w:r>
      <w:r w:rsidRPr="004E21F0">
        <w:t>four</w:t>
      </w:r>
      <w:r>
        <w:t xml:space="preserve"> served </w:t>
      </w:r>
      <w:r>
        <w:rPr>
          <w:i/>
        </w:rPr>
        <w:t>L</w:t>
      </w:r>
      <w:r w:rsidRPr="00170B3E">
        <w:rPr>
          <w:i/>
        </w:rPr>
        <w:t>ocations</w:t>
      </w:r>
      <w:r>
        <w:t xml:space="preserve"> nearest each of the sampled served </w:t>
      </w:r>
      <w:r>
        <w:rPr>
          <w:i/>
        </w:rPr>
        <w:t>L</w:t>
      </w:r>
      <w:r w:rsidRPr="00170B3E">
        <w:rPr>
          <w:i/>
        </w:rPr>
        <w:t>ocations</w:t>
      </w:r>
      <w:r>
        <w:t xml:space="preserve"> will be added to the random sample of served </w:t>
      </w:r>
      <w:r>
        <w:rPr>
          <w:i/>
        </w:rPr>
        <w:t>L</w:t>
      </w:r>
      <w:r w:rsidRPr="00170B3E">
        <w:rPr>
          <w:i/>
        </w:rPr>
        <w:t>ocations</w:t>
      </w:r>
      <w:r>
        <w:t>, and the resulting list, with duplicates removed, will be given to you.</w:t>
      </w:r>
    </w:p>
    <w:p w:rsidR="00F97D54" w:rsidRDefault="00F97D54" w:rsidP="00EB5B97"/>
    <w:p w:rsidR="00F97D54" w:rsidRDefault="00F97D54" w:rsidP="00EB5B97">
      <w:r>
        <w:t>To be clear, you will not include an answer to this question within the data container or otherwise with your initial submission to the data collection.  The record format for when you do subsequently respond to this sampling question is provided below:</w:t>
      </w:r>
    </w:p>
    <w:p w:rsidR="00F97D54" w:rsidRPr="002D79A3" w:rsidRDefault="00F97D54" w:rsidP="00EB5B97">
      <w:pPr>
        <w:rPr>
          <w:b/>
        </w:rPr>
      </w:pPr>
    </w:p>
    <w:tbl>
      <w:tblPr>
        <w:tblW w:w="8838" w:type="dxa"/>
        <w:tblLook w:val="01E0" w:firstRow="1" w:lastRow="1" w:firstColumn="1" w:lastColumn="1" w:noHBand="0" w:noVBand="0"/>
      </w:tblPr>
      <w:tblGrid>
        <w:gridCol w:w="1647"/>
        <w:gridCol w:w="3815"/>
        <w:gridCol w:w="1570"/>
        <w:gridCol w:w="1806"/>
      </w:tblGrid>
      <w:tr w:rsidR="00F97D54" w:rsidTr="00EB5B97">
        <w:trPr>
          <w:trHeight w:val="432"/>
          <w:tblHeader/>
        </w:trPr>
        <w:tc>
          <w:tcPr>
            <w:tcW w:w="8838" w:type="dxa"/>
            <w:gridSpan w:val="4"/>
            <w:tcBorders>
              <w:top w:val="double" w:sz="4" w:space="0" w:color="auto"/>
              <w:bottom w:val="single" w:sz="4" w:space="0" w:color="auto"/>
            </w:tcBorders>
            <w:vAlign w:val="center"/>
          </w:tcPr>
          <w:p w:rsidR="00F97D54" w:rsidRPr="00886F07" w:rsidRDefault="00F97D54" w:rsidP="00EB5B97">
            <w:pPr>
              <w:jc w:val="center"/>
              <w:rPr>
                <w:b/>
              </w:rPr>
            </w:pPr>
            <w:r w:rsidRPr="00886F07">
              <w:rPr>
                <w:b/>
                <w:szCs w:val="22"/>
              </w:rPr>
              <w:t xml:space="preserve">Record Format for </w:t>
            </w:r>
            <w:r>
              <w:rPr>
                <w:b/>
                <w:szCs w:val="22"/>
              </w:rPr>
              <w:t xml:space="preserve">History of Competitive </w:t>
            </w:r>
            <w:r w:rsidRPr="00A9462A">
              <w:rPr>
                <w:b/>
                <w:i/>
                <w:szCs w:val="22"/>
              </w:rPr>
              <w:t>Connections</w:t>
            </w:r>
            <w:r w:rsidRPr="00886F07">
              <w:rPr>
                <w:b/>
                <w:szCs w:val="22"/>
              </w:rPr>
              <w:t xml:space="preserve"> by </w:t>
            </w:r>
            <w:r w:rsidRPr="00561A45">
              <w:rPr>
                <w:b/>
                <w:i/>
                <w:szCs w:val="22"/>
              </w:rPr>
              <w:t>Location</w:t>
            </w:r>
            <w:r w:rsidRPr="00886F07">
              <w:rPr>
                <w:b/>
                <w:szCs w:val="22"/>
              </w:rPr>
              <w:t xml:space="preserve"> </w:t>
            </w:r>
          </w:p>
        </w:tc>
      </w:tr>
      <w:tr w:rsidR="00F97D54" w:rsidTr="00EB5B97">
        <w:trPr>
          <w:trHeight w:val="432"/>
          <w:tblHeader/>
        </w:trPr>
        <w:tc>
          <w:tcPr>
            <w:tcW w:w="1647" w:type="dxa"/>
            <w:tcBorders>
              <w:top w:val="single" w:sz="4" w:space="0" w:color="auto"/>
              <w:bottom w:val="single" w:sz="4" w:space="0" w:color="auto"/>
              <w:right w:val="single" w:sz="4" w:space="0" w:color="auto"/>
            </w:tcBorders>
            <w:vAlign w:val="center"/>
          </w:tcPr>
          <w:p w:rsidR="00F97D54" w:rsidRDefault="00F97D54" w:rsidP="00EB5B97">
            <w:pPr>
              <w:rPr>
                <w:b/>
                <w:sz w:val="18"/>
                <w:szCs w:val="18"/>
              </w:rPr>
            </w:pPr>
            <w:r>
              <w:rPr>
                <w:b/>
                <w:sz w:val="18"/>
                <w:szCs w:val="18"/>
              </w:rPr>
              <w:t>Field Name</w:t>
            </w:r>
          </w:p>
        </w:tc>
        <w:tc>
          <w:tcPr>
            <w:tcW w:w="3815" w:type="dxa"/>
            <w:tcBorders>
              <w:top w:val="single" w:sz="4" w:space="0" w:color="auto"/>
              <w:left w:val="single" w:sz="4" w:space="0" w:color="auto"/>
              <w:bottom w:val="single" w:sz="4" w:space="0" w:color="auto"/>
              <w:right w:val="single" w:sz="4" w:space="0" w:color="auto"/>
            </w:tcBorders>
            <w:vAlign w:val="center"/>
          </w:tcPr>
          <w:p w:rsidR="00F97D54" w:rsidRDefault="00F97D54" w:rsidP="00EB5B97">
            <w:pPr>
              <w:rPr>
                <w:b/>
                <w:sz w:val="18"/>
                <w:szCs w:val="18"/>
              </w:rPr>
            </w:pPr>
            <w:r>
              <w:rPr>
                <w:b/>
                <w:sz w:val="18"/>
                <w:szCs w:val="18"/>
              </w:rPr>
              <w:t>Description</w:t>
            </w:r>
          </w:p>
        </w:tc>
        <w:tc>
          <w:tcPr>
            <w:tcW w:w="1570" w:type="dxa"/>
            <w:tcBorders>
              <w:top w:val="single" w:sz="4" w:space="0" w:color="auto"/>
              <w:left w:val="single" w:sz="4" w:space="0" w:color="auto"/>
              <w:bottom w:val="single" w:sz="4" w:space="0" w:color="auto"/>
              <w:right w:val="single" w:sz="4" w:space="0" w:color="auto"/>
            </w:tcBorders>
            <w:vAlign w:val="center"/>
          </w:tcPr>
          <w:p w:rsidR="00F97D54" w:rsidRDefault="00F97D54" w:rsidP="00EB5B97">
            <w:pPr>
              <w:rPr>
                <w:b/>
                <w:sz w:val="18"/>
                <w:szCs w:val="18"/>
              </w:rPr>
            </w:pPr>
            <w:r>
              <w:rPr>
                <w:b/>
                <w:sz w:val="18"/>
                <w:szCs w:val="18"/>
              </w:rPr>
              <w:t>Type</w:t>
            </w:r>
          </w:p>
        </w:tc>
        <w:tc>
          <w:tcPr>
            <w:tcW w:w="1806" w:type="dxa"/>
            <w:tcBorders>
              <w:top w:val="single" w:sz="4" w:space="0" w:color="auto"/>
              <w:left w:val="single" w:sz="4" w:space="0" w:color="auto"/>
              <w:bottom w:val="single" w:sz="4" w:space="0" w:color="auto"/>
            </w:tcBorders>
            <w:vAlign w:val="center"/>
          </w:tcPr>
          <w:p w:rsidR="00F97D54" w:rsidRDefault="00F97D54" w:rsidP="00EB5B97">
            <w:pPr>
              <w:ind w:right="-108"/>
              <w:rPr>
                <w:b/>
                <w:sz w:val="18"/>
                <w:szCs w:val="18"/>
              </w:rPr>
            </w:pPr>
            <w:r>
              <w:rPr>
                <w:b/>
                <w:sz w:val="18"/>
                <w:szCs w:val="18"/>
              </w:rPr>
              <w:t>Example</w:t>
            </w:r>
          </w:p>
        </w:tc>
      </w:tr>
      <w:tr w:rsidR="00F97D54" w:rsidTr="00EB5B97">
        <w:trPr>
          <w:trHeight w:val="530"/>
        </w:trPr>
        <w:tc>
          <w:tcPr>
            <w:tcW w:w="1647" w:type="dxa"/>
            <w:vAlign w:val="center"/>
          </w:tcPr>
          <w:p w:rsidR="00F97D54" w:rsidRDefault="00F97D54" w:rsidP="00EB5B97">
            <w:pPr>
              <w:rPr>
                <w:sz w:val="16"/>
                <w:szCs w:val="16"/>
              </w:rPr>
            </w:pPr>
            <w:r>
              <w:rPr>
                <w:sz w:val="16"/>
                <w:szCs w:val="16"/>
              </w:rPr>
              <w:t>…</w:t>
            </w:r>
          </w:p>
        </w:tc>
        <w:tc>
          <w:tcPr>
            <w:tcW w:w="3815" w:type="dxa"/>
            <w:vAlign w:val="center"/>
          </w:tcPr>
          <w:p w:rsidR="00F97D54" w:rsidRDefault="00F97D54" w:rsidP="00EB5B97">
            <w:pPr>
              <w:rPr>
                <w:sz w:val="16"/>
                <w:szCs w:val="16"/>
              </w:rPr>
            </w:pPr>
            <w:r>
              <w:rPr>
                <w:sz w:val="16"/>
                <w:szCs w:val="16"/>
              </w:rPr>
              <w:t>…The carrier’s record ID for a number of locations will be returned…</w:t>
            </w:r>
          </w:p>
        </w:tc>
        <w:tc>
          <w:tcPr>
            <w:tcW w:w="1570" w:type="dxa"/>
            <w:vAlign w:val="center"/>
          </w:tcPr>
          <w:p w:rsidR="00F97D54" w:rsidRDefault="00F97D54" w:rsidP="00EB5B97">
            <w:pPr>
              <w:rPr>
                <w:sz w:val="16"/>
                <w:szCs w:val="16"/>
              </w:rPr>
            </w:pPr>
            <w:r>
              <w:rPr>
                <w:sz w:val="16"/>
                <w:szCs w:val="16"/>
              </w:rPr>
              <w:t>…</w:t>
            </w:r>
          </w:p>
        </w:tc>
        <w:tc>
          <w:tcPr>
            <w:tcW w:w="1806" w:type="dxa"/>
            <w:vAlign w:val="center"/>
          </w:tcPr>
          <w:p w:rsidR="00F97D54" w:rsidRDefault="00F97D54" w:rsidP="00EB5B97">
            <w:pPr>
              <w:rPr>
                <w:sz w:val="16"/>
                <w:szCs w:val="16"/>
              </w:rPr>
            </w:pPr>
            <w:r>
              <w:rPr>
                <w:sz w:val="16"/>
                <w:szCs w:val="16"/>
              </w:rPr>
              <w:t>…</w:t>
            </w:r>
          </w:p>
        </w:tc>
      </w:tr>
      <w:tr w:rsidR="00F97D54" w:rsidTr="00EB5B97">
        <w:trPr>
          <w:trHeight w:val="576"/>
        </w:trPr>
        <w:tc>
          <w:tcPr>
            <w:tcW w:w="1647" w:type="dxa"/>
            <w:tcBorders>
              <w:bottom w:val="double" w:sz="4" w:space="0" w:color="auto"/>
            </w:tcBorders>
            <w:vAlign w:val="center"/>
          </w:tcPr>
          <w:p w:rsidR="00F97D54" w:rsidRDefault="00F97D54" w:rsidP="00EB5B97">
            <w:pPr>
              <w:rPr>
                <w:sz w:val="16"/>
                <w:szCs w:val="16"/>
              </w:rPr>
            </w:pPr>
            <w:r>
              <w:rPr>
                <w:sz w:val="16"/>
                <w:szCs w:val="16"/>
              </w:rPr>
              <w:t>First_served</w:t>
            </w:r>
          </w:p>
        </w:tc>
        <w:tc>
          <w:tcPr>
            <w:tcW w:w="3815" w:type="dxa"/>
            <w:tcBorders>
              <w:bottom w:val="double" w:sz="4" w:space="0" w:color="auto"/>
            </w:tcBorders>
            <w:vAlign w:val="center"/>
          </w:tcPr>
          <w:p w:rsidR="00F97D54" w:rsidRDefault="00F97D54" w:rsidP="00EB5B97">
            <w:pPr>
              <w:rPr>
                <w:sz w:val="16"/>
                <w:szCs w:val="16"/>
              </w:rPr>
            </w:pPr>
            <w:r>
              <w:rPr>
                <w:sz w:val="16"/>
                <w:szCs w:val="16"/>
              </w:rPr>
              <w:t xml:space="preserve">The month and year this </w:t>
            </w:r>
            <w:r w:rsidRPr="00A9462A">
              <w:rPr>
                <w:i/>
                <w:sz w:val="16"/>
                <w:szCs w:val="16"/>
              </w:rPr>
              <w:t>Location</w:t>
            </w:r>
            <w:r>
              <w:rPr>
                <w:sz w:val="16"/>
                <w:szCs w:val="16"/>
              </w:rPr>
              <w:t xml:space="preserve"> was first served</w:t>
            </w:r>
          </w:p>
        </w:tc>
        <w:tc>
          <w:tcPr>
            <w:tcW w:w="1570" w:type="dxa"/>
            <w:tcBorders>
              <w:bottom w:val="double" w:sz="4" w:space="0" w:color="auto"/>
            </w:tcBorders>
            <w:vAlign w:val="center"/>
          </w:tcPr>
          <w:p w:rsidR="00F97D54" w:rsidRDefault="00F97D54" w:rsidP="00EB5B97">
            <w:pPr>
              <w:rPr>
                <w:sz w:val="16"/>
                <w:szCs w:val="16"/>
              </w:rPr>
            </w:pPr>
            <w:r>
              <w:rPr>
                <w:sz w:val="16"/>
                <w:szCs w:val="16"/>
              </w:rPr>
              <w:t>Date</w:t>
            </w:r>
          </w:p>
        </w:tc>
        <w:tc>
          <w:tcPr>
            <w:tcW w:w="1806" w:type="dxa"/>
            <w:tcBorders>
              <w:bottom w:val="double" w:sz="4" w:space="0" w:color="auto"/>
            </w:tcBorders>
            <w:vAlign w:val="center"/>
          </w:tcPr>
          <w:p w:rsidR="00F97D54" w:rsidRDefault="00F97D54" w:rsidP="00EB5B97">
            <w:pPr>
              <w:rPr>
                <w:sz w:val="16"/>
                <w:szCs w:val="16"/>
              </w:rPr>
            </w:pPr>
            <w:r>
              <w:rPr>
                <w:sz w:val="16"/>
                <w:szCs w:val="16"/>
              </w:rPr>
              <w:t>12/2009</w:t>
            </w:r>
          </w:p>
        </w:tc>
      </w:tr>
    </w:tbl>
    <w:p w:rsidR="00F97D54" w:rsidRDefault="00F97D54" w:rsidP="00EB5B97"/>
    <w:p w:rsidR="00F97D54" w:rsidRPr="004820FF" w:rsidRDefault="00F97D54" w:rsidP="004820FF">
      <w:pPr>
        <w:pStyle w:val="Heading4"/>
        <w:numPr>
          <w:ilvl w:val="0"/>
          <w:numId w:val="0"/>
        </w:numPr>
        <w:rPr>
          <w:b w:val="0"/>
          <w:i/>
          <w:szCs w:val="22"/>
        </w:rPr>
      </w:pPr>
      <w:bookmarkStart w:id="97" w:name="_Toc365972086"/>
      <w:r w:rsidRPr="004820FF">
        <w:rPr>
          <w:b w:val="0"/>
          <w:i/>
        </w:rPr>
        <w:t>Question II.A.7:  Collocations by Wire Center</w:t>
      </w:r>
      <w:bookmarkEnd w:id="97"/>
    </w:p>
    <w:p w:rsidR="00F97D54" w:rsidRDefault="00F97D54" w:rsidP="00EB5B97">
      <w:pPr>
        <w:rPr>
          <w:b/>
        </w:rPr>
      </w:pPr>
      <w:r>
        <w:t xml:space="preserve">For each </w:t>
      </w:r>
      <w:r w:rsidRPr="00AD1E5A">
        <w:rPr>
          <w:i/>
        </w:rPr>
        <w:t>ILEC</w:t>
      </w:r>
      <w:r>
        <w:t xml:space="preserve"> wire center where your company is collocated, provide the information listed below.</w:t>
      </w:r>
    </w:p>
    <w:p w:rsidR="00F97D54" w:rsidRDefault="00F97D54" w:rsidP="00EB5B97"/>
    <w:tbl>
      <w:tblPr>
        <w:tblW w:w="8838" w:type="dxa"/>
        <w:tblLook w:val="01E0" w:firstRow="1" w:lastRow="1" w:firstColumn="1" w:lastColumn="1" w:noHBand="0" w:noVBand="0"/>
      </w:tblPr>
      <w:tblGrid>
        <w:gridCol w:w="1585"/>
        <w:gridCol w:w="3849"/>
        <w:gridCol w:w="1578"/>
        <w:gridCol w:w="1826"/>
      </w:tblGrid>
      <w:tr w:rsidR="00F97D54" w:rsidTr="00EB5B97">
        <w:trPr>
          <w:cantSplit/>
          <w:trHeight w:val="432"/>
          <w:tblHeader/>
        </w:trPr>
        <w:tc>
          <w:tcPr>
            <w:tcW w:w="8838" w:type="dxa"/>
            <w:gridSpan w:val="4"/>
            <w:tcBorders>
              <w:top w:val="double" w:sz="4" w:space="0" w:color="auto"/>
              <w:bottom w:val="single" w:sz="4" w:space="0" w:color="auto"/>
            </w:tcBorders>
            <w:vAlign w:val="center"/>
          </w:tcPr>
          <w:p w:rsidR="00F97D54" w:rsidRDefault="00F97D54" w:rsidP="00EB5B97">
            <w:pPr>
              <w:jc w:val="center"/>
              <w:rPr>
                <w:rFonts w:ascii="Times New Roman Bold" w:hAnsi="Times New Roman Bold"/>
                <w:b/>
                <w:szCs w:val="22"/>
              </w:rPr>
            </w:pPr>
            <w:r>
              <w:rPr>
                <w:b/>
              </w:rPr>
              <w:t>Table II.A.7</w:t>
            </w:r>
          </w:p>
          <w:p w:rsidR="00F97D54" w:rsidRDefault="00F97D54" w:rsidP="00EB5B97">
            <w:pPr>
              <w:jc w:val="center"/>
              <w:rPr>
                <w:rFonts w:ascii="Times New Roman Bold" w:hAnsi="Times New Roman Bold"/>
                <w:b/>
                <w:szCs w:val="22"/>
              </w:rPr>
            </w:pPr>
            <w:r>
              <w:rPr>
                <w:rFonts w:ascii="Times New Roman Bold" w:hAnsi="Times New Roman Bold"/>
                <w:b/>
                <w:szCs w:val="22"/>
              </w:rPr>
              <w:t>Record Format for Collocations by Wire Center</w:t>
            </w:r>
          </w:p>
        </w:tc>
      </w:tr>
      <w:tr w:rsidR="00F97D54" w:rsidTr="00EB5B97">
        <w:trPr>
          <w:cantSplit/>
          <w:trHeight w:val="432"/>
          <w:tblHeader/>
        </w:trPr>
        <w:tc>
          <w:tcPr>
            <w:tcW w:w="1585" w:type="dxa"/>
            <w:tcBorders>
              <w:top w:val="single" w:sz="4" w:space="0" w:color="auto"/>
              <w:bottom w:val="single" w:sz="4" w:space="0" w:color="auto"/>
              <w:right w:val="single" w:sz="4" w:space="0" w:color="auto"/>
            </w:tcBorders>
            <w:vAlign w:val="center"/>
          </w:tcPr>
          <w:p w:rsidR="00F97D54" w:rsidRDefault="00F97D54" w:rsidP="00EB5B97">
            <w:pPr>
              <w:rPr>
                <w:b/>
                <w:sz w:val="18"/>
                <w:szCs w:val="18"/>
              </w:rPr>
            </w:pPr>
            <w:r>
              <w:rPr>
                <w:b/>
                <w:sz w:val="18"/>
                <w:szCs w:val="18"/>
              </w:rPr>
              <w:t>Field Name</w:t>
            </w:r>
          </w:p>
        </w:tc>
        <w:tc>
          <w:tcPr>
            <w:tcW w:w="3849" w:type="dxa"/>
            <w:tcBorders>
              <w:top w:val="single" w:sz="4" w:space="0" w:color="auto"/>
              <w:left w:val="single" w:sz="4" w:space="0" w:color="auto"/>
              <w:bottom w:val="single" w:sz="4" w:space="0" w:color="auto"/>
              <w:right w:val="single" w:sz="4" w:space="0" w:color="auto"/>
            </w:tcBorders>
            <w:vAlign w:val="center"/>
          </w:tcPr>
          <w:p w:rsidR="00F97D54" w:rsidRDefault="00F97D54" w:rsidP="00EB5B97">
            <w:pPr>
              <w:rPr>
                <w:b/>
                <w:sz w:val="18"/>
                <w:szCs w:val="18"/>
              </w:rPr>
            </w:pPr>
            <w:r>
              <w:rPr>
                <w:b/>
                <w:sz w:val="18"/>
                <w:szCs w:val="18"/>
              </w:rPr>
              <w:t>Description</w:t>
            </w:r>
          </w:p>
        </w:tc>
        <w:tc>
          <w:tcPr>
            <w:tcW w:w="1578" w:type="dxa"/>
            <w:tcBorders>
              <w:top w:val="single" w:sz="4" w:space="0" w:color="auto"/>
              <w:left w:val="single" w:sz="4" w:space="0" w:color="auto"/>
              <w:bottom w:val="single" w:sz="4" w:space="0" w:color="auto"/>
              <w:right w:val="single" w:sz="4" w:space="0" w:color="auto"/>
            </w:tcBorders>
            <w:vAlign w:val="center"/>
          </w:tcPr>
          <w:p w:rsidR="00F97D54" w:rsidRDefault="00F97D54" w:rsidP="00EB5B97">
            <w:pPr>
              <w:rPr>
                <w:b/>
                <w:sz w:val="18"/>
                <w:szCs w:val="18"/>
              </w:rPr>
            </w:pPr>
            <w:r>
              <w:rPr>
                <w:b/>
                <w:sz w:val="18"/>
                <w:szCs w:val="18"/>
              </w:rPr>
              <w:t>Type</w:t>
            </w:r>
          </w:p>
        </w:tc>
        <w:tc>
          <w:tcPr>
            <w:tcW w:w="1826" w:type="dxa"/>
            <w:tcBorders>
              <w:top w:val="single" w:sz="4" w:space="0" w:color="auto"/>
              <w:left w:val="single" w:sz="4" w:space="0" w:color="auto"/>
              <w:bottom w:val="single" w:sz="4" w:space="0" w:color="auto"/>
            </w:tcBorders>
            <w:vAlign w:val="center"/>
          </w:tcPr>
          <w:p w:rsidR="00F97D54" w:rsidRDefault="00F97D54" w:rsidP="00EB5B97">
            <w:pPr>
              <w:ind w:right="-108"/>
              <w:rPr>
                <w:b/>
                <w:sz w:val="18"/>
                <w:szCs w:val="18"/>
              </w:rPr>
            </w:pPr>
            <w:r>
              <w:rPr>
                <w:b/>
                <w:sz w:val="18"/>
                <w:szCs w:val="18"/>
              </w:rPr>
              <w:t>Example</w:t>
            </w:r>
          </w:p>
        </w:tc>
      </w:tr>
      <w:tr w:rsidR="00F97D54" w:rsidTr="00EB5B97">
        <w:trPr>
          <w:trHeight w:val="360"/>
        </w:trPr>
        <w:tc>
          <w:tcPr>
            <w:tcW w:w="1585" w:type="dxa"/>
            <w:vAlign w:val="center"/>
          </w:tcPr>
          <w:p w:rsidR="00F97D54" w:rsidRDefault="00F97D54" w:rsidP="00EB5B97">
            <w:pPr>
              <w:rPr>
                <w:sz w:val="16"/>
                <w:szCs w:val="16"/>
              </w:rPr>
            </w:pPr>
            <w:r>
              <w:rPr>
                <w:sz w:val="16"/>
                <w:szCs w:val="16"/>
              </w:rPr>
              <w:t>ID</w:t>
            </w:r>
          </w:p>
        </w:tc>
        <w:tc>
          <w:tcPr>
            <w:tcW w:w="3849" w:type="dxa"/>
            <w:vAlign w:val="center"/>
          </w:tcPr>
          <w:p w:rsidR="00F97D54" w:rsidRDefault="00F97D54" w:rsidP="00EB5B97">
            <w:pPr>
              <w:rPr>
                <w:sz w:val="16"/>
                <w:szCs w:val="16"/>
              </w:rPr>
            </w:pPr>
            <w:r>
              <w:rPr>
                <w:sz w:val="16"/>
                <w:szCs w:val="16"/>
              </w:rPr>
              <w:t>Sequential record number</w:t>
            </w:r>
          </w:p>
        </w:tc>
        <w:tc>
          <w:tcPr>
            <w:tcW w:w="1578" w:type="dxa"/>
            <w:vAlign w:val="center"/>
          </w:tcPr>
          <w:p w:rsidR="00F97D54" w:rsidRDefault="00F97D54" w:rsidP="00EB5B97">
            <w:pPr>
              <w:rPr>
                <w:sz w:val="16"/>
                <w:szCs w:val="16"/>
              </w:rPr>
            </w:pPr>
            <w:r>
              <w:rPr>
                <w:sz w:val="16"/>
                <w:szCs w:val="16"/>
              </w:rPr>
              <w:t>Integer</w:t>
            </w:r>
          </w:p>
        </w:tc>
        <w:tc>
          <w:tcPr>
            <w:tcW w:w="1826" w:type="dxa"/>
            <w:vAlign w:val="center"/>
          </w:tcPr>
          <w:p w:rsidR="00F97D54" w:rsidRDefault="00F97D54" w:rsidP="00EB5B97">
            <w:pPr>
              <w:rPr>
                <w:sz w:val="16"/>
                <w:szCs w:val="16"/>
              </w:rPr>
            </w:pPr>
            <w:r>
              <w:rPr>
                <w:sz w:val="16"/>
                <w:szCs w:val="16"/>
              </w:rPr>
              <w:t>1</w:t>
            </w:r>
          </w:p>
        </w:tc>
      </w:tr>
      <w:tr w:rsidR="00F97D54" w:rsidTr="00EB5B97">
        <w:trPr>
          <w:trHeight w:val="432"/>
        </w:trPr>
        <w:tc>
          <w:tcPr>
            <w:tcW w:w="1585" w:type="dxa"/>
            <w:vAlign w:val="center"/>
          </w:tcPr>
          <w:p w:rsidR="00F97D54" w:rsidRDefault="00F97D54" w:rsidP="00EB5B97">
            <w:pPr>
              <w:rPr>
                <w:sz w:val="16"/>
                <w:szCs w:val="16"/>
              </w:rPr>
            </w:pPr>
            <w:r>
              <w:rPr>
                <w:sz w:val="16"/>
                <w:szCs w:val="16"/>
              </w:rPr>
              <w:t>Street_address</w:t>
            </w:r>
          </w:p>
        </w:tc>
        <w:tc>
          <w:tcPr>
            <w:tcW w:w="3849" w:type="dxa"/>
            <w:vAlign w:val="center"/>
          </w:tcPr>
          <w:p w:rsidR="00F97D54" w:rsidRDefault="00F97D54" w:rsidP="00EB5B97">
            <w:pPr>
              <w:rPr>
                <w:sz w:val="16"/>
                <w:szCs w:val="16"/>
              </w:rPr>
            </w:pPr>
            <w:r>
              <w:rPr>
                <w:sz w:val="16"/>
                <w:szCs w:val="16"/>
              </w:rPr>
              <w:t>Actual situs (</w:t>
            </w:r>
            <w:r>
              <w:rPr>
                <w:i/>
                <w:sz w:val="16"/>
                <w:szCs w:val="16"/>
              </w:rPr>
              <w:t>i.e.,</w:t>
            </w:r>
            <w:r>
              <w:rPr>
                <w:sz w:val="16"/>
                <w:szCs w:val="16"/>
              </w:rPr>
              <w:t xml:space="preserve"> land were building is located) address of the collocation site</w:t>
            </w:r>
          </w:p>
        </w:tc>
        <w:tc>
          <w:tcPr>
            <w:tcW w:w="1578" w:type="dxa"/>
            <w:vAlign w:val="center"/>
          </w:tcPr>
          <w:p w:rsidR="00F97D54" w:rsidRDefault="00F97D54" w:rsidP="00EB5B97">
            <w:pPr>
              <w:rPr>
                <w:sz w:val="16"/>
                <w:szCs w:val="16"/>
              </w:rPr>
            </w:pPr>
            <w:r>
              <w:rPr>
                <w:sz w:val="16"/>
                <w:szCs w:val="16"/>
              </w:rPr>
              <w:t>Text</w:t>
            </w:r>
          </w:p>
        </w:tc>
        <w:tc>
          <w:tcPr>
            <w:tcW w:w="1826" w:type="dxa"/>
            <w:vAlign w:val="center"/>
          </w:tcPr>
          <w:p w:rsidR="00F97D54" w:rsidRDefault="00F97D54" w:rsidP="00EB5B97">
            <w:pPr>
              <w:rPr>
                <w:sz w:val="16"/>
                <w:szCs w:val="16"/>
              </w:rPr>
            </w:pPr>
            <w:r>
              <w:rPr>
                <w:sz w:val="16"/>
                <w:szCs w:val="16"/>
              </w:rPr>
              <w:t>1025 N Irving Street</w:t>
            </w:r>
          </w:p>
        </w:tc>
      </w:tr>
      <w:tr w:rsidR="00F97D54" w:rsidTr="00EB5B97">
        <w:trPr>
          <w:trHeight w:val="360"/>
        </w:trPr>
        <w:tc>
          <w:tcPr>
            <w:tcW w:w="1585" w:type="dxa"/>
            <w:vAlign w:val="center"/>
          </w:tcPr>
          <w:p w:rsidR="00F97D54" w:rsidRDefault="00F97D54" w:rsidP="00EB5B97">
            <w:pPr>
              <w:rPr>
                <w:sz w:val="16"/>
                <w:szCs w:val="16"/>
              </w:rPr>
            </w:pPr>
            <w:r>
              <w:rPr>
                <w:sz w:val="16"/>
                <w:szCs w:val="16"/>
              </w:rPr>
              <w:t xml:space="preserve">City </w:t>
            </w:r>
          </w:p>
        </w:tc>
        <w:tc>
          <w:tcPr>
            <w:tcW w:w="3849" w:type="dxa"/>
            <w:vAlign w:val="center"/>
          </w:tcPr>
          <w:p w:rsidR="00F97D54" w:rsidRDefault="00F97D54" w:rsidP="00EB5B97">
            <w:pPr>
              <w:rPr>
                <w:sz w:val="16"/>
                <w:szCs w:val="16"/>
              </w:rPr>
            </w:pPr>
            <w:r>
              <w:rPr>
                <w:sz w:val="16"/>
                <w:szCs w:val="16"/>
              </w:rPr>
              <w:t>City of address</w:t>
            </w:r>
          </w:p>
        </w:tc>
        <w:tc>
          <w:tcPr>
            <w:tcW w:w="1578" w:type="dxa"/>
            <w:vAlign w:val="center"/>
          </w:tcPr>
          <w:p w:rsidR="00F97D54" w:rsidRDefault="00F97D54" w:rsidP="00EB5B97">
            <w:pPr>
              <w:rPr>
                <w:sz w:val="16"/>
                <w:szCs w:val="16"/>
              </w:rPr>
            </w:pPr>
            <w:r>
              <w:rPr>
                <w:sz w:val="16"/>
                <w:szCs w:val="16"/>
              </w:rPr>
              <w:t>Text</w:t>
            </w:r>
          </w:p>
        </w:tc>
        <w:tc>
          <w:tcPr>
            <w:tcW w:w="1826" w:type="dxa"/>
            <w:vAlign w:val="center"/>
          </w:tcPr>
          <w:p w:rsidR="00F97D54" w:rsidRDefault="00F97D54" w:rsidP="00EB5B97">
            <w:pPr>
              <w:rPr>
                <w:sz w:val="16"/>
                <w:szCs w:val="16"/>
              </w:rPr>
            </w:pPr>
            <w:r>
              <w:rPr>
                <w:sz w:val="16"/>
                <w:szCs w:val="16"/>
              </w:rPr>
              <w:t>Arlington</w:t>
            </w:r>
          </w:p>
        </w:tc>
      </w:tr>
      <w:tr w:rsidR="00F97D54" w:rsidTr="00EB5B97">
        <w:trPr>
          <w:trHeight w:val="360"/>
        </w:trPr>
        <w:tc>
          <w:tcPr>
            <w:tcW w:w="1585" w:type="dxa"/>
            <w:vAlign w:val="center"/>
          </w:tcPr>
          <w:p w:rsidR="00F97D54" w:rsidRDefault="00F97D54" w:rsidP="00EB5B97">
            <w:pPr>
              <w:rPr>
                <w:sz w:val="16"/>
                <w:szCs w:val="16"/>
              </w:rPr>
            </w:pPr>
            <w:r>
              <w:rPr>
                <w:sz w:val="16"/>
                <w:szCs w:val="16"/>
              </w:rPr>
              <w:t>State</w:t>
            </w:r>
          </w:p>
        </w:tc>
        <w:tc>
          <w:tcPr>
            <w:tcW w:w="3849" w:type="dxa"/>
            <w:vAlign w:val="center"/>
          </w:tcPr>
          <w:p w:rsidR="00F97D54" w:rsidRDefault="00F97D54" w:rsidP="00EB5B97">
            <w:pPr>
              <w:rPr>
                <w:sz w:val="16"/>
                <w:szCs w:val="16"/>
              </w:rPr>
            </w:pPr>
            <w:r>
              <w:rPr>
                <w:sz w:val="16"/>
                <w:szCs w:val="16"/>
              </w:rPr>
              <w:t>Two-letter state postal abbreviation of address</w:t>
            </w:r>
          </w:p>
        </w:tc>
        <w:tc>
          <w:tcPr>
            <w:tcW w:w="1578" w:type="dxa"/>
            <w:vAlign w:val="center"/>
          </w:tcPr>
          <w:p w:rsidR="00F97D54" w:rsidRDefault="00F97D54" w:rsidP="00EB5B97">
            <w:pPr>
              <w:rPr>
                <w:sz w:val="16"/>
                <w:szCs w:val="16"/>
              </w:rPr>
            </w:pPr>
            <w:r>
              <w:rPr>
                <w:sz w:val="16"/>
                <w:szCs w:val="16"/>
              </w:rPr>
              <w:t>Text</w:t>
            </w:r>
          </w:p>
        </w:tc>
        <w:tc>
          <w:tcPr>
            <w:tcW w:w="1826" w:type="dxa"/>
            <w:vAlign w:val="center"/>
          </w:tcPr>
          <w:p w:rsidR="00F97D54" w:rsidRDefault="00F97D54" w:rsidP="00EB5B97">
            <w:pPr>
              <w:rPr>
                <w:sz w:val="16"/>
                <w:szCs w:val="16"/>
              </w:rPr>
            </w:pPr>
            <w:r>
              <w:rPr>
                <w:sz w:val="16"/>
                <w:szCs w:val="16"/>
              </w:rPr>
              <w:t>VA</w:t>
            </w:r>
          </w:p>
        </w:tc>
      </w:tr>
      <w:tr w:rsidR="00F97D54" w:rsidTr="00EB5B97">
        <w:trPr>
          <w:trHeight w:val="360"/>
        </w:trPr>
        <w:tc>
          <w:tcPr>
            <w:tcW w:w="1585" w:type="dxa"/>
            <w:vAlign w:val="center"/>
          </w:tcPr>
          <w:p w:rsidR="00F97D54" w:rsidRDefault="00F97D54" w:rsidP="00EB5B97">
            <w:pPr>
              <w:rPr>
                <w:sz w:val="16"/>
                <w:szCs w:val="16"/>
              </w:rPr>
            </w:pPr>
            <w:r>
              <w:rPr>
                <w:sz w:val="16"/>
                <w:szCs w:val="16"/>
              </w:rPr>
              <w:t>ZIP</w:t>
            </w:r>
          </w:p>
        </w:tc>
        <w:tc>
          <w:tcPr>
            <w:tcW w:w="3849" w:type="dxa"/>
            <w:vAlign w:val="center"/>
          </w:tcPr>
          <w:p w:rsidR="00F97D54" w:rsidRDefault="00F97D54" w:rsidP="00EB5B97">
            <w:pPr>
              <w:rPr>
                <w:sz w:val="16"/>
                <w:szCs w:val="16"/>
              </w:rPr>
            </w:pPr>
            <w:r>
              <w:rPr>
                <w:sz w:val="16"/>
                <w:szCs w:val="16"/>
              </w:rPr>
              <w:t>5-digit ZIP code (with leading zeros) of address</w:t>
            </w:r>
          </w:p>
        </w:tc>
        <w:tc>
          <w:tcPr>
            <w:tcW w:w="1578" w:type="dxa"/>
            <w:vAlign w:val="center"/>
          </w:tcPr>
          <w:p w:rsidR="00F97D54" w:rsidRDefault="00F97D54" w:rsidP="00EB5B97">
            <w:pPr>
              <w:rPr>
                <w:sz w:val="16"/>
                <w:szCs w:val="16"/>
              </w:rPr>
            </w:pPr>
            <w:r>
              <w:rPr>
                <w:sz w:val="16"/>
                <w:szCs w:val="16"/>
              </w:rPr>
              <w:t>Text</w:t>
            </w:r>
          </w:p>
        </w:tc>
        <w:tc>
          <w:tcPr>
            <w:tcW w:w="1826" w:type="dxa"/>
            <w:vAlign w:val="center"/>
          </w:tcPr>
          <w:p w:rsidR="00F97D54" w:rsidRDefault="00F97D54" w:rsidP="00EB5B97">
            <w:pPr>
              <w:rPr>
                <w:sz w:val="16"/>
                <w:szCs w:val="16"/>
              </w:rPr>
            </w:pPr>
            <w:r>
              <w:rPr>
                <w:sz w:val="16"/>
                <w:szCs w:val="16"/>
              </w:rPr>
              <w:t>22201</w:t>
            </w:r>
          </w:p>
        </w:tc>
      </w:tr>
      <w:tr w:rsidR="00F97D54" w:rsidTr="00EB5B97">
        <w:trPr>
          <w:trHeight w:val="360"/>
        </w:trPr>
        <w:tc>
          <w:tcPr>
            <w:tcW w:w="1585" w:type="dxa"/>
            <w:vAlign w:val="center"/>
          </w:tcPr>
          <w:p w:rsidR="00F97D54" w:rsidRDefault="00F97D54" w:rsidP="00EB5B97">
            <w:pPr>
              <w:rPr>
                <w:sz w:val="16"/>
                <w:szCs w:val="16"/>
              </w:rPr>
            </w:pPr>
            <w:r>
              <w:rPr>
                <w:sz w:val="16"/>
                <w:szCs w:val="16"/>
              </w:rPr>
              <w:t>ZIP4</w:t>
            </w:r>
          </w:p>
        </w:tc>
        <w:tc>
          <w:tcPr>
            <w:tcW w:w="3849" w:type="dxa"/>
            <w:vAlign w:val="center"/>
          </w:tcPr>
          <w:p w:rsidR="00F97D54" w:rsidRDefault="00F97D54" w:rsidP="00EB5B97">
            <w:pPr>
              <w:rPr>
                <w:sz w:val="16"/>
                <w:szCs w:val="16"/>
              </w:rPr>
            </w:pPr>
            <w:r>
              <w:rPr>
                <w:sz w:val="16"/>
                <w:szCs w:val="16"/>
              </w:rPr>
              <w:t>4-digit add-on code (with leading zeros) of address</w:t>
            </w:r>
          </w:p>
        </w:tc>
        <w:tc>
          <w:tcPr>
            <w:tcW w:w="1578" w:type="dxa"/>
            <w:vAlign w:val="center"/>
          </w:tcPr>
          <w:p w:rsidR="00F97D54" w:rsidRDefault="00F97D54" w:rsidP="00EB5B97">
            <w:pPr>
              <w:rPr>
                <w:sz w:val="16"/>
                <w:szCs w:val="16"/>
              </w:rPr>
            </w:pPr>
            <w:r>
              <w:rPr>
                <w:sz w:val="16"/>
                <w:szCs w:val="16"/>
              </w:rPr>
              <w:t>Text</w:t>
            </w:r>
          </w:p>
        </w:tc>
        <w:tc>
          <w:tcPr>
            <w:tcW w:w="1826" w:type="dxa"/>
            <w:vAlign w:val="center"/>
          </w:tcPr>
          <w:p w:rsidR="00F97D54" w:rsidRDefault="00F97D54" w:rsidP="00EB5B97">
            <w:pPr>
              <w:rPr>
                <w:sz w:val="16"/>
                <w:szCs w:val="16"/>
              </w:rPr>
            </w:pPr>
            <w:r>
              <w:rPr>
                <w:sz w:val="16"/>
                <w:szCs w:val="16"/>
              </w:rPr>
              <w:t>0005</w:t>
            </w:r>
          </w:p>
        </w:tc>
      </w:tr>
      <w:tr w:rsidR="00F97D54" w:rsidTr="00EB5B97">
        <w:trPr>
          <w:trHeight w:val="360"/>
        </w:trPr>
        <w:tc>
          <w:tcPr>
            <w:tcW w:w="1585" w:type="dxa"/>
            <w:vAlign w:val="center"/>
          </w:tcPr>
          <w:p w:rsidR="00F97D54" w:rsidRDefault="00F97D54" w:rsidP="00EB5B97">
            <w:pPr>
              <w:rPr>
                <w:sz w:val="16"/>
                <w:szCs w:val="16"/>
              </w:rPr>
            </w:pPr>
            <w:r>
              <w:rPr>
                <w:sz w:val="16"/>
                <w:szCs w:val="16"/>
              </w:rPr>
              <w:t>Lat</w:t>
            </w:r>
          </w:p>
        </w:tc>
        <w:tc>
          <w:tcPr>
            <w:tcW w:w="3849" w:type="dxa"/>
            <w:vAlign w:val="center"/>
          </w:tcPr>
          <w:p w:rsidR="00F97D54" w:rsidRDefault="00F97D54" w:rsidP="00EB5B97">
            <w:pPr>
              <w:rPr>
                <w:sz w:val="16"/>
                <w:szCs w:val="16"/>
              </w:rPr>
            </w:pPr>
            <w:r>
              <w:rPr>
                <w:sz w:val="16"/>
                <w:szCs w:val="16"/>
              </w:rPr>
              <w:t>Latitude</w:t>
            </w:r>
          </w:p>
        </w:tc>
        <w:tc>
          <w:tcPr>
            <w:tcW w:w="1578" w:type="dxa"/>
            <w:vAlign w:val="center"/>
          </w:tcPr>
          <w:p w:rsidR="00F97D54" w:rsidRDefault="00F97D54" w:rsidP="00EB5B97">
            <w:pPr>
              <w:rPr>
                <w:sz w:val="16"/>
                <w:szCs w:val="16"/>
              </w:rPr>
            </w:pPr>
            <w:r>
              <w:rPr>
                <w:sz w:val="16"/>
                <w:szCs w:val="16"/>
              </w:rPr>
              <w:t>Float</w:t>
            </w:r>
          </w:p>
        </w:tc>
        <w:tc>
          <w:tcPr>
            <w:tcW w:w="1826" w:type="dxa"/>
            <w:vAlign w:val="center"/>
          </w:tcPr>
          <w:p w:rsidR="00F97D54" w:rsidRDefault="00F97D54" w:rsidP="00EB5B97">
            <w:pPr>
              <w:rPr>
                <w:sz w:val="16"/>
                <w:szCs w:val="16"/>
              </w:rPr>
            </w:pPr>
            <w:r>
              <w:rPr>
                <w:sz w:val="16"/>
                <w:szCs w:val="16"/>
              </w:rPr>
              <w:t>38.8840</w:t>
            </w:r>
          </w:p>
        </w:tc>
      </w:tr>
      <w:tr w:rsidR="00F97D54" w:rsidTr="00EB5B97">
        <w:trPr>
          <w:trHeight w:val="360"/>
        </w:trPr>
        <w:tc>
          <w:tcPr>
            <w:tcW w:w="1585" w:type="dxa"/>
            <w:vAlign w:val="center"/>
          </w:tcPr>
          <w:p w:rsidR="00F97D54" w:rsidRDefault="00F97D54" w:rsidP="00EB5B97">
            <w:pPr>
              <w:rPr>
                <w:sz w:val="16"/>
                <w:szCs w:val="16"/>
              </w:rPr>
            </w:pPr>
            <w:r>
              <w:rPr>
                <w:sz w:val="16"/>
                <w:szCs w:val="16"/>
              </w:rPr>
              <w:t>Long</w:t>
            </w:r>
          </w:p>
        </w:tc>
        <w:tc>
          <w:tcPr>
            <w:tcW w:w="3849" w:type="dxa"/>
            <w:vAlign w:val="center"/>
          </w:tcPr>
          <w:p w:rsidR="00F97D54" w:rsidRDefault="00F97D54" w:rsidP="00EB5B97">
            <w:pPr>
              <w:rPr>
                <w:sz w:val="16"/>
                <w:szCs w:val="16"/>
              </w:rPr>
            </w:pPr>
            <w:r>
              <w:rPr>
                <w:sz w:val="16"/>
                <w:szCs w:val="16"/>
              </w:rPr>
              <w:t>Longitude</w:t>
            </w:r>
          </w:p>
        </w:tc>
        <w:tc>
          <w:tcPr>
            <w:tcW w:w="1578" w:type="dxa"/>
            <w:vAlign w:val="center"/>
          </w:tcPr>
          <w:p w:rsidR="00F97D54" w:rsidRDefault="00F97D54" w:rsidP="00EB5B97">
            <w:pPr>
              <w:rPr>
                <w:sz w:val="16"/>
                <w:szCs w:val="16"/>
              </w:rPr>
            </w:pPr>
            <w:r>
              <w:rPr>
                <w:sz w:val="16"/>
                <w:szCs w:val="16"/>
              </w:rPr>
              <w:t>Float</w:t>
            </w:r>
          </w:p>
        </w:tc>
        <w:tc>
          <w:tcPr>
            <w:tcW w:w="1826" w:type="dxa"/>
            <w:vAlign w:val="center"/>
          </w:tcPr>
          <w:p w:rsidR="00F97D54" w:rsidRDefault="00F97D54" w:rsidP="00EB5B97">
            <w:pPr>
              <w:rPr>
                <w:sz w:val="16"/>
                <w:szCs w:val="16"/>
              </w:rPr>
            </w:pPr>
            <w:r>
              <w:rPr>
                <w:sz w:val="16"/>
                <w:szCs w:val="16"/>
              </w:rPr>
              <w:t>-77.0965</w:t>
            </w:r>
          </w:p>
        </w:tc>
      </w:tr>
      <w:tr w:rsidR="00F97D54" w:rsidTr="00EB5B97">
        <w:trPr>
          <w:cantSplit/>
          <w:trHeight w:val="333"/>
        </w:trPr>
        <w:tc>
          <w:tcPr>
            <w:tcW w:w="1585" w:type="dxa"/>
            <w:tcBorders>
              <w:bottom w:val="double" w:sz="4" w:space="0" w:color="auto"/>
            </w:tcBorders>
            <w:vAlign w:val="center"/>
          </w:tcPr>
          <w:p w:rsidR="00F97D54" w:rsidRDefault="00F97D54" w:rsidP="00EB5B97">
            <w:pPr>
              <w:rPr>
                <w:sz w:val="16"/>
                <w:szCs w:val="16"/>
              </w:rPr>
            </w:pPr>
            <w:r>
              <w:rPr>
                <w:sz w:val="16"/>
                <w:szCs w:val="16"/>
              </w:rPr>
              <w:t>CLLI</w:t>
            </w:r>
          </w:p>
        </w:tc>
        <w:tc>
          <w:tcPr>
            <w:tcW w:w="3849" w:type="dxa"/>
            <w:tcBorders>
              <w:bottom w:val="double" w:sz="4" w:space="0" w:color="auto"/>
            </w:tcBorders>
            <w:vAlign w:val="center"/>
          </w:tcPr>
          <w:p w:rsidR="00F97D54" w:rsidRDefault="00F97D54" w:rsidP="00EB5B97">
            <w:pPr>
              <w:rPr>
                <w:sz w:val="16"/>
                <w:szCs w:val="16"/>
              </w:rPr>
            </w:pPr>
            <w:r>
              <w:rPr>
                <w:sz w:val="16"/>
                <w:szCs w:val="16"/>
              </w:rPr>
              <w:t>Telcordia-specified eight-character CLLI</w:t>
            </w:r>
          </w:p>
        </w:tc>
        <w:tc>
          <w:tcPr>
            <w:tcW w:w="1578" w:type="dxa"/>
            <w:tcBorders>
              <w:bottom w:val="double" w:sz="4" w:space="0" w:color="auto"/>
            </w:tcBorders>
            <w:vAlign w:val="center"/>
          </w:tcPr>
          <w:p w:rsidR="00F97D54" w:rsidRDefault="00F97D54" w:rsidP="00EB5B97">
            <w:pPr>
              <w:rPr>
                <w:sz w:val="16"/>
                <w:szCs w:val="16"/>
              </w:rPr>
            </w:pPr>
            <w:r>
              <w:rPr>
                <w:sz w:val="16"/>
                <w:szCs w:val="16"/>
              </w:rPr>
              <w:t>Alphanumeric</w:t>
            </w:r>
          </w:p>
        </w:tc>
        <w:tc>
          <w:tcPr>
            <w:tcW w:w="1826" w:type="dxa"/>
            <w:tcBorders>
              <w:bottom w:val="double" w:sz="4" w:space="0" w:color="auto"/>
            </w:tcBorders>
            <w:vAlign w:val="center"/>
          </w:tcPr>
          <w:p w:rsidR="00F97D54" w:rsidRDefault="00F97D54" w:rsidP="00EB5B97">
            <w:pPr>
              <w:rPr>
                <w:sz w:val="16"/>
                <w:szCs w:val="16"/>
              </w:rPr>
            </w:pPr>
            <w:r>
              <w:rPr>
                <w:sz w:val="16"/>
                <w:szCs w:val="16"/>
              </w:rPr>
              <w:t>ARTNVAAR</w:t>
            </w:r>
          </w:p>
        </w:tc>
      </w:tr>
    </w:tbl>
    <w:p w:rsidR="00F97D54" w:rsidRDefault="00F97D54" w:rsidP="00EB5B97"/>
    <w:p w:rsidR="00F97D54" w:rsidRDefault="00F97D54" w:rsidP="00EB5B97">
      <w:r>
        <w:t xml:space="preserve">Instructions for Table II.A.7, Record Format for </w:t>
      </w:r>
      <w:r w:rsidRPr="00447EC7">
        <w:t xml:space="preserve">Collocations </w:t>
      </w:r>
      <w:r>
        <w:t>by Wire Center:</w:t>
      </w:r>
    </w:p>
    <w:p w:rsidR="00F97D54" w:rsidRDefault="00F97D54" w:rsidP="00EB5B97"/>
    <w:p w:rsidR="00F97D54" w:rsidRDefault="00F97D54" w:rsidP="00EB5B97">
      <w:pPr>
        <w:numPr>
          <w:ilvl w:val="0"/>
          <w:numId w:val="17"/>
        </w:numPr>
      </w:pPr>
      <w:r>
        <w:t xml:space="preserve">Leave cells blank in the case of data that is not applicable for that record. </w:t>
      </w:r>
    </w:p>
    <w:p w:rsidR="00F97D54" w:rsidRDefault="00F97D54" w:rsidP="00EB5B97">
      <w:pPr>
        <w:numPr>
          <w:ilvl w:val="0"/>
          <w:numId w:val="17"/>
        </w:numPr>
      </w:pPr>
      <w:r>
        <w:t>The ID field is a sequential integer ranging from 1 to the total number of wire centers.</w:t>
      </w:r>
    </w:p>
    <w:p w:rsidR="00F97D54" w:rsidRDefault="00F97D54" w:rsidP="00EB5B97">
      <w:pPr>
        <w:numPr>
          <w:ilvl w:val="0"/>
          <w:numId w:val="17"/>
        </w:numPr>
      </w:pPr>
      <w:r>
        <w:t xml:space="preserve">Address data fields must be space-delimited in standardized Postal Service form.  </w:t>
      </w:r>
      <w:r w:rsidRPr="00447EC7">
        <w:rPr>
          <w:i/>
        </w:rPr>
        <w:t xml:space="preserve">See </w:t>
      </w:r>
      <w:r w:rsidRPr="00E33B54">
        <w:t>http://pe.usps.gov/cpim/ftp/pubs/Pub28/pub28.pdf</w:t>
      </w:r>
      <w:r>
        <w:t xml:space="preserve">.  </w:t>
      </w:r>
    </w:p>
    <w:p w:rsidR="00F97D54" w:rsidRDefault="00F97D54" w:rsidP="0083344C">
      <w:pPr>
        <w:widowControl/>
        <w:numPr>
          <w:ilvl w:val="0"/>
          <w:numId w:val="17"/>
        </w:numPr>
      </w:pPr>
      <w:r w:rsidRPr="005F0306">
        <w:t>La</w:t>
      </w:r>
      <w:r>
        <w:t>titude and Longitude:  You can</w:t>
      </w:r>
      <w:r w:rsidRPr="005F0306">
        <w:t xml:space="preserve"> derive the coordinate fields for the location address from a known geocoding platform like Bing maps, Google, Yahoo, batchgeo.com, Texas A&amp;M Geoservices or other geocoding solution.  Enter values in decimal degrees to the nearest ±0.0005, </w:t>
      </w:r>
      <w:r w:rsidRPr="005F0306">
        <w:rPr>
          <w:i/>
        </w:rPr>
        <w:t>i.e.</w:t>
      </w:r>
      <w:r w:rsidRPr="005F0306">
        <w:t xml:space="preserve">, each coordinate </w:t>
      </w:r>
      <w:r>
        <w:t>must</w:t>
      </w:r>
      <w:r w:rsidRPr="005F0306">
        <w:t xml:space="preserve"> end in #.###0 or #.###5.  Coordinates </w:t>
      </w:r>
      <w:r>
        <w:t>must</w:t>
      </w:r>
      <w:r w:rsidRPr="005F0306">
        <w:t xml:space="preserve"> be in the WGS84 or NAD83 geographic coordinate system.</w:t>
      </w:r>
    </w:p>
    <w:p w:rsidR="00F97D54" w:rsidRDefault="00F97D54" w:rsidP="00EB5B97">
      <w:pPr>
        <w:numPr>
          <w:ilvl w:val="0"/>
          <w:numId w:val="17"/>
        </w:numPr>
      </w:pPr>
      <w:r>
        <w:t>For the CLLI code, enter the first eight digits of the CLLI code of the ILEC wire center / end office in which your equipment is collocated.</w:t>
      </w:r>
    </w:p>
    <w:p w:rsidR="00F97D54" w:rsidRDefault="00C454F1" w:rsidP="00C454F1">
      <w:pPr>
        <w:tabs>
          <w:tab w:val="left" w:pos="1751"/>
        </w:tabs>
        <w:rPr>
          <w:b/>
          <w:i/>
        </w:rPr>
      </w:pPr>
      <w:r>
        <w:rPr>
          <w:b/>
          <w:i/>
        </w:rPr>
        <w:tab/>
      </w:r>
    </w:p>
    <w:p w:rsidR="00F97D54" w:rsidRPr="004820FF" w:rsidRDefault="00F97D54" w:rsidP="004820FF">
      <w:pPr>
        <w:pStyle w:val="Heading4"/>
        <w:numPr>
          <w:ilvl w:val="0"/>
          <w:numId w:val="0"/>
        </w:numPr>
        <w:rPr>
          <w:rStyle w:val="Emphasis"/>
          <w:b w:val="0"/>
          <w:i w:val="0"/>
        </w:rPr>
      </w:pPr>
      <w:bookmarkStart w:id="98" w:name="_Toc365972087"/>
      <w:r w:rsidRPr="004820FF">
        <w:rPr>
          <w:rStyle w:val="Emphasis"/>
          <w:b w:val="0"/>
        </w:rPr>
        <w:t>Question II.A.8:  Business Rules for Deployment</w:t>
      </w:r>
      <w:bookmarkEnd w:id="98"/>
    </w:p>
    <w:p w:rsidR="00F97D54" w:rsidRDefault="00F97D54" w:rsidP="00EB5B97">
      <w:r>
        <w:t xml:space="preserve">You must upload a .pdf text searchable (not a picture/image) document responding to this question through the Special Access Web Portal in the “Essay Questions – File Upload” section; you will not include these documents in the data container.  </w:t>
      </w:r>
    </w:p>
    <w:p w:rsidR="00F97D54" w:rsidRDefault="00F97D54" w:rsidP="00EB5B97"/>
    <w:p w:rsidR="00F97D54" w:rsidRPr="00E536A2" w:rsidRDefault="00F97D54" w:rsidP="00EB5B97">
      <w:pPr>
        <w:rPr>
          <w:iCs/>
        </w:rPr>
      </w:pPr>
      <w:r>
        <w:t xml:space="preserve">The web portal contains two areas for uploading documents.  One is for uploading the “Confidential” version of the document where you </w:t>
      </w:r>
      <w:r>
        <w:rPr>
          <w:rStyle w:val="Emphasis"/>
          <w:i w:val="0"/>
        </w:rPr>
        <w:t xml:space="preserve">will indicate information deemed </w:t>
      </w:r>
      <w:r w:rsidRPr="00974151">
        <w:rPr>
          <w:rStyle w:val="Emphasis"/>
          <w:i w:val="0"/>
        </w:rPr>
        <w:t>Confidential</w:t>
      </w:r>
      <w:r>
        <w:rPr>
          <w:rStyle w:val="Emphasis"/>
          <w:i w:val="0"/>
        </w:rPr>
        <w:t xml:space="preserve"> and redact information that is </w:t>
      </w:r>
      <w:r w:rsidRPr="00974151">
        <w:rPr>
          <w:rStyle w:val="Emphasis"/>
          <w:i w:val="0"/>
        </w:rPr>
        <w:t>Highly Confidential</w:t>
      </w:r>
      <w:r>
        <w:rPr>
          <w:rStyle w:val="Emphasis"/>
          <w:i w:val="0"/>
        </w:rPr>
        <w:t xml:space="preserve"> based on the Protective Order issued for the data collection.  The second area is for uploading the “Highly Confidential” version of the document noting both </w:t>
      </w:r>
      <w:r w:rsidRPr="00974151">
        <w:rPr>
          <w:rStyle w:val="Emphasis"/>
          <w:i w:val="0"/>
        </w:rPr>
        <w:t>Confidential</w:t>
      </w:r>
      <w:r>
        <w:rPr>
          <w:rStyle w:val="Emphasis"/>
          <w:i w:val="0"/>
        </w:rPr>
        <w:t xml:space="preserve"> and </w:t>
      </w:r>
      <w:r w:rsidRPr="00974151">
        <w:rPr>
          <w:rStyle w:val="Emphasis"/>
          <w:i w:val="0"/>
        </w:rPr>
        <w:t>Highly Confidential</w:t>
      </w:r>
      <w:r>
        <w:rPr>
          <w:rStyle w:val="Emphasis"/>
          <w:i w:val="0"/>
        </w:rPr>
        <w:t xml:space="preserve"> information without any redactions.  You must upload at least one document in each area or you will receive an error message during the submission process.  If the document does not contain Confidential or Highly Confidential information, </w:t>
      </w:r>
      <w:r w:rsidRPr="00FF31E9">
        <w:rPr>
          <w:rStyle w:val="Emphasis"/>
        </w:rPr>
        <w:t>e.g.</w:t>
      </w:r>
      <w:r>
        <w:rPr>
          <w:rStyle w:val="Emphasis"/>
          <w:i w:val="0"/>
        </w:rPr>
        <w:t xml:space="preserve">, all information is publicly available, then upload the document in each area without the relevant Confidential/Highly Confidential notations or redactions in the case of the Confidential upload area.  </w:t>
      </w:r>
      <w:r>
        <w:t xml:space="preserve"> </w:t>
      </w:r>
    </w:p>
    <w:p w:rsidR="00F97D54" w:rsidRPr="004820FF" w:rsidRDefault="00F97D54" w:rsidP="00EB5B97">
      <w:pPr>
        <w:rPr>
          <w:rStyle w:val="Emphasis"/>
        </w:rPr>
      </w:pPr>
    </w:p>
    <w:p w:rsidR="00F97D54" w:rsidRPr="004820FF" w:rsidRDefault="00F97D54" w:rsidP="004820FF">
      <w:pPr>
        <w:pStyle w:val="Heading4"/>
        <w:numPr>
          <w:ilvl w:val="0"/>
          <w:numId w:val="0"/>
        </w:numPr>
        <w:rPr>
          <w:rStyle w:val="Emphasis"/>
          <w:b w:val="0"/>
          <w:iCs w:val="0"/>
        </w:rPr>
      </w:pPr>
      <w:bookmarkStart w:id="99" w:name="_Toc365972088"/>
      <w:r w:rsidRPr="004820FF">
        <w:rPr>
          <w:rStyle w:val="Emphasis"/>
          <w:b w:val="0"/>
          <w:iCs w:val="0"/>
        </w:rPr>
        <w:t>Question II.A.9:  Headquarters</w:t>
      </w:r>
      <w:bookmarkEnd w:id="99"/>
    </w:p>
    <w:p w:rsidR="00F97D54" w:rsidRDefault="00F97D54" w:rsidP="00EB5B97">
      <w:r w:rsidRPr="007406A4">
        <w:rPr>
          <w:i/>
        </w:rPr>
        <w:t>Competitive Providers</w:t>
      </w:r>
      <w:r>
        <w:t xml:space="preserve">, except for cable system operators, must answer this question.  Cable operators must still report “Not Applicable” as instructed below to avoid receiving an error message when validating the data container. </w:t>
      </w:r>
    </w:p>
    <w:p w:rsidR="00F97D54" w:rsidRDefault="00F97D54" w:rsidP="00EB5B97"/>
    <w:p w:rsidR="00F97D54" w:rsidRDefault="00F97D54" w:rsidP="00EB5B97">
      <w:r>
        <w:t xml:space="preserve">This question asks for the location of a </w:t>
      </w:r>
      <w:r w:rsidRPr="00850783">
        <w:rPr>
          <w:i/>
        </w:rPr>
        <w:t>Competitive Provider’s</w:t>
      </w:r>
      <w:r>
        <w:t xml:space="preserve"> current and prior U.S. headquarters, going as far back as 1995.  In addition, </w:t>
      </w:r>
      <w:r w:rsidRPr="00850783">
        <w:rPr>
          <w:i/>
        </w:rPr>
        <w:t>Competitive Providers</w:t>
      </w:r>
      <w:r>
        <w:t xml:space="preserve"> must identify the headquarters of </w:t>
      </w:r>
      <w:r w:rsidRPr="003A38B2">
        <w:rPr>
          <w:i/>
        </w:rPr>
        <w:t>Affiliated Companies</w:t>
      </w:r>
      <w:r>
        <w:t xml:space="preserve"> and entities acquired through merger that no longer exist if the affiliated or acquired entity owned (or leased under an </w:t>
      </w:r>
      <w:r w:rsidRPr="00850783">
        <w:rPr>
          <w:i/>
        </w:rPr>
        <w:t>IRU</w:t>
      </w:r>
      <w:r>
        <w:t xml:space="preserve"> agreement) </w:t>
      </w:r>
      <w:r w:rsidRPr="00850783">
        <w:rPr>
          <w:i/>
        </w:rPr>
        <w:t>Connections</w:t>
      </w:r>
      <w:r>
        <w:t xml:space="preserve"> to five or more </w:t>
      </w:r>
      <w:r w:rsidRPr="00850783">
        <w:rPr>
          <w:i/>
        </w:rPr>
        <w:t>Locations</w:t>
      </w:r>
      <w:r>
        <w:t xml:space="preserve"> in a given </w:t>
      </w:r>
      <w:r w:rsidRPr="003A38B2">
        <w:rPr>
          <w:i/>
        </w:rPr>
        <w:t>MSA</w:t>
      </w:r>
      <w:r>
        <w:t xml:space="preserve"> at the time of affiliation/acquisition, going as far back as 1995.    </w:t>
      </w:r>
    </w:p>
    <w:p w:rsidR="00F97D54" w:rsidRDefault="00F97D54" w:rsidP="00EB5B97">
      <w:r>
        <w:t xml:space="preserve"> </w:t>
      </w:r>
    </w:p>
    <w:p w:rsidR="00F97D54" w:rsidRDefault="00F97D54" w:rsidP="00587EB9">
      <w:r>
        <w:rPr>
          <w:szCs w:val="22"/>
        </w:rPr>
        <w:t>By “U.S. headquarters,” we mean t</w:t>
      </w:r>
      <w:r>
        <w:t>he principal place where the company’s high level officers direct, control and coordinate the company’s activities.</w:t>
      </w:r>
      <w:r>
        <w:rPr>
          <w:rStyle w:val="FootnoteReference"/>
        </w:rPr>
        <w:footnoteReference w:id="198"/>
      </w:r>
      <w:r>
        <w:t xml:space="preserve">  For purposes of this question, we do not consider regional field offices to be the U.S. headquarters for a company.  </w:t>
      </w:r>
      <w:r w:rsidR="00587EB9">
        <w:tab/>
      </w:r>
    </w:p>
    <w:p w:rsidR="00F97D54" w:rsidRPr="000A5749" w:rsidRDefault="00F97D54" w:rsidP="00EB5B97">
      <w:pPr>
        <w:rPr>
          <w:szCs w:val="22"/>
        </w:rPr>
      </w:pPr>
    </w:p>
    <w:tbl>
      <w:tblPr>
        <w:tblW w:w="8838" w:type="dxa"/>
        <w:tblLook w:val="01E0" w:firstRow="1" w:lastRow="1" w:firstColumn="1" w:lastColumn="1" w:noHBand="0" w:noVBand="0"/>
      </w:tblPr>
      <w:tblGrid>
        <w:gridCol w:w="1772"/>
        <w:gridCol w:w="4456"/>
        <w:gridCol w:w="1080"/>
        <w:gridCol w:w="1530"/>
      </w:tblGrid>
      <w:tr w:rsidR="00F97D54" w:rsidRPr="00F43280" w:rsidTr="00EB5B97">
        <w:trPr>
          <w:trHeight w:val="432"/>
          <w:tblHeader/>
        </w:trPr>
        <w:tc>
          <w:tcPr>
            <w:tcW w:w="8838" w:type="dxa"/>
            <w:gridSpan w:val="4"/>
            <w:tcBorders>
              <w:top w:val="double" w:sz="4" w:space="0" w:color="auto"/>
              <w:bottom w:val="single" w:sz="4" w:space="0" w:color="auto"/>
            </w:tcBorders>
            <w:vAlign w:val="center"/>
          </w:tcPr>
          <w:p w:rsidR="00F97D54" w:rsidRPr="005A4569" w:rsidRDefault="00F97D54" w:rsidP="00EB5B97">
            <w:pPr>
              <w:jc w:val="center"/>
              <w:rPr>
                <w:b/>
              </w:rPr>
            </w:pPr>
            <w:r w:rsidRPr="005A4569">
              <w:rPr>
                <w:b/>
              </w:rPr>
              <w:t>Table II.A.9.a-c</w:t>
            </w:r>
          </w:p>
          <w:p w:rsidR="00F97D54" w:rsidRPr="002B397D" w:rsidRDefault="00F97D54" w:rsidP="00EB5B97">
            <w:pPr>
              <w:jc w:val="center"/>
              <w:rPr>
                <w:rFonts w:ascii="Times New Roman Bold" w:hAnsi="Times New Roman Bold"/>
                <w:b/>
                <w:szCs w:val="22"/>
              </w:rPr>
            </w:pPr>
            <w:r w:rsidRPr="005A4569">
              <w:rPr>
                <w:b/>
              </w:rPr>
              <w:t xml:space="preserve">Record Format for </w:t>
            </w:r>
            <w:r>
              <w:rPr>
                <w:b/>
              </w:rPr>
              <w:t xml:space="preserve">U.S. </w:t>
            </w:r>
            <w:r w:rsidRPr="005A4569">
              <w:rPr>
                <w:b/>
              </w:rPr>
              <w:t>Headquarters</w:t>
            </w:r>
          </w:p>
        </w:tc>
      </w:tr>
      <w:tr w:rsidR="00F97D54" w:rsidRPr="00F43280" w:rsidTr="00EB5B97">
        <w:trPr>
          <w:trHeight w:val="432"/>
          <w:tblHeader/>
        </w:trPr>
        <w:tc>
          <w:tcPr>
            <w:tcW w:w="1772" w:type="dxa"/>
            <w:tcBorders>
              <w:top w:val="single" w:sz="4" w:space="0" w:color="auto"/>
              <w:bottom w:val="single" w:sz="4" w:space="0" w:color="auto"/>
              <w:right w:val="single" w:sz="4" w:space="0" w:color="auto"/>
            </w:tcBorders>
            <w:vAlign w:val="center"/>
          </w:tcPr>
          <w:p w:rsidR="00F97D54" w:rsidRPr="00F43280" w:rsidRDefault="00F97D54" w:rsidP="00EB5B97">
            <w:pPr>
              <w:rPr>
                <w:b/>
                <w:sz w:val="18"/>
                <w:szCs w:val="18"/>
              </w:rPr>
            </w:pPr>
            <w:r w:rsidRPr="00F43280">
              <w:rPr>
                <w:b/>
                <w:sz w:val="18"/>
                <w:szCs w:val="18"/>
              </w:rPr>
              <w:t>Field Name</w:t>
            </w:r>
          </w:p>
        </w:tc>
        <w:tc>
          <w:tcPr>
            <w:tcW w:w="4456" w:type="dxa"/>
            <w:tcBorders>
              <w:top w:val="single" w:sz="4" w:space="0" w:color="auto"/>
              <w:left w:val="single" w:sz="4" w:space="0" w:color="auto"/>
              <w:bottom w:val="single" w:sz="4" w:space="0" w:color="auto"/>
              <w:right w:val="single" w:sz="4" w:space="0" w:color="auto"/>
            </w:tcBorders>
            <w:vAlign w:val="center"/>
          </w:tcPr>
          <w:p w:rsidR="00F97D54" w:rsidRPr="00F43280" w:rsidRDefault="00F97D54" w:rsidP="00EB5B97">
            <w:pPr>
              <w:rPr>
                <w:b/>
                <w:sz w:val="18"/>
                <w:szCs w:val="18"/>
              </w:rPr>
            </w:pPr>
            <w:r w:rsidRPr="00F43280">
              <w:rPr>
                <w:b/>
                <w:sz w:val="18"/>
                <w:szCs w:val="18"/>
              </w:rPr>
              <w:t>Description</w:t>
            </w:r>
          </w:p>
        </w:tc>
        <w:tc>
          <w:tcPr>
            <w:tcW w:w="1080" w:type="dxa"/>
            <w:tcBorders>
              <w:top w:val="single" w:sz="4" w:space="0" w:color="auto"/>
              <w:left w:val="single" w:sz="4" w:space="0" w:color="auto"/>
              <w:bottom w:val="single" w:sz="4" w:space="0" w:color="auto"/>
              <w:right w:val="single" w:sz="4" w:space="0" w:color="auto"/>
            </w:tcBorders>
            <w:vAlign w:val="center"/>
          </w:tcPr>
          <w:p w:rsidR="00F97D54" w:rsidRPr="00F43280" w:rsidRDefault="00F97D54" w:rsidP="00EB5B97">
            <w:pPr>
              <w:rPr>
                <w:b/>
                <w:sz w:val="18"/>
                <w:szCs w:val="18"/>
              </w:rPr>
            </w:pPr>
            <w:r w:rsidRPr="00F43280">
              <w:rPr>
                <w:b/>
                <w:sz w:val="18"/>
                <w:szCs w:val="18"/>
              </w:rPr>
              <w:t>Type</w:t>
            </w:r>
          </w:p>
        </w:tc>
        <w:tc>
          <w:tcPr>
            <w:tcW w:w="1530" w:type="dxa"/>
            <w:tcBorders>
              <w:top w:val="single" w:sz="4" w:space="0" w:color="auto"/>
              <w:left w:val="single" w:sz="4" w:space="0" w:color="auto"/>
              <w:bottom w:val="single" w:sz="4" w:space="0" w:color="auto"/>
            </w:tcBorders>
            <w:vAlign w:val="center"/>
          </w:tcPr>
          <w:p w:rsidR="00F97D54" w:rsidRPr="00F43280" w:rsidRDefault="00F97D54" w:rsidP="00EB5B97">
            <w:pPr>
              <w:ind w:right="-108"/>
              <w:rPr>
                <w:b/>
                <w:sz w:val="18"/>
                <w:szCs w:val="18"/>
              </w:rPr>
            </w:pPr>
            <w:r w:rsidRPr="00F43280">
              <w:rPr>
                <w:b/>
                <w:sz w:val="18"/>
                <w:szCs w:val="18"/>
              </w:rPr>
              <w:t>Example</w:t>
            </w:r>
          </w:p>
        </w:tc>
      </w:tr>
      <w:tr w:rsidR="00F97D54" w:rsidRPr="00F43280" w:rsidTr="00EB5B97">
        <w:trPr>
          <w:trHeight w:val="324"/>
        </w:trPr>
        <w:tc>
          <w:tcPr>
            <w:tcW w:w="1772" w:type="dxa"/>
          </w:tcPr>
          <w:p w:rsidR="00F97D54" w:rsidRPr="00F43280" w:rsidRDefault="00F97D54" w:rsidP="00EB5B97">
            <w:pPr>
              <w:tabs>
                <w:tab w:val="left" w:pos="2022"/>
              </w:tabs>
              <w:rPr>
                <w:sz w:val="16"/>
                <w:szCs w:val="16"/>
              </w:rPr>
            </w:pPr>
            <w:r>
              <w:rPr>
                <w:sz w:val="16"/>
                <w:szCs w:val="16"/>
              </w:rPr>
              <w:t>Street_address</w:t>
            </w:r>
          </w:p>
        </w:tc>
        <w:tc>
          <w:tcPr>
            <w:tcW w:w="4456" w:type="dxa"/>
            <w:vAlign w:val="center"/>
          </w:tcPr>
          <w:p w:rsidR="00F97D54" w:rsidRDefault="00F97D54" w:rsidP="00EB5B97">
            <w:pPr>
              <w:rPr>
                <w:sz w:val="16"/>
                <w:szCs w:val="16"/>
              </w:rPr>
            </w:pPr>
            <w:r>
              <w:rPr>
                <w:sz w:val="16"/>
                <w:szCs w:val="16"/>
              </w:rPr>
              <w:t>Situs address of the U.S. headquarters (</w:t>
            </w:r>
            <w:r>
              <w:rPr>
                <w:i/>
                <w:sz w:val="16"/>
                <w:szCs w:val="16"/>
              </w:rPr>
              <w:t>i.e.,</w:t>
            </w:r>
            <w:r>
              <w:rPr>
                <w:sz w:val="16"/>
                <w:szCs w:val="16"/>
              </w:rPr>
              <w:t xml:space="preserve"> land were building is located)</w:t>
            </w:r>
          </w:p>
        </w:tc>
        <w:tc>
          <w:tcPr>
            <w:tcW w:w="1080" w:type="dxa"/>
            <w:vAlign w:val="center"/>
          </w:tcPr>
          <w:p w:rsidR="00F97D54" w:rsidRDefault="00F97D54" w:rsidP="00EB5B97">
            <w:pPr>
              <w:rPr>
                <w:sz w:val="16"/>
                <w:szCs w:val="16"/>
              </w:rPr>
            </w:pPr>
            <w:r>
              <w:rPr>
                <w:sz w:val="16"/>
                <w:szCs w:val="16"/>
              </w:rPr>
              <w:t>Text</w:t>
            </w:r>
          </w:p>
        </w:tc>
        <w:tc>
          <w:tcPr>
            <w:tcW w:w="1530" w:type="dxa"/>
            <w:vAlign w:val="center"/>
          </w:tcPr>
          <w:p w:rsidR="00F97D54" w:rsidRDefault="00F97D54" w:rsidP="00EB5B97">
            <w:pPr>
              <w:rPr>
                <w:sz w:val="16"/>
                <w:szCs w:val="16"/>
              </w:rPr>
            </w:pPr>
            <w:r>
              <w:rPr>
                <w:sz w:val="16"/>
                <w:szCs w:val="16"/>
              </w:rPr>
              <w:t>1025 N Irving Street</w:t>
            </w:r>
          </w:p>
        </w:tc>
      </w:tr>
      <w:tr w:rsidR="00F97D54" w:rsidRPr="00F43280" w:rsidTr="00EB5B97">
        <w:trPr>
          <w:trHeight w:val="432"/>
        </w:trPr>
        <w:tc>
          <w:tcPr>
            <w:tcW w:w="1772" w:type="dxa"/>
          </w:tcPr>
          <w:p w:rsidR="00F97D54" w:rsidRPr="00F43280" w:rsidRDefault="00F97D54" w:rsidP="00EB5B97">
            <w:pPr>
              <w:tabs>
                <w:tab w:val="left" w:pos="2022"/>
              </w:tabs>
              <w:rPr>
                <w:sz w:val="16"/>
                <w:szCs w:val="16"/>
              </w:rPr>
            </w:pPr>
            <w:r>
              <w:rPr>
                <w:sz w:val="16"/>
                <w:szCs w:val="16"/>
              </w:rPr>
              <w:t>City</w:t>
            </w:r>
          </w:p>
        </w:tc>
        <w:tc>
          <w:tcPr>
            <w:tcW w:w="4456" w:type="dxa"/>
          </w:tcPr>
          <w:p w:rsidR="00F97D54" w:rsidRPr="00F43280" w:rsidRDefault="00F97D54" w:rsidP="00EB5B97">
            <w:pPr>
              <w:rPr>
                <w:sz w:val="16"/>
                <w:szCs w:val="16"/>
              </w:rPr>
            </w:pPr>
            <w:r>
              <w:rPr>
                <w:sz w:val="16"/>
                <w:szCs w:val="16"/>
              </w:rPr>
              <w:t>City name for U.S. headquarters</w:t>
            </w:r>
          </w:p>
        </w:tc>
        <w:tc>
          <w:tcPr>
            <w:tcW w:w="1080" w:type="dxa"/>
          </w:tcPr>
          <w:p w:rsidR="00F97D54" w:rsidRPr="00F43280" w:rsidRDefault="00F97D54" w:rsidP="00EB5B97">
            <w:pPr>
              <w:rPr>
                <w:sz w:val="16"/>
                <w:szCs w:val="16"/>
              </w:rPr>
            </w:pPr>
            <w:r>
              <w:rPr>
                <w:sz w:val="16"/>
                <w:szCs w:val="16"/>
              </w:rPr>
              <w:t>Text</w:t>
            </w:r>
          </w:p>
        </w:tc>
        <w:tc>
          <w:tcPr>
            <w:tcW w:w="1530" w:type="dxa"/>
          </w:tcPr>
          <w:p w:rsidR="00F97D54" w:rsidRPr="00F43280" w:rsidRDefault="00F97D54" w:rsidP="00EB5B97">
            <w:pPr>
              <w:rPr>
                <w:sz w:val="16"/>
                <w:szCs w:val="16"/>
              </w:rPr>
            </w:pPr>
            <w:r>
              <w:rPr>
                <w:sz w:val="16"/>
                <w:szCs w:val="16"/>
              </w:rPr>
              <w:t>Springfield</w:t>
            </w:r>
          </w:p>
        </w:tc>
      </w:tr>
      <w:tr w:rsidR="00F97D54" w:rsidRPr="00F43280" w:rsidTr="00EB5B97">
        <w:trPr>
          <w:trHeight w:val="432"/>
        </w:trPr>
        <w:tc>
          <w:tcPr>
            <w:tcW w:w="1772" w:type="dxa"/>
          </w:tcPr>
          <w:p w:rsidR="00F97D54" w:rsidRPr="00F43280" w:rsidRDefault="00F97D54" w:rsidP="00EB5B97">
            <w:pPr>
              <w:tabs>
                <w:tab w:val="left" w:pos="2022"/>
              </w:tabs>
              <w:rPr>
                <w:sz w:val="16"/>
                <w:szCs w:val="16"/>
              </w:rPr>
            </w:pPr>
            <w:r>
              <w:rPr>
                <w:sz w:val="16"/>
                <w:szCs w:val="16"/>
              </w:rPr>
              <w:t>State</w:t>
            </w:r>
          </w:p>
        </w:tc>
        <w:tc>
          <w:tcPr>
            <w:tcW w:w="4456" w:type="dxa"/>
          </w:tcPr>
          <w:p w:rsidR="00F97D54" w:rsidRPr="00F43280" w:rsidRDefault="00F97D54" w:rsidP="00EB5B97">
            <w:pPr>
              <w:rPr>
                <w:sz w:val="16"/>
                <w:szCs w:val="16"/>
              </w:rPr>
            </w:pPr>
            <w:r>
              <w:rPr>
                <w:sz w:val="16"/>
                <w:szCs w:val="16"/>
              </w:rPr>
              <w:t>State name for U.S. headquarters</w:t>
            </w:r>
          </w:p>
        </w:tc>
        <w:tc>
          <w:tcPr>
            <w:tcW w:w="1080" w:type="dxa"/>
          </w:tcPr>
          <w:p w:rsidR="00F97D54" w:rsidRPr="00F43280" w:rsidRDefault="00F97D54" w:rsidP="00EB5B97">
            <w:pPr>
              <w:rPr>
                <w:sz w:val="16"/>
                <w:szCs w:val="16"/>
              </w:rPr>
            </w:pPr>
            <w:r>
              <w:rPr>
                <w:sz w:val="16"/>
                <w:szCs w:val="16"/>
              </w:rPr>
              <w:t>Text</w:t>
            </w:r>
          </w:p>
        </w:tc>
        <w:tc>
          <w:tcPr>
            <w:tcW w:w="1530" w:type="dxa"/>
          </w:tcPr>
          <w:p w:rsidR="00F97D54" w:rsidRPr="00F43280" w:rsidRDefault="00F97D54" w:rsidP="00EB5B97">
            <w:pPr>
              <w:rPr>
                <w:sz w:val="16"/>
                <w:szCs w:val="16"/>
              </w:rPr>
            </w:pPr>
            <w:r>
              <w:rPr>
                <w:sz w:val="16"/>
                <w:szCs w:val="16"/>
              </w:rPr>
              <w:t>Texas</w:t>
            </w:r>
          </w:p>
        </w:tc>
      </w:tr>
      <w:tr w:rsidR="00F97D54" w:rsidRPr="00F43280" w:rsidTr="00EB5B97">
        <w:trPr>
          <w:trHeight w:val="432"/>
        </w:trPr>
        <w:tc>
          <w:tcPr>
            <w:tcW w:w="1772" w:type="dxa"/>
          </w:tcPr>
          <w:p w:rsidR="00F97D54" w:rsidRPr="00F43280" w:rsidRDefault="00F97D54" w:rsidP="00EB5B97">
            <w:pPr>
              <w:tabs>
                <w:tab w:val="left" w:pos="2022"/>
              </w:tabs>
              <w:rPr>
                <w:sz w:val="16"/>
                <w:szCs w:val="16"/>
              </w:rPr>
            </w:pPr>
            <w:r>
              <w:rPr>
                <w:sz w:val="16"/>
                <w:szCs w:val="16"/>
              </w:rPr>
              <w:t>ZIP</w:t>
            </w:r>
          </w:p>
        </w:tc>
        <w:tc>
          <w:tcPr>
            <w:tcW w:w="4456" w:type="dxa"/>
          </w:tcPr>
          <w:p w:rsidR="00F97D54" w:rsidRPr="00F43280" w:rsidRDefault="00F97D54" w:rsidP="00EB5B97">
            <w:pPr>
              <w:rPr>
                <w:sz w:val="16"/>
                <w:szCs w:val="16"/>
              </w:rPr>
            </w:pPr>
            <w:r>
              <w:rPr>
                <w:sz w:val="16"/>
                <w:szCs w:val="16"/>
              </w:rPr>
              <w:t>5 digit ZIP code for U.S. headquarters</w:t>
            </w:r>
          </w:p>
        </w:tc>
        <w:tc>
          <w:tcPr>
            <w:tcW w:w="1080" w:type="dxa"/>
          </w:tcPr>
          <w:p w:rsidR="00F97D54" w:rsidRDefault="00F97D54" w:rsidP="00EB5B97">
            <w:pPr>
              <w:rPr>
                <w:sz w:val="16"/>
                <w:szCs w:val="16"/>
              </w:rPr>
            </w:pPr>
            <w:r>
              <w:rPr>
                <w:sz w:val="16"/>
                <w:szCs w:val="16"/>
              </w:rPr>
              <w:t>Text</w:t>
            </w:r>
          </w:p>
        </w:tc>
        <w:tc>
          <w:tcPr>
            <w:tcW w:w="1530" w:type="dxa"/>
          </w:tcPr>
          <w:p w:rsidR="00F97D54" w:rsidRDefault="00F97D54" w:rsidP="00EB5B97">
            <w:pPr>
              <w:rPr>
                <w:sz w:val="16"/>
                <w:szCs w:val="16"/>
              </w:rPr>
            </w:pPr>
            <w:r>
              <w:rPr>
                <w:sz w:val="16"/>
                <w:szCs w:val="16"/>
              </w:rPr>
              <w:t>22201</w:t>
            </w:r>
          </w:p>
        </w:tc>
      </w:tr>
      <w:tr w:rsidR="00F97D54" w:rsidRPr="00F43280" w:rsidTr="00EB5B97">
        <w:trPr>
          <w:trHeight w:val="432"/>
        </w:trPr>
        <w:tc>
          <w:tcPr>
            <w:tcW w:w="1772" w:type="dxa"/>
          </w:tcPr>
          <w:p w:rsidR="00F97D54" w:rsidRDefault="00F97D54" w:rsidP="00EB5B97">
            <w:pPr>
              <w:tabs>
                <w:tab w:val="left" w:pos="2022"/>
              </w:tabs>
              <w:rPr>
                <w:sz w:val="16"/>
                <w:szCs w:val="16"/>
              </w:rPr>
            </w:pPr>
            <w:r>
              <w:rPr>
                <w:sz w:val="16"/>
                <w:szCs w:val="16"/>
              </w:rPr>
              <w:t>ZIP4</w:t>
            </w:r>
          </w:p>
        </w:tc>
        <w:tc>
          <w:tcPr>
            <w:tcW w:w="4456" w:type="dxa"/>
          </w:tcPr>
          <w:p w:rsidR="00F97D54" w:rsidRDefault="00F97D54" w:rsidP="00EB5B97">
            <w:pPr>
              <w:rPr>
                <w:sz w:val="16"/>
                <w:szCs w:val="16"/>
              </w:rPr>
            </w:pPr>
            <w:r>
              <w:rPr>
                <w:sz w:val="16"/>
                <w:szCs w:val="16"/>
              </w:rPr>
              <w:t>4-digit add-on code (with leading zeros) of address</w:t>
            </w:r>
          </w:p>
        </w:tc>
        <w:tc>
          <w:tcPr>
            <w:tcW w:w="1080" w:type="dxa"/>
          </w:tcPr>
          <w:p w:rsidR="00F97D54" w:rsidRDefault="00F97D54" w:rsidP="00EB5B97">
            <w:pPr>
              <w:rPr>
                <w:sz w:val="16"/>
                <w:szCs w:val="16"/>
              </w:rPr>
            </w:pPr>
            <w:r>
              <w:rPr>
                <w:sz w:val="16"/>
                <w:szCs w:val="16"/>
              </w:rPr>
              <w:t>Text</w:t>
            </w:r>
          </w:p>
        </w:tc>
        <w:tc>
          <w:tcPr>
            <w:tcW w:w="1530" w:type="dxa"/>
          </w:tcPr>
          <w:p w:rsidR="00F97D54" w:rsidRDefault="00F97D54" w:rsidP="00EB5B97">
            <w:pPr>
              <w:rPr>
                <w:sz w:val="16"/>
                <w:szCs w:val="16"/>
              </w:rPr>
            </w:pPr>
            <w:r>
              <w:rPr>
                <w:sz w:val="16"/>
                <w:szCs w:val="16"/>
              </w:rPr>
              <w:t>0005</w:t>
            </w:r>
          </w:p>
        </w:tc>
      </w:tr>
      <w:tr w:rsidR="00F97D54" w:rsidRPr="00F43280" w:rsidTr="00EB5B97">
        <w:trPr>
          <w:trHeight w:val="387"/>
        </w:trPr>
        <w:tc>
          <w:tcPr>
            <w:tcW w:w="1772" w:type="dxa"/>
            <w:tcBorders>
              <w:bottom w:val="double" w:sz="4" w:space="0" w:color="auto"/>
            </w:tcBorders>
          </w:tcPr>
          <w:p w:rsidR="00F97D54" w:rsidRPr="00F43280" w:rsidRDefault="00F97D54" w:rsidP="00EB5B97">
            <w:pPr>
              <w:tabs>
                <w:tab w:val="left" w:pos="2022"/>
              </w:tabs>
              <w:rPr>
                <w:sz w:val="16"/>
                <w:szCs w:val="16"/>
              </w:rPr>
            </w:pPr>
            <w:r>
              <w:rPr>
                <w:sz w:val="16"/>
                <w:szCs w:val="16"/>
              </w:rPr>
              <w:t>Year_Head</w:t>
            </w:r>
          </w:p>
        </w:tc>
        <w:tc>
          <w:tcPr>
            <w:tcW w:w="4456" w:type="dxa"/>
            <w:tcBorders>
              <w:bottom w:val="double" w:sz="4" w:space="0" w:color="auto"/>
            </w:tcBorders>
          </w:tcPr>
          <w:p w:rsidR="00F97D54" w:rsidRPr="00F43280" w:rsidRDefault="00F97D54" w:rsidP="00EB5B97">
            <w:pPr>
              <w:rPr>
                <w:sz w:val="16"/>
                <w:szCs w:val="16"/>
              </w:rPr>
            </w:pPr>
            <w:r>
              <w:rPr>
                <w:sz w:val="16"/>
                <w:szCs w:val="16"/>
              </w:rPr>
              <w:t>Year when U.S. headquarters established</w:t>
            </w:r>
          </w:p>
        </w:tc>
        <w:tc>
          <w:tcPr>
            <w:tcW w:w="1080" w:type="dxa"/>
            <w:tcBorders>
              <w:bottom w:val="double" w:sz="4" w:space="0" w:color="auto"/>
            </w:tcBorders>
          </w:tcPr>
          <w:p w:rsidR="00F97D54" w:rsidRPr="00F43280" w:rsidRDefault="00F97D54" w:rsidP="00EB5B97">
            <w:pPr>
              <w:rPr>
                <w:sz w:val="16"/>
                <w:szCs w:val="16"/>
              </w:rPr>
            </w:pPr>
            <w:r>
              <w:rPr>
                <w:sz w:val="16"/>
                <w:szCs w:val="16"/>
              </w:rPr>
              <w:t>Year</w:t>
            </w:r>
          </w:p>
        </w:tc>
        <w:tc>
          <w:tcPr>
            <w:tcW w:w="1530" w:type="dxa"/>
            <w:tcBorders>
              <w:bottom w:val="double" w:sz="4" w:space="0" w:color="auto"/>
            </w:tcBorders>
          </w:tcPr>
          <w:p w:rsidR="00F97D54" w:rsidRPr="00F43280" w:rsidRDefault="00F97D54" w:rsidP="00EB5B97">
            <w:pPr>
              <w:rPr>
                <w:sz w:val="16"/>
                <w:szCs w:val="16"/>
              </w:rPr>
            </w:pPr>
            <w:r>
              <w:rPr>
                <w:sz w:val="16"/>
                <w:szCs w:val="16"/>
              </w:rPr>
              <w:t>2000</w:t>
            </w:r>
          </w:p>
        </w:tc>
      </w:tr>
    </w:tbl>
    <w:p w:rsidR="00F97D54" w:rsidRDefault="00F97D54" w:rsidP="00EB5B97"/>
    <w:p w:rsidR="00F97D54" w:rsidRDefault="00F97D54" w:rsidP="00EB5B97">
      <w:r>
        <w:t>Instructions for Table II.A.9.a-c, Record Format for U.S. Headquarters:</w:t>
      </w:r>
    </w:p>
    <w:p w:rsidR="00F97D54" w:rsidRDefault="00F97D54" w:rsidP="00EB5B97">
      <w:pPr>
        <w:numPr>
          <w:ilvl w:val="0"/>
          <w:numId w:val="26"/>
        </w:numPr>
      </w:pPr>
      <w:r>
        <w:t>In the initial row of the table, you will identify your current U.S. headquarters and the year established in the Year_Head field.  Cable system operators must type “Not Applicable” in the Street_Address field and complete the remaining fields with zeros.  You will receive an error message upon validation of the data container if you do not put any information into these data fields.</w:t>
      </w:r>
    </w:p>
    <w:p w:rsidR="00F97D54" w:rsidRDefault="00F97D54" w:rsidP="00EB5B97">
      <w:pPr>
        <w:numPr>
          <w:ilvl w:val="0"/>
          <w:numId w:val="26"/>
        </w:numPr>
      </w:pPr>
      <w:r>
        <w:t xml:space="preserve">In subsequent rows of the table, you will identify your prior U.S. headquarters going as far back as 1995 if different from the location of your current headquarters.   </w:t>
      </w:r>
    </w:p>
    <w:p w:rsidR="00F97D54" w:rsidRDefault="00F97D54" w:rsidP="00EB5B97"/>
    <w:tbl>
      <w:tblPr>
        <w:tblW w:w="8838" w:type="dxa"/>
        <w:tblLook w:val="01E0" w:firstRow="1" w:lastRow="1" w:firstColumn="1" w:lastColumn="1" w:noHBand="0" w:noVBand="0"/>
      </w:tblPr>
      <w:tblGrid>
        <w:gridCol w:w="1772"/>
        <w:gridCol w:w="4456"/>
        <w:gridCol w:w="1080"/>
        <w:gridCol w:w="1530"/>
      </w:tblGrid>
      <w:tr w:rsidR="00F97D54" w:rsidRPr="00F43280" w:rsidTr="00EB5B97">
        <w:trPr>
          <w:trHeight w:val="432"/>
          <w:tblHeader/>
        </w:trPr>
        <w:tc>
          <w:tcPr>
            <w:tcW w:w="8838" w:type="dxa"/>
            <w:gridSpan w:val="4"/>
            <w:tcBorders>
              <w:top w:val="double" w:sz="4" w:space="0" w:color="auto"/>
              <w:bottom w:val="single" w:sz="4" w:space="0" w:color="auto"/>
            </w:tcBorders>
            <w:vAlign w:val="center"/>
          </w:tcPr>
          <w:p w:rsidR="00F97D54" w:rsidRPr="005A4569" w:rsidRDefault="00F97D54" w:rsidP="00EB5B97">
            <w:pPr>
              <w:jc w:val="center"/>
              <w:rPr>
                <w:b/>
              </w:rPr>
            </w:pPr>
            <w:r w:rsidRPr="005A4569">
              <w:rPr>
                <w:b/>
              </w:rPr>
              <w:t>Table II.A.9.</w:t>
            </w:r>
            <w:r>
              <w:rPr>
                <w:b/>
              </w:rPr>
              <w:t>d</w:t>
            </w:r>
          </w:p>
          <w:p w:rsidR="00F97D54" w:rsidRPr="0089281A" w:rsidRDefault="00F97D54" w:rsidP="00EB5B97">
            <w:pPr>
              <w:jc w:val="center"/>
              <w:rPr>
                <w:rFonts w:ascii="Times New Roman Bold" w:hAnsi="Times New Roman Bold"/>
              </w:rPr>
            </w:pPr>
            <w:r w:rsidRPr="005A4569">
              <w:rPr>
                <w:b/>
              </w:rPr>
              <w:t xml:space="preserve">Record Format for Headquarters </w:t>
            </w:r>
            <w:r>
              <w:rPr>
                <w:b/>
              </w:rPr>
              <w:t>of</w:t>
            </w:r>
            <w:r w:rsidRPr="005A4569">
              <w:rPr>
                <w:b/>
              </w:rPr>
              <w:t xml:space="preserve"> </w:t>
            </w:r>
            <w:r>
              <w:rPr>
                <w:b/>
              </w:rPr>
              <w:t>Acquired Entities</w:t>
            </w:r>
          </w:p>
        </w:tc>
      </w:tr>
      <w:tr w:rsidR="00F97D54" w:rsidRPr="00F43280" w:rsidTr="00EB5B97">
        <w:trPr>
          <w:trHeight w:val="432"/>
          <w:tblHeader/>
        </w:trPr>
        <w:tc>
          <w:tcPr>
            <w:tcW w:w="1772" w:type="dxa"/>
            <w:tcBorders>
              <w:top w:val="single" w:sz="4" w:space="0" w:color="auto"/>
              <w:bottom w:val="single" w:sz="4" w:space="0" w:color="auto"/>
              <w:right w:val="single" w:sz="4" w:space="0" w:color="auto"/>
            </w:tcBorders>
            <w:vAlign w:val="center"/>
          </w:tcPr>
          <w:p w:rsidR="00F97D54" w:rsidRPr="00F43280" w:rsidRDefault="00F97D54" w:rsidP="00EB5B97">
            <w:pPr>
              <w:rPr>
                <w:b/>
                <w:sz w:val="18"/>
                <w:szCs w:val="18"/>
              </w:rPr>
            </w:pPr>
            <w:r w:rsidRPr="00F43280">
              <w:rPr>
                <w:b/>
                <w:sz w:val="18"/>
                <w:szCs w:val="18"/>
              </w:rPr>
              <w:t>Field Name</w:t>
            </w:r>
          </w:p>
        </w:tc>
        <w:tc>
          <w:tcPr>
            <w:tcW w:w="4456" w:type="dxa"/>
            <w:tcBorders>
              <w:top w:val="single" w:sz="4" w:space="0" w:color="auto"/>
              <w:left w:val="single" w:sz="4" w:space="0" w:color="auto"/>
              <w:bottom w:val="single" w:sz="4" w:space="0" w:color="auto"/>
              <w:right w:val="single" w:sz="4" w:space="0" w:color="auto"/>
            </w:tcBorders>
            <w:vAlign w:val="center"/>
          </w:tcPr>
          <w:p w:rsidR="00F97D54" w:rsidRPr="00F43280" w:rsidRDefault="00F97D54" w:rsidP="00EB5B97">
            <w:pPr>
              <w:rPr>
                <w:b/>
                <w:sz w:val="18"/>
                <w:szCs w:val="18"/>
              </w:rPr>
            </w:pPr>
            <w:r w:rsidRPr="00F43280">
              <w:rPr>
                <w:b/>
                <w:sz w:val="18"/>
                <w:szCs w:val="18"/>
              </w:rPr>
              <w:t>Description</w:t>
            </w:r>
          </w:p>
        </w:tc>
        <w:tc>
          <w:tcPr>
            <w:tcW w:w="1080" w:type="dxa"/>
            <w:tcBorders>
              <w:top w:val="single" w:sz="4" w:space="0" w:color="auto"/>
              <w:left w:val="single" w:sz="4" w:space="0" w:color="auto"/>
              <w:bottom w:val="single" w:sz="4" w:space="0" w:color="auto"/>
              <w:right w:val="single" w:sz="4" w:space="0" w:color="auto"/>
            </w:tcBorders>
            <w:vAlign w:val="center"/>
          </w:tcPr>
          <w:p w:rsidR="00F97D54" w:rsidRPr="00F43280" w:rsidRDefault="00F97D54" w:rsidP="00EB5B97">
            <w:pPr>
              <w:rPr>
                <w:b/>
                <w:sz w:val="18"/>
                <w:szCs w:val="18"/>
              </w:rPr>
            </w:pPr>
            <w:r w:rsidRPr="00F43280">
              <w:rPr>
                <w:b/>
                <w:sz w:val="18"/>
                <w:szCs w:val="18"/>
              </w:rPr>
              <w:t>Type</w:t>
            </w:r>
          </w:p>
        </w:tc>
        <w:tc>
          <w:tcPr>
            <w:tcW w:w="1530" w:type="dxa"/>
            <w:tcBorders>
              <w:top w:val="single" w:sz="4" w:space="0" w:color="auto"/>
              <w:left w:val="single" w:sz="4" w:space="0" w:color="auto"/>
              <w:bottom w:val="single" w:sz="4" w:space="0" w:color="auto"/>
            </w:tcBorders>
            <w:vAlign w:val="center"/>
          </w:tcPr>
          <w:p w:rsidR="00F97D54" w:rsidRPr="00F43280" w:rsidRDefault="00F97D54" w:rsidP="00EB5B97">
            <w:pPr>
              <w:ind w:right="-108"/>
              <w:rPr>
                <w:b/>
                <w:sz w:val="18"/>
                <w:szCs w:val="18"/>
              </w:rPr>
            </w:pPr>
            <w:r w:rsidRPr="00F43280">
              <w:rPr>
                <w:b/>
                <w:sz w:val="18"/>
                <w:szCs w:val="18"/>
              </w:rPr>
              <w:t>Example</w:t>
            </w:r>
          </w:p>
        </w:tc>
      </w:tr>
      <w:tr w:rsidR="00F97D54" w:rsidRPr="00F43280" w:rsidTr="00EB5B97">
        <w:trPr>
          <w:trHeight w:val="360"/>
        </w:trPr>
        <w:tc>
          <w:tcPr>
            <w:tcW w:w="1772" w:type="dxa"/>
          </w:tcPr>
          <w:p w:rsidR="00F97D54" w:rsidRPr="00F43280" w:rsidRDefault="00F97D54" w:rsidP="00EB5B97">
            <w:pPr>
              <w:tabs>
                <w:tab w:val="left" w:pos="2022"/>
              </w:tabs>
              <w:rPr>
                <w:sz w:val="16"/>
                <w:szCs w:val="16"/>
              </w:rPr>
            </w:pPr>
            <w:r>
              <w:rPr>
                <w:sz w:val="16"/>
                <w:szCs w:val="16"/>
              </w:rPr>
              <w:t>AcqEntity_Name</w:t>
            </w:r>
          </w:p>
        </w:tc>
        <w:tc>
          <w:tcPr>
            <w:tcW w:w="4456" w:type="dxa"/>
          </w:tcPr>
          <w:p w:rsidR="00F97D54" w:rsidRPr="00F43280" w:rsidRDefault="00F97D54" w:rsidP="00EB5B97">
            <w:pPr>
              <w:rPr>
                <w:sz w:val="16"/>
                <w:szCs w:val="16"/>
              </w:rPr>
            </w:pPr>
            <w:r>
              <w:rPr>
                <w:sz w:val="16"/>
                <w:szCs w:val="16"/>
              </w:rPr>
              <w:t xml:space="preserve">Name of acquired entity </w:t>
            </w:r>
          </w:p>
        </w:tc>
        <w:tc>
          <w:tcPr>
            <w:tcW w:w="1080" w:type="dxa"/>
          </w:tcPr>
          <w:p w:rsidR="00F97D54" w:rsidRPr="00F43280" w:rsidRDefault="00F97D54" w:rsidP="00EB5B97">
            <w:pPr>
              <w:rPr>
                <w:sz w:val="16"/>
                <w:szCs w:val="16"/>
              </w:rPr>
            </w:pPr>
            <w:r>
              <w:rPr>
                <w:sz w:val="16"/>
                <w:szCs w:val="16"/>
              </w:rPr>
              <w:t>Text</w:t>
            </w:r>
          </w:p>
        </w:tc>
        <w:tc>
          <w:tcPr>
            <w:tcW w:w="1530" w:type="dxa"/>
          </w:tcPr>
          <w:p w:rsidR="00F97D54" w:rsidRPr="00F43280" w:rsidRDefault="00F97D54" w:rsidP="00EB5B97">
            <w:pPr>
              <w:rPr>
                <w:sz w:val="16"/>
                <w:szCs w:val="16"/>
              </w:rPr>
            </w:pPr>
            <w:r>
              <w:rPr>
                <w:sz w:val="16"/>
                <w:szCs w:val="16"/>
              </w:rPr>
              <w:t>Local Fiber Incorporated</w:t>
            </w:r>
          </w:p>
        </w:tc>
      </w:tr>
      <w:tr w:rsidR="00F97D54" w:rsidRPr="00F43280" w:rsidTr="00EB5B97">
        <w:trPr>
          <w:trHeight w:val="324"/>
        </w:trPr>
        <w:tc>
          <w:tcPr>
            <w:tcW w:w="1772" w:type="dxa"/>
          </w:tcPr>
          <w:p w:rsidR="00F97D54" w:rsidRPr="00F43280" w:rsidRDefault="00F97D54" w:rsidP="00EB5B97">
            <w:pPr>
              <w:tabs>
                <w:tab w:val="left" w:pos="2022"/>
              </w:tabs>
              <w:rPr>
                <w:sz w:val="16"/>
                <w:szCs w:val="16"/>
              </w:rPr>
            </w:pPr>
            <w:r>
              <w:rPr>
                <w:sz w:val="16"/>
                <w:szCs w:val="16"/>
              </w:rPr>
              <w:t>Street_address</w:t>
            </w:r>
          </w:p>
        </w:tc>
        <w:tc>
          <w:tcPr>
            <w:tcW w:w="4456" w:type="dxa"/>
          </w:tcPr>
          <w:p w:rsidR="00F97D54" w:rsidRDefault="00F97D54" w:rsidP="00EB5B97">
            <w:pPr>
              <w:rPr>
                <w:sz w:val="16"/>
                <w:szCs w:val="16"/>
              </w:rPr>
            </w:pPr>
            <w:r>
              <w:rPr>
                <w:sz w:val="16"/>
                <w:szCs w:val="16"/>
              </w:rPr>
              <w:t xml:space="preserve">Situs address for the U.S. headquarters of acquired entity at time of merger </w:t>
            </w:r>
          </w:p>
        </w:tc>
        <w:tc>
          <w:tcPr>
            <w:tcW w:w="1080" w:type="dxa"/>
          </w:tcPr>
          <w:p w:rsidR="00F97D54" w:rsidRDefault="00F97D54" w:rsidP="00EB5B97">
            <w:pPr>
              <w:rPr>
                <w:sz w:val="16"/>
                <w:szCs w:val="16"/>
              </w:rPr>
            </w:pPr>
            <w:r>
              <w:rPr>
                <w:sz w:val="16"/>
                <w:szCs w:val="16"/>
              </w:rPr>
              <w:t>Text</w:t>
            </w:r>
          </w:p>
        </w:tc>
        <w:tc>
          <w:tcPr>
            <w:tcW w:w="1530" w:type="dxa"/>
          </w:tcPr>
          <w:p w:rsidR="00F97D54" w:rsidRDefault="00F97D54" w:rsidP="00EB5B97">
            <w:pPr>
              <w:rPr>
                <w:sz w:val="16"/>
                <w:szCs w:val="16"/>
              </w:rPr>
            </w:pPr>
            <w:r>
              <w:rPr>
                <w:sz w:val="16"/>
                <w:szCs w:val="16"/>
              </w:rPr>
              <w:t>1025 N Irving Street</w:t>
            </w:r>
          </w:p>
        </w:tc>
      </w:tr>
      <w:tr w:rsidR="00F97D54" w:rsidRPr="00F43280" w:rsidTr="00EB5B97">
        <w:trPr>
          <w:trHeight w:val="432"/>
        </w:trPr>
        <w:tc>
          <w:tcPr>
            <w:tcW w:w="1772" w:type="dxa"/>
          </w:tcPr>
          <w:p w:rsidR="00F97D54" w:rsidRPr="00F43280" w:rsidRDefault="00F97D54" w:rsidP="00EB5B97">
            <w:pPr>
              <w:tabs>
                <w:tab w:val="left" w:pos="2022"/>
              </w:tabs>
              <w:rPr>
                <w:sz w:val="16"/>
                <w:szCs w:val="16"/>
              </w:rPr>
            </w:pPr>
            <w:r>
              <w:rPr>
                <w:sz w:val="16"/>
                <w:szCs w:val="16"/>
              </w:rPr>
              <w:t>City</w:t>
            </w:r>
          </w:p>
        </w:tc>
        <w:tc>
          <w:tcPr>
            <w:tcW w:w="4456" w:type="dxa"/>
          </w:tcPr>
          <w:p w:rsidR="00F97D54" w:rsidRPr="00F43280" w:rsidRDefault="00F97D54" w:rsidP="00EB5B97">
            <w:pPr>
              <w:rPr>
                <w:sz w:val="16"/>
                <w:szCs w:val="16"/>
              </w:rPr>
            </w:pPr>
            <w:r>
              <w:rPr>
                <w:sz w:val="16"/>
                <w:szCs w:val="16"/>
              </w:rPr>
              <w:t xml:space="preserve">City name for U.S. headquarters </w:t>
            </w:r>
          </w:p>
        </w:tc>
        <w:tc>
          <w:tcPr>
            <w:tcW w:w="1080" w:type="dxa"/>
          </w:tcPr>
          <w:p w:rsidR="00F97D54" w:rsidRPr="00F43280" w:rsidRDefault="00F97D54" w:rsidP="00EB5B97">
            <w:pPr>
              <w:rPr>
                <w:sz w:val="16"/>
                <w:szCs w:val="16"/>
              </w:rPr>
            </w:pPr>
            <w:r>
              <w:rPr>
                <w:sz w:val="16"/>
                <w:szCs w:val="16"/>
              </w:rPr>
              <w:t>Text</w:t>
            </w:r>
          </w:p>
        </w:tc>
        <w:tc>
          <w:tcPr>
            <w:tcW w:w="1530" w:type="dxa"/>
          </w:tcPr>
          <w:p w:rsidR="00F97D54" w:rsidRPr="00F43280" w:rsidRDefault="00F97D54" w:rsidP="00EB5B97">
            <w:pPr>
              <w:rPr>
                <w:sz w:val="16"/>
                <w:szCs w:val="16"/>
              </w:rPr>
            </w:pPr>
            <w:r>
              <w:rPr>
                <w:sz w:val="16"/>
                <w:szCs w:val="16"/>
              </w:rPr>
              <w:t>Springfield</w:t>
            </w:r>
          </w:p>
        </w:tc>
      </w:tr>
      <w:tr w:rsidR="00F97D54" w:rsidRPr="00F43280" w:rsidTr="00EB5B97">
        <w:trPr>
          <w:trHeight w:val="432"/>
        </w:trPr>
        <w:tc>
          <w:tcPr>
            <w:tcW w:w="1772" w:type="dxa"/>
          </w:tcPr>
          <w:p w:rsidR="00F97D54" w:rsidRPr="00F43280" w:rsidRDefault="00F97D54" w:rsidP="00EB5B97">
            <w:pPr>
              <w:tabs>
                <w:tab w:val="left" w:pos="2022"/>
              </w:tabs>
              <w:rPr>
                <w:sz w:val="16"/>
                <w:szCs w:val="16"/>
              </w:rPr>
            </w:pPr>
            <w:r>
              <w:rPr>
                <w:sz w:val="16"/>
                <w:szCs w:val="16"/>
              </w:rPr>
              <w:t>State</w:t>
            </w:r>
          </w:p>
        </w:tc>
        <w:tc>
          <w:tcPr>
            <w:tcW w:w="4456" w:type="dxa"/>
          </w:tcPr>
          <w:p w:rsidR="00F97D54" w:rsidRPr="00F43280" w:rsidRDefault="00F97D54" w:rsidP="00EB5B97">
            <w:pPr>
              <w:rPr>
                <w:sz w:val="16"/>
                <w:szCs w:val="16"/>
              </w:rPr>
            </w:pPr>
            <w:r>
              <w:rPr>
                <w:sz w:val="16"/>
                <w:szCs w:val="16"/>
              </w:rPr>
              <w:t xml:space="preserve">State name for U.S. headquarters </w:t>
            </w:r>
          </w:p>
        </w:tc>
        <w:tc>
          <w:tcPr>
            <w:tcW w:w="1080" w:type="dxa"/>
          </w:tcPr>
          <w:p w:rsidR="00F97D54" w:rsidRPr="00F43280" w:rsidRDefault="00F97D54" w:rsidP="00EB5B97">
            <w:pPr>
              <w:rPr>
                <w:sz w:val="16"/>
                <w:szCs w:val="16"/>
              </w:rPr>
            </w:pPr>
            <w:r>
              <w:rPr>
                <w:sz w:val="16"/>
                <w:szCs w:val="16"/>
              </w:rPr>
              <w:t>Text</w:t>
            </w:r>
          </w:p>
        </w:tc>
        <w:tc>
          <w:tcPr>
            <w:tcW w:w="1530" w:type="dxa"/>
          </w:tcPr>
          <w:p w:rsidR="00F97D54" w:rsidRPr="00F43280" w:rsidRDefault="00F97D54" w:rsidP="00EB5B97">
            <w:pPr>
              <w:rPr>
                <w:sz w:val="16"/>
                <w:szCs w:val="16"/>
              </w:rPr>
            </w:pPr>
            <w:r>
              <w:rPr>
                <w:sz w:val="16"/>
                <w:szCs w:val="16"/>
              </w:rPr>
              <w:t>Texas</w:t>
            </w:r>
          </w:p>
        </w:tc>
      </w:tr>
      <w:tr w:rsidR="00F97D54" w:rsidRPr="00F43280" w:rsidTr="00EB5B97">
        <w:trPr>
          <w:trHeight w:val="432"/>
        </w:trPr>
        <w:tc>
          <w:tcPr>
            <w:tcW w:w="1772" w:type="dxa"/>
          </w:tcPr>
          <w:p w:rsidR="00F97D54" w:rsidRPr="00F43280" w:rsidRDefault="00F97D54" w:rsidP="00EB5B97">
            <w:pPr>
              <w:tabs>
                <w:tab w:val="left" w:pos="2022"/>
              </w:tabs>
              <w:rPr>
                <w:sz w:val="16"/>
                <w:szCs w:val="16"/>
              </w:rPr>
            </w:pPr>
            <w:r>
              <w:rPr>
                <w:sz w:val="16"/>
                <w:szCs w:val="16"/>
              </w:rPr>
              <w:t>ZIP</w:t>
            </w:r>
          </w:p>
        </w:tc>
        <w:tc>
          <w:tcPr>
            <w:tcW w:w="4456" w:type="dxa"/>
          </w:tcPr>
          <w:p w:rsidR="00F97D54" w:rsidRPr="00F43280" w:rsidRDefault="00F97D54" w:rsidP="00EB5B97">
            <w:pPr>
              <w:rPr>
                <w:sz w:val="16"/>
                <w:szCs w:val="16"/>
              </w:rPr>
            </w:pPr>
            <w:r>
              <w:rPr>
                <w:sz w:val="16"/>
                <w:szCs w:val="16"/>
              </w:rPr>
              <w:t>5 digit ZIP code for U.S. headquarters</w:t>
            </w:r>
          </w:p>
        </w:tc>
        <w:tc>
          <w:tcPr>
            <w:tcW w:w="1080" w:type="dxa"/>
          </w:tcPr>
          <w:p w:rsidR="00F97D54" w:rsidRDefault="00F97D54" w:rsidP="00EB5B97">
            <w:pPr>
              <w:rPr>
                <w:sz w:val="16"/>
                <w:szCs w:val="16"/>
              </w:rPr>
            </w:pPr>
            <w:r>
              <w:rPr>
                <w:sz w:val="16"/>
                <w:szCs w:val="16"/>
              </w:rPr>
              <w:t>Text</w:t>
            </w:r>
          </w:p>
        </w:tc>
        <w:tc>
          <w:tcPr>
            <w:tcW w:w="1530" w:type="dxa"/>
          </w:tcPr>
          <w:p w:rsidR="00F97D54" w:rsidRDefault="00F97D54" w:rsidP="00EB5B97">
            <w:pPr>
              <w:rPr>
                <w:sz w:val="16"/>
                <w:szCs w:val="16"/>
              </w:rPr>
            </w:pPr>
            <w:r>
              <w:rPr>
                <w:sz w:val="16"/>
                <w:szCs w:val="16"/>
              </w:rPr>
              <w:t>22201</w:t>
            </w:r>
          </w:p>
        </w:tc>
      </w:tr>
      <w:tr w:rsidR="00F97D54" w:rsidRPr="00F43280" w:rsidTr="00EB5B97">
        <w:trPr>
          <w:trHeight w:val="432"/>
        </w:trPr>
        <w:tc>
          <w:tcPr>
            <w:tcW w:w="1772" w:type="dxa"/>
          </w:tcPr>
          <w:p w:rsidR="00F97D54" w:rsidRDefault="00F97D54" w:rsidP="00EB5B97">
            <w:pPr>
              <w:tabs>
                <w:tab w:val="left" w:pos="2022"/>
              </w:tabs>
              <w:rPr>
                <w:sz w:val="16"/>
                <w:szCs w:val="16"/>
              </w:rPr>
            </w:pPr>
            <w:r>
              <w:rPr>
                <w:sz w:val="16"/>
                <w:szCs w:val="16"/>
              </w:rPr>
              <w:t>ZIP4</w:t>
            </w:r>
          </w:p>
        </w:tc>
        <w:tc>
          <w:tcPr>
            <w:tcW w:w="4456" w:type="dxa"/>
          </w:tcPr>
          <w:p w:rsidR="00F97D54" w:rsidRDefault="00F97D54" w:rsidP="00EB5B97">
            <w:pPr>
              <w:rPr>
                <w:sz w:val="16"/>
                <w:szCs w:val="16"/>
              </w:rPr>
            </w:pPr>
            <w:r>
              <w:rPr>
                <w:sz w:val="16"/>
                <w:szCs w:val="16"/>
              </w:rPr>
              <w:t>4-digit add-on code (with leading zeros) of address</w:t>
            </w:r>
          </w:p>
        </w:tc>
        <w:tc>
          <w:tcPr>
            <w:tcW w:w="1080" w:type="dxa"/>
          </w:tcPr>
          <w:p w:rsidR="00F97D54" w:rsidRDefault="00F97D54" w:rsidP="00EB5B97">
            <w:pPr>
              <w:rPr>
                <w:sz w:val="16"/>
                <w:szCs w:val="16"/>
              </w:rPr>
            </w:pPr>
            <w:r>
              <w:rPr>
                <w:sz w:val="16"/>
                <w:szCs w:val="16"/>
              </w:rPr>
              <w:t>Text</w:t>
            </w:r>
          </w:p>
        </w:tc>
        <w:tc>
          <w:tcPr>
            <w:tcW w:w="1530" w:type="dxa"/>
          </w:tcPr>
          <w:p w:rsidR="00F97D54" w:rsidRDefault="00F97D54" w:rsidP="00EB5B97">
            <w:pPr>
              <w:rPr>
                <w:sz w:val="16"/>
                <w:szCs w:val="16"/>
              </w:rPr>
            </w:pPr>
            <w:r>
              <w:rPr>
                <w:sz w:val="16"/>
                <w:szCs w:val="16"/>
              </w:rPr>
              <w:t>0005</w:t>
            </w:r>
          </w:p>
        </w:tc>
      </w:tr>
      <w:tr w:rsidR="00F97D54" w:rsidRPr="00F43280" w:rsidTr="00EB5B97">
        <w:trPr>
          <w:trHeight w:val="333"/>
        </w:trPr>
        <w:tc>
          <w:tcPr>
            <w:tcW w:w="1772" w:type="dxa"/>
            <w:tcBorders>
              <w:bottom w:val="double" w:sz="4" w:space="0" w:color="auto"/>
            </w:tcBorders>
          </w:tcPr>
          <w:p w:rsidR="00F97D54" w:rsidRPr="00F43280" w:rsidRDefault="00F97D54" w:rsidP="00EB5B97">
            <w:pPr>
              <w:tabs>
                <w:tab w:val="left" w:pos="2022"/>
              </w:tabs>
              <w:rPr>
                <w:sz w:val="16"/>
                <w:szCs w:val="16"/>
              </w:rPr>
            </w:pPr>
            <w:r>
              <w:rPr>
                <w:sz w:val="16"/>
                <w:szCs w:val="16"/>
              </w:rPr>
              <w:t>Year_Head</w:t>
            </w:r>
          </w:p>
        </w:tc>
        <w:tc>
          <w:tcPr>
            <w:tcW w:w="4456" w:type="dxa"/>
            <w:tcBorders>
              <w:bottom w:val="double" w:sz="4" w:space="0" w:color="auto"/>
            </w:tcBorders>
          </w:tcPr>
          <w:p w:rsidR="00F97D54" w:rsidRPr="00F43280" w:rsidRDefault="00F97D54" w:rsidP="00EB5B97">
            <w:pPr>
              <w:rPr>
                <w:sz w:val="16"/>
                <w:szCs w:val="16"/>
              </w:rPr>
            </w:pPr>
            <w:r>
              <w:rPr>
                <w:sz w:val="16"/>
                <w:szCs w:val="16"/>
              </w:rPr>
              <w:t xml:space="preserve">Year when entity merged, </w:t>
            </w:r>
            <w:r w:rsidRPr="008653B9">
              <w:rPr>
                <w:i/>
                <w:sz w:val="16"/>
                <w:szCs w:val="16"/>
              </w:rPr>
              <w:t>i.e.</w:t>
            </w:r>
            <w:r>
              <w:rPr>
                <w:sz w:val="16"/>
                <w:szCs w:val="16"/>
              </w:rPr>
              <w:t>, when transaction closed</w:t>
            </w:r>
          </w:p>
        </w:tc>
        <w:tc>
          <w:tcPr>
            <w:tcW w:w="1080" w:type="dxa"/>
            <w:tcBorders>
              <w:bottom w:val="double" w:sz="4" w:space="0" w:color="auto"/>
            </w:tcBorders>
          </w:tcPr>
          <w:p w:rsidR="00F97D54" w:rsidRPr="00F43280" w:rsidRDefault="00F97D54" w:rsidP="00EB5B97">
            <w:pPr>
              <w:rPr>
                <w:sz w:val="16"/>
                <w:szCs w:val="16"/>
              </w:rPr>
            </w:pPr>
            <w:r>
              <w:rPr>
                <w:sz w:val="16"/>
                <w:szCs w:val="16"/>
              </w:rPr>
              <w:t>Year</w:t>
            </w:r>
          </w:p>
        </w:tc>
        <w:tc>
          <w:tcPr>
            <w:tcW w:w="1530" w:type="dxa"/>
            <w:tcBorders>
              <w:bottom w:val="double" w:sz="4" w:space="0" w:color="auto"/>
            </w:tcBorders>
          </w:tcPr>
          <w:p w:rsidR="00F97D54" w:rsidRPr="00F43280" w:rsidRDefault="00F97D54" w:rsidP="00EB5B97">
            <w:pPr>
              <w:rPr>
                <w:sz w:val="16"/>
                <w:szCs w:val="16"/>
              </w:rPr>
            </w:pPr>
            <w:r>
              <w:rPr>
                <w:sz w:val="16"/>
                <w:szCs w:val="16"/>
              </w:rPr>
              <w:t>2000</w:t>
            </w:r>
          </w:p>
        </w:tc>
      </w:tr>
    </w:tbl>
    <w:p w:rsidR="00F97D54" w:rsidRDefault="00F97D54" w:rsidP="00EB5B97"/>
    <w:p w:rsidR="00F97D54" w:rsidRDefault="00F97D54" w:rsidP="00EB5B97">
      <w:r>
        <w:t>Instructions for Table II.A.9.d, Record Format for Headquarters of Acquired Entities:</w:t>
      </w:r>
    </w:p>
    <w:p w:rsidR="009F2B22" w:rsidRDefault="009F2B22" w:rsidP="00EB5B97"/>
    <w:p w:rsidR="00F97D54" w:rsidRDefault="00F97D54" w:rsidP="00EB5B97">
      <w:pPr>
        <w:numPr>
          <w:ilvl w:val="0"/>
          <w:numId w:val="27"/>
        </w:numPr>
      </w:pPr>
      <w:r>
        <w:t xml:space="preserve">If you did not acquire an entity during the relevant reporting period or are a cable system operator, then you must still type “Not Applicable” in the </w:t>
      </w:r>
      <w:r w:rsidRPr="00AB233E">
        <w:t>A</w:t>
      </w:r>
      <w:r>
        <w:t>cqEntity</w:t>
      </w:r>
      <w:r w:rsidRPr="00AB233E">
        <w:t>_Name</w:t>
      </w:r>
      <w:r>
        <w:t xml:space="preserve"> field and complete the remaining fields with zeros.  You will receive an error message upon validation of the data container if you do not put any information into these data fields.</w:t>
      </w:r>
    </w:p>
    <w:p w:rsidR="00F97D54" w:rsidRPr="009424B1" w:rsidRDefault="00F97D54" w:rsidP="00EB5B97"/>
    <w:tbl>
      <w:tblPr>
        <w:tblW w:w="8838" w:type="dxa"/>
        <w:tblLook w:val="01E0" w:firstRow="1" w:lastRow="1" w:firstColumn="1" w:lastColumn="1" w:noHBand="0" w:noVBand="0"/>
      </w:tblPr>
      <w:tblGrid>
        <w:gridCol w:w="1772"/>
        <w:gridCol w:w="4456"/>
        <w:gridCol w:w="1080"/>
        <w:gridCol w:w="1530"/>
      </w:tblGrid>
      <w:tr w:rsidR="00F97D54" w:rsidRPr="00F43280" w:rsidTr="00EB5B97">
        <w:trPr>
          <w:trHeight w:val="432"/>
          <w:tblHeader/>
        </w:trPr>
        <w:tc>
          <w:tcPr>
            <w:tcW w:w="8838" w:type="dxa"/>
            <w:gridSpan w:val="4"/>
            <w:tcBorders>
              <w:top w:val="double" w:sz="4" w:space="0" w:color="auto"/>
              <w:bottom w:val="single" w:sz="4" w:space="0" w:color="auto"/>
            </w:tcBorders>
            <w:vAlign w:val="center"/>
          </w:tcPr>
          <w:p w:rsidR="00F97D54" w:rsidRPr="005A4569" w:rsidRDefault="00F97D54" w:rsidP="00EB5B97">
            <w:pPr>
              <w:jc w:val="center"/>
              <w:rPr>
                <w:b/>
              </w:rPr>
            </w:pPr>
            <w:r w:rsidRPr="005A4569">
              <w:rPr>
                <w:b/>
              </w:rPr>
              <w:t>Table II.A.9.</w:t>
            </w:r>
            <w:r>
              <w:rPr>
                <w:b/>
              </w:rPr>
              <w:t>e</w:t>
            </w:r>
            <w:r w:rsidRPr="005A4569">
              <w:rPr>
                <w:b/>
              </w:rPr>
              <w:t>-</w:t>
            </w:r>
            <w:r>
              <w:rPr>
                <w:b/>
              </w:rPr>
              <w:t>f</w:t>
            </w:r>
          </w:p>
          <w:p w:rsidR="00F97D54" w:rsidRPr="00F43280" w:rsidRDefault="00F97D54" w:rsidP="00EB5B97">
            <w:pPr>
              <w:jc w:val="center"/>
              <w:rPr>
                <w:rFonts w:ascii="Times New Roman Bold" w:hAnsi="Times New Roman Bold"/>
              </w:rPr>
            </w:pPr>
            <w:r w:rsidRPr="005A4569">
              <w:rPr>
                <w:b/>
              </w:rPr>
              <w:t xml:space="preserve">Record Format for Headquarters for </w:t>
            </w:r>
            <w:r w:rsidRPr="005A4569">
              <w:rPr>
                <w:b/>
                <w:i/>
              </w:rPr>
              <w:t>Affiliated Companies</w:t>
            </w:r>
          </w:p>
        </w:tc>
      </w:tr>
      <w:tr w:rsidR="00F97D54" w:rsidRPr="00F43280" w:rsidTr="00EB5B97">
        <w:trPr>
          <w:trHeight w:val="432"/>
          <w:tblHeader/>
        </w:trPr>
        <w:tc>
          <w:tcPr>
            <w:tcW w:w="1772" w:type="dxa"/>
            <w:tcBorders>
              <w:top w:val="single" w:sz="4" w:space="0" w:color="auto"/>
              <w:bottom w:val="single" w:sz="4" w:space="0" w:color="auto"/>
              <w:right w:val="single" w:sz="4" w:space="0" w:color="auto"/>
            </w:tcBorders>
            <w:vAlign w:val="center"/>
          </w:tcPr>
          <w:p w:rsidR="00F97D54" w:rsidRPr="00F43280" w:rsidRDefault="00F97D54" w:rsidP="00EB5B97">
            <w:pPr>
              <w:rPr>
                <w:b/>
                <w:sz w:val="18"/>
                <w:szCs w:val="18"/>
              </w:rPr>
            </w:pPr>
            <w:r w:rsidRPr="00F43280">
              <w:rPr>
                <w:b/>
                <w:sz w:val="18"/>
                <w:szCs w:val="18"/>
              </w:rPr>
              <w:t>Field Name</w:t>
            </w:r>
          </w:p>
        </w:tc>
        <w:tc>
          <w:tcPr>
            <w:tcW w:w="4456" w:type="dxa"/>
            <w:tcBorders>
              <w:top w:val="single" w:sz="4" w:space="0" w:color="auto"/>
              <w:left w:val="single" w:sz="4" w:space="0" w:color="auto"/>
              <w:bottom w:val="single" w:sz="4" w:space="0" w:color="auto"/>
              <w:right w:val="single" w:sz="4" w:space="0" w:color="auto"/>
            </w:tcBorders>
            <w:vAlign w:val="center"/>
          </w:tcPr>
          <w:p w:rsidR="00F97D54" w:rsidRPr="00F43280" w:rsidRDefault="00F97D54" w:rsidP="00EB5B97">
            <w:pPr>
              <w:rPr>
                <w:b/>
                <w:sz w:val="18"/>
                <w:szCs w:val="18"/>
              </w:rPr>
            </w:pPr>
            <w:r w:rsidRPr="00F43280">
              <w:rPr>
                <w:b/>
                <w:sz w:val="18"/>
                <w:szCs w:val="18"/>
              </w:rPr>
              <w:t>Description</w:t>
            </w:r>
          </w:p>
        </w:tc>
        <w:tc>
          <w:tcPr>
            <w:tcW w:w="1080" w:type="dxa"/>
            <w:tcBorders>
              <w:top w:val="single" w:sz="4" w:space="0" w:color="auto"/>
              <w:left w:val="single" w:sz="4" w:space="0" w:color="auto"/>
              <w:bottom w:val="single" w:sz="4" w:space="0" w:color="auto"/>
              <w:right w:val="single" w:sz="4" w:space="0" w:color="auto"/>
            </w:tcBorders>
            <w:vAlign w:val="center"/>
          </w:tcPr>
          <w:p w:rsidR="00F97D54" w:rsidRPr="00F43280" w:rsidRDefault="00F97D54" w:rsidP="00EB5B97">
            <w:pPr>
              <w:rPr>
                <w:b/>
                <w:sz w:val="18"/>
                <w:szCs w:val="18"/>
              </w:rPr>
            </w:pPr>
            <w:r w:rsidRPr="00F43280">
              <w:rPr>
                <w:b/>
                <w:sz w:val="18"/>
                <w:szCs w:val="18"/>
              </w:rPr>
              <w:t>Type</w:t>
            </w:r>
          </w:p>
        </w:tc>
        <w:tc>
          <w:tcPr>
            <w:tcW w:w="1530" w:type="dxa"/>
            <w:tcBorders>
              <w:top w:val="single" w:sz="4" w:space="0" w:color="auto"/>
              <w:left w:val="single" w:sz="4" w:space="0" w:color="auto"/>
              <w:bottom w:val="single" w:sz="4" w:space="0" w:color="auto"/>
            </w:tcBorders>
            <w:vAlign w:val="center"/>
          </w:tcPr>
          <w:p w:rsidR="00F97D54" w:rsidRPr="00F43280" w:rsidRDefault="00F97D54" w:rsidP="00EB5B97">
            <w:pPr>
              <w:ind w:right="-108"/>
              <w:rPr>
                <w:b/>
                <w:sz w:val="18"/>
                <w:szCs w:val="18"/>
              </w:rPr>
            </w:pPr>
            <w:r w:rsidRPr="00F43280">
              <w:rPr>
                <w:b/>
                <w:sz w:val="18"/>
                <w:szCs w:val="18"/>
              </w:rPr>
              <w:t>Example</w:t>
            </w:r>
          </w:p>
        </w:tc>
      </w:tr>
      <w:tr w:rsidR="00F97D54" w:rsidRPr="00F43280" w:rsidTr="00EB5B97">
        <w:trPr>
          <w:trHeight w:val="360"/>
        </w:trPr>
        <w:tc>
          <w:tcPr>
            <w:tcW w:w="1772" w:type="dxa"/>
          </w:tcPr>
          <w:p w:rsidR="00F97D54" w:rsidRPr="00F43280" w:rsidRDefault="00F97D54" w:rsidP="00EB5B97">
            <w:pPr>
              <w:tabs>
                <w:tab w:val="left" w:pos="2022"/>
              </w:tabs>
              <w:rPr>
                <w:sz w:val="16"/>
                <w:szCs w:val="16"/>
              </w:rPr>
            </w:pPr>
            <w:r>
              <w:rPr>
                <w:sz w:val="16"/>
                <w:szCs w:val="16"/>
              </w:rPr>
              <w:t>AffCompany_Name</w:t>
            </w:r>
          </w:p>
        </w:tc>
        <w:tc>
          <w:tcPr>
            <w:tcW w:w="4456" w:type="dxa"/>
          </w:tcPr>
          <w:p w:rsidR="00F97D54" w:rsidRPr="00F43280" w:rsidRDefault="00F97D54" w:rsidP="00EB5B97">
            <w:pPr>
              <w:rPr>
                <w:sz w:val="16"/>
                <w:szCs w:val="16"/>
              </w:rPr>
            </w:pPr>
            <w:r>
              <w:rPr>
                <w:sz w:val="16"/>
                <w:szCs w:val="16"/>
              </w:rPr>
              <w:t xml:space="preserve">Name of </w:t>
            </w:r>
            <w:r w:rsidRPr="009B3180">
              <w:rPr>
                <w:i/>
                <w:sz w:val="16"/>
                <w:szCs w:val="16"/>
              </w:rPr>
              <w:t>Affiliated Company</w:t>
            </w:r>
            <w:r>
              <w:rPr>
                <w:sz w:val="16"/>
                <w:szCs w:val="16"/>
              </w:rPr>
              <w:t xml:space="preserve"> </w:t>
            </w:r>
          </w:p>
        </w:tc>
        <w:tc>
          <w:tcPr>
            <w:tcW w:w="1080" w:type="dxa"/>
          </w:tcPr>
          <w:p w:rsidR="00F97D54" w:rsidRPr="00F43280" w:rsidRDefault="00F97D54" w:rsidP="00EB5B97">
            <w:pPr>
              <w:rPr>
                <w:sz w:val="16"/>
                <w:szCs w:val="16"/>
              </w:rPr>
            </w:pPr>
            <w:r>
              <w:rPr>
                <w:sz w:val="16"/>
                <w:szCs w:val="16"/>
              </w:rPr>
              <w:t>Text</w:t>
            </w:r>
          </w:p>
        </w:tc>
        <w:tc>
          <w:tcPr>
            <w:tcW w:w="1530" w:type="dxa"/>
          </w:tcPr>
          <w:p w:rsidR="00F97D54" w:rsidRPr="00F43280" w:rsidRDefault="00F97D54" w:rsidP="00EB5B97">
            <w:pPr>
              <w:rPr>
                <w:sz w:val="16"/>
                <w:szCs w:val="16"/>
              </w:rPr>
            </w:pPr>
            <w:r>
              <w:rPr>
                <w:sz w:val="16"/>
                <w:szCs w:val="16"/>
              </w:rPr>
              <w:t>Local Fiber Incorporated</w:t>
            </w:r>
          </w:p>
        </w:tc>
      </w:tr>
      <w:tr w:rsidR="00F97D54" w:rsidRPr="00F43280" w:rsidTr="00EB5B97">
        <w:trPr>
          <w:trHeight w:val="324"/>
        </w:trPr>
        <w:tc>
          <w:tcPr>
            <w:tcW w:w="1772" w:type="dxa"/>
          </w:tcPr>
          <w:p w:rsidR="00F97D54" w:rsidRDefault="00F97D54" w:rsidP="00EB5B97">
            <w:pPr>
              <w:tabs>
                <w:tab w:val="left" w:pos="2022"/>
              </w:tabs>
              <w:rPr>
                <w:sz w:val="16"/>
                <w:szCs w:val="16"/>
              </w:rPr>
            </w:pPr>
            <w:r>
              <w:rPr>
                <w:sz w:val="16"/>
                <w:szCs w:val="16"/>
              </w:rPr>
              <w:t>Year of Affiliation</w:t>
            </w:r>
          </w:p>
        </w:tc>
        <w:tc>
          <w:tcPr>
            <w:tcW w:w="4456" w:type="dxa"/>
          </w:tcPr>
          <w:p w:rsidR="00F97D54" w:rsidRDefault="00F97D54" w:rsidP="00EB5B97">
            <w:pPr>
              <w:rPr>
                <w:sz w:val="16"/>
                <w:szCs w:val="16"/>
              </w:rPr>
            </w:pPr>
            <w:r>
              <w:rPr>
                <w:sz w:val="16"/>
                <w:szCs w:val="16"/>
              </w:rPr>
              <w:t xml:space="preserve">Year you became affiliated with the </w:t>
            </w:r>
            <w:r w:rsidRPr="006541D7">
              <w:rPr>
                <w:i/>
                <w:sz w:val="16"/>
                <w:szCs w:val="16"/>
              </w:rPr>
              <w:t>Affiliated Company</w:t>
            </w:r>
          </w:p>
        </w:tc>
        <w:tc>
          <w:tcPr>
            <w:tcW w:w="1080" w:type="dxa"/>
          </w:tcPr>
          <w:p w:rsidR="00F97D54" w:rsidRDefault="00F97D54" w:rsidP="00EB5B97">
            <w:pPr>
              <w:rPr>
                <w:sz w:val="16"/>
                <w:szCs w:val="16"/>
              </w:rPr>
            </w:pPr>
            <w:r>
              <w:rPr>
                <w:sz w:val="16"/>
                <w:szCs w:val="16"/>
              </w:rPr>
              <w:t>Year</w:t>
            </w:r>
          </w:p>
        </w:tc>
        <w:tc>
          <w:tcPr>
            <w:tcW w:w="1530" w:type="dxa"/>
          </w:tcPr>
          <w:p w:rsidR="00F97D54" w:rsidRDefault="00F97D54" w:rsidP="00EB5B97">
            <w:pPr>
              <w:rPr>
                <w:sz w:val="16"/>
                <w:szCs w:val="16"/>
              </w:rPr>
            </w:pPr>
            <w:r>
              <w:rPr>
                <w:sz w:val="16"/>
                <w:szCs w:val="16"/>
              </w:rPr>
              <w:t>2007</w:t>
            </w:r>
          </w:p>
        </w:tc>
      </w:tr>
      <w:tr w:rsidR="00F97D54" w:rsidRPr="00F43280" w:rsidTr="00EB5B97">
        <w:trPr>
          <w:trHeight w:val="324"/>
        </w:trPr>
        <w:tc>
          <w:tcPr>
            <w:tcW w:w="1772" w:type="dxa"/>
          </w:tcPr>
          <w:p w:rsidR="00F97D54" w:rsidRPr="00F43280" w:rsidRDefault="00F97D54" w:rsidP="00EB5B97">
            <w:pPr>
              <w:tabs>
                <w:tab w:val="left" w:pos="2022"/>
              </w:tabs>
              <w:rPr>
                <w:sz w:val="16"/>
                <w:szCs w:val="16"/>
              </w:rPr>
            </w:pPr>
            <w:r>
              <w:rPr>
                <w:sz w:val="16"/>
                <w:szCs w:val="16"/>
              </w:rPr>
              <w:t>Street_address</w:t>
            </w:r>
          </w:p>
        </w:tc>
        <w:tc>
          <w:tcPr>
            <w:tcW w:w="4456" w:type="dxa"/>
          </w:tcPr>
          <w:p w:rsidR="00F97D54" w:rsidRDefault="00F97D54" w:rsidP="00EB5B97">
            <w:pPr>
              <w:rPr>
                <w:sz w:val="16"/>
                <w:szCs w:val="16"/>
              </w:rPr>
            </w:pPr>
            <w:r>
              <w:rPr>
                <w:sz w:val="16"/>
                <w:szCs w:val="16"/>
              </w:rPr>
              <w:t xml:space="preserve">Situs address of the U.S. headquarters for </w:t>
            </w:r>
            <w:r w:rsidRPr="004314A8">
              <w:rPr>
                <w:i/>
                <w:sz w:val="16"/>
                <w:szCs w:val="16"/>
              </w:rPr>
              <w:t>Affiliated Company</w:t>
            </w:r>
            <w:r>
              <w:rPr>
                <w:sz w:val="16"/>
                <w:szCs w:val="16"/>
              </w:rPr>
              <w:t xml:space="preserve"> </w:t>
            </w:r>
          </w:p>
        </w:tc>
        <w:tc>
          <w:tcPr>
            <w:tcW w:w="1080" w:type="dxa"/>
          </w:tcPr>
          <w:p w:rsidR="00F97D54" w:rsidRDefault="00F97D54" w:rsidP="00EB5B97">
            <w:pPr>
              <w:rPr>
                <w:sz w:val="16"/>
                <w:szCs w:val="16"/>
              </w:rPr>
            </w:pPr>
            <w:r>
              <w:rPr>
                <w:sz w:val="16"/>
                <w:szCs w:val="16"/>
              </w:rPr>
              <w:t>Text</w:t>
            </w:r>
          </w:p>
        </w:tc>
        <w:tc>
          <w:tcPr>
            <w:tcW w:w="1530" w:type="dxa"/>
          </w:tcPr>
          <w:p w:rsidR="00F97D54" w:rsidRDefault="00F97D54" w:rsidP="00EB5B97">
            <w:pPr>
              <w:rPr>
                <w:sz w:val="16"/>
                <w:szCs w:val="16"/>
              </w:rPr>
            </w:pPr>
            <w:r>
              <w:rPr>
                <w:sz w:val="16"/>
                <w:szCs w:val="16"/>
              </w:rPr>
              <w:t>1025 N Irving Street</w:t>
            </w:r>
          </w:p>
        </w:tc>
      </w:tr>
      <w:tr w:rsidR="00F97D54" w:rsidRPr="00F43280" w:rsidTr="00EB5B97">
        <w:trPr>
          <w:trHeight w:val="432"/>
        </w:trPr>
        <w:tc>
          <w:tcPr>
            <w:tcW w:w="1772" w:type="dxa"/>
          </w:tcPr>
          <w:p w:rsidR="00F97D54" w:rsidRPr="00F43280" w:rsidRDefault="00F97D54" w:rsidP="00EB5B97">
            <w:pPr>
              <w:tabs>
                <w:tab w:val="left" w:pos="2022"/>
              </w:tabs>
              <w:rPr>
                <w:sz w:val="16"/>
                <w:szCs w:val="16"/>
              </w:rPr>
            </w:pPr>
            <w:r>
              <w:rPr>
                <w:sz w:val="16"/>
                <w:szCs w:val="16"/>
              </w:rPr>
              <w:t>City</w:t>
            </w:r>
          </w:p>
        </w:tc>
        <w:tc>
          <w:tcPr>
            <w:tcW w:w="4456" w:type="dxa"/>
          </w:tcPr>
          <w:p w:rsidR="00F97D54" w:rsidRPr="00F43280" w:rsidRDefault="00F97D54" w:rsidP="00EB5B97">
            <w:pPr>
              <w:rPr>
                <w:sz w:val="16"/>
                <w:szCs w:val="16"/>
              </w:rPr>
            </w:pPr>
            <w:r>
              <w:rPr>
                <w:sz w:val="16"/>
                <w:szCs w:val="16"/>
              </w:rPr>
              <w:t xml:space="preserve">City name for U.S. headquarters </w:t>
            </w:r>
          </w:p>
        </w:tc>
        <w:tc>
          <w:tcPr>
            <w:tcW w:w="1080" w:type="dxa"/>
          </w:tcPr>
          <w:p w:rsidR="00F97D54" w:rsidRPr="00F43280" w:rsidRDefault="00F97D54" w:rsidP="00EB5B97">
            <w:pPr>
              <w:rPr>
                <w:sz w:val="16"/>
                <w:szCs w:val="16"/>
              </w:rPr>
            </w:pPr>
            <w:r>
              <w:rPr>
                <w:sz w:val="16"/>
                <w:szCs w:val="16"/>
              </w:rPr>
              <w:t>Text</w:t>
            </w:r>
          </w:p>
        </w:tc>
        <w:tc>
          <w:tcPr>
            <w:tcW w:w="1530" w:type="dxa"/>
          </w:tcPr>
          <w:p w:rsidR="00F97D54" w:rsidRPr="00F43280" w:rsidRDefault="00F97D54" w:rsidP="00EB5B97">
            <w:pPr>
              <w:rPr>
                <w:sz w:val="16"/>
                <w:szCs w:val="16"/>
              </w:rPr>
            </w:pPr>
            <w:r>
              <w:rPr>
                <w:sz w:val="16"/>
                <w:szCs w:val="16"/>
              </w:rPr>
              <w:t>Springfield</w:t>
            </w:r>
          </w:p>
        </w:tc>
      </w:tr>
      <w:tr w:rsidR="00F97D54" w:rsidRPr="00F43280" w:rsidTr="00EB5B97">
        <w:trPr>
          <w:trHeight w:val="432"/>
        </w:trPr>
        <w:tc>
          <w:tcPr>
            <w:tcW w:w="1772" w:type="dxa"/>
          </w:tcPr>
          <w:p w:rsidR="00F97D54" w:rsidRPr="00F43280" w:rsidRDefault="00F97D54" w:rsidP="00EB5B97">
            <w:pPr>
              <w:tabs>
                <w:tab w:val="left" w:pos="2022"/>
              </w:tabs>
              <w:rPr>
                <w:sz w:val="16"/>
                <w:szCs w:val="16"/>
              </w:rPr>
            </w:pPr>
            <w:r>
              <w:rPr>
                <w:sz w:val="16"/>
                <w:szCs w:val="16"/>
              </w:rPr>
              <w:t>State</w:t>
            </w:r>
          </w:p>
        </w:tc>
        <w:tc>
          <w:tcPr>
            <w:tcW w:w="4456" w:type="dxa"/>
          </w:tcPr>
          <w:p w:rsidR="00F97D54" w:rsidRPr="00F43280" w:rsidRDefault="00F97D54" w:rsidP="00EB5B97">
            <w:pPr>
              <w:rPr>
                <w:sz w:val="16"/>
                <w:szCs w:val="16"/>
              </w:rPr>
            </w:pPr>
            <w:r>
              <w:rPr>
                <w:sz w:val="16"/>
                <w:szCs w:val="16"/>
              </w:rPr>
              <w:t xml:space="preserve">State name for U.S. headquarters </w:t>
            </w:r>
          </w:p>
        </w:tc>
        <w:tc>
          <w:tcPr>
            <w:tcW w:w="1080" w:type="dxa"/>
          </w:tcPr>
          <w:p w:rsidR="00F97D54" w:rsidRPr="00F43280" w:rsidRDefault="00F97D54" w:rsidP="00EB5B97">
            <w:pPr>
              <w:rPr>
                <w:sz w:val="16"/>
                <w:szCs w:val="16"/>
              </w:rPr>
            </w:pPr>
            <w:r>
              <w:rPr>
                <w:sz w:val="16"/>
                <w:szCs w:val="16"/>
              </w:rPr>
              <w:t>Text</w:t>
            </w:r>
          </w:p>
        </w:tc>
        <w:tc>
          <w:tcPr>
            <w:tcW w:w="1530" w:type="dxa"/>
          </w:tcPr>
          <w:p w:rsidR="00F97D54" w:rsidRPr="00F43280" w:rsidRDefault="00F97D54" w:rsidP="00EB5B97">
            <w:pPr>
              <w:rPr>
                <w:sz w:val="16"/>
                <w:szCs w:val="16"/>
              </w:rPr>
            </w:pPr>
            <w:r>
              <w:rPr>
                <w:sz w:val="16"/>
                <w:szCs w:val="16"/>
              </w:rPr>
              <w:t>Texas</w:t>
            </w:r>
          </w:p>
        </w:tc>
      </w:tr>
      <w:tr w:rsidR="00F97D54" w:rsidRPr="00F43280" w:rsidTr="00EB5B97">
        <w:trPr>
          <w:trHeight w:val="432"/>
        </w:trPr>
        <w:tc>
          <w:tcPr>
            <w:tcW w:w="1772" w:type="dxa"/>
          </w:tcPr>
          <w:p w:rsidR="00F97D54" w:rsidRPr="00F43280" w:rsidRDefault="00F97D54" w:rsidP="00EB5B97">
            <w:pPr>
              <w:tabs>
                <w:tab w:val="left" w:pos="2022"/>
              </w:tabs>
              <w:rPr>
                <w:sz w:val="16"/>
                <w:szCs w:val="16"/>
              </w:rPr>
            </w:pPr>
            <w:r>
              <w:rPr>
                <w:sz w:val="16"/>
                <w:szCs w:val="16"/>
              </w:rPr>
              <w:t>ZIP</w:t>
            </w:r>
          </w:p>
        </w:tc>
        <w:tc>
          <w:tcPr>
            <w:tcW w:w="4456" w:type="dxa"/>
          </w:tcPr>
          <w:p w:rsidR="00F97D54" w:rsidRPr="00F43280" w:rsidRDefault="00F97D54" w:rsidP="00EB5B97">
            <w:pPr>
              <w:rPr>
                <w:sz w:val="16"/>
                <w:szCs w:val="16"/>
              </w:rPr>
            </w:pPr>
            <w:r>
              <w:rPr>
                <w:sz w:val="16"/>
                <w:szCs w:val="16"/>
              </w:rPr>
              <w:t>5 digit ZIP code for current U.S. headquarters</w:t>
            </w:r>
          </w:p>
        </w:tc>
        <w:tc>
          <w:tcPr>
            <w:tcW w:w="1080" w:type="dxa"/>
          </w:tcPr>
          <w:p w:rsidR="00F97D54" w:rsidRDefault="00F97D54" w:rsidP="00EB5B97">
            <w:pPr>
              <w:rPr>
                <w:sz w:val="16"/>
                <w:szCs w:val="16"/>
              </w:rPr>
            </w:pPr>
            <w:r>
              <w:rPr>
                <w:sz w:val="16"/>
                <w:szCs w:val="16"/>
              </w:rPr>
              <w:t>Text</w:t>
            </w:r>
          </w:p>
        </w:tc>
        <w:tc>
          <w:tcPr>
            <w:tcW w:w="1530" w:type="dxa"/>
          </w:tcPr>
          <w:p w:rsidR="00F97D54" w:rsidRDefault="00F97D54" w:rsidP="00EB5B97">
            <w:pPr>
              <w:rPr>
                <w:sz w:val="16"/>
                <w:szCs w:val="16"/>
              </w:rPr>
            </w:pPr>
            <w:r>
              <w:rPr>
                <w:sz w:val="16"/>
                <w:szCs w:val="16"/>
              </w:rPr>
              <w:t>22201</w:t>
            </w:r>
          </w:p>
        </w:tc>
      </w:tr>
      <w:tr w:rsidR="00F97D54" w:rsidRPr="00F43280" w:rsidTr="00EB5B97">
        <w:trPr>
          <w:trHeight w:val="432"/>
        </w:trPr>
        <w:tc>
          <w:tcPr>
            <w:tcW w:w="1772" w:type="dxa"/>
          </w:tcPr>
          <w:p w:rsidR="00F97D54" w:rsidRDefault="00F97D54" w:rsidP="00EB5B97">
            <w:pPr>
              <w:tabs>
                <w:tab w:val="left" w:pos="2022"/>
              </w:tabs>
              <w:rPr>
                <w:sz w:val="16"/>
                <w:szCs w:val="16"/>
              </w:rPr>
            </w:pPr>
            <w:r>
              <w:rPr>
                <w:sz w:val="16"/>
                <w:szCs w:val="16"/>
              </w:rPr>
              <w:t>ZIP4</w:t>
            </w:r>
          </w:p>
        </w:tc>
        <w:tc>
          <w:tcPr>
            <w:tcW w:w="4456" w:type="dxa"/>
          </w:tcPr>
          <w:p w:rsidR="00F97D54" w:rsidRDefault="00F97D54" w:rsidP="00EB5B97">
            <w:pPr>
              <w:rPr>
                <w:sz w:val="16"/>
                <w:szCs w:val="16"/>
              </w:rPr>
            </w:pPr>
            <w:r>
              <w:rPr>
                <w:sz w:val="16"/>
                <w:szCs w:val="16"/>
              </w:rPr>
              <w:t>4-digit add-on code (with leading zeros) of address</w:t>
            </w:r>
          </w:p>
        </w:tc>
        <w:tc>
          <w:tcPr>
            <w:tcW w:w="1080" w:type="dxa"/>
          </w:tcPr>
          <w:p w:rsidR="00F97D54" w:rsidRDefault="00F97D54" w:rsidP="00EB5B97">
            <w:pPr>
              <w:rPr>
                <w:sz w:val="16"/>
                <w:szCs w:val="16"/>
              </w:rPr>
            </w:pPr>
            <w:r>
              <w:rPr>
                <w:sz w:val="16"/>
                <w:szCs w:val="16"/>
              </w:rPr>
              <w:t>Text</w:t>
            </w:r>
          </w:p>
        </w:tc>
        <w:tc>
          <w:tcPr>
            <w:tcW w:w="1530" w:type="dxa"/>
          </w:tcPr>
          <w:p w:rsidR="00F97D54" w:rsidRDefault="00F97D54" w:rsidP="00EB5B97">
            <w:pPr>
              <w:rPr>
                <w:sz w:val="16"/>
                <w:szCs w:val="16"/>
              </w:rPr>
            </w:pPr>
            <w:r>
              <w:rPr>
                <w:sz w:val="16"/>
                <w:szCs w:val="16"/>
              </w:rPr>
              <w:t>0005</w:t>
            </w:r>
          </w:p>
        </w:tc>
      </w:tr>
      <w:tr w:rsidR="00F97D54" w:rsidRPr="00F43280" w:rsidTr="00EB5B97">
        <w:trPr>
          <w:trHeight w:val="333"/>
        </w:trPr>
        <w:tc>
          <w:tcPr>
            <w:tcW w:w="1772" w:type="dxa"/>
            <w:tcBorders>
              <w:bottom w:val="double" w:sz="4" w:space="0" w:color="auto"/>
            </w:tcBorders>
          </w:tcPr>
          <w:p w:rsidR="00F97D54" w:rsidRPr="00F43280" w:rsidRDefault="00F97D54" w:rsidP="00EB5B97">
            <w:pPr>
              <w:tabs>
                <w:tab w:val="left" w:pos="2022"/>
              </w:tabs>
              <w:rPr>
                <w:sz w:val="16"/>
                <w:szCs w:val="16"/>
              </w:rPr>
            </w:pPr>
            <w:r>
              <w:rPr>
                <w:sz w:val="16"/>
                <w:szCs w:val="16"/>
              </w:rPr>
              <w:t>Year_Head</w:t>
            </w:r>
          </w:p>
        </w:tc>
        <w:tc>
          <w:tcPr>
            <w:tcW w:w="4456" w:type="dxa"/>
            <w:tcBorders>
              <w:bottom w:val="double" w:sz="4" w:space="0" w:color="auto"/>
            </w:tcBorders>
          </w:tcPr>
          <w:p w:rsidR="00F97D54" w:rsidRPr="00F43280" w:rsidRDefault="00F97D54" w:rsidP="00EB5B97">
            <w:pPr>
              <w:rPr>
                <w:sz w:val="16"/>
                <w:szCs w:val="16"/>
              </w:rPr>
            </w:pPr>
            <w:r>
              <w:rPr>
                <w:sz w:val="16"/>
                <w:szCs w:val="16"/>
              </w:rPr>
              <w:t xml:space="preserve">Year when U.S. headquarters of </w:t>
            </w:r>
            <w:r w:rsidRPr="0089281A">
              <w:rPr>
                <w:i/>
                <w:sz w:val="16"/>
                <w:szCs w:val="16"/>
              </w:rPr>
              <w:t>Affiliated Company</w:t>
            </w:r>
            <w:r>
              <w:rPr>
                <w:sz w:val="16"/>
                <w:szCs w:val="16"/>
              </w:rPr>
              <w:t xml:space="preserve"> was established</w:t>
            </w:r>
          </w:p>
        </w:tc>
        <w:tc>
          <w:tcPr>
            <w:tcW w:w="1080" w:type="dxa"/>
            <w:tcBorders>
              <w:bottom w:val="double" w:sz="4" w:space="0" w:color="auto"/>
            </w:tcBorders>
          </w:tcPr>
          <w:p w:rsidR="00F97D54" w:rsidRPr="00F43280" w:rsidRDefault="00F97D54" w:rsidP="00EB5B97">
            <w:pPr>
              <w:rPr>
                <w:sz w:val="16"/>
                <w:szCs w:val="16"/>
              </w:rPr>
            </w:pPr>
            <w:r>
              <w:rPr>
                <w:sz w:val="16"/>
                <w:szCs w:val="16"/>
              </w:rPr>
              <w:t>Year</w:t>
            </w:r>
          </w:p>
        </w:tc>
        <w:tc>
          <w:tcPr>
            <w:tcW w:w="1530" w:type="dxa"/>
            <w:tcBorders>
              <w:bottom w:val="double" w:sz="4" w:space="0" w:color="auto"/>
            </w:tcBorders>
          </w:tcPr>
          <w:p w:rsidR="00F97D54" w:rsidRPr="00F43280" w:rsidRDefault="00F97D54" w:rsidP="00EB5B97">
            <w:pPr>
              <w:rPr>
                <w:sz w:val="16"/>
                <w:szCs w:val="16"/>
              </w:rPr>
            </w:pPr>
            <w:r>
              <w:rPr>
                <w:sz w:val="16"/>
                <w:szCs w:val="16"/>
              </w:rPr>
              <w:t>2000</w:t>
            </w:r>
          </w:p>
        </w:tc>
      </w:tr>
    </w:tbl>
    <w:p w:rsidR="00F97D54" w:rsidRDefault="00F97D54" w:rsidP="00EB5B97"/>
    <w:p w:rsidR="00F97D54" w:rsidRDefault="00F97D54" w:rsidP="00EB5B97">
      <w:r>
        <w:t xml:space="preserve">Instructions for Table II.A.9.e-f, </w:t>
      </w:r>
      <w:r w:rsidRPr="008653B9">
        <w:t xml:space="preserve">Record Format for Headquarters for </w:t>
      </w:r>
      <w:r w:rsidRPr="008653B9">
        <w:rPr>
          <w:i/>
        </w:rPr>
        <w:t>Affiliated Companies</w:t>
      </w:r>
      <w:r w:rsidRPr="008653B9">
        <w:t>:</w:t>
      </w:r>
    </w:p>
    <w:p w:rsidR="009F2B22" w:rsidRPr="008653B9" w:rsidRDefault="009F2B22" w:rsidP="00EB5B97"/>
    <w:p w:rsidR="00F97D54" w:rsidRDefault="00F97D54" w:rsidP="00EB5B97">
      <w:pPr>
        <w:numPr>
          <w:ilvl w:val="0"/>
          <w:numId w:val="26"/>
        </w:numPr>
      </w:pPr>
      <w:r>
        <w:t xml:space="preserve">In the initial row of the table, you will identify an </w:t>
      </w:r>
      <w:r w:rsidRPr="006541D7">
        <w:rPr>
          <w:i/>
        </w:rPr>
        <w:t>Affiliated Company</w:t>
      </w:r>
      <w:r>
        <w:t xml:space="preserve"> and the current U.S. headquarters of the </w:t>
      </w:r>
      <w:r w:rsidRPr="006541D7">
        <w:rPr>
          <w:i/>
        </w:rPr>
        <w:t>Affiliated Company</w:t>
      </w:r>
      <w:r>
        <w:t xml:space="preserve">.  </w:t>
      </w:r>
    </w:p>
    <w:p w:rsidR="00F97D54" w:rsidRDefault="00F97D54" w:rsidP="00EB5B97">
      <w:pPr>
        <w:numPr>
          <w:ilvl w:val="0"/>
          <w:numId w:val="26"/>
        </w:numPr>
      </w:pPr>
      <w:r>
        <w:t xml:space="preserve">If the </w:t>
      </w:r>
      <w:r w:rsidRPr="006D4F68">
        <w:rPr>
          <w:i/>
        </w:rPr>
        <w:t>Affiliated Company</w:t>
      </w:r>
      <w:r>
        <w:t xml:space="preserve"> had a prior U.S. headquarters – going back to 1995 or the year of affiliation, whichever is earlier, then on the next row identify the same company name in the AffCompany_Name field and provide information on the prior headquarters.  If there is more than one prior headquarters for the </w:t>
      </w:r>
      <w:r w:rsidRPr="008B7A43">
        <w:rPr>
          <w:i/>
        </w:rPr>
        <w:t>Affiliated Company</w:t>
      </w:r>
      <w:r>
        <w:t xml:space="preserve">, going back to 1995 or the year of affiliation, whichever is earlier, then identify the prior headquarters in the subsequent rows.   </w:t>
      </w:r>
    </w:p>
    <w:p w:rsidR="00F97D54" w:rsidRDefault="00F97D54" w:rsidP="00EB5B97">
      <w:pPr>
        <w:numPr>
          <w:ilvl w:val="0"/>
          <w:numId w:val="26"/>
        </w:numPr>
      </w:pPr>
      <w:r>
        <w:t xml:space="preserve">Follow same reporting process for other </w:t>
      </w:r>
      <w:r w:rsidRPr="006D4F68">
        <w:rPr>
          <w:i/>
        </w:rPr>
        <w:t>Affiliated Companies</w:t>
      </w:r>
      <w:r>
        <w:t xml:space="preserve"> in the subsequent rows of the table. </w:t>
      </w:r>
    </w:p>
    <w:p w:rsidR="00F97D54" w:rsidRDefault="00F97D54" w:rsidP="00EB5B97">
      <w:pPr>
        <w:numPr>
          <w:ilvl w:val="0"/>
          <w:numId w:val="26"/>
        </w:numPr>
      </w:pPr>
      <w:r>
        <w:t xml:space="preserve">If you did not become affiliated with an </w:t>
      </w:r>
      <w:r w:rsidRPr="009B6FC4">
        <w:rPr>
          <w:i/>
        </w:rPr>
        <w:t>Affiliated Company</w:t>
      </w:r>
      <w:r>
        <w:t xml:space="preserve"> during the relevant reporting period, then you must still type “Not Applicable” in the AffCompany</w:t>
      </w:r>
      <w:r w:rsidRPr="00AB233E">
        <w:t>_Name</w:t>
      </w:r>
      <w:r>
        <w:t xml:space="preserve"> field and complete the remaining fields with zeros.  You will receive an error message upon validation of the data container if you do not put any information into these data fields.</w:t>
      </w:r>
    </w:p>
    <w:p w:rsidR="00F97D54" w:rsidRDefault="00F97D54" w:rsidP="00EB5B97"/>
    <w:p w:rsidR="00F97D54" w:rsidRPr="004820FF" w:rsidRDefault="00F97D54" w:rsidP="004820FF">
      <w:pPr>
        <w:pStyle w:val="Heading4"/>
        <w:numPr>
          <w:ilvl w:val="0"/>
          <w:numId w:val="0"/>
        </w:numPr>
        <w:rPr>
          <w:b w:val="0"/>
          <w:i/>
        </w:rPr>
      </w:pPr>
      <w:bookmarkStart w:id="100" w:name="_Toc365972089"/>
      <w:r w:rsidRPr="004820FF">
        <w:rPr>
          <w:b w:val="0"/>
          <w:i/>
        </w:rPr>
        <w:t>Question II.A.10:  Marketing Plans</w:t>
      </w:r>
      <w:bookmarkEnd w:id="100"/>
    </w:p>
    <w:p w:rsidR="00F97D54" w:rsidRDefault="00F97D54" w:rsidP="00EB5B97">
      <w:r>
        <w:t xml:space="preserve">You must upload all Word, Excel, and .pdf documents responding to this question through the Special Access Web Portal in the “Essay Questions – File Upload” section; you will not include these documents in the data container.  </w:t>
      </w:r>
    </w:p>
    <w:p w:rsidR="00F97D54" w:rsidRDefault="00F97D54" w:rsidP="00EB5B97"/>
    <w:p w:rsidR="00F97D54" w:rsidRPr="00E536A2" w:rsidRDefault="00F97D54" w:rsidP="0083344C">
      <w:pPr>
        <w:widowControl/>
        <w:rPr>
          <w:iCs/>
        </w:rPr>
      </w:pPr>
      <w:r>
        <w:t xml:space="preserve">The web portal contains two areas for uploading documents.  One is for uploading the “Confidential” version of the document where you </w:t>
      </w:r>
      <w:r>
        <w:rPr>
          <w:rStyle w:val="Emphasis"/>
          <w:i w:val="0"/>
        </w:rPr>
        <w:t xml:space="preserve">will indicate information deemed </w:t>
      </w:r>
      <w:r w:rsidRPr="00974151">
        <w:rPr>
          <w:rStyle w:val="Emphasis"/>
          <w:i w:val="0"/>
        </w:rPr>
        <w:t>Confidential</w:t>
      </w:r>
      <w:r>
        <w:rPr>
          <w:rStyle w:val="Emphasis"/>
          <w:i w:val="0"/>
        </w:rPr>
        <w:t xml:space="preserve"> and redact information that is </w:t>
      </w:r>
      <w:r w:rsidRPr="00974151">
        <w:rPr>
          <w:rStyle w:val="Emphasis"/>
          <w:i w:val="0"/>
        </w:rPr>
        <w:t>Highly Confidential</w:t>
      </w:r>
      <w:r>
        <w:rPr>
          <w:rStyle w:val="Emphasis"/>
          <w:i w:val="0"/>
        </w:rPr>
        <w:t xml:space="preserve"> based on the Protective Order issued for the data collection.  The second area is for uploading the “Highly Confidential” version of the document noting both </w:t>
      </w:r>
      <w:r w:rsidRPr="00974151">
        <w:rPr>
          <w:rStyle w:val="Emphasis"/>
          <w:i w:val="0"/>
        </w:rPr>
        <w:t>Confidential</w:t>
      </w:r>
      <w:r>
        <w:rPr>
          <w:rStyle w:val="Emphasis"/>
          <w:i w:val="0"/>
        </w:rPr>
        <w:t xml:space="preserve"> and </w:t>
      </w:r>
      <w:r w:rsidRPr="00974151">
        <w:rPr>
          <w:rStyle w:val="Emphasis"/>
          <w:i w:val="0"/>
        </w:rPr>
        <w:t>Highly Confidential</w:t>
      </w:r>
      <w:r>
        <w:rPr>
          <w:rStyle w:val="Emphasis"/>
          <w:i w:val="0"/>
        </w:rPr>
        <w:t xml:space="preserve"> information without any redactions.  You must upload at least one document in each area or you will receive an error message during the submission process.  If the document does not contain Confidential or Highly Confidential information, </w:t>
      </w:r>
      <w:r w:rsidRPr="00FF31E9">
        <w:rPr>
          <w:rStyle w:val="Emphasis"/>
        </w:rPr>
        <w:t>e.g.</w:t>
      </w:r>
      <w:r>
        <w:rPr>
          <w:rStyle w:val="Emphasis"/>
          <w:i w:val="0"/>
        </w:rPr>
        <w:t xml:space="preserve">, all information is publicly available, then upload the document in each area without the relevant Confidential/Highly Confidential notations or redactions in the case of the Confidential upload area.  </w:t>
      </w:r>
      <w:r>
        <w:t xml:space="preserve"> </w:t>
      </w:r>
    </w:p>
    <w:p w:rsidR="00F97D54" w:rsidRDefault="00F97D54" w:rsidP="00EB5B97">
      <w:pPr>
        <w:rPr>
          <w:b/>
          <w:i/>
          <w:sz w:val="20"/>
          <w:szCs w:val="22"/>
        </w:rPr>
      </w:pPr>
    </w:p>
    <w:p w:rsidR="00F97D54" w:rsidRPr="004820FF" w:rsidRDefault="00F97D54" w:rsidP="004820FF">
      <w:pPr>
        <w:pStyle w:val="Heading4"/>
        <w:numPr>
          <w:ilvl w:val="0"/>
          <w:numId w:val="0"/>
        </w:numPr>
        <w:rPr>
          <w:b w:val="0"/>
          <w:i/>
        </w:rPr>
      </w:pPr>
      <w:bookmarkStart w:id="101" w:name="_Toc365972090"/>
      <w:r w:rsidRPr="004820FF">
        <w:rPr>
          <w:b w:val="0"/>
          <w:i/>
        </w:rPr>
        <w:t>Question II.A.11:  Information on Requests for Proposals (RFPs)</w:t>
      </w:r>
      <w:bookmarkEnd w:id="101"/>
      <w:r w:rsidRPr="004820FF">
        <w:rPr>
          <w:b w:val="0"/>
          <w:i/>
        </w:rPr>
        <w:t xml:space="preserve">  </w:t>
      </w:r>
    </w:p>
    <w:p w:rsidR="00F97D54" w:rsidRDefault="00F97D54" w:rsidP="00EB5B97">
      <w:pPr>
        <w:rPr>
          <w:sz w:val="20"/>
          <w:szCs w:val="22"/>
        </w:rPr>
      </w:pPr>
    </w:p>
    <w:tbl>
      <w:tblPr>
        <w:tblW w:w="8838" w:type="dxa"/>
        <w:tblLook w:val="01E0" w:firstRow="1" w:lastRow="1" w:firstColumn="1" w:lastColumn="1" w:noHBand="0" w:noVBand="0"/>
      </w:tblPr>
      <w:tblGrid>
        <w:gridCol w:w="2679"/>
        <w:gridCol w:w="3823"/>
        <w:gridCol w:w="991"/>
        <w:gridCol w:w="1345"/>
      </w:tblGrid>
      <w:tr w:rsidR="00F97D54" w:rsidRPr="0063769F" w:rsidTr="00EB5B97">
        <w:trPr>
          <w:trHeight w:val="432"/>
          <w:tblHeader/>
        </w:trPr>
        <w:tc>
          <w:tcPr>
            <w:tcW w:w="8838" w:type="dxa"/>
            <w:gridSpan w:val="4"/>
            <w:tcBorders>
              <w:top w:val="double" w:sz="4" w:space="0" w:color="auto"/>
              <w:bottom w:val="single" w:sz="4" w:space="0" w:color="auto"/>
            </w:tcBorders>
            <w:vAlign w:val="center"/>
          </w:tcPr>
          <w:p w:rsidR="00F97D54" w:rsidRPr="005A4569" w:rsidRDefault="00F97D54" w:rsidP="00EB5B97">
            <w:pPr>
              <w:jc w:val="center"/>
              <w:rPr>
                <w:b/>
              </w:rPr>
            </w:pPr>
            <w:r>
              <w:rPr>
                <w:b/>
              </w:rPr>
              <w:t>Table II.A.11 Part 1</w:t>
            </w:r>
          </w:p>
          <w:p w:rsidR="00F97D54" w:rsidRPr="0063769F" w:rsidRDefault="00F97D54" w:rsidP="00EB5B97">
            <w:pPr>
              <w:jc w:val="center"/>
            </w:pPr>
            <w:r w:rsidRPr="005A4569">
              <w:rPr>
                <w:b/>
              </w:rPr>
              <w:t>Record Format for RFPs</w:t>
            </w:r>
          </w:p>
        </w:tc>
      </w:tr>
      <w:tr w:rsidR="00F97D54" w:rsidRPr="0063769F" w:rsidTr="00EB5B97">
        <w:trPr>
          <w:trHeight w:val="432"/>
          <w:tblHeader/>
        </w:trPr>
        <w:tc>
          <w:tcPr>
            <w:tcW w:w="2679" w:type="dxa"/>
            <w:tcBorders>
              <w:top w:val="single" w:sz="4" w:space="0" w:color="auto"/>
              <w:bottom w:val="single" w:sz="4" w:space="0" w:color="auto"/>
              <w:right w:val="single" w:sz="4" w:space="0" w:color="auto"/>
            </w:tcBorders>
            <w:vAlign w:val="center"/>
          </w:tcPr>
          <w:p w:rsidR="00F97D54" w:rsidRPr="0063769F" w:rsidRDefault="00F97D54" w:rsidP="00EB5B97">
            <w:pPr>
              <w:rPr>
                <w:b/>
                <w:sz w:val="18"/>
                <w:szCs w:val="18"/>
              </w:rPr>
            </w:pPr>
            <w:r w:rsidRPr="0063769F">
              <w:rPr>
                <w:b/>
                <w:sz w:val="18"/>
                <w:szCs w:val="18"/>
              </w:rPr>
              <w:t>Field Name</w:t>
            </w:r>
          </w:p>
        </w:tc>
        <w:tc>
          <w:tcPr>
            <w:tcW w:w="3823" w:type="dxa"/>
            <w:tcBorders>
              <w:top w:val="single" w:sz="4" w:space="0" w:color="auto"/>
              <w:left w:val="single" w:sz="4" w:space="0" w:color="auto"/>
              <w:bottom w:val="single" w:sz="4" w:space="0" w:color="auto"/>
              <w:right w:val="single" w:sz="4" w:space="0" w:color="auto"/>
            </w:tcBorders>
            <w:vAlign w:val="center"/>
          </w:tcPr>
          <w:p w:rsidR="00F97D54" w:rsidRPr="0063769F" w:rsidRDefault="00F97D54" w:rsidP="00EB5B97">
            <w:pPr>
              <w:rPr>
                <w:b/>
                <w:sz w:val="18"/>
                <w:szCs w:val="18"/>
              </w:rPr>
            </w:pPr>
            <w:r w:rsidRPr="0063769F">
              <w:rPr>
                <w:b/>
                <w:sz w:val="18"/>
                <w:szCs w:val="18"/>
              </w:rPr>
              <w:t>Description</w:t>
            </w:r>
          </w:p>
        </w:tc>
        <w:tc>
          <w:tcPr>
            <w:tcW w:w="991" w:type="dxa"/>
            <w:tcBorders>
              <w:top w:val="single" w:sz="4" w:space="0" w:color="auto"/>
              <w:left w:val="single" w:sz="4" w:space="0" w:color="auto"/>
              <w:bottom w:val="single" w:sz="4" w:space="0" w:color="auto"/>
              <w:right w:val="single" w:sz="4" w:space="0" w:color="auto"/>
            </w:tcBorders>
            <w:vAlign w:val="center"/>
          </w:tcPr>
          <w:p w:rsidR="00F97D54" w:rsidRPr="0063769F" w:rsidRDefault="00F97D54" w:rsidP="00EB5B97">
            <w:pPr>
              <w:rPr>
                <w:b/>
                <w:sz w:val="18"/>
                <w:szCs w:val="18"/>
              </w:rPr>
            </w:pPr>
            <w:r w:rsidRPr="0063769F">
              <w:rPr>
                <w:b/>
                <w:sz w:val="18"/>
                <w:szCs w:val="18"/>
              </w:rPr>
              <w:t>Type</w:t>
            </w:r>
          </w:p>
        </w:tc>
        <w:tc>
          <w:tcPr>
            <w:tcW w:w="1345" w:type="dxa"/>
            <w:tcBorders>
              <w:top w:val="single" w:sz="4" w:space="0" w:color="auto"/>
              <w:left w:val="single" w:sz="4" w:space="0" w:color="auto"/>
              <w:bottom w:val="single" w:sz="4" w:space="0" w:color="auto"/>
            </w:tcBorders>
            <w:vAlign w:val="center"/>
          </w:tcPr>
          <w:p w:rsidR="00F97D54" w:rsidRPr="0063769F" w:rsidRDefault="00F97D54" w:rsidP="00EB5B97">
            <w:pPr>
              <w:ind w:right="-108"/>
              <w:rPr>
                <w:b/>
                <w:sz w:val="18"/>
                <w:szCs w:val="18"/>
              </w:rPr>
            </w:pPr>
            <w:r w:rsidRPr="0063769F">
              <w:rPr>
                <w:b/>
                <w:sz w:val="18"/>
                <w:szCs w:val="18"/>
              </w:rPr>
              <w:t>Example</w:t>
            </w:r>
          </w:p>
        </w:tc>
      </w:tr>
      <w:tr w:rsidR="00F97D54" w:rsidRPr="00551AAF" w:rsidTr="00EB5B97">
        <w:trPr>
          <w:trHeight w:val="360"/>
        </w:trPr>
        <w:tc>
          <w:tcPr>
            <w:tcW w:w="2679" w:type="dxa"/>
          </w:tcPr>
          <w:p w:rsidR="00F97D54" w:rsidRDefault="00F97D54" w:rsidP="00EB5B97">
            <w:pPr>
              <w:rPr>
                <w:sz w:val="16"/>
                <w:szCs w:val="16"/>
              </w:rPr>
            </w:pPr>
            <w:r>
              <w:rPr>
                <w:sz w:val="16"/>
                <w:szCs w:val="16"/>
              </w:rPr>
              <w:t>RFP_Type</w:t>
            </w:r>
          </w:p>
        </w:tc>
        <w:tc>
          <w:tcPr>
            <w:tcW w:w="3823" w:type="dxa"/>
          </w:tcPr>
          <w:p w:rsidR="00F97D54" w:rsidRDefault="00F97D54" w:rsidP="00EB5B97">
            <w:pPr>
              <w:rPr>
                <w:sz w:val="16"/>
                <w:szCs w:val="16"/>
              </w:rPr>
            </w:pPr>
            <w:r>
              <w:rPr>
                <w:sz w:val="16"/>
                <w:szCs w:val="16"/>
              </w:rPr>
              <w:t>Number 1-6 as follows:</w:t>
            </w:r>
          </w:p>
          <w:p w:rsidR="00F97D54" w:rsidRPr="00397F83" w:rsidRDefault="00F97D54" w:rsidP="00EB5B97">
            <w:pPr>
              <w:rPr>
                <w:sz w:val="16"/>
                <w:szCs w:val="16"/>
              </w:rPr>
            </w:pPr>
            <w:r>
              <w:rPr>
                <w:sz w:val="16"/>
                <w:szCs w:val="16"/>
              </w:rPr>
              <w:t>1=</w:t>
            </w:r>
            <w:r w:rsidRPr="00397F83">
              <w:rPr>
                <w:b/>
              </w:rPr>
              <w:t xml:space="preserve"> </w:t>
            </w:r>
            <w:r>
              <w:rPr>
                <w:sz w:val="16"/>
                <w:szCs w:val="16"/>
              </w:rPr>
              <w:t>Most recent RFP</w:t>
            </w:r>
          </w:p>
          <w:p w:rsidR="00F97D54" w:rsidRDefault="00F97D54" w:rsidP="00EB5B97">
            <w:pPr>
              <w:rPr>
                <w:i/>
                <w:sz w:val="16"/>
                <w:szCs w:val="16"/>
              </w:rPr>
            </w:pPr>
            <w:r>
              <w:rPr>
                <w:sz w:val="16"/>
                <w:szCs w:val="16"/>
              </w:rPr>
              <w:t>w</w:t>
            </w:r>
            <w:r w:rsidRPr="00397F83">
              <w:rPr>
                <w:sz w:val="16"/>
                <w:szCs w:val="16"/>
              </w:rPr>
              <w:t>on for t</w:t>
            </w:r>
            <w:r>
              <w:rPr>
                <w:sz w:val="16"/>
                <w:szCs w:val="16"/>
              </w:rPr>
              <w:t>he p</w:t>
            </w:r>
            <w:r w:rsidRPr="00397F83">
              <w:rPr>
                <w:sz w:val="16"/>
                <w:szCs w:val="16"/>
              </w:rPr>
              <w:t xml:space="preserve">rovision of </w:t>
            </w:r>
            <w:r w:rsidRPr="00397F83">
              <w:rPr>
                <w:i/>
                <w:sz w:val="16"/>
                <w:szCs w:val="16"/>
              </w:rPr>
              <w:t>Dedicated Services</w:t>
            </w:r>
          </w:p>
          <w:p w:rsidR="00F97D54" w:rsidRPr="00397F83" w:rsidRDefault="00F97D54" w:rsidP="00EB5B97">
            <w:pPr>
              <w:tabs>
                <w:tab w:val="center" w:pos="1803"/>
              </w:tabs>
              <w:rPr>
                <w:bCs/>
                <w:sz w:val="16"/>
                <w:szCs w:val="16"/>
              </w:rPr>
            </w:pPr>
            <w:r>
              <w:rPr>
                <w:sz w:val="16"/>
                <w:szCs w:val="16"/>
              </w:rPr>
              <w:t xml:space="preserve">2= </w:t>
            </w:r>
            <w:r>
              <w:rPr>
                <w:bCs/>
                <w:sz w:val="16"/>
                <w:szCs w:val="16"/>
              </w:rPr>
              <w:t>Most recent RFP</w:t>
            </w:r>
            <w:r w:rsidRPr="00397F83">
              <w:rPr>
                <w:bCs/>
                <w:sz w:val="16"/>
                <w:szCs w:val="16"/>
              </w:rPr>
              <w:t xml:space="preserve"> </w:t>
            </w:r>
          </w:p>
          <w:p w:rsidR="00F97D54" w:rsidRDefault="00F97D54" w:rsidP="00EB5B97">
            <w:pPr>
              <w:tabs>
                <w:tab w:val="center" w:pos="1803"/>
              </w:tabs>
              <w:rPr>
                <w:bCs/>
                <w:i/>
                <w:sz w:val="16"/>
                <w:szCs w:val="16"/>
              </w:rPr>
            </w:pPr>
            <w:r>
              <w:rPr>
                <w:bCs/>
                <w:sz w:val="16"/>
                <w:szCs w:val="16"/>
              </w:rPr>
              <w:t>w</w:t>
            </w:r>
            <w:r w:rsidRPr="00397F83">
              <w:rPr>
                <w:bCs/>
                <w:sz w:val="16"/>
                <w:szCs w:val="16"/>
              </w:rPr>
              <w:t>on for t</w:t>
            </w:r>
            <w:r>
              <w:rPr>
                <w:bCs/>
                <w:sz w:val="16"/>
                <w:szCs w:val="16"/>
              </w:rPr>
              <w:t>he p</w:t>
            </w:r>
            <w:r w:rsidRPr="00397F83">
              <w:rPr>
                <w:bCs/>
                <w:sz w:val="16"/>
                <w:szCs w:val="16"/>
              </w:rPr>
              <w:t xml:space="preserve">rovision of </w:t>
            </w:r>
            <w:r w:rsidRPr="00397F83">
              <w:rPr>
                <w:bCs/>
                <w:i/>
                <w:sz w:val="16"/>
                <w:szCs w:val="16"/>
              </w:rPr>
              <w:t>Best Efforts Business Broadband Internet Access Services</w:t>
            </w:r>
          </w:p>
          <w:p w:rsidR="00F97D54" w:rsidRDefault="00F97D54" w:rsidP="00EB5B97">
            <w:pPr>
              <w:tabs>
                <w:tab w:val="center" w:pos="1803"/>
              </w:tabs>
              <w:rPr>
                <w:bCs/>
                <w:sz w:val="16"/>
                <w:szCs w:val="16"/>
              </w:rPr>
            </w:pPr>
            <w:r>
              <w:rPr>
                <w:bCs/>
                <w:sz w:val="16"/>
                <w:szCs w:val="16"/>
              </w:rPr>
              <w:t>3=</w:t>
            </w:r>
            <w:r w:rsidRPr="00397F83">
              <w:rPr>
                <w:b/>
                <w:bCs/>
              </w:rPr>
              <w:t xml:space="preserve"> </w:t>
            </w:r>
            <w:r>
              <w:rPr>
                <w:bCs/>
                <w:sz w:val="16"/>
                <w:szCs w:val="16"/>
              </w:rPr>
              <w:t>Most recent RFP</w:t>
            </w:r>
            <w:r w:rsidRPr="00397F83">
              <w:rPr>
                <w:bCs/>
                <w:sz w:val="16"/>
                <w:szCs w:val="16"/>
              </w:rPr>
              <w:t xml:space="preserve"> </w:t>
            </w:r>
            <w:r>
              <w:rPr>
                <w:bCs/>
                <w:sz w:val="16"/>
                <w:szCs w:val="16"/>
              </w:rPr>
              <w:t xml:space="preserve"> w</w:t>
            </w:r>
            <w:r w:rsidRPr="00397F83">
              <w:rPr>
                <w:bCs/>
                <w:sz w:val="16"/>
                <w:szCs w:val="16"/>
              </w:rPr>
              <w:t>on for t</w:t>
            </w:r>
            <w:r>
              <w:rPr>
                <w:bCs/>
                <w:sz w:val="16"/>
                <w:szCs w:val="16"/>
              </w:rPr>
              <w:t>he provision of other high-capacity data services to business c</w:t>
            </w:r>
            <w:r w:rsidRPr="00397F83">
              <w:rPr>
                <w:bCs/>
                <w:sz w:val="16"/>
                <w:szCs w:val="16"/>
              </w:rPr>
              <w:t>ustomers</w:t>
            </w:r>
          </w:p>
          <w:p w:rsidR="00F97D54" w:rsidRDefault="00F97D54" w:rsidP="00EB5B97">
            <w:pPr>
              <w:tabs>
                <w:tab w:val="center" w:pos="1803"/>
              </w:tabs>
              <w:rPr>
                <w:bCs/>
                <w:sz w:val="16"/>
                <w:szCs w:val="16"/>
              </w:rPr>
            </w:pPr>
            <w:r>
              <w:rPr>
                <w:bCs/>
                <w:sz w:val="16"/>
                <w:szCs w:val="16"/>
              </w:rPr>
              <w:t>4=</w:t>
            </w:r>
            <w:r w:rsidRPr="00135F91">
              <w:rPr>
                <w:b/>
                <w:bCs/>
              </w:rPr>
              <w:t xml:space="preserve"> </w:t>
            </w:r>
            <w:r w:rsidRPr="00135F91">
              <w:rPr>
                <w:bCs/>
                <w:sz w:val="16"/>
                <w:szCs w:val="16"/>
              </w:rPr>
              <w:t xml:space="preserve">Largest RFPs </w:t>
            </w:r>
            <w:r>
              <w:rPr>
                <w:bCs/>
                <w:sz w:val="16"/>
                <w:szCs w:val="16"/>
              </w:rPr>
              <w:t>where you unsuccessfully submitted b</w:t>
            </w:r>
            <w:r w:rsidRPr="00135F91">
              <w:rPr>
                <w:bCs/>
                <w:sz w:val="16"/>
                <w:szCs w:val="16"/>
              </w:rPr>
              <w:t>ids in t</w:t>
            </w:r>
            <w:r>
              <w:rPr>
                <w:bCs/>
                <w:sz w:val="16"/>
                <w:szCs w:val="16"/>
              </w:rPr>
              <w:t>he 2010-2012 t</w:t>
            </w:r>
            <w:r w:rsidRPr="00135F91">
              <w:rPr>
                <w:bCs/>
                <w:sz w:val="16"/>
                <w:szCs w:val="16"/>
              </w:rPr>
              <w:t>imeframe for t</w:t>
            </w:r>
            <w:r>
              <w:rPr>
                <w:bCs/>
                <w:sz w:val="16"/>
                <w:szCs w:val="16"/>
              </w:rPr>
              <w:t>he p</w:t>
            </w:r>
            <w:r w:rsidRPr="00135F91">
              <w:rPr>
                <w:bCs/>
                <w:sz w:val="16"/>
                <w:szCs w:val="16"/>
              </w:rPr>
              <w:t xml:space="preserve">rovision of </w:t>
            </w:r>
            <w:r w:rsidRPr="00135F91">
              <w:rPr>
                <w:bCs/>
                <w:i/>
                <w:sz w:val="16"/>
                <w:szCs w:val="16"/>
              </w:rPr>
              <w:t>Dedicated Services</w:t>
            </w:r>
          </w:p>
          <w:p w:rsidR="00F97D54" w:rsidRDefault="00F97D54" w:rsidP="00EB5B97">
            <w:pPr>
              <w:tabs>
                <w:tab w:val="center" w:pos="1803"/>
              </w:tabs>
              <w:rPr>
                <w:bCs/>
                <w:sz w:val="16"/>
                <w:szCs w:val="16"/>
              </w:rPr>
            </w:pPr>
            <w:r>
              <w:rPr>
                <w:bCs/>
                <w:sz w:val="16"/>
                <w:szCs w:val="16"/>
              </w:rPr>
              <w:t xml:space="preserve">5= </w:t>
            </w:r>
            <w:r w:rsidRPr="00135F91">
              <w:rPr>
                <w:bCs/>
                <w:sz w:val="16"/>
                <w:szCs w:val="16"/>
              </w:rPr>
              <w:t xml:space="preserve">Largest RFPs </w:t>
            </w:r>
            <w:r>
              <w:rPr>
                <w:bCs/>
                <w:sz w:val="16"/>
                <w:szCs w:val="16"/>
              </w:rPr>
              <w:t>where you unsuccessfully submitted b</w:t>
            </w:r>
            <w:r w:rsidRPr="00135F91">
              <w:rPr>
                <w:bCs/>
                <w:sz w:val="16"/>
                <w:szCs w:val="16"/>
              </w:rPr>
              <w:t>ids in t</w:t>
            </w:r>
            <w:r>
              <w:rPr>
                <w:bCs/>
                <w:sz w:val="16"/>
                <w:szCs w:val="16"/>
              </w:rPr>
              <w:t>he 2010-2012 t</w:t>
            </w:r>
            <w:r w:rsidRPr="00135F91">
              <w:rPr>
                <w:bCs/>
                <w:sz w:val="16"/>
                <w:szCs w:val="16"/>
              </w:rPr>
              <w:t>imeframe for t</w:t>
            </w:r>
            <w:r>
              <w:rPr>
                <w:bCs/>
                <w:sz w:val="16"/>
                <w:szCs w:val="16"/>
              </w:rPr>
              <w:t>he p</w:t>
            </w:r>
            <w:r w:rsidRPr="00135F91">
              <w:rPr>
                <w:bCs/>
                <w:sz w:val="16"/>
                <w:szCs w:val="16"/>
              </w:rPr>
              <w:t>rovision of</w:t>
            </w:r>
            <w:r>
              <w:rPr>
                <w:bCs/>
                <w:sz w:val="16"/>
                <w:szCs w:val="16"/>
              </w:rPr>
              <w:t xml:space="preserve"> </w:t>
            </w:r>
            <w:r w:rsidRPr="00397F83">
              <w:rPr>
                <w:bCs/>
                <w:i/>
                <w:sz w:val="16"/>
                <w:szCs w:val="16"/>
              </w:rPr>
              <w:t>Best Efforts Business Broadband Internet Access Services</w:t>
            </w:r>
          </w:p>
          <w:p w:rsidR="00F97D54" w:rsidRPr="00135F91" w:rsidRDefault="00F97D54" w:rsidP="00EB5B97">
            <w:pPr>
              <w:tabs>
                <w:tab w:val="center" w:pos="1803"/>
              </w:tabs>
              <w:rPr>
                <w:bCs/>
                <w:sz w:val="16"/>
                <w:szCs w:val="16"/>
              </w:rPr>
            </w:pPr>
            <w:r>
              <w:rPr>
                <w:bCs/>
                <w:sz w:val="16"/>
                <w:szCs w:val="16"/>
              </w:rPr>
              <w:t xml:space="preserve">6= </w:t>
            </w:r>
            <w:r w:rsidRPr="00135F91">
              <w:rPr>
                <w:bCs/>
                <w:sz w:val="16"/>
                <w:szCs w:val="16"/>
              </w:rPr>
              <w:t xml:space="preserve">Largest RFPs </w:t>
            </w:r>
            <w:r>
              <w:rPr>
                <w:bCs/>
                <w:sz w:val="16"/>
                <w:szCs w:val="16"/>
              </w:rPr>
              <w:t>where you unsuccessfully submitted b</w:t>
            </w:r>
            <w:r w:rsidRPr="00135F91">
              <w:rPr>
                <w:bCs/>
                <w:sz w:val="16"/>
                <w:szCs w:val="16"/>
              </w:rPr>
              <w:t>ids in t</w:t>
            </w:r>
            <w:r>
              <w:rPr>
                <w:bCs/>
                <w:sz w:val="16"/>
                <w:szCs w:val="16"/>
              </w:rPr>
              <w:t>he 2010-2012 t</w:t>
            </w:r>
            <w:r w:rsidRPr="00135F91">
              <w:rPr>
                <w:bCs/>
                <w:sz w:val="16"/>
                <w:szCs w:val="16"/>
              </w:rPr>
              <w:t>imeframe for t</w:t>
            </w:r>
            <w:r>
              <w:rPr>
                <w:bCs/>
                <w:sz w:val="16"/>
                <w:szCs w:val="16"/>
              </w:rPr>
              <w:t>he p</w:t>
            </w:r>
            <w:r w:rsidRPr="00135F91">
              <w:rPr>
                <w:bCs/>
                <w:sz w:val="16"/>
                <w:szCs w:val="16"/>
              </w:rPr>
              <w:t>rovision of</w:t>
            </w:r>
            <w:r>
              <w:rPr>
                <w:bCs/>
                <w:sz w:val="16"/>
                <w:szCs w:val="16"/>
              </w:rPr>
              <w:t xml:space="preserve"> other high-capacity data services to business c</w:t>
            </w:r>
            <w:r w:rsidRPr="00397F83">
              <w:rPr>
                <w:bCs/>
                <w:sz w:val="16"/>
                <w:szCs w:val="16"/>
              </w:rPr>
              <w:t>ustomers</w:t>
            </w:r>
          </w:p>
          <w:p w:rsidR="00F97D54" w:rsidRPr="00397F83" w:rsidRDefault="00F97D54" w:rsidP="00EB5B97">
            <w:pPr>
              <w:tabs>
                <w:tab w:val="center" w:pos="1803"/>
              </w:tabs>
              <w:rPr>
                <w:sz w:val="16"/>
                <w:szCs w:val="16"/>
              </w:rPr>
            </w:pPr>
          </w:p>
        </w:tc>
        <w:tc>
          <w:tcPr>
            <w:tcW w:w="991" w:type="dxa"/>
          </w:tcPr>
          <w:p w:rsidR="00F97D54" w:rsidRDefault="00F97D54" w:rsidP="00EB5B97">
            <w:pPr>
              <w:rPr>
                <w:sz w:val="16"/>
                <w:szCs w:val="16"/>
              </w:rPr>
            </w:pPr>
            <w:r>
              <w:rPr>
                <w:sz w:val="16"/>
                <w:szCs w:val="16"/>
              </w:rPr>
              <w:t>Integer</w:t>
            </w:r>
          </w:p>
        </w:tc>
        <w:tc>
          <w:tcPr>
            <w:tcW w:w="1345" w:type="dxa"/>
          </w:tcPr>
          <w:p w:rsidR="00F97D54" w:rsidRDefault="00F97D54" w:rsidP="00EB5B97">
            <w:pPr>
              <w:rPr>
                <w:sz w:val="16"/>
                <w:szCs w:val="16"/>
              </w:rPr>
            </w:pPr>
            <w:r>
              <w:rPr>
                <w:sz w:val="16"/>
                <w:szCs w:val="16"/>
              </w:rPr>
              <w:t>1</w:t>
            </w:r>
          </w:p>
        </w:tc>
      </w:tr>
      <w:tr w:rsidR="00F97D54" w:rsidRPr="00551AAF" w:rsidTr="00EB5B97">
        <w:trPr>
          <w:trHeight w:val="360"/>
        </w:trPr>
        <w:tc>
          <w:tcPr>
            <w:tcW w:w="2679" w:type="dxa"/>
          </w:tcPr>
          <w:p w:rsidR="00F97D54" w:rsidRDefault="00F97D54" w:rsidP="00EB5B97">
            <w:pPr>
              <w:rPr>
                <w:sz w:val="16"/>
                <w:szCs w:val="16"/>
              </w:rPr>
            </w:pPr>
            <w:r>
              <w:rPr>
                <w:sz w:val="16"/>
                <w:szCs w:val="16"/>
              </w:rPr>
              <w:t>RFP_Number</w:t>
            </w:r>
          </w:p>
        </w:tc>
        <w:tc>
          <w:tcPr>
            <w:tcW w:w="3823" w:type="dxa"/>
          </w:tcPr>
          <w:p w:rsidR="00F97D54" w:rsidRDefault="00F97D54" w:rsidP="00EB5B97">
            <w:pPr>
              <w:rPr>
                <w:sz w:val="16"/>
                <w:szCs w:val="16"/>
              </w:rPr>
            </w:pPr>
            <w:r>
              <w:rPr>
                <w:sz w:val="16"/>
                <w:szCs w:val="16"/>
              </w:rPr>
              <w:t>Sequential number 1-5</w:t>
            </w:r>
          </w:p>
        </w:tc>
        <w:tc>
          <w:tcPr>
            <w:tcW w:w="991" w:type="dxa"/>
          </w:tcPr>
          <w:p w:rsidR="00F97D54" w:rsidRDefault="00F97D54" w:rsidP="00EB5B97">
            <w:pPr>
              <w:rPr>
                <w:sz w:val="16"/>
                <w:szCs w:val="16"/>
              </w:rPr>
            </w:pPr>
            <w:r>
              <w:rPr>
                <w:sz w:val="16"/>
                <w:szCs w:val="16"/>
              </w:rPr>
              <w:t>Integer</w:t>
            </w:r>
          </w:p>
        </w:tc>
        <w:tc>
          <w:tcPr>
            <w:tcW w:w="1345" w:type="dxa"/>
          </w:tcPr>
          <w:p w:rsidR="00F97D54" w:rsidRDefault="00F97D54" w:rsidP="00EB5B97">
            <w:pPr>
              <w:rPr>
                <w:sz w:val="16"/>
                <w:szCs w:val="16"/>
              </w:rPr>
            </w:pPr>
            <w:r>
              <w:rPr>
                <w:sz w:val="16"/>
                <w:szCs w:val="16"/>
              </w:rPr>
              <w:t>1</w:t>
            </w:r>
          </w:p>
        </w:tc>
      </w:tr>
      <w:tr w:rsidR="00F97D54" w:rsidRPr="00551AAF" w:rsidTr="00EB5B97">
        <w:trPr>
          <w:trHeight w:val="360"/>
        </w:trPr>
        <w:tc>
          <w:tcPr>
            <w:tcW w:w="2679" w:type="dxa"/>
          </w:tcPr>
          <w:p w:rsidR="00F97D54" w:rsidRPr="001123A2" w:rsidRDefault="00F97D54" w:rsidP="00EB5B97">
            <w:pPr>
              <w:rPr>
                <w:sz w:val="16"/>
                <w:szCs w:val="16"/>
              </w:rPr>
            </w:pPr>
            <w:r>
              <w:rPr>
                <w:sz w:val="16"/>
                <w:szCs w:val="16"/>
              </w:rPr>
              <w:t>RFP_</w:t>
            </w:r>
            <w:r w:rsidRPr="001123A2">
              <w:rPr>
                <w:sz w:val="16"/>
                <w:szCs w:val="16"/>
              </w:rPr>
              <w:t>Name</w:t>
            </w:r>
          </w:p>
          <w:p w:rsidR="00F97D54" w:rsidRDefault="00F97D54" w:rsidP="00EB5B97">
            <w:pPr>
              <w:rPr>
                <w:sz w:val="16"/>
                <w:szCs w:val="16"/>
              </w:rPr>
            </w:pPr>
          </w:p>
        </w:tc>
        <w:tc>
          <w:tcPr>
            <w:tcW w:w="3823" w:type="dxa"/>
          </w:tcPr>
          <w:p w:rsidR="00F97D54" w:rsidRDefault="00F97D54" w:rsidP="00EB5B97">
            <w:pPr>
              <w:rPr>
                <w:sz w:val="16"/>
                <w:szCs w:val="16"/>
              </w:rPr>
            </w:pPr>
            <w:r>
              <w:rPr>
                <w:sz w:val="16"/>
                <w:szCs w:val="16"/>
              </w:rPr>
              <w:t>Name of RFP</w:t>
            </w:r>
          </w:p>
        </w:tc>
        <w:tc>
          <w:tcPr>
            <w:tcW w:w="991" w:type="dxa"/>
          </w:tcPr>
          <w:p w:rsidR="00F97D54" w:rsidRDefault="00F97D54" w:rsidP="00EB5B97">
            <w:pPr>
              <w:rPr>
                <w:sz w:val="16"/>
                <w:szCs w:val="16"/>
              </w:rPr>
            </w:pPr>
            <w:r>
              <w:rPr>
                <w:sz w:val="16"/>
                <w:szCs w:val="16"/>
              </w:rPr>
              <w:t>Text</w:t>
            </w:r>
          </w:p>
        </w:tc>
        <w:tc>
          <w:tcPr>
            <w:tcW w:w="1345" w:type="dxa"/>
          </w:tcPr>
          <w:p w:rsidR="00F97D54" w:rsidRDefault="00F97D54" w:rsidP="00EB5B97">
            <w:pPr>
              <w:rPr>
                <w:sz w:val="16"/>
                <w:szCs w:val="16"/>
              </w:rPr>
            </w:pPr>
            <w:r>
              <w:rPr>
                <w:sz w:val="16"/>
                <w:szCs w:val="16"/>
              </w:rPr>
              <w:t>ADA Greenfield</w:t>
            </w:r>
          </w:p>
        </w:tc>
      </w:tr>
      <w:tr w:rsidR="00F97D54" w:rsidRPr="00551AAF" w:rsidTr="00EB5B97">
        <w:trPr>
          <w:trHeight w:val="360"/>
        </w:trPr>
        <w:tc>
          <w:tcPr>
            <w:tcW w:w="2679" w:type="dxa"/>
          </w:tcPr>
          <w:p w:rsidR="00F97D54" w:rsidRPr="001123A2" w:rsidRDefault="00F97D54" w:rsidP="00EB5B97">
            <w:pPr>
              <w:rPr>
                <w:sz w:val="16"/>
                <w:szCs w:val="16"/>
              </w:rPr>
            </w:pPr>
            <w:r w:rsidRPr="001123A2">
              <w:rPr>
                <w:sz w:val="16"/>
                <w:szCs w:val="16"/>
              </w:rPr>
              <w:t>RFP</w:t>
            </w:r>
            <w:r>
              <w:rPr>
                <w:sz w:val="16"/>
                <w:szCs w:val="16"/>
              </w:rPr>
              <w:t>_</w:t>
            </w:r>
            <w:r w:rsidRPr="001123A2">
              <w:rPr>
                <w:sz w:val="16"/>
                <w:szCs w:val="16"/>
              </w:rPr>
              <w:t>Description</w:t>
            </w:r>
          </w:p>
          <w:p w:rsidR="00F97D54" w:rsidRDefault="00F97D54" w:rsidP="00EB5B97">
            <w:pPr>
              <w:rPr>
                <w:sz w:val="16"/>
                <w:szCs w:val="16"/>
              </w:rPr>
            </w:pPr>
          </w:p>
        </w:tc>
        <w:tc>
          <w:tcPr>
            <w:tcW w:w="3823" w:type="dxa"/>
          </w:tcPr>
          <w:p w:rsidR="00F97D54" w:rsidRPr="009924C9" w:rsidRDefault="00F97D54" w:rsidP="00EB5B97">
            <w:pPr>
              <w:rPr>
                <w:sz w:val="16"/>
                <w:szCs w:val="16"/>
              </w:rPr>
            </w:pPr>
            <w:r>
              <w:rPr>
                <w:sz w:val="16"/>
                <w:szCs w:val="16"/>
              </w:rPr>
              <w:t>Describe the RFP, including the date that the RFP was issued</w:t>
            </w:r>
          </w:p>
        </w:tc>
        <w:tc>
          <w:tcPr>
            <w:tcW w:w="991" w:type="dxa"/>
          </w:tcPr>
          <w:p w:rsidR="00F97D54" w:rsidRPr="00551AAF" w:rsidRDefault="00F97D54" w:rsidP="00EB5B97">
            <w:pPr>
              <w:rPr>
                <w:sz w:val="16"/>
                <w:szCs w:val="16"/>
              </w:rPr>
            </w:pPr>
            <w:r>
              <w:rPr>
                <w:sz w:val="16"/>
                <w:szCs w:val="16"/>
              </w:rPr>
              <w:t>Text</w:t>
            </w:r>
          </w:p>
        </w:tc>
        <w:tc>
          <w:tcPr>
            <w:tcW w:w="1345" w:type="dxa"/>
          </w:tcPr>
          <w:p w:rsidR="00F97D54" w:rsidRPr="00551AAF" w:rsidRDefault="00F97D54" w:rsidP="00EB5B97">
            <w:pPr>
              <w:rPr>
                <w:sz w:val="16"/>
                <w:szCs w:val="16"/>
              </w:rPr>
            </w:pPr>
            <w:r>
              <w:rPr>
                <w:sz w:val="16"/>
                <w:szCs w:val="16"/>
              </w:rPr>
              <w:t>RFP requirements included . . .</w:t>
            </w:r>
          </w:p>
        </w:tc>
      </w:tr>
      <w:tr w:rsidR="00F97D54" w:rsidRPr="00551AAF" w:rsidTr="00EB5B97">
        <w:trPr>
          <w:trHeight w:val="360"/>
        </w:trPr>
        <w:tc>
          <w:tcPr>
            <w:tcW w:w="2679" w:type="dxa"/>
          </w:tcPr>
          <w:p w:rsidR="00F97D54" w:rsidRPr="00551AAF" w:rsidRDefault="00F97D54" w:rsidP="00EB5B97">
            <w:pPr>
              <w:rPr>
                <w:sz w:val="16"/>
                <w:szCs w:val="16"/>
              </w:rPr>
            </w:pPr>
            <w:r>
              <w:rPr>
                <w:sz w:val="16"/>
                <w:szCs w:val="16"/>
              </w:rPr>
              <w:t>RFP_Area_Covered</w:t>
            </w:r>
          </w:p>
        </w:tc>
        <w:tc>
          <w:tcPr>
            <w:tcW w:w="3823" w:type="dxa"/>
          </w:tcPr>
          <w:p w:rsidR="00F97D54" w:rsidRPr="00551AAF" w:rsidRDefault="00F97D54" w:rsidP="00EB5B97">
            <w:pPr>
              <w:rPr>
                <w:sz w:val="16"/>
                <w:szCs w:val="16"/>
              </w:rPr>
            </w:pPr>
            <w:r>
              <w:rPr>
                <w:sz w:val="16"/>
                <w:szCs w:val="16"/>
              </w:rPr>
              <w:t>Identify the geographic areas covered by the RFP</w:t>
            </w:r>
          </w:p>
        </w:tc>
        <w:tc>
          <w:tcPr>
            <w:tcW w:w="991" w:type="dxa"/>
          </w:tcPr>
          <w:p w:rsidR="00F97D54" w:rsidRPr="00551AAF" w:rsidRDefault="00F97D54" w:rsidP="00EB5B97">
            <w:pPr>
              <w:rPr>
                <w:sz w:val="16"/>
                <w:szCs w:val="16"/>
              </w:rPr>
            </w:pPr>
            <w:r>
              <w:rPr>
                <w:sz w:val="16"/>
                <w:szCs w:val="16"/>
              </w:rPr>
              <w:t>Text</w:t>
            </w:r>
          </w:p>
        </w:tc>
        <w:tc>
          <w:tcPr>
            <w:tcW w:w="1345" w:type="dxa"/>
          </w:tcPr>
          <w:p w:rsidR="00F97D54" w:rsidRPr="00551AAF" w:rsidRDefault="00F97D54" w:rsidP="00EB5B97">
            <w:pPr>
              <w:rPr>
                <w:sz w:val="16"/>
                <w:szCs w:val="16"/>
              </w:rPr>
            </w:pPr>
            <w:r>
              <w:rPr>
                <w:sz w:val="16"/>
                <w:szCs w:val="16"/>
              </w:rPr>
              <w:t>Network required to  cover 26 counties in Michigan</w:t>
            </w:r>
          </w:p>
        </w:tc>
      </w:tr>
      <w:tr w:rsidR="00F97D54" w:rsidRPr="0063769F" w:rsidTr="00EB5B97">
        <w:trPr>
          <w:trHeight w:val="360"/>
        </w:trPr>
        <w:tc>
          <w:tcPr>
            <w:tcW w:w="2679" w:type="dxa"/>
          </w:tcPr>
          <w:p w:rsidR="00F97D54" w:rsidRDefault="00F97D54" w:rsidP="00EB5B97">
            <w:pPr>
              <w:rPr>
                <w:sz w:val="16"/>
                <w:szCs w:val="16"/>
              </w:rPr>
            </w:pPr>
            <w:r>
              <w:rPr>
                <w:sz w:val="16"/>
                <w:szCs w:val="16"/>
              </w:rPr>
              <w:t>RFP_Bid_Details</w:t>
            </w:r>
          </w:p>
        </w:tc>
        <w:tc>
          <w:tcPr>
            <w:tcW w:w="3823" w:type="dxa"/>
          </w:tcPr>
          <w:p w:rsidR="00F97D54" w:rsidRDefault="00F97D54" w:rsidP="00EB5B97">
            <w:pPr>
              <w:rPr>
                <w:sz w:val="16"/>
                <w:szCs w:val="16"/>
              </w:rPr>
            </w:pPr>
            <w:r>
              <w:rPr>
                <w:sz w:val="16"/>
                <w:szCs w:val="16"/>
              </w:rPr>
              <w:t>Details on your bid, including price offered</w:t>
            </w:r>
          </w:p>
          <w:p w:rsidR="00F97D54" w:rsidRPr="000A51DF" w:rsidRDefault="00F97D54" w:rsidP="00EB5B97">
            <w:pPr>
              <w:rPr>
                <w:sz w:val="16"/>
                <w:szCs w:val="16"/>
              </w:rPr>
            </w:pPr>
          </w:p>
        </w:tc>
        <w:tc>
          <w:tcPr>
            <w:tcW w:w="991" w:type="dxa"/>
          </w:tcPr>
          <w:p w:rsidR="00F97D54" w:rsidRDefault="00F97D54" w:rsidP="00EB5B97">
            <w:pPr>
              <w:rPr>
                <w:sz w:val="16"/>
                <w:szCs w:val="16"/>
              </w:rPr>
            </w:pPr>
            <w:r>
              <w:rPr>
                <w:sz w:val="16"/>
                <w:szCs w:val="16"/>
              </w:rPr>
              <w:t>Text</w:t>
            </w:r>
          </w:p>
        </w:tc>
        <w:tc>
          <w:tcPr>
            <w:tcW w:w="1345" w:type="dxa"/>
          </w:tcPr>
          <w:p w:rsidR="00F97D54" w:rsidRDefault="00F97D54" w:rsidP="00EB5B97">
            <w:pPr>
              <w:rPr>
                <w:sz w:val="16"/>
                <w:szCs w:val="16"/>
              </w:rPr>
            </w:pPr>
            <w:r>
              <w:rPr>
                <w:sz w:val="16"/>
                <w:szCs w:val="16"/>
              </w:rPr>
              <w:t>Offered dedicated service for X amount.</w:t>
            </w:r>
          </w:p>
        </w:tc>
      </w:tr>
      <w:tr w:rsidR="00F97D54" w:rsidRPr="0063769F" w:rsidTr="00EB5B97">
        <w:trPr>
          <w:trHeight w:val="360"/>
        </w:trPr>
        <w:tc>
          <w:tcPr>
            <w:tcW w:w="2679" w:type="dxa"/>
            <w:tcBorders>
              <w:bottom w:val="double" w:sz="4" w:space="0" w:color="auto"/>
            </w:tcBorders>
          </w:tcPr>
          <w:p w:rsidR="00F97D54" w:rsidRDefault="00F97D54" w:rsidP="00EB5B97">
            <w:pPr>
              <w:rPr>
                <w:sz w:val="16"/>
                <w:szCs w:val="16"/>
              </w:rPr>
            </w:pPr>
            <w:r>
              <w:rPr>
                <w:sz w:val="16"/>
                <w:szCs w:val="16"/>
              </w:rPr>
              <w:t>Other_RFP_Details</w:t>
            </w:r>
          </w:p>
        </w:tc>
        <w:tc>
          <w:tcPr>
            <w:tcW w:w="3823" w:type="dxa"/>
            <w:tcBorders>
              <w:bottom w:val="double" w:sz="4" w:space="0" w:color="auto"/>
            </w:tcBorders>
          </w:tcPr>
          <w:p w:rsidR="00F97D54" w:rsidRPr="001123A2" w:rsidRDefault="00F97D54" w:rsidP="00EB5B97">
            <w:pPr>
              <w:rPr>
                <w:sz w:val="16"/>
                <w:szCs w:val="16"/>
              </w:rPr>
            </w:pPr>
            <w:r>
              <w:rPr>
                <w:sz w:val="16"/>
                <w:szCs w:val="16"/>
              </w:rPr>
              <w:t>Detail o</w:t>
            </w:r>
            <w:r w:rsidRPr="001123A2">
              <w:rPr>
                <w:sz w:val="16"/>
                <w:szCs w:val="16"/>
              </w:rPr>
              <w:t xml:space="preserve">ther </w:t>
            </w:r>
            <w:r>
              <w:rPr>
                <w:sz w:val="16"/>
                <w:szCs w:val="16"/>
              </w:rPr>
              <w:t>c</w:t>
            </w:r>
            <w:r w:rsidRPr="001123A2">
              <w:rPr>
                <w:sz w:val="16"/>
                <w:szCs w:val="16"/>
              </w:rPr>
              <w:t xml:space="preserve">ompetitively </w:t>
            </w:r>
            <w:r>
              <w:rPr>
                <w:sz w:val="16"/>
                <w:szCs w:val="16"/>
              </w:rPr>
              <w:t>r</w:t>
            </w:r>
            <w:r w:rsidRPr="001123A2">
              <w:rPr>
                <w:sz w:val="16"/>
                <w:szCs w:val="16"/>
              </w:rPr>
              <w:t xml:space="preserve">elevant </w:t>
            </w:r>
            <w:r>
              <w:rPr>
                <w:sz w:val="16"/>
                <w:szCs w:val="16"/>
              </w:rPr>
              <w:t>i</w:t>
            </w:r>
            <w:r w:rsidRPr="001123A2">
              <w:rPr>
                <w:sz w:val="16"/>
                <w:szCs w:val="16"/>
              </w:rPr>
              <w:t>nformation</w:t>
            </w:r>
            <w:r>
              <w:rPr>
                <w:sz w:val="16"/>
                <w:szCs w:val="16"/>
              </w:rPr>
              <w:t xml:space="preserve"> on RFP and/or bid</w:t>
            </w:r>
          </w:p>
          <w:p w:rsidR="00F97D54" w:rsidRDefault="00F97D54" w:rsidP="00EB5B97">
            <w:pPr>
              <w:rPr>
                <w:sz w:val="16"/>
                <w:szCs w:val="16"/>
              </w:rPr>
            </w:pPr>
          </w:p>
        </w:tc>
        <w:tc>
          <w:tcPr>
            <w:tcW w:w="991" w:type="dxa"/>
            <w:tcBorders>
              <w:bottom w:val="double" w:sz="4" w:space="0" w:color="auto"/>
            </w:tcBorders>
          </w:tcPr>
          <w:p w:rsidR="00F97D54" w:rsidRDefault="00F97D54" w:rsidP="00EB5B97">
            <w:pPr>
              <w:rPr>
                <w:sz w:val="16"/>
                <w:szCs w:val="16"/>
              </w:rPr>
            </w:pPr>
            <w:r>
              <w:rPr>
                <w:sz w:val="16"/>
                <w:szCs w:val="16"/>
              </w:rPr>
              <w:t>Text</w:t>
            </w:r>
          </w:p>
        </w:tc>
        <w:tc>
          <w:tcPr>
            <w:tcW w:w="1345" w:type="dxa"/>
            <w:tcBorders>
              <w:bottom w:val="double" w:sz="4" w:space="0" w:color="auto"/>
            </w:tcBorders>
          </w:tcPr>
          <w:p w:rsidR="00F97D54" w:rsidRDefault="00F97D54" w:rsidP="00EB5B97">
            <w:pPr>
              <w:rPr>
                <w:sz w:val="16"/>
                <w:szCs w:val="16"/>
              </w:rPr>
            </w:pPr>
            <w:r>
              <w:rPr>
                <w:sz w:val="16"/>
                <w:szCs w:val="16"/>
              </w:rPr>
              <w:t>Our bid offer included cost of leasing facilities in X areas from X where we did not own facilities.</w:t>
            </w:r>
          </w:p>
        </w:tc>
      </w:tr>
    </w:tbl>
    <w:p w:rsidR="00F97D54" w:rsidRDefault="00F97D54" w:rsidP="00EB5B97">
      <w:pPr>
        <w:rPr>
          <w:sz w:val="20"/>
          <w:szCs w:val="22"/>
        </w:rPr>
      </w:pPr>
    </w:p>
    <w:p w:rsidR="00F97D54" w:rsidRPr="00D62720" w:rsidRDefault="00F97D54" w:rsidP="00EB5B97">
      <w:pPr>
        <w:rPr>
          <w:szCs w:val="22"/>
        </w:rPr>
      </w:pPr>
      <w:r w:rsidRPr="00D62720">
        <w:rPr>
          <w:szCs w:val="22"/>
          <w:u w:val="single"/>
        </w:rPr>
        <w:t>Question II.A.11 Part 2</w:t>
      </w:r>
      <w:r w:rsidRPr="00D62720">
        <w:rPr>
          <w:szCs w:val="22"/>
        </w:rPr>
        <w:t xml:space="preserve">.  Question II.A.11 also asks </w:t>
      </w:r>
      <w:r w:rsidRPr="00D62720">
        <w:rPr>
          <w:i/>
          <w:szCs w:val="22"/>
        </w:rPr>
        <w:t>Competitive Providers</w:t>
      </w:r>
      <w:r w:rsidRPr="00D62720">
        <w:rPr>
          <w:szCs w:val="22"/>
        </w:rPr>
        <w:t xml:space="preserve"> to identify the business rules relied upon to determine whether to submit a bid in response to an RFP.  You must upload a .pdf text searchable (not a picture/image) document responding to this part of the question through the Special Access Web Portal in the “Essay Questions – File Upload” section; you will not include this document in the data container.  </w:t>
      </w:r>
    </w:p>
    <w:p w:rsidR="00F97D54" w:rsidRDefault="00F97D54" w:rsidP="00EB5B97"/>
    <w:p w:rsidR="00F97D54" w:rsidRDefault="00F97D54" w:rsidP="009F2B22">
      <w:pPr>
        <w:widowControl/>
        <w:rPr>
          <w:rStyle w:val="Emphasis"/>
          <w:i w:val="0"/>
        </w:rPr>
      </w:pPr>
      <w:r>
        <w:t xml:space="preserve">The web portal contains two areas for uploading documents.  One is for uploading the “Confidential” version of the document where you </w:t>
      </w:r>
      <w:r>
        <w:rPr>
          <w:rStyle w:val="Emphasis"/>
          <w:i w:val="0"/>
        </w:rPr>
        <w:t xml:space="preserve">will indicate information deemed </w:t>
      </w:r>
      <w:r w:rsidRPr="00974151">
        <w:rPr>
          <w:rStyle w:val="Emphasis"/>
          <w:i w:val="0"/>
        </w:rPr>
        <w:t>Confidential</w:t>
      </w:r>
      <w:r>
        <w:rPr>
          <w:rStyle w:val="Emphasis"/>
          <w:i w:val="0"/>
        </w:rPr>
        <w:t xml:space="preserve"> and redact information that is </w:t>
      </w:r>
      <w:r w:rsidRPr="00974151">
        <w:rPr>
          <w:rStyle w:val="Emphasis"/>
          <w:i w:val="0"/>
        </w:rPr>
        <w:t>Highly Confidential</w:t>
      </w:r>
      <w:r>
        <w:rPr>
          <w:rStyle w:val="Emphasis"/>
          <w:i w:val="0"/>
        </w:rPr>
        <w:t xml:space="preserve"> based on the Protective Order issued for the data collection.  The second area is for uploading the “Highly Confidential” version of the document noting both </w:t>
      </w:r>
      <w:r w:rsidRPr="00974151">
        <w:rPr>
          <w:rStyle w:val="Emphasis"/>
          <w:i w:val="0"/>
        </w:rPr>
        <w:t>Confidential</w:t>
      </w:r>
      <w:r>
        <w:rPr>
          <w:rStyle w:val="Emphasis"/>
          <w:i w:val="0"/>
        </w:rPr>
        <w:t xml:space="preserve"> and </w:t>
      </w:r>
      <w:r w:rsidRPr="00974151">
        <w:rPr>
          <w:rStyle w:val="Emphasis"/>
          <w:i w:val="0"/>
        </w:rPr>
        <w:t>Highly Confidential</w:t>
      </w:r>
      <w:r>
        <w:rPr>
          <w:rStyle w:val="Emphasis"/>
          <w:i w:val="0"/>
        </w:rPr>
        <w:t xml:space="preserve"> information without any redactions.  You must upload at least one document in each area or you will receive an error message during the submission process.  If the document does not contain Confidential or Highly Confidential information, </w:t>
      </w:r>
      <w:r w:rsidRPr="00FF31E9">
        <w:rPr>
          <w:rStyle w:val="Emphasis"/>
        </w:rPr>
        <w:t>e.g.</w:t>
      </w:r>
      <w:r>
        <w:rPr>
          <w:rStyle w:val="Emphasis"/>
          <w:i w:val="0"/>
        </w:rPr>
        <w:t>, all information is publicly available, then upload the document in each area without the relevant Confidential/Highly Confidential notations or redactions in the case of the Confidential upload area.</w:t>
      </w:r>
    </w:p>
    <w:p w:rsidR="00F97D54" w:rsidRDefault="00F97D54" w:rsidP="00EB5B97">
      <w:pPr>
        <w:rPr>
          <w:rStyle w:val="Emphasis"/>
          <w:i w:val="0"/>
        </w:rPr>
      </w:pPr>
    </w:p>
    <w:p w:rsidR="00F97D54" w:rsidRDefault="00F97D54" w:rsidP="004820FF">
      <w:pPr>
        <w:pStyle w:val="Heading5"/>
        <w:numPr>
          <w:ilvl w:val="0"/>
          <w:numId w:val="0"/>
        </w:numPr>
      </w:pPr>
      <w:bookmarkStart w:id="102" w:name="_Toc365972091"/>
      <w:r>
        <w:t>Billing Information</w:t>
      </w:r>
      <w:bookmarkEnd w:id="102"/>
    </w:p>
    <w:p w:rsidR="00F97D54" w:rsidRPr="004820FF" w:rsidRDefault="00F97D54" w:rsidP="004820FF">
      <w:pPr>
        <w:pStyle w:val="Heading4"/>
        <w:numPr>
          <w:ilvl w:val="0"/>
          <w:numId w:val="0"/>
        </w:numPr>
        <w:rPr>
          <w:b w:val="0"/>
          <w:i/>
        </w:rPr>
      </w:pPr>
      <w:bookmarkStart w:id="103" w:name="_Toc365972092"/>
      <w:r w:rsidRPr="004820FF">
        <w:rPr>
          <w:b w:val="0"/>
          <w:i/>
        </w:rPr>
        <w:t>Question II.A.12-14:  Billing Information Overview</w:t>
      </w:r>
      <w:bookmarkEnd w:id="103"/>
      <w:r w:rsidRPr="004820FF">
        <w:rPr>
          <w:b w:val="0"/>
          <w:i/>
        </w:rPr>
        <w:t xml:space="preserve">  </w:t>
      </w:r>
    </w:p>
    <w:p w:rsidR="00F97D54" w:rsidRPr="00531DA4" w:rsidRDefault="00F97D54" w:rsidP="00EB5B97">
      <w:r>
        <w:t xml:space="preserve">These questions are interrelated.  Question II.A.12 requires the filer to provide billing information for each circuit element billed to its customers.  To answer this question, you must reference adjustment and billing codes that are defined by responses to Questions II.A.13 and II.A.14, respectively.  </w:t>
      </w:r>
    </w:p>
    <w:p w:rsidR="00F97D54" w:rsidRDefault="00F97D54" w:rsidP="00EB5B97">
      <w:pPr>
        <w:rPr>
          <w:b/>
          <w:i/>
          <w:sz w:val="20"/>
          <w:szCs w:val="22"/>
        </w:rPr>
      </w:pPr>
    </w:p>
    <w:p w:rsidR="00F97D54" w:rsidRPr="004820FF" w:rsidRDefault="00F97D54" w:rsidP="004820FF">
      <w:pPr>
        <w:pStyle w:val="Heading4"/>
        <w:numPr>
          <w:ilvl w:val="0"/>
          <w:numId w:val="0"/>
        </w:numPr>
        <w:rPr>
          <w:b w:val="0"/>
          <w:i/>
        </w:rPr>
      </w:pPr>
      <w:bookmarkStart w:id="104" w:name="_Toc365972093"/>
      <w:r w:rsidRPr="004820FF">
        <w:rPr>
          <w:b w:val="0"/>
          <w:i/>
        </w:rPr>
        <w:t>Question II.A.12:  Prices by Circuit Element from Competitive Provider</w:t>
      </w:r>
      <w:bookmarkEnd w:id="104"/>
    </w:p>
    <w:p w:rsidR="00F97D54" w:rsidRDefault="00F97D54" w:rsidP="00EB5B97">
      <w:pPr>
        <w:rPr>
          <w:szCs w:val="22"/>
        </w:rPr>
      </w:pPr>
      <w:r>
        <w:t xml:space="preserve">This question requests billing information for transmission paths that are sold for the provision of a stand-alone </w:t>
      </w:r>
      <w:r w:rsidRPr="005A4569">
        <w:rPr>
          <w:i/>
        </w:rPr>
        <w:t>Dedicated Service</w:t>
      </w:r>
      <w:r>
        <w:t xml:space="preserve">.  By using the term “transmission paths,” this question is not limited to </w:t>
      </w:r>
      <w:r w:rsidRPr="008713FF">
        <w:rPr>
          <w:i/>
        </w:rPr>
        <w:t>Locations</w:t>
      </w:r>
      <w:r>
        <w:t xml:space="preserve"> with </w:t>
      </w:r>
      <w:r w:rsidRPr="008713FF">
        <w:rPr>
          <w:i/>
        </w:rPr>
        <w:t>Connections</w:t>
      </w:r>
      <w:r>
        <w:t xml:space="preserve">, </w:t>
      </w:r>
      <w:r w:rsidRPr="008713FF">
        <w:rPr>
          <w:i/>
        </w:rPr>
        <w:t>i.e.</w:t>
      </w:r>
      <w:r>
        <w:t xml:space="preserve">, “last-mile” facilities, reported in response to question II.A.4 but also includes dedicated interoffice transport facilities.  Do not provide billing information for bundled services where the </w:t>
      </w:r>
      <w:r w:rsidRPr="00137857">
        <w:rPr>
          <w:i/>
        </w:rPr>
        <w:t>Dedicated Service</w:t>
      </w:r>
      <w:r>
        <w:t xml:space="preserve"> component is not separately priced.  Do include sales to </w:t>
      </w:r>
      <w:r w:rsidRPr="00422710">
        <w:rPr>
          <w:i/>
        </w:rPr>
        <w:t>Affiliated Companies</w:t>
      </w:r>
      <w:r>
        <w:t xml:space="preserve">.      </w:t>
      </w:r>
    </w:p>
    <w:p w:rsidR="00F97D54" w:rsidRDefault="00F97D54" w:rsidP="00EB5B97"/>
    <w:p w:rsidR="00F97D54" w:rsidRDefault="00F97D54" w:rsidP="00587EB9">
      <w:r>
        <w:t>S</w:t>
      </w:r>
      <w:r w:rsidRPr="00F43280">
        <w:t xml:space="preserve">ubmit information </w:t>
      </w:r>
      <w:r>
        <w:t>for each circuit</w:t>
      </w:r>
      <w:r w:rsidRPr="00F43280">
        <w:t xml:space="preserve"> element </w:t>
      </w:r>
      <w:r>
        <w:t>of each</w:t>
      </w:r>
      <w:r w:rsidRPr="00F43280">
        <w:t xml:space="preserve"> circuit for each month from January 1, </w:t>
      </w:r>
      <w:r>
        <w:t>2010</w:t>
      </w:r>
      <w:r w:rsidRPr="00F43280">
        <w:t xml:space="preserve"> through December 31, </w:t>
      </w:r>
      <w:r>
        <w:t xml:space="preserve">2010 and from January 1, 2012 through December 31, 2012.  Include a separate entry for each separately-billed element on the circuit.  In the case where circuits are billed as a single unit, the data set will contain only one entry per circuit. </w:t>
      </w:r>
      <w:r w:rsidR="00587EB9">
        <w:tab/>
      </w:r>
    </w:p>
    <w:p w:rsidR="00F97D54" w:rsidRDefault="00F97D54" w:rsidP="00EB5B97">
      <w:pPr>
        <w:rPr>
          <w:sz w:val="20"/>
          <w:szCs w:val="22"/>
        </w:rPr>
      </w:pPr>
    </w:p>
    <w:tbl>
      <w:tblPr>
        <w:tblW w:w="8838" w:type="dxa"/>
        <w:tblLook w:val="01E0" w:firstRow="1" w:lastRow="1" w:firstColumn="1" w:lastColumn="1" w:noHBand="0" w:noVBand="0"/>
      </w:tblPr>
      <w:tblGrid>
        <w:gridCol w:w="1908"/>
        <w:gridCol w:w="4321"/>
        <w:gridCol w:w="1080"/>
        <w:gridCol w:w="1529"/>
      </w:tblGrid>
      <w:tr w:rsidR="00F97D54" w:rsidRPr="00F43280" w:rsidTr="00EB5B97">
        <w:trPr>
          <w:trHeight w:val="432"/>
          <w:tblHeader/>
        </w:trPr>
        <w:tc>
          <w:tcPr>
            <w:tcW w:w="8838" w:type="dxa"/>
            <w:gridSpan w:val="4"/>
            <w:tcBorders>
              <w:top w:val="double" w:sz="4" w:space="0" w:color="auto"/>
              <w:bottom w:val="single" w:sz="4" w:space="0" w:color="auto"/>
            </w:tcBorders>
            <w:vAlign w:val="center"/>
          </w:tcPr>
          <w:p w:rsidR="00F97D54" w:rsidRPr="00F2534D" w:rsidRDefault="00F97D54" w:rsidP="00EB5B97">
            <w:pPr>
              <w:jc w:val="center"/>
              <w:rPr>
                <w:b/>
              </w:rPr>
            </w:pPr>
            <w:r w:rsidRPr="00F2534D">
              <w:rPr>
                <w:b/>
              </w:rPr>
              <w:t>Table II.A.12</w:t>
            </w:r>
            <w:r>
              <w:rPr>
                <w:b/>
              </w:rPr>
              <w:t xml:space="preserve"> Part 1</w:t>
            </w:r>
          </w:p>
          <w:p w:rsidR="00F97D54" w:rsidRPr="000E2226" w:rsidRDefault="00F97D54" w:rsidP="00EB5B97">
            <w:pPr>
              <w:jc w:val="center"/>
              <w:rPr>
                <w:b/>
              </w:rPr>
            </w:pPr>
            <w:r>
              <w:rPr>
                <w:b/>
                <w:bCs/>
              </w:rPr>
              <w:t xml:space="preserve">Record Format for </w:t>
            </w:r>
            <w:r w:rsidRPr="00F2534D">
              <w:rPr>
                <w:b/>
              </w:rPr>
              <w:t xml:space="preserve">Monthly Billing Data for Circuits by Circuit Element </w:t>
            </w:r>
          </w:p>
        </w:tc>
      </w:tr>
      <w:tr w:rsidR="00F97D54" w:rsidRPr="00F43280" w:rsidTr="00832B03">
        <w:trPr>
          <w:trHeight w:val="432"/>
          <w:tblHeader/>
        </w:trPr>
        <w:tc>
          <w:tcPr>
            <w:tcW w:w="1908" w:type="dxa"/>
            <w:tcBorders>
              <w:top w:val="single" w:sz="4" w:space="0" w:color="auto"/>
              <w:bottom w:val="single" w:sz="4" w:space="0" w:color="auto"/>
              <w:right w:val="single" w:sz="4" w:space="0" w:color="auto"/>
            </w:tcBorders>
            <w:vAlign w:val="center"/>
          </w:tcPr>
          <w:p w:rsidR="00F97D54" w:rsidRPr="00F43280" w:rsidRDefault="00F97D54" w:rsidP="00EB5B97">
            <w:pPr>
              <w:rPr>
                <w:b/>
                <w:sz w:val="18"/>
                <w:szCs w:val="18"/>
              </w:rPr>
            </w:pPr>
            <w:r w:rsidRPr="00F43280">
              <w:rPr>
                <w:b/>
                <w:sz w:val="18"/>
                <w:szCs w:val="18"/>
              </w:rPr>
              <w:t>Field Name</w:t>
            </w:r>
          </w:p>
        </w:tc>
        <w:tc>
          <w:tcPr>
            <w:tcW w:w="4321" w:type="dxa"/>
            <w:tcBorders>
              <w:top w:val="single" w:sz="4" w:space="0" w:color="auto"/>
              <w:left w:val="single" w:sz="4" w:space="0" w:color="auto"/>
              <w:bottom w:val="single" w:sz="4" w:space="0" w:color="auto"/>
              <w:right w:val="single" w:sz="4" w:space="0" w:color="auto"/>
            </w:tcBorders>
            <w:vAlign w:val="center"/>
          </w:tcPr>
          <w:p w:rsidR="00F97D54" w:rsidRPr="00F43280" w:rsidRDefault="00F97D54" w:rsidP="00EB5B97">
            <w:pPr>
              <w:rPr>
                <w:b/>
                <w:sz w:val="18"/>
                <w:szCs w:val="18"/>
              </w:rPr>
            </w:pPr>
            <w:r w:rsidRPr="00F43280">
              <w:rPr>
                <w:b/>
                <w:sz w:val="18"/>
                <w:szCs w:val="18"/>
              </w:rPr>
              <w:t>Description</w:t>
            </w:r>
          </w:p>
        </w:tc>
        <w:tc>
          <w:tcPr>
            <w:tcW w:w="1080" w:type="dxa"/>
            <w:tcBorders>
              <w:top w:val="single" w:sz="4" w:space="0" w:color="auto"/>
              <w:left w:val="single" w:sz="4" w:space="0" w:color="auto"/>
              <w:bottom w:val="single" w:sz="4" w:space="0" w:color="auto"/>
              <w:right w:val="single" w:sz="4" w:space="0" w:color="auto"/>
            </w:tcBorders>
            <w:vAlign w:val="center"/>
          </w:tcPr>
          <w:p w:rsidR="00F97D54" w:rsidRPr="00F43280" w:rsidRDefault="00F97D54" w:rsidP="00EB5B97">
            <w:pPr>
              <w:rPr>
                <w:b/>
                <w:sz w:val="18"/>
                <w:szCs w:val="18"/>
              </w:rPr>
            </w:pPr>
            <w:r w:rsidRPr="00F43280">
              <w:rPr>
                <w:b/>
                <w:sz w:val="18"/>
                <w:szCs w:val="18"/>
              </w:rPr>
              <w:t>Type</w:t>
            </w:r>
          </w:p>
        </w:tc>
        <w:tc>
          <w:tcPr>
            <w:tcW w:w="1529" w:type="dxa"/>
            <w:tcBorders>
              <w:top w:val="single" w:sz="4" w:space="0" w:color="auto"/>
              <w:left w:val="single" w:sz="4" w:space="0" w:color="auto"/>
              <w:bottom w:val="single" w:sz="4" w:space="0" w:color="auto"/>
            </w:tcBorders>
            <w:vAlign w:val="center"/>
          </w:tcPr>
          <w:p w:rsidR="00F97D54" w:rsidRPr="00F43280" w:rsidRDefault="00F97D54" w:rsidP="00EB5B97">
            <w:pPr>
              <w:ind w:right="-108"/>
              <w:rPr>
                <w:b/>
                <w:sz w:val="18"/>
                <w:szCs w:val="18"/>
              </w:rPr>
            </w:pPr>
            <w:r w:rsidRPr="00F43280">
              <w:rPr>
                <w:b/>
                <w:sz w:val="18"/>
                <w:szCs w:val="18"/>
              </w:rPr>
              <w:t>Example</w:t>
            </w:r>
          </w:p>
        </w:tc>
      </w:tr>
      <w:tr w:rsidR="00F97D54" w:rsidRPr="00F43280" w:rsidTr="00832B03">
        <w:trPr>
          <w:trHeight w:val="360"/>
        </w:trPr>
        <w:tc>
          <w:tcPr>
            <w:tcW w:w="1908" w:type="dxa"/>
          </w:tcPr>
          <w:p w:rsidR="00F97D54" w:rsidRPr="00F43280" w:rsidRDefault="00F97D54" w:rsidP="00EB5B97">
            <w:pPr>
              <w:tabs>
                <w:tab w:val="left" w:pos="2022"/>
              </w:tabs>
              <w:rPr>
                <w:sz w:val="16"/>
                <w:szCs w:val="16"/>
              </w:rPr>
            </w:pPr>
            <w:r>
              <w:rPr>
                <w:sz w:val="16"/>
                <w:szCs w:val="16"/>
              </w:rPr>
              <w:t>Closing_</w:t>
            </w:r>
            <w:r w:rsidRPr="00F43280">
              <w:rPr>
                <w:sz w:val="16"/>
                <w:szCs w:val="16"/>
              </w:rPr>
              <w:t>Date</w:t>
            </w:r>
          </w:p>
        </w:tc>
        <w:tc>
          <w:tcPr>
            <w:tcW w:w="4321" w:type="dxa"/>
          </w:tcPr>
          <w:p w:rsidR="00F97D54" w:rsidRPr="00F43280" w:rsidRDefault="00F97D54" w:rsidP="00EB5B97">
            <w:pPr>
              <w:rPr>
                <w:sz w:val="16"/>
                <w:szCs w:val="16"/>
              </w:rPr>
            </w:pPr>
            <w:r w:rsidRPr="00F43280">
              <w:rPr>
                <w:sz w:val="16"/>
                <w:szCs w:val="16"/>
              </w:rPr>
              <w:t xml:space="preserve">Closing date of the monthly billing cycle in </w:t>
            </w:r>
            <w:r>
              <w:rPr>
                <w:sz w:val="16"/>
                <w:szCs w:val="16"/>
              </w:rPr>
              <w:t>mm/dd</w:t>
            </w:r>
            <w:r w:rsidRPr="00F43280">
              <w:rPr>
                <w:sz w:val="16"/>
                <w:szCs w:val="16"/>
              </w:rPr>
              <w:t>/yyyy format</w:t>
            </w:r>
          </w:p>
        </w:tc>
        <w:tc>
          <w:tcPr>
            <w:tcW w:w="1080" w:type="dxa"/>
          </w:tcPr>
          <w:p w:rsidR="00F97D54" w:rsidRPr="00F43280" w:rsidRDefault="00F97D54" w:rsidP="00EB5B97">
            <w:pPr>
              <w:rPr>
                <w:sz w:val="16"/>
                <w:szCs w:val="16"/>
              </w:rPr>
            </w:pPr>
            <w:r w:rsidRPr="00F43280">
              <w:rPr>
                <w:sz w:val="16"/>
                <w:szCs w:val="16"/>
              </w:rPr>
              <w:t>Date</w:t>
            </w:r>
          </w:p>
        </w:tc>
        <w:tc>
          <w:tcPr>
            <w:tcW w:w="1529" w:type="dxa"/>
          </w:tcPr>
          <w:p w:rsidR="00F97D54" w:rsidRPr="00F43280" w:rsidRDefault="00F97D54" w:rsidP="00EB5B97">
            <w:pPr>
              <w:rPr>
                <w:sz w:val="16"/>
                <w:szCs w:val="16"/>
              </w:rPr>
            </w:pPr>
            <w:r>
              <w:rPr>
                <w:sz w:val="16"/>
                <w:szCs w:val="16"/>
              </w:rPr>
              <w:t>0</w:t>
            </w:r>
            <w:r w:rsidRPr="00F43280">
              <w:rPr>
                <w:sz w:val="16"/>
                <w:szCs w:val="16"/>
              </w:rPr>
              <w:t>6/30/</w:t>
            </w:r>
            <w:r>
              <w:rPr>
                <w:sz w:val="16"/>
                <w:szCs w:val="16"/>
              </w:rPr>
              <w:t>2012</w:t>
            </w:r>
          </w:p>
        </w:tc>
      </w:tr>
      <w:tr w:rsidR="00F97D54" w:rsidRPr="00F43280" w:rsidTr="00832B03">
        <w:trPr>
          <w:trHeight w:val="324"/>
        </w:trPr>
        <w:tc>
          <w:tcPr>
            <w:tcW w:w="1908" w:type="dxa"/>
          </w:tcPr>
          <w:p w:rsidR="00F97D54" w:rsidRPr="00F43280" w:rsidRDefault="00F97D54" w:rsidP="00EB5B97">
            <w:pPr>
              <w:tabs>
                <w:tab w:val="left" w:pos="2022"/>
              </w:tabs>
              <w:rPr>
                <w:sz w:val="16"/>
                <w:szCs w:val="16"/>
              </w:rPr>
            </w:pPr>
            <w:r>
              <w:rPr>
                <w:sz w:val="16"/>
                <w:szCs w:val="16"/>
              </w:rPr>
              <w:t>Customer</w:t>
            </w:r>
            <w:r w:rsidRPr="00F43280">
              <w:rPr>
                <w:sz w:val="16"/>
                <w:szCs w:val="16"/>
              </w:rPr>
              <w:t>_ID</w:t>
            </w:r>
          </w:p>
        </w:tc>
        <w:tc>
          <w:tcPr>
            <w:tcW w:w="4321" w:type="dxa"/>
          </w:tcPr>
          <w:p w:rsidR="00F97D54" w:rsidRPr="00F43280" w:rsidRDefault="00F97D54" w:rsidP="00EB5B97">
            <w:pPr>
              <w:rPr>
                <w:sz w:val="16"/>
                <w:szCs w:val="16"/>
              </w:rPr>
            </w:pPr>
            <w:r>
              <w:rPr>
                <w:sz w:val="16"/>
                <w:szCs w:val="16"/>
              </w:rPr>
              <w:t>Unique customer identifier used to link all circuits purchased by a customer over all geographies and time periods.  To be linked with customer names and identification numbers in Table II.A.12 Part 2.</w:t>
            </w:r>
          </w:p>
        </w:tc>
        <w:tc>
          <w:tcPr>
            <w:tcW w:w="1080" w:type="dxa"/>
          </w:tcPr>
          <w:p w:rsidR="00F97D54" w:rsidRPr="00F43280" w:rsidRDefault="00F97D54" w:rsidP="00EB5B97">
            <w:pPr>
              <w:rPr>
                <w:sz w:val="16"/>
                <w:szCs w:val="16"/>
              </w:rPr>
            </w:pPr>
            <w:r w:rsidRPr="00F43280">
              <w:rPr>
                <w:sz w:val="16"/>
                <w:szCs w:val="16"/>
              </w:rPr>
              <w:t>Integer</w:t>
            </w:r>
          </w:p>
        </w:tc>
        <w:tc>
          <w:tcPr>
            <w:tcW w:w="1529" w:type="dxa"/>
          </w:tcPr>
          <w:p w:rsidR="00F97D54" w:rsidRPr="00F43280" w:rsidRDefault="00F97D54" w:rsidP="00EB5B97">
            <w:pPr>
              <w:rPr>
                <w:sz w:val="16"/>
                <w:szCs w:val="16"/>
              </w:rPr>
            </w:pPr>
            <w:r>
              <w:rPr>
                <w:sz w:val="16"/>
                <w:szCs w:val="16"/>
              </w:rPr>
              <w:t>1274</w:t>
            </w:r>
          </w:p>
        </w:tc>
      </w:tr>
      <w:tr w:rsidR="00F97D54" w:rsidRPr="00F43280" w:rsidTr="00832B03">
        <w:trPr>
          <w:trHeight w:val="324"/>
        </w:trPr>
        <w:tc>
          <w:tcPr>
            <w:tcW w:w="1908" w:type="dxa"/>
          </w:tcPr>
          <w:p w:rsidR="00F97D54" w:rsidRPr="00F43280" w:rsidRDefault="00F97D54" w:rsidP="00EB5B97">
            <w:pPr>
              <w:tabs>
                <w:tab w:val="left" w:pos="2022"/>
              </w:tabs>
              <w:rPr>
                <w:sz w:val="16"/>
                <w:szCs w:val="16"/>
              </w:rPr>
            </w:pPr>
            <w:r>
              <w:rPr>
                <w:sz w:val="16"/>
                <w:szCs w:val="16"/>
              </w:rPr>
              <w:t>Location_ID</w:t>
            </w:r>
          </w:p>
        </w:tc>
        <w:tc>
          <w:tcPr>
            <w:tcW w:w="4321" w:type="dxa"/>
          </w:tcPr>
          <w:p w:rsidR="00F97D54" w:rsidRPr="005C0C31" w:rsidRDefault="00F97D54" w:rsidP="00EB5B97">
            <w:pPr>
              <w:rPr>
                <w:sz w:val="16"/>
                <w:szCs w:val="16"/>
              </w:rPr>
            </w:pPr>
            <w:r>
              <w:rPr>
                <w:sz w:val="16"/>
                <w:szCs w:val="16"/>
              </w:rPr>
              <w:t xml:space="preserve">Sequential location number from Question II.A.4.a where applicable; required for circuit elements such as channel terminations that can be associated with a particular </w:t>
            </w:r>
            <w:r w:rsidRPr="005C0C31">
              <w:rPr>
                <w:i/>
                <w:sz w:val="16"/>
                <w:szCs w:val="16"/>
              </w:rPr>
              <w:t>Location</w:t>
            </w:r>
          </w:p>
          <w:p w:rsidR="00F97D54" w:rsidRPr="00F43280" w:rsidRDefault="00F97D54" w:rsidP="00EB5B97">
            <w:pPr>
              <w:rPr>
                <w:sz w:val="16"/>
                <w:szCs w:val="16"/>
              </w:rPr>
            </w:pPr>
          </w:p>
        </w:tc>
        <w:tc>
          <w:tcPr>
            <w:tcW w:w="1080" w:type="dxa"/>
          </w:tcPr>
          <w:p w:rsidR="00F97D54" w:rsidRPr="00F43280" w:rsidRDefault="00F97D54" w:rsidP="00EB5B97">
            <w:pPr>
              <w:rPr>
                <w:sz w:val="16"/>
                <w:szCs w:val="16"/>
              </w:rPr>
            </w:pPr>
            <w:r>
              <w:rPr>
                <w:sz w:val="16"/>
                <w:szCs w:val="16"/>
              </w:rPr>
              <w:t>Integer</w:t>
            </w:r>
          </w:p>
        </w:tc>
        <w:tc>
          <w:tcPr>
            <w:tcW w:w="1529" w:type="dxa"/>
          </w:tcPr>
          <w:p w:rsidR="00F97D54" w:rsidRPr="00F43280" w:rsidRDefault="00F97D54" w:rsidP="00EB5B97">
            <w:pPr>
              <w:rPr>
                <w:sz w:val="16"/>
                <w:szCs w:val="16"/>
              </w:rPr>
            </w:pPr>
            <w:r>
              <w:rPr>
                <w:sz w:val="16"/>
                <w:szCs w:val="16"/>
              </w:rPr>
              <w:t>1</w:t>
            </w:r>
          </w:p>
        </w:tc>
      </w:tr>
      <w:tr w:rsidR="00F97D54" w:rsidRPr="00F43280" w:rsidTr="00832B03">
        <w:trPr>
          <w:trHeight w:val="432"/>
        </w:trPr>
        <w:tc>
          <w:tcPr>
            <w:tcW w:w="1908" w:type="dxa"/>
          </w:tcPr>
          <w:p w:rsidR="00F97D54" w:rsidRPr="00F43280" w:rsidRDefault="00F97D54" w:rsidP="00EB5B97">
            <w:pPr>
              <w:tabs>
                <w:tab w:val="left" w:pos="2022"/>
              </w:tabs>
              <w:rPr>
                <w:sz w:val="16"/>
                <w:szCs w:val="16"/>
              </w:rPr>
            </w:pPr>
            <w:r w:rsidRPr="00F43280">
              <w:rPr>
                <w:sz w:val="16"/>
                <w:szCs w:val="16"/>
              </w:rPr>
              <w:t>Circuit_ID</w:t>
            </w:r>
          </w:p>
        </w:tc>
        <w:tc>
          <w:tcPr>
            <w:tcW w:w="4321" w:type="dxa"/>
          </w:tcPr>
          <w:p w:rsidR="00F97D54" w:rsidRPr="00F43280" w:rsidRDefault="00F97D54" w:rsidP="00EB5B97">
            <w:pPr>
              <w:rPr>
                <w:sz w:val="16"/>
                <w:szCs w:val="16"/>
              </w:rPr>
            </w:pPr>
            <w:r w:rsidRPr="00F43280">
              <w:rPr>
                <w:sz w:val="16"/>
                <w:szCs w:val="16"/>
              </w:rPr>
              <w:t xml:space="preserve">Circuit identifier common to all </w:t>
            </w:r>
            <w:r>
              <w:rPr>
                <w:sz w:val="16"/>
                <w:szCs w:val="16"/>
              </w:rPr>
              <w:t>circuit</w:t>
            </w:r>
            <w:r w:rsidRPr="00F43280">
              <w:rPr>
                <w:sz w:val="16"/>
                <w:szCs w:val="16"/>
              </w:rPr>
              <w:t xml:space="preserve"> elements purchased in </w:t>
            </w:r>
            <w:r>
              <w:rPr>
                <w:sz w:val="16"/>
                <w:szCs w:val="16"/>
              </w:rPr>
              <w:t>common for a particular circuit</w:t>
            </w:r>
          </w:p>
          <w:p w:rsidR="00F97D54" w:rsidRPr="00F43280" w:rsidRDefault="00F97D54" w:rsidP="00EB5B97">
            <w:pPr>
              <w:rPr>
                <w:sz w:val="16"/>
                <w:szCs w:val="16"/>
              </w:rPr>
            </w:pPr>
          </w:p>
        </w:tc>
        <w:tc>
          <w:tcPr>
            <w:tcW w:w="1080" w:type="dxa"/>
          </w:tcPr>
          <w:p w:rsidR="00F97D54" w:rsidRPr="00F43280" w:rsidRDefault="00F97D54" w:rsidP="00EB5B97">
            <w:pPr>
              <w:rPr>
                <w:sz w:val="16"/>
                <w:szCs w:val="16"/>
              </w:rPr>
            </w:pPr>
            <w:r w:rsidRPr="00F43280">
              <w:rPr>
                <w:sz w:val="16"/>
                <w:szCs w:val="16"/>
              </w:rPr>
              <w:t>Text</w:t>
            </w:r>
          </w:p>
        </w:tc>
        <w:tc>
          <w:tcPr>
            <w:tcW w:w="1529" w:type="dxa"/>
          </w:tcPr>
          <w:p w:rsidR="00F97D54" w:rsidRPr="00F43280" w:rsidRDefault="00F97D54" w:rsidP="00EB5B97">
            <w:pPr>
              <w:rPr>
                <w:sz w:val="16"/>
                <w:szCs w:val="16"/>
              </w:rPr>
            </w:pPr>
            <w:r w:rsidRPr="00F43280">
              <w:rPr>
                <w:sz w:val="16"/>
                <w:szCs w:val="16"/>
              </w:rPr>
              <w:t>HHH555XYZ</w:t>
            </w:r>
          </w:p>
        </w:tc>
      </w:tr>
      <w:tr w:rsidR="00F97D54" w:rsidRPr="00F43280" w:rsidTr="00832B03">
        <w:trPr>
          <w:trHeight w:val="432"/>
        </w:trPr>
        <w:tc>
          <w:tcPr>
            <w:tcW w:w="1908" w:type="dxa"/>
          </w:tcPr>
          <w:p w:rsidR="00F97D54" w:rsidRPr="00F43280" w:rsidRDefault="00F97D54" w:rsidP="00EB5B97">
            <w:pPr>
              <w:tabs>
                <w:tab w:val="left" w:pos="2022"/>
              </w:tabs>
              <w:rPr>
                <w:sz w:val="16"/>
                <w:szCs w:val="16"/>
              </w:rPr>
            </w:pPr>
            <w:r w:rsidRPr="00F43280">
              <w:rPr>
                <w:sz w:val="16"/>
                <w:szCs w:val="16"/>
              </w:rPr>
              <w:t>Circuit_Type</w:t>
            </w:r>
          </w:p>
        </w:tc>
        <w:tc>
          <w:tcPr>
            <w:tcW w:w="4321" w:type="dxa"/>
          </w:tcPr>
          <w:p w:rsidR="00F97D54" w:rsidRPr="00F43280" w:rsidRDefault="00F97D54" w:rsidP="00EB5B97">
            <w:pPr>
              <w:rPr>
                <w:sz w:val="16"/>
                <w:szCs w:val="16"/>
              </w:rPr>
            </w:pPr>
            <w:r w:rsidRPr="00F43280">
              <w:rPr>
                <w:sz w:val="16"/>
                <w:szCs w:val="16"/>
              </w:rPr>
              <w:t>Type of circuit (</w:t>
            </w:r>
            <w:r w:rsidRPr="00F43280">
              <w:rPr>
                <w:i/>
                <w:sz w:val="16"/>
                <w:szCs w:val="16"/>
              </w:rPr>
              <w:t>DS1</w:t>
            </w:r>
            <w:r w:rsidRPr="00F43280">
              <w:rPr>
                <w:sz w:val="16"/>
                <w:szCs w:val="16"/>
              </w:rPr>
              <w:t xml:space="preserve">, </w:t>
            </w:r>
            <w:r w:rsidRPr="00F43280">
              <w:rPr>
                <w:i/>
                <w:sz w:val="16"/>
                <w:szCs w:val="16"/>
              </w:rPr>
              <w:t>DS3</w:t>
            </w:r>
            <w:r w:rsidRPr="00F43280">
              <w:rPr>
                <w:sz w:val="16"/>
                <w:szCs w:val="16"/>
              </w:rPr>
              <w:t xml:space="preserve">, </w:t>
            </w:r>
            <w:r w:rsidRPr="00F43280">
              <w:rPr>
                <w:i/>
                <w:sz w:val="16"/>
                <w:szCs w:val="16"/>
              </w:rPr>
              <w:t>DS1</w:t>
            </w:r>
            <w:r w:rsidRPr="00F43280">
              <w:rPr>
                <w:sz w:val="16"/>
                <w:szCs w:val="16"/>
              </w:rPr>
              <w:t>-UNE</w:t>
            </w:r>
            <w:r w:rsidRPr="00F43280">
              <w:rPr>
                <w:i/>
                <w:sz w:val="16"/>
                <w:szCs w:val="16"/>
              </w:rPr>
              <w:t>, DS3</w:t>
            </w:r>
            <w:r w:rsidRPr="00F43280">
              <w:rPr>
                <w:sz w:val="16"/>
                <w:szCs w:val="16"/>
              </w:rPr>
              <w:t xml:space="preserve">-UNE, </w:t>
            </w:r>
            <w:r>
              <w:rPr>
                <w:sz w:val="16"/>
                <w:szCs w:val="16"/>
              </w:rPr>
              <w:t xml:space="preserve">other </w:t>
            </w:r>
            <w:r w:rsidRPr="00F2534D">
              <w:rPr>
                <w:i/>
                <w:sz w:val="16"/>
                <w:szCs w:val="16"/>
              </w:rPr>
              <w:t>CBDS</w:t>
            </w:r>
            <w:r>
              <w:rPr>
                <w:sz w:val="16"/>
                <w:szCs w:val="16"/>
              </w:rPr>
              <w:t xml:space="preserve"> (</w:t>
            </w:r>
            <w:r w:rsidRPr="00F2534D">
              <w:rPr>
                <w:i/>
                <w:sz w:val="16"/>
                <w:szCs w:val="16"/>
              </w:rPr>
              <w:t>i.e.</w:t>
            </w:r>
            <w:r>
              <w:rPr>
                <w:sz w:val="16"/>
                <w:szCs w:val="16"/>
              </w:rPr>
              <w:t>, non-</w:t>
            </w:r>
            <w:r w:rsidRPr="005307A4">
              <w:rPr>
                <w:i/>
                <w:sz w:val="16"/>
                <w:szCs w:val="16"/>
              </w:rPr>
              <w:t>DSn</w:t>
            </w:r>
            <w:r w:rsidRPr="005307A4">
              <w:rPr>
                <w:sz w:val="16"/>
                <w:szCs w:val="16"/>
              </w:rPr>
              <w:t>),</w:t>
            </w:r>
            <w:r>
              <w:rPr>
                <w:sz w:val="16"/>
                <w:szCs w:val="16"/>
              </w:rPr>
              <w:t xml:space="preserve"> </w:t>
            </w:r>
            <w:r w:rsidRPr="00F43280">
              <w:rPr>
                <w:sz w:val="16"/>
                <w:szCs w:val="16"/>
              </w:rPr>
              <w:t xml:space="preserve">or </w:t>
            </w:r>
            <w:r>
              <w:rPr>
                <w:i/>
                <w:sz w:val="16"/>
                <w:szCs w:val="16"/>
              </w:rPr>
              <w:t>PBDS</w:t>
            </w:r>
            <w:r w:rsidRPr="00F43280">
              <w:rPr>
                <w:sz w:val="16"/>
                <w:szCs w:val="16"/>
              </w:rPr>
              <w:t xml:space="preserve">.  </w:t>
            </w:r>
          </w:p>
        </w:tc>
        <w:tc>
          <w:tcPr>
            <w:tcW w:w="1080" w:type="dxa"/>
          </w:tcPr>
          <w:p w:rsidR="00F97D54" w:rsidRPr="00F43280" w:rsidRDefault="00F97D54" w:rsidP="00EB5B97">
            <w:pPr>
              <w:rPr>
                <w:sz w:val="16"/>
                <w:szCs w:val="16"/>
              </w:rPr>
            </w:pPr>
            <w:r w:rsidRPr="00F43280">
              <w:rPr>
                <w:sz w:val="16"/>
                <w:szCs w:val="16"/>
              </w:rPr>
              <w:t>Text</w:t>
            </w:r>
          </w:p>
        </w:tc>
        <w:tc>
          <w:tcPr>
            <w:tcW w:w="1529" w:type="dxa"/>
          </w:tcPr>
          <w:p w:rsidR="00F97D54" w:rsidRPr="00F43280" w:rsidRDefault="00F97D54" w:rsidP="00EB5B97">
            <w:pPr>
              <w:rPr>
                <w:sz w:val="16"/>
                <w:szCs w:val="16"/>
              </w:rPr>
            </w:pPr>
            <w:r w:rsidRPr="00F43280">
              <w:rPr>
                <w:sz w:val="16"/>
                <w:szCs w:val="16"/>
              </w:rPr>
              <w:t>DS1</w:t>
            </w:r>
          </w:p>
        </w:tc>
      </w:tr>
      <w:tr w:rsidR="00F97D54" w:rsidRPr="00F43280" w:rsidTr="00832B03">
        <w:trPr>
          <w:trHeight w:val="432"/>
        </w:trPr>
        <w:tc>
          <w:tcPr>
            <w:tcW w:w="1908" w:type="dxa"/>
          </w:tcPr>
          <w:p w:rsidR="00F97D54" w:rsidRPr="00F43280" w:rsidRDefault="00F97D54" w:rsidP="00EB5B97">
            <w:pPr>
              <w:tabs>
                <w:tab w:val="left" w:pos="2022"/>
              </w:tabs>
              <w:rPr>
                <w:sz w:val="16"/>
                <w:szCs w:val="16"/>
              </w:rPr>
            </w:pPr>
            <w:r>
              <w:rPr>
                <w:sz w:val="16"/>
                <w:szCs w:val="16"/>
              </w:rPr>
              <w:t>DSn</w:t>
            </w:r>
            <w:r w:rsidRPr="00F43280">
              <w:rPr>
                <w:sz w:val="16"/>
                <w:szCs w:val="16"/>
              </w:rPr>
              <w:t>_Bandwidth</w:t>
            </w:r>
          </w:p>
        </w:tc>
        <w:tc>
          <w:tcPr>
            <w:tcW w:w="4321" w:type="dxa"/>
          </w:tcPr>
          <w:p w:rsidR="00F97D54" w:rsidRPr="00F43280" w:rsidRDefault="00F97D54" w:rsidP="00EB5B97">
            <w:pPr>
              <w:rPr>
                <w:sz w:val="16"/>
                <w:szCs w:val="16"/>
              </w:rPr>
            </w:pPr>
            <w:r w:rsidRPr="00F43280">
              <w:rPr>
                <w:sz w:val="16"/>
                <w:szCs w:val="16"/>
              </w:rPr>
              <w:t xml:space="preserve">If a </w:t>
            </w:r>
            <w:r w:rsidRPr="005307A4">
              <w:rPr>
                <w:i/>
                <w:sz w:val="16"/>
                <w:szCs w:val="16"/>
              </w:rPr>
              <w:t>DS1, DS3, DS1-UNE, or DS3-UNE</w:t>
            </w:r>
            <w:r w:rsidRPr="00F43280">
              <w:rPr>
                <w:sz w:val="16"/>
                <w:szCs w:val="16"/>
              </w:rPr>
              <w:t xml:space="preserve">, indicate the </w:t>
            </w:r>
            <w:r>
              <w:rPr>
                <w:sz w:val="16"/>
                <w:szCs w:val="16"/>
              </w:rPr>
              <w:t>one-direction bandwidth of the circuit in Mbps</w:t>
            </w:r>
            <w:r w:rsidRPr="00F43280">
              <w:rPr>
                <w:sz w:val="16"/>
                <w:szCs w:val="16"/>
              </w:rPr>
              <w:t>.</w:t>
            </w:r>
            <w:r>
              <w:rPr>
                <w:sz w:val="16"/>
                <w:szCs w:val="16"/>
              </w:rPr>
              <w:t xml:space="preserve">  </w:t>
            </w:r>
          </w:p>
        </w:tc>
        <w:tc>
          <w:tcPr>
            <w:tcW w:w="1080" w:type="dxa"/>
          </w:tcPr>
          <w:p w:rsidR="00F97D54" w:rsidRPr="00F43280" w:rsidRDefault="00F97D54" w:rsidP="00EB5B97">
            <w:pPr>
              <w:rPr>
                <w:sz w:val="16"/>
                <w:szCs w:val="16"/>
              </w:rPr>
            </w:pPr>
            <w:r>
              <w:rPr>
                <w:sz w:val="16"/>
                <w:szCs w:val="16"/>
              </w:rPr>
              <w:t>Float</w:t>
            </w:r>
          </w:p>
        </w:tc>
        <w:tc>
          <w:tcPr>
            <w:tcW w:w="1529" w:type="dxa"/>
          </w:tcPr>
          <w:p w:rsidR="00F97D54" w:rsidRPr="00F43280" w:rsidRDefault="00F97D54" w:rsidP="00EB5B97">
            <w:pPr>
              <w:rPr>
                <w:sz w:val="16"/>
                <w:szCs w:val="16"/>
              </w:rPr>
            </w:pPr>
            <w:r>
              <w:rPr>
                <w:sz w:val="16"/>
                <w:szCs w:val="16"/>
              </w:rPr>
              <w:t>1.544</w:t>
            </w:r>
          </w:p>
        </w:tc>
      </w:tr>
      <w:tr w:rsidR="00F97D54" w:rsidRPr="00F43280" w:rsidTr="00832B03">
        <w:trPr>
          <w:trHeight w:val="432"/>
        </w:trPr>
        <w:tc>
          <w:tcPr>
            <w:tcW w:w="1908" w:type="dxa"/>
          </w:tcPr>
          <w:p w:rsidR="00F97D54" w:rsidRDefault="00F97D54" w:rsidP="00EB5B97">
            <w:pPr>
              <w:tabs>
                <w:tab w:val="left" w:pos="2022"/>
              </w:tabs>
              <w:rPr>
                <w:sz w:val="16"/>
                <w:szCs w:val="16"/>
              </w:rPr>
            </w:pPr>
            <w:r>
              <w:rPr>
                <w:sz w:val="16"/>
                <w:szCs w:val="16"/>
              </w:rPr>
              <w:t>OtherCBDS_Bandwid</w:t>
            </w:r>
            <w:r w:rsidR="00F85A06">
              <w:rPr>
                <w:sz w:val="16"/>
                <w:szCs w:val="16"/>
              </w:rPr>
              <w:t>th</w:t>
            </w:r>
          </w:p>
        </w:tc>
        <w:tc>
          <w:tcPr>
            <w:tcW w:w="4321" w:type="dxa"/>
          </w:tcPr>
          <w:p w:rsidR="00F97D54" w:rsidRPr="00F43280" w:rsidRDefault="00F97D54" w:rsidP="00EB5B97">
            <w:pPr>
              <w:rPr>
                <w:sz w:val="16"/>
                <w:szCs w:val="16"/>
              </w:rPr>
            </w:pPr>
            <w:r>
              <w:rPr>
                <w:sz w:val="16"/>
                <w:szCs w:val="16"/>
              </w:rPr>
              <w:t xml:space="preserve">If a </w:t>
            </w:r>
            <w:r w:rsidRPr="00F2534D">
              <w:rPr>
                <w:i/>
                <w:sz w:val="16"/>
                <w:szCs w:val="16"/>
              </w:rPr>
              <w:t>CBDS</w:t>
            </w:r>
            <w:r>
              <w:rPr>
                <w:sz w:val="16"/>
                <w:szCs w:val="16"/>
              </w:rPr>
              <w:t xml:space="preserve"> circuit other than a </w:t>
            </w:r>
            <w:r w:rsidRPr="005307A4">
              <w:rPr>
                <w:i/>
                <w:sz w:val="16"/>
                <w:szCs w:val="16"/>
              </w:rPr>
              <w:t>DSn</w:t>
            </w:r>
            <w:r>
              <w:rPr>
                <w:sz w:val="16"/>
                <w:szCs w:val="16"/>
              </w:rPr>
              <w:t xml:space="preserve"> circuit, indicate the one-direction bandwidth of a symmetric circuit or the average one-direction bandwidth for non-symmetric circuits in Mbps.</w:t>
            </w:r>
          </w:p>
        </w:tc>
        <w:tc>
          <w:tcPr>
            <w:tcW w:w="1080" w:type="dxa"/>
          </w:tcPr>
          <w:p w:rsidR="00F97D54" w:rsidRPr="00F43280" w:rsidRDefault="00F97D54" w:rsidP="00EB5B97">
            <w:pPr>
              <w:rPr>
                <w:sz w:val="16"/>
                <w:szCs w:val="16"/>
              </w:rPr>
            </w:pPr>
            <w:r>
              <w:rPr>
                <w:sz w:val="16"/>
                <w:szCs w:val="16"/>
              </w:rPr>
              <w:t>Float</w:t>
            </w:r>
          </w:p>
        </w:tc>
        <w:tc>
          <w:tcPr>
            <w:tcW w:w="1529" w:type="dxa"/>
          </w:tcPr>
          <w:p w:rsidR="00F97D54" w:rsidRPr="00F43280" w:rsidRDefault="00F97D54" w:rsidP="00EB5B97">
            <w:pPr>
              <w:rPr>
                <w:sz w:val="16"/>
                <w:szCs w:val="16"/>
              </w:rPr>
            </w:pPr>
            <w:r>
              <w:rPr>
                <w:sz w:val="16"/>
                <w:szCs w:val="16"/>
              </w:rPr>
              <w:t>4.5</w:t>
            </w:r>
          </w:p>
        </w:tc>
      </w:tr>
      <w:tr w:rsidR="00F97D54" w:rsidRPr="00F43280" w:rsidTr="00832B03">
        <w:trPr>
          <w:trHeight w:val="234"/>
        </w:trPr>
        <w:tc>
          <w:tcPr>
            <w:tcW w:w="1908" w:type="dxa"/>
          </w:tcPr>
          <w:p w:rsidR="00F97D54" w:rsidRPr="00F43280" w:rsidRDefault="00F97D54" w:rsidP="00EB5B97">
            <w:pPr>
              <w:tabs>
                <w:tab w:val="left" w:pos="2022"/>
              </w:tabs>
              <w:rPr>
                <w:sz w:val="16"/>
                <w:szCs w:val="16"/>
              </w:rPr>
            </w:pPr>
            <w:r>
              <w:rPr>
                <w:sz w:val="16"/>
                <w:szCs w:val="16"/>
              </w:rPr>
              <w:t>PBDS</w:t>
            </w:r>
            <w:r w:rsidRPr="00F43280">
              <w:rPr>
                <w:sz w:val="16"/>
                <w:szCs w:val="16"/>
              </w:rPr>
              <w:t>_Bandwidth</w:t>
            </w:r>
          </w:p>
        </w:tc>
        <w:tc>
          <w:tcPr>
            <w:tcW w:w="4321" w:type="dxa"/>
          </w:tcPr>
          <w:p w:rsidR="00F97D54" w:rsidRPr="00F43280" w:rsidRDefault="00F97D54" w:rsidP="00EB5B97">
            <w:pPr>
              <w:rPr>
                <w:sz w:val="16"/>
                <w:szCs w:val="16"/>
              </w:rPr>
            </w:pPr>
            <w:r w:rsidRPr="00F43280">
              <w:rPr>
                <w:sz w:val="16"/>
                <w:szCs w:val="16"/>
              </w:rPr>
              <w:t xml:space="preserve">If a </w:t>
            </w:r>
            <w:r w:rsidRPr="00F2534D">
              <w:rPr>
                <w:i/>
                <w:sz w:val="16"/>
                <w:szCs w:val="16"/>
              </w:rPr>
              <w:t>PBDS</w:t>
            </w:r>
            <w:r w:rsidRPr="00F43280">
              <w:rPr>
                <w:sz w:val="16"/>
                <w:szCs w:val="16"/>
              </w:rPr>
              <w:t xml:space="preserve"> circuit, indicate the </w:t>
            </w:r>
            <w:r>
              <w:rPr>
                <w:sz w:val="16"/>
                <w:szCs w:val="16"/>
              </w:rPr>
              <w:t xml:space="preserve">one-direction </w:t>
            </w:r>
            <w:r w:rsidRPr="00F43280">
              <w:rPr>
                <w:sz w:val="16"/>
                <w:szCs w:val="16"/>
              </w:rPr>
              <w:t xml:space="preserve">bandwidth of </w:t>
            </w:r>
            <w:r>
              <w:rPr>
                <w:sz w:val="16"/>
                <w:szCs w:val="16"/>
              </w:rPr>
              <w:t>a symmetric</w:t>
            </w:r>
            <w:r w:rsidRPr="00F43280">
              <w:rPr>
                <w:sz w:val="16"/>
                <w:szCs w:val="16"/>
              </w:rPr>
              <w:t xml:space="preserve"> circuit</w:t>
            </w:r>
            <w:r>
              <w:rPr>
                <w:sz w:val="16"/>
                <w:szCs w:val="16"/>
              </w:rPr>
              <w:t xml:space="preserve"> or the average one-direction bandwidth of non-symmetric circuits </w:t>
            </w:r>
            <w:r w:rsidRPr="00F43280">
              <w:rPr>
                <w:sz w:val="16"/>
                <w:szCs w:val="16"/>
              </w:rPr>
              <w:t>in Mbps.</w:t>
            </w:r>
          </w:p>
        </w:tc>
        <w:tc>
          <w:tcPr>
            <w:tcW w:w="1080" w:type="dxa"/>
          </w:tcPr>
          <w:p w:rsidR="00F97D54" w:rsidRPr="00F43280" w:rsidRDefault="00F97D54" w:rsidP="00EB5B97">
            <w:pPr>
              <w:rPr>
                <w:sz w:val="16"/>
                <w:szCs w:val="16"/>
              </w:rPr>
            </w:pPr>
            <w:r>
              <w:rPr>
                <w:sz w:val="16"/>
                <w:szCs w:val="16"/>
              </w:rPr>
              <w:t>Float</w:t>
            </w:r>
          </w:p>
        </w:tc>
        <w:tc>
          <w:tcPr>
            <w:tcW w:w="1529" w:type="dxa"/>
          </w:tcPr>
          <w:p w:rsidR="00F97D54" w:rsidRPr="00F43280" w:rsidRDefault="00F97D54" w:rsidP="00EB5B97">
            <w:pPr>
              <w:rPr>
                <w:sz w:val="16"/>
                <w:szCs w:val="16"/>
              </w:rPr>
            </w:pPr>
            <w:r>
              <w:rPr>
                <w:sz w:val="16"/>
                <w:szCs w:val="16"/>
              </w:rPr>
              <w:t>100</w:t>
            </w:r>
          </w:p>
        </w:tc>
      </w:tr>
      <w:tr w:rsidR="00F97D54" w:rsidRPr="00F43280" w:rsidTr="00832B03">
        <w:trPr>
          <w:trHeight w:val="423"/>
        </w:trPr>
        <w:tc>
          <w:tcPr>
            <w:tcW w:w="1908" w:type="dxa"/>
          </w:tcPr>
          <w:p w:rsidR="00F97D54" w:rsidRPr="00F43280" w:rsidRDefault="00F97D54" w:rsidP="00EB5B97">
            <w:pPr>
              <w:tabs>
                <w:tab w:val="left" w:pos="2022"/>
              </w:tabs>
              <w:rPr>
                <w:sz w:val="16"/>
                <w:szCs w:val="16"/>
              </w:rPr>
            </w:pPr>
            <w:r>
              <w:rPr>
                <w:sz w:val="16"/>
                <w:szCs w:val="16"/>
              </w:rPr>
              <w:t>Billing</w:t>
            </w:r>
            <w:r w:rsidRPr="00F43280">
              <w:rPr>
                <w:sz w:val="16"/>
                <w:szCs w:val="16"/>
              </w:rPr>
              <w:t>_Code</w:t>
            </w:r>
          </w:p>
        </w:tc>
        <w:tc>
          <w:tcPr>
            <w:tcW w:w="4321" w:type="dxa"/>
          </w:tcPr>
          <w:p w:rsidR="00F97D54" w:rsidRPr="00F43280" w:rsidRDefault="00F97D54" w:rsidP="00EB5B97">
            <w:pPr>
              <w:rPr>
                <w:sz w:val="16"/>
                <w:szCs w:val="16"/>
              </w:rPr>
            </w:pPr>
            <w:r w:rsidRPr="00F43280">
              <w:rPr>
                <w:sz w:val="16"/>
                <w:szCs w:val="16"/>
              </w:rPr>
              <w:t>Billing</w:t>
            </w:r>
            <w:r>
              <w:rPr>
                <w:sz w:val="16"/>
                <w:szCs w:val="16"/>
              </w:rPr>
              <w:t xml:space="preserve"> code (</w:t>
            </w:r>
            <w:r w:rsidRPr="00F2534D">
              <w:rPr>
                <w:i/>
                <w:sz w:val="16"/>
                <w:szCs w:val="16"/>
              </w:rPr>
              <w:t>e.g.</w:t>
            </w:r>
            <w:r>
              <w:rPr>
                <w:sz w:val="16"/>
                <w:szCs w:val="16"/>
              </w:rPr>
              <w:t>, USOC) used to identify the billed circuit element.  (This variable will also appear in Question II.A.14 and is used to link the billed circuit elements with their descriptions.)</w:t>
            </w:r>
          </w:p>
        </w:tc>
        <w:tc>
          <w:tcPr>
            <w:tcW w:w="1080" w:type="dxa"/>
          </w:tcPr>
          <w:p w:rsidR="00F97D54" w:rsidRPr="00F43280" w:rsidRDefault="00F97D54" w:rsidP="00EB5B97">
            <w:pPr>
              <w:rPr>
                <w:sz w:val="16"/>
                <w:szCs w:val="16"/>
              </w:rPr>
            </w:pPr>
            <w:r w:rsidRPr="00F43280">
              <w:rPr>
                <w:sz w:val="16"/>
                <w:szCs w:val="16"/>
              </w:rPr>
              <w:t>Text</w:t>
            </w:r>
          </w:p>
        </w:tc>
        <w:tc>
          <w:tcPr>
            <w:tcW w:w="1529" w:type="dxa"/>
          </w:tcPr>
          <w:p w:rsidR="00F97D54" w:rsidRPr="00F43280" w:rsidRDefault="00F97D54" w:rsidP="00EB5B97">
            <w:pPr>
              <w:rPr>
                <w:sz w:val="16"/>
                <w:szCs w:val="16"/>
              </w:rPr>
            </w:pPr>
            <w:r w:rsidRPr="00F43280">
              <w:rPr>
                <w:sz w:val="16"/>
                <w:szCs w:val="16"/>
              </w:rPr>
              <w:t>1YZXD</w:t>
            </w:r>
          </w:p>
        </w:tc>
      </w:tr>
      <w:tr w:rsidR="00F97D54" w:rsidRPr="00F43280" w:rsidTr="00832B03">
        <w:trPr>
          <w:cantSplit/>
          <w:trHeight w:val="540"/>
        </w:trPr>
        <w:tc>
          <w:tcPr>
            <w:tcW w:w="1908" w:type="dxa"/>
          </w:tcPr>
          <w:p w:rsidR="00F97D54" w:rsidRPr="00F43280" w:rsidRDefault="00F97D54" w:rsidP="00EB5B97">
            <w:pPr>
              <w:tabs>
                <w:tab w:val="left" w:pos="2022"/>
              </w:tabs>
              <w:rPr>
                <w:sz w:val="16"/>
                <w:szCs w:val="16"/>
              </w:rPr>
            </w:pPr>
            <w:r w:rsidRPr="00F43280">
              <w:rPr>
                <w:sz w:val="16"/>
                <w:szCs w:val="16"/>
              </w:rPr>
              <w:t>Quantity</w:t>
            </w:r>
          </w:p>
        </w:tc>
        <w:tc>
          <w:tcPr>
            <w:tcW w:w="4321" w:type="dxa"/>
          </w:tcPr>
          <w:p w:rsidR="00F97D54" w:rsidRPr="00F43280" w:rsidRDefault="00F97D54" w:rsidP="00EB5B97">
            <w:pPr>
              <w:rPr>
                <w:sz w:val="16"/>
                <w:szCs w:val="16"/>
              </w:rPr>
            </w:pPr>
            <w:r w:rsidRPr="00F43280">
              <w:rPr>
                <w:sz w:val="16"/>
                <w:szCs w:val="16"/>
              </w:rPr>
              <w:t xml:space="preserve">Number of billed units for this </w:t>
            </w:r>
            <w:r>
              <w:rPr>
                <w:sz w:val="16"/>
                <w:szCs w:val="16"/>
              </w:rPr>
              <w:t>circuit</w:t>
            </w:r>
            <w:r w:rsidRPr="00F43280">
              <w:rPr>
                <w:sz w:val="16"/>
                <w:szCs w:val="16"/>
              </w:rPr>
              <w:t xml:space="preserve"> element.  </w:t>
            </w:r>
            <w:r>
              <w:rPr>
                <w:sz w:val="16"/>
                <w:szCs w:val="16"/>
              </w:rPr>
              <w:t>Do</w:t>
            </w:r>
            <w:r w:rsidRPr="00F43280">
              <w:rPr>
                <w:sz w:val="16"/>
                <w:szCs w:val="16"/>
              </w:rPr>
              <w:t xml:space="preserve"> not </w:t>
            </w:r>
            <w:r>
              <w:rPr>
                <w:sz w:val="16"/>
                <w:szCs w:val="16"/>
              </w:rPr>
              <w:t xml:space="preserve">enter </w:t>
            </w:r>
            <w:r w:rsidRPr="00F43280">
              <w:rPr>
                <w:sz w:val="16"/>
                <w:szCs w:val="16"/>
              </w:rPr>
              <w:t>the bandwidth of the circuit</w:t>
            </w:r>
            <w:r>
              <w:rPr>
                <w:sz w:val="16"/>
                <w:szCs w:val="16"/>
              </w:rPr>
              <w:t xml:space="preserve"> in this field</w:t>
            </w:r>
            <w:r w:rsidRPr="00F43280">
              <w:rPr>
                <w:sz w:val="16"/>
                <w:szCs w:val="16"/>
              </w:rPr>
              <w:t>.</w:t>
            </w:r>
            <w:r>
              <w:rPr>
                <w:sz w:val="16"/>
                <w:szCs w:val="16"/>
              </w:rPr>
              <w:t xml:space="preserve">  </w:t>
            </w:r>
          </w:p>
        </w:tc>
        <w:tc>
          <w:tcPr>
            <w:tcW w:w="1080" w:type="dxa"/>
          </w:tcPr>
          <w:p w:rsidR="00F97D54" w:rsidRPr="00F43280" w:rsidRDefault="00F97D54" w:rsidP="00EB5B97">
            <w:pPr>
              <w:rPr>
                <w:sz w:val="16"/>
                <w:szCs w:val="16"/>
              </w:rPr>
            </w:pPr>
            <w:r>
              <w:rPr>
                <w:sz w:val="16"/>
                <w:szCs w:val="16"/>
              </w:rPr>
              <w:t>Float</w:t>
            </w:r>
          </w:p>
        </w:tc>
        <w:tc>
          <w:tcPr>
            <w:tcW w:w="1529" w:type="dxa"/>
          </w:tcPr>
          <w:p w:rsidR="00F97D54" w:rsidRPr="00F43280" w:rsidRDefault="00F97D54" w:rsidP="00EB5B97">
            <w:pPr>
              <w:rPr>
                <w:sz w:val="16"/>
                <w:szCs w:val="16"/>
              </w:rPr>
            </w:pPr>
            <w:r w:rsidRPr="00F43280">
              <w:rPr>
                <w:sz w:val="16"/>
                <w:szCs w:val="16"/>
              </w:rPr>
              <w:t>34</w:t>
            </w:r>
          </w:p>
        </w:tc>
      </w:tr>
      <w:tr w:rsidR="00F97D54" w:rsidRPr="00F43280" w:rsidTr="00832B03">
        <w:trPr>
          <w:cantSplit/>
          <w:trHeight w:val="432"/>
        </w:trPr>
        <w:tc>
          <w:tcPr>
            <w:tcW w:w="1908" w:type="dxa"/>
          </w:tcPr>
          <w:p w:rsidR="00F97D54" w:rsidRPr="00F43280" w:rsidRDefault="00F97D54" w:rsidP="00EB5B97">
            <w:pPr>
              <w:tabs>
                <w:tab w:val="left" w:pos="2022"/>
              </w:tabs>
              <w:rPr>
                <w:sz w:val="16"/>
                <w:szCs w:val="16"/>
              </w:rPr>
            </w:pPr>
            <w:r w:rsidRPr="00F43280">
              <w:rPr>
                <w:sz w:val="16"/>
                <w:szCs w:val="16"/>
              </w:rPr>
              <w:t>Initial_NRC</w:t>
            </w:r>
          </w:p>
        </w:tc>
        <w:tc>
          <w:tcPr>
            <w:tcW w:w="4321" w:type="dxa"/>
          </w:tcPr>
          <w:p w:rsidR="00F97D54" w:rsidRPr="00F43280" w:rsidRDefault="00F97D54" w:rsidP="00EB5B97">
            <w:pPr>
              <w:rPr>
                <w:sz w:val="16"/>
                <w:szCs w:val="16"/>
              </w:rPr>
            </w:pPr>
            <w:r w:rsidRPr="00F43280">
              <w:rPr>
                <w:sz w:val="16"/>
                <w:szCs w:val="16"/>
              </w:rPr>
              <w:t xml:space="preserve">Non-recurring </w:t>
            </w:r>
            <w:r>
              <w:rPr>
                <w:sz w:val="16"/>
                <w:szCs w:val="16"/>
              </w:rPr>
              <w:t>charge (in dollars)</w:t>
            </w:r>
            <w:r w:rsidRPr="00F43280">
              <w:rPr>
                <w:sz w:val="16"/>
                <w:szCs w:val="16"/>
              </w:rPr>
              <w:t xml:space="preserve"> billed for the first unit of this </w:t>
            </w:r>
            <w:r>
              <w:rPr>
                <w:sz w:val="16"/>
                <w:szCs w:val="16"/>
              </w:rPr>
              <w:t>circuit</w:t>
            </w:r>
            <w:r w:rsidRPr="00F43280">
              <w:rPr>
                <w:sz w:val="16"/>
                <w:szCs w:val="16"/>
              </w:rPr>
              <w:t xml:space="preserve"> element</w:t>
            </w:r>
          </w:p>
        </w:tc>
        <w:tc>
          <w:tcPr>
            <w:tcW w:w="1080" w:type="dxa"/>
          </w:tcPr>
          <w:p w:rsidR="00F97D54" w:rsidRPr="00F43280" w:rsidRDefault="00F97D54" w:rsidP="00EB5B97">
            <w:pPr>
              <w:rPr>
                <w:sz w:val="16"/>
                <w:szCs w:val="16"/>
              </w:rPr>
            </w:pPr>
            <w:r w:rsidRPr="00F43280">
              <w:rPr>
                <w:sz w:val="16"/>
                <w:szCs w:val="16"/>
              </w:rPr>
              <w:t>Float</w:t>
            </w:r>
          </w:p>
        </w:tc>
        <w:tc>
          <w:tcPr>
            <w:tcW w:w="1529" w:type="dxa"/>
          </w:tcPr>
          <w:p w:rsidR="00F97D54" w:rsidRPr="00F43280" w:rsidRDefault="00F97D54" w:rsidP="00EB5B97">
            <w:pPr>
              <w:rPr>
                <w:sz w:val="16"/>
                <w:szCs w:val="16"/>
              </w:rPr>
            </w:pPr>
            <w:r w:rsidRPr="00F43280">
              <w:rPr>
                <w:sz w:val="16"/>
                <w:szCs w:val="16"/>
              </w:rPr>
              <w:t>0</w:t>
            </w:r>
          </w:p>
        </w:tc>
      </w:tr>
      <w:tr w:rsidR="00F97D54" w:rsidRPr="00F43280" w:rsidTr="00832B03">
        <w:trPr>
          <w:cantSplit/>
          <w:trHeight w:val="432"/>
        </w:trPr>
        <w:tc>
          <w:tcPr>
            <w:tcW w:w="1908" w:type="dxa"/>
          </w:tcPr>
          <w:p w:rsidR="00F97D54" w:rsidRPr="00F43280" w:rsidRDefault="00F97D54" w:rsidP="00EB5B97">
            <w:pPr>
              <w:tabs>
                <w:tab w:val="left" w:pos="2022"/>
              </w:tabs>
              <w:rPr>
                <w:sz w:val="16"/>
                <w:szCs w:val="16"/>
              </w:rPr>
            </w:pPr>
            <w:r w:rsidRPr="00F43280">
              <w:rPr>
                <w:sz w:val="16"/>
                <w:szCs w:val="16"/>
              </w:rPr>
              <w:t>Unit_NRC</w:t>
            </w:r>
          </w:p>
        </w:tc>
        <w:tc>
          <w:tcPr>
            <w:tcW w:w="4321" w:type="dxa"/>
          </w:tcPr>
          <w:p w:rsidR="00F97D54" w:rsidRPr="00F43280" w:rsidRDefault="00F97D54" w:rsidP="00EB5B97">
            <w:pPr>
              <w:rPr>
                <w:sz w:val="16"/>
                <w:szCs w:val="16"/>
              </w:rPr>
            </w:pPr>
            <w:r w:rsidRPr="00F43280">
              <w:rPr>
                <w:sz w:val="16"/>
                <w:szCs w:val="16"/>
              </w:rPr>
              <w:t xml:space="preserve">Non-recurring </w:t>
            </w:r>
            <w:r>
              <w:rPr>
                <w:sz w:val="16"/>
                <w:szCs w:val="16"/>
              </w:rPr>
              <w:t>charge (in dollars)</w:t>
            </w:r>
            <w:r w:rsidRPr="00F43280">
              <w:rPr>
                <w:sz w:val="16"/>
                <w:szCs w:val="16"/>
              </w:rPr>
              <w:t xml:space="preserve"> billed for additional units of this </w:t>
            </w:r>
            <w:r>
              <w:rPr>
                <w:sz w:val="16"/>
                <w:szCs w:val="16"/>
              </w:rPr>
              <w:t>circuit</w:t>
            </w:r>
            <w:r w:rsidRPr="00F43280">
              <w:rPr>
                <w:sz w:val="16"/>
                <w:szCs w:val="16"/>
              </w:rPr>
              <w:t xml:space="preserve"> element</w:t>
            </w:r>
          </w:p>
        </w:tc>
        <w:tc>
          <w:tcPr>
            <w:tcW w:w="1080" w:type="dxa"/>
          </w:tcPr>
          <w:p w:rsidR="00F97D54" w:rsidRPr="00F43280" w:rsidRDefault="00F97D54" w:rsidP="00EB5B97">
            <w:pPr>
              <w:rPr>
                <w:sz w:val="16"/>
                <w:szCs w:val="16"/>
              </w:rPr>
            </w:pPr>
            <w:r w:rsidRPr="00F43280">
              <w:rPr>
                <w:sz w:val="16"/>
                <w:szCs w:val="16"/>
              </w:rPr>
              <w:t>Float</w:t>
            </w:r>
          </w:p>
        </w:tc>
        <w:tc>
          <w:tcPr>
            <w:tcW w:w="1529" w:type="dxa"/>
          </w:tcPr>
          <w:p w:rsidR="00F97D54" w:rsidRPr="00F43280" w:rsidRDefault="00F97D54" w:rsidP="00EB5B97">
            <w:pPr>
              <w:rPr>
                <w:sz w:val="16"/>
                <w:szCs w:val="16"/>
              </w:rPr>
            </w:pPr>
            <w:r w:rsidRPr="00F43280">
              <w:rPr>
                <w:sz w:val="16"/>
                <w:szCs w:val="16"/>
              </w:rPr>
              <w:t>0</w:t>
            </w:r>
          </w:p>
        </w:tc>
      </w:tr>
      <w:tr w:rsidR="00F97D54" w:rsidRPr="00F43280" w:rsidTr="00832B03">
        <w:trPr>
          <w:cantSplit/>
          <w:trHeight w:val="432"/>
        </w:trPr>
        <w:tc>
          <w:tcPr>
            <w:tcW w:w="1908" w:type="dxa"/>
          </w:tcPr>
          <w:p w:rsidR="00F97D54" w:rsidRPr="00F43280" w:rsidRDefault="00F97D54" w:rsidP="00EB5B97">
            <w:pPr>
              <w:tabs>
                <w:tab w:val="left" w:pos="2022"/>
              </w:tabs>
              <w:rPr>
                <w:sz w:val="16"/>
                <w:szCs w:val="16"/>
              </w:rPr>
            </w:pPr>
            <w:r w:rsidRPr="00F43280">
              <w:rPr>
                <w:sz w:val="16"/>
                <w:szCs w:val="16"/>
              </w:rPr>
              <w:t>Initial_MRC</w:t>
            </w:r>
          </w:p>
        </w:tc>
        <w:tc>
          <w:tcPr>
            <w:tcW w:w="4321" w:type="dxa"/>
          </w:tcPr>
          <w:p w:rsidR="00F97D54" w:rsidRPr="00F43280" w:rsidRDefault="00F97D54" w:rsidP="00EB5B97">
            <w:pPr>
              <w:rPr>
                <w:sz w:val="16"/>
                <w:szCs w:val="16"/>
              </w:rPr>
            </w:pPr>
            <w:r w:rsidRPr="00F43280">
              <w:rPr>
                <w:sz w:val="16"/>
                <w:szCs w:val="16"/>
              </w:rPr>
              <w:t xml:space="preserve">Monthly recurring </w:t>
            </w:r>
            <w:r>
              <w:rPr>
                <w:sz w:val="16"/>
                <w:szCs w:val="16"/>
              </w:rPr>
              <w:t>charge (in dollars)</w:t>
            </w:r>
            <w:r w:rsidRPr="00F43280">
              <w:rPr>
                <w:sz w:val="16"/>
                <w:szCs w:val="16"/>
              </w:rPr>
              <w:t xml:space="preserve"> for the first unit billed</w:t>
            </w:r>
          </w:p>
        </w:tc>
        <w:tc>
          <w:tcPr>
            <w:tcW w:w="1080" w:type="dxa"/>
          </w:tcPr>
          <w:p w:rsidR="00F97D54" w:rsidRPr="00F43280" w:rsidRDefault="00F97D54" w:rsidP="00EB5B97">
            <w:pPr>
              <w:rPr>
                <w:sz w:val="16"/>
                <w:szCs w:val="16"/>
              </w:rPr>
            </w:pPr>
            <w:r w:rsidRPr="00F43280">
              <w:rPr>
                <w:sz w:val="16"/>
                <w:szCs w:val="16"/>
              </w:rPr>
              <w:t>Float</w:t>
            </w:r>
          </w:p>
        </w:tc>
        <w:tc>
          <w:tcPr>
            <w:tcW w:w="1529" w:type="dxa"/>
          </w:tcPr>
          <w:p w:rsidR="00F97D54" w:rsidRPr="00F43280" w:rsidRDefault="00F97D54" w:rsidP="00EB5B97">
            <w:pPr>
              <w:rPr>
                <w:sz w:val="16"/>
                <w:szCs w:val="16"/>
              </w:rPr>
            </w:pPr>
            <w:r w:rsidRPr="00F43280">
              <w:rPr>
                <w:sz w:val="16"/>
                <w:szCs w:val="16"/>
              </w:rPr>
              <w:t>17.7</w:t>
            </w:r>
          </w:p>
        </w:tc>
      </w:tr>
      <w:tr w:rsidR="00F97D54" w:rsidRPr="00F43280" w:rsidTr="00832B03">
        <w:trPr>
          <w:cantSplit/>
          <w:trHeight w:val="432"/>
        </w:trPr>
        <w:tc>
          <w:tcPr>
            <w:tcW w:w="1908" w:type="dxa"/>
          </w:tcPr>
          <w:p w:rsidR="00F97D54" w:rsidRPr="00F43280" w:rsidRDefault="00F97D54" w:rsidP="00EB5B97">
            <w:pPr>
              <w:tabs>
                <w:tab w:val="left" w:pos="2022"/>
              </w:tabs>
              <w:rPr>
                <w:sz w:val="16"/>
                <w:szCs w:val="16"/>
              </w:rPr>
            </w:pPr>
            <w:r w:rsidRPr="00F43280">
              <w:rPr>
                <w:sz w:val="16"/>
                <w:szCs w:val="16"/>
              </w:rPr>
              <w:t>Unit_MRC</w:t>
            </w:r>
          </w:p>
          <w:p w:rsidR="00F97D54" w:rsidRPr="00F43280" w:rsidRDefault="00F97D54" w:rsidP="00EB5B97">
            <w:pPr>
              <w:tabs>
                <w:tab w:val="left" w:pos="2022"/>
              </w:tabs>
              <w:rPr>
                <w:sz w:val="16"/>
                <w:szCs w:val="16"/>
              </w:rPr>
            </w:pPr>
          </w:p>
        </w:tc>
        <w:tc>
          <w:tcPr>
            <w:tcW w:w="4321" w:type="dxa"/>
          </w:tcPr>
          <w:p w:rsidR="00F97D54" w:rsidRPr="00F43280" w:rsidRDefault="00F97D54" w:rsidP="00EB5B97">
            <w:pPr>
              <w:rPr>
                <w:sz w:val="16"/>
                <w:szCs w:val="16"/>
              </w:rPr>
            </w:pPr>
            <w:r w:rsidRPr="00F43280">
              <w:rPr>
                <w:sz w:val="16"/>
                <w:szCs w:val="16"/>
              </w:rPr>
              <w:t xml:space="preserve">Monthly recurring </w:t>
            </w:r>
            <w:r>
              <w:rPr>
                <w:sz w:val="16"/>
                <w:szCs w:val="16"/>
              </w:rPr>
              <w:t>charge (in dollars)</w:t>
            </w:r>
            <w:r w:rsidRPr="00F43280">
              <w:rPr>
                <w:sz w:val="16"/>
                <w:szCs w:val="16"/>
              </w:rPr>
              <w:t xml:space="preserve"> for additional units billed (if different from the amount billed for the initial unit)</w:t>
            </w:r>
          </w:p>
          <w:p w:rsidR="00F97D54" w:rsidRPr="00F43280" w:rsidRDefault="00F97D54" w:rsidP="00EB5B97">
            <w:pPr>
              <w:rPr>
                <w:sz w:val="16"/>
                <w:szCs w:val="16"/>
              </w:rPr>
            </w:pPr>
          </w:p>
        </w:tc>
        <w:tc>
          <w:tcPr>
            <w:tcW w:w="1080" w:type="dxa"/>
          </w:tcPr>
          <w:p w:rsidR="00F97D54" w:rsidRPr="00F43280" w:rsidRDefault="00F97D54" w:rsidP="00EB5B97">
            <w:pPr>
              <w:rPr>
                <w:sz w:val="16"/>
                <w:szCs w:val="16"/>
              </w:rPr>
            </w:pPr>
            <w:r w:rsidRPr="00F43280">
              <w:rPr>
                <w:sz w:val="16"/>
                <w:szCs w:val="16"/>
              </w:rPr>
              <w:t>Float</w:t>
            </w:r>
          </w:p>
          <w:p w:rsidR="00F97D54" w:rsidRPr="00F43280" w:rsidRDefault="00F97D54" w:rsidP="00EB5B97">
            <w:pPr>
              <w:rPr>
                <w:sz w:val="16"/>
                <w:szCs w:val="16"/>
              </w:rPr>
            </w:pPr>
          </w:p>
        </w:tc>
        <w:tc>
          <w:tcPr>
            <w:tcW w:w="1529" w:type="dxa"/>
          </w:tcPr>
          <w:p w:rsidR="00F97D54" w:rsidRPr="00F43280" w:rsidRDefault="00F97D54" w:rsidP="00EB5B97">
            <w:pPr>
              <w:rPr>
                <w:sz w:val="16"/>
                <w:szCs w:val="16"/>
              </w:rPr>
            </w:pPr>
            <w:r w:rsidRPr="00F43280">
              <w:rPr>
                <w:sz w:val="16"/>
                <w:szCs w:val="16"/>
              </w:rPr>
              <w:t>0</w:t>
            </w:r>
          </w:p>
          <w:p w:rsidR="00F97D54" w:rsidRPr="00F43280" w:rsidRDefault="00F97D54" w:rsidP="00EB5B97">
            <w:pPr>
              <w:rPr>
                <w:sz w:val="16"/>
                <w:szCs w:val="16"/>
              </w:rPr>
            </w:pPr>
          </w:p>
        </w:tc>
      </w:tr>
      <w:tr w:rsidR="00F97D54" w:rsidRPr="00F43280" w:rsidTr="00832B03">
        <w:trPr>
          <w:cantSplit/>
          <w:trHeight w:val="432"/>
        </w:trPr>
        <w:tc>
          <w:tcPr>
            <w:tcW w:w="1908" w:type="dxa"/>
          </w:tcPr>
          <w:p w:rsidR="00F97D54" w:rsidRPr="00F43280" w:rsidRDefault="00F97D54" w:rsidP="00EB5B97">
            <w:pPr>
              <w:tabs>
                <w:tab w:val="left" w:pos="2022"/>
              </w:tabs>
              <w:rPr>
                <w:sz w:val="16"/>
                <w:szCs w:val="16"/>
              </w:rPr>
            </w:pPr>
            <w:r w:rsidRPr="00F43280">
              <w:rPr>
                <w:sz w:val="16"/>
                <w:szCs w:val="16"/>
              </w:rPr>
              <w:t>Billed</w:t>
            </w:r>
          </w:p>
          <w:p w:rsidR="00F97D54" w:rsidRPr="00F43280" w:rsidRDefault="00F97D54" w:rsidP="00EB5B97">
            <w:pPr>
              <w:tabs>
                <w:tab w:val="left" w:pos="2022"/>
              </w:tabs>
              <w:rPr>
                <w:sz w:val="16"/>
                <w:szCs w:val="16"/>
              </w:rPr>
            </w:pPr>
          </w:p>
        </w:tc>
        <w:tc>
          <w:tcPr>
            <w:tcW w:w="4321" w:type="dxa"/>
          </w:tcPr>
          <w:p w:rsidR="00F97D54" w:rsidRPr="00F43280" w:rsidRDefault="00F97D54" w:rsidP="00EB5B97">
            <w:pPr>
              <w:rPr>
                <w:sz w:val="16"/>
                <w:szCs w:val="16"/>
              </w:rPr>
            </w:pPr>
            <w:r>
              <w:rPr>
                <w:sz w:val="16"/>
                <w:szCs w:val="16"/>
              </w:rPr>
              <w:t>Per unit amount (in dollars)</w:t>
            </w:r>
            <w:r w:rsidRPr="00F43280">
              <w:rPr>
                <w:sz w:val="16"/>
                <w:szCs w:val="16"/>
              </w:rPr>
              <w:t xml:space="preserve"> billed for the </w:t>
            </w:r>
            <w:r>
              <w:rPr>
                <w:sz w:val="16"/>
                <w:szCs w:val="16"/>
              </w:rPr>
              <w:t>circuit</w:t>
            </w:r>
            <w:r w:rsidRPr="00F43280">
              <w:rPr>
                <w:sz w:val="16"/>
                <w:szCs w:val="16"/>
              </w:rPr>
              <w:t xml:space="preserve"> element including all </w:t>
            </w:r>
            <w:r>
              <w:rPr>
                <w:sz w:val="16"/>
                <w:szCs w:val="16"/>
              </w:rPr>
              <w:t xml:space="preserve">“in-cycle” </w:t>
            </w:r>
            <w:r w:rsidRPr="00F43280">
              <w:rPr>
                <w:sz w:val="16"/>
                <w:szCs w:val="16"/>
              </w:rPr>
              <w:t>discounts and penalties</w:t>
            </w:r>
            <w:r>
              <w:rPr>
                <w:sz w:val="16"/>
                <w:szCs w:val="16"/>
              </w:rPr>
              <w:t>. For circuit elements with multiple billed units (</w:t>
            </w:r>
            <w:r w:rsidRPr="0081514F">
              <w:rPr>
                <w:i/>
                <w:sz w:val="16"/>
                <w:szCs w:val="16"/>
              </w:rPr>
              <w:t>i.e.</w:t>
            </w:r>
            <w:r>
              <w:rPr>
                <w:sz w:val="16"/>
                <w:szCs w:val="16"/>
              </w:rPr>
              <w:t>, quantity greater than one in II.A.12.g), enter the amount billed for a single unit</w:t>
            </w:r>
          </w:p>
          <w:p w:rsidR="00F97D54" w:rsidRPr="00F43280" w:rsidRDefault="00F97D54" w:rsidP="00EB5B97">
            <w:pPr>
              <w:rPr>
                <w:sz w:val="16"/>
                <w:szCs w:val="16"/>
              </w:rPr>
            </w:pPr>
          </w:p>
        </w:tc>
        <w:tc>
          <w:tcPr>
            <w:tcW w:w="1080" w:type="dxa"/>
          </w:tcPr>
          <w:p w:rsidR="00F97D54" w:rsidRPr="00F43280" w:rsidRDefault="00F97D54" w:rsidP="00EB5B97">
            <w:pPr>
              <w:rPr>
                <w:sz w:val="16"/>
                <w:szCs w:val="16"/>
              </w:rPr>
            </w:pPr>
            <w:r w:rsidRPr="00F43280">
              <w:rPr>
                <w:sz w:val="16"/>
                <w:szCs w:val="16"/>
              </w:rPr>
              <w:t>Float</w:t>
            </w:r>
          </w:p>
          <w:p w:rsidR="00F97D54" w:rsidRPr="00F43280" w:rsidRDefault="00F97D54" w:rsidP="00EB5B97">
            <w:pPr>
              <w:rPr>
                <w:sz w:val="16"/>
                <w:szCs w:val="16"/>
              </w:rPr>
            </w:pPr>
          </w:p>
        </w:tc>
        <w:tc>
          <w:tcPr>
            <w:tcW w:w="1529" w:type="dxa"/>
          </w:tcPr>
          <w:p w:rsidR="00F97D54" w:rsidRPr="00F43280" w:rsidRDefault="00F97D54" w:rsidP="00EB5B97">
            <w:pPr>
              <w:rPr>
                <w:sz w:val="16"/>
                <w:szCs w:val="16"/>
              </w:rPr>
            </w:pPr>
            <w:r w:rsidRPr="00F43280">
              <w:rPr>
                <w:sz w:val="16"/>
                <w:szCs w:val="16"/>
              </w:rPr>
              <w:t>507.3</w:t>
            </w:r>
          </w:p>
          <w:p w:rsidR="00F97D54" w:rsidRPr="00F43280" w:rsidRDefault="00F97D54" w:rsidP="00EB5B97">
            <w:pPr>
              <w:rPr>
                <w:sz w:val="16"/>
                <w:szCs w:val="16"/>
              </w:rPr>
            </w:pPr>
          </w:p>
        </w:tc>
      </w:tr>
      <w:tr w:rsidR="00F97D54" w:rsidRPr="00F43280" w:rsidTr="00832B03">
        <w:trPr>
          <w:trHeight w:val="432"/>
        </w:trPr>
        <w:tc>
          <w:tcPr>
            <w:tcW w:w="1908" w:type="dxa"/>
          </w:tcPr>
          <w:p w:rsidR="00F97D54" w:rsidRPr="00F43280" w:rsidRDefault="00F97D54" w:rsidP="00EB5B97">
            <w:pPr>
              <w:tabs>
                <w:tab w:val="left" w:pos="2022"/>
              </w:tabs>
              <w:rPr>
                <w:sz w:val="16"/>
                <w:szCs w:val="16"/>
              </w:rPr>
            </w:pPr>
            <w:r>
              <w:rPr>
                <w:sz w:val="16"/>
                <w:szCs w:val="16"/>
              </w:rPr>
              <w:t>Total_Billed</w:t>
            </w:r>
          </w:p>
        </w:tc>
        <w:tc>
          <w:tcPr>
            <w:tcW w:w="4321" w:type="dxa"/>
          </w:tcPr>
          <w:p w:rsidR="00F97D54" w:rsidRPr="00F43280" w:rsidRDefault="00F97D54" w:rsidP="00EB5B97">
            <w:pPr>
              <w:rPr>
                <w:sz w:val="16"/>
                <w:szCs w:val="16"/>
              </w:rPr>
            </w:pPr>
            <w:r>
              <w:rPr>
                <w:sz w:val="16"/>
                <w:szCs w:val="16"/>
              </w:rPr>
              <w:t>Total monthly amount (in dollars) billed for all units of the circuit element, including all “in-cycle” discounts and penalties</w:t>
            </w:r>
          </w:p>
        </w:tc>
        <w:tc>
          <w:tcPr>
            <w:tcW w:w="1080" w:type="dxa"/>
          </w:tcPr>
          <w:p w:rsidR="00F97D54" w:rsidRPr="00F43280" w:rsidRDefault="00F97D54" w:rsidP="00EB5B97">
            <w:pPr>
              <w:rPr>
                <w:sz w:val="16"/>
                <w:szCs w:val="16"/>
              </w:rPr>
            </w:pPr>
            <w:r>
              <w:rPr>
                <w:sz w:val="16"/>
                <w:szCs w:val="16"/>
              </w:rPr>
              <w:t>Float</w:t>
            </w:r>
          </w:p>
        </w:tc>
        <w:tc>
          <w:tcPr>
            <w:tcW w:w="1529" w:type="dxa"/>
          </w:tcPr>
          <w:p w:rsidR="00F97D54" w:rsidRPr="00F43280" w:rsidRDefault="00F97D54" w:rsidP="00EB5B97">
            <w:pPr>
              <w:rPr>
                <w:sz w:val="16"/>
                <w:szCs w:val="16"/>
              </w:rPr>
            </w:pPr>
            <w:r>
              <w:rPr>
                <w:sz w:val="16"/>
                <w:szCs w:val="16"/>
              </w:rPr>
              <w:t>12453.50</w:t>
            </w:r>
          </w:p>
        </w:tc>
      </w:tr>
      <w:tr w:rsidR="00F97D54" w:rsidRPr="00F43280" w:rsidTr="00832B03">
        <w:trPr>
          <w:trHeight w:val="432"/>
        </w:trPr>
        <w:tc>
          <w:tcPr>
            <w:tcW w:w="1908" w:type="dxa"/>
          </w:tcPr>
          <w:p w:rsidR="00F97D54" w:rsidRPr="00F43280" w:rsidRDefault="00F97D54" w:rsidP="00EB5B97">
            <w:pPr>
              <w:tabs>
                <w:tab w:val="left" w:pos="2022"/>
              </w:tabs>
              <w:rPr>
                <w:sz w:val="16"/>
                <w:szCs w:val="16"/>
              </w:rPr>
            </w:pPr>
            <w:r w:rsidRPr="00F43280">
              <w:rPr>
                <w:sz w:val="16"/>
                <w:szCs w:val="16"/>
              </w:rPr>
              <w:t>Term</w:t>
            </w:r>
          </w:p>
          <w:p w:rsidR="00F97D54" w:rsidRPr="00F43280" w:rsidRDefault="00F97D54" w:rsidP="00EB5B97">
            <w:pPr>
              <w:tabs>
                <w:tab w:val="left" w:pos="2022"/>
              </w:tabs>
              <w:rPr>
                <w:sz w:val="16"/>
                <w:szCs w:val="16"/>
              </w:rPr>
            </w:pPr>
          </w:p>
        </w:tc>
        <w:tc>
          <w:tcPr>
            <w:tcW w:w="4321" w:type="dxa"/>
          </w:tcPr>
          <w:p w:rsidR="00F97D54" w:rsidRPr="00F43280" w:rsidRDefault="00F97D54" w:rsidP="00EB5B97">
            <w:pPr>
              <w:rPr>
                <w:sz w:val="16"/>
                <w:szCs w:val="16"/>
              </w:rPr>
            </w:pPr>
            <w:r w:rsidRPr="00F43280">
              <w:rPr>
                <w:sz w:val="16"/>
                <w:szCs w:val="16"/>
              </w:rPr>
              <w:t xml:space="preserve">Length of </w:t>
            </w:r>
            <w:r>
              <w:rPr>
                <w:sz w:val="16"/>
                <w:szCs w:val="16"/>
              </w:rPr>
              <w:t xml:space="preserve">total </w:t>
            </w:r>
            <w:r w:rsidRPr="00F43280">
              <w:rPr>
                <w:sz w:val="16"/>
                <w:szCs w:val="16"/>
              </w:rPr>
              <w:t xml:space="preserve">time </w:t>
            </w:r>
            <w:r>
              <w:rPr>
                <w:sz w:val="16"/>
                <w:szCs w:val="16"/>
              </w:rPr>
              <w:t xml:space="preserve">of the </w:t>
            </w:r>
            <w:r w:rsidRPr="006D6B2A">
              <w:rPr>
                <w:i/>
                <w:sz w:val="16"/>
                <w:szCs w:val="16"/>
              </w:rPr>
              <w:t>Term Commitment</w:t>
            </w:r>
            <w:r w:rsidRPr="00F43280">
              <w:rPr>
                <w:sz w:val="16"/>
                <w:szCs w:val="16"/>
              </w:rPr>
              <w:t xml:space="preserve"> associated with this circuit (</w:t>
            </w:r>
            <w:r>
              <w:rPr>
                <w:sz w:val="16"/>
                <w:szCs w:val="16"/>
              </w:rPr>
              <w:t xml:space="preserve">in </w:t>
            </w:r>
            <w:r w:rsidRPr="00F43280">
              <w:rPr>
                <w:sz w:val="16"/>
                <w:szCs w:val="16"/>
              </w:rPr>
              <w:t>months).</w:t>
            </w:r>
            <w:r>
              <w:rPr>
                <w:sz w:val="16"/>
                <w:szCs w:val="16"/>
              </w:rPr>
              <w:t xml:space="preserve">  List the total length of the current </w:t>
            </w:r>
            <w:r w:rsidRPr="006D6B2A">
              <w:rPr>
                <w:i/>
                <w:sz w:val="16"/>
                <w:szCs w:val="16"/>
              </w:rPr>
              <w:t>Term Commitment</w:t>
            </w:r>
            <w:r>
              <w:rPr>
                <w:sz w:val="16"/>
                <w:szCs w:val="16"/>
              </w:rPr>
              <w:t xml:space="preserve">, not the remaining length of the </w:t>
            </w:r>
            <w:r w:rsidRPr="006D6B2A">
              <w:rPr>
                <w:i/>
                <w:sz w:val="16"/>
                <w:szCs w:val="16"/>
              </w:rPr>
              <w:t>Term Commitment</w:t>
            </w:r>
            <w:r>
              <w:rPr>
                <w:sz w:val="16"/>
                <w:szCs w:val="16"/>
              </w:rPr>
              <w:t>.  A circuit purchased on a month-to-month basis must be coded as 1.</w:t>
            </w:r>
          </w:p>
          <w:p w:rsidR="00F97D54" w:rsidRPr="00F43280" w:rsidRDefault="00F97D54" w:rsidP="00EB5B97">
            <w:pPr>
              <w:rPr>
                <w:sz w:val="16"/>
                <w:szCs w:val="16"/>
              </w:rPr>
            </w:pPr>
          </w:p>
        </w:tc>
        <w:tc>
          <w:tcPr>
            <w:tcW w:w="1080" w:type="dxa"/>
          </w:tcPr>
          <w:p w:rsidR="00F97D54" w:rsidRPr="00F43280" w:rsidRDefault="00F97D54" w:rsidP="00EB5B97">
            <w:pPr>
              <w:rPr>
                <w:sz w:val="16"/>
                <w:szCs w:val="16"/>
              </w:rPr>
            </w:pPr>
            <w:r w:rsidRPr="00F43280">
              <w:rPr>
                <w:sz w:val="16"/>
                <w:szCs w:val="16"/>
              </w:rPr>
              <w:t>Integer</w:t>
            </w:r>
          </w:p>
          <w:p w:rsidR="00F97D54" w:rsidRPr="00F43280" w:rsidRDefault="00F97D54" w:rsidP="00EB5B97">
            <w:pPr>
              <w:rPr>
                <w:sz w:val="16"/>
                <w:szCs w:val="16"/>
              </w:rPr>
            </w:pPr>
          </w:p>
        </w:tc>
        <w:tc>
          <w:tcPr>
            <w:tcW w:w="1529" w:type="dxa"/>
          </w:tcPr>
          <w:p w:rsidR="00F97D54" w:rsidRPr="00F43280" w:rsidRDefault="00F97D54" w:rsidP="00EB5B97">
            <w:pPr>
              <w:rPr>
                <w:sz w:val="16"/>
                <w:szCs w:val="16"/>
              </w:rPr>
            </w:pPr>
            <w:r w:rsidRPr="00F43280">
              <w:rPr>
                <w:sz w:val="16"/>
                <w:szCs w:val="16"/>
              </w:rPr>
              <w:t>36</w:t>
            </w:r>
          </w:p>
          <w:p w:rsidR="00F97D54" w:rsidRPr="00F43280" w:rsidRDefault="00F97D54" w:rsidP="00EB5B97">
            <w:pPr>
              <w:rPr>
                <w:sz w:val="16"/>
                <w:szCs w:val="16"/>
              </w:rPr>
            </w:pPr>
          </w:p>
        </w:tc>
      </w:tr>
      <w:tr w:rsidR="00F97D54" w:rsidRPr="00F43280" w:rsidTr="00832B03">
        <w:trPr>
          <w:trHeight w:val="432"/>
        </w:trPr>
        <w:tc>
          <w:tcPr>
            <w:tcW w:w="1908" w:type="dxa"/>
          </w:tcPr>
          <w:p w:rsidR="00F97D54" w:rsidRPr="00F43280" w:rsidRDefault="00F97D54" w:rsidP="00EB5B97">
            <w:pPr>
              <w:tabs>
                <w:tab w:val="left" w:pos="2022"/>
              </w:tabs>
              <w:rPr>
                <w:sz w:val="16"/>
                <w:szCs w:val="16"/>
              </w:rPr>
            </w:pPr>
            <w:r w:rsidRPr="00F43280">
              <w:rPr>
                <w:sz w:val="16"/>
                <w:szCs w:val="16"/>
              </w:rPr>
              <w:t>End_Date</w:t>
            </w:r>
          </w:p>
        </w:tc>
        <w:tc>
          <w:tcPr>
            <w:tcW w:w="4321" w:type="dxa"/>
          </w:tcPr>
          <w:p w:rsidR="00F97D54" w:rsidRPr="00F43280" w:rsidRDefault="00F97D54" w:rsidP="00EB5B97">
            <w:pPr>
              <w:rPr>
                <w:sz w:val="16"/>
                <w:szCs w:val="16"/>
              </w:rPr>
            </w:pPr>
            <w:r w:rsidRPr="00F43280">
              <w:rPr>
                <w:sz w:val="16"/>
                <w:szCs w:val="16"/>
              </w:rPr>
              <w:t xml:space="preserve">If this circuit has an associated </w:t>
            </w:r>
            <w:r w:rsidRPr="006D6B2A">
              <w:rPr>
                <w:i/>
                <w:sz w:val="16"/>
                <w:szCs w:val="16"/>
              </w:rPr>
              <w:t>Term Commitment</w:t>
            </w:r>
            <w:r w:rsidRPr="00F43280">
              <w:rPr>
                <w:sz w:val="16"/>
                <w:szCs w:val="16"/>
              </w:rPr>
              <w:t>, enter the month and year the term expires</w:t>
            </w:r>
            <w:r>
              <w:rPr>
                <w:sz w:val="16"/>
                <w:szCs w:val="16"/>
              </w:rPr>
              <w:t>.</w:t>
            </w:r>
          </w:p>
        </w:tc>
        <w:tc>
          <w:tcPr>
            <w:tcW w:w="1080" w:type="dxa"/>
          </w:tcPr>
          <w:p w:rsidR="00F97D54" w:rsidRPr="00F43280" w:rsidRDefault="00F97D54" w:rsidP="00EB5B97">
            <w:pPr>
              <w:rPr>
                <w:sz w:val="16"/>
                <w:szCs w:val="16"/>
              </w:rPr>
            </w:pPr>
            <w:r w:rsidRPr="00F43280">
              <w:rPr>
                <w:sz w:val="16"/>
                <w:szCs w:val="16"/>
              </w:rPr>
              <w:t>Date</w:t>
            </w:r>
          </w:p>
        </w:tc>
        <w:tc>
          <w:tcPr>
            <w:tcW w:w="1529" w:type="dxa"/>
          </w:tcPr>
          <w:p w:rsidR="00F97D54" w:rsidRPr="00F43280" w:rsidRDefault="00F97D54" w:rsidP="00EB5B97">
            <w:pPr>
              <w:rPr>
                <w:sz w:val="16"/>
                <w:szCs w:val="16"/>
              </w:rPr>
            </w:pPr>
            <w:r w:rsidRPr="00F43280">
              <w:rPr>
                <w:sz w:val="16"/>
                <w:szCs w:val="16"/>
              </w:rPr>
              <w:t>03/2014</w:t>
            </w:r>
          </w:p>
        </w:tc>
      </w:tr>
      <w:tr w:rsidR="00F97D54" w:rsidRPr="00F43280" w:rsidTr="00832B03">
        <w:trPr>
          <w:trHeight w:val="432"/>
        </w:trPr>
        <w:tc>
          <w:tcPr>
            <w:tcW w:w="1908" w:type="dxa"/>
          </w:tcPr>
          <w:p w:rsidR="00F97D54" w:rsidRPr="00F43280" w:rsidRDefault="00F97D54" w:rsidP="00EB5B97">
            <w:pPr>
              <w:tabs>
                <w:tab w:val="left" w:pos="2022"/>
              </w:tabs>
              <w:rPr>
                <w:sz w:val="16"/>
                <w:szCs w:val="16"/>
              </w:rPr>
            </w:pPr>
            <w:r>
              <w:rPr>
                <w:sz w:val="16"/>
                <w:szCs w:val="16"/>
              </w:rPr>
              <w:t>Term_Discount_IC</w:t>
            </w:r>
          </w:p>
        </w:tc>
        <w:tc>
          <w:tcPr>
            <w:tcW w:w="4321" w:type="dxa"/>
          </w:tcPr>
          <w:p w:rsidR="00F97D54" w:rsidRPr="00F43280" w:rsidRDefault="00F97D54" w:rsidP="00EB5B97">
            <w:pPr>
              <w:rPr>
                <w:sz w:val="16"/>
                <w:szCs w:val="16"/>
              </w:rPr>
            </w:pPr>
            <w:r>
              <w:rPr>
                <w:sz w:val="16"/>
                <w:szCs w:val="16"/>
              </w:rPr>
              <w:t>Indicator variable for whether any in-cycle term discounts have been rolled into the amount billed to the customer reported in the Billed field (0 = No in-cycle term discounts included in Billed amount; 1 = In-cycle term discounts included in Billed amount)</w:t>
            </w:r>
          </w:p>
        </w:tc>
        <w:tc>
          <w:tcPr>
            <w:tcW w:w="1080" w:type="dxa"/>
          </w:tcPr>
          <w:p w:rsidR="00F97D54" w:rsidRPr="00F43280" w:rsidRDefault="00F97D54" w:rsidP="00EB5B97">
            <w:pPr>
              <w:rPr>
                <w:sz w:val="16"/>
                <w:szCs w:val="16"/>
              </w:rPr>
            </w:pPr>
            <w:r>
              <w:rPr>
                <w:sz w:val="16"/>
                <w:szCs w:val="16"/>
              </w:rPr>
              <w:t>Integer</w:t>
            </w:r>
          </w:p>
        </w:tc>
        <w:tc>
          <w:tcPr>
            <w:tcW w:w="1529" w:type="dxa"/>
          </w:tcPr>
          <w:p w:rsidR="00F97D54" w:rsidRPr="00F43280" w:rsidRDefault="00F97D54" w:rsidP="00EB5B97">
            <w:pPr>
              <w:rPr>
                <w:sz w:val="16"/>
                <w:szCs w:val="16"/>
              </w:rPr>
            </w:pPr>
            <w:r>
              <w:rPr>
                <w:sz w:val="16"/>
                <w:szCs w:val="16"/>
              </w:rPr>
              <w:t>0</w:t>
            </w:r>
          </w:p>
        </w:tc>
      </w:tr>
      <w:tr w:rsidR="00F97D54" w:rsidRPr="00F43280" w:rsidTr="00832B03">
        <w:trPr>
          <w:trHeight w:val="432"/>
        </w:trPr>
        <w:tc>
          <w:tcPr>
            <w:tcW w:w="1908" w:type="dxa"/>
          </w:tcPr>
          <w:p w:rsidR="00F97D54" w:rsidRPr="00F43280" w:rsidRDefault="00F97D54" w:rsidP="00EB5B97">
            <w:pPr>
              <w:tabs>
                <w:tab w:val="left" w:pos="2022"/>
              </w:tabs>
              <w:rPr>
                <w:sz w:val="16"/>
                <w:szCs w:val="16"/>
              </w:rPr>
            </w:pPr>
            <w:r w:rsidRPr="00F43280">
              <w:rPr>
                <w:sz w:val="16"/>
                <w:szCs w:val="16"/>
              </w:rPr>
              <w:t>Volume_Commitment</w:t>
            </w:r>
          </w:p>
          <w:p w:rsidR="00F97D54" w:rsidRPr="00F43280" w:rsidRDefault="00F97D54" w:rsidP="00EB5B97">
            <w:pPr>
              <w:tabs>
                <w:tab w:val="left" w:pos="2022"/>
              </w:tabs>
              <w:rPr>
                <w:sz w:val="16"/>
                <w:szCs w:val="16"/>
              </w:rPr>
            </w:pPr>
          </w:p>
        </w:tc>
        <w:tc>
          <w:tcPr>
            <w:tcW w:w="4321" w:type="dxa"/>
          </w:tcPr>
          <w:p w:rsidR="00F97D54" w:rsidRPr="00F43280" w:rsidRDefault="00F97D54" w:rsidP="00EB5B97">
            <w:pPr>
              <w:rPr>
                <w:sz w:val="16"/>
                <w:szCs w:val="16"/>
              </w:rPr>
            </w:pPr>
            <w:r w:rsidRPr="00F43280">
              <w:rPr>
                <w:sz w:val="16"/>
                <w:szCs w:val="16"/>
              </w:rPr>
              <w:t xml:space="preserve">Indicator variable showing whether this circuit contributes to a </w:t>
            </w:r>
            <w:r w:rsidRPr="006D6B2A">
              <w:rPr>
                <w:i/>
                <w:sz w:val="16"/>
                <w:szCs w:val="16"/>
              </w:rPr>
              <w:t>Volume Commitment</w:t>
            </w:r>
            <w:r>
              <w:rPr>
                <w:sz w:val="16"/>
                <w:szCs w:val="16"/>
              </w:rPr>
              <w:t xml:space="preserve"> (Y=Yes,</w:t>
            </w:r>
            <w:r w:rsidRPr="00F43280">
              <w:rPr>
                <w:sz w:val="16"/>
                <w:szCs w:val="16"/>
              </w:rPr>
              <w:t xml:space="preserve"> </w:t>
            </w:r>
            <w:r>
              <w:rPr>
                <w:sz w:val="16"/>
                <w:szCs w:val="16"/>
              </w:rPr>
              <w:t>N</w:t>
            </w:r>
            <w:r w:rsidRPr="00F43280">
              <w:rPr>
                <w:sz w:val="16"/>
                <w:szCs w:val="16"/>
              </w:rPr>
              <w:t>=No)</w:t>
            </w:r>
          </w:p>
          <w:p w:rsidR="00F97D54" w:rsidRPr="00F43280" w:rsidRDefault="00F97D54" w:rsidP="00EB5B97">
            <w:pPr>
              <w:rPr>
                <w:sz w:val="16"/>
                <w:szCs w:val="16"/>
              </w:rPr>
            </w:pPr>
          </w:p>
        </w:tc>
        <w:tc>
          <w:tcPr>
            <w:tcW w:w="1080" w:type="dxa"/>
          </w:tcPr>
          <w:p w:rsidR="00F97D54" w:rsidRPr="00F43280" w:rsidRDefault="00F97D54" w:rsidP="00EB5B97">
            <w:pPr>
              <w:rPr>
                <w:sz w:val="16"/>
                <w:szCs w:val="16"/>
              </w:rPr>
            </w:pPr>
            <w:r>
              <w:rPr>
                <w:sz w:val="16"/>
                <w:szCs w:val="16"/>
              </w:rPr>
              <w:t>Text</w:t>
            </w:r>
          </w:p>
          <w:p w:rsidR="00F97D54" w:rsidRPr="00F43280" w:rsidRDefault="00F97D54" w:rsidP="00EB5B97">
            <w:pPr>
              <w:rPr>
                <w:sz w:val="16"/>
                <w:szCs w:val="16"/>
              </w:rPr>
            </w:pPr>
          </w:p>
        </w:tc>
        <w:tc>
          <w:tcPr>
            <w:tcW w:w="1529" w:type="dxa"/>
          </w:tcPr>
          <w:p w:rsidR="00F97D54" w:rsidRPr="00F43280" w:rsidRDefault="00F97D54" w:rsidP="00EB5B97">
            <w:pPr>
              <w:rPr>
                <w:sz w:val="16"/>
                <w:szCs w:val="16"/>
              </w:rPr>
            </w:pPr>
            <w:r>
              <w:rPr>
                <w:sz w:val="16"/>
                <w:szCs w:val="16"/>
              </w:rPr>
              <w:t>N</w:t>
            </w:r>
          </w:p>
          <w:p w:rsidR="00F97D54" w:rsidRPr="00F43280" w:rsidRDefault="00F97D54" w:rsidP="00EB5B97">
            <w:pPr>
              <w:rPr>
                <w:sz w:val="16"/>
                <w:szCs w:val="16"/>
              </w:rPr>
            </w:pPr>
          </w:p>
        </w:tc>
      </w:tr>
      <w:tr w:rsidR="00F97D54" w:rsidRPr="00F43280" w:rsidTr="00832B03">
        <w:trPr>
          <w:trHeight w:val="432"/>
        </w:trPr>
        <w:tc>
          <w:tcPr>
            <w:tcW w:w="1908" w:type="dxa"/>
          </w:tcPr>
          <w:p w:rsidR="00F97D54" w:rsidRPr="00F43280" w:rsidRDefault="00F97D54" w:rsidP="00EB5B97">
            <w:pPr>
              <w:tabs>
                <w:tab w:val="left" w:pos="2022"/>
              </w:tabs>
              <w:rPr>
                <w:sz w:val="16"/>
                <w:szCs w:val="16"/>
              </w:rPr>
            </w:pPr>
            <w:r>
              <w:rPr>
                <w:sz w:val="16"/>
                <w:szCs w:val="16"/>
              </w:rPr>
              <w:t>Vol_Discount_IC</w:t>
            </w:r>
          </w:p>
        </w:tc>
        <w:tc>
          <w:tcPr>
            <w:tcW w:w="4321" w:type="dxa"/>
          </w:tcPr>
          <w:p w:rsidR="00F97D54" w:rsidRPr="00F43280" w:rsidRDefault="00F97D54" w:rsidP="00EB5B97">
            <w:pPr>
              <w:rPr>
                <w:sz w:val="16"/>
                <w:szCs w:val="16"/>
              </w:rPr>
            </w:pPr>
            <w:r>
              <w:rPr>
                <w:sz w:val="16"/>
                <w:szCs w:val="16"/>
              </w:rPr>
              <w:t>Indicator variable for whether any in-cycle volume discounts have been rolled into the amount billed to the customer reported in the Billed field  (0 = No in-cycle volume discounts included in Billed amount; 1 = In-cycle volume discounts included in Billed amount)</w:t>
            </w:r>
          </w:p>
        </w:tc>
        <w:tc>
          <w:tcPr>
            <w:tcW w:w="1080" w:type="dxa"/>
          </w:tcPr>
          <w:p w:rsidR="00F97D54" w:rsidRPr="00F43280" w:rsidRDefault="00F97D54" w:rsidP="00EB5B97">
            <w:pPr>
              <w:rPr>
                <w:sz w:val="16"/>
                <w:szCs w:val="16"/>
              </w:rPr>
            </w:pPr>
            <w:r>
              <w:rPr>
                <w:sz w:val="16"/>
                <w:szCs w:val="16"/>
              </w:rPr>
              <w:t>Integer</w:t>
            </w:r>
          </w:p>
        </w:tc>
        <w:tc>
          <w:tcPr>
            <w:tcW w:w="1529" w:type="dxa"/>
          </w:tcPr>
          <w:p w:rsidR="00F97D54" w:rsidRPr="00F43280" w:rsidRDefault="00F97D54" w:rsidP="00EB5B97">
            <w:pPr>
              <w:rPr>
                <w:sz w:val="16"/>
                <w:szCs w:val="16"/>
              </w:rPr>
            </w:pPr>
            <w:r>
              <w:rPr>
                <w:sz w:val="16"/>
                <w:szCs w:val="16"/>
              </w:rPr>
              <w:t>0</w:t>
            </w:r>
          </w:p>
        </w:tc>
      </w:tr>
      <w:tr w:rsidR="00F97D54" w:rsidRPr="00F43280" w:rsidTr="00832B03">
        <w:trPr>
          <w:cantSplit/>
          <w:trHeight w:val="828"/>
        </w:trPr>
        <w:tc>
          <w:tcPr>
            <w:tcW w:w="1908" w:type="dxa"/>
          </w:tcPr>
          <w:p w:rsidR="00F97D54" w:rsidRPr="00F43280" w:rsidRDefault="00F97D54" w:rsidP="00EB5B97">
            <w:pPr>
              <w:tabs>
                <w:tab w:val="left" w:pos="2022"/>
              </w:tabs>
              <w:rPr>
                <w:sz w:val="16"/>
                <w:szCs w:val="16"/>
              </w:rPr>
            </w:pPr>
            <w:r w:rsidRPr="00F43280">
              <w:rPr>
                <w:sz w:val="16"/>
                <w:szCs w:val="16"/>
              </w:rPr>
              <w:t>Adjustment_ID</w:t>
            </w:r>
            <w:r>
              <w:rPr>
                <w:sz w:val="16"/>
                <w:szCs w:val="16"/>
              </w:rPr>
              <w:t>_1</w:t>
            </w:r>
          </w:p>
        </w:tc>
        <w:tc>
          <w:tcPr>
            <w:tcW w:w="4321" w:type="dxa"/>
          </w:tcPr>
          <w:p w:rsidR="00F97D54" w:rsidRPr="00F43280" w:rsidRDefault="00F97D54" w:rsidP="00EB5B97">
            <w:pPr>
              <w:rPr>
                <w:sz w:val="16"/>
                <w:szCs w:val="16"/>
              </w:rPr>
            </w:pPr>
            <w:r w:rsidRPr="00F43280">
              <w:rPr>
                <w:sz w:val="16"/>
                <w:szCs w:val="16"/>
              </w:rPr>
              <w:t xml:space="preserve">Unique ID number (from </w:t>
            </w:r>
            <w:r>
              <w:rPr>
                <w:sz w:val="16"/>
                <w:szCs w:val="16"/>
              </w:rPr>
              <w:t>II.A.13</w:t>
            </w:r>
            <w:r w:rsidRPr="00F43280">
              <w:rPr>
                <w:sz w:val="16"/>
                <w:szCs w:val="16"/>
              </w:rPr>
              <w:t xml:space="preserve">) for the </w:t>
            </w:r>
            <w:r>
              <w:rPr>
                <w:sz w:val="16"/>
                <w:szCs w:val="16"/>
              </w:rPr>
              <w:t xml:space="preserve">first </w:t>
            </w:r>
            <w:r w:rsidRPr="00F43280">
              <w:rPr>
                <w:sz w:val="16"/>
                <w:szCs w:val="16"/>
              </w:rPr>
              <w:t xml:space="preserve">billing adjustment / true-up affecting this </w:t>
            </w:r>
            <w:r>
              <w:rPr>
                <w:sz w:val="16"/>
                <w:szCs w:val="16"/>
              </w:rPr>
              <w:t>circuit</w:t>
            </w:r>
            <w:r w:rsidRPr="00F43280">
              <w:rPr>
                <w:sz w:val="16"/>
                <w:szCs w:val="16"/>
              </w:rPr>
              <w:t xml:space="preserve"> element.   </w:t>
            </w:r>
            <w:r>
              <w:rPr>
                <w:sz w:val="16"/>
                <w:szCs w:val="16"/>
              </w:rPr>
              <w:t>Leave the field blank</w:t>
            </w:r>
            <w:r w:rsidRPr="00F43280">
              <w:rPr>
                <w:sz w:val="16"/>
                <w:szCs w:val="16"/>
              </w:rPr>
              <w:t xml:space="preserve"> if there are no discounts or penalties that occur </w:t>
            </w:r>
            <w:r>
              <w:rPr>
                <w:sz w:val="16"/>
                <w:szCs w:val="16"/>
              </w:rPr>
              <w:t>during</w:t>
            </w:r>
            <w:r w:rsidRPr="00F43280">
              <w:rPr>
                <w:sz w:val="16"/>
                <w:szCs w:val="16"/>
              </w:rPr>
              <w:t xml:space="preserve"> the monthly billing cycle affecting this </w:t>
            </w:r>
            <w:r>
              <w:rPr>
                <w:sz w:val="16"/>
                <w:szCs w:val="16"/>
              </w:rPr>
              <w:t>circuit</w:t>
            </w:r>
            <w:r w:rsidRPr="00F43280">
              <w:rPr>
                <w:sz w:val="16"/>
                <w:szCs w:val="16"/>
              </w:rPr>
              <w:t xml:space="preserve"> element.</w:t>
            </w:r>
          </w:p>
          <w:p w:rsidR="00F97D54" w:rsidRPr="00F43280" w:rsidRDefault="00F97D54" w:rsidP="00EB5B97">
            <w:pPr>
              <w:rPr>
                <w:sz w:val="16"/>
                <w:szCs w:val="16"/>
              </w:rPr>
            </w:pPr>
          </w:p>
        </w:tc>
        <w:tc>
          <w:tcPr>
            <w:tcW w:w="1080" w:type="dxa"/>
          </w:tcPr>
          <w:p w:rsidR="00F97D54" w:rsidRPr="00F43280" w:rsidRDefault="00F97D54" w:rsidP="00EB5B97">
            <w:pPr>
              <w:rPr>
                <w:sz w:val="16"/>
                <w:szCs w:val="16"/>
              </w:rPr>
            </w:pPr>
            <w:r w:rsidRPr="00F43280">
              <w:rPr>
                <w:sz w:val="16"/>
                <w:szCs w:val="16"/>
              </w:rPr>
              <w:t>Integer</w:t>
            </w:r>
          </w:p>
        </w:tc>
        <w:tc>
          <w:tcPr>
            <w:tcW w:w="1529" w:type="dxa"/>
          </w:tcPr>
          <w:p w:rsidR="00F97D54" w:rsidRPr="00F43280" w:rsidRDefault="00F97D54" w:rsidP="00EB5B97">
            <w:pPr>
              <w:rPr>
                <w:sz w:val="16"/>
                <w:szCs w:val="16"/>
              </w:rPr>
            </w:pPr>
            <w:r w:rsidRPr="00F43280">
              <w:rPr>
                <w:sz w:val="16"/>
                <w:szCs w:val="16"/>
              </w:rPr>
              <w:t>1</w:t>
            </w:r>
          </w:p>
        </w:tc>
      </w:tr>
      <w:tr w:rsidR="00F97D54" w:rsidRPr="00F43280" w:rsidTr="00832B03">
        <w:trPr>
          <w:cantSplit/>
          <w:trHeight w:val="828"/>
        </w:trPr>
        <w:tc>
          <w:tcPr>
            <w:tcW w:w="1908" w:type="dxa"/>
          </w:tcPr>
          <w:p w:rsidR="00F97D54" w:rsidRPr="00F43280" w:rsidRDefault="00F97D54" w:rsidP="00EB5B97">
            <w:pPr>
              <w:tabs>
                <w:tab w:val="left" w:pos="2022"/>
              </w:tabs>
              <w:rPr>
                <w:sz w:val="16"/>
                <w:szCs w:val="16"/>
              </w:rPr>
            </w:pPr>
            <w:r w:rsidRPr="00F43280">
              <w:rPr>
                <w:sz w:val="16"/>
                <w:szCs w:val="16"/>
              </w:rPr>
              <w:t>Adjustment_ID</w:t>
            </w:r>
            <w:r>
              <w:rPr>
                <w:sz w:val="16"/>
                <w:szCs w:val="16"/>
              </w:rPr>
              <w:t>_2</w:t>
            </w:r>
          </w:p>
        </w:tc>
        <w:tc>
          <w:tcPr>
            <w:tcW w:w="4321" w:type="dxa"/>
          </w:tcPr>
          <w:p w:rsidR="00F97D54" w:rsidRPr="00F43280" w:rsidRDefault="00F97D54" w:rsidP="00EB5B97">
            <w:pPr>
              <w:rPr>
                <w:sz w:val="16"/>
                <w:szCs w:val="16"/>
              </w:rPr>
            </w:pPr>
            <w:r w:rsidRPr="00F43280">
              <w:rPr>
                <w:sz w:val="16"/>
                <w:szCs w:val="16"/>
              </w:rPr>
              <w:t xml:space="preserve">Unique ID number (from </w:t>
            </w:r>
            <w:r>
              <w:rPr>
                <w:sz w:val="16"/>
                <w:szCs w:val="16"/>
              </w:rPr>
              <w:t>II.A.13</w:t>
            </w:r>
            <w:r w:rsidRPr="00F43280">
              <w:rPr>
                <w:sz w:val="16"/>
                <w:szCs w:val="16"/>
              </w:rPr>
              <w:t>) for the</w:t>
            </w:r>
            <w:r>
              <w:rPr>
                <w:sz w:val="16"/>
                <w:szCs w:val="16"/>
              </w:rPr>
              <w:t xml:space="preserve"> second</w:t>
            </w:r>
            <w:r w:rsidRPr="00F43280">
              <w:rPr>
                <w:sz w:val="16"/>
                <w:szCs w:val="16"/>
              </w:rPr>
              <w:t xml:space="preserve"> billing adjustment / true-up affecting this </w:t>
            </w:r>
            <w:r>
              <w:rPr>
                <w:sz w:val="16"/>
                <w:szCs w:val="16"/>
              </w:rPr>
              <w:t>circuit</w:t>
            </w:r>
            <w:r w:rsidRPr="00F43280">
              <w:rPr>
                <w:sz w:val="16"/>
                <w:szCs w:val="16"/>
              </w:rPr>
              <w:t xml:space="preserve"> element</w:t>
            </w:r>
            <w:r>
              <w:rPr>
                <w:sz w:val="16"/>
                <w:szCs w:val="16"/>
              </w:rPr>
              <w:t>, if more than one adjustment was applied to this circuit element</w:t>
            </w:r>
            <w:r w:rsidRPr="00F43280">
              <w:rPr>
                <w:sz w:val="16"/>
                <w:szCs w:val="16"/>
              </w:rPr>
              <w:t xml:space="preserve">.   </w:t>
            </w:r>
            <w:r>
              <w:rPr>
                <w:sz w:val="16"/>
                <w:szCs w:val="16"/>
              </w:rPr>
              <w:t>Leave the field blank</w:t>
            </w:r>
            <w:r w:rsidRPr="00F43280">
              <w:rPr>
                <w:sz w:val="16"/>
                <w:szCs w:val="16"/>
              </w:rPr>
              <w:t xml:space="preserve"> if there are </w:t>
            </w:r>
            <w:r>
              <w:rPr>
                <w:sz w:val="16"/>
                <w:szCs w:val="16"/>
              </w:rPr>
              <w:t xml:space="preserve">fewer than two </w:t>
            </w:r>
            <w:r w:rsidRPr="00F43280">
              <w:rPr>
                <w:sz w:val="16"/>
                <w:szCs w:val="16"/>
              </w:rPr>
              <w:t xml:space="preserve">discounts </w:t>
            </w:r>
            <w:r>
              <w:rPr>
                <w:sz w:val="16"/>
                <w:szCs w:val="16"/>
              </w:rPr>
              <w:t>applied to this circuit element in the given billing cycle</w:t>
            </w:r>
          </w:p>
          <w:p w:rsidR="00F97D54" w:rsidRPr="00F43280" w:rsidRDefault="00F97D54" w:rsidP="00EB5B97">
            <w:pPr>
              <w:rPr>
                <w:sz w:val="16"/>
                <w:szCs w:val="16"/>
              </w:rPr>
            </w:pPr>
          </w:p>
        </w:tc>
        <w:tc>
          <w:tcPr>
            <w:tcW w:w="1080" w:type="dxa"/>
          </w:tcPr>
          <w:p w:rsidR="00F97D54" w:rsidRPr="00F43280" w:rsidRDefault="00F97D54" w:rsidP="00EB5B97">
            <w:pPr>
              <w:rPr>
                <w:sz w:val="16"/>
                <w:szCs w:val="16"/>
              </w:rPr>
            </w:pPr>
            <w:r w:rsidRPr="00F43280">
              <w:rPr>
                <w:sz w:val="16"/>
                <w:szCs w:val="16"/>
              </w:rPr>
              <w:t>Integer</w:t>
            </w:r>
          </w:p>
        </w:tc>
        <w:tc>
          <w:tcPr>
            <w:tcW w:w="1529" w:type="dxa"/>
          </w:tcPr>
          <w:p w:rsidR="00F97D54" w:rsidRPr="00F43280" w:rsidRDefault="00F97D54" w:rsidP="00EB5B97">
            <w:pPr>
              <w:rPr>
                <w:sz w:val="16"/>
                <w:szCs w:val="16"/>
              </w:rPr>
            </w:pPr>
            <w:r>
              <w:rPr>
                <w:sz w:val="16"/>
                <w:szCs w:val="16"/>
              </w:rPr>
              <w:t>26</w:t>
            </w:r>
          </w:p>
        </w:tc>
      </w:tr>
      <w:tr w:rsidR="00F97D54" w:rsidRPr="00F43280" w:rsidTr="00832B03">
        <w:trPr>
          <w:cantSplit/>
          <w:trHeight w:val="828"/>
        </w:trPr>
        <w:tc>
          <w:tcPr>
            <w:tcW w:w="1908" w:type="dxa"/>
          </w:tcPr>
          <w:p w:rsidR="00F97D54" w:rsidRPr="00F43280" w:rsidRDefault="00F97D54" w:rsidP="00EB5B97">
            <w:pPr>
              <w:tabs>
                <w:tab w:val="left" w:pos="2022"/>
              </w:tabs>
              <w:rPr>
                <w:sz w:val="16"/>
                <w:szCs w:val="16"/>
              </w:rPr>
            </w:pPr>
            <w:r>
              <w:rPr>
                <w:sz w:val="16"/>
                <w:szCs w:val="16"/>
              </w:rPr>
              <w:t>…</w:t>
            </w:r>
          </w:p>
        </w:tc>
        <w:tc>
          <w:tcPr>
            <w:tcW w:w="4321" w:type="dxa"/>
          </w:tcPr>
          <w:p w:rsidR="00F97D54" w:rsidRPr="00F43280" w:rsidRDefault="00F97D54" w:rsidP="00EB5B97">
            <w:pPr>
              <w:rPr>
                <w:sz w:val="16"/>
                <w:szCs w:val="16"/>
              </w:rPr>
            </w:pPr>
            <w:r>
              <w:rPr>
                <w:sz w:val="16"/>
                <w:szCs w:val="16"/>
              </w:rPr>
              <w:t>[Continue to add columns for a total of ten (10) Adjusment_ID columns.]</w:t>
            </w:r>
          </w:p>
        </w:tc>
        <w:tc>
          <w:tcPr>
            <w:tcW w:w="1080" w:type="dxa"/>
          </w:tcPr>
          <w:p w:rsidR="00F97D54" w:rsidRPr="00F43280" w:rsidRDefault="00F97D54" w:rsidP="00EB5B97">
            <w:pPr>
              <w:rPr>
                <w:sz w:val="16"/>
                <w:szCs w:val="16"/>
              </w:rPr>
            </w:pPr>
            <w:r>
              <w:rPr>
                <w:sz w:val="16"/>
                <w:szCs w:val="16"/>
              </w:rPr>
              <w:t>…</w:t>
            </w:r>
          </w:p>
        </w:tc>
        <w:tc>
          <w:tcPr>
            <w:tcW w:w="1529" w:type="dxa"/>
          </w:tcPr>
          <w:p w:rsidR="00F97D54" w:rsidRDefault="00F97D54" w:rsidP="00EB5B97">
            <w:pPr>
              <w:rPr>
                <w:sz w:val="16"/>
                <w:szCs w:val="16"/>
              </w:rPr>
            </w:pPr>
            <w:r>
              <w:rPr>
                <w:sz w:val="16"/>
                <w:szCs w:val="16"/>
              </w:rPr>
              <w:t>…</w:t>
            </w:r>
          </w:p>
        </w:tc>
      </w:tr>
      <w:tr w:rsidR="00F97D54" w:rsidRPr="00F43280" w:rsidTr="00832B03">
        <w:trPr>
          <w:trHeight w:val="432"/>
        </w:trPr>
        <w:tc>
          <w:tcPr>
            <w:tcW w:w="1908" w:type="dxa"/>
            <w:tcBorders>
              <w:bottom w:val="double" w:sz="4" w:space="0" w:color="auto"/>
            </w:tcBorders>
          </w:tcPr>
          <w:p w:rsidR="00F97D54" w:rsidRPr="00F43280" w:rsidRDefault="00F97D54" w:rsidP="00EB5B97">
            <w:pPr>
              <w:tabs>
                <w:tab w:val="left" w:pos="2022"/>
              </w:tabs>
              <w:rPr>
                <w:sz w:val="16"/>
                <w:szCs w:val="16"/>
              </w:rPr>
            </w:pPr>
            <w:r>
              <w:rPr>
                <w:sz w:val="16"/>
                <w:szCs w:val="16"/>
              </w:rPr>
              <w:t>Adjustment_ID_10</w:t>
            </w:r>
          </w:p>
        </w:tc>
        <w:tc>
          <w:tcPr>
            <w:tcW w:w="4321" w:type="dxa"/>
            <w:tcBorders>
              <w:bottom w:val="double" w:sz="4" w:space="0" w:color="auto"/>
            </w:tcBorders>
          </w:tcPr>
          <w:p w:rsidR="00F97D54" w:rsidRPr="00F43280" w:rsidRDefault="00F97D54" w:rsidP="00EB5B97">
            <w:pPr>
              <w:rPr>
                <w:sz w:val="16"/>
                <w:szCs w:val="16"/>
              </w:rPr>
            </w:pPr>
            <w:r w:rsidRPr="00F43280">
              <w:rPr>
                <w:sz w:val="16"/>
                <w:szCs w:val="16"/>
              </w:rPr>
              <w:t xml:space="preserve">Unique ID number (from </w:t>
            </w:r>
            <w:r>
              <w:rPr>
                <w:sz w:val="16"/>
                <w:szCs w:val="16"/>
              </w:rPr>
              <w:t>II.A.13</w:t>
            </w:r>
            <w:r w:rsidRPr="00F43280">
              <w:rPr>
                <w:sz w:val="16"/>
                <w:szCs w:val="16"/>
              </w:rPr>
              <w:t>) for the</w:t>
            </w:r>
            <w:r>
              <w:rPr>
                <w:sz w:val="16"/>
                <w:szCs w:val="16"/>
              </w:rPr>
              <w:t xml:space="preserve"> tenth</w:t>
            </w:r>
            <w:r w:rsidRPr="00F43280">
              <w:rPr>
                <w:sz w:val="16"/>
                <w:szCs w:val="16"/>
              </w:rPr>
              <w:t xml:space="preserve"> billing adjustment/ true-up affecting this </w:t>
            </w:r>
            <w:r>
              <w:rPr>
                <w:sz w:val="16"/>
                <w:szCs w:val="16"/>
              </w:rPr>
              <w:t>circuit</w:t>
            </w:r>
            <w:r w:rsidRPr="00F43280">
              <w:rPr>
                <w:sz w:val="16"/>
                <w:szCs w:val="16"/>
              </w:rPr>
              <w:t xml:space="preserve"> element</w:t>
            </w:r>
            <w:r>
              <w:rPr>
                <w:sz w:val="16"/>
                <w:szCs w:val="16"/>
              </w:rPr>
              <w:t>, if more than one adjustment was applied to this circuit element</w:t>
            </w:r>
            <w:r w:rsidRPr="00F43280">
              <w:rPr>
                <w:sz w:val="16"/>
                <w:szCs w:val="16"/>
              </w:rPr>
              <w:t xml:space="preserve">.   </w:t>
            </w:r>
            <w:r>
              <w:rPr>
                <w:sz w:val="16"/>
                <w:szCs w:val="16"/>
              </w:rPr>
              <w:t>Leave the field blank</w:t>
            </w:r>
            <w:r w:rsidRPr="00F43280">
              <w:rPr>
                <w:sz w:val="16"/>
                <w:szCs w:val="16"/>
              </w:rPr>
              <w:t xml:space="preserve"> if there are </w:t>
            </w:r>
            <w:r>
              <w:rPr>
                <w:sz w:val="16"/>
                <w:szCs w:val="16"/>
              </w:rPr>
              <w:t xml:space="preserve">fewer than ten </w:t>
            </w:r>
            <w:r w:rsidRPr="00F43280">
              <w:rPr>
                <w:sz w:val="16"/>
                <w:szCs w:val="16"/>
              </w:rPr>
              <w:t xml:space="preserve">discounts </w:t>
            </w:r>
            <w:r>
              <w:rPr>
                <w:sz w:val="16"/>
                <w:szCs w:val="16"/>
              </w:rPr>
              <w:t>applied to this circuit element in the given billing cycle</w:t>
            </w:r>
          </w:p>
        </w:tc>
        <w:tc>
          <w:tcPr>
            <w:tcW w:w="1080" w:type="dxa"/>
            <w:tcBorders>
              <w:bottom w:val="double" w:sz="4" w:space="0" w:color="auto"/>
            </w:tcBorders>
          </w:tcPr>
          <w:p w:rsidR="00F97D54" w:rsidRPr="00F43280" w:rsidRDefault="00F97D54" w:rsidP="00EB5B97">
            <w:pPr>
              <w:rPr>
                <w:sz w:val="16"/>
                <w:szCs w:val="16"/>
              </w:rPr>
            </w:pPr>
            <w:r>
              <w:rPr>
                <w:sz w:val="16"/>
                <w:szCs w:val="16"/>
              </w:rPr>
              <w:t>Integer</w:t>
            </w:r>
          </w:p>
        </w:tc>
        <w:tc>
          <w:tcPr>
            <w:tcW w:w="1529" w:type="dxa"/>
            <w:tcBorders>
              <w:bottom w:val="double" w:sz="4" w:space="0" w:color="auto"/>
            </w:tcBorders>
          </w:tcPr>
          <w:p w:rsidR="00F97D54" w:rsidRPr="00F43280" w:rsidDel="00435F68" w:rsidRDefault="00F97D54" w:rsidP="00EB5B97">
            <w:pPr>
              <w:rPr>
                <w:sz w:val="16"/>
                <w:szCs w:val="16"/>
              </w:rPr>
            </w:pPr>
            <w:r>
              <w:rPr>
                <w:sz w:val="16"/>
                <w:szCs w:val="16"/>
              </w:rPr>
              <w:t>15</w:t>
            </w:r>
          </w:p>
        </w:tc>
      </w:tr>
    </w:tbl>
    <w:p w:rsidR="00F97D54" w:rsidRDefault="00F97D54" w:rsidP="00EB5B97">
      <w:pPr>
        <w:rPr>
          <w:sz w:val="20"/>
          <w:szCs w:val="22"/>
        </w:rPr>
      </w:pPr>
    </w:p>
    <w:p w:rsidR="00F97D54" w:rsidRDefault="00F97D54" w:rsidP="00EB5B97">
      <w:pPr>
        <w:rPr>
          <w:sz w:val="20"/>
          <w:szCs w:val="22"/>
        </w:rPr>
      </w:pPr>
    </w:p>
    <w:tbl>
      <w:tblPr>
        <w:tblW w:w="8838" w:type="dxa"/>
        <w:tblLook w:val="01E0" w:firstRow="1" w:lastRow="1" w:firstColumn="1" w:lastColumn="1" w:noHBand="0" w:noVBand="0"/>
      </w:tblPr>
      <w:tblGrid>
        <w:gridCol w:w="1781"/>
        <w:gridCol w:w="4448"/>
        <w:gridCol w:w="1080"/>
        <w:gridCol w:w="1529"/>
      </w:tblGrid>
      <w:tr w:rsidR="00F97D54" w:rsidRPr="00F43280" w:rsidTr="00EB5B97">
        <w:trPr>
          <w:trHeight w:val="432"/>
          <w:tblHeader/>
        </w:trPr>
        <w:tc>
          <w:tcPr>
            <w:tcW w:w="8838" w:type="dxa"/>
            <w:gridSpan w:val="4"/>
            <w:tcBorders>
              <w:top w:val="double" w:sz="4" w:space="0" w:color="auto"/>
              <w:bottom w:val="single" w:sz="4" w:space="0" w:color="auto"/>
            </w:tcBorders>
            <w:vAlign w:val="center"/>
          </w:tcPr>
          <w:p w:rsidR="00F97D54" w:rsidRPr="00F2534D" w:rsidRDefault="00F97D54" w:rsidP="00EB5B97">
            <w:pPr>
              <w:jc w:val="center"/>
              <w:rPr>
                <w:b/>
              </w:rPr>
            </w:pPr>
            <w:r w:rsidRPr="00F2534D">
              <w:rPr>
                <w:b/>
              </w:rPr>
              <w:t>Table II.A.12</w:t>
            </w:r>
            <w:r>
              <w:rPr>
                <w:b/>
              </w:rPr>
              <w:t xml:space="preserve"> Part 2</w:t>
            </w:r>
          </w:p>
          <w:p w:rsidR="00F97D54" w:rsidRPr="000E2226" w:rsidRDefault="00F97D54" w:rsidP="00EB5B97">
            <w:pPr>
              <w:jc w:val="center"/>
              <w:rPr>
                <w:b/>
              </w:rPr>
            </w:pPr>
            <w:r>
              <w:rPr>
                <w:b/>
                <w:bCs/>
              </w:rPr>
              <w:t xml:space="preserve">Record Format for </w:t>
            </w:r>
            <w:r>
              <w:rPr>
                <w:b/>
              </w:rPr>
              <w:t>Identifying Customers</w:t>
            </w:r>
          </w:p>
        </w:tc>
      </w:tr>
      <w:tr w:rsidR="00F97D54" w:rsidRPr="00F43280" w:rsidTr="00EB5B97">
        <w:trPr>
          <w:trHeight w:val="432"/>
          <w:tblHeader/>
        </w:trPr>
        <w:tc>
          <w:tcPr>
            <w:tcW w:w="1781" w:type="dxa"/>
            <w:tcBorders>
              <w:top w:val="single" w:sz="4" w:space="0" w:color="auto"/>
              <w:bottom w:val="single" w:sz="4" w:space="0" w:color="auto"/>
              <w:right w:val="single" w:sz="4" w:space="0" w:color="auto"/>
            </w:tcBorders>
            <w:vAlign w:val="center"/>
          </w:tcPr>
          <w:p w:rsidR="00F97D54" w:rsidRPr="00F43280" w:rsidRDefault="00F97D54" w:rsidP="00EB5B97">
            <w:pPr>
              <w:rPr>
                <w:b/>
                <w:sz w:val="18"/>
                <w:szCs w:val="18"/>
              </w:rPr>
            </w:pPr>
            <w:r w:rsidRPr="00F43280">
              <w:rPr>
                <w:b/>
                <w:sz w:val="18"/>
                <w:szCs w:val="18"/>
              </w:rPr>
              <w:t>Field Name</w:t>
            </w:r>
          </w:p>
        </w:tc>
        <w:tc>
          <w:tcPr>
            <w:tcW w:w="4448" w:type="dxa"/>
            <w:tcBorders>
              <w:top w:val="single" w:sz="4" w:space="0" w:color="auto"/>
              <w:left w:val="single" w:sz="4" w:space="0" w:color="auto"/>
              <w:bottom w:val="single" w:sz="4" w:space="0" w:color="auto"/>
              <w:right w:val="single" w:sz="4" w:space="0" w:color="auto"/>
            </w:tcBorders>
            <w:vAlign w:val="center"/>
          </w:tcPr>
          <w:p w:rsidR="00F97D54" w:rsidRPr="00F43280" w:rsidRDefault="00F97D54" w:rsidP="00EB5B97">
            <w:pPr>
              <w:rPr>
                <w:b/>
                <w:sz w:val="18"/>
                <w:szCs w:val="18"/>
              </w:rPr>
            </w:pPr>
            <w:r w:rsidRPr="00F43280">
              <w:rPr>
                <w:b/>
                <w:sz w:val="18"/>
                <w:szCs w:val="18"/>
              </w:rPr>
              <w:t>Description</w:t>
            </w:r>
          </w:p>
        </w:tc>
        <w:tc>
          <w:tcPr>
            <w:tcW w:w="1080" w:type="dxa"/>
            <w:tcBorders>
              <w:top w:val="single" w:sz="4" w:space="0" w:color="auto"/>
              <w:left w:val="single" w:sz="4" w:space="0" w:color="auto"/>
              <w:bottom w:val="single" w:sz="4" w:space="0" w:color="auto"/>
              <w:right w:val="single" w:sz="4" w:space="0" w:color="auto"/>
            </w:tcBorders>
            <w:vAlign w:val="center"/>
          </w:tcPr>
          <w:p w:rsidR="00F97D54" w:rsidRPr="00F43280" w:rsidRDefault="00F97D54" w:rsidP="00EB5B97">
            <w:pPr>
              <w:rPr>
                <w:b/>
                <w:sz w:val="18"/>
                <w:szCs w:val="18"/>
              </w:rPr>
            </w:pPr>
            <w:r w:rsidRPr="00F43280">
              <w:rPr>
                <w:b/>
                <w:sz w:val="18"/>
                <w:szCs w:val="18"/>
              </w:rPr>
              <w:t>Type</w:t>
            </w:r>
          </w:p>
        </w:tc>
        <w:tc>
          <w:tcPr>
            <w:tcW w:w="1529" w:type="dxa"/>
            <w:tcBorders>
              <w:top w:val="single" w:sz="4" w:space="0" w:color="auto"/>
              <w:left w:val="single" w:sz="4" w:space="0" w:color="auto"/>
              <w:bottom w:val="single" w:sz="4" w:space="0" w:color="auto"/>
            </w:tcBorders>
            <w:vAlign w:val="center"/>
          </w:tcPr>
          <w:p w:rsidR="00F97D54" w:rsidRPr="00F43280" w:rsidRDefault="00F97D54" w:rsidP="00EB5B97">
            <w:pPr>
              <w:ind w:right="-108"/>
              <w:rPr>
                <w:b/>
                <w:sz w:val="18"/>
                <w:szCs w:val="18"/>
              </w:rPr>
            </w:pPr>
            <w:r w:rsidRPr="00F43280">
              <w:rPr>
                <w:b/>
                <w:sz w:val="18"/>
                <w:szCs w:val="18"/>
              </w:rPr>
              <w:t>Example</w:t>
            </w:r>
          </w:p>
        </w:tc>
      </w:tr>
      <w:tr w:rsidR="00F97D54" w:rsidRPr="00F43280" w:rsidTr="00EB5B97">
        <w:trPr>
          <w:trHeight w:val="324"/>
        </w:trPr>
        <w:tc>
          <w:tcPr>
            <w:tcW w:w="1781" w:type="dxa"/>
          </w:tcPr>
          <w:p w:rsidR="00F97D54" w:rsidRPr="00F43280" w:rsidRDefault="00F97D54" w:rsidP="00EB5B97">
            <w:pPr>
              <w:tabs>
                <w:tab w:val="left" w:pos="2022"/>
              </w:tabs>
              <w:rPr>
                <w:sz w:val="16"/>
                <w:szCs w:val="16"/>
              </w:rPr>
            </w:pPr>
            <w:r>
              <w:rPr>
                <w:sz w:val="16"/>
                <w:szCs w:val="16"/>
              </w:rPr>
              <w:t>Customer</w:t>
            </w:r>
            <w:r w:rsidRPr="00F43280">
              <w:rPr>
                <w:sz w:val="16"/>
                <w:szCs w:val="16"/>
              </w:rPr>
              <w:t>_ID</w:t>
            </w:r>
          </w:p>
        </w:tc>
        <w:tc>
          <w:tcPr>
            <w:tcW w:w="4448" w:type="dxa"/>
          </w:tcPr>
          <w:p w:rsidR="00F97D54" w:rsidRPr="00F43280" w:rsidRDefault="00F97D54" w:rsidP="00EB5B97">
            <w:pPr>
              <w:rPr>
                <w:sz w:val="16"/>
                <w:szCs w:val="16"/>
              </w:rPr>
            </w:pPr>
            <w:r>
              <w:rPr>
                <w:sz w:val="16"/>
                <w:szCs w:val="16"/>
              </w:rPr>
              <w:t>Unique customer identifier used to link all circuits purchased by a customer over all geographies and time periods.  This field will be used to link the billing information in Table II.A.12 Part 1 with the customer names and identification numbers</w:t>
            </w:r>
          </w:p>
        </w:tc>
        <w:tc>
          <w:tcPr>
            <w:tcW w:w="1080" w:type="dxa"/>
          </w:tcPr>
          <w:p w:rsidR="00F97D54" w:rsidRPr="00F43280" w:rsidRDefault="00F97D54" w:rsidP="00EB5B97">
            <w:pPr>
              <w:rPr>
                <w:sz w:val="16"/>
                <w:szCs w:val="16"/>
              </w:rPr>
            </w:pPr>
            <w:r w:rsidRPr="00F43280">
              <w:rPr>
                <w:sz w:val="16"/>
                <w:szCs w:val="16"/>
              </w:rPr>
              <w:t>Integer</w:t>
            </w:r>
          </w:p>
        </w:tc>
        <w:tc>
          <w:tcPr>
            <w:tcW w:w="1529" w:type="dxa"/>
          </w:tcPr>
          <w:p w:rsidR="00F97D54" w:rsidRPr="00F43280" w:rsidRDefault="00F97D54" w:rsidP="00EB5B97">
            <w:pPr>
              <w:rPr>
                <w:sz w:val="16"/>
                <w:szCs w:val="16"/>
              </w:rPr>
            </w:pPr>
            <w:r>
              <w:rPr>
                <w:sz w:val="16"/>
                <w:szCs w:val="16"/>
              </w:rPr>
              <w:t>1274</w:t>
            </w:r>
          </w:p>
        </w:tc>
      </w:tr>
      <w:tr w:rsidR="00F97D54" w:rsidRPr="00F43280" w:rsidTr="00EB5B97">
        <w:trPr>
          <w:trHeight w:val="324"/>
        </w:trPr>
        <w:tc>
          <w:tcPr>
            <w:tcW w:w="1781" w:type="dxa"/>
          </w:tcPr>
          <w:p w:rsidR="00F97D54" w:rsidRPr="00F43280" w:rsidRDefault="00F97D54" w:rsidP="00EB5B97">
            <w:pPr>
              <w:tabs>
                <w:tab w:val="left" w:pos="2022"/>
              </w:tabs>
              <w:rPr>
                <w:sz w:val="16"/>
                <w:szCs w:val="16"/>
              </w:rPr>
            </w:pPr>
            <w:r>
              <w:rPr>
                <w:sz w:val="16"/>
                <w:szCs w:val="16"/>
              </w:rPr>
              <w:t>Customer_ID_499</w:t>
            </w:r>
          </w:p>
        </w:tc>
        <w:tc>
          <w:tcPr>
            <w:tcW w:w="4448" w:type="dxa"/>
          </w:tcPr>
          <w:p w:rsidR="00F97D54" w:rsidRPr="00F43280" w:rsidRDefault="00F97D54" w:rsidP="00EB5B97">
            <w:pPr>
              <w:rPr>
                <w:sz w:val="16"/>
                <w:szCs w:val="16"/>
              </w:rPr>
            </w:pPr>
            <w:r>
              <w:rPr>
                <w:sz w:val="16"/>
                <w:szCs w:val="16"/>
              </w:rPr>
              <w:t>Where applicable, include the six-digit 499A Filer ID of the customer</w:t>
            </w:r>
          </w:p>
        </w:tc>
        <w:tc>
          <w:tcPr>
            <w:tcW w:w="1080" w:type="dxa"/>
          </w:tcPr>
          <w:p w:rsidR="00F97D54" w:rsidRPr="00F43280" w:rsidRDefault="00F97D54" w:rsidP="00EB5B97">
            <w:pPr>
              <w:rPr>
                <w:sz w:val="16"/>
                <w:szCs w:val="16"/>
              </w:rPr>
            </w:pPr>
            <w:r>
              <w:rPr>
                <w:sz w:val="16"/>
                <w:szCs w:val="16"/>
              </w:rPr>
              <w:t>Integer</w:t>
            </w:r>
          </w:p>
        </w:tc>
        <w:tc>
          <w:tcPr>
            <w:tcW w:w="1529" w:type="dxa"/>
          </w:tcPr>
          <w:p w:rsidR="00F97D54" w:rsidRPr="00F43280" w:rsidRDefault="00F97D54" w:rsidP="00EB5B97">
            <w:pPr>
              <w:rPr>
                <w:sz w:val="16"/>
                <w:szCs w:val="16"/>
              </w:rPr>
            </w:pPr>
            <w:r>
              <w:rPr>
                <w:sz w:val="16"/>
                <w:szCs w:val="16"/>
              </w:rPr>
              <w:t>822116</w:t>
            </w:r>
          </w:p>
        </w:tc>
      </w:tr>
      <w:tr w:rsidR="00F97D54" w:rsidRPr="00F43280" w:rsidTr="00EB5B97">
        <w:trPr>
          <w:trHeight w:val="324"/>
        </w:trPr>
        <w:tc>
          <w:tcPr>
            <w:tcW w:w="1781" w:type="dxa"/>
          </w:tcPr>
          <w:p w:rsidR="00F97D54" w:rsidRDefault="00F97D54" w:rsidP="00EB5B97">
            <w:pPr>
              <w:tabs>
                <w:tab w:val="left" w:pos="2022"/>
              </w:tabs>
              <w:rPr>
                <w:sz w:val="16"/>
                <w:szCs w:val="16"/>
              </w:rPr>
            </w:pPr>
            <w:r>
              <w:rPr>
                <w:sz w:val="16"/>
                <w:szCs w:val="16"/>
              </w:rPr>
              <w:t>Customer_ID_ACNA</w:t>
            </w:r>
          </w:p>
        </w:tc>
        <w:tc>
          <w:tcPr>
            <w:tcW w:w="4448" w:type="dxa"/>
          </w:tcPr>
          <w:p w:rsidR="00F97D54" w:rsidRDefault="00F97D54" w:rsidP="00EB5B97">
            <w:pPr>
              <w:rPr>
                <w:sz w:val="16"/>
                <w:szCs w:val="16"/>
              </w:rPr>
            </w:pPr>
            <w:r>
              <w:rPr>
                <w:sz w:val="16"/>
                <w:szCs w:val="16"/>
              </w:rPr>
              <w:t>Where applicable, include the Access Customer Name Abbreviation (ACNA) of the customer</w:t>
            </w:r>
          </w:p>
        </w:tc>
        <w:tc>
          <w:tcPr>
            <w:tcW w:w="1080" w:type="dxa"/>
          </w:tcPr>
          <w:p w:rsidR="00F97D54" w:rsidRDefault="00F97D54" w:rsidP="00EB5B97">
            <w:pPr>
              <w:rPr>
                <w:sz w:val="16"/>
                <w:szCs w:val="16"/>
              </w:rPr>
            </w:pPr>
            <w:r>
              <w:rPr>
                <w:sz w:val="16"/>
                <w:szCs w:val="16"/>
              </w:rPr>
              <w:t>String</w:t>
            </w:r>
          </w:p>
        </w:tc>
        <w:tc>
          <w:tcPr>
            <w:tcW w:w="1529" w:type="dxa"/>
          </w:tcPr>
          <w:p w:rsidR="00F97D54" w:rsidRDefault="00F97D54" w:rsidP="00EB5B97">
            <w:pPr>
              <w:rPr>
                <w:sz w:val="16"/>
                <w:szCs w:val="16"/>
              </w:rPr>
            </w:pPr>
            <w:r>
              <w:rPr>
                <w:sz w:val="16"/>
                <w:szCs w:val="16"/>
              </w:rPr>
              <w:t>ABC</w:t>
            </w:r>
          </w:p>
        </w:tc>
      </w:tr>
      <w:tr w:rsidR="00F97D54" w:rsidRPr="00F43280" w:rsidTr="00EB5B97">
        <w:trPr>
          <w:trHeight w:val="324"/>
        </w:trPr>
        <w:tc>
          <w:tcPr>
            <w:tcW w:w="1781" w:type="dxa"/>
          </w:tcPr>
          <w:p w:rsidR="00F97D54" w:rsidRDefault="00F97D54" w:rsidP="00EB5B97">
            <w:pPr>
              <w:tabs>
                <w:tab w:val="left" w:pos="2022"/>
              </w:tabs>
              <w:rPr>
                <w:sz w:val="16"/>
                <w:szCs w:val="16"/>
              </w:rPr>
            </w:pPr>
            <w:r>
              <w:rPr>
                <w:sz w:val="16"/>
                <w:szCs w:val="16"/>
              </w:rPr>
              <w:t>Customer_ID_OCN</w:t>
            </w:r>
          </w:p>
        </w:tc>
        <w:tc>
          <w:tcPr>
            <w:tcW w:w="4448" w:type="dxa"/>
          </w:tcPr>
          <w:p w:rsidR="00F97D54" w:rsidRDefault="00F97D54" w:rsidP="00EB5B97">
            <w:pPr>
              <w:rPr>
                <w:sz w:val="16"/>
                <w:szCs w:val="16"/>
              </w:rPr>
            </w:pPr>
            <w:r>
              <w:rPr>
                <w:sz w:val="16"/>
                <w:szCs w:val="16"/>
              </w:rPr>
              <w:t>Where applicable, include the Operating Company Number (OCN) of the customer</w:t>
            </w:r>
          </w:p>
        </w:tc>
        <w:tc>
          <w:tcPr>
            <w:tcW w:w="1080" w:type="dxa"/>
          </w:tcPr>
          <w:p w:rsidR="00F97D54" w:rsidRDefault="00F97D54" w:rsidP="00EB5B97">
            <w:pPr>
              <w:rPr>
                <w:sz w:val="16"/>
                <w:szCs w:val="16"/>
              </w:rPr>
            </w:pPr>
            <w:r>
              <w:rPr>
                <w:sz w:val="16"/>
                <w:szCs w:val="16"/>
              </w:rPr>
              <w:t>Integer</w:t>
            </w:r>
          </w:p>
        </w:tc>
        <w:tc>
          <w:tcPr>
            <w:tcW w:w="1529" w:type="dxa"/>
          </w:tcPr>
          <w:p w:rsidR="00F97D54" w:rsidRDefault="00F97D54" w:rsidP="00EB5B97">
            <w:pPr>
              <w:rPr>
                <w:sz w:val="16"/>
                <w:szCs w:val="16"/>
              </w:rPr>
            </w:pPr>
            <w:r>
              <w:rPr>
                <w:sz w:val="16"/>
                <w:szCs w:val="16"/>
              </w:rPr>
              <w:t>1234</w:t>
            </w:r>
          </w:p>
        </w:tc>
      </w:tr>
      <w:tr w:rsidR="00F97D54" w:rsidRPr="00F43280" w:rsidTr="00EB5B97">
        <w:trPr>
          <w:trHeight w:val="324"/>
        </w:trPr>
        <w:tc>
          <w:tcPr>
            <w:tcW w:w="1781" w:type="dxa"/>
          </w:tcPr>
          <w:p w:rsidR="00F97D54" w:rsidRDefault="00F97D54" w:rsidP="00EB5B97">
            <w:pPr>
              <w:tabs>
                <w:tab w:val="left" w:pos="2022"/>
              </w:tabs>
              <w:rPr>
                <w:sz w:val="16"/>
                <w:szCs w:val="16"/>
              </w:rPr>
            </w:pPr>
            <w:r>
              <w:rPr>
                <w:sz w:val="16"/>
                <w:szCs w:val="16"/>
              </w:rPr>
              <w:t>Customer_Name</w:t>
            </w:r>
          </w:p>
        </w:tc>
        <w:tc>
          <w:tcPr>
            <w:tcW w:w="4448" w:type="dxa"/>
          </w:tcPr>
          <w:p w:rsidR="00F97D54" w:rsidRDefault="00F97D54" w:rsidP="00EB5B97">
            <w:pPr>
              <w:rPr>
                <w:sz w:val="16"/>
                <w:szCs w:val="16"/>
              </w:rPr>
            </w:pPr>
            <w:r>
              <w:rPr>
                <w:sz w:val="16"/>
                <w:szCs w:val="16"/>
              </w:rPr>
              <w:t>Enter the name of the customer</w:t>
            </w:r>
          </w:p>
        </w:tc>
        <w:tc>
          <w:tcPr>
            <w:tcW w:w="1080" w:type="dxa"/>
          </w:tcPr>
          <w:p w:rsidR="00F97D54" w:rsidRDefault="00F97D54" w:rsidP="00EB5B97">
            <w:pPr>
              <w:rPr>
                <w:sz w:val="16"/>
                <w:szCs w:val="16"/>
              </w:rPr>
            </w:pPr>
            <w:r>
              <w:rPr>
                <w:sz w:val="16"/>
                <w:szCs w:val="16"/>
              </w:rPr>
              <w:t>Text</w:t>
            </w:r>
          </w:p>
        </w:tc>
        <w:tc>
          <w:tcPr>
            <w:tcW w:w="1529" w:type="dxa"/>
          </w:tcPr>
          <w:p w:rsidR="00F97D54" w:rsidRDefault="00F97D54" w:rsidP="00EB5B97">
            <w:pPr>
              <w:rPr>
                <w:sz w:val="16"/>
                <w:szCs w:val="16"/>
              </w:rPr>
            </w:pPr>
            <w:r>
              <w:rPr>
                <w:sz w:val="16"/>
                <w:szCs w:val="16"/>
              </w:rPr>
              <w:t>Verizon Wireless</w:t>
            </w:r>
          </w:p>
        </w:tc>
      </w:tr>
      <w:tr w:rsidR="00F97D54" w:rsidRPr="00F43280" w:rsidTr="00EB5B97">
        <w:trPr>
          <w:trHeight w:val="324"/>
        </w:trPr>
        <w:tc>
          <w:tcPr>
            <w:tcW w:w="1781" w:type="dxa"/>
            <w:tcBorders>
              <w:bottom w:val="double" w:sz="4" w:space="0" w:color="auto"/>
            </w:tcBorders>
          </w:tcPr>
          <w:p w:rsidR="00F97D54" w:rsidRDefault="00F97D54" w:rsidP="00EB5B97">
            <w:pPr>
              <w:tabs>
                <w:tab w:val="left" w:pos="2022"/>
              </w:tabs>
              <w:rPr>
                <w:sz w:val="16"/>
                <w:szCs w:val="16"/>
              </w:rPr>
            </w:pPr>
            <w:r>
              <w:rPr>
                <w:sz w:val="16"/>
                <w:szCs w:val="16"/>
              </w:rPr>
              <w:t>Provider</w:t>
            </w:r>
          </w:p>
        </w:tc>
        <w:tc>
          <w:tcPr>
            <w:tcW w:w="4448" w:type="dxa"/>
            <w:tcBorders>
              <w:bottom w:val="double" w:sz="4" w:space="0" w:color="auto"/>
            </w:tcBorders>
          </w:tcPr>
          <w:p w:rsidR="00F97D54" w:rsidRPr="0084599C" w:rsidRDefault="00F97D54" w:rsidP="00EB5B97">
            <w:pPr>
              <w:rPr>
                <w:sz w:val="16"/>
                <w:szCs w:val="16"/>
              </w:rPr>
            </w:pPr>
            <w:r>
              <w:rPr>
                <w:sz w:val="16"/>
                <w:szCs w:val="16"/>
              </w:rPr>
              <w:t xml:space="preserve">Indicator variable denoting whether the circuit is purchased by a </w:t>
            </w:r>
            <w:r w:rsidRPr="0022599C">
              <w:rPr>
                <w:i/>
                <w:sz w:val="16"/>
                <w:szCs w:val="16"/>
              </w:rPr>
              <w:t>Provider</w:t>
            </w:r>
            <w:r>
              <w:rPr>
                <w:sz w:val="16"/>
                <w:szCs w:val="16"/>
              </w:rPr>
              <w:t xml:space="preserve">  (0 = non-Provider; 1 = Provider)</w:t>
            </w:r>
          </w:p>
        </w:tc>
        <w:tc>
          <w:tcPr>
            <w:tcW w:w="1080" w:type="dxa"/>
            <w:tcBorders>
              <w:bottom w:val="double" w:sz="4" w:space="0" w:color="auto"/>
            </w:tcBorders>
          </w:tcPr>
          <w:p w:rsidR="00F97D54" w:rsidRDefault="00F97D54" w:rsidP="00EB5B97">
            <w:pPr>
              <w:rPr>
                <w:sz w:val="16"/>
                <w:szCs w:val="16"/>
              </w:rPr>
            </w:pPr>
            <w:r>
              <w:rPr>
                <w:sz w:val="16"/>
                <w:szCs w:val="16"/>
              </w:rPr>
              <w:t>Integer</w:t>
            </w:r>
          </w:p>
        </w:tc>
        <w:tc>
          <w:tcPr>
            <w:tcW w:w="1529" w:type="dxa"/>
            <w:tcBorders>
              <w:bottom w:val="double" w:sz="4" w:space="0" w:color="auto"/>
            </w:tcBorders>
          </w:tcPr>
          <w:p w:rsidR="00F97D54" w:rsidRDefault="00F97D54" w:rsidP="00EB5B97">
            <w:pPr>
              <w:rPr>
                <w:sz w:val="16"/>
                <w:szCs w:val="16"/>
              </w:rPr>
            </w:pPr>
            <w:r>
              <w:rPr>
                <w:sz w:val="16"/>
                <w:szCs w:val="16"/>
              </w:rPr>
              <w:t>1</w:t>
            </w:r>
          </w:p>
        </w:tc>
      </w:tr>
    </w:tbl>
    <w:p w:rsidR="00F97D54" w:rsidRDefault="00F97D54" w:rsidP="00587EB9">
      <w:pPr>
        <w:tabs>
          <w:tab w:val="left" w:pos="1716"/>
        </w:tabs>
        <w:rPr>
          <w:sz w:val="20"/>
          <w:szCs w:val="22"/>
        </w:rPr>
      </w:pPr>
    </w:p>
    <w:p w:rsidR="00F97D54" w:rsidRDefault="00F97D54" w:rsidP="00EB5B97">
      <w:pPr>
        <w:rPr>
          <w:b/>
          <w:szCs w:val="22"/>
        </w:rPr>
      </w:pPr>
      <w:r w:rsidRPr="007275EA">
        <w:rPr>
          <w:szCs w:val="22"/>
        </w:rPr>
        <w:t xml:space="preserve">Instructions for </w:t>
      </w:r>
      <w:r>
        <w:rPr>
          <w:szCs w:val="22"/>
        </w:rPr>
        <w:t>Table II.A.12, Parts 1 and 2</w:t>
      </w:r>
      <w:r w:rsidRPr="00422710">
        <w:rPr>
          <w:szCs w:val="22"/>
        </w:rPr>
        <w:t>:</w:t>
      </w:r>
      <w:r w:rsidRPr="00422710">
        <w:rPr>
          <w:rStyle w:val="FootnoteReference"/>
          <w:szCs w:val="22"/>
        </w:rPr>
        <w:footnoteReference w:id="199"/>
      </w:r>
    </w:p>
    <w:p w:rsidR="00F97D54" w:rsidRPr="00610CCB" w:rsidRDefault="00F97D54" w:rsidP="00EB5B97">
      <w:pPr>
        <w:rPr>
          <w:b/>
          <w:szCs w:val="22"/>
        </w:rPr>
      </w:pPr>
    </w:p>
    <w:p w:rsidR="00F97D54" w:rsidRPr="00063B73" w:rsidRDefault="00F97D54" w:rsidP="00EB5B97">
      <w:pPr>
        <w:pStyle w:val="ListParagraph"/>
        <w:numPr>
          <w:ilvl w:val="0"/>
          <w:numId w:val="25"/>
        </w:numPr>
        <w:spacing w:after="200" w:line="276" w:lineRule="auto"/>
        <w:rPr>
          <w:sz w:val="22"/>
          <w:szCs w:val="22"/>
        </w:rPr>
      </w:pPr>
      <w:r>
        <w:rPr>
          <w:sz w:val="22"/>
          <w:szCs w:val="22"/>
          <w:u w:val="single"/>
        </w:rPr>
        <w:t>Closing_</w:t>
      </w:r>
      <w:r w:rsidRPr="007275EA">
        <w:rPr>
          <w:sz w:val="22"/>
          <w:szCs w:val="22"/>
          <w:u w:val="single"/>
        </w:rPr>
        <w:t>Date</w:t>
      </w:r>
      <w:r w:rsidRPr="007275EA">
        <w:rPr>
          <w:sz w:val="22"/>
          <w:szCs w:val="22"/>
        </w:rPr>
        <w:t>:</w:t>
      </w:r>
      <w:r>
        <w:rPr>
          <w:sz w:val="22"/>
          <w:szCs w:val="22"/>
        </w:rPr>
        <w:t xml:space="preserve">  E</w:t>
      </w:r>
      <w:r w:rsidRPr="00063B73">
        <w:rPr>
          <w:sz w:val="22"/>
          <w:szCs w:val="22"/>
        </w:rPr>
        <w:t xml:space="preserve">nter the date on which the customer was billed.  The date </w:t>
      </w:r>
      <w:r>
        <w:rPr>
          <w:sz w:val="22"/>
          <w:szCs w:val="22"/>
        </w:rPr>
        <w:t>must</w:t>
      </w:r>
      <w:r w:rsidRPr="00063B73">
        <w:rPr>
          <w:sz w:val="22"/>
          <w:szCs w:val="22"/>
        </w:rPr>
        <w:t xml:space="preserve"> appear in mm/dd/yyyy format.  All dates </w:t>
      </w:r>
      <w:r>
        <w:rPr>
          <w:sz w:val="22"/>
          <w:szCs w:val="22"/>
        </w:rPr>
        <w:t>must</w:t>
      </w:r>
      <w:r w:rsidRPr="00063B73">
        <w:rPr>
          <w:sz w:val="22"/>
          <w:szCs w:val="22"/>
        </w:rPr>
        <w:t xml:space="preserve"> be in the ranges 01/01/</w:t>
      </w:r>
      <w:r>
        <w:rPr>
          <w:sz w:val="22"/>
          <w:szCs w:val="22"/>
        </w:rPr>
        <w:t>2010</w:t>
      </w:r>
      <w:r w:rsidRPr="00063B73">
        <w:rPr>
          <w:sz w:val="22"/>
          <w:szCs w:val="22"/>
        </w:rPr>
        <w:t xml:space="preserve"> – 12/31/</w:t>
      </w:r>
      <w:r>
        <w:rPr>
          <w:sz w:val="22"/>
          <w:szCs w:val="22"/>
        </w:rPr>
        <w:t>2010</w:t>
      </w:r>
      <w:r w:rsidRPr="00063B73">
        <w:rPr>
          <w:sz w:val="22"/>
          <w:szCs w:val="22"/>
        </w:rPr>
        <w:t xml:space="preserve"> or 01/01/</w:t>
      </w:r>
      <w:r>
        <w:rPr>
          <w:sz w:val="22"/>
          <w:szCs w:val="22"/>
        </w:rPr>
        <w:t>2012</w:t>
      </w:r>
      <w:r w:rsidRPr="00063B73">
        <w:rPr>
          <w:sz w:val="22"/>
          <w:szCs w:val="22"/>
        </w:rPr>
        <w:t xml:space="preserve"> – 12/31/</w:t>
      </w:r>
      <w:r>
        <w:rPr>
          <w:sz w:val="22"/>
          <w:szCs w:val="22"/>
        </w:rPr>
        <w:t>2012</w:t>
      </w:r>
      <w:r w:rsidRPr="00063B73">
        <w:rPr>
          <w:sz w:val="22"/>
          <w:szCs w:val="22"/>
        </w:rPr>
        <w:t>.  Do not include data on circuits billed outside the appropriate date ranges, even if services were provided within the appropriate date ranges (</w:t>
      </w:r>
      <w:r w:rsidRPr="00146E51">
        <w:rPr>
          <w:i/>
          <w:sz w:val="22"/>
          <w:szCs w:val="22"/>
        </w:rPr>
        <w:t>e.g.</w:t>
      </w:r>
      <w:r w:rsidRPr="00063B73">
        <w:rPr>
          <w:sz w:val="22"/>
          <w:szCs w:val="22"/>
        </w:rPr>
        <w:t>, service that was provided in Dec</w:t>
      </w:r>
      <w:r>
        <w:rPr>
          <w:sz w:val="22"/>
          <w:szCs w:val="22"/>
        </w:rPr>
        <w:t>ember</w:t>
      </w:r>
      <w:r w:rsidRPr="00063B73">
        <w:rPr>
          <w:sz w:val="22"/>
          <w:szCs w:val="22"/>
        </w:rPr>
        <w:t xml:space="preserve"> </w:t>
      </w:r>
      <w:r>
        <w:rPr>
          <w:sz w:val="22"/>
          <w:szCs w:val="22"/>
        </w:rPr>
        <w:t>2010</w:t>
      </w:r>
      <w:r w:rsidRPr="00063B73">
        <w:rPr>
          <w:sz w:val="22"/>
          <w:szCs w:val="22"/>
        </w:rPr>
        <w:t xml:space="preserve"> that was billed in Jan</w:t>
      </w:r>
      <w:r>
        <w:rPr>
          <w:sz w:val="22"/>
          <w:szCs w:val="22"/>
        </w:rPr>
        <w:t xml:space="preserve">uary 2011).  Likewise, </w:t>
      </w:r>
      <w:r w:rsidRPr="00063B73">
        <w:rPr>
          <w:sz w:val="22"/>
          <w:szCs w:val="22"/>
        </w:rPr>
        <w:t>include data on circuits billed in the appropriate date ranges, even if the service was provided outside of those ranges (</w:t>
      </w:r>
      <w:r w:rsidRPr="00146E51">
        <w:rPr>
          <w:i/>
          <w:sz w:val="22"/>
          <w:szCs w:val="22"/>
        </w:rPr>
        <w:t>e.g.</w:t>
      </w:r>
      <w:r w:rsidRPr="00063B73">
        <w:rPr>
          <w:sz w:val="22"/>
          <w:szCs w:val="22"/>
        </w:rPr>
        <w:t>, service provided in Dec</w:t>
      </w:r>
      <w:r>
        <w:rPr>
          <w:sz w:val="22"/>
          <w:szCs w:val="22"/>
        </w:rPr>
        <w:t>ember</w:t>
      </w:r>
      <w:r w:rsidRPr="00063B73">
        <w:rPr>
          <w:sz w:val="22"/>
          <w:szCs w:val="22"/>
        </w:rPr>
        <w:t xml:space="preserve"> </w:t>
      </w:r>
      <w:r>
        <w:rPr>
          <w:sz w:val="22"/>
          <w:szCs w:val="22"/>
        </w:rPr>
        <w:t>2011</w:t>
      </w:r>
      <w:r w:rsidRPr="00063B73">
        <w:rPr>
          <w:sz w:val="22"/>
          <w:szCs w:val="22"/>
        </w:rPr>
        <w:t xml:space="preserve"> that was billed in Jan</w:t>
      </w:r>
      <w:r>
        <w:rPr>
          <w:sz w:val="22"/>
          <w:szCs w:val="22"/>
        </w:rPr>
        <w:t>uary</w:t>
      </w:r>
      <w:r w:rsidRPr="00063B73">
        <w:rPr>
          <w:sz w:val="22"/>
          <w:szCs w:val="22"/>
        </w:rPr>
        <w:t xml:space="preserve"> </w:t>
      </w:r>
      <w:r>
        <w:rPr>
          <w:sz w:val="22"/>
          <w:szCs w:val="22"/>
        </w:rPr>
        <w:t>2012</w:t>
      </w:r>
      <w:r w:rsidRPr="00063B73">
        <w:rPr>
          <w:sz w:val="22"/>
          <w:szCs w:val="22"/>
        </w:rPr>
        <w:t>).</w:t>
      </w:r>
    </w:p>
    <w:p w:rsidR="00F97D54" w:rsidRPr="00063B73" w:rsidRDefault="00F97D54" w:rsidP="00EB5B97">
      <w:pPr>
        <w:pStyle w:val="ListParagraph"/>
        <w:rPr>
          <w:sz w:val="22"/>
          <w:szCs w:val="22"/>
        </w:rPr>
      </w:pPr>
    </w:p>
    <w:p w:rsidR="00F97D54" w:rsidRPr="005A6188" w:rsidRDefault="00F97D54" w:rsidP="00EB5B97">
      <w:pPr>
        <w:pStyle w:val="ListParagraph"/>
        <w:numPr>
          <w:ilvl w:val="0"/>
          <w:numId w:val="25"/>
        </w:numPr>
        <w:spacing w:after="200" w:line="276" w:lineRule="auto"/>
        <w:rPr>
          <w:sz w:val="22"/>
          <w:szCs w:val="22"/>
        </w:rPr>
      </w:pPr>
      <w:r w:rsidRPr="00063B73">
        <w:rPr>
          <w:sz w:val="22"/>
          <w:szCs w:val="22"/>
        </w:rPr>
        <w:t>The following f</w:t>
      </w:r>
      <w:r>
        <w:rPr>
          <w:sz w:val="22"/>
          <w:szCs w:val="22"/>
        </w:rPr>
        <w:t xml:space="preserve">ields in Parts 1 and 2 of Table II.A.12 are used to identify the customer of the </w:t>
      </w:r>
      <w:r w:rsidRPr="005A6188">
        <w:rPr>
          <w:i/>
          <w:sz w:val="22"/>
          <w:szCs w:val="22"/>
        </w:rPr>
        <w:t>Dedicated Service</w:t>
      </w:r>
      <w:r>
        <w:rPr>
          <w:sz w:val="22"/>
          <w:szCs w:val="22"/>
        </w:rPr>
        <w:t>.</w:t>
      </w:r>
      <w:r>
        <w:rPr>
          <w:rStyle w:val="FootnoteReference"/>
          <w:sz w:val="22"/>
          <w:szCs w:val="22"/>
        </w:rPr>
        <w:footnoteReference w:id="200"/>
      </w:r>
    </w:p>
    <w:p w:rsidR="00F97D54" w:rsidRDefault="00F97D54" w:rsidP="00EB5B97">
      <w:pPr>
        <w:pStyle w:val="ListParagraph"/>
        <w:numPr>
          <w:ilvl w:val="0"/>
          <w:numId w:val="10"/>
        </w:numPr>
        <w:spacing w:after="200" w:line="276" w:lineRule="auto"/>
        <w:rPr>
          <w:sz w:val="22"/>
          <w:szCs w:val="22"/>
        </w:rPr>
      </w:pPr>
      <w:r>
        <w:rPr>
          <w:sz w:val="22"/>
          <w:szCs w:val="22"/>
          <w:u w:val="single"/>
        </w:rPr>
        <w:t>Customer</w:t>
      </w:r>
      <w:r w:rsidRPr="007275EA">
        <w:rPr>
          <w:sz w:val="22"/>
          <w:szCs w:val="22"/>
          <w:u w:val="single"/>
        </w:rPr>
        <w:t>_ID</w:t>
      </w:r>
      <w:r w:rsidRPr="007275EA">
        <w:rPr>
          <w:sz w:val="22"/>
          <w:szCs w:val="22"/>
        </w:rPr>
        <w:t>:</w:t>
      </w:r>
      <w:r w:rsidRPr="00063B73">
        <w:rPr>
          <w:sz w:val="22"/>
          <w:szCs w:val="22"/>
        </w:rPr>
        <w:t xml:space="preserve">  </w:t>
      </w:r>
      <w:r>
        <w:rPr>
          <w:sz w:val="22"/>
          <w:szCs w:val="22"/>
        </w:rPr>
        <w:t>A</w:t>
      </w:r>
      <w:r w:rsidRPr="00063B73">
        <w:rPr>
          <w:sz w:val="22"/>
          <w:szCs w:val="22"/>
        </w:rPr>
        <w:t xml:space="preserve">ssign a unique identifier to each customer so that all circuits purchased by the customer can be tracked over time and across locations.  The identifiers </w:t>
      </w:r>
      <w:r>
        <w:rPr>
          <w:sz w:val="22"/>
          <w:szCs w:val="22"/>
        </w:rPr>
        <w:t>must</w:t>
      </w:r>
      <w:r w:rsidRPr="00063B73">
        <w:rPr>
          <w:sz w:val="22"/>
          <w:szCs w:val="22"/>
        </w:rPr>
        <w:t xml:space="preserve"> be entered in integer format.</w:t>
      </w:r>
      <w:r>
        <w:rPr>
          <w:sz w:val="22"/>
          <w:szCs w:val="22"/>
        </w:rPr>
        <w:t xml:space="preserve">  This Customer_ID will be used to link the circuit billing information (Table II.A.12, Part 1) to the customer names and identification numbers (Table II.A.12, Part 2).  In Part 2, provide the customer name, an indicator for whether the customer is a </w:t>
      </w:r>
      <w:r>
        <w:rPr>
          <w:i/>
          <w:sz w:val="22"/>
          <w:szCs w:val="22"/>
        </w:rPr>
        <w:t>Provider</w:t>
      </w:r>
      <w:r>
        <w:rPr>
          <w:sz w:val="22"/>
          <w:szCs w:val="22"/>
        </w:rPr>
        <w:t>, and, where applicable, one of the following identification numbers: 499A filer ID, Access Customer Name Abbreviation (ACNA), or Operating Company Number (OCN).   Note, the Customer_ID variable is required for all observations in both Part1 and Part 2.  However, only one of the three additional identification numbers (499, ACNA, OCN) need be provided, even if multiple identification numbers are available.  Each Customer_ID must appear only once in Part 2, but will likely appear multiple times in Part 1.</w:t>
      </w:r>
    </w:p>
    <w:p w:rsidR="00F97D54" w:rsidRDefault="00F97D54" w:rsidP="00EB5B97">
      <w:pPr>
        <w:pStyle w:val="ListParagraph"/>
        <w:numPr>
          <w:ilvl w:val="0"/>
          <w:numId w:val="10"/>
        </w:numPr>
        <w:spacing w:after="200" w:line="276" w:lineRule="auto"/>
        <w:rPr>
          <w:sz w:val="22"/>
          <w:szCs w:val="22"/>
        </w:rPr>
      </w:pPr>
      <w:r>
        <w:rPr>
          <w:sz w:val="22"/>
          <w:szCs w:val="22"/>
          <w:u w:val="single"/>
        </w:rPr>
        <w:t>Customer</w:t>
      </w:r>
      <w:r w:rsidRPr="005C7802">
        <w:rPr>
          <w:sz w:val="22"/>
          <w:szCs w:val="22"/>
          <w:u w:val="single"/>
        </w:rPr>
        <w:t>_ID_499</w:t>
      </w:r>
      <w:r w:rsidRPr="005C7802">
        <w:rPr>
          <w:sz w:val="22"/>
          <w:szCs w:val="22"/>
        </w:rPr>
        <w:t xml:space="preserve">:  Where applicable, include the 499A Filer ID of the customer in Part 2.  The 499A Filer ID does not replace the </w:t>
      </w:r>
      <w:r>
        <w:rPr>
          <w:sz w:val="22"/>
          <w:szCs w:val="22"/>
        </w:rPr>
        <w:t>Customer</w:t>
      </w:r>
      <w:r w:rsidRPr="005C7802">
        <w:rPr>
          <w:sz w:val="22"/>
          <w:szCs w:val="22"/>
        </w:rPr>
        <w:t xml:space="preserve">_ID variable.  Both the </w:t>
      </w:r>
      <w:r>
        <w:rPr>
          <w:sz w:val="22"/>
          <w:szCs w:val="22"/>
        </w:rPr>
        <w:t>Customer</w:t>
      </w:r>
      <w:r w:rsidRPr="005C7802">
        <w:rPr>
          <w:sz w:val="22"/>
          <w:szCs w:val="22"/>
        </w:rPr>
        <w:t xml:space="preserve">_ID and </w:t>
      </w:r>
      <w:r>
        <w:rPr>
          <w:sz w:val="22"/>
          <w:szCs w:val="22"/>
        </w:rPr>
        <w:t>Customer</w:t>
      </w:r>
      <w:r w:rsidRPr="005C7802">
        <w:rPr>
          <w:sz w:val="22"/>
          <w:szCs w:val="22"/>
        </w:rPr>
        <w:t>_ID_499 fields are populated for any customer with a 499A Filer ID.  If the customer does not have a 499A Filer ID, leave the field blank.</w:t>
      </w:r>
    </w:p>
    <w:p w:rsidR="00F97D54" w:rsidRDefault="00F97D54" w:rsidP="00EB5B97">
      <w:pPr>
        <w:pStyle w:val="ListParagraph"/>
        <w:numPr>
          <w:ilvl w:val="0"/>
          <w:numId w:val="10"/>
        </w:numPr>
        <w:spacing w:after="200" w:line="276" w:lineRule="auto"/>
        <w:rPr>
          <w:sz w:val="22"/>
          <w:szCs w:val="22"/>
        </w:rPr>
      </w:pPr>
      <w:r>
        <w:rPr>
          <w:sz w:val="22"/>
          <w:szCs w:val="22"/>
          <w:u w:val="single"/>
        </w:rPr>
        <w:t>Customer</w:t>
      </w:r>
      <w:r w:rsidRPr="005C7802">
        <w:rPr>
          <w:sz w:val="22"/>
          <w:szCs w:val="22"/>
          <w:u w:val="single"/>
        </w:rPr>
        <w:t>_ID_ACNA</w:t>
      </w:r>
      <w:r w:rsidRPr="005C7802">
        <w:rPr>
          <w:sz w:val="22"/>
          <w:szCs w:val="22"/>
        </w:rPr>
        <w:t xml:space="preserve">:  Where applicable, include the ACNA of the customer in Part 2.  The ACNA does not replace the </w:t>
      </w:r>
      <w:r>
        <w:rPr>
          <w:sz w:val="22"/>
          <w:szCs w:val="22"/>
        </w:rPr>
        <w:t>Customer</w:t>
      </w:r>
      <w:r w:rsidRPr="005C7802">
        <w:rPr>
          <w:sz w:val="22"/>
          <w:szCs w:val="22"/>
        </w:rPr>
        <w:t xml:space="preserve">_ID variable.  Both the </w:t>
      </w:r>
      <w:r>
        <w:rPr>
          <w:sz w:val="22"/>
          <w:szCs w:val="22"/>
        </w:rPr>
        <w:t>Customer</w:t>
      </w:r>
      <w:r w:rsidRPr="005C7802">
        <w:rPr>
          <w:sz w:val="22"/>
          <w:szCs w:val="22"/>
        </w:rPr>
        <w:t xml:space="preserve">_ID and </w:t>
      </w:r>
      <w:r>
        <w:rPr>
          <w:sz w:val="22"/>
          <w:szCs w:val="22"/>
        </w:rPr>
        <w:t>Customer</w:t>
      </w:r>
      <w:r w:rsidRPr="005C7802">
        <w:rPr>
          <w:sz w:val="22"/>
          <w:szCs w:val="22"/>
        </w:rPr>
        <w:t>_ID_ACNA fields are populated for any customer with an ACNA.  If the customer does not have an ACNA, leave the field blank.</w:t>
      </w:r>
    </w:p>
    <w:p w:rsidR="00F97D54" w:rsidRDefault="00F97D54" w:rsidP="00EB5B97">
      <w:pPr>
        <w:pStyle w:val="ListParagraph"/>
        <w:numPr>
          <w:ilvl w:val="0"/>
          <w:numId w:val="10"/>
        </w:numPr>
        <w:spacing w:after="200" w:line="276" w:lineRule="auto"/>
        <w:rPr>
          <w:sz w:val="22"/>
          <w:szCs w:val="22"/>
        </w:rPr>
      </w:pPr>
      <w:r>
        <w:rPr>
          <w:sz w:val="22"/>
          <w:szCs w:val="22"/>
          <w:u w:val="single"/>
        </w:rPr>
        <w:t>Customer</w:t>
      </w:r>
      <w:r w:rsidRPr="005C7802">
        <w:rPr>
          <w:sz w:val="22"/>
          <w:szCs w:val="22"/>
          <w:u w:val="single"/>
        </w:rPr>
        <w:t>_ID_OCN</w:t>
      </w:r>
      <w:r w:rsidRPr="005C7802">
        <w:rPr>
          <w:sz w:val="22"/>
          <w:szCs w:val="22"/>
        </w:rPr>
        <w:t xml:space="preserve">:  Where applicable, include the Operating Company Number (OCN) of the customer in Part 2.  The OCN does not replace the </w:t>
      </w:r>
      <w:r>
        <w:rPr>
          <w:sz w:val="22"/>
          <w:szCs w:val="22"/>
        </w:rPr>
        <w:t>Customer</w:t>
      </w:r>
      <w:r w:rsidRPr="005C7802">
        <w:rPr>
          <w:sz w:val="22"/>
          <w:szCs w:val="22"/>
        </w:rPr>
        <w:t xml:space="preserve">_ID variable.  Both the </w:t>
      </w:r>
      <w:r>
        <w:rPr>
          <w:sz w:val="22"/>
          <w:szCs w:val="22"/>
        </w:rPr>
        <w:t>Customer</w:t>
      </w:r>
      <w:r w:rsidRPr="005C7802">
        <w:rPr>
          <w:sz w:val="22"/>
          <w:szCs w:val="22"/>
        </w:rPr>
        <w:t xml:space="preserve">_ID and </w:t>
      </w:r>
      <w:r>
        <w:rPr>
          <w:sz w:val="22"/>
          <w:szCs w:val="22"/>
        </w:rPr>
        <w:t>Customer</w:t>
      </w:r>
      <w:r w:rsidRPr="005C7802">
        <w:rPr>
          <w:sz w:val="22"/>
          <w:szCs w:val="22"/>
        </w:rPr>
        <w:t>_ID_OCN fields are populated for any customer with an OCN.  If the customer does not have an OCN, leave the field blank.</w:t>
      </w:r>
    </w:p>
    <w:p w:rsidR="00F97D54" w:rsidRDefault="00F97D54" w:rsidP="00F6299F">
      <w:pPr>
        <w:pStyle w:val="ListParagraph"/>
        <w:widowControl/>
        <w:numPr>
          <w:ilvl w:val="0"/>
          <w:numId w:val="10"/>
        </w:numPr>
        <w:spacing w:after="200" w:line="276" w:lineRule="auto"/>
        <w:rPr>
          <w:sz w:val="22"/>
          <w:szCs w:val="22"/>
        </w:rPr>
      </w:pPr>
      <w:r>
        <w:rPr>
          <w:sz w:val="22"/>
          <w:szCs w:val="22"/>
          <w:u w:val="single"/>
        </w:rPr>
        <w:t>Customer</w:t>
      </w:r>
      <w:r w:rsidRPr="005C7802">
        <w:rPr>
          <w:sz w:val="22"/>
          <w:szCs w:val="22"/>
          <w:u w:val="single"/>
        </w:rPr>
        <w:t>_Name</w:t>
      </w:r>
      <w:r w:rsidRPr="005C7802">
        <w:rPr>
          <w:sz w:val="22"/>
          <w:szCs w:val="22"/>
        </w:rPr>
        <w:t xml:space="preserve">:  Enter the name of the customer in Part 2.  The variable </w:t>
      </w:r>
      <w:r>
        <w:rPr>
          <w:sz w:val="22"/>
          <w:szCs w:val="22"/>
        </w:rPr>
        <w:t>must</w:t>
      </w:r>
      <w:r w:rsidRPr="005C7802">
        <w:rPr>
          <w:sz w:val="22"/>
          <w:szCs w:val="22"/>
        </w:rPr>
        <w:t xml:space="preserve"> be entered as a string and be no longer than 30 characters in length.</w:t>
      </w:r>
    </w:p>
    <w:p w:rsidR="00F97D54" w:rsidRPr="005C7802" w:rsidRDefault="00F97D54" w:rsidP="00EB5B97">
      <w:pPr>
        <w:pStyle w:val="ListParagraph"/>
        <w:numPr>
          <w:ilvl w:val="0"/>
          <w:numId w:val="10"/>
        </w:numPr>
        <w:spacing w:after="200" w:line="276" w:lineRule="auto"/>
        <w:rPr>
          <w:sz w:val="22"/>
          <w:szCs w:val="22"/>
        </w:rPr>
      </w:pPr>
      <w:r w:rsidRPr="005C7802">
        <w:rPr>
          <w:sz w:val="22"/>
          <w:szCs w:val="22"/>
          <w:u w:val="single"/>
        </w:rPr>
        <w:t>Provider</w:t>
      </w:r>
      <w:r w:rsidRPr="005C7802">
        <w:rPr>
          <w:sz w:val="22"/>
          <w:szCs w:val="22"/>
        </w:rPr>
        <w:t xml:space="preserve">:  Indicate whether the customer is a </w:t>
      </w:r>
      <w:r w:rsidRPr="005C7802">
        <w:rPr>
          <w:i/>
          <w:sz w:val="22"/>
          <w:szCs w:val="22"/>
        </w:rPr>
        <w:t>Provider</w:t>
      </w:r>
      <w:r w:rsidRPr="005C7802">
        <w:rPr>
          <w:sz w:val="22"/>
          <w:szCs w:val="22"/>
        </w:rPr>
        <w:t xml:space="preserve"> in Part 2, </w:t>
      </w:r>
      <w:r w:rsidRPr="005C7802">
        <w:rPr>
          <w:i/>
          <w:sz w:val="22"/>
          <w:szCs w:val="22"/>
        </w:rPr>
        <w:t>i.e.</w:t>
      </w:r>
      <w:r w:rsidRPr="005C7802">
        <w:rPr>
          <w:sz w:val="22"/>
          <w:szCs w:val="22"/>
        </w:rPr>
        <w:t xml:space="preserve">, a customer that pays a pass through universal service contribution charge.  Enter a 1 if the customer is a </w:t>
      </w:r>
      <w:r w:rsidRPr="005C7802">
        <w:rPr>
          <w:i/>
          <w:sz w:val="22"/>
          <w:szCs w:val="22"/>
        </w:rPr>
        <w:t>Provider</w:t>
      </w:r>
      <w:r w:rsidRPr="005C7802">
        <w:rPr>
          <w:sz w:val="22"/>
          <w:szCs w:val="22"/>
        </w:rPr>
        <w:t xml:space="preserve"> and a 0 otherwise.  In some instances, it may be difficult to identify if the customer is a </w:t>
      </w:r>
      <w:r w:rsidRPr="005C7802">
        <w:rPr>
          <w:i/>
          <w:sz w:val="22"/>
          <w:szCs w:val="22"/>
        </w:rPr>
        <w:t>Provider</w:t>
      </w:r>
      <w:r w:rsidRPr="005C7802">
        <w:rPr>
          <w:sz w:val="22"/>
          <w:szCs w:val="22"/>
        </w:rPr>
        <w:t xml:space="preserve"> using billing information, but can often be inferred by the existence of a 499A Filer ID or by whether USF charges are passed on to the customer in their bill.</w:t>
      </w:r>
    </w:p>
    <w:p w:rsidR="00F97D54" w:rsidRPr="005A6188" w:rsidRDefault="00F97D54" w:rsidP="00EB5B97">
      <w:pPr>
        <w:pStyle w:val="ListParagraph"/>
        <w:spacing w:after="200" w:line="276" w:lineRule="auto"/>
        <w:rPr>
          <w:sz w:val="22"/>
          <w:szCs w:val="22"/>
        </w:rPr>
      </w:pPr>
    </w:p>
    <w:p w:rsidR="00F97D54" w:rsidRPr="00063B73" w:rsidRDefault="00F97D54" w:rsidP="00EB5B97">
      <w:pPr>
        <w:pStyle w:val="ListParagraph"/>
        <w:numPr>
          <w:ilvl w:val="0"/>
          <w:numId w:val="25"/>
        </w:numPr>
        <w:spacing w:after="200" w:line="276" w:lineRule="auto"/>
        <w:rPr>
          <w:sz w:val="22"/>
          <w:szCs w:val="22"/>
        </w:rPr>
      </w:pPr>
      <w:r w:rsidRPr="007275EA">
        <w:rPr>
          <w:sz w:val="22"/>
          <w:szCs w:val="22"/>
          <w:u w:val="single"/>
        </w:rPr>
        <w:t>Location_ID</w:t>
      </w:r>
      <w:r w:rsidRPr="007275EA">
        <w:rPr>
          <w:sz w:val="22"/>
          <w:szCs w:val="22"/>
        </w:rPr>
        <w:t>:</w:t>
      </w:r>
      <w:r w:rsidRPr="00063B73">
        <w:rPr>
          <w:sz w:val="22"/>
          <w:szCs w:val="22"/>
        </w:rPr>
        <w:t xml:space="preserve">  </w:t>
      </w:r>
      <w:r>
        <w:rPr>
          <w:sz w:val="22"/>
          <w:szCs w:val="22"/>
        </w:rPr>
        <w:t>I</w:t>
      </w:r>
      <w:r w:rsidRPr="00063B73">
        <w:rPr>
          <w:sz w:val="22"/>
          <w:szCs w:val="22"/>
        </w:rPr>
        <w:t xml:space="preserve">nclude the Location ID </w:t>
      </w:r>
      <w:r>
        <w:rPr>
          <w:sz w:val="22"/>
          <w:szCs w:val="22"/>
        </w:rPr>
        <w:t xml:space="preserve">reported in response to question II.A.4 </w:t>
      </w:r>
      <w:r w:rsidRPr="00063B73">
        <w:rPr>
          <w:sz w:val="22"/>
          <w:szCs w:val="22"/>
        </w:rPr>
        <w:t xml:space="preserve">for each circuit element on the circuit.  The Location ID </w:t>
      </w:r>
      <w:r>
        <w:rPr>
          <w:sz w:val="22"/>
          <w:szCs w:val="22"/>
        </w:rPr>
        <w:t>is</w:t>
      </w:r>
      <w:r w:rsidRPr="00063B73">
        <w:rPr>
          <w:sz w:val="22"/>
          <w:szCs w:val="22"/>
        </w:rPr>
        <w:t xml:space="preserve"> used to li</w:t>
      </w:r>
      <w:r>
        <w:rPr>
          <w:sz w:val="22"/>
          <w:szCs w:val="22"/>
        </w:rPr>
        <w:t>nk the billed circuit with the f</w:t>
      </w:r>
      <w:r w:rsidRPr="00063B73">
        <w:rPr>
          <w:sz w:val="22"/>
          <w:szCs w:val="22"/>
        </w:rPr>
        <w:t>aci</w:t>
      </w:r>
      <w:r>
        <w:rPr>
          <w:sz w:val="22"/>
          <w:szCs w:val="22"/>
        </w:rPr>
        <w:t>lities information provided in Q</w:t>
      </w:r>
      <w:r w:rsidRPr="00063B73">
        <w:rPr>
          <w:sz w:val="22"/>
          <w:szCs w:val="22"/>
        </w:rPr>
        <w:t xml:space="preserve">uestion II.A.4.  </w:t>
      </w:r>
      <w:r>
        <w:rPr>
          <w:sz w:val="22"/>
          <w:szCs w:val="22"/>
        </w:rPr>
        <w:t>That is, every Location ID referenced in response to Question II.A.12 must correspond to a Location ID reported in response to Question II.A.4.</w:t>
      </w:r>
      <w:r>
        <w:rPr>
          <w:rStyle w:val="FootnoteReference"/>
          <w:sz w:val="22"/>
          <w:szCs w:val="22"/>
        </w:rPr>
        <w:footnoteReference w:id="201"/>
      </w:r>
      <w:r>
        <w:rPr>
          <w:sz w:val="22"/>
          <w:szCs w:val="22"/>
        </w:rPr>
        <w:t xml:space="preserve">  </w:t>
      </w:r>
      <w:r w:rsidRPr="00063B73">
        <w:rPr>
          <w:sz w:val="22"/>
          <w:szCs w:val="22"/>
        </w:rPr>
        <w:t xml:space="preserve">Also, for circuits that connect two </w:t>
      </w:r>
      <w:r w:rsidRPr="00B24C12">
        <w:rPr>
          <w:i/>
          <w:sz w:val="22"/>
          <w:szCs w:val="22"/>
        </w:rPr>
        <w:t>Locations</w:t>
      </w:r>
      <w:r w:rsidRPr="00063B73">
        <w:rPr>
          <w:sz w:val="22"/>
          <w:szCs w:val="22"/>
        </w:rPr>
        <w:t xml:space="preserve">, the Location ID may not be constant within the Circuit ID.  For example, the individual circuit elements for a given Circuit ID may include two channel terminations, each terminating at a different </w:t>
      </w:r>
      <w:r w:rsidRPr="00B24C12">
        <w:rPr>
          <w:i/>
          <w:sz w:val="22"/>
          <w:szCs w:val="22"/>
        </w:rPr>
        <w:t>Location</w:t>
      </w:r>
      <w:r w:rsidRPr="00063B73">
        <w:rPr>
          <w:sz w:val="22"/>
          <w:szCs w:val="22"/>
        </w:rPr>
        <w:t>.  The Location ID must be populated for every circuit element in the data set</w:t>
      </w:r>
      <w:r>
        <w:rPr>
          <w:sz w:val="22"/>
          <w:szCs w:val="22"/>
        </w:rPr>
        <w:t xml:space="preserve"> that can be tied to a </w:t>
      </w:r>
      <w:r>
        <w:rPr>
          <w:i/>
          <w:sz w:val="22"/>
          <w:szCs w:val="22"/>
        </w:rPr>
        <w:t>Location</w:t>
      </w:r>
      <w:r w:rsidRPr="00063B73">
        <w:rPr>
          <w:sz w:val="22"/>
          <w:szCs w:val="22"/>
        </w:rPr>
        <w:t xml:space="preserve">. </w:t>
      </w:r>
      <w:r>
        <w:rPr>
          <w:sz w:val="22"/>
          <w:szCs w:val="22"/>
        </w:rPr>
        <w:t xml:space="preserve"> Specifically, any termination charge must be linked to a </w:t>
      </w:r>
      <w:r>
        <w:rPr>
          <w:i/>
          <w:sz w:val="22"/>
          <w:szCs w:val="22"/>
        </w:rPr>
        <w:t>Location.</w:t>
      </w:r>
      <w:r>
        <w:rPr>
          <w:sz w:val="22"/>
          <w:szCs w:val="22"/>
        </w:rPr>
        <w:t xml:space="preserve">  If the sold </w:t>
      </w:r>
      <w:r w:rsidRPr="008713FF">
        <w:rPr>
          <w:i/>
          <w:sz w:val="22"/>
          <w:szCs w:val="22"/>
        </w:rPr>
        <w:t>Dedicated Service</w:t>
      </w:r>
      <w:r>
        <w:rPr>
          <w:sz w:val="22"/>
          <w:szCs w:val="22"/>
        </w:rPr>
        <w:t xml:space="preserve"> is not to a </w:t>
      </w:r>
      <w:r w:rsidRPr="008713FF">
        <w:rPr>
          <w:i/>
          <w:sz w:val="22"/>
          <w:szCs w:val="22"/>
        </w:rPr>
        <w:t>Location</w:t>
      </w:r>
      <w:r>
        <w:rPr>
          <w:sz w:val="22"/>
          <w:szCs w:val="22"/>
        </w:rPr>
        <w:t xml:space="preserve">, </w:t>
      </w:r>
      <w:r w:rsidRPr="00954287">
        <w:rPr>
          <w:i/>
          <w:sz w:val="22"/>
          <w:szCs w:val="22"/>
        </w:rPr>
        <w:t>e.g.</w:t>
      </w:r>
      <w:r>
        <w:rPr>
          <w:sz w:val="22"/>
          <w:szCs w:val="22"/>
        </w:rPr>
        <w:t>, the sale of dedicated interoffice transport, leave this field blank.</w:t>
      </w:r>
      <w:r w:rsidRPr="00063B73">
        <w:rPr>
          <w:sz w:val="22"/>
          <w:szCs w:val="22"/>
        </w:rPr>
        <w:t xml:space="preserve"> </w:t>
      </w:r>
    </w:p>
    <w:p w:rsidR="00F97D54" w:rsidRPr="00063B73" w:rsidRDefault="00F97D54" w:rsidP="00EB5B97">
      <w:pPr>
        <w:pStyle w:val="ListParagraph"/>
        <w:rPr>
          <w:sz w:val="22"/>
          <w:szCs w:val="22"/>
        </w:rPr>
      </w:pPr>
    </w:p>
    <w:p w:rsidR="00F97D54" w:rsidRPr="00063B73" w:rsidRDefault="00F97D54" w:rsidP="00EB5B97">
      <w:pPr>
        <w:pStyle w:val="ListParagraph"/>
        <w:numPr>
          <w:ilvl w:val="0"/>
          <w:numId w:val="25"/>
        </w:numPr>
        <w:spacing w:after="200" w:line="276" w:lineRule="auto"/>
        <w:rPr>
          <w:sz w:val="22"/>
          <w:szCs w:val="22"/>
        </w:rPr>
      </w:pPr>
      <w:r w:rsidRPr="00B24C12">
        <w:rPr>
          <w:sz w:val="22"/>
          <w:szCs w:val="22"/>
          <w:u w:val="single"/>
        </w:rPr>
        <w:t>Circuit_ID</w:t>
      </w:r>
      <w:r w:rsidRPr="00B24C12">
        <w:rPr>
          <w:sz w:val="22"/>
          <w:szCs w:val="22"/>
        </w:rPr>
        <w:t>:</w:t>
      </w:r>
      <w:r w:rsidRPr="00063B73">
        <w:rPr>
          <w:sz w:val="22"/>
          <w:szCs w:val="22"/>
        </w:rPr>
        <w:t xml:space="preserve">  </w:t>
      </w:r>
      <w:r w:rsidRPr="009376CC">
        <w:rPr>
          <w:sz w:val="22"/>
          <w:szCs w:val="22"/>
        </w:rPr>
        <w:t xml:space="preserve">Assign a unique circuit identifier </w:t>
      </w:r>
      <w:r>
        <w:rPr>
          <w:sz w:val="22"/>
          <w:szCs w:val="22"/>
        </w:rPr>
        <w:t xml:space="preserve">(Circuit ID) </w:t>
      </w:r>
      <w:r w:rsidRPr="009376CC">
        <w:rPr>
          <w:sz w:val="22"/>
          <w:szCs w:val="22"/>
        </w:rPr>
        <w:t xml:space="preserve">to all circuit elements purchased in common for a particular circuit.  If the circuit is sold over multiple time periods, the circuit identifier must track the circuit across the multiple months and/or years it appears in the sample.  We prefer </w:t>
      </w:r>
      <w:r>
        <w:rPr>
          <w:sz w:val="22"/>
          <w:szCs w:val="22"/>
        </w:rPr>
        <w:t xml:space="preserve">that you code </w:t>
      </w:r>
      <w:r w:rsidRPr="009376CC">
        <w:rPr>
          <w:sz w:val="22"/>
          <w:szCs w:val="22"/>
        </w:rPr>
        <w:t xml:space="preserve">the </w:t>
      </w:r>
      <w:r>
        <w:rPr>
          <w:sz w:val="22"/>
          <w:szCs w:val="22"/>
        </w:rPr>
        <w:t>C</w:t>
      </w:r>
      <w:r w:rsidRPr="009376CC">
        <w:rPr>
          <w:sz w:val="22"/>
          <w:szCs w:val="22"/>
        </w:rPr>
        <w:t xml:space="preserve">ircuit </w:t>
      </w:r>
      <w:r>
        <w:rPr>
          <w:sz w:val="22"/>
          <w:szCs w:val="22"/>
        </w:rPr>
        <w:t>IDs</w:t>
      </w:r>
      <w:r w:rsidRPr="009376CC">
        <w:rPr>
          <w:sz w:val="22"/>
          <w:szCs w:val="22"/>
        </w:rPr>
        <w:t xml:space="preserve"> as sequential integers, beginning with the numbe</w:t>
      </w:r>
      <w:r>
        <w:rPr>
          <w:sz w:val="22"/>
          <w:szCs w:val="22"/>
        </w:rPr>
        <w:t>r “1” (similar to the L</w:t>
      </w:r>
      <w:r w:rsidRPr="009376CC">
        <w:rPr>
          <w:sz w:val="22"/>
          <w:szCs w:val="22"/>
        </w:rPr>
        <w:t>ocatio</w:t>
      </w:r>
      <w:r>
        <w:rPr>
          <w:sz w:val="22"/>
          <w:szCs w:val="22"/>
        </w:rPr>
        <w:t>n ID).  However, to the extent you</w:t>
      </w:r>
      <w:r w:rsidRPr="009376CC">
        <w:rPr>
          <w:sz w:val="22"/>
          <w:szCs w:val="22"/>
        </w:rPr>
        <w:t xml:space="preserve"> have an establi</w:t>
      </w:r>
      <w:r>
        <w:rPr>
          <w:sz w:val="22"/>
          <w:szCs w:val="22"/>
        </w:rPr>
        <w:t>shed naming convention for your</w:t>
      </w:r>
      <w:r w:rsidRPr="009376CC">
        <w:rPr>
          <w:sz w:val="22"/>
          <w:szCs w:val="22"/>
        </w:rPr>
        <w:t xml:space="preserve"> circuits, that convention may be substituted in place of</w:t>
      </w:r>
      <w:r>
        <w:rPr>
          <w:sz w:val="22"/>
          <w:szCs w:val="22"/>
        </w:rPr>
        <w:t xml:space="preserve"> sequential numbering.  Code the C</w:t>
      </w:r>
      <w:r w:rsidRPr="009376CC">
        <w:rPr>
          <w:sz w:val="22"/>
          <w:szCs w:val="22"/>
        </w:rPr>
        <w:t xml:space="preserve">ircuit </w:t>
      </w:r>
      <w:r>
        <w:rPr>
          <w:sz w:val="22"/>
          <w:szCs w:val="22"/>
        </w:rPr>
        <w:t>ID</w:t>
      </w:r>
      <w:r w:rsidRPr="009376CC">
        <w:rPr>
          <w:sz w:val="22"/>
          <w:szCs w:val="22"/>
        </w:rPr>
        <w:t xml:space="preserve"> as a string with a maximum of 15 characters.  (Note: Because some filers may choose to use non-numer</w:t>
      </w:r>
      <w:r>
        <w:rPr>
          <w:sz w:val="22"/>
          <w:szCs w:val="22"/>
        </w:rPr>
        <w:t>ic characters in their coding, C</w:t>
      </w:r>
      <w:r w:rsidRPr="009376CC">
        <w:rPr>
          <w:sz w:val="22"/>
          <w:szCs w:val="22"/>
        </w:rPr>
        <w:t xml:space="preserve">ircuit IDs </w:t>
      </w:r>
      <w:r>
        <w:rPr>
          <w:sz w:val="22"/>
          <w:szCs w:val="22"/>
        </w:rPr>
        <w:t xml:space="preserve">must be coded </w:t>
      </w:r>
      <w:r w:rsidRPr="009376CC">
        <w:rPr>
          <w:sz w:val="22"/>
          <w:szCs w:val="22"/>
        </w:rPr>
        <w:t>as string variables, even if they have been renumbered as sequential integers.)</w:t>
      </w:r>
    </w:p>
    <w:p w:rsidR="00F97D54" w:rsidRPr="00063B73" w:rsidRDefault="00F97D54" w:rsidP="00EB5B97">
      <w:pPr>
        <w:pStyle w:val="ListParagraph"/>
        <w:rPr>
          <w:sz w:val="22"/>
          <w:szCs w:val="22"/>
        </w:rPr>
      </w:pPr>
    </w:p>
    <w:p w:rsidR="00F97D54" w:rsidRPr="005A6188" w:rsidRDefault="00F97D54" w:rsidP="00EB5B97">
      <w:pPr>
        <w:pStyle w:val="ListParagraph"/>
        <w:numPr>
          <w:ilvl w:val="0"/>
          <w:numId w:val="25"/>
        </w:numPr>
        <w:spacing w:after="200" w:line="276" w:lineRule="auto"/>
        <w:rPr>
          <w:sz w:val="22"/>
          <w:szCs w:val="22"/>
        </w:rPr>
      </w:pPr>
      <w:r w:rsidRPr="00063B73">
        <w:rPr>
          <w:sz w:val="22"/>
          <w:szCs w:val="22"/>
        </w:rPr>
        <w:t>The following fields identify the type of circuit sold</w:t>
      </w:r>
      <w:r>
        <w:rPr>
          <w:sz w:val="22"/>
          <w:szCs w:val="22"/>
        </w:rPr>
        <w:t xml:space="preserve"> (Circuit Type)</w:t>
      </w:r>
      <w:r w:rsidRPr="00063B73">
        <w:rPr>
          <w:sz w:val="22"/>
          <w:szCs w:val="22"/>
        </w:rPr>
        <w:t>, and the bandwidth of the circuit.</w:t>
      </w:r>
      <w:r>
        <w:rPr>
          <w:sz w:val="22"/>
          <w:szCs w:val="22"/>
        </w:rPr>
        <w:t xml:space="preserve">  The Circuit Type must be populated for every circuit element in the data set.  Only one of the three bandwidth variables needs to be populated for each circuit element, depending on the type of circuit provided.</w:t>
      </w:r>
    </w:p>
    <w:p w:rsidR="00F97D54" w:rsidRDefault="00F97D54" w:rsidP="00F6299F">
      <w:pPr>
        <w:pStyle w:val="ListParagraph"/>
        <w:widowControl/>
        <w:numPr>
          <w:ilvl w:val="0"/>
          <w:numId w:val="11"/>
        </w:numPr>
        <w:spacing w:after="200" w:line="276" w:lineRule="auto"/>
        <w:rPr>
          <w:sz w:val="22"/>
          <w:szCs w:val="22"/>
        </w:rPr>
      </w:pPr>
      <w:r w:rsidRPr="00B24C12">
        <w:rPr>
          <w:sz w:val="22"/>
          <w:szCs w:val="22"/>
          <w:u w:val="single"/>
        </w:rPr>
        <w:t>Circuit_Type</w:t>
      </w:r>
      <w:r w:rsidRPr="00063B73">
        <w:rPr>
          <w:sz w:val="22"/>
          <w:szCs w:val="22"/>
        </w:rPr>
        <w:t xml:space="preserve">:  Indicate the type of circuit sold from the following categories: </w:t>
      </w:r>
      <w:r w:rsidRPr="00B24C12">
        <w:rPr>
          <w:i/>
          <w:sz w:val="22"/>
          <w:szCs w:val="22"/>
        </w:rPr>
        <w:t>DS1</w:t>
      </w:r>
      <w:r w:rsidRPr="00063B73">
        <w:rPr>
          <w:sz w:val="22"/>
          <w:szCs w:val="22"/>
        </w:rPr>
        <w:t xml:space="preserve">, </w:t>
      </w:r>
      <w:r w:rsidRPr="00B24C12">
        <w:rPr>
          <w:i/>
          <w:sz w:val="22"/>
          <w:szCs w:val="22"/>
        </w:rPr>
        <w:t>DS3</w:t>
      </w:r>
      <w:r w:rsidRPr="00063B73">
        <w:rPr>
          <w:sz w:val="22"/>
          <w:szCs w:val="22"/>
        </w:rPr>
        <w:t xml:space="preserve">, </w:t>
      </w:r>
      <w:r w:rsidRPr="00B24C12">
        <w:rPr>
          <w:i/>
          <w:sz w:val="22"/>
          <w:szCs w:val="22"/>
        </w:rPr>
        <w:t>DS1</w:t>
      </w:r>
      <w:r w:rsidRPr="00063B73">
        <w:rPr>
          <w:sz w:val="22"/>
          <w:szCs w:val="22"/>
        </w:rPr>
        <w:t>-</w:t>
      </w:r>
      <w:r w:rsidRPr="00B24C12">
        <w:rPr>
          <w:i/>
          <w:sz w:val="22"/>
          <w:szCs w:val="22"/>
        </w:rPr>
        <w:t>UNE</w:t>
      </w:r>
      <w:r w:rsidRPr="00063B73">
        <w:rPr>
          <w:sz w:val="22"/>
          <w:szCs w:val="22"/>
        </w:rPr>
        <w:t xml:space="preserve">, </w:t>
      </w:r>
      <w:r w:rsidRPr="00B24C12">
        <w:rPr>
          <w:i/>
          <w:sz w:val="22"/>
          <w:szCs w:val="22"/>
        </w:rPr>
        <w:t>DS3</w:t>
      </w:r>
      <w:r w:rsidRPr="00063B73">
        <w:rPr>
          <w:sz w:val="22"/>
          <w:szCs w:val="22"/>
        </w:rPr>
        <w:t>-</w:t>
      </w:r>
      <w:r w:rsidRPr="00B24C12">
        <w:rPr>
          <w:i/>
          <w:sz w:val="22"/>
          <w:szCs w:val="22"/>
        </w:rPr>
        <w:t>UNE</w:t>
      </w:r>
      <w:r w:rsidRPr="00063B73">
        <w:rPr>
          <w:sz w:val="22"/>
          <w:szCs w:val="22"/>
        </w:rPr>
        <w:t xml:space="preserve">, other </w:t>
      </w:r>
      <w:r w:rsidRPr="00B24C12">
        <w:rPr>
          <w:i/>
          <w:sz w:val="22"/>
          <w:szCs w:val="22"/>
        </w:rPr>
        <w:t>CBDS</w:t>
      </w:r>
      <w:r w:rsidRPr="00063B73">
        <w:rPr>
          <w:sz w:val="22"/>
          <w:szCs w:val="22"/>
        </w:rPr>
        <w:t xml:space="preserve"> circuit (</w:t>
      </w:r>
      <w:r w:rsidRPr="00B24C12">
        <w:rPr>
          <w:i/>
          <w:sz w:val="22"/>
          <w:szCs w:val="22"/>
        </w:rPr>
        <w:t>i.e.</w:t>
      </w:r>
      <w:r w:rsidRPr="00063B73">
        <w:rPr>
          <w:sz w:val="22"/>
          <w:szCs w:val="22"/>
        </w:rPr>
        <w:t xml:space="preserve">, non-DSn), or </w:t>
      </w:r>
      <w:r w:rsidRPr="00B24C12">
        <w:rPr>
          <w:i/>
          <w:sz w:val="22"/>
          <w:szCs w:val="22"/>
        </w:rPr>
        <w:t>PBDS</w:t>
      </w:r>
      <w:r w:rsidRPr="00063B73">
        <w:rPr>
          <w:sz w:val="22"/>
          <w:szCs w:val="22"/>
        </w:rPr>
        <w:t>.  For packages of DS1s and DS3s sold to a locatio</w:t>
      </w:r>
      <w:r>
        <w:rPr>
          <w:sz w:val="22"/>
          <w:szCs w:val="22"/>
        </w:rPr>
        <w:t xml:space="preserve">n, </w:t>
      </w:r>
      <w:r w:rsidRPr="00063B73">
        <w:rPr>
          <w:sz w:val="22"/>
          <w:szCs w:val="22"/>
        </w:rPr>
        <w:t>enter DS1</w:t>
      </w:r>
      <w:r>
        <w:rPr>
          <w:sz w:val="22"/>
          <w:szCs w:val="22"/>
        </w:rPr>
        <w:t xml:space="preserve"> or DS3, respectively.  D</w:t>
      </w:r>
      <w:r w:rsidRPr="00063B73">
        <w:rPr>
          <w:sz w:val="22"/>
          <w:szCs w:val="22"/>
        </w:rPr>
        <w:t>o not enter circuit types other than those listed above.</w:t>
      </w:r>
    </w:p>
    <w:p w:rsidR="00F97D54" w:rsidRDefault="00F97D54" w:rsidP="00EB5B97">
      <w:pPr>
        <w:pStyle w:val="ListParagraph"/>
        <w:numPr>
          <w:ilvl w:val="0"/>
          <w:numId w:val="11"/>
        </w:numPr>
        <w:spacing w:after="200" w:line="276" w:lineRule="auto"/>
        <w:rPr>
          <w:sz w:val="22"/>
          <w:szCs w:val="22"/>
        </w:rPr>
      </w:pPr>
      <w:r w:rsidRPr="00B24C12">
        <w:rPr>
          <w:sz w:val="22"/>
          <w:szCs w:val="22"/>
          <w:u w:val="single"/>
        </w:rPr>
        <w:t>DSn_Bandwidth</w:t>
      </w:r>
      <w:r w:rsidRPr="00B24C12">
        <w:rPr>
          <w:sz w:val="22"/>
          <w:szCs w:val="22"/>
        </w:rPr>
        <w:t xml:space="preserve">:  If the circuit is a </w:t>
      </w:r>
      <w:r w:rsidRPr="00B24C12">
        <w:rPr>
          <w:i/>
          <w:sz w:val="22"/>
          <w:szCs w:val="22"/>
        </w:rPr>
        <w:t>DS1</w:t>
      </w:r>
      <w:r w:rsidRPr="00B24C12">
        <w:rPr>
          <w:sz w:val="22"/>
          <w:szCs w:val="22"/>
        </w:rPr>
        <w:t xml:space="preserve">, </w:t>
      </w:r>
      <w:r w:rsidRPr="00B24C12">
        <w:rPr>
          <w:i/>
          <w:sz w:val="22"/>
          <w:szCs w:val="22"/>
        </w:rPr>
        <w:t>DS3</w:t>
      </w:r>
      <w:r w:rsidRPr="00B24C12">
        <w:rPr>
          <w:sz w:val="22"/>
          <w:szCs w:val="22"/>
        </w:rPr>
        <w:t xml:space="preserve">, </w:t>
      </w:r>
      <w:r w:rsidRPr="00B24C12">
        <w:rPr>
          <w:i/>
          <w:sz w:val="22"/>
          <w:szCs w:val="22"/>
        </w:rPr>
        <w:t>DS1-UNE</w:t>
      </w:r>
      <w:r w:rsidRPr="00B24C12">
        <w:rPr>
          <w:sz w:val="22"/>
          <w:szCs w:val="22"/>
        </w:rPr>
        <w:t xml:space="preserve">, or </w:t>
      </w:r>
      <w:r w:rsidRPr="00B24C12">
        <w:rPr>
          <w:i/>
          <w:sz w:val="22"/>
          <w:szCs w:val="22"/>
        </w:rPr>
        <w:t>DS3-UNE</w:t>
      </w:r>
      <w:r>
        <w:rPr>
          <w:sz w:val="22"/>
          <w:szCs w:val="22"/>
        </w:rPr>
        <w:t xml:space="preserve">, </w:t>
      </w:r>
      <w:r w:rsidRPr="00B24C12">
        <w:rPr>
          <w:sz w:val="22"/>
          <w:szCs w:val="22"/>
        </w:rPr>
        <w:t xml:space="preserve">enter the bandwidth of the circuit </w:t>
      </w:r>
      <w:r>
        <w:rPr>
          <w:sz w:val="22"/>
          <w:szCs w:val="22"/>
        </w:rPr>
        <w:t xml:space="preserve">in Mbps, i.e., enter 1.544 for a </w:t>
      </w:r>
      <w:r>
        <w:rPr>
          <w:i/>
          <w:sz w:val="22"/>
          <w:szCs w:val="22"/>
        </w:rPr>
        <w:t>DS1</w:t>
      </w:r>
      <w:r>
        <w:rPr>
          <w:sz w:val="22"/>
          <w:szCs w:val="22"/>
        </w:rPr>
        <w:t xml:space="preserve"> and enter 44.736 for a </w:t>
      </w:r>
      <w:r>
        <w:rPr>
          <w:i/>
          <w:sz w:val="22"/>
          <w:szCs w:val="22"/>
        </w:rPr>
        <w:t>DS3</w:t>
      </w:r>
      <w:r>
        <w:rPr>
          <w:sz w:val="22"/>
          <w:szCs w:val="22"/>
        </w:rPr>
        <w:t xml:space="preserve">.  In the case where multiple </w:t>
      </w:r>
      <w:r w:rsidRPr="00AB5FD7">
        <w:rPr>
          <w:i/>
          <w:sz w:val="22"/>
          <w:szCs w:val="22"/>
        </w:rPr>
        <w:t>DSn</w:t>
      </w:r>
      <w:r w:rsidRPr="00AB5FD7">
        <w:rPr>
          <w:sz w:val="22"/>
          <w:szCs w:val="22"/>
        </w:rPr>
        <w:t>s</w:t>
      </w:r>
      <w:r>
        <w:rPr>
          <w:sz w:val="22"/>
          <w:szCs w:val="22"/>
        </w:rPr>
        <w:t xml:space="preserve"> are provisioned over a single circuit, enter the total bandwidth.  For example, the bandwidth for a circuit with three </w:t>
      </w:r>
      <w:r>
        <w:rPr>
          <w:i/>
          <w:sz w:val="22"/>
          <w:szCs w:val="22"/>
        </w:rPr>
        <w:t>DS1s</w:t>
      </w:r>
      <w:r>
        <w:rPr>
          <w:sz w:val="22"/>
          <w:szCs w:val="22"/>
        </w:rPr>
        <w:t xml:space="preserve"> must be entered as 4.632 (= 3 × 1.544).  For non-</w:t>
      </w:r>
      <w:r w:rsidRPr="00AB5FD7">
        <w:rPr>
          <w:i/>
          <w:sz w:val="22"/>
          <w:szCs w:val="22"/>
        </w:rPr>
        <w:t>DSn</w:t>
      </w:r>
      <w:r>
        <w:rPr>
          <w:sz w:val="22"/>
          <w:szCs w:val="22"/>
        </w:rPr>
        <w:t xml:space="preserve"> circuits, </w:t>
      </w:r>
      <w:r w:rsidRPr="00B24C12">
        <w:rPr>
          <w:sz w:val="22"/>
          <w:szCs w:val="22"/>
        </w:rPr>
        <w:t>leave the field blank.</w:t>
      </w:r>
    </w:p>
    <w:p w:rsidR="00F97D54" w:rsidRDefault="00F97D54" w:rsidP="00EB5B97">
      <w:pPr>
        <w:pStyle w:val="ListParagraph"/>
        <w:numPr>
          <w:ilvl w:val="0"/>
          <w:numId w:val="11"/>
        </w:numPr>
        <w:spacing w:after="200" w:line="276" w:lineRule="auto"/>
        <w:rPr>
          <w:sz w:val="22"/>
          <w:szCs w:val="22"/>
        </w:rPr>
      </w:pPr>
      <w:r w:rsidRPr="00B24C12">
        <w:rPr>
          <w:sz w:val="22"/>
          <w:szCs w:val="22"/>
          <w:u w:val="single"/>
        </w:rPr>
        <w:t>OtherCBDS_Bandwidth</w:t>
      </w:r>
      <w:r w:rsidRPr="00B24C12">
        <w:rPr>
          <w:sz w:val="22"/>
          <w:szCs w:val="22"/>
        </w:rPr>
        <w:t xml:space="preserve">:  If the circuit is a non-DSn </w:t>
      </w:r>
      <w:r w:rsidRPr="00B24C12">
        <w:rPr>
          <w:i/>
          <w:sz w:val="22"/>
          <w:szCs w:val="22"/>
        </w:rPr>
        <w:t>CBDS</w:t>
      </w:r>
      <w:r>
        <w:rPr>
          <w:sz w:val="22"/>
          <w:szCs w:val="22"/>
        </w:rPr>
        <w:t xml:space="preserve"> circuit, </w:t>
      </w:r>
      <w:r w:rsidRPr="00B24C12">
        <w:rPr>
          <w:sz w:val="22"/>
          <w:szCs w:val="22"/>
        </w:rPr>
        <w:t xml:space="preserve">enter the bandwidth of the circuit in Mbps.  </w:t>
      </w:r>
      <w:r>
        <w:rPr>
          <w:sz w:val="22"/>
          <w:szCs w:val="22"/>
        </w:rPr>
        <w:t>For symmetric services, the reported bandwidth is the one-way bandwidth of the circuit (</w:t>
      </w:r>
      <w:r w:rsidRPr="00553AD4">
        <w:rPr>
          <w:i/>
          <w:sz w:val="22"/>
          <w:szCs w:val="22"/>
        </w:rPr>
        <w:t>i.e.</w:t>
      </w:r>
      <w:r>
        <w:rPr>
          <w:sz w:val="22"/>
          <w:szCs w:val="22"/>
        </w:rPr>
        <w:t>, upstream or downstream).  For asymmetric services, report the average of the upstream and downstream bandwidths.  R</w:t>
      </w:r>
      <w:r w:rsidRPr="00B24C12">
        <w:rPr>
          <w:sz w:val="22"/>
          <w:szCs w:val="22"/>
        </w:rPr>
        <w:t xml:space="preserve">ound the bandwidth of the circuit to </w:t>
      </w:r>
      <w:r>
        <w:rPr>
          <w:sz w:val="22"/>
          <w:szCs w:val="22"/>
        </w:rPr>
        <w:t>three</w:t>
      </w:r>
      <w:r w:rsidRPr="00B24C12">
        <w:rPr>
          <w:sz w:val="22"/>
          <w:szCs w:val="22"/>
        </w:rPr>
        <w:t xml:space="preserve"> decimal place</w:t>
      </w:r>
      <w:r>
        <w:rPr>
          <w:sz w:val="22"/>
          <w:szCs w:val="22"/>
        </w:rPr>
        <w:t>s</w:t>
      </w:r>
      <w:r w:rsidRPr="00B24C12">
        <w:rPr>
          <w:sz w:val="22"/>
          <w:szCs w:val="22"/>
        </w:rPr>
        <w:t>.  For example, if the service guarantees 10 Mbps transmission s</w:t>
      </w:r>
      <w:r>
        <w:rPr>
          <w:sz w:val="22"/>
          <w:szCs w:val="22"/>
        </w:rPr>
        <w:t xml:space="preserve">peeds in one direction and 5 Mbps transmission speeds in the other direction, </w:t>
      </w:r>
      <w:r w:rsidRPr="00B24C12">
        <w:rPr>
          <w:sz w:val="22"/>
          <w:szCs w:val="22"/>
        </w:rPr>
        <w:t xml:space="preserve">enter </w:t>
      </w:r>
      <w:r>
        <w:rPr>
          <w:sz w:val="22"/>
          <w:szCs w:val="22"/>
        </w:rPr>
        <w:t>7.500</w:t>
      </w:r>
      <w:r w:rsidRPr="00B24C12">
        <w:rPr>
          <w:sz w:val="22"/>
          <w:szCs w:val="22"/>
        </w:rPr>
        <w:t xml:space="preserve"> in this field.  If the circuit is a DSn or </w:t>
      </w:r>
      <w:r w:rsidRPr="00B24C12">
        <w:rPr>
          <w:i/>
          <w:sz w:val="22"/>
          <w:szCs w:val="22"/>
        </w:rPr>
        <w:t>PBDS</w:t>
      </w:r>
      <w:r>
        <w:rPr>
          <w:sz w:val="22"/>
          <w:szCs w:val="22"/>
        </w:rPr>
        <w:t xml:space="preserve"> circuit, </w:t>
      </w:r>
      <w:r w:rsidRPr="00B24C12">
        <w:rPr>
          <w:sz w:val="22"/>
          <w:szCs w:val="22"/>
        </w:rPr>
        <w:t>leave this field blank.</w:t>
      </w:r>
    </w:p>
    <w:p w:rsidR="00F97D54" w:rsidRPr="00B24C12" w:rsidRDefault="00F97D54" w:rsidP="00EB5B97">
      <w:pPr>
        <w:pStyle w:val="ListParagraph"/>
        <w:numPr>
          <w:ilvl w:val="0"/>
          <w:numId w:val="11"/>
        </w:numPr>
        <w:spacing w:after="200" w:line="276" w:lineRule="auto"/>
        <w:rPr>
          <w:sz w:val="22"/>
          <w:szCs w:val="22"/>
        </w:rPr>
      </w:pPr>
      <w:r w:rsidRPr="00B24C12">
        <w:rPr>
          <w:sz w:val="22"/>
          <w:szCs w:val="22"/>
          <w:u w:val="single"/>
        </w:rPr>
        <w:t>PBDS_Bandwidth</w:t>
      </w:r>
      <w:r w:rsidRPr="00B24C12">
        <w:rPr>
          <w:sz w:val="22"/>
          <w:szCs w:val="22"/>
        </w:rPr>
        <w:t xml:space="preserve">:  If the circuit is a </w:t>
      </w:r>
      <w:r w:rsidRPr="00B24C12">
        <w:rPr>
          <w:i/>
          <w:sz w:val="22"/>
          <w:szCs w:val="22"/>
        </w:rPr>
        <w:t>PBDS</w:t>
      </w:r>
      <w:r>
        <w:rPr>
          <w:sz w:val="22"/>
          <w:szCs w:val="22"/>
        </w:rPr>
        <w:t xml:space="preserve"> circuit, </w:t>
      </w:r>
      <w:r w:rsidRPr="00B24C12">
        <w:rPr>
          <w:sz w:val="22"/>
          <w:szCs w:val="22"/>
        </w:rPr>
        <w:t xml:space="preserve">enter the bandwidth of the circuit in Mbps.  </w:t>
      </w:r>
      <w:r>
        <w:rPr>
          <w:sz w:val="22"/>
          <w:szCs w:val="22"/>
        </w:rPr>
        <w:t>For symmetric services, the reported bandwidth is the one-way bandwidth of the circuit (</w:t>
      </w:r>
      <w:r w:rsidRPr="00553AD4">
        <w:rPr>
          <w:i/>
          <w:sz w:val="22"/>
          <w:szCs w:val="22"/>
        </w:rPr>
        <w:t>i.e.</w:t>
      </w:r>
      <w:r>
        <w:rPr>
          <w:sz w:val="22"/>
          <w:szCs w:val="22"/>
        </w:rPr>
        <w:t>, upstream or downstream).  For asymmetric services, report the average of the upstream and downstream bandwidths.</w:t>
      </w:r>
      <w:r w:rsidRPr="00B24C12">
        <w:rPr>
          <w:sz w:val="22"/>
          <w:szCs w:val="22"/>
        </w:rPr>
        <w:t xml:space="preserve">  For example, if the service guarantees 150 Mbps transmission sp</w:t>
      </w:r>
      <w:r>
        <w:rPr>
          <w:sz w:val="22"/>
          <w:szCs w:val="22"/>
        </w:rPr>
        <w:t>eeds in one direction and 50 Mbps transmission speeds in the other direction, e</w:t>
      </w:r>
      <w:r w:rsidRPr="00B24C12">
        <w:rPr>
          <w:sz w:val="22"/>
          <w:szCs w:val="22"/>
        </w:rPr>
        <w:t xml:space="preserve">nter </w:t>
      </w:r>
      <w:r>
        <w:rPr>
          <w:sz w:val="22"/>
          <w:szCs w:val="22"/>
        </w:rPr>
        <w:t>1</w:t>
      </w:r>
      <w:r w:rsidRPr="00B24C12">
        <w:rPr>
          <w:sz w:val="22"/>
          <w:szCs w:val="22"/>
        </w:rPr>
        <w:t xml:space="preserve">00 in this field.  </w:t>
      </w:r>
      <w:r>
        <w:rPr>
          <w:sz w:val="22"/>
          <w:szCs w:val="22"/>
        </w:rPr>
        <w:t>R</w:t>
      </w:r>
      <w:r w:rsidRPr="00B24C12">
        <w:rPr>
          <w:sz w:val="22"/>
          <w:szCs w:val="22"/>
        </w:rPr>
        <w:t xml:space="preserve">ound the bandwidth of the circuit to </w:t>
      </w:r>
      <w:r>
        <w:rPr>
          <w:sz w:val="22"/>
          <w:szCs w:val="22"/>
        </w:rPr>
        <w:t>three</w:t>
      </w:r>
      <w:r w:rsidRPr="00B24C12">
        <w:rPr>
          <w:sz w:val="22"/>
          <w:szCs w:val="22"/>
        </w:rPr>
        <w:t xml:space="preserve"> decimal place</w:t>
      </w:r>
      <w:r>
        <w:rPr>
          <w:sz w:val="22"/>
          <w:szCs w:val="22"/>
        </w:rPr>
        <w:t>s</w:t>
      </w:r>
      <w:r w:rsidRPr="00B24C12">
        <w:rPr>
          <w:sz w:val="22"/>
          <w:szCs w:val="22"/>
        </w:rPr>
        <w:t>.  For non-</w:t>
      </w:r>
      <w:r w:rsidRPr="00B24C12">
        <w:rPr>
          <w:i/>
          <w:sz w:val="22"/>
          <w:szCs w:val="22"/>
        </w:rPr>
        <w:t>PBDS</w:t>
      </w:r>
      <w:r>
        <w:rPr>
          <w:sz w:val="22"/>
          <w:szCs w:val="22"/>
        </w:rPr>
        <w:t xml:space="preserve"> circuits, </w:t>
      </w:r>
      <w:r w:rsidRPr="00B24C12">
        <w:rPr>
          <w:sz w:val="22"/>
          <w:szCs w:val="22"/>
        </w:rPr>
        <w:t>leave this field blank.</w:t>
      </w:r>
    </w:p>
    <w:p w:rsidR="00F97D54" w:rsidRPr="00063B73" w:rsidRDefault="00F97D54" w:rsidP="00EB5B97">
      <w:pPr>
        <w:pStyle w:val="ListParagraph"/>
        <w:rPr>
          <w:sz w:val="22"/>
          <w:szCs w:val="22"/>
        </w:rPr>
      </w:pPr>
    </w:p>
    <w:p w:rsidR="00F97D54" w:rsidRPr="00063B73" w:rsidRDefault="00F97D54" w:rsidP="00EB5B97">
      <w:pPr>
        <w:pStyle w:val="ListParagraph"/>
        <w:numPr>
          <w:ilvl w:val="0"/>
          <w:numId w:val="25"/>
        </w:numPr>
        <w:spacing w:after="200" w:line="276" w:lineRule="auto"/>
        <w:rPr>
          <w:sz w:val="22"/>
          <w:szCs w:val="22"/>
        </w:rPr>
      </w:pPr>
      <w:r w:rsidRPr="00B24C12">
        <w:rPr>
          <w:sz w:val="22"/>
          <w:szCs w:val="22"/>
          <w:u w:val="single"/>
        </w:rPr>
        <w:t>Billing_Code</w:t>
      </w:r>
      <w:r w:rsidRPr="00063B73">
        <w:rPr>
          <w:sz w:val="22"/>
          <w:szCs w:val="22"/>
        </w:rPr>
        <w:t xml:space="preserve">:  The </w:t>
      </w:r>
      <w:r>
        <w:rPr>
          <w:sz w:val="22"/>
          <w:szCs w:val="22"/>
        </w:rPr>
        <w:t>billing</w:t>
      </w:r>
      <w:r w:rsidRPr="00063B73">
        <w:rPr>
          <w:sz w:val="22"/>
          <w:szCs w:val="22"/>
        </w:rPr>
        <w:t xml:space="preserve"> code variable </w:t>
      </w:r>
      <w:r>
        <w:rPr>
          <w:sz w:val="22"/>
          <w:szCs w:val="22"/>
        </w:rPr>
        <w:t xml:space="preserve">(Billing Code) </w:t>
      </w:r>
      <w:r w:rsidRPr="00063B73">
        <w:rPr>
          <w:sz w:val="22"/>
          <w:szCs w:val="22"/>
        </w:rPr>
        <w:t xml:space="preserve">is used to identify the individual components of billed circuits.  The </w:t>
      </w:r>
      <w:r>
        <w:rPr>
          <w:sz w:val="22"/>
          <w:szCs w:val="22"/>
        </w:rPr>
        <w:t>Billing</w:t>
      </w:r>
      <w:r w:rsidRPr="00063B73">
        <w:rPr>
          <w:sz w:val="22"/>
          <w:szCs w:val="22"/>
        </w:rPr>
        <w:t xml:space="preserve"> </w:t>
      </w:r>
      <w:r>
        <w:rPr>
          <w:sz w:val="22"/>
          <w:szCs w:val="22"/>
        </w:rPr>
        <w:t>C</w:t>
      </w:r>
      <w:r w:rsidRPr="00063B73">
        <w:rPr>
          <w:sz w:val="22"/>
          <w:szCs w:val="22"/>
        </w:rPr>
        <w:t xml:space="preserve">ode </w:t>
      </w:r>
      <w:r>
        <w:rPr>
          <w:sz w:val="22"/>
          <w:szCs w:val="22"/>
        </w:rPr>
        <w:t>is</w:t>
      </w:r>
      <w:r w:rsidRPr="00063B73">
        <w:rPr>
          <w:sz w:val="22"/>
          <w:szCs w:val="22"/>
        </w:rPr>
        <w:t xml:space="preserve"> used to link the billed circuit elements with the description of those elements in </w:t>
      </w:r>
      <w:r>
        <w:rPr>
          <w:sz w:val="22"/>
          <w:szCs w:val="22"/>
        </w:rPr>
        <w:t xml:space="preserve">Question </w:t>
      </w:r>
      <w:r w:rsidRPr="00063B73">
        <w:rPr>
          <w:sz w:val="22"/>
          <w:szCs w:val="22"/>
        </w:rPr>
        <w:t xml:space="preserve">II.A.14.  </w:t>
      </w:r>
      <w:r>
        <w:rPr>
          <w:sz w:val="22"/>
          <w:szCs w:val="22"/>
        </w:rPr>
        <w:t>E</w:t>
      </w:r>
      <w:r w:rsidRPr="00063B73">
        <w:rPr>
          <w:sz w:val="22"/>
          <w:szCs w:val="22"/>
        </w:rPr>
        <w:t>xample</w:t>
      </w:r>
      <w:r>
        <w:rPr>
          <w:sz w:val="22"/>
          <w:szCs w:val="22"/>
        </w:rPr>
        <w:t>s</w:t>
      </w:r>
      <w:r w:rsidRPr="00063B73">
        <w:rPr>
          <w:sz w:val="22"/>
          <w:szCs w:val="22"/>
        </w:rPr>
        <w:t xml:space="preserve"> of </w:t>
      </w:r>
      <w:r>
        <w:rPr>
          <w:sz w:val="22"/>
          <w:szCs w:val="22"/>
        </w:rPr>
        <w:t>Billing</w:t>
      </w:r>
      <w:r w:rsidRPr="00063B73">
        <w:rPr>
          <w:sz w:val="22"/>
          <w:szCs w:val="22"/>
        </w:rPr>
        <w:t xml:space="preserve"> </w:t>
      </w:r>
      <w:r>
        <w:rPr>
          <w:sz w:val="22"/>
          <w:szCs w:val="22"/>
        </w:rPr>
        <w:t>C</w:t>
      </w:r>
      <w:r w:rsidRPr="00063B73">
        <w:rPr>
          <w:sz w:val="22"/>
          <w:szCs w:val="22"/>
        </w:rPr>
        <w:t>odes are Uniform Service Order Codes (USOC</w:t>
      </w:r>
      <w:r>
        <w:rPr>
          <w:sz w:val="22"/>
          <w:szCs w:val="22"/>
        </w:rPr>
        <w:t>s</w:t>
      </w:r>
      <w:r w:rsidRPr="00063B73">
        <w:rPr>
          <w:sz w:val="22"/>
          <w:szCs w:val="22"/>
        </w:rPr>
        <w:t xml:space="preserve">).  However, </w:t>
      </w:r>
      <w:r>
        <w:rPr>
          <w:sz w:val="22"/>
          <w:szCs w:val="22"/>
        </w:rPr>
        <w:t xml:space="preserve">you are not required to use </w:t>
      </w:r>
      <w:r w:rsidRPr="00063B73">
        <w:rPr>
          <w:sz w:val="22"/>
          <w:szCs w:val="22"/>
        </w:rPr>
        <w:t>USOC</w:t>
      </w:r>
      <w:r>
        <w:rPr>
          <w:sz w:val="22"/>
          <w:szCs w:val="22"/>
        </w:rPr>
        <w:t>s</w:t>
      </w:r>
      <w:r w:rsidRPr="00063B73">
        <w:rPr>
          <w:sz w:val="22"/>
          <w:szCs w:val="22"/>
        </w:rPr>
        <w:t xml:space="preserve"> to ide</w:t>
      </w:r>
      <w:r>
        <w:rPr>
          <w:sz w:val="22"/>
          <w:szCs w:val="22"/>
        </w:rPr>
        <w:t>ntify the circuit elements; you can create your own Billing Codes</w:t>
      </w:r>
      <w:r w:rsidRPr="00063B73">
        <w:rPr>
          <w:sz w:val="22"/>
          <w:szCs w:val="22"/>
        </w:rPr>
        <w:t xml:space="preserve">.  </w:t>
      </w:r>
      <w:r>
        <w:rPr>
          <w:sz w:val="22"/>
          <w:szCs w:val="22"/>
        </w:rPr>
        <w:t>S</w:t>
      </w:r>
      <w:r w:rsidRPr="009376CC">
        <w:rPr>
          <w:sz w:val="22"/>
          <w:szCs w:val="22"/>
        </w:rPr>
        <w:t xml:space="preserve">imilar circuit elements need to have the same </w:t>
      </w:r>
      <w:r>
        <w:rPr>
          <w:sz w:val="22"/>
          <w:szCs w:val="22"/>
        </w:rPr>
        <w:t>Billing Code</w:t>
      </w:r>
      <w:r w:rsidRPr="009376CC">
        <w:rPr>
          <w:sz w:val="22"/>
          <w:szCs w:val="22"/>
        </w:rPr>
        <w:t xml:space="preserve"> in order to track similar charges across circuits.  </w:t>
      </w:r>
      <w:r w:rsidRPr="00063B73">
        <w:rPr>
          <w:sz w:val="22"/>
          <w:szCs w:val="22"/>
        </w:rPr>
        <w:t xml:space="preserve">To the extent that circuits are billed by individual circuit elements, the elements and billed amounts of the elements </w:t>
      </w:r>
      <w:r>
        <w:rPr>
          <w:sz w:val="22"/>
          <w:szCs w:val="22"/>
        </w:rPr>
        <w:t>must</w:t>
      </w:r>
      <w:r w:rsidRPr="00063B73">
        <w:rPr>
          <w:sz w:val="22"/>
          <w:szCs w:val="22"/>
        </w:rPr>
        <w:t xml:space="preserve"> be disaggregated into separate line-items in the table.  If circuits are billed at the overall circuit level, only one line per circuit need be populated, and all like circuits may have the same </w:t>
      </w:r>
      <w:r>
        <w:rPr>
          <w:sz w:val="22"/>
          <w:szCs w:val="22"/>
        </w:rPr>
        <w:t xml:space="preserve">Billing_Code and Billing Code </w:t>
      </w:r>
      <w:r w:rsidRPr="00063B73">
        <w:rPr>
          <w:sz w:val="22"/>
          <w:szCs w:val="22"/>
        </w:rPr>
        <w:t>description.</w:t>
      </w:r>
    </w:p>
    <w:p w:rsidR="00F97D54" w:rsidRPr="00063B73" w:rsidRDefault="00F97D54" w:rsidP="00EB5B97">
      <w:pPr>
        <w:pStyle w:val="ListParagraph"/>
        <w:rPr>
          <w:sz w:val="22"/>
          <w:szCs w:val="22"/>
        </w:rPr>
      </w:pPr>
    </w:p>
    <w:p w:rsidR="00F97D54" w:rsidRPr="00063B73" w:rsidRDefault="00F97D54" w:rsidP="0047272E">
      <w:pPr>
        <w:pStyle w:val="ListParagraph"/>
        <w:widowControl/>
        <w:numPr>
          <w:ilvl w:val="0"/>
          <w:numId w:val="25"/>
        </w:numPr>
        <w:spacing w:after="200" w:line="276" w:lineRule="auto"/>
        <w:rPr>
          <w:sz w:val="22"/>
          <w:szCs w:val="22"/>
        </w:rPr>
      </w:pPr>
      <w:r w:rsidRPr="00F024D6">
        <w:rPr>
          <w:sz w:val="22"/>
          <w:szCs w:val="22"/>
          <w:u w:val="single"/>
        </w:rPr>
        <w:t>Quantity</w:t>
      </w:r>
      <w:r w:rsidRPr="00063B73">
        <w:rPr>
          <w:sz w:val="22"/>
          <w:szCs w:val="22"/>
        </w:rPr>
        <w:t xml:space="preserve">:  Enter the number of billed units for this circuit element.  Do not enter the bandwidth of the circuit in this field.  For item codes that describe per-mile charges, the Quantity </w:t>
      </w:r>
      <w:r>
        <w:rPr>
          <w:sz w:val="22"/>
          <w:szCs w:val="22"/>
        </w:rPr>
        <w:t>is</w:t>
      </w:r>
      <w:r w:rsidRPr="00063B73">
        <w:rPr>
          <w:sz w:val="22"/>
          <w:szCs w:val="22"/>
        </w:rPr>
        <w:t xml:space="preserve"> the number of miles in the circuit that apply for that item code.</w:t>
      </w:r>
    </w:p>
    <w:p w:rsidR="00F97D54" w:rsidRPr="00063B73" w:rsidRDefault="00F97D54" w:rsidP="00EB5B97">
      <w:pPr>
        <w:pStyle w:val="ListParagraph"/>
        <w:rPr>
          <w:sz w:val="22"/>
          <w:szCs w:val="22"/>
        </w:rPr>
      </w:pPr>
    </w:p>
    <w:p w:rsidR="00F97D54" w:rsidRPr="00063B73" w:rsidRDefault="00F97D54" w:rsidP="00EB5B97">
      <w:pPr>
        <w:pStyle w:val="ListParagraph"/>
        <w:numPr>
          <w:ilvl w:val="0"/>
          <w:numId w:val="25"/>
        </w:numPr>
        <w:spacing w:after="200" w:line="276" w:lineRule="auto"/>
        <w:rPr>
          <w:sz w:val="22"/>
          <w:szCs w:val="22"/>
        </w:rPr>
      </w:pPr>
      <w:r w:rsidRPr="00F024D6">
        <w:rPr>
          <w:sz w:val="22"/>
          <w:szCs w:val="22"/>
          <w:u w:val="single"/>
        </w:rPr>
        <w:t>Initial_NRC</w:t>
      </w:r>
      <w:r>
        <w:rPr>
          <w:sz w:val="22"/>
          <w:szCs w:val="22"/>
        </w:rPr>
        <w:t>:  Insofar as the per unit monthly b</w:t>
      </w:r>
      <w:r w:rsidRPr="00063B73">
        <w:rPr>
          <w:sz w:val="22"/>
          <w:szCs w:val="22"/>
        </w:rPr>
        <w:t>illed amount (</w:t>
      </w:r>
      <w:r>
        <w:rPr>
          <w:sz w:val="22"/>
          <w:szCs w:val="22"/>
        </w:rPr>
        <w:t xml:space="preserve">Question </w:t>
      </w:r>
      <w:r w:rsidRPr="00063B73">
        <w:rPr>
          <w:sz w:val="22"/>
          <w:szCs w:val="22"/>
        </w:rPr>
        <w:t>II.A.12.l) can be broken into recurring an</w:t>
      </w:r>
      <w:r>
        <w:rPr>
          <w:sz w:val="22"/>
          <w:szCs w:val="22"/>
        </w:rPr>
        <w:t xml:space="preserve">d non-recurring charges, </w:t>
      </w:r>
      <w:r w:rsidRPr="00063B73">
        <w:rPr>
          <w:sz w:val="22"/>
          <w:szCs w:val="22"/>
        </w:rPr>
        <w:t xml:space="preserve">enter the non-recurring </w:t>
      </w:r>
      <w:r>
        <w:rPr>
          <w:sz w:val="22"/>
          <w:szCs w:val="22"/>
        </w:rPr>
        <w:t>charge (in dollars)</w:t>
      </w:r>
      <w:r w:rsidRPr="00063B73">
        <w:rPr>
          <w:sz w:val="22"/>
          <w:szCs w:val="22"/>
        </w:rPr>
        <w:t xml:space="preserve"> billed for the first unit of this circuit element on this circuit.  Enter the charge to two decimal places and do not include other string characters (</w:t>
      </w:r>
      <w:r w:rsidRPr="006D3B41">
        <w:rPr>
          <w:i/>
          <w:sz w:val="22"/>
          <w:szCs w:val="22"/>
        </w:rPr>
        <w:t>e.g.</w:t>
      </w:r>
      <w:r w:rsidRPr="00063B73">
        <w:rPr>
          <w:sz w:val="22"/>
          <w:szCs w:val="22"/>
        </w:rPr>
        <w:t>, “$”).</w:t>
      </w:r>
    </w:p>
    <w:p w:rsidR="00F97D54" w:rsidRPr="00063B73" w:rsidRDefault="00F97D54" w:rsidP="00EB5B97">
      <w:pPr>
        <w:pStyle w:val="ListParagraph"/>
        <w:rPr>
          <w:sz w:val="22"/>
          <w:szCs w:val="22"/>
        </w:rPr>
      </w:pPr>
    </w:p>
    <w:p w:rsidR="00F97D54" w:rsidRPr="00063B73" w:rsidRDefault="00F97D54" w:rsidP="00F6299F">
      <w:pPr>
        <w:pStyle w:val="ListParagraph"/>
        <w:widowControl/>
        <w:numPr>
          <w:ilvl w:val="0"/>
          <w:numId w:val="25"/>
        </w:numPr>
        <w:spacing w:after="200" w:line="276" w:lineRule="auto"/>
        <w:rPr>
          <w:sz w:val="22"/>
          <w:szCs w:val="22"/>
        </w:rPr>
      </w:pPr>
      <w:r w:rsidRPr="006D3B41">
        <w:rPr>
          <w:sz w:val="22"/>
          <w:szCs w:val="22"/>
          <w:u w:val="single"/>
        </w:rPr>
        <w:t>Unit_NRC</w:t>
      </w:r>
      <w:r>
        <w:rPr>
          <w:sz w:val="22"/>
          <w:szCs w:val="22"/>
        </w:rPr>
        <w:t>:  Insofar as the per unit monthly b</w:t>
      </w:r>
      <w:r w:rsidRPr="00063B73">
        <w:rPr>
          <w:sz w:val="22"/>
          <w:szCs w:val="22"/>
        </w:rPr>
        <w:t>illed amount (</w:t>
      </w:r>
      <w:r>
        <w:rPr>
          <w:sz w:val="22"/>
          <w:szCs w:val="22"/>
        </w:rPr>
        <w:t xml:space="preserve">Question </w:t>
      </w:r>
      <w:r w:rsidRPr="00063B73">
        <w:rPr>
          <w:sz w:val="22"/>
          <w:szCs w:val="22"/>
        </w:rPr>
        <w:t>II.A.12.l) can be broken into recurring an</w:t>
      </w:r>
      <w:r>
        <w:rPr>
          <w:sz w:val="22"/>
          <w:szCs w:val="22"/>
        </w:rPr>
        <w:t xml:space="preserve">d non-recurring charges, </w:t>
      </w:r>
      <w:r w:rsidRPr="00063B73">
        <w:rPr>
          <w:sz w:val="22"/>
          <w:szCs w:val="22"/>
        </w:rPr>
        <w:t xml:space="preserve">enter the non-recurring </w:t>
      </w:r>
      <w:r>
        <w:rPr>
          <w:sz w:val="22"/>
          <w:szCs w:val="22"/>
        </w:rPr>
        <w:t>charge (in dollars)</w:t>
      </w:r>
      <w:r w:rsidRPr="00063B73">
        <w:rPr>
          <w:sz w:val="22"/>
          <w:szCs w:val="22"/>
        </w:rPr>
        <w:t xml:space="preserve"> billed for each additional unit of this circuit element on this circuit.  Enter the charge to two decimal places and do not include other string characters (</w:t>
      </w:r>
      <w:r w:rsidRPr="006D3B41">
        <w:rPr>
          <w:i/>
          <w:sz w:val="22"/>
          <w:szCs w:val="22"/>
        </w:rPr>
        <w:t>e.g.</w:t>
      </w:r>
      <w:r w:rsidRPr="00063B73">
        <w:rPr>
          <w:sz w:val="22"/>
          <w:szCs w:val="22"/>
        </w:rPr>
        <w:t>, “$”).</w:t>
      </w:r>
    </w:p>
    <w:p w:rsidR="00F97D54" w:rsidRPr="00063B73" w:rsidRDefault="00F97D54" w:rsidP="00EB5B97">
      <w:pPr>
        <w:pStyle w:val="ListParagraph"/>
        <w:rPr>
          <w:sz w:val="22"/>
          <w:szCs w:val="22"/>
        </w:rPr>
      </w:pPr>
    </w:p>
    <w:p w:rsidR="00F97D54" w:rsidRPr="00063B73" w:rsidRDefault="00F97D54" w:rsidP="00EB5B97">
      <w:pPr>
        <w:pStyle w:val="ListParagraph"/>
        <w:numPr>
          <w:ilvl w:val="0"/>
          <w:numId w:val="25"/>
        </w:numPr>
        <w:spacing w:after="200" w:line="276" w:lineRule="auto"/>
        <w:rPr>
          <w:sz w:val="22"/>
          <w:szCs w:val="22"/>
        </w:rPr>
      </w:pPr>
      <w:r w:rsidRPr="006D3B41">
        <w:rPr>
          <w:sz w:val="22"/>
          <w:szCs w:val="22"/>
          <w:u w:val="single"/>
        </w:rPr>
        <w:t>Initial_MRC</w:t>
      </w:r>
      <w:r>
        <w:rPr>
          <w:sz w:val="22"/>
          <w:szCs w:val="22"/>
        </w:rPr>
        <w:t>:  Insofar as the per unit monthly b</w:t>
      </w:r>
      <w:r w:rsidRPr="00063B73">
        <w:rPr>
          <w:sz w:val="22"/>
          <w:szCs w:val="22"/>
        </w:rPr>
        <w:t>illed amount (</w:t>
      </w:r>
      <w:r>
        <w:rPr>
          <w:sz w:val="22"/>
          <w:szCs w:val="22"/>
        </w:rPr>
        <w:t xml:space="preserve">Question </w:t>
      </w:r>
      <w:r w:rsidRPr="00063B73">
        <w:rPr>
          <w:sz w:val="22"/>
          <w:szCs w:val="22"/>
        </w:rPr>
        <w:t>II.A.12.l) can be broken into recurring an</w:t>
      </w:r>
      <w:r>
        <w:rPr>
          <w:sz w:val="22"/>
          <w:szCs w:val="22"/>
        </w:rPr>
        <w:t xml:space="preserve">d non-recurring charges, </w:t>
      </w:r>
      <w:r w:rsidRPr="00063B73">
        <w:rPr>
          <w:sz w:val="22"/>
          <w:szCs w:val="22"/>
        </w:rPr>
        <w:t xml:space="preserve">enter the monthly recurring </w:t>
      </w:r>
      <w:r>
        <w:rPr>
          <w:sz w:val="22"/>
          <w:szCs w:val="22"/>
        </w:rPr>
        <w:t>charge (in dollars)</w:t>
      </w:r>
      <w:r w:rsidRPr="00063B73">
        <w:rPr>
          <w:sz w:val="22"/>
          <w:szCs w:val="22"/>
        </w:rPr>
        <w:t xml:space="preserve"> billed for the first unit of this circuit element on this circuit.  Enter the charge to two decimal places and do not include other string characters (</w:t>
      </w:r>
      <w:r w:rsidRPr="006D3B41">
        <w:rPr>
          <w:i/>
          <w:sz w:val="22"/>
          <w:szCs w:val="22"/>
        </w:rPr>
        <w:t>e.g.</w:t>
      </w:r>
      <w:r w:rsidRPr="00063B73">
        <w:rPr>
          <w:sz w:val="22"/>
          <w:szCs w:val="22"/>
        </w:rPr>
        <w:t>, “$”).</w:t>
      </w:r>
    </w:p>
    <w:p w:rsidR="00F97D54" w:rsidRPr="00063B73" w:rsidRDefault="00F97D54" w:rsidP="00EB5B97">
      <w:pPr>
        <w:pStyle w:val="ListParagraph"/>
        <w:rPr>
          <w:sz w:val="22"/>
          <w:szCs w:val="22"/>
        </w:rPr>
      </w:pPr>
    </w:p>
    <w:p w:rsidR="00F97D54" w:rsidRPr="00063B73" w:rsidRDefault="00F97D54" w:rsidP="002E3E2F">
      <w:pPr>
        <w:pStyle w:val="ListParagraph"/>
        <w:widowControl/>
        <w:numPr>
          <w:ilvl w:val="0"/>
          <w:numId w:val="25"/>
        </w:numPr>
        <w:spacing w:after="200" w:line="276" w:lineRule="auto"/>
        <w:rPr>
          <w:sz w:val="22"/>
          <w:szCs w:val="22"/>
        </w:rPr>
      </w:pPr>
      <w:r w:rsidRPr="006D3B41">
        <w:rPr>
          <w:sz w:val="22"/>
          <w:szCs w:val="22"/>
          <w:u w:val="single"/>
        </w:rPr>
        <w:t>Unit_MRC</w:t>
      </w:r>
      <w:r>
        <w:rPr>
          <w:sz w:val="22"/>
          <w:szCs w:val="22"/>
        </w:rPr>
        <w:t>:  Insofar as the per unit monthly b</w:t>
      </w:r>
      <w:r w:rsidRPr="00063B73">
        <w:rPr>
          <w:sz w:val="22"/>
          <w:szCs w:val="22"/>
        </w:rPr>
        <w:t>illed amount (</w:t>
      </w:r>
      <w:r>
        <w:rPr>
          <w:sz w:val="22"/>
          <w:szCs w:val="22"/>
        </w:rPr>
        <w:t xml:space="preserve">Question </w:t>
      </w:r>
      <w:r w:rsidRPr="00063B73">
        <w:rPr>
          <w:sz w:val="22"/>
          <w:szCs w:val="22"/>
        </w:rPr>
        <w:t>II.A.12.l) can be broken into recurring an</w:t>
      </w:r>
      <w:r>
        <w:rPr>
          <w:sz w:val="22"/>
          <w:szCs w:val="22"/>
        </w:rPr>
        <w:t xml:space="preserve">d non-recurring charges, </w:t>
      </w:r>
      <w:r w:rsidRPr="00063B73">
        <w:rPr>
          <w:sz w:val="22"/>
          <w:szCs w:val="22"/>
        </w:rPr>
        <w:t xml:space="preserve">enter the monthly recurring </w:t>
      </w:r>
      <w:r>
        <w:rPr>
          <w:sz w:val="22"/>
          <w:szCs w:val="22"/>
        </w:rPr>
        <w:t>charge (in dollars)</w:t>
      </w:r>
      <w:r w:rsidRPr="00063B73">
        <w:rPr>
          <w:sz w:val="22"/>
          <w:szCs w:val="22"/>
        </w:rPr>
        <w:t xml:space="preserve"> billed for each additional unit of this circuit element on this circuit.  Enter the charge to two decimal places and do not include other string characters (</w:t>
      </w:r>
      <w:r w:rsidRPr="006D3B41">
        <w:rPr>
          <w:i/>
          <w:sz w:val="22"/>
          <w:szCs w:val="22"/>
        </w:rPr>
        <w:t>e.g.</w:t>
      </w:r>
      <w:r w:rsidRPr="00063B73">
        <w:rPr>
          <w:sz w:val="22"/>
          <w:szCs w:val="22"/>
        </w:rPr>
        <w:t>, “$”).</w:t>
      </w:r>
    </w:p>
    <w:p w:rsidR="00F97D54" w:rsidRPr="00063B73" w:rsidRDefault="00F97D54" w:rsidP="00EB5B97">
      <w:pPr>
        <w:pStyle w:val="ListParagraph"/>
        <w:rPr>
          <w:sz w:val="22"/>
          <w:szCs w:val="22"/>
        </w:rPr>
      </w:pPr>
    </w:p>
    <w:p w:rsidR="00F97D54" w:rsidRPr="00063B73" w:rsidRDefault="00F97D54" w:rsidP="00EB5B97">
      <w:pPr>
        <w:pStyle w:val="ListParagraph"/>
        <w:numPr>
          <w:ilvl w:val="0"/>
          <w:numId w:val="25"/>
        </w:numPr>
        <w:spacing w:after="200" w:line="276" w:lineRule="auto"/>
        <w:rPr>
          <w:sz w:val="22"/>
          <w:szCs w:val="22"/>
        </w:rPr>
      </w:pPr>
      <w:r w:rsidRPr="006D3B41">
        <w:rPr>
          <w:sz w:val="22"/>
          <w:szCs w:val="22"/>
          <w:u w:val="single"/>
        </w:rPr>
        <w:t>Billed</w:t>
      </w:r>
      <w:r w:rsidRPr="00063B73">
        <w:rPr>
          <w:sz w:val="22"/>
          <w:szCs w:val="22"/>
        </w:rPr>
        <w:t xml:space="preserve">:  </w:t>
      </w:r>
      <w:r>
        <w:rPr>
          <w:sz w:val="22"/>
          <w:szCs w:val="22"/>
        </w:rPr>
        <w:t>Per unit</w:t>
      </w:r>
      <w:r w:rsidRPr="00063B73">
        <w:rPr>
          <w:sz w:val="22"/>
          <w:szCs w:val="22"/>
        </w:rPr>
        <w:t xml:space="preserve"> amount </w:t>
      </w:r>
      <w:r>
        <w:rPr>
          <w:sz w:val="22"/>
          <w:szCs w:val="22"/>
        </w:rPr>
        <w:t xml:space="preserve">(in dollars) </w:t>
      </w:r>
      <w:r w:rsidRPr="00063B73">
        <w:rPr>
          <w:sz w:val="22"/>
          <w:szCs w:val="22"/>
        </w:rPr>
        <w:t xml:space="preserve">billed for the circuit element including all “in-cycle” discounts and penalties.  “In-cycle” discounts and penalties are those adjustments that are rolled into the actual amount paid by the </w:t>
      </w:r>
      <w:r>
        <w:rPr>
          <w:sz w:val="22"/>
          <w:szCs w:val="22"/>
        </w:rPr>
        <w:t>customer</w:t>
      </w:r>
      <w:r w:rsidRPr="00063B73">
        <w:rPr>
          <w:sz w:val="22"/>
          <w:szCs w:val="22"/>
        </w:rPr>
        <w:t xml:space="preserve"> each month (</w:t>
      </w:r>
      <w:r w:rsidRPr="00F91CA1">
        <w:rPr>
          <w:i/>
          <w:sz w:val="22"/>
          <w:szCs w:val="22"/>
        </w:rPr>
        <w:t>see</w:t>
      </w:r>
      <w:r w:rsidRPr="00063B73">
        <w:rPr>
          <w:sz w:val="22"/>
          <w:szCs w:val="22"/>
        </w:rPr>
        <w:t xml:space="preserve"> the instructions to </w:t>
      </w:r>
      <w:r>
        <w:rPr>
          <w:sz w:val="22"/>
          <w:szCs w:val="22"/>
        </w:rPr>
        <w:t xml:space="preserve">Question </w:t>
      </w:r>
      <w:r w:rsidRPr="00063B73">
        <w:rPr>
          <w:sz w:val="22"/>
          <w:szCs w:val="22"/>
        </w:rPr>
        <w:t xml:space="preserve">II.A.13 for more information on “in-cycle” vs. “out-of-cycle” billing adjustments).  If in-cycle adjustments show up as a separate line-item on the customer’s bill, they </w:t>
      </w:r>
      <w:r>
        <w:rPr>
          <w:sz w:val="22"/>
          <w:szCs w:val="22"/>
        </w:rPr>
        <w:t>must</w:t>
      </w:r>
      <w:r w:rsidRPr="00063B73">
        <w:rPr>
          <w:sz w:val="22"/>
          <w:szCs w:val="22"/>
        </w:rPr>
        <w:t xml:space="preserve"> be reported as separate line-items in </w:t>
      </w:r>
      <w:r>
        <w:rPr>
          <w:sz w:val="22"/>
          <w:szCs w:val="22"/>
        </w:rPr>
        <w:t>Table II.A.12</w:t>
      </w:r>
      <w:r w:rsidRPr="00063B73">
        <w:rPr>
          <w:sz w:val="22"/>
          <w:szCs w:val="22"/>
        </w:rPr>
        <w:t xml:space="preserve">.  Do </w:t>
      </w:r>
      <w:r>
        <w:rPr>
          <w:sz w:val="22"/>
          <w:szCs w:val="22"/>
        </w:rPr>
        <w:t>not include any “out-of-cycle” a</w:t>
      </w:r>
      <w:r w:rsidRPr="00063B73">
        <w:rPr>
          <w:sz w:val="22"/>
          <w:szCs w:val="22"/>
        </w:rPr>
        <w:t xml:space="preserve">djustments as otherwise reported in </w:t>
      </w:r>
      <w:r>
        <w:rPr>
          <w:sz w:val="22"/>
          <w:szCs w:val="22"/>
        </w:rPr>
        <w:t xml:space="preserve">response to Question </w:t>
      </w:r>
      <w:r w:rsidRPr="00063B73">
        <w:rPr>
          <w:sz w:val="22"/>
          <w:szCs w:val="22"/>
        </w:rPr>
        <w:t>II.A.12.</w:t>
      </w:r>
      <w:r>
        <w:rPr>
          <w:sz w:val="22"/>
          <w:szCs w:val="22"/>
        </w:rPr>
        <w:t>p</w:t>
      </w:r>
      <w:r w:rsidRPr="00063B73">
        <w:rPr>
          <w:sz w:val="22"/>
          <w:szCs w:val="22"/>
        </w:rPr>
        <w:t>.  For circuit elements with multiple billed units (</w:t>
      </w:r>
      <w:r w:rsidRPr="006D3B41">
        <w:rPr>
          <w:i/>
          <w:sz w:val="22"/>
          <w:szCs w:val="22"/>
        </w:rPr>
        <w:t>i.e.</w:t>
      </w:r>
      <w:r w:rsidRPr="00063B73">
        <w:rPr>
          <w:sz w:val="22"/>
          <w:szCs w:val="22"/>
        </w:rPr>
        <w:t>, quantity</w:t>
      </w:r>
      <w:r>
        <w:rPr>
          <w:sz w:val="22"/>
          <w:szCs w:val="22"/>
        </w:rPr>
        <w:t xml:space="preserve"> greater than one in Question II.A.12.g), </w:t>
      </w:r>
      <w:r w:rsidRPr="00063B73">
        <w:rPr>
          <w:sz w:val="22"/>
          <w:szCs w:val="22"/>
        </w:rPr>
        <w:t>enter the amount billed for a single unit, such that the product of</w:t>
      </w:r>
      <w:r>
        <w:rPr>
          <w:sz w:val="22"/>
          <w:szCs w:val="22"/>
        </w:rPr>
        <w:t xml:space="preserve"> Q</w:t>
      </w:r>
      <w:r w:rsidRPr="00063B73">
        <w:rPr>
          <w:sz w:val="22"/>
          <w:szCs w:val="22"/>
        </w:rPr>
        <w:t xml:space="preserve">uantity and </w:t>
      </w:r>
      <w:r>
        <w:rPr>
          <w:sz w:val="22"/>
          <w:szCs w:val="22"/>
        </w:rPr>
        <w:t>B</w:t>
      </w:r>
      <w:r w:rsidRPr="00063B73">
        <w:rPr>
          <w:sz w:val="22"/>
          <w:szCs w:val="22"/>
        </w:rPr>
        <w:t>illed is the total charge on the bill.  For example</w:t>
      </w:r>
      <w:r>
        <w:rPr>
          <w:sz w:val="22"/>
          <w:szCs w:val="22"/>
        </w:rPr>
        <w:t>, if the circuit includes two “channel t</w:t>
      </w:r>
      <w:r w:rsidRPr="00063B73">
        <w:rPr>
          <w:sz w:val="22"/>
          <w:szCs w:val="22"/>
        </w:rPr>
        <w:t>ermination” charges that are both billed at the s</w:t>
      </w:r>
      <w:r>
        <w:rPr>
          <w:sz w:val="22"/>
          <w:szCs w:val="22"/>
        </w:rPr>
        <w:t>ame rate (and have the same Billing</w:t>
      </w:r>
      <w:r w:rsidRPr="00063B73">
        <w:rPr>
          <w:sz w:val="22"/>
          <w:szCs w:val="22"/>
        </w:rPr>
        <w:t>_Code (</w:t>
      </w:r>
      <w:r>
        <w:rPr>
          <w:sz w:val="22"/>
          <w:szCs w:val="22"/>
        </w:rPr>
        <w:t xml:space="preserve">Question </w:t>
      </w:r>
      <w:r w:rsidRPr="00063B73">
        <w:rPr>
          <w:sz w:val="22"/>
          <w:szCs w:val="22"/>
        </w:rPr>
        <w:t>II.A.12.f), Loca</w:t>
      </w:r>
      <w:r>
        <w:rPr>
          <w:sz w:val="22"/>
          <w:szCs w:val="22"/>
        </w:rPr>
        <w:t>tion_ID, bandwidth, etc.), the q</w:t>
      </w:r>
      <w:r w:rsidRPr="00063B73">
        <w:rPr>
          <w:sz w:val="22"/>
          <w:szCs w:val="22"/>
        </w:rPr>
        <w:t>uantity (</w:t>
      </w:r>
      <w:r>
        <w:rPr>
          <w:sz w:val="22"/>
          <w:szCs w:val="22"/>
        </w:rPr>
        <w:t xml:space="preserve">Question </w:t>
      </w:r>
      <w:r w:rsidRPr="00063B73">
        <w:rPr>
          <w:sz w:val="22"/>
          <w:szCs w:val="22"/>
        </w:rPr>
        <w:t xml:space="preserve">II.A.12.g) </w:t>
      </w:r>
      <w:r>
        <w:rPr>
          <w:sz w:val="22"/>
          <w:szCs w:val="22"/>
        </w:rPr>
        <w:t>is</w:t>
      </w:r>
      <w:r w:rsidRPr="00063B73">
        <w:rPr>
          <w:sz w:val="22"/>
          <w:szCs w:val="22"/>
        </w:rPr>
        <w:t xml:space="preserve"> equal to 2, and the </w:t>
      </w:r>
      <w:r>
        <w:rPr>
          <w:sz w:val="22"/>
          <w:szCs w:val="22"/>
        </w:rPr>
        <w:t>per unit monthly b</w:t>
      </w:r>
      <w:r w:rsidRPr="00063B73">
        <w:rPr>
          <w:sz w:val="22"/>
          <w:szCs w:val="22"/>
        </w:rPr>
        <w:t>illed amount (</w:t>
      </w:r>
      <w:r>
        <w:rPr>
          <w:sz w:val="22"/>
          <w:szCs w:val="22"/>
        </w:rPr>
        <w:t xml:space="preserve">Question </w:t>
      </w:r>
      <w:r w:rsidRPr="00063B73">
        <w:rPr>
          <w:sz w:val="22"/>
          <w:szCs w:val="22"/>
        </w:rPr>
        <w:t xml:space="preserve">II.A.12.l) </w:t>
      </w:r>
      <w:r>
        <w:rPr>
          <w:sz w:val="22"/>
          <w:szCs w:val="22"/>
        </w:rPr>
        <w:t>is equal to the charge for a single channel t</w:t>
      </w:r>
      <w:r w:rsidRPr="00063B73">
        <w:rPr>
          <w:sz w:val="22"/>
          <w:szCs w:val="22"/>
        </w:rPr>
        <w:t>ermination.  Alternatively, each channel termination may be recorded separately (</w:t>
      </w:r>
      <w:r w:rsidRPr="004B4C29">
        <w:rPr>
          <w:i/>
          <w:sz w:val="22"/>
          <w:szCs w:val="22"/>
        </w:rPr>
        <w:t>i.e.</w:t>
      </w:r>
      <w:r w:rsidRPr="00063B73">
        <w:rPr>
          <w:sz w:val="22"/>
          <w:szCs w:val="22"/>
        </w:rPr>
        <w:t>, on two separate lines with quantity equal to 1 for each line).  The multiplicative product requirement also applies to charges for mileage of the circuit, if the circuit has such a charge.  For example, if the circuit is 4 miles</w:t>
      </w:r>
      <w:r>
        <w:rPr>
          <w:sz w:val="22"/>
          <w:szCs w:val="22"/>
        </w:rPr>
        <w:t xml:space="preserve"> in length, the amount entered in Q</w:t>
      </w:r>
      <w:r w:rsidRPr="00063B73">
        <w:rPr>
          <w:sz w:val="22"/>
          <w:szCs w:val="22"/>
        </w:rPr>
        <w:t xml:space="preserve">uantity </w:t>
      </w:r>
      <w:r>
        <w:rPr>
          <w:sz w:val="22"/>
          <w:szCs w:val="22"/>
        </w:rPr>
        <w:t>is</w:t>
      </w:r>
      <w:r w:rsidRPr="00063B73">
        <w:rPr>
          <w:sz w:val="22"/>
          <w:szCs w:val="22"/>
        </w:rPr>
        <w:t xml:space="preserve"> 4 and the amount entered in </w:t>
      </w:r>
      <w:r>
        <w:rPr>
          <w:sz w:val="22"/>
          <w:szCs w:val="22"/>
        </w:rPr>
        <w:t>the B</w:t>
      </w:r>
      <w:r w:rsidRPr="00063B73">
        <w:rPr>
          <w:sz w:val="22"/>
          <w:szCs w:val="22"/>
        </w:rPr>
        <w:t xml:space="preserve">illed </w:t>
      </w:r>
      <w:r>
        <w:rPr>
          <w:sz w:val="22"/>
          <w:szCs w:val="22"/>
        </w:rPr>
        <w:t>field is</w:t>
      </w:r>
      <w:r w:rsidRPr="00063B73">
        <w:rPr>
          <w:sz w:val="22"/>
          <w:szCs w:val="22"/>
        </w:rPr>
        <w:t xml:space="preserve"> the charge per 1 mile.  </w:t>
      </w:r>
      <w:r>
        <w:rPr>
          <w:sz w:val="22"/>
          <w:szCs w:val="22"/>
        </w:rPr>
        <w:t>E</w:t>
      </w:r>
      <w:r w:rsidRPr="00063B73">
        <w:rPr>
          <w:sz w:val="22"/>
          <w:szCs w:val="22"/>
        </w:rPr>
        <w:t xml:space="preserve">nter the </w:t>
      </w:r>
      <w:r>
        <w:rPr>
          <w:sz w:val="22"/>
          <w:szCs w:val="22"/>
        </w:rPr>
        <w:t>b</w:t>
      </w:r>
      <w:r w:rsidRPr="00063B73">
        <w:rPr>
          <w:sz w:val="22"/>
          <w:szCs w:val="22"/>
        </w:rPr>
        <w:t>illed amount to two decimal places, and do not include other string characters (</w:t>
      </w:r>
      <w:r w:rsidRPr="006D3B41">
        <w:rPr>
          <w:i/>
          <w:sz w:val="22"/>
          <w:szCs w:val="22"/>
        </w:rPr>
        <w:t>e.g.</w:t>
      </w:r>
      <w:r w:rsidRPr="00063B73">
        <w:rPr>
          <w:sz w:val="22"/>
          <w:szCs w:val="22"/>
        </w:rPr>
        <w:t>, “$”).</w:t>
      </w:r>
      <w:r>
        <w:rPr>
          <w:sz w:val="22"/>
          <w:szCs w:val="22"/>
        </w:rPr>
        <w:t xml:space="preserve">  Fractional miles are permitted if the customer was billed for fractional mileage for any given circuit element.  However, the amount entered in Billed must be converted to a whole-mile charge.  For example, for a half mile circuit, the Quantity is reported as 0.5 on any per-mile circuit element, but the amount in Billed is the 1-mile charge such that the product of Quantity and Billed is equal to the total charge to the customer.</w:t>
      </w:r>
    </w:p>
    <w:p w:rsidR="00F97D54" w:rsidRDefault="00F97D54" w:rsidP="00EB5B97">
      <w:pPr>
        <w:pStyle w:val="ListParagraph"/>
        <w:spacing w:after="200" w:line="276" w:lineRule="auto"/>
        <w:ind w:left="0"/>
        <w:rPr>
          <w:sz w:val="22"/>
          <w:szCs w:val="22"/>
        </w:rPr>
      </w:pPr>
    </w:p>
    <w:p w:rsidR="00F97D54" w:rsidRDefault="00F97D54" w:rsidP="00EB5B97">
      <w:pPr>
        <w:pStyle w:val="ListParagraph"/>
        <w:numPr>
          <w:ilvl w:val="0"/>
          <w:numId w:val="25"/>
        </w:numPr>
        <w:spacing w:after="200" w:line="276" w:lineRule="auto"/>
        <w:rPr>
          <w:sz w:val="22"/>
          <w:szCs w:val="22"/>
        </w:rPr>
      </w:pPr>
      <w:r>
        <w:rPr>
          <w:sz w:val="22"/>
          <w:szCs w:val="22"/>
          <w:u w:val="single"/>
        </w:rPr>
        <w:t>Total_Billed</w:t>
      </w:r>
      <w:r>
        <w:rPr>
          <w:sz w:val="22"/>
          <w:szCs w:val="22"/>
        </w:rPr>
        <w:t xml:space="preserve">:  </w:t>
      </w:r>
      <w:r w:rsidRPr="00063B73">
        <w:rPr>
          <w:sz w:val="22"/>
          <w:szCs w:val="22"/>
        </w:rPr>
        <w:t xml:space="preserve">Total monthly amount </w:t>
      </w:r>
      <w:r>
        <w:rPr>
          <w:sz w:val="22"/>
          <w:szCs w:val="22"/>
        </w:rPr>
        <w:t xml:space="preserve">(in dollars) </w:t>
      </w:r>
      <w:r w:rsidRPr="00063B73">
        <w:rPr>
          <w:sz w:val="22"/>
          <w:szCs w:val="22"/>
        </w:rPr>
        <w:t xml:space="preserve">billed for </w:t>
      </w:r>
      <w:r>
        <w:rPr>
          <w:sz w:val="22"/>
          <w:szCs w:val="22"/>
        </w:rPr>
        <w:t xml:space="preserve">all units of </w:t>
      </w:r>
      <w:r w:rsidRPr="00063B73">
        <w:rPr>
          <w:sz w:val="22"/>
          <w:szCs w:val="22"/>
        </w:rPr>
        <w:t xml:space="preserve">the circuit element including all “in-cycle” discounts and penalties.  “In-cycle” discounts and penalties are those adjustments that are rolled into the actual amount paid by the </w:t>
      </w:r>
      <w:r>
        <w:rPr>
          <w:sz w:val="22"/>
          <w:szCs w:val="22"/>
        </w:rPr>
        <w:t>customer</w:t>
      </w:r>
      <w:r w:rsidRPr="00063B73">
        <w:rPr>
          <w:sz w:val="22"/>
          <w:szCs w:val="22"/>
        </w:rPr>
        <w:t xml:space="preserve"> each month (</w:t>
      </w:r>
      <w:r w:rsidRPr="00660E22">
        <w:rPr>
          <w:i/>
          <w:sz w:val="22"/>
          <w:szCs w:val="22"/>
        </w:rPr>
        <w:t>see</w:t>
      </w:r>
      <w:r w:rsidRPr="00063B73">
        <w:rPr>
          <w:sz w:val="22"/>
          <w:szCs w:val="22"/>
        </w:rPr>
        <w:t xml:space="preserve"> the instructions to </w:t>
      </w:r>
      <w:r>
        <w:rPr>
          <w:sz w:val="22"/>
          <w:szCs w:val="22"/>
        </w:rPr>
        <w:t xml:space="preserve">Question </w:t>
      </w:r>
      <w:r w:rsidRPr="00063B73">
        <w:rPr>
          <w:sz w:val="22"/>
          <w:szCs w:val="22"/>
        </w:rPr>
        <w:t xml:space="preserve">II.A.13 for more information on “in-cycle” vs. “out-of-cycle” billing adjustments).  If in-cycle adjustments show up as a separate line-item on the customer’s bill, they </w:t>
      </w:r>
      <w:r>
        <w:rPr>
          <w:sz w:val="22"/>
          <w:szCs w:val="22"/>
        </w:rPr>
        <w:t>must</w:t>
      </w:r>
      <w:r w:rsidRPr="00063B73">
        <w:rPr>
          <w:sz w:val="22"/>
          <w:szCs w:val="22"/>
        </w:rPr>
        <w:t xml:space="preserve"> be reported as separate line-items in this table.  Do </w:t>
      </w:r>
      <w:r>
        <w:rPr>
          <w:sz w:val="22"/>
          <w:szCs w:val="22"/>
        </w:rPr>
        <w:t>not include any “out-of-cycle” a</w:t>
      </w:r>
      <w:r w:rsidRPr="00063B73">
        <w:rPr>
          <w:sz w:val="22"/>
          <w:szCs w:val="22"/>
        </w:rPr>
        <w:t xml:space="preserve">djustments as otherwise reported in </w:t>
      </w:r>
      <w:r>
        <w:rPr>
          <w:sz w:val="22"/>
          <w:szCs w:val="22"/>
        </w:rPr>
        <w:t xml:space="preserve">Question </w:t>
      </w:r>
      <w:r w:rsidRPr="00063B73">
        <w:rPr>
          <w:sz w:val="22"/>
          <w:szCs w:val="22"/>
        </w:rPr>
        <w:t>II.A.12.</w:t>
      </w:r>
      <w:r>
        <w:rPr>
          <w:sz w:val="22"/>
          <w:szCs w:val="22"/>
        </w:rPr>
        <w:t>p</w:t>
      </w:r>
      <w:r w:rsidRPr="00063B73">
        <w:rPr>
          <w:sz w:val="22"/>
          <w:szCs w:val="22"/>
        </w:rPr>
        <w:t>.</w:t>
      </w:r>
    </w:p>
    <w:p w:rsidR="00F97D54" w:rsidRDefault="00F97D54" w:rsidP="00EB5B97">
      <w:pPr>
        <w:pStyle w:val="ListParagraph"/>
        <w:spacing w:after="200" w:line="276" w:lineRule="auto"/>
        <w:ind w:left="360"/>
        <w:rPr>
          <w:sz w:val="22"/>
          <w:szCs w:val="22"/>
        </w:rPr>
      </w:pPr>
    </w:p>
    <w:p w:rsidR="00F97D54" w:rsidRPr="001237F7" w:rsidRDefault="00F97D54" w:rsidP="00EB5B97">
      <w:pPr>
        <w:pStyle w:val="ListParagraph"/>
        <w:numPr>
          <w:ilvl w:val="0"/>
          <w:numId w:val="25"/>
        </w:numPr>
        <w:spacing w:after="200" w:line="276" w:lineRule="auto"/>
        <w:rPr>
          <w:sz w:val="22"/>
          <w:szCs w:val="22"/>
        </w:rPr>
      </w:pPr>
      <w:r w:rsidRPr="00063B73">
        <w:rPr>
          <w:sz w:val="22"/>
          <w:szCs w:val="22"/>
        </w:rPr>
        <w:t xml:space="preserve">The following questions seek to understand the </w:t>
      </w:r>
      <w:r w:rsidRPr="006D3B41">
        <w:rPr>
          <w:i/>
          <w:sz w:val="22"/>
          <w:szCs w:val="22"/>
        </w:rPr>
        <w:t>Term Commitments</w:t>
      </w:r>
      <w:r w:rsidRPr="00063B73">
        <w:rPr>
          <w:sz w:val="22"/>
          <w:szCs w:val="22"/>
        </w:rPr>
        <w:t xml:space="preserve"> under which circuits are purchased.</w:t>
      </w:r>
    </w:p>
    <w:p w:rsidR="00F97D54" w:rsidRDefault="00F97D54" w:rsidP="00EB5B97">
      <w:pPr>
        <w:pStyle w:val="ListParagraph"/>
        <w:numPr>
          <w:ilvl w:val="0"/>
          <w:numId w:val="12"/>
        </w:numPr>
        <w:spacing w:after="200" w:line="276" w:lineRule="auto"/>
        <w:rPr>
          <w:sz w:val="22"/>
          <w:szCs w:val="22"/>
        </w:rPr>
      </w:pPr>
      <w:r w:rsidRPr="006D3B41">
        <w:rPr>
          <w:sz w:val="22"/>
          <w:szCs w:val="22"/>
          <w:u w:val="single"/>
        </w:rPr>
        <w:t>Term</w:t>
      </w:r>
      <w:r w:rsidRPr="00063B73">
        <w:rPr>
          <w:sz w:val="22"/>
          <w:szCs w:val="22"/>
        </w:rPr>
        <w:t xml:space="preserve">:  Length of total time of the </w:t>
      </w:r>
      <w:r w:rsidRPr="006D3B41">
        <w:rPr>
          <w:i/>
          <w:sz w:val="22"/>
          <w:szCs w:val="22"/>
        </w:rPr>
        <w:t>Term Commitment</w:t>
      </w:r>
      <w:r w:rsidRPr="00063B73">
        <w:rPr>
          <w:sz w:val="22"/>
          <w:szCs w:val="22"/>
        </w:rPr>
        <w:t xml:space="preserve"> associated with thi</w:t>
      </w:r>
      <w:r>
        <w:rPr>
          <w:sz w:val="22"/>
          <w:szCs w:val="22"/>
        </w:rPr>
        <w:t>s circuit (in months).  L</w:t>
      </w:r>
      <w:r w:rsidRPr="00063B73">
        <w:rPr>
          <w:sz w:val="22"/>
          <w:szCs w:val="22"/>
        </w:rPr>
        <w:t xml:space="preserve">ist the total length of the current </w:t>
      </w:r>
      <w:r w:rsidRPr="006D3B41">
        <w:rPr>
          <w:i/>
          <w:sz w:val="22"/>
          <w:szCs w:val="22"/>
        </w:rPr>
        <w:t>Term Commitment</w:t>
      </w:r>
      <w:r w:rsidRPr="00063B73">
        <w:rPr>
          <w:sz w:val="22"/>
          <w:szCs w:val="22"/>
        </w:rPr>
        <w:t xml:space="preserve">, not the remaining length of the </w:t>
      </w:r>
      <w:r w:rsidRPr="006D3B41">
        <w:rPr>
          <w:i/>
          <w:sz w:val="22"/>
          <w:szCs w:val="22"/>
        </w:rPr>
        <w:t>Term Commitment</w:t>
      </w:r>
      <w:r w:rsidRPr="00063B73">
        <w:rPr>
          <w:sz w:val="22"/>
          <w:szCs w:val="22"/>
        </w:rPr>
        <w:t>.  For example, in reporting circuits for calendar month Jan</w:t>
      </w:r>
      <w:r>
        <w:rPr>
          <w:sz w:val="22"/>
          <w:szCs w:val="22"/>
        </w:rPr>
        <w:t>uary</w:t>
      </w:r>
      <w:r w:rsidRPr="00063B73">
        <w:rPr>
          <w:sz w:val="22"/>
          <w:szCs w:val="22"/>
        </w:rPr>
        <w:t xml:space="preserve"> 201</w:t>
      </w:r>
      <w:r>
        <w:rPr>
          <w:sz w:val="22"/>
          <w:szCs w:val="22"/>
        </w:rPr>
        <w:t>0</w:t>
      </w:r>
      <w:r w:rsidRPr="00063B73">
        <w:rPr>
          <w:sz w:val="22"/>
          <w:szCs w:val="22"/>
        </w:rPr>
        <w:t>, enter 60 for a circuit that was sold in Jan</w:t>
      </w:r>
      <w:r>
        <w:rPr>
          <w:sz w:val="22"/>
          <w:szCs w:val="22"/>
        </w:rPr>
        <w:t>uary</w:t>
      </w:r>
      <w:r w:rsidRPr="00063B73">
        <w:rPr>
          <w:sz w:val="22"/>
          <w:szCs w:val="22"/>
        </w:rPr>
        <w:t xml:space="preserve"> 200</w:t>
      </w:r>
      <w:r>
        <w:rPr>
          <w:sz w:val="22"/>
          <w:szCs w:val="22"/>
        </w:rPr>
        <w:t>7</w:t>
      </w:r>
      <w:r w:rsidRPr="00063B73">
        <w:rPr>
          <w:sz w:val="22"/>
          <w:szCs w:val="22"/>
        </w:rPr>
        <w:t xml:space="preserve"> under a 5 year commitment, even though only </w:t>
      </w:r>
      <w:r>
        <w:rPr>
          <w:sz w:val="22"/>
          <w:szCs w:val="22"/>
        </w:rPr>
        <w:t>24</w:t>
      </w:r>
      <w:r w:rsidRPr="00063B73">
        <w:rPr>
          <w:sz w:val="22"/>
          <w:szCs w:val="22"/>
        </w:rPr>
        <w:t xml:space="preserve"> months remain on the current term.  For circuits sold on a month-to-month basis, enter 1.  We anticipate that this value </w:t>
      </w:r>
      <w:r>
        <w:rPr>
          <w:sz w:val="22"/>
          <w:szCs w:val="22"/>
        </w:rPr>
        <w:t>is</w:t>
      </w:r>
      <w:r w:rsidRPr="00063B73">
        <w:rPr>
          <w:sz w:val="22"/>
          <w:szCs w:val="22"/>
        </w:rPr>
        <w:t xml:space="preserve"> identical for all circuit elements sold in common on the circuit.  To the extent that the term length varies across different circuit elements</w:t>
      </w:r>
      <w:r>
        <w:rPr>
          <w:sz w:val="22"/>
          <w:szCs w:val="22"/>
        </w:rPr>
        <w:t xml:space="preserve">, enter the appropriate </w:t>
      </w:r>
      <w:r w:rsidRPr="006D3B41">
        <w:rPr>
          <w:i/>
          <w:sz w:val="22"/>
          <w:szCs w:val="22"/>
        </w:rPr>
        <w:t>Term Commitment</w:t>
      </w:r>
      <w:r w:rsidRPr="00063B73">
        <w:rPr>
          <w:sz w:val="22"/>
          <w:szCs w:val="22"/>
        </w:rPr>
        <w:t xml:space="preserve"> for each individual circuit element.</w:t>
      </w:r>
    </w:p>
    <w:p w:rsidR="00F97D54" w:rsidRDefault="00F97D54" w:rsidP="00EB5B97">
      <w:pPr>
        <w:pStyle w:val="ListParagraph"/>
        <w:numPr>
          <w:ilvl w:val="0"/>
          <w:numId w:val="12"/>
        </w:numPr>
        <w:spacing w:after="200" w:line="276" w:lineRule="auto"/>
        <w:rPr>
          <w:sz w:val="22"/>
          <w:szCs w:val="22"/>
        </w:rPr>
      </w:pPr>
      <w:r w:rsidRPr="006D3B41">
        <w:rPr>
          <w:sz w:val="22"/>
          <w:szCs w:val="22"/>
          <w:u w:val="single"/>
        </w:rPr>
        <w:t>End_Date</w:t>
      </w:r>
      <w:r w:rsidRPr="006D3B41">
        <w:rPr>
          <w:sz w:val="22"/>
          <w:szCs w:val="22"/>
        </w:rPr>
        <w:t>:  If the circuit has an associated total term longer than one month, enter the month and year the term expires.  In the preceding example, the End_Date would be coded as 12/201</w:t>
      </w:r>
      <w:r>
        <w:rPr>
          <w:sz w:val="22"/>
          <w:szCs w:val="22"/>
        </w:rPr>
        <w:t>2</w:t>
      </w:r>
      <w:r w:rsidRPr="006D3B41">
        <w:rPr>
          <w:sz w:val="22"/>
          <w:szCs w:val="22"/>
        </w:rPr>
        <w:t>, sixty months after the five-year term was agreed to in Jan</w:t>
      </w:r>
      <w:r>
        <w:rPr>
          <w:sz w:val="22"/>
          <w:szCs w:val="22"/>
        </w:rPr>
        <w:t>uary 2007.  L</w:t>
      </w:r>
      <w:r w:rsidRPr="006D3B41">
        <w:rPr>
          <w:sz w:val="22"/>
          <w:szCs w:val="22"/>
        </w:rPr>
        <w:t>eave the End_Date field blank for those circuits purchased on a month-to-month basis.</w:t>
      </w:r>
    </w:p>
    <w:p w:rsidR="00F97D54" w:rsidRPr="006D3B41" w:rsidRDefault="00F97D54" w:rsidP="00162BEB">
      <w:pPr>
        <w:pStyle w:val="ListParagraph"/>
        <w:widowControl/>
        <w:numPr>
          <w:ilvl w:val="0"/>
          <w:numId w:val="12"/>
        </w:numPr>
        <w:spacing w:after="200" w:line="276" w:lineRule="auto"/>
        <w:rPr>
          <w:sz w:val="22"/>
          <w:szCs w:val="22"/>
        </w:rPr>
      </w:pPr>
      <w:r w:rsidRPr="006D3B41">
        <w:rPr>
          <w:sz w:val="22"/>
          <w:szCs w:val="22"/>
          <w:u w:val="single"/>
        </w:rPr>
        <w:t>Term_Discount_IC</w:t>
      </w:r>
      <w:r w:rsidRPr="006D3B41">
        <w:rPr>
          <w:sz w:val="22"/>
          <w:szCs w:val="22"/>
        </w:rPr>
        <w:t xml:space="preserve">:  Indicate whether the </w:t>
      </w:r>
      <w:r>
        <w:rPr>
          <w:sz w:val="22"/>
          <w:szCs w:val="22"/>
        </w:rPr>
        <w:t xml:space="preserve">per unit monthly </w:t>
      </w:r>
      <w:r w:rsidRPr="006D3B41">
        <w:rPr>
          <w:sz w:val="22"/>
          <w:szCs w:val="22"/>
        </w:rPr>
        <w:t xml:space="preserve">billed amount in </w:t>
      </w:r>
      <w:r>
        <w:rPr>
          <w:sz w:val="22"/>
          <w:szCs w:val="22"/>
        </w:rPr>
        <w:t xml:space="preserve">Question </w:t>
      </w:r>
      <w:r w:rsidRPr="006D3B41">
        <w:rPr>
          <w:sz w:val="22"/>
          <w:szCs w:val="22"/>
        </w:rPr>
        <w:t xml:space="preserve">II.A.12.l includes any in-cycle discounts that have been applied due to a </w:t>
      </w:r>
      <w:r w:rsidRPr="004B4C29">
        <w:rPr>
          <w:i/>
          <w:sz w:val="22"/>
          <w:szCs w:val="22"/>
        </w:rPr>
        <w:t>Term Commitment</w:t>
      </w:r>
      <w:r w:rsidRPr="006D3B41">
        <w:rPr>
          <w:sz w:val="22"/>
          <w:szCs w:val="22"/>
        </w:rPr>
        <w:t xml:space="preserve">.  Enter a 1 if the </w:t>
      </w:r>
      <w:r>
        <w:rPr>
          <w:sz w:val="22"/>
          <w:szCs w:val="22"/>
        </w:rPr>
        <w:t xml:space="preserve">per unit monthly </w:t>
      </w:r>
      <w:r w:rsidRPr="006D3B41">
        <w:rPr>
          <w:sz w:val="22"/>
          <w:szCs w:val="22"/>
        </w:rPr>
        <w:t xml:space="preserve">billed amount includes in-cycle term discounts; enter 0 if the </w:t>
      </w:r>
      <w:r>
        <w:rPr>
          <w:sz w:val="22"/>
          <w:szCs w:val="22"/>
        </w:rPr>
        <w:t xml:space="preserve">per unit monthly </w:t>
      </w:r>
      <w:r w:rsidRPr="006D3B41">
        <w:rPr>
          <w:sz w:val="22"/>
          <w:szCs w:val="22"/>
        </w:rPr>
        <w:t xml:space="preserve">billed amount does not include in-cycle term discounts.  If the term discounts for this circuit are only given through out-of-cycle adjustments as reported in </w:t>
      </w:r>
      <w:r>
        <w:rPr>
          <w:sz w:val="22"/>
          <w:szCs w:val="22"/>
        </w:rPr>
        <w:t xml:space="preserve">Question II.A.13, </w:t>
      </w:r>
      <w:r w:rsidRPr="006D3B41">
        <w:rPr>
          <w:sz w:val="22"/>
          <w:szCs w:val="22"/>
        </w:rPr>
        <w:t xml:space="preserve">enter 0.  If the circuit is not sold under a </w:t>
      </w:r>
      <w:r w:rsidRPr="00B34A0D">
        <w:rPr>
          <w:i/>
          <w:sz w:val="22"/>
          <w:szCs w:val="22"/>
        </w:rPr>
        <w:t>Term Commitment</w:t>
      </w:r>
      <w:r w:rsidRPr="006D3B41">
        <w:rPr>
          <w:sz w:val="22"/>
          <w:szCs w:val="22"/>
        </w:rPr>
        <w:t>, leave this field blank.</w:t>
      </w:r>
    </w:p>
    <w:p w:rsidR="00F97D54" w:rsidRPr="00063B73" w:rsidRDefault="00F97D54" w:rsidP="00EB5B97">
      <w:pPr>
        <w:pStyle w:val="ListParagraph"/>
        <w:rPr>
          <w:sz w:val="22"/>
          <w:szCs w:val="22"/>
        </w:rPr>
      </w:pPr>
    </w:p>
    <w:p w:rsidR="00F97D54" w:rsidRPr="001237F7" w:rsidRDefault="00F97D54" w:rsidP="0047272E">
      <w:pPr>
        <w:pStyle w:val="ListParagraph"/>
        <w:widowControl/>
        <w:numPr>
          <w:ilvl w:val="0"/>
          <w:numId w:val="25"/>
        </w:numPr>
        <w:spacing w:after="200" w:line="276" w:lineRule="auto"/>
        <w:rPr>
          <w:sz w:val="22"/>
          <w:szCs w:val="22"/>
        </w:rPr>
      </w:pPr>
      <w:r w:rsidRPr="006D3B41">
        <w:rPr>
          <w:sz w:val="22"/>
          <w:szCs w:val="22"/>
          <w:u w:val="single"/>
        </w:rPr>
        <w:t>Volume_Commitment</w:t>
      </w:r>
      <w:r w:rsidRPr="00063B73">
        <w:rPr>
          <w:sz w:val="22"/>
          <w:szCs w:val="22"/>
        </w:rPr>
        <w:t xml:space="preserve">:  Indicate whether this circuit was sold under a </w:t>
      </w:r>
      <w:r w:rsidRPr="006D3B41">
        <w:rPr>
          <w:i/>
          <w:sz w:val="22"/>
          <w:szCs w:val="22"/>
        </w:rPr>
        <w:t>Volume Commitment</w:t>
      </w:r>
      <w:r w:rsidRPr="00063B73">
        <w:rPr>
          <w:sz w:val="22"/>
          <w:szCs w:val="22"/>
        </w:rPr>
        <w:t xml:space="preserve">.  Enter 0 if the circuit was not sold under a </w:t>
      </w:r>
      <w:r w:rsidRPr="006D3B41">
        <w:rPr>
          <w:i/>
          <w:sz w:val="22"/>
          <w:szCs w:val="22"/>
        </w:rPr>
        <w:t>Volume Commitment</w:t>
      </w:r>
      <w:r w:rsidRPr="00063B73">
        <w:rPr>
          <w:sz w:val="22"/>
          <w:szCs w:val="22"/>
        </w:rPr>
        <w:t xml:space="preserve">, and enter 1 if the circuit was </w:t>
      </w:r>
      <w:r>
        <w:rPr>
          <w:sz w:val="22"/>
          <w:szCs w:val="22"/>
        </w:rPr>
        <w:t xml:space="preserve">sold under a commitment by the </w:t>
      </w:r>
      <w:r w:rsidRPr="006D3B41">
        <w:rPr>
          <w:i/>
          <w:sz w:val="22"/>
          <w:szCs w:val="22"/>
        </w:rPr>
        <w:t>Purchaser</w:t>
      </w:r>
      <w:r>
        <w:rPr>
          <w:sz w:val="22"/>
          <w:szCs w:val="22"/>
        </w:rPr>
        <w:t xml:space="preserve"> to p</w:t>
      </w:r>
      <w:r w:rsidRPr="004B4C29">
        <w:rPr>
          <w:sz w:val="22"/>
          <w:szCs w:val="22"/>
        </w:rPr>
        <w:t>urchase</w:t>
      </w:r>
      <w:r w:rsidRPr="00063B73">
        <w:rPr>
          <w:sz w:val="22"/>
          <w:szCs w:val="22"/>
        </w:rPr>
        <w:t xml:space="preserve"> either a specified number of circuits or </w:t>
      </w:r>
      <w:r>
        <w:rPr>
          <w:sz w:val="22"/>
          <w:szCs w:val="22"/>
        </w:rPr>
        <w:t xml:space="preserve">to spend </w:t>
      </w:r>
      <w:r w:rsidRPr="00063B73">
        <w:rPr>
          <w:sz w:val="22"/>
          <w:szCs w:val="22"/>
        </w:rPr>
        <w:t xml:space="preserve">a specified </w:t>
      </w:r>
      <w:r w:rsidRPr="006D3B41">
        <w:rPr>
          <w:i/>
          <w:sz w:val="22"/>
          <w:szCs w:val="22"/>
        </w:rPr>
        <w:t>Revenue</w:t>
      </w:r>
      <w:r>
        <w:rPr>
          <w:i/>
          <w:sz w:val="22"/>
          <w:szCs w:val="22"/>
        </w:rPr>
        <w:t xml:space="preserve"> </w:t>
      </w:r>
      <w:r>
        <w:rPr>
          <w:sz w:val="22"/>
          <w:szCs w:val="22"/>
        </w:rPr>
        <w:t>amount</w:t>
      </w:r>
      <w:r w:rsidRPr="00063B73">
        <w:rPr>
          <w:sz w:val="22"/>
          <w:szCs w:val="22"/>
        </w:rPr>
        <w:t>.</w:t>
      </w:r>
    </w:p>
    <w:p w:rsidR="00F97D54" w:rsidRPr="0050748A" w:rsidRDefault="00F97D54" w:rsidP="00EB5B97">
      <w:pPr>
        <w:pStyle w:val="ListParagraph"/>
        <w:numPr>
          <w:ilvl w:val="0"/>
          <w:numId w:val="13"/>
        </w:numPr>
        <w:spacing w:after="200" w:line="276" w:lineRule="auto"/>
        <w:rPr>
          <w:sz w:val="22"/>
          <w:szCs w:val="22"/>
        </w:rPr>
      </w:pPr>
      <w:r w:rsidRPr="006D3B41">
        <w:rPr>
          <w:sz w:val="22"/>
          <w:szCs w:val="22"/>
          <w:u w:val="single"/>
        </w:rPr>
        <w:t>Vol_Discount_IC</w:t>
      </w:r>
      <w:r w:rsidRPr="00063B73">
        <w:rPr>
          <w:sz w:val="22"/>
          <w:szCs w:val="22"/>
        </w:rPr>
        <w:t xml:space="preserve">:  Indicate whether the </w:t>
      </w:r>
      <w:r>
        <w:rPr>
          <w:sz w:val="22"/>
          <w:szCs w:val="22"/>
        </w:rPr>
        <w:t xml:space="preserve">per unit monthly </w:t>
      </w:r>
      <w:r w:rsidRPr="00063B73">
        <w:rPr>
          <w:sz w:val="22"/>
          <w:szCs w:val="22"/>
        </w:rPr>
        <w:t xml:space="preserve">billed amount in </w:t>
      </w:r>
      <w:r>
        <w:rPr>
          <w:sz w:val="22"/>
          <w:szCs w:val="22"/>
        </w:rPr>
        <w:t xml:space="preserve">Question </w:t>
      </w:r>
      <w:r w:rsidRPr="00063B73">
        <w:rPr>
          <w:sz w:val="22"/>
          <w:szCs w:val="22"/>
        </w:rPr>
        <w:t xml:space="preserve">II.A.12.l includes any in-cycle discounts that have been applied due to a </w:t>
      </w:r>
      <w:r w:rsidRPr="006D3B41">
        <w:rPr>
          <w:i/>
          <w:sz w:val="22"/>
          <w:szCs w:val="22"/>
        </w:rPr>
        <w:t>Volume Commitment</w:t>
      </w:r>
      <w:r w:rsidRPr="00063B73">
        <w:rPr>
          <w:sz w:val="22"/>
          <w:szCs w:val="22"/>
        </w:rPr>
        <w:t xml:space="preserve">, either in total number of circuits or total amount of expenditures (“spend”).  Enter a 1 if the </w:t>
      </w:r>
      <w:r>
        <w:rPr>
          <w:sz w:val="22"/>
          <w:szCs w:val="22"/>
        </w:rPr>
        <w:t xml:space="preserve">per unit monthly </w:t>
      </w:r>
      <w:r w:rsidRPr="00063B73">
        <w:rPr>
          <w:sz w:val="22"/>
          <w:szCs w:val="22"/>
        </w:rPr>
        <w:t xml:space="preserve">billed amount includes in-cycle volume discounts; enter 0 if the </w:t>
      </w:r>
      <w:r>
        <w:rPr>
          <w:sz w:val="22"/>
          <w:szCs w:val="22"/>
        </w:rPr>
        <w:t xml:space="preserve">per unit monthly </w:t>
      </w:r>
      <w:r w:rsidRPr="00063B73">
        <w:rPr>
          <w:sz w:val="22"/>
          <w:szCs w:val="22"/>
        </w:rPr>
        <w:t>billed amount does not include in-cycle volume disc</w:t>
      </w:r>
      <w:r>
        <w:rPr>
          <w:sz w:val="22"/>
          <w:szCs w:val="22"/>
        </w:rPr>
        <w:t>ounts.  If the volume discounts</w:t>
      </w:r>
      <w:r w:rsidRPr="00063B73">
        <w:rPr>
          <w:sz w:val="22"/>
          <w:szCs w:val="22"/>
        </w:rPr>
        <w:t xml:space="preserve"> for this circuit are only given through out-of-cycle adjustments as reported in </w:t>
      </w:r>
      <w:r>
        <w:rPr>
          <w:sz w:val="22"/>
          <w:szCs w:val="22"/>
        </w:rPr>
        <w:t xml:space="preserve">Question II.A.13, </w:t>
      </w:r>
      <w:r w:rsidRPr="00063B73">
        <w:rPr>
          <w:sz w:val="22"/>
          <w:szCs w:val="22"/>
        </w:rPr>
        <w:t xml:space="preserve">enter 0.  If the circuit is not sold under a </w:t>
      </w:r>
      <w:r w:rsidRPr="006D3B41">
        <w:rPr>
          <w:i/>
          <w:sz w:val="22"/>
          <w:szCs w:val="22"/>
        </w:rPr>
        <w:t>Volume Commitment</w:t>
      </w:r>
      <w:r w:rsidRPr="00063B73">
        <w:rPr>
          <w:sz w:val="22"/>
          <w:szCs w:val="22"/>
        </w:rPr>
        <w:t>, leave this field blank.</w:t>
      </w:r>
    </w:p>
    <w:p w:rsidR="00F97D54" w:rsidRPr="00063B73" w:rsidRDefault="00F97D54" w:rsidP="00EB5B97">
      <w:pPr>
        <w:pStyle w:val="ListParagraph"/>
        <w:rPr>
          <w:sz w:val="22"/>
          <w:szCs w:val="22"/>
        </w:rPr>
      </w:pPr>
    </w:p>
    <w:p w:rsidR="00F97D54" w:rsidRDefault="00F97D54" w:rsidP="00EB5B97">
      <w:pPr>
        <w:numPr>
          <w:ilvl w:val="0"/>
          <w:numId w:val="25"/>
        </w:numPr>
        <w:rPr>
          <w:szCs w:val="22"/>
        </w:rPr>
      </w:pPr>
      <w:r w:rsidRPr="006D3B41">
        <w:rPr>
          <w:szCs w:val="22"/>
          <w:u w:val="single"/>
        </w:rPr>
        <w:t xml:space="preserve">Adjustment_ID_1; Adjustment_ID_2; </w:t>
      </w:r>
      <w:r>
        <w:rPr>
          <w:szCs w:val="22"/>
          <w:u w:val="single"/>
        </w:rPr>
        <w:t>…Adjustment_ID_10</w:t>
      </w:r>
      <w:r w:rsidRPr="006D3B41">
        <w:rPr>
          <w:szCs w:val="22"/>
        </w:rPr>
        <w:t>:</w:t>
      </w:r>
      <w:r w:rsidRPr="00063B73">
        <w:rPr>
          <w:szCs w:val="22"/>
        </w:rPr>
        <w:t xml:space="preserve">  For each out-of-cycle billing adjustment applied</w:t>
      </w:r>
      <w:r>
        <w:rPr>
          <w:szCs w:val="22"/>
        </w:rPr>
        <w:t xml:space="preserve"> to the circuit element, provide a unique adjustment ID that is</w:t>
      </w:r>
      <w:r w:rsidRPr="00063B73">
        <w:rPr>
          <w:szCs w:val="22"/>
        </w:rPr>
        <w:t xml:space="preserve"> used to link the circuit elements with the dollar value and descriptions of the ap</w:t>
      </w:r>
      <w:r>
        <w:rPr>
          <w:szCs w:val="22"/>
        </w:rPr>
        <w:t xml:space="preserve">propriate adjustments.  The table must include 10 columns for each of the ten potential Adjustment_IDs, regardless of whether all columns are used.  For rate elements with fewer than ten out-of-cycle adjustments, leave the excess Adjustment_ID fields blank.  If a circuit element had more than ten out-of-cycle adjustments applied to it, list the Adjustment_IDs of the ten largest adjustments.  </w:t>
      </w:r>
      <w:r w:rsidRPr="00063B73">
        <w:rPr>
          <w:szCs w:val="22"/>
        </w:rPr>
        <w:t>For example,</w:t>
      </w:r>
      <w:r>
        <w:rPr>
          <w:szCs w:val="22"/>
        </w:rPr>
        <w:t xml:space="preserve"> if a circuit element receives five</w:t>
      </w:r>
      <w:r w:rsidRPr="00063B73">
        <w:rPr>
          <w:szCs w:val="22"/>
        </w:rPr>
        <w:t xml:space="preserve"> distinc</w:t>
      </w:r>
      <w:r>
        <w:rPr>
          <w:szCs w:val="22"/>
        </w:rPr>
        <w:t>t adjustments, there must be five</w:t>
      </w:r>
      <w:r w:rsidRPr="00063B73">
        <w:rPr>
          <w:szCs w:val="22"/>
        </w:rPr>
        <w:t xml:space="preserve"> Adjustment_ID</w:t>
      </w:r>
      <w:r>
        <w:rPr>
          <w:szCs w:val="22"/>
        </w:rPr>
        <w:t>s in the first five columns.  The remaining Adjustment_ID columns (i.e., columns 6 through 10) would be left blank.  In addition, all adjustments must link back to the a</w:t>
      </w:r>
      <w:r w:rsidRPr="00063B73">
        <w:rPr>
          <w:szCs w:val="22"/>
        </w:rPr>
        <w:t xml:space="preserve">djustment amounts and descriptions </w:t>
      </w:r>
      <w:r>
        <w:rPr>
          <w:szCs w:val="22"/>
        </w:rPr>
        <w:t xml:space="preserve">provided </w:t>
      </w:r>
      <w:r w:rsidRPr="00063B73">
        <w:rPr>
          <w:szCs w:val="22"/>
        </w:rPr>
        <w:t xml:space="preserve">in </w:t>
      </w:r>
      <w:r>
        <w:rPr>
          <w:szCs w:val="22"/>
        </w:rPr>
        <w:t xml:space="preserve">response to Question </w:t>
      </w:r>
      <w:r w:rsidRPr="00063B73">
        <w:rPr>
          <w:szCs w:val="22"/>
        </w:rPr>
        <w:t xml:space="preserve">II.A.13.  </w:t>
      </w:r>
      <w:r w:rsidRPr="006D3B41">
        <w:rPr>
          <w:i/>
          <w:szCs w:val="22"/>
        </w:rPr>
        <w:t>See</w:t>
      </w:r>
      <w:r w:rsidRPr="00063B73">
        <w:rPr>
          <w:szCs w:val="22"/>
        </w:rPr>
        <w:t xml:space="preserve"> the instructions for </w:t>
      </w:r>
      <w:r>
        <w:rPr>
          <w:szCs w:val="22"/>
        </w:rPr>
        <w:t xml:space="preserve">Question </w:t>
      </w:r>
      <w:r w:rsidRPr="00063B73">
        <w:rPr>
          <w:szCs w:val="22"/>
        </w:rPr>
        <w:t>II.A.</w:t>
      </w:r>
      <w:r>
        <w:rPr>
          <w:szCs w:val="22"/>
        </w:rPr>
        <w:t>13 for further instructions on a</w:t>
      </w:r>
      <w:r w:rsidRPr="00063B73">
        <w:rPr>
          <w:szCs w:val="22"/>
        </w:rPr>
        <w:t>djustments.</w:t>
      </w:r>
    </w:p>
    <w:p w:rsidR="00F97D54" w:rsidRDefault="00F97D54" w:rsidP="00EB5B97">
      <w:pPr>
        <w:rPr>
          <w:b/>
          <w:sz w:val="20"/>
          <w:szCs w:val="22"/>
        </w:rPr>
      </w:pPr>
    </w:p>
    <w:p w:rsidR="00F97D54" w:rsidRPr="004820FF" w:rsidRDefault="00F97D54" w:rsidP="004820FF">
      <w:pPr>
        <w:pStyle w:val="Heading4"/>
        <w:numPr>
          <w:ilvl w:val="0"/>
          <w:numId w:val="0"/>
        </w:numPr>
        <w:rPr>
          <w:b w:val="0"/>
          <w:i/>
        </w:rPr>
      </w:pPr>
      <w:bookmarkStart w:id="105" w:name="_Toc365972094"/>
      <w:r w:rsidRPr="004820FF">
        <w:rPr>
          <w:b w:val="0"/>
          <w:i/>
        </w:rPr>
        <w:t>Question II.A.13:  Billing Adjustments</w:t>
      </w:r>
      <w:bookmarkEnd w:id="105"/>
    </w:p>
    <w:p w:rsidR="00F97D54" w:rsidRDefault="00F97D54" w:rsidP="00EB5B97">
      <w:pPr>
        <w:rPr>
          <w:szCs w:val="22"/>
        </w:rPr>
      </w:pPr>
      <w:r w:rsidRPr="0063769F">
        <w:rPr>
          <w:szCs w:val="22"/>
        </w:rPr>
        <w:t xml:space="preserve">For each adjustment or true-up (including credits for meeting or penalties for not meeting contractual obligations) to billed </w:t>
      </w:r>
      <w:r>
        <w:rPr>
          <w:szCs w:val="22"/>
        </w:rPr>
        <w:t>circuit</w:t>
      </w:r>
      <w:r w:rsidRPr="0063769F">
        <w:rPr>
          <w:szCs w:val="22"/>
        </w:rPr>
        <w:t xml:space="preserve"> elements, provide the following information below.</w:t>
      </w:r>
      <w:r>
        <w:rPr>
          <w:szCs w:val="22"/>
        </w:rPr>
        <w:t xml:space="preserve">  Provide the adjustment at the lowest level of aggregation available, and if possible, at the level of the individual circuit element.  If the adjustment applies to multiple circuit elements and/or circuits, provide the total dollar amount of the billing adjustment, and include an Adjustment_ID for each circuit element reported in Question II.A.12 that can be used to link the billing adjustment (or true-up) with the appropriate circuit elements. </w:t>
      </w:r>
    </w:p>
    <w:p w:rsidR="00F97D54" w:rsidRDefault="00F97D54" w:rsidP="00EB5B97">
      <w:pPr>
        <w:rPr>
          <w:szCs w:val="22"/>
        </w:rPr>
      </w:pPr>
    </w:p>
    <w:p w:rsidR="00F97D54" w:rsidRDefault="00F97D54" w:rsidP="00EB5B97">
      <w:r w:rsidRPr="005A6188">
        <w:rPr>
          <w:u w:val="single"/>
        </w:rPr>
        <w:t>Note on “in-cycle” vs. “out-of-cycle” billing adjustments</w:t>
      </w:r>
      <w:r w:rsidRPr="005A6188">
        <w:t xml:space="preserve">:  </w:t>
      </w:r>
      <w:r>
        <w:t>Question II.A.13</w:t>
      </w:r>
      <w:r w:rsidRPr="005A6188">
        <w:t xml:space="preserve"> is meant to capture all adjustments, penalties, and true-ups that are settled outside of the monthly billing cycle (as opposed to adjustments that are rolled into the price billed to the customer each month).  Examples include lump-sum discounts for </w:t>
      </w:r>
      <w:r w:rsidRPr="005A6188">
        <w:rPr>
          <w:i/>
        </w:rPr>
        <w:t>Term</w:t>
      </w:r>
      <w:r w:rsidRPr="005A6188">
        <w:t xml:space="preserve"> and </w:t>
      </w:r>
      <w:r w:rsidRPr="005A6188">
        <w:rPr>
          <w:i/>
        </w:rPr>
        <w:t>Volume Commitments</w:t>
      </w:r>
      <w:r w:rsidRPr="005A6188">
        <w:t>, early termination penalties, rebates for network outages or degraded service quality, waivers of non-recurring charges such as installation fees, etc.</w:t>
      </w:r>
    </w:p>
    <w:p w:rsidR="00F97D54" w:rsidRPr="005A6188" w:rsidRDefault="00F97D54" w:rsidP="00EB5B97"/>
    <w:p w:rsidR="00F97D54" w:rsidRPr="005A6188" w:rsidRDefault="00F97D54" w:rsidP="00EB5B97">
      <w:r>
        <w:t>For example, suppose a customer buys</w:t>
      </w:r>
      <w:r w:rsidRPr="005A6188">
        <w:t xml:space="preserve"> a single circuit with a </w:t>
      </w:r>
      <w:r w:rsidRPr="00FB5ADA">
        <w:rPr>
          <w:i/>
        </w:rPr>
        <w:t>One Month Term Only Rate</w:t>
      </w:r>
      <w:r w:rsidRPr="005A6188">
        <w:t xml:space="preserve"> of $300 per month, but receives a $100 discount on the </w:t>
      </w:r>
      <w:r w:rsidRPr="00FB5ADA">
        <w:rPr>
          <w:i/>
        </w:rPr>
        <w:t>One Month Term Only Rate</w:t>
      </w:r>
      <w:r w:rsidRPr="005A6188">
        <w:t xml:space="preserve"> each month </w:t>
      </w:r>
      <w:r>
        <w:t xml:space="preserve">for committing to a 5-year </w:t>
      </w:r>
      <w:r w:rsidRPr="005A6188">
        <w:rPr>
          <w:i/>
        </w:rPr>
        <w:t>Term Commitment</w:t>
      </w:r>
      <w:r w:rsidRPr="005A6188">
        <w:t xml:space="preserve">.  If the </w:t>
      </w:r>
      <w:r w:rsidRPr="00FB5ADA">
        <w:rPr>
          <w:i/>
        </w:rPr>
        <w:t>Provider</w:t>
      </w:r>
      <w:r w:rsidRPr="005A6188">
        <w:t xml:space="preserve"> of the circuit rolls the discounted amount into the monthly bill, </w:t>
      </w:r>
      <w:r w:rsidRPr="00FB5ADA">
        <w:rPr>
          <w:i/>
        </w:rPr>
        <w:t>i.e.</w:t>
      </w:r>
      <w:r w:rsidRPr="005A6188">
        <w:t xml:space="preserve">, the </w:t>
      </w:r>
      <w:r>
        <w:t>customer</w:t>
      </w:r>
      <w:r w:rsidRPr="005A6188">
        <w:t xml:space="preserve"> is billed $200 every month, then the discount is considered an “in-cycle” adjustment</w:t>
      </w:r>
      <w:r>
        <w:t>,</w:t>
      </w:r>
      <w:r w:rsidRPr="005A6188">
        <w:t xml:space="preserve"> and </w:t>
      </w:r>
      <w:r>
        <w:t xml:space="preserve">the </w:t>
      </w:r>
      <w:r w:rsidRPr="00FB5ADA">
        <w:rPr>
          <w:i/>
        </w:rPr>
        <w:t>Provider</w:t>
      </w:r>
      <w:r>
        <w:t xml:space="preserve"> </w:t>
      </w:r>
      <w:r w:rsidRPr="005A6188">
        <w:t>need not report</w:t>
      </w:r>
      <w:r>
        <w:t xml:space="preserve"> it</w:t>
      </w:r>
      <w:r w:rsidRPr="005A6188">
        <w:t xml:space="preserve"> as a separate “out-of-cycle” adjustment in Table II.A.13.  The seller would only need to report the $200 charge in </w:t>
      </w:r>
      <w:r>
        <w:t xml:space="preserve">Question </w:t>
      </w:r>
      <w:r w:rsidRPr="005A6188">
        <w:t xml:space="preserve">II.A.12, along with an indicator showing a </w:t>
      </w:r>
      <w:r w:rsidRPr="005A6188">
        <w:rPr>
          <w:i/>
        </w:rPr>
        <w:t>Term Commitment</w:t>
      </w:r>
      <w:r w:rsidRPr="005A6188">
        <w:t xml:space="preserve"> in </w:t>
      </w:r>
      <w:r>
        <w:t xml:space="preserve">Question </w:t>
      </w:r>
      <w:r w:rsidRPr="005A6188">
        <w:t xml:space="preserve">II.A.12.m.  (Alternatively, </w:t>
      </w:r>
      <w:r>
        <w:t xml:space="preserve">depending on the billing system, </w:t>
      </w:r>
      <w:r w:rsidRPr="005A6188">
        <w:t xml:space="preserve">the discount may show up as a separate -$100 line item in </w:t>
      </w:r>
      <w:r>
        <w:t xml:space="preserve">Question </w:t>
      </w:r>
      <w:r w:rsidRPr="005A6188">
        <w:t xml:space="preserve">II.A.12 along with the $300 </w:t>
      </w:r>
      <w:r w:rsidRPr="00FB5ADA">
        <w:rPr>
          <w:i/>
        </w:rPr>
        <w:t>One Month Term Only Rate</w:t>
      </w:r>
      <w:r w:rsidRPr="005A6188">
        <w:t xml:space="preserve">.)  </w:t>
      </w:r>
    </w:p>
    <w:p w:rsidR="00F97D54" w:rsidRDefault="00F97D54" w:rsidP="00EB5B97"/>
    <w:p w:rsidR="00F97D54" w:rsidRDefault="00F97D54" w:rsidP="00EB5B97">
      <w:pPr>
        <w:rPr>
          <w:szCs w:val="22"/>
        </w:rPr>
      </w:pPr>
      <w:r w:rsidRPr="005A6188">
        <w:t>Howe</w:t>
      </w:r>
      <w:r>
        <w:t xml:space="preserve">ver, if the </w:t>
      </w:r>
      <w:r w:rsidRPr="00302013">
        <w:rPr>
          <w:i/>
        </w:rPr>
        <w:t>Provider</w:t>
      </w:r>
      <w:r>
        <w:t xml:space="preserve"> charges the customer</w:t>
      </w:r>
      <w:r w:rsidRPr="005A6188">
        <w:t xml:space="preserve"> the full $300 for the circuit every month, then returns a $600 </w:t>
      </w:r>
      <w:r>
        <w:t>payment to the purchaser every 6</w:t>
      </w:r>
      <w:r w:rsidRPr="005A6188">
        <w:t xml:space="preserve"> months, the $600 payment </w:t>
      </w:r>
      <w:r>
        <w:t>must</w:t>
      </w:r>
      <w:r w:rsidRPr="005A6188">
        <w:t xml:space="preserve"> be recorded in Table II.A.13 as an out-of-cycle adjustment, and the appropriate Adjustment_ID </w:t>
      </w:r>
      <w:r>
        <w:t>must</w:t>
      </w:r>
      <w:r w:rsidRPr="005A6188">
        <w:t xml:space="preserve"> appear next to the affected circuit elements in</w:t>
      </w:r>
      <w:r>
        <w:t xml:space="preserve"> Question</w:t>
      </w:r>
      <w:r w:rsidRPr="005A6188">
        <w:t xml:space="preserve"> II.A.12.  Likewise, if the </w:t>
      </w:r>
      <w:r>
        <w:t>customer</w:t>
      </w:r>
      <w:r w:rsidRPr="005A6188">
        <w:t xml:space="preserve"> is billed at the $200 discounted rate each month but then decides to terminate the contract early and pay an early termination fee of $1000, the $1000 charge </w:t>
      </w:r>
      <w:r>
        <w:t>is</w:t>
      </w:r>
      <w:r w:rsidRPr="005A6188">
        <w:t xml:space="preserve"> recorded as an out-of-cycle adjustment in </w:t>
      </w:r>
      <w:r>
        <w:t xml:space="preserve">Question </w:t>
      </w:r>
      <w:r w:rsidRPr="005A6188">
        <w:t>II.A.13.</w:t>
      </w:r>
    </w:p>
    <w:p w:rsidR="00F97D54" w:rsidRDefault="00F97D54" w:rsidP="00EB5B97">
      <w:pPr>
        <w:rPr>
          <w:szCs w:val="22"/>
        </w:rPr>
      </w:pPr>
    </w:p>
    <w:tbl>
      <w:tblPr>
        <w:tblW w:w="8838" w:type="dxa"/>
        <w:tblLook w:val="01E0" w:firstRow="1" w:lastRow="1" w:firstColumn="1" w:lastColumn="1" w:noHBand="0" w:noVBand="0"/>
      </w:tblPr>
      <w:tblGrid>
        <w:gridCol w:w="1772"/>
        <w:gridCol w:w="4456"/>
        <w:gridCol w:w="1080"/>
        <w:gridCol w:w="1530"/>
      </w:tblGrid>
      <w:tr w:rsidR="00F97D54" w:rsidRPr="0063769F" w:rsidTr="00EB5B97">
        <w:trPr>
          <w:trHeight w:val="432"/>
          <w:tblHeader/>
        </w:trPr>
        <w:tc>
          <w:tcPr>
            <w:tcW w:w="8838" w:type="dxa"/>
            <w:gridSpan w:val="4"/>
            <w:tcBorders>
              <w:top w:val="double" w:sz="4" w:space="0" w:color="auto"/>
              <w:bottom w:val="single" w:sz="4" w:space="0" w:color="auto"/>
            </w:tcBorders>
            <w:vAlign w:val="center"/>
          </w:tcPr>
          <w:p w:rsidR="00F97D54" w:rsidRDefault="00F97D54" w:rsidP="00EB5B97">
            <w:pPr>
              <w:jc w:val="center"/>
              <w:rPr>
                <w:b/>
                <w:bCs/>
              </w:rPr>
            </w:pPr>
            <w:r w:rsidRPr="0063769F">
              <w:rPr>
                <w:b/>
              </w:rPr>
              <w:t xml:space="preserve">Table </w:t>
            </w:r>
            <w:r>
              <w:rPr>
                <w:b/>
                <w:bCs/>
              </w:rPr>
              <w:t>II.A.13</w:t>
            </w:r>
          </w:p>
          <w:p w:rsidR="00F97D54" w:rsidRPr="0063769F" w:rsidRDefault="00F97D54" w:rsidP="00EB5B97">
            <w:pPr>
              <w:jc w:val="center"/>
              <w:rPr>
                <w:b/>
              </w:rPr>
            </w:pPr>
            <w:r>
              <w:rPr>
                <w:b/>
                <w:bCs/>
              </w:rPr>
              <w:t xml:space="preserve">Record Format for </w:t>
            </w:r>
            <w:r w:rsidRPr="0063769F">
              <w:rPr>
                <w:b/>
                <w:bCs/>
              </w:rPr>
              <w:t>Billing Adjustment Data Circuits by Circuit</w:t>
            </w:r>
          </w:p>
        </w:tc>
      </w:tr>
      <w:tr w:rsidR="00F97D54" w:rsidRPr="0063769F" w:rsidTr="00EB5B97">
        <w:trPr>
          <w:trHeight w:val="432"/>
          <w:tblHeader/>
        </w:trPr>
        <w:tc>
          <w:tcPr>
            <w:tcW w:w="1772" w:type="dxa"/>
            <w:tcBorders>
              <w:top w:val="single" w:sz="4" w:space="0" w:color="auto"/>
              <w:bottom w:val="single" w:sz="4" w:space="0" w:color="auto"/>
              <w:right w:val="single" w:sz="4" w:space="0" w:color="auto"/>
            </w:tcBorders>
            <w:vAlign w:val="center"/>
          </w:tcPr>
          <w:p w:rsidR="00F97D54" w:rsidRPr="0063769F" w:rsidRDefault="00F97D54" w:rsidP="00EB5B97">
            <w:pPr>
              <w:rPr>
                <w:b/>
                <w:sz w:val="18"/>
                <w:szCs w:val="18"/>
              </w:rPr>
            </w:pPr>
            <w:r w:rsidRPr="0063769F">
              <w:rPr>
                <w:b/>
                <w:sz w:val="18"/>
                <w:szCs w:val="18"/>
              </w:rPr>
              <w:t>Field Name</w:t>
            </w:r>
          </w:p>
        </w:tc>
        <w:tc>
          <w:tcPr>
            <w:tcW w:w="4456" w:type="dxa"/>
            <w:tcBorders>
              <w:top w:val="single" w:sz="4" w:space="0" w:color="auto"/>
              <w:left w:val="single" w:sz="4" w:space="0" w:color="auto"/>
              <w:bottom w:val="single" w:sz="4" w:space="0" w:color="auto"/>
              <w:right w:val="single" w:sz="4" w:space="0" w:color="auto"/>
            </w:tcBorders>
            <w:vAlign w:val="center"/>
          </w:tcPr>
          <w:p w:rsidR="00F97D54" w:rsidRPr="0063769F" w:rsidRDefault="00F97D54" w:rsidP="00EB5B97">
            <w:pPr>
              <w:rPr>
                <w:b/>
                <w:sz w:val="18"/>
                <w:szCs w:val="18"/>
              </w:rPr>
            </w:pPr>
            <w:r w:rsidRPr="0063769F">
              <w:rPr>
                <w:b/>
                <w:sz w:val="18"/>
                <w:szCs w:val="18"/>
              </w:rPr>
              <w:t>Description</w:t>
            </w:r>
          </w:p>
        </w:tc>
        <w:tc>
          <w:tcPr>
            <w:tcW w:w="1080" w:type="dxa"/>
            <w:tcBorders>
              <w:top w:val="single" w:sz="4" w:space="0" w:color="auto"/>
              <w:left w:val="single" w:sz="4" w:space="0" w:color="auto"/>
              <w:bottom w:val="single" w:sz="4" w:space="0" w:color="auto"/>
              <w:right w:val="single" w:sz="4" w:space="0" w:color="auto"/>
            </w:tcBorders>
            <w:vAlign w:val="center"/>
          </w:tcPr>
          <w:p w:rsidR="00F97D54" w:rsidRPr="0063769F" w:rsidRDefault="00F97D54" w:rsidP="00EB5B97">
            <w:pPr>
              <w:rPr>
                <w:b/>
                <w:sz w:val="18"/>
                <w:szCs w:val="18"/>
              </w:rPr>
            </w:pPr>
            <w:r w:rsidRPr="0063769F">
              <w:rPr>
                <w:b/>
                <w:sz w:val="18"/>
                <w:szCs w:val="18"/>
              </w:rPr>
              <w:t>Type</w:t>
            </w:r>
          </w:p>
        </w:tc>
        <w:tc>
          <w:tcPr>
            <w:tcW w:w="1530" w:type="dxa"/>
            <w:tcBorders>
              <w:top w:val="single" w:sz="4" w:space="0" w:color="auto"/>
              <w:left w:val="single" w:sz="4" w:space="0" w:color="auto"/>
              <w:bottom w:val="single" w:sz="4" w:space="0" w:color="auto"/>
            </w:tcBorders>
            <w:vAlign w:val="center"/>
          </w:tcPr>
          <w:p w:rsidR="00F97D54" w:rsidRPr="0063769F" w:rsidRDefault="00F97D54" w:rsidP="00EB5B97">
            <w:pPr>
              <w:ind w:right="-108"/>
              <w:rPr>
                <w:b/>
                <w:sz w:val="18"/>
                <w:szCs w:val="18"/>
              </w:rPr>
            </w:pPr>
            <w:r w:rsidRPr="0063769F">
              <w:rPr>
                <w:b/>
                <w:sz w:val="18"/>
                <w:szCs w:val="18"/>
              </w:rPr>
              <w:t>Example</w:t>
            </w:r>
          </w:p>
        </w:tc>
      </w:tr>
      <w:tr w:rsidR="00F97D54" w:rsidRPr="0063769F" w:rsidTr="00EB5B97">
        <w:trPr>
          <w:trHeight w:val="360"/>
        </w:trPr>
        <w:tc>
          <w:tcPr>
            <w:tcW w:w="1772" w:type="dxa"/>
          </w:tcPr>
          <w:p w:rsidR="00F97D54" w:rsidRPr="0063769F" w:rsidRDefault="00F97D54" w:rsidP="00EB5B97">
            <w:pPr>
              <w:rPr>
                <w:sz w:val="16"/>
                <w:szCs w:val="16"/>
              </w:rPr>
            </w:pPr>
            <w:r w:rsidRPr="0063769F">
              <w:rPr>
                <w:sz w:val="16"/>
                <w:szCs w:val="16"/>
              </w:rPr>
              <w:t>Adjustment_ID</w:t>
            </w:r>
          </w:p>
        </w:tc>
        <w:tc>
          <w:tcPr>
            <w:tcW w:w="4456" w:type="dxa"/>
          </w:tcPr>
          <w:p w:rsidR="00F97D54" w:rsidRPr="0063769F" w:rsidRDefault="00F97D54" w:rsidP="00EB5B97">
            <w:pPr>
              <w:rPr>
                <w:sz w:val="16"/>
                <w:szCs w:val="16"/>
              </w:rPr>
            </w:pPr>
            <w:r w:rsidRPr="0063769F">
              <w:rPr>
                <w:sz w:val="16"/>
                <w:szCs w:val="16"/>
              </w:rPr>
              <w:t>Unique ID number for the billing adjustment or true-up</w:t>
            </w:r>
          </w:p>
        </w:tc>
        <w:tc>
          <w:tcPr>
            <w:tcW w:w="1080" w:type="dxa"/>
          </w:tcPr>
          <w:p w:rsidR="00F97D54" w:rsidRPr="0063769F" w:rsidRDefault="00F97D54" w:rsidP="00EB5B97">
            <w:pPr>
              <w:rPr>
                <w:sz w:val="16"/>
                <w:szCs w:val="16"/>
              </w:rPr>
            </w:pPr>
            <w:r w:rsidRPr="0063769F">
              <w:rPr>
                <w:sz w:val="16"/>
                <w:szCs w:val="16"/>
              </w:rPr>
              <w:t>Integer</w:t>
            </w:r>
          </w:p>
        </w:tc>
        <w:tc>
          <w:tcPr>
            <w:tcW w:w="1530" w:type="dxa"/>
          </w:tcPr>
          <w:p w:rsidR="00F97D54" w:rsidRPr="0063769F" w:rsidRDefault="00F97D54" w:rsidP="00EB5B97">
            <w:pPr>
              <w:rPr>
                <w:sz w:val="16"/>
                <w:szCs w:val="16"/>
              </w:rPr>
            </w:pPr>
            <w:r w:rsidRPr="0063769F">
              <w:rPr>
                <w:sz w:val="16"/>
                <w:szCs w:val="16"/>
              </w:rPr>
              <w:t>1</w:t>
            </w:r>
          </w:p>
        </w:tc>
      </w:tr>
      <w:tr w:rsidR="00F97D54" w:rsidRPr="0063769F" w:rsidTr="00EB5B97">
        <w:trPr>
          <w:trHeight w:val="360"/>
        </w:trPr>
        <w:tc>
          <w:tcPr>
            <w:tcW w:w="1772" w:type="dxa"/>
          </w:tcPr>
          <w:p w:rsidR="00F97D54" w:rsidRPr="0063769F" w:rsidRDefault="00F97D54" w:rsidP="00EB5B97">
            <w:pPr>
              <w:rPr>
                <w:sz w:val="16"/>
                <w:szCs w:val="16"/>
              </w:rPr>
            </w:pPr>
            <w:r>
              <w:rPr>
                <w:sz w:val="16"/>
                <w:szCs w:val="16"/>
              </w:rPr>
              <w:t>Contract_ID</w:t>
            </w:r>
          </w:p>
        </w:tc>
        <w:tc>
          <w:tcPr>
            <w:tcW w:w="4456" w:type="dxa"/>
          </w:tcPr>
          <w:p w:rsidR="00F97D54" w:rsidRPr="0063769F" w:rsidRDefault="00F97D54" w:rsidP="00EB5B97">
            <w:pPr>
              <w:rPr>
                <w:sz w:val="16"/>
                <w:szCs w:val="16"/>
              </w:rPr>
            </w:pPr>
            <w:r>
              <w:rPr>
                <w:sz w:val="16"/>
                <w:szCs w:val="16"/>
              </w:rPr>
              <w:t xml:space="preserve">Unique ID number for the </w:t>
            </w:r>
            <w:r w:rsidRPr="001675E3">
              <w:rPr>
                <w:i/>
                <w:sz w:val="16"/>
                <w:szCs w:val="16"/>
              </w:rPr>
              <w:t>Tariff</w:t>
            </w:r>
            <w:r>
              <w:rPr>
                <w:sz w:val="16"/>
                <w:szCs w:val="16"/>
              </w:rPr>
              <w:t xml:space="preserve"> or other agreement from which the adjustment originates.  Leave the field blank if the adjustment cannot be linked back to a single contract</w:t>
            </w:r>
          </w:p>
        </w:tc>
        <w:tc>
          <w:tcPr>
            <w:tcW w:w="1080" w:type="dxa"/>
          </w:tcPr>
          <w:p w:rsidR="00F97D54" w:rsidRPr="0063769F" w:rsidRDefault="00F97D54" w:rsidP="00EB5B97">
            <w:pPr>
              <w:rPr>
                <w:sz w:val="16"/>
                <w:szCs w:val="16"/>
              </w:rPr>
            </w:pPr>
            <w:r>
              <w:rPr>
                <w:sz w:val="16"/>
                <w:szCs w:val="16"/>
              </w:rPr>
              <w:t>Integer</w:t>
            </w:r>
          </w:p>
        </w:tc>
        <w:tc>
          <w:tcPr>
            <w:tcW w:w="1530" w:type="dxa"/>
          </w:tcPr>
          <w:p w:rsidR="00F97D54" w:rsidRPr="0063769F" w:rsidRDefault="00F97D54" w:rsidP="00EB5B97">
            <w:pPr>
              <w:rPr>
                <w:sz w:val="16"/>
                <w:szCs w:val="16"/>
              </w:rPr>
            </w:pPr>
            <w:r>
              <w:rPr>
                <w:sz w:val="16"/>
                <w:szCs w:val="16"/>
              </w:rPr>
              <w:t>33</w:t>
            </w:r>
          </w:p>
        </w:tc>
      </w:tr>
      <w:tr w:rsidR="00F97D54" w:rsidRPr="0063769F" w:rsidTr="00EB5B97">
        <w:trPr>
          <w:trHeight w:val="360"/>
        </w:trPr>
        <w:tc>
          <w:tcPr>
            <w:tcW w:w="1772" w:type="dxa"/>
          </w:tcPr>
          <w:p w:rsidR="00F97D54" w:rsidRPr="0063769F" w:rsidRDefault="00F97D54" w:rsidP="00EB5B97">
            <w:pPr>
              <w:rPr>
                <w:sz w:val="16"/>
                <w:szCs w:val="16"/>
              </w:rPr>
            </w:pPr>
            <w:r w:rsidRPr="0063769F">
              <w:rPr>
                <w:sz w:val="16"/>
                <w:szCs w:val="16"/>
              </w:rPr>
              <w:t>Date_from</w:t>
            </w:r>
          </w:p>
          <w:p w:rsidR="00F97D54" w:rsidRPr="0063769F" w:rsidRDefault="00F97D54" w:rsidP="00EB5B97">
            <w:pPr>
              <w:rPr>
                <w:sz w:val="16"/>
                <w:szCs w:val="16"/>
              </w:rPr>
            </w:pPr>
          </w:p>
        </w:tc>
        <w:tc>
          <w:tcPr>
            <w:tcW w:w="4456" w:type="dxa"/>
          </w:tcPr>
          <w:p w:rsidR="00F97D54" w:rsidRPr="0063769F" w:rsidRDefault="00F97D54" w:rsidP="00EB5B97">
            <w:pPr>
              <w:rPr>
                <w:sz w:val="16"/>
                <w:szCs w:val="16"/>
              </w:rPr>
            </w:pPr>
            <w:r w:rsidRPr="0063769F">
              <w:rPr>
                <w:sz w:val="16"/>
                <w:szCs w:val="16"/>
              </w:rPr>
              <w:t xml:space="preserve">Beginning date of adjustment period (or true-up) in </w:t>
            </w:r>
            <w:r>
              <w:rPr>
                <w:sz w:val="16"/>
                <w:szCs w:val="16"/>
              </w:rPr>
              <w:t>mm/dd</w:t>
            </w:r>
            <w:r w:rsidRPr="0063769F">
              <w:rPr>
                <w:sz w:val="16"/>
                <w:szCs w:val="16"/>
              </w:rPr>
              <w:t>/yyyy format</w:t>
            </w:r>
          </w:p>
          <w:p w:rsidR="00F97D54" w:rsidRPr="0063769F" w:rsidRDefault="00F97D54" w:rsidP="00EB5B97">
            <w:pPr>
              <w:rPr>
                <w:sz w:val="16"/>
                <w:szCs w:val="16"/>
              </w:rPr>
            </w:pPr>
          </w:p>
        </w:tc>
        <w:tc>
          <w:tcPr>
            <w:tcW w:w="1080" w:type="dxa"/>
          </w:tcPr>
          <w:p w:rsidR="00F97D54" w:rsidRPr="0063769F" w:rsidRDefault="00F97D54" w:rsidP="00EB5B97">
            <w:pPr>
              <w:rPr>
                <w:sz w:val="16"/>
                <w:szCs w:val="16"/>
              </w:rPr>
            </w:pPr>
            <w:r w:rsidRPr="0063769F">
              <w:rPr>
                <w:sz w:val="16"/>
                <w:szCs w:val="16"/>
              </w:rPr>
              <w:t>Date</w:t>
            </w:r>
          </w:p>
          <w:p w:rsidR="00F97D54" w:rsidRPr="0063769F" w:rsidRDefault="00F97D54" w:rsidP="00EB5B97">
            <w:pPr>
              <w:rPr>
                <w:sz w:val="16"/>
                <w:szCs w:val="16"/>
              </w:rPr>
            </w:pPr>
          </w:p>
        </w:tc>
        <w:tc>
          <w:tcPr>
            <w:tcW w:w="1530" w:type="dxa"/>
          </w:tcPr>
          <w:p w:rsidR="00F97D54" w:rsidRPr="0063769F" w:rsidRDefault="00F97D54" w:rsidP="00EB5B97">
            <w:pPr>
              <w:rPr>
                <w:sz w:val="16"/>
                <w:szCs w:val="16"/>
              </w:rPr>
            </w:pPr>
            <w:r>
              <w:rPr>
                <w:sz w:val="16"/>
                <w:szCs w:val="16"/>
              </w:rPr>
              <w:t>0</w:t>
            </w:r>
            <w:r w:rsidRPr="0063769F">
              <w:rPr>
                <w:sz w:val="16"/>
                <w:szCs w:val="16"/>
              </w:rPr>
              <w:t>1/</w:t>
            </w:r>
            <w:r>
              <w:rPr>
                <w:sz w:val="16"/>
                <w:szCs w:val="16"/>
              </w:rPr>
              <w:t>0</w:t>
            </w:r>
            <w:r w:rsidRPr="0063769F">
              <w:rPr>
                <w:sz w:val="16"/>
                <w:szCs w:val="16"/>
              </w:rPr>
              <w:t>1/</w:t>
            </w:r>
            <w:r>
              <w:rPr>
                <w:sz w:val="16"/>
                <w:szCs w:val="16"/>
              </w:rPr>
              <w:t>2012</w:t>
            </w:r>
          </w:p>
          <w:p w:rsidR="00F97D54" w:rsidRPr="0063769F" w:rsidRDefault="00F97D54" w:rsidP="00EB5B97">
            <w:pPr>
              <w:rPr>
                <w:sz w:val="16"/>
                <w:szCs w:val="16"/>
              </w:rPr>
            </w:pPr>
          </w:p>
        </w:tc>
      </w:tr>
      <w:tr w:rsidR="00F97D54" w:rsidRPr="0063769F" w:rsidTr="00EB5B97">
        <w:trPr>
          <w:trHeight w:val="495"/>
        </w:trPr>
        <w:tc>
          <w:tcPr>
            <w:tcW w:w="1772" w:type="dxa"/>
          </w:tcPr>
          <w:p w:rsidR="00F97D54" w:rsidRPr="0063769F" w:rsidRDefault="00F97D54" w:rsidP="00EB5B97">
            <w:pPr>
              <w:rPr>
                <w:sz w:val="16"/>
                <w:szCs w:val="16"/>
              </w:rPr>
            </w:pPr>
            <w:r w:rsidRPr="0063769F">
              <w:rPr>
                <w:sz w:val="16"/>
                <w:szCs w:val="16"/>
              </w:rPr>
              <w:t>Date_to</w:t>
            </w:r>
          </w:p>
          <w:p w:rsidR="00F97D54" w:rsidRPr="0063769F" w:rsidRDefault="00F97D54" w:rsidP="00EB5B97">
            <w:pPr>
              <w:rPr>
                <w:sz w:val="16"/>
                <w:szCs w:val="16"/>
              </w:rPr>
            </w:pPr>
          </w:p>
        </w:tc>
        <w:tc>
          <w:tcPr>
            <w:tcW w:w="4456" w:type="dxa"/>
          </w:tcPr>
          <w:p w:rsidR="00F97D54" w:rsidRPr="0063769F" w:rsidRDefault="00F97D54" w:rsidP="00EB5B97">
            <w:pPr>
              <w:rPr>
                <w:sz w:val="16"/>
                <w:szCs w:val="16"/>
              </w:rPr>
            </w:pPr>
            <w:r w:rsidRPr="0063769F">
              <w:rPr>
                <w:sz w:val="16"/>
                <w:szCs w:val="16"/>
              </w:rPr>
              <w:t xml:space="preserve">Ending date of adjustment period (or true-up) in </w:t>
            </w:r>
            <w:r>
              <w:rPr>
                <w:sz w:val="16"/>
                <w:szCs w:val="16"/>
              </w:rPr>
              <w:t>mm/dd</w:t>
            </w:r>
            <w:r w:rsidRPr="0063769F">
              <w:rPr>
                <w:sz w:val="16"/>
                <w:szCs w:val="16"/>
              </w:rPr>
              <w:t>/yyyy format</w:t>
            </w:r>
          </w:p>
          <w:p w:rsidR="00F97D54" w:rsidRPr="0063769F" w:rsidRDefault="00F97D54" w:rsidP="00EB5B97">
            <w:pPr>
              <w:rPr>
                <w:sz w:val="16"/>
                <w:szCs w:val="16"/>
              </w:rPr>
            </w:pPr>
          </w:p>
        </w:tc>
        <w:tc>
          <w:tcPr>
            <w:tcW w:w="1080" w:type="dxa"/>
          </w:tcPr>
          <w:p w:rsidR="00F97D54" w:rsidRPr="0063769F" w:rsidRDefault="00F97D54" w:rsidP="00EB5B97">
            <w:pPr>
              <w:rPr>
                <w:sz w:val="16"/>
                <w:szCs w:val="16"/>
              </w:rPr>
            </w:pPr>
            <w:r w:rsidRPr="0063769F">
              <w:rPr>
                <w:sz w:val="16"/>
                <w:szCs w:val="16"/>
              </w:rPr>
              <w:t>Date</w:t>
            </w:r>
          </w:p>
          <w:p w:rsidR="00F97D54" w:rsidRPr="0063769F" w:rsidRDefault="00F97D54" w:rsidP="00EB5B97">
            <w:pPr>
              <w:rPr>
                <w:sz w:val="16"/>
                <w:szCs w:val="16"/>
              </w:rPr>
            </w:pPr>
          </w:p>
        </w:tc>
        <w:tc>
          <w:tcPr>
            <w:tcW w:w="1530" w:type="dxa"/>
          </w:tcPr>
          <w:p w:rsidR="00F97D54" w:rsidRPr="0063769F" w:rsidRDefault="00F97D54" w:rsidP="00EB5B97">
            <w:pPr>
              <w:rPr>
                <w:sz w:val="16"/>
                <w:szCs w:val="16"/>
              </w:rPr>
            </w:pPr>
            <w:r>
              <w:rPr>
                <w:sz w:val="16"/>
                <w:szCs w:val="16"/>
              </w:rPr>
              <w:t>0</w:t>
            </w:r>
            <w:r w:rsidRPr="0063769F">
              <w:rPr>
                <w:sz w:val="16"/>
                <w:szCs w:val="16"/>
              </w:rPr>
              <w:t>6/30/</w:t>
            </w:r>
            <w:r>
              <w:rPr>
                <w:sz w:val="16"/>
                <w:szCs w:val="16"/>
              </w:rPr>
              <w:t>2012</w:t>
            </w:r>
          </w:p>
          <w:p w:rsidR="00F97D54" w:rsidRPr="0063769F" w:rsidRDefault="00F97D54" w:rsidP="00EB5B97">
            <w:pPr>
              <w:rPr>
                <w:sz w:val="16"/>
                <w:szCs w:val="16"/>
              </w:rPr>
            </w:pPr>
          </w:p>
        </w:tc>
      </w:tr>
      <w:tr w:rsidR="00F97D54" w:rsidRPr="0063769F" w:rsidTr="00EB5B97">
        <w:trPr>
          <w:trHeight w:val="495"/>
        </w:trPr>
        <w:tc>
          <w:tcPr>
            <w:tcW w:w="1772" w:type="dxa"/>
          </w:tcPr>
          <w:p w:rsidR="00F97D54" w:rsidRPr="0063769F" w:rsidRDefault="00F97D54" w:rsidP="00EB5B97">
            <w:pPr>
              <w:rPr>
                <w:sz w:val="16"/>
                <w:szCs w:val="16"/>
              </w:rPr>
            </w:pPr>
            <w:r>
              <w:rPr>
                <w:sz w:val="16"/>
                <w:szCs w:val="16"/>
              </w:rPr>
              <w:t>Adjustment_Scope</w:t>
            </w:r>
          </w:p>
        </w:tc>
        <w:tc>
          <w:tcPr>
            <w:tcW w:w="4456" w:type="dxa"/>
          </w:tcPr>
          <w:p w:rsidR="00F97D54" w:rsidRDefault="00F97D54" w:rsidP="00EB5B97">
            <w:pPr>
              <w:rPr>
                <w:sz w:val="16"/>
                <w:szCs w:val="16"/>
              </w:rPr>
            </w:pPr>
            <w:r>
              <w:rPr>
                <w:sz w:val="16"/>
                <w:szCs w:val="16"/>
              </w:rPr>
              <w:t xml:space="preserve">Code indicating scope of adjustment.  Enter 1 if adjustment applies to single circuit element for single circuit, enter 2 if adjustment applies to more than one circuit element on a single circuit, enter 3 if adjustment applies to more than one circuit element across multiple circuits, enter 4 if the adjustment is an overall adjustment that applies to every circuit purchased. </w:t>
            </w:r>
          </w:p>
          <w:p w:rsidR="00F97D54" w:rsidRPr="0063769F" w:rsidRDefault="00F97D54" w:rsidP="00EB5B97">
            <w:pPr>
              <w:rPr>
                <w:sz w:val="16"/>
                <w:szCs w:val="16"/>
              </w:rPr>
            </w:pPr>
          </w:p>
        </w:tc>
        <w:tc>
          <w:tcPr>
            <w:tcW w:w="1080" w:type="dxa"/>
          </w:tcPr>
          <w:p w:rsidR="00F97D54" w:rsidRPr="0063769F" w:rsidRDefault="00F97D54" w:rsidP="00EB5B97">
            <w:pPr>
              <w:rPr>
                <w:sz w:val="16"/>
                <w:szCs w:val="16"/>
              </w:rPr>
            </w:pPr>
            <w:r>
              <w:rPr>
                <w:sz w:val="16"/>
                <w:szCs w:val="16"/>
              </w:rPr>
              <w:t>Integer</w:t>
            </w:r>
          </w:p>
        </w:tc>
        <w:tc>
          <w:tcPr>
            <w:tcW w:w="1530" w:type="dxa"/>
          </w:tcPr>
          <w:p w:rsidR="00F97D54" w:rsidRPr="0063769F" w:rsidRDefault="00F97D54" w:rsidP="00EB5B97">
            <w:pPr>
              <w:rPr>
                <w:sz w:val="16"/>
                <w:szCs w:val="16"/>
              </w:rPr>
            </w:pPr>
            <w:r>
              <w:rPr>
                <w:sz w:val="16"/>
                <w:szCs w:val="16"/>
              </w:rPr>
              <w:t>2</w:t>
            </w:r>
          </w:p>
        </w:tc>
      </w:tr>
      <w:tr w:rsidR="00F97D54" w:rsidRPr="0063769F" w:rsidTr="00EB5B97">
        <w:trPr>
          <w:trHeight w:val="360"/>
        </w:trPr>
        <w:tc>
          <w:tcPr>
            <w:tcW w:w="1772" w:type="dxa"/>
          </w:tcPr>
          <w:p w:rsidR="00F97D54" w:rsidRPr="0063769F" w:rsidRDefault="00F97D54" w:rsidP="00EB5B97">
            <w:pPr>
              <w:rPr>
                <w:sz w:val="16"/>
                <w:szCs w:val="16"/>
              </w:rPr>
            </w:pPr>
            <w:r w:rsidRPr="0063769F">
              <w:rPr>
                <w:sz w:val="16"/>
                <w:szCs w:val="16"/>
              </w:rPr>
              <w:t>Adjustment</w:t>
            </w:r>
          </w:p>
        </w:tc>
        <w:tc>
          <w:tcPr>
            <w:tcW w:w="4456" w:type="dxa"/>
          </w:tcPr>
          <w:p w:rsidR="00F97D54" w:rsidRDefault="00F97D54" w:rsidP="00EB5B97">
            <w:pPr>
              <w:rPr>
                <w:sz w:val="16"/>
                <w:szCs w:val="16"/>
              </w:rPr>
            </w:pPr>
            <w:r>
              <w:rPr>
                <w:sz w:val="16"/>
                <w:szCs w:val="16"/>
              </w:rPr>
              <w:t>Total d</w:t>
            </w:r>
            <w:r w:rsidRPr="0063769F">
              <w:rPr>
                <w:sz w:val="16"/>
                <w:szCs w:val="16"/>
              </w:rPr>
              <w:t>ollar amount of</w:t>
            </w:r>
            <w:r>
              <w:rPr>
                <w:sz w:val="16"/>
                <w:szCs w:val="16"/>
              </w:rPr>
              <w:t xml:space="preserve"> billing adjustment (or true-up) for all circuit elements across all circuits covered by the adjustment</w:t>
            </w:r>
            <w:r w:rsidRPr="0063769F">
              <w:rPr>
                <w:sz w:val="16"/>
                <w:szCs w:val="16"/>
              </w:rPr>
              <w:t>.</w:t>
            </w:r>
            <w:r>
              <w:rPr>
                <w:sz w:val="16"/>
                <w:szCs w:val="16"/>
              </w:rPr>
              <w:t xml:space="preserve"> </w:t>
            </w:r>
            <w:r w:rsidRPr="0063769F">
              <w:rPr>
                <w:sz w:val="16"/>
                <w:szCs w:val="16"/>
              </w:rPr>
              <w:t xml:space="preserve"> Any increase in the amount owed to the vendor (e.g., penalty) </w:t>
            </w:r>
            <w:r>
              <w:rPr>
                <w:sz w:val="16"/>
                <w:szCs w:val="16"/>
              </w:rPr>
              <w:t>is</w:t>
            </w:r>
            <w:r w:rsidRPr="0063769F">
              <w:rPr>
                <w:sz w:val="16"/>
                <w:szCs w:val="16"/>
              </w:rPr>
              <w:t xml:space="preserve"> a positive number whil</w:t>
            </w:r>
            <w:r>
              <w:rPr>
                <w:sz w:val="16"/>
                <w:szCs w:val="16"/>
              </w:rPr>
              <w:t>e any decrease in the amount ow</w:t>
            </w:r>
            <w:r w:rsidRPr="0063769F">
              <w:rPr>
                <w:sz w:val="16"/>
                <w:szCs w:val="16"/>
              </w:rPr>
              <w:t xml:space="preserve">ed to the vendor (e.g., discount or rebate) </w:t>
            </w:r>
            <w:r>
              <w:rPr>
                <w:sz w:val="16"/>
                <w:szCs w:val="16"/>
              </w:rPr>
              <w:t>is</w:t>
            </w:r>
            <w:r w:rsidRPr="0063769F">
              <w:rPr>
                <w:sz w:val="16"/>
                <w:szCs w:val="16"/>
              </w:rPr>
              <w:t xml:space="preserve"> a negative number.</w:t>
            </w:r>
            <w:r>
              <w:rPr>
                <w:sz w:val="16"/>
                <w:szCs w:val="16"/>
              </w:rPr>
              <w:t xml:space="preserve">  </w:t>
            </w:r>
          </w:p>
          <w:p w:rsidR="00F97D54" w:rsidRPr="0063769F" w:rsidRDefault="00F97D54" w:rsidP="00EB5B97">
            <w:pPr>
              <w:rPr>
                <w:sz w:val="16"/>
                <w:szCs w:val="16"/>
              </w:rPr>
            </w:pPr>
            <w:r>
              <w:rPr>
                <w:sz w:val="16"/>
                <w:szCs w:val="16"/>
              </w:rPr>
              <w:t xml:space="preserve"> </w:t>
            </w:r>
          </w:p>
        </w:tc>
        <w:tc>
          <w:tcPr>
            <w:tcW w:w="1080" w:type="dxa"/>
          </w:tcPr>
          <w:p w:rsidR="00F97D54" w:rsidRPr="0063769F" w:rsidRDefault="00F97D54" w:rsidP="00EB5B97">
            <w:pPr>
              <w:rPr>
                <w:sz w:val="16"/>
                <w:szCs w:val="16"/>
              </w:rPr>
            </w:pPr>
            <w:r w:rsidRPr="0063769F">
              <w:rPr>
                <w:sz w:val="16"/>
                <w:szCs w:val="16"/>
              </w:rPr>
              <w:t>Float</w:t>
            </w:r>
          </w:p>
        </w:tc>
        <w:tc>
          <w:tcPr>
            <w:tcW w:w="1530" w:type="dxa"/>
          </w:tcPr>
          <w:p w:rsidR="00F97D54" w:rsidRPr="0063769F" w:rsidRDefault="00F97D54" w:rsidP="00EB5B97">
            <w:pPr>
              <w:rPr>
                <w:sz w:val="16"/>
                <w:szCs w:val="16"/>
              </w:rPr>
            </w:pPr>
            <w:r w:rsidRPr="0063769F">
              <w:rPr>
                <w:sz w:val="16"/>
                <w:szCs w:val="16"/>
              </w:rPr>
              <w:t>-100</w:t>
            </w:r>
          </w:p>
        </w:tc>
      </w:tr>
      <w:tr w:rsidR="00F97D54" w:rsidRPr="0063769F" w:rsidTr="00EB5B97">
        <w:trPr>
          <w:trHeight w:val="360"/>
        </w:trPr>
        <w:tc>
          <w:tcPr>
            <w:tcW w:w="1772" w:type="dxa"/>
          </w:tcPr>
          <w:p w:rsidR="00F97D54" w:rsidRDefault="00F97D54" w:rsidP="00EB5B97">
            <w:pPr>
              <w:rPr>
                <w:sz w:val="16"/>
                <w:szCs w:val="16"/>
              </w:rPr>
            </w:pPr>
            <w:r>
              <w:rPr>
                <w:sz w:val="16"/>
                <w:szCs w:val="16"/>
              </w:rPr>
              <w:t>Adj_Term</w:t>
            </w:r>
          </w:p>
        </w:tc>
        <w:tc>
          <w:tcPr>
            <w:tcW w:w="4456" w:type="dxa"/>
          </w:tcPr>
          <w:p w:rsidR="00F97D54" w:rsidRDefault="00F97D54" w:rsidP="00EB5B97">
            <w:pPr>
              <w:rPr>
                <w:sz w:val="16"/>
                <w:szCs w:val="16"/>
              </w:rPr>
            </w:pPr>
            <w:r>
              <w:rPr>
                <w:sz w:val="16"/>
                <w:szCs w:val="16"/>
              </w:rPr>
              <w:t xml:space="preserve">Indicator variable denoting whether the adjustment/true-up was due to a </w:t>
            </w:r>
            <w:r w:rsidRPr="00F5506F">
              <w:rPr>
                <w:i/>
                <w:sz w:val="16"/>
                <w:szCs w:val="16"/>
              </w:rPr>
              <w:t>Term Commitment</w:t>
            </w:r>
            <w:r>
              <w:rPr>
                <w:sz w:val="16"/>
                <w:szCs w:val="16"/>
              </w:rPr>
              <w:t xml:space="preserve"> (Y=Yes, N=No)</w:t>
            </w:r>
          </w:p>
          <w:p w:rsidR="00F97D54" w:rsidRDefault="00F97D54" w:rsidP="00EB5B97">
            <w:pPr>
              <w:rPr>
                <w:sz w:val="16"/>
                <w:szCs w:val="16"/>
              </w:rPr>
            </w:pPr>
          </w:p>
        </w:tc>
        <w:tc>
          <w:tcPr>
            <w:tcW w:w="1080" w:type="dxa"/>
          </w:tcPr>
          <w:p w:rsidR="00F97D54" w:rsidRPr="0063769F" w:rsidRDefault="00F97D54" w:rsidP="00EB5B97">
            <w:pPr>
              <w:rPr>
                <w:sz w:val="16"/>
                <w:szCs w:val="16"/>
              </w:rPr>
            </w:pPr>
            <w:r>
              <w:rPr>
                <w:sz w:val="16"/>
                <w:szCs w:val="16"/>
              </w:rPr>
              <w:t>Text</w:t>
            </w:r>
          </w:p>
        </w:tc>
        <w:tc>
          <w:tcPr>
            <w:tcW w:w="1530" w:type="dxa"/>
          </w:tcPr>
          <w:p w:rsidR="00F97D54" w:rsidRPr="0063769F" w:rsidRDefault="00F97D54" w:rsidP="00EB5B97">
            <w:pPr>
              <w:rPr>
                <w:sz w:val="16"/>
                <w:szCs w:val="16"/>
              </w:rPr>
            </w:pPr>
            <w:r>
              <w:rPr>
                <w:sz w:val="16"/>
                <w:szCs w:val="16"/>
              </w:rPr>
              <w:t>N</w:t>
            </w:r>
          </w:p>
        </w:tc>
      </w:tr>
      <w:tr w:rsidR="00F97D54" w:rsidRPr="0063769F" w:rsidTr="00EB5B97">
        <w:trPr>
          <w:trHeight w:val="360"/>
        </w:trPr>
        <w:tc>
          <w:tcPr>
            <w:tcW w:w="1772" w:type="dxa"/>
          </w:tcPr>
          <w:p w:rsidR="00F97D54" w:rsidRDefault="00F97D54" w:rsidP="00EB5B97">
            <w:pPr>
              <w:rPr>
                <w:sz w:val="16"/>
                <w:szCs w:val="16"/>
              </w:rPr>
            </w:pPr>
            <w:r>
              <w:rPr>
                <w:sz w:val="16"/>
                <w:szCs w:val="16"/>
              </w:rPr>
              <w:t>Adj_Term_Length</w:t>
            </w:r>
          </w:p>
        </w:tc>
        <w:tc>
          <w:tcPr>
            <w:tcW w:w="4456" w:type="dxa"/>
          </w:tcPr>
          <w:p w:rsidR="00F97D54" w:rsidRDefault="00F97D54" w:rsidP="00EB5B97">
            <w:pPr>
              <w:rPr>
                <w:sz w:val="16"/>
                <w:szCs w:val="16"/>
              </w:rPr>
            </w:pPr>
            <w:r>
              <w:rPr>
                <w:sz w:val="16"/>
                <w:szCs w:val="16"/>
              </w:rPr>
              <w:t>If Adj_Term=1, enter the term length in months. If Adj_Term=0, leave blank</w:t>
            </w:r>
          </w:p>
          <w:p w:rsidR="00F97D54" w:rsidRDefault="00F97D54" w:rsidP="00EB5B97">
            <w:pPr>
              <w:rPr>
                <w:sz w:val="16"/>
                <w:szCs w:val="16"/>
              </w:rPr>
            </w:pPr>
          </w:p>
        </w:tc>
        <w:tc>
          <w:tcPr>
            <w:tcW w:w="1080" w:type="dxa"/>
          </w:tcPr>
          <w:p w:rsidR="00F97D54" w:rsidRDefault="00F97D54" w:rsidP="00EB5B97">
            <w:pPr>
              <w:rPr>
                <w:sz w:val="16"/>
                <w:szCs w:val="16"/>
              </w:rPr>
            </w:pPr>
            <w:r>
              <w:rPr>
                <w:sz w:val="16"/>
                <w:szCs w:val="16"/>
              </w:rPr>
              <w:t>Integer</w:t>
            </w:r>
          </w:p>
        </w:tc>
        <w:tc>
          <w:tcPr>
            <w:tcW w:w="1530" w:type="dxa"/>
          </w:tcPr>
          <w:p w:rsidR="00F97D54" w:rsidRDefault="00F97D54" w:rsidP="00EB5B97">
            <w:pPr>
              <w:rPr>
                <w:sz w:val="16"/>
                <w:szCs w:val="16"/>
              </w:rPr>
            </w:pPr>
            <w:r>
              <w:rPr>
                <w:sz w:val="16"/>
                <w:szCs w:val="16"/>
              </w:rPr>
              <w:t>60</w:t>
            </w:r>
          </w:p>
        </w:tc>
      </w:tr>
      <w:tr w:rsidR="00F97D54" w:rsidRPr="0063769F" w:rsidTr="00EB5B97">
        <w:trPr>
          <w:trHeight w:val="360"/>
        </w:trPr>
        <w:tc>
          <w:tcPr>
            <w:tcW w:w="1772" w:type="dxa"/>
          </w:tcPr>
          <w:p w:rsidR="00F97D54" w:rsidRDefault="00F97D54" w:rsidP="00EB5B97">
            <w:pPr>
              <w:rPr>
                <w:sz w:val="16"/>
                <w:szCs w:val="16"/>
              </w:rPr>
            </w:pPr>
            <w:r>
              <w:rPr>
                <w:sz w:val="16"/>
                <w:szCs w:val="16"/>
              </w:rPr>
              <w:t>Adj_Vol</w:t>
            </w:r>
          </w:p>
        </w:tc>
        <w:tc>
          <w:tcPr>
            <w:tcW w:w="4456" w:type="dxa"/>
          </w:tcPr>
          <w:p w:rsidR="00F97D54" w:rsidRDefault="00F97D54" w:rsidP="00EB5B97">
            <w:pPr>
              <w:rPr>
                <w:sz w:val="16"/>
                <w:szCs w:val="16"/>
              </w:rPr>
            </w:pPr>
            <w:r>
              <w:rPr>
                <w:sz w:val="16"/>
                <w:szCs w:val="16"/>
              </w:rPr>
              <w:t xml:space="preserve">Indicator variable denoting whether the adjustment/true-up was due to a </w:t>
            </w:r>
            <w:r w:rsidRPr="00F5506F">
              <w:rPr>
                <w:i/>
                <w:sz w:val="16"/>
                <w:szCs w:val="16"/>
              </w:rPr>
              <w:t>Volume Commitment</w:t>
            </w:r>
            <w:r>
              <w:rPr>
                <w:sz w:val="16"/>
                <w:szCs w:val="16"/>
              </w:rPr>
              <w:t xml:space="preserve"> (Y=Yes, N=No)</w:t>
            </w:r>
          </w:p>
          <w:p w:rsidR="00F97D54" w:rsidRDefault="00F97D54" w:rsidP="00EB5B97">
            <w:pPr>
              <w:rPr>
                <w:sz w:val="16"/>
                <w:szCs w:val="16"/>
              </w:rPr>
            </w:pPr>
          </w:p>
        </w:tc>
        <w:tc>
          <w:tcPr>
            <w:tcW w:w="1080" w:type="dxa"/>
          </w:tcPr>
          <w:p w:rsidR="00F97D54" w:rsidRDefault="00F97D54" w:rsidP="00EB5B97">
            <w:pPr>
              <w:rPr>
                <w:sz w:val="16"/>
                <w:szCs w:val="16"/>
              </w:rPr>
            </w:pPr>
            <w:r>
              <w:rPr>
                <w:sz w:val="16"/>
                <w:szCs w:val="16"/>
              </w:rPr>
              <w:t>Text</w:t>
            </w:r>
          </w:p>
        </w:tc>
        <w:tc>
          <w:tcPr>
            <w:tcW w:w="1530" w:type="dxa"/>
          </w:tcPr>
          <w:p w:rsidR="00F97D54" w:rsidRDefault="00F97D54" w:rsidP="00EB5B97">
            <w:pPr>
              <w:rPr>
                <w:sz w:val="16"/>
                <w:szCs w:val="16"/>
              </w:rPr>
            </w:pPr>
            <w:r>
              <w:rPr>
                <w:sz w:val="16"/>
                <w:szCs w:val="16"/>
              </w:rPr>
              <w:t>N</w:t>
            </w:r>
          </w:p>
        </w:tc>
      </w:tr>
      <w:tr w:rsidR="00F97D54" w:rsidRPr="0063769F" w:rsidTr="00EB5B97">
        <w:trPr>
          <w:trHeight w:val="360"/>
        </w:trPr>
        <w:tc>
          <w:tcPr>
            <w:tcW w:w="1772" w:type="dxa"/>
          </w:tcPr>
          <w:p w:rsidR="00F97D54" w:rsidRDefault="00F97D54" w:rsidP="00EB5B97">
            <w:pPr>
              <w:rPr>
                <w:sz w:val="16"/>
                <w:szCs w:val="16"/>
              </w:rPr>
            </w:pPr>
            <w:r>
              <w:rPr>
                <w:sz w:val="16"/>
                <w:szCs w:val="16"/>
              </w:rPr>
              <w:t>Adj_Vol_Circ</w:t>
            </w:r>
          </w:p>
        </w:tc>
        <w:tc>
          <w:tcPr>
            <w:tcW w:w="4456" w:type="dxa"/>
          </w:tcPr>
          <w:p w:rsidR="00F97D54" w:rsidRDefault="00F97D54" w:rsidP="00EB5B97">
            <w:pPr>
              <w:rPr>
                <w:sz w:val="16"/>
                <w:szCs w:val="16"/>
              </w:rPr>
            </w:pPr>
            <w:r>
              <w:rPr>
                <w:sz w:val="16"/>
                <w:szCs w:val="16"/>
              </w:rPr>
              <w:t xml:space="preserve">If Adj_Vol=1, and the </w:t>
            </w:r>
            <w:r w:rsidRPr="002E6D72">
              <w:rPr>
                <w:i/>
                <w:sz w:val="16"/>
                <w:szCs w:val="16"/>
              </w:rPr>
              <w:t>Tariff</w:t>
            </w:r>
            <w:r>
              <w:rPr>
                <w:sz w:val="16"/>
                <w:szCs w:val="16"/>
              </w:rPr>
              <w:t xml:space="preserve"> or other agreement required the purchase of a certain number of circuits, enter the number of circuits specified in the </w:t>
            </w:r>
            <w:r w:rsidRPr="002E6D72">
              <w:rPr>
                <w:i/>
                <w:sz w:val="16"/>
                <w:szCs w:val="16"/>
              </w:rPr>
              <w:t>Tariff</w:t>
            </w:r>
            <w:r>
              <w:rPr>
                <w:sz w:val="16"/>
                <w:szCs w:val="16"/>
              </w:rPr>
              <w:t xml:space="preserve"> or other agreement which are necessary to qualify for the adjustment. If Adj_Vol=0, or the adjustment corresponds to a commitment to a given level of expenditures/spend, leave the field blank</w:t>
            </w:r>
          </w:p>
          <w:p w:rsidR="00F97D54" w:rsidRDefault="00F97D54" w:rsidP="00EB5B97">
            <w:pPr>
              <w:rPr>
                <w:sz w:val="16"/>
                <w:szCs w:val="16"/>
              </w:rPr>
            </w:pPr>
          </w:p>
        </w:tc>
        <w:tc>
          <w:tcPr>
            <w:tcW w:w="1080" w:type="dxa"/>
          </w:tcPr>
          <w:p w:rsidR="00F97D54" w:rsidRDefault="00F97D54" w:rsidP="00EB5B97">
            <w:pPr>
              <w:rPr>
                <w:sz w:val="16"/>
                <w:szCs w:val="16"/>
              </w:rPr>
            </w:pPr>
            <w:r>
              <w:rPr>
                <w:sz w:val="16"/>
                <w:szCs w:val="16"/>
              </w:rPr>
              <w:t>Integer</w:t>
            </w:r>
          </w:p>
        </w:tc>
        <w:tc>
          <w:tcPr>
            <w:tcW w:w="1530" w:type="dxa"/>
          </w:tcPr>
          <w:p w:rsidR="00F97D54" w:rsidRDefault="00F97D54" w:rsidP="00EB5B97">
            <w:pPr>
              <w:rPr>
                <w:sz w:val="16"/>
                <w:szCs w:val="16"/>
              </w:rPr>
            </w:pPr>
            <w:r>
              <w:rPr>
                <w:sz w:val="16"/>
                <w:szCs w:val="16"/>
              </w:rPr>
              <w:t>500</w:t>
            </w:r>
          </w:p>
        </w:tc>
      </w:tr>
      <w:tr w:rsidR="00F97D54" w:rsidRPr="0063769F" w:rsidTr="00EB5B97">
        <w:trPr>
          <w:trHeight w:val="360"/>
        </w:trPr>
        <w:tc>
          <w:tcPr>
            <w:tcW w:w="1772" w:type="dxa"/>
          </w:tcPr>
          <w:p w:rsidR="00F97D54" w:rsidRDefault="00F97D54" w:rsidP="00EB5B97">
            <w:pPr>
              <w:rPr>
                <w:sz w:val="16"/>
                <w:szCs w:val="16"/>
              </w:rPr>
            </w:pPr>
            <w:r>
              <w:rPr>
                <w:sz w:val="16"/>
                <w:szCs w:val="16"/>
              </w:rPr>
              <w:t>Adj_Vol_Rev</w:t>
            </w:r>
          </w:p>
        </w:tc>
        <w:tc>
          <w:tcPr>
            <w:tcW w:w="4456" w:type="dxa"/>
          </w:tcPr>
          <w:p w:rsidR="00F97D54" w:rsidRDefault="00F97D54" w:rsidP="00EB5B97">
            <w:pPr>
              <w:rPr>
                <w:sz w:val="16"/>
                <w:szCs w:val="16"/>
              </w:rPr>
            </w:pPr>
            <w:r>
              <w:rPr>
                <w:sz w:val="16"/>
                <w:szCs w:val="16"/>
              </w:rPr>
              <w:t xml:space="preserve">If Adj_Vol=1, and the </w:t>
            </w:r>
            <w:r w:rsidRPr="002E6D72">
              <w:rPr>
                <w:i/>
                <w:sz w:val="16"/>
                <w:szCs w:val="16"/>
              </w:rPr>
              <w:t>Tariff</w:t>
            </w:r>
            <w:r>
              <w:rPr>
                <w:sz w:val="16"/>
                <w:szCs w:val="16"/>
              </w:rPr>
              <w:t xml:space="preserve"> or other agreement required the purchase of a certain dollar amount of expenditures/spend, enter the dollar value of the expenditure requirement.  If Adj_Vol=0 or the adjustment corresponds to a commitment to purchase a certain number of circuits, leave the field blank </w:t>
            </w:r>
          </w:p>
        </w:tc>
        <w:tc>
          <w:tcPr>
            <w:tcW w:w="1080" w:type="dxa"/>
          </w:tcPr>
          <w:p w:rsidR="00F97D54" w:rsidRDefault="00F97D54" w:rsidP="00EB5B97">
            <w:pPr>
              <w:rPr>
                <w:sz w:val="16"/>
                <w:szCs w:val="16"/>
              </w:rPr>
            </w:pPr>
            <w:r>
              <w:rPr>
                <w:sz w:val="16"/>
                <w:szCs w:val="16"/>
              </w:rPr>
              <w:t>Float</w:t>
            </w:r>
          </w:p>
        </w:tc>
        <w:tc>
          <w:tcPr>
            <w:tcW w:w="1530" w:type="dxa"/>
          </w:tcPr>
          <w:p w:rsidR="00F97D54" w:rsidRDefault="00F97D54" w:rsidP="00EB5B97">
            <w:pPr>
              <w:rPr>
                <w:sz w:val="16"/>
                <w:szCs w:val="16"/>
              </w:rPr>
            </w:pPr>
            <w:r>
              <w:rPr>
                <w:sz w:val="16"/>
                <w:szCs w:val="16"/>
              </w:rPr>
              <w:t>20,000</w:t>
            </w:r>
          </w:p>
        </w:tc>
      </w:tr>
      <w:tr w:rsidR="00F97D54" w:rsidRPr="0063769F" w:rsidTr="00EB5B97">
        <w:trPr>
          <w:trHeight w:val="360"/>
        </w:trPr>
        <w:tc>
          <w:tcPr>
            <w:tcW w:w="1772" w:type="dxa"/>
            <w:tcBorders>
              <w:bottom w:val="double" w:sz="4" w:space="0" w:color="auto"/>
            </w:tcBorders>
          </w:tcPr>
          <w:p w:rsidR="00F97D54" w:rsidRPr="0063769F" w:rsidRDefault="00F97D54" w:rsidP="00EB5B97">
            <w:pPr>
              <w:rPr>
                <w:sz w:val="16"/>
                <w:szCs w:val="16"/>
              </w:rPr>
            </w:pPr>
            <w:r>
              <w:rPr>
                <w:sz w:val="16"/>
                <w:szCs w:val="16"/>
              </w:rPr>
              <w:t>Adjustment_Other</w:t>
            </w:r>
          </w:p>
        </w:tc>
        <w:tc>
          <w:tcPr>
            <w:tcW w:w="4456" w:type="dxa"/>
            <w:tcBorders>
              <w:bottom w:val="double" w:sz="4" w:space="0" w:color="auto"/>
            </w:tcBorders>
          </w:tcPr>
          <w:p w:rsidR="00F97D54" w:rsidDel="00573D3B" w:rsidRDefault="00F97D54" w:rsidP="00EB5B97">
            <w:pPr>
              <w:rPr>
                <w:sz w:val="16"/>
                <w:szCs w:val="16"/>
              </w:rPr>
            </w:pPr>
            <w:r>
              <w:rPr>
                <w:sz w:val="16"/>
                <w:szCs w:val="16"/>
              </w:rPr>
              <w:t>If the adjustment/true-up is for some other reason, give a brief description of the reason for the adjustment</w:t>
            </w:r>
          </w:p>
        </w:tc>
        <w:tc>
          <w:tcPr>
            <w:tcW w:w="1080" w:type="dxa"/>
            <w:tcBorders>
              <w:bottom w:val="double" w:sz="4" w:space="0" w:color="auto"/>
            </w:tcBorders>
          </w:tcPr>
          <w:p w:rsidR="00F97D54" w:rsidRPr="0063769F" w:rsidRDefault="00F97D54" w:rsidP="00EB5B97">
            <w:pPr>
              <w:rPr>
                <w:sz w:val="16"/>
                <w:szCs w:val="16"/>
              </w:rPr>
            </w:pPr>
            <w:r>
              <w:rPr>
                <w:sz w:val="16"/>
                <w:szCs w:val="16"/>
              </w:rPr>
              <w:t>Text</w:t>
            </w:r>
          </w:p>
        </w:tc>
        <w:tc>
          <w:tcPr>
            <w:tcW w:w="1530" w:type="dxa"/>
            <w:tcBorders>
              <w:bottom w:val="double" w:sz="4" w:space="0" w:color="auto"/>
            </w:tcBorders>
          </w:tcPr>
          <w:p w:rsidR="00F97D54" w:rsidRPr="0063769F" w:rsidRDefault="00F97D54" w:rsidP="00EB5B97">
            <w:pPr>
              <w:rPr>
                <w:sz w:val="16"/>
                <w:szCs w:val="16"/>
              </w:rPr>
            </w:pPr>
            <w:r>
              <w:rPr>
                <w:sz w:val="16"/>
                <w:szCs w:val="16"/>
              </w:rPr>
              <w:t>Network Outage</w:t>
            </w:r>
          </w:p>
        </w:tc>
      </w:tr>
    </w:tbl>
    <w:p w:rsidR="00F97D54" w:rsidRDefault="00F97D54" w:rsidP="00EB5B97">
      <w:pPr>
        <w:rPr>
          <w:szCs w:val="22"/>
        </w:rPr>
      </w:pPr>
    </w:p>
    <w:p w:rsidR="00F97D54" w:rsidRPr="00610CCB" w:rsidRDefault="00F97D54" w:rsidP="00EB5B97">
      <w:r>
        <w:t xml:space="preserve">Instructions for Table II.A.13, </w:t>
      </w:r>
      <w:r w:rsidRPr="00610CCB">
        <w:rPr>
          <w:bCs/>
        </w:rPr>
        <w:t>Record Format for Billing Adjustment Data Circuits by Circuit</w:t>
      </w:r>
      <w:r w:rsidRPr="00610CCB">
        <w:t>:</w:t>
      </w:r>
    </w:p>
    <w:p w:rsidR="00F97D54" w:rsidRPr="005A6188" w:rsidRDefault="00F97D54" w:rsidP="00EB5B97">
      <w:pPr>
        <w:rPr>
          <w:szCs w:val="22"/>
        </w:rPr>
      </w:pPr>
    </w:p>
    <w:p w:rsidR="00F97D54" w:rsidRPr="001237F7" w:rsidRDefault="00F97D54" w:rsidP="00EB5B97">
      <w:pPr>
        <w:pStyle w:val="ListParagraph"/>
        <w:numPr>
          <w:ilvl w:val="0"/>
          <w:numId w:val="14"/>
        </w:numPr>
        <w:spacing w:after="200" w:line="276" w:lineRule="auto"/>
        <w:rPr>
          <w:sz w:val="22"/>
          <w:szCs w:val="22"/>
        </w:rPr>
      </w:pPr>
      <w:r w:rsidRPr="005A6188">
        <w:rPr>
          <w:sz w:val="22"/>
          <w:szCs w:val="22"/>
        </w:rPr>
        <w:t>The following questions identify each out-of-cycle billing adjustme</w:t>
      </w:r>
      <w:r>
        <w:rPr>
          <w:sz w:val="22"/>
          <w:szCs w:val="22"/>
        </w:rPr>
        <w:t xml:space="preserve">nt with an adjustment ID and </w:t>
      </w:r>
      <w:r w:rsidRPr="005A6188">
        <w:rPr>
          <w:sz w:val="22"/>
          <w:szCs w:val="22"/>
        </w:rPr>
        <w:t xml:space="preserve">the </w:t>
      </w:r>
      <w:r w:rsidRPr="00302013">
        <w:rPr>
          <w:i/>
          <w:sz w:val="22"/>
          <w:szCs w:val="22"/>
        </w:rPr>
        <w:t>Tariff</w:t>
      </w:r>
      <w:r>
        <w:rPr>
          <w:sz w:val="22"/>
          <w:szCs w:val="22"/>
        </w:rPr>
        <w:t xml:space="preserve"> or other agreement </w:t>
      </w:r>
      <w:r w:rsidRPr="005A6188">
        <w:rPr>
          <w:sz w:val="22"/>
          <w:szCs w:val="22"/>
        </w:rPr>
        <w:t>from which they originate.</w:t>
      </w:r>
    </w:p>
    <w:p w:rsidR="00F97D54" w:rsidRDefault="00F97D54" w:rsidP="00EB5B97">
      <w:pPr>
        <w:pStyle w:val="ListParagraph"/>
        <w:numPr>
          <w:ilvl w:val="0"/>
          <w:numId w:val="13"/>
        </w:numPr>
        <w:spacing w:after="200" w:line="276" w:lineRule="auto"/>
        <w:rPr>
          <w:sz w:val="22"/>
          <w:szCs w:val="22"/>
        </w:rPr>
      </w:pPr>
      <w:r w:rsidRPr="00610CCB">
        <w:rPr>
          <w:sz w:val="22"/>
          <w:szCs w:val="22"/>
          <w:u w:val="single"/>
        </w:rPr>
        <w:t>Adjustment_ID</w:t>
      </w:r>
      <w:r w:rsidRPr="00610CCB">
        <w:rPr>
          <w:sz w:val="22"/>
          <w:szCs w:val="22"/>
        </w:rPr>
        <w:t xml:space="preserve">:  </w:t>
      </w:r>
      <w:r w:rsidRPr="005A6188">
        <w:rPr>
          <w:sz w:val="22"/>
          <w:szCs w:val="22"/>
        </w:rPr>
        <w:t xml:space="preserve">Create a unique adjustment ID for each out-of-cycle billing adjustment applied to customer purchases during the </w:t>
      </w:r>
      <w:r>
        <w:rPr>
          <w:sz w:val="22"/>
          <w:szCs w:val="22"/>
        </w:rPr>
        <w:t>relevant</w:t>
      </w:r>
      <w:r w:rsidRPr="005A6188">
        <w:rPr>
          <w:sz w:val="22"/>
          <w:szCs w:val="22"/>
        </w:rPr>
        <w:t xml:space="preserve"> timeframe.  Although each Adjustment_ID may correspond to multiple circuit elements in Table II.A.12, each </w:t>
      </w:r>
      <w:r>
        <w:rPr>
          <w:sz w:val="22"/>
          <w:szCs w:val="22"/>
        </w:rPr>
        <w:t>must</w:t>
      </w:r>
      <w:r w:rsidRPr="005A6188">
        <w:rPr>
          <w:sz w:val="22"/>
          <w:szCs w:val="22"/>
        </w:rPr>
        <w:t xml:space="preserve"> appear only once in Table II.A.13.  Only include adjustments which were ch</w:t>
      </w:r>
      <w:r>
        <w:rPr>
          <w:sz w:val="22"/>
          <w:szCs w:val="22"/>
        </w:rPr>
        <w:t>arged/remitted to the customer</w:t>
      </w:r>
      <w:r w:rsidRPr="005A6188">
        <w:rPr>
          <w:sz w:val="22"/>
          <w:szCs w:val="22"/>
        </w:rPr>
        <w:t xml:space="preserve"> during the </w:t>
      </w:r>
      <w:r>
        <w:rPr>
          <w:sz w:val="22"/>
          <w:szCs w:val="22"/>
        </w:rPr>
        <w:t>2010</w:t>
      </w:r>
      <w:r w:rsidRPr="005A6188">
        <w:rPr>
          <w:sz w:val="22"/>
          <w:szCs w:val="22"/>
        </w:rPr>
        <w:t xml:space="preserve"> and </w:t>
      </w:r>
      <w:r>
        <w:rPr>
          <w:sz w:val="22"/>
          <w:szCs w:val="22"/>
        </w:rPr>
        <w:t>2012</w:t>
      </w:r>
      <w:r w:rsidRPr="005A6188">
        <w:rPr>
          <w:sz w:val="22"/>
          <w:szCs w:val="22"/>
        </w:rPr>
        <w:t xml:space="preserve"> </w:t>
      </w:r>
      <w:r>
        <w:rPr>
          <w:sz w:val="22"/>
          <w:szCs w:val="22"/>
        </w:rPr>
        <w:t>reporting</w:t>
      </w:r>
      <w:r w:rsidRPr="005A6188">
        <w:rPr>
          <w:sz w:val="22"/>
          <w:szCs w:val="22"/>
        </w:rPr>
        <w:t xml:space="preserve"> periods.  For example, do</w:t>
      </w:r>
      <w:r>
        <w:rPr>
          <w:sz w:val="22"/>
          <w:szCs w:val="22"/>
        </w:rPr>
        <w:t xml:space="preserve"> </w:t>
      </w:r>
      <w:r w:rsidRPr="005A6188">
        <w:rPr>
          <w:sz w:val="22"/>
          <w:szCs w:val="22"/>
        </w:rPr>
        <w:t>n</w:t>
      </w:r>
      <w:r>
        <w:rPr>
          <w:sz w:val="22"/>
          <w:szCs w:val="22"/>
        </w:rPr>
        <w:t>o</w:t>
      </w:r>
      <w:r w:rsidRPr="005A6188">
        <w:rPr>
          <w:sz w:val="22"/>
          <w:szCs w:val="22"/>
        </w:rPr>
        <w:t xml:space="preserve">t include adjustments that were charged/remitted in January </w:t>
      </w:r>
      <w:r>
        <w:rPr>
          <w:sz w:val="22"/>
          <w:szCs w:val="22"/>
        </w:rPr>
        <w:t>2011</w:t>
      </w:r>
      <w:r w:rsidRPr="005A6188">
        <w:rPr>
          <w:sz w:val="22"/>
          <w:szCs w:val="22"/>
        </w:rPr>
        <w:t>, even if the adjustment applied to service provided in Dec</w:t>
      </w:r>
      <w:r>
        <w:rPr>
          <w:sz w:val="22"/>
          <w:szCs w:val="22"/>
        </w:rPr>
        <w:t xml:space="preserve">ember 2010.  Likewise, </w:t>
      </w:r>
      <w:r w:rsidRPr="005A6188">
        <w:rPr>
          <w:sz w:val="22"/>
          <w:szCs w:val="22"/>
        </w:rPr>
        <w:t xml:space="preserve">report any adjustments charged/remitted in January </w:t>
      </w:r>
      <w:r>
        <w:rPr>
          <w:sz w:val="22"/>
          <w:szCs w:val="22"/>
        </w:rPr>
        <w:t>2012</w:t>
      </w:r>
      <w:r w:rsidRPr="005A6188">
        <w:rPr>
          <w:sz w:val="22"/>
          <w:szCs w:val="22"/>
        </w:rPr>
        <w:t xml:space="preserve">, even if those adjustments applied to service provided in December </w:t>
      </w:r>
      <w:r>
        <w:rPr>
          <w:sz w:val="22"/>
          <w:szCs w:val="22"/>
        </w:rPr>
        <w:t>2011</w:t>
      </w:r>
      <w:r w:rsidRPr="005A6188">
        <w:rPr>
          <w:sz w:val="22"/>
          <w:szCs w:val="22"/>
        </w:rPr>
        <w:t>.</w:t>
      </w:r>
    </w:p>
    <w:p w:rsidR="00F97D54" w:rsidRPr="00610CCB" w:rsidRDefault="00F97D54" w:rsidP="00EB5B97">
      <w:pPr>
        <w:pStyle w:val="ListParagraph"/>
        <w:numPr>
          <w:ilvl w:val="0"/>
          <w:numId w:val="13"/>
        </w:numPr>
        <w:spacing w:after="200" w:line="276" w:lineRule="auto"/>
        <w:rPr>
          <w:sz w:val="22"/>
          <w:szCs w:val="22"/>
        </w:rPr>
      </w:pPr>
      <w:r w:rsidRPr="00610CCB">
        <w:rPr>
          <w:sz w:val="22"/>
          <w:szCs w:val="22"/>
          <w:u w:val="single"/>
        </w:rPr>
        <w:t>Contract_ID</w:t>
      </w:r>
      <w:r w:rsidRPr="00610CCB">
        <w:rPr>
          <w:sz w:val="22"/>
          <w:szCs w:val="22"/>
        </w:rPr>
        <w:t xml:space="preserve">:  Assign a unique ID number for the </w:t>
      </w:r>
      <w:r w:rsidRPr="00E3319A">
        <w:rPr>
          <w:i/>
          <w:sz w:val="22"/>
          <w:szCs w:val="22"/>
        </w:rPr>
        <w:t>Tariff</w:t>
      </w:r>
      <w:r>
        <w:rPr>
          <w:sz w:val="22"/>
          <w:szCs w:val="22"/>
        </w:rPr>
        <w:t xml:space="preserve"> or other agreement</w:t>
      </w:r>
      <w:r w:rsidRPr="00610CCB">
        <w:rPr>
          <w:sz w:val="22"/>
          <w:szCs w:val="22"/>
        </w:rPr>
        <w:t xml:space="preserve"> from which the adjustment originates.  This field </w:t>
      </w:r>
      <w:r>
        <w:rPr>
          <w:sz w:val="22"/>
          <w:szCs w:val="22"/>
        </w:rPr>
        <w:t>is</w:t>
      </w:r>
      <w:r w:rsidRPr="00610CCB">
        <w:rPr>
          <w:sz w:val="22"/>
          <w:szCs w:val="22"/>
        </w:rPr>
        <w:t xml:space="preserve"> used to group adjustments together by </w:t>
      </w:r>
      <w:r w:rsidRPr="00E3319A">
        <w:rPr>
          <w:i/>
          <w:sz w:val="22"/>
          <w:szCs w:val="22"/>
        </w:rPr>
        <w:t>Tariff</w:t>
      </w:r>
      <w:r>
        <w:rPr>
          <w:sz w:val="22"/>
          <w:szCs w:val="22"/>
        </w:rPr>
        <w:t xml:space="preserve"> or other agreement</w:t>
      </w:r>
      <w:r w:rsidRPr="00610CCB">
        <w:rPr>
          <w:sz w:val="22"/>
          <w:szCs w:val="22"/>
        </w:rPr>
        <w:t>.  Leave the field blank if the adjustment cannot be linked back to a single contract.</w:t>
      </w:r>
    </w:p>
    <w:p w:rsidR="00F97D54" w:rsidRPr="005A6188" w:rsidRDefault="00F97D54" w:rsidP="00EB5B97">
      <w:pPr>
        <w:pStyle w:val="ListParagraph"/>
        <w:rPr>
          <w:sz w:val="22"/>
          <w:szCs w:val="22"/>
        </w:rPr>
      </w:pPr>
    </w:p>
    <w:p w:rsidR="00F97D54" w:rsidRPr="005A6188" w:rsidRDefault="00F97D54" w:rsidP="00EB5B97">
      <w:pPr>
        <w:pStyle w:val="ListParagraph"/>
        <w:numPr>
          <w:ilvl w:val="0"/>
          <w:numId w:val="14"/>
        </w:numPr>
        <w:spacing w:after="200" w:line="276" w:lineRule="auto"/>
        <w:rPr>
          <w:sz w:val="22"/>
          <w:szCs w:val="22"/>
        </w:rPr>
      </w:pPr>
      <w:r w:rsidRPr="001237F7">
        <w:rPr>
          <w:sz w:val="22"/>
          <w:szCs w:val="22"/>
          <w:u w:val="single"/>
        </w:rPr>
        <w:t>Date_From</w:t>
      </w:r>
      <w:r w:rsidRPr="005A6188">
        <w:rPr>
          <w:sz w:val="22"/>
          <w:szCs w:val="22"/>
        </w:rPr>
        <w:t>:  Enter the beginning date of the adjustment period in mm/dd/yyyy for</w:t>
      </w:r>
      <w:r>
        <w:rPr>
          <w:sz w:val="22"/>
          <w:szCs w:val="22"/>
        </w:rPr>
        <w:t xml:space="preserve">mat.  For example, if the </w:t>
      </w:r>
      <w:r w:rsidRPr="00E3319A">
        <w:rPr>
          <w:i/>
          <w:sz w:val="22"/>
          <w:szCs w:val="22"/>
        </w:rPr>
        <w:t>Tariff</w:t>
      </w:r>
      <w:r>
        <w:rPr>
          <w:sz w:val="22"/>
          <w:szCs w:val="22"/>
        </w:rPr>
        <w:t xml:space="preserve"> or other agreement</w:t>
      </w:r>
      <w:r w:rsidRPr="005A6188">
        <w:rPr>
          <w:sz w:val="22"/>
          <w:szCs w:val="22"/>
        </w:rPr>
        <w:t xml:space="preserve"> specifies a rebate </w:t>
      </w:r>
      <w:r>
        <w:rPr>
          <w:sz w:val="22"/>
          <w:szCs w:val="22"/>
        </w:rPr>
        <w:t>to the customer every three</w:t>
      </w:r>
      <w:r w:rsidRPr="005A6188">
        <w:rPr>
          <w:sz w:val="22"/>
          <w:szCs w:val="22"/>
        </w:rPr>
        <w:t xml:space="preserve"> months, e</w:t>
      </w:r>
      <w:r>
        <w:rPr>
          <w:sz w:val="22"/>
          <w:szCs w:val="22"/>
        </w:rPr>
        <w:t>nter the beginning date of the three</w:t>
      </w:r>
      <w:r w:rsidRPr="005A6188">
        <w:rPr>
          <w:sz w:val="22"/>
          <w:szCs w:val="22"/>
        </w:rPr>
        <w:t>-month period for which the rebate applies, and not th</w:t>
      </w:r>
      <w:r>
        <w:rPr>
          <w:sz w:val="22"/>
          <w:szCs w:val="22"/>
        </w:rPr>
        <w:t xml:space="preserve">e beginning date of the </w:t>
      </w:r>
      <w:r w:rsidRPr="00E3319A">
        <w:rPr>
          <w:i/>
          <w:sz w:val="22"/>
          <w:szCs w:val="22"/>
        </w:rPr>
        <w:t>Tariff</w:t>
      </w:r>
      <w:r>
        <w:rPr>
          <w:sz w:val="22"/>
          <w:szCs w:val="22"/>
        </w:rPr>
        <w:t xml:space="preserve"> or other agreement</w:t>
      </w:r>
      <w:r w:rsidRPr="005A6188">
        <w:rPr>
          <w:sz w:val="22"/>
          <w:szCs w:val="22"/>
        </w:rPr>
        <w:t xml:space="preserve"> from which the adjustment originated.  Likewise, do not enter the date on which the adjustment was charged/remitted.  </w:t>
      </w:r>
    </w:p>
    <w:p w:rsidR="00F97D54" w:rsidRPr="005A6188" w:rsidRDefault="00F97D54" w:rsidP="00EB5B97">
      <w:pPr>
        <w:pStyle w:val="ListParagraph"/>
        <w:rPr>
          <w:sz w:val="22"/>
          <w:szCs w:val="22"/>
        </w:rPr>
      </w:pPr>
    </w:p>
    <w:p w:rsidR="00F97D54" w:rsidRPr="005A6188" w:rsidRDefault="00F97D54" w:rsidP="00EB5B97">
      <w:pPr>
        <w:pStyle w:val="ListParagraph"/>
        <w:numPr>
          <w:ilvl w:val="0"/>
          <w:numId w:val="14"/>
        </w:numPr>
        <w:spacing w:after="200" w:line="276" w:lineRule="auto"/>
        <w:rPr>
          <w:sz w:val="22"/>
          <w:szCs w:val="22"/>
        </w:rPr>
      </w:pPr>
      <w:r w:rsidRPr="001237F7">
        <w:rPr>
          <w:sz w:val="22"/>
          <w:szCs w:val="22"/>
          <w:u w:val="single"/>
        </w:rPr>
        <w:t>Date_To</w:t>
      </w:r>
      <w:r w:rsidRPr="001237F7">
        <w:rPr>
          <w:sz w:val="22"/>
          <w:szCs w:val="22"/>
        </w:rPr>
        <w:t>:</w:t>
      </w:r>
      <w:r w:rsidRPr="005A6188">
        <w:rPr>
          <w:sz w:val="22"/>
          <w:szCs w:val="22"/>
        </w:rPr>
        <w:t xml:space="preserve">  Enter the ending date of the adjustment period in mm/dd/yyyy for</w:t>
      </w:r>
      <w:r>
        <w:rPr>
          <w:sz w:val="22"/>
          <w:szCs w:val="22"/>
        </w:rPr>
        <w:t xml:space="preserve">mat.  For example, if a </w:t>
      </w:r>
      <w:r w:rsidRPr="00E3319A">
        <w:rPr>
          <w:i/>
          <w:sz w:val="22"/>
          <w:szCs w:val="22"/>
        </w:rPr>
        <w:t>Tariff</w:t>
      </w:r>
      <w:r>
        <w:rPr>
          <w:sz w:val="22"/>
          <w:szCs w:val="22"/>
        </w:rPr>
        <w:t xml:space="preserve"> or other agreement</w:t>
      </w:r>
      <w:r w:rsidRPr="005A6188">
        <w:rPr>
          <w:sz w:val="22"/>
          <w:szCs w:val="22"/>
        </w:rPr>
        <w:t xml:space="preserve"> specifies a rebate be r</w:t>
      </w:r>
      <w:r>
        <w:rPr>
          <w:sz w:val="22"/>
          <w:szCs w:val="22"/>
        </w:rPr>
        <w:t>eturned to the customer every three</w:t>
      </w:r>
      <w:r w:rsidRPr="005A6188">
        <w:rPr>
          <w:sz w:val="22"/>
          <w:szCs w:val="22"/>
        </w:rPr>
        <w:t xml:space="preserve"> months, enter the ending date of the 3-month period for which the rebate applies, and not the ending date of the </w:t>
      </w:r>
      <w:r w:rsidRPr="00E3319A">
        <w:rPr>
          <w:i/>
          <w:sz w:val="22"/>
          <w:szCs w:val="22"/>
        </w:rPr>
        <w:t>Tariff</w:t>
      </w:r>
      <w:r>
        <w:rPr>
          <w:sz w:val="22"/>
          <w:szCs w:val="22"/>
        </w:rPr>
        <w:t xml:space="preserve"> or other agreement</w:t>
      </w:r>
      <w:r w:rsidRPr="005A6188">
        <w:rPr>
          <w:sz w:val="22"/>
          <w:szCs w:val="22"/>
        </w:rPr>
        <w:t xml:space="preserve"> from which the adjustment originated.  Likewise, do not enter the date on which the adjustment was charged/remitted.</w:t>
      </w:r>
    </w:p>
    <w:p w:rsidR="00F97D54" w:rsidRPr="005A6188" w:rsidRDefault="00F97D54" w:rsidP="00EB5B97">
      <w:pPr>
        <w:pStyle w:val="ListParagraph"/>
        <w:rPr>
          <w:sz w:val="22"/>
          <w:szCs w:val="22"/>
        </w:rPr>
      </w:pPr>
    </w:p>
    <w:p w:rsidR="00F97D54" w:rsidRPr="005A6188" w:rsidRDefault="00F97D54" w:rsidP="00EB5B97">
      <w:pPr>
        <w:pStyle w:val="ListParagraph"/>
        <w:numPr>
          <w:ilvl w:val="0"/>
          <w:numId w:val="14"/>
        </w:numPr>
        <w:spacing w:after="200" w:line="276" w:lineRule="auto"/>
        <w:rPr>
          <w:sz w:val="22"/>
          <w:szCs w:val="22"/>
        </w:rPr>
      </w:pPr>
      <w:r w:rsidRPr="001237F7">
        <w:rPr>
          <w:sz w:val="22"/>
          <w:szCs w:val="22"/>
          <w:u w:val="single"/>
        </w:rPr>
        <w:t>Adjustment_Scope</w:t>
      </w:r>
      <w:r w:rsidRPr="005A6188">
        <w:rPr>
          <w:sz w:val="22"/>
          <w:szCs w:val="22"/>
        </w:rPr>
        <w:t xml:space="preserve">:  Enter the scope of the adjustment according to the following codes:  Enter 1 if the adjustment applies to a single circuit element on a single circuit.  Enter 2 if the adjustment applies to more than one element on a single circuit.  Enter 3 if the adjustment applies to more </w:t>
      </w:r>
      <w:r>
        <w:rPr>
          <w:sz w:val="22"/>
          <w:szCs w:val="22"/>
        </w:rPr>
        <w:t xml:space="preserve">than one </w:t>
      </w:r>
      <w:r w:rsidRPr="005A6188">
        <w:rPr>
          <w:sz w:val="22"/>
          <w:szCs w:val="22"/>
        </w:rPr>
        <w:t xml:space="preserve">circuit elements across multiple circuits.  Enter 4 if the adjustment is an overall adjustment that applies to every circuit purchased by the </w:t>
      </w:r>
      <w:r>
        <w:rPr>
          <w:sz w:val="22"/>
          <w:szCs w:val="22"/>
        </w:rPr>
        <w:t>customer</w:t>
      </w:r>
      <w:r w:rsidRPr="005A6188">
        <w:rPr>
          <w:sz w:val="22"/>
          <w:szCs w:val="22"/>
        </w:rPr>
        <w:t xml:space="preserve"> (as indicated by the </w:t>
      </w:r>
      <w:r>
        <w:rPr>
          <w:sz w:val="22"/>
          <w:szCs w:val="22"/>
        </w:rPr>
        <w:t>Customer</w:t>
      </w:r>
      <w:r w:rsidRPr="005A6188">
        <w:rPr>
          <w:sz w:val="22"/>
          <w:szCs w:val="22"/>
        </w:rPr>
        <w:t xml:space="preserve">_ID in </w:t>
      </w:r>
      <w:r>
        <w:rPr>
          <w:sz w:val="22"/>
          <w:szCs w:val="22"/>
        </w:rPr>
        <w:t xml:space="preserve">Question </w:t>
      </w:r>
      <w:r w:rsidRPr="005A6188">
        <w:rPr>
          <w:sz w:val="22"/>
          <w:szCs w:val="22"/>
        </w:rPr>
        <w:t xml:space="preserve">II.A.12).  Apply the codes as described above, even if the adjustment applies to multiple time periods.  For example, if a rebate is given for a single circuit element on a single circuit (as determined by the Circuit_ID in </w:t>
      </w:r>
      <w:r>
        <w:rPr>
          <w:sz w:val="22"/>
          <w:szCs w:val="22"/>
        </w:rPr>
        <w:t xml:space="preserve">Question </w:t>
      </w:r>
      <w:r w:rsidRPr="005A6188">
        <w:rPr>
          <w:sz w:val="22"/>
          <w:szCs w:val="22"/>
        </w:rPr>
        <w:t>II.A.12), assign an Adjustment_Scope of 1, even if the adjustment period (as determined by Date_From and Date_To) extends over multiple months.</w:t>
      </w:r>
    </w:p>
    <w:p w:rsidR="00F97D54" w:rsidRPr="005A6188" w:rsidRDefault="00F97D54" w:rsidP="00EB5B97">
      <w:pPr>
        <w:pStyle w:val="ListParagraph"/>
        <w:rPr>
          <w:sz w:val="22"/>
          <w:szCs w:val="22"/>
        </w:rPr>
      </w:pPr>
    </w:p>
    <w:p w:rsidR="00F97D54" w:rsidRPr="005A6188" w:rsidRDefault="00F97D54" w:rsidP="00EB5B97">
      <w:pPr>
        <w:pStyle w:val="ListParagraph"/>
        <w:numPr>
          <w:ilvl w:val="0"/>
          <w:numId w:val="14"/>
        </w:numPr>
        <w:spacing w:after="200" w:line="276" w:lineRule="auto"/>
        <w:rPr>
          <w:sz w:val="22"/>
          <w:szCs w:val="22"/>
        </w:rPr>
      </w:pPr>
      <w:r w:rsidRPr="001237F7">
        <w:rPr>
          <w:sz w:val="22"/>
          <w:szCs w:val="22"/>
          <w:u w:val="single"/>
        </w:rPr>
        <w:t>Adjustment</w:t>
      </w:r>
      <w:r w:rsidRPr="005A6188">
        <w:rPr>
          <w:sz w:val="22"/>
          <w:szCs w:val="22"/>
        </w:rPr>
        <w:t>:  Enter the total dollar amount of the billing adjustment for all circuit elements across all circuits and across the entire adjustment period.  Any increase in the amount owed to the vendor (</w:t>
      </w:r>
      <w:r w:rsidRPr="001237F7">
        <w:rPr>
          <w:i/>
          <w:sz w:val="22"/>
          <w:szCs w:val="22"/>
        </w:rPr>
        <w:t>e.g.</w:t>
      </w:r>
      <w:r w:rsidRPr="005A6188">
        <w:rPr>
          <w:sz w:val="22"/>
          <w:szCs w:val="22"/>
        </w:rPr>
        <w:t xml:space="preserve">, penalty) </w:t>
      </w:r>
      <w:r>
        <w:rPr>
          <w:sz w:val="22"/>
          <w:szCs w:val="22"/>
        </w:rPr>
        <w:t>must</w:t>
      </w:r>
      <w:r w:rsidRPr="005A6188">
        <w:rPr>
          <w:sz w:val="22"/>
          <w:szCs w:val="22"/>
        </w:rPr>
        <w:t xml:space="preserve"> be a positive number, while any decrease in the amount owed to the vendor (</w:t>
      </w:r>
      <w:r w:rsidRPr="001237F7">
        <w:rPr>
          <w:i/>
          <w:sz w:val="22"/>
          <w:szCs w:val="22"/>
        </w:rPr>
        <w:t>e.g.</w:t>
      </w:r>
      <w:r w:rsidRPr="005A6188">
        <w:rPr>
          <w:sz w:val="22"/>
          <w:szCs w:val="22"/>
        </w:rPr>
        <w:t xml:space="preserve">, discount or rebate) </w:t>
      </w:r>
      <w:r>
        <w:rPr>
          <w:sz w:val="22"/>
          <w:szCs w:val="22"/>
        </w:rPr>
        <w:t>must</w:t>
      </w:r>
      <w:r w:rsidRPr="005A6188">
        <w:rPr>
          <w:sz w:val="22"/>
          <w:szCs w:val="22"/>
        </w:rPr>
        <w:t xml:space="preserve"> be a negative number.  </w:t>
      </w:r>
      <w:r>
        <w:rPr>
          <w:sz w:val="22"/>
          <w:szCs w:val="22"/>
        </w:rPr>
        <w:t xml:space="preserve">For example, suppose the </w:t>
      </w:r>
      <w:r w:rsidRPr="00E3319A">
        <w:rPr>
          <w:i/>
          <w:sz w:val="22"/>
          <w:szCs w:val="22"/>
        </w:rPr>
        <w:t>Provider</w:t>
      </w:r>
      <w:r>
        <w:rPr>
          <w:sz w:val="22"/>
          <w:szCs w:val="22"/>
        </w:rPr>
        <w:t xml:space="preserve"> gave the customer</w:t>
      </w:r>
      <w:r w:rsidRPr="005A6188">
        <w:rPr>
          <w:sz w:val="22"/>
          <w:szCs w:val="22"/>
        </w:rPr>
        <w:t xml:space="preserve"> a $2000 rebate on 10/31/</w:t>
      </w:r>
      <w:r>
        <w:rPr>
          <w:sz w:val="22"/>
          <w:szCs w:val="22"/>
        </w:rPr>
        <w:t>2010</w:t>
      </w:r>
      <w:r w:rsidRPr="005A6188">
        <w:rPr>
          <w:sz w:val="22"/>
          <w:szCs w:val="22"/>
        </w:rPr>
        <w:t>, and that this rebate covered 100 circuits purchased during the six-month period from 04/01/</w:t>
      </w:r>
      <w:r>
        <w:rPr>
          <w:sz w:val="22"/>
          <w:szCs w:val="22"/>
        </w:rPr>
        <w:t>2010 to 10/0</w:t>
      </w:r>
      <w:r w:rsidRPr="005A6188">
        <w:rPr>
          <w:sz w:val="22"/>
          <w:szCs w:val="22"/>
        </w:rPr>
        <w:t>1/</w:t>
      </w:r>
      <w:r>
        <w:rPr>
          <w:sz w:val="22"/>
          <w:szCs w:val="22"/>
        </w:rPr>
        <w:t>2010</w:t>
      </w:r>
      <w:r w:rsidRPr="005A6188">
        <w:rPr>
          <w:sz w:val="22"/>
          <w:szCs w:val="22"/>
        </w:rPr>
        <w:t xml:space="preserve">.  In this case, the filer </w:t>
      </w:r>
      <w:r>
        <w:rPr>
          <w:sz w:val="22"/>
          <w:szCs w:val="22"/>
        </w:rPr>
        <w:t>must</w:t>
      </w:r>
      <w:r w:rsidRPr="005A6188">
        <w:rPr>
          <w:sz w:val="22"/>
          <w:szCs w:val="22"/>
        </w:rPr>
        <w:t xml:space="preserve"> enter “-2000” in the Adjustment field with the appropriate Date_From and Date_To values.  In addition, the Adjustment_Scope </w:t>
      </w:r>
      <w:r>
        <w:rPr>
          <w:sz w:val="22"/>
          <w:szCs w:val="22"/>
        </w:rPr>
        <w:t>(see above) must</w:t>
      </w:r>
      <w:r w:rsidRPr="005A6188">
        <w:rPr>
          <w:sz w:val="22"/>
          <w:szCs w:val="22"/>
        </w:rPr>
        <w:t xml:space="preserve"> be recorded as 3, and the Adjustment_ID for this specific rebate </w:t>
      </w:r>
      <w:r>
        <w:rPr>
          <w:sz w:val="22"/>
          <w:szCs w:val="22"/>
        </w:rPr>
        <w:t>must</w:t>
      </w:r>
      <w:r w:rsidRPr="005A6188">
        <w:rPr>
          <w:sz w:val="22"/>
          <w:szCs w:val="22"/>
        </w:rPr>
        <w:t xml:space="preserve"> be included next to the 100 circuits in the Adjustment_ID_# fields in Table II.A.12.</w:t>
      </w:r>
    </w:p>
    <w:p w:rsidR="00F97D54" w:rsidRPr="005A6188" w:rsidRDefault="00F97D54" w:rsidP="00EB5B97">
      <w:pPr>
        <w:pStyle w:val="ListParagraph"/>
        <w:rPr>
          <w:sz w:val="22"/>
          <w:szCs w:val="22"/>
        </w:rPr>
      </w:pPr>
    </w:p>
    <w:p w:rsidR="00F97D54" w:rsidRPr="005A6188" w:rsidRDefault="00F97D54" w:rsidP="00EB5B97">
      <w:pPr>
        <w:pStyle w:val="ListParagraph"/>
        <w:numPr>
          <w:ilvl w:val="0"/>
          <w:numId w:val="14"/>
        </w:numPr>
        <w:spacing w:after="200" w:line="276" w:lineRule="auto"/>
        <w:rPr>
          <w:sz w:val="22"/>
          <w:szCs w:val="22"/>
        </w:rPr>
      </w:pPr>
      <w:r w:rsidRPr="005A6188">
        <w:rPr>
          <w:sz w:val="22"/>
          <w:szCs w:val="22"/>
        </w:rPr>
        <w:t xml:space="preserve">These fields describe the type of adjustment </w:t>
      </w:r>
      <w:r>
        <w:rPr>
          <w:sz w:val="22"/>
          <w:szCs w:val="22"/>
        </w:rPr>
        <w:t>applied to the circuit elements.</w:t>
      </w:r>
    </w:p>
    <w:p w:rsidR="00F97D54" w:rsidRDefault="00F97D54" w:rsidP="00EB5B97">
      <w:pPr>
        <w:pStyle w:val="ListParagraph"/>
        <w:numPr>
          <w:ilvl w:val="0"/>
          <w:numId w:val="15"/>
        </w:numPr>
        <w:spacing w:after="200" w:line="276" w:lineRule="auto"/>
        <w:rPr>
          <w:sz w:val="22"/>
          <w:szCs w:val="22"/>
        </w:rPr>
      </w:pPr>
      <w:r w:rsidRPr="001237F7">
        <w:rPr>
          <w:sz w:val="22"/>
          <w:szCs w:val="22"/>
          <w:u w:val="single"/>
        </w:rPr>
        <w:t>Adj_Term</w:t>
      </w:r>
      <w:r w:rsidRPr="005A6188">
        <w:rPr>
          <w:sz w:val="22"/>
          <w:szCs w:val="22"/>
        </w:rPr>
        <w:t xml:space="preserve">:  If the adjustment/true-up can be linked to a rebate given (or penalty charged) on a </w:t>
      </w:r>
      <w:r w:rsidRPr="001237F7">
        <w:rPr>
          <w:i/>
          <w:sz w:val="22"/>
          <w:szCs w:val="22"/>
        </w:rPr>
        <w:t>Term Commitment</w:t>
      </w:r>
      <w:r w:rsidRPr="005A6188">
        <w:rPr>
          <w:sz w:val="22"/>
          <w:szCs w:val="22"/>
        </w:rPr>
        <w:t xml:space="preserve">, enter 1.  Enter 0 if the adjustment was not due to a </w:t>
      </w:r>
      <w:r w:rsidRPr="001237F7">
        <w:rPr>
          <w:i/>
          <w:sz w:val="22"/>
          <w:szCs w:val="22"/>
        </w:rPr>
        <w:t>Term Commitment</w:t>
      </w:r>
      <w:r w:rsidRPr="005A6188">
        <w:rPr>
          <w:sz w:val="22"/>
          <w:szCs w:val="22"/>
        </w:rPr>
        <w:t xml:space="preserve">. </w:t>
      </w:r>
    </w:p>
    <w:p w:rsidR="00F97D54" w:rsidRDefault="00F97D54" w:rsidP="00EB5B97">
      <w:pPr>
        <w:pStyle w:val="ListParagraph"/>
        <w:numPr>
          <w:ilvl w:val="0"/>
          <w:numId w:val="15"/>
        </w:numPr>
        <w:spacing w:after="200" w:line="276" w:lineRule="auto"/>
        <w:rPr>
          <w:sz w:val="22"/>
          <w:szCs w:val="22"/>
        </w:rPr>
      </w:pPr>
      <w:r w:rsidRPr="001237F7">
        <w:rPr>
          <w:sz w:val="22"/>
          <w:szCs w:val="22"/>
          <w:u w:val="single"/>
        </w:rPr>
        <w:t>Adj_Term_Length</w:t>
      </w:r>
      <w:r w:rsidRPr="001237F7">
        <w:rPr>
          <w:sz w:val="22"/>
          <w:szCs w:val="22"/>
        </w:rPr>
        <w:t>:  If Adj_Term is equal to 1, enter the total term length (not the remaining term length) in months.  If Adj_Term is equal to 0, leave the Adj_Term_Length variable blank.</w:t>
      </w:r>
    </w:p>
    <w:p w:rsidR="00F97D54" w:rsidRDefault="00F97D54" w:rsidP="00EB5B97">
      <w:pPr>
        <w:pStyle w:val="ListParagraph"/>
        <w:numPr>
          <w:ilvl w:val="0"/>
          <w:numId w:val="15"/>
        </w:numPr>
        <w:spacing w:after="200" w:line="276" w:lineRule="auto"/>
        <w:rPr>
          <w:sz w:val="22"/>
          <w:szCs w:val="22"/>
        </w:rPr>
      </w:pPr>
      <w:r w:rsidRPr="001237F7">
        <w:rPr>
          <w:sz w:val="22"/>
          <w:szCs w:val="22"/>
          <w:u w:val="single"/>
        </w:rPr>
        <w:t>Adj_Vol</w:t>
      </w:r>
      <w:r w:rsidRPr="001237F7">
        <w:rPr>
          <w:sz w:val="22"/>
          <w:szCs w:val="22"/>
        </w:rPr>
        <w:t xml:space="preserve">:  Enter 1 if the adjustment/true-up can be linked to a rebate (or penalty) on a </w:t>
      </w:r>
      <w:r w:rsidRPr="001237F7">
        <w:rPr>
          <w:i/>
          <w:sz w:val="22"/>
          <w:szCs w:val="22"/>
        </w:rPr>
        <w:t>Volume Commitment</w:t>
      </w:r>
      <w:r w:rsidRPr="001237F7">
        <w:rPr>
          <w:sz w:val="22"/>
          <w:szCs w:val="22"/>
        </w:rPr>
        <w:t xml:space="preserve">.  Enter 0 if the adjustment was not due to a </w:t>
      </w:r>
      <w:r w:rsidRPr="001237F7">
        <w:rPr>
          <w:i/>
          <w:sz w:val="22"/>
          <w:szCs w:val="22"/>
        </w:rPr>
        <w:t>Volume Commitment</w:t>
      </w:r>
      <w:r w:rsidRPr="001237F7">
        <w:rPr>
          <w:sz w:val="22"/>
          <w:szCs w:val="22"/>
        </w:rPr>
        <w:t xml:space="preserve">.  If the </w:t>
      </w:r>
      <w:r w:rsidRPr="001237F7">
        <w:rPr>
          <w:i/>
          <w:sz w:val="22"/>
          <w:szCs w:val="22"/>
        </w:rPr>
        <w:t>Volume Commitment</w:t>
      </w:r>
      <w:r w:rsidRPr="001237F7">
        <w:rPr>
          <w:sz w:val="22"/>
          <w:szCs w:val="22"/>
        </w:rPr>
        <w:t xml:space="preserve"> corresponds to a cer</w:t>
      </w:r>
      <w:r>
        <w:rPr>
          <w:sz w:val="22"/>
          <w:szCs w:val="22"/>
        </w:rPr>
        <w:t xml:space="preserve">tain number of circuits, </w:t>
      </w:r>
      <w:r w:rsidRPr="001237F7">
        <w:rPr>
          <w:sz w:val="22"/>
          <w:szCs w:val="22"/>
        </w:rPr>
        <w:t xml:space="preserve">enter the number of circuits necessary to qualify for the discount in the Adj_Vol_Circ field.  If the </w:t>
      </w:r>
      <w:r w:rsidRPr="001237F7">
        <w:rPr>
          <w:i/>
          <w:sz w:val="22"/>
          <w:szCs w:val="22"/>
        </w:rPr>
        <w:t>Volume Commitment</w:t>
      </w:r>
      <w:r w:rsidRPr="001237F7">
        <w:rPr>
          <w:sz w:val="22"/>
          <w:szCs w:val="22"/>
        </w:rPr>
        <w:t xml:space="preserve"> corresponds to a certain level of “spend” or d</w:t>
      </w:r>
      <w:r>
        <w:rPr>
          <w:sz w:val="22"/>
          <w:szCs w:val="22"/>
        </w:rPr>
        <w:t xml:space="preserve">ollar value of services, </w:t>
      </w:r>
      <w:r w:rsidRPr="001237F7">
        <w:rPr>
          <w:sz w:val="22"/>
          <w:szCs w:val="22"/>
        </w:rPr>
        <w:t>enter the dollar amount necessary to qualify for the discount in the Adj_Vol_Rev field.</w:t>
      </w:r>
    </w:p>
    <w:p w:rsidR="00F97D54" w:rsidRDefault="00F97D54" w:rsidP="00EB5B97">
      <w:pPr>
        <w:pStyle w:val="ListParagraph"/>
        <w:numPr>
          <w:ilvl w:val="0"/>
          <w:numId w:val="15"/>
        </w:numPr>
        <w:spacing w:after="200" w:line="276" w:lineRule="auto"/>
        <w:rPr>
          <w:sz w:val="22"/>
          <w:szCs w:val="22"/>
        </w:rPr>
      </w:pPr>
      <w:r w:rsidRPr="00A572D4">
        <w:rPr>
          <w:sz w:val="22"/>
          <w:szCs w:val="22"/>
          <w:u w:val="single"/>
        </w:rPr>
        <w:t>Adj_Vol_Circ</w:t>
      </w:r>
      <w:r w:rsidRPr="00A572D4">
        <w:rPr>
          <w:sz w:val="22"/>
          <w:szCs w:val="22"/>
        </w:rPr>
        <w:t xml:space="preserve">:  If Adj_Vol is equal to 1, and the </w:t>
      </w:r>
      <w:r w:rsidRPr="00E3319A">
        <w:rPr>
          <w:i/>
          <w:sz w:val="22"/>
          <w:szCs w:val="22"/>
        </w:rPr>
        <w:t>Tariff</w:t>
      </w:r>
      <w:r>
        <w:rPr>
          <w:sz w:val="22"/>
          <w:szCs w:val="22"/>
        </w:rPr>
        <w:t xml:space="preserve"> or other agreement </w:t>
      </w:r>
      <w:r w:rsidRPr="00A572D4">
        <w:rPr>
          <w:sz w:val="22"/>
          <w:szCs w:val="22"/>
        </w:rPr>
        <w:t>required the purchase of a certain number of circuits to</w:t>
      </w:r>
      <w:r>
        <w:rPr>
          <w:sz w:val="22"/>
          <w:szCs w:val="22"/>
        </w:rPr>
        <w:t xml:space="preserve"> qualify for a discount, ent</w:t>
      </w:r>
      <w:r w:rsidRPr="00A572D4">
        <w:rPr>
          <w:sz w:val="22"/>
          <w:szCs w:val="22"/>
        </w:rPr>
        <w:t xml:space="preserve">er the number of circuits.  If Adj_Vol is equal to 0 or the </w:t>
      </w:r>
      <w:r w:rsidRPr="00A572D4">
        <w:rPr>
          <w:i/>
          <w:sz w:val="22"/>
          <w:szCs w:val="22"/>
        </w:rPr>
        <w:t>Volume Commitment</w:t>
      </w:r>
      <w:r w:rsidRPr="00A572D4">
        <w:rPr>
          <w:sz w:val="22"/>
          <w:szCs w:val="22"/>
        </w:rPr>
        <w:t xml:space="preserve"> was a commitment to a given level of </w:t>
      </w:r>
      <w:r>
        <w:rPr>
          <w:sz w:val="22"/>
          <w:szCs w:val="22"/>
        </w:rPr>
        <w:t xml:space="preserve">expenditures or “spend,” </w:t>
      </w:r>
      <w:r w:rsidRPr="00A572D4">
        <w:rPr>
          <w:sz w:val="22"/>
          <w:szCs w:val="22"/>
        </w:rPr>
        <w:t>leave this field blank.</w:t>
      </w:r>
    </w:p>
    <w:p w:rsidR="00F97D54" w:rsidRDefault="00F97D54" w:rsidP="00EB5B97">
      <w:pPr>
        <w:pStyle w:val="ListParagraph"/>
        <w:numPr>
          <w:ilvl w:val="0"/>
          <w:numId w:val="15"/>
        </w:numPr>
        <w:spacing w:after="200" w:line="276" w:lineRule="auto"/>
        <w:rPr>
          <w:sz w:val="22"/>
          <w:szCs w:val="22"/>
        </w:rPr>
      </w:pPr>
      <w:r w:rsidRPr="00A572D4">
        <w:rPr>
          <w:sz w:val="22"/>
          <w:szCs w:val="22"/>
          <w:u w:val="single"/>
        </w:rPr>
        <w:t>Adj_Vol_Rev</w:t>
      </w:r>
      <w:r w:rsidRPr="00A572D4">
        <w:rPr>
          <w:sz w:val="22"/>
          <w:szCs w:val="22"/>
        </w:rPr>
        <w:t xml:space="preserve">:  If Adj_Vol is equal to 1 and the </w:t>
      </w:r>
      <w:r w:rsidRPr="00E3319A">
        <w:rPr>
          <w:i/>
          <w:sz w:val="22"/>
          <w:szCs w:val="22"/>
        </w:rPr>
        <w:t>Tariff</w:t>
      </w:r>
      <w:r>
        <w:rPr>
          <w:sz w:val="22"/>
          <w:szCs w:val="22"/>
        </w:rPr>
        <w:t xml:space="preserve"> or other agreement</w:t>
      </w:r>
      <w:r w:rsidRPr="005A6188">
        <w:rPr>
          <w:sz w:val="22"/>
          <w:szCs w:val="22"/>
        </w:rPr>
        <w:t xml:space="preserve"> </w:t>
      </w:r>
      <w:r w:rsidRPr="00A572D4">
        <w:rPr>
          <w:sz w:val="22"/>
          <w:szCs w:val="22"/>
        </w:rPr>
        <w:t>required the purchase of a certain dollar amount of expenditures (or “spend”) to</w:t>
      </w:r>
      <w:r>
        <w:rPr>
          <w:sz w:val="22"/>
          <w:szCs w:val="22"/>
        </w:rPr>
        <w:t xml:space="preserve"> qualify for a discount, </w:t>
      </w:r>
      <w:r w:rsidRPr="00A572D4">
        <w:rPr>
          <w:sz w:val="22"/>
          <w:szCs w:val="22"/>
        </w:rPr>
        <w:t xml:space="preserve">enter the dollar value of the expenditure requirement.  If Adj_Vol is equal to 0 or the </w:t>
      </w:r>
      <w:r w:rsidRPr="00A572D4">
        <w:rPr>
          <w:i/>
          <w:sz w:val="22"/>
          <w:szCs w:val="22"/>
        </w:rPr>
        <w:t>Volume Commitment</w:t>
      </w:r>
      <w:r w:rsidRPr="00A572D4">
        <w:rPr>
          <w:sz w:val="22"/>
          <w:szCs w:val="22"/>
        </w:rPr>
        <w:t xml:space="preserve"> was a commitment to purchase a cer</w:t>
      </w:r>
      <w:r>
        <w:rPr>
          <w:sz w:val="22"/>
          <w:szCs w:val="22"/>
        </w:rPr>
        <w:t xml:space="preserve">tain number of circuits, </w:t>
      </w:r>
      <w:r w:rsidRPr="00A572D4">
        <w:rPr>
          <w:sz w:val="22"/>
          <w:szCs w:val="22"/>
        </w:rPr>
        <w:t>leave this field blank.</w:t>
      </w:r>
    </w:p>
    <w:p w:rsidR="00F97D54" w:rsidRPr="00587EB9" w:rsidRDefault="00F97D54" w:rsidP="0047272E">
      <w:pPr>
        <w:pStyle w:val="ListParagraph"/>
        <w:widowControl/>
        <w:numPr>
          <w:ilvl w:val="0"/>
          <w:numId w:val="15"/>
        </w:numPr>
        <w:spacing w:after="200" w:line="276" w:lineRule="auto"/>
        <w:rPr>
          <w:sz w:val="22"/>
          <w:szCs w:val="22"/>
        </w:rPr>
      </w:pPr>
      <w:r w:rsidRPr="00A572D4">
        <w:rPr>
          <w:sz w:val="22"/>
          <w:szCs w:val="22"/>
          <w:u w:val="single"/>
        </w:rPr>
        <w:t>Adjustment_Other</w:t>
      </w:r>
      <w:r w:rsidRPr="00A572D4">
        <w:rPr>
          <w:sz w:val="22"/>
          <w:szCs w:val="22"/>
        </w:rPr>
        <w:t xml:space="preserve">:  If the adjustment/true-up was for some reason other than a </w:t>
      </w:r>
      <w:r w:rsidRPr="00A572D4">
        <w:rPr>
          <w:i/>
          <w:sz w:val="22"/>
          <w:szCs w:val="22"/>
        </w:rPr>
        <w:t>Term</w:t>
      </w:r>
      <w:r w:rsidRPr="00A572D4">
        <w:rPr>
          <w:sz w:val="22"/>
          <w:szCs w:val="22"/>
        </w:rPr>
        <w:t xml:space="preserve"> or </w:t>
      </w:r>
      <w:r w:rsidRPr="00A572D4">
        <w:rPr>
          <w:i/>
          <w:sz w:val="22"/>
          <w:szCs w:val="22"/>
        </w:rPr>
        <w:t>Volume Commitment</w:t>
      </w:r>
      <w:r>
        <w:rPr>
          <w:sz w:val="22"/>
          <w:szCs w:val="22"/>
        </w:rPr>
        <w:t xml:space="preserve">, </w:t>
      </w:r>
      <w:r w:rsidRPr="00A572D4">
        <w:rPr>
          <w:sz w:val="22"/>
          <w:szCs w:val="22"/>
        </w:rPr>
        <w:t>give a brief description of the</w:t>
      </w:r>
      <w:r>
        <w:rPr>
          <w:sz w:val="22"/>
          <w:szCs w:val="22"/>
        </w:rPr>
        <w:t xml:space="preserve"> reason in this field.  D</w:t>
      </w:r>
      <w:r w:rsidRPr="00A572D4">
        <w:rPr>
          <w:sz w:val="22"/>
          <w:szCs w:val="22"/>
        </w:rPr>
        <w:t>o not exceed 120 characters in your response.  Leave blank if either Adj_Term or Adj_Vol is equal to 1.  An example of such an adjustment may be a rebate remitted to the purchaser in compensation for an unanticipated network outage or degraded quality of service.</w:t>
      </w:r>
    </w:p>
    <w:p w:rsidR="00F97D54" w:rsidRPr="004820FF" w:rsidRDefault="00F97D54" w:rsidP="004820FF">
      <w:pPr>
        <w:pStyle w:val="Heading4"/>
        <w:numPr>
          <w:ilvl w:val="0"/>
          <w:numId w:val="0"/>
        </w:numPr>
        <w:rPr>
          <w:b w:val="0"/>
          <w:i/>
        </w:rPr>
      </w:pPr>
      <w:bookmarkStart w:id="106" w:name="_Toc365972095"/>
      <w:r w:rsidRPr="004820FF">
        <w:rPr>
          <w:b w:val="0"/>
          <w:i/>
        </w:rPr>
        <w:t>Question II.A.14:  Billing Code Descriptions</w:t>
      </w:r>
      <w:bookmarkEnd w:id="106"/>
    </w:p>
    <w:p w:rsidR="00F97D54" w:rsidRDefault="00F97D54" w:rsidP="00EB5B97">
      <w:pPr>
        <w:rPr>
          <w:szCs w:val="22"/>
        </w:rPr>
      </w:pPr>
      <w:r w:rsidRPr="00C54BD9">
        <w:rPr>
          <w:szCs w:val="22"/>
        </w:rPr>
        <w:t>Provide descriptions for each unique billing code</w:t>
      </w:r>
      <w:r>
        <w:rPr>
          <w:szCs w:val="22"/>
        </w:rPr>
        <w:t xml:space="preserve"> referenced in Table II.A.12 Part 1</w:t>
      </w:r>
      <w:r w:rsidRPr="00C54BD9">
        <w:rPr>
          <w:szCs w:val="22"/>
        </w:rPr>
        <w:t xml:space="preserve">.  Enter one record for each </w:t>
      </w:r>
      <w:r>
        <w:rPr>
          <w:szCs w:val="22"/>
        </w:rPr>
        <w:t>unique b</w:t>
      </w:r>
      <w:r w:rsidRPr="00C54BD9">
        <w:rPr>
          <w:szCs w:val="22"/>
        </w:rPr>
        <w:t xml:space="preserve">illing </w:t>
      </w:r>
      <w:r>
        <w:rPr>
          <w:szCs w:val="22"/>
        </w:rPr>
        <w:t>code</w:t>
      </w:r>
      <w:r w:rsidRPr="00C54BD9">
        <w:rPr>
          <w:szCs w:val="22"/>
        </w:rPr>
        <w:t>.</w:t>
      </w:r>
      <w:r>
        <w:rPr>
          <w:szCs w:val="22"/>
        </w:rPr>
        <w:t xml:space="preserve">  Examples of common circuit elements are given in the diagram in Question II.A.14.b.  If the billed element cannot be described by the elements listed in the diagram, provide a description of the billed element as indicated in Question II.A.14.c.  For example, to the extent you bill circuits as a whole, rather than on an element-by-element basis, provide a description that describes the billed unit, </w:t>
      </w:r>
      <w:r w:rsidRPr="007D18DB">
        <w:rPr>
          <w:i/>
          <w:szCs w:val="22"/>
        </w:rPr>
        <w:t>see</w:t>
      </w:r>
      <w:r>
        <w:rPr>
          <w:szCs w:val="22"/>
        </w:rPr>
        <w:t xml:space="preserve"> Question II.A.14.c, and assign a single unique billing code.</w:t>
      </w:r>
    </w:p>
    <w:p w:rsidR="00F97D54" w:rsidRDefault="00F97D54" w:rsidP="00EB5B97">
      <w:pPr>
        <w:rPr>
          <w:szCs w:val="22"/>
        </w:rPr>
      </w:pPr>
    </w:p>
    <w:p w:rsidR="00F97D54" w:rsidRPr="00587EB9" w:rsidRDefault="00F97D54" w:rsidP="00EB5B97">
      <w:r>
        <w:t>Table II.A.14</w:t>
      </w:r>
      <w:r w:rsidRPr="001565B7">
        <w:t xml:space="preserve"> </w:t>
      </w:r>
      <w:r>
        <w:t>is</w:t>
      </w:r>
      <w:r w:rsidRPr="001565B7">
        <w:t xml:space="preserve"> used to link the descriptions of billing codes with the billed circuit elements</w:t>
      </w:r>
      <w:r>
        <w:t xml:space="preserve"> reported in Table II.A.12 Part 1 using the Billing</w:t>
      </w:r>
      <w:r w:rsidRPr="001565B7">
        <w:t xml:space="preserve">_Code variable in each table.  Although each </w:t>
      </w:r>
      <w:r>
        <w:t>Billing</w:t>
      </w:r>
      <w:r w:rsidRPr="001565B7">
        <w:t>_Code may appear multiple times in Table II.A.12</w:t>
      </w:r>
      <w:r>
        <w:t xml:space="preserve"> Part 1</w:t>
      </w:r>
      <w:r w:rsidRPr="001565B7">
        <w:t xml:space="preserve">, </w:t>
      </w:r>
      <w:r>
        <w:t>you can only have one entry for each unique Billing</w:t>
      </w:r>
      <w:r w:rsidRPr="001565B7">
        <w:t xml:space="preserve">_Code </w:t>
      </w:r>
      <w:r>
        <w:t xml:space="preserve">reported </w:t>
      </w:r>
      <w:r w:rsidRPr="001565B7">
        <w:t xml:space="preserve">in </w:t>
      </w:r>
      <w:r>
        <w:t>Table II.A.14</w:t>
      </w:r>
      <w:r w:rsidRPr="001565B7">
        <w:t xml:space="preserve">.  Additionally, every </w:t>
      </w:r>
      <w:r>
        <w:t>Billing</w:t>
      </w:r>
      <w:r w:rsidRPr="001565B7">
        <w:t xml:space="preserve">_Code that appears in </w:t>
      </w:r>
      <w:r>
        <w:t xml:space="preserve">Table </w:t>
      </w:r>
      <w:r w:rsidRPr="001565B7">
        <w:t xml:space="preserve">II.A.12 </w:t>
      </w:r>
      <w:r>
        <w:t xml:space="preserve">Part 1 </w:t>
      </w:r>
      <w:r w:rsidRPr="001565B7">
        <w:t xml:space="preserve">must </w:t>
      </w:r>
      <w:r>
        <w:t xml:space="preserve">be identified </w:t>
      </w:r>
      <w:r w:rsidRPr="001565B7">
        <w:t>in Table II.A.14.</w:t>
      </w:r>
    </w:p>
    <w:p w:rsidR="00F97D54" w:rsidRPr="00F43280" w:rsidRDefault="00F97D54" w:rsidP="00EB5B97">
      <w:pPr>
        <w:rPr>
          <w:b/>
          <w:sz w:val="20"/>
          <w:szCs w:val="22"/>
        </w:rPr>
      </w:pPr>
    </w:p>
    <w:tbl>
      <w:tblPr>
        <w:tblW w:w="8838" w:type="dxa"/>
        <w:tblLook w:val="01E0" w:firstRow="1" w:lastRow="1" w:firstColumn="1" w:lastColumn="1" w:noHBand="0" w:noVBand="0"/>
      </w:tblPr>
      <w:tblGrid>
        <w:gridCol w:w="2088"/>
        <w:gridCol w:w="4178"/>
        <w:gridCol w:w="1065"/>
        <w:gridCol w:w="1507"/>
      </w:tblGrid>
      <w:tr w:rsidR="00F97D54" w:rsidRPr="00F43280" w:rsidTr="00EB5B97">
        <w:trPr>
          <w:trHeight w:val="432"/>
          <w:tblHeader/>
        </w:trPr>
        <w:tc>
          <w:tcPr>
            <w:tcW w:w="8838" w:type="dxa"/>
            <w:gridSpan w:val="4"/>
            <w:tcBorders>
              <w:top w:val="double" w:sz="4" w:space="0" w:color="auto"/>
              <w:bottom w:val="single" w:sz="4" w:space="0" w:color="auto"/>
            </w:tcBorders>
            <w:vAlign w:val="center"/>
          </w:tcPr>
          <w:p w:rsidR="00F97D54" w:rsidRPr="00F5506F" w:rsidRDefault="00F97D54" w:rsidP="00EB5B97">
            <w:pPr>
              <w:jc w:val="center"/>
              <w:rPr>
                <w:b/>
              </w:rPr>
            </w:pPr>
            <w:r w:rsidRPr="00F5506F">
              <w:rPr>
                <w:b/>
              </w:rPr>
              <w:t>Table II.A.14</w:t>
            </w:r>
          </w:p>
          <w:p w:rsidR="00F97D54" w:rsidRPr="00583F23" w:rsidRDefault="00F97D54" w:rsidP="00EB5B97">
            <w:pPr>
              <w:jc w:val="center"/>
            </w:pPr>
            <w:r w:rsidRPr="00F5506F">
              <w:rPr>
                <w:b/>
              </w:rPr>
              <w:t>Record Format for Descriptions for Circuits by Circuit</w:t>
            </w:r>
          </w:p>
        </w:tc>
      </w:tr>
      <w:tr w:rsidR="00F97D54" w:rsidRPr="00F43280" w:rsidTr="00832B03">
        <w:trPr>
          <w:trHeight w:val="432"/>
          <w:tblHeader/>
        </w:trPr>
        <w:tc>
          <w:tcPr>
            <w:tcW w:w="2088" w:type="dxa"/>
            <w:tcBorders>
              <w:top w:val="single" w:sz="4" w:space="0" w:color="auto"/>
              <w:bottom w:val="single" w:sz="4" w:space="0" w:color="auto"/>
              <w:right w:val="single" w:sz="4" w:space="0" w:color="auto"/>
            </w:tcBorders>
            <w:vAlign w:val="center"/>
          </w:tcPr>
          <w:p w:rsidR="00F97D54" w:rsidRPr="00583F23" w:rsidRDefault="00F97D54" w:rsidP="00EB5B97">
            <w:pPr>
              <w:rPr>
                <w:b/>
                <w:sz w:val="20"/>
              </w:rPr>
            </w:pPr>
            <w:r w:rsidRPr="00583F23">
              <w:rPr>
                <w:b/>
                <w:sz w:val="20"/>
              </w:rPr>
              <w:t>Field Name</w:t>
            </w:r>
          </w:p>
        </w:tc>
        <w:tc>
          <w:tcPr>
            <w:tcW w:w="4178" w:type="dxa"/>
            <w:tcBorders>
              <w:top w:val="single" w:sz="4" w:space="0" w:color="auto"/>
              <w:left w:val="single" w:sz="4" w:space="0" w:color="auto"/>
              <w:bottom w:val="single" w:sz="4" w:space="0" w:color="auto"/>
              <w:right w:val="single" w:sz="4" w:space="0" w:color="auto"/>
            </w:tcBorders>
            <w:vAlign w:val="center"/>
          </w:tcPr>
          <w:p w:rsidR="00F97D54" w:rsidRPr="00583F23" w:rsidRDefault="00F97D54" w:rsidP="00EB5B97">
            <w:pPr>
              <w:rPr>
                <w:b/>
                <w:sz w:val="20"/>
              </w:rPr>
            </w:pPr>
            <w:r w:rsidRPr="00583F23">
              <w:rPr>
                <w:b/>
                <w:sz w:val="20"/>
              </w:rPr>
              <w:t>Description</w:t>
            </w:r>
          </w:p>
        </w:tc>
        <w:tc>
          <w:tcPr>
            <w:tcW w:w="1065" w:type="dxa"/>
            <w:tcBorders>
              <w:top w:val="single" w:sz="4" w:space="0" w:color="auto"/>
              <w:left w:val="single" w:sz="4" w:space="0" w:color="auto"/>
              <w:bottom w:val="single" w:sz="4" w:space="0" w:color="auto"/>
              <w:right w:val="single" w:sz="4" w:space="0" w:color="auto"/>
            </w:tcBorders>
            <w:vAlign w:val="center"/>
          </w:tcPr>
          <w:p w:rsidR="00F97D54" w:rsidRPr="00583F23" w:rsidRDefault="00F97D54" w:rsidP="00EB5B97">
            <w:pPr>
              <w:rPr>
                <w:b/>
                <w:sz w:val="20"/>
              </w:rPr>
            </w:pPr>
            <w:r w:rsidRPr="00583F23">
              <w:rPr>
                <w:b/>
                <w:sz w:val="20"/>
              </w:rPr>
              <w:t>Type</w:t>
            </w:r>
          </w:p>
        </w:tc>
        <w:tc>
          <w:tcPr>
            <w:tcW w:w="1507" w:type="dxa"/>
            <w:tcBorders>
              <w:top w:val="single" w:sz="4" w:space="0" w:color="auto"/>
              <w:left w:val="single" w:sz="4" w:space="0" w:color="auto"/>
              <w:bottom w:val="single" w:sz="4" w:space="0" w:color="auto"/>
            </w:tcBorders>
            <w:vAlign w:val="center"/>
          </w:tcPr>
          <w:p w:rsidR="00F97D54" w:rsidRPr="00583F23" w:rsidRDefault="00F97D54" w:rsidP="00EB5B97">
            <w:pPr>
              <w:ind w:right="-108"/>
              <w:rPr>
                <w:b/>
                <w:sz w:val="20"/>
              </w:rPr>
            </w:pPr>
            <w:r w:rsidRPr="00583F23">
              <w:rPr>
                <w:b/>
                <w:sz w:val="20"/>
              </w:rPr>
              <w:t>Example</w:t>
            </w:r>
          </w:p>
        </w:tc>
      </w:tr>
      <w:tr w:rsidR="00F97D54" w:rsidRPr="00F43280" w:rsidTr="00832B03">
        <w:trPr>
          <w:trHeight w:val="360"/>
        </w:trPr>
        <w:tc>
          <w:tcPr>
            <w:tcW w:w="2088" w:type="dxa"/>
          </w:tcPr>
          <w:p w:rsidR="00F97D54" w:rsidRPr="00F43280" w:rsidRDefault="00F97D54" w:rsidP="00EB5B97">
            <w:pPr>
              <w:rPr>
                <w:sz w:val="16"/>
                <w:szCs w:val="16"/>
              </w:rPr>
            </w:pPr>
            <w:r>
              <w:rPr>
                <w:sz w:val="16"/>
                <w:szCs w:val="16"/>
              </w:rPr>
              <w:t>Billing</w:t>
            </w:r>
            <w:r w:rsidRPr="00F43280">
              <w:rPr>
                <w:sz w:val="16"/>
                <w:szCs w:val="16"/>
              </w:rPr>
              <w:t>_Code</w:t>
            </w:r>
          </w:p>
        </w:tc>
        <w:tc>
          <w:tcPr>
            <w:tcW w:w="4178" w:type="dxa"/>
          </w:tcPr>
          <w:p w:rsidR="00F97D54" w:rsidRPr="00F43280" w:rsidRDefault="00F97D54" w:rsidP="00EB5B97">
            <w:pPr>
              <w:rPr>
                <w:sz w:val="16"/>
                <w:szCs w:val="16"/>
              </w:rPr>
            </w:pPr>
            <w:r w:rsidRPr="00F43280">
              <w:rPr>
                <w:sz w:val="16"/>
                <w:szCs w:val="16"/>
              </w:rPr>
              <w:t xml:space="preserve">Billing </w:t>
            </w:r>
            <w:r>
              <w:rPr>
                <w:sz w:val="16"/>
                <w:szCs w:val="16"/>
              </w:rPr>
              <w:t>code (</w:t>
            </w:r>
            <w:r w:rsidRPr="00F5506F">
              <w:rPr>
                <w:i/>
                <w:sz w:val="16"/>
                <w:szCs w:val="16"/>
              </w:rPr>
              <w:t>e.g.</w:t>
            </w:r>
            <w:r>
              <w:rPr>
                <w:sz w:val="16"/>
                <w:szCs w:val="16"/>
              </w:rPr>
              <w:t>, USOC) used to identify the billed circuit element.  (This variable will aslo appear in Question II.A.12 and is used to link the billed circuit elements with their descriptions)</w:t>
            </w:r>
          </w:p>
        </w:tc>
        <w:tc>
          <w:tcPr>
            <w:tcW w:w="1065" w:type="dxa"/>
          </w:tcPr>
          <w:p w:rsidR="00F97D54" w:rsidRPr="00F43280" w:rsidRDefault="00F97D54" w:rsidP="00EB5B97">
            <w:pPr>
              <w:rPr>
                <w:sz w:val="16"/>
                <w:szCs w:val="16"/>
              </w:rPr>
            </w:pPr>
            <w:r w:rsidRPr="00F43280">
              <w:rPr>
                <w:sz w:val="16"/>
                <w:szCs w:val="16"/>
              </w:rPr>
              <w:t>Text</w:t>
            </w:r>
          </w:p>
        </w:tc>
        <w:tc>
          <w:tcPr>
            <w:tcW w:w="1507" w:type="dxa"/>
          </w:tcPr>
          <w:p w:rsidR="00F97D54" w:rsidRPr="00F43280" w:rsidRDefault="00F97D54" w:rsidP="00EB5B97">
            <w:pPr>
              <w:rPr>
                <w:sz w:val="16"/>
                <w:szCs w:val="16"/>
              </w:rPr>
            </w:pPr>
            <w:r w:rsidRPr="00F43280">
              <w:rPr>
                <w:sz w:val="16"/>
                <w:szCs w:val="16"/>
              </w:rPr>
              <w:t>1YZXD</w:t>
            </w:r>
          </w:p>
        </w:tc>
      </w:tr>
      <w:tr w:rsidR="00F97D54" w:rsidRPr="00F43280" w:rsidTr="00832B03">
        <w:trPr>
          <w:trHeight w:val="495"/>
        </w:trPr>
        <w:tc>
          <w:tcPr>
            <w:tcW w:w="2088" w:type="dxa"/>
          </w:tcPr>
          <w:p w:rsidR="00F97D54" w:rsidRPr="00F43280" w:rsidRDefault="00F97D54" w:rsidP="00EB5B97">
            <w:pPr>
              <w:rPr>
                <w:sz w:val="16"/>
                <w:szCs w:val="16"/>
              </w:rPr>
            </w:pPr>
            <w:r>
              <w:rPr>
                <w:sz w:val="16"/>
                <w:szCs w:val="16"/>
              </w:rPr>
              <w:t>Billing</w:t>
            </w:r>
            <w:r w:rsidRPr="00F43280">
              <w:rPr>
                <w:sz w:val="16"/>
                <w:szCs w:val="16"/>
              </w:rPr>
              <w:t>_Code_Description</w:t>
            </w:r>
          </w:p>
        </w:tc>
        <w:tc>
          <w:tcPr>
            <w:tcW w:w="4178" w:type="dxa"/>
          </w:tcPr>
          <w:p w:rsidR="00F97D54" w:rsidRPr="00F43280" w:rsidRDefault="00F97D54" w:rsidP="00EB5B97">
            <w:pPr>
              <w:rPr>
                <w:sz w:val="16"/>
                <w:szCs w:val="16"/>
              </w:rPr>
            </w:pPr>
            <w:r w:rsidRPr="00F43280">
              <w:rPr>
                <w:sz w:val="16"/>
                <w:szCs w:val="16"/>
              </w:rPr>
              <w:t xml:space="preserve">Brief description of </w:t>
            </w:r>
            <w:r>
              <w:rPr>
                <w:sz w:val="16"/>
                <w:szCs w:val="16"/>
              </w:rPr>
              <w:t>circuit</w:t>
            </w:r>
            <w:r w:rsidRPr="00F43280">
              <w:rPr>
                <w:sz w:val="16"/>
                <w:szCs w:val="16"/>
              </w:rPr>
              <w:t xml:space="preserve"> element  </w:t>
            </w:r>
          </w:p>
        </w:tc>
        <w:tc>
          <w:tcPr>
            <w:tcW w:w="1065" w:type="dxa"/>
          </w:tcPr>
          <w:p w:rsidR="00F97D54" w:rsidRPr="00F43280" w:rsidRDefault="00F97D54" w:rsidP="00EB5B97">
            <w:pPr>
              <w:rPr>
                <w:sz w:val="16"/>
                <w:szCs w:val="16"/>
              </w:rPr>
            </w:pPr>
            <w:r w:rsidRPr="00F43280">
              <w:rPr>
                <w:sz w:val="16"/>
                <w:szCs w:val="16"/>
              </w:rPr>
              <w:t>Text</w:t>
            </w:r>
          </w:p>
        </w:tc>
        <w:tc>
          <w:tcPr>
            <w:tcW w:w="1507" w:type="dxa"/>
          </w:tcPr>
          <w:p w:rsidR="00F97D54" w:rsidRPr="00F43280" w:rsidRDefault="00F97D54" w:rsidP="00EB5B97">
            <w:pPr>
              <w:rPr>
                <w:sz w:val="16"/>
                <w:szCs w:val="16"/>
              </w:rPr>
            </w:pPr>
            <w:r w:rsidRPr="00F43280">
              <w:rPr>
                <w:sz w:val="16"/>
                <w:szCs w:val="16"/>
              </w:rPr>
              <w:t>Channel Mileage</w:t>
            </w:r>
          </w:p>
        </w:tc>
      </w:tr>
      <w:tr w:rsidR="00F97D54" w:rsidRPr="00F43280" w:rsidTr="00832B03">
        <w:trPr>
          <w:trHeight w:val="360"/>
        </w:trPr>
        <w:tc>
          <w:tcPr>
            <w:tcW w:w="2088" w:type="dxa"/>
            <w:tcBorders>
              <w:bottom w:val="double" w:sz="4" w:space="0" w:color="auto"/>
            </w:tcBorders>
          </w:tcPr>
          <w:p w:rsidR="00F97D54" w:rsidRPr="00F43280" w:rsidRDefault="00F97D54" w:rsidP="00EB5B97">
            <w:pPr>
              <w:rPr>
                <w:sz w:val="16"/>
                <w:szCs w:val="16"/>
              </w:rPr>
            </w:pPr>
            <w:r>
              <w:rPr>
                <w:sz w:val="16"/>
                <w:szCs w:val="16"/>
              </w:rPr>
              <w:t>Billing</w:t>
            </w:r>
            <w:r w:rsidRPr="00F43280">
              <w:rPr>
                <w:sz w:val="16"/>
                <w:szCs w:val="16"/>
              </w:rPr>
              <w:t>_Code_Desc_Other</w:t>
            </w:r>
          </w:p>
        </w:tc>
        <w:tc>
          <w:tcPr>
            <w:tcW w:w="4178" w:type="dxa"/>
            <w:tcBorders>
              <w:bottom w:val="double" w:sz="4" w:space="0" w:color="auto"/>
            </w:tcBorders>
          </w:tcPr>
          <w:p w:rsidR="00F97D54" w:rsidRPr="00F43280" w:rsidRDefault="00F97D54" w:rsidP="00EB5B97">
            <w:pPr>
              <w:rPr>
                <w:sz w:val="16"/>
                <w:szCs w:val="16"/>
              </w:rPr>
            </w:pPr>
            <w:r w:rsidRPr="00F43280">
              <w:rPr>
                <w:sz w:val="16"/>
                <w:szCs w:val="16"/>
              </w:rPr>
              <w:t xml:space="preserve">The description of the </w:t>
            </w:r>
            <w:r>
              <w:rPr>
                <w:sz w:val="16"/>
                <w:szCs w:val="16"/>
              </w:rPr>
              <w:t>circuit</w:t>
            </w:r>
            <w:r w:rsidRPr="00F43280">
              <w:rPr>
                <w:sz w:val="16"/>
                <w:szCs w:val="16"/>
              </w:rPr>
              <w:t xml:space="preserve"> element as it appears on the customer’s bill.</w:t>
            </w:r>
          </w:p>
        </w:tc>
        <w:tc>
          <w:tcPr>
            <w:tcW w:w="1065" w:type="dxa"/>
            <w:tcBorders>
              <w:bottom w:val="double" w:sz="4" w:space="0" w:color="auto"/>
            </w:tcBorders>
          </w:tcPr>
          <w:p w:rsidR="00F97D54" w:rsidRPr="00F43280" w:rsidRDefault="00F97D54" w:rsidP="00EB5B97">
            <w:pPr>
              <w:rPr>
                <w:sz w:val="16"/>
                <w:szCs w:val="16"/>
              </w:rPr>
            </w:pPr>
            <w:r w:rsidRPr="00F43280">
              <w:rPr>
                <w:sz w:val="16"/>
                <w:szCs w:val="16"/>
              </w:rPr>
              <w:t>Text</w:t>
            </w:r>
          </w:p>
        </w:tc>
        <w:tc>
          <w:tcPr>
            <w:tcW w:w="1507" w:type="dxa"/>
            <w:tcBorders>
              <w:bottom w:val="double" w:sz="4" w:space="0" w:color="auto"/>
            </w:tcBorders>
          </w:tcPr>
          <w:p w:rsidR="00F97D54" w:rsidRPr="00F43280" w:rsidRDefault="00F97D54" w:rsidP="00EB5B97">
            <w:pPr>
              <w:rPr>
                <w:sz w:val="16"/>
                <w:szCs w:val="16"/>
              </w:rPr>
            </w:pPr>
          </w:p>
        </w:tc>
      </w:tr>
    </w:tbl>
    <w:p w:rsidR="00F97D54" w:rsidRDefault="00F97D54" w:rsidP="00EB5B97"/>
    <w:p w:rsidR="002E3E2F" w:rsidRDefault="002E3E2F">
      <w:pPr>
        <w:widowControl/>
      </w:pPr>
      <w:r>
        <w:br w:type="page"/>
      </w:r>
    </w:p>
    <w:p w:rsidR="00F97D54" w:rsidRDefault="00F97D54" w:rsidP="00EB5B97">
      <w:r>
        <w:t>Instructions for Table II.A.14, Record Format for Descriptions for Circuits by Circuit:</w:t>
      </w:r>
    </w:p>
    <w:p w:rsidR="00F97D54" w:rsidRPr="007F07E7" w:rsidRDefault="00F97D54" w:rsidP="00EB5B97">
      <w:pPr>
        <w:rPr>
          <w:szCs w:val="22"/>
        </w:rPr>
      </w:pPr>
    </w:p>
    <w:p w:rsidR="00F97D54" w:rsidRPr="007F07E7" w:rsidRDefault="00F97D54" w:rsidP="00162BEB">
      <w:pPr>
        <w:pStyle w:val="ListParagraph"/>
        <w:widowControl/>
        <w:numPr>
          <w:ilvl w:val="0"/>
          <w:numId w:val="18"/>
        </w:numPr>
        <w:spacing w:after="200" w:line="276" w:lineRule="auto"/>
        <w:rPr>
          <w:sz w:val="22"/>
          <w:szCs w:val="22"/>
        </w:rPr>
      </w:pPr>
      <w:r w:rsidRPr="007F07E7">
        <w:rPr>
          <w:sz w:val="22"/>
          <w:szCs w:val="22"/>
          <w:u w:val="single"/>
        </w:rPr>
        <w:t>Billing_Code</w:t>
      </w:r>
      <w:r w:rsidRPr="007F07E7">
        <w:rPr>
          <w:sz w:val="22"/>
          <w:szCs w:val="22"/>
        </w:rPr>
        <w:t>:  The billing code variable is used to identify the individual components of billed circuits.  The billing</w:t>
      </w:r>
      <w:r>
        <w:rPr>
          <w:sz w:val="22"/>
          <w:szCs w:val="22"/>
        </w:rPr>
        <w:t xml:space="preserve"> code is</w:t>
      </w:r>
      <w:r w:rsidRPr="007F07E7">
        <w:rPr>
          <w:sz w:val="22"/>
          <w:szCs w:val="22"/>
        </w:rPr>
        <w:t xml:space="preserve"> used to link the billed circuit elements in </w:t>
      </w:r>
      <w:r>
        <w:rPr>
          <w:sz w:val="22"/>
          <w:szCs w:val="22"/>
        </w:rPr>
        <w:t>Q</w:t>
      </w:r>
      <w:r w:rsidRPr="007F07E7">
        <w:rPr>
          <w:sz w:val="22"/>
          <w:szCs w:val="22"/>
        </w:rPr>
        <w:t xml:space="preserve">uestion II.A.12 with the description of those elements in </w:t>
      </w:r>
      <w:r>
        <w:rPr>
          <w:sz w:val="22"/>
          <w:szCs w:val="22"/>
        </w:rPr>
        <w:t>Q</w:t>
      </w:r>
      <w:r w:rsidRPr="007F07E7">
        <w:rPr>
          <w:sz w:val="22"/>
          <w:szCs w:val="22"/>
        </w:rPr>
        <w:t xml:space="preserve">uestion II.A.14.  A USOC is an example of billing code.  </w:t>
      </w:r>
      <w:r w:rsidRPr="0060000B">
        <w:rPr>
          <w:i/>
          <w:sz w:val="22"/>
          <w:szCs w:val="22"/>
          <w:u w:val="single"/>
        </w:rPr>
        <w:t>However, USOC codes are not required to identify the circuit elements; you can create your own billing code</w:t>
      </w:r>
      <w:r w:rsidRPr="007F07E7">
        <w:rPr>
          <w:sz w:val="22"/>
          <w:szCs w:val="22"/>
        </w:rPr>
        <w:t xml:space="preserve">.  Enter the billing code as a </w:t>
      </w:r>
      <w:r>
        <w:rPr>
          <w:sz w:val="22"/>
          <w:szCs w:val="22"/>
        </w:rPr>
        <w:t>string variable</w:t>
      </w:r>
      <w:r w:rsidRPr="007F07E7">
        <w:rPr>
          <w:sz w:val="22"/>
          <w:szCs w:val="22"/>
        </w:rPr>
        <w:t xml:space="preserve"> not to exceed 15 characters in length.</w:t>
      </w:r>
    </w:p>
    <w:p w:rsidR="00F97D54" w:rsidRPr="007F07E7" w:rsidRDefault="00F97D54" w:rsidP="00EB5B97">
      <w:pPr>
        <w:pStyle w:val="ListParagraph"/>
        <w:rPr>
          <w:sz w:val="22"/>
          <w:szCs w:val="22"/>
        </w:rPr>
      </w:pPr>
    </w:p>
    <w:p w:rsidR="00F97D54" w:rsidRPr="007F07E7" w:rsidRDefault="00F97D54" w:rsidP="00EB5B97">
      <w:pPr>
        <w:pStyle w:val="ListParagraph"/>
        <w:numPr>
          <w:ilvl w:val="0"/>
          <w:numId w:val="18"/>
        </w:numPr>
        <w:spacing w:after="200" w:line="276" w:lineRule="auto"/>
        <w:rPr>
          <w:sz w:val="22"/>
          <w:szCs w:val="22"/>
        </w:rPr>
      </w:pPr>
      <w:r w:rsidRPr="007F07E7">
        <w:rPr>
          <w:sz w:val="22"/>
          <w:szCs w:val="22"/>
          <w:u w:val="single"/>
        </w:rPr>
        <w:t>Billing_Code_Desc</w:t>
      </w:r>
      <w:r>
        <w:rPr>
          <w:sz w:val="22"/>
          <w:szCs w:val="22"/>
          <w:u w:val="single"/>
        </w:rPr>
        <w:t>ription</w:t>
      </w:r>
      <w:r w:rsidRPr="007F07E7">
        <w:rPr>
          <w:sz w:val="22"/>
          <w:szCs w:val="22"/>
        </w:rPr>
        <w:t>:  Choose the descri</w:t>
      </w:r>
      <w:r>
        <w:rPr>
          <w:sz w:val="22"/>
          <w:szCs w:val="22"/>
        </w:rPr>
        <w:t>ption from the list/diagram in Q</w:t>
      </w:r>
      <w:r w:rsidRPr="007F07E7">
        <w:rPr>
          <w:sz w:val="22"/>
          <w:szCs w:val="22"/>
        </w:rPr>
        <w:t xml:space="preserve">uestion II.A.14 that best describes the circuit element.  </w:t>
      </w:r>
      <w:r w:rsidRPr="007F07E7">
        <w:rPr>
          <w:i/>
          <w:sz w:val="22"/>
          <w:szCs w:val="22"/>
        </w:rPr>
        <w:t>See</w:t>
      </w:r>
      <w:r w:rsidRPr="007F07E7">
        <w:rPr>
          <w:sz w:val="22"/>
          <w:szCs w:val="22"/>
        </w:rPr>
        <w:t xml:space="preserve"> list </w:t>
      </w:r>
      <w:r>
        <w:rPr>
          <w:sz w:val="22"/>
          <w:szCs w:val="22"/>
        </w:rPr>
        <w:t>of circuit elements in Q</w:t>
      </w:r>
      <w:r w:rsidRPr="007F07E7">
        <w:rPr>
          <w:sz w:val="22"/>
          <w:szCs w:val="22"/>
        </w:rPr>
        <w:t>uestion II.A.14.b.  Make every effort to assign the billed element to one of the categories listed here.  If the item billed to the customer does not fit any of these categories, this field may be left blank and the billed element can be described in the field Billing_Code_Desc_</w:t>
      </w:r>
      <w:r>
        <w:rPr>
          <w:sz w:val="22"/>
          <w:szCs w:val="22"/>
        </w:rPr>
        <w:t>Other</w:t>
      </w:r>
      <w:r w:rsidRPr="007F07E7">
        <w:rPr>
          <w:sz w:val="22"/>
          <w:szCs w:val="22"/>
        </w:rPr>
        <w:t>.  This may occur, for example, if circuits are billed as a complete package instead of on an element-by-element basis (</w:t>
      </w:r>
      <w:r w:rsidRPr="007F07E7">
        <w:rPr>
          <w:i/>
          <w:sz w:val="22"/>
          <w:szCs w:val="22"/>
        </w:rPr>
        <w:t>i.e.</w:t>
      </w:r>
      <w:r w:rsidRPr="007F07E7">
        <w:rPr>
          <w:sz w:val="22"/>
          <w:szCs w:val="22"/>
        </w:rPr>
        <w:t xml:space="preserve">, all the elements in the circuit are billed together under a single price).  In such a case, a single billing code for </w:t>
      </w:r>
      <w:r>
        <w:rPr>
          <w:sz w:val="22"/>
          <w:szCs w:val="22"/>
        </w:rPr>
        <w:t>the circuit elements listed in Q</w:t>
      </w:r>
      <w:r w:rsidRPr="007F07E7">
        <w:rPr>
          <w:sz w:val="22"/>
          <w:szCs w:val="22"/>
        </w:rPr>
        <w:t>uestion II.A.14.b may not apply; this field may be left blank and the appropriate description of the billed item may be filled out in Billing_Code_Desc_</w:t>
      </w:r>
      <w:r>
        <w:rPr>
          <w:sz w:val="22"/>
          <w:szCs w:val="22"/>
        </w:rPr>
        <w:t>Other</w:t>
      </w:r>
      <w:r w:rsidRPr="007F07E7">
        <w:rPr>
          <w:sz w:val="22"/>
          <w:szCs w:val="22"/>
        </w:rPr>
        <w:t>.</w:t>
      </w:r>
    </w:p>
    <w:p w:rsidR="00F97D54" w:rsidRPr="007F07E7" w:rsidRDefault="00F97D54" w:rsidP="00EB5B97">
      <w:pPr>
        <w:pStyle w:val="ListParagraph"/>
        <w:rPr>
          <w:sz w:val="22"/>
          <w:szCs w:val="22"/>
        </w:rPr>
      </w:pPr>
    </w:p>
    <w:p w:rsidR="00F97D54" w:rsidRPr="007F07E7" w:rsidRDefault="00F97D54" w:rsidP="00EB5B97">
      <w:pPr>
        <w:pStyle w:val="ListParagraph"/>
        <w:numPr>
          <w:ilvl w:val="0"/>
          <w:numId w:val="18"/>
        </w:numPr>
        <w:spacing w:after="200" w:line="276" w:lineRule="auto"/>
        <w:rPr>
          <w:sz w:val="22"/>
          <w:szCs w:val="22"/>
        </w:rPr>
      </w:pPr>
      <w:r w:rsidRPr="007F07E7">
        <w:rPr>
          <w:sz w:val="22"/>
          <w:szCs w:val="22"/>
          <w:u w:val="single"/>
        </w:rPr>
        <w:t>Billing_Code_Desc_</w:t>
      </w:r>
      <w:r>
        <w:rPr>
          <w:sz w:val="22"/>
          <w:szCs w:val="22"/>
          <w:u w:val="single"/>
        </w:rPr>
        <w:t>Other</w:t>
      </w:r>
      <w:r w:rsidRPr="007F07E7">
        <w:rPr>
          <w:sz w:val="22"/>
          <w:szCs w:val="22"/>
        </w:rPr>
        <w:t>:  Enter a longer description of the circuit element.  For circuit elements categorized under one of the descriptions in Billing_Code_Desc</w:t>
      </w:r>
      <w:r>
        <w:rPr>
          <w:sz w:val="22"/>
          <w:szCs w:val="22"/>
        </w:rPr>
        <w:t>ription</w:t>
      </w:r>
      <w:r w:rsidRPr="007F07E7">
        <w:rPr>
          <w:sz w:val="22"/>
          <w:szCs w:val="22"/>
        </w:rPr>
        <w:t>, this field is optional.  If Billing_Code_Desc</w:t>
      </w:r>
      <w:r>
        <w:rPr>
          <w:sz w:val="22"/>
          <w:szCs w:val="22"/>
        </w:rPr>
        <w:t>ription</w:t>
      </w:r>
      <w:r w:rsidRPr="007F07E7">
        <w:rPr>
          <w:sz w:val="22"/>
          <w:szCs w:val="22"/>
        </w:rPr>
        <w:t xml:space="preserve"> is left blank, this field is required.  Keep descriptions under 150 characters.</w:t>
      </w:r>
    </w:p>
    <w:p w:rsidR="00F97D54" w:rsidRPr="007F07E7" w:rsidRDefault="00F97D54" w:rsidP="00EB5B97">
      <w:pPr>
        <w:pStyle w:val="ListParagraph"/>
        <w:rPr>
          <w:sz w:val="22"/>
          <w:szCs w:val="22"/>
        </w:rPr>
      </w:pPr>
    </w:p>
    <w:p w:rsidR="00F97D54" w:rsidRPr="003C2D21" w:rsidRDefault="00F97D54" w:rsidP="004820FF">
      <w:pPr>
        <w:pStyle w:val="Heading5"/>
        <w:numPr>
          <w:ilvl w:val="0"/>
          <w:numId w:val="0"/>
        </w:numPr>
      </w:pPr>
      <w:bookmarkStart w:id="107" w:name="_Toc365972096"/>
      <w:r>
        <w:t>Revenues, Terms and Conditions Information</w:t>
      </w:r>
      <w:bookmarkEnd w:id="107"/>
    </w:p>
    <w:p w:rsidR="00F97D54" w:rsidRPr="004820FF" w:rsidRDefault="00F97D54" w:rsidP="004820FF">
      <w:pPr>
        <w:pStyle w:val="Heading4"/>
        <w:numPr>
          <w:ilvl w:val="0"/>
          <w:numId w:val="0"/>
        </w:numPr>
        <w:rPr>
          <w:b w:val="0"/>
          <w:i/>
        </w:rPr>
      </w:pPr>
      <w:bookmarkStart w:id="108" w:name="_Toc365972097"/>
      <w:r w:rsidRPr="004820FF">
        <w:rPr>
          <w:b w:val="0"/>
          <w:i/>
        </w:rPr>
        <w:t>Question II.A.15:  Sales Revenues for CBDS</w:t>
      </w:r>
      <w:bookmarkEnd w:id="108"/>
    </w:p>
    <w:tbl>
      <w:tblPr>
        <w:tblW w:w="8838" w:type="dxa"/>
        <w:tblLook w:val="01E0" w:firstRow="1" w:lastRow="1" w:firstColumn="1" w:lastColumn="1" w:noHBand="0" w:noVBand="0"/>
      </w:tblPr>
      <w:tblGrid>
        <w:gridCol w:w="2448"/>
        <w:gridCol w:w="3780"/>
        <w:gridCol w:w="990"/>
        <w:gridCol w:w="1620"/>
      </w:tblGrid>
      <w:tr w:rsidR="00F97D54" w:rsidRPr="00F43280" w:rsidTr="00EB5B97">
        <w:trPr>
          <w:trHeight w:val="432"/>
          <w:tblHeader/>
        </w:trPr>
        <w:tc>
          <w:tcPr>
            <w:tcW w:w="8838" w:type="dxa"/>
            <w:gridSpan w:val="4"/>
            <w:tcBorders>
              <w:top w:val="double" w:sz="4" w:space="0" w:color="auto"/>
              <w:bottom w:val="single" w:sz="4" w:space="0" w:color="auto"/>
            </w:tcBorders>
            <w:vAlign w:val="center"/>
          </w:tcPr>
          <w:p w:rsidR="00F97D54" w:rsidRPr="00F5506F" w:rsidRDefault="00F97D54" w:rsidP="00EB5B97">
            <w:pPr>
              <w:jc w:val="center"/>
              <w:rPr>
                <w:b/>
              </w:rPr>
            </w:pPr>
            <w:r w:rsidRPr="00F5506F">
              <w:rPr>
                <w:b/>
              </w:rPr>
              <w:t>Table II.A.15</w:t>
            </w:r>
          </w:p>
          <w:p w:rsidR="00F97D54" w:rsidRPr="00F43280" w:rsidRDefault="00F97D54" w:rsidP="00EB5B97">
            <w:pPr>
              <w:jc w:val="center"/>
              <w:rPr>
                <w:rFonts w:ascii="Times New Roman Bold" w:hAnsi="Times New Roman Bold"/>
              </w:rPr>
            </w:pPr>
            <w:r w:rsidRPr="00F5506F">
              <w:rPr>
                <w:b/>
              </w:rPr>
              <w:t xml:space="preserve">Record Format for </w:t>
            </w:r>
            <w:r w:rsidRPr="00F5506F">
              <w:rPr>
                <w:b/>
                <w:i/>
              </w:rPr>
              <w:t>CBDS</w:t>
            </w:r>
            <w:r w:rsidRPr="00F5506F">
              <w:rPr>
                <w:b/>
              </w:rPr>
              <w:t xml:space="preserve"> </w:t>
            </w:r>
            <w:r w:rsidRPr="00F5506F">
              <w:rPr>
                <w:b/>
                <w:i/>
              </w:rPr>
              <w:t>Revenues</w:t>
            </w:r>
          </w:p>
        </w:tc>
      </w:tr>
      <w:tr w:rsidR="00F97D54" w:rsidRPr="00F43280" w:rsidTr="00EB5B97">
        <w:trPr>
          <w:trHeight w:val="432"/>
          <w:tblHeader/>
        </w:trPr>
        <w:tc>
          <w:tcPr>
            <w:tcW w:w="2448" w:type="dxa"/>
            <w:tcBorders>
              <w:top w:val="single" w:sz="4" w:space="0" w:color="auto"/>
              <w:bottom w:val="single" w:sz="4" w:space="0" w:color="auto"/>
              <w:right w:val="single" w:sz="4" w:space="0" w:color="auto"/>
            </w:tcBorders>
            <w:vAlign w:val="center"/>
          </w:tcPr>
          <w:p w:rsidR="00F97D54" w:rsidRPr="00F43280" w:rsidRDefault="00F97D54" w:rsidP="00EB5B97">
            <w:pPr>
              <w:rPr>
                <w:b/>
                <w:sz w:val="18"/>
                <w:szCs w:val="18"/>
              </w:rPr>
            </w:pPr>
            <w:r w:rsidRPr="00F43280">
              <w:rPr>
                <w:b/>
                <w:sz w:val="18"/>
                <w:szCs w:val="18"/>
              </w:rPr>
              <w:t>Field Name</w:t>
            </w:r>
          </w:p>
        </w:tc>
        <w:tc>
          <w:tcPr>
            <w:tcW w:w="3780" w:type="dxa"/>
            <w:tcBorders>
              <w:top w:val="single" w:sz="4" w:space="0" w:color="auto"/>
              <w:left w:val="single" w:sz="4" w:space="0" w:color="auto"/>
              <w:bottom w:val="single" w:sz="4" w:space="0" w:color="auto"/>
              <w:right w:val="single" w:sz="4" w:space="0" w:color="auto"/>
            </w:tcBorders>
            <w:vAlign w:val="center"/>
          </w:tcPr>
          <w:p w:rsidR="00F97D54" w:rsidRPr="00F43280" w:rsidRDefault="00F97D54" w:rsidP="00EB5B97">
            <w:pPr>
              <w:rPr>
                <w:b/>
                <w:sz w:val="18"/>
                <w:szCs w:val="18"/>
              </w:rPr>
            </w:pPr>
            <w:r w:rsidRPr="00F43280">
              <w:rPr>
                <w:b/>
                <w:sz w:val="18"/>
                <w:szCs w:val="18"/>
              </w:rPr>
              <w:t>Description</w:t>
            </w:r>
          </w:p>
        </w:tc>
        <w:tc>
          <w:tcPr>
            <w:tcW w:w="990" w:type="dxa"/>
            <w:tcBorders>
              <w:top w:val="single" w:sz="4" w:space="0" w:color="auto"/>
              <w:left w:val="single" w:sz="4" w:space="0" w:color="auto"/>
              <w:bottom w:val="single" w:sz="4" w:space="0" w:color="auto"/>
              <w:right w:val="single" w:sz="4" w:space="0" w:color="auto"/>
            </w:tcBorders>
            <w:vAlign w:val="center"/>
          </w:tcPr>
          <w:p w:rsidR="00F97D54" w:rsidRPr="00F43280" w:rsidRDefault="00F97D54" w:rsidP="00EB5B97">
            <w:pPr>
              <w:rPr>
                <w:b/>
                <w:sz w:val="18"/>
                <w:szCs w:val="18"/>
              </w:rPr>
            </w:pPr>
            <w:r w:rsidRPr="00F43280">
              <w:rPr>
                <w:b/>
                <w:sz w:val="18"/>
                <w:szCs w:val="18"/>
              </w:rPr>
              <w:t>Type</w:t>
            </w:r>
          </w:p>
        </w:tc>
        <w:tc>
          <w:tcPr>
            <w:tcW w:w="1620" w:type="dxa"/>
            <w:tcBorders>
              <w:top w:val="single" w:sz="4" w:space="0" w:color="auto"/>
              <w:left w:val="single" w:sz="4" w:space="0" w:color="auto"/>
              <w:bottom w:val="single" w:sz="4" w:space="0" w:color="auto"/>
            </w:tcBorders>
            <w:vAlign w:val="center"/>
          </w:tcPr>
          <w:p w:rsidR="00F97D54" w:rsidRPr="00F43280" w:rsidRDefault="00F97D54" w:rsidP="00EB5B97">
            <w:pPr>
              <w:ind w:right="-108"/>
              <w:rPr>
                <w:b/>
                <w:sz w:val="18"/>
                <w:szCs w:val="18"/>
              </w:rPr>
            </w:pPr>
            <w:r w:rsidRPr="00F43280">
              <w:rPr>
                <w:b/>
                <w:sz w:val="18"/>
                <w:szCs w:val="18"/>
              </w:rPr>
              <w:t>Example</w:t>
            </w:r>
          </w:p>
        </w:tc>
      </w:tr>
      <w:tr w:rsidR="00F97D54" w:rsidRPr="00F43280" w:rsidTr="00EB5B97">
        <w:trPr>
          <w:trHeight w:val="315"/>
        </w:trPr>
        <w:tc>
          <w:tcPr>
            <w:tcW w:w="2448" w:type="dxa"/>
          </w:tcPr>
          <w:p w:rsidR="00F97D54" w:rsidRDefault="00F97D54" w:rsidP="00EB5B97">
            <w:pPr>
              <w:tabs>
                <w:tab w:val="left" w:pos="2022"/>
              </w:tabs>
              <w:rPr>
                <w:sz w:val="16"/>
                <w:szCs w:val="16"/>
              </w:rPr>
            </w:pPr>
            <w:r>
              <w:rPr>
                <w:sz w:val="16"/>
                <w:szCs w:val="16"/>
              </w:rPr>
              <w:t>Revenue</w:t>
            </w:r>
          </w:p>
        </w:tc>
        <w:tc>
          <w:tcPr>
            <w:tcW w:w="3780" w:type="dxa"/>
          </w:tcPr>
          <w:p w:rsidR="00F97D54" w:rsidRPr="00D4739B" w:rsidRDefault="00F97D54" w:rsidP="00EB5B97">
            <w:pPr>
              <w:rPr>
                <w:sz w:val="16"/>
                <w:szCs w:val="16"/>
              </w:rPr>
            </w:pPr>
            <w:r>
              <w:rPr>
                <w:sz w:val="16"/>
                <w:szCs w:val="16"/>
              </w:rPr>
              <w:t xml:space="preserve">Enter the total dollar amount of your </w:t>
            </w:r>
            <w:r>
              <w:rPr>
                <w:i/>
                <w:sz w:val="16"/>
                <w:szCs w:val="16"/>
              </w:rPr>
              <w:t xml:space="preserve">Revenues </w:t>
            </w:r>
            <w:r>
              <w:rPr>
                <w:sz w:val="16"/>
                <w:szCs w:val="16"/>
              </w:rPr>
              <w:t xml:space="preserve">from the sale of </w:t>
            </w:r>
            <w:r w:rsidRPr="00D4739B">
              <w:rPr>
                <w:i/>
                <w:sz w:val="16"/>
                <w:szCs w:val="16"/>
              </w:rPr>
              <w:t>CBDS</w:t>
            </w:r>
            <w:r>
              <w:rPr>
                <w:sz w:val="16"/>
                <w:szCs w:val="16"/>
              </w:rPr>
              <w:t xml:space="preserve"> for the reported Year</w:t>
            </w:r>
          </w:p>
        </w:tc>
        <w:tc>
          <w:tcPr>
            <w:tcW w:w="990" w:type="dxa"/>
          </w:tcPr>
          <w:p w:rsidR="00F97D54" w:rsidRDefault="00F97D54" w:rsidP="00EB5B97">
            <w:pPr>
              <w:rPr>
                <w:sz w:val="16"/>
                <w:szCs w:val="16"/>
              </w:rPr>
            </w:pPr>
            <w:r>
              <w:rPr>
                <w:sz w:val="16"/>
                <w:szCs w:val="16"/>
              </w:rPr>
              <w:t>Float</w:t>
            </w:r>
          </w:p>
        </w:tc>
        <w:tc>
          <w:tcPr>
            <w:tcW w:w="1620" w:type="dxa"/>
          </w:tcPr>
          <w:p w:rsidR="00F97D54" w:rsidRDefault="00F97D54" w:rsidP="00EB5B97">
            <w:pPr>
              <w:rPr>
                <w:sz w:val="16"/>
                <w:szCs w:val="16"/>
              </w:rPr>
            </w:pPr>
            <w:r>
              <w:rPr>
                <w:sz w:val="16"/>
                <w:szCs w:val="16"/>
              </w:rPr>
              <w:t>123,456</w:t>
            </w:r>
          </w:p>
        </w:tc>
      </w:tr>
      <w:tr w:rsidR="00F97D54" w:rsidRPr="00F43280" w:rsidTr="00EB5B97">
        <w:trPr>
          <w:trHeight w:val="315"/>
        </w:trPr>
        <w:tc>
          <w:tcPr>
            <w:tcW w:w="2448" w:type="dxa"/>
          </w:tcPr>
          <w:p w:rsidR="00F97D54" w:rsidRDefault="00F97D54" w:rsidP="00EB5B97">
            <w:pPr>
              <w:tabs>
                <w:tab w:val="left" w:pos="2022"/>
              </w:tabs>
              <w:rPr>
                <w:sz w:val="16"/>
                <w:szCs w:val="16"/>
              </w:rPr>
            </w:pPr>
            <w:r>
              <w:rPr>
                <w:sz w:val="16"/>
                <w:szCs w:val="16"/>
              </w:rPr>
              <w:t>Service_Type</w:t>
            </w:r>
          </w:p>
        </w:tc>
        <w:tc>
          <w:tcPr>
            <w:tcW w:w="3780" w:type="dxa"/>
          </w:tcPr>
          <w:p w:rsidR="00F97D54" w:rsidRPr="00F75801" w:rsidRDefault="00F97D54" w:rsidP="00EB5B97">
            <w:pPr>
              <w:rPr>
                <w:sz w:val="16"/>
                <w:szCs w:val="16"/>
              </w:rPr>
            </w:pPr>
            <w:r>
              <w:rPr>
                <w:sz w:val="16"/>
                <w:szCs w:val="16"/>
              </w:rPr>
              <w:t xml:space="preserve">Indicate the service type category for which the </w:t>
            </w:r>
            <w:r>
              <w:rPr>
                <w:i/>
                <w:sz w:val="16"/>
                <w:szCs w:val="16"/>
              </w:rPr>
              <w:t>R</w:t>
            </w:r>
            <w:r w:rsidRPr="00492A84">
              <w:rPr>
                <w:i/>
                <w:sz w:val="16"/>
                <w:szCs w:val="16"/>
              </w:rPr>
              <w:t>evenues</w:t>
            </w:r>
            <w:r>
              <w:rPr>
                <w:sz w:val="16"/>
                <w:szCs w:val="16"/>
              </w:rPr>
              <w:t xml:space="preserve"> are reported.  Enter “DS1” for </w:t>
            </w:r>
            <w:r w:rsidRPr="00492A84">
              <w:rPr>
                <w:i/>
                <w:sz w:val="16"/>
                <w:szCs w:val="16"/>
              </w:rPr>
              <w:t>DS1</w:t>
            </w:r>
            <w:r>
              <w:rPr>
                <w:sz w:val="16"/>
                <w:szCs w:val="16"/>
              </w:rPr>
              <w:t xml:space="preserve"> </w:t>
            </w:r>
            <w:r>
              <w:rPr>
                <w:i/>
                <w:sz w:val="16"/>
                <w:szCs w:val="16"/>
              </w:rPr>
              <w:t>Revenues</w:t>
            </w:r>
            <w:r>
              <w:rPr>
                <w:sz w:val="16"/>
                <w:szCs w:val="16"/>
              </w:rPr>
              <w:t xml:space="preserve">, enter “DS3” for </w:t>
            </w:r>
            <w:r>
              <w:rPr>
                <w:i/>
                <w:sz w:val="16"/>
                <w:szCs w:val="16"/>
              </w:rPr>
              <w:t>DS3 Revenues</w:t>
            </w:r>
            <w:r>
              <w:rPr>
                <w:sz w:val="16"/>
                <w:szCs w:val="16"/>
              </w:rPr>
              <w:t xml:space="preserve">, and enter “Other” for other </w:t>
            </w:r>
            <w:r>
              <w:rPr>
                <w:i/>
                <w:sz w:val="16"/>
                <w:szCs w:val="16"/>
              </w:rPr>
              <w:t>CBDS Revenues</w:t>
            </w:r>
            <w:r>
              <w:rPr>
                <w:sz w:val="16"/>
                <w:szCs w:val="16"/>
              </w:rPr>
              <w:t xml:space="preserve">. </w:t>
            </w:r>
          </w:p>
        </w:tc>
        <w:tc>
          <w:tcPr>
            <w:tcW w:w="990" w:type="dxa"/>
          </w:tcPr>
          <w:p w:rsidR="00F97D54" w:rsidRDefault="00F97D54" w:rsidP="00EB5B97">
            <w:pPr>
              <w:rPr>
                <w:sz w:val="16"/>
                <w:szCs w:val="16"/>
              </w:rPr>
            </w:pPr>
            <w:r>
              <w:rPr>
                <w:sz w:val="16"/>
                <w:szCs w:val="16"/>
              </w:rPr>
              <w:t>Text</w:t>
            </w:r>
          </w:p>
        </w:tc>
        <w:tc>
          <w:tcPr>
            <w:tcW w:w="1620" w:type="dxa"/>
          </w:tcPr>
          <w:p w:rsidR="00F97D54" w:rsidRDefault="00F97D54" w:rsidP="00EB5B97">
            <w:pPr>
              <w:rPr>
                <w:sz w:val="16"/>
                <w:szCs w:val="16"/>
              </w:rPr>
            </w:pPr>
            <w:r>
              <w:rPr>
                <w:sz w:val="16"/>
                <w:szCs w:val="16"/>
              </w:rPr>
              <w:t>DS3</w:t>
            </w:r>
          </w:p>
        </w:tc>
      </w:tr>
      <w:tr w:rsidR="00F97D54" w:rsidRPr="00F43280" w:rsidTr="00EB5B97">
        <w:trPr>
          <w:trHeight w:val="315"/>
        </w:trPr>
        <w:tc>
          <w:tcPr>
            <w:tcW w:w="2448" w:type="dxa"/>
          </w:tcPr>
          <w:p w:rsidR="00F97D54" w:rsidRDefault="00F97D54" w:rsidP="00EB5B97">
            <w:pPr>
              <w:tabs>
                <w:tab w:val="left" w:pos="2022"/>
              </w:tabs>
              <w:rPr>
                <w:sz w:val="16"/>
                <w:szCs w:val="16"/>
              </w:rPr>
            </w:pPr>
            <w:r>
              <w:rPr>
                <w:sz w:val="16"/>
                <w:szCs w:val="16"/>
              </w:rPr>
              <w:t>Customer_Type</w:t>
            </w:r>
          </w:p>
        </w:tc>
        <w:tc>
          <w:tcPr>
            <w:tcW w:w="3780" w:type="dxa"/>
          </w:tcPr>
          <w:p w:rsidR="00F97D54" w:rsidRPr="00492A84" w:rsidRDefault="00F97D54" w:rsidP="00EB5B97">
            <w:pPr>
              <w:rPr>
                <w:i/>
                <w:sz w:val="16"/>
                <w:szCs w:val="16"/>
              </w:rPr>
            </w:pPr>
            <w:r>
              <w:rPr>
                <w:sz w:val="16"/>
                <w:szCs w:val="16"/>
              </w:rPr>
              <w:t xml:space="preserve">Enter 0 if the reported </w:t>
            </w:r>
            <w:r>
              <w:rPr>
                <w:i/>
                <w:sz w:val="16"/>
                <w:szCs w:val="16"/>
              </w:rPr>
              <w:t>Revenues</w:t>
            </w:r>
            <w:r>
              <w:rPr>
                <w:sz w:val="16"/>
                <w:szCs w:val="16"/>
              </w:rPr>
              <w:t xml:space="preserve"> are for </w:t>
            </w:r>
            <w:r>
              <w:rPr>
                <w:i/>
                <w:sz w:val="16"/>
                <w:szCs w:val="16"/>
              </w:rPr>
              <w:t>End Users</w:t>
            </w:r>
            <w:r>
              <w:rPr>
                <w:sz w:val="16"/>
                <w:szCs w:val="16"/>
              </w:rPr>
              <w:t xml:space="preserve">, and enter 1 if the reported </w:t>
            </w:r>
            <w:r>
              <w:rPr>
                <w:i/>
                <w:sz w:val="16"/>
                <w:szCs w:val="16"/>
              </w:rPr>
              <w:t>Revenues</w:t>
            </w:r>
            <w:r>
              <w:rPr>
                <w:sz w:val="16"/>
                <w:szCs w:val="16"/>
              </w:rPr>
              <w:t xml:space="preserve"> are for </w:t>
            </w:r>
            <w:r>
              <w:rPr>
                <w:i/>
                <w:sz w:val="16"/>
                <w:szCs w:val="16"/>
              </w:rPr>
              <w:t>Providers</w:t>
            </w:r>
          </w:p>
        </w:tc>
        <w:tc>
          <w:tcPr>
            <w:tcW w:w="990" w:type="dxa"/>
          </w:tcPr>
          <w:p w:rsidR="00F97D54" w:rsidRDefault="00F97D54" w:rsidP="00EB5B97">
            <w:pPr>
              <w:rPr>
                <w:sz w:val="16"/>
                <w:szCs w:val="16"/>
              </w:rPr>
            </w:pPr>
            <w:r>
              <w:rPr>
                <w:sz w:val="16"/>
                <w:szCs w:val="16"/>
              </w:rPr>
              <w:t>Binary</w:t>
            </w:r>
          </w:p>
        </w:tc>
        <w:tc>
          <w:tcPr>
            <w:tcW w:w="1620" w:type="dxa"/>
          </w:tcPr>
          <w:p w:rsidR="00F97D54" w:rsidRDefault="00F97D54" w:rsidP="00EB5B97">
            <w:pPr>
              <w:rPr>
                <w:sz w:val="16"/>
                <w:szCs w:val="16"/>
              </w:rPr>
            </w:pPr>
            <w:r>
              <w:rPr>
                <w:sz w:val="16"/>
                <w:szCs w:val="16"/>
              </w:rPr>
              <w:t>1</w:t>
            </w:r>
          </w:p>
        </w:tc>
      </w:tr>
      <w:tr w:rsidR="00F97D54" w:rsidRPr="00F43280" w:rsidTr="00EB5B97">
        <w:trPr>
          <w:trHeight w:val="315"/>
        </w:trPr>
        <w:tc>
          <w:tcPr>
            <w:tcW w:w="2448" w:type="dxa"/>
            <w:tcBorders>
              <w:bottom w:val="double" w:sz="4" w:space="0" w:color="auto"/>
            </w:tcBorders>
          </w:tcPr>
          <w:p w:rsidR="00F97D54" w:rsidRDefault="00F97D54" w:rsidP="00EB5B97">
            <w:pPr>
              <w:tabs>
                <w:tab w:val="left" w:pos="2022"/>
              </w:tabs>
              <w:rPr>
                <w:sz w:val="16"/>
                <w:szCs w:val="16"/>
              </w:rPr>
            </w:pPr>
            <w:r>
              <w:rPr>
                <w:sz w:val="16"/>
                <w:szCs w:val="16"/>
              </w:rPr>
              <w:t>Year</w:t>
            </w:r>
          </w:p>
        </w:tc>
        <w:tc>
          <w:tcPr>
            <w:tcW w:w="3780" w:type="dxa"/>
            <w:tcBorders>
              <w:bottom w:val="double" w:sz="4" w:space="0" w:color="auto"/>
            </w:tcBorders>
          </w:tcPr>
          <w:p w:rsidR="00F97D54" w:rsidRPr="0098143C" w:rsidRDefault="00F97D54" w:rsidP="00EB5B97">
            <w:pPr>
              <w:rPr>
                <w:sz w:val="16"/>
                <w:szCs w:val="16"/>
              </w:rPr>
            </w:pPr>
            <w:r>
              <w:rPr>
                <w:sz w:val="16"/>
                <w:szCs w:val="16"/>
              </w:rPr>
              <w:t xml:space="preserve">Enter “2010” if the reported </w:t>
            </w:r>
            <w:r>
              <w:rPr>
                <w:i/>
                <w:sz w:val="16"/>
                <w:szCs w:val="16"/>
              </w:rPr>
              <w:t>Revenues</w:t>
            </w:r>
            <w:r>
              <w:rPr>
                <w:sz w:val="16"/>
                <w:szCs w:val="16"/>
              </w:rPr>
              <w:t xml:space="preserve"> are for the year 2010, and enter “2012” if the reported </w:t>
            </w:r>
            <w:r>
              <w:rPr>
                <w:i/>
                <w:sz w:val="16"/>
                <w:szCs w:val="16"/>
              </w:rPr>
              <w:t>Revenues</w:t>
            </w:r>
            <w:r>
              <w:rPr>
                <w:sz w:val="16"/>
                <w:szCs w:val="16"/>
              </w:rPr>
              <w:t xml:space="preserve"> are for the year 2012</w:t>
            </w:r>
          </w:p>
        </w:tc>
        <w:tc>
          <w:tcPr>
            <w:tcW w:w="990" w:type="dxa"/>
            <w:tcBorders>
              <w:bottom w:val="double" w:sz="4" w:space="0" w:color="auto"/>
            </w:tcBorders>
          </w:tcPr>
          <w:p w:rsidR="00F97D54" w:rsidRDefault="00F97D54" w:rsidP="00EB5B97">
            <w:pPr>
              <w:rPr>
                <w:sz w:val="16"/>
                <w:szCs w:val="16"/>
              </w:rPr>
            </w:pPr>
            <w:r>
              <w:rPr>
                <w:sz w:val="16"/>
                <w:szCs w:val="16"/>
              </w:rPr>
              <w:t>Integer</w:t>
            </w:r>
          </w:p>
        </w:tc>
        <w:tc>
          <w:tcPr>
            <w:tcW w:w="1620" w:type="dxa"/>
            <w:tcBorders>
              <w:bottom w:val="double" w:sz="4" w:space="0" w:color="auto"/>
            </w:tcBorders>
          </w:tcPr>
          <w:p w:rsidR="00F97D54" w:rsidRDefault="00F97D54" w:rsidP="00EB5B97">
            <w:pPr>
              <w:rPr>
                <w:sz w:val="16"/>
                <w:szCs w:val="16"/>
              </w:rPr>
            </w:pPr>
            <w:r>
              <w:rPr>
                <w:sz w:val="16"/>
                <w:szCs w:val="16"/>
              </w:rPr>
              <w:t>2012</w:t>
            </w:r>
          </w:p>
        </w:tc>
      </w:tr>
    </w:tbl>
    <w:p w:rsidR="00F97D54" w:rsidRDefault="00587EB9" w:rsidP="00587EB9">
      <w:pPr>
        <w:tabs>
          <w:tab w:val="left" w:pos="1440"/>
        </w:tabs>
        <w:rPr>
          <w:i/>
          <w:szCs w:val="22"/>
        </w:rPr>
      </w:pPr>
      <w:r>
        <w:rPr>
          <w:i/>
          <w:szCs w:val="22"/>
        </w:rPr>
        <w:tab/>
      </w:r>
    </w:p>
    <w:p w:rsidR="00F6299F" w:rsidRDefault="00F6299F">
      <w:pPr>
        <w:widowControl/>
        <w:rPr>
          <w:i/>
        </w:rPr>
      </w:pPr>
      <w:bookmarkStart w:id="109" w:name="_Toc365972098"/>
      <w:r>
        <w:rPr>
          <w:b/>
          <w:i/>
        </w:rPr>
        <w:br w:type="page"/>
      </w:r>
    </w:p>
    <w:p w:rsidR="00F97D54" w:rsidRPr="004820FF" w:rsidRDefault="00F97D54" w:rsidP="004820FF">
      <w:pPr>
        <w:pStyle w:val="Heading4"/>
        <w:numPr>
          <w:ilvl w:val="0"/>
          <w:numId w:val="0"/>
        </w:numPr>
        <w:rPr>
          <w:b w:val="0"/>
          <w:i/>
        </w:rPr>
      </w:pPr>
      <w:r w:rsidRPr="004820FF">
        <w:rPr>
          <w:b w:val="0"/>
          <w:i/>
        </w:rPr>
        <w:t>Question II.A.16:  Sales Revenues for PBDS</w:t>
      </w:r>
      <w:bookmarkEnd w:id="109"/>
    </w:p>
    <w:tbl>
      <w:tblPr>
        <w:tblW w:w="8838" w:type="dxa"/>
        <w:tblLook w:val="01E0" w:firstRow="1" w:lastRow="1" w:firstColumn="1" w:lastColumn="1" w:noHBand="0" w:noVBand="0"/>
      </w:tblPr>
      <w:tblGrid>
        <w:gridCol w:w="2448"/>
        <w:gridCol w:w="3780"/>
        <w:gridCol w:w="1162"/>
        <w:gridCol w:w="1448"/>
      </w:tblGrid>
      <w:tr w:rsidR="00F97D54" w:rsidRPr="00F43280" w:rsidTr="00EB5B97">
        <w:trPr>
          <w:trHeight w:val="432"/>
          <w:tblHeader/>
        </w:trPr>
        <w:tc>
          <w:tcPr>
            <w:tcW w:w="8838" w:type="dxa"/>
            <w:gridSpan w:val="4"/>
            <w:tcBorders>
              <w:top w:val="double" w:sz="4" w:space="0" w:color="auto"/>
              <w:bottom w:val="single" w:sz="4" w:space="0" w:color="auto"/>
            </w:tcBorders>
            <w:vAlign w:val="center"/>
          </w:tcPr>
          <w:p w:rsidR="00F97D54" w:rsidRPr="00E603EA" w:rsidRDefault="00F97D54" w:rsidP="00EB5B97">
            <w:pPr>
              <w:jc w:val="center"/>
              <w:rPr>
                <w:b/>
              </w:rPr>
            </w:pPr>
            <w:r w:rsidRPr="00E603EA">
              <w:rPr>
                <w:b/>
              </w:rPr>
              <w:t>Table II.A.16</w:t>
            </w:r>
          </w:p>
          <w:p w:rsidR="00F97D54" w:rsidRPr="008D6340" w:rsidRDefault="00F97D54" w:rsidP="00EB5B97">
            <w:pPr>
              <w:jc w:val="center"/>
              <w:rPr>
                <w:rFonts w:ascii="Times New Roman Bold" w:hAnsi="Times New Roman Bold"/>
              </w:rPr>
            </w:pPr>
            <w:r w:rsidRPr="00E603EA">
              <w:rPr>
                <w:b/>
              </w:rPr>
              <w:t xml:space="preserve">Record Format for </w:t>
            </w:r>
            <w:r w:rsidRPr="00E603EA">
              <w:rPr>
                <w:b/>
                <w:i/>
              </w:rPr>
              <w:t>PBDS</w:t>
            </w:r>
            <w:r w:rsidRPr="00E603EA">
              <w:rPr>
                <w:b/>
              </w:rPr>
              <w:t xml:space="preserve"> </w:t>
            </w:r>
            <w:r w:rsidRPr="00E603EA">
              <w:rPr>
                <w:b/>
                <w:i/>
              </w:rPr>
              <w:t>Revenues</w:t>
            </w:r>
          </w:p>
        </w:tc>
      </w:tr>
      <w:tr w:rsidR="00F97D54" w:rsidRPr="00F43280" w:rsidTr="00EB5B97">
        <w:trPr>
          <w:trHeight w:val="432"/>
          <w:tblHeader/>
        </w:trPr>
        <w:tc>
          <w:tcPr>
            <w:tcW w:w="2448" w:type="dxa"/>
            <w:tcBorders>
              <w:top w:val="single" w:sz="4" w:space="0" w:color="auto"/>
              <w:bottom w:val="single" w:sz="4" w:space="0" w:color="auto"/>
              <w:right w:val="single" w:sz="4" w:space="0" w:color="auto"/>
            </w:tcBorders>
            <w:vAlign w:val="center"/>
          </w:tcPr>
          <w:p w:rsidR="00F97D54" w:rsidRPr="00F43280" w:rsidRDefault="00F97D54" w:rsidP="00EB5B97">
            <w:pPr>
              <w:rPr>
                <w:b/>
                <w:sz w:val="18"/>
                <w:szCs w:val="18"/>
              </w:rPr>
            </w:pPr>
            <w:r w:rsidRPr="00F43280">
              <w:rPr>
                <w:b/>
                <w:sz w:val="18"/>
                <w:szCs w:val="18"/>
              </w:rPr>
              <w:t>Field Name</w:t>
            </w:r>
          </w:p>
        </w:tc>
        <w:tc>
          <w:tcPr>
            <w:tcW w:w="3780" w:type="dxa"/>
            <w:tcBorders>
              <w:top w:val="single" w:sz="4" w:space="0" w:color="auto"/>
              <w:left w:val="single" w:sz="4" w:space="0" w:color="auto"/>
              <w:bottom w:val="single" w:sz="4" w:space="0" w:color="auto"/>
              <w:right w:val="single" w:sz="4" w:space="0" w:color="auto"/>
            </w:tcBorders>
            <w:vAlign w:val="center"/>
          </w:tcPr>
          <w:p w:rsidR="00F97D54" w:rsidRPr="00F43280" w:rsidRDefault="00F97D54" w:rsidP="00EB5B97">
            <w:pPr>
              <w:rPr>
                <w:b/>
                <w:sz w:val="18"/>
                <w:szCs w:val="18"/>
              </w:rPr>
            </w:pPr>
            <w:r w:rsidRPr="00F43280">
              <w:rPr>
                <w:b/>
                <w:sz w:val="18"/>
                <w:szCs w:val="18"/>
              </w:rPr>
              <w:t>Description</w:t>
            </w:r>
          </w:p>
        </w:tc>
        <w:tc>
          <w:tcPr>
            <w:tcW w:w="1162" w:type="dxa"/>
            <w:tcBorders>
              <w:top w:val="single" w:sz="4" w:space="0" w:color="auto"/>
              <w:left w:val="single" w:sz="4" w:space="0" w:color="auto"/>
              <w:bottom w:val="single" w:sz="4" w:space="0" w:color="auto"/>
              <w:right w:val="single" w:sz="4" w:space="0" w:color="auto"/>
            </w:tcBorders>
            <w:vAlign w:val="center"/>
          </w:tcPr>
          <w:p w:rsidR="00F97D54" w:rsidRPr="00F43280" w:rsidRDefault="00F97D54" w:rsidP="00EB5B97">
            <w:pPr>
              <w:rPr>
                <w:b/>
                <w:sz w:val="18"/>
                <w:szCs w:val="18"/>
              </w:rPr>
            </w:pPr>
            <w:r w:rsidRPr="00F43280">
              <w:rPr>
                <w:b/>
                <w:sz w:val="18"/>
                <w:szCs w:val="18"/>
              </w:rPr>
              <w:t>Type</w:t>
            </w:r>
          </w:p>
        </w:tc>
        <w:tc>
          <w:tcPr>
            <w:tcW w:w="1448" w:type="dxa"/>
            <w:tcBorders>
              <w:top w:val="single" w:sz="4" w:space="0" w:color="auto"/>
              <w:left w:val="single" w:sz="4" w:space="0" w:color="auto"/>
              <w:bottom w:val="single" w:sz="4" w:space="0" w:color="auto"/>
            </w:tcBorders>
            <w:vAlign w:val="center"/>
          </w:tcPr>
          <w:p w:rsidR="00F97D54" w:rsidRPr="00F43280" w:rsidRDefault="00F97D54" w:rsidP="00EB5B97">
            <w:pPr>
              <w:ind w:right="-108"/>
              <w:rPr>
                <w:b/>
                <w:sz w:val="18"/>
                <w:szCs w:val="18"/>
              </w:rPr>
            </w:pPr>
            <w:r w:rsidRPr="00F43280">
              <w:rPr>
                <w:b/>
                <w:sz w:val="18"/>
                <w:szCs w:val="18"/>
              </w:rPr>
              <w:t>Example</w:t>
            </w:r>
          </w:p>
        </w:tc>
      </w:tr>
      <w:tr w:rsidR="00F97D54" w:rsidRPr="00F43280" w:rsidTr="00EB5B97">
        <w:trPr>
          <w:trHeight w:val="360"/>
        </w:trPr>
        <w:tc>
          <w:tcPr>
            <w:tcW w:w="2448" w:type="dxa"/>
          </w:tcPr>
          <w:p w:rsidR="00F97D54" w:rsidRDefault="00F97D54" w:rsidP="00EB5B97">
            <w:pPr>
              <w:tabs>
                <w:tab w:val="left" w:pos="2022"/>
              </w:tabs>
              <w:rPr>
                <w:sz w:val="16"/>
                <w:szCs w:val="16"/>
              </w:rPr>
            </w:pPr>
            <w:r>
              <w:rPr>
                <w:sz w:val="16"/>
                <w:szCs w:val="16"/>
              </w:rPr>
              <w:t>Revenue</w:t>
            </w:r>
          </w:p>
        </w:tc>
        <w:tc>
          <w:tcPr>
            <w:tcW w:w="3780" w:type="dxa"/>
          </w:tcPr>
          <w:p w:rsidR="00F97D54" w:rsidRPr="0098143C" w:rsidRDefault="00F97D54" w:rsidP="00EB5B97">
            <w:pPr>
              <w:rPr>
                <w:sz w:val="16"/>
                <w:szCs w:val="16"/>
              </w:rPr>
            </w:pPr>
            <w:r>
              <w:rPr>
                <w:sz w:val="16"/>
                <w:szCs w:val="16"/>
              </w:rPr>
              <w:t xml:space="preserve">Enter the total dollar amount of your </w:t>
            </w:r>
            <w:r>
              <w:rPr>
                <w:i/>
                <w:sz w:val="16"/>
                <w:szCs w:val="16"/>
              </w:rPr>
              <w:t xml:space="preserve">Revenues </w:t>
            </w:r>
            <w:r>
              <w:rPr>
                <w:sz w:val="16"/>
                <w:szCs w:val="16"/>
              </w:rPr>
              <w:t xml:space="preserve">from the sale of </w:t>
            </w:r>
            <w:r>
              <w:rPr>
                <w:i/>
                <w:sz w:val="16"/>
                <w:szCs w:val="16"/>
              </w:rPr>
              <w:t>P</w:t>
            </w:r>
            <w:r w:rsidRPr="00D4739B">
              <w:rPr>
                <w:i/>
                <w:sz w:val="16"/>
                <w:szCs w:val="16"/>
              </w:rPr>
              <w:t>BDS</w:t>
            </w:r>
            <w:r>
              <w:rPr>
                <w:sz w:val="16"/>
                <w:szCs w:val="16"/>
              </w:rPr>
              <w:t xml:space="preserve"> for the reported Year</w:t>
            </w:r>
          </w:p>
        </w:tc>
        <w:tc>
          <w:tcPr>
            <w:tcW w:w="1162" w:type="dxa"/>
          </w:tcPr>
          <w:p w:rsidR="00F97D54" w:rsidRDefault="00F97D54" w:rsidP="00EB5B97">
            <w:pPr>
              <w:rPr>
                <w:sz w:val="16"/>
                <w:szCs w:val="16"/>
              </w:rPr>
            </w:pPr>
            <w:r>
              <w:rPr>
                <w:sz w:val="16"/>
                <w:szCs w:val="16"/>
              </w:rPr>
              <w:t>Float</w:t>
            </w:r>
          </w:p>
        </w:tc>
        <w:tc>
          <w:tcPr>
            <w:tcW w:w="1448" w:type="dxa"/>
          </w:tcPr>
          <w:p w:rsidR="00F97D54" w:rsidRDefault="00F97D54" w:rsidP="00EB5B97">
            <w:pPr>
              <w:rPr>
                <w:sz w:val="16"/>
                <w:szCs w:val="16"/>
              </w:rPr>
            </w:pPr>
            <w:r>
              <w:rPr>
                <w:sz w:val="16"/>
                <w:szCs w:val="16"/>
              </w:rPr>
              <w:t>123,456</w:t>
            </w:r>
          </w:p>
        </w:tc>
      </w:tr>
      <w:tr w:rsidR="00F97D54" w:rsidRPr="00F43280" w:rsidTr="00EB5B97">
        <w:trPr>
          <w:trHeight w:val="360"/>
        </w:trPr>
        <w:tc>
          <w:tcPr>
            <w:tcW w:w="2448" w:type="dxa"/>
          </w:tcPr>
          <w:p w:rsidR="00F97D54" w:rsidRDefault="00F97D54" w:rsidP="00EB5B97">
            <w:pPr>
              <w:tabs>
                <w:tab w:val="left" w:pos="2022"/>
              </w:tabs>
              <w:rPr>
                <w:sz w:val="16"/>
                <w:szCs w:val="16"/>
              </w:rPr>
            </w:pPr>
            <w:r>
              <w:rPr>
                <w:sz w:val="16"/>
                <w:szCs w:val="16"/>
              </w:rPr>
              <w:t>Bandwidth</w:t>
            </w:r>
          </w:p>
        </w:tc>
        <w:tc>
          <w:tcPr>
            <w:tcW w:w="3780" w:type="dxa"/>
          </w:tcPr>
          <w:p w:rsidR="00F97D54" w:rsidRPr="008C2601" w:rsidRDefault="00F97D54" w:rsidP="00EB5B97">
            <w:pPr>
              <w:rPr>
                <w:sz w:val="16"/>
                <w:szCs w:val="16"/>
              </w:rPr>
            </w:pPr>
            <w:r>
              <w:rPr>
                <w:sz w:val="16"/>
                <w:szCs w:val="16"/>
              </w:rPr>
              <w:t xml:space="preserve">Indicate the bandwidth category for which the </w:t>
            </w:r>
            <w:r w:rsidRPr="00492A84">
              <w:rPr>
                <w:i/>
                <w:sz w:val="16"/>
                <w:szCs w:val="16"/>
              </w:rPr>
              <w:t>Revenues</w:t>
            </w:r>
            <w:r>
              <w:rPr>
                <w:sz w:val="16"/>
                <w:szCs w:val="16"/>
              </w:rPr>
              <w:t xml:space="preserve"> are reported.  Enter “A” for bandwidth less than or equal to 1.5 Mbps, enter “B” for bandwidth greater than 1.5 Mbps but less than or equal to 50 Mbps, enter “C” for bandwidth greater than 50 Mbps but less than or equal to 100 Mbps, enter “D” for bandwidth greater than 100 Mbps but less than or equal to 1 Gbps, and enter “E” for bandwidth greater than 1 Gbps</w:t>
            </w:r>
          </w:p>
        </w:tc>
        <w:tc>
          <w:tcPr>
            <w:tcW w:w="1162" w:type="dxa"/>
          </w:tcPr>
          <w:p w:rsidR="00F97D54" w:rsidRDefault="00F97D54" w:rsidP="00EB5B97">
            <w:pPr>
              <w:rPr>
                <w:sz w:val="16"/>
                <w:szCs w:val="16"/>
              </w:rPr>
            </w:pPr>
            <w:r>
              <w:rPr>
                <w:sz w:val="16"/>
                <w:szCs w:val="16"/>
              </w:rPr>
              <w:t>Text</w:t>
            </w:r>
          </w:p>
        </w:tc>
        <w:tc>
          <w:tcPr>
            <w:tcW w:w="1448" w:type="dxa"/>
          </w:tcPr>
          <w:p w:rsidR="00F97D54" w:rsidRDefault="00F97D54" w:rsidP="00EB5B97">
            <w:pPr>
              <w:rPr>
                <w:sz w:val="16"/>
                <w:szCs w:val="16"/>
              </w:rPr>
            </w:pPr>
            <w:r>
              <w:rPr>
                <w:sz w:val="16"/>
                <w:szCs w:val="16"/>
              </w:rPr>
              <w:t>D</w:t>
            </w:r>
          </w:p>
        </w:tc>
      </w:tr>
      <w:tr w:rsidR="00F97D54" w:rsidRPr="00F43280" w:rsidTr="00EB5B97">
        <w:trPr>
          <w:trHeight w:val="360"/>
        </w:trPr>
        <w:tc>
          <w:tcPr>
            <w:tcW w:w="2448" w:type="dxa"/>
          </w:tcPr>
          <w:p w:rsidR="00F97D54" w:rsidRDefault="00F97D54" w:rsidP="00EB5B97">
            <w:pPr>
              <w:tabs>
                <w:tab w:val="left" w:pos="2022"/>
              </w:tabs>
              <w:rPr>
                <w:sz w:val="16"/>
                <w:szCs w:val="16"/>
              </w:rPr>
            </w:pPr>
            <w:r>
              <w:rPr>
                <w:sz w:val="16"/>
                <w:szCs w:val="16"/>
              </w:rPr>
              <w:t>Customer_Type</w:t>
            </w:r>
          </w:p>
        </w:tc>
        <w:tc>
          <w:tcPr>
            <w:tcW w:w="3780" w:type="dxa"/>
          </w:tcPr>
          <w:p w:rsidR="00F97D54" w:rsidRPr="005D261F" w:rsidRDefault="00F97D54" w:rsidP="00EB5B97">
            <w:pPr>
              <w:rPr>
                <w:sz w:val="16"/>
                <w:szCs w:val="16"/>
              </w:rPr>
            </w:pPr>
            <w:r>
              <w:rPr>
                <w:sz w:val="16"/>
                <w:szCs w:val="16"/>
              </w:rPr>
              <w:t xml:space="preserve">Enter 0 if the reported </w:t>
            </w:r>
            <w:r w:rsidRPr="00492A84">
              <w:rPr>
                <w:i/>
                <w:sz w:val="16"/>
                <w:szCs w:val="16"/>
              </w:rPr>
              <w:t>Revenues</w:t>
            </w:r>
            <w:r>
              <w:rPr>
                <w:sz w:val="16"/>
                <w:szCs w:val="16"/>
              </w:rPr>
              <w:t xml:space="preserve"> are for </w:t>
            </w:r>
            <w:r w:rsidRPr="00492A84">
              <w:rPr>
                <w:i/>
                <w:sz w:val="16"/>
                <w:szCs w:val="16"/>
              </w:rPr>
              <w:t>End Users</w:t>
            </w:r>
            <w:r>
              <w:rPr>
                <w:sz w:val="16"/>
                <w:szCs w:val="16"/>
              </w:rPr>
              <w:t xml:space="preserve">, and enter 1 if the reported </w:t>
            </w:r>
            <w:r w:rsidRPr="00492A84">
              <w:rPr>
                <w:i/>
                <w:sz w:val="16"/>
                <w:szCs w:val="16"/>
              </w:rPr>
              <w:t>Revenues</w:t>
            </w:r>
            <w:r>
              <w:rPr>
                <w:sz w:val="16"/>
                <w:szCs w:val="16"/>
              </w:rPr>
              <w:t xml:space="preserve"> are for </w:t>
            </w:r>
            <w:r w:rsidRPr="00492A84">
              <w:rPr>
                <w:i/>
                <w:sz w:val="16"/>
                <w:szCs w:val="16"/>
              </w:rPr>
              <w:t>Providers</w:t>
            </w:r>
          </w:p>
        </w:tc>
        <w:tc>
          <w:tcPr>
            <w:tcW w:w="1162" w:type="dxa"/>
          </w:tcPr>
          <w:p w:rsidR="00F97D54" w:rsidRDefault="00F97D54" w:rsidP="00EB5B97">
            <w:pPr>
              <w:rPr>
                <w:sz w:val="16"/>
                <w:szCs w:val="16"/>
              </w:rPr>
            </w:pPr>
            <w:r>
              <w:rPr>
                <w:sz w:val="16"/>
                <w:szCs w:val="16"/>
              </w:rPr>
              <w:t>Binary</w:t>
            </w:r>
          </w:p>
        </w:tc>
        <w:tc>
          <w:tcPr>
            <w:tcW w:w="1448" w:type="dxa"/>
          </w:tcPr>
          <w:p w:rsidR="00F97D54" w:rsidRDefault="00F97D54" w:rsidP="00EB5B97">
            <w:pPr>
              <w:rPr>
                <w:sz w:val="16"/>
                <w:szCs w:val="16"/>
              </w:rPr>
            </w:pPr>
            <w:r>
              <w:rPr>
                <w:sz w:val="16"/>
                <w:szCs w:val="16"/>
              </w:rPr>
              <w:t>1</w:t>
            </w:r>
          </w:p>
        </w:tc>
      </w:tr>
      <w:tr w:rsidR="00F97D54" w:rsidRPr="00F43280" w:rsidTr="00EB5B97">
        <w:trPr>
          <w:trHeight w:val="360"/>
        </w:trPr>
        <w:tc>
          <w:tcPr>
            <w:tcW w:w="2448" w:type="dxa"/>
            <w:tcBorders>
              <w:bottom w:val="double" w:sz="4" w:space="0" w:color="auto"/>
            </w:tcBorders>
          </w:tcPr>
          <w:p w:rsidR="00F97D54" w:rsidRDefault="00F97D54" w:rsidP="00EB5B97">
            <w:pPr>
              <w:tabs>
                <w:tab w:val="left" w:pos="2022"/>
              </w:tabs>
              <w:rPr>
                <w:sz w:val="16"/>
                <w:szCs w:val="16"/>
              </w:rPr>
            </w:pPr>
            <w:r>
              <w:rPr>
                <w:sz w:val="16"/>
                <w:szCs w:val="16"/>
              </w:rPr>
              <w:t>Year</w:t>
            </w:r>
          </w:p>
        </w:tc>
        <w:tc>
          <w:tcPr>
            <w:tcW w:w="3780" w:type="dxa"/>
            <w:tcBorders>
              <w:bottom w:val="double" w:sz="4" w:space="0" w:color="auto"/>
            </w:tcBorders>
          </w:tcPr>
          <w:p w:rsidR="00F97D54" w:rsidRPr="0098143C" w:rsidRDefault="00F97D54" w:rsidP="00EB5B97">
            <w:pPr>
              <w:rPr>
                <w:sz w:val="16"/>
                <w:szCs w:val="16"/>
              </w:rPr>
            </w:pPr>
            <w:r>
              <w:rPr>
                <w:sz w:val="16"/>
                <w:szCs w:val="16"/>
              </w:rPr>
              <w:t xml:space="preserve">Enter “2010” if the reported </w:t>
            </w:r>
            <w:r w:rsidRPr="00492A84">
              <w:rPr>
                <w:i/>
                <w:sz w:val="16"/>
                <w:szCs w:val="16"/>
              </w:rPr>
              <w:t>Revenues</w:t>
            </w:r>
            <w:r>
              <w:rPr>
                <w:sz w:val="16"/>
                <w:szCs w:val="16"/>
              </w:rPr>
              <w:t xml:space="preserve"> are for the year 2010, and enter “2012” if the reported </w:t>
            </w:r>
            <w:r w:rsidRPr="00492A84">
              <w:rPr>
                <w:i/>
                <w:sz w:val="16"/>
                <w:szCs w:val="16"/>
              </w:rPr>
              <w:t>Revenues</w:t>
            </w:r>
            <w:r>
              <w:rPr>
                <w:sz w:val="16"/>
                <w:szCs w:val="16"/>
              </w:rPr>
              <w:t xml:space="preserve"> are for the year 2012</w:t>
            </w:r>
          </w:p>
        </w:tc>
        <w:tc>
          <w:tcPr>
            <w:tcW w:w="1162" w:type="dxa"/>
            <w:tcBorders>
              <w:bottom w:val="double" w:sz="4" w:space="0" w:color="auto"/>
            </w:tcBorders>
          </w:tcPr>
          <w:p w:rsidR="00F97D54" w:rsidRDefault="00F97D54" w:rsidP="00EB5B97">
            <w:pPr>
              <w:rPr>
                <w:sz w:val="16"/>
                <w:szCs w:val="16"/>
              </w:rPr>
            </w:pPr>
            <w:r>
              <w:rPr>
                <w:sz w:val="16"/>
                <w:szCs w:val="16"/>
              </w:rPr>
              <w:t>Integer</w:t>
            </w:r>
          </w:p>
        </w:tc>
        <w:tc>
          <w:tcPr>
            <w:tcW w:w="1448" w:type="dxa"/>
            <w:tcBorders>
              <w:bottom w:val="double" w:sz="4" w:space="0" w:color="auto"/>
            </w:tcBorders>
          </w:tcPr>
          <w:p w:rsidR="00F97D54" w:rsidRDefault="00F97D54" w:rsidP="00EB5B97">
            <w:pPr>
              <w:rPr>
                <w:sz w:val="16"/>
                <w:szCs w:val="16"/>
              </w:rPr>
            </w:pPr>
            <w:r>
              <w:rPr>
                <w:sz w:val="16"/>
                <w:szCs w:val="16"/>
              </w:rPr>
              <w:t>2012</w:t>
            </w:r>
          </w:p>
        </w:tc>
      </w:tr>
    </w:tbl>
    <w:p w:rsidR="00F97D54" w:rsidRDefault="00F97D54" w:rsidP="00EB5B97">
      <w:pPr>
        <w:tabs>
          <w:tab w:val="left" w:pos="2022"/>
        </w:tabs>
        <w:rPr>
          <w:i/>
          <w:szCs w:val="22"/>
        </w:rPr>
      </w:pPr>
    </w:p>
    <w:p w:rsidR="00F97D54" w:rsidRPr="004820FF" w:rsidRDefault="00F97D54" w:rsidP="004820FF">
      <w:pPr>
        <w:pStyle w:val="Heading4"/>
        <w:numPr>
          <w:ilvl w:val="0"/>
          <w:numId w:val="0"/>
        </w:numPr>
        <w:tabs>
          <w:tab w:val="clear" w:pos="2880"/>
          <w:tab w:val="left" w:pos="0"/>
        </w:tabs>
        <w:rPr>
          <w:b w:val="0"/>
          <w:i/>
        </w:rPr>
      </w:pPr>
      <w:bookmarkStart w:id="110" w:name="_Toc365972099"/>
      <w:r w:rsidRPr="004820FF">
        <w:rPr>
          <w:b w:val="0"/>
          <w:i/>
        </w:rPr>
        <w:t>Question II.A.17:  Percentage of Revenues Generated from Agreement or Tariff Containing a Prior Purchase-Based Commitment</w:t>
      </w:r>
      <w:bookmarkEnd w:id="110"/>
    </w:p>
    <w:tbl>
      <w:tblPr>
        <w:tblW w:w="8838" w:type="dxa"/>
        <w:tblLook w:val="01E0" w:firstRow="1" w:lastRow="1" w:firstColumn="1" w:lastColumn="1" w:noHBand="0" w:noVBand="0"/>
      </w:tblPr>
      <w:tblGrid>
        <w:gridCol w:w="2358"/>
        <w:gridCol w:w="4016"/>
        <w:gridCol w:w="1384"/>
        <w:gridCol w:w="1080"/>
      </w:tblGrid>
      <w:tr w:rsidR="00F97D54" w:rsidRPr="00F43280" w:rsidTr="00EB5B97">
        <w:trPr>
          <w:trHeight w:val="432"/>
          <w:tblHeader/>
        </w:trPr>
        <w:tc>
          <w:tcPr>
            <w:tcW w:w="8838" w:type="dxa"/>
            <w:gridSpan w:val="4"/>
            <w:tcBorders>
              <w:top w:val="double" w:sz="4" w:space="0" w:color="auto"/>
              <w:bottom w:val="single" w:sz="4" w:space="0" w:color="auto"/>
            </w:tcBorders>
            <w:vAlign w:val="center"/>
          </w:tcPr>
          <w:p w:rsidR="00F97D54" w:rsidRPr="00E603EA" w:rsidRDefault="00F97D54" w:rsidP="00EB5B97">
            <w:pPr>
              <w:jc w:val="center"/>
              <w:rPr>
                <w:b/>
              </w:rPr>
            </w:pPr>
            <w:r w:rsidRPr="00E603EA">
              <w:rPr>
                <w:b/>
              </w:rPr>
              <w:t>Table II.A.17</w:t>
            </w:r>
          </w:p>
          <w:p w:rsidR="00F97D54" w:rsidRDefault="00F97D54" w:rsidP="00EB5B97">
            <w:pPr>
              <w:jc w:val="center"/>
              <w:rPr>
                <w:b/>
              </w:rPr>
            </w:pPr>
            <w:r>
              <w:rPr>
                <w:b/>
              </w:rPr>
              <w:t xml:space="preserve"> </w:t>
            </w:r>
            <w:r w:rsidRPr="00E603EA">
              <w:rPr>
                <w:b/>
              </w:rPr>
              <w:t xml:space="preserve">Record Format for </w:t>
            </w:r>
            <w:r w:rsidRPr="00E603EA">
              <w:rPr>
                <w:b/>
                <w:i/>
              </w:rPr>
              <w:t>Revenues</w:t>
            </w:r>
            <w:r w:rsidRPr="00E603EA">
              <w:rPr>
                <w:b/>
              </w:rPr>
              <w:t xml:space="preserve"> </w:t>
            </w:r>
          </w:p>
          <w:p w:rsidR="00F97D54" w:rsidRPr="00F43280" w:rsidRDefault="00F97D54" w:rsidP="00EB5B97">
            <w:pPr>
              <w:ind w:right="-108"/>
              <w:jc w:val="center"/>
              <w:rPr>
                <w:b/>
                <w:sz w:val="18"/>
                <w:szCs w:val="18"/>
              </w:rPr>
            </w:pPr>
            <w:r w:rsidRPr="00E603EA">
              <w:rPr>
                <w:b/>
              </w:rPr>
              <w:t xml:space="preserve">Generated by </w:t>
            </w:r>
            <w:r w:rsidRPr="00E603EA">
              <w:rPr>
                <w:b/>
                <w:i/>
              </w:rPr>
              <w:t>Prior Purchase-Based Commitments</w:t>
            </w:r>
          </w:p>
        </w:tc>
      </w:tr>
      <w:tr w:rsidR="00F97D54" w:rsidRPr="00F43280" w:rsidTr="00EB5B97">
        <w:trPr>
          <w:trHeight w:val="432"/>
          <w:tblHeader/>
        </w:trPr>
        <w:tc>
          <w:tcPr>
            <w:tcW w:w="2358" w:type="dxa"/>
            <w:tcBorders>
              <w:top w:val="single" w:sz="4" w:space="0" w:color="auto"/>
              <w:bottom w:val="single" w:sz="4" w:space="0" w:color="auto"/>
              <w:right w:val="single" w:sz="4" w:space="0" w:color="auto"/>
            </w:tcBorders>
            <w:vAlign w:val="center"/>
          </w:tcPr>
          <w:p w:rsidR="00F97D54" w:rsidRPr="00F43280" w:rsidRDefault="00F97D54" w:rsidP="00EB5B97">
            <w:pPr>
              <w:rPr>
                <w:b/>
                <w:sz w:val="18"/>
                <w:szCs w:val="18"/>
              </w:rPr>
            </w:pPr>
            <w:r w:rsidRPr="00F43280">
              <w:rPr>
                <w:b/>
                <w:sz w:val="18"/>
                <w:szCs w:val="18"/>
              </w:rPr>
              <w:t>Field Name</w:t>
            </w:r>
          </w:p>
        </w:tc>
        <w:tc>
          <w:tcPr>
            <w:tcW w:w="4016" w:type="dxa"/>
            <w:tcBorders>
              <w:top w:val="single" w:sz="4" w:space="0" w:color="auto"/>
              <w:left w:val="single" w:sz="4" w:space="0" w:color="auto"/>
              <w:bottom w:val="single" w:sz="4" w:space="0" w:color="auto"/>
              <w:right w:val="single" w:sz="4" w:space="0" w:color="auto"/>
            </w:tcBorders>
            <w:vAlign w:val="center"/>
          </w:tcPr>
          <w:p w:rsidR="00F97D54" w:rsidRPr="00F43280" w:rsidRDefault="00F97D54" w:rsidP="00EB5B97">
            <w:pPr>
              <w:rPr>
                <w:b/>
                <w:sz w:val="18"/>
                <w:szCs w:val="18"/>
              </w:rPr>
            </w:pPr>
            <w:r w:rsidRPr="00F43280">
              <w:rPr>
                <w:b/>
                <w:sz w:val="18"/>
                <w:szCs w:val="18"/>
              </w:rPr>
              <w:t>Description</w:t>
            </w:r>
          </w:p>
        </w:tc>
        <w:tc>
          <w:tcPr>
            <w:tcW w:w="1384" w:type="dxa"/>
            <w:tcBorders>
              <w:top w:val="single" w:sz="4" w:space="0" w:color="auto"/>
              <w:left w:val="single" w:sz="4" w:space="0" w:color="auto"/>
              <w:bottom w:val="single" w:sz="4" w:space="0" w:color="auto"/>
              <w:right w:val="single" w:sz="4" w:space="0" w:color="auto"/>
            </w:tcBorders>
            <w:vAlign w:val="center"/>
          </w:tcPr>
          <w:p w:rsidR="00F97D54" w:rsidRPr="00F43280" w:rsidRDefault="00F97D54" w:rsidP="00EB5B97">
            <w:pPr>
              <w:rPr>
                <w:b/>
                <w:sz w:val="18"/>
                <w:szCs w:val="18"/>
              </w:rPr>
            </w:pPr>
            <w:r w:rsidRPr="00F43280">
              <w:rPr>
                <w:b/>
                <w:sz w:val="18"/>
                <w:szCs w:val="18"/>
              </w:rPr>
              <w:t>Type</w:t>
            </w:r>
          </w:p>
        </w:tc>
        <w:tc>
          <w:tcPr>
            <w:tcW w:w="1080" w:type="dxa"/>
            <w:tcBorders>
              <w:top w:val="single" w:sz="4" w:space="0" w:color="auto"/>
              <w:left w:val="single" w:sz="4" w:space="0" w:color="auto"/>
              <w:bottom w:val="single" w:sz="4" w:space="0" w:color="auto"/>
            </w:tcBorders>
            <w:vAlign w:val="center"/>
          </w:tcPr>
          <w:p w:rsidR="00F97D54" w:rsidRPr="00F43280" w:rsidRDefault="00F97D54" w:rsidP="00EB5B97">
            <w:pPr>
              <w:ind w:right="-108"/>
              <w:rPr>
                <w:b/>
                <w:sz w:val="18"/>
                <w:szCs w:val="18"/>
              </w:rPr>
            </w:pPr>
            <w:r w:rsidRPr="00F43280">
              <w:rPr>
                <w:b/>
                <w:sz w:val="18"/>
                <w:szCs w:val="18"/>
              </w:rPr>
              <w:t>Example</w:t>
            </w:r>
          </w:p>
        </w:tc>
      </w:tr>
      <w:tr w:rsidR="00F97D54" w:rsidRPr="00F43280" w:rsidTr="00EB5B97">
        <w:trPr>
          <w:trHeight w:val="360"/>
        </w:trPr>
        <w:tc>
          <w:tcPr>
            <w:tcW w:w="2358" w:type="dxa"/>
            <w:vAlign w:val="center"/>
          </w:tcPr>
          <w:p w:rsidR="00F97D54" w:rsidRPr="00F43280" w:rsidRDefault="00F97D54" w:rsidP="00EB5B97">
            <w:pPr>
              <w:tabs>
                <w:tab w:val="left" w:pos="2022"/>
              </w:tabs>
              <w:rPr>
                <w:sz w:val="16"/>
                <w:szCs w:val="16"/>
              </w:rPr>
            </w:pPr>
            <w:r>
              <w:rPr>
                <w:sz w:val="16"/>
                <w:szCs w:val="16"/>
              </w:rPr>
              <w:t>Percent_Rev_2012_DS1_PPC</w:t>
            </w:r>
          </w:p>
        </w:tc>
        <w:tc>
          <w:tcPr>
            <w:tcW w:w="4016" w:type="dxa"/>
          </w:tcPr>
          <w:p w:rsidR="00F97D54" w:rsidRPr="00F43280" w:rsidRDefault="00F97D54" w:rsidP="00EB5B97">
            <w:pPr>
              <w:rPr>
                <w:sz w:val="16"/>
                <w:szCs w:val="16"/>
              </w:rPr>
            </w:pPr>
            <w:r>
              <w:rPr>
                <w:sz w:val="16"/>
                <w:szCs w:val="16"/>
              </w:rPr>
              <w:t xml:space="preserve">Percentage of </w:t>
            </w:r>
            <w:r w:rsidRPr="00C74008">
              <w:rPr>
                <w:i/>
                <w:sz w:val="16"/>
                <w:szCs w:val="16"/>
              </w:rPr>
              <w:t>Revenue</w:t>
            </w:r>
            <w:r>
              <w:rPr>
                <w:sz w:val="16"/>
                <w:szCs w:val="16"/>
              </w:rPr>
              <w:t xml:space="preserve"> from sales of </w:t>
            </w:r>
            <w:r w:rsidRPr="00C74008">
              <w:rPr>
                <w:i/>
                <w:sz w:val="16"/>
                <w:szCs w:val="16"/>
              </w:rPr>
              <w:t>DS1</w:t>
            </w:r>
            <w:r>
              <w:rPr>
                <w:i/>
                <w:sz w:val="16"/>
                <w:szCs w:val="16"/>
              </w:rPr>
              <w:t>s</w:t>
            </w:r>
            <w:r>
              <w:rPr>
                <w:sz w:val="16"/>
                <w:szCs w:val="16"/>
              </w:rPr>
              <w:t xml:space="preserve"> in 2012 from agreements or tariffs which contain </w:t>
            </w:r>
            <w:r w:rsidRPr="00C74008">
              <w:rPr>
                <w:i/>
                <w:sz w:val="16"/>
                <w:szCs w:val="16"/>
              </w:rPr>
              <w:t>Prior Purchase-Based Commitments</w:t>
            </w:r>
            <w:r>
              <w:rPr>
                <w:sz w:val="16"/>
                <w:szCs w:val="16"/>
              </w:rPr>
              <w:t xml:space="preserve"> </w:t>
            </w:r>
          </w:p>
        </w:tc>
        <w:tc>
          <w:tcPr>
            <w:tcW w:w="1384" w:type="dxa"/>
          </w:tcPr>
          <w:p w:rsidR="00F97D54" w:rsidRPr="00F43280" w:rsidRDefault="00F97D54" w:rsidP="00EB5B97">
            <w:pPr>
              <w:rPr>
                <w:sz w:val="16"/>
                <w:szCs w:val="16"/>
              </w:rPr>
            </w:pPr>
            <w:r>
              <w:rPr>
                <w:sz w:val="16"/>
                <w:szCs w:val="16"/>
              </w:rPr>
              <w:t>Percentage</w:t>
            </w:r>
          </w:p>
        </w:tc>
        <w:tc>
          <w:tcPr>
            <w:tcW w:w="1080" w:type="dxa"/>
          </w:tcPr>
          <w:p w:rsidR="00F97D54" w:rsidRPr="00F43280" w:rsidRDefault="00F97D54" w:rsidP="00EB5B97">
            <w:pPr>
              <w:rPr>
                <w:sz w:val="16"/>
                <w:szCs w:val="16"/>
              </w:rPr>
            </w:pPr>
            <w:r>
              <w:rPr>
                <w:sz w:val="16"/>
                <w:szCs w:val="16"/>
              </w:rPr>
              <w:t>5.0</w:t>
            </w:r>
          </w:p>
        </w:tc>
      </w:tr>
      <w:tr w:rsidR="00F97D54" w:rsidRPr="00F43280" w:rsidTr="00EB5B97">
        <w:trPr>
          <w:trHeight w:val="360"/>
        </w:trPr>
        <w:tc>
          <w:tcPr>
            <w:tcW w:w="2358" w:type="dxa"/>
            <w:vAlign w:val="center"/>
          </w:tcPr>
          <w:p w:rsidR="00F97D54" w:rsidRPr="00F43280" w:rsidRDefault="00F97D54" w:rsidP="00EB5B97">
            <w:pPr>
              <w:tabs>
                <w:tab w:val="left" w:pos="2022"/>
              </w:tabs>
              <w:rPr>
                <w:sz w:val="16"/>
                <w:szCs w:val="16"/>
              </w:rPr>
            </w:pPr>
            <w:r>
              <w:rPr>
                <w:sz w:val="16"/>
                <w:szCs w:val="16"/>
              </w:rPr>
              <w:t>Percent_Rev_2012_DS3_PPC</w:t>
            </w:r>
          </w:p>
        </w:tc>
        <w:tc>
          <w:tcPr>
            <w:tcW w:w="4016" w:type="dxa"/>
          </w:tcPr>
          <w:p w:rsidR="00F97D54" w:rsidRPr="00F43280" w:rsidRDefault="00F97D54" w:rsidP="00EB5B97">
            <w:pPr>
              <w:rPr>
                <w:sz w:val="16"/>
                <w:szCs w:val="16"/>
              </w:rPr>
            </w:pPr>
            <w:r>
              <w:rPr>
                <w:sz w:val="16"/>
                <w:szCs w:val="16"/>
              </w:rPr>
              <w:t xml:space="preserve">Percentage of </w:t>
            </w:r>
            <w:r w:rsidRPr="00C74008">
              <w:rPr>
                <w:i/>
                <w:sz w:val="16"/>
                <w:szCs w:val="16"/>
              </w:rPr>
              <w:t>Revenue</w:t>
            </w:r>
            <w:r>
              <w:rPr>
                <w:sz w:val="16"/>
                <w:szCs w:val="16"/>
              </w:rPr>
              <w:t xml:space="preserve"> from sales of </w:t>
            </w:r>
            <w:r w:rsidRPr="00C74008">
              <w:rPr>
                <w:i/>
                <w:sz w:val="16"/>
                <w:szCs w:val="16"/>
              </w:rPr>
              <w:t>DS3</w:t>
            </w:r>
            <w:r>
              <w:rPr>
                <w:i/>
                <w:sz w:val="16"/>
                <w:szCs w:val="16"/>
              </w:rPr>
              <w:t>s</w:t>
            </w:r>
            <w:r>
              <w:rPr>
                <w:sz w:val="16"/>
                <w:szCs w:val="16"/>
              </w:rPr>
              <w:t xml:space="preserve"> in 2012 from agreements or tariffs which contain </w:t>
            </w:r>
            <w:r w:rsidRPr="00C74008">
              <w:rPr>
                <w:i/>
                <w:sz w:val="16"/>
                <w:szCs w:val="16"/>
              </w:rPr>
              <w:t>Prior Purchase-Based Commitments</w:t>
            </w:r>
            <w:r>
              <w:rPr>
                <w:sz w:val="16"/>
                <w:szCs w:val="16"/>
              </w:rPr>
              <w:t xml:space="preserve"> </w:t>
            </w:r>
          </w:p>
        </w:tc>
        <w:tc>
          <w:tcPr>
            <w:tcW w:w="1384" w:type="dxa"/>
          </w:tcPr>
          <w:p w:rsidR="00F97D54" w:rsidRPr="00F43280" w:rsidRDefault="00F97D54" w:rsidP="00EB5B97">
            <w:pPr>
              <w:rPr>
                <w:sz w:val="16"/>
                <w:szCs w:val="16"/>
              </w:rPr>
            </w:pPr>
            <w:r>
              <w:rPr>
                <w:sz w:val="16"/>
                <w:szCs w:val="16"/>
              </w:rPr>
              <w:t>Percentage</w:t>
            </w:r>
          </w:p>
        </w:tc>
        <w:tc>
          <w:tcPr>
            <w:tcW w:w="1080" w:type="dxa"/>
          </w:tcPr>
          <w:p w:rsidR="00F97D54" w:rsidRPr="00F43280" w:rsidRDefault="00F97D54" w:rsidP="00EB5B97">
            <w:pPr>
              <w:rPr>
                <w:sz w:val="16"/>
                <w:szCs w:val="16"/>
              </w:rPr>
            </w:pPr>
            <w:r>
              <w:rPr>
                <w:sz w:val="16"/>
                <w:szCs w:val="16"/>
              </w:rPr>
              <w:t>5.0</w:t>
            </w:r>
          </w:p>
        </w:tc>
      </w:tr>
      <w:tr w:rsidR="00F97D54" w:rsidRPr="00F43280" w:rsidTr="00EB5B97">
        <w:trPr>
          <w:trHeight w:val="360"/>
        </w:trPr>
        <w:tc>
          <w:tcPr>
            <w:tcW w:w="2358" w:type="dxa"/>
            <w:tcBorders>
              <w:bottom w:val="double" w:sz="4" w:space="0" w:color="auto"/>
            </w:tcBorders>
            <w:vAlign w:val="center"/>
          </w:tcPr>
          <w:p w:rsidR="00F97D54" w:rsidRPr="00F43280" w:rsidRDefault="00F97D54" w:rsidP="00EB5B97">
            <w:pPr>
              <w:tabs>
                <w:tab w:val="left" w:pos="2022"/>
              </w:tabs>
              <w:rPr>
                <w:sz w:val="16"/>
                <w:szCs w:val="16"/>
              </w:rPr>
            </w:pPr>
            <w:r>
              <w:rPr>
                <w:sz w:val="16"/>
                <w:szCs w:val="16"/>
              </w:rPr>
              <w:t>Percent_Rev_2012_PBDS_PPC</w:t>
            </w:r>
          </w:p>
        </w:tc>
        <w:tc>
          <w:tcPr>
            <w:tcW w:w="4016" w:type="dxa"/>
            <w:tcBorders>
              <w:bottom w:val="double" w:sz="4" w:space="0" w:color="auto"/>
            </w:tcBorders>
          </w:tcPr>
          <w:p w:rsidR="00F97D54" w:rsidRPr="00F43280" w:rsidRDefault="00F97D54" w:rsidP="00EB5B97">
            <w:pPr>
              <w:rPr>
                <w:sz w:val="16"/>
                <w:szCs w:val="16"/>
              </w:rPr>
            </w:pPr>
            <w:r>
              <w:rPr>
                <w:sz w:val="16"/>
                <w:szCs w:val="16"/>
              </w:rPr>
              <w:t xml:space="preserve">Percentage of </w:t>
            </w:r>
            <w:r w:rsidRPr="00C74008">
              <w:rPr>
                <w:i/>
                <w:sz w:val="16"/>
                <w:szCs w:val="16"/>
              </w:rPr>
              <w:t>Revenue</w:t>
            </w:r>
            <w:r>
              <w:rPr>
                <w:sz w:val="16"/>
                <w:szCs w:val="16"/>
              </w:rPr>
              <w:t xml:space="preserve"> from sales of </w:t>
            </w:r>
            <w:r w:rsidRPr="00C74008">
              <w:rPr>
                <w:i/>
                <w:sz w:val="16"/>
                <w:szCs w:val="16"/>
              </w:rPr>
              <w:t>PBDS</w:t>
            </w:r>
            <w:r>
              <w:rPr>
                <w:sz w:val="16"/>
                <w:szCs w:val="16"/>
              </w:rPr>
              <w:t xml:space="preserve"> in 2012 from agreements or tariffs which contain </w:t>
            </w:r>
            <w:r w:rsidRPr="00C74008">
              <w:rPr>
                <w:i/>
                <w:sz w:val="16"/>
                <w:szCs w:val="16"/>
              </w:rPr>
              <w:t>Prior Purchase-Based Commitments</w:t>
            </w:r>
            <w:r>
              <w:rPr>
                <w:sz w:val="16"/>
                <w:szCs w:val="16"/>
              </w:rPr>
              <w:t xml:space="preserve"> </w:t>
            </w:r>
          </w:p>
        </w:tc>
        <w:tc>
          <w:tcPr>
            <w:tcW w:w="1384" w:type="dxa"/>
            <w:tcBorders>
              <w:bottom w:val="double" w:sz="4" w:space="0" w:color="auto"/>
            </w:tcBorders>
          </w:tcPr>
          <w:p w:rsidR="00F97D54" w:rsidRPr="00F43280" w:rsidRDefault="00F97D54" w:rsidP="00EB5B97">
            <w:pPr>
              <w:rPr>
                <w:sz w:val="16"/>
                <w:szCs w:val="16"/>
              </w:rPr>
            </w:pPr>
            <w:r>
              <w:rPr>
                <w:sz w:val="16"/>
                <w:szCs w:val="16"/>
              </w:rPr>
              <w:t>Percentage</w:t>
            </w:r>
          </w:p>
        </w:tc>
        <w:tc>
          <w:tcPr>
            <w:tcW w:w="1080" w:type="dxa"/>
            <w:tcBorders>
              <w:bottom w:val="double" w:sz="4" w:space="0" w:color="auto"/>
            </w:tcBorders>
          </w:tcPr>
          <w:p w:rsidR="00F97D54" w:rsidRPr="00F43280" w:rsidRDefault="00F97D54" w:rsidP="00EB5B97">
            <w:pPr>
              <w:rPr>
                <w:sz w:val="16"/>
                <w:szCs w:val="16"/>
              </w:rPr>
            </w:pPr>
            <w:r>
              <w:rPr>
                <w:sz w:val="16"/>
                <w:szCs w:val="16"/>
              </w:rPr>
              <w:t>5.0</w:t>
            </w:r>
          </w:p>
        </w:tc>
      </w:tr>
    </w:tbl>
    <w:p w:rsidR="00F97D54" w:rsidRPr="004820FF" w:rsidRDefault="00F97D54" w:rsidP="00EB5B97">
      <w:pPr>
        <w:tabs>
          <w:tab w:val="left" w:pos="2022"/>
        </w:tabs>
        <w:rPr>
          <w:i/>
          <w:szCs w:val="22"/>
        </w:rPr>
      </w:pPr>
    </w:p>
    <w:p w:rsidR="00F97D54" w:rsidRPr="004820FF" w:rsidRDefault="00F97D54" w:rsidP="004820FF">
      <w:pPr>
        <w:pStyle w:val="Heading4"/>
        <w:numPr>
          <w:ilvl w:val="0"/>
          <w:numId w:val="0"/>
        </w:numPr>
        <w:spacing w:after="0"/>
        <w:rPr>
          <w:b w:val="0"/>
          <w:i/>
        </w:rPr>
      </w:pPr>
      <w:bookmarkStart w:id="111" w:name="_Toc365972100"/>
      <w:r w:rsidRPr="004820FF">
        <w:rPr>
          <w:b w:val="0"/>
          <w:i/>
        </w:rPr>
        <w:t>Question II.A.18:  How do your terms and conditions compare with ILEC offerings?</w:t>
      </w:r>
      <w:bookmarkEnd w:id="111"/>
      <w:r w:rsidRPr="004820FF">
        <w:rPr>
          <w:b w:val="0"/>
          <w:i/>
        </w:rPr>
        <w:t xml:space="preserve"> </w:t>
      </w:r>
    </w:p>
    <w:p w:rsidR="00F97D54" w:rsidRPr="004820FF" w:rsidRDefault="00F97D54" w:rsidP="004820FF">
      <w:pPr>
        <w:pStyle w:val="Heading4"/>
        <w:numPr>
          <w:ilvl w:val="0"/>
          <w:numId w:val="0"/>
        </w:numPr>
        <w:rPr>
          <w:b w:val="0"/>
          <w:i/>
          <w:szCs w:val="22"/>
        </w:rPr>
      </w:pPr>
      <w:bookmarkStart w:id="112" w:name="_Toc365972101"/>
      <w:r w:rsidRPr="004820FF">
        <w:rPr>
          <w:b w:val="0"/>
          <w:i/>
        </w:rPr>
        <w:t>Question II.A.19:  Business Justification for Term and Volume Commitments</w:t>
      </w:r>
      <w:bookmarkEnd w:id="112"/>
    </w:p>
    <w:p w:rsidR="00F97D54" w:rsidRDefault="00F97D54" w:rsidP="00EB5B97">
      <w:r>
        <w:t xml:space="preserve">You must upload a .pdf text searchable (not a picture/image) document responding to Questions II.A.18 and II.A.19 through the Special Access Web Portal in the “Essay Questions – File Upload” section; you will not include these documents in the data container.  </w:t>
      </w:r>
    </w:p>
    <w:p w:rsidR="00F97D54" w:rsidRDefault="00F97D54" w:rsidP="00EB5B97"/>
    <w:p w:rsidR="00F97D54" w:rsidRPr="00587EB9" w:rsidRDefault="00F97D54" w:rsidP="00F6299F">
      <w:pPr>
        <w:widowControl/>
        <w:rPr>
          <w:iCs/>
        </w:rPr>
      </w:pPr>
      <w:r>
        <w:t xml:space="preserve">The web portal contains two areas for uploading documents for each question.  One is for uploading the “Confidential” version of the document where you </w:t>
      </w:r>
      <w:r>
        <w:rPr>
          <w:rStyle w:val="Emphasis"/>
          <w:i w:val="0"/>
        </w:rPr>
        <w:t xml:space="preserve">will indicate information deemed </w:t>
      </w:r>
      <w:r w:rsidRPr="00974151">
        <w:rPr>
          <w:rStyle w:val="Emphasis"/>
          <w:i w:val="0"/>
        </w:rPr>
        <w:t>Confidential</w:t>
      </w:r>
      <w:r>
        <w:rPr>
          <w:rStyle w:val="Emphasis"/>
          <w:i w:val="0"/>
        </w:rPr>
        <w:t xml:space="preserve"> and redact information that is </w:t>
      </w:r>
      <w:r w:rsidRPr="00974151">
        <w:rPr>
          <w:rStyle w:val="Emphasis"/>
          <w:i w:val="0"/>
        </w:rPr>
        <w:t>Highly Confidential</w:t>
      </w:r>
      <w:r>
        <w:rPr>
          <w:rStyle w:val="Emphasis"/>
          <w:i w:val="0"/>
        </w:rPr>
        <w:t xml:space="preserve"> based on the Protective Order issued for the data collection.  The second area is for uploading the “Highly Confidential” version of the document noting both </w:t>
      </w:r>
      <w:r w:rsidRPr="00974151">
        <w:rPr>
          <w:rStyle w:val="Emphasis"/>
          <w:i w:val="0"/>
        </w:rPr>
        <w:t>Confidential</w:t>
      </w:r>
      <w:r>
        <w:rPr>
          <w:rStyle w:val="Emphasis"/>
          <w:i w:val="0"/>
        </w:rPr>
        <w:t xml:space="preserve"> and </w:t>
      </w:r>
      <w:r w:rsidRPr="00974151">
        <w:rPr>
          <w:rStyle w:val="Emphasis"/>
          <w:i w:val="0"/>
        </w:rPr>
        <w:t>Highly Confidential</w:t>
      </w:r>
      <w:r>
        <w:rPr>
          <w:rStyle w:val="Emphasis"/>
          <w:i w:val="0"/>
        </w:rPr>
        <w:t xml:space="preserve"> information without any redactions.  You must upload at least one document in each area or you will receive an error message during the submission process.  If the document does not contain Confidential or Highly Confidential information, </w:t>
      </w:r>
      <w:r w:rsidRPr="00FF31E9">
        <w:rPr>
          <w:rStyle w:val="Emphasis"/>
        </w:rPr>
        <w:t>e.g.</w:t>
      </w:r>
      <w:r>
        <w:rPr>
          <w:rStyle w:val="Emphasis"/>
          <w:i w:val="0"/>
        </w:rPr>
        <w:t xml:space="preserve">, all information is publicly available, then upload the document in each area without the relevant Confidential/Highly Confidential notations or redactions in the case of the Confidential upload area.  </w:t>
      </w:r>
      <w:r>
        <w:t xml:space="preserve"> </w:t>
      </w:r>
    </w:p>
    <w:p w:rsidR="00F97D54" w:rsidRDefault="00F97D54" w:rsidP="00F6299F">
      <w:pPr>
        <w:tabs>
          <w:tab w:val="num" w:pos="1440"/>
        </w:tabs>
        <w:rPr>
          <w:szCs w:val="22"/>
          <w:u w:val="single"/>
        </w:rPr>
      </w:pPr>
    </w:p>
    <w:p w:rsidR="00F6299F" w:rsidRDefault="00F6299F" w:rsidP="00F6299F">
      <w:pPr>
        <w:tabs>
          <w:tab w:val="num" w:pos="1440"/>
        </w:tabs>
        <w:rPr>
          <w:szCs w:val="22"/>
          <w:u w:val="single"/>
        </w:rPr>
      </w:pPr>
    </w:p>
    <w:p w:rsidR="00F97D54" w:rsidRPr="00587EB9" w:rsidRDefault="00F97D54" w:rsidP="00587EB9">
      <w:pPr>
        <w:pStyle w:val="Heading3"/>
        <w:numPr>
          <w:ilvl w:val="0"/>
          <w:numId w:val="0"/>
        </w:numPr>
        <w:spacing w:after="220"/>
        <w:rPr>
          <w:b w:val="0"/>
          <w:u w:val="single"/>
        </w:rPr>
      </w:pPr>
      <w:bookmarkStart w:id="113" w:name="_Toc350777052"/>
      <w:bookmarkStart w:id="114" w:name="_Toc365972102"/>
      <w:r w:rsidRPr="004820FF">
        <w:rPr>
          <w:b w:val="0"/>
          <w:u w:val="single"/>
        </w:rPr>
        <w:t>QUESTIONS DIRECTED AT ILECS</w:t>
      </w:r>
      <w:bookmarkEnd w:id="113"/>
      <w:bookmarkEnd w:id="114"/>
    </w:p>
    <w:p w:rsidR="00F97D54" w:rsidRPr="004820FF" w:rsidRDefault="00F97D54" w:rsidP="004820FF">
      <w:pPr>
        <w:pStyle w:val="Heading4"/>
        <w:numPr>
          <w:ilvl w:val="0"/>
          <w:numId w:val="0"/>
        </w:numPr>
        <w:rPr>
          <w:b w:val="0"/>
          <w:i/>
        </w:rPr>
      </w:pPr>
      <w:bookmarkStart w:id="115" w:name="_Toc365972103"/>
      <w:r w:rsidRPr="004820FF">
        <w:rPr>
          <w:b w:val="0"/>
          <w:i/>
        </w:rPr>
        <w:t>Question II.B.1:  Affiliated Company</w:t>
      </w:r>
      <w:bookmarkEnd w:id="115"/>
    </w:p>
    <w:p w:rsidR="00F97D54" w:rsidRDefault="00F97D54" w:rsidP="00EB5B97">
      <w:r>
        <w:t xml:space="preserve">If you are an </w:t>
      </w:r>
      <w:r w:rsidRPr="00AB233E">
        <w:rPr>
          <w:i/>
        </w:rPr>
        <w:t>Affiliated Company</w:t>
      </w:r>
      <w:r>
        <w:t xml:space="preserve">, then you must identify each entity you are affiliated with that </w:t>
      </w:r>
      <w:r>
        <w:rPr>
          <w:szCs w:val="22"/>
        </w:rPr>
        <w:t xml:space="preserve">provides and/or purchases </w:t>
      </w:r>
      <w:r w:rsidRPr="0069663E">
        <w:rPr>
          <w:i/>
          <w:szCs w:val="22"/>
        </w:rPr>
        <w:t>Dedicated Service</w:t>
      </w:r>
      <w:r>
        <w:rPr>
          <w:szCs w:val="22"/>
        </w:rPr>
        <w:t xml:space="preserve"> in Table II.B.1 within the data container</w:t>
      </w:r>
      <w:r>
        <w:t xml:space="preserve">.  If you are not an </w:t>
      </w:r>
      <w:r w:rsidRPr="00AB233E">
        <w:rPr>
          <w:i/>
        </w:rPr>
        <w:t>Affiliated Company</w:t>
      </w:r>
      <w:r>
        <w:t xml:space="preserve">, then you must still type “Not Applicable” in the </w:t>
      </w:r>
      <w:r w:rsidRPr="00AB233E">
        <w:t>Affiliate_Name</w:t>
      </w:r>
      <w:r>
        <w:t xml:space="preserve"> field and “0000000000” in the </w:t>
      </w:r>
      <w:r w:rsidRPr="00AB233E">
        <w:t>Name_FRN</w:t>
      </w:r>
      <w:r>
        <w:t xml:space="preserve"> field.  You will receive an error message upon validation of the data container if you do not put any information into Table II.B.1.</w:t>
      </w:r>
    </w:p>
    <w:p w:rsidR="00F97D54" w:rsidRPr="0077545C" w:rsidRDefault="00F97D54" w:rsidP="00EB5B97"/>
    <w:tbl>
      <w:tblPr>
        <w:tblW w:w="8838" w:type="dxa"/>
        <w:tblLook w:val="01E0" w:firstRow="1" w:lastRow="1" w:firstColumn="1" w:lastColumn="1" w:noHBand="0" w:noVBand="0"/>
      </w:tblPr>
      <w:tblGrid>
        <w:gridCol w:w="2012"/>
        <w:gridCol w:w="3646"/>
        <w:gridCol w:w="1492"/>
        <w:gridCol w:w="1688"/>
      </w:tblGrid>
      <w:tr w:rsidR="00F97D54" w:rsidTr="00EB5B97">
        <w:trPr>
          <w:trHeight w:val="357"/>
        </w:trPr>
        <w:tc>
          <w:tcPr>
            <w:tcW w:w="8838" w:type="dxa"/>
            <w:gridSpan w:val="4"/>
            <w:tcBorders>
              <w:top w:val="double" w:sz="4" w:space="0" w:color="auto"/>
              <w:bottom w:val="single" w:sz="4" w:space="0" w:color="auto"/>
            </w:tcBorders>
            <w:vAlign w:val="center"/>
          </w:tcPr>
          <w:p w:rsidR="00F97D54" w:rsidRDefault="00F97D54" w:rsidP="00EB5B97">
            <w:pPr>
              <w:jc w:val="center"/>
              <w:rPr>
                <w:b/>
                <w:szCs w:val="22"/>
              </w:rPr>
            </w:pPr>
            <w:r>
              <w:rPr>
                <w:b/>
                <w:szCs w:val="22"/>
              </w:rPr>
              <w:t>Table II.B.1</w:t>
            </w:r>
          </w:p>
          <w:p w:rsidR="00F97D54" w:rsidRPr="000A5F03" w:rsidRDefault="00F97D54" w:rsidP="00EB5B97">
            <w:pPr>
              <w:jc w:val="center"/>
              <w:rPr>
                <w:b/>
                <w:szCs w:val="22"/>
              </w:rPr>
            </w:pPr>
            <w:r w:rsidRPr="00886F07">
              <w:rPr>
                <w:b/>
                <w:szCs w:val="22"/>
              </w:rPr>
              <w:t xml:space="preserve">Record Format for </w:t>
            </w:r>
            <w:r w:rsidRPr="00AA221C">
              <w:rPr>
                <w:b/>
                <w:i/>
                <w:szCs w:val="22"/>
              </w:rPr>
              <w:t>Affiliated</w:t>
            </w:r>
            <w:r>
              <w:rPr>
                <w:b/>
                <w:szCs w:val="22"/>
              </w:rPr>
              <w:t xml:space="preserve"> </w:t>
            </w:r>
            <w:r>
              <w:rPr>
                <w:b/>
                <w:i/>
                <w:szCs w:val="22"/>
              </w:rPr>
              <w:t xml:space="preserve">Company </w:t>
            </w:r>
          </w:p>
        </w:tc>
      </w:tr>
      <w:tr w:rsidR="00F97D54" w:rsidTr="00EB5B97">
        <w:trPr>
          <w:trHeight w:val="359"/>
        </w:trPr>
        <w:tc>
          <w:tcPr>
            <w:tcW w:w="2012" w:type="dxa"/>
            <w:tcBorders>
              <w:top w:val="single" w:sz="4" w:space="0" w:color="auto"/>
              <w:bottom w:val="single" w:sz="4" w:space="0" w:color="auto"/>
              <w:right w:val="single" w:sz="4" w:space="0" w:color="auto"/>
            </w:tcBorders>
            <w:vAlign w:val="center"/>
          </w:tcPr>
          <w:p w:rsidR="00F97D54" w:rsidRDefault="00F97D54" w:rsidP="00EB5B97">
            <w:pPr>
              <w:rPr>
                <w:b/>
                <w:sz w:val="18"/>
                <w:szCs w:val="18"/>
              </w:rPr>
            </w:pPr>
            <w:r>
              <w:rPr>
                <w:b/>
                <w:sz w:val="18"/>
                <w:szCs w:val="18"/>
              </w:rPr>
              <w:t>Field Name</w:t>
            </w:r>
          </w:p>
        </w:tc>
        <w:tc>
          <w:tcPr>
            <w:tcW w:w="3646" w:type="dxa"/>
            <w:tcBorders>
              <w:top w:val="single" w:sz="4" w:space="0" w:color="auto"/>
              <w:left w:val="single" w:sz="4" w:space="0" w:color="auto"/>
              <w:bottom w:val="single" w:sz="4" w:space="0" w:color="auto"/>
              <w:right w:val="single" w:sz="4" w:space="0" w:color="auto"/>
            </w:tcBorders>
            <w:vAlign w:val="center"/>
          </w:tcPr>
          <w:p w:rsidR="00F97D54" w:rsidRDefault="00F97D54" w:rsidP="00EB5B97">
            <w:pPr>
              <w:rPr>
                <w:b/>
                <w:sz w:val="18"/>
                <w:szCs w:val="18"/>
              </w:rPr>
            </w:pPr>
            <w:r>
              <w:rPr>
                <w:b/>
                <w:sz w:val="18"/>
                <w:szCs w:val="18"/>
              </w:rPr>
              <w:t>Description</w:t>
            </w:r>
          </w:p>
        </w:tc>
        <w:tc>
          <w:tcPr>
            <w:tcW w:w="1492" w:type="dxa"/>
            <w:tcBorders>
              <w:top w:val="single" w:sz="4" w:space="0" w:color="auto"/>
              <w:left w:val="single" w:sz="4" w:space="0" w:color="auto"/>
              <w:bottom w:val="single" w:sz="4" w:space="0" w:color="auto"/>
              <w:right w:val="single" w:sz="4" w:space="0" w:color="auto"/>
            </w:tcBorders>
            <w:vAlign w:val="center"/>
          </w:tcPr>
          <w:p w:rsidR="00F97D54" w:rsidRDefault="00F97D54" w:rsidP="00EB5B97">
            <w:pPr>
              <w:rPr>
                <w:b/>
                <w:sz w:val="18"/>
                <w:szCs w:val="18"/>
              </w:rPr>
            </w:pPr>
            <w:r>
              <w:rPr>
                <w:b/>
                <w:sz w:val="18"/>
                <w:szCs w:val="18"/>
              </w:rPr>
              <w:t>Type</w:t>
            </w:r>
          </w:p>
        </w:tc>
        <w:tc>
          <w:tcPr>
            <w:tcW w:w="1688" w:type="dxa"/>
            <w:tcBorders>
              <w:top w:val="single" w:sz="4" w:space="0" w:color="auto"/>
              <w:left w:val="single" w:sz="4" w:space="0" w:color="auto"/>
              <w:bottom w:val="single" w:sz="4" w:space="0" w:color="auto"/>
            </w:tcBorders>
            <w:vAlign w:val="center"/>
          </w:tcPr>
          <w:p w:rsidR="00F97D54" w:rsidRDefault="00F97D54" w:rsidP="00EB5B97">
            <w:pPr>
              <w:ind w:right="-108"/>
              <w:rPr>
                <w:b/>
                <w:sz w:val="18"/>
                <w:szCs w:val="18"/>
              </w:rPr>
            </w:pPr>
            <w:r>
              <w:rPr>
                <w:b/>
                <w:sz w:val="18"/>
                <w:szCs w:val="18"/>
              </w:rPr>
              <w:t>Example</w:t>
            </w:r>
          </w:p>
        </w:tc>
      </w:tr>
      <w:tr w:rsidR="00F97D54" w:rsidTr="00EB5B97">
        <w:trPr>
          <w:trHeight w:val="360"/>
        </w:trPr>
        <w:tc>
          <w:tcPr>
            <w:tcW w:w="2012" w:type="dxa"/>
            <w:vAlign w:val="center"/>
          </w:tcPr>
          <w:p w:rsidR="00F97D54" w:rsidRDefault="00F97D54" w:rsidP="00EB5B97">
            <w:pPr>
              <w:tabs>
                <w:tab w:val="left" w:pos="2022"/>
              </w:tabs>
              <w:rPr>
                <w:sz w:val="16"/>
                <w:szCs w:val="16"/>
              </w:rPr>
            </w:pPr>
            <w:r>
              <w:rPr>
                <w:sz w:val="16"/>
                <w:szCs w:val="16"/>
              </w:rPr>
              <w:t>Affiliate_ID</w:t>
            </w:r>
          </w:p>
        </w:tc>
        <w:tc>
          <w:tcPr>
            <w:tcW w:w="3646" w:type="dxa"/>
            <w:vAlign w:val="center"/>
          </w:tcPr>
          <w:p w:rsidR="00F97D54" w:rsidRDefault="00F97D54" w:rsidP="00EB5B97">
            <w:pPr>
              <w:rPr>
                <w:sz w:val="16"/>
                <w:szCs w:val="16"/>
              </w:rPr>
            </w:pPr>
            <w:r>
              <w:rPr>
                <w:sz w:val="16"/>
                <w:szCs w:val="16"/>
              </w:rPr>
              <w:t>Sequential number</w:t>
            </w:r>
          </w:p>
        </w:tc>
        <w:tc>
          <w:tcPr>
            <w:tcW w:w="1492" w:type="dxa"/>
            <w:vAlign w:val="center"/>
          </w:tcPr>
          <w:p w:rsidR="00F97D54" w:rsidRDefault="00F97D54" w:rsidP="00EB5B97">
            <w:pPr>
              <w:rPr>
                <w:sz w:val="16"/>
                <w:szCs w:val="16"/>
              </w:rPr>
            </w:pPr>
            <w:r>
              <w:rPr>
                <w:sz w:val="16"/>
                <w:szCs w:val="16"/>
              </w:rPr>
              <w:t>Integer</w:t>
            </w:r>
          </w:p>
        </w:tc>
        <w:tc>
          <w:tcPr>
            <w:tcW w:w="1688" w:type="dxa"/>
            <w:vAlign w:val="center"/>
          </w:tcPr>
          <w:p w:rsidR="00F97D54" w:rsidRDefault="00F97D54" w:rsidP="00EB5B97">
            <w:pPr>
              <w:rPr>
                <w:sz w:val="16"/>
                <w:szCs w:val="16"/>
              </w:rPr>
            </w:pPr>
            <w:r>
              <w:rPr>
                <w:sz w:val="16"/>
                <w:szCs w:val="16"/>
              </w:rPr>
              <w:t>1</w:t>
            </w:r>
          </w:p>
        </w:tc>
      </w:tr>
      <w:tr w:rsidR="00F97D54" w:rsidTr="00EB5B97">
        <w:trPr>
          <w:trHeight w:val="360"/>
        </w:trPr>
        <w:tc>
          <w:tcPr>
            <w:tcW w:w="2012" w:type="dxa"/>
            <w:vAlign w:val="center"/>
          </w:tcPr>
          <w:p w:rsidR="00F97D54" w:rsidRPr="00F43280" w:rsidRDefault="00F97D54" w:rsidP="00EB5B97">
            <w:pPr>
              <w:tabs>
                <w:tab w:val="left" w:pos="2022"/>
              </w:tabs>
              <w:rPr>
                <w:sz w:val="16"/>
                <w:szCs w:val="16"/>
              </w:rPr>
            </w:pPr>
            <w:r>
              <w:rPr>
                <w:sz w:val="16"/>
                <w:szCs w:val="16"/>
              </w:rPr>
              <w:t>Affiliate_Name</w:t>
            </w:r>
          </w:p>
        </w:tc>
        <w:tc>
          <w:tcPr>
            <w:tcW w:w="3646" w:type="dxa"/>
            <w:vAlign w:val="center"/>
          </w:tcPr>
          <w:p w:rsidR="00F97D54" w:rsidRPr="00F43280" w:rsidRDefault="00F97D54" w:rsidP="00EB5B97">
            <w:pPr>
              <w:rPr>
                <w:sz w:val="16"/>
                <w:szCs w:val="16"/>
              </w:rPr>
            </w:pPr>
            <w:r>
              <w:rPr>
                <w:sz w:val="16"/>
                <w:szCs w:val="16"/>
              </w:rPr>
              <w:t xml:space="preserve">Name of entity with which you are affiliated </w:t>
            </w:r>
          </w:p>
        </w:tc>
        <w:tc>
          <w:tcPr>
            <w:tcW w:w="1492" w:type="dxa"/>
            <w:vAlign w:val="center"/>
          </w:tcPr>
          <w:p w:rsidR="00F97D54" w:rsidRPr="00F43280" w:rsidRDefault="00F97D54" w:rsidP="00EB5B97">
            <w:pPr>
              <w:rPr>
                <w:sz w:val="16"/>
                <w:szCs w:val="16"/>
              </w:rPr>
            </w:pPr>
            <w:r>
              <w:rPr>
                <w:sz w:val="16"/>
                <w:szCs w:val="16"/>
              </w:rPr>
              <w:t>Text</w:t>
            </w:r>
          </w:p>
        </w:tc>
        <w:tc>
          <w:tcPr>
            <w:tcW w:w="1688" w:type="dxa"/>
            <w:vAlign w:val="center"/>
          </w:tcPr>
          <w:p w:rsidR="00F97D54" w:rsidRPr="00F43280" w:rsidRDefault="00F97D54" w:rsidP="00EB5B97">
            <w:pPr>
              <w:rPr>
                <w:sz w:val="16"/>
                <w:szCs w:val="16"/>
              </w:rPr>
            </w:pPr>
            <w:r>
              <w:rPr>
                <w:sz w:val="16"/>
                <w:szCs w:val="16"/>
              </w:rPr>
              <w:t>Local Fiber Incorporated</w:t>
            </w:r>
          </w:p>
        </w:tc>
      </w:tr>
      <w:tr w:rsidR="00F97D54" w:rsidTr="00EB5B97">
        <w:trPr>
          <w:trHeight w:val="360"/>
        </w:trPr>
        <w:tc>
          <w:tcPr>
            <w:tcW w:w="2012" w:type="dxa"/>
            <w:tcBorders>
              <w:bottom w:val="double" w:sz="4" w:space="0" w:color="auto"/>
            </w:tcBorders>
            <w:vAlign w:val="center"/>
          </w:tcPr>
          <w:p w:rsidR="00F97D54" w:rsidRDefault="00F97D54" w:rsidP="00EB5B97">
            <w:pPr>
              <w:rPr>
                <w:sz w:val="16"/>
                <w:szCs w:val="16"/>
              </w:rPr>
            </w:pPr>
            <w:r>
              <w:rPr>
                <w:sz w:val="16"/>
                <w:szCs w:val="16"/>
              </w:rPr>
              <w:t>Name_FRN</w:t>
            </w:r>
          </w:p>
        </w:tc>
        <w:tc>
          <w:tcPr>
            <w:tcW w:w="3646" w:type="dxa"/>
            <w:tcBorders>
              <w:bottom w:val="double" w:sz="4" w:space="0" w:color="auto"/>
            </w:tcBorders>
            <w:vAlign w:val="center"/>
          </w:tcPr>
          <w:p w:rsidR="00F97D54" w:rsidRDefault="00F97D54" w:rsidP="00EB5B97">
            <w:pPr>
              <w:rPr>
                <w:sz w:val="16"/>
                <w:szCs w:val="16"/>
              </w:rPr>
            </w:pPr>
            <w:r>
              <w:rPr>
                <w:sz w:val="16"/>
                <w:szCs w:val="16"/>
              </w:rPr>
              <w:t xml:space="preserve">Entity’s FCC Registration Number </w:t>
            </w:r>
          </w:p>
          <w:p w:rsidR="00F97D54" w:rsidRDefault="00F97D54" w:rsidP="00EB5B97">
            <w:pPr>
              <w:rPr>
                <w:sz w:val="16"/>
                <w:szCs w:val="16"/>
              </w:rPr>
            </w:pPr>
            <w:r>
              <w:rPr>
                <w:sz w:val="16"/>
                <w:szCs w:val="16"/>
              </w:rPr>
              <w:t>(with leading zeros)</w:t>
            </w:r>
          </w:p>
        </w:tc>
        <w:tc>
          <w:tcPr>
            <w:tcW w:w="1492" w:type="dxa"/>
            <w:tcBorders>
              <w:bottom w:val="double" w:sz="4" w:space="0" w:color="auto"/>
            </w:tcBorders>
            <w:vAlign w:val="center"/>
          </w:tcPr>
          <w:p w:rsidR="00F97D54" w:rsidRDefault="00F97D54" w:rsidP="00EB5B97">
            <w:pPr>
              <w:rPr>
                <w:sz w:val="16"/>
                <w:szCs w:val="16"/>
              </w:rPr>
            </w:pPr>
            <w:r>
              <w:rPr>
                <w:sz w:val="16"/>
                <w:szCs w:val="16"/>
              </w:rPr>
              <w:t>Integer</w:t>
            </w:r>
          </w:p>
        </w:tc>
        <w:tc>
          <w:tcPr>
            <w:tcW w:w="1688" w:type="dxa"/>
            <w:tcBorders>
              <w:bottom w:val="double" w:sz="4" w:space="0" w:color="auto"/>
            </w:tcBorders>
            <w:vAlign w:val="center"/>
          </w:tcPr>
          <w:p w:rsidR="00F97D54" w:rsidRDefault="00F97D54" w:rsidP="00EB5B97">
            <w:pPr>
              <w:rPr>
                <w:sz w:val="16"/>
                <w:szCs w:val="16"/>
              </w:rPr>
            </w:pPr>
            <w:r>
              <w:rPr>
                <w:sz w:val="16"/>
                <w:szCs w:val="16"/>
              </w:rPr>
              <w:t>0008402202</w:t>
            </w:r>
          </w:p>
        </w:tc>
      </w:tr>
    </w:tbl>
    <w:p w:rsidR="00587EB9" w:rsidRDefault="00587EB9" w:rsidP="00587EB9">
      <w:pPr>
        <w:pStyle w:val="Heading5"/>
        <w:numPr>
          <w:ilvl w:val="0"/>
          <w:numId w:val="0"/>
        </w:numPr>
        <w:spacing w:after="0"/>
      </w:pPr>
      <w:bookmarkStart w:id="116" w:name="_Toc365972104"/>
    </w:p>
    <w:p w:rsidR="00F97D54" w:rsidRDefault="00F97D54" w:rsidP="004820FF">
      <w:pPr>
        <w:pStyle w:val="Heading5"/>
        <w:numPr>
          <w:ilvl w:val="0"/>
          <w:numId w:val="0"/>
        </w:numPr>
      </w:pPr>
      <w:r>
        <w:t>Facilities Information</w:t>
      </w:r>
      <w:bookmarkEnd w:id="116"/>
    </w:p>
    <w:p w:rsidR="00F97D54" w:rsidRPr="004820FF" w:rsidRDefault="00F97D54" w:rsidP="004820FF">
      <w:pPr>
        <w:pStyle w:val="Heading4"/>
        <w:numPr>
          <w:ilvl w:val="0"/>
          <w:numId w:val="0"/>
        </w:numPr>
        <w:rPr>
          <w:b w:val="0"/>
          <w:i/>
        </w:rPr>
      </w:pPr>
      <w:bookmarkStart w:id="117" w:name="_Toc365972105"/>
      <w:r w:rsidRPr="004820FF">
        <w:rPr>
          <w:b w:val="0"/>
          <w:i/>
        </w:rPr>
        <w:t>Question II.B.2:  ILEC Locations Data for ILECs</w:t>
      </w:r>
      <w:bookmarkEnd w:id="117"/>
    </w:p>
    <w:p w:rsidR="00F97D54" w:rsidRDefault="00F97D54" w:rsidP="00EB5B97">
      <w:r>
        <w:rPr>
          <w:i/>
        </w:rPr>
        <w:t>ILECs</w:t>
      </w:r>
      <w:r>
        <w:t xml:space="preserve"> are required to report </w:t>
      </w:r>
      <w:r w:rsidRPr="006D6972">
        <w:rPr>
          <w:color w:val="000000"/>
        </w:rPr>
        <w:t xml:space="preserve">the total number of </w:t>
      </w:r>
      <w:r>
        <w:rPr>
          <w:i/>
          <w:color w:val="000000"/>
        </w:rPr>
        <w:t>L</w:t>
      </w:r>
      <w:r w:rsidRPr="008308D1">
        <w:rPr>
          <w:i/>
          <w:color w:val="000000"/>
        </w:rPr>
        <w:t>ocations</w:t>
      </w:r>
      <w:r w:rsidRPr="006D6972">
        <w:rPr>
          <w:color w:val="000000"/>
        </w:rPr>
        <w:t xml:space="preserve"> to which </w:t>
      </w:r>
      <w:r>
        <w:rPr>
          <w:color w:val="000000"/>
        </w:rPr>
        <w:t>they</w:t>
      </w:r>
      <w:r w:rsidRPr="006D6972">
        <w:rPr>
          <w:color w:val="000000"/>
        </w:rPr>
        <w:t xml:space="preserve"> </w:t>
      </w:r>
      <w:r>
        <w:rPr>
          <w:color w:val="000000"/>
        </w:rPr>
        <w:t>provided</w:t>
      </w:r>
      <w:r w:rsidRPr="006D6972">
        <w:rPr>
          <w:color w:val="000000"/>
        </w:rPr>
        <w:t xml:space="preserve"> </w:t>
      </w:r>
      <w:r>
        <w:rPr>
          <w:color w:val="000000"/>
        </w:rPr>
        <w:t xml:space="preserve">a </w:t>
      </w:r>
      <w:r>
        <w:rPr>
          <w:i/>
          <w:color w:val="000000"/>
        </w:rPr>
        <w:t>C</w:t>
      </w:r>
      <w:r w:rsidRPr="008308D1">
        <w:rPr>
          <w:i/>
          <w:color w:val="000000"/>
        </w:rPr>
        <w:t>onnection</w:t>
      </w:r>
      <w:r w:rsidRPr="006D6972">
        <w:rPr>
          <w:color w:val="000000"/>
        </w:rPr>
        <w:t xml:space="preserve"> </w:t>
      </w:r>
      <w:r>
        <w:rPr>
          <w:color w:val="000000"/>
        </w:rPr>
        <w:t xml:space="preserve">during 2010 and during 2012 </w:t>
      </w:r>
      <w:r w:rsidRPr="006D6972">
        <w:rPr>
          <w:color w:val="000000"/>
        </w:rPr>
        <w:t xml:space="preserve">where </w:t>
      </w:r>
      <w:r>
        <w:rPr>
          <w:color w:val="000000"/>
        </w:rPr>
        <w:t xml:space="preserve">the </w:t>
      </w:r>
      <w:r w:rsidRPr="005416D6">
        <w:rPr>
          <w:i/>
          <w:color w:val="000000"/>
        </w:rPr>
        <w:t>ILEC</w:t>
      </w:r>
      <w:r w:rsidRPr="006D6972">
        <w:rPr>
          <w:color w:val="000000"/>
        </w:rPr>
        <w:t xml:space="preserve"> either</w:t>
      </w:r>
      <w:r>
        <w:rPr>
          <w:color w:val="000000"/>
        </w:rPr>
        <w:t>:  (i</w:t>
      </w:r>
      <w:r w:rsidRPr="006D6972">
        <w:rPr>
          <w:color w:val="000000"/>
        </w:rPr>
        <w:t>) own</w:t>
      </w:r>
      <w:r>
        <w:rPr>
          <w:color w:val="000000"/>
        </w:rPr>
        <w:t>ed</w:t>
      </w:r>
      <w:r w:rsidRPr="006D6972">
        <w:rPr>
          <w:color w:val="000000"/>
        </w:rPr>
        <w:t xml:space="preserve"> the </w:t>
      </w:r>
      <w:r>
        <w:rPr>
          <w:i/>
          <w:color w:val="000000"/>
        </w:rPr>
        <w:t>C</w:t>
      </w:r>
      <w:r w:rsidRPr="008308D1">
        <w:rPr>
          <w:i/>
          <w:color w:val="000000"/>
        </w:rPr>
        <w:t>onnection</w:t>
      </w:r>
      <w:r w:rsidRPr="006D6972">
        <w:rPr>
          <w:color w:val="000000"/>
        </w:rPr>
        <w:t xml:space="preserve">; </w:t>
      </w:r>
      <w:r>
        <w:rPr>
          <w:color w:val="000000"/>
        </w:rPr>
        <w:t xml:space="preserve">or </w:t>
      </w:r>
      <w:r w:rsidRPr="006D6972">
        <w:rPr>
          <w:color w:val="000000"/>
        </w:rPr>
        <w:t>(</w:t>
      </w:r>
      <w:r>
        <w:rPr>
          <w:color w:val="000000"/>
        </w:rPr>
        <w:t>ii) leased</w:t>
      </w:r>
      <w:r w:rsidRPr="006D6972">
        <w:rPr>
          <w:color w:val="000000"/>
        </w:rPr>
        <w:t xml:space="preserve"> the </w:t>
      </w:r>
      <w:r>
        <w:rPr>
          <w:i/>
          <w:color w:val="000000"/>
        </w:rPr>
        <w:t>C</w:t>
      </w:r>
      <w:r w:rsidRPr="008308D1">
        <w:rPr>
          <w:i/>
          <w:color w:val="000000"/>
        </w:rPr>
        <w:t>onnection</w:t>
      </w:r>
      <w:r w:rsidRPr="006D6972">
        <w:rPr>
          <w:color w:val="000000"/>
        </w:rPr>
        <w:t xml:space="preserve"> from another entity under a</w:t>
      </w:r>
      <w:r>
        <w:rPr>
          <w:color w:val="000000"/>
        </w:rPr>
        <w:t xml:space="preserve">n </w:t>
      </w:r>
      <w:r w:rsidRPr="00A63486">
        <w:rPr>
          <w:i/>
          <w:color w:val="000000"/>
        </w:rPr>
        <w:t>IRU</w:t>
      </w:r>
      <w:r w:rsidRPr="00563D99">
        <w:rPr>
          <w:color w:val="000000"/>
        </w:rPr>
        <w:t>.</w:t>
      </w:r>
      <w:r>
        <w:rPr>
          <w:rStyle w:val="FootnoteReference"/>
          <w:color w:val="000000"/>
        </w:rPr>
        <w:footnoteReference w:id="202"/>
      </w:r>
      <w:r>
        <w:rPr>
          <w:color w:val="000000"/>
        </w:rPr>
        <w:t xml:space="preserve">   </w:t>
      </w:r>
      <w:r>
        <w:t xml:space="preserve">The definition of </w:t>
      </w:r>
      <w:r w:rsidRPr="005E31C5">
        <w:rPr>
          <w:i/>
        </w:rPr>
        <w:t>Connection</w:t>
      </w:r>
      <w:r>
        <w:t xml:space="preserve"> is crafted to assist the Commission with sizing the broader market for </w:t>
      </w:r>
      <w:r>
        <w:rPr>
          <w:i/>
        </w:rPr>
        <w:t>Dedicated Services</w:t>
      </w:r>
      <w:r>
        <w:t xml:space="preserve"> by including transmission facilities used to provide a </w:t>
      </w:r>
      <w:r w:rsidRPr="005E31C5">
        <w:rPr>
          <w:i/>
        </w:rPr>
        <w:t>Dedicated Service</w:t>
      </w:r>
      <w:r>
        <w:t xml:space="preserve"> and facilities that are “capable” of providing a </w:t>
      </w:r>
      <w:r>
        <w:rPr>
          <w:i/>
        </w:rPr>
        <w:t>Dedicated Service</w:t>
      </w:r>
      <w:r>
        <w:t xml:space="preserve">.  </w:t>
      </w:r>
    </w:p>
    <w:p w:rsidR="00F97D54" w:rsidRPr="001E3EAE" w:rsidRDefault="00F97D54" w:rsidP="00EB5B97">
      <w:pPr>
        <w:rPr>
          <w:color w:val="000000"/>
        </w:rPr>
      </w:pPr>
    </w:p>
    <w:p w:rsidR="00F97D54" w:rsidRDefault="00F97D54" w:rsidP="00EB5B97">
      <w:r>
        <w:t xml:space="preserve">To help </w:t>
      </w:r>
      <w:r>
        <w:rPr>
          <w:i/>
        </w:rPr>
        <w:t>ILECs</w:t>
      </w:r>
      <w:r>
        <w:t xml:space="preserve"> identify reportable </w:t>
      </w:r>
      <w:r w:rsidRPr="00132063">
        <w:rPr>
          <w:i/>
        </w:rPr>
        <w:t>Locations</w:t>
      </w:r>
      <w:r>
        <w:t xml:space="preserve">, we provide the following guidance:  </w:t>
      </w:r>
    </w:p>
    <w:p w:rsidR="00F97D54" w:rsidRDefault="00F97D54" w:rsidP="00EB5B97"/>
    <w:p w:rsidR="00F97D54" w:rsidRDefault="00F97D54" w:rsidP="00EB5B97">
      <w:pPr>
        <w:numPr>
          <w:ilvl w:val="0"/>
          <w:numId w:val="3"/>
        </w:numPr>
      </w:pPr>
      <w:r>
        <w:t xml:space="preserve">Respondents must only report </w:t>
      </w:r>
      <w:r w:rsidRPr="00B06116">
        <w:rPr>
          <w:i/>
        </w:rPr>
        <w:t>Connections</w:t>
      </w:r>
      <w:r>
        <w:t xml:space="preserve"> to non-residential </w:t>
      </w:r>
      <w:r w:rsidRPr="00DE7E4E">
        <w:rPr>
          <w:i/>
        </w:rPr>
        <w:t>Locations</w:t>
      </w:r>
      <w:r>
        <w:t xml:space="preserve">.  A </w:t>
      </w:r>
      <w:r w:rsidRPr="00331E31">
        <w:rPr>
          <w:i/>
        </w:rPr>
        <w:t>Location</w:t>
      </w:r>
      <w:r>
        <w:t xml:space="preserve"> is where an </w:t>
      </w:r>
      <w:r w:rsidRPr="00331E31">
        <w:rPr>
          <w:i/>
        </w:rPr>
        <w:t>End User</w:t>
      </w:r>
      <w:r>
        <w:t xml:space="preserve"> is connected, and an </w:t>
      </w:r>
      <w:r w:rsidRPr="00331E31">
        <w:rPr>
          <w:i/>
        </w:rPr>
        <w:t>End User</w:t>
      </w:r>
      <w:r>
        <w:t xml:space="preserve"> means a business, institutional, or government entity that purchases service for its own purposes, not for resell.  Accordingly, residential locations connected by facilities are not reported.  </w:t>
      </w:r>
    </w:p>
    <w:p w:rsidR="00F97D54" w:rsidRDefault="00F97D54" w:rsidP="00EB5B97">
      <w:pPr>
        <w:ind w:left="720"/>
      </w:pPr>
    </w:p>
    <w:p w:rsidR="00F97D54" w:rsidRPr="005416D6" w:rsidRDefault="00F97D54" w:rsidP="0083344C">
      <w:pPr>
        <w:widowControl/>
        <w:numPr>
          <w:ilvl w:val="0"/>
          <w:numId w:val="3"/>
        </w:numPr>
        <w:autoSpaceDE w:val="0"/>
        <w:autoSpaceDN w:val="0"/>
        <w:adjustRightInd w:val="0"/>
        <w:rPr>
          <w:szCs w:val="22"/>
        </w:rPr>
      </w:pPr>
      <w:r>
        <w:t>Copper loops that we</w:t>
      </w:r>
      <w:r w:rsidRPr="005E31C5">
        <w:t xml:space="preserve">re unable to provide a bandwidth connection of at least 1.5 Mbps in both directions (upstream/downstream) </w:t>
      </w:r>
      <w:r>
        <w:t xml:space="preserve">during the relevant reporting periods “as provisioned” </w:t>
      </w:r>
      <w:r w:rsidRPr="005E31C5">
        <w:t xml:space="preserve">are not considered </w:t>
      </w:r>
      <w:r w:rsidRPr="005416D6">
        <w:rPr>
          <w:i/>
        </w:rPr>
        <w:t>Connections</w:t>
      </w:r>
      <w:r>
        <w:t xml:space="preserve"> </w:t>
      </w:r>
      <w:r w:rsidRPr="005E31C5">
        <w:t xml:space="preserve">capable </w:t>
      </w:r>
      <w:r>
        <w:t xml:space="preserve">of providing a </w:t>
      </w:r>
      <w:r w:rsidRPr="005416D6">
        <w:rPr>
          <w:i/>
        </w:rPr>
        <w:t>Dedicated Service</w:t>
      </w:r>
      <w:r>
        <w:t xml:space="preserve"> </w:t>
      </w:r>
      <w:r w:rsidRPr="005E31C5">
        <w:t>for the purpose</w:t>
      </w:r>
      <w:r>
        <w:t>s</w:t>
      </w:r>
      <w:r w:rsidRPr="005E31C5">
        <w:t xml:space="preserve"> of this data collection</w:t>
      </w:r>
      <w:r>
        <w:t xml:space="preserve"> and are not reported</w:t>
      </w:r>
      <w:r w:rsidRPr="005E31C5">
        <w:t>.</w:t>
      </w:r>
    </w:p>
    <w:p w:rsidR="00F97D54" w:rsidRDefault="00F97D54" w:rsidP="00EB5B97">
      <w:pPr>
        <w:pStyle w:val="ListParagraph"/>
        <w:rPr>
          <w:i/>
          <w:szCs w:val="22"/>
        </w:rPr>
      </w:pPr>
    </w:p>
    <w:p w:rsidR="00F97D54" w:rsidRDefault="00F97D54" w:rsidP="0047272E">
      <w:pPr>
        <w:widowControl/>
        <w:numPr>
          <w:ilvl w:val="0"/>
          <w:numId w:val="3"/>
        </w:numPr>
        <w:autoSpaceDE w:val="0"/>
        <w:autoSpaceDN w:val="0"/>
        <w:adjustRightInd w:val="0"/>
        <w:rPr>
          <w:szCs w:val="22"/>
        </w:rPr>
      </w:pPr>
      <w:r>
        <w:rPr>
          <w:szCs w:val="22"/>
        </w:rPr>
        <w:t xml:space="preserve">In addition to reporting </w:t>
      </w:r>
      <w:r w:rsidRPr="005416D6">
        <w:rPr>
          <w:i/>
          <w:szCs w:val="22"/>
        </w:rPr>
        <w:t>Connections</w:t>
      </w:r>
      <w:r w:rsidRPr="005416D6">
        <w:rPr>
          <w:szCs w:val="22"/>
        </w:rPr>
        <w:t xml:space="preserve"> used to provide a </w:t>
      </w:r>
      <w:r w:rsidRPr="005416D6">
        <w:rPr>
          <w:i/>
          <w:szCs w:val="22"/>
        </w:rPr>
        <w:t>Dedicated Service</w:t>
      </w:r>
      <w:r>
        <w:rPr>
          <w:szCs w:val="22"/>
        </w:rPr>
        <w:t xml:space="preserve">, report </w:t>
      </w:r>
      <w:r w:rsidRPr="008175FE">
        <w:rPr>
          <w:i/>
          <w:szCs w:val="22"/>
        </w:rPr>
        <w:t>Connections</w:t>
      </w:r>
      <w:r>
        <w:rPr>
          <w:szCs w:val="22"/>
        </w:rPr>
        <w:t xml:space="preserve"> used to provide a</w:t>
      </w:r>
      <w:r w:rsidRPr="005416D6">
        <w:rPr>
          <w:szCs w:val="22"/>
        </w:rPr>
        <w:t xml:space="preserve"> service that incorporates a </w:t>
      </w:r>
      <w:r w:rsidRPr="005416D6">
        <w:rPr>
          <w:i/>
          <w:szCs w:val="22"/>
        </w:rPr>
        <w:t>Dedicated Service</w:t>
      </w:r>
      <w:r w:rsidRPr="005416D6">
        <w:rPr>
          <w:szCs w:val="22"/>
        </w:rPr>
        <w:t xml:space="preserve"> within the offering as part of a managed solution or bundle o</w:t>
      </w:r>
      <w:r>
        <w:rPr>
          <w:szCs w:val="22"/>
        </w:rPr>
        <w:t>f services sold to the customer.</w:t>
      </w:r>
      <w:r w:rsidRPr="005416D6">
        <w:rPr>
          <w:szCs w:val="22"/>
          <w:vertAlign w:val="superscript"/>
        </w:rPr>
        <w:footnoteReference w:id="203"/>
      </w:r>
    </w:p>
    <w:p w:rsidR="00F97D54" w:rsidRPr="005416D6" w:rsidRDefault="00F97D54" w:rsidP="00EB5B97">
      <w:pPr>
        <w:autoSpaceDE w:val="0"/>
        <w:autoSpaceDN w:val="0"/>
        <w:adjustRightInd w:val="0"/>
        <w:rPr>
          <w:szCs w:val="22"/>
        </w:rPr>
      </w:pPr>
    </w:p>
    <w:p w:rsidR="00417EA9" w:rsidRDefault="00F97D54" w:rsidP="00417EA9">
      <w:pPr>
        <w:numPr>
          <w:ilvl w:val="0"/>
          <w:numId w:val="3"/>
        </w:numPr>
        <w:autoSpaceDE w:val="0"/>
        <w:autoSpaceDN w:val="0"/>
        <w:adjustRightInd w:val="0"/>
      </w:pPr>
      <w:r>
        <w:t xml:space="preserve">Do not report </w:t>
      </w:r>
      <w:r>
        <w:rPr>
          <w:i/>
          <w:iCs/>
        </w:rPr>
        <w:t>Connections</w:t>
      </w:r>
      <w:r>
        <w:t xml:space="preserve"> to </w:t>
      </w:r>
      <w:r>
        <w:rPr>
          <w:i/>
          <w:iCs/>
        </w:rPr>
        <w:t>Locations</w:t>
      </w:r>
      <w:r>
        <w:t xml:space="preserve"> that were used to provide services during the relevant reporting period that were substantially similar to the services provided to residential customers, </w:t>
      </w:r>
      <w:r>
        <w:rPr>
          <w:i/>
          <w:iCs/>
        </w:rPr>
        <w:t>e.g.</w:t>
      </w:r>
      <w:r>
        <w:t>, one or two line telephone service or best-efforts Internet access and subscription television services like AT&amp;T’s U-verse or Verizon’s FiOS service.</w:t>
      </w:r>
      <w:r>
        <w:rPr>
          <w:rStyle w:val="FootnoteReference"/>
        </w:rPr>
        <w:footnoteReference w:id="204"/>
      </w:r>
    </w:p>
    <w:p w:rsidR="00417EA9" w:rsidRDefault="00417EA9" w:rsidP="00417EA9">
      <w:pPr>
        <w:autoSpaceDE w:val="0"/>
        <w:autoSpaceDN w:val="0"/>
        <w:adjustRightInd w:val="0"/>
      </w:pPr>
    </w:p>
    <w:tbl>
      <w:tblPr>
        <w:tblW w:w="9468" w:type="dxa"/>
        <w:tblLook w:val="01E0" w:firstRow="1" w:lastRow="1" w:firstColumn="1" w:lastColumn="1" w:noHBand="0" w:noVBand="0"/>
      </w:tblPr>
      <w:tblGrid>
        <w:gridCol w:w="2012"/>
        <w:gridCol w:w="3646"/>
        <w:gridCol w:w="1492"/>
        <w:gridCol w:w="2318"/>
      </w:tblGrid>
      <w:tr w:rsidR="00F97D54" w:rsidTr="00E9084B">
        <w:trPr>
          <w:trHeight w:val="357"/>
        </w:trPr>
        <w:tc>
          <w:tcPr>
            <w:tcW w:w="9468" w:type="dxa"/>
            <w:gridSpan w:val="4"/>
            <w:tcBorders>
              <w:top w:val="double" w:sz="4" w:space="0" w:color="auto"/>
              <w:bottom w:val="single" w:sz="4" w:space="0" w:color="auto"/>
            </w:tcBorders>
            <w:vAlign w:val="center"/>
          </w:tcPr>
          <w:p w:rsidR="00F97D54" w:rsidRDefault="00417EA9" w:rsidP="00EB5B97">
            <w:pPr>
              <w:jc w:val="center"/>
              <w:rPr>
                <w:b/>
                <w:szCs w:val="22"/>
              </w:rPr>
            </w:pPr>
            <w:r>
              <w:rPr>
                <w:rFonts w:ascii="Century" w:hAnsi="Century"/>
              </w:rPr>
              <w:br w:type="page"/>
            </w:r>
            <w:r w:rsidR="00F97D54">
              <w:rPr>
                <w:b/>
                <w:szCs w:val="22"/>
              </w:rPr>
              <w:t>Table II.B.2</w:t>
            </w:r>
          </w:p>
          <w:p w:rsidR="00F97D54" w:rsidRPr="00E603EA" w:rsidRDefault="00F97D54" w:rsidP="00EB5B97">
            <w:pPr>
              <w:jc w:val="center"/>
              <w:rPr>
                <w:b/>
                <w:szCs w:val="22"/>
              </w:rPr>
            </w:pPr>
            <w:r w:rsidRPr="00886F07">
              <w:rPr>
                <w:b/>
                <w:szCs w:val="22"/>
              </w:rPr>
              <w:t xml:space="preserve">Record Format for </w:t>
            </w:r>
            <w:r>
              <w:rPr>
                <w:b/>
                <w:szCs w:val="22"/>
              </w:rPr>
              <w:t xml:space="preserve">Total </w:t>
            </w:r>
            <w:r w:rsidRPr="001421AB">
              <w:rPr>
                <w:b/>
                <w:i/>
                <w:szCs w:val="22"/>
              </w:rPr>
              <w:t>Locations</w:t>
            </w:r>
          </w:p>
        </w:tc>
      </w:tr>
      <w:tr w:rsidR="00F97D54" w:rsidTr="00E9084B">
        <w:trPr>
          <w:trHeight w:val="359"/>
        </w:trPr>
        <w:tc>
          <w:tcPr>
            <w:tcW w:w="2012" w:type="dxa"/>
            <w:tcBorders>
              <w:top w:val="single" w:sz="4" w:space="0" w:color="auto"/>
              <w:bottom w:val="single" w:sz="4" w:space="0" w:color="auto"/>
              <w:right w:val="single" w:sz="4" w:space="0" w:color="auto"/>
            </w:tcBorders>
            <w:vAlign w:val="center"/>
          </w:tcPr>
          <w:p w:rsidR="00F97D54" w:rsidRDefault="00F97D54" w:rsidP="00EB5B97">
            <w:pPr>
              <w:rPr>
                <w:b/>
                <w:sz w:val="18"/>
                <w:szCs w:val="18"/>
              </w:rPr>
            </w:pPr>
            <w:r>
              <w:rPr>
                <w:b/>
                <w:sz w:val="18"/>
                <w:szCs w:val="18"/>
              </w:rPr>
              <w:t>Field Name</w:t>
            </w:r>
          </w:p>
        </w:tc>
        <w:tc>
          <w:tcPr>
            <w:tcW w:w="3646" w:type="dxa"/>
            <w:tcBorders>
              <w:top w:val="single" w:sz="4" w:space="0" w:color="auto"/>
              <w:left w:val="single" w:sz="4" w:space="0" w:color="auto"/>
              <w:bottom w:val="single" w:sz="4" w:space="0" w:color="auto"/>
              <w:right w:val="single" w:sz="4" w:space="0" w:color="auto"/>
            </w:tcBorders>
            <w:vAlign w:val="center"/>
          </w:tcPr>
          <w:p w:rsidR="00F97D54" w:rsidRDefault="00F97D54" w:rsidP="00EB5B97">
            <w:pPr>
              <w:rPr>
                <w:b/>
                <w:sz w:val="18"/>
                <w:szCs w:val="18"/>
              </w:rPr>
            </w:pPr>
            <w:r>
              <w:rPr>
                <w:b/>
                <w:sz w:val="18"/>
                <w:szCs w:val="18"/>
              </w:rPr>
              <w:t>Description</w:t>
            </w:r>
          </w:p>
        </w:tc>
        <w:tc>
          <w:tcPr>
            <w:tcW w:w="1492" w:type="dxa"/>
            <w:tcBorders>
              <w:top w:val="single" w:sz="4" w:space="0" w:color="auto"/>
              <w:left w:val="single" w:sz="4" w:space="0" w:color="auto"/>
              <w:bottom w:val="single" w:sz="4" w:space="0" w:color="auto"/>
              <w:right w:val="single" w:sz="4" w:space="0" w:color="auto"/>
            </w:tcBorders>
            <w:vAlign w:val="center"/>
          </w:tcPr>
          <w:p w:rsidR="00F97D54" w:rsidRDefault="00F97D54" w:rsidP="00EB5B97">
            <w:pPr>
              <w:rPr>
                <w:b/>
                <w:sz w:val="18"/>
                <w:szCs w:val="18"/>
              </w:rPr>
            </w:pPr>
            <w:r>
              <w:rPr>
                <w:b/>
                <w:sz w:val="18"/>
                <w:szCs w:val="18"/>
              </w:rPr>
              <w:t>Type</w:t>
            </w:r>
          </w:p>
        </w:tc>
        <w:tc>
          <w:tcPr>
            <w:tcW w:w="2318" w:type="dxa"/>
            <w:tcBorders>
              <w:top w:val="single" w:sz="4" w:space="0" w:color="auto"/>
              <w:left w:val="single" w:sz="4" w:space="0" w:color="auto"/>
              <w:bottom w:val="single" w:sz="4" w:space="0" w:color="auto"/>
            </w:tcBorders>
            <w:vAlign w:val="center"/>
          </w:tcPr>
          <w:p w:rsidR="00F97D54" w:rsidRDefault="00F97D54" w:rsidP="00EB5B97">
            <w:pPr>
              <w:ind w:right="-108"/>
              <w:rPr>
                <w:b/>
                <w:sz w:val="18"/>
                <w:szCs w:val="18"/>
              </w:rPr>
            </w:pPr>
            <w:r>
              <w:rPr>
                <w:b/>
                <w:sz w:val="18"/>
                <w:szCs w:val="18"/>
              </w:rPr>
              <w:t>Example</w:t>
            </w:r>
          </w:p>
        </w:tc>
      </w:tr>
      <w:tr w:rsidR="00F97D54" w:rsidTr="00E9084B">
        <w:trPr>
          <w:trHeight w:val="360"/>
        </w:trPr>
        <w:tc>
          <w:tcPr>
            <w:tcW w:w="2012" w:type="dxa"/>
            <w:vAlign w:val="center"/>
          </w:tcPr>
          <w:p w:rsidR="00F97D54" w:rsidRDefault="00F97D54" w:rsidP="00EB5B97">
            <w:pPr>
              <w:rPr>
                <w:sz w:val="16"/>
                <w:szCs w:val="16"/>
              </w:rPr>
            </w:pPr>
            <w:r>
              <w:rPr>
                <w:sz w:val="16"/>
                <w:szCs w:val="16"/>
              </w:rPr>
              <w:t>Year</w:t>
            </w:r>
          </w:p>
        </w:tc>
        <w:tc>
          <w:tcPr>
            <w:tcW w:w="3646" w:type="dxa"/>
            <w:vAlign w:val="center"/>
          </w:tcPr>
          <w:p w:rsidR="00F97D54" w:rsidRDefault="00F97D54" w:rsidP="00EB5B97">
            <w:pPr>
              <w:rPr>
                <w:color w:val="243F60"/>
                <w:sz w:val="16"/>
                <w:szCs w:val="16"/>
              </w:rPr>
            </w:pPr>
            <w:r>
              <w:rPr>
                <w:sz w:val="16"/>
                <w:szCs w:val="16"/>
              </w:rPr>
              <w:t>Indicator of the calendar year of the data</w:t>
            </w:r>
          </w:p>
        </w:tc>
        <w:tc>
          <w:tcPr>
            <w:tcW w:w="1492" w:type="dxa"/>
            <w:vAlign w:val="center"/>
          </w:tcPr>
          <w:p w:rsidR="00F97D54" w:rsidRDefault="00F97D54" w:rsidP="00EB5B97">
            <w:pPr>
              <w:rPr>
                <w:sz w:val="16"/>
                <w:szCs w:val="16"/>
              </w:rPr>
            </w:pPr>
            <w:r>
              <w:rPr>
                <w:sz w:val="16"/>
                <w:szCs w:val="16"/>
              </w:rPr>
              <w:t>Integer</w:t>
            </w:r>
          </w:p>
        </w:tc>
        <w:tc>
          <w:tcPr>
            <w:tcW w:w="2318" w:type="dxa"/>
            <w:vAlign w:val="center"/>
          </w:tcPr>
          <w:p w:rsidR="00F97D54" w:rsidRDefault="00F97D54" w:rsidP="00EB5B97">
            <w:pPr>
              <w:rPr>
                <w:sz w:val="16"/>
                <w:szCs w:val="16"/>
              </w:rPr>
            </w:pPr>
            <w:r>
              <w:rPr>
                <w:sz w:val="16"/>
                <w:szCs w:val="16"/>
              </w:rPr>
              <w:t>2010</w:t>
            </w:r>
          </w:p>
        </w:tc>
      </w:tr>
      <w:tr w:rsidR="00F97D54" w:rsidTr="00E9084B">
        <w:trPr>
          <w:trHeight w:val="360"/>
        </w:trPr>
        <w:tc>
          <w:tcPr>
            <w:tcW w:w="2012" w:type="dxa"/>
            <w:tcBorders>
              <w:bottom w:val="double" w:sz="4" w:space="0" w:color="auto"/>
            </w:tcBorders>
            <w:vAlign w:val="center"/>
          </w:tcPr>
          <w:p w:rsidR="00F97D54" w:rsidRDefault="00F97D54" w:rsidP="00EB5B97">
            <w:pPr>
              <w:rPr>
                <w:sz w:val="16"/>
                <w:szCs w:val="16"/>
              </w:rPr>
            </w:pPr>
            <w:r>
              <w:rPr>
                <w:sz w:val="16"/>
                <w:szCs w:val="16"/>
              </w:rPr>
              <w:t>Locations</w:t>
            </w:r>
          </w:p>
        </w:tc>
        <w:tc>
          <w:tcPr>
            <w:tcW w:w="3646" w:type="dxa"/>
            <w:tcBorders>
              <w:bottom w:val="double" w:sz="4" w:space="0" w:color="auto"/>
            </w:tcBorders>
            <w:vAlign w:val="center"/>
          </w:tcPr>
          <w:p w:rsidR="00F97D54" w:rsidRDefault="00F97D54" w:rsidP="00EB5B97">
            <w:pPr>
              <w:rPr>
                <w:sz w:val="16"/>
                <w:szCs w:val="16"/>
              </w:rPr>
            </w:pPr>
            <w:r>
              <w:rPr>
                <w:sz w:val="16"/>
                <w:szCs w:val="16"/>
              </w:rPr>
              <w:t xml:space="preserve">Total </w:t>
            </w:r>
            <w:r>
              <w:rPr>
                <w:i/>
                <w:sz w:val="16"/>
                <w:szCs w:val="16"/>
              </w:rPr>
              <w:t>L</w:t>
            </w:r>
            <w:r w:rsidRPr="008308D1">
              <w:rPr>
                <w:i/>
                <w:sz w:val="16"/>
                <w:szCs w:val="16"/>
              </w:rPr>
              <w:t>ocations</w:t>
            </w:r>
            <w:r>
              <w:rPr>
                <w:sz w:val="16"/>
                <w:szCs w:val="16"/>
              </w:rPr>
              <w:t xml:space="preserve"> served during year</w:t>
            </w:r>
          </w:p>
        </w:tc>
        <w:tc>
          <w:tcPr>
            <w:tcW w:w="1492" w:type="dxa"/>
            <w:tcBorders>
              <w:bottom w:val="double" w:sz="4" w:space="0" w:color="auto"/>
            </w:tcBorders>
            <w:vAlign w:val="center"/>
          </w:tcPr>
          <w:p w:rsidR="00F97D54" w:rsidRDefault="00F97D54" w:rsidP="00EB5B97">
            <w:pPr>
              <w:rPr>
                <w:sz w:val="16"/>
                <w:szCs w:val="16"/>
              </w:rPr>
            </w:pPr>
            <w:r>
              <w:rPr>
                <w:sz w:val="16"/>
                <w:szCs w:val="16"/>
              </w:rPr>
              <w:t>Integer</w:t>
            </w:r>
          </w:p>
        </w:tc>
        <w:tc>
          <w:tcPr>
            <w:tcW w:w="2318" w:type="dxa"/>
            <w:tcBorders>
              <w:bottom w:val="double" w:sz="4" w:space="0" w:color="auto"/>
            </w:tcBorders>
            <w:vAlign w:val="center"/>
          </w:tcPr>
          <w:p w:rsidR="00F97D54" w:rsidRDefault="00F97D54" w:rsidP="00EB5B97">
            <w:pPr>
              <w:rPr>
                <w:sz w:val="16"/>
                <w:szCs w:val="16"/>
              </w:rPr>
            </w:pPr>
            <w:r>
              <w:rPr>
                <w:sz w:val="16"/>
                <w:szCs w:val="16"/>
              </w:rPr>
              <w:t>15</w:t>
            </w:r>
          </w:p>
        </w:tc>
      </w:tr>
    </w:tbl>
    <w:p w:rsidR="00F97D54" w:rsidRDefault="00F97D54" w:rsidP="00EB5B97"/>
    <w:p w:rsidR="00F97D54" w:rsidRDefault="00F97D54" w:rsidP="00EB5B97">
      <w:r>
        <w:t xml:space="preserve">Instructions for Table II.B.2, Record Format for Total </w:t>
      </w:r>
      <w:r w:rsidRPr="00E553CC">
        <w:rPr>
          <w:i/>
        </w:rPr>
        <w:t>Locations</w:t>
      </w:r>
      <w:r>
        <w:t xml:space="preserve"> (</w:t>
      </w:r>
      <w:r>
        <w:rPr>
          <w:i/>
        </w:rPr>
        <w:t>ILECs</w:t>
      </w:r>
      <w:r>
        <w:t>):</w:t>
      </w:r>
    </w:p>
    <w:p w:rsidR="00F97D54" w:rsidRDefault="00F97D54" w:rsidP="00EB5B97"/>
    <w:p w:rsidR="00F97D54" w:rsidRDefault="00F97D54" w:rsidP="00EB5B97">
      <w:pPr>
        <w:pStyle w:val="ListParagraph"/>
        <w:numPr>
          <w:ilvl w:val="0"/>
          <w:numId w:val="24"/>
        </w:numPr>
        <w:rPr>
          <w:sz w:val="22"/>
          <w:szCs w:val="22"/>
        </w:rPr>
      </w:pPr>
      <w:r w:rsidRPr="00E553CC">
        <w:rPr>
          <w:sz w:val="22"/>
          <w:szCs w:val="22"/>
          <w:u w:val="single"/>
        </w:rPr>
        <w:t>Locations</w:t>
      </w:r>
      <w:r>
        <w:rPr>
          <w:sz w:val="22"/>
          <w:szCs w:val="22"/>
        </w:rPr>
        <w:t xml:space="preserve">:  The number of </w:t>
      </w:r>
      <w:r w:rsidRPr="00126E39">
        <w:rPr>
          <w:i/>
          <w:sz w:val="22"/>
          <w:szCs w:val="22"/>
        </w:rPr>
        <w:t>Location</w:t>
      </w:r>
      <w:r>
        <w:rPr>
          <w:i/>
          <w:sz w:val="22"/>
          <w:szCs w:val="22"/>
        </w:rPr>
        <w:t>s</w:t>
      </w:r>
      <w:r w:rsidRPr="00126E39">
        <w:rPr>
          <w:sz w:val="22"/>
          <w:szCs w:val="22"/>
        </w:rPr>
        <w:t xml:space="preserve"> </w:t>
      </w:r>
      <w:r>
        <w:rPr>
          <w:sz w:val="22"/>
          <w:szCs w:val="22"/>
        </w:rPr>
        <w:t xml:space="preserve">is the count of unique </w:t>
      </w:r>
      <w:r w:rsidRPr="006215AA">
        <w:rPr>
          <w:i/>
          <w:sz w:val="22"/>
          <w:szCs w:val="22"/>
        </w:rPr>
        <w:t>Locations</w:t>
      </w:r>
      <w:r>
        <w:rPr>
          <w:sz w:val="22"/>
          <w:szCs w:val="22"/>
        </w:rPr>
        <w:t xml:space="preserve"> to which your company provided a </w:t>
      </w:r>
      <w:r w:rsidRPr="006215AA">
        <w:rPr>
          <w:i/>
          <w:sz w:val="22"/>
          <w:szCs w:val="22"/>
        </w:rPr>
        <w:t>Connection</w:t>
      </w:r>
      <w:r>
        <w:rPr>
          <w:sz w:val="22"/>
          <w:szCs w:val="22"/>
        </w:rPr>
        <w:t xml:space="preserve"> during the year entered in </w:t>
      </w:r>
      <w:r w:rsidRPr="00A80213">
        <w:rPr>
          <w:sz w:val="22"/>
          <w:szCs w:val="22"/>
          <w:u w:val="single"/>
        </w:rPr>
        <w:t>Year</w:t>
      </w:r>
      <w:r>
        <w:rPr>
          <w:sz w:val="22"/>
          <w:szCs w:val="22"/>
        </w:rPr>
        <w:t>.</w:t>
      </w:r>
      <w:r w:rsidRPr="00126E39">
        <w:rPr>
          <w:sz w:val="22"/>
          <w:szCs w:val="22"/>
        </w:rPr>
        <w:t xml:space="preserve"> </w:t>
      </w:r>
      <w:r>
        <w:rPr>
          <w:sz w:val="22"/>
          <w:szCs w:val="22"/>
        </w:rPr>
        <w:t xml:space="preserve"> The number of </w:t>
      </w:r>
      <w:r w:rsidRPr="00126E39">
        <w:rPr>
          <w:i/>
          <w:sz w:val="22"/>
          <w:szCs w:val="22"/>
        </w:rPr>
        <w:t>Location</w:t>
      </w:r>
      <w:r>
        <w:rPr>
          <w:i/>
          <w:sz w:val="22"/>
          <w:szCs w:val="22"/>
        </w:rPr>
        <w:t>s</w:t>
      </w:r>
      <w:r w:rsidRPr="00126E39">
        <w:rPr>
          <w:sz w:val="22"/>
          <w:szCs w:val="22"/>
        </w:rPr>
        <w:t xml:space="preserve"> listed here </w:t>
      </w:r>
      <w:r>
        <w:rPr>
          <w:sz w:val="22"/>
          <w:szCs w:val="22"/>
        </w:rPr>
        <w:t>must</w:t>
      </w:r>
      <w:r w:rsidRPr="00126E39">
        <w:rPr>
          <w:sz w:val="22"/>
          <w:szCs w:val="22"/>
        </w:rPr>
        <w:t xml:space="preserve"> equal the number of </w:t>
      </w:r>
      <w:r>
        <w:rPr>
          <w:sz w:val="22"/>
          <w:szCs w:val="22"/>
        </w:rPr>
        <w:t xml:space="preserve">unique </w:t>
      </w:r>
      <w:r w:rsidRPr="00126E39">
        <w:rPr>
          <w:i/>
          <w:sz w:val="22"/>
          <w:szCs w:val="22"/>
        </w:rPr>
        <w:t>Location</w:t>
      </w:r>
      <w:r>
        <w:rPr>
          <w:i/>
          <w:sz w:val="22"/>
          <w:szCs w:val="22"/>
        </w:rPr>
        <w:t>s</w:t>
      </w:r>
      <w:r w:rsidRPr="00126E39">
        <w:rPr>
          <w:sz w:val="22"/>
          <w:szCs w:val="22"/>
        </w:rPr>
        <w:t xml:space="preserve"> enumerated in Question II.</w:t>
      </w:r>
      <w:r>
        <w:rPr>
          <w:sz w:val="22"/>
          <w:szCs w:val="22"/>
        </w:rPr>
        <w:t>B.3</w:t>
      </w:r>
      <w:r w:rsidRPr="00126E39">
        <w:rPr>
          <w:sz w:val="22"/>
          <w:szCs w:val="22"/>
        </w:rPr>
        <w:t xml:space="preserve"> for each year.</w:t>
      </w:r>
    </w:p>
    <w:p w:rsidR="009F2B22" w:rsidRPr="00587EB9" w:rsidRDefault="009F2B22" w:rsidP="009F2B22">
      <w:pPr>
        <w:pStyle w:val="ListParagraph"/>
        <w:rPr>
          <w:sz w:val="22"/>
          <w:szCs w:val="22"/>
        </w:rPr>
      </w:pPr>
    </w:p>
    <w:p w:rsidR="00162BEB" w:rsidRDefault="00162BEB">
      <w:pPr>
        <w:widowControl/>
        <w:rPr>
          <w:i/>
        </w:rPr>
      </w:pPr>
      <w:bookmarkStart w:id="118" w:name="_Toc365972106"/>
      <w:r>
        <w:rPr>
          <w:b/>
          <w:i/>
        </w:rPr>
        <w:br w:type="page"/>
      </w:r>
    </w:p>
    <w:p w:rsidR="00417EA9" w:rsidRPr="00417EA9" w:rsidRDefault="00F97D54" w:rsidP="00417EA9">
      <w:pPr>
        <w:pStyle w:val="Heading4"/>
        <w:numPr>
          <w:ilvl w:val="0"/>
          <w:numId w:val="0"/>
        </w:numPr>
        <w:spacing w:after="0"/>
        <w:rPr>
          <w:b w:val="0"/>
          <w:i/>
        </w:rPr>
      </w:pPr>
      <w:r w:rsidRPr="00417EA9">
        <w:rPr>
          <w:b w:val="0"/>
          <w:i/>
        </w:rPr>
        <w:t>Question II.B.3:  Locations Data for ILECs</w:t>
      </w:r>
      <w:bookmarkEnd w:id="118"/>
    </w:p>
    <w:p w:rsidR="00417EA9" w:rsidRDefault="00417EA9" w:rsidP="00EB5B97">
      <w:pPr>
        <w:autoSpaceDE w:val="0"/>
        <w:autoSpaceDN w:val="0"/>
        <w:adjustRightInd w:val="0"/>
      </w:pPr>
    </w:p>
    <w:p w:rsidR="00F97D54" w:rsidRPr="00A018D2" w:rsidRDefault="00F97D54" w:rsidP="00EB5B97">
      <w:pPr>
        <w:autoSpaceDE w:val="0"/>
        <w:autoSpaceDN w:val="0"/>
        <w:adjustRightInd w:val="0"/>
      </w:pPr>
      <w:r>
        <w:t xml:space="preserve">The purpose of this question is to obtain additional information on the individual </w:t>
      </w:r>
      <w:r w:rsidRPr="00B60C60">
        <w:rPr>
          <w:i/>
        </w:rPr>
        <w:t>Locations</w:t>
      </w:r>
      <w:r>
        <w:t xml:space="preserve"> with </w:t>
      </w:r>
      <w:r w:rsidRPr="00B60C60">
        <w:rPr>
          <w:i/>
        </w:rPr>
        <w:t>Connections</w:t>
      </w:r>
      <w:r>
        <w:t xml:space="preserve"> that make up the total reported in response to Question II.B.2.  </w:t>
      </w:r>
    </w:p>
    <w:p w:rsidR="00F97D54" w:rsidRDefault="00F97D54" w:rsidP="00EB5B97">
      <w:pPr>
        <w:rPr>
          <w:rFonts w:ascii="Century" w:hAnsi="Century"/>
        </w:rPr>
      </w:pPr>
    </w:p>
    <w:tbl>
      <w:tblPr>
        <w:tblW w:w="9468" w:type="dxa"/>
        <w:tblLook w:val="01E0" w:firstRow="1" w:lastRow="1" w:firstColumn="1" w:lastColumn="1" w:noHBand="0" w:noVBand="0"/>
      </w:tblPr>
      <w:tblGrid>
        <w:gridCol w:w="2252"/>
        <w:gridCol w:w="3496"/>
        <w:gridCol w:w="1443"/>
        <w:gridCol w:w="2277"/>
      </w:tblGrid>
      <w:tr w:rsidR="00F97D54" w:rsidTr="00E9084B">
        <w:trPr>
          <w:trHeight w:val="330"/>
          <w:tblHeader/>
        </w:trPr>
        <w:tc>
          <w:tcPr>
            <w:tcW w:w="9468" w:type="dxa"/>
            <w:gridSpan w:val="4"/>
            <w:tcBorders>
              <w:top w:val="double" w:sz="4" w:space="0" w:color="auto"/>
              <w:bottom w:val="single" w:sz="4" w:space="0" w:color="auto"/>
            </w:tcBorders>
            <w:vAlign w:val="center"/>
          </w:tcPr>
          <w:p w:rsidR="00F97D54" w:rsidRDefault="00F97D54" w:rsidP="00EB5B97">
            <w:pPr>
              <w:jc w:val="center"/>
              <w:rPr>
                <w:b/>
                <w:szCs w:val="22"/>
              </w:rPr>
            </w:pPr>
            <w:r>
              <w:rPr>
                <w:b/>
                <w:szCs w:val="22"/>
              </w:rPr>
              <w:t>Table II.B.3</w:t>
            </w:r>
          </w:p>
          <w:p w:rsidR="00F97D54" w:rsidRPr="00886F07" w:rsidRDefault="00F97D54" w:rsidP="00EB5B97">
            <w:pPr>
              <w:jc w:val="center"/>
              <w:rPr>
                <w:b/>
                <w:szCs w:val="22"/>
              </w:rPr>
            </w:pPr>
            <w:r w:rsidRPr="00886F07">
              <w:rPr>
                <w:b/>
                <w:szCs w:val="22"/>
              </w:rPr>
              <w:t xml:space="preserve">Record Format </w:t>
            </w:r>
            <w:r>
              <w:rPr>
                <w:b/>
                <w:szCs w:val="22"/>
              </w:rPr>
              <w:t xml:space="preserve">for Each </w:t>
            </w:r>
            <w:r w:rsidRPr="001421AB">
              <w:rPr>
                <w:b/>
                <w:i/>
                <w:szCs w:val="22"/>
              </w:rPr>
              <w:t>Location</w:t>
            </w:r>
          </w:p>
        </w:tc>
      </w:tr>
      <w:tr w:rsidR="00F97D54" w:rsidTr="00E9084B">
        <w:trPr>
          <w:trHeight w:val="359"/>
          <w:tblHeader/>
        </w:trPr>
        <w:tc>
          <w:tcPr>
            <w:tcW w:w="2252" w:type="dxa"/>
            <w:tcBorders>
              <w:top w:val="single" w:sz="4" w:space="0" w:color="auto"/>
              <w:bottom w:val="single" w:sz="4" w:space="0" w:color="auto"/>
              <w:right w:val="single" w:sz="4" w:space="0" w:color="auto"/>
            </w:tcBorders>
            <w:vAlign w:val="center"/>
          </w:tcPr>
          <w:p w:rsidR="00F97D54" w:rsidRDefault="00F97D54" w:rsidP="00EB5B97">
            <w:pPr>
              <w:rPr>
                <w:b/>
                <w:sz w:val="18"/>
                <w:szCs w:val="18"/>
              </w:rPr>
            </w:pPr>
            <w:r>
              <w:rPr>
                <w:b/>
                <w:sz w:val="18"/>
                <w:szCs w:val="18"/>
              </w:rPr>
              <w:t>Field Name</w:t>
            </w:r>
          </w:p>
        </w:tc>
        <w:tc>
          <w:tcPr>
            <w:tcW w:w="3496" w:type="dxa"/>
            <w:tcBorders>
              <w:top w:val="single" w:sz="4" w:space="0" w:color="auto"/>
              <w:left w:val="single" w:sz="4" w:space="0" w:color="auto"/>
              <w:bottom w:val="single" w:sz="4" w:space="0" w:color="auto"/>
              <w:right w:val="single" w:sz="4" w:space="0" w:color="auto"/>
            </w:tcBorders>
            <w:vAlign w:val="center"/>
          </w:tcPr>
          <w:p w:rsidR="00F97D54" w:rsidRDefault="00F97D54" w:rsidP="00EB5B97">
            <w:pPr>
              <w:rPr>
                <w:b/>
                <w:sz w:val="18"/>
                <w:szCs w:val="18"/>
              </w:rPr>
            </w:pPr>
            <w:r>
              <w:rPr>
                <w:b/>
                <w:sz w:val="18"/>
                <w:szCs w:val="18"/>
              </w:rPr>
              <w:t>Description</w:t>
            </w:r>
          </w:p>
        </w:tc>
        <w:tc>
          <w:tcPr>
            <w:tcW w:w="1443" w:type="dxa"/>
            <w:tcBorders>
              <w:top w:val="single" w:sz="4" w:space="0" w:color="auto"/>
              <w:left w:val="single" w:sz="4" w:space="0" w:color="auto"/>
              <w:bottom w:val="single" w:sz="4" w:space="0" w:color="auto"/>
              <w:right w:val="single" w:sz="4" w:space="0" w:color="auto"/>
            </w:tcBorders>
            <w:vAlign w:val="center"/>
          </w:tcPr>
          <w:p w:rsidR="00F97D54" w:rsidRDefault="00F97D54" w:rsidP="00EB5B97">
            <w:pPr>
              <w:rPr>
                <w:b/>
                <w:sz w:val="18"/>
                <w:szCs w:val="18"/>
              </w:rPr>
            </w:pPr>
            <w:r>
              <w:rPr>
                <w:b/>
                <w:sz w:val="18"/>
                <w:szCs w:val="18"/>
              </w:rPr>
              <w:t>Type</w:t>
            </w:r>
          </w:p>
        </w:tc>
        <w:tc>
          <w:tcPr>
            <w:tcW w:w="2277" w:type="dxa"/>
            <w:tcBorders>
              <w:top w:val="single" w:sz="4" w:space="0" w:color="auto"/>
              <w:left w:val="single" w:sz="4" w:space="0" w:color="auto"/>
              <w:bottom w:val="single" w:sz="4" w:space="0" w:color="auto"/>
            </w:tcBorders>
            <w:vAlign w:val="center"/>
          </w:tcPr>
          <w:p w:rsidR="00F97D54" w:rsidRDefault="00F97D54" w:rsidP="00EB5B97">
            <w:pPr>
              <w:ind w:right="-108"/>
              <w:rPr>
                <w:b/>
                <w:sz w:val="18"/>
                <w:szCs w:val="18"/>
              </w:rPr>
            </w:pPr>
            <w:r>
              <w:rPr>
                <w:b/>
                <w:sz w:val="18"/>
                <w:szCs w:val="18"/>
              </w:rPr>
              <w:t>Example</w:t>
            </w:r>
          </w:p>
        </w:tc>
      </w:tr>
      <w:tr w:rsidR="00F97D54" w:rsidTr="00E9084B">
        <w:trPr>
          <w:trHeight w:val="288"/>
        </w:trPr>
        <w:tc>
          <w:tcPr>
            <w:tcW w:w="2252" w:type="dxa"/>
            <w:vAlign w:val="center"/>
          </w:tcPr>
          <w:p w:rsidR="00F97D54" w:rsidRDefault="00F97D54" w:rsidP="00EB5B97">
            <w:pPr>
              <w:rPr>
                <w:sz w:val="16"/>
                <w:szCs w:val="16"/>
              </w:rPr>
            </w:pPr>
            <w:r>
              <w:rPr>
                <w:sz w:val="16"/>
                <w:szCs w:val="16"/>
              </w:rPr>
              <w:t>Location_ID</w:t>
            </w:r>
          </w:p>
        </w:tc>
        <w:tc>
          <w:tcPr>
            <w:tcW w:w="3496" w:type="dxa"/>
            <w:vAlign w:val="center"/>
          </w:tcPr>
          <w:p w:rsidR="00F97D54" w:rsidRDefault="00F97D54" w:rsidP="00EB5B97">
            <w:pPr>
              <w:rPr>
                <w:sz w:val="16"/>
                <w:szCs w:val="16"/>
              </w:rPr>
            </w:pPr>
            <w:r>
              <w:rPr>
                <w:sz w:val="16"/>
                <w:szCs w:val="16"/>
              </w:rPr>
              <w:t xml:space="preserve">Sequential </w:t>
            </w:r>
            <w:r>
              <w:rPr>
                <w:i/>
                <w:sz w:val="16"/>
                <w:szCs w:val="16"/>
              </w:rPr>
              <w:t>L</w:t>
            </w:r>
            <w:r w:rsidRPr="001421AB">
              <w:rPr>
                <w:i/>
                <w:sz w:val="16"/>
                <w:szCs w:val="16"/>
              </w:rPr>
              <w:t>ocation</w:t>
            </w:r>
            <w:r>
              <w:rPr>
                <w:sz w:val="16"/>
                <w:szCs w:val="16"/>
              </w:rPr>
              <w:t xml:space="preserve"> number</w:t>
            </w:r>
          </w:p>
        </w:tc>
        <w:tc>
          <w:tcPr>
            <w:tcW w:w="1443" w:type="dxa"/>
            <w:vAlign w:val="center"/>
          </w:tcPr>
          <w:p w:rsidR="00F97D54" w:rsidRDefault="00F97D54" w:rsidP="00EB5B97">
            <w:pPr>
              <w:rPr>
                <w:sz w:val="16"/>
                <w:szCs w:val="16"/>
              </w:rPr>
            </w:pPr>
            <w:r>
              <w:rPr>
                <w:sz w:val="16"/>
                <w:szCs w:val="16"/>
              </w:rPr>
              <w:t>Integer</w:t>
            </w:r>
          </w:p>
        </w:tc>
        <w:tc>
          <w:tcPr>
            <w:tcW w:w="2277" w:type="dxa"/>
            <w:vAlign w:val="center"/>
          </w:tcPr>
          <w:p w:rsidR="00F97D54" w:rsidRDefault="00F97D54" w:rsidP="00EB5B97">
            <w:pPr>
              <w:rPr>
                <w:sz w:val="16"/>
                <w:szCs w:val="16"/>
              </w:rPr>
            </w:pPr>
            <w:r>
              <w:rPr>
                <w:sz w:val="16"/>
                <w:szCs w:val="16"/>
              </w:rPr>
              <w:t>1</w:t>
            </w:r>
          </w:p>
        </w:tc>
      </w:tr>
      <w:tr w:rsidR="00F97D54" w:rsidTr="00E9084B">
        <w:trPr>
          <w:trHeight w:val="288"/>
        </w:trPr>
        <w:tc>
          <w:tcPr>
            <w:tcW w:w="2252" w:type="dxa"/>
            <w:vAlign w:val="center"/>
          </w:tcPr>
          <w:p w:rsidR="00F97D54" w:rsidRDefault="00F97D54" w:rsidP="00EB5B97">
            <w:pPr>
              <w:rPr>
                <w:sz w:val="16"/>
                <w:szCs w:val="16"/>
              </w:rPr>
            </w:pPr>
            <w:r>
              <w:rPr>
                <w:sz w:val="16"/>
                <w:szCs w:val="16"/>
              </w:rPr>
              <w:t>Year</w:t>
            </w:r>
          </w:p>
        </w:tc>
        <w:tc>
          <w:tcPr>
            <w:tcW w:w="3496" w:type="dxa"/>
            <w:vAlign w:val="center"/>
          </w:tcPr>
          <w:p w:rsidR="00F97D54" w:rsidRDefault="00F97D54" w:rsidP="00EB5B97">
            <w:pPr>
              <w:rPr>
                <w:color w:val="243F60"/>
                <w:sz w:val="16"/>
                <w:szCs w:val="16"/>
              </w:rPr>
            </w:pPr>
            <w:r>
              <w:rPr>
                <w:sz w:val="16"/>
                <w:szCs w:val="16"/>
              </w:rPr>
              <w:t>Indicator of the calendar year of the data</w:t>
            </w:r>
          </w:p>
        </w:tc>
        <w:tc>
          <w:tcPr>
            <w:tcW w:w="1443" w:type="dxa"/>
            <w:vAlign w:val="center"/>
          </w:tcPr>
          <w:p w:rsidR="00F97D54" w:rsidRDefault="00F97D54" w:rsidP="00EB5B97">
            <w:pPr>
              <w:rPr>
                <w:sz w:val="16"/>
                <w:szCs w:val="16"/>
              </w:rPr>
            </w:pPr>
            <w:r>
              <w:rPr>
                <w:sz w:val="16"/>
                <w:szCs w:val="16"/>
              </w:rPr>
              <w:t>Integer</w:t>
            </w:r>
          </w:p>
        </w:tc>
        <w:tc>
          <w:tcPr>
            <w:tcW w:w="2277" w:type="dxa"/>
            <w:vAlign w:val="center"/>
          </w:tcPr>
          <w:p w:rsidR="00F97D54" w:rsidRDefault="00F97D54" w:rsidP="00EB5B97">
            <w:pPr>
              <w:rPr>
                <w:sz w:val="16"/>
                <w:szCs w:val="16"/>
              </w:rPr>
            </w:pPr>
            <w:r>
              <w:rPr>
                <w:sz w:val="16"/>
                <w:szCs w:val="16"/>
              </w:rPr>
              <w:t>2010</w:t>
            </w:r>
          </w:p>
        </w:tc>
      </w:tr>
      <w:tr w:rsidR="00F97D54" w:rsidTr="00E9084B">
        <w:trPr>
          <w:trHeight w:val="432"/>
        </w:trPr>
        <w:tc>
          <w:tcPr>
            <w:tcW w:w="2252" w:type="dxa"/>
            <w:vAlign w:val="center"/>
          </w:tcPr>
          <w:p w:rsidR="00F97D54" w:rsidRDefault="00F97D54" w:rsidP="00EB5B97">
            <w:pPr>
              <w:rPr>
                <w:sz w:val="16"/>
                <w:szCs w:val="16"/>
              </w:rPr>
            </w:pPr>
            <w:r>
              <w:rPr>
                <w:sz w:val="16"/>
                <w:szCs w:val="16"/>
              </w:rPr>
              <w:t>Street_address</w:t>
            </w:r>
          </w:p>
        </w:tc>
        <w:tc>
          <w:tcPr>
            <w:tcW w:w="3496" w:type="dxa"/>
            <w:vAlign w:val="center"/>
          </w:tcPr>
          <w:p w:rsidR="00F97D54" w:rsidRDefault="00F97D54" w:rsidP="00EB5B97">
            <w:pPr>
              <w:rPr>
                <w:sz w:val="16"/>
                <w:szCs w:val="16"/>
              </w:rPr>
            </w:pPr>
            <w:r>
              <w:rPr>
                <w:sz w:val="16"/>
                <w:szCs w:val="16"/>
              </w:rPr>
              <w:t xml:space="preserve">Actual situs for the </w:t>
            </w:r>
            <w:r w:rsidRPr="00CB28D3">
              <w:rPr>
                <w:i/>
                <w:sz w:val="16"/>
                <w:szCs w:val="16"/>
              </w:rPr>
              <w:t>Location</w:t>
            </w:r>
            <w:r>
              <w:rPr>
                <w:sz w:val="16"/>
                <w:szCs w:val="16"/>
              </w:rPr>
              <w:t xml:space="preserve"> (</w:t>
            </w:r>
            <w:r>
              <w:rPr>
                <w:i/>
                <w:sz w:val="16"/>
                <w:szCs w:val="16"/>
              </w:rPr>
              <w:t>i.e.,</w:t>
            </w:r>
            <w:r>
              <w:rPr>
                <w:sz w:val="16"/>
                <w:szCs w:val="16"/>
              </w:rPr>
              <w:t xml:space="preserve"> land were building or cell site is located) </w:t>
            </w:r>
          </w:p>
        </w:tc>
        <w:tc>
          <w:tcPr>
            <w:tcW w:w="1443" w:type="dxa"/>
            <w:vAlign w:val="center"/>
          </w:tcPr>
          <w:p w:rsidR="00F97D54" w:rsidRDefault="00F97D54" w:rsidP="00EB5B97">
            <w:pPr>
              <w:rPr>
                <w:sz w:val="16"/>
                <w:szCs w:val="16"/>
              </w:rPr>
            </w:pPr>
            <w:r>
              <w:rPr>
                <w:sz w:val="16"/>
                <w:szCs w:val="16"/>
              </w:rPr>
              <w:t>Text</w:t>
            </w:r>
          </w:p>
        </w:tc>
        <w:tc>
          <w:tcPr>
            <w:tcW w:w="2277" w:type="dxa"/>
            <w:vAlign w:val="center"/>
          </w:tcPr>
          <w:p w:rsidR="00F97D54" w:rsidRDefault="00F97D54" w:rsidP="00EB5B97">
            <w:pPr>
              <w:rPr>
                <w:sz w:val="16"/>
                <w:szCs w:val="16"/>
              </w:rPr>
            </w:pPr>
            <w:r>
              <w:rPr>
                <w:sz w:val="16"/>
                <w:szCs w:val="16"/>
              </w:rPr>
              <w:t>445 Twelfth St SW</w:t>
            </w:r>
          </w:p>
        </w:tc>
      </w:tr>
      <w:tr w:rsidR="00F97D54" w:rsidTr="00E9084B">
        <w:trPr>
          <w:trHeight w:val="288"/>
        </w:trPr>
        <w:tc>
          <w:tcPr>
            <w:tcW w:w="2252" w:type="dxa"/>
            <w:vAlign w:val="center"/>
          </w:tcPr>
          <w:p w:rsidR="00F97D54" w:rsidRDefault="00F97D54" w:rsidP="00EB5B97">
            <w:pPr>
              <w:rPr>
                <w:sz w:val="16"/>
                <w:szCs w:val="16"/>
              </w:rPr>
            </w:pPr>
            <w:r>
              <w:rPr>
                <w:sz w:val="16"/>
                <w:szCs w:val="16"/>
              </w:rPr>
              <w:t xml:space="preserve">City </w:t>
            </w:r>
          </w:p>
        </w:tc>
        <w:tc>
          <w:tcPr>
            <w:tcW w:w="3496" w:type="dxa"/>
            <w:vAlign w:val="center"/>
          </w:tcPr>
          <w:p w:rsidR="00F97D54" w:rsidRDefault="00F97D54" w:rsidP="00EB5B97">
            <w:pPr>
              <w:rPr>
                <w:sz w:val="16"/>
                <w:szCs w:val="16"/>
              </w:rPr>
            </w:pPr>
            <w:r>
              <w:rPr>
                <w:sz w:val="16"/>
                <w:szCs w:val="16"/>
              </w:rPr>
              <w:t xml:space="preserve">City of the </w:t>
            </w:r>
            <w:r>
              <w:rPr>
                <w:i/>
                <w:sz w:val="16"/>
                <w:szCs w:val="16"/>
              </w:rPr>
              <w:t>L</w:t>
            </w:r>
            <w:r w:rsidRPr="001421AB">
              <w:rPr>
                <w:i/>
                <w:sz w:val="16"/>
                <w:szCs w:val="16"/>
              </w:rPr>
              <w:t>ocation</w:t>
            </w:r>
          </w:p>
        </w:tc>
        <w:tc>
          <w:tcPr>
            <w:tcW w:w="1443" w:type="dxa"/>
            <w:vAlign w:val="center"/>
          </w:tcPr>
          <w:p w:rsidR="00F97D54" w:rsidRDefault="00F97D54" w:rsidP="00EB5B97">
            <w:pPr>
              <w:rPr>
                <w:sz w:val="16"/>
                <w:szCs w:val="16"/>
              </w:rPr>
            </w:pPr>
            <w:r>
              <w:rPr>
                <w:sz w:val="16"/>
                <w:szCs w:val="16"/>
              </w:rPr>
              <w:t>Text</w:t>
            </w:r>
          </w:p>
        </w:tc>
        <w:tc>
          <w:tcPr>
            <w:tcW w:w="2277" w:type="dxa"/>
            <w:vAlign w:val="center"/>
          </w:tcPr>
          <w:p w:rsidR="00F97D54" w:rsidRDefault="00F97D54" w:rsidP="00EB5B97">
            <w:pPr>
              <w:rPr>
                <w:sz w:val="16"/>
                <w:szCs w:val="16"/>
              </w:rPr>
            </w:pPr>
            <w:r>
              <w:rPr>
                <w:sz w:val="16"/>
                <w:szCs w:val="16"/>
              </w:rPr>
              <w:t>Washington</w:t>
            </w:r>
          </w:p>
        </w:tc>
      </w:tr>
      <w:tr w:rsidR="00F97D54" w:rsidTr="00E9084B">
        <w:trPr>
          <w:trHeight w:val="288"/>
        </w:trPr>
        <w:tc>
          <w:tcPr>
            <w:tcW w:w="2252" w:type="dxa"/>
            <w:vAlign w:val="center"/>
          </w:tcPr>
          <w:p w:rsidR="00F97D54" w:rsidRDefault="00F97D54" w:rsidP="00EB5B97">
            <w:pPr>
              <w:rPr>
                <w:sz w:val="16"/>
                <w:szCs w:val="16"/>
              </w:rPr>
            </w:pPr>
            <w:r>
              <w:rPr>
                <w:sz w:val="16"/>
                <w:szCs w:val="16"/>
              </w:rPr>
              <w:t>State</w:t>
            </w:r>
          </w:p>
        </w:tc>
        <w:tc>
          <w:tcPr>
            <w:tcW w:w="3496" w:type="dxa"/>
            <w:vAlign w:val="center"/>
          </w:tcPr>
          <w:p w:rsidR="00F97D54" w:rsidRDefault="00F97D54" w:rsidP="00EB5B97">
            <w:pPr>
              <w:rPr>
                <w:sz w:val="16"/>
                <w:szCs w:val="16"/>
              </w:rPr>
            </w:pPr>
            <w:r>
              <w:rPr>
                <w:sz w:val="16"/>
                <w:szCs w:val="16"/>
              </w:rPr>
              <w:t xml:space="preserve">Two-letter state postal abbreviation of the </w:t>
            </w:r>
            <w:r>
              <w:rPr>
                <w:i/>
                <w:sz w:val="16"/>
                <w:szCs w:val="16"/>
              </w:rPr>
              <w:t>L</w:t>
            </w:r>
            <w:r w:rsidRPr="001421AB">
              <w:rPr>
                <w:i/>
                <w:sz w:val="16"/>
                <w:szCs w:val="16"/>
              </w:rPr>
              <w:t>ocation</w:t>
            </w:r>
          </w:p>
        </w:tc>
        <w:tc>
          <w:tcPr>
            <w:tcW w:w="1443" w:type="dxa"/>
            <w:vAlign w:val="center"/>
          </w:tcPr>
          <w:p w:rsidR="00F97D54" w:rsidRDefault="00F97D54" w:rsidP="00EB5B97">
            <w:pPr>
              <w:rPr>
                <w:sz w:val="16"/>
                <w:szCs w:val="16"/>
              </w:rPr>
            </w:pPr>
            <w:r>
              <w:rPr>
                <w:sz w:val="16"/>
                <w:szCs w:val="16"/>
              </w:rPr>
              <w:t>Text</w:t>
            </w:r>
          </w:p>
        </w:tc>
        <w:tc>
          <w:tcPr>
            <w:tcW w:w="2277" w:type="dxa"/>
            <w:vAlign w:val="center"/>
          </w:tcPr>
          <w:p w:rsidR="00F97D54" w:rsidRDefault="00F97D54" w:rsidP="00EB5B97">
            <w:pPr>
              <w:rPr>
                <w:sz w:val="16"/>
                <w:szCs w:val="16"/>
              </w:rPr>
            </w:pPr>
            <w:r>
              <w:rPr>
                <w:sz w:val="16"/>
                <w:szCs w:val="16"/>
              </w:rPr>
              <w:t>DC</w:t>
            </w:r>
          </w:p>
        </w:tc>
      </w:tr>
      <w:tr w:rsidR="00F97D54" w:rsidTr="00E9084B">
        <w:trPr>
          <w:trHeight w:val="288"/>
        </w:trPr>
        <w:tc>
          <w:tcPr>
            <w:tcW w:w="2252" w:type="dxa"/>
            <w:vAlign w:val="center"/>
          </w:tcPr>
          <w:p w:rsidR="00F97D54" w:rsidRDefault="00F97D54" w:rsidP="00EB5B97">
            <w:pPr>
              <w:rPr>
                <w:sz w:val="16"/>
                <w:szCs w:val="16"/>
              </w:rPr>
            </w:pPr>
            <w:r>
              <w:rPr>
                <w:sz w:val="16"/>
                <w:szCs w:val="16"/>
              </w:rPr>
              <w:t>ZIP</w:t>
            </w:r>
          </w:p>
        </w:tc>
        <w:tc>
          <w:tcPr>
            <w:tcW w:w="3496" w:type="dxa"/>
            <w:vAlign w:val="center"/>
          </w:tcPr>
          <w:p w:rsidR="00F97D54" w:rsidRDefault="00F97D54" w:rsidP="00EB5B97">
            <w:pPr>
              <w:rPr>
                <w:sz w:val="16"/>
                <w:szCs w:val="16"/>
              </w:rPr>
            </w:pPr>
            <w:r>
              <w:rPr>
                <w:sz w:val="16"/>
                <w:szCs w:val="16"/>
              </w:rPr>
              <w:t xml:space="preserve">5-digit ZIP code (with leading zeros) of the </w:t>
            </w:r>
            <w:r>
              <w:rPr>
                <w:i/>
                <w:sz w:val="16"/>
                <w:szCs w:val="16"/>
              </w:rPr>
              <w:t>L</w:t>
            </w:r>
            <w:r w:rsidRPr="001421AB">
              <w:rPr>
                <w:i/>
                <w:sz w:val="16"/>
                <w:szCs w:val="16"/>
              </w:rPr>
              <w:t>ocation</w:t>
            </w:r>
          </w:p>
        </w:tc>
        <w:tc>
          <w:tcPr>
            <w:tcW w:w="1443" w:type="dxa"/>
            <w:vAlign w:val="center"/>
          </w:tcPr>
          <w:p w:rsidR="00F97D54" w:rsidRDefault="00F97D54" w:rsidP="00EB5B97">
            <w:pPr>
              <w:rPr>
                <w:sz w:val="16"/>
                <w:szCs w:val="16"/>
              </w:rPr>
            </w:pPr>
            <w:r>
              <w:rPr>
                <w:sz w:val="16"/>
                <w:szCs w:val="16"/>
              </w:rPr>
              <w:t>Text</w:t>
            </w:r>
          </w:p>
        </w:tc>
        <w:tc>
          <w:tcPr>
            <w:tcW w:w="2277" w:type="dxa"/>
            <w:vAlign w:val="center"/>
          </w:tcPr>
          <w:p w:rsidR="00F97D54" w:rsidRDefault="00F97D54" w:rsidP="00EB5B97">
            <w:pPr>
              <w:rPr>
                <w:sz w:val="16"/>
                <w:szCs w:val="16"/>
              </w:rPr>
            </w:pPr>
            <w:r>
              <w:rPr>
                <w:sz w:val="16"/>
                <w:szCs w:val="16"/>
              </w:rPr>
              <w:t>20554</w:t>
            </w:r>
          </w:p>
        </w:tc>
      </w:tr>
      <w:tr w:rsidR="00F97D54" w:rsidTr="00E9084B">
        <w:trPr>
          <w:trHeight w:val="360"/>
        </w:trPr>
        <w:tc>
          <w:tcPr>
            <w:tcW w:w="2252" w:type="dxa"/>
            <w:vAlign w:val="center"/>
          </w:tcPr>
          <w:p w:rsidR="00F97D54" w:rsidRDefault="00F97D54" w:rsidP="00EB5B97">
            <w:pPr>
              <w:rPr>
                <w:sz w:val="16"/>
                <w:szCs w:val="16"/>
              </w:rPr>
            </w:pPr>
            <w:r>
              <w:rPr>
                <w:sz w:val="16"/>
                <w:szCs w:val="16"/>
              </w:rPr>
              <w:t>ZIP4</w:t>
            </w:r>
          </w:p>
        </w:tc>
        <w:tc>
          <w:tcPr>
            <w:tcW w:w="3496" w:type="dxa"/>
            <w:vAlign w:val="center"/>
          </w:tcPr>
          <w:p w:rsidR="00F97D54" w:rsidRDefault="00F97D54" w:rsidP="00EB5B97">
            <w:pPr>
              <w:rPr>
                <w:sz w:val="16"/>
                <w:szCs w:val="16"/>
              </w:rPr>
            </w:pPr>
            <w:r>
              <w:rPr>
                <w:sz w:val="16"/>
                <w:szCs w:val="16"/>
              </w:rPr>
              <w:t xml:space="preserve">4-digit add-on code (with leading zeros) of the </w:t>
            </w:r>
            <w:r>
              <w:rPr>
                <w:i/>
                <w:sz w:val="16"/>
                <w:szCs w:val="16"/>
              </w:rPr>
              <w:t>L</w:t>
            </w:r>
            <w:r w:rsidRPr="001421AB">
              <w:rPr>
                <w:i/>
                <w:sz w:val="16"/>
                <w:szCs w:val="16"/>
              </w:rPr>
              <w:t>ocation</w:t>
            </w:r>
          </w:p>
        </w:tc>
        <w:tc>
          <w:tcPr>
            <w:tcW w:w="1443" w:type="dxa"/>
            <w:vAlign w:val="center"/>
          </w:tcPr>
          <w:p w:rsidR="00F97D54" w:rsidRDefault="00F97D54" w:rsidP="00EB5B97">
            <w:pPr>
              <w:rPr>
                <w:sz w:val="16"/>
                <w:szCs w:val="16"/>
              </w:rPr>
            </w:pPr>
            <w:r>
              <w:rPr>
                <w:sz w:val="16"/>
                <w:szCs w:val="16"/>
              </w:rPr>
              <w:t>Text</w:t>
            </w:r>
          </w:p>
        </w:tc>
        <w:tc>
          <w:tcPr>
            <w:tcW w:w="2277" w:type="dxa"/>
            <w:vAlign w:val="center"/>
          </w:tcPr>
          <w:p w:rsidR="00F97D54" w:rsidRDefault="00F97D54" w:rsidP="00EB5B97">
            <w:pPr>
              <w:rPr>
                <w:sz w:val="16"/>
                <w:szCs w:val="16"/>
              </w:rPr>
            </w:pPr>
            <w:r>
              <w:rPr>
                <w:sz w:val="16"/>
                <w:szCs w:val="16"/>
              </w:rPr>
              <w:t>0000</w:t>
            </w:r>
          </w:p>
        </w:tc>
      </w:tr>
      <w:tr w:rsidR="00F97D54" w:rsidTr="00E9084B">
        <w:trPr>
          <w:cantSplit/>
          <w:trHeight w:val="270"/>
        </w:trPr>
        <w:tc>
          <w:tcPr>
            <w:tcW w:w="2252" w:type="dxa"/>
            <w:vAlign w:val="center"/>
          </w:tcPr>
          <w:p w:rsidR="00F97D54" w:rsidRDefault="00F97D54" w:rsidP="00EB5B97">
            <w:pPr>
              <w:rPr>
                <w:sz w:val="16"/>
                <w:szCs w:val="16"/>
              </w:rPr>
            </w:pPr>
            <w:r>
              <w:rPr>
                <w:sz w:val="16"/>
                <w:szCs w:val="16"/>
              </w:rPr>
              <w:t>Lat</w:t>
            </w:r>
          </w:p>
        </w:tc>
        <w:tc>
          <w:tcPr>
            <w:tcW w:w="3496" w:type="dxa"/>
            <w:vAlign w:val="center"/>
          </w:tcPr>
          <w:p w:rsidR="00F97D54" w:rsidRDefault="00F97D54" w:rsidP="00EB5B97">
            <w:pPr>
              <w:rPr>
                <w:sz w:val="16"/>
                <w:szCs w:val="16"/>
              </w:rPr>
            </w:pPr>
            <w:r>
              <w:rPr>
                <w:sz w:val="16"/>
                <w:szCs w:val="16"/>
              </w:rPr>
              <w:t>Latitude</w:t>
            </w:r>
          </w:p>
        </w:tc>
        <w:tc>
          <w:tcPr>
            <w:tcW w:w="1443" w:type="dxa"/>
            <w:vAlign w:val="center"/>
          </w:tcPr>
          <w:p w:rsidR="00F97D54" w:rsidRDefault="00F97D54" w:rsidP="00EB5B97">
            <w:pPr>
              <w:rPr>
                <w:sz w:val="16"/>
                <w:szCs w:val="16"/>
              </w:rPr>
            </w:pPr>
            <w:r>
              <w:rPr>
                <w:sz w:val="16"/>
                <w:szCs w:val="16"/>
              </w:rPr>
              <w:t>Float</w:t>
            </w:r>
          </w:p>
        </w:tc>
        <w:tc>
          <w:tcPr>
            <w:tcW w:w="2277" w:type="dxa"/>
            <w:vAlign w:val="center"/>
          </w:tcPr>
          <w:p w:rsidR="00F97D54" w:rsidRDefault="00F97D54" w:rsidP="00EB5B97">
            <w:pPr>
              <w:rPr>
                <w:sz w:val="16"/>
                <w:szCs w:val="16"/>
              </w:rPr>
            </w:pPr>
            <w:r>
              <w:rPr>
                <w:sz w:val="16"/>
                <w:szCs w:val="16"/>
              </w:rPr>
              <w:t>38.8835</w:t>
            </w:r>
          </w:p>
        </w:tc>
      </w:tr>
      <w:tr w:rsidR="00F97D54" w:rsidTr="00E9084B">
        <w:trPr>
          <w:cantSplit/>
          <w:trHeight w:val="270"/>
        </w:trPr>
        <w:tc>
          <w:tcPr>
            <w:tcW w:w="2252" w:type="dxa"/>
            <w:vAlign w:val="center"/>
          </w:tcPr>
          <w:p w:rsidR="00F97D54" w:rsidRDefault="00F97D54" w:rsidP="00EB5B97">
            <w:pPr>
              <w:rPr>
                <w:sz w:val="16"/>
                <w:szCs w:val="16"/>
              </w:rPr>
            </w:pPr>
            <w:r>
              <w:rPr>
                <w:sz w:val="16"/>
                <w:szCs w:val="16"/>
              </w:rPr>
              <w:t>Long</w:t>
            </w:r>
          </w:p>
        </w:tc>
        <w:tc>
          <w:tcPr>
            <w:tcW w:w="3496" w:type="dxa"/>
            <w:vAlign w:val="center"/>
          </w:tcPr>
          <w:p w:rsidR="00F97D54" w:rsidRDefault="00F97D54" w:rsidP="00EB5B97">
            <w:pPr>
              <w:rPr>
                <w:sz w:val="16"/>
                <w:szCs w:val="16"/>
              </w:rPr>
            </w:pPr>
            <w:r>
              <w:rPr>
                <w:sz w:val="16"/>
                <w:szCs w:val="16"/>
              </w:rPr>
              <w:t>Longitude</w:t>
            </w:r>
          </w:p>
        </w:tc>
        <w:tc>
          <w:tcPr>
            <w:tcW w:w="1443" w:type="dxa"/>
            <w:vAlign w:val="center"/>
          </w:tcPr>
          <w:p w:rsidR="00F97D54" w:rsidRDefault="00F97D54" w:rsidP="00EB5B97">
            <w:pPr>
              <w:rPr>
                <w:sz w:val="16"/>
                <w:szCs w:val="16"/>
              </w:rPr>
            </w:pPr>
            <w:r>
              <w:rPr>
                <w:sz w:val="16"/>
                <w:szCs w:val="16"/>
              </w:rPr>
              <w:t>Float</w:t>
            </w:r>
          </w:p>
        </w:tc>
        <w:tc>
          <w:tcPr>
            <w:tcW w:w="2277" w:type="dxa"/>
            <w:vAlign w:val="center"/>
          </w:tcPr>
          <w:p w:rsidR="00F97D54" w:rsidRDefault="00F97D54" w:rsidP="00EB5B97">
            <w:pPr>
              <w:rPr>
                <w:sz w:val="16"/>
                <w:szCs w:val="16"/>
              </w:rPr>
            </w:pPr>
            <w:r>
              <w:rPr>
                <w:sz w:val="16"/>
                <w:szCs w:val="16"/>
              </w:rPr>
              <w:t>-77.0280</w:t>
            </w:r>
          </w:p>
        </w:tc>
      </w:tr>
      <w:tr w:rsidR="00F97D54" w:rsidTr="00E9084B">
        <w:trPr>
          <w:cantSplit/>
          <w:trHeight w:val="828"/>
        </w:trPr>
        <w:tc>
          <w:tcPr>
            <w:tcW w:w="2252" w:type="dxa"/>
            <w:vAlign w:val="center"/>
          </w:tcPr>
          <w:p w:rsidR="00F97D54" w:rsidRDefault="00F97D54" w:rsidP="00EB5B97">
            <w:pPr>
              <w:rPr>
                <w:sz w:val="16"/>
                <w:szCs w:val="16"/>
              </w:rPr>
            </w:pPr>
            <w:r>
              <w:rPr>
                <w:sz w:val="16"/>
                <w:szCs w:val="16"/>
              </w:rPr>
              <w:t>Loc_type</w:t>
            </w:r>
          </w:p>
        </w:tc>
        <w:tc>
          <w:tcPr>
            <w:tcW w:w="3496" w:type="dxa"/>
            <w:vAlign w:val="center"/>
          </w:tcPr>
          <w:p w:rsidR="00F97D54" w:rsidRPr="009F0970" w:rsidRDefault="00F97D54" w:rsidP="00EB5B97">
            <w:pPr>
              <w:rPr>
                <w:b/>
                <w:sz w:val="16"/>
                <w:szCs w:val="16"/>
              </w:rPr>
            </w:pPr>
            <w:r>
              <w:rPr>
                <w:sz w:val="16"/>
                <w:szCs w:val="16"/>
              </w:rPr>
              <w:t>T</w:t>
            </w:r>
            <w:r w:rsidRPr="009F0970">
              <w:rPr>
                <w:sz w:val="16"/>
                <w:szCs w:val="16"/>
              </w:rPr>
              <w:t>h</w:t>
            </w:r>
            <w:r>
              <w:rPr>
                <w:sz w:val="16"/>
                <w:szCs w:val="16"/>
              </w:rPr>
              <w:t xml:space="preserve">e type of </w:t>
            </w:r>
            <w:r>
              <w:rPr>
                <w:i/>
                <w:sz w:val="16"/>
                <w:szCs w:val="16"/>
              </w:rPr>
              <w:t>L</w:t>
            </w:r>
            <w:r w:rsidRPr="001D2890">
              <w:rPr>
                <w:i/>
                <w:sz w:val="16"/>
                <w:szCs w:val="16"/>
              </w:rPr>
              <w:t>ocation</w:t>
            </w:r>
            <w:r w:rsidRPr="009F0970">
              <w:rPr>
                <w:sz w:val="16"/>
                <w:szCs w:val="16"/>
              </w:rPr>
              <w:t xml:space="preserve"> </w:t>
            </w:r>
            <w:r>
              <w:rPr>
                <w:sz w:val="16"/>
                <w:szCs w:val="16"/>
              </w:rPr>
              <w:t xml:space="preserve">served </w:t>
            </w:r>
            <w:r w:rsidRPr="009F0970">
              <w:rPr>
                <w:sz w:val="16"/>
                <w:szCs w:val="16"/>
              </w:rPr>
              <w:t xml:space="preserve">is </w:t>
            </w:r>
            <w:r>
              <w:rPr>
                <w:sz w:val="16"/>
                <w:szCs w:val="16"/>
              </w:rPr>
              <w:t>a 1=bu</w:t>
            </w:r>
            <w:r w:rsidRPr="009F0970">
              <w:rPr>
                <w:sz w:val="16"/>
                <w:szCs w:val="16"/>
              </w:rPr>
              <w:t>ilding;</w:t>
            </w:r>
            <w:r>
              <w:rPr>
                <w:sz w:val="16"/>
                <w:szCs w:val="16"/>
              </w:rPr>
              <w:t xml:space="preserve"> 2=other man-made structure;</w:t>
            </w:r>
            <w:r w:rsidRPr="009F0970">
              <w:rPr>
                <w:sz w:val="16"/>
                <w:szCs w:val="16"/>
              </w:rPr>
              <w:t xml:space="preserve"> </w:t>
            </w:r>
            <w:r>
              <w:rPr>
                <w:sz w:val="16"/>
                <w:szCs w:val="16"/>
              </w:rPr>
              <w:t>3</w:t>
            </w:r>
            <w:r w:rsidRPr="009F0970">
              <w:rPr>
                <w:sz w:val="16"/>
                <w:szCs w:val="16"/>
              </w:rPr>
              <w:t>=</w:t>
            </w:r>
            <w:r>
              <w:rPr>
                <w:sz w:val="16"/>
                <w:szCs w:val="16"/>
              </w:rPr>
              <w:t>c</w:t>
            </w:r>
            <w:r w:rsidRPr="009F0970">
              <w:rPr>
                <w:sz w:val="16"/>
                <w:szCs w:val="16"/>
              </w:rPr>
              <w:t>ell site in or on a building;</w:t>
            </w:r>
            <w:r>
              <w:rPr>
                <w:sz w:val="16"/>
                <w:szCs w:val="16"/>
              </w:rPr>
              <w:t xml:space="preserve"> 4</w:t>
            </w:r>
            <w:r w:rsidRPr="009F0970">
              <w:rPr>
                <w:sz w:val="16"/>
                <w:szCs w:val="16"/>
              </w:rPr>
              <w:t>=</w:t>
            </w:r>
            <w:r>
              <w:rPr>
                <w:sz w:val="16"/>
                <w:szCs w:val="16"/>
              </w:rPr>
              <w:t>f</w:t>
            </w:r>
            <w:r w:rsidRPr="009F0970">
              <w:rPr>
                <w:sz w:val="16"/>
                <w:szCs w:val="16"/>
              </w:rPr>
              <w:t>ree-standing cell site</w:t>
            </w:r>
            <w:r>
              <w:rPr>
                <w:sz w:val="16"/>
                <w:szCs w:val="16"/>
              </w:rPr>
              <w:t>;</w:t>
            </w:r>
            <w:r w:rsidRPr="009F0970">
              <w:rPr>
                <w:sz w:val="16"/>
                <w:szCs w:val="16"/>
              </w:rPr>
              <w:t xml:space="preserve"> </w:t>
            </w:r>
            <w:r>
              <w:rPr>
                <w:sz w:val="16"/>
                <w:szCs w:val="16"/>
              </w:rPr>
              <w:t>5</w:t>
            </w:r>
            <w:r w:rsidRPr="00474931">
              <w:rPr>
                <w:sz w:val="16"/>
                <w:szCs w:val="16"/>
              </w:rPr>
              <w:t>=</w:t>
            </w:r>
            <w:r>
              <w:rPr>
                <w:sz w:val="16"/>
                <w:szCs w:val="16"/>
              </w:rPr>
              <w:t xml:space="preserve">cell site on some other man-made structure, </w:t>
            </w:r>
            <w:r w:rsidRPr="00E603EA">
              <w:rPr>
                <w:i/>
                <w:sz w:val="16"/>
                <w:szCs w:val="16"/>
              </w:rPr>
              <w:t>e.g.</w:t>
            </w:r>
            <w:r>
              <w:rPr>
                <w:sz w:val="16"/>
                <w:szCs w:val="16"/>
              </w:rPr>
              <w:t>, water tower; or 6=unknown.</w:t>
            </w:r>
          </w:p>
        </w:tc>
        <w:tc>
          <w:tcPr>
            <w:tcW w:w="1443" w:type="dxa"/>
            <w:vAlign w:val="center"/>
          </w:tcPr>
          <w:p w:rsidR="00F97D54" w:rsidRDefault="00F97D54" w:rsidP="00EB5B97">
            <w:pPr>
              <w:rPr>
                <w:sz w:val="16"/>
                <w:szCs w:val="16"/>
              </w:rPr>
            </w:pPr>
            <w:r>
              <w:rPr>
                <w:sz w:val="16"/>
                <w:szCs w:val="16"/>
              </w:rPr>
              <w:t>Integer</w:t>
            </w:r>
          </w:p>
        </w:tc>
        <w:tc>
          <w:tcPr>
            <w:tcW w:w="2277" w:type="dxa"/>
            <w:vAlign w:val="center"/>
          </w:tcPr>
          <w:p w:rsidR="00F97D54" w:rsidRDefault="00F97D54" w:rsidP="00EB5B97">
            <w:pPr>
              <w:rPr>
                <w:sz w:val="16"/>
                <w:szCs w:val="16"/>
              </w:rPr>
            </w:pPr>
            <w:r>
              <w:rPr>
                <w:sz w:val="16"/>
                <w:szCs w:val="16"/>
              </w:rPr>
              <w:t>1</w:t>
            </w:r>
          </w:p>
        </w:tc>
      </w:tr>
      <w:tr w:rsidR="00F97D54" w:rsidTr="00E9084B">
        <w:trPr>
          <w:trHeight w:val="342"/>
        </w:trPr>
        <w:tc>
          <w:tcPr>
            <w:tcW w:w="2252" w:type="dxa"/>
            <w:vAlign w:val="center"/>
          </w:tcPr>
          <w:p w:rsidR="00F97D54" w:rsidRDefault="00F97D54" w:rsidP="00EB5B97">
            <w:pPr>
              <w:rPr>
                <w:sz w:val="16"/>
                <w:szCs w:val="16"/>
              </w:rPr>
            </w:pPr>
            <w:r>
              <w:rPr>
                <w:sz w:val="16"/>
                <w:szCs w:val="16"/>
              </w:rPr>
              <w:t>Medium</w:t>
            </w:r>
          </w:p>
        </w:tc>
        <w:tc>
          <w:tcPr>
            <w:tcW w:w="3496" w:type="dxa"/>
            <w:vAlign w:val="center"/>
          </w:tcPr>
          <w:p w:rsidR="00F97D54" w:rsidRDefault="00F97D54" w:rsidP="00EB5B97">
            <w:pPr>
              <w:rPr>
                <w:sz w:val="16"/>
                <w:szCs w:val="16"/>
              </w:rPr>
            </w:pPr>
            <w:r>
              <w:rPr>
                <w:sz w:val="16"/>
                <w:szCs w:val="16"/>
              </w:rPr>
              <w:t xml:space="preserve">Are any of the </w:t>
            </w:r>
            <w:r>
              <w:rPr>
                <w:i/>
                <w:sz w:val="16"/>
                <w:szCs w:val="16"/>
              </w:rPr>
              <w:t>C</w:t>
            </w:r>
            <w:r w:rsidRPr="001421AB">
              <w:rPr>
                <w:i/>
                <w:sz w:val="16"/>
                <w:szCs w:val="16"/>
              </w:rPr>
              <w:t>onnections</w:t>
            </w:r>
            <w:r>
              <w:rPr>
                <w:sz w:val="16"/>
                <w:szCs w:val="16"/>
              </w:rPr>
              <w:t xml:space="preserve"> to this </w:t>
            </w:r>
            <w:r>
              <w:rPr>
                <w:i/>
                <w:sz w:val="16"/>
                <w:szCs w:val="16"/>
              </w:rPr>
              <w:t>L</w:t>
            </w:r>
            <w:r w:rsidRPr="001421AB">
              <w:rPr>
                <w:i/>
                <w:sz w:val="16"/>
                <w:szCs w:val="16"/>
              </w:rPr>
              <w:t>ocation</w:t>
            </w:r>
            <w:r>
              <w:rPr>
                <w:sz w:val="16"/>
                <w:szCs w:val="16"/>
              </w:rPr>
              <w:t xml:space="preserve"> provided over fiber? (Y/N)</w:t>
            </w:r>
          </w:p>
        </w:tc>
        <w:tc>
          <w:tcPr>
            <w:tcW w:w="1443" w:type="dxa"/>
            <w:vAlign w:val="center"/>
          </w:tcPr>
          <w:p w:rsidR="00F97D54" w:rsidRDefault="00F97D54" w:rsidP="00EB5B97">
            <w:pPr>
              <w:rPr>
                <w:sz w:val="16"/>
                <w:szCs w:val="16"/>
              </w:rPr>
            </w:pPr>
            <w:r>
              <w:rPr>
                <w:sz w:val="16"/>
                <w:szCs w:val="16"/>
              </w:rPr>
              <w:t>Text</w:t>
            </w:r>
          </w:p>
        </w:tc>
        <w:tc>
          <w:tcPr>
            <w:tcW w:w="2277" w:type="dxa"/>
            <w:vAlign w:val="center"/>
          </w:tcPr>
          <w:p w:rsidR="00F97D54" w:rsidRDefault="00F97D54" w:rsidP="00EB5B97">
            <w:pPr>
              <w:rPr>
                <w:sz w:val="16"/>
                <w:szCs w:val="16"/>
              </w:rPr>
            </w:pPr>
            <w:r>
              <w:rPr>
                <w:sz w:val="16"/>
                <w:szCs w:val="16"/>
              </w:rPr>
              <w:t>N</w:t>
            </w:r>
          </w:p>
        </w:tc>
      </w:tr>
      <w:tr w:rsidR="00F97D54" w:rsidTr="00E9084B">
        <w:trPr>
          <w:trHeight w:val="720"/>
        </w:trPr>
        <w:tc>
          <w:tcPr>
            <w:tcW w:w="2252" w:type="dxa"/>
            <w:vAlign w:val="center"/>
          </w:tcPr>
          <w:p w:rsidR="00F97D54" w:rsidRDefault="00F97D54" w:rsidP="00EB5B97">
            <w:pPr>
              <w:rPr>
                <w:sz w:val="16"/>
                <w:szCs w:val="16"/>
              </w:rPr>
            </w:pPr>
            <w:r>
              <w:rPr>
                <w:sz w:val="16"/>
                <w:szCs w:val="16"/>
              </w:rPr>
              <w:t>Sold_bandwidth_total</w:t>
            </w:r>
          </w:p>
        </w:tc>
        <w:tc>
          <w:tcPr>
            <w:tcW w:w="3496" w:type="dxa"/>
            <w:vAlign w:val="center"/>
          </w:tcPr>
          <w:p w:rsidR="00F97D54" w:rsidRDefault="00F97D54" w:rsidP="00EB5B97">
            <w:pPr>
              <w:rPr>
                <w:sz w:val="16"/>
                <w:szCs w:val="16"/>
              </w:rPr>
            </w:pPr>
            <w:r>
              <w:rPr>
                <w:sz w:val="16"/>
                <w:szCs w:val="16"/>
              </w:rPr>
              <w:t>Total b</w:t>
            </w:r>
            <w:r w:rsidRPr="00D113C6">
              <w:rPr>
                <w:sz w:val="16"/>
                <w:szCs w:val="16"/>
              </w:rPr>
              <w:t>andwidth (</w:t>
            </w:r>
            <w:r>
              <w:rPr>
                <w:sz w:val="16"/>
                <w:szCs w:val="16"/>
              </w:rPr>
              <w:t>in Mbps</w:t>
            </w:r>
            <w:r w:rsidRPr="00D113C6">
              <w:rPr>
                <w:sz w:val="16"/>
                <w:szCs w:val="16"/>
              </w:rPr>
              <w:t xml:space="preserve">) of </w:t>
            </w:r>
            <w:r>
              <w:rPr>
                <w:i/>
                <w:sz w:val="16"/>
                <w:szCs w:val="16"/>
              </w:rPr>
              <w:t>C</w:t>
            </w:r>
            <w:r w:rsidRPr="001D2890">
              <w:rPr>
                <w:i/>
                <w:sz w:val="16"/>
                <w:szCs w:val="16"/>
              </w:rPr>
              <w:t>onnections</w:t>
            </w:r>
            <w:r w:rsidRPr="00D113C6">
              <w:rPr>
                <w:sz w:val="16"/>
                <w:szCs w:val="16"/>
              </w:rPr>
              <w:t xml:space="preserve"> </w:t>
            </w:r>
            <w:r>
              <w:rPr>
                <w:sz w:val="16"/>
                <w:szCs w:val="16"/>
              </w:rPr>
              <w:t xml:space="preserve">provided to the </w:t>
            </w:r>
            <w:r>
              <w:rPr>
                <w:i/>
                <w:sz w:val="16"/>
                <w:szCs w:val="16"/>
              </w:rPr>
              <w:t>L</w:t>
            </w:r>
            <w:r w:rsidRPr="00646863">
              <w:rPr>
                <w:i/>
                <w:sz w:val="16"/>
                <w:szCs w:val="16"/>
              </w:rPr>
              <w:t>ocation</w:t>
            </w:r>
            <w:r>
              <w:rPr>
                <w:sz w:val="16"/>
                <w:szCs w:val="16"/>
              </w:rPr>
              <w:t xml:space="preserve"> </w:t>
            </w:r>
            <w:r w:rsidRPr="00D113C6">
              <w:rPr>
                <w:sz w:val="16"/>
                <w:szCs w:val="16"/>
              </w:rPr>
              <w:t xml:space="preserve">as sold. </w:t>
            </w:r>
            <w:r>
              <w:rPr>
                <w:sz w:val="16"/>
                <w:szCs w:val="16"/>
              </w:rPr>
              <w:t xml:space="preserve"> </w:t>
            </w:r>
          </w:p>
        </w:tc>
        <w:tc>
          <w:tcPr>
            <w:tcW w:w="1443" w:type="dxa"/>
            <w:vAlign w:val="center"/>
          </w:tcPr>
          <w:p w:rsidR="00F97D54" w:rsidRDefault="00F97D54" w:rsidP="00EB5B97">
            <w:pPr>
              <w:rPr>
                <w:sz w:val="16"/>
                <w:szCs w:val="16"/>
              </w:rPr>
            </w:pPr>
            <w:r>
              <w:rPr>
                <w:sz w:val="16"/>
                <w:szCs w:val="16"/>
              </w:rPr>
              <w:t>Float</w:t>
            </w:r>
          </w:p>
        </w:tc>
        <w:tc>
          <w:tcPr>
            <w:tcW w:w="2277" w:type="dxa"/>
            <w:vAlign w:val="center"/>
          </w:tcPr>
          <w:p w:rsidR="00F97D54" w:rsidRDefault="00F97D54" w:rsidP="00EB5B97">
            <w:pPr>
              <w:rPr>
                <w:sz w:val="16"/>
                <w:szCs w:val="16"/>
              </w:rPr>
            </w:pPr>
            <w:r>
              <w:rPr>
                <w:sz w:val="16"/>
                <w:szCs w:val="16"/>
              </w:rPr>
              <w:t>1.544</w:t>
            </w:r>
          </w:p>
        </w:tc>
      </w:tr>
      <w:tr w:rsidR="00F97D54" w:rsidTr="00E9084B">
        <w:trPr>
          <w:trHeight w:val="864"/>
        </w:trPr>
        <w:tc>
          <w:tcPr>
            <w:tcW w:w="2252" w:type="dxa"/>
            <w:vAlign w:val="center"/>
          </w:tcPr>
          <w:p w:rsidR="00F97D54" w:rsidRDefault="00F97D54" w:rsidP="00EB5B97">
            <w:pPr>
              <w:rPr>
                <w:sz w:val="16"/>
                <w:szCs w:val="16"/>
              </w:rPr>
            </w:pPr>
            <w:r>
              <w:rPr>
                <w:sz w:val="16"/>
                <w:szCs w:val="16"/>
              </w:rPr>
              <w:t>Sold_bandwidth_UNE</w:t>
            </w:r>
          </w:p>
        </w:tc>
        <w:tc>
          <w:tcPr>
            <w:tcW w:w="3496" w:type="dxa"/>
            <w:vAlign w:val="center"/>
          </w:tcPr>
          <w:p w:rsidR="00F97D54" w:rsidRDefault="00F97D54" w:rsidP="00EB5B97">
            <w:pPr>
              <w:rPr>
                <w:sz w:val="16"/>
                <w:szCs w:val="16"/>
              </w:rPr>
            </w:pPr>
            <w:r>
              <w:rPr>
                <w:sz w:val="16"/>
                <w:szCs w:val="16"/>
              </w:rPr>
              <w:t xml:space="preserve">For those </w:t>
            </w:r>
            <w:r>
              <w:rPr>
                <w:i/>
                <w:sz w:val="16"/>
                <w:szCs w:val="16"/>
              </w:rPr>
              <w:t>C</w:t>
            </w:r>
            <w:r w:rsidRPr="001421AB">
              <w:rPr>
                <w:i/>
                <w:sz w:val="16"/>
                <w:szCs w:val="16"/>
              </w:rPr>
              <w:t>onnections</w:t>
            </w:r>
            <w:r>
              <w:rPr>
                <w:sz w:val="16"/>
                <w:szCs w:val="16"/>
              </w:rPr>
              <w:t xml:space="preserve"> sold as </w:t>
            </w:r>
            <w:r w:rsidRPr="00E603EA">
              <w:rPr>
                <w:i/>
                <w:sz w:val="16"/>
                <w:szCs w:val="16"/>
              </w:rPr>
              <w:t>UNE-DS1s</w:t>
            </w:r>
            <w:r>
              <w:rPr>
                <w:sz w:val="16"/>
                <w:szCs w:val="16"/>
              </w:rPr>
              <w:t xml:space="preserve"> or </w:t>
            </w:r>
            <w:r w:rsidRPr="00E603EA">
              <w:rPr>
                <w:i/>
                <w:sz w:val="16"/>
                <w:szCs w:val="16"/>
              </w:rPr>
              <w:t>UNE-DS3s</w:t>
            </w:r>
            <w:r>
              <w:rPr>
                <w:sz w:val="16"/>
                <w:szCs w:val="16"/>
              </w:rPr>
              <w:t xml:space="preserve">, total </w:t>
            </w:r>
            <w:r w:rsidRPr="00D113C6">
              <w:rPr>
                <w:sz w:val="16"/>
                <w:szCs w:val="16"/>
              </w:rPr>
              <w:t>bandwidth (</w:t>
            </w:r>
            <w:r>
              <w:rPr>
                <w:sz w:val="16"/>
                <w:szCs w:val="16"/>
              </w:rPr>
              <w:t>in Mbps</w:t>
            </w:r>
            <w:r w:rsidRPr="00D113C6">
              <w:rPr>
                <w:sz w:val="16"/>
                <w:szCs w:val="16"/>
              </w:rPr>
              <w:t xml:space="preserve">) of the </w:t>
            </w:r>
            <w:r>
              <w:rPr>
                <w:i/>
                <w:sz w:val="16"/>
                <w:szCs w:val="16"/>
              </w:rPr>
              <w:t>C</w:t>
            </w:r>
            <w:r w:rsidRPr="001421AB">
              <w:rPr>
                <w:i/>
                <w:sz w:val="16"/>
                <w:szCs w:val="16"/>
              </w:rPr>
              <w:t>onnections</w:t>
            </w:r>
            <w:r w:rsidRPr="00D113C6">
              <w:rPr>
                <w:sz w:val="16"/>
                <w:szCs w:val="16"/>
              </w:rPr>
              <w:t xml:space="preserve"> </w:t>
            </w:r>
            <w:r>
              <w:rPr>
                <w:sz w:val="16"/>
                <w:szCs w:val="16"/>
              </w:rPr>
              <w:t xml:space="preserve">provided to the </w:t>
            </w:r>
            <w:r w:rsidRPr="007939EC">
              <w:rPr>
                <w:i/>
                <w:sz w:val="16"/>
                <w:szCs w:val="16"/>
              </w:rPr>
              <w:t>Location</w:t>
            </w:r>
            <w:r w:rsidRPr="00D113C6">
              <w:rPr>
                <w:sz w:val="16"/>
                <w:szCs w:val="16"/>
              </w:rPr>
              <w:t xml:space="preserve"> as sold. </w:t>
            </w:r>
            <w:r>
              <w:rPr>
                <w:sz w:val="16"/>
                <w:szCs w:val="16"/>
              </w:rPr>
              <w:t xml:space="preserve"> </w:t>
            </w:r>
          </w:p>
        </w:tc>
        <w:tc>
          <w:tcPr>
            <w:tcW w:w="1443" w:type="dxa"/>
            <w:vAlign w:val="center"/>
          </w:tcPr>
          <w:p w:rsidR="00F97D54" w:rsidRDefault="00F97D54" w:rsidP="00EB5B97">
            <w:pPr>
              <w:rPr>
                <w:sz w:val="16"/>
                <w:szCs w:val="16"/>
              </w:rPr>
            </w:pPr>
            <w:r>
              <w:rPr>
                <w:sz w:val="16"/>
                <w:szCs w:val="16"/>
              </w:rPr>
              <w:t>Float</w:t>
            </w:r>
          </w:p>
        </w:tc>
        <w:tc>
          <w:tcPr>
            <w:tcW w:w="2277" w:type="dxa"/>
            <w:vAlign w:val="center"/>
          </w:tcPr>
          <w:p w:rsidR="00F97D54" w:rsidRDefault="00F97D54" w:rsidP="00EB5B97">
            <w:pPr>
              <w:rPr>
                <w:sz w:val="16"/>
                <w:szCs w:val="16"/>
              </w:rPr>
            </w:pPr>
            <w:r>
              <w:rPr>
                <w:sz w:val="16"/>
                <w:szCs w:val="16"/>
              </w:rPr>
              <w:t>1.544</w:t>
            </w:r>
          </w:p>
        </w:tc>
      </w:tr>
      <w:tr w:rsidR="00F97D54" w:rsidTr="00E9084B">
        <w:trPr>
          <w:trHeight w:val="306"/>
        </w:trPr>
        <w:tc>
          <w:tcPr>
            <w:tcW w:w="2252" w:type="dxa"/>
            <w:vAlign w:val="center"/>
          </w:tcPr>
          <w:p w:rsidR="00F97D54" w:rsidRDefault="00F97D54" w:rsidP="00EB5B97">
            <w:pPr>
              <w:rPr>
                <w:sz w:val="16"/>
                <w:szCs w:val="16"/>
              </w:rPr>
            </w:pPr>
            <w:r>
              <w:rPr>
                <w:sz w:val="16"/>
                <w:szCs w:val="16"/>
              </w:rPr>
              <w:t>Sold_bandwidth_enduser</w:t>
            </w:r>
          </w:p>
        </w:tc>
        <w:tc>
          <w:tcPr>
            <w:tcW w:w="3496" w:type="dxa"/>
            <w:vAlign w:val="center"/>
          </w:tcPr>
          <w:p w:rsidR="00F97D54" w:rsidRDefault="00F97D54" w:rsidP="00EB5B97">
            <w:pPr>
              <w:rPr>
                <w:sz w:val="16"/>
                <w:szCs w:val="16"/>
              </w:rPr>
            </w:pPr>
            <w:r>
              <w:rPr>
                <w:sz w:val="16"/>
                <w:szCs w:val="16"/>
              </w:rPr>
              <w:t>Total b</w:t>
            </w:r>
            <w:r w:rsidRPr="00D113C6">
              <w:rPr>
                <w:sz w:val="16"/>
                <w:szCs w:val="16"/>
              </w:rPr>
              <w:t>andwidth (</w:t>
            </w:r>
            <w:r>
              <w:rPr>
                <w:sz w:val="16"/>
                <w:szCs w:val="16"/>
              </w:rPr>
              <w:t>in Mbps</w:t>
            </w:r>
            <w:r w:rsidRPr="00D113C6">
              <w:rPr>
                <w:sz w:val="16"/>
                <w:szCs w:val="16"/>
              </w:rPr>
              <w:t xml:space="preserve">) of </w:t>
            </w:r>
            <w:r>
              <w:rPr>
                <w:i/>
                <w:sz w:val="16"/>
                <w:szCs w:val="16"/>
              </w:rPr>
              <w:t>C</w:t>
            </w:r>
            <w:r w:rsidRPr="001D2890">
              <w:rPr>
                <w:i/>
                <w:sz w:val="16"/>
                <w:szCs w:val="16"/>
              </w:rPr>
              <w:t>onnections</w:t>
            </w:r>
            <w:r w:rsidRPr="00D113C6">
              <w:rPr>
                <w:sz w:val="16"/>
                <w:szCs w:val="16"/>
              </w:rPr>
              <w:t xml:space="preserve"> </w:t>
            </w:r>
            <w:r>
              <w:rPr>
                <w:sz w:val="16"/>
                <w:szCs w:val="16"/>
              </w:rPr>
              <w:t xml:space="preserve">provided to </w:t>
            </w:r>
            <w:r w:rsidRPr="00334A38">
              <w:rPr>
                <w:i/>
                <w:sz w:val="16"/>
                <w:szCs w:val="16"/>
              </w:rPr>
              <w:t>End Users</w:t>
            </w:r>
            <w:r>
              <w:rPr>
                <w:sz w:val="16"/>
                <w:szCs w:val="16"/>
              </w:rPr>
              <w:t xml:space="preserve"> at the </w:t>
            </w:r>
            <w:r>
              <w:rPr>
                <w:i/>
                <w:sz w:val="16"/>
                <w:szCs w:val="16"/>
              </w:rPr>
              <w:t>L</w:t>
            </w:r>
            <w:r w:rsidRPr="00646863">
              <w:rPr>
                <w:i/>
                <w:sz w:val="16"/>
                <w:szCs w:val="16"/>
              </w:rPr>
              <w:t>ocation</w:t>
            </w:r>
            <w:r>
              <w:rPr>
                <w:sz w:val="16"/>
                <w:szCs w:val="16"/>
              </w:rPr>
              <w:t xml:space="preserve"> </w:t>
            </w:r>
            <w:r w:rsidRPr="00D113C6">
              <w:rPr>
                <w:sz w:val="16"/>
                <w:szCs w:val="16"/>
              </w:rPr>
              <w:t xml:space="preserve">as sold. </w:t>
            </w:r>
            <w:r>
              <w:rPr>
                <w:sz w:val="16"/>
                <w:szCs w:val="16"/>
              </w:rPr>
              <w:t xml:space="preserve"> </w:t>
            </w:r>
          </w:p>
        </w:tc>
        <w:tc>
          <w:tcPr>
            <w:tcW w:w="1443" w:type="dxa"/>
            <w:vAlign w:val="center"/>
          </w:tcPr>
          <w:p w:rsidR="00F97D54" w:rsidRDefault="00F97D54" w:rsidP="00EB5B97">
            <w:pPr>
              <w:rPr>
                <w:sz w:val="16"/>
                <w:szCs w:val="16"/>
              </w:rPr>
            </w:pPr>
            <w:r>
              <w:rPr>
                <w:sz w:val="16"/>
                <w:szCs w:val="16"/>
              </w:rPr>
              <w:t>Float</w:t>
            </w:r>
          </w:p>
        </w:tc>
        <w:tc>
          <w:tcPr>
            <w:tcW w:w="2277" w:type="dxa"/>
            <w:vAlign w:val="center"/>
          </w:tcPr>
          <w:p w:rsidR="00F97D54" w:rsidRDefault="00F97D54" w:rsidP="00EB5B97">
            <w:pPr>
              <w:rPr>
                <w:sz w:val="16"/>
                <w:szCs w:val="16"/>
              </w:rPr>
            </w:pPr>
            <w:r>
              <w:rPr>
                <w:sz w:val="16"/>
                <w:szCs w:val="16"/>
              </w:rPr>
              <w:t>1.544</w:t>
            </w:r>
          </w:p>
        </w:tc>
      </w:tr>
      <w:tr w:rsidR="00F97D54" w:rsidTr="00E9084B">
        <w:trPr>
          <w:trHeight w:val="882"/>
        </w:trPr>
        <w:tc>
          <w:tcPr>
            <w:tcW w:w="2252" w:type="dxa"/>
            <w:vAlign w:val="center"/>
          </w:tcPr>
          <w:p w:rsidR="00F97D54" w:rsidRDefault="00F97D54" w:rsidP="00EB5B97">
            <w:pPr>
              <w:rPr>
                <w:sz w:val="16"/>
                <w:szCs w:val="16"/>
              </w:rPr>
            </w:pPr>
            <w:r>
              <w:rPr>
                <w:sz w:val="16"/>
                <w:szCs w:val="16"/>
              </w:rPr>
              <w:t>Sold_bandwidth_tfw</w:t>
            </w:r>
          </w:p>
        </w:tc>
        <w:tc>
          <w:tcPr>
            <w:tcW w:w="3496" w:type="dxa"/>
            <w:vAlign w:val="center"/>
          </w:tcPr>
          <w:p w:rsidR="00F97D54" w:rsidRDefault="00F97D54" w:rsidP="00EB5B97">
            <w:pPr>
              <w:rPr>
                <w:sz w:val="16"/>
                <w:szCs w:val="16"/>
              </w:rPr>
            </w:pPr>
            <w:r>
              <w:rPr>
                <w:sz w:val="16"/>
                <w:szCs w:val="16"/>
              </w:rPr>
              <w:t xml:space="preserve">Total bandwidth (in Mbps) of </w:t>
            </w:r>
            <w:r>
              <w:rPr>
                <w:i/>
                <w:sz w:val="16"/>
                <w:szCs w:val="16"/>
              </w:rPr>
              <w:t>C</w:t>
            </w:r>
            <w:r w:rsidRPr="00455609">
              <w:rPr>
                <w:i/>
                <w:sz w:val="16"/>
                <w:szCs w:val="16"/>
              </w:rPr>
              <w:t>onnections</w:t>
            </w:r>
            <w:r>
              <w:rPr>
                <w:sz w:val="16"/>
                <w:szCs w:val="16"/>
              </w:rPr>
              <w:t xml:space="preserve"> provided to the </w:t>
            </w:r>
            <w:r w:rsidRPr="00DA6AF5">
              <w:rPr>
                <w:i/>
                <w:sz w:val="16"/>
                <w:szCs w:val="16"/>
              </w:rPr>
              <w:t>Location</w:t>
            </w:r>
            <w:r>
              <w:rPr>
                <w:sz w:val="16"/>
                <w:szCs w:val="16"/>
              </w:rPr>
              <w:t xml:space="preserve"> using terrestrial fixed wireless </w:t>
            </w:r>
            <w:r w:rsidRPr="00D113C6">
              <w:rPr>
                <w:sz w:val="16"/>
                <w:szCs w:val="16"/>
              </w:rPr>
              <w:t xml:space="preserve">as sold. </w:t>
            </w:r>
            <w:r>
              <w:rPr>
                <w:sz w:val="16"/>
                <w:szCs w:val="16"/>
              </w:rPr>
              <w:t xml:space="preserve"> </w:t>
            </w:r>
          </w:p>
        </w:tc>
        <w:tc>
          <w:tcPr>
            <w:tcW w:w="1443" w:type="dxa"/>
            <w:vAlign w:val="center"/>
          </w:tcPr>
          <w:p w:rsidR="00F97D54" w:rsidRDefault="00F97D54" w:rsidP="00EB5B97">
            <w:pPr>
              <w:rPr>
                <w:sz w:val="16"/>
                <w:szCs w:val="16"/>
              </w:rPr>
            </w:pPr>
            <w:r>
              <w:rPr>
                <w:sz w:val="16"/>
                <w:szCs w:val="16"/>
              </w:rPr>
              <w:t>Float</w:t>
            </w:r>
          </w:p>
        </w:tc>
        <w:tc>
          <w:tcPr>
            <w:tcW w:w="2277" w:type="dxa"/>
            <w:vAlign w:val="center"/>
          </w:tcPr>
          <w:p w:rsidR="00F97D54" w:rsidRDefault="00F97D54" w:rsidP="00EB5B97">
            <w:pPr>
              <w:rPr>
                <w:sz w:val="16"/>
                <w:szCs w:val="16"/>
              </w:rPr>
            </w:pPr>
            <w:r>
              <w:rPr>
                <w:sz w:val="16"/>
                <w:szCs w:val="16"/>
              </w:rPr>
              <w:t>1.544</w:t>
            </w:r>
          </w:p>
        </w:tc>
      </w:tr>
      <w:tr w:rsidR="00F97D54" w:rsidTr="00E9084B">
        <w:trPr>
          <w:trHeight w:val="576"/>
        </w:trPr>
        <w:tc>
          <w:tcPr>
            <w:tcW w:w="2252" w:type="dxa"/>
            <w:tcBorders>
              <w:bottom w:val="double" w:sz="4" w:space="0" w:color="auto"/>
            </w:tcBorders>
            <w:vAlign w:val="center"/>
          </w:tcPr>
          <w:p w:rsidR="00F97D54" w:rsidRDefault="00F97D54" w:rsidP="00EB5B97">
            <w:pPr>
              <w:rPr>
                <w:sz w:val="16"/>
                <w:szCs w:val="16"/>
              </w:rPr>
            </w:pPr>
            <w:r>
              <w:rPr>
                <w:sz w:val="16"/>
                <w:szCs w:val="16"/>
              </w:rPr>
              <w:t>Sold_bandwidth_Mobile</w:t>
            </w:r>
          </w:p>
        </w:tc>
        <w:tc>
          <w:tcPr>
            <w:tcW w:w="3496" w:type="dxa"/>
            <w:tcBorders>
              <w:bottom w:val="double" w:sz="4" w:space="0" w:color="auto"/>
            </w:tcBorders>
            <w:vAlign w:val="center"/>
          </w:tcPr>
          <w:p w:rsidR="00F97D54" w:rsidRDefault="00F97D54" w:rsidP="00EB5B97">
            <w:pPr>
              <w:rPr>
                <w:sz w:val="16"/>
                <w:szCs w:val="16"/>
              </w:rPr>
            </w:pPr>
            <w:r>
              <w:rPr>
                <w:sz w:val="16"/>
                <w:szCs w:val="16"/>
              </w:rPr>
              <w:t xml:space="preserve">Total bandwidth (in Mbps) of </w:t>
            </w:r>
            <w:r>
              <w:rPr>
                <w:i/>
                <w:sz w:val="16"/>
                <w:szCs w:val="16"/>
              </w:rPr>
              <w:t>C</w:t>
            </w:r>
            <w:r w:rsidRPr="00455609">
              <w:rPr>
                <w:i/>
                <w:sz w:val="16"/>
                <w:szCs w:val="16"/>
              </w:rPr>
              <w:t>onnections</w:t>
            </w:r>
            <w:r>
              <w:rPr>
                <w:sz w:val="16"/>
                <w:szCs w:val="16"/>
              </w:rPr>
              <w:t xml:space="preserve"> to cell sites at the </w:t>
            </w:r>
            <w:r w:rsidRPr="00DA6AF5">
              <w:rPr>
                <w:i/>
                <w:sz w:val="16"/>
                <w:szCs w:val="16"/>
              </w:rPr>
              <w:t>Location</w:t>
            </w:r>
            <w:r>
              <w:rPr>
                <w:sz w:val="16"/>
                <w:szCs w:val="16"/>
              </w:rPr>
              <w:t xml:space="preserve"> </w:t>
            </w:r>
            <w:r w:rsidRPr="00D113C6">
              <w:rPr>
                <w:sz w:val="16"/>
                <w:szCs w:val="16"/>
              </w:rPr>
              <w:t xml:space="preserve">as sold. </w:t>
            </w:r>
            <w:r>
              <w:rPr>
                <w:sz w:val="16"/>
                <w:szCs w:val="16"/>
              </w:rPr>
              <w:t xml:space="preserve"> </w:t>
            </w:r>
          </w:p>
        </w:tc>
        <w:tc>
          <w:tcPr>
            <w:tcW w:w="1443" w:type="dxa"/>
            <w:tcBorders>
              <w:bottom w:val="double" w:sz="4" w:space="0" w:color="auto"/>
            </w:tcBorders>
            <w:vAlign w:val="center"/>
          </w:tcPr>
          <w:p w:rsidR="00F97D54" w:rsidRDefault="00F97D54" w:rsidP="00EB5B97">
            <w:pPr>
              <w:rPr>
                <w:sz w:val="16"/>
                <w:szCs w:val="16"/>
              </w:rPr>
            </w:pPr>
            <w:r>
              <w:rPr>
                <w:sz w:val="16"/>
                <w:szCs w:val="16"/>
              </w:rPr>
              <w:t>Float</w:t>
            </w:r>
          </w:p>
        </w:tc>
        <w:tc>
          <w:tcPr>
            <w:tcW w:w="2277" w:type="dxa"/>
            <w:tcBorders>
              <w:bottom w:val="double" w:sz="4" w:space="0" w:color="auto"/>
            </w:tcBorders>
            <w:vAlign w:val="center"/>
          </w:tcPr>
          <w:p w:rsidR="00F97D54" w:rsidRDefault="00F97D54" w:rsidP="00EB5B97">
            <w:pPr>
              <w:rPr>
                <w:sz w:val="16"/>
                <w:szCs w:val="16"/>
              </w:rPr>
            </w:pPr>
            <w:r>
              <w:rPr>
                <w:sz w:val="16"/>
                <w:szCs w:val="16"/>
              </w:rPr>
              <w:t>1.544</w:t>
            </w:r>
          </w:p>
        </w:tc>
      </w:tr>
    </w:tbl>
    <w:p w:rsidR="00F97D54" w:rsidRDefault="00F97D54" w:rsidP="00EB5B97"/>
    <w:p w:rsidR="00F97D54" w:rsidRDefault="00F97D54" w:rsidP="00EB5B97">
      <w:pPr>
        <w:rPr>
          <w:szCs w:val="22"/>
        </w:rPr>
      </w:pPr>
      <w:r>
        <w:rPr>
          <w:szCs w:val="22"/>
        </w:rPr>
        <w:t xml:space="preserve">Instructions for Table II.B.3, Record Format for Each </w:t>
      </w:r>
      <w:r w:rsidRPr="00DE612F">
        <w:rPr>
          <w:i/>
          <w:szCs w:val="22"/>
        </w:rPr>
        <w:t>Location</w:t>
      </w:r>
      <w:r>
        <w:rPr>
          <w:szCs w:val="22"/>
        </w:rPr>
        <w:t xml:space="preserve"> (</w:t>
      </w:r>
      <w:r>
        <w:rPr>
          <w:i/>
          <w:szCs w:val="22"/>
        </w:rPr>
        <w:t>ILECs</w:t>
      </w:r>
      <w:r>
        <w:rPr>
          <w:szCs w:val="22"/>
        </w:rPr>
        <w:t>):</w:t>
      </w:r>
    </w:p>
    <w:p w:rsidR="00F97D54" w:rsidRDefault="00F97D54" w:rsidP="00EB5B97">
      <w:pPr>
        <w:rPr>
          <w:szCs w:val="22"/>
        </w:rPr>
      </w:pPr>
    </w:p>
    <w:p w:rsidR="00F97D54" w:rsidRDefault="00F97D54" w:rsidP="00170D00">
      <w:pPr>
        <w:numPr>
          <w:ilvl w:val="0"/>
          <w:numId w:val="24"/>
        </w:numPr>
        <w:rPr>
          <w:szCs w:val="22"/>
        </w:rPr>
      </w:pPr>
      <w:r>
        <w:rPr>
          <w:szCs w:val="22"/>
          <w:u w:val="single"/>
        </w:rPr>
        <w:t>Location</w:t>
      </w:r>
      <w:r w:rsidRPr="00095347">
        <w:rPr>
          <w:szCs w:val="22"/>
          <w:u w:val="single"/>
        </w:rPr>
        <w:t>_ID</w:t>
      </w:r>
      <w:r>
        <w:rPr>
          <w:szCs w:val="22"/>
        </w:rPr>
        <w:t xml:space="preserve">:  This </w:t>
      </w:r>
      <w:r w:rsidRPr="00126E39">
        <w:rPr>
          <w:szCs w:val="22"/>
        </w:rPr>
        <w:t xml:space="preserve">is a sequential integer ranging from 1 to the total number of </w:t>
      </w:r>
      <w:r>
        <w:rPr>
          <w:szCs w:val="22"/>
        </w:rPr>
        <w:t xml:space="preserve">unique </w:t>
      </w:r>
      <w:r w:rsidRPr="006B479C">
        <w:rPr>
          <w:i/>
          <w:szCs w:val="22"/>
        </w:rPr>
        <w:t>L</w:t>
      </w:r>
      <w:r w:rsidRPr="00126E39">
        <w:rPr>
          <w:i/>
          <w:szCs w:val="22"/>
        </w:rPr>
        <w:t>ocations</w:t>
      </w:r>
      <w:r w:rsidRPr="006B479C">
        <w:rPr>
          <w:szCs w:val="22"/>
        </w:rPr>
        <w:t xml:space="preserve"> to which your company </w:t>
      </w:r>
      <w:r>
        <w:rPr>
          <w:szCs w:val="22"/>
        </w:rPr>
        <w:t>provided</w:t>
      </w:r>
      <w:r w:rsidRPr="006B479C">
        <w:rPr>
          <w:szCs w:val="22"/>
        </w:rPr>
        <w:t xml:space="preserve"> a </w:t>
      </w:r>
      <w:r>
        <w:rPr>
          <w:i/>
          <w:szCs w:val="22"/>
        </w:rPr>
        <w:t>C</w:t>
      </w:r>
      <w:r w:rsidRPr="00D26396">
        <w:rPr>
          <w:i/>
          <w:szCs w:val="22"/>
        </w:rPr>
        <w:t>onnection</w:t>
      </w:r>
      <w:r>
        <w:rPr>
          <w:szCs w:val="22"/>
        </w:rPr>
        <w:t xml:space="preserve"> during the year reported</w:t>
      </w:r>
      <w:r w:rsidRPr="00126E39">
        <w:rPr>
          <w:szCs w:val="22"/>
        </w:rPr>
        <w:t xml:space="preserve">.  </w:t>
      </w:r>
      <w:r>
        <w:rPr>
          <w:szCs w:val="22"/>
        </w:rPr>
        <w:t xml:space="preserve">This field is linked to the billing information reported in Question II.B.4 so that you must identify in Table II.B.3 every Location ID referenced in response to the billing information question.  </w:t>
      </w:r>
    </w:p>
    <w:p w:rsidR="00F97D54" w:rsidRDefault="00F97D54" w:rsidP="00F6299F">
      <w:pPr>
        <w:widowControl/>
        <w:numPr>
          <w:ilvl w:val="0"/>
          <w:numId w:val="24"/>
        </w:numPr>
        <w:rPr>
          <w:szCs w:val="22"/>
        </w:rPr>
      </w:pPr>
      <w:r w:rsidRPr="002664B4">
        <w:rPr>
          <w:szCs w:val="22"/>
          <w:u w:val="single"/>
        </w:rPr>
        <w:t>Year</w:t>
      </w:r>
      <w:r w:rsidRPr="002664B4">
        <w:rPr>
          <w:szCs w:val="22"/>
        </w:rPr>
        <w:t xml:space="preserve">:  Report the year during which your company </w:t>
      </w:r>
      <w:r>
        <w:rPr>
          <w:szCs w:val="22"/>
        </w:rPr>
        <w:t>provided</w:t>
      </w:r>
      <w:r w:rsidRPr="002664B4">
        <w:rPr>
          <w:szCs w:val="22"/>
        </w:rPr>
        <w:t xml:space="preserve"> a </w:t>
      </w:r>
      <w:r w:rsidRPr="002664B4">
        <w:rPr>
          <w:i/>
          <w:szCs w:val="22"/>
        </w:rPr>
        <w:t>Connection</w:t>
      </w:r>
      <w:r w:rsidRPr="002664B4">
        <w:rPr>
          <w:szCs w:val="22"/>
        </w:rPr>
        <w:t xml:space="preserve"> to the </w:t>
      </w:r>
      <w:r w:rsidRPr="002664B4">
        <w:rPr>
          <w:i/>
          <w:szCs w:val="22"/>
        </w:rPr>
        <w:t>Location</w:t>
      </w:r>
      <w:r w:rsidRPr="002664B4">
        <w:rPr>
          <w:szCs w:val="22"/>
        </w:rPr>
        <w:t xml:space="preserve">, </w:t>
      </w:r>
      <w:r w:rsidRPr="002664B4">
        <w:rPr>
          <w:i/>
          <w:szCs w:val="22"/>
        </w:rPr>
        <w:t>i.e.</w:t>
      </w:r>
      <w:r w:rsidRPr="002664B4">
        <w:rPr>
          <w:szCs w:val="22"/>
        </w:rPr>
        <w:t xml:space="preserve">, </w:t>
      </w:r>
      <w:r>
        <w:rPr>
          <w:szCs w:val="22"/>
        </w:rPr>
        <w:t>2010</w:t>
      </w:r>
      <w:r w:rsidRPr="002664B4">
        <w:rPr>
          <w:szCs w:val="22"/>
        </w:rPr>
        <w:t xml:space="preserve"> or </w:t>
      </w:r>
      <w:r>
        <w:rPr>
          <w:szCs w:val="22"/>
        </w:rPr>
        <w:t>2012</w:t>
      </w:r>
      <w:r w:rsidRPr="002664B4">
        <w:rPr>
          <w:szCs w:val="22"/>
        </w:rPr>
        <w:t>.</w:t>
      </w:r>
    </w:p>
    <w:p w:rsidR="00F97D54" w:rsidRDefault="00F97D54" w:rsidP="00EB5B97">
      <w:pPr>
        <w:numPr>
          <w:ilvl w:val="0"/>
          <w:numId w:val="24"/>
        </w:numPr>
        <w:rPr>
          <w:szCs w:val="22"/>
        </w:rPr>
      </w:pPr>
      <w:r w:rsidRPr="00DA6AF5">
        <w:rPr>
          <w:szCs w:val="22"/>
        </w:rPr>
        <w:t xml:space="preserve">The data fields used to identify the actual situs address must be space-delimited in standardized Postal Service form.  </w:t>
      </w:r>
      <w:r w:rsidRPr="00DA6AF5">
        <w:rPr>
          <w:i/>
          <w:szCs w:val="22"/>
        </w:rPr>
        <w:t>See</w:t>
      </w:r>
      <w:r w:rsidRPr="00DA6AF5">
        <w:rPr>
          <w:szCs w:val="22"/>
        </w:rPr>
        <w:t xml:space="preserve"> </w:t>
      </w:r>
      <w:r w:rsidRPr="00E33B54">
        <w:rPr>
          <w:szCs w:val="22"/>
          <w:u w:val="single"/>
        </w:rPr>
        <w:t>http://pe.usps.gov/cpim/ftp/pubs/Pub28/pub28.pdf</w:t>
      </w:r>
      <w:r w:rsidRPr="00DA6AF5">
        <w:rPr>
          <w:szCs w:val="22"/>
        </w:rPr>
        <w:t xml:space="preserve">. </w:t>
      </w:r>
    </w:p>
    <w:p w:rsidR="00F97D54" w:rsidRDefault="00F97D54" w:rsidP="00EB5B97">
      <w:pPr>
        <w:numPr>
          <w:ilvl w:val="0"/>
          <w:numId w:val="24"/>
        </w:numPr>
        <w:rPr>
          <w:szCs w:val="22"/>
        </w:rPr>
      </w:pPr>
      <w:r w:rsidRPr="00DA6AF5">
        <w:rPr>
          <w:szCs w:val="22"/>
          <w:u w:val="single"/>
        </w:rPr>
        <w:t>Lat</w:t>
      </w:r>
      <w:r>
        <w:rPr>
          <w:szCs w:val="22"/>
          <w:u w:val="single"/>
        </w:rPr>
        <w:t>itude</w:t>
      </w:r>
      <w:r>
        <w:rPr>
          <w:szCs w:val="22"/>
        </w:rPr>
        <w:t xml:space="preserve"> and </w:t>
      </w:r>
      <w:r w:rsidRPr="00DA6AF5">
        <w:rPr>
          <w:szCs w:val="22"/>
          <w:u w:val="single"/>
        </w:rPr>
        <w:t>Long</w:t>
      </w:r>
      <w:r>
        <w:rPr>
          <w:szCs w:val="22"/>
          <w:u w:val="single"/>
        </w:rPr>
        <w:t>itude</w:t>
      </w:r>
      <w:r>
        <w:rPr>
          <w:szCs w:val="22"/>
        </w:rPr>
        <w:t>:  You can</w:t>
      </w:r>
      <w:r w:rsidRPr="00DA6AF5">
        <w:rPr>
          <w:szCs w:val="22"/>
        </w:rPr>
        <w:t xml:space="preserve"> derive the </w:t>
      </w:r>
      <w:r>
        <w:rPr>
          <w:szCs w:val="22"/>
        </w:rPr>
        <w:t>coordinate</w:t>
      </w:r>
      <w:r w:rsidRPr="00DA6AF5">
        <w:rPr>
          <w:szCs w:val="22"/>
        </w:rPr>
        <w:t xml:space="preserve"> fields for the </w:t>
      </w:r>
      <w:r>
        <w:rPr>
          <w:szCs w:val="22"/>
        </w:rPr>
        <w:t xml:space="preserve">location address </w:t>
      </w:r>
      <w:r w:rsidRPr="00DA6AF5">
        <w:rPr>
          <w:szCs w:val="22"/>
        </w:rPr>
        <w:t xml:space="preserve">from a known geocoding platform like Bing maps, Google, Yahoo, batchgeo.com, </w:t>
      </w:r>
      <w:r>
        <w:rPr>
          <w:szCs w:val="22"/>
        </w:rPr>
        <w:t xml:space="preserve">Texas A&amp;M Geoservices, </w:t>
      </w:r>
      <w:r w:rsidRPr="00DA6AF5">
        <w:rPr>
          <w:szCs w:val="22"/>
        </w:rPr>
        <w:t xml:space="preserve">or other geocoding solution.  Enter values in decimal degrees </w:t>
      </w:r>
      <w:r>
        <w:rPr>
          <w:szCs w:val="22"/>
        </w:rPr>
        <w:t xml:space="preserve">to the nearest ±0.0005, </w:t>
      </w:r>
      <w:r>
        <w:rPr>
          <w:i/>
          <w:szCs w:val="22"/>
        </w:rPr>
        <w:t>i.e.</w:t>
      </w:r>
      <w:r>
        <w:rPr>
          <w:szCs w:val="22"/>
        </w:rPr>
        <w:t>, each coordinate must end in #.###0 or #.###5</w:t>
      </w:r>
      <w:r w:rsidRPr="00DA6AF5">
        <w:rPr>
          <w:szCs w:val="22"/>
        </w:rPr>
        <w:t>.  C</w:t>
      </w:r>
      <w:r>
        <w:rPr>
          <w:szCs w:val="22"/>
        </w:rPr>
        <w:t>oordinates must be in the WGS</w:t>
      </w:r>
      <w:r w:rsidRPr="00DA6AF5">
        <w:rPr>
          <w:szCs w:val="22"/>
        </w:rPr>
        <w:t xml:space="preserve">84 </w:t>
      </w:r>
      <w:r>
        <w:rPr>
          <w:szCs w:val="22"/>
        </w:rPr>
        <w:t xml:space="preserve">or NAD83 </w:t>
      </w:r>
      <w:r w:rsidRPr="00DA6AF5">
        <w:rPr>
          <w:szCs w:val="22"/>
        </w:rPr>
        <w:t>geographic coordinate system.</w:t>
      </w:r>
    </w:p>
    <w:p w:rsidR="00F97D54" w:rsidRPr="00541D13" w:rsidRDefault="00F97D54" w:rsidP="00EB5B97">
      <w:pPr>
        <w:numPr>
          <w:ilvl w:val="0"/>
          <w:numId w:val="24"/>
        </w:numPr>
        <w:rPr>
          <w:szCs w:val="22"/>
        </w:rPr>
      </w:pPr>
      <w:r w:rsidRPr="00DA6AF5">
        <w:rPr>
          <w:szCs w:val="22"/>
          <w:u w:val="single"/>
        </w:rPr>
        <w:t>Sold_bandwidth</w:t>
      </w:r>
      <w:r>
        <w:rPr>
          <w:szCs w:val="22"/>
        </w:rPr>
        <w:t xml:space="preserve"> fields:  </w:t>
      </w:r>
      <w:r w:rsidRPr="00DA6AF5">
        <w:rPr>
          <w:szCs w:val="22"/>
        </w:rPr>
        <w:t xml:space="preserve">These data fields call for the reporting of total bandwidth sold.  Report the downstream or upstream bandwidth of </w:t>
      </w:r>
      <w:r w:rsidRPr="00DA6AF5">
        <w:rPr>
          <w:i/>
          <w:szCs w:val="22"/>
        </w:rPr>
        <w:t>Dedicated Services</w:t>
      </w:r>
      <w:r w:rsidRPr="00DA6AF5">
        <w:rPr>
          <w:szCs w:val="22"/>
        </w:rPr>
        <w:t xml:space="preserve"> sold across all sold </w:t>
      </w:r>
      <w:r w:rsidRPr="00DA6AF5">
        <w:rPr>
          <w:i/>
          <w:szCs w:val="22"/>
        </w:rPr>
        <w:t>Connections</w:t>
      </w:r>
      <w:r w:rsidRPr="00DA6AF5">
        <w:rPr>
          <w:szCs w:val="22"/>
        </w:rPr>
        <w:t xml:space="preserve"> of the type requested at the </w:t>
      </w:r>
      <w:r w:rsidRPr="00DA6AF5">
        <w:rPr>
          <w:i/>
          <w:szCs w:val="22"/>
        </w:rPr>
        <w:t>Location</w:t>
      </w:r>
      <w:r w:rsidRPr="00DA6AF5">
        <w:rPr>
          <w:szCs w:val="22"/>
        </w:rPr>
        <w:t xml:space="preserve"> as of December 31 of the year.  Report the upstream or downstream bandwidth for symmetric services.  For asymmetric services, report the average of the upstream and downstream bandwidths.  For example, for a DS1 record 1.544, for three DS1s record 4.63</w:t>
      </w:r>
      <w:r>
        <w:rPr>
          <w:szCs w:val="22"/>
        </w:rPr>
        <w:t>2</w:t>
      </w:r>
      <w:r w:rsidRPr="00DA6AF5">
        <w:rPr>
          <w:szCs w:val="22"/>
        </w:rPr>
        <w:t xml:space="preserve">, while for a 10 Gbit Ethernet service, </w:t>
      </w:r>
      <w:r>
        <w:rPr>
          <w:szCs w:val="22"/>
        </w:rPr>
        <w:t>10,240</w:t>
      </w:r>
      <w:r w:rsidRPr="00DA6AF5">
        <w:rPr>
          <w:szCs w:val="22"/>
        </w:rPr>
        <w:t xml:space="preserve">, and for a fractional </w:t>
      </w:r>
      <w:r w:rsidRPr="00541D13">
        <w:rPr>
          <w:szCs w:val="22"/>
        </w:rPr>
        <w:t>DS1</w:t>
      </w:r>
      <w:r w:rsidRPr="00DA6AF5">
        <w:rPr>
          <w:szCs w:val="22"/>
        </w:rPr>
        <w:t xml:space="preserve"> sold as a 384 Kbps service record 0.</w:t>
      </w:r>
      <w:r>
        <w:rPr>
          <w:szCs w:val="22"/>
        </w:rPr>
        <w:t>375</w:t>
      </w:r>
      <w:r w:rsidRPr="00DA6AF5">
        <w:rPr>
          <w:szCs w:val="22"/>
        </w:rPr>
        <w:t xml:space="preserve">.  In the case where a </w:t>
      </w:r>
      <w:r w:rsidRPr="00DA6AF5">
        <w:rPr>
          <w:i/>
          <w:szCs w:val="22"/>
        </w:rPr>
        <w:t>Connection</w:t>
      </w:r>
      <w:r w:rsidRPr="00DA6AF5">
        <w:rPr>
          <w:szCs w:val="22"/>
        </w:rPr>
        <w:t xml:space="preserve"> is in place but no bandwidth was provided as of December 31 of the year, enter </w:t>
      </w:r>
      <w:r>
        <w:rPr>
          <w:szCs w:val="22"/>
        </w:rPr>
        <w:t>the total bandwidth sold at the last known date during the relevant reporting period.  For example</w:t>
      </w:r>
      <w:r w:rsidRPr="00DA6AF5">
        <w:rPr>
          <w:szCs w:val="22"/>
        </w:rPr>
        <w:t xml:space="preserve">, a customer or customers at the </w:t>
      </w:r>
      <w:r w:rsidRPr="00DA6AF5">
        <w:rPr>
          <w:i/>
          <w:szCs w:val="22"/>
        </w:rPr>
        <w:t>Location</w:t>
      </w:r>
      <w:r w:rsidRPr="00DA6AF5">
        <w:rPr>
          <w:szCs w:val="22"/>
        </w:rPr>
        <w:t xml:space="preserve"> purchased service through October of the year but then terminated the service</w:t>
      </w:r>
      <w:r>
        <w:rPr>
          <w:szCs w:val="22"/>
        </w:rPr>
        <w:t xml:space="preserve"> so that there was no service sold as of</w:t>
      </w:r>
      <w:r w:rsidRPr="00DA6AF5">
        <w:rPr>
          <w:szCs w:val="22"/>
        </w:rPr>
        <w:t xml:space="preserve"> December 31</w:t>
      </w:r>
      <w:r>
        <w:rPr>
          <w:szCs w:val="22"/>
        </w:rPr>
        <w:t>; in that instance, report the total bandwidth sold in October</w:t>
      </w:r>
      <w:r w:rsidRPr="00DA6AF5">
        <w:rPr>
          <w:szCs w:val="22"/>
        </w:rPr>
        <w:t xml:space="preserve">.  Exclude services other than </w:t>
      </w:r>
      <w:r w:rsidRPr="00DA6AF5">
        <w:rPr>
          <w:i/>
          <w:szCs w:val="22"/>
        </w:rPr>
        <w:t>Dedicated Service</w:t>
      </w:r>
      <w:r w:rsidRPr="00DA6AF5">
        <w:rPr>
          <w:szCs w:val="22"/>
        </w:rPr>
        <w:t xml:space="preserve"> provided to the </w:t>
      </w:r>
      <w:r w:rsidRPr="00DA6AF5">
        <w:rPr>
          <w:i/>
          <w:szCs w:val="22"/>
        </w:rPr>
        <w:t>Location</w:t>
      </w:r>
      <w:r w:rsidRPr="00DA6AF5">
        <w:rPr>
          <w:szCs w:val="22"/>
        </w:rPr>
        <w:t xml:space="preserve"> from your re</w:t>
      </w:r>
      <w:r>
        <w:rPr>
          <w:szCs w:val="22"/>
        </w:rPr>
        <w:t>sponse</w:t>
      </w:r>
      <w:r w:rsidRPr="00DA6AF5">
        <w:rPr>
          <w:szCs w:val="22"/>
        </w:rPr>
        <w:t xml:space="preserve">.  In the case where no </w:t>
      </w:r>
      <w:r w:rsidRPr="00DA6AF5">
        <w:rPr>
          <w:i/>
          <w:szCs w:val="22"/>
        </w:rPr>
        <w:t>Dedicated Service</w:t>
      </w:r>
      <w:r w:rsidRPr="00DA6AF5">
        <w:rPr>
          <w:szCs w:val="22"/>
        </w:rPr>
        <w:t xml:space="preserve"> was sold to the </w:t>
      </w:r>
      <w:r w:rsidRPr="00DA6AF5">
        <w:rPr>
          <w:i/>
          <w:szCs w:val="22"/>
        </w:rPr>
        <w:t>Location</w:t>
      </w:r>
      <w:r w:rsidRPr="00DA6AF5">
        <w:rPr>
          <w:szCs w:val="22"/>
        </w:rPr>
        <w:t>, enter zero</w:t>
      </w:r>
      <w:r>
        <w:rPr>
          <w:szCs w:val="22"/>
        </w:rPr>
        <w:t>.</w:t>
      </w:r>
      <w:r w:rsidRPr="00DA6AF5">
        <w:rPr>
          <w:szCs w:val="22"/>
        </w:rPr>
        <w:t xml:space="preserve"> </w:t>
      </w:r>
    </w:p>
    <w:p w:rsidR="00F97D54" w:rsidRDefault="00F97D54" w:rsidP="00EB5B97"/>
    <w:p w:rsidR="00F97D54" w:rsidRDefault="00F97D54" w:rsidP="00E9084B">
      <w:pPr>
        <w:pStyle w:val="Heading5"/>
        <w:numPr>
          <w:ilvl w:val="0"/>
          <w:numId w:val="0"/>
        </w:numPr>
        <w:spacing w:after="0"/>
      </w:pPr>
      <w:bookmarkStart w:id="119" w:name="_Toc365972107"/>
      <w:r>
        <w:t>Billing Information</w:t>
      </w:r>
      <w:bookmarkEnd w:id="119"/>
    </w:p>
    <w:p w:rsidR="00F97D54" w:rsidRPr="002F2CEA" w:rsidRDefault="00F97D54" w:rsidP="00EB5B97"/>
    <w:p w:rsidR="00F97D54" w:rsidRPr="00E9084B" w:rsidRDefault="00F97D54" w:rsidP="00E9084B">
      <w:pPr>
        <w:pStyle w:val="Heading4"/>
        <w:numPr>
          <w:ilvl w:val="0"/>
          <w:numId w:val="0"/>
        </w:numPr>
        <w:rPr>
          <w:b w:val="0"/>
          <w:i/>
        </w:rPr>
      </w:pPr>
      <w:bookmarkStart w:id="120" w:name="_Toc365972108"/>
      <w:r w:rsidRPr="00E9084B">
        <w:rPr>
          <w:b w:val="0"/>
          <w:i/>
        </w:rPr>
        <w:t>Question II.B.4-6:  Billing Information Overview</w:t>
      </w:r>
      <w:bookmarkEnd w:id="120"/>
      <w:r w:rsidRPr="00E9084B">
        <w:rPr>
          <w:b w:val="0"/>
          <w:i/>
        </w:rPr>
        <w:t xml:space="preserve">  </w:t>
      </w:r>
    </w:p>
    <w:p w:rsidR="00F97D54" w:rsidRDefault="00F97D54" w:rsidP="00E9084B">
      <w:r>
        <w:t xml:space="preserve">These questions are interrelated.  Question II.B.4 requires the filer to provide billing information for each circuit element billed to its customers.  To answer this question, you must reference adjustment and billing codes that are defined by responses to Questions II.B.5 and II.B.6, respectively.  </w:t>
      </w:r>
    </w:p>
    <w:p w:rsidR="00E9084B" w:rsidRDefault="00E9084B" w:rsidP="00E9084B"/>
    <w:p w:rsidR="00F97D54" w:rsidRPr="00E9084B" w:rsidRDefault="00F97D54" w:rsidP="00E9084B">
      <w:pPr>
        <w:pStyle w:val="Heading4"/>
        <w:numPr>
          <w:ilvl w:val="0"/>
          <w:numId w:val="0"/>
        </w:numPr>
        <w:rPr>
          <w:b w:val="0"/>
          <w:i/>
        </w:rPr>
      </w:pPr>
      <w:bookmarkStart w:id="121" w:name="_Toc365972109"/>
      <w:r w:rsidRPr="00E9084B">
        <w:rPr>
          <w:b w:val="0"/>
          <w:i/>
        </w:rPr>
        <w:t>Question II.B.4:  Prices by Circuit Element from ILECs</w:t>
      </w:r>
      <w:bookmarkEnd w:id="121"/>
    </w:p>
    <w:p w:rsidR="00F97D54" w:rsidRDefault="00F97D54" w:rsidP="00EB5B97">
      <w:pPr>
        <w:rPr>
          <w:szCs w:val="22"/>
        </w:rPr>
      </w:pPr>
      <w:r>
        <w:t xml:space="preserve">This question requests billing information for transmission paths that are sold for the provision of a stand-alone </w:t>
      </w:r>
      <w:r w:rsidRPr="005A4569">
        <w:rPr>
          <w:i/>
        </w:rPr>
        <w:t>Dedicated Service</w:t>
      </w:r>
      <w:r>
        <w:t xml:space="preserve">.  By using the term “transmission paths,” this question is not limited to </w:t>
      </w:r>
      <w:r w:rsidRPr="008713FF">
        <w:rPr>
          <w:i/>
        </w:rPr>
        <w:t>Locations</w:t>
      </w:r>
      <w:r>
        <w:t xml:space="preserve"> with </w:t>
      </w:r>
      <w:r w:rsidRPr="008713FF">
        <w:rPr>
          <w:i/>
        </w:rPr>
        <w:t>Connections</w:t>
      </w:r>
      <w:r>
        <w:t xml:space="preserve">, </w:t>
      </w:r>
      <w:r w:rsidRPr="008713FF">
        <w:rPr>
          <w:i/>
        </w:rPr>
        <w:t>i.e.</w:t>
      </w:r>
      <w:r>
        <w:t xml:space="preserve">, “last-mile” facilities, reported in response to Question II.B.3 but also includes dedicated interoffice transport facilities.  Do not, however, include the sale of interLATA POP-to-POP services or billing information for bundled services where the </w:t>
      </w:r>
      <w:r w:rsidRPr="00137857">
        <w:rPr>
          <w:i/>
        </w:rPr>
        <w:t>Dedicated Service</w:t>
      </w:r>
      <w:r>
        <w:t xml:space="preserve"> component is not separately priced.  Do include sales to </w:t>
      </w:r>
      <w:r w:rsidRPr="00DB539B">
        <w:rPr>
          <w:i/>
        </w:rPr>
        <w:t>Affiliated Companies</w:t>
      </w:r>
      <w:r>
        <w:t xml:space="preserve">.      </w:t>
      </w:r>
    </w:p>
    <w:p w:rsidR="00F97D54" w:rsidRDefault="00F97D54" w:rsidP="00EB5B97"/>
    <w:p w:rsidR="00F97D54" w:rsidRPr="00587EB9" w:rsidRDefault="00F97D54" w:rsidP="00587EB9">
      <w:r>
        <w:t>S</w:t>
      </w:r>
      <w:r w:rsidRPr="00F43280">
        <w:t xml:space="preserve">ubmit information </w:t>
      </w:r>
      <w:r>
        <w:t>for each circuit</w:t>
      </w:r>
      <w:r w:rsidRPr="00F43280">
        <w:t xml:space="preserve"> element </w:t>
      </w:r>
      <w:r>
        <w:t>of each</w:t>
      </w:r>
      <w:r w:rsidRPr="00F43280">
        <w:t xml:space="preserve"> circuit for each month from January 1, </w:t>
      </w:r>
      <w:r>
        <w:t>2010</w:t>
      </w:r>
      <w:r w:rsidRPr="00F43280">
        <w:t xml:space="preserve"> through December 31, </w:t>
      </w:r>
      <w:r>
        <w:t>2010 and from January 1, 2012 through December 31, 2012.  Include a separate entry for each separately-billed element on the circuit.  In the case where the circuits are billed as a single unit, the data set will contain only one entry per circuit.</w:t>
      </w:r>
    </w:p>
    <w:p w:rsidR="00F6299F" w:rsidRDefault="00F6299F">
      <w:pPr>
        <w:widowControl/>
        <w:rPr>
          <w:szCs w:val="22"/>
        </w:rPr>
      </w:pPr>
      <w:r>
        <w:rPr>
          <w:szCs w:val="22"/>
        </w:rPr>
        <w:br w:type="page"/>
      </w:r>
    </w:p>
    <w:p w:rsidR="00F97D54" w:rsidRDefault="00F97D54" w:rsidP="00EB5B97">
      <w:pPr>
        <w:ind w:left="360"/>
        <w:rPr>
          <w:szCs w:val="22"/>
        </w:rPr>
      </w:pPr>
    </w:p>
    <w:tbl>
      <w:tblPr>
        <w:tblW w:w="8838" w:type="dxa"/>
        <w:tblLook w:val="01E0" w:firstRow="1" w:lastRow="1" w:firstColumn="1" w:lastColumn="1" w:noHBand="0" w:noVBand="0"/>
      </w:tblPr>
      <w:tblGrid>
        <w:gridCol w:w="1781"/>
        <w:gridCol w:w="4448"/>
        <w:gridCol w:w="1080"/>
        <w:gridCol w:w="1529"/>
      </w:tblGrid>
      <w:tr w:rsidR="00F97D54" w:rsidRPr="00F43280" w:rsidTr="00EB5B97">
        <w:trPr>
          <w:trHeight w:val="432"/>
          <w:tblHeader/>
        </w:trPr>
        <w:tc>
          <w:tcPr>
            <w:tcW w:w="8838" w:type="dxa"/>
            <w:gridSpan w:val="4"/>
            <w:tcBorders>
              <w:top w:val="double" w:sz="4" w:space="0" w:color="auto"/>
              <w:bottom w:val="single" w:sz="4" w:space="0" w:color="auto"/>
            </w:tcBorders>
            <w:vAlign w:val="center"/>
          </w:tcPr>
          <w:p w:rsidR="00F97D54" w:rsidRPr="005C0C31" w:rsidRDefault="00F97D54" w:rsidP="00EB5B97">
            <w:pPr>
              <w:jc w:val="center"/>
              <w:rPr>
                <w:b/>
                <w:bCs/>
                <w:szCs w:val="22"/>
              </w:rPr>
            </w:pPr>
            <w:r w:rsidRPr="005C0C31">
              <w:rPr>
                <w:b/>
                <w:bCs/>
                <w:szCs w:val="22"/>
              </w:rPr>
              <w:t>Table II.B.4</w:t>
            </w:r>
            <w:r>
              <w:rPr>
                <w:b/>
                <w:bCs/>
                <w:szCs w:val="22"/>
              </w:rPr>
              <w:t xml:space="preserve"> Part 1</w:t>
            </w:r>
          </w:p>
          <w:p w:rsidR="00F97D54" w:rsidRPr="000E2226" w:rsidRDefault="00F97D54" w:rsidP="00EB5B97">
            <w:pPr>
              <w:jc w:val="center"/>
              <w:rPr>
                <w:b/>
                <w:bCs/>
                <w:szCs w:val="22"/>
              </w:rPr>
            </w:pPr>
            <w:r>
              <w:rPr>
                <w:b/>
                <w:bCs/>
              </w:rPr>
              <w:t xml:space="preserve">Record Format for </w:t>
            </w:r>
            <w:r w:rsidRPr="005C0C31">
              <w:rPr>
                <w:b/>
                <w:bCs/>
                <w:szCs w:val="22"/>
              </w:rPr>
              <w:t>Monthly Billing Data for Circuits by Circuit and Rate Element</w:t>
            </w:r>
          </w:p>
        </w:tc>
      </w:tr>
      <w:tr w:rsidR="00F97D54" w:rsidRPr="00F43280" w:rsidTr="00EB5B97">
        <w:trPr>
          <w:trHeight w:val="432"/>
          <w:tblHeader/>
        </w:trPr>
        <w:tc>
          <w:tcPr>
            <w:tcW w:w="1781" w:type="dxa"/>
            <w:tcBorders>
              <w:top w:val="single" w:sz="4" w:space="0" w:color="auto"/>
              <w:bottom w:val="single" w:sz="4" w:space="0" w:color="auto"/>
              <w:right w:val="single" w:sz="4" w:space="0" w:color="auto"/>
            </w:tcBorders>
            <w:vAlign w:val="center"/>
          </w:tcPr>
          <w:p w:rsidR="00F97D54" w:rsidRPr="00F43280" w:rsidRDefault="00F97D54" w:rsidP="00EB5B97">
            <w:pPr>
              <w:rPr>
                <w:b/>
                <w:sz w:val="18"/>
                <w:szCs w:val="18"/>
              </w:rPr>
            </w:pPr>
            <w:r w:rsidRPr="00F43280">
              <w:rPr>
                <w:b/>
                <w:sz w:val="18"/>
                <w:szCs w:val="18"/>
              </w:rPr>
              <w:t>Field Name</w:t>
            </w:r>
          </w:p>
        </w:tc>
        <w:tc>
          <w:tcPr>
            <w:tcW w:w="4448" w:type="dxa"/>
            <w:tcBorders>
              <w:top w:val="single" w:sz="4" w:space="0" w:color="auto"/>
              <w:left w:val="single" w:sz="4" w:space="0" w:color="auto"/>
              <w:bottom w:val="single" w:sz="4" w:space="0" w:color="auto"/>
              <w:right w:val="single" w:sz="4" w:space="0" w:color="auto"/>
            </w:tcBorders>
            <w:vAlign w:val="center"/>
          </w:tcPr>
          <w:p w:rsidR="00F97D54" w:rsidRPr="00F43280" w:rsidRDefault="00F97D54" w:rsidP="00EB5B97">
            <w:pPr>
              <w:rPr>
                <w:b/>
                <w:sz w:val="18"/>
                <w:szCs w:val="18"/>
              </w:rPr>
            </w:pPr>
            <w:r w:rsidRPr="00F43280">
              <w:rPr>
                <w:b/>
                <w:sz w:val="18"/>
                <w:szCs w:val="18"/>
              </w:rPr>
              <w:t>Description</w:t>
            </w:r>
          </w:p>
        </w:tc>
        <w:tc>
          <w:tcPr>
            <w:tcW w:w="1080" w:type="dxa"/>
            <w:tcBorders>
              <w:top w:val="single" w:sz="4" w:space="0" w:color="auto"/>
              <w:left w:val="single" w:sz="4" w:space="0" w:color="auto"/>
              <w:bottom w:val="single" w:sz="4" w:space="0" w:color="auto"/>
              <w:right w:val="single" w:sz="4" w:space="0" w:color="auto"/>
            </w:tcBorders>
            <w:vAlign w:val="center"/>
          </w:tcPr>
          <w:p w:rsidR="00F97D54" w:rsidRPr="00F43280" w:rsidRDefault="00F97D54" w:rsidP="00EB5B97">
            <w:pPr>
              <w:rPr>
                <w:b/>
                <w:sz w:val="18"/>
                <w:szCs w:val="18"/>
              </w:rPr>
            </w:pPr>
            <w:r w:rsidRPr="00F43280">
              <w:rPr>
                <w:b/>
                <w:sz w:val="18"/>
                <w:szCs w:val="18"/>
              </w:rPr>
              <w:t>Type</w:t>
            </w:r>
          </w:p>
        </w:tc>
        <w:tc>
          <w:tcPr>
            <w:tcW w:w="1529" w:type="dxa"/>
            <w:tcBorders>
              <w:top w:val="single" w:sz="4" w:space="0" w:color="auto"/>
              <w:left w:val="single" w:sz="4" w:space="0" w:color="auto"/>
              <w:bottom w:val="single" w:sz="4" w:space="0" w:color="auto"/>
            </w:tcBorders>
            <w:vAlign w:val="center"/>
          </w:tcPr>
          <w:p w:rsidR="00F97D54" w:rsidRPr="00F43280" w:rsidRDefault="00F97D54" w:rsidP="00EB5B97">
            <w:pPr>
              <w:ind w:right="-108"/>
              <w:rPr>
                <w:b/>
                <w:sz w:val="18"/>
                <w:szCs w:val="18"/>
              </w:rPr>
            </w:pPr>
            <w:r w:rsidRPr="00F43280">
              <w:rPr>
                <w:b/>
                <w:sz w:val="18"/>
                <w:szCs w:val="18"/>
              </w:rPr>
              <w:t>Example</w:t>
            </w:r>
          </w:p>
        </w:tc>
      </w:tr>
      <w:tr w:rsidR="00F97D54" w:rsidRPr="00F43280" w:rsidTr="00EB5B97">
        <w:trPr>
          <w:trHeight w:val="360"/>
        </w:trPr>
        <w:tc>
          <w:tcPr>
            <w:tcW w:w="1781" w:type="dxa"/>
          </w:tcPr>
          <w:p w:rsidR="00F97D54" w:rsidRPr="00F43280" w:rsidRDefault="00F97D54" w:rsidP="00EB5B97">
            <w:pPr>
              <w:tabs>
                <w:tab w:val="left" w:pos="2022"/>
              </w:tabs>
              <w:rPr>
                <w:sz w:val="16"/>
                <w:szCs w:val="16"/>
              </w:rPr>
            </w:pPr>
            <w:r>
              <w:rPr>
                <w:sz w:val="16"/>
                <w:szCs w:val="16"/>
              </w:rPr>
              <w:t>Closing_</w:t>
            </w:r>
            <w:r w:rsidRPr="00F43280">
              <w:rPr>
                <w:sz w:val="16"/>
                <w:szCs w:val="16"/>
              </w:rPr>
              <w:t>Date</w:t>
            </w:r>
          </w:p>
        </w:tc>
        <w:tc>
          <w:tcPr>
            <w:tcW w:w="4448" w:type="dxa"/>
          </w:tcPr>
          <w:p w:rsidR="00F97D54" w:rsidRPr="00F43280" w:rsidRDefault="00F97D54" w:rsidP="00EB5B97">
            <w:pPr>
              <w:rPr>
                <w:sz w:val="16"/>
                <w:szCs w:val="16"/>
              </w:rPr>
            </w:pPr>
            <w:r w:rsidRPr="00F43280">
              <w:rPr>
                <w:sz w:val="16"/>
                <w:szCs w:val="16"/>
              </w:rPr>
              <w:t>Closing date of the monthly billing cycle in mm/</w:t>
            </w:r>
            <w:r>
              <w:rPr>
                <w:sz w:val="16"/>
                <w:szCs w:val="16"/>
              </w:rPr>
              <w:t>dd/</w:t>
            </w:r>
            <w:r w:rsidRPr="00F43280">
              <w:rPr>
                <w:sz w:val="16"/>
                <w:szCs w:val="16"/>
              </w:rPr>
              <w:t>yyyy format</w:t>
            </w:r>
          </w:p>
        </w:tc>
        <w:tc>
          <w:tcPr>
            <w:tcW w:w="1080" w:type="dxa"/>
          </w:tcPr>
          <w:p w:rsidR="00F97D54" w:rsidRPr="00F43280" w:rsidRDefault="00F97D54" w:rsidP="00EB5B97">
            <w:pPr>
              <w:rPr>
                <w:sz w:val="16"/>
                <w:szCs w:val="16"/>
              </w:rPr>
            </w:pPr>
            <w:r w:rsidRPr="00F43280">
              <w:rPr>
                <w:sz w:val="16"/>
                <w:szCs w:val="16"/>
              </w:rPr>
              <w:t>Date</w:t>
            </w:r>
          </w:p>
        </w:tc>
        <w:tc>
          <w:tcPr>
            <w:tcW w:w="1529" w:type="dxa"/>
          </w:tcPr>
          <w:p w:rsidR="00F97D54" w:rsidRPr="00F43280" w:rsidRDefault="00F97D54" w:rsidP="00EB5B97">
            <w:pPr>
              <w:rPr>
                <w:sz w:val="16"/>
                <w:szCs w:val="16"/>
              </w:rPr>
            </w:pPr>
            <w:r>
              <w:rPr>
                <w:sz w:val="16"/>
                <w:szCs w:val="16"/>
              </w:rPr>
              <w:t>0</w:t>
            </w:r>
            <w:r w:rsidRPr="00F43280">
              <w:rPr>
                <w:sz w:val="16"/>
                <w:szCs w:val="16"/>
              </w:rPr>
              <w:t>6/30/</w:t>
            </w:r>
            <w:r>
              <w:rPr>
                <w:sz w:val="16"/>
                <w:szCs w:val="16"/>
              </w:rPr>
              <w:t>2012</w:t>
            </w:r>
          </w:p>
        </w:tc>
      </w:tr>
      <w:tr w:rsidR="00F97D54" w:rsidRPr="00F43280" w:rsidTr="00EB5B97">
        <w:trPr>
          <w:trHeight w:val="324"/>
        </w:trPr>
        <w:tc>
          <w:tcPr>
            <w:tcW w:w="1781" w:type="dxa"/>
          </w:tcPr>
          <w:p w:rsidR="00F97D54" w:rsidRPr="00F43280" w:rsidRDefault="00F97D54" w:rsidP="00EB5B97">
            <w:pPr>
              <w:tabs>
                <w:tab w:val="left" w:pos="2022"/>
              </w:tabs>
              <w:rPr>
                <w:sz w:val="16"/>
                <w:szCs w:val="16"/>
              </w:rPr>
            </w:pPr>
            <w:r>
              <w:rPr>
                <w:sz w:val="16"/>
                <w:szCs w:val="16"/>
              </w:rPr>
              <w:t>Customer</w:t>
            </w:r>
            <w:r w:rsidRPr="00F43280">
              <w:rPr>
                <w:sz w:val="16"/>
                <w:szCs w:val="16"/>
              </w:rPr>
              <w:t>_ID</w:t>
            </w:r>
          </w:p>
        </w:tc>
        <w:tc>
          <w:tcPr>
            <w:tcW w:w="4448" w:type="dxa"/>
          </w:tcPr>
          <w:p w:rsidR="00F97D54" w:rsidRDefault="00F97D54" w:rsidP="00EB5B97">
            <w:pPr>
              <w:rPr>
                <w:sz w:val="16"/>
                <w:szCs w:val="16"/>
              </w:rPr>
            </w:pPr>
            <w:r>
              <w:rPr>
                <w:sz w:val="16"/>
                <w:szCs w:val="16"/>
              </w:rPr>
              <w:t>Unique customer identifier used to link all circuits purchased by a customer over all geographies and time periods.  To be linked with customer names and identification numbers in Table II.B.4 Part 2.</w:t>
            </w:r>
          </w:p>
          <w:p w:rsidR="00F97D54" w:rsidRPr="00F43280" w:rsidRDefault="00F97D54" w:rsidP="00EB5B97">
            <w:pPr>
              <w:rPr>
                <w:sz w:val="16"/>
                <w:szCs w:val="16"/>
              </w:rPr>
            </w:pPr>
          </w:p>
        </w:tc>
        <w:tc>
          <w:tcPr>
            <w:tcW w:w="1080" w:type="dxa"/>
          </w:tcPr>
          <w:p w:rsidR="00F97D54" w:rsidRPr="00F43280" w:rsidRDefault="00F97D54" w:rsidP="00EB5B97">
            <w:pPr>
              <w:rPr>
                <w:sz w:val="16"/>
                <w:szCs w:val="16"/>
              </w:rPr>
            </w:pPr>
            <w:r w:rsidRPr="00F43280">
              <w:rPr>
                <w:sz w:val="16"/>
                <w:szCs w:val="16"/>
              </w:rPr>
              <w:t>Integer</w:t>
            </w:r>
          </w:p>
        </w:tc>
        <w:tc>
          <w:tcPr>
            <w:tcW w:w="1529" w:type="dxa"/>
          </w:tcPr>
          <w:p w:rsidR="00F97D54" w:rsidRPr="00F43280" w:rsidRDefault="00F97D54" w:rsidP="00EB5B97">
            <w:pPr>
              <w:rPr>
                <w:sz w:val="16"/>
                <w:szCs w:val="16"/>
              </w:rPr>
            </w:pPr>
            <w:r>
              <w:rPr>
                <w:sz w:val="16"/>
                <w:szCs w:val="16"/>
              </w:rPr>
              <w:t>1274</w:t>
            </w:r>
          </w:p>
        </w:tc>
      </w:tr>
      <w:tr w:rsidR="00F97D54" w:rsidRPr="00F43280" w:rsidTr="00EB5B97">
        <w:trPr>
          <w:trHeight w:val="324"/>
        </w:trPr>
        <w:tc>
          <w:tcPr>
            <w:tcW w:w="1781" w:type="dxa"/>
          </w:tcPr>
          <w:p w:rsidR="00F97D54" w:rsidRPr="00F43280" w:rsidRDefault="00F97D54" w:rsidP="00EB5B97">
            <w:pPr>
              <w:tabs>
                <w:tab w:val="left" w:pos="2022"/>
              </w:tabs>
              <w:rPr>
                <w:sz w:val="16"/>
                <w:szCs w:val="16"/>
              </w:rPr>
            </w:pPr>
            <w:r>
              <w:rPr>
                <w:sz w:val="16"/>
                <w:szCs w:val="16"/>
              </w:rPr>
              <w:t>Location_ID</w:t>
            </w:r>
          </w:p>
        </w:tc>
        <w:tc>
          <w:tcPr>
            <w:tcW w:w="4448" w:type="dxa"/>
          </w:tcPr>
          <w:p w:rsidR="00F97D54" w:rsidRDefault="00F97D54" w:rsidP="00EB5B97">
            <w:pPr>
              <w:rPr>
                <w:sz w:val="16"/>
                <w:szCs w:val="16"/>
              </w:rPr>
            </w:pPr>
            <w:r>
              <w:rPr>
                <w:sz w:val="16"/>
                <w:szCs w:val="16"/>
              </w:rPr>
              <w:t xml:space="preserve">Sequential location number from Question II.B.3.a. where applicable.  Required for circuit elements such as channel terminations that can be associated with a particular </w:t>
            </w:r>
            <w:r w:rsidRPr="005C0C31">
              <w:rPr>
                <w:i/>
                <w:sz w:val="16"/>
                <w:szCs w:val="16"/>
              </w:rPr>
              <w:t>Location</w:t>
            </w:r>
            <w:r>
              <w:rPr>
                <w:sz w:val="16"/>
                <w:szCs w:val="16"/>
              </w:rPr>
              <w:t>.</w:t>
            </w:r>
          </w:p>
          <w:p w:rsidR="00F97D54" w:rsidRPr="00F43280" w:rsidRDefault="00F97D54" w:rsidP="00EB5B97">
            <w:pPr>
              <w:rPr>
                <w:sz w:val="16"/>
                <w:szCs w:val="16"/>
              </w:rPr>
            </w:pPr>
          </w:p>
        </w:tc>
        <w:tc>
          <w:tcPr>
            <w:tcW w:w="1080" w:type="dxa"/>
          </w:tcPr>
          <w:p w:rsidR="00F97D54" w:rsidRPr="00F43280" w:rsidRDefault="00F97D54" w:rsidP="00EB5B97">
            <w:pPr>
              <w:rPr>
                <w:sz w:val="16"/>
                <w:szCs w:val="16"/>
              </w:rPr>
            </w:pPr>
            <w:r>
              <w:rPr>
                <w:sz w:val="16"/>
                <w:szCs w:val="16"/>
              </w:rPr>
              <w:t>Integer</w:t>
            </w:r>
          </w:p>
        </w:tc>
        <w:tc>
          <w:tcPr>
            <w:tcW w:w="1529" w:type="dxa"/>
          </w:tcPr>
          <w:p w:rsidR="00F97D54" w:rsidRPr="00F43280" w:rsidRDefault="00F97D54" w:rsidP="00EB5B97">
            <w:pPr>
              <w:rPr>
                <w:sz w:val="16"/>
                <w:szCs w:val="16"/>
              </w:rPr>
            </w:pPr>
            <w:r>
              <w:rPr>
                <w:sz w:val="16"/>
                <w:szCs w:val="16"/>
              </w:rPr>
              <w:t>1</w:t>
            </w:r>
          </w:p>
        </w:tc>
      </w:tr>
      <w:tr w:rsidR="00F97D54" w:rsidRPr="00F43280" w:rsidTr="00EB5B97">
        <w:trPr>
          <w:trHeight w:val="432"/>
        </w:trPr>
        <w:tc>
          <w:tcPr>
            <w:tcW w:w="1781" w:type="dxa"/>
          </w:tcPr>
          <w:p w:rsidR="00F97D54" w:rsidRPr="00F43280" w:rsidRDefault="00F97D54" w:rsidP="00EB5B97">
            <w:pPr>
              <w:tabs>
                <w:tab w:val="left" w:pos="2022"/>
              </w:tabs>
              <w:rPr>
                <w:sz w:val="16"/>
                <w:szCs w:val="16"/>
              </w:rPr>
            </w:pPr>
            <w:r w:rsidRPr="00F43280">
              <w:rPr>
                <w:sz w:val="16"/>
                <w:szCs w:val="16"/>
              </w:rPr>
              <w:t>Circuit_ID</w:t>
            </w:r>
          </w:p>
        </w:tc>
        <w:tc>
          <w:tcPr>
            <w:tcW w:w="4448" w:type="dxa"/>
          </w:tcPr>
          <w:p w:rsidR="00F97D54" w:rsidRPr="00F43280" w:rsidRDefault="00F97D54" w:rsidP="00EB5B97">
            <w:pPr>
              <w:rPr>
                <w:sz w:val="16"/>
                <w:szCs w:val="16"/>
              </w:rPr>
            </w:pPr>
            <w:r w:rsidRPr="00F43280">
              <w:rPr>
                <w:sz w:val="16"/>
                <w:szCs w:val="16"/>
              </w:rPr>
              <w:t xml:space="preserve">Circuit identifier common to all </w:t>
            </w:r>
            <w:r>
              <w:rPr>
                <w:sz w:val="16"/>
                <w:szCs w:val="16"/>
              </w:rPr>
              <w:t>circuit</w:t>
            </w:r>
            <w:r w:rsidRPr="00F43280">
              <w:rPr>
                <w:sz w:val="16"/>
                <w:szCs w:val="16"/>
              </w:rPr>
              <w:t xml:space="preserve"> elements purchased in common for a particular circuit.</w:t>
            </w:r>
          </w:p>
          <w:p w:rsidR="00F97D54" w:rsidRPr="00F43280" w:rsidRDefault="00F97D54" w:rsidP="00EB5B97">
            <w:pPr>
              <w:rPr>
                <w:sz w:val="16"/>
                <w:szCs w:val="16"/>
              </w:rPr>
            </w:pPr>
          </w:p>
        </w:tc>
        <w:tc>
          <w:tcPr>
            <w:tcW w:w="1080" w:type="dxa"/>
          </w:tcPr>
          <w:p w:rsidR="00F97D54" w:rsidRPr="00F43280" w:rsidRDefault="00F97D54" w:rsidP="00EB5B97">
            <w:pPr>
              <w:rPr>
                <w:sz w:val="16"/>
                <w:szCs w:val="16"/>
              </w:rPr>
            </w:pPr>
            <w:r w:rsidRPr="00F43280">
              <w:rPr>
                <w:sz w:val="16"/>
                <w:szCs w:val="16"/>
              </w:rPr>
              <w:t>Text</w:t>
            </w:r>
          </w:p>
        </w:tc>
        <w:tc>
          <w:tcPr>
            <w:tcW w:w="1529" w:type="dxa"/>
          </w:tcPr>
          <w:p w:rsidR="00F97D54" w:rsidRPr="00F43280" w:rsidRDefault="00F97D54" w:rsidP="00EB5B97">
            <w:pPr>
              <w:rPr>
                <w:sz w:val="16"/>
                <w:szCs w:val="16"/>
              </w:rPr>
            </w:pPr>
            <w:r w:rsidRPr="00F43280">
              <w:rPr>
                <w:sz w:val="16"/>
                <w:szCs w:val="16"/>
              </w:rPr>
              <w:t>HHH555XYZ</w:t>
            </w:r>
          </w:p>
        </w:tc>
      </w:tr>
      <w:tr w:rsidR="00F97D54" w:rsidRPr="00F43280" w:rsidTr="00EB5B97">
        <w:trPr>
          <w:trHeight w:val="432"/>
        </w:trPr>
        <w:tc>
          <w:tcPr>
            <w:tcW w:w="1781" w:type="dxa"/>
          </w:tcPr>
          <w:p w:rsidR="00F97D54" w:rsidRPr="00F43280" w:rsidRDefault="00F97D54" w:rsidP="00EB5B97">
            <w:pPr>
              <w:tabs>
                <w:tab w:val="left" w:pos="2022"/>
              </w:tabs>
              <w:rPr>
                <w:sz w:val="16"/>
                <w:szCs w:val="16"/>
              </w:rPr>
            </w:pPr>
            <w:r w:rsidRPr="00F43280">
              <w:rPr>
                <w:sz w:val="16"/>
                <w:szCs w:val="16"/>
              </w:rPr>
              <w:t>Circuit_Type</w:t>
            </w:r>
          </w:p>
        </w:tc>
        <w:tc>
          <w:tcPr>
            <w:tcW w:w="4448" w:type="dxa"/>
          </w:tcPr>
          <w:p w:rsidR="00F97D54" w:rsidRPr="00F43280" w:rsidRDefault="00F97D54" w:rsidP="00EB5B97">
            <w:pPr>
              <w:rPr>
                <w:sz w:val="16"/>
                <w:szCs w:val="16"/>
              </w:rPr>
            </w:pPr>
            <w:r w:rsidRPr="00F43280">
              <w:rPr>
                <w:sz w:val="16"/>
                <w:szCs w:val="16"/>
              </w:rPr>
              <w:t>Type of circuit (</w:t>
            </w:r>
            <w:r w:rsidRPr="00F43280">
              <w:rPr>
                <w:i/>
                <w:sz w:val="16"/>
                <w:szCs w:val="16"/>
              </w:rPr>
              <w:t>DS1</w:t>
            </w:r>
            <w:r w:rsidRPr="00F43280">
              <w:rPr>
                <w:sz w:val="16"/>
                <w:szCs w:val="16"/>
              </w:rPr>
              <w:t xml:space="preserve">, </w:t>
            </w:r>
            <w:r w:rsidRPr="00F43280">
              <w:rPr>
                <w:i/>
                <w:sz w:val="16"/>
                <w:szCs w:val="16"/>
              </w:rPr>
              <w:t>DS3</w:t>
            </w:r>
            <w:r w:rsidRPr="00F43280">
              <w:rPr>
                <w:sz w:val="16"/>
                <w:szCs w:val="16"/>
              </w:rPr>
              <w:t xml:space="preserve">, </w:t>
            </w:r>
            <w:r w:rsidRPr="00F43280">
              <w:rPr>
                <w:i/>
                <w:sz w:val="16"/>
                <w:szCs w:val="16"/>
              </w:rPr>
              <w:t>DS1</w:t>
            </w:r>
            <w:r w:rsidRPr="00F43280">
              <w:rPr>
                <w:sz w:val="16"/>
                <w:szCs w:val="16"/>
              </w:rPr>
              <w:t>-UNE</w:t>
            </w:r>
            <w:r w:rsidRPr="00F43280">
              <w:rPr>
                <w:i/>
                <w:sz w:val="16"/>
                <w:szCs w:val="16"/>
              </w:rPr>
              <w:t>, DS3</w:t>
            </w:r>
            <w:r w:rsidRPr="00F43280">
              <w:rPr>
                <w:sz w:val="16"/>
                <w:szCs w:val="16"/>
              </w:rPr>
              <w:t xml:space="preserve">-UNE, </w:t>
            </w:r>
            <w:r>
              <w:rPr>
                <w:sz w:val="16"/>
                <w:szCs w:val="16"/>
              </w:rPr>
              <w:t xml:space="preserve">other </w:t>
            </w:r>
            <w:r w:rsidRPr="005C0C31">
              <w:rPr>
                <w:i/>
                <w:sz w:val="16"/>
                <w:szCs w:val="16"/>
              </w:rPr>
              <w:t>CBDS</w:t>
            </w:r>
            <w:r>
              <w:rPr>
                <w:sz w:val="16"/>
                <w:szCs w:val="16"/>
              </w:rPr>
              <w:t xml:space="preserve"> (</w:t>
            </w:r>
            <w:r w:rsidRPr="005C0C31">
              <w:rPr>
                <w:i/>
                <w:sz w:val="16"/>
                <w:szCs w:val="16"/>
              </w:rPr>
              <w:t>i.e.</w:t>
            </w:r>
            <w:r>
              <w:rPr>
                <w:sz w:val="16"/>
                <w:szCs w:val="16"/>
              </w:rPr>
              <w:t>, non-</w:t>
            </w:r>
            <w:r w:rsidRPr="006A2FE9">
              <w:rPr>
                <w:i/>
                <w:sz w:val="16"/>
                <w:szCs w:val="16"/>
              </w:rPr>
              <w:t>DSn</w:t>
            </w:r>
            <w:r>
              <w:rPr>
                <w:sz w:val="16"/>
                <w:szCs w:val="16"/>
              </w:rPr>
              <w:t xml:space="preserve">), </w:t>
            </w:r>
            <w:r w:rsidRPr="006A2FE9">
              <w:rPr>
                <w:sz w:val="16"/>
                <w:szCs w:val="16"/>
              </w:rPr>
              <w:t>or</w:t>
            </w:r>
            <w:r w:rsidRPr="00F43280">
              <w:rPr>
                <w:sz w:val="16"/>
                <w:szCs w:val="16"/>
              </w:rPr>
              <w:t xml:space="preserve"> </w:t>
            </w:r>
            <w:r w:rsidRPr="00D64511">
              <w:rPr>
                <w:i/>
                <w:sz w:val="16"/>
                <w:szCs w:val="16"/>
              </w:rPr>
              <w:t>PBDS</w:t>
            </w:r>
            <w:r w:rsidRPr="00F43280">
              <w:rPr>
                <w:sz w:val="16"/>
                <w:szCs w:val="16"/>
              </w:rPr>
              <w:t xml:space="preserve">.  </w:t>
            </w:r>
          </w:p>
        </w:tc>
        <w:tc>
          <w:tcPr>
            <w:tcW w:w="1080" w:type="dxa"/>
          </w:tcPr>
          <w:p w:rsidR="00F97D54" w:rsidRPr="00F43280" w:rsidRDefault="00F97D54" w:rsidP="00EB5B97">
            <w:pPr>
              <w:rPr>
                <w:sz w:val="16"/>
                <w:szCs w:val="16"/>
              </w:rPr>
            </w:pPr>
            <w:r w:rsidRPr="00F43280">
              <w:rPr>
                <w:sz w:val="16"/>
                <w:szCs w:val="16"/>
              </w:rPr>
              <w:t>Text</w:t>
            </w:r>
          </w:p>
        </w:tc>
        <w:tc>
          <w:tcPr>
            <w:tcW w:w="1529" w:type="dxa"/>
          </w:tcPr>
          <w:p w:rsidR="00F97D54" w:rsidRPr="00F43280" w:rsidRDefault="00F97D54" w:rsidP="00EB5B97">
            <w:pPr>
              <w:rPr>
                <w:sz w:val="16"/>
                <w:szCs w:val="16"/>
              </w:rPr>
            </w:pPr>
            <w:r w:rsidRPr="00F43280">
              <w:rPr>
                <w:sz w:val="16"/>
                <w:szCs w:val="16"/>
              </w:rPr>
              <w:t>DS1</w:t>
            </w:r>
          </w:p>
        </w:tc>
      </w:tr>
      <w:tr w:rsidR="00F97D54" w:rsidRPr="00F43280" w:rsidTr="00EB5B97">
        <w:trPr>
          <w:trHeight w:val="432"/>
        </w:trPr>
        <w:tc>
          <w:tcPr>
            <w:tcW w:w="1781" w:type="dxa"/>
          </w:tcPr>
          <w:p w:rsidR="00F97D54" w:rsidRPr="00F43280" w:rsidRDefault="00F97D54" w:rsidP="00EB5B97">
            <w:pPr>
              <w:tabs>
                <w:tab w:val="left" w:pos="2022"/>
              </w:tabs>
              <w:rPr>
                <w:sz w:val="16"/>
                <w:szCs w:val="16"/>
              </w:rPr>
            </w:pPr>
            <w:r>
              <w:rPr>
                <w:sz w:val="16"/>
                <w:szCs w:val="16"/>
              </w:rPr>
              <w:t>DSn</w:t>
            </w:r>
            <w:r w:rsidRPr="00F43280">
              <w:rPr>
                <w:sz w:val="16"/>
                <w:szCs w:val="16"/>
              </w:rPr>
              <w:t>_Bandwidth</w:t>
            </w:r>
          </w:p>
        </w:tc>
        <w:tc>
          <w:tcPr>
            <w:tcW w:w="4448" w:type="dxa"/>
          </w:tcPr>
          <w:p w:rsidR="00F97D54" w:rsidRPr="00F43280" w:rsidRDefault="00F97D54" w:rsidP="00EB5B97">
            <w:pPr>
              <w:rPr>
                <w:sz w:val="16"/>
                <w:szCs w:val="16"/>
              </w:rPr>
            </w:pPr>
            <w:r w:rsidRPr="00F43280">
              <w:rPr>
                <w:sz w:val="16"/>
                <w:szCs w:val="16"/>
              </w:rPr>
              <w:t xml:space="preserve">If a </w:t>
            </w:r>
            <w:r w:rsidRPr="006A2FE9">
              <w:rPr>
                <w:i/>
                <w:sz w:val="16"/>
                <w:szCs w:val="16"/>
              </w:rPr>
              <w:t>DS1, DS3, DS1-UNE,</w:t>
            </w:r>
            <w:r>
              <w:rPr>
                <w:sz w:val="16"/>
                <w:szCs w:val="16"/>
              </w:rPr>
              <w:t xml:space="preserve"> or </w:t>
            </w:r>
            <w:r w:rsidRPr="006A2FE9">
              <w:rPr>
                <w:i/>
                <w:sz w:val="16"/>
                <w:szCs w:val="16"/>
              </w:rPr>
              <w:t>DS3-UNE</w:t>
            </w:r>
            <w:r w:rsidRPr="00F43280">
              <w:rPr>
                <w:sz w:val="16"/>
                <w:szCs w:val="16"/>
              </w:rPr>
              <w:t xml:space="preserve">, indicate the </w:t>
            </w:r>
            <w:r>
              <w:rPr>
                <w:sz w:val="16"/>
                <w:szCs w:val="16"/>
              </w:rPr>
              <w:t>one-direction bandwidth of the circuit in Mbps</w:t>
            </w:r>
            <w:r w:rsidRPr="00F43280">
              <w:rPr>
                <w:sz w:val="16"/>
                <w:szCs w:val="16"/>
              </w:rPr>
              <w:t>.</w:t>
            </w:r>
          </w:p>
        </w:tc>
        <w:tc>
          <w:tcPr>
            <w:tcW w:w="1080" w:type="dxa"/>
          </w:tcPr>
          <w:p w:rsidR="00F97D54" w:rsidRPr="00F43280" w:rsidRDefault="00F97D54" w:rsidP="00EB5B97">
            <w:pPr>
              <w:rPr>
                <w:sz w:val="16"/>
                <w:szCs w:val="16"/>
              </w:rPr>
            </w:pPr>
            <w:r>
              <w:rPr>
                <w:sz w:val="16"/>
                <w:szCs w:val="16"/>
              </w:rPr>
              <w:t>Float</w:t>
            </w:r>
          </w:p>
        </w:tc>
        <w:tc>
          <w:tcPr>
            <w:tcW w:w="1529" w:type="dxa"/>
          </w:tcPr>
          <w:p w:rsidR="00F97D54" w:rsidRPr="00F43280" w:rsidRDefault="00F97D54" w:rsidP="00EB5B97">
            <w:pPr>
              <w:rPr>
                <w:sz w:val="16"/>
                <w:szCs w:val="16"/>
              </w:rPr>
            </w:pPr>
            <w:r>
              <w:rPr>
                <w:sz w:val="16"/>
                <w:szCs w:val="16"/>
              </w:rPr>
              <w:t>1.544</w:t>
            </w:r>
          </w:p>
        </w:tc>
      </w:tr>
      <w:tr w:rsidR="00F97D54" w:rsidRPr="00F43280" w:rsidTr="00EB5B97">
        <w:trPr>
          <w:trHeight w:val="432"/>
        </w:trPr>
        <w:tc>
          <w:tcPr>
            <w:tcW w:w="1781" w:type="dxa"/>
          </w:tcPr>
          <w:p w:rsidR="00F97D54" w:rsidRPr="00F43280" w:rsidDel="006A2FE9" w:rsidRDefault="00F97D54" w:rsidP="00EB5B97">
            <w:pPr>
              <w:tabs>
                <w:tab w:val="left" w:pos="2022"/>
              </w:tabs>
              <w:rPr>
                <w:sz w:val="16"/>
                <w:szCs w:val="16"/>
              </w:rPr>
            </w:pPr>
            <w:r>
              <w:rPr>
                <w:sz w:val="16"/>
                <w:szCs w:val="16"/>
              </w:rPr>
              <w:t>OtherCBDS_Bandwidth</w:t>
            </w:r>
          </w:p>
        </w:tc>
        <w:tc>
          <w:tcPr>
            <w:tcW w:w="4448" w:type="dxa"/>
          </w:tcPr>
          <w:p w:rsidR="00F97D54" w:rsidRPr="006A2FE9" w:rsidRDefault="00F97D54" w:rsidP="00EB5B97">
            <w:pPr>
              <w:rPr>
                <w:sz w:val="16"/>
                <w:szCs w:val="16"/>
              </w:rPr>
            </w:pPr>
            <w:r>
              <w:rPr>
                <w:sz w:val="16"/>
                <w:szCs w:val="16"/>
              </w:rPr>
              <w:t xml:space="preserve">If a </w:t>
            </w:r>
            <w:r w:rsidRPr="005C0C31">
              <w:rPr>
                <w:i/>
                <w:sz w:val="16"/>
                <w:szCs w:val="16"/>
              </w:rPr>
              <w:t>CBDS</w:t>
            </w:r>
            <w:r>
              <w:rPr>
                <w:sz w:val="16"/>
                <w:szCs w:val="16"/>
              </w:rPr>
              <w:t xml:space="preserve"> circuit other than a </w:t>
            </w:r>
            <w:r>
              <w:rPr>
                <w:i/>
                <w:sz w:val="16"/>
                <w:szCs w:val="16"/>
              </w:rPr>
              <w:t>DSn</w:t>
            </w:r>
            <w:r>
              <w:rPr>
                <w:sz w:val="16"/>
                <w:szCs w:val="16"/>
              </w:rPr>
              <w:t xml:space="preserve"> circuit, indicate the one-direction bandwidth of a symmetric circuit or the average one-direction bandwidth of a non-symmetric circuit in Mbps</w:t>
            </w:r>
          </w:p>
        </w:tc>
        <w:tc>
          <w:tcPr>
            <w:tcW w:w="1080" w:type="dxa"/>
          </w:tcPr>
          <w:p w:rsidR="00F97D54" w:rsidRPr="00F43280" w:rsidRDefault="00F97D54" w:rsidP="00EB5B97">
            <w:pPr>
              <w:rPr>
                <w:sz w:val="16"/>
                <w:szCs w:val="16"/>
              </w:rPr>
            </w:pPr>
            <w:r>
              <w:rPr>
                <w:sz w:val="16"/>
                <w:szCs w:val="16"/>
              </w:rPr>
              <w:t>Float</w:t>
            </w:r>
          </w:p>
        </w:tc>
        <w:tc>
          <w:tcPr>
            <w:tcW w:w="1529" w:type="dxa"/>
          </w:tcPr>
          <w:p w:rsidR="00F97D54" w:rsidRPr="00F43280" w:rsidRDefault="00F97D54" w:rsidP="00EB5B97">
            <w:pPr>
              <w:rPr>
                <w:sz w:val="16"/>
                <w:szCs w:val="16"/>
              </w:rPr>
            </w:pPr>
            <w:r>
              <w:rPr>
                <w:sz w:val="16"/>
                <w:szCs w:val="16"/>
              </w:rPr>
              <w:t>7.5</w:t>
            </w:r>
          </w:p>
        </w:tc>
      </w:tr>
      <w:tr w:rsidR="00F97D54" w:rsidRPr="00F43280" w:rsidTr="00EB5B97">
        <w:trPr>
          <w:trHeight w:val="234"/>
        </w:trPr>
        <w:tc>
          <w:tcPr>
            <w:tcW w:w="1781" w:type="dxa"/>
          </w:tcPr>
          <w:p w:rsidR="00F97D54" w:rsidRPr="00F43280" w:rsidRDefault="00F97D54" w:rsidP="00EB5B97">
            <w:pPr>
              <w:tabs>
                <w:tab w:val="left" w:pos="2022"/>
              </w:tabs>
              <w:rPr>
                <w:sz w:val="16"/>
                <w:szCs w:val="16"/>
              </w:rPr>
            </w:pPr>
            <w:r>
              <w:rPr>
                <w:sz w:val="16"/>
                <w:szCs w:val="16"/>
              </w:rPr>
              <w:t>PBDS</w:t>
            </w:r>
            <w:r w:rsidRPr="00F43280">
              <w:rPr>
                <w:sz w:val="16"/>
                <w:szCs w:val="16"/>
              </w:rPr>
              <w:t>_Bandwidth</w:t>
            </w:r>
          </w:p>
        </w:tc>
        <w:tc>
          <w:tcPr>
            <w:tcW w:w="4448" w:type="dxa"/>
          </w:tcPr>
          <w:p w:rsidR="00F97D54" w:rsidRPr="00F43280" w:rsidRDefault="00F97D54" w:rsidP="00EB5B97">
            <w:pPr>
              <w:rPr>
                <w:sz w:val="16"/>
                <w:szCs w:val="16"/>
              </w:rPr>
            </w:pPr>
            <w:r w:rsidRPr="00F43280">
              <w:rPr>
                <w:sz w:val="16"/>
                <w:szCs w:val="16"/>
              </w:rPr>
              <w:t xml:space="preserve">If a </w:t>
            </w:r>
            <w:r w:rsidRPr="005C0C31">
              <w:rPr>
                <w:i/>
                <w:sz w:val="16"/>
                <w:szCs w:val="16"/>
              </w:rPr>
              <w:t>PBDS</w:t>
            </w:r>
            <w:r w:rsidRPr="00F43280">
              <w:rPr>
                <w:sz w:val="16"/>
                <w:szCs w:val="16"/>
              </w:rPr>
              <w:t xml:space="preserve"> circuit, indicate the </w:t>
            </w:r>
            <w:r>
              <w:rPr>
                <w:sz w:val="16"/>
                <w:szCs w:val="16"/>
              </w:rPr>
              <w:t xml:space="preserve">one-direction </w:t>
            </w:r>
            <w:r w:rsidRPr="00F43280">
              <w:rPr>
                <w:sz w:val="16"/>
                <w:szCs w:val="16"/>
              </w:rPr>
              <w:t xml:space="preserve">bandwidth of </w:t>
            </w:r>
            <w:r>
              <w:rPr>
                <w:sz w:val="16"/>
                <w:szCs w:val="16"/>
              </w:rPr>
              <w:t>a non-symmetric</w:t>
            </w:r>
            <w:r w:rsidRPr="00F43280">
              <w:rPr>
                <w:sz w:val="16"/>
                <w:szCs w:val="16"/>
              </w:rPr>
              <w:t xml:space="preserve"> circuit </w:t>
            </w:r>
            <w:r>
              <w:rPr>
                <w:sz w:val="16"/>
                <w:szCs w:val="16"/>
              </w:rPr>
              <w:t xml:space="preserve">or the average one-direction bandwidth of a non-symmetric circuit </w:t>
            </w:r>
            <w:r w:rsidRPr="00F43280">
              <w:rPr>
                <w:sz w:val="16"/>
                <w:szCs w:val="16"/>
              </w:rPr>
              <w:t>in Mbps.</w:t>
            </w:r>
          </w:p>
        </w:tc>
        <w:tc>
          <w:tcPr>
            <w:tcW w:w="1080" w:type="dxa"/>
          </w:tcPr>
          <w:p w:rsidR="00F97D54" w:rsidRPr="00F43280" w:rsidRDefault="00F97D54" w:rsidP="00EB5B97">
            <w:pPr>
              <w:rPr>
                <w:sz w:val="16"/>
                <w:szCs w:val="16"/>
              </w:rPr>
            </w:pPr>
            <w:r>
              <w:rPr>
                <w:sz w:val="16"/>
                <w:szCs w:val="16"/>
              </w:rPr>
              <w:t>Float</w:t>
            </w:r>
          </w:p>
        </w:tc>
        <w:tc>
          <w:tcPr>
            <w:tcW w:w="1529" w:type="dxa"/>
          </w:tcPr>
          <w:p w:rsidR="00F97D54" w:rsidRPr="00F43280" w:rsidRDefault="00F97D54" w:rsidP="00EB5B97">
            <w:pPr>
              <w:rPr>
                <w:sz w:val="16"/>
                <w:szCs w:val="16"/>
              </w:rPr>
            </w:pPr>
            <w:r>
              <w:rPr>
                <w:sz w:val="16"/>
                <w:szCs w:val="16"/>
              </w:rPr>
              <w:t>75</w:t>
            </w:r>
          </w:p>
        </w:tc>
      </w:tr>
      <w:tr w:rsidR="00F97D54" w:rsidRPr="00F43280" w:rsidTr="00EB5B97">
        <w:trPr>
          <w:trHeight w:val="432"/>
        </w:trPr>
        <w:tc>
          <w:tcPr>
            <w:tcW w:w="1781" w:type="dxa"/>
          </w:tcPr>
          <w:p w:rsidR="00F97D54" w:rsidRPr="00F43280" w:rsidRDefault="00F97D54" w:rsidP="00EB5B97">
            <w:pPr>
              <w:tabs>
                <w:tab w:val="left" w:pos="2022"/>
              </w:tabs>
              <w:rPr>
                <w:sz w:val="16"/>
                <w:szCs w:val="16"/>
              </w:rPr>
            </w:pPr>
            <w:r w:rsidRPr="00F43280">
              <w:rPr>
                <w:sz w:val="16"/>
                <w:szCs w:val="16"/>
              </w:rPr>
              <w:t>MRP1</w:t>
            </w:r>
          </w:p>
        </w:tc>
        <w:tc>
          <w:tcPr>
            <w:tcW w:w="4448" w:type="dxa"/>
          </w:tcPr>
          <w:p w:rsidR="00F97D54" w:rsidRPr="00F43280" w:rsidRDefault="00F97D54" w:rsidP="00EB5B97">
            <w:pPr>
              <w:rPr>
                <w:sz w:val="16"/>
                <w:szCs w:val="16"/>
              </w:rPr>
            </w:pPr>
            <w:r w:rsidRPr="00F43280">
              <w:rPr>
                <w:sz w:val="16"/>
                <w:szCs w:val="16"/>
              </w:rPr>
              <w:t>Serving wire center / mileage rating point CLLI for one end of the circuit</w:t>
            </w:r>
          </w:p>
        </w:tc>
        <w:tc>
          <w:tcPr>
            <w:tcW w:w="1080" w:type="dxa"/>
          </w:tcPr>
          <w:p w:rsidR="00F97D54" w:rsidRPr="00F43280" w:rsidRDefault="00F97D54" w:rsidP="00EB5B97">
            <w:pPr>
              <w:rPr>
                <w:sz w:val="16"/>
                <w:szCs w:val="16"/>
              </w:rPr>
            </w:pPr>
            <w:r w:rsidRPr="00F43280">
              <w:rPr>
                <w:sz w:val="16"/>
                <w:szCs w:val="16"/>
              </w:rPr>
              <w:t>Text</w:t>
            </w:r>
          </w:p>
        </w:tc>
        <w:tc>
          <w:tcPr>
            <w:tcW w:w="1529" w:type="dxa"/>
          </w:tcPr>
          <w:p w:rsidR="00F97D54" w:rsidRPr="00F43280" w:rsidRDefault="00F97D54" w:rsidP="00EB5B97">
            <w:pPr>
              <w:rPr>
                <w:sz w:val="16"/>
                <w:szCs w:val="16"/>
              </w:rPr>
            </w:pPr>
            <w:r w:rsidRPr="00F43280">
              <w:rPr>
                <w:sz w:val="16"/>
                <w:szCs w:val="16"/>
              </w:rPr>
              <w:t xml:space="preserve">CHCGILCL </w:t>
            </w:r>
          </w:p>
        </w:tc>
      </w:tr>
      <w:tr w:rsidR="00F97D54" w:rsidRPr="00F43280" w:rsidTr="00EB5B97">
        <w:trPr>
          <w:trHeight w:val="432"/>
        </w:trPr>
        <w:tc>
          <w:tcPr>
            <w:tcW w:w="1781" w:type="dxa"/>
          </w:tcPr>
          <w:p w:rsidR="00F97D54" w:rsidRPr="00F43280" w:rsidRDefault="00F97D54" w:rsidP="00EB5B97">
            <w:pPr>
              <w:tabs>
                <w:tab w:val="left" w:pos="2022"/>
              </w:tabs>
              <w:rPr>
                <w:sz w:val="16"/>
                <w:szCs w:val="16"/>
              </w:rPr>
            </w:pPr>
            <w:r w:rsidRPr="00F43280">
              <w:rPr>
                <w:sz w:val="16"/>
                <w:szCs w:val="16"/>
              </w:rPr>
              <w:t>MRP2</w:t>
            </w:r>
          </w:p>
        </w:tc>
        <w:tc>
          <w:tcPr>
            <w:tcW w:w="4448" w:type="dxa"/>
          </w:tcPr>
          <w:p w:rsidR="00F97D54" w:rsidRPr="00F43280" w:rsidRDefault="00F97D54" w:rsidP="00EB5B97">
            <w:pPr>
              <w:rPr>
                <w:sz w:val="16"/>
                <w:szCs w:val="16"/>
              </w:rPr>
            </w:pPr>
            <w:r w:rsidRPr="00F43280">
              <w:rPr>
                <w:sz w:val="16"/>
                <w:szCs w:val="16"/>
              </w:rPr>
              <w:t>Serving wire center / mileage rating point CLLI for the other end of the circuit</w:t>
            </w:r>
          </w:p>
        </w:tc>
        <w:tc>
          <w:tcPr>
            <w:tcW w:w="1080" w:type="dxa"/>
          </w:tcPr>
          <w:p w:rsidR="00F97D54" w:rsidRPr="00F43280" w:rsidRDefault="00F97D54" w:rsidP="00EB5B97">
            <w:pPr>
              <w:rPr>
                <w:sz w:val="16"/>
                <w:szCs w:val="16"/>
              </w:rPr>
            </w:pPr>
            <w:r w:rsidRPr="00F43280">
              <w:rPr>
                <w:sz w:val="16"/>
                <w:szCs w:val="16"/>
              </w:rPr>
              <w:t>Text</w:t>
            </w:r>
          </w:p>
        </w:tc>
        <w:tc>
          <w:tcPr>
            <w:tcW w:w="1529" w:type="dxa"/>
          </w:tcPr>
          <w:p w:rsidR="00F97D54" w:rsidRPr="00F43280" w:rsidRDefault="00F97D54" w:rsidP="00EB5B97">
            <w:pPr>
              <w:rPr>
                <w:sz w:val="16"/>
                <w:szCs w:val="16"/>
              </w:rPr>
            </w:pPr>
            <w:r w:rsidRPr="00F43280">
              <w:rPr>
                <w:sz w:val="16"/>
                <w:szCs w:val="16"/>
              </w:rPr>
              <w:t>JOLTILJO</w:t>
            </w:r>
          </w:p>
        </w:tc>
      </w:tr>
      <w:tr w:rsidR="00F97D54" w:rsidRPr="00F43280" w:rsidTr="00EB5B97">
        <w:trPr>
          <w:trHeight w:val="288"/>
        </w:trPr>
        <w:tc>
          <w:tcPr>
            <w:tcW w:w="1781" w:type="dxa"/>
          </w:tcPr>
          <w:p w:rsidR="00F97D54" w:rsidRPr="00F43280" w:rsidRDefault="00F97D54" w:rsidP="00EB5B97">
            <w:pPr>
              <w:tabs>
                <w:tab w:val="left" w:pos="2022"/>
              </w:tabs>
              <w:rPr>
                <w:sz w:val="16"/>
                <w:szCs w:val="16"/>
              </w:rPr>
            </w:pPr>
            <w:r w:rsidRPr="00F43280">
              <w:rPr>
                <w:sz w:val="16"/>
                <w:szCs w:val="16"/>
              </w:rPr>
              <w:t>MRP1_Lat</w:t>
            </w:r>
          </w:p>
        </w:tc>
        <w:tc>
          <w:tcPr>
            <w:tcW w:w="4448" w:type="dxa"/>
          </w:tcPr>
          <w:p w:rsidR="00F97D54" w:rsidRPr="00F43280" w:rsidRDefault="00F97D54" w:rsidP="00EB5B97">
            <w:pPr>
              <w:rPr>
                <w:sz w:val="16"/>
                <w:szCs w:val="16"/>
              </w:rPr>
            </w:pPr>
            <w:r w:rsidRPr="00F43280">
              <w:rPr>
                <w:sz w:val="16"/>
                <w:szCs w:val="16"/>
              </w:rPr>
              <w:t>Latitude of MRP1</w:t>
            </w:r>
          </w:p>
        </w:tc>
        <w:tc>
          <w:tcPr>
            <w:tcW w:w="1080" w:type="dxa"/>
          </w:tcPr>
          <w:p w:rsidR="00F97D54" w:rsidRPr="00F43280" w:rsidRDefault="00F97D54" w:rsidP="00EB5B97">
            <w:pPr>
              <w:rPr>
                <w:sz w:val="16"/>
                <w:szCs w:val="16"/>
              </w:rPr>
            </w:pPr>
            <w:r w:rsidRPr="00F43280">
              <w:rPr>
                <w:sz w:val="16"/>
                <w:szCs w:val="16"/>
              </w:rPr>
              <w:t>Float</w:t>
            </w:r>
          </w:p>
        </w:tc>
        <w:tc>
          <w:tcPr>
            <w:tcW w:w="1529" w:type="dxa"/>
          </w:tcPr>
          <w:p w:rsidR="00F97D54" w:rsidRDefault="00F97D54" w:rsidP="00EB5B97">
            <w:pPr>
              <w:rPr>
                <w:sz w:val="16"/>
                <w:szCs w:val="16"/>
              </w:rPr>
            </w:pPr>
            <w:r>
              <w:rPr>
                <w:sz w:val="16"/>
                <w:szCs w:val="16"/>
              </w:rPr>
              <w:t>38.8835</w:t>
            </w:r>
          </w:p>
        </w:tc>
      </w:tr>
      <w:tr w:rsidR="00F97D54" w:rsidRPr="00F43280" w:rsidTr="00EB5B97">
        <w:trPr>
          <w:trHeight w:val="288"/>
        </w:trPr>
        <w:tc>
          <w:tcPr>
            <w:tcW w:w="1781" w:type="dxa"/>
          </w:tcPr>
          <w:p w:rsidR="00F97D54" w:rsidRPr="00F43280" w:rsidRDefault="00F97D54" w:rsidP="00EB5B97">
            <w:pPr>
              <w:tabs>
                <w:tab w:val="left" w:pos="2022"/>
              </w:tabs>
              <w:rPr>
                <w:sz w:val="16"/>
                <w:szCs w:val="16"/>
              </w:rPr>
            </w:pPr>
            <w:r w:rsidRPr="00F43280">
              <w:rPr>
                <w:sz w:val="16"/>
                <w:szCs w:val="16"/>
              </w:rPr>
              <w:t>MRP1_Long</w:t>
            </w:r>
          </w:p>
        </w:tc>
        <w:tc>
          <w:tcPr>
            <w:tcW w:w="4448" w:type="dxa"/>
          </w:tcPr>
          <w:p w:rsidR="00F97D54" w:rsidRPr="00F43280" w:rsidRDefault="00F97D54" w:rsidP="00EB5B97">
            <w:pPr>
              <w:rPr>
                <w:sz w:val="16"/>
                <w:szCs w:val="16"/>
              </w:rPr>
            </w:pPr>
            <w:r w:rsidRPr="00F43280">
              <w:rPr>
                <w:sz w:val="16"/>
                <w:szCs w:val="16"/>
              </w:rPr>
              <w:t>Longitude of MRP1</w:t>
            </w:r>
          </w:p>
        </w:tc>
        <w:tc>
          <w:tcPr>
            <w:tcW w:w="1080" w:type="dxa"/>
          </w:tcPr>
          <w:p w:rsidR="00F97D54" w:rsidRPr="00F43280" w:rsidRDefault="00F97D54" w:rsidP="00EB5B97">
            <w:pPr>
              <w:rPr>
                <w:sz w:val="16"/>
                <w:szCs w:val="16"/>
              </w:rPr>
            </w:pPr>
            <w:r w:rsidRPr="00F43280">
              <w:rPr>
                <w:sz w:val="16"/>
                <w:szCs w:val="16"/>
              </w:rPr>
              <w:t>Float</w:t>
            </w:r>
          </w:p>
        </w:tc>
        <w:tc>
          <w:tcPr>
            <w:tcW w:w="1529" w:type="dxa"/>
          </w:tcPr>
          <w:p w:rsidR="00F97D54" w:rsidRDefault="00F97D54" w:rsidP="00EB5B97">
            <w:pPr>
              <w:rPr>
                <w:sz w:val="16"/>
                <w:szCs w:val="16"/>
              </w:rPr>
            </w:pPr>
            <w:r>
              <w:rPr>
                <w:sz w:val="16"/>
                <w:szCs w:val="16"/>
              </w:rPr>
              <w:t>-77.0280</w:t>
            </w:r>
          </w:p>
        </w:tc>
      </w:tr>
      <w:tr w:rsidR="00F97D54" w:rsidRPr="00F43280" w:rsidTr="00EB5B97">
        <w:trPr>
          <w:trHeight w:val="288"/>
        </w:trPr>
        <w:tc>
          <w:tcPr>
            <w:tcW w:w="1781" w:type="dxa"/>
          </w:tcPr>
          <w:p w:rsidR="00F97D54" w:rsidRPr="00F43280" w:rsidRDefault="00F97D54" w:rsidP="00EB5B97">
            <w:pPr>
              <w:tabs>
                <w:tab w:val="left" w:pos="2022"/>
              </w:tabs>
              <w:rPr>
                <w:sz w:val="16"/>
                <w:szCs w:val="16"/>
              </w:rPr>
            </w:pPr>
            <w:r w:rsidRPr="00F43280">
              <w:rPr>
                <w:sz w:val="16"/>
                <w:szCs w:val="16"/>
              </w:rPr>
              <w:t>MRP2_Lat</w:t>
            </w:r>
          </w:p>
        </w:tc>
        <w:tc>
          <w:tcPr>
            <w:tcW w:w="4448" w:type="dxa"/>
          </w:tcPr>
          <w:p w:rsidR="00F97D54" w:rsidRPr="00F43280" w:rsidRDefault="00F97D54" w:rsidP="00EB5B97">
            <w:pPr>
              <w:rPr>
                <w:sz w:val="16"/>
                <w:szCs w:val="16"/>
              </w:rPr>
            </w:pPr>
            <w:r w:rsidRPr="00F43280">
              <w:rPr>
                <w:sz w:val="16"/>
                <w:szCs w:val="16"/>
              </w:rPr>
              <w:t>Latitude of MRP2</w:t>
            </w:r>
          </w:p>
        </w:tc>
        <w:tc>
          <w:tcPr>
            <w:tcW w:w="1080" w:type="dxa"/>
          </w:tcPr>
          <w:p w:rsidR="00F97D54" w:rsidRPr="00F43280" w:rsidRDefault="00F97D54" w:rsidP="00EB5B97">
            <w:pPr>
              <w:rPr>
                <w:sz w:val="16"/>
                <w:szCs w:val="16"/>
              </w:rPr>
            </w:pPr>
            <w:r w:rsidRPr="00F43280">
              <w:rPr>
                <w:sz w:val="16"/>
                <w:szCs w:val="16"/>
              </w:rPr>
              <w:t>Float</w:t>
            </w:r>
          </w:p>
        </w:tc>
        <w:tc>
          <w:tcPr>
            <w:tcW w:w="1529" w:type="dxa"/>
          </w:tcPr>
          <w:p w:rsidR="00F97D54" w:rsidRDefault="00F97D54" w:rsidP="00EB5B97">
            <w:pPr>
              <w:rPr>
                <w:sz w:val="16"/>
                <w:szCs w:val="16"/>
              </w:rPr>
            </w:pPr>
            <w:r>
              <w:rPr>
                <w:sz w:val="16"/>
                <w:szCs w:val="16"/>
              </w:rPr>
              <w:t>38.8835</w:t>
            </w:r>
          </w:p>
        </w:tc>
      </w:tr>
      <w:tr w:rsidR="00F97D54" w:rsidRPr="00F43280" w:rsidTr="00EB5B97">
        <w:trPr>
          <w:trHeight w:val="288"/>
        </w:trPr>
        <w:tc>
          <w:tcPr>
            <w:tcW w:w="1781" w:type="dxa"/>
          </w:tcPr>
          <w:p w:rsidR="00F97D54" w:rsidRPr="00F43280" w:rsidRDefault="00F97D54" w:rsidP="00EB5B97">
            <w:pPr>
              <w:tabs>
                <w:tab w:val="left" w:pos="2022"/>
              </w:tabs>
              <w:rPr>
                <w:sz w:val="16"/>
                <w:szCs w:val="16"/>
              </w:rPr>
            </w:pPr>
            <w:r w:rsidRPr="00F43280">
              <w:rPr>
                <w:sz w:val="16"/>
                <w:szCs w:val="16"/>
              </w:rPr>
              <w:t>MRP2_Long</w:t>
            </w:r>
          </w:p>
        </w:tc>
        <w:tc>
          <w:tcPr>
            <w:tcW w:w="4448" w:type="dxa"/>
          </w:tcPr>
          <w:p w:rsidR="00F97D54" w:rsidRPr="00F43280" w:rsidRDefault="00F97D54" w:rsidP="00EB5B97">
            <w:pPr>
              <w:rPr>
                <w:sz w:val="16"/>
                <w:szCs w:val="16"/>
              </w:rPr>
            </w:pPr>
            <w:r w:rsidRPr="00F43280">
              <w:rPr>
                <w:sz w:val="16"/>
                <w:szCs w:val="16"/>
              </w:rPr>
              <w:t>Longitude of MRP2</w:t>
            </w:r>
          </w:p>
        </w:tc>
        <w:tc>
          <w:tcPr>
            <w:tcW w:w="1080" w:type="dxa"/>
          </w:tcPr>
          <w:p w:rsidR="00F97D54" w:rsidRPr="00F43280" w:rsidRDefault="00F97D54" w:rsidP="00EB5B97">
            <w:pPr>
              <w:rPr>
                <w:sz w:val="16"/>
                <w:szCs w:val="16"/>
              </w:rPr>
            </w:pPr>
            <w:r w:rsidRPr="00F43280">
              <w:rPr>
                <w:sz w:val="16"/>
                <w:szCs w:val="16"/>
              </w:rPr>
              <w:t>Float</w:t>
            </w:r>
          </w:p>
        </w:tc>
        <w:tc>
          <w:tcPr>
            <w:tcW w:w="1529" w:type="dxa"/>
          </w:tcPr>
          <w:p w:rsidR="00F97D54" w:rsidRDefault="00F97D54" w:rsidP="00EB5B97">
            <w:pPr>
              <w:rPr>
                <w:sz w:val="16"/>
                <w:szCs w:val="16"/>
              </w:rPr>
            </w:pPr>
            <w:r>
              <w:rPr>
                <w:sz w:val="16"/>
                <w:szCs w:val="16"/>
              </w:rPr>
              <w:t>-77.0280</w:t>
            </w:r>
          </w:p>
        </w:tc>
      </w:tr>
      <w:tr w:rsidR="00F97D54" w:rsidRPr="00F43280" w:rsidTr="00EB5B97">
        <w:trPr>
          <w:trHeight w:val="612"/>
        </w:trPr>
        <w:tc>
          <w:tcPr>
            <w:tcW w:w="1781" w:type="dxa"/>
          </w:tcPr>
          <w:p w:rsidR="00F97D54" w:rsidRPr="00F43280" w:rsidRDefault="00F97D54" w:rsidP="00EB5B97">
            <w:pPr>
              <w:tabs>
                <w:tab w:val="left" w:pos="2022"/>
              </w:tabs>
              <w:rPr>
                <w:sz w:val="16"/>
                <w:szCs w:val="16"/>
              </w:rPr>
            </w:pPr>
            <w:r w:rsidRPr="00F43280">
              <w:rPr>
                <w:sz w:val="16"/>
                <w:szCs w:val="16"/>
              </w:rPr>
              <w:t>MRP_Type</w:t>
            </w:r>
          </w:p>
        </w:tc>
        <w:tc>
          <w:tcPr>
            <w:tcW w:w="4448" w:type="dxa"/>
          </w:tcPr>
          <w:p w:rsidR="00F97D54" w:rsidRPr="00F43280" w:rsidRDefault="00F97D54" w:rsidP="00EB5B97">
            <w:pPr>
              <w:rPr>
                <w:sz w:val="16"/>
                <w:szCs w:val="16"/>
              </w:rPr>
            </w:pPr>
            <w:r w:rsidRPr="00F43280">
              <w:rPr>
                <w:sz w:val="16"/>
                <w:szCs w:val="16"/>
              </w:rPr>
              <w:t xml:space="preserve">End of the circuit (1=MRP1 or 2=MRP2) associated with this </w:t>
            </w:r>
            <w:r>
              <w:rPr>
                <w:sz w:val="16"/>
                <w:szCs w:val="16"/>
              </w:rPr>
              <w:t>circuit</w:t>
            </w:r>
            <w:r w:rsidRPr="00F43280">
              <w:rPr>
                <w:sz w:val="16"/>
                <w:szCs w:val="16"/>
              </w:rPr>
              <w:t xml:space="preserve"> element.  Enter 0 if the </w:t>
            </w:r>
            <w:r>
              <w:rPr>
                <w:sz w:val="16"/>
                <w:szCs w:val="16"/>
              </w:rPr>
              <w:t>circuit</w:t>
            </w:r>
            <w:r w:rsidRPr="00F43280">
              <w:rPr>
                <w:sz w:val="16"/>
                <w:szCs w:val="16"/>
              </w:rPr>
              <w:t xml:space="preserve"> element cannot be attributed to </w:t>
            </w:r>
            <w:r>
              <w:rPr>
                <w:sz w:val="16"/>
                <w:szCs w:val="16"/>
              </w:rPr>
              <w:t>either MRP or the circuit element can be attributed to both ends of the MRP</w:t>
            </w:r>
            <w:r w:rsidRPr="00F43280">
              <w:rPr>
                <w:sz w:val="16"/>
                <w:szCs w:val="16"/>
              </w:rPr>
              <w:t>.</w:t>
            </w:r>
            <w:r>
              <w:rPr>
                <w:sz w:val="16"/>
                <w:szCs w:val="16"/>
              </w:rPr>
              <w:t xml:space="preserve">  All channel terminations must be attributed to one of the two MRPs</w:t>
            </w:r>
          </w:p>
        </w:tc>
        <w:tc>
          <w:tcPr>
            <w:tcW w:w="1080" w:type="dxa"/>
          </w:tcPr>
          <w:p w:rsidR="00F97D54" w:rsidRPr="00F43280" w:rsidRDefault="00F97D54" w:rsidP="00EB5B97">
            <w:pPr>
              <w:rPr>
                <w:sz w:val="16"/>
                <w:szCs w:val="16"/>
              </w:rPr>
            </w:pPr>
            <w:r w:rsidRPr="00F43280">
              <w:rPr>
                <w:sz w:val="16"/>
                <w:szCs w:val="16"/>
              </w:rPr>
              <w:t>Integer</w:t>
            </w:r>
          </w:p>
        </w:tc>
        <w:tc>
          <w:tcPr>
            <w:tcW w:w="1529" w:type="dxa"/>
          </w:tcPr>
          <w:p w:rsidR="00F97D54" w:rsidRPr="00F43280" w:rsidRDefault="00F97D54" w:rsidP="00EB5B97">
            <w:pPr>
              <w:rPr>
                <w:sz w:val="16"/>
                <w:szCs w:val="16"/>
              </w:rPr>
            </w:pPr>
            <w:r w:rsidRPr="00F43280">
              <w:rPr>
                <w:sz w:val="16"/>
                <w:szCs w:val="16"/>
              </w:rPr>
              <w:t>0</w:t>
            </w:r>
          </w:p>
        </w:tc>
      </w:tr>
      <w:tr w:rsidR="00F97D54" w:rsidRPr="00F43280" w:rsidTr="00EB5B97">
        <w:trPr>
          <w:trHeight w:val="423"/>
        </w:trPr>
        <w:tc>
          <w:tcPr>
            <w:tcW w:w="1781" w:type="dxa"/>
          </w:tcPr>
          <w:p w:rsidR="00F97D54" w:rsidRPr="00F43280" w:rsidRDefault="00F97D54" w:rsidP="00EB5B97">
            <w:pPr>
              <w:tabs>
                <w:tab w:val="left" w:pos="2022"/>
              </w:tabs>
              <w:rPr>
                <w:sz w:val="16"/>
                <w:szCs w:val="16"/>
              </w:rPr>
            </w:pPr>
            <w:r>
              <w:rPr>
                <w:sz w:val="16"/>
                <w:szCs w:val="16"/>
              </w:rPr>
              <w:t>Billing</w:t>
            </w:r>
            <w:r w:rsidRPr="00F43280">
              <w:rPr>
                <w:sz w:val="16"/>
                <w:szCs w:val="16"/>
              </w:rPr>
              <w:t>_Code</w:t>
            </w:r>
          </w:p>
        </w:tc>
        <w:tc>
          <w:tcPr>
            <w:tcW w:w="4448" w:type="dxa"/>
          </w:tcPr>
          <w:p w:rsidR="00F97D54" w:rsidRPr="00F43280" w:rsidRDefault="00F97D54" w:rsidP="00EB5B97">
            <w:pPr>
              <w:rPr>
                <w:sz w:val="16"/>
                <w:szCs w:val="16"/>
              </w:rPr>
            </w:pPr>
            <w:r w:rsidRPr="00F43280">
              <w:rPr>
                <w:sz w:val="16"/>
                <w:szCs w:val="16"/>
              </w:rPr>
              <w:t xml:space="preserve">Billing </w:t>
            </w:r>
            <w:r>
              <w:rPr>
                <w:sz w:val="16"/>
                <w:szCs w:val="16"/>
              </w:rPr>
              <w:t>code (</w:t>
            </w:r>
            <w:r w:rsidRPr="005C0C31">
              <w:rPr>
                <w:i/>
                <w:sz w:val="16"/>
                <w:szCs w:val="16"/>
              </w:rPr>
              <w:t>e.g.</w:t>
            </w:r>
            <w:r>
              <w:rPr>
                <w:sz w:val="16"/>
                <w:szCs w:val="16"/>
              </w:rPr>
              <w:t>, USOC) used to identify the billed circuit element.  (This variable will also appear in Question II.B.6 and is used to link the billed circuit elements with their descriptions)</w:t>
            </w:r>
          </w:p>
        </w:tc>
        <w:tc>
          <w:tcPr>
            <w:tcW w:w="1080" w:type="dxa"/>
          </w:tcPr>
          <w:p w:rsidR="00F97D54" w:rsidRPr="00F43280" w:rsidRDefault="00F97D54" w:rsidP="00EB5B97">
            <w:pPr>
              <w:rPr>
                <w:sz w:val="16"/>
                <w:szCs w:val="16"/>
              </w:rPr>
            </w:pPr>
            <w:r w:rsidRPr="00F43280">
              <w:rPr>
                <w:sz w:val="16"/>
                <w:szCs w:val="16"/>
              </w:rPr>
              <w:t>Text</w:t>
            </w:r>
          </w:p>
        </w:tc>
        <w:tc>
          <w:tcPr>
            <w:tcW w:w="1529" w:type="dxa"/>
          </w:tcPr>
          <w:p w:rsidR="00F97D54" w:rsidRPr="00F43280" w:rsidRDefault="00F97D54" w:rsidP="00EB5B97">
            <w:pPr>
              <w:rPr>
                <w:sz w:val="16"/>
                <w:szCs w:val="16"/>
              </w:rPr>
            </w:pPr>
            <w:r w:rsidRPr="00F43280">
              <w:rPr>
                <w:sz w:val="16"/>
                <w:szCs w:val="16"/>
              </w:rPr>
              <w:t>1YZXD</w:t>
            </w:r>
          </w:p>
        </w:tc>
      </w:tr>
      <w:tr w:rsidR="00F97D54" w:rsidRPr="00F43280" w:rsidTr="00EB5B97">
        <w:trPr>
          <w:cantSplit/>
          <w:trHeight w:val="450"/>
        </w:trPr>
        <w:tc>
          <w:tcPr>
            <w:tcW w:w="1781" w:type="dxa"/>
          </w:tcPr>
          <w:p w:rsidR="00F97D54" w:rsidRPr="00F43280" w:rsidRDefault="00F97D54" w:rsidP="00EB5B97">
            <w:pPr>
              <w:tabs>
                <w:tab w:val="left" w:pos="2022"/>
              </w:tabs>
              <w:rPr>
                <w:sz w:val="16"/>
                <w:szCs w:val="16"/>
              </w:rPr>
            </w:pPr>
            <w:r w:rsidRPr="00F43280">
              <w:rPr>
                <w:sz w:val="16"/>
                <w:szCs w:val="16"/>
              </w:rPr>
              <w:t>Zone</w:t>
            </w:r>
          </w:p>
        </w:tc>
        <w:tc>
          <w:tcPr>
            <w:tcW w:w="4448" w:type="dxa"/>
          </w:tcPr>
          <w:p w:rsidR="00F97D54" w:rsidRPr="00F43280" w:rsidRDefault="00F97D54" w:rsidP="00EB5B97">
            <w:pPr>
              <w:rPr>
                <w:sz w:val="16"/>
                <w:szCs w:val="16"/>
              </w:rPr>
            </w:pPr>
            <w:r w:rsidRPr="00F43280">
              <w:rPr>
                <w:sz w:val="16"/>
                <w:szCs w:val="16"/>
              </w:rPr>
              <w:t xml:space="preserve">Density pricing zone for the </w:t>
            </w:r>
            <w:r>
              <w:rPr>
                <w:sz w:val="16"/>
                <w:szCs w:val="16"/>
              </w:rPr>
              <w:t>circuit</w:t>
            </w:r>
            <w:r w:rsidRPr="00F43280">
              <w:rPr>
                <w:sz w:val="16"/>
                <w:szCs w:val="16"/>
              </w:rPr>
              <w:t xml:space="preserve"> element</w:t>
            </w:r>
            <w:r>
              <w:rPr>
                <w:sz w:val="16"/>
                <w:szCs w:val="16"/>
              </w:rPr>
              <w:t>.  See 47 C.F.R. § 69.123</w:t>
            </w:r>
            <w:r w:rsidRPr="00F43280">
              <w:rPr>
                <w:sz w:val="16"/>
                <w:szCs w:val="16"/>
              </w:rPr>
              <w:t xml:space="preserve"> (If not applicable, </w:t>
            </w:r>
            <w:r>
              <w:rPr>
                <w:sz w:val="16"/>
                <w:szCs w:val="16"/>
              </w:rPr>
              <w:t>leave field blank</w:t>
            </w:r>
            <w:r w:rsidRPr="00F43280">
              <w:rPr>
                <w:sz w:val="16"/>
                <w:szCs w:val="16"/>
              </w:rPr>
              <w:t>)</w:t>
            </w:r>
          </w:p>
        </w:tc>
        <w:tc>
          <w:tcPr>
            <w:tcW w:w="1080" w:type="dxa"/>
          </w:tcPr>
          <w:p w:rsidR="00F97D54" w:rsidRPr="00F43280" w:rsidRDefault="00F97D54" w:rsidP="00EB5B97">
            <w:pPr>
              <w:rPr>
                <w:sz w:val="16"/>
                <w:szCs w:val="16"/>
              </w:rPr>
            </w:pPr>
            <w:r w:rsidRPr="00F43280">
              <w:rPr>
                <w:sz w:val="16"/>
                <w:szCs w:val="16"/>
              </w:rPr>
              <w:t>Integer</w:t>
            </w:r>
          </w:p>
        </w:tc>
        <w:tc>
          <w:tcPr>
            <w:tcW w:w="1529" w:type="dxa"/>
          </w:tcPr>
          <w:p w:rsidR="00F97D54" w:rsidRPr="00F43280" w:rsidRDefault="00F97D54" w:rsidP="00EB5B97">
            <w:pPr>
              <w:rPr>
                <w:sz w:val="16"/>
                <w:szCs w:val="16"/>
              </w:rPr>
            </w:pPr>
            <w:r w:rsidRPr="00F43280">
              <w:rPr>
                <w:sz w:val="16"/>
                <w:szCs w:val="16"/>
              </w:rPr>
              <w:t>4</w:t>
            </w:r>
          </w:p>
        </w:tc>
      </w:tr>
      <w:tr w:rsidR="00F97D54" w:rsidRPr="00F43280" w:rsidTr="00EB5B97">
        <w:trPr>
          <w:cantSplit/>
          <w:trHeight w:val="540"/>
        </w:trPr>
        <w:tc>
          <w:tcPr>
            <w:tcW w:w="1781" w:type="dxa"/>
          </w:tcPr>
          <w:p w:rsidR="00F97D54" w:rsidRPr="00F43280" w:rsidRDefault="00F97D54" w:rsidP="00EB5B97">
            <w:pPr>
              <w:tabs>
                <w:tab w:val="left" w:pos="2022"/>
              </w:tabs>
              <w:rPr>
                <w:sz w:val="16"/>
                <w:szCs w:val="16"/>
              </w:rPr>
            </w:pPr>
            <w:r w:rsidRPr="00F43280">
              <w:rPr>
                <w:sz w:val="16"/>
                <w:szCs w:val="16"/>
              </w:rPr>
              <w:t>Quantity</w:t>
            </w:r>
          </w:p>
        </w:tc>
        <w:tc>
          <w:tcPr>
            <w:tcW w:w="4448" w:type="dxa"/>
          </w:tcPr>
          <w:p w:rsidR="00F97D54" w:rsidRPr="00F43280" w:rsidRDefault="00F97D54" w:rsidP="00EB5B97">
            <w:pPr>
              <w:rPr>
                <w:sz w:val="16"/>
                <w:szCs w:val="16"/>
              </w:rPr>
            </w:pPr>
            <w:r w:rsidRPr="00F43280">
              <w:rPr>
                <w:sz w:val="16"/>
                <w:szCs w:val="16"/>
              </w:rPr>
              <w:t xml:space="preserve">Number of billed units for this </w:t>
            </w:r>
            <w:r>
              <w:rPr>
                <w:sz w:val="16"/>
                <w:szCs w:val="16"/>
              </w:rPr>
              <w:t>circuit</w:t>
            </w:r>
            <w:r w:rsidRPr="00F43280">
              <w:rPr>
                <w:sz w:val="16"/>
                <w:szCs w:val="16"/>
              </w:rPr>
              <w:t xml:space="preserve"> element.  </w:t>
            </w:r>
            <w:r>
              <w:rPr>
                <w:sz w:val="16"/>
                <w:szCs w:val="16"/>
              </w:rPr>
              <w:t>Do not enter</w:t>
            </w:r>
            <w:r w:rsidRPr="00F43280">
              <w:rPr>
                <w:sz w:val="16"/>
                <w:szCs w:val="16"/>
              </w:rPr>
              <w:t xml:space="preserve"> the bandwidth of the circuit</w:t>
            </w:r>
            <w:r>
              <w:rPr>
                <w:sz w:val="16"/>
                <w:szCs w:val="16"/>
              </w:rPr>
              <w:t xml:space="preserve"> in this field</w:t>
            </w:r>
            <w:r w:rsidRPr="00F43280">
              <w:rPr>
                <w:sz w:val="16"/>
                <w:szCs w:val="16"/>
              </w:rPr>
              <w:t>.</w:t>
            </w:r>
          </w:p>
        </w:tc>
        <w:tc>
          <w:tcPr>
            <w:tcW w:w="1080" w:type="dxa"/>
          </w:tcPr>
          <w:p w:rsidR="00F97D54" w:rsidRPr="00F43280" w:rsidRDefault="00F97D54" w:rsidP="00EB5B97">
            <w:pPr>
              <w:rPr>
                <w:sz w:val="16"/>
                <w:szCs w:val="16"/>
              </w:rPr>
            </w:pPr>
            <w:r>
              <w:rPr>
                <w:sz w:val="16"/>
                <w:szCs w:val="16"/>
              </w:rPr>
              <w:t>Float</w:t>
            </w:r>
          </w:p>
        </w:tc>
        <w:tc>
          <w:tcPr>
            <w:tcW w:w="1529" w:type="dxa"/>
          </w:tcPr>
          <w:p w:rsidR="00F97D54" w:rsidRPr="00F43280" w:rsidRDefault="00F97D54" w:rsidP="00EB5B97">
            <w:pPr>
              <w:rPr>
                <w:sz w:val="16"/>
                <w:szCs w:val="16"/>
              </w:rPr>
            </w:pPr>
            <w:r w:rsidRPr="00F43280">
              <w:rPr>
                <w:sz w:val="16"/>
                <w:szCs w:val="16"/>
              </w:rPr>
              <w:t>34</w:t>
            </w:r>
          </w:p>
        </w:tc>
      </w:tr>
      <w:tr w:rsidR="00F97D54" w:rsidRPr="00F43280" w:rsidTr="00EB5B97">
        <w:trPr>
          <w:cantSplit/>
          <w:trHeight w:val="432"/>
        </w:trPr>
        <w:tc>
          <w:tcPr>
            <w:tcW w:w="1781" w:type="dxa"/>
          </w:tcPr>
          <w:p w:rsidR="00F97D54" w:rsidRPr="00F43280" w:rsidRDefault="00F97D54" w:rsidP="00EB5B97">
            <w:pPr>
              <w:tabs>
                <w:tab w:val="left" w:pos="2022"/>
              </w:tabs>
              <w:rPr>
                <w:sz w:val="16"/>
                <w:szCs w:val="16"/>
              </w:rPr>
            </w:pPr>
            <w:r w:rsidRPr="00F43280">
              <w:rPr>
                <w:sz w:val="16"/>
                <w:szCs w:val="16"/>
              </w:rPr>
              <w:t>Initial_NRC</w:t>
            </w:r>
          </w:p>
        </w:tc>
        <w:tc>
          <w:tcPr>
            <w:tcW w:w="4448" w:type="dxa"/>
          </w:tcPr>
          <w:p w:rsidR="00F97D54" w:rsidRPr="00F43280" w:rsidRDefault="00F97D54" w:rsidP="00EB5B97">
            <w:pPr>
              <w:rPr>
                <w:sz w:val="16"/>
                <w:szCs w:val="16"/>
              </w:rPr>
            </w:pPr>
            <w:r w:rsidRPr="00F43280">
              <w:rPr>
                <w:sz w:val="16"/>
                <w:szCs w:val="16"/>
              </w:rPr>
              <w:t xml:space="preserve">Non-recurring </w:t>
            </w:r>
            <w:r>
              <w:rPr>
                <w:sz w:val="16"/>
                <w:szCs w:val="16"/>
              </w:rPr>
              <w:t>charge (in dollars)</w:t>
            </w:r>
            <w:r w:rsidRPr="00F43280">
              <w:rPr>
                <w:sz w:val="16"/>
                <w:szCs w:val="16"/>
              </w:rPr>
              <w:t xml:space="preserve"> billed for the first unit of this </w:t>
            </w:r>
            <w:r>
              <w:rPr>
                <w:sz w:val="16"/>
                <w:szCs w:val="16"/>
              </w:rPr>
              <w:t>circuit</w:t>
            </w:r>
            <w:r w:rsidRPr="00F43280">
              <w:rPr>
                <w:sz w:val="16"/>
                <w:szCs w:val="16"/>
              </w:rPr>
              <w:t xml:space="preserve"> element</w:t>
            </w:r>
          </w:p>
        </w:tc>
        <w:tc>
          <w:tcPr>
            <w:tcW w:w="1080" w:type="dxa"/>
          </w:tcPr>
          <w:p w:rsidR="00F97D54" w:rsidRPr="00F43280" w:rsidRDefault="00F97D54" w:rsidP="00EB5B97">
            <w:pPr>
              <w:rPr>
                <w:sz w:val="16"/>
                <w:szCs w:val="16"/>
              </w:rPr>
            </w:pPr>
            <w:r w:rsidRPr="00F43280">
              <w:rPr>
                <w:sz w:val="16"/>
                <w:szCs w:val="16"/>
              </w:rPr>
              <w:t>Float</w:t>
            </w:r>
          </w:p>
        </w:tc>
        <w:tc>
          <w:tcPr>
            <w:tcW w:w="1529" w:type="dxa"/>
          </w:tcPr>
          <w:p w:rsidR="00F97D54" w:rsidRPr="00F43280" w:rsidRDefault="00F97D54" w:rsidP="00EB5B97">
            <w:pPr>
              <w:rPr>
                <w:sz w:val="16"/>
                <w:szCs w:val="16"/>
              </w:rPr>
            </w:pPr>
            <w:r w:rsidRPr="00F43280">
              <w:rPr>
                <w:sz w:val="16"/>
                <w:szCs w:val="16"/>
              </w:rPr>
              <w:t>0</w:t>
            </w:r>
          </w:p>
        </w:tc>
      </w:tr>
      <w:tr w:rsidR="00F97D54" w:rsidRPr="00F43280" w:rsidTr="00EB5B97">
        <w:trPr>
          <w:cantSplit/>
          <w:trHeight w:val="432"/>
        </w:trPr>
        <w:tc>
          <w:tcPr>
            <w:tcW w:w="1781" w:type="dxa"/>
          </w:tcPr>
          <w:p w:rsidR="00F97D54" w:rsidRPr="00F43280" w:rsidRDefault="00F97D54" w:rsidP="00EB5B97">
            <w:pPr>
              <w:tabs>
                <w:tab w:val="left" w:pos="2022"/>
              </w:tabs>
              <w:rPr>
                <w:sz w:val="16"/>
                <w:szCs w:val="16"/>
              </w:rPr>
            </w:pPr>
            <w:r w:rsidRPr="00F43280">
              <w:rPr>
                <w:sz w:val="16"/>
                <w:szCs w:val="16"/>
              </w:rPr>
              <w:t>Unit_NRC</w:t>
            </w:r>
          </w:p>
        </w:tc>
        <w:tc>
          <w:tcPr>
            <w:tcW w:w="4448" w:type="dxa"/>
          </w:tcPr>
          <w:p w:rsidR="00F97D54" w:rsidRPr="00F43280" w:rsidRDefault="00F97D54" w:rsidP="00EB5B97">
            <w:pPr>
              <w:rPr>
                <w:sz w:val="16"/>
                <w:szCs w:val="16"/>
              </w:rPr>
            </w:pPr>
            <w:r w:rsidRPr="00F43280">
              <w:rPr>
                <w:sz w:val="16"/>
                <w:szCs w:val="16"/>
              </w:rPr>
              <w:t xml:space="preserve">Non-recurring </w:t>
            </w:r>
            <w:r>
              <w:rPr>
                <w:sz w:val="16"/>
                <w:szCs w:val="16"/>
              </w:rPr>
              <w:t>charge (in dollars)</w:t>
            </w:r>
            <w:r w:rsidRPr="00F43280">
              <w:rPr>
                <w:sz w:val="16"/>
                <w:szCs w:val="16"/>
              </w:rPr>
              <w:t xml:space="preserve"> billed for additional units of this </w:t>
            </w:r>
            <w:r>
              <w:rPr>
                <w:sz w:val="16"/>
                <w:szCs w:val="16"/>
              </w:rPr>
              <w:t>circuit</w:t>
            </w:r>
            <w:r w:rsidRPr="00F43280">
              <w:rPr>
                <w:sz w:val="16"/>
                <w:szCs w:val="16"/>
              </w:rPr>
              <w:t xml:space="preserve"> element</w:t>
            </w:r>
          </w:p>
        </w:tc>
        <w:tc>
          <w:tcPr>
            <w:tcW w:w="1080" w:type="dxa"/>
          </w:tcPr>
          <w:p w:rsidR="00F97D54" w:rsidRPr="00F43280" w:rsidRDefault="00F97D54" w:rsidP="00EB5B97">
            <w:pPr>
              <w:rPr>
                <w:sz w:val="16"/>
                <w:szCs w:val="16"/>
              </w:rPr>
            </w:pPr>
            <w:r w:rsidRPr="00F43280">
              <w:rPr>
                <w:sz w:val="16"/>
                <w:szCs w:val="16"/>
              </w:rPr>
              <w:t>Float</w:t>
            </w:r>
          </w:p>
        </w:tc>
        <w:tc>
          <w:tcPr>
            <w:tcW w:w="1529" w:type="dxa"/>
          </w:tcPr>
          <w:p w:rsidR="00F97D54" w:rsidRPr="00F43280" w:rsidRDefault="00F97D54" w:rsidP="00EB5B97">
            <w:pPr>
              <w:rPr>
                <w:sz w:val="16"/>
                <w:szCs w:val="16"/>
              </w:rPr>
            </w:pPr>
            <w:r w:rsidRPr="00F43280">
              <w:rPr>
                <w:sz w:val="16"/>
                <w:szCs w:val="16"/>
              </w:rPr>
              <w:t>0</w:t>
            </w:r>
          </w:p>
        </w:tc>
      </w:tr>
      <w:tr w:rsidR="00F97D54" w:rsidRPr="00F43280" w:rsidTr="00EB5B97">
        <w:trPr>
          <w:cantSplit/>
          <w:trHeight w:val="432"/>
        </w:trPr>
        <w:tc>
          <w:tcPr>
            <w:tcW w:w="1781" w:type="dxa"/>
          </w:tcPr>
          <w:p w:rsidR="00F97D54" w:rsidRPr="00F43280" w:rsidRDefault="00F97D54" w:rsidP="00EB5B97">
            <w:pPr>
              <w:tabs>
                <w:tab w:val="left" w:pos="2022"/>
              </w:tabs>
              <w:rPr>
                <w:sz w:val="16"/>
                <w:szCs w:val="16"/>
              </w:rPr>
            </w:pPr>
            <w:r w:rsidRPr="00F43280">
              <w:rPr>
                <w:sz w:val="16"/>
                <w:szCs w:val="16"/>
              </w:rPr>
              <w:t>Initial_MRC</w:t>
            </w:r>
          </w:p>
        </w:tc>
        <w:tc>
          <w:tcPr>
            <w:tcW w:w="4448" w:type="dxa"/>
          </w:tcPr>
          <w:p w:rsidR="00F97D54" w:rsidRPr="00F43280" w:rsidRDefault="00F97D54" w:rsidP="00EB5B97">
            <w:pPr>
              <w:rPr>
                <w:sz w:val="16"/>
                <w:szCs w:val="16"/>
              </w:rPr>
            </w:pPr>
            <w:r w:rsidRPr="00F43280">
              <w:rPr>
                <w:sz w:val="16"/>
                <w:szCs w:val="16"/>
              </w:rPr>
              <w:t xml:space="preserve">Monthly recurring </w:t>
            </w:r>
            <w:r>
              <w:rPr>
                <w:sz w:val="16"/>
                <w:szCs w:val="16"/>
              </w:rPr>
              <w:t>charge (in dollars)</w:t>
            </w:r>
            <w:r w:rsidRPr="00F43280">
              <w:rPr>
                <w:sz w:val="16"/>
                <w:szCs w:val="16"/>
              </w:rPr>
              <w:t xml:space="preserve"> for the first unit billed</w:t>
            </w:r>
          </w:p>
        </w:tc>
        <w:tc>
          <w:tcPr>
            <w:tcW w:w="1080" w:type="dxa"/>
          </w:tcPr>
          <w:p w:rsidR="00F97D54" w:rsidRPr="00F43280" w:rsidRDefault="00F97D54" w:rsidP="00EB5B97">
            <w:pPr>
              <w:rPr>
                <w:sz w:val="16"/>
                <w:szCs w:val="16"/>
              </w:rPr>
            </w:pPr>
            <w:r w:rsidRPr="00F43280">
              <w:rPr>
                <w:sz w:val="16"/>
                <w:szCs w:val="16"/>
              </w:rPr>
              <w:t>Float</w:t>
            </w:r>
          </w:p>
        </w:tc>
        <w:tc>
          <w:tcPr>
            <w:tcW w:w="1529" w:type="dxa"/>
          </w:tcPr>
          <w:p w:rsidR="00F97D54" w:rsidRPr="00F43280" w:rsidRDefault="00F97D54" w:rsidP="00EB5B97">
            <w:pPr>
              <w:rPr>
                <w:sz w:val="16"/>
                <w:szCs w:val="16"/>
              </w:rPr>
            </w:pPr>
            <w:r w:rsidRPr="00F43280">
              <w:rPr>
                <w:sz w:val="16"/>
                <w:szCs w:val="16"/>
              </w:rPr>
              <w:t>17.7</w:t>
            </w:r>
          </w:p>
        </w:tc>
      </w:tr>
      <w:tr w:rsidR="00F97D54" w:rsidRPr="00F43280" w:rsidTr="00EB5B97">
        <w:trPr>
          <w:cantSplit/>
          <w:trHeight w:val="432"/>
        </w:trPr>
        <w:tc>
          <w:tcPr>
            <w:tcW w:w="1781" w:type="dxa"/>
          </w:tcPr>
          <w:p w:rsidR="00F97D54" w:rsidRPr="00F43280" w:rsidRDefault="00F97D54" w:rsidP="00EB5B97">
            <w:pPr>
              <w:tabs>
                <w:tab w:val="left" w:pos="2022"/>
              </w:tabs>
              <w:rPr>
                <w:sz w:val="16"/>
                <w:szCs w:val="16"/>
              </w:rPr>
            </w:pPr>
            <w:r w:rsidRPr="00F43280">
              <w:rPr>
                <w:sz w:val="16"/>
                <w:szCs w:val="16"/>
              </w:rPr>
              <w:t>Unit_MRC</w:t>
            </w:r>
          </w:p>
          <w:p w:rsidR="00F97D54" w:rsidRPr="00F43280" w:rsidRDefault="00F97D54" w:rsidP="00EB5B97">
            <w:pPr>
              <w:tabs>
                <w:tab w:val="left" w:pos="2022"/>
              </w:tabs>
              <w:rPr>
                <w:sz w:val="16"/>
                <w:szCs w:val="16"/>
              </w:rPr>
            </w:pPr>
          </w:p>
        </w:tc>
        <w:tc>
          <w:tcPr>
            <w:tcW w:w="4448" w:type="dxa"/>
          </w:tcPr>
          <w:p w:rsidR="00F97D54" w:rsidRPr="00F43280" w:rsidRDefault="00F97D54" w:rsidP="00EB5B97">
            <w:pPr>
              <w:rPr>
                <w:sz w:val="16"/>
                <w:szCs w:val="16"/>
              </w:rPr>
            </w:pPr>
            <w:r w:rsidRPr="00F43280">
              <w:rPr>
                <w:sz w:val="16"/>
                <w:szCs w:val="16"/>
              </w:rPr>
              <w:t xml:space="preserve">Monthly recurring </w:t>
            </w:r>
            <w:r>
              <w:rPr>
                <w:sz w:val="16"/>
                <w:szCs w:val="16"/>
              </w:rPr>
              <w:t>charge (in dollars)</w:t>
            </w:r>
            <w:r w:rsidRPr="00F43280">
              <w:rPr>
                <w:sz w:val="16"/>
                <w:szCs w:val="16"/>
              </w:rPr>
              <w:t xml:space="preserve"> for additional units billed (if different from the amount billed for the initial unit)</w:t>
            </w:r>
          </w:p>
          <w:p w:rsidR="00F97D54" w:rsidRPr="00F43280" w:rsidRDefault="00F97D54" w:rsidP="00EB5B97">
            <w:pPr>
              <w:rPr>
                <w:sz w:val="16"/>
                <w:szCs w:val="16"/>
              </w:rPr>
            </w:pPr>
          </w:p>
        </w:tc>
        <w:tc>
          <w:tcPr>
            <w:tcW w:w="1080" w:type="dxa"/>
          </w:tcPr>
          <w:p w:rsidR="00F97D54" w:rsidRPr="00F43280" w:rsidRDefault="00F97D54" w:rsidP="00EB5B97">
            <w:pPr>
              <w:rPr>
                <w:sz w:val="16"/>
                <w:szCs w:val="16"/>
              </w:rPr>
            </w:pPr>
            <w:r w:rsidRPr="00F43280">
              <w:rPr>
                <w:sz w:val="16"/>
                <w:szCs w:val="16"/>
              </w:rPr>
              <w:t>Float</w:t>
            </w:r>
          </w:p>
          <w:p w:rsidR="00F97D54" w:rsidRPr="00F43280" w:rsidRDefault="00F97D54" w:rsidP="00EB5B97">
            <w:pPr>
              <w:rPr>
                <w:sz w:val="16"/>
                <w:szCs w:val="16"/>
              </w:rPr>
            </w:pPr>
          </w:p>
        </w:tc>
        <w:tc>
          <w:tcPr>
            <w:tcW w:w="1529" w:type="dxa"/>
          </w:tcPr>
          <w:p w:rsidR="00F97D54" w:rsidRPr="00F43280" w:rsidRDefault="00F97D54" w:rsidP="00EB5B97">
            <w:pPr>
              <w:rPr>
                <w:sz w:val="16"/>
                <w:szCs w:val="16"/>
              </w:rPr>
            </w:pPr>
            <w:r w:rsidRPr="00F43280">
              <w:rPr>
                <w:sz w:val="16"/>
                <w:szCs w:val="16"/>
              </w:rPr>
              <w:t>0</w:t>
            </w:r>
          </w:p>
          <w:p w:rsidR="00F97D54" w:rsidRPr="00F43280" w:rsidRDefault="00F97D54" w:rsidP="00EB5B97">
            <w:pPr>
              <w:rPr>
                <w:sz w:val="16"/>
                <w:szCs w:val="16"/>
              </w:rPr>
            </w:pPr>
          </w:p>
        </w:tc>
      </w:tr>
      <w:tr w:rsidR="00F97D54" w:rsidRPr="00F43280" w:rsidTr="00EB5B97">
        <w:trPr>
          <w:cantSplit/>
          <w:trHeight w:val="432"/>
        </w:trPr>
        <w:tc>
          <w:tcPr>
            <w:tcW w:w="1781" w:type="dxa"/>
          </w:tcPr>
          <w:p w:rsidR="00F97D54" w:rsidRPr="00F43280" w:rsidRDefault="00F97D54" w:rsidP="00EB5B97">
            <w:pPr>
              <w:tabs>
                <w:tab w:val="left" w:pos="2022"/>
              </w:tabs>
              <w:rPr>
                <w:sz w:val="16"/>
                <w:szCs w:val="16"/>
              </w:rPr>
            </w:pPr>
            <w:r w:rsidRPr="00F43280">
              <w:rPr>
                <w:sz w:val="16"/>
                <w:szCs w:val="16"/>
              </w:rPr>
              <w:t>Billed</w:t>
            </w:r>
          </w:p>
          <w:p w:rsidR="00F97D54" w:rsidRPr="00F43280" w:rsidRDefault="00F97D54" w:rsidP="00EB5B97">
            <w:pPr>
              <w:tabs>
                <w:tab w:val="left" w:pos="2022"/>
              </w:tabs>
              <w:rPr>
                <w:sz w:val="16"/>
                <w:szCs w:val="16"/>
              </w:rPr>
            </w:pPr>
          </w:p>
        </w:tc>
        <w:tc>
          <w:tcPr>
            <w:tcW w:w="4448" w:type="dxa"/>
          </w:tcPr>
          <w:p w:rsidR="00F97D54" w:rsidRPr="00F43280" w:rsidRDefault="00F97D54" w:rsidP="00EB5B97">
            <w:pPr>
              <w:rPr>
                <w:sz w:val="16"/>
                <w:szCs w:val="16"/>
              </w:rPr>
            </w:pPr>
            <w:r>
              <w:rPr>
                <w:sz w:val="16"/>
                <w:szCs w:val="16"/>
              </w:rPr>
              <w:t xml:space="preserve">Per unit </w:t>
            </w:r>
            <w:r w:rsidRPr="00F43280">
              <w:rPr>
                <w:sz w:val="16"/>
                <w:szCs w:val="16"/>
              </w:rPr>
              <w:t xml:space="preserve">monthly </w:t>
            </w:r>
            <w:r>
              <w:rPr>
                <w:sz w:val="16"/>
                <w:szCs w:val="16"/>
              </w:rPr>
              <w:t>amount (in dollars)</w:t>
            </w:r>
            <w:r w:rsidRPr="00F43280">
              <w:rPr>
                <w:sz w:val="16"/>
                <w:szCs w:val="16"/>
              </w:rPr>
              <w:t xml:space="preserve"> billed for the </w:t>
            </w:r>
            <w:r>
              <w:rPr>
                <w:sz w:val="16"/>
                <w:szCs w:val="16"/>
              </w:rPr>
              <w:t>circuit</w:t>
            </w:r>
            <w:r w:rsidRPr="00F43280">
              <w:rPr>
                <w:sz w:val="16"/>
                <w:szCs w:val="16"/>
              </w:rPr>
              <w:t xml:space="preserve"> element including all </w:t>
            </w:r>
            <w:r>
              <w:rPr>
                <w:sz w:val="16"/>
                <w:szCs w:val="16"/>
              </w:rPr>
              <w:t xml:space="preserve">“in-cycle” </w:t>
            </w:r>
            <w:r w:rsidRPr="00F43280">
              <w:rPr>
                <w:sz w:val="16"/>
                <w:szCs w:val="16"/>
              </w:rPr>
              <w:t>discounts and penalties</w:t>
            </w:r>
            <w:r>
              <w:rPr>
                <w:sz w:val="16"/>
                <w:szCs w:val="16"/>
              </w:rPr>
              <w:t>.  For circuit elements with multiple billed units (</w:t>
            </w:r>
            <w:r w:rsidRPr="0081514F">
              <w:rPr>
                <w:i/>
                <w:sz w:val="16"/>
                <w:szCs w:val="16"/>
              </w:rPr>
              <w:t>i.e.</w:t>
            </w:r>
            <w:r>
              <w:rPr>
                <w:sz w:val="16"/>
                <w:szCs w:val="16"/>
              </w:rPr>
              <w:t>, quantity greater than one in II.B.4.o), enter the amount billed for a single unit</w:t>
            </w:r>
          </w:p>
          <w:p w:rsidR="00F97D54" w:rsidRPr="00F43280" w:rsidRDefault="00F97D54" w:rsidP="00EB5B97">
            <w:pPr>
              <w:rPr>
                <w:sz w:val="16"/>
                <w:szCs w:val="16"/>
              </w:rPr>
            </w:pPr>
          </w:p>
        </w:tc>
        <w:tc>
          <w:tcPr>
            <w:tcW w:w="1080" w:type="dxa"/>
          </w:tcPr>
          <w:p w:rsidR="00F97D54" w:rsidRPr="00F43280" w:rsidRDefault="00F97D54" w:rsidP="00EB5B97">
            <w:pPr>
              <w:rPr>
                <w:sz w:val="16"/>
                <w:szCs w:val="16"/>
              </w:rPr>
            </w:pPr>
            <w:r w:rsidRPr="00F43280">
              <w:rPr>
                <w:sz w:val="16"/>
                <w:szCs w:val="16"/>
              </w:rPr>
              <w:t>Float</w:t>
            </w:r>
          </w:p>
          <w:p w:rsidR="00F97D54" w:rsidRPr="00F43280" w:rsidRDefault="00F97D54" w:rsidP="00EB5B97">
            <w:pPr>
              <w:rPr>
                <w:sz w:val="16"/>
                <w:szCs w:val="16"/>
              </w:rPr>
            </w:pPr>
          </w:p>
        </w:tc>
        <w:tc>
          <w:tcPr>
            <w:tcW w:w="1529" w:type="dxa"/>
          </w:tcPr>
          <w:p w:rsidR="00F97D54" w:rsidRPr="00F43280" w:rsidRDefault="00F97D54" w:rsidP="00EB5B97">
            <w:pPr>
              <w:rPr>
                <w:sz w:val="16"/>
                <w:szCs w:val="16"/>
              </w:rPr>
            </w:pPr>
            <w:r w:rsidRPr="00F43280">
              <w:rPr>
                <w:sz w:val="16"/>
                <w:szCs w:val="16"/>
              </w:rPr>
              <w:t>507.3</w:t>
            </w:r>
          </w:p>
          <w:p w:rsidR="00F97D54" w:rsidRPr="00F43280" w:rsidRDefault="00F97D54" w:rsidP="00EB5B97">
            <w:pPr>
              <w:rPr>
                <w:sz w:val="16"/>
                <w:szCs w:val="16"/>
              </w:rPr>
            </w:pPr>
          </w:p>
        </w:tc>
      </w:tr>
      <w:tr w:rsidR="00F97D54" w:rsidRPr="00F43280" w:rsidTr="00EB5B97">
        <w:trPr>
          <w:trHeight w:val="432"/>
        </w:trPr>
        <w:tc>
          <w:tcPr>
            <w:tcW w:w="1781" w:type="dxa"/>
          </w:tcPr>
          <w:p w:rsidR="00F97D54" w:rsidRPr="00F43280" w:rsidRDefault="00F97D54" w:rsidP="00EB5B97">
            <w:pPr>
              <w:tabs>
                <w:tab w:val="left" w:pos="2022"/>
              </w:tabs>
              <w:rPr>
                <w:sz w:val="16"/>
                <w:szCs w:val="16"/>
              </w:rPr>
            </w:pPr>
            <w:r>
              <w:rPr>
                <w:sz w:val="16"/>
                <w:szCs w:val="16"/>
              </w:rPr>
              <w:t>Total_Billed</w:t>
            </w:r>
          </w:p>
        </w:tc>
        <w:tc>
          <w:tcPr>
            <w:tcW w:w="4448" w:type="dxa"/>
          </w:tcPr>
          <w:p w:rsidR="00F97D54" w:rsidRPr="00F43280" w:rsidRDefault="00F97D54" w:rsidP="00EB5B97">
            <w:pPr>
              <w:rPr>
                <w:sz w:val="16"/>
                <w:szCs w:val="16"/>
              </w:rPr>
            </w:pPr>
            <w:r>
              <w:rPr>
                <w:sz w:val="16"/>
                <w:szCs w:val="16"/>
              </w:rPr>
              <w:t>Total monthly amount (in dollars) billed for all units of the circuit element, including all “in-cycle” discounts and penalties</w:t>
            </w:r>
          </w:p>
        </w:tc>
        <w:tc>
          <w:tcPr>
            <w:tcW w:w="1080" w:type="dxa"/>
          </w:tcPr>
          <w:p w:rsidR="00F97D54" w:rsidRPr="00F43280" w:rsidRDefault="00F97D54" w:rsidP="00EB5B97">
            <w:pPr>
              <w:rPr>
                <w:sz w:val="16"/>
                <w:szCs w:val="16"/>
              </w:rPr>
            </w:pPr>
            <w:r>
              <w:rPr>
                <w:sz w:val="16"/>
                <w:szCs w:val="16"/>
              </w:rPr>
              <w:t>Float</w:t>
            </w:r>
          </w:p>
        </w:tc>
        <w:tc>
          <w:tcPr>
            <w:tcW w:w="1529" w:type="dxa"/>
          </w:tcPr>
          <w:p w:rsidR="00F97D54" w:rsidRPr="00F43280" w:rsidRDefault="00F97D54" w:rsidP="00EB5B97">
            <w:pPr>
              <w:rPr>
                <w:sz w:val="16"/>
                <w:szCs w:val="16"/>
              </w:rPr>
            </w:pPr>
            <w:r>
              <w:rPr>
                <w:sz w:val="16"/>
                <w:szCs w:val="16"/>
              </w:rPr>
              <w:t>12453.50</w:t>
            </w:r>
          </w:p>
        </w:tc>
      </w:tr>
      <w:tr w:rsidR="00F97D54" w:rsidRPr="00F43280" w:rsidTr="00EB5B97">
        <w:trPr>
          <w:trHeight w:val="432"/>
        </w:trPr>
        <w:tc>
          <w:tcPr>
            <w:tcW w:w="1781" w:type="dxa"/>
          </w:tcPr>
          <w:p w:rsidR="00F97D54" w:rsidRPr="00F43280" w:rsidRDefault="00F97D54" w:rsidP="00EB5B97">
            <w:pPr>
              <w:tabs>
                <w:tab w:val="left" w:pos="2022"/>
              </w:tabs>
              <w:rPr>
                <w:sz w:val="16"/>
                <w:szCs w:val="16"/>
              </w:rPr>
            </w:pPr>
            <w:r w:rsidRPr="00F43280">
              <w:rPr>
                <w:sz w:val="16"/>
                <w:szCs w:val="16"/>
              </w:rPr>
              <w:t>Term</w:t>
            </w:r>
          </w:p>
          <w:p w:rsidR="00F97D54" w:rsidRPr="00F43280" w:rsidRDefault="00F97D54" w:rsidP="00EB5B97">
            <w:pPr>
              <w:tabs>
                <w:tab w:val="left" w:pos="2022"/>
              </w:tabs>
              <w:rPr>
                <w:sz w:val="16"/>
                <w:szCs w:val="16"/>
              </w:rPr>
            </w:pPr>
          </w:p>
        </w:tc>
        <w:tc>
          <w:tcPr>
            <w:tcW w:w="4448" w:type="dxa"/>
          </w:tcPr>
          <w:p w:rsidR="00F97D54" w:rsidRPr="00F43280" w:rsidRDefault="00F97D54" w:rsidP="00EB5B97">
            <w:pPr>
              <w:rPr>
                <w:sz w:val="16"/>
                <w:szCs w:val="16"/>
              </w:rPr>
            </w:pPr>
            <w:r w:rsidRPr="00F43280">
              <w:rPr>
                <w:sz w:val="16"/>
                <w:szCs w:val="16"/>
              </w:rPr>
              <w:t>Length of</w:t>
            </w:r>
            <w:r>
              <w:rPr>
                <w:sz w:val="16"/>
                <w:szCs w:val="16"/>
              </w:rPr>
              <w:t xml:space="preserve"> total</w:t>
            </w:r>
            <w:r w:rsidRPr="00F43280">
              <w:rPr>
                <w:sz w:val="16"/>
                <w:szCs w:val="16"/>
              </w:rPr>
              <w:t xml:space="preserve"> time </w:t>
            </w:r>
            <w:r>
              <w:rPr>
                <w:sz w:val="16"/>
                <w:szCs w:val="16"/>
              </w:rPr>
              <w:t xml:space="preserve">of the </w:t>
            </w:r>
            <w:r w:rsidRPr="0081514F">
              <w:rPr>
                <w:i/>
                <w:sz w:val="16"/>
                <w:szCs w:val="16"/>
              </w:rPr>
              <w:t>Term Commitment</w:t>
            </w:r>
            <w:r w:rsidRPr="00F43280">
              <w:rPr>
                <w:sz w:val="16"/>
                <w:szCs w:val="16"/>
              </w:rPr>
              <w:t xml:space="preserve"> associated with this circuit (</w:t>
            </w:r>
            <w:r>
              <w:rPr>
                <w:sz w:val="16"/>
                <w:szCs w:val="16"/>
              </w:rPr>
              <w:t xml:space="preserve">in </w:t>
            </w:r>
            <w:r w:rsidRPr="00F43280">
              <w:rPr>
                <w:sz w:val="16"/>
                <w:szCs w:val="16"/>
              </w:rPr>
              <w:t>months).</w:t>
            </w:r>
            <w:r>
              <w:rPr>
                <w:sz w:val="16"/>
                <w:szCs w:val="16"/>
              </w:rPr>
              <w:t xml:space="preserve">  List the total length of the current </w:t>
            </w:r>
            <w:r w:rsidRPr="0081514F">
              <w:rPr>
                <w:i/>
                <w:sz w:val="16"/>
                <w:szCs w:val="16"/>
              </w:rPr>
              <w:t>Term Commitment</w:t>
            </w:r>
            <w:r>
              <w:rPr>
                <w:sz w:val="16"/>
                <w:szCs w:val="16"/>
              </w:rPr>
              <w:t xml:space="preserve">, not the remaining length of the </w:t>
            </w:r>
            <w:r w:rsidRPr="0081514F">
              <w:rPr>
                <w:i/>
                <w:sz w:val="16"/>
                <w:szCs w:val="16"/>
              </w:rPr>
              <w:t>Term Commitment</w:t>
            </w:r>
            <w:r>
              <w:rPr>
                <w:sz w:val="16"/>
                <w:szCs w:val="16"/>
              </w:rPr>
              <w:t>.  A circuit purchased on a month-to-month basis is coded as 1.</w:t>
            </w:r>
          </w:p>
          <w:p w:rsidR="00F97D54" w:rsidRPr="00F43280" w:rsidRDefault="00F97D54" w:rsidP="00EB5B97">
            <w:pPr>
              <w:rPr>
                <w:sz w:val="16"/>
                <w:szCs w:val="16"/>
              </w:rPr>
            </w:pPr>
          </w:p>
        </w:tc>
        <w:tc>
          <w:tcPr>
            <w:tcW w:w="1080" w:type="dxa"/>
          </w:tcPr>
          <w:p w:rsidR="00F97D54" w:rsidRPr="00F43280" w:rsidRDefault="00F97D54" w:rsidP="00EB5B97">
            <w:pPr>
              <w:rPr>
                <w:sz w:val="16"/>
                <w:szCs w:val="16"/>
              </w:rPr>
            </w:pPr>
            <w:r w:rsidRPr="00F43280">
              <w:rPr>
                <w:sz w:val="16"/>
                <w:szCs w:val="16"/>
              </w:rPr>
              <w:t>Integer</w:t>
            </w:r>
          </w:p>
          <w:p w:rsidR="00F97D54" w:rsidRPr="00F43280" w:rsidRDefault="00F97D54" w:rsidP="00EB5B97">
            <w:pPr>
              <w:rPr>
                <w:sz w:val="16"/>
                <w:szCs w:val="16"/>
              </w:rPr>
            </w:pPr>
          </w:p>
        </w:tc>
        <w:tc>
          <w:tcPr>
            <w:tcW w:w="1529" w:type="dxa"/>
          </w:tcPr>
          <w:p w:rsidR="00F97D54" w:rsidRPr="00F43280" w:rsidRDefault="00F97D54" w:rsidP="00EB5B97">
            <w:pPr>
              <w:rPr>
                <w:sz w:val="16"/>
                <w:szCs w:val="16"/>
              </w:rPr>
            </w:pPr>
            <w:r w:rsidRPr="00F43280">
              <w:rPr>
                <w:sz w:val="16"/>
                <w:szCs w:val="16"/>
              </w:rPr>
              <w:t>36</w:t>
            </w:r>
          </w:p>
          <w:p w:rsidR="00F97D54" w:rsidRPr="00F43280" w:rsidRDefault="00F97D54" w:rsidP="00EB5B97">
            <w:pPr>
              <w:rPr>
                <w:sz w:val="16"/>
                <w:szCs w:val="16"/>
              </w:rPr>
            </w:pPr>
          </w:p>
        </w:tc>
      </w:tr>
      <w:tr w:rsidR="00F97D54" w:rsidRPr="00F43280" w:rsidTr="00EB5B97">
        <w:trPr>
          <w:trHeight w:val="432"/>
        </w:trPr>
        <w:tc>
          <w:tcPr>
            <w:tcW w:w="1781" w:type="dxa"/>
          </w:tcPr>
          <w:p w:rsidR="00F97D54" w:rsidRPr="00F43280" w:rsidRDefault="00F97D54" w:rsidP="00EB5B97">
            <w:pPr>
              <w:tabs>
                <w:tab w:val="left" w:pos="2022"/>
              </w:tabs>
              <w:rPr>
                <w:sz w:val="16"/>
                <w:szCs w:val="16"/>
              </w:rPr>
            </w:pPr>
            <w:r w:rsidRPr="00F43280">
              <w:rPr>
                <w:sz w:val="16"/>
                <w:szCs w:val="16"/>
              </w:rPr>
              <w:t>End_Date</w:t>
            </w:r>
          </w:p>
        </w:tc>
        <w:tc>
          <w:tcPr>
            <w:tcW w:w="4448" w:type="dxa"/>
          </w:tcPr>
          <w:p w:rsidR="00F97D54" w:rsidRPr="00F43280" w:rsidRDefault="00F97D54" w:rsidP="00EB5B97">
            <w:pPr>
              <w:rPr>
                <w:sz w:val="16"/>
                <w:szCs w:val="16"/>
              </w:rPr>
            </w:pPr>
            <w:r w:rsidRPr="00F43280">
              <w:rPr>
                <w:sz w:val="16"/>
                <w:szCs w:val="16"/>
              </w:rPr>
              <w:t xml:space="preserve">If this circuit has an associated </w:t>
            </w:r>
            <w:r w:rsidRPr="0081514F">
              <w:rPr>
                <w:i/>
                <w:sz w:val="16"/>
                <w:szCs w:val="16"/>
              </w:rPr>
              <w:t>Term Commitment</w:t>
            </w:r>
            <w:r w:rsidRPr="00F43280">
              <w:rPr>
                <w:sz w:val="16"/>
                <w:szCs w:val="16"/>
              </w:rPr>
              <w:t>, enter the month and year the term expires</w:t>
            </w:r>
          </w:p>
        </w:tc>
        <w:tc>
          <w:tcPr>
            <w:tcW w:w="1080" w:type="dxa"/>
          </w:tcPr>
          <w:p w:rsidR="00F97D54" w:rsidRPr="00F43280" w:rsidRDefault="00F97D54" w:rsidP="00EB5B97">
            <w:pPr>
              <w:rPr>
                <w:sz w:val="16"/>
                <w:szCs w:val="16"/>
              </w:rPr>
            </w:pPr>
            <w:r w:rsidRPr="00F43280">
              <w:rPr>
                <w:sz w:val="16"/>
                <w:szCs w:val="16"/>
              </w:rPr>
              <w:t>Date</w:t>
            </w:r>
          </w:p>
        </w:tc>
        <w:tc>
          <w:tcPr>
            <w:tcW w:w="1529" w:type="dxa"/>
          </w:tcPr>
          <w:p w:rsidR="00F97D54" w:rsidRPr="00F43280" w:rsidRDefault="00F97D54" w:rsidP="00EB5B97">
            <w:pPr>
              <w:rPr>
                <w:sz w:val="16"/>
                <w:szCs w:val="16"/>
              </w:rPr>
            </w:pPr>
            <w:r w:rsidRPr="00F43280">
              <w:rPr>
                <w:sz w:val="16"/>
                <w:szCs w:val="16"/>
              </w:rPr>
              <w:t>03/2014</w:t>
            </w:r>
          </w:p>
        </w:tc>
      </w:tr>
      <w:tr w:rsidR="00F97D54" w:rsidRPr="00F43280" w:rsidTr="00EB5B97">
        <w:trPr>
          <w:trHeight w:val="432"/>
        </w:trPr>
        <w:tc>
          <w:tcPr>
            <w:tcW w:w="1781" w:type="dxa"/>
          </w:tcPr>
          <w:p w:rsidR="00F97D54" w:rsidRPr="00F43280" w:rsidRDefault="00F97D54" w:rsidP="00EB5B97">
            <w:pPr>
              <w:tabs>
                <w:tab w:val="left" w:pos="2022"/>
              </w:tabs>
              <w:rPr>
                <w:sz w:val="16"/>
                <w:szCs w:val="16"/>
              </w:rPr>
            </w:pPr>
            <w:r>
              <w:rPr>
                <w:sz w:val="16"/>
                <w:szCs w:val="16"/>
              </w:rPr>
              <w:t>Term_Discount_IC</w:t>
            </w:r>
          </w:p>
        </w:tc>
        <w:tc>
          <w:tcPr>
            <w:tcW w:w="4448" w:type="dxa"/>
          </w:tcPr>
          <w:p w:rsidR="00F97D54" w:rsidRPr="00F43280" w:rsidRDefault="00F97D54" w:rsidP="00EB5B97">
            <w:pPr>
              <w:rPr>
                <w:sz w:val="16"/>
                <w:szCs w:val="16"/>
              </w:rPr>
            </w:pPr>
            <w:r>
              <w:rPr>
                <w:sz w:val="16"/>
                <w:szCs w:val="16"/>
              </w:rPr>
              <w:t>Indicator variable for whether any in-cycle term discounts have been rolled into the amount billed to the customer reported in the Billed field (0 = No in-cycle term discounts included in Billed amount; 1 = In-cycle term discounts included in Billed amount)</w:t>
            </w:r>
          </w:p>
        </w:tc>
        <w:tc>
          <w:tcPr>
            <w:tcW w:w="1080" w:type="dxa"/>
          </w:tcPr>
          <w:p w:rsidR="00F97D54" w:rsidRPr="00F43280" w:rsidRDefault="00F97D54" w:rsidP="00EB5B97">
            <w:pPr>
              <w:rPr>
                <w:sz w:val="16"/>
                <w:szCs w:val="16"/>
              </w:rPr>
            </w:pPr>
            <w:r>
              <w:rPr>
                <w:sz w:val="16"/>
                <w:szCs w:val="16"/>
              </w:rPr>
              <w:t>Integer</w:t>
            </w:r>
          </w:p>
        </w:tc>
        <w:tc>
          <w:tcPr>
            <w:tcW w:w="1529" w:type="dxa"/>
          </w:tcPr>
          <w:p w:rsidR="00F97D54" w:rsidRPr="00F43280" w:rsidRDefault="00F97D54" w:rsidP="00EB5B97">
            <w:pPr>
              <w:rPr>
                <w:sz w:val="16"/>
                <w:szCs w:val="16"/>
              </w:rPr>
            </w:pPr>
            <w:r>
              <w:rPr>
                <w:sz w:val="16"/>
                <w:szCs w:val="16"/>
              </w:rPr>
              <w:t>0</w:t>
            </w:r>
          </w:p>
        </w:tc>
      </w:tr>
      <w:tr w:rsidR="00F97D54" w:rsidRPr="00F43280" w:rsidTr="00EB5B97">
        <w:trPr>
          <w:trHeight w:val="432"/>
        </w:trPr>
        <w:tc>
          <w:tcPr>
            <w:tcW w:w="1781" w:type="dxa"/>
          </w:tcPr>
          <w:p w:rsidR="00F97D54" w:rsidRPr="00F43280" w:rsidRDefault="00F97D54" w:rsidP="00EB5B97">
            <w:pPr>
              <w:tabs>
                <w:tab w:val="left" w:pos="2022"/>
              </w:tabs>
              <w:rPr>
                <w:sz w:val="16"/>
                <w:szCs w:val="16"/>
              </w:rPr>
            </w:pPr>
            <w:r w:rsidRPr="00F43280">
              <w:rPr>
                <w:sz w:val="16"/>
                <w:szCs w:val="16"/>
              </w:rPr>
              <w:t>Volume_Commitment</w:t>
            </w:r>
          </w:p>
          <w:p w:rsidR="00F97D54" w:rsidRPr="00F43280" w:rsidRDefault="00F97D54" w:rsidP="00EB5B97">
            <w:pPr>
              <w:tabs>
                <w:tab w:val="left" w:pos="2022"/>
              </w:tabs>
              <w:rPr>
                <w:sz w:val="16"/>
                <w:szCs w:val="16"/>
              </w:rPr>
            </w:pPr>
          </w:p>
        </w:tc>
        <w:tc>
          <w:tcPr>
            <w:tcW w:w="4448" w:type="dxa"/>
          </w:tcPr>
          <w:p w:rsidR="00F97D54" w:rsidRPr="00F43280" w:rsidRDefault="00F97D54" w:rsidP="00EB5B97">
            <w:pPr>
              <w:rPr>
                <w:sz w:val="16"/>
                <w:szCs w:val="16"/>
              </w:rPr>
            </w:pPr>
            <w:r w:rsidRPr="00F43280">
              <w:rPr>
                <w:sz w:val="16"/>
                <w:szCs w:val="16"/>
              </w:rPr>
              <w:t xml:space="preserve">Indicator variable showing whether this circuit contributes to a </w:t>
            </w:r>
            <w:r w:rsidRPr="0081514F">
              <w:rPr>
                <w:i/>
                <w:sz w:val="16"/>
                <w:szCs w:val="16"/>
              </w:rPr>
              <w:t>Volume</w:t>
            </w:r>
            <w:r>
              <w:rPr>
                <w:i/>
                <w:sz w:val="16"/>
                <w:szCs w:val="16"/>
              </w:rPr>
              <w:t xml:space="preserve"> C</w:t>
            </w:r>
            <w:r w:rsidRPr="0081514F">
              <w:rPr>
                <w:i/>
                <w:sz w:val="16"/>
                <w:szCs w:val="16"/>
              </w:rPr>
              <w:t>ommitment</w:t>
            </w:r>
            <w:r>
              <w:rPr>
                <w:sz w:val="16"/>
                <w:szCs w:val="16"/>
              </w:rPr>
              <w:t xml:space="preserve"> (Y</w:t>
            </w:r>
            <w:r w:rsidRPr="00F43280">
              <w:rPr>
                <w:sz w:val="16"/>
                <w:szCs w:val="16"/>
              </w:rPr>
              <w:t>=Yes</w:t>
            </w:r>
            <w:r>
              <w:rPr>
                <w:sz w:val="16"/>
                <w:szCs w:val="16"/>
              </w:rPr>
              <w:t>,</w:t>
            </w:r>
            <w:r w:rsidRPr="00F43280">
              <w:rPr>
                <w:sz w:val="16"/>
                <w:szCs w:val="16"/>
              </w:rPr>
              <w:t xml:space="preserve"> </w:t>
            </w:r>
            <w:r>
              <w:rPr>
                <w:sz w:val="16"/>
                <w:szCs w:val="16"/>
              </w:rPr>
              <w:t>N</w:t>
            </w:r>
            <w:r w:rsidRPr="00F43280">
              <w:rPr>
                <w:sz w:val="16"/>
                <w:szCs w:val="16"/>
              </w:rPr>
              <w:t>=No)</w:t>
            </w:r>
          </w:p>
          <w:p w:rsidR="00F97D54" w:rsidRPr="00F43280" w:rsidRDefault="00F97D54" w:rsidP="00EB5B97">
            <w:pPr>
              <w:rPr>
                <w:sz w:val="16"/>
                <w:szCs w:val="16"/>
              </w:rPr>
            </w:pPr>
          </w:p>
        </w:tc>
        <w:tc>
          <w:tcPr>
            <w:tcW w:w="1080" w:type="dxa"/>
          </w:tcPr>
          <w:p w:rsidR="00F97D54" w:rsidRPr="00F43280" w:rsidRDefault="00F97D54" w:rsidP="00EB5B97">
            <w:pPr>
              <w:rPr>
                <w:sz w:val="16"/>
                <w:szCs w:val="16"/>
              </w:rPr>
            </w:pPr>
            <w:r>
              <w:rPr>
                <w:sz w:val="16"/>
                <w:szCs w:val="16"/>
              </w:rPr>
              <w:t>Text</w:t>
            </w:r>
          </w:p>
          <w:p w:rsidR="00F97D54" w:rsidRPr="00F43280" w:rsidRDefault="00F97D54" w:rsidP="00EB5B97">
            <w:pPr>
              <w:rPr>
                <w:sz w:val="16"/>
                <w:szCs w:val="16"/>
              </w:rPr>
            </w:pPr>
          </w:p>
        </w:tc>
        <w:tc>
          <w:tcPr>
            <w:tcW w:w="1529" w:type="dxa"/>
          </w:tcPr>
          <w:p w:rsidR="00F97D54" w:rsidRPr="00F43280" w:rsidRDefault="00F97D54" w:rsidP="00EB5B97">
            <w:pPr>
              <w:rPr>
                <w:sz w:val="16"/>
                <w:szCs w:val="16"/>
              </w:rPr>
            </w:pPr>
            <w:r>
              <w:rPr>
                <w:sz w:val="16"/>
                <w:szCs w:val="16"/>
              </w:rPr>
              <w:t>N</w:t>
            </w:r>
          </w:p>
          <w:p w:rsidR="00F97D54" w:rsidRPr="00F43280" w:rsidRDefault="00F97D54" w:rsidP="00EB5B97">
            <w:pPr>
              <w:rPr>
                <w:sz w:val="16"/>
                <w:szCs w:val="16"/>
              </w:rPr>
            </w:pPr>
          </w:p>
        </w:tc>
      </w:tr>
      <w:tr w:rsidR="00F97D54" w:rsidRPr="00F43280" w:rsidTr="00EB5B97">
        <w:trPr>
          <w:trHeight w:val="432"/>
        </w:trPr>
        <w:tc>
          <w:tcPr>
            <w:tcW w:w="1781" w:type="dxa"/>
          </w:tcPr>
          <w:p w:rsidR="00F97D54" w:rsidRPr="00F43280" w:rsidRDefault="00F97D54" w:rsidP="00EB5B97">
            <w:pPr>
              <w:tabs>
                <w:tab w:val="left" w:pos="2022"/>
              </w:tabs>
              <w:rPr>
                <w:sz w:val="16"/>
                <w:szCs w:val="16"/>
              </w:rPr>
            </w:pPr>
            <w:r>
              <w:rPr>
                <w:sz w:val="16"/>
                <w:szCs w:val="16"/>
              </w:rPr>
              <w:t>Vol_Discount_IC</w:t>
            </w:r>
          </w:p>
        </w:tc>
        <w:tc>
          <w:tcPr>
            <w:tcW w:w="4448" w:type="dxa"/>
          </w:tcPr>
          <w:p w:rsidR="00F97D54" w:rsidRPr="00F43280" w:rsidRDefault="00F97D54" w:rsidP="00EB5B97">
            <w:pPr>
              <w:rPr>
                <w:sz w:val="16"/>
                <w:szCs w:val="16"/>
              </w:rPr>
            </w:pPr>
            <w:r>
              <w:rPr>
                <w:sz w:val="16"/>
                <w:szCs w:val="16"/>
              </w:rPr>
              <w:t>Indicator variable for whether any in-cycle volume discounts have been rolled into the amount billed to the customer reported in the Billed field  (0 = No in-cycle volume discounts included in Billed amount; 1 = In-cycle volume discounts included in Billed amount)</w:t>
            </w:r>
          </w:p>
        </w:tc>
        <w:tc>
          <w:tcPr>
            <w:tcW w:w="1080" w:type="dxa"/>
          </w:tcPr>
          <w:p w:rsidR="00F97D54" w:rsidRPr="00F43280" w:rsidRDefault="00F97D54" w:rsidP="00EB5B97">
            <w:pPr>
              <w:rPr>
                <w:sz w:val="16"/>
                <w:szCs w:val="16"/>
              </w:rPr>
            </w:pPr>
            <w:r>
              <w:rPr>
                <w:sz w:val="16"/>
                <w:szCs w:val="16"/>
              </w:rPr>
              <w:t>Integer</w:t>
            </w:r>
          </w:p>
        </w:tc>
        <w:tc>
          <w:tcPr>
            <w:tcW w:w="1529" w:type="dxa"/>
          </w:tcPr>
          <w:p w:rsidR="00F97D54" w:rsidRPr="00F43280" w:rsidRDefault="00F97D54" w:rsidP="00EB5B97">
            <w:pPr>
              <w:rPr>
                <w:sz w:val="16"/>
                <w:szCs w:val="16"/>
              </w:rPr>
            </w:pPr>
            <w:r>
              <w:rPr>
                <w:sz w:val="16"/>
                <w:szCs w:val="16"/>
              </w:rPr>
              <w:t>0</w:t>
            </w:r>
          </w:p>
        </w:tc>
      </w:tr>
      <w:tr w:rsidR="00F97D54" w:rsidRPr="00F43280" w:rsidTr="00EB5B97">
        <w:trPr>
          <w:trHeight w:val="432"/>
        </w:trPr>
        <w:tc>
          <w:tcPr>
            <w:tcW w:w="1781" w:type="dxa"/>
          </w:tcPr>
          <w:p w:rsidR="00F97D54" w:rsidRPr="00F43280" w:rsidRDefault="00F97D54" w:rsidP="00EB5B97">
            <w:pPr>
              <w:tabs>
                <w:tab w:val="left" w:pos="2022"/>
              </w:tabs>
              <w:rPr>
                <w:sz w:val="16"/>
                <w:szCs w:val="16"/>
              </w:rPr>
            </w:pPr>
            <w:r w:rsidRPr="00F43280">
              <w:rPr>
                <w:sz w:val="16"/>
                <w:szCs w:val="16"/>
              </w:rPr>
              <w:t>Offer</w:t>
            </w:r>
          </w:p>
          <w:p w:rsidR="00F97D54" w:rsidRPr="00F43280" w:rsidRDefault="00F97D54" w:rsidP="00EB5B97">
            <w:pPr>
              <w:tabs>
                <w:tab w:val="left" w:pos="2022"/>
              </w:tabs>
              <w:rPr>
                <w:sz w:val="16"/>
                <w:szCs w:val="16"/>
              </w:rPr>
            </w:pPr>
          </w:p>
        </w:tc>
        <w:tc>
          <w:tcPr>
            <w:tcW w:w="4448" w:type="dxa"/>
          </w:tcPr>
          <w:p w:rsidR="00F97D54" w:rsidRPr="00F43280" w:rsidRDefault="00F97D54" w:rsidP="00EB5B97">
            <w:pPr>
              <w:rPr>
                <w:sz w:val="16"/>
                <w:szCs w:val="16"/>
              </w:rPr>
            </w:pPr>
            <w:r w:rsidRPr="00F43280">
              <w:rPr>
                <w:sz w:val="16"/>
                <w:szCs w:val="16"/>
              </w:rPr>
              <w:t xml:space="preserve">Indicator variable showing whether this circuit was purchased out of a </w:t>
            </w:r>
            <w:r w:rsidRPr="00F43280">
              <w:rPr>
                <w:i/>
                <w:sz w:val="16"/>
                <w:szCs w:val="16"/>
              </w:rPr>
              <w:t>Contract-Based Tariff</w:t>
            </w:r>
            <w:r>
              <w:rPr>
                <w:sz w:val="16"/>
                <w:szCs w:val="16"/>
              </w:rPr>
              <w:t xml:space="preserve"> (Y</w:t>
            </w:r>
            <w:r w:rsidRPr="00F43280">
              <w:rPr>
                <w:sz w:val="16"/>
                <w:szCs w:val="16"/>
              </w:rPr>
              <w:t>=Yes</w:t>
            </w:r>
            <w:r>
              <w:rPr>
                <w:sz w:val="16"/>
                <w:szCs w:val="16"/>
              </w:rPr>
              <w:t>,</w:t>
            </w:r>
            <w:r w:rsidRPr="00F43280">
              <w:rPr>
                <w:sz w:val="16"/>
                <w:szCs w:val="16"/>
              </w:rPr>
              <w:t xml:space="preserve"> </w:t>
            </w:r>
            <w:r>
              <w:rPr>
                <w:sz w:val="16"/>
                <w:szCs w:val="16"/>
              </w:rPr>
              <w:t>N</w:t>
            </w:r>
            <w:r w:rsidRPr="00F43280">
              <w:rPr>
                <w:sz w:val="16"/>
                <w:szCs w:val="16"/>
              </w:rPr>
              <w:t>=No)</w:t>
            </w:r>
          </w:p>
          <w:p w:rsidR="00F97D54" w:rsidRPr="00F43280" w:rsidRDefault="00F97D54" w:rsidP="00EB5B97">
            <w:pPr>
              <w:rPr>
                <w:sz w:val="16"/>
                <w:szCs w:val="16"/>
              </w:rPr>
            </w:pPr>
          </w:p>
        </w:tc>
        <w:tc>
          <w:tcPr>
            <w:tcW w:w="1080" w:type="dxa"/>
          </w:tcPr>
          <w:p w:rsidR="00F97D54" w:rsidRPr="00F43280" w:rsidRDefault="00F97D54" w:rsidP="00EB5B97">
            <w:pPr>
              <w:rPr>
                <w:sz w:val="16"/>
                <w:szCs w:val="16"/>
              </w:rPr>
            </w:pPr>
            <w:r>
              <w:rPr>
                <w:sz w:val="16"/>
                <w:szCs w:val="16"/>
              </w:rPr>
              <w:t>Text</w:t>
            </w:r>
          </w:p>
          <w:p w:rsidR="00F97D54" w:rsidRPr="00F43280" w:rsidRDefault="00F97D54" w:rsidP="00EB5B97">
            <w:pPr>
              <w:rPr>
                <w:sz w:val="16"/>
                <w:szCs w:val="16"/>
              </w:rPr>
            </w:pPr>
          </w:p>
        </w:tc>
        <w:tc>
          <w:tcPr>
            <w:tcW w:w="1529" w:type="dxa"/>
          </w:tcPr>
          <w:p w:rsidR="00F97D54" w:rsidRPr="00F43280" w:rsidRDefault="00F97D54" w:rsidP="00EB5B97">
            <w:pPr>
              <w:rPr>
                <w:sz w:val="16"/>
                <w:szCs w:val="16"/>
              </w:rPr>
            </w:pPr>
            <w:r>
              <w:rPr>
                <w:sz w:val="16"/>
                <w:szCs w:val="16"/>
              </w:rPr>
              <w:t>N</w:t>
            </w:r>
          </w:p>
          <w:p w:rsidR="00F97D54" w:rsidRPr="00F43280" w:rsidRDefault="00F97D54" w:rsidP="00EB5B97">
            <w:pPr>
              <w:rPr>
                <w:sz w:val="16"/>
                <w:szCs w:val="16"/>
              </w:rPr>
            </w:pPr>
          </w:p>
        </w:tc>
      </w:tr>
      <w:tr w:rsidR="00F97D54" w:rsidRPr="00F43280" w:rsidTr="00EB5B97">
        <w:trPr>
          <w:trHeight w:val="432"/>
        </w:trPr>
        <w:tc>
          <w:tcPr>
            <w:tcW w:w="1781" w:type="dxa"/>
          </w:tcPr>
          <w:p w:rsidR="00F97D54" w:rsidRPr="00F43280" w:rsidRDefault="00F97D54" w:rsidP="00EB5B97">
            <w:pPr>
              <w:tabs>
                <w:tab w:val="left" w:pos="2022"/>
              </w:tabs>
              <w:rPr>
                <w:sz w:val="16"/>
                <w:szCs w:val="16"/>
              </w:rPr>
            </w:pPr>
            <w:r>
              <w:rPr>
                <w:sz w:val="16"/>
                <w:szCs w:val="16"/>
              </w:rPr>
              <w:t>Adjustment_ID_1</w:t>
            </w:r>
          </w:p>
        </w:tc>
        <w:tc>
          <w:tcPr>
            <w:tcW w:w="4448" w:type="dxa"/>
          </w:tcPr>
          <w:p w:rsidR="00F97D54" w:rsidRDefault="00F97D54" w:rsidP="00EB5B97">
            <w:pPr>
              <w:rPr>
                <w:sz w:val="16"/>
                <w:szCs w:val="16"/>
              </w:rPr>
            </w:pPr>
            <w:r>
              <w:rPr>
                <w:sz w:val="16"/>
                <w:szCs w:val="16"/>
              </w:rPr>
              <w:t>Unique ID number (from II.B.5.a) of the first billing adjustment/true-up affecting this circuit element.  Leave field blank if there are no discounts or penalties that occur during the monthly billing cycle affecting this circuit element</w:t>
            </w:r>
          </w:p>
          <w:p w:rsidR="00F97D54" w:rsidRPr="00F43280" w:rsidRDefault="00F97D54" w:rsidP="00EB5B97">
            <w:pPr>
              <w:rPr>
                <w:sz w:val="16"/>
                <w:szCs w:val="16"/>
              </w:rPr>
            </w:pPr>
          </w:p>
        </w:tc>
        <w:tc>
          <w:tcPr>
            <w:tcW w:w="1080" w:type="dxa"/>
          </w:tcPr>
          <w:p w:rsidR="00F97D54" w:rsidRPr="00F43280" w:rsidRDefault="00F97D54" w:rsidP="00EB5B97">
            <w:pPr>
              <w:rPr>
                <w:sz w:val="16"/>
                <w:szCs w:val="16"/>
              </w:rPr>
            </w:pPr>
            <w:r>
              <w:rPr>
                <w:sz w:val="16"/>
                <w:szCs w:val="16"/>
              </w:rPr>
              <w:t>Integer</w:t>
            </w:r>
          </w:p>
        </w:tc>
        <w:tc>
          <w:tcPr>
            <w:tcW w:w="1529" w:type="dxa"/>
          </w:tcPr>
          <w:p w:rsidR="00F97D54" w:rsidRPr="00F43280" w:rsidRDefault="00F97D54" w:rsidP="00EB5B97">
            <w:pPr>
              <w:rPr>
                <w:sz w:val="16"/>
                <w:szCs w:val="16"/>
              </w:rPr>
            </w:pPr>
            <w:r>
              <w:rPr>
                <w:sz w:val="16"/>
                <w:szCs w:val="16"/>
              </w:rPr>
              <w:t>6</w:t>
            </w:r>
          </w:p>
        </w:tc>
      </w:tr>
      <w:tr w:rsidR="00F97D54" w:rsidRPr="00F43280" w:rsidTr="00EB5B97">
        <w:trPr>
          <w:trHeight w:val="432"/>
        </w:trPr>
        <w:tc>
          <w:tcPr>
            <w:tcW w:w="1781" w:type="dxa"/>
          </w:tcPr>
          <w:p w:rsidR="00F97D54" w:rsidRPr="00F43280" w:rsidRDefault="00F97D54" w:rsidP="00EB5B97">
            <w:pPr>
              <w:tabs>
                <w:tab w:val="left" w:pos="2022"/>
              </w:tabs>
              <w:rPr>
                <w:sz w:val="16"/>
                <w:szCs w:val="16"/>
              </w:rPr>
            </w:pPr>
            <w:r>
              <w:rPr>
                <w:sz w:val="16"/>
                <w:szCs w:val="16"/>
              </w:rPr>
              <w:t>Adjustment_ID_2</w:t>
            </w:r>
          </w:p>
        </w:tc>
        <w:tc>
          <w:tcPr>
            <w:tcW w:w="4448" w:type="dxa"/>
          </w:tcPr>
          <w:p w:rsidR="00F97D54" w:rsidRDefault="00F97D54" w:rsidP="00EB5B97">
            <w:pPr>
              <w:rPr>
                <w:sz w:val="16"/>
                <w:szCs w:val="16"/>
              </w:rPr>
            </w:pPr>
            <w:r>
              <w:rPr>
                <w:sz w:val="16"/>
                <w:szCs w:val="16"/>
              </w:rPr>
              <w:t>Unique ID number (from II.B.5.a) of the second billing adjustment/true-up affecting this circuit element, if multiple adjustments were applied to this rate element.  Leave the field blank if there are fewer than two discounts applied to this circuit element in the given billing cycle</w:t>
            </w:r>
          </w:p>
          <w:p w:rsidR="00F97D54" w:rsidRPr="00F43280" w:rsidRDefault="00F97D54" w:rsidP="00EB5B97">
            <w:pPr>
              <w:rPr>
                <w:sz w:val="16"/>
                <w:szCs w:val="16"/>
              </w:rPr>
            </w:pPr>
          </w:p>
        </w:tc>
        <w:tc>
          <w:tcPr>
            <w:tcW w:w="1080" w:type="dxa"/>
          </w:tcPr>
          <w:p w:rsidR="00F97D54" w:rsidRPr="00F43280" w:rsidRDefault="00F97D54" w:rsidP="00EB5B97">
            <w:pPr>
              <w:rPr>
                <w:sz w:val="16"/>
                <w:szCs w:val="16"/>
              </w:rPr>
            </w:pPr>
            <w:r>
              <w:rPr>
                <w:sz w:val="16"/>
                <w:szCs w:val="16"/>
              </w:rPr>
              <w:t>Integer</w:t>
            </w:r>
          </w:p>
        </w:tc>
        <w:tc>
          <w:tcPr>
            <w:tcW w:w="1529" w:type="dxa"/>
          </w:tcPr>
          <w:p w:rsidR="00F97D54" w:rsidRPr="00F43280" w:rsidRDefault="00F97D54" w:rsidP="00EB5B97">
            <w:pPr>
              <w:rPr>
                <w:sz w:val="16"/>
                <w:szCs w:val="16"/>
              </w:rPr>
            </w:pPr>
            <w:r>
              <w:rPr>
                <w:sz w:val="16"/>
                <w:szCs w:val="16"/>
              </w:rPr>
              <w:t>14</w:t>
            </w:r>
          </w:p>
        </w:tc>
      </w:tr>
      <w:tr w:rsidR="00F97D54" w:rsidRPr="00F43280" w:rsidTr="00EB5B97">
        <w:trPr>
          <w:trHeight w:val="432"/>
        </w:trPr>
        <w:tc>
          <w:tcPr>
            <w:tcW w:w="1781" w:type="dxa"/>
          </w:tcPr>
          <w:p w:rsidR="00F97D54" w:rsidRDefault="00F97D54" w:rsidP="00EB5B97">
            <w:pPr>
              <w:tabs>
                <w:tab w:val="left" w:pos="2022"/>
              </w:tabs>
              <w:rPr>
                <w:sz w:val="16"/>
                <w:szCs w:val="16"/>
              </w:rPr>
            </w:pPr>
            <w:r>
              <w:rPr>
                <w:sz w:val="16"/>
                <w:szCs w:val="16"/>
              </w:rPr>
              <w:t>…</w:t>
            </w:r>
          </w:p>
        </w:tc>
        <w:tc>
          <w:tcPr>
            <w:tcW w:w="4448" w:type="dxa"/>
          </w:tcPr>
          <w:p w:rsidR="00F97D54" w:rsidRDefault="00F97D54" w:rsidP="00EB5B97">
            <w:pPr>
              <w:rPr>
                <w:sz w:val="16"/>
                <w:szCs w:val="16"/>
              </w:rPr>
            </w:pPr>
            <w:r>
              <w:rPr>
                <w:sz w:val="16"/>
                <w:szCs w:val="16"/>
              </w:rPr>
              <w:t>[Continue to add columns for a total of ten (10) Adjustment_ID columns.]</w:t>
            </w:r>
          </w:p>
        </w:tc>
        <w:tc>
          <w:tcPr>
            <w:tcW w:w="1080" w:type="dxa"/>
          </w:tcPr>
          <w:p w:rsidR="00F97D54" w:rsidRDefault="00F97D54" w:rsidP="00EB5B97">
            <w:pPr>
              <w:rPr>
                <w:sz w:val="16"/>
                <w:szCs w:val="16"/>
              </w:rPr>
            </w:pPr>
            <w:r>
              <w:rPr>
                <w:sz w:val="16"/>
                <w:szCs w:val="16"/>
              </w:rPr>
              <w:t>…</w:t>
            </w:r>
          </w:p>
        </w:tc>
        <w:tc>
          <w:tcPr>
            <w:tcW w:w="1529" w:type="dxa"/>
          </w:tcPr>
          <w:p w:rsidR="00F97D54" w:rsidRDefault="00F97D54" w:rsidP="00EB5B97">
            <w:pPr>
              <w:rPr>
                <w:sz w:val="16"/>
                <w:szCs w:val="16"/>
              </w:rPr>
            </w:pPr>
            <w:r>
              <w:rPr>
                <w:sz w:val="16"/>
                <w:szCs w:val="16"/>
              </w:rPr>
              <w:t>…</w:t>
            </w:r>
          </w:p>
        </w:tc>
      </w:tr>
      <w:tr w:rsidR="00F97D54" w:rsidRPr="00F43280" w:rsidTr="00EB5B97">
        <w:trPr>
          <w:trHeight w:val="432"/>
        </w:trPr>
        <w:tc>
          <w:tcPr>
            <w:tcW w:w="1781" w:type="dxa"/>
            <w:tcBorders>
              <w:bottom w:val="double" w:sz="4" w:space="0" w:color="auto"/>
            </w:tcBorders>
          </w:tcPr>
          <w:p w:rsidR="00F97D54" w:rsidRDefault="00F97D54" w:rsidP="00EB5B97">
            <w:pPr>
              <w:tabs>
                <w:tab w:val="left" w:pos="2022"/>
              </w:tabs>
              <w:rPr>
                <w:sz w:val="16"/>
                <w:szCs w:val="16"/>
              </w:rPr>
            </w:pPr>
            <w:r>
              <w:rPr>
                <w:sz w:val="16"/>
                <w:szCs w:val="16"/>
              </w:rPr>
              <w:t>Adjustment_ID_10</w:t>
            </w:r>
          </w:p>
        </w:tc>
        <w:tc>
          <w:tcPr>
            <w:tcW w:w="4448" w:type="dxa"/>
            <w:tcBorders>
              <w:bottom w:val="double" w:sz="4" w:space="0" w:color="auto"/>
            </w:tcBorders>
          </w:tcPr>
          <w:p w:rsidR="00F97D54" w:rsidRDefault="00F97D54" w:rsidP="00EB5B97">
            <w:pPr>
              <w:rPr>
                <w:sz w:val="16"/>
                <w:szCs w:val="16"/>
              </w:rPr>
            </w:pPr>
            <w:r>
              <w:rPr>
                <w:sz w:val="16"/>
                <w:szCs w:val="16"/>
              </w:rPr>
              <w:t>Unique ID number (from II.B.5.a) of the tenth billing adjustment/true-up affecting this circuit element, if multiple adjustments were applied to this rate element.  Leave the field blank if there are fewer than ten discounts applied to this circuit element in the given billing cycle</w:t>
            </w:r>
          </w:p>
        </w:tc>
        <w:tc>
          <w:tcPr>
            <w:tcW w:w="1080" w:type="dxa"/>
            <w:tcBorders>
              <w:bottom w:val="double" w:sz="4" w:space="0" w:color="auto"/>
            </w:tcBorders>
          </w:tcPr>
          <w:p w:rsidR="00F97D54" w:rsidRDefault="00F97D54" w:rsidP="00EB5B97">
            <w:pPr>
              <w:rPr>
                <w:sz w:val="16"/>
                <w:szCs w:val="16"/>
              </w:rPr>
            </w:pPr>
            <w:r>
              <w:rPr>
                <w:sz w:val="16"/>
                <w:szCs w:val="16"/>
              </w:rPr>
              <w:t>Integer</w:t>
            </w:r>
          </w:p>
        </w:tc>
        <w:tc>
          <w:tcPr>
            <w:tcW w:w="1529" w:type="dxa"/>
            <w:tcBorders>
              <w:bottom w:val="double" w:sz="4" w:space="0" w:color="auto"/>
            </w:tcBorders>
          </w:tcPr>
          <w:p w:rsidR="00F97D54" w:rsidRDefault="00F97D54" w:rsidP="00EB5B97">
            <w:pPr>
              <w:rPr>
                <w:sz w:val="16"/>
                <w:szCs w:val="16"/>
              </w:rPr>
            </w:pPr>
            <w:r>
              <w:rPr>
                <w:sz w:val="16"/>
                <w:szCs w:val="16"/>
              </w:rPr>
              <w:t>63</w:t>
            </w:r>
          </w:p>
        </w:tc>
      </w:tr>
    </w:tbl>
    <w:p w:rsidR="00F97D54" w:rsidRDefault="00F97D54" w:rsidP="00EB5B97">
      <w:pPr>
        <w:ind w:left="360"/>
        <w:rPr>
          <w:szCs w:val="22"/>
        </w:rPr>
      </w:pPr>
    </w:p>
    <w:p w:rsidR="00F6299F" w:rsidRDefault="00F6299F">
      <w:pPr>
        <w:widowControl/>
        <w:rPr>
          <w:szCs w:val="22"/>
        </w:rPr>
      </w:pPr>
      <w:r>
        <w:rPr>
          <w:szCs w:val="22"/>
        </w:rPr>
        <w:br w:type="page"/>
      </w:r>
    </w:p>
    <w:p w:rsidR="00F97D54" w:rsidRDefault="00F97D54" w:rsidP="00EB5B97">
      <w:pPr>
        <w:ind w:left="360"/>
        <w:rPr>
          <w:szCs w:val="22"/>
        </w:rPr>
      </w:pPr>
    </w:p>
    <w:tbl>
      <w:tblPr>
        <w:tblW w:w="8838" w:type="dxa"/>
        <w:tblLook w:val="01E0" w:firstRow="1" w:lastRow="1" w:firstColumn="1" w:lastColumn="1" w:noHBand="0" w:noVBand="0"/>
      </w:tblPr>
      <w:tblGrid>
        <w:gridCol w:w="1781"/>
        <w:gridCol w:w="4448"/>
        <w:gridCol w:w="1080"/>
        <w:gridCol w:w="1529"/>
      </w:tblGrid>
      <w:tr w:rsidR="00F97D54" w:rsidRPr="00F43280" w:rsidTr="00EB5B97">
        <w:trPr>
          <w:trHeight w:val="432"/>
          <w:tblHeader/>
        </w:trPr>
        <w:tc>
          <w:tcPr>
            <w:tcW w:w="8838" w:type="dxa"/>
            <w:gridSpan w:val="4"/>
            <w:tcBorders>
              <w:top w:val="double" w:sz="4" w:space="0" w:color="auto"/>
              <w:bottom w:val="single" w:sz="4" w:space="0" w:color="auto"/>
            </w:tcBorders>
            <w:vAlign w:val="center"/>
          </w:tcPr>
          <w:p w:rsidR="00F97D54" w:rsidRPr="005C0C31" w:rsidRDefault="00F97D54" w:rsidP="00EB5B97">
            <w:pPr>
              <w:jc w:val="center"/>
              <w:rPr>
                <w:b/>
                <w:bCs/>
                <w:szCs w:val="22"/>
              </w:rPr>
            </w:pPr>
            <w:r w:rsidRPr="005C0C31">
              <w:rPr>
                <w:b/>
                <w:bCs/>
                <w:szCs w:val="22"/>
              </w:rPr>
              <w:t>Table II.B.4</w:t>
            </w:r>
            <w:r>
              <w:rPr>
                <w:b/>
                <w:bCs/>
                <w:szCs w:val="22"/>
              </w:rPr>
              <w:t xml:space="preserve"> Part 2</w:t>
            </w:r>
          </w:p>
          <w:p w:rsidR="00F97D54" w:rsidRPr="00553AD4" w:rsidRDefault="00F97D54" w:rsidP="00EB5B97">
            <w:pPr>
              <w:jc w:val="center"/>
              <w:rPr>
                <w:b/>
                <w:bCs/>
                <w:szCs w:val="22"/>
              </w:rPr>
            </w:pPr>
            <w:r>
              <w:rPr>
                <w:b/>
                <w:bCs/>
              </w:rPr>
              <w:t xml:space="preserve">Record Format for </w:t>
            </w:r>
            <w:r>
              <w:rPr>
                <w:b/>
                <w:bCs/>
                <w:szCs w:val="22"/>
              </w:rPr>
              <w:t>Identifying Customers</w:t>
            </w:r>
            <w:r w:rsidRPr="005C0C31">
              <w:rPr>
                <w:b/>
                <w:bCs/>
                <w:szCs w:val="22"/>
              </w:rPr>
              <w:t xml:space="preserve"> </w:t>
            </w:r>
          </w:p>
        </w:tc>
      </w:tr>
      <w:tr w:rsidR="00F97D54" w:rsidRPr="00F43280" w:rsidTr="00EB5B97">
        <w:trPr>
          <w:trHeight w:val="432"/>
          <w:tblHeader/>
        </w:trPr>
        <w:tc>
          <w:tcPr>
            <w:tcW w:w="1781" w:type="dxa"/>
            <w:tcBorders>
              <w:top w:val="single" w:sz="4" w:space="0" w:color="auto"/>
              <w:bottom w:val="single" w:sz="4" w:space="0" w:color="auto"/>
              <w:right w:val="single" w:sz="4" w:space="0" w:color="auto"/>
            </w:tcBorders>
            <w:vAlign w:val="center"/>
          </w:tcPr>
          <w:p w:rsidR="00F97D54" w:rsidRPr="00F43280" w:rsidRDefault="00F97D54" w:rsidP="00EB5B97">
            <w:pPr>
              <w:rPr>
                <w:b/>
                <w:sz w:val="18"/>
                <w:szCs w:val="18"/>
              </w:rPr>
            </w:pPr>
            <w:r w:rsidRPr="00F43280">
              <w:rPr>
                <w:b/>
                <w:sz w:val="18"/>
                <w:szCs w:val="18"/>
              </w:rPr>
              <w:t>Field Name</w:t>
            </w:r>
          </w:p>
        </w:tc>
        <w:tc>
          <w:tcPr>
            <w:tcW w:w="4448" w:type="dxa"/>
            <w:tcBorders>
              <w:top w:val="single" w:sz="4" w:space="0" w:color="auto"/>
              <w:left w:val="single" w:sz="4" w:space="0" w:color="auto"/>
              <w:bottom w:val="single" w:sz="4" w:space="0" w:color="auto"/>
              <w:right w:val="single" w:sz="4" w:space="0" w:color="auto"/>
            </w:tcBorders>
            <w:vAlign w:val="center"/>
          </w:tcPr>
          <w:p w:rsidR="00F97D54" w:rsidRPr="00F43280" w:rsidRDefault="00F97D54" w:rsidP="00EB5B97">
            <w:pPr>
              <w:rPr>
                <w:b/>
                <w:sz w:val="18"/>
                <w:szCs w:val="18"/>
              </w:rPr>
            </w:pPr>
            <w:r w:rsidRPr="00F43280">
              <w:rPr>
                <w:b/>
                <w:sz w:val="18"/>
                <w:szCs w:val="18"/>
              </w:rPr>
              <w:t>Description</w:t>
            </w:r>
          </w:p>
        </w:tc>
        <w:tc>
          <w:tcPr>
            <w:tcW w:w="1080" w:type="dxa"/>
            <w:tcBorders>
              <w:top w:val="single" w:sz="4" w:space="0" w:color="auto"/>
              <w:left w:val="single" w:sz="4" w:space="0" w:color="auto"/>
              <w:bottom w:val="single" w:sz="4" w:space="0" w:color="auto"/>
              <w:right w:val="single" w:sz="4" w:space="0" w:color="auto"/>
            </w:tcBorders>
            <w:vAlign w:val="center"/>
          </w:tcPr>
          <w:p w:rsidR="00F97D54" w:rsidRPr="00F43280" w:rsidRDefault="00F97D54" w:rsidP="00EB5B97">
            <w:pPr>
              <w:rPr>
                <w:b/>
                <w:sz w:val="18"/>
                <w:szCs w:val="18"/>
              </w:rPr>
            </w:pPr>
            <w:r w:rsidRPr="00F43280">
              <w:rPr>
                <w:b/>
                <w:sz w:val="18"/>
                <w:szCs w:val="18"/>
              </w:rPr>
              <w:t>Type</w:t>
            </w:r>
          </w:p>
        </w:tc>
        <w:tc>
          <w:tcPr>
            <w:tcW w:w="1529" w:type="dxa"/>
            <w:tcBorders>
              <w:top w:val="single" w:sz="4" w:space="0" w:color="auto"/>
              <w:left w:val="single" w:sz="4" w:space="0" w:color="auto"/>
              <w:bottom w:val="single" w:sz="4" w:space="0" w:color="auto"/>
            </w:tcBorders>
            <w:vAlign w:val="center"/>
          </w:tcPr>
          <w:p w:rsidR="00F97D54" w:rsidRPr="00F43280" w:rsidRDefault="00F97D54" w:rsidP="00EB5B97">
            <w:pPr>
              <w:ind w:right="-108"/>
              <w:rPr>
                <w:b/>
                <w:sz w:val="18"/>
                <w:szCs w:val="18"/>
              </w:rPr>
            </w:pPr>
            <w:r w:rsidRPr="00F43280">
              <w:rPr>
                <w:b/>
                <w:sz w:val="18"/>
                <w:szCs w:val="18"/>
              </w:rPr>
              <w:t>Example</w:t>
            </w:r>
          </w:p>
        </w:tc>
      </w:tr>
      <w:tr w:rsidR="00F97D54" w:rsidRPr="00F43280" w:rsidTr="00EB5B97">
        <w:trPr>
          <w:trHeight w:val="324"/>
        </w:trPr>
        <w:tc>
          <w:tcPr>
            <w:tcW w:w="1781" w:type="dxa"/>
          </w:tcPr>
          <w:p w:rsidR="00F97D54" w:rsidRPr="00F43280" w:rsidRDefault="00F97D54" w:rsidP="00EB5B97">
            <w:pPr>
              <w:tabs>
                <w:tab w:val="left" w:pos="2022"/>
              </w:tabs>
              <w:rPr>
                <w:sz w:val="16"/>
                <w:szCs w:val="16"/>
              </w:rPr>
            </w:pPr>
            <w:r>
              <w:rPr>
                <w:sz w:val="16"/>
                <w:szCs w:val="16"/>
              </w:rPr>
              <w:t>Customer</w:t>
            </w:r>
            <w:r w:rsidRPr="00F43280">
              <w:rPr>
                <w:sz w:val="16"/>
                <w:szCs w:val="16"/>
              </w:rPr>
              <w:t>_ID</w:t>
            </w:r>
          </w:p>
        </w:tc>
        <w:tc>
          <w:tcPr>
            <w:tcW w:w="4448" w:type="dxa"/>
          </w:tcPr>
          <w:p w:rsidR="00F97D54" w:rsidRPr="00F43280" w:rsidRDefault="00F97D54" w:rsidP="00EB5B97">
            <w:pPr>
              <w:rPr>
                <w:sz w:val="16"/>
                <w:szCs w:val="16"/>
              </w:rPr>
            </w:pPr>
            <w:r>
              <w:rPr>
                <w:sz w:val="16"/>
                <w:szCs w:val="16"/>
              </w:rPr>
              <w:t>Unique customer identifier used to link all circuits purchased by a customer over all geographies and time periods.  This field will be used to link the billing information in Table II.B.4 Part 1 with the customer names and identification numbers</w:t>
            </w:r>
          </w:p>
        </w:tc>
        <w:tc>
          <w:tcPr>
            <w:tcW w:w="1080" w:type="dxa"/>
          </w:tcPr>
          <w:p w:rsidR="00F97D54" w:rsidRPr="00F43280" w:rsidRDefault="00F97D54" w:rsidP="00EB5B97">
            <w:pPr>
              <w:rPr>
                <w:sz w:val="16"/>
                <w:szCs w:val="16"/>
              </w:rPr>
            </w:pPr>
            <w:r w:rsidRPr="00F43280">
              <w:rPr>
                <w:sz w:val="16"/>
                <w:szCs w:val="16"/>
              </w:rPr>
              <w:t>Integer</w:t>
            </w:r>
          </w:p>
        </w:tc>
        <w:tc>
          <w:tcPr>
            <w:tcW w:w="1529" w:type="dxa"/>
          </w:tcPr>
          <w:p w:rsidR="00F97D54" w:rsidRPr="00F43280" w:rsidRDefault="00F97D54" w:rsidP="00EB5B97">
            <w:pPr>
              <w:rPr>
                <w:sz w:val="16"/>
                <w:szCs w:val="16"/>
              </w:rPr>
            </w:pPr>
            <w:r>
              <w:rPr>
                <w:sz w:val="16"/>
                <w:szCs w:val="16"/>
              </w:rPr>
              <w:t>1274</w:t>
            </w:r>
          </w:p>
        </w:tc>
      </w:tr>
      <w:tr w:rsidR="00F97D54" w:rsidRPr="00F43280" w:rsidTr="00EB5B97">
        <w:trPr>
          <w:trHeight w:val="324"/>
        </w:trPr>
        <w:tc>
          <w:tcPr>
            <w:tcW w:w="1781" w:type="dxa"/>
          </w:tcPr>
          <w:p w:rsidR="00F97D54" w:rsidRPr="00F43280" w:rsidRDefault="00F97D54" w:rsidP="00EB5B97">
            <w:pPr>
              <w:tabs>
                <w:tab w:val="left" w:pos="2022"/>
              </w:tabs>
              <w:rPr>
                <w:sz w:val="16"/>
                <w:szCs w:val="16"/>
              </w:rPr>
            </w:pPr>
            <w:r>
              <w:rPr>
                <w:sz w:val="16"/>
                <w:szCs w:val="16"/>
              </w:rPr>
              <w:t>Customer_ID_499</w:t>
            </w:r>
          </w:p>
        </w:tc>
        <w:tc>
          <w:tcPr>
            <w:tcW w:w="4448" w:type="dxa"/>
          </w:tcPr>
          <w:p w:rsidR="00F97D54" w:rsidRPr="00F43280" w:rsidRDefault="00F97D54" w:rsidP="00EB5B97">
            <w:pPr>
              <w:rPr>
                <w:sz w:val="16"/>
                <w:szCs w:val="16"/>
              </w:rPr>
            </w:pPr>
            <w:r>
              <w:rPr>
                <w:sz w:val="16"/>
                <w:szCs w:val="16"/>
              </w:rPr>
              <w:t>Where applicable, include the six-digit 499A Filer ID of the customer</w:t>
            </w:r>
          </w:p>
        </w:tc>
        <w:tc>
          <w:tcPr>
            <w:tcW w:w="1080" w:type="dxa"/>
          </w:tcPr>
          <w:p w:rsidR="00F97D54" w:rsidRPr="00F43280" w:rsidRDefault="00F97D54" w:rsidP="00EB5B97">
            <w:pPr>
              <w:rPr>
                <w:sz w:val="16"/>
                <w:szCs w:val="16"/>
              </w:rPr>
            </w:pPr>
            <w:r>
              <w:rPr>
                <w:sz w:val="16"/>
                <w:szCs w:val="16"/>
              </w:rPr>
              <w:t>Integer</w:t>
            </w:r>
          </w:p>
        </w:tc>
        <w:tc>
          <w:tcPr>
            <w:tcW w:w="1529" w:type="dxa"/>
          </w:tcPr>
          <w:p w:rsidR="00F97D54" w:rsidRPr="00F43280" w:rsidRDefault="00F97D54" w:rsidP="00EB5B97">
            <w:pPr>
              <w:rPr>
                <w:sz w:val="16"/>
                <w:szCs w:val="16"/>
              </w:rPr>
            </w:pPr>
            <w:r>
              <w:rPr>
                <w:sz w:val="16"/>
                <w:szCs w:val="16"/>
              </w:rPr>
              <w:t>822116</w:t>
            </w:r>
          </w:p>
        </w:tc>
      </w:tr>
      <w:tr w:rsidR="00F97D54" w:rsidRPr="00F43280" w:rsidTr="00EB5B97">
        <w:trPr>
          <w:trHeight w:val="324"/>
        </w:trPr>
        <w:tc>
          <w:tcPr>
            <w:tcW w:w="1781" w:type="dxa"/>
          </w:tcPr>
          <w:p w:rsidR="00F97D54" w:rsidRDefault="00F97D54" w:rsidP="00EB5B97">
            <w:pPr>
              <w:tabs>
                <w:tab w:val="left" w:pos="2022"/>
              </w:tabs>
              <w:rPr>
                <w:sz w:val="16"/>
                <w:szCs w:val="16"/>
              </w:rPr>
            </w:pPr>
            <w:r>
              <w:rPr>
                <w:sz w:val="16"/>
                <w:szCs w:val="16"/>
              </w:rPr>
              <w:t>Customer_ID_ACNA</w:t>
            </w:r>
          </w:p>
        </w:tc>
        <w:tc>
          <w:tcPr>
            <w:tcW w:w="4448" w:type="dxa"/>
          </w:tcPr>
          <w:p w:rsidR="00F97D54" w:rsidRDefault="00F97D54" w:rsidP="00EB5B97">
            <w:pPr>
              <w:rPr>
                <w:sz w:val="16"/>
                <w:szCs w:val="16"/>
              </w:rPr>
            </w:pPr>
            <w:r>
              <w:rPr>
                <w:sz w:val="16"/>
                <w:szCs w:val="16"/>
              </w:rPr>
              <w:t>Where applicable, include the Access Customer Name Abbreviation (ACNA) of the customer</w:t>
            </w:r>
          </w:p>
        </w:tc>
        <w:tc>
          <w:tcPr>
            <w:tcW w:w="1080" w:type="dxa"/>
          </w:tcPr>
          <w:p w:rsidR="00F97D54" w:rsidRDefault="00F97D54" w:rsidP="00EB5B97">
            <w:pPr>
              <w:rPr>
                <w:sz w:val="16"/>
                <w:szCs w:val="16"/>
              </w:rPr>
            </w:pPr>
            <w:r>
              <w:rPr>
                <w:sz w:val="16"/>
                <w:szCs w:val="16"/>
              </w:rPr>
              <w:t>Text</w:t>
            </w:r>
          </w:p>
        </w:tc>
        <w:tc>
          <w:tcPr>
            <w:tcW w:w="1529" w:type="dxa"/>
          </w:tcPr>
          <w:p w:rsidR="00F97D54" w:rsidRDefault="00F97D54" w:rsidP="00EB5B97">
            <w:pPr>
              <w:rPr>
                <w:sz w:val="16"/>
                <w:szCs w:val="16"/>
              </w:rPr>
            </w:pPr>
            <w:r>
              <w:rPr>
                <w:sz w:val="16"/>
                <w:szCs w:val="16"/>
              </w:rPr>
              <w:t>ABC</w:t>
            </w:r>
          </w:p>
        </w:tc>
      </w:tr>
      <w:tr w:rsidR="00F97D54" w:rsidRPr="00F43280" w:rsidTr="00EB5B97">
        <w:trPr>
          <w:trHeight w:val="324"/>
        </w:trPr>
        <w:tc>
          <w:tcPr>
            <w:tcW w:w="1781" w:type="dxa"/>
          </w:tcPr>
          <w:p w:rsidR="00F97D54" w:rsidRDefault="00F97D54" w:rsidP="00EB5B97">
            <w:pPr>
              <w:tabs>
                <w:tab w:val="left" w:pos="2022"/>
              </w:tabs>
              <w:rPr>
                <w:sz w:val="16"/>
                <w:szCs w:val="16"/>
              </w:rPr>
            </w:pPr>
            <w:r>
              <w:rPr>
                <w:sz w:val="16"/>
                <w:szCs w:val="16"/>
              </w:rPr>
              <w:t>Customer_ID_OCN</w:t>
            </w:r>
          </w:p>
        </w:tc>
        <w:tc>
          <w:tcPr>
            <w:tcW w:w="4448" w:type="dxa"/>
          </w:tcPr>
          <w:p w:rsidR="00F97D54" w:rsidRDefault="00F97D54" w:rsidP="00EB5B97">
            <w:pPr>
              <w:rPr>
                <w:sz w:val="16"/>
                <w:szCs w:val="16"/>
              </w:rPr>
            </w:pPr>
            <w:r>
              <w:rPr>
                <w:sz w:val="16"/>
                <w:szCs w:val="16"/>
              </w:rPr>
              <w:t>Where applicable, include the Operating Company Number (OCN) of the customer</w:t>
            </w:r>
          </w:p>
        </w:tc>
        <w:tc>
          <w:tcPr>
            <w:tcW w:w="1080" w:type="dxa"/>
          </w:tcPr>
          <w:p w:rsidR="00F97D54" w:rsidRDefault="00F97D54" w:rsidP="00EB5B97">
            <w:pPr>
              <w:rPr>
                <w:sz w:val="16"/>
                <w:szCs w:val="16"/>
              </w:rPr>
            </w:pPr>
            <w:r>
              <w:rPr>
                <w:sz w:val="16"/>
                <w:szCs w:val="16"/>
              </w:rPr>
              <w:t>Integer</w:t>
            </w:r>
          </w:p>
        </w:tc>
        <w:tc>
          <w:tcPr>
            <w:tcW w:w="1529" w:type="dxa"/>
          </w:tcPr>
          <w:p w:rsidR="00F97D54" w:rsidRDefault="00F97D54" w:rsidP="00EB5B97">
            <w:pPr>
              <w:rPr>
                <w:sz w:val="16"/>
                <w:szCs w:val="16"/>
              </w:rPr>
            </w:pPr>
            <w:r>
              <w:rPr>
                <w:sz w:val="16"/>
                <w:szCs w:val="16"/>
              </w:rPr>
              <w:t>1234</w:t>
            </w:r>
          </w:p>
        </w:tc>
      </w:tr>
      <w:tr w:rsidR="00F97D54" w:rsidRPr="00F43280" w:rsidTr="00EB5B97">
        <w:trPr>
          <w:trHeight w:val="324"/>
        </w:trPr>
        <w:tc>
          <w:tcPr>
            <w:tcW w:w="1781" w:type="dxa"/>
          </w:tcPr>
          <w:p w:rsidR="00F97D54" w:rsidRDefault="00F97D54" w:rsidP="00EB5B97">
            <w:pPr>
              <w:tabs>
                <w:tab w:val="left" w:pos="2022"/>
              </w:tabs>
              <w:rPr>
                <w:sz w:val="16"/>
                <w:szCs w:val="16"/>
              </w:rPr>
            </w:pPr>
            <w:r>
              <w:rPr>
                <w:sz w:val="16"/>
                <w:szCs w:val="16"/>
              </w:rPr>
              <w:t>Customer_Name</w:t>
            </w:r>
          </w:p>
        </w:tc>
        <w:tc>
          <w:tcPr>
            <w:tcW w:w="4448" w:type="dxa"/>
          </w:tcPr>
          <w:p w:rsidR="00F97D54" w:rsidRDefault="00F97D54" w:rsidP="00EB5B97">
            <w:pPr>
              <w:rPr>
                <w:sz w:val="16"/>
                <w:szCs w:val="16"/>
              </w:rPr>
            </w:pPr>
            <w:r>
              <w:rPr>
                <w:sz w:val="16"/>
                <w:szCs w:val="16"/>
              </w:rPr>
              <w:t>Enter the name of the customer</w:t>
            </w:r>
          </w:p>
        </w:tc>
        <w:tc>
          <w:tcPr>
            <w:tcW w:w="1080" w:type="dxa"/>
          </w:tcPr>
          <w:p w:rsidR="00F97D54" w:rsidRDefault="00F97D54" w:rsidP="00EB5B97">
            <w:pPr>
              <w:rPr>
                <w:sz w:val="16"/>
                <w:szCs w:val="16"/>
              </w:rPr>
            </w:pPr>
            <w:r>
              <w:rPr>
                <w:sz w:val="16"/>
                <w:szCs w:val="16"/>
              </w:rPr>
              <w:t>Text</w:t>
            </w:r>
          </w:p>
        </w:tc>
        <w:tc>
          <w:tcPr>
            <w:tcW w:w="1529" w:type="dxa"/>
          </w:tcPr>
          <w:p w:rsidR="00F97D54" w:rsidRDefault="00F97D54" w:rsidP="00EB5B97">
            <w:pPr>
              <w:rPr>
                <w:sz w:val="16"/>
                <w:szCs w:val="16"/>
              </w:rPr>
            </w:pPr>
            <w:r>
              <w:rPr>
                <w:sz w:val="16"/>
                <w:szCs w:val="16"/>
              </w:rPr>
              <w:t>Verizon Wireless</w:t>
            </w:r>
          </w:p>
        </w:tc>
      </w:tr>
      <w:tr w:rsidR="00F97D54" w:rsidRPr="00F43280" w:rsidTr="00EB5B97">
        <w:trPr>
          <w:trHeight w:val="324"/>
        </w:trPr>
        <w:tc>
          <w:tcPr>
            <w:tcW w:w="1781" w:type="dxa"/>
          </w:tcPr>
          <w:p w:rsidR="00F97D54" w:rsidRDefault="00F97D54" w:rsidP="00EB5B97">
            <w:pPr>
              <w:tabs>
                <w:tab w:val="left" w:pos="2022"/>
              </w:tabs>
              <w:rPr>
                <w:sz w:val="16"/>
                <w:szCs w:val="16"/>
              </w:rPr>
            </w:pPr>
            <w:r>
              <w:rPr>
                <w:sz w:val="16"/>
                <w:szCs w:val="16"/>
              </w:rPr>
              <w:t>Provider</w:t>
            </w:r>
          </w:p>
        </w:tc>
        <w:tc>
          <w:tcPr>
            <w:tcW w:w="4448" w:type="dxa"/>
          </w:tcPr>
          <w:p w:rsidR="00F97D54" w:rsidRPr="0084599C" w:rsidRDefault="00F97D54" w:rsidP="00EB5B97">
            <w:pPr>
              <w:rPr>
                <w:sz w:val="16"/>
                <w:szCs w:val="16"/>
              </w:rPr>
            </w:pPr>
            <w:r>
              <w:rPr>
                <w:sz w:val="16"/>
                <w:szCs w:val="16"/>
              </w:rPr>
              <w:t xml:space="preserve">Indicator variable denoting whether the circuit is purchased by a </w:t>
            </w:r>
            <w:r w:rsidRPr="00A21CFF">
              <w:rPr>
                <w:i/>
                <w:sz w:val="16"/>
                <w:szCs w:val="16"/>
              </w:rPr>
              <w:t>Provider</w:t>
            </w:r>
            <w:r>
              <w:rPr>
                <w:sz w:val="16"/>
                <w:szCs w:val="16"/>
              </w:rPr>
              <w:t xml:space="preserve">  (0 = non-Provider; 1 = Provider)</w:t>
            </w:r>
          </w:p>
        </w:tc>
        <w:tc>
          <w:tcPr>
            <w:tcW w:w="1080" w:type="dxa"/>
          </w:tcPr>
          <w:p w:rsidR="00F97D54" w:rsidRDefault="00F97D54" w:rsidP="00EB5B97">
            <w:pPr>
              <w:rPr>
                <w:sz w:val="16"/>
                <w:szCs w:val="16"/>
              </w:rPr>
            </w:pPr>
            <w:r>
              <w:rPr>
                <w:sz w:val="16"/>
                <w:szCs w:val="16"/>
              </w:rPr>
              <w:t>Integer</w:t>
            </w:r>
          </w:p>
        </w:tc>
        <w:tc>
          <w:tcPr>
            <w:tcW w:w="1529" w:type="dxa"/>
          </w:tcPr>
          <w:p w:rsidR="00F97D54" w:rsidRDefault="00F97D54" w:rsidP="00EB5B97">
            <w:pPr>
              <w:rPr>
                <w:sz w:val="16"/>
                <w:szCs w:val="16"/>
              </w:rPr>
            </w:pPr>
            <w:r>
              <w:rPr>
                <w:sz w:val="16"/>
                <w:szCs w:val="16"/>
              </w:rPr>
              <w:t>1</w:t>
            </w:r>
          </w:p>
        </w:tc>
      </w:tr>
      <w:tr w:rsidR="00F97D54" w:rsidRPr="00F43280" w:rsidTr="00EB5B97">
        <w:trPr>
          <w:trHeight w:val="432"/>
        </w:trPr>
        <w:tc>
          <w:tcPr>
            <w:tcW w:w="1781" w:type="dxa"/>
            <w:tcBorders>
              <w:bottom w:val="double" w:sz="4" w:space="0" w:color="auto"/>
            </w:tcBorders>
          </w:tcPr>
          <w:p w:rsidR="00F97D54" w:rsidRDefault="00F97D54" w:rsidP="00EB5B97">
            <w:pPr>
              <w:tabs>
                <w:tab w:val="left" w:pos="2022"/>
              </w:tabs>
              <w:rPr>
                <w:sz w:val="16"/>
                <w:szCs w:val="16"/>
              </w:rPr>
            </w:pPr>
          </w:p>
        </w:tc>
        <w:tc>
          <w:tcPr>
            <w:tcW w:w="4448" w:type="dxa"/>
            <w:tcBorders>
              <w:bottom w:val="double" w:sz="4" w:space="0" w:color="auto"/>
            </w:tcBorders>
          </w:tcPr>
          <w:p w:rsidR="00F97D54" w:rsidRDefault="00F97D54" w:rsidP="00EB5B97">
            <w:pPr>
              <w:rPr>
                <w:sz w:val="16"/>
                <w:szCs w:val="16"/>
              </w:rPr>
            </w:pPr>
          </w:p>
        </w:tc>
        <w:tc>
          <w:tcPr>
            <w:tcW w:w="1080" w:type="dxa"/>
            <w:tcBorders>
              <w:bottom w:val="double" w:sz="4" w:space="0" w:color="auto"/>
            </w:tcBorders>
          </w:tcPr>
          <w:p w:rsidR="00F97D54" w:rsidRDefault="00F97D54" w:rsidP="00EB5B97">
            <w:pPr>
              <w:rPr>
                <w:sz w:val="16"/>
                <w:szCs w:val="16"/>
              </w:rPr>
            </w:pPr>
          </w:p>
        </w:tc>
        <w:tc>
          <w:tcPr>
            <w:tcW w:w="1529" w:type="dxa"/>
            <w:tcBorders>
              <w:bottom w:val="double" w:sz="4" w:space="0" w:color="auto"/>
            </w:tcBorders>
          </w:tcPr>
          <w:p w:rsidR="00F97D54" w:rsidRDefault="00F97D54" w:rsidP="00EB5B97">
            <w:pPr>
              <w:rPr>
                <w:sz w:val="16"/>
                <w:szCs w:val="16"/>
              </w:rPr>
            </w:pPr>
          </w:p>
        </w:tc>
      </w:tr>
    </w:tbl>
    <w:p w:rsidR="00F97D54" w:rsidRDefault="00F97D54" w:rsidP="00587EB9">
      <w:pPr>
        <w:rPr>
          <w:b/>
          <w:sz w:val="20"/>
          <w:szCs w:val="22"/>
        </w:rPr>
      </w:pPr>
    </w:p>
    <w:p w:rsidR="00F97D54" w:rsidRPr="003E4C7C" w:rsidRDefault="00F97D54" w:rsidP="00EB5B97">
      <w:pPr>
        <w:rPr>
          <w:szCs w:val="22"/>
        </w:rPr>
      </w:pPr>
      <w:r w:rsidRPr="003E4C7C">
        <w:rPr>
          <w:szCs w:val="22"/>
        </w:rPr>
        <w:t xml:space="preserve">Instructions for Table II.B.4, </w:t>
      </w:r>
      <w:r>
        <w:rPr>
          <w:szCs w:val="22"/>
        </w:rPr>
        <w:t>Parts 1 and 2</w:t>
      </w:r>
      <w:r w:rsidRPr="003E4C7C">
        <w:rPr>
          <w:szCs w:val="22"/>
        </w:rPr>
        <w:t>:</w:t>
      </w:r>
      <w:r w:rsidRPr="005C7802">
        <w:rPr>
          <w:rStyle w:val="FootnoteReference"/>
          <w:b/>
          <w:szCs w:val="22"/>
        </w:rPr>
        <w:t xml:space="preserve"> </w:t>
      </w:r>
      <w:r w:rsidRPr="005416D6">
        <w:rPr>
          <w:rStyle w:val="FootnoteReference"/>
          <w:szCs w:val="22"/>
        </w:rPr>
        <w:footnoteReference w:id="205"/>
      </w:r>
    </w:p>
    <w:p w:rsidR="00F97D54" w:rsidRPr="00146E51" w:rsidRDefault="00F97D54" w:rsidP="00EB5B97">
      <w:pPr>
        <w:rPr>
          <w:sz w:val="20"/>
          <w:szCs w:val="22"/>
        </w:rPr>
      </w:pPr>
    </w:p>
    <w:p w:rsidR="00F97D54" w:rsidRDefault="00F97D54" w:rsidP="00EB5B97">
      <w:pPr>
        <w:pStyle w:val="ListParagraph"/>
        <w:numPr>
          <w:ilvl w:val="0"/>
          <w:numId w:val="19"/>
        </w:numPr>
        <w:spacing w:after="200" w:line="276" w:lineRule="auto"/>
        <w:rPr>
          <w:sz w:val="22"/>
          <w:szCs w:val="22"/>
        </w:rPr>
      </w:pPr>
      <w:r w:rsidRPr="00146E51">
        <w:rPr>
          <w:sz w:val="22"/>
          <w:szCs w:val="22"/>
          <w:u w:val="single"/>
        </w:rPr>
        <w:t>Closing_Date</w:t>
      </w:r>
      <w:r>
        <w:rPr>
          <w:sz w:val="22"/>
          <w:szCs w:val="22"/>
        </w:rPr>
        <w:t>:  E</w:t>
      </w:r>
      <w:r w:rsidRPr="009376CC">
        <w:rPr>
          <w:sz w:val="22"/>
          <w:szCs w:val="22"/>
        </w:rPr>
        <w:t xml:space="preserve">nter the date on which the customer was billed.  The date </w:t>
      </w:r>
      <w:r>
        <w:rPr>
          <w:sz w:val="22"/>
          <w:szCs w:val="22"/>
        </w:rPr>
        <w:t>must</w:t>
      </w:r>
      <w:r w:rsidRPr="009376CC">
        <w:rPr>
          <w:sz w:val="22"/>
          <w:szCs w:val="22"/>
        </w:rPr>
        <w:t xml:space="preserve"> appear in mm/dd/yyyy format.  All dates </w:t>
      </w:r>
      <w:r>
        <w:rPr>
          <w:sz w:val="22"/>
          <w:szCs w:val="22"/>
        </w:rPr>
        <w:t>must</w:t>
      </w:r>
      <w:r w:rsidRPr="009376CC">
        <w:rPr>
          <w:sz w:val="22"/>
          <w:szCs w:val="22"/>
        </w:rPr>
        <w:t xml:space="preserve"> be in the ranges 01/01/</w:t>
      </w:r>
      <w:r>
        <w:rPr>
          <w:sz w:val="22"/>
          <w:szCs w:val="22"/>
        </w:rPr>
        <w:t>2010</w:t>
      </w:r>
      <w:r w:rsidRPr="009376CC">
        <w:rPr>
          <w:sz w:val="22"/>
          <w:szCs w:val="22"/>
        </w:rPr>
        <w:t xml:space="preserve"> – 12/31/</w:t>
      </w:r>
      <w:r>
        <w:rPr>
          <w:sz w:val="22"/>
          <w:szCs w:val="22"/>
        </w:rPr>
        <w:t>2010</w:t>
      </w:r>
      <w:r w:rsidRPr="009376CC">
        <w:rPr>
          <w:sz w:val="22"/>
          <w:szCs w:val="22"/>
        </w:rPr>
        <w:t xml:space="preserve"> or 01/01/</w:t>
      </w:r>
      <w:r>
        <w:rPr>
          <w:sz w:val="22"/>
          <w:szCs w:val="22"/>
        </w:rPr>
        <w:t>2012</w:t>
      </w:r>
      <w:r w:rsidRPr="009376CC">
        <w:rPr>
          <w:sz w:val="22"/>
          <w:szCs w:val="22"/>
        </w:rPr>
        <w:t xml:space="preserve"> – 12/31/</w:t>
      </w:r>
      <w:r>
        <w:rPr>
          <w:sz w:val="22"/>
          <w:szCs w:val="22"/>
        </w:rPr>
        <w:t>2012</w:t>
      </w:r>
      <w:r w:rsidRPr="009376CC">
        <w:rPr>
          <w:sz w:val="22"/>
          <w:szCs w:val="22"/>
        </w:rPr>
        <w:t>.  Do not include data on circuits billed outside the appropriate date ranges, even if services were provided within the appropriate date ranges (</w:t>
      </w:r>
      <w:r w:rsidRPr="00146E51">
        <w:rPr>
          <w:i/>
          <w:sz w:val="22"/>
          <w:szCs w:val="22"/>
        </w:rPr>
        <w:t>e.g.</w:t>
      </w:r>
      <w:r w:rsidRPr="009376CC">
        <w:rPr>
          <w:sz w:val="22"/>
          <w:szCs w:val="22"/>
        </w:rPr>
        <w:t>, service that was provided in Dec</w:t>
      </w:r>
      <w:r>
        <w:rPr>
          <w:sz w:val="22"/>
          <w:szCs w:val="22"/>
        </w:rPr>
        <w:t>ember</w:t>
      </w:r>
      <w:r w:rsidRPr="009376CC">
        <w:rPr>
          <w:sz w:val="22"/>
          <w:szCs w:val="22"/>
        </w:rPr>
        <w:t xml:space="preserve"> </w:t>
      </w:r>
      <w:r>
        <w:rPr>
          <w:sz w:val="22"/>
          <w:szCs w:val="22"/>
        </w:rPr>
        <w:t>2010</w:t>
      </w:r>
      <w:r w:rsidRPr="009376CC">
        <w:rPr>
          <w:sz w:val="22"/>
          <w:szCs w:val="22"/>
        </w:rPr>
        <w:t xml:space="preserve"> that was billed </w:t>
      </w:r>
      <w:r>
        <w:rPr>
          <w:sz w:val="22"/>
          <w:szCs w:val="22"/>
        </w:rPr>
        <w:t xml:space="preserve">in January 2011).  Likewise, </w:t>
      </w:r>
      <w:r w:rsidRPr="009376CC">
        <w:rPr>
          <w:sz w:val="22"/>
          <w:szCs w:val="22"/>
        </w:rPr>
        <w:t>include data on circuits billed in the appropriate date ranges, even if the service was provided outside of those ranges (</w:t>
      </w:r>
      <w:r w:rsidRPr="00146E51">
        <w:rPr>
          <w:i/>
          <w:sz w:val="22"/>
          <w:szCs w:val="22"/>
        </w:rPr>
        <w:t>e.g.</w:t>
      </w:r>
      <w:r w:rsidRPr="009376CC">
        <w:rPr>
          <w:sz w:val="22"/>
          <w:szCs w:val="22"/>
        </w:rPr>
        <w:t>, service provided in Dec</w:t>
      </w:r>
      <w:r>
        <w:rPr>
          <w:sz w:val="22"/>
          <w:szCs w:val="22"/>
        </w:rPr>
        <w:t>ember</w:t>
      </w:r>
      <w:r w:rsidRPr="009376CC">
        <w:rPr>
          <w:sz w:val="22"/>
          <w:szCs w:val="22"/>
        </w:rPr>
        <w:t xml:space="preserve"> </w:t>
      </w:r>
      <w:r>
        <w:rPr>
          <w:sz w:val="22"/>
          <w:szCs w:val="22"/>
        </w:rPr>
        <w:t>2011</w:t>
      </w:r>
      <w:r w:rsidRPr="009376CC">
        <w:rPr>
          <w:sz w:val="22"/>
          <w:szCs w:val="22"/>
        </w:rPr>
        <w:t xml:space="preserve"> that was billed in Jan</w:t>
      </w:r>
      <w:r>
        <w:rPr>
          <w:sz w:val="22"/>
          <w:szCs w:val="22"/>
        </w:rPr>
        <w:t>uary</w:t>
      </w:r>
      <w:r w:rsidRPr="009376CC">
        <w:rPr>
          <w:sz w:val="22"/>
          <w:szCs w:val="22"/>
        </w:rPr>
        <w:t xml:space="preserve"> </w:t>
      </w:r>
      <w:r>
        <w:rPr>
          <w:sz w:val="22"/>
          <w:szCs w:val="22"/>
        </w:rPr>
        <w:t>2012</w:t>
      </w:r>
      <w:r w:rsidRPr="009376CC">
        <w:rPr>
          <w:sz w:val="22"/>
          <w:szCs w:val="22"/>
        </w:rPr>
        <w:t>).</w:t>
      </w:r>
    </w:p>
    <w:p w:rsidR="00F97D54" w:rsidRDefault="00F97D54" w:rsidP="00EB5B97">
      <w:pPr>
        <w:pStyle w:val="ListParagraph"/>
        <w:spacing w:after="200" w:line="276" w:lineRule="auto"/>
        <w:ind w:left="360"/>
        <w:rPr>
          <w:sz w:val="22"/>
          <w:szCs w:val="22"/>
        </w:rPr>
      </w:pPr>
    </w:p>
    <w:p w:rsidR="00F97D54" w:rsidRPr="00146E51" w:rsidRDefault="00F97D54" w:rsidP="00EB5B97">
      <w:pPr>
        <w:pStyle w:val="ListParagraph"/>
        <w:numPr>
          <w:ilvl w:val="0"/>
          <w:numId w:val="19"/>
        </w:numPr>
        <w:spacing w:after="200" w:line="276" w:lineRule="auto"/>
        <w:rPr>
          <w:sz w:val="22"/>
          <w:szCs w:val="22"/>
        </w:rPr>
      </w:pPr>
      <w:r w:rsidRPr="00063B73">
        <w:rPr>
          <w:sz w:val="22"/>
          <w:szCs w:val="22"/>
        </w:rPr>
        <w:t>The following f</w:t>
      </w:r>
      <w:r>
        <w:rPr>
          <w:sz w:val="22"/>
          <w:szCs w:val="22"/>
        </w:rPr>
        <w:t xml:space="preserve">ields in Parts 1 and 2 of Table II.B.4 are used to identify the customer of the </w:t>
      </w:r>
      <w:r w:rsidRPr="005A6188">
        <w:rPr>
          <w:i/>
          <w:sz w:val="22"/>
          <w:szCs w:val="22"/>
        </w:rPr>
        <w:t>Dedicated Service</w:t>
      </w:r>
      <w:r>
        <w:rPr>
          <w:sz w:val="22"/>
          <w:szCs w:val="22"/>
        </w:rPr>
        <w:t>.</w:t>
      </w:r>
      <w:r>
        <w:rPr>
          <w:rStyle w:val="FootnoteReference"/>
          <w:sz w:val="22"/>
          <w:szCs w:val="22"/>
        </w:rPr>
        <w:footnoteReference w:id="206"/>
      </w:r>
    </w:p>
    <w:p w:rsidR="00F97D54" w:rsidRDefault="00F97D54" w:rsidP="00F6299F">
      <w:pPr>
        <w:pStyle w:val="ListParagraph"/>
        <w:widowControl/>
        <w:numPr>
          <w:ilvl w:val="0"/>
          <w:numId w:val="10"/>
        </w:numPr>
        <w:spacing w:after="200" w:line="276" w:lineRule="auto"/>
        <w:rPr>
          <w:sz w:val="22"/>
          <w:szCs w:val="22"/>
        </w:rPr>
      </w:pPr>
      <w:r>
        <w:rPr>
          <w:sz w:val="22"/>
          <w:szCs w:val="22"/>
          <w:u w:val="single"/>
        </w:rPr>
        <w:t>Customer</w:t>
      </w:r>
      <w:r w:rsidRPr="007275EA">
        <w:rPr>
          <w:sz w:val="22"/>
          <w:szCs w:val="22"/>
          <w:u w:val="single"/>
        </w:rPr>
        <w:t>_ID</w:t>
      </w:r>
      <w:r w:rsidRPr="007275EA">
        <w:rPr>
          <w:sz w:val="22"/>
          <w:szCs w:val="22"/>
        </w:rPr>
        <w:t>:</w:t>
      </w:r>
      <w:r w:rsidRPr="00063B73">
        <w:rPr>
          <w:sz w:val="22"/>
          <w:szCs w:val="22"/>
        </w:rPr>
        <w:t xml:space="preserve">  </w:t>
      </w:r>
      <w:r>
        <w:rPr>
          <w:sz w:val="22"/>
          <w:szCs w:val="22"/>
        </w:rPr>
        <w:t>A</w:t>
      </w:r>
      <w:r w:rsidRPr="00063B73">
        <w:rPr>
          <w:sz w:val="22"/>
          <w:szCs w:val="22"/>
        </w:rPr>
        <w:t xml:space="preserve">ssign a unique identifier to each customer so that all circuits purchased by the customer can be tracked over time and across locations.  The identifiers </w:t>
      </w:r>
      <w:r>
        <w:rPr>
          <w:sz w:val="22"/>
          <w:szCs w:val="22"/>
        </w:rPr>
        <w:t>must</w:t>
      </w:r>
      <w:r w:rsidRPr="00063B73">
        <w:rPr>
          <w:sz w:val="22"/>
          <w:szCs w:val="22"/>
        </w:rPr>
        <w:t xml:space="preserve"> be entered in integer format.</w:t>
      </w:r>
      <w:r>
        <w:rPr>
          <w:sz w:val="22"/>
          <w:szCs w:val="22"/>
        </w:rPr>
        <w:t xml:space="preserve">  This Customer_ID will be used to link the circuit billing information (Table II.B.4 Part 1) to the customer names and identification numbers (Table II.B.4 Part 2).  In Part 2, provide the customer name, an indicator for whether the customer is a </w:t>
      </w:r>
      <w:r>
        <w:rPr>
          <w:i/>
          <w:sz w:val="22"/>
          <w:szCs w:val="22"/>
        </w:rPr>
        <w:t>Provider</w:t>
      </w:r>
      <w:r>
        <w:rPr>
          <w:sz w:val="22"/>
          <w:szCs w:val="22"/>
        </w:rPr>
        <w:t>, and, where applicable, one of the following identification numbers: 499A filer ID, Access Customer Name Abbreviation (ACNA), or Operating Company Number (OCN).   Note, the Customer_ID variable is required for all observations in both Part1 and Part 2.  However, only one of the three additional identification numbers (499, ACNA, OCN) need be provided, even if multiple identification numbers are available.  Each Customer_ID must appear only once in Part 2, but will likely appear multiple times in Part 1.</w:t>
      </w:r>
    </w:p>
    <w:p w:rsidR="00F97D54" w:rsidRDefault="00F97D54" w:rsidP="00EB5B97">
      <w:pPr>
        <w:pStyle w:val="ListParagraph"/>
        <w:numPr>
          <w:ilvl w:val="0"/>
          <w:numId w:val="10"/>
        </w:numPr>
        <w:spacing w:after="200" w:line="276" w:lineRule="auto"/>
        <w:rPr>
          <w:sz w:val="22"/>
          <w:szCs w:val="22"/>
        </w:rPr>
      </w:pPr>
      <w:r>
        <w:rPr>
          <w:sz w:val="22"/>
          <w:szCs w:val="22"/>
          <w:u w:val="single"/>
        </w:rPr>
        <w:t>Customer</w:t>
      </w:r>
      <w:r w:rsidRPr="002A5675">
        <w:rPr>
          <w:sz w:val="22"/>
          <w:szCs w:val="22"/>
          <w:u w:val="single"/>
        </w:rPr>
        <w:t>_ID_499</w:t>
      </w:r>
      <w:r w:rsidRPr="002A5675">
        <w:rPr>
          <w:sz w:val="22"/>
          <w:szCs w:val="22"/>
        </w:rPr>
        <w:t xml:space="preserve">:  Where applicable, include the 499A Filer ID of the customer.  The 499A Filer ID does not replace the </w:t>
      </w:r>
      <w:r>
        <w:rPr>
          <w:sz w:val="22"/>
          <w:szCs w:val="22"/>
        </w:rPr>
        <w:t>Customer</w:t>
      </w:r>
      <w:r w:rsidRPr="002A5675">
        <w:rPr>
          <w:sz w:val="22"/>
          <w:szCs w:val="22"/>
        </w:rPr>
        <w:t xml:space="preserve">_ID variable.  Both the </w:t>
      </w:r>
      <w:r>
        <w:rPr>
          <w:sz w:val="22"/>
          <w:szCs w:val="22"/>
        </w:rPr>
        <w:t>Customer</w:t>
      </w:r>
      <w:r w:rsidRPr="002A5675">
        <w:rPr>
          <w:sz w:val="22"/>
          <w:szCs w:val="22"/>
        </w:rPr>
        <w:t xml:space="preserve">_ID and </w:t>
      </w:r>
      <w:r>
        <w:rPr>
          <w:sz w:val="22"/>
          <w:szCs w:val="22"/>
        </w:rPr>
        <w:t>Customer</w:t>
      </w:r>
      <w:r w:rsidRPr="002A5675">
        <w:rPr>
          <w:sz w:val="22"/>
          <w:szCs w:val="22"/>
        </w:rPr>
        <w:t>_ID_499 fields are populated for any customer with a 499A Filer ID.  If the customer does not have a 499A Filer ID, leave the field blank.</w:t>
      </w:r>
    </w:p>
    <w:p w:rsidR="00F97D54" w:rsidRDefault="00F97D54" w:rsidP="00EB5B97">
      <w:pPr>
        <w:pStyle w:val="ListParagraph"/>
        <w:numPr>
          <w:ilvl w:val="0"/>
          <w:numId w:val="10"/>
        </w:numPr>
        <w:spacing w:after="200" w:line="276" w:lineRule="auto"/>
        <w:rPr>
          <w:sz w:val="22"/>
          <w:szCs w:val="22"/>
        </w:rPr>
      </w:pPr>
      <w:r>
        <w:rPr>
          <w:sz w:val="22"/>
          <w:szCs w:val="22"/>
          <w:u w:val="single"/>
        </w:rPr>
        <w:t>Customer</w:t>
      </w:r>
      <w:r w:rsidRPr="002A5675">
        <w:rPr>
          <w:sz w:val="22"/>
          <w:szCs w:val="22"/>
          <w:u w:val="single"/>
        </w:rPr>
        <w:t>_ID_ACNA</w:t>
      </w:r>
      <w:r w:rsidRPr="002A5675">
        <w:rPr>
          <w:sz w:val="22"/>
          <w:szCs w:val="22"/>
        </w:rPr>
        <w:t xml:space="preserve">:  Where applicable, include the Access Company Name Abbreviation (ACNA) of the customer in Part 2.  The ACNA does not replace the </w:t>
      </w:r>
      <w:r>
        <w:rPr>
          <w:sz w:val="22"/>
          <w:szCs w:val="22"/>
        </w:rPr>
        <w:t>Customer</w:t>
      </w:r>
      <w:r w:rsidRPr="002A5675">
        <w:rPr>
          <w:sz w:val="22"/>
          <w:szCs w:val="22"/>
        </w:rPr>
        <w:t xml:space="preserve">_ID variable.  Both the </w:t>
      </w:r>
      <w:r>
        <w:rPr>
          <w:sz w:val="22"/>
          <w:szCs w:val="22"/>
        </w:rPr>
        <w:t>Customer</w:t>
      </w:r>
      <w:r w:rsidRPr="002A5675">
        <w:rPr>
          <w:sz w:val="22"/>
          <w:szCs w:val="22"/>
        </w:rPr>
        <w:t xml:space="preserve">_ID and </w:t>
      </w:r>
      <w:r>
        <w:rPr>
          <w:sz w:val="22"/>
          <w:szCs w:val="22"/>
        </w:rPr>
        <w:t>Customer</w:t>
      </w:r>
      <w:r w:rsidRPr="002A5675">
        <w:rPr>
          <w:sz w:val="22"/>
          <w:szCs w:val="22"/>
        </w:rPr>
        <w:t>_ID_ACNA fields are populated for any customer with an ACNA.  If the customer does not have an ACNA, leave the field blank.</w:t>
      </w:r>
    </w:p>
    <w:p w:rsidR="00F97D54" w:rsidRDefault="00F97D54" w:rsidP="009F2B22">
      <w:pPr>
        <w:pStyle w:val="ListParagraph"/>
        <w:widowControl/>
        <w:numPr>
          <w:ilvl w:val="0"/>
          <w:numId w:val="10"/>
        </w:numPr>
        <w:spacing w:after="200" w:line="276" w:lineRule="auto"/>
        <w:rPr>
          <w:sz w:val="22"/>
          <w:szCs w:val="22"/>
        </w:rPr>
      </w:pPr>
      <w:r>
        <w:rPr>
          <w:sz w:val="22"/>
          <w:szCs w:val="22"/>
          <w:u w:val="single"/>
        </w:rPr>
        <w:t>Customer</w:t>
      </w:r>
      <w:r w:rsidRPr="002A5675">
        <w:rPr>
          <w:sz w:val="22"/>
          <w:szCs w:val="22"/>
          <w:u w:val="single"/>
        </w:rPr>
        <w:t>_ID_OCN</w:t>
      </w:r>
      <w:r w:rsidRPr="002A5675">
        <w:rPr>
          <w:sz w:val="22"/>
          <w:szCs w:val="22"/>
        </w:rPr>
        <w:t xml:space="preserve">:  Where applicable, include the Operating Company Number (OCN) of the customer in Part 2.  The OCN does not replace the </w:t>
      </w:r>
      <w:r>
        <w:rPr>
          <w:sz w:val="22"/>
          <w:szCs w:val="22"/>
        </w:rPr>
        <w:t>Customer</w:t>
      </w:r>
      <w:r w:rsidRPr="002A5675">
        <w:rPr>
          <w:sz w:val="22"/>
          <w:szCs w:val="22"/>
        </w:rPr>
        <w:t xml:space="preserve">_ID variable.  Both the </w:t>
      </w:r>
      <w:r>
        <w:rPr>
          <w:sz w:val="22"/>
          <w:szCs w:val="22"/>
        </w:rPr>
        <w:t>Customer</w:t>
      </w:r>
      <w:r w:rsidRPr="002A5675">
        <w:rPr>
          <w:sz w:val="22"/>
          <w:szCs w:val="22"/>
        </w:rPr>
        <w:t xml:space="preserve">_ID and </w:t>
      </w:r>
      <w:r>
        <w:rPr>
          <w:sz w:val="22"/>
          <w:szCs w:val="22"/>
        </w:rPr>
        <w:t>Customer</w:t>
      </w:r>
      <w:r w:rsidRPr="002A5675">
        <w:rPr>
          <w:sz w:val="22"/>
          <w:szCs w:val="22"/>
        </w:rPr>
        <w:t>_ID_OCN fields are populated for any customer with an OCN.  If the customer does not have an OCN, leave the field blank.</w:t>
      </w:r>
    </w:p>
    <w:p w:rsidR="00F97D54" w:rsidRDefault="00F97D54" w:rsidP="00EB5B97">
      <w:pPr>
        <w:pStyle w:val="ListParagraph"/>
        <w:numPr>
          <w:ilvl w:val="0"/>
          <w:numId w:val="10"/>
        </w:numPr>
        <w:spacing w:after="200" w:line="276" w:lineRule="auto"/>
        <w:rPr>
          <w:sz w:val="22"/>
          <w:szCs w:val="22"/>
        </w:rPr>
      </w:pPr>
      <w:r>
        <w:rPr>
          <w:sz w:val="22"/>
          <w:szCs w:val="22"/>
          <w:u w:val="single"/>
        </w:rPr>
        <w:t>Customer</w:t>
      </w:r>
      <w:r w:rsidRPr="002A5675">
        <w:rPr>
          <w:sz w:val="22"/>
          <w:szCs w:val="22"/>
          <w:u w:val="single"/>
        </w:rPr>
        <w:t>_Name</w:t>
      </w:r>
      <w:r w:rsidRPr="002A5675">
        <w:rPr>
          <w:sz w:val="22"/>
          <w:szCs w:val="22"/>
        </w:rPr>
        <w:t>:  Enter the name of the customer in Part 2</w:t>
      </w:r>
      <w:r>
        <w:rPr>
          <w:sz w:val="22"/>
          <w:szCs w:val="22"/>
        </w:rPr>
        <w:t xml:space="preserve"> of Question II.B.4</w:t>
      </w:r>
      <w:r w:rsidRPr="002A5675">
        <w:rPr>
          <w:sz w:val="22"/>
          <w:szCs w:val="22"/>
        </w:rPr>
        <w:t xml:space="preserve">.  The variable </w:t>
      </w:r>
      <w:r>
        <w:rPr>
          <w:sz w:val="22"/>
          <w:szCs w:val="22"/>
        </w:rPr>
        <w:t>must</w:t>
      </w:r>
      <w:r w:rsidRPr="002A5675">
        <w:rPr>
          <w:sz w:val="22"/>
          <w:szCs w:val="22"/>
        </w:rPr>
        <w:t xml:space="preserve"> be entered as a string and be no longer than 30 characters in length.</w:t>
      </w:r>
    </w:p>
    <w:p w:rsidR="00F97D54" w:rsidRPr="002A5675" w:rsidRDefault="00F97D54" w:rsidP="00EB5B97">
      <w:pPr>
        <w:pStyle w:val="ListParagraph"/>
        <w:numPr>
          <w:ilvl w:val="0"/>
          <w:numId w:val="10"/>
        </w:numPr>
        <w:spacing w:after="200" w:line="276" w:lineRule="auto"/>
        <w:rPr>
          <w:sz w:val="22"/>
          <w:szCs w:val="22"/>
        </w:rPr>
      </w:pPr>
      <w:r w:rsidRPr="002A5675">
        <w:rPr>
          <w:sz w:val="22"/>
          <w:szCs w:val="22"/>
          <w:u w:val="single"/>
        </w:rPr>
        <w:t>Provider</w:t>
      </w:r>
      <w:r w:rsidRPr="002A5675">
        <w:rPr>
          <w:sz w:val="22"/>
          <w:szCs w:val="22"/>
        </w:rPr>
        <w:t xml:space="preserve">:  Indicate whether the customer is a </w:t>
      </w:r>
      <w:r w:rsidRPr="002A5675">
        <w:rPr>
          <w:i/>
          <w:sz w:val="22"/>
          <w:szCs w:val="22"/>
        </w:rPr>
        <w:t>Provider</w:t>
      </w:r>
      <w:r w:rsidRPr="002A5675">
        <w:rPr>
          <w:sz w:val="22"/>
          <w:szCs w:val="22"/>
        </w:rPr>
        <w:t xml:space="preserve"> in Part 2.  Enter a 1 if the customer is a </w:t>
      </w:r>
      <w:r w:rsidRPr="002A5675">
        <w:rPr>
          <w:i/>
          <w:sz w:val="22"/>
          <w:szCs w:val="22"/>
        </w:rPr>
        <w:t>Provider</w:t>
      </w:r>
      <w:r w:rsidRPr="002A5675">
        <w:rPr>
          <w:sz w:val="22"/>
          <w:szCs w:val="22"/>
        </w:rPr>
        <w:t xml:space="preserve"> and a 0 otherwise.  In some instances, it may be difficult to identify if the customer is a </w:t>
      </w:r>
      <w:r w:rsidRPr="002A5675">
        <w:rPr>
          <w:i/>
          <w:sz w:val="22"/>
          <w:szCs w:val="22"/>
        </w:rPr>
        <w:t>Provider</w:t>
      </w:r>
      <w:r w:rsidRPr="002A5675">
        <w:rPr>
          <w:sz w:val="22"/>
          <w:szCs w:val="22"/>
        </w:rPr>
        <w:t xml:space="preserve"> using billing information, but can often be inferred by the existence of a 499A Filer ID or by whether USF charges are passed on to the customer in their bill.</w:t>
      </w:r>
    </w:p>
    <w:p w:rsidR="00F97D54" w:rsidRPr="009376CC" w:rsidRDefault="00F97D54" w:rsidP="00EB5B97">
      <w:pPr>
        <w:pStyle w:val="ListParagraph"/>
        <w:rPr>
          <w:sz w:val="22"/>
          <w:szCs w:val="22"/>
        </w:rPr>
      </w:pPr>
    </w:p>
    <w:p w:rsidR="00F97D54" w:rsidRPr="009376CC" w:rsidRDefault="00F97D54" w:rsidP="00EB5B97">
      <w:pPr>
        <w:pStyle w:val="ListParagraph"/>
        <w:numPr>
          <w:ilvl w:val="0"/>
          <w:numId w:val="19"/>
        </w:numPr>
        <w:spacing w:after="200" w:line="276" w:lineRule="auto"/>
        <w:rPr>
          <w:sz w:val="22"/>
          <w:szCs w:val="22"/>
        </w:rPr>
      </w:pPr>
      <w:r w:rsidRPr="003E4C7C">
        <w:rPr>
          <w:sz w:val="22"/>
          <w:szCs w:val="22"/>
          <w:u w:val="single"/>
        </w:rPr>
        <w:t>Location_ID</w:t>
      </w:r>
      <w:r>
        <w:rPr>
          <w:sz w:val="22"/>
          <w:szCs w:val="22"/>
        </w:rPr>
        <w:t>:  I</w:t>
      </w:r>
      <w:r w:rsidRPr="009376CC">
        <w:rPr>
          <w:sz w:val="22"/>
          <w:szCs w:val="22"/>
        </w:rPr>
        <w:t xml:space="preserve">nclude the Location ID for each circuit element on the circuit.  The Location ID </w:t>
      </w:r>
      <w:r>
        <w:rPr>
          <w:sz w:val="22"/>
          <w:szCs w:val="22"/>
        </w:rPr>
        <w:t>is</w:t>
      </w:r>
      <w:r w:rsidRPr="009376CC">
        <w:rPr>
          <w:sz w:val="22"/>
          <w:szCs w:val="22"/>
        </w:rPr>
        <w:t xml:space="preserve"> used to li</w:t>
      </w:r>
      <w:r>
        <w:rPr>
          <w:sz w:val="22"/>
          <w:szCs w:val="22"/>
        </w:rPr>
        <w:t>nk the billed circuit with the f</w:t>
      </w:r>
      <w:r w:rsidRPr="009376CC">
        <w:rPr>
          <w:sz w:val="22"/>
          <w:szCs w:val="22"/>
        </w:rPr>
        <w:t>aci</w:t>
      </w:r>
      <w:r>
        <w:rPr>
          <w:sz w:val="22"/>
          <w:szCs w:val="22"/>
        </w:rPr>
        <w:t>lities information reported in Q</w:t>
      </w:r>
      <w:r w:rsidRPr="009376CC">
        <w:rPr>
          <w:sz w:val="22"/>
          <w:szCs w:val="22"/>
        </w:rPr>
        <w:t xml:space="preserve">uestion II.B.3.  </w:t>
      </w:r>
      <w:r>
        <w:rPr>
          <w:sz w:val="22"/>
          <w:szCs w:val="22"/>
        </w:rPr>
        <w:t>That is, e</w:t>
      </w:r>
      <w:r w:rsidRPr="009376CC">
        <w:rPr>
          <w:sz w:val="22"/>
          <w:szCs w:val="22"/>
        </w:rPr>
        <w:t xml:space="preserve">very unique Location ID </w:t>
      </w:r>
      <w:r>
        <w:rPr>
          <w:sz w:val="22"/>
          <w:szCs w:val="22"/>
        </w:rPr>
        <w:t xml:space="preserve">referenced </w:t>
      </w:r>
      <w:r w:rsidRPr="009376CC">
        <w:rPr>
          <w:sz w:val="22"/>
          <w:szCs w:val="22"/>
        </w:rPr>
        <w:t xml:space="preserve">in Question II.B.4 </w:t>
      </w:r>
      <w:r>
        <w:rPr>
          <w:sz w:val="22"/>
          <w:szCs w:val="22"/>
        </w:rPr>
        <w:t>must</w:t>
      </w:r>
      <w:r w:rsidRPr="009376CC">
        <w:rPr>
          <w:sz w:val="22"/>
          <w:szCs w:val="22"/>
        </w:rPr>
        <w:t xml:space="preserve"> match to a Location ID </w:t>
      </w:r>
      <w:r>
        <w:rPr>
          <w:sz w:val="22"/>
          <w:szCs w:val="22"/>
        </w:rPr>
        <w:t xml:space="preserve">reported </w:t>
      </w:r>
      <w:r w:rsidRPr="009376CC">
        <w:rPr>
          <w:sz w:val="22"/>
          <w:szCs w:val="22"/>
        </w:rPr>
        <w:t xml:space="preserve">in II.B.3.  Also, for circuits that connect two </w:t>
      </w:r>
      <w:r w:rsidRPr="00D25B61">
        <w:rPr>
          <w:i/>
          <w:sz w:val="22"/>
          <w:szCs w:val="22"/>
        </w:rPr>
        <w:t>Locations</w:t>
      </w:r>
      <w:r w:rsidRPr="009376CC">
        <w:rPr>
          <w:sz w:val="22"/>
          <w:szCs w:val="22"/>
        </w:rPr>
        <w:t xml:space="preserve">, the Location ID may not be constant within the Circuit ID.  For example, the individual circuit elements for a given Circuit ID may include two channel terminations, each terminating at a different </w:t>
      </w:r>
      <w:r w:rsidRPr="00D25B61">
        <w:rPr>
          <w:i/>
          <w:sz w:val="22"/>
          <w:szCs w:val="22"/>
        </w:rPr>
        <w:t>Location</w:t>
      </w:r>
      <w:r w:rsidRPr="009376CC">
        <w:rPr>
          <w:sz w:val="22"/>
          <w:szCs w:val="22"/>
        </w:rPr>
        <w:t xml:space="preserve">.  The Location ID must be populated for every circuit element in the data set.  </w:t>
      </w:r>
      <w:r>
        <w:rPr>
          <w:sz w:val="22"/>
          <w:szCs w:val="22"/>
        </w:rPr>
        <w:t xml:space="preserve">Specifically, any termination charge must be linked to a </w:t>
      </w:r>
      <w:r>
        <w:rPr>
          <w:i/>
          <w:sz w:val="22"/>
          <w:szCs w:val="22"/>
        </w:rPr>
        <w:t>Location</w:t>
      </w:r>
      <w:r w:rsidRPr="00063B73">
        <w:rPr>
          <w:sz w:val="22"/>
          <w:szCs w:val="22"/>
        </w:rPr>
        <w:t xml:space="preserve">. </w:t>
      </w:r>
      <w:r>
        <w:rPr>
          <w:sz w:val="22"/>
          <w:szCs w:val="22"/>
        </w:rPr>
        <w:t xml:space="preserve"> If the sold </w:t>
      </w:r>
      <w:r w:rsidRPr="008713FF">
        <w:rPr>
          <w:i/>
          <w:sz w:val="22"/>
          <w:szCs w:val="22"/>
        </w:rPr>
        <w:t>Dedicated Service</w:t>
      </w:r>
      <w:r>
        <w:rPr>
          <w:sz w:val="22"/>
          <w:szCs w:val="22"/>
        </w:rPr>
        <w:t xml:space="preserve"> is not to a </w:t>
      </w:r>
      <w:r w:rsidRPr="008713FF">
        <w:rPr>
          <w:i/>
          <w:sz w:val="22"/>
          <w:szCs w:val="22"/>
        </w:rPr>
        <w:t>Location</w:t>
      </w:r>
      <w:r>
        <w:rPr>
          <w:sz w:val="22"/>
          <w:szCs w:val="22"/>
        </w:rPr>
        <w:t xml:space="preserve">, </w:t>
      </w:r>
      <w:r w:rsidRPr="00954287">
        <w:rPr>
          <w:i/>
          <w:sz w:val="22"/>
          <w:szCs w:val="22"/>
        </w:rPr>
        <w:t>e.g.</w:t>
      </w:r>
      <w:r>
        <w:rPr>
          <w:sz w:val="22"/>
          <w:szCs w:val="22"/>
        </w:rPr>
        <w:t>, the sale of dedicated interoffice transport, leave this field blank.</w:t>
      </w:r>
    </w:p>
    <w:p w:rsidR="00F97D54" w:rsidRPr="009376CC" w:rsidRDefault="00F97D54" w:rsidP="00EB5B97">
      <w:pPr>
        <w:pStyle w:val="ListParagraph"/>
        <w:rPr>
          <w:sz w:val="22"/>
          <w:szCs w:val="22"/>
        </w:rPr>
      </w:pPr>
    </w:p>
    <w:p w:rsidR="00F97D54" w:rsidRDefault="00F97D54" w:rsidP="00EB5B97">
      <w:pPr>
        <w:pStyle w:val="ListParagraph"/>
        <w:numPr>
          <w:ilvl w:val="0"/>
          <w:numId w:val="19"/>
        </w:numPr>
        <w:spacing w:after="200" w:line="276" w:lineRule="auto"/>
        <w:rPr>
          <w:sz w:val="22"/>
          <w:szCs w:val="22"/>
        </w:rPr>
      </w:pPr>
      <w:r w:rsidRPr="003E4C7C">
        <w:rPr>
          <w:sz w:val="22"/>
          <w:szCs w:val="22"/>
          <w:u w:val="single"/>
        </w:rPr>
        <w:t>Circuit_ID</w:t>
      </w:r>
      <w:r w:rsidRPr="009376CC">
        <w:rPr>
          <w:sz w:val="22"/>
          <w:szCs w:val="22"/>
        </w:rPr>
        <w:t xml:space="preserve">:  Assign a unique circuit identifier </w:t>
      </w:r>
      <w:r>
        <w:rPr>
          <w:sz w:val="22"/>
          <w:szCs w:val="22"/>
        </w:rPr>
        <w:t xml:space="preserve">(Circuit ID) </w:t>
      </w:r>
      <w:r w:rsidRPr="009376CC">
        <w:rPr>
          <w:sz w:val="22"/>
          <w:szCs w:val="22"/>
        </w:rPr>
        <w:t xml:space="preserve">to all circuit elements purchased in common for a particular circuit.  If the circuit is sold over multiple time periods, the circuit identifier must track the circuit across the multiple months and/or years it appears in the sample.  We prefer </w:t>
      </w:r>
      <w:r>
        <w:rPr>
          <w:sz w:val="22"/>
          <w:szCs w:val="22"/>
        </w:rPr>
        <w:t xml:space="preserve">that you code </w:t>
      </w:r>
      <w:r w:rsidRPr="009376CC">
        <w:rPr>
          <w:sz w:val="22"/>
          <w:szCs w:val="22"/>
        </w:rPr>
        <w:t>the</w:t>
      </w:r>
      <w:r>
        <w:rPr>
          <w:sz w:val="22"/>
          <w:szCs w:val="22"/>
        </w:rPr>
        <w:t xml:space="preserve"> C</w:t>
      </w:r>
      <w:r w:rsidRPr="009376CC">
        <w:rPr>
          <w:sz w:val="22"/>
          <w:szCs w:val="22"/>
        </w:rPr>
        <w:t xml:space="preserve">ircuit </w:t>
      </w:r>
      <w:r>
        <w:rPr>
          <w:sz w:val="22"/>
          <w:szCs w:val="22"/>
        </w:rPr>
        <w:t>IDs</w:t>
      </w:r>
      <w:r w:rsidRPr="009376CC">
        <w:rPr>
          <w:sz w:val="22"/>
          <w:szCs w:val="22"/>
        </w:rPr>
        <w:t xml:space="preserve"> as sequential integers, beginning with the numbe</w:t>
      </w:r>
      <w:r>
        <w:rPr>
          <w:sz w:val="22"/>
          <w:szCs w:val="22"/>
        </w:rPr>
        <w:t>r “1” (similar to the L</w:t>
      </w:r>
      <w:r w:rsidRPr="009376CC">
        <w:rPr>
          <w:sz w:val="22"/>
          <w:szCs w:val="22"/>
        </w:rPr>
        <w:t>ocatio</w:t>
      </w:r>
      <w:r>
        <w:rPr>
          <w:sz w:val="22"/>
          <w:szCs w:val="22"/>
        </w:rPr>
        <w:t>n ID).  However, to the extent you</w:t>
      </w:r>
      <w:r w:rsidRPr="009376CC">
        <w:rPr>
          <w:sz w:val="22"/>
          <w:szCs w:val="22"/>
        </w:rPr>
        <w:t xml:space="preserve"> have an establi</w:t>
      </w:r>
      <w:r>
        <w:rPr>
          <w:sz w:val="22"/>
          <w:szCs w:val="22"/>
        </w:rPr>
        <w:t>shed naming convention for your</w:t>
      </w:r>
      <w:r w:rsidRPr="009376CC">
        <w:rPr>
          <w:sz w:val="22"/>
          <w:szCs w:val="22"/>
        </w:rPr>
        <w:t xml:space="preserve"> circuits, that convention may be substituted in place of</w:t>
      </w:r>
      <w:r>
        <w:rPr>
          <w:sz w:val="22"/>
          <w:szCs w:val="22"/>
        </w:rPr>
        <w:t xml:space="preserve"> sequential numbering.  Code the C</w:t>
      </w:r>
      <w:r w:rsidRPr="009376CC">
        <w:rPr>
          <w:sz w:val="22"/>
          <w:szCs w:val="22"/>
        </w:rPr>
        <w:t xml:space="preserve">ircuit </w:t>
      </w:r>
      <w:r>
        <w:rPr>
          <w:sz w:val="22"/>
          <w:szCs w:val="22"/>
        </w:rPr>
        <w:t>ID</w:t>
      </w:r>
      <w:r w:rsidRPr="009376CC">
        <w:rPr>
          <w:sz w:val="22"/>
          <w:szCs w:val="22"/>
        </w:rPr>
        <w:t xml:space="preserve"> as a string with a maximum of 15 characters.  (Note: Because some filers may choose to use non-numer</w:t>
      </w:r>
      <w:r>
        <w:rPr>
          <w:sz w:val="22"/>
          <w:szCs w:val="22"/>
        </w:rPr>
        <w:t>ic characters in their coding, C</w:t>
      </w:r>
      <w:r w:rsidRPr="009376CC">
        <w:rPr>
          <w:sz w:val="22"/>
          <w:szCs w:val="22"/>
        </w:rPr>
        <w:t xml:space="preserve">ircuit IDs </w:t>
      </w:r>
      <w:r>
        <w:rPr>
          <w:sz w:val="22"/>
          <w:szCs w:val="22"/>
        </w:rPr>
        <w:t xml:space="preserve">must be coded </w:t>
      </w:r>
      <w:r w:rsidRPr="009376CC">
        <w:rPr>
          <w:sz w:val="22"/>
          <w:szCs w:val="22"/>
        </w:rPr>
        <w:t>as string variables, even if they have been renumbered as sequential integers.)</w:t>
      </w:r>
    </w:p>
    <w:p w:rsidR="00F97D54" w:rsidRDefault="00F97D54" w:rsidP="00EB5B97">
      <w:pPr>
        <w:pStyle w:val="ListParagraph"/>
        <w:rPr>
          <w:sz w:val="22"/>
          <w:szCs w:val="22"/>
          <w:u w:val="single"/>
        </w:rPr>
      </w:pPr>
    </w:p>
    <w:p w:rsidR="00F97D54" w:rsidRPr="006118FC" w:rsidRDefault="00F97D54" w:rsidP="00EB5B97">
      <w:pPr>
        <w:pStyle w:val="ListParagraph"/>
        <w:numPr>
          <w:ilvl w:val="0"/>
          <w:numId w:val="19"/>
        </w:numPr>
        <w:spacing w:after="200" w:line="276" w:lineRule="auto"/>
        <w:rPr>
          <w:sz w:val="22"/>
          <w:szCs w:val="22"/>
        </w:rPr>
      </w:pPr>
      <w:r w:rsidRPr="006118FC">
        <w:rPr>
          <w:sz w:val="22"/>
          <w:szCs w:val="22"/>
        </w:rPr>
        <w:t>The following fields identify the type of circuit sold</w:t>
      </w:r>
      <w:r>
        <w:rPr>
          <w:sz w:val="22"/>
          <w:szCs w:val="22"/>
        </w:rPr>
        <w:t xml:space="preserve"> (Circuit Type)</w:t>
      </w:r>
      <w:r w:rsidRPr="006118FC">
        <w:rPr>
          <w:sz w:val="22"/>
          <w:szCs w:val="22"/>
        </w:rPr>
        <w:t>, and the bandwidth of the circuit.</w:t>
      </w:r>
      <w:r>
        <w:rPr>
          <w:sz w:val="22"/>
          <w:szCs w:val="22"/>
        </w:rPr>
        <w:t xml:space="preserve">  The Circuit Type must be populated for every circuit element in the data set.  Only one of the three bandwidth variables needs to be populated for each circuit element, depending on the type of circuit provided.</w:t>
      </w:r>
    </w:p>
    <w:p w:rsidR="00F97D54" w:rsidRDefault="00F97D54" w:rsidP="00EB5B97">
      <w:pPr>
        <w:pStyle w:val="ListParagraph"/>
        <w:numPr>
          <w:ilvl w:val="0"/>
          <w:numId w:val="11"/>
        </w:numPr>
        <w:spacing w:after="200" w:line="276" w:lineRule="auto"/>
        <w:rPr>
          <w:sz w:val="22"/>
          <w:szCs w:val="22"/>
        </w:rPr>
      </w:pPr>
      <w:r w:rsidRPr="00B24C12">
        <w:rPr>
          <w:sz w:val="22"/>
          <w:szCs w:val="22"/>
          <w:u w:val="single"/>
        </w:rPr>
        <w:t>Circuit_Type</w:t>
      </w:r>
      <w:r w:rsidRPr="00063B73">
        <w:rPr>
          <w:sz w:val="22"/>
          <w:szCs w:val="22"/>
        </w:rPr>
        <w:t xml:space="preserve">:  Indicate the type of circuit sold from the following categories: </w:t>
      </w:r>
      <w:r w:rsidRPr="00B24C12">
        <w:rPr>
          <w:i/>
          <w:sz w:val="22"/>
          <w:szCs w:val="22"/>
        </w:rPr>
        <w:t>DS1</w:t>
      </w:r>
      <w:r w:rsidRPr="00063B73">
        <w:rPr>
          <w:sz w:val="22"/>
          <w:szCs w:val="22"/>
        </w:rPr>
        <w:t xml:space="preserve">, </w:t>
      </w:r>
      <w:r w:rsidRPr="00B24C12">
        <w:rPr>
          <w:i/>
          <w:sz w:val="22"/>
          <w:szCs w:val="22"/>
        </w:rPr>
        <w:t>DS3</w:t>
      </w:r>
      <w:r w:rsidRPr="00063B73">
        <w:rPr>
          <w:sz w:val="22"/>
          <w:szCs w:val="22"/>
        </w:rPr>
        <w:t xml:space="preserve">, </w:t>
      </w:r>
      <w:r w:rsidRPr="00B24C12">
        <w:rPr>
          <w:i/>
          <w:sz w:val="22"/>
          <w:szCs w:val="22"/>
        </w:rPr>
        <w:t>DS1</w:t>
      </w:r>
      <w:r w:rsidRPr="00063B73">
        <w:rPr>
          <w:sz w:val="22"/>
          <w:szCs w:val="22"/>
        </w:rPr>
        <w:t>-</w:t>
      </w:r>
      <w:r w:rsidRPr="00B24C12">
        <w:rPr>
          <w:i/>
          <w:sz w:val="22"/>
          <w:szCs w:val="22"/>
        </w:rPr>
        <w:t>UNE</w:t>
      </w:r>
      <w:r w:rsidRPr="00063B73">
        <w:rPr>
          <w:sz w:val="22"/>
          <w:szCs w:val="22"/>
        </w:rPr>
        <w:t xml:space="preserve">, </w:t>
      </w:r>
      <w:r w:rsidRPr="00B24C12">
        <w:rPr>
          <w:i/>
          <w:sz w:val="22"/>
          <w:szCs w:val="22"/>
        </w:rPr>
        <w:t>DS3</w:t>
      </w:r>
      <w:r w:rsidRPr="00063B73">
        <w:rPr>
          <w:sz w:val="22"/>
          <w:szCs w:val="22"/>
        </w:rPr>
        <w:t>-</w:t>
      </w:r>
      <w:r w:rsidRPr="00B24C12">
        <w:rPr>
          <w:i/>
          <w:sz w:val="22"/>
          <w:szCs w:val="22"/>
        </w:rPr>
        <w:t>UNE</w:t>
      </w:r>
      <w:r w:rsidRPr="00063B73">
        <w:rPr>
          <w:sz w:val="22"/>
          <w:szCs w:val="22"/>
        </w:rPr>
        <w:t xml:space="preserve">, other </w:t>
      </w:r>
      <w:r w:rsidRPr="00B24C12">
        <w:rPr>
          <w:i/>
          <w:sz w:val="22"/>
          <w:szCs w:val="22"/>
        </w:rPr>
        <w:t>CBDS</w:t>
      </w:r>
      <w:r w:rsidRPr="00063B73">
        <w:rPr>
          <w:sz w:val="22"/>
          <w:szCs w:val="22"/>
        </w:rPr>
        <w:t xml:space="preserve"> circuit (</w:t>
      </w:r>
      <w:r w:rsidRPr="00B24C12">
        <w:rPr>
          <w:i/>
          <w:sz w:val="22"/>
          <w:szCs w:val="22"/>
        </w:rPr>
        <w:t>i.e.</w:t>
      </w:r>
      <w:r w:rsidRPr="00063B73">
        <w:rPr>
          <w:sz w:val="22"/>
          <w:szCs w:val="22"/>
        </w:rPr>
        <w:t xml:space="preserve">, non-DSn), or </w:t>
      </w:r>
      <w:r w:rsidRPr="00B24C12">
        <w:rPr>
          <w:i/>
          <w:sz w:val="22"/>
          <w:szCs w:val="22"/>
        </w:rPr>
        <w:t>PBDS</w:t>
      </w:r>
      <w:r w:rsidRPr="00063B73">
        <w:rPr>
          <w:sz w:val="22"/>
          <w:szCs w:val="22"/>
        </w:rPr>
        <w:t>.  For packages of DS1s and DS3s s</w:t>
      </w:r>
      <w:r>
        <w:rPr>
          <w:sz w:val="22"/>
          <w:szCs w:val="22"/>
        </w:rPr>
        <w:t xml:space="preserve">old to a </w:t>
      </w:r>
      <w:r w:rsidRPr="008F1546">
        <w:rPr>
          <w:i/>
          <w:sz w:val="22"/>
          <w:szCs w:val="22"/>
        </w:rPr>
        <w:t>Location</w:t>
      </w:r>
      <w:r>
        <w:rPr>
          <w:sz w:val="22"/>
          <w:szCs w:val="22"/>
        </w:rPr>
        <w:t xml:space="preserve">, </w:t>
      </w:r>
      <w:r w:rsidRPr="00063B73">
        <w:rPr>
          <w:sz w:val="22"/>
          <w:szCs w:val="22"/>
        </w:rPr>
        <w:t xml:space="preserve">enter </w:t>
      </w:r>
      <w:r w:rsidRPr="008F1546">
        <w:rPr>
          <w:i/>
          <w:sz w:val="22"/>
          <w:szCs w:val="22"/>
        </w:rPr>
        <w:t>DS1</w:t>
      </w:r>
      <w:r>
        <w:rPr>
          <w:sz w:val="22"/>
          <w:szCs w:val="22"/>
        </w:rPr>
        <w:t xml:space="preserve"> or </w:t>
      </w:r>
      <w:r w:rsidRPr="008F1546">
        <w:rPr>
          <w:i/>
          <w:sz w:val="22"/>
          <w:szCs w:val="22"/>
        </w:rPr>
        <w:t>DS3</w:t>
      </w:r>
      <w:r>
        <w:rPr>
          <w:sz w:val="22"/>
          <w:szCs w:val="22"/>
        </w:rPr>
        <w:t>, respectively.  D</w:t>
      </w:r>
      <w:r w:rsidRPr="00DB2F9B">
        <w:rPr>
          <w:sz w:val="22"/>
          <w:szCs w:val="22"/>
        </w:rPr>
        <w:t>o not enter circuit types other than those listed above.</w:t>
      </w:r>
    </w:p>
    <w:p w:rsidR="00F97D54" w:rsidRPr="00DB2F9B" w:rsidRDefault="00F97D54" w:rsidP="00EB5B97">
      <w:pPr>
        <w:pStyle w:val="ListParagraph"/>
        <w:numPr>
          <w:ilvl w:val="0"/>
          <w:numId w:val="11"/>
        </w:numPr>
        <w:spacing w:after="200" w:line="276" w:lineRule="auto"/>
        <w:rPr>
          <w:sz w:val="22"/>
          <w:szCs w:val="22"/>
        </w:rPr>
      </w:pPr>
      <w:r w:rsidRPr="00B24C12">
        <w:rPr>
          <w:sz w:val="22"/>
          <w:szCs w:val="22"/>
          <w:u w:val="single"/>
        </w:rPr>
        <w:t>DSn_Bandwidth</w:t>
      </w:r>
      <w:r w:rsidRPr="00B24C12">
        <w:rPr>
          <w:sz w:val="22"/>
          <w:szCs w:val="22"/>
        </w:rPr>
        <w:t xml:space="preserve">:  If the circuit is a </w:t>
      </w:r>
      <w:r w:rsidRPr="00B24C12">
        <w:rPr>
          <w:i/>
          <w:sz w:val="22"/>
          <w:szCs w:val="22"/>
        </w:rPr>
        <w:t>DS1</w:t>
      </w:r>
      <w:r w:rsidRPr="00B24C12">
        <w:rPr>
          <w:sz w:val="22"/>
          <w:szCs w:val="22"/>
        </w:rPr>
        <w:t xml:space="preserve">, </w:t>
      </w:r>
      <w:r w:rsidRPr="00B24C12">
        <w:rPr>
          <w:i/>
          <w:sz w:val="22"/>
          <w:szCs w:val="22"/>
        </w:rPr>
        <w:t>DS3</w:t>
      </w:r>
      <w:r w:rsidRPr="00B24C12">
        <w:rPr>
          <w:sz w:val="22"/>
          <w:szCs w:val="22"/>
        </w:rPr>
        <w:t xml:space="preserve">, </w:t>
      </w:r>
      <w:r w:rsidRPr="00B24C12">
        <w:rPr>
          <w:i/>
          <w:sz w:val="22"/>
          <w:szCs w:val="22"/>
        </w:rPr>
        <w:t>DS1-UNE</w:t>
      </w:r>
      <w:r w:rsidRPr="00B24C12">
        <w:rPr>
          <w:sz w:val="22"/>
          <w:szCs w:val="22"/>
        </w:rPr>
        <w:t xml:space="preserve">, or </w:t>
      </w:r>
      <w:r w:rsidRPr="00B24C12">
        <w:rPr>
          <w:i/>
          <w:sz w:val="22"/>
          <w:szCs w:val="22"/>
        </w:rPr>
        <w:t>DS3-UNE</w:t>
      </w:r>
      <w:r>
        <w:rPr>
          <w:sz w:val="22"/>
          <w:szCs w:val="22"/>
        </w:rPr>
        <w:t xml:space="preserve">, </w:t>
      </w:r>
      <w:r w:rsidRPr="00B24C12">
        <w:rPr>
          <w:sz w:val="22"/>
          <w:szCs w:val="22"/>
        </w:rPr>
        <w:t xml:space="preserve">enter the bandwidth of the circuit </w:t>
      </w:r>
      <w:r>
        <w:rPr>
          <w:sz w:val="22"/>
          <w:szCs w:val="22"/>
        </w:rPr>
        <w:t xml:space="preserve">in Mbps, i.e., enter 1.544 for a </w:t>
      </w:r>
      <w:r>
        <w:rPr>
          <w:i/>
          <w:sz w:val="22"/>
          <w:szCs w:val="22"/>
        </w:rPr>
        <w:t>DS1</w:t>
      </w:r>
      <w:r>
        <w:rPr>
          <w:sz w:val="22"/>
          <w:szCs w:val="22"/>
        </w:rPr>
        <w:t xml:space="preserve"> and enter 44.736 for a </w:t>
      </w:r>
      <w:r>
        <w:rPr>
          <w:i/>
          <w:sz w:val="22"/>
          <w:szCs w:val="22"/>
        </w:rPr>
        <w:t>DS3</w:t>
      </w:r>
      <w:r>
        <w:rPr>
          <w:sz w:val="22"/>
          <w:szCs w:val="22"/>
        </w:rPr>
        <w:t xml:space="preserve">.  In the case where multiple </w:t>
      </w:r>
      <w:r w:rsidRPr="00AB5FD7">
        <w:rPr>
          <w:i/>
          <w:sz w:val="22"/>
          <w:szCs w:val="22"/>
        </w:rPr>
        <w:t>DSn</w:t>
      </w:r>
      <w:r w:rsidRPr="00AB5FD7">
        <w:rPr>
          <w:sz w:val="22"/>
          <w:szCs w:val="22"/>
        </w:rPr>
        <w:t>s</w:t>
      </w:r>
      <w:r>
        <w:rPr>
          <w:sz w:val="22"/>
          <w:szCs w:val="22"/>
        </w:rPr>
        <w:t xml:space="preserve"> are provisioned over a single circuit, enter the total bandwidth.  For example, the bandwidth for a circuit with three </w:t>
      </w:r>
      <w:r>
        <w:rPr>
          <w:i/>
          <w:sz w:val="22"/>
          <w:szCs w:val="22"/>
        </w:rPr>
        <w:t>DS1s</w:t>
      </w:r>
      <w:r>
        <w:rPr>
          <w:sz w:val="22"/>
          <w:szCs w:val="22"/>
        </w:rPr>
        <w:t xml:space="preserve"> must be entered as 4.632 (= 3 × 1.544).  For non-</w:t>
      </w:r>
      <w:r w:rsidRPr="00AB5FD7">
        <w:rPr>
          <w:i/>
          <w:sz w:val="22"/>
          <w:szCs w:val="22"/>
        </w:rPr>
        <w:t>DSn</w:t>
      </w:r>
      <w:r>
        <w:rPr>
          <w:sz w:val="22"/>
          <w:szCs w:val="22"/>
        </w:rPr>
        <w:t xml:space="preserve"> circuits, </w:t>
      </w:r>
      <w:r w:rsidRPr="00B24C12">
        <w:rPr>
          <w:sz w:val="22"/>
          <w:szCs w:val="22"/>
        </w:rPr>
        <w:t>leave the field blank.</w:t>
      </w:r>
    </w:p>
    <w:p w:rsidR="00F97D54" w:rsidRDefault="00F97D54" w:rsidP="00EB5B97">
      <w:pPr>
        <w:pStyle w:val="ListParagraph"/>
        <w:numPr>
          <w:ilvl w:val="0"/>
          <w:numId w:val="11"/>
        </w:numPr>
        <w:spacing w:after="200" w:line="276" w:lineRule="auto"/>
        <w:rPr>
          <w:sz w:val="22"/>
          <w:szCs w:val="22"/>
        </w:rPr>
      </w:pPr>
      <w:r w:rsidRPr="00B24C12">
        <w:rPr>
          <w:sz w:val="22"/>
          <w:szCs w:val="22"/>
          <w:u w:val="single"/>
        </w:rPr>
        <w:t>OtherCBDS_Bandwidth</w:t>
      </w:r>
      <w:r w:rsidRPr="00B24C12">
        <w:rPr>
          <w:sz w:val="22"/>
          <w:szCs w:val="22"/>
        </w:rPr>
        <w:t xml:space="preserve">:  If the circuit is a non-DSn </w:t>
      </w:r>
      <w:r w:rsidRPr="00B24C12">
        <w:rPr>
          <w:i/>
          <w:sz w:val="22"/>
          <w:szCs w:val="22"/>
        </w:rPr>
        <w:t>CBDS</w:t>
      </w:r>
      <w:r>
        <w:rPr>
          <w:sz w:val="22"/>
          <w:szCs w:val="22"/>
        </w:rPr>
        <w:t xml:space="preserve"> circuit, </w:t>
      </w:r>
      <w:r w:rsidRPr="00B24C12">
        <w:rPr>
          <w:sz w:val="22"/>
          <w:szCs w:val="22"/>
        </w:rPr>
        <w:t xml:space="preserve">enter the bandwidth of the circuit in Mbps.  </w:t>
      </w:r>
      <w:r>
        <w:rPr>
          <w:sz w:val="22"/>
          <w:szCs w:val="22"/>
        </w:rPr>
        <w:t>For symmetric services, the reported bandwidth is the one-way bandwidth of the circuit (</w:t>
      </w:r>
      <w:r w:rsidRPr="00CC74B0">
        <w:rPr>
          <w:i/>
          <w:sz w:val="22"/>
          <w:szCs w:val="22"/>
        </w:rPr>
        <w:t>i.e.</w:t>
      </w:r>
      <w:r>
        <w:rPr>
          <w:sz w:val="22"/>
          <w:szCs w:val="22"/>
        </w:rPr>
        <w:t>, upstream or downstream).  For asymmetric services, report the average of the upstream and downstream bandwidths.  R</w:t>
      </w:r>
      <w:r w:rsidRPr="00B24C12">
        <w:rPr>
          <w:sz w:val="22"/>
          <w:szCs w:val="22"/>
        </w:rPr>
        <w:t xml:space="preserve">ound the bandwidth of the circuit to </w:t>
      </w:r>
      <w:r>
        <w:rPr>
          <w:sz w:val="22"/>
          <w:szCs w:val="22"/>
        </w:rPr>
        <w:t>three</w:t>
      </w:r>
      <w:r w:rsidRPr="00B24C12">
        <w:rPr>
          <w:sz w:val="22"/>
          <w:szCs w:val="22"/>
        </w:rPr>
        <w:t xml:space="preserve"> decimal place</w:t>
      </w:r>
      <w:r>
        <w:rPr>
          <w:sz w:val="22"/>
          <w:szCs w:val="22"/>
        </w:rPr>
        <w:t>s</w:t>
      </w:r>
      <w:r w:rsidRPr="00B24C12">
        <w:rPr>
          <w:sz w:val="22"/>
          <w:szCs w:val="22"/>
        </w:rPr>
        <w:t>.  For example, if the service guarantees 10 Mbps transmission s</w:t>
      </w:r>
      <w:r>
        <w:rPr>
          <w:sz w:val="22"/>
          <w:szCs w:val="22"/>
        </w:rPr>
        <w:t xml:space="preserve">peeds in one direction and 5 Mbps transmission speeds in the other direction, </w:t>
      </w:r>
      <w:r w:rsidRPr="00B24C12">
        <w:rPr>
          <w:sz w:val="22"/>
          <w:szCs w:val="22"/>
        </w:rPr>
        <w:t xml:space="preserve">enter </w:t>
      </w:r>
      <w:r>
        <w:rPr>
          <w:sz w:val="22"/>
          <w:szCs w:val="22"/>
        </w:rPr>
        <w:t>7.500</w:t>
      </w:r>
      <w:r w:rsidRPr="00B24C12">
        <w:rPr>
          <w:sz w:val="22"/>
          <w:szCs w:val="22"/>
        </w:rPr>
        <w:t xml:space="preserve"> in this field.  If the circuit is a DSn or </w:t>
      </w:r>
      <w:r w:rsidRPr="00B24C12">
        <w:rPr>
          <w:i/>
          <w:sz w:val="22"/>
          <w:szCs w:val="22"/>
        </w:rPr>
        <w:t>PBDS</w:t>
      </w:r>
      <w:r>
        <w:rPr>
          <w:sz w:val="22"/>
          <w:szCs w:val="22"/>
        </w:rPr>
        <w:t xml:space="preserve"> circuit, </w:t>
      </w:r>
      <w:r w:rsidRPr="00B24C12">
        <w:rPr>
          <w:sz w:val="22"/>
          <w:szCs w:val="22"/>
        </w:rPr>
        <w:t>leave this field blank.</w:t>
      </w:r>
    </w:p>
    <w:p w:rsidR="00F97D54" w:rsidRPr="00B24C12" w:rsidRDefault="00F97D54" w:rsidP="00EB5B97">
      <w:pPr>
        <w:pStyle w:val="ListParagraph"/>
        <w:numPr>
          <w:ilvl w:val="0"/>
          <w:numId w:val="11"/>
        </w:numPr>
        <w:spacing w:after="200" w:line="276" w:lineRule="auto"/>
        <w:rPr>
          <w:sz w:val="22"/>
          <w:szCs w:val="22"/>
        </w:rPr>
      </w:pPr>
      <w:r w:rsidRPr="00B24C12">
        <w:rPr>
          <w:sz w:val="22"/>
          <w:szCs w:val="22"/>
          <w:u w:val="single"/>
        </w:rPr>
        <w:t>PBDS_Bandwidth</w:t>
      </w:r>
      <w:r w:rsidRPr="00B24C12">
        <w:rPr>
          <w:sz w:val="22"/>
          <w:szCs w:val="22"/>
        </w:rPr>
        <w:t xml:space="preserve">:  If the circuit is a </w:t>
      </w:r>
      <w:r w:rsidRPr="00B24C12">
        <w:rPr>
          <w:i/>
          <w:sz w:val="22"/>
          <w:szCs w:val="22"/>
        </w:rPr>
        <w:t>PBDS</w:t>
      </w:r>
      <w:r>
        <w:rPr>
          <w:sz w:val="22"/>
          <w:szCs w:val="22"/>
        </w:rPr>
        <w:t xml:space="preserve"> circuit, </w:t>
      </w:r>
      <w:r w:rsidRPr="00B24C12">
        <w:rPr>
          <w:sz w:val="22"/>
          <w:szCs w:val="22"/>
        </w:rPr>
        <w:t xml:space="preserve">enter the bandwidth of the circuit in Mbps.  </w:t>
      </w:r>
      <w:r>
        <w:rPr>
          <w:sz w:val="22"/>
          <w:szCs w:val="22"/>
        </w:rPr>
        <w:t>For symmetric services, the reported bandwidth is the one-way bandwidth of the circuit (</w:t>
      </w:r>
      <w:r w:rsidRPr="00CC74B0">
        <w:rPr>
          <w:i/>
          <w:sz w:val="22"/>
          <w:szCs w:val="22"/>
        </w:rPr>
        <w:t>i.e.</w:t>
      </w:r>
      <w:r>
        <w:rPr>
          <w:sz w:val="22"/>
          <w:szCs w:val="22"/>
        </w:rPr>
        <w:t xml:space="preserve">, upstream or downstream).  For asymmetric services, report the average of the upstream and downstream bandwidths.  </w:t>
      </w:r>
      <w:r w:rsidRPr="00B24C12">
        <w:rPr>
          <w:sz w:val="22"/>
          <w:szCs w:val="22"/>
        </w:rPr>
        <w:t>For example, if the service guarantees 150 Mbps transmission sp</w:t>
      </w:r>
      <w:r>
        <w:rPr>
          <w:sz w:val="22"/>
          <w:szCs w:val="22"/>
        </w:rPr>
        <w:t>eeds in one direction and 50 Mbps transmission speeds in the other direction, e</w:t>
      </w:r>
      <w:r w:rsidRPr="00B24C12">
        <w:rPr>
          <w:sz w:val="22"/>
          <w:szCs w:val="22"/>
        </w:rPr>
        <w:t xml:space="preserve">nter </w:t>
      </w:r>
      <w:r>
        <w:rPr>
          <w:sz w:val="22"/>
          <w:szCs w:val="22"/>
        </w:rPr>
        <w:t>1</w:t>
      </w:r>
      <w:r w:rsidRPr="00B24C12">
        <w:rPr>
          <w:sz w:val="22"/>
          <w:szCs w:val="22"/>
        </w:rPr>
        <w:t xml:space="preserve">00 in this field.  </w:t>
      </w:r>
      <w:r>
        <w:rPr>
          <w:sz w:val="22"/>
          <w:szCs w:val="22"/>
        </w:rPr>
        <w:t>R</w:t>
      </w:r>
      <w:r w:rsidRPr="00B24C12">
        <w:rPr>
          <w:sz w:val="22"/>
          <w:szCs w:val="22"/>
        </w:rPr>
        <w:t xml:space="preserve">ound the bandwidth of the circuit to </w:t>
      </w:r>
      <w:r>
        <w:rPr>
          <w:sz w:val="22"/>
          <w:szCs w:val="22"/>
        </w:rPr>
        <w:t>three</w:t>
      </w:r>
      <w:r w:rsidRPr="00B24C12">
        <w:rPr>
          <w:sz w:val="22"/>
          <w:szCs w:val="22"/>
        </w:rPr>
        <w:t xml:space="preserve"> decimal place</w:t>
      </w:r>
      <w:r>
        <w:rPr>
          <w:sz w:val="22"/>
          <w:szCs w:val="22"/>
        </w:rPr>
        <w:t>s</w:t>
      </w:r>
      <w:r w:rsidRPr="00B24C12">
        <w:rPr>
          <w:sz w:val="22"/>
          <w:szCs w:val="22"/>
        </w:rPr>
        <w:t>.  For non-</w:t>
      </w:r>
      <w:r w:rsidRPr="00B24C12">
        <w:rPr>
          <w:i/>
          <w:sz w:val="22"/>
          <w:szCs w:val="22"/>
        </w:rPr>
        <w:t>PBDS</w:t>
      </w:r>
      <w:r>
        <w:rPr>
          <w:sz w:val="22"/>
          <w:szCs w:val="22"/>
        </w:rPr>
        <w:t xml:space="preserve"> circuits, </w:t>
      </w:r>
      <w:r w:rsidRPr="00B24C12">
        <w:rPr>
          <w:sz w:val="22"/>
          <w:szCs w:val="22"/>
        </w:rPr>
        <w:t>leave this field blank.</w:t>
      </w:r>
    </w:p>
    <w:p w:rsidR="00F97D54" w:rsidRPr="009376CC" w:rsidRDefault="00F97D54" w:rsidP="00EB5B97">
      <w:pPr>
        <w:pStyle w:val="ListParagraph"/>
        <w:ind w:left="0"/>
        <w:rPr>
          <w:sz w:val="22"/>
          <w:szCs w:val="22"/>
        </w:rPr>
      </w:pPr>
    </w:p>
    <w:p w:rsidR="00F97D54" w:rsidRPr="009376CC" w:rsidRDefault="00F97D54" w:rsidP="00EB5B97">
      <w:pPr>
        <w:pStyle w:val="ListParagraph"/>
        <w:numPr>
          <w:ilvl w:val="0"/>
          <w:numId w:val="19"/>
        </w:numPr>
        <w:spacing w:after="200" w:line="276" w:lineRule="auto"/>
        <w:rPr>
          <w:sz w:val="22"/>
          <w:szCs w:val="22"/>
        </w:rPr>
      </w:pPr>
      <w:r w:rsidRPr="006118FC">
        <w:rPr>
          <w:sz w:val="22"/>
          <w:szCs w:val="22"/>
          <w:u w:val="single"/>
        </w:rPr>
        <w:t>MRP1</w:t>
      </w:r>
      <w:r w:rsidRPr="009376CC">
        <w:rPr>
          <w:sz w:val="22"/>
          <w:szCs w:val="22"/>
        </w:rPr>
        <w:t xml:space="preserve">:  Enter the </w:t>
      </w:r>
      <w:r>
        <w:rPr>
          <w:sz w:val="22"/>
          <w:szCs w:val="22"/>
        </w:rPr>
        <w:t>8-character CLLI</w:t>
      </w:r>
      <w:r w:rsidRPr="009376CC">
        <w:rPr>
          <w:sz w:val="22"/>
          <w:szCs w:val="22"/>
        </w:rPr>
        <w:t xml:space="preserve"> for the serving wire center or mileage rating point </w:t>
      </w:r>
      <w:r>
        <w:rPr>
          <w:sz w:val="22"/>
          <w:szCs w:val="22"/>
        </w:rPr>
        <w:t xml:space="preserve">(MRP) </w:t>
      </w:r>
      <w:r w:rsidRPr="009376CC">
        <w:rPr>
          <w:sz w:val="22"/>
          <w:szCs w:val="22"/>
        </w:rPr>
        <w:t>on one end of the circuit.</w:t>
      </w:r>
    </w:p>
    <w:p w:rsidR="00F97D54" w:rsidRPr="009376CC" w:rsidRDefault="00F97D54" w:rsidP="00EB5B97">
      <w:pPr>
        <w:pStyle w:val="ListParagraph"/>
        <w:rPr>
          <w:sz w:val="22"/>
          <w:szCs w:val="22"/>
        </w:rPr>
      </w:pPr>
    </w:p>
    <w:p w:rsidR="00F97D54" w:rsidRPr="009376CC" w:rsidRDefault="00F97D54" w:rsidP="00EB5B97">
      <w:pPr>
        <w:pStyle w:val="ListParagraph"/>
        <w:numPr>
          <w:ilvl w:val="0"/>
          <w:numId w:val="19"/>
        </w:numPr>
        <w:spacing w:after="200" w:line="276" w:lineRule="auto"/>
        <w:rPr>
          <w:sz w:val="22"/>
          <w:szCs w:val="22"/>
        </w:rPr>
      </w:pPr>
      <w:r w:rsidRPr="006118FC">
        <w:rPr>
          <w:sz w:val="22"/>
          <w:szCs w:val="22"/>
          <w:u w:val="single"/>
        </w:rPr>
        <w:t>MRP2</w:t>
      </w:r>
      <w:r w:rsidRPr="009376CC">
        <w:rPr>
          <w:sz w:val="22"/>
          <w:szCs w:val="22"/>
        </w:rPr>
        <w:t xml:space="preserve">:  Enter the </w:t>
      </w:r>
      <w:r>
        <w:rPr>
          <w:sz w:val="22"/>
          <w:szCs w:val="22"/>
        </w:rPr>
        <w:t xml:space="preserve">8-character </w:t>
      </w:r>
      <w:r w:rsidRPr="009376CC">
        <w:rPr>
          <w:sz w:val="22"/>
          <w:szCs w:val="22"/>
        </w:rPr>
        <w:t xml:space="preserve">CLLI for the serving wire center or </w:t>
      </w:r>
      <w:r>
        <w:rPr>
          <w:sz w:val="22"/>
          <w:szCs w:val="22"/>
        </w:rPr>
        <w:t>MRP</w:t>
      </w:r>
      <w:r w:rsidRPr="009376CC">
        <w:rPr>
          <w:sz w:val="22"/>
          <w:szCs w:val="22"/>
        </w:rPr>
        <w:t xml:space="preserve"> on the other end of the circuit.</w:t>
      </w:r>
    </w:p>
    <w:p w:rsidR="00F97D54" w:rsidRPr="009376CC" w:rsidRDefault="00F97D54" w:rsidP="00EB5B97">
      <w:pPr>
        <w:pStyle w:val="ListParagraph"/>
        <w:rPr>
          <w:sz w:val="22"/>
          <w:szCs w:val="22"/>
        </w:rPr>
      </w:pPr>
    </w:p>
    <w:p w:rsidR="00F97D54" w:rsidRPr="009376CC" w:rsidRDefault="00F97D54" w:rsidP="00EB5B97">
      <w:pPr>
        <w:pStyle w:val="ListParagraph"/>
        <w:numPr>
          <w:ilvl w:val="0"/>
          <w:numId w:val="19"/>
        </w:numPr>
        <w:spacing w:after="200" w:line="276" w:lineRule="auto"/>
        <w:rPr>
          <w:sz w:val="22"/>
          <w:szCs w:val="22"/>
        </w:rPr>
      </w:pPr>
      <w:r w:rsidRPr="006118FC">
        <w:rPr>
          <w:sz w:val="22"/>
          <w:szCs w:val="22"/>
          <w:u w:val="single"/>
        </w:rPr>
        <w:t>MRP1_Lat</w:t>
      </w:r>
      <w:r w:rsidRPr="009376CC">
        <w:rPr>
          <w:sz w:val="22"/>
          <w:szCs w:val="22"/>
        </w:rPr>
        <w:t xml:space="preserve">:  Enter the latitude coordinate of MRP1 to </w:t>
      </w:r>
      <w:r>
        <w:rPr>
          <w:sz w:val="22"/>
          <w:szCs w:val="22"/>
        </w:rPr>
        <w:t xml:space="preserve">the nearest </w:t>
      </w:r>
      <w:r w:rsidRPr="00F15D31">
        <w:rPr>
          <w:sz w:val="22"/>
          <w:szCs w:val="22"/>
        </w:rPr>
        <w:t>±0.0005</w:t>
      </w:r>
      <w:r>
        <w:rPr>
          <w:sz w:val="22"/>
          <w:szCs w:val="22"/>
        </w:rPr>
        <w:t xml:space="preserve">, </w:t>
      </w:r>
      <w:r>
        <w:rPr>
          <w:i/>
          <w:sz w:val="22"/>
          <w:szCs w:val="22"/>
        </w:rPr>
        <w:t>i.e.</w:t>
      </w:r>
      <w:r>
        <w:rPr>
          <w:sz w:val="22"/>
          <w:szCs w:val="22"/>
        </w:rPr>
        <w:t>, each coordinate must end in #.###0 or #.###5</w:t>
      </w:r>
      <w:r w:rsidRPr="009376CC">
        <w:rPr>
          <w:sz w:val="22"/>
          <w:szCs w:val="22"/>
        </w:rPr>
        <w:t>.</w:t>
      </w:r>
      <w:r>
        <w:rPr>
          <w:sz w:val="22"/>
          <w:szCs w:val="22"/>
        </w:rPr>
        <w:t xml:space="preserve">  </w:t>
      </w:r>
      <w:r w:rsidRPr="00F15D31">
        <w:rPr>
          <w:sz w:val="22"/>
          <w:szCs w:val="22"/>
        </w:rPr>
        <w:t xml:space="preserve">Coordinates </w:t>
      </w:r>
      <w:r>
        <w:rPr>
          <w:sz w:val="22"/>
          <w:szCs w:val="22"/>
        </w:rPr>
        <w:t>must</w:t>
      </w:r>
      <w:r w:rsidRPr="00F15D31">
        <w:rPr>
          <w:sz w:val="22"/>
          <w:szCs w:val="22"/>
        </w:rPr>
        <w:t xml:space="preserve"> be in the WGS84 or NAD83 geographic coordinate system.</w:t>
      </w:r>
    </w:p>
    <w:p w:rsidR="00F97D54" w:rsidRPr="009376CC" w:rsidRDefault="00F97D54" w:rsidP="00EB5B97">
      <w:pPr>
        <w:pStyle w:val="ListParagraph"/>
        <w:rPr>
          <w:sz w:val="22"/>
          <w:szCs w:val="22"/>
        </w:rPr>
      </w:pPr>
    </w:p>
    <w:p w:rsidR="00F97D54" w:rsidRPr="009376CC" w:rsidRDefault="00F97D54" w:rsidP="00381F17">
      <w:pPr>
        <w:pStyle w:val="ListParagraph"/>
        <w:widowControl/>
        <w:numPr>
          <w:ilvl w:val="0"/>
          <w:numId w:val="19"/>
        </w:numPr>
        <w:spacing w:after="200" w:line="276" w:lineRule="auto"/>
        <w:rPr>
          <w:sz w:val="22"/>
          <w:szCs w:val="22"/>
        </w:rPr>
      </w:pPr>
      <w:r w:rsidRPr="006118FC">
        <w:rPr>
          <w:sz w:val="22"/>
          <w:szCs w:val="22"/>
          <w:u w:val="single"/>
        </w:rPr>
        <w:t>MRP1_Long</w:t>
      </w:r>
      <w:r w:rsidRPr="009376CC">
        <w:rPr>
          <w:sz w:val="22"/>
          <w:szCs w:val="22"/>
        </w:rPr>
        <w:t xml:space="preserve">:  Enter the longitude coordinate of MRP1 to </w:t>
      </w:r>
      <w:r>
        <w:rPr>
          <w:sz w:val="22"/>
          <w:szCs w:val="22"/>
        </w:rPr>
        <w:t xml:space="preserve">the nearest </w:t>
      </w:r>
      <w:r w:rsidRPr="00F15D31">
        <w:rPr>
          <w:sz w:val="22"/>
          <w:szCs w:val="22"/>
        </w:rPr>
        <w:t>±0.0005</w:t>
      </w:r>
      <w:r>
        <w:rPr>
          <w:sz w:val="22"/>
          <w:szCs w:val="22"/>
        </w:rPr>
        <w:t xml:space="preserve">, </w:t>
      </w:r>
      <w:r>
        <w:rPr>
          <w:i/>
          <w:sz w:val="22"/>
          <w:szCs w:val="22"/>
        </w:rPr>
        <w:t>i.e.</w:t>
      </w:r>
      <w:r>
        <w:rPr>
          <w:sz w:val="22"/>
          <w:szCs w:val="22"/>
        </w:rPr>
        <w:t>, each coordinate must end in #.###0 or #.###5</w:t>
      </w:r>
      <w:r w:rsidRPr="009376CC">
        <w:rPr>
          <w:sz w:val="22"/>
          <w:szCs w:val="22"/>
        </w:rPr>
        <w:t>.</w:t>
      </w:r>
      <w:r>
        <w:rPr>
          <w:sz w:val="22"/>
          <w:szCs w:val="22"/>
        </w:rPr>
        <w:t xml:space="preserve">  </w:t>
      </w:r>
      <w:r w:rsidRPr="00F15D31">
        <w:rPr>
          <w:sz w:val="22"/>
          <w:szCs w:val="22"/>
        </w:rPr>
        <w:t xml:space="preserve">Coordinates </w:t>
      </w:r>
      <w:r>
        <w:rPr>
          <w:sz w:val="22"/>
          <w:szCs w:val="22"/>
        </w:rPr>
        <w:t>must be in the WGS84 or NAD83</w:t>
      </w:r>
      <w:r w:rsidRPr="00F15D31">
        <w:rPr>
          <w:sz w:val="22"/>
          <w:szCs w:val="22"/>
        </w:rPr>
        <w:t xml:space="preserve"> geographic coordinate system.</w:t>
      </w:r>
    </w:p>
    <w:p w:rsidR="00F97D54" w:rsidRPr="009376CC" w:rsidRDefault="00F97D54" w:rsidP="00EB5B97">
      <w:pPr>
        <w:pStyle w:val="ListParagraph"/>
        <w:rPr>
          <w:sz w:val="22"/>
          <w:szCs w:val="22"/>
        </w:rPr>
      </w:pPr>
    </w:p>
    <w:p w:rsidR="00F97D54" w:rsidRPr="009376CC" w:rsidRDefault="00F97D54" w:rsidP="00F6299F">
      <w:pPr>
        <w:pStyle w:val="ListParagraph"/>
        <w:widowControl/>
        <w:numPr>
          <w:ilvl w:val="0"/>
          <w:numId w:val="19"/>
        </w:numPr>
        <w:spacing w:after="200" w:line="276" w:lineRule="auto"/>
        <w:rPr>
          <w:sz w:val="22"/>
          <w:szCs w:val="22"/>
        </w:rPr>
      </w:pPr>
      <w:r w:rsidRPr="006118FC">
        <w:rPr>
          <w:sz w:val="22"/>
          <w:szCs w:val="22"/>
          <w:u w:val="single"/>
        </w:rPr>
        <w:t>MRP2_Lat</w:t>
      </w:r>
      <w:r w:rsidRPr="009376CC">
        <w:rPr>
          <w:sz w:val="22"/>
          <w:szCs w:val="22"/>
        </w:rPr>
        <w:t xml:space="preserve">:  Enter the latitude coordinate of MRP2 to </w:t>
      </w:r>
      <w:r>
        <w:rPr>
          <w:sz w:val="22"/>
          <w:szCs w:val="22"/>
        </w:rPr>
        <w:t xml:space="preserve">the nearest </w:t>
      </w:r>
      <w:r w:rsidRPr="00F15D31">
        <w:rPr>
          <w:sz w:val="22"/>
          <w:szCs w:val="22"/>
        </w:rPr>
        <w:t>±0.0005</w:t>
      </w:r>
      <w:r>
        <w:rPr>
          <w:sz w:val="22"/>
          <w:szCs w:val="22"/>
        </w:rPr>
        <w:t xml:space="preserve">, </w:t>
      </w:r>
      <w:r>
        <w:rPr>
          <w:i/>
          <w:sz w:val="22"/>
          <w:szCs w:val="22"/>
        </w:rPr>
        <w:t>i.e.</w:t>
      </w:r>
      <w:r>
        <w:rPr>
          <w:sz w:val="22"/>
          <w:szCs w:val="22"/>
        </w:rPr>
        <w:t>, each coordinate must end in #.###0 or #.###5</w:t>
      </w:r>
      <w:r w:rsidRPr="009376CC">
        <w:rPr>
          <w:sz w:val="22"/>
          <w:szCs w:val="22"/>
        </w:rPr>
        <w:t>.</w:t>
      </w:r>
      <w:r w:rsidRPr="00F15D31">
        <w:t xml:space="preserve"> </w:t>
      </w:r>
      <w:r>
        <w:t xml:space="preserve"> </w:t>
      </w:r>
      <w:r w:rsidRPr="00F15D31">
        <w:rPr>
          <w:sz w:val="22"/>
          <w:szCs w:val="22"/>
        </w:rPr>
        <w:t xml:space="preserve">Coordinates </w:t>
      </w:r>
      <w:r>
        <w:rPr>
          <w:sz w:val="22"/>
          <w:szCs w:val="22"/>
        </w:rPr>
        <w:t>must</w:t>
      </w:r>
      <w:r w:rsidRPr="00F15D31">
        <w:rPr>
          <w:sz w:val="22"/>
          <w:szCs w:val="22"/>
        </w:rPr>
        <w:t xml:space="preserve"> be in the WGS84</w:t>
      </w:r>
      <w:r>
        <w:rPr>
          <w:sz w:val="22"/>
          <w:szCs w:val="22"/>
        </w:rPr>
        <w:t xml:space="preserve"> or NAD83 </w:t>
      </w:r>
      <w:r w:rsidRPr="00F15D31">
        <w:rPr>
          <w:sz w:val="22"/>
          <w:szCs w:val="22"/>
        </w:rPr>
        <w:t>geographic coordinate system.</w:t>
      </w:r>
    </w:p>
    <w:p w:rsidR="00F97D54" w:rsidRPr="009376CC" w:rsidRDefault="00F97D54" w:rsidP="00EB5B97">
      <w:pPr>
        <w:pStyle w:val="ListParagraph"/>
        <w:rPr>
          <w:sz w:val="22"/>
          <w:szCs w:val="22"/>
        </w:rPr>
      </w:pPr>
    </w:p>
    <w:p w:rsidR="00F97D54" w:rsidRPr="009376CC" w:rsidRDefault="00F97D54" w:rsidP="00EB5B97">
      <w:pPr>
        <w:pStyle w:val="ListParagraph"/>
        <w:numPr>
          <w:ilvl w:val="0"/>
          <w:numId w:val="19"/>
        </w:numPr>
        <w:spacing w:after="200" w:line="276" w:lineRule="auto"/>
        <w:rPr>
          <w:sz w:val="22"/>
          <w:szCs w:val="22"/>
        </w:rPr>
      </w:pPr>
      <w:r w:rsidRPr="006118FC">
        <w:rPr>
          <w:sz w:val="22"/>
          <w:szCs w:val="22"/>
          <w:u w:val="single"/>
        </w:rPr>
        <w:t>MRP2_Long</w:t>
      </w:r>
      <w:r w:rsidRPr="009376CC">
        <w:rPr>
          <w:sz w:val="22"/>
          <w:szCs w:val="22"/>
        </w:rPr>
        <w:t xml:space="preserve">:  Enter the longitude coordinate of MRP2 to </w:t>
      </w:r>
      <w:r>
        <w:rPr>
          <w:sz w:val="22"/>
          <w:szCs w:val="22"/>
        </w:rPr>
        <w:t xml:space="preserve">the nearest </w:t>
      </w:r>
      <w:r w:rsidRPr="00F15D31">
        <w:rPr>
          <w:sz w:val="22"/>
          <w:szCs w:val="22"/>
        </w:rPr>
        <w:t>±0.0005</w:t>
      </w:r>
      <w:r>
        <w:rPr>
          <w:sz w:val="22"/>
          <w:szCs w:val="22"/>
        </w:rPr>
        <w:t xml:space="preserve">, </w:t>
      </w:r>
      <w:r>
        <w:rPr>
          <w:i/>
          <w:sz w:val="22"/>
          <w:szCs w:val="22"/>
        </w:rPr>
        <w:t>i.e.</w:t>
      </w:r>
      <w:r>
        <w:rPr>
          <w:sz w:val="22"/>
          <w:szCs w:val="22"/>
        </w:rPr>
        <w:t>, each coordinate must end in #.###0 or #.###5</w:t>
      </w:r>
      <w:r w:rsidRPr="009376CC">
        <w:rPr>
          <w:sz w:val="22"/>
          <w:szCs w:val="22"/>
        </w:rPr>
        <w:t>.</w:t>
      </w:r>
      <w:r>
        <w:rPr>
          <w:sz w:val="22"/>
          <w:szCs w:val="22"/>
        </w:rPr>
        <w:t xml:space="preserve">  </w:t>
      </w:r>
      <w:r w:rsidRPr="00F15D31">
        <w:rPr>
          <w:sz w:val="22"/>
          <w:szCs w:val="22"/>
        </w:rPr>
        <w:t xml:space="preserve">Coordinates </w:t>
      </w:r>
      <w:r>
        <w:rPr>
          <w:sz w:val="22"/>
          <w:szCs w:val="22"/>
        </w:rPr>
        <w:t>must</w:t>
      </w:r>
      <w:r w:rsidRPr="00F15D31">
        <w:rPr>
          <w:sz w:val="22"/>
          <w:szCs w:val="22"/>
        </w:rPr>
        <w:t xml:space="preserve"> be in the WGS84 or NAD83 geographic coordinate system.</w:t>
      </w:r>
    </w:p>
    <w:p w:rsidR="00F97D54" w:rsidRPr="009376CC" w:rsidRDefault="00F97D54" w:rsidP="00EB5B97">
      <w:pPr>
        <w:pStyle w:val="ListParagraph"/>
        <w:rPr>
          <w:sz w:val="22"/>
          <w:szCs w:val="22"/>
        </w:rPr>
      </w:pPr>
    </w:p>
    <w:p w:rsidR="00F97D54" w:rsidRPr="009376CC" w:rsidRDefault="00F97D54" w:rsidP="00EB5B97">
      <w:pPr>
        <w:pStyle w:val="ListParagraph"/>
        <w:numPr>
          <w:ilvl w:val="0"/>
          <w:numId w:val="19"/>
        </w:numPr>
        <w:spacing w:after="200" w:line="276" w:lineRule="auto"/>
        <w:rPr>
          <w:sz w:val="22"/>
          <w:szCs w:val="22"/>
        </w:rPr>
      </w:pPr>
      <w:r w:rsidRPr="006118FC">
        <w:rPr>
          <w:sz w:val="22"/>
          <w:szCs w:val="22"/>
          <w:u w:val="single"/>
        </w:rPr>
        <w:t>MRP_Type</w:t>
      </w:r>
      <w:r w:rsidRPr="009376CC">
        <w:rPr>
          <w:sz w:val="22"/>
          <w:szCs w:val="22"/>
        </w:rPr>
        <w:t xml:space="preserve">:  If the billed circuit element can be associated with a specific wire center/mileage rating point, indicate whether the wire center/mileage rating point is MRP1 or MRP2 above.  Enter a 1 if the circuit element is associated with MRP1 and enter 2 if the circuit element is associated with MRP2.  If the circuit element cannot be attributed to a single wire center, or if the circuit element can be associated with both wire centers, enter 0 in the MRP_Type field.  For example, a channel termination from a customer location to MRP1 </w:t>
      </w:r>
      <w:r>
        <w:rPr>
          <w:sz w:val="22"/>
          <w:szCs w:val="22"/>
        </w:rPr>
        <w:t>is</w:t>
      </w:r>
      <w:r w:rsidRPr="009376CC">
        <w:rPr>
          <w:sz w:val="22"/>
          <w:szCs w:val="22"/>
        </w:rPr>
        <w:t xml:space="preserve"> coded as 1 in this field.  An interconnection charge between your network and the network of another carrier at MRP2 </w:t>
      </w:r>
      <w:r>
        <w:rPr>
          <w:sz w:val="22"/>
          <w:szCs w:val="22"/>
        </w:rPr>
        <w:t>is</w:t>
      </w:r>
      <w:r w:rsidRPr="009376CC">
        <w:rPr>
          <w:sz w:val="22"/>
          <w:szCs w:val="22"/>
        </w:rPr>
        <w:t xml:space="preserve"> coded as 2.  A transport mileage charge between MRP1 and MRP2 </w:t>
      </w:r>
      <w:r>
        <w:rPr>
          <w:sz w:val="22"/>
          <w:szCs w:val="22"/>
        </w:rPr>
        <w:t>must</w:t>
      </w:r>
      <w:r w:rsidRPr="009376CC">
        <w:rPr>
          <w:sz w:val="22"/>
          <w:szCs w:val="22"/>
        </w:rPr>
        <w:t xml:space="preserve"> be coded as a zero (unless that mileage is able to be attributed to either MRP1 or MRP2).  All charges for channel terminations need to be attributed to one of the MRPs.</w:t>
      </w:r>
    </w:p>
    <w:p w:rsidR="00F97D54" w:rsidRPr="009376CC" w:rsidRDefault="00F97D54" w:rsidP="00EB5B97">
      <w:pPr>
        <w:pStyle w:val="ListParagraph"/>
        <w:rPr>
          <w:sz w:val="22"/>
          <w:szCs w:val="22"/>
        </w:rPr>
      </w:pPr>
    </w:p>
    <w:p w:rsidR="00F97D54" w:rsidRPr="009376CC" w:rsidRDefault="00F97D54" w:rsidP="00EB5B97">
      <w:pPr>
        <w:pStyle w:val="ListParagraph"/>
        <w:numPr>
          <w:ilvl w:val="0"/>
          <w:numId w:val="19"/>
        </w:numPr>
        <w:spacing w:after="200" w:line="276" w:lineRule="auto"/>
        <w:rPr>
          <w:sz w:val="22"/>
          <w:szCs w:val="22"/>
        </w:rPr>
      </w:pPr>
      <w:r>
        <w:rPr>
          <w:sz w:val="22"/>
          <w:szCs w:val="22"/>
          <w:u w:val="single"/>
        </w:rPr>
        <w:t>Billing</w:t>
      </w:r>
      <w:r w:rsidRPr="006118FC">
        <w:rPr>
          <w:sz w:val="22"/>
          <w:szCs w:val="22"/>
          <w:u w:val="single"/>
        </w:rPr>
        <w:t>_Code</w:t>
      </w:r>
      <w:r>
        <w:rPr>
          <w:sz w:val="22"/>
          <w:szCs w:val="22"/>
        </w:rPr>
        <w:t>:  The billing</w:t>
      </w:r>
      <w:r w:rsidRPr="009376CC">
        <w:rPr>
          <w:sz w:val="22"/>
          <w:szCs w:val="22"/>
        </w:rPr>
        <w:t xml:space="preserve"> code variable </w:t>
      </w:r>
      <w:r>
        <w:rPr>
          <w:sz w:val="22"/>
          <w:szCs w:val="22"/>
        </w:rPr>
        <w:t xml:space="preserve">(Billing Code) </w:t>
      </w:r>
      <w:r w:rsidRPr="009376CC">
        <w:rPr>
          <w:sz w:val="22"/>
          <w:szCs w:val="22"/>
        </w:rPr>
        <w:t>is used to identify the individual componen</w:t>
      </w:r>
      <w:r>
        <w:rPr>
          <w:sz w:val="22"/>
          <w:szCs w:val="22"/>
        </w:rPr>
        <w:t>ts of billed circuits.  The Billing</w:t>
      </w:r>
      <w:r w:rsidRPr="009376CC">
        <w:rPr>
          <w:sz w:val="22"/>
          <w:szCs w:val="22"/>
        </w:rPr>
        <w:t xml:space="preserve"> </w:t>
      </w:r>
      <w:r>
        <w:rPr>
          <w:sz w:val="22"/>
          <w:szCs w:val="22"/>
        </w:rPr>
        <w:t>C</w:t>
      </w:r>
      <w:r w:rsidRPr="009376CC">
        <w:rPr>
          <w:sz w:val="22"/>
          <w:szCs w:val="22"/>
        </w:rPr>
        <w:t xml:space="preserve">ode </w:t>
      </w:r>
      <w:r>
        <w:rPr>
          <w:sz w:val="22"/>
          <w:szCs w:val="22"/>
        </w:rPr>
        <w:t>is</w:t>
      </w:r>
      <w:r w:rsidRPr="009376CC">
        <w:rPr>
          <w:sz w:val="22"/>
          <w:szCs w:val="22"/>
        </w:rPr>
        <w:t xml:space="preserve"> used to link the billed circuit elements with the description of those elements in </w:t>
      </w:r>
      <w:r>
        <w:rPr>
          <w:sz w:val="22"/>
          <w:szCs w:val="22"/>
        </w:rPr>
        <w:t xml:space="preserve">Question </w:t>
      </w:r>
      <w:r w:rsidRPr="009376CC">
        <w:rPr>
          <w:sz w:val="22"/>
          <w:szCs w:val="22"/>
        </w:rPr>
        <w:t>II.B.6</w:t>
      </w:r>
      <w:r>
        <w:rPr>
          <w:sz w:val="22"/>
          <w:szCs w:val="22"/>
        </w:rPr>
        <w:t>.  An example of a Billing Code is a</w:t>
      </w:r>
      <w:r w:rsidRPr="009376CC">
        <w:rPr>
          <w:sz w:val="22"/>
          <w:szCs w:val="22"/>
        </w:rPr>
        <w:t xml:space="preserve"> </w:t>
      </w:r>
      <w:r>
        <w:rPr>
          <w:sz w:val="22"/>
          <w:szCs w:val="22"/>
        </w:rPr>
        <w:t>USOC</w:t>
      </w:r>
      <w:r w:rsidRPr="009376CC">
        <w:rPr>
          <w:sz w:val="22"/>
          <w:szCs w:val="22"/>
        </w:rPr>
        <w:t xml:space="preserve">.  However, </w:t>
      </w:r>
      <w:r>
        <w:rPr>
          <w:sz w:val="22"/>
          <w:szCs w:val="22"/>
        </w:rPr>
        <w:t xml:space="preserve">you are not required to use a </w:t>
      </w:r>
      <w:r w:rsidRPr="009376CC">
        <w:rPr>
          <w:sz w:val="22"/>
          <w:szCs w:val="22"/>
        </w:rPr>
        <w:t xml:space="preserve">USOC to identify the circuit elements; </w:t>
      </w:r>
      <w:r>
        <w:rPr>
          <w:sz w:val="22"/>
          <w:szCs w:val="22"/>
        </w:rPr>
        <w:t>you can create your own Billing</w:t>
      </w:r>
      <w:r w:rsidRPr="009376CC">
        <w:rPr>
          <w:sz w:val="22"/>
          <w:szCs w:val="22"/>
        </w:rPr>
        <w:t xml:space="preserve"> Codes.  </w:t>
      </w:r>
      <w:r>
        <w:rPr>
          <w:sz w:val="22"/>
          <w:szCs w:val="22"/>
        </w:rPr>
        <w:t>S</w:t>
      </w:r>
      <w:r w:rsidRPr="009376CC">
        <w:rPr>
          <w:sz w:val="22"/>
          <w:szCs w:val="22"/>
        </w:rPr>
        <w:t xml:space="preserve">imilar circuit elements need to have the same </w:t>
      </w:r>
      <w:r>
        <w:rPr>
          <w:sz w:val="22"/>
          <w:szCs w:val="22"/>
        </w:rPr>
        <w:t>Billing Code</w:t>
      </w:r>
      <w:r w:rsidRPr="009376CC">
        <w:rPr>
          <w:sz w:val="22"/>
          <w:szCs w:val="22"/>
        </w:rPr>
        <w:t xml:space="preserve"> in order to track similar charges across circuits.  To the extent that circuits are billed </w:t>
      </w:r>
      <w:r>
        <w:rPr>
          <w:sz w:val="22"/>
          <w:szCs w:val="22"/>
        </w:rPr>
        <w:t>to customers</w:t>
      </w:r>
      <w:r w:rsidRPr="009376CC">
        <w:rPr>
          <w:sz w:val="22"/>
          <w:szCs w:val="22"/>
        </w:rPr>
        <w:t xml:space="preserve"> by individual circuit elements, the elements (along with the billed amounts </w:t>
      </w:r>
      <w:r>
        <w:rPr>
          <w:sz w:val="22"/>
          <w:szCs w:val="22"/>
        </w:rPr>
        <w:t>for those</w:t>
      </w:r>
      <w:r w:rsidRPr="009376CC">
        <w:rPr>
          <w:sz w:val="22"/>
          <w:szCs w:val="22"/>
        </w:rPr>
        <w:t xml:space="preserve"> elements) </w:t>
      </w:r>
      <w:r>
        <w:rPr>
          <w:sz w:val="22"/>
          <w:szCs w:val="22"/>
        </w:rPr>
        <w:t>must</w:t>
      </w:r>
      <w:r w:rsidRPr="009376CC">
        <w:rPr>
          <w:sz w:val="22"/>
          <w:szCs w:val="22"/>
        </w:rPr>
        <w:t xml:space="preserve"> be disaggregated into separate line-items in Table II.B.4.  If circuits are billed at the overall circuit level, only one line per circuit need be populated, and all like</w:t>
      </w:r>
      <w:r>
        <w:rPr>
          <w:sz w:val="22"/>
          <w:szCs w:val="22"/>
        </w:rPr>
        <w:t xml:space="preserve"> circuits may have the same Billing</w:t>
      </w:r>
      <w:r w:rsidRPr="009376CC">
        <w:rPr>
          <w:sz w:val="22"/>
          <w:szCs w:val="22"/>
        </w:rPr>
        <w:t>_Code and</w:t>
      </w:r>
      <w:r>
        <w:rPr>
          <w:sz w:val="22"/>
          <w:szCs w:val="22"/>
        </w:rPr>
        <w:t xml:space="preserve"> Billing</w:t>
      </w:r>
      <w:r w:rsidRPr="009376CC">
        <w:rPr>
          <w:sz w:val="22"/>
          <w:szCs w:val="22"/>
        </w:rPr>
        <w:t xml:space="preserve"> </w:t>
      </w:r>
      <w:r>
        <w:rPr>
          <w:sz w:val="22"/>
          <w:szCs w:val="22"/>
        </w:rPr>
        <w:t>C</w:t>
      </w:r>
      <w:r w:rsidRPr="009376CC">
        <w:rPr>
          <w:sz w:val="22"/>
          <w:szCs w:val="22"/>
        </w:rPr>
        <w:t>ode description.</w:t>
      </w:r>
    </w:p>
    <w:p w:rsidR="00F97D54" w:rsidRPr="009376CC" w:rsidRDefault="00F97D54" w:rsidP="00EB5B97">
      <w:pPr>
        <w:pStyle w:val="ListParagraph"/>
        <w:rPr>
          <w:sz w:val="22"/>
          <w:szCs w:val="22"/>
        </w:rPr>
      </w:pPr>
    </w:p>
    <w:p w:rsidR="00F97D54" w:rsidRPr="009376CC" w:rsidRDefault="00F97D54" w:rsidP="00EB5B97">
      <w:pPr>
        <w:pStyle w:val="ListParagraph"/>
        <w:numPr>
          <w:ilvl w:val="0"/>
          <w:numId w:val="19"/>
        </w:numPr>
        <w:spacing w:after="200" w:line="276" w:lineRule="auto"/>
        <w:rPr>
          <w:sz w:val="22"/>
          <w:szCs w:val="22"/>
        </w:rPr>
      </w:pPr>
      <w:r w:rsidRPr="006118FC">
        <w:rPr>
          <w:sz w:val="22"/>
          <w:szCs w:val="22"/>
          <w:u w:val="single"/>
        </w:rPr>
        <w:t>Zone</w:t>
      </w:r>
      <w:r w:rsidRPr="009376CC">
        <w:rPr>
          <w:sz w:val="22"/>
          <w:szCs w:val="22"/>
        </w:rPr>
        <w:t xml:space="preserve">:  Enter the density pricing zone for this circuit element.  </w:t>
      </w:r>
      <w:r w:rsidRPr="006118FC">
        <w:rPr>
          <w:i/>
          <w:sz w:val="22"/>
          <w:szCs w:val="22"/>
        </w:rPr>
        <w:t>See</w:t>
      </w:r>
      <w:r w:rsidRPr="009376CC">
        <w:rPr>
          <w:sz w:val="22"/>
          <w:szCs w:val="22"/>
        </w:rPr>
        <w:t xml:space="preserve"> 47 C.F.R. </w:t>
      </w:r>
      <w:r>
        <w:rPr>
          <w:sz w:val="22"/>
          <w:szCs w:val="22"/>
        </w:rPr>
        <w:t xml:space="preserve">§ </w:t>
      </w:r>
      <w:r w:rsidRPr="009376CC">
        <w:rPr>
          <w:sz w:val="22"/>
          <w:szCs w:val="22"/>
        </w:rPr>
        <w:t xml:space="preserve">69.123 (density pricing zones for special access and switched transport).  </w:t>
      </w:r>
      <w:r>
        <w:rPr>
          <w:sz w:val="22"/>
          <w:szCs w:val="22"/>
        </w:rPr>
        <w:t>If you enter a density pricing zone, then explain the density breakpoints between each zone for your applicable study area(s) in your Explanatory Attachment,</w:t>
      </w:r>
      <w:r>
        <w:rPr>
          <w:rStyle w:val="FootnoteReference"/>
          <w:sz w:val="22"/>
          <w:szCs w:val="22"/>
        </w:rPr>
        <w:footnoteReference w:id="207"/>
      </w:r>
      <w:r>
        <w:rPr>
          <w:sz w:val="22"/>
          <w:szCs w:val="22"/>
        </w:rPr>
        <w:t xml:space="preserve"> </w:t>
      </w:r>
      <w:r w:rsidRPr="009F795C">
        <w:rPr>
          <w:i/>
          <w:sz w:val="22"/>
          <w:szCs w:val="22"/>
        </w:rPr>
        <w:t>e.g.</w:t>
      </w:r>
      <w:r>
        <w:rPr>
          <w:sz w:val="22"/>
          <w:szCs w:val="22"/>
        </w:rPr>
        <w:t xml:space="preserve">, pricing zone one contains offices having at least 500 equivalent DS1 channels, pricing zone two contains offices having at least 100, but no more than 499, equivalent DS1 channels, etc.  </w:t>
      </w:r>
      <w:r w:rsidRPr="009376CC">
        <w:rPr>
          <w:sz w:val="22"/>
          <w:szCs w:val="22"/>
        </w:rPr>
        <w:t>If the density pricing zone is not applicable for a particular circuit element or group of circuit elements</w:t>
      </w:r>
      <w:r>
        <w:rPr>
          <w:sz w:val="22"/>
          <w:szCs w:val="22"/>
        </w:rPr>
        <w:t xml:space="preserve">, </w:t>
      </w:r>
      <w:r w:rsidRPr="009376CC">
        <w:rPr>
          <w:sz w:val="22"/>
          <w:szCs w:val="22"/>
        </w:rPr>
        <w:t>leave the field blank.</w:t>
      </w:r>
    </w:p>
    <w:p w:rsidR="00F97D54" w:rsidRPr="009376CC" w:rsidRDefault="00F97D54" w:rsidP="00EB5B97">
      <w:pPr>
        <w:pStyle w:val="ListParagraph"/>
        <w:rPr>
          <w:sz w:val="22"/>
          <w:szCs w:val="22"/>
        </w:rPr>
      </w:pPr>
    </w:p>
    <w:p w:rsidR="00F97D54" w:rsidRPr="009376CC" w:rsidRDefault="00F97D54" w:rsidP="00F6299F">
      <w:pPr>
        <w:pStyle w:val="ListParagraph"/>
        <w:widowControl/>
        <w:numPr>
          <w:ilvl w:val="0"/>
          <w:numId w:val="19"/>
        </w:numPr>
        <w:spacing w:after="200" w:line="276" w:lineRule="auto"/>
        <w:rPr>
          <w:sz w:val="22"/>
          <w:szCs w:val="22"/>
        </w:rPr>
      </w:pPr>
      <w:r w:rsidRPr="006118FC">
        <w:rPr>
          <w:sz w:val="22"/>
          <w:szCs w:val="22"/>
          <w:u w:val="single"/>
        </w:rPr>
        <w:t>Quantity</w:t>
      </w:r>
      <w:r w:rsidRPr="009376CC">
        <w:rPr>
          <w:sz w:val="22"/>
          <w:szCs w:val="22"/>
        </w:rPr>
        <w:t xml:space="preserve">:  Enter the number of billed units for this circuit element.  Do not enter the bandwidth of the circuit in this field.  For item codes that describe per-mile charges, the Quantity </w:t>
      </w:r>
      <w:r>
        <w:rPr>
          <w:sz w:val="22"/>
          <w:szCs w:val="22"/>
        </w:rPr>
        <w:t>is</w:t>
      </w:r>
      <w:r w:rsidRPr="009376CC">
        <w:rPr>
          <w:sz w:val="22"/>
          <w:szCs w:val="22"/>
        </w:rPr>
        <w:t xml:space="preserve"> the number of miles in the circuit that apply for that item code.</w:t>
      </w:r>
    </w:p>
    <w:p w:rsidR="00F97D54" w:rsidRPr="009376CC" w:rsidRDefault="00F97D54" w:rsidP="00EB5B97">
      <w:pPr>
        <w:pStyle w:val="ListParagraph"/>
        <w:rPr>
          <w:sz w:val="22"/>
          <w:szCs w:val="22"/>
        </w:rPr>
      </w:pPr>
    </w:p>
    <w:p w:rsidR="00F97D54" w:rsidRPr="009376CC" w:rsidRDefault="00F97D54" w:rsidP="00EB5B97">
      <w:pPr>
        <w:pStyle w:val="ListParagraph"/>
        <w:numPr>
          <w:ilvl w:val="0"/>
          <w:numId w:val="19"/>
        </w:numPr>
        <w:spacing w:after="200" w:line="276" w:lineRule="auto"/>
        <w:rPr>
          <w:sz w:val="22"/>
          <w:szCs w:val="22"/>
        </w:rPr>
      </w:pPr>
      <w:r w:rsidRPr="006118FC">
        <w:rPr>
          <w:sz w:val="22"/>
          <w:szCs w:val="22"/>
          <w:u w:val="single"/>
        </w:rPr>
        <w:t>Initial_NRC</w:t>
      </w:r>
      <w:r w:rsidRPr="009376CC">
        <w:rPr>
          <w:sz w:val="22"/>
          <w:szCs w:val="22"/>
        </w:rPr>
        <w:t xml:space="preserve">:  Insofar as the </w:t>
      </w:r>
      <w:r>
        <w:rPr>
          <w:sz w:val="22"/>
          <w:szCs w:val="22"/>
        </w:rPr>
        <w:t>per unit monthly b</w:t>
      </w:r>
      <w:r w:rsidRPr="009376CC">
        <w:rPr>
          <w:sz w:val="22"/>
          <w:szCs w:val="22"/>
        </w:rPr>
        <w:t>illed amount (</w:t>
      </w:r>
      <w:r>
        <w:rPr>
          <w:sz w:val="22"/>
          <w:szCs w:val="22"/>
        </w:rPr>
        <w:t xml:space="preserve">Question </w:t>
      </w:r>
      <w:r w:rsidRPr="009376CC">
        <w:rPr>
          <w:sz w:val="22"/>
          <w:szCs w:val="22"/>
        </w:rPr>
        <w:t>II.B.4.t) can be broken into recurring an</w:t>
      </w:r>
      <w:r>
        <w:rPr>
          <w:sz w:val="22"/>
          <w:szCs w:val="22"/>
        </w:rPr>
        <w:t xml:space="preserve">d non-recurring charges, </w:t>
      </w:r>
      <w:r w:rsidRPr="009376CC">
        <w:rPr>
          <w:sz w:val="22"/>
          <w:szCs w:val="22"/>
        </w:rPr>
        <w:t xml:space="preserve">enter the non-recurring </w:t>
      </w:r>
      <w:r>
        <w:rPr>
          <w:sz w:val="22"/>
          <w:szCs w:val="22"/>
        </w:rPr>
        <w:t>charge (in dollars)</w:t>
      </w:r>
      <w:r w:rsidRPr="009376CC">
        <w:rPr>
          <w:sz w:val="22"/>
          <w:szCs w:val="22"/>
        </w:rPr>
        <w:t xml:space="preserve"> billed for the first unit of this circuit element on this circuit.  Enter the charge to two decimal places and do not include other string characters (</w:t>
      </w:r>
      <w:r w:rsidRPr="00995C27">
        <w:rPr>
          <w:i/>
          <w:sz w:val="22"/>
          <w:szCs w:val="22"/>
        </w:rPr>
        <w:t>e.g.</w:t>
      </w:r>
      <w:r w:rsidRPr="009376CC">
        <w:rPr>
          <w:sz w:val="22"/>
          <w:szCs w:val="22"/>
        </w:rPr>
        <w:t>, “$”).</w:t>
      </w:r>
    </w:p>
    <w:p w:rsidR="00F97D54" w:rsidRPr="009376CC" w:rsidRDefault="00F97D54" w:rsidP="00EB5B97">
      <w:pPr>
        <w:pStyle w:val="ListParagraph"/>
        <w:rPr>
          <w:sz w:val="22"/>
          <w:szCs w:val="22"/>
        </w:rPr>
      </w:pPr>
    </w:p>
    <w:p w:rsidR="00F97D54" w:rsidRPr="009376CC" w:rsidRDefault="00F97D54" w:rsidP="00EB5B97">
      <w:pPr>
        <w:pStyle w:val="ListParagraph"/>
        <w:numPr>
          <w:ilvl w:val="0"/>
          <w:numId w:val="19"/>
        </w:numPr>
        <w:spacing w:after="200" w:line="276" w:lineRule="auto"/>
        <w:rPr>
          <w:sz w:val="22"/>
          <w:szCs w:val="22"/>
        </w:rPr>
      </w:pPr>
      <w:r w:rsidRPr="00995C27">
        <w:rPr>
          <w:sz w:val="22"/>
          <w:szCs w:val="22"/>
          <w:u w:val="single"/>
        </w:rPr>
        <w:t>Unit_NRC</w:t>
      </w:r>
      <w:r>
        <w:rPr>
          <w:sz w:val="22"/>
          <w:szCs w:val="22"/>
        </w:rPr>
        <w:t>:  Insofar as the per unit monthly b</w:t>
      </w:r>
      <w:r w:rsidRPr="009376CC">
        <w:rPr>
          <w:sz w:val="22"/>
          <w:szCs w:val="22"/>
        </w:rPr>
        <w:t>illed amount (</w:t>
      </w:r>
      <w:r>
        <w:rPr>
          <w:sz w:val="22"/>
          <w:szCs w:val="22"/>
        </w:rPr>
        <w:t xml:space="preserve">Question </w:t>
      </w:r>
      <w:r w:rsidRPr="009376CC">
        <w:rPr>
          <w:sz w:val="22"/>
          <w:szCs w:val="22"/>
        </w:rPr>
        <w:t>II.B.4.t) can be broken into recurring an</w:t>
      </w:r>
      <w:r>
        <w:rPr>
          <w:sz w:val="22"/>
          <w:szCs w:val="22"/>
        </w:rPr>
        <w:t xml:space="preserve">d non-recurring charges, </w:t>
      </w:r>
      <w:r w:rsidRPr="009376CC">
        <w:rPr>
          <w:sz w:val="22"/>
          <w:szCs w:val="22"/>
        </w:rPr>
        <w:t xml:space="preserve">enter the non-recurring </w:t>
      </w:r>
      <w:r>
        <w:rPr>
          <w:sz w:val="22"/>
          <w:szCs w:val="22"/>
        </w:rPr>
        <w:t>charge (in dollars)</w:t>
      </w:r>
      <w:r w:rsidRPr="009376CC">
        <w:rPr>
          <w:sz w:val="22"/>
          <w:szCs w:val="22"/>
        </w:rPr>
        <w:t xml:space="preserve"> billed for each additional unit of this circuit element on this circuit.  Enter the charge to two decimal places and do not include other string characters (</w:t>
      </w:r>
      <w:r w:rsidRPr="00995C27">
        <w:rPr>
          <w:i/>
          <w:sz w:val="22"/>
          <w:szCs w:val="22"/>
        </w:rPr>
        <w:t>e.g.</w:t>
      </w:r>
      <w:r w:rsidRPr="009376CC">
        <w:rPr>
          <w:sz w:val="22"/>
          <w:szCs w:val="22"/>
        </w:rPr>
        <w:t>, “$”).</w:t>
      </w:r>
    </w:p>
    <w:p w:rsidR="00F97D54" w:rsidRPr="009376CC" w:rsidRDefault="00F97D54" w:rsidP="00EB5B97">
      <w:pPr>
        <w:pStyle w:val="ListParagraph"/>
        <w:rPr>
          <w:sz w:val="22"/>
          <w:szCs w:val="22"/>
        </w:rPr>
      </w:pPr>
    </w:p>
    <w:p w:rsidR="00F97D54" w:rsidRPr="009376CC" w:rsidRDefault="00F97D54" w:rsidP="00EB5B97">
      <w:pPr>
        <w:pStyle w:val="ListParagraph"/>
        <w:numPr>
          <w:ilvl w:val="0"/>
          <w:numId w:val="19"/>
        </w:numPr>
        <w:spacing w:after="200" w:line="276" w:lineRule="auto"/>
        <w:rPr>
          <w:sz w:val="22"/>
          <w:szCs w:val="22"/>
        </w:rPr>
      </w:pPr>
      <w:r w:rsidRPr="00995C27">
        <w:rPr>
          <w:sz w:val="22"/>
          <w:szCs w:val="22"/>
          <w:u w:val="single"/>
        </w:rPr>
        <w:t>Initial_MRC</w:t>
      </w:r>
      <w:r>
        <w:rPr>
          <w:sz w:val="22"/>
          <w:szCs w:val="22"/>
        </w:rPr>
        <w:t>:  Insofar as the per unit monthly b</w:t>
      </w:r>
      <w:r w:rsidRPr="009376CC">
        <w:rPr>
          <w:sz w:val="22"/>
          <w:szCs w:val="22"/>
        </w:rPr>
        <w:t>illed amount (</w:t>
      </w:r>
      <w:r>
        <w:rPr>
          <w:sz w:val="22"/>
          <w:szCs w:val="22"/>
        </w:rPr>
        <w:t xml:space="preserve">Question </w:t>
      </w:r>
      <w:r w:rsidRPr="009376CC">
        <w:rPr>
          <w:sz w:val="22"/>
          <w:szCs w:val="22"/>
        </w:rPr>
        <w:t>II.B.4.t) can be broken into recurring and non-rec</w:t>
      </w:r>
      <w:r>
        <w:rPr>
          <w:sz w:val="22"/>
          <w:szCs w:val="22"/>
        </w:rPr>
        <w:t xml:space="preserve">urring charges, </w:t>
      </w:r>
      <w:r w:rsidRPr="009376CC">
        <w:rPr>
          <w:sz w:val="22"/>
          <w:szCs w:val="22"/>
        </w:rPr>
        <w:t xml:space="preserve">enter the monthly recurring </w:t>
      </w:r>
      <w:r>
        <w:rPr>
          <w:sz w:val="22"/>
          <w:szCs w:val="22"/>
        </w:rPr>
        <w:t>charge (in dollars)</w:t>
      </w:r>
      <w:r w:rsidRPr="009376CC">
        <w:rPr>
          <w:sz w:val="22"/>
          <w:szCs w:val="22"/>
        </w:rPr>
        <w:t xml:space="preserve"> billed for the first unit of this circuit element on this circuit.  Enter the charge to two decimal places and do not include other string characters (</w:t>
      </w:r>
      <w:r w:rsidRPr="00995C27">
        <w:rPr>
          <w:i/>
          <w:sz w:val="22"/>
          <w:szCs w:val="22"/>
        </w:rPr>
        <w:t>e.g.</w:t>
      </w:r>
      <w:r w:rsidRPr="009376CC">
        <w:rPr>
          <w:sz w:val="22"/>
          <w:szCs w:val="22"/>
        </w:rPr>
        <w:t>, “$”).</w:t>
      </w:r>
    </w:p>
    <w:p w:rsidR="00F97D54" w:rsidRPr="009376CC" w:rsidRDefault="00F97D54" w:rsidP="00EB5B97">
      <w:pPr>
        <w:pStyle w:val="ListParagraph"/>
        <w:rPr>
          <w:sz w:val="22"/>
          <w:szCs w:val="22"/>
        </w:rPr>
      </w:pPr>
    </w:p>
    <w:p w:rsidR="00F97D54" w:rsidRPr="009376CC" w:rsidRDefault="00F97D54" w:rsidP="00EB5B97">
      <w:pPr>
        <w:pStyle w:val="ListParagraph"/>
        <w:numPr>
          <w:ilvl w:val="0"/>
          <w:numId w:val="19"/>
        </w:numPr>
        <w:spacing w:after="200" w:line="276" w:lineRule="auto"/>
        <w:rPr>
          <w:sz w:val="22"/>
          <w:szCs w:val="22"/>
        </w:rPr>
      </w:pPr>
      <w:r w:rsidRPr="00995C27">
        <w:rPr>
          <w:sz w:val="22"/>
          <w:szCs w:val="22"/>
          <w:u w:val="single"/>
        </w:rPr>
        <w:t>Unit_MRC</w:t>
      </w:r>
      <w:r>
        <w:rPr>
          <w:sz w:val="22"/>
          <w:szCs w:val="22"/>
        </w:rPr>
        <w:t>:  Insofar as the per unit monthly b</w:t>
      </w:r>
      <w:r w:rsidRPr="009376CC">
        <w:rPr>
          <w:sz w:val="22"/>
          <w:szCs w:val="22"/>
        </w:rPr>
        <w:t>illed amount (</w:t>
      </w:r>
      <w:r>
        <w:rPr>
          <w:sz w:val="22"/>
          <w:szCs w:val="22"/>
        </w:rPr>
        <w:t xml:space="preserve">Question </w:t>
      </w:r>
      <w:r w:rsidRPr="009376CC">
        <w:rPr>
          <w:sz w:val="22"/>
          <w:szCs w:val="22"/>
        </w:rPr>
        <w:t>II.B.4.t) can be broken into recurring an</w:t>
      </w:r>
      <w:r>
        <w:rPr>
          <w:sz w:val="22"/>
          <w:szCs w:val="22"/>
        </w:rPr>
        <w:t xml:space="preserve">d non-recurring charges, </w:t>
      </w:r>
      <w:r w:rsidRPr="009376CC">
        <w:rPr>
          <w:sz w:val="22"/>
          <w:szCs w:val="22"/>
        </w:rPr>
        <w:t xml:space="preserve">enter the monthly recurring </w:t>
      </w:r>
      <w:r>
        <w:rPr>
          <w:sz w:val="22"/>
          <w:szCs w:val="22"/>
        </w:rPr>
        <w:t>charge (in dollars)</w:t>
      </w:r>
      <w:r w:rsidRPr="009376CC">
        <w:rPr>
          <w:sz w:val="22"/>
          <w:szCs w:val="22"/>
        </w:rPr>
        <w:t xml:space="preserve"> billed for each additional unit of this circuit element on this circuit.  Enter the charge to two decimal places and do not include other string characters (</w:t>
      </w:r>
      <w:r w:rsidRPr="00995C27">
        <w:rPr>
          <w:i/>
          <w:sz w:val="22"/>
          <w:szCs w:val="22"/>
        </w:rPr>
        <w:t>e.g.</w:t>
      </w:r>
      <w:r w:rsidRPr="009376CC">
        <w:rPr>
          <w:sz w:val="22"/>
          <w:szCs w:val="22"/>
        </w:rPr>
        <w:t>, “$”).</w:t>
      </w:r>
    </w:p>
    <w:p w:rsidR="00F97D54" w:rsidRPr="009376CC" w:rsidRDefault="00F97D54" w:rsidP="00EB5B97">
      <w:pPr>
        <w:pStyle w:val="ListParagraph"/>
        <w:rPr>
          <w:sz w:val="22"/>
          <w:szCs w:val="22"/>
        </w:rPr>
      </w:pPr>
    </w:p>
    <w:p w:rsidR="00F97D54" w:rsidRDefault="00F97D54" w:rsidP="00EB5B97">
      <w:pPr>
        <w:pStyle w:val="ListParagraph"/>
        <w:numPr>
          <w:ilvl w:val="0"/>
          <w:numId w:val="19"/>
        </w:numPr>
        <w:spacing w:after="200" w:line="276" w:lineRule="auto"/>
        <w:rPr>
          <w:sz w:val="22"/>
          <w:szCs w:val="22"/>
        </w:rPr>
      </w:pPr>
      <w:r w:rsidRPr="00995C27">
        <w:rPr>
          <w:sz w:val="22"/>
          <w:szCs w:val="22"/>
          <w:u w:val="single"/>
        </w:rPr>
        <w:t>Billed</w:t>
      </w:r>
      <w:r w:rsidRPr="009376CC">
        <w:rPr>
          <w:sz w:val="22"/>
          <w:szCs w:val="22"/>
        </w:rPr>
        <w:t xml:space="preserve">:  </w:t>
      </w:r>
      <w:r>
        <w:rPr>
          <w:sz w:val="22"/>
          <w:szCs w:val="22"/>
        </w:rPr>
        <w:t>Per unit</w:t>
      </w:r>
      <w:r w:rsidRPr="009376CC">
        <w:rPr>
          <w:sz w:val="22"/>
          <w:szCs w:val="22"/>
        </w:rPr>
        <w:t xml:space="preserve"> monthly </w:t>
      </w:r>
      <w:r>
        <w:rPr>
          <w:sz w:val="22"/>
          <w:szCs w:val="22"/>
        </w:rPr>
        <w:t>amount (in dollars)</w:t>
      </w:r>
      <w:r w:rsidRPr="009376CC">
        <w:rPr>
          <w:sz w:val="22"/>
          <w:szCs w:val="22"/>
        </w:rPr>
        <w:t xml:space="preserve"> billed for the circuit element including all “in-cycle” discounts and penalties.  “In-cycle” discounts and penalties are those adjustments that are rolled into the actual amount paid by the </w:t>
      </w:r>
      <w:r>
        <w:rPr>
          <w:sz w:val="22"/>
          <w:szCs w:val="22"/>
        </w:rPr>
        <w:t>customer</w:t>
      </w:r>
      <w:r w:rsidRPr="009376CC">
        <w:rPr>
          <w:sz w:val="22"/>
          <w:szCs w:val="22"/>
        </w:rPr>
        <w:t xml:space="preserve"> each month (</w:t>
      </w:r>
      <w:r w:rsidRPr="00F91CA1">
        <w:rPr>
          <w:i/>
          <w:sz w:val="22"/>
          <w:szCs w:val="22"/>
        </w:rPr>
        <w:t>see</w:t>
      </w:r>
      <w:r w:rsidRPr="009376CC">
        <w:rPr>
          <w:sz w:val="22"/>
          <w:szCs w:val="22"/>
        </w:rPr>
        <w:t xml:space="preserve"> the instructions to </w:t>
      </w:r>
      <w:r>
        <w:rPr>
          <w:sz w:val="22"/>
          <w:szCs w:val="22"/>
        </w:rPr>
        <w:t xml:space="preserve">Question </w:t>
      </w:r>
      <w:r w:rsidRPr="009376CC">
        <w:rPr>
          <w:sz w:val="22"/>
          <w:szCs w:val="22"/>
        </w:rPr>
        <w:t xml:space="preserve">II.B.5 for more information on “in-cycle” vs. “out-of-cycle” billing adjustments).  If in-cycle adjustments show up as a separate line-item on the customer’s bill, they </w:t>
      </w:r>
      <w:r>
        <w:rPr>
          <w:sz w:val="22"/>
          <w:szCs w:val="22"/>
        </w:rPr>
        <w:t>must</w:t>
      </w:r>
      <w:r w:rsidRPr="009376CC">
        <w:rPr>
          <w:sz w:val="22"/>
          <w:szCs w:val="22"/>
        </w:rPr>
        <w:t xml:space="preserve"> be reported as separate line-items in </w:t>
      </w:r>
      <w:r>
        <w:rPr>
          <w:sz w:val="22"/>
          <w:szCs w:val="22"/>
        </w:rPr>
        <w:t>T</w:t>
      </w:r>
      <w:r w:rsidRPr="009376CC">
        <w:rPr>
          <w:sz w:val="22"/>
          <w:szCs w:val="22"/>
        </w:rPr>
        <w:t>able</w:t>
      </w:r>
      <w:r>
        <w:rPr>
          <w:sz w:val="22"/>
          <w:szCs w:val="22"/>
        </w:rPr>
        <w:t xml:space="preserve"> II.B.4</w:t>
      </w:r>
      <w:r w:rsidRPr="009376CC">
        <w:rPr>
          <w:sz w:val="22"/>
          <w:szCs w:val="22"/>
        </w:rPr>
        <w:t xml:space="preserve">.  Do not include any “out-of-cycle” </w:t>
      </w:r>
      <w:r>
        <w:rPr>
          <w:sz w:val="22"/>
          <w:szCs w:val="22"/>
        </w:rPr>
        <w:t>a</w:t>
      </w:r>
      <w:r w:rsidRPr="009376CC">
        <w:rPr>
          <w:sz w:val="22"/>
          <w:szCs w:val="22"/>
        </w:rPr>
        <w:t xml:space="preserve">djustments as otherwise reported in </w:t>
      </w:r>
      <w:r>
        <w:rPr>
          <w:sz w:val="22"/>
          <w:szCs w:val="22"/>
        </w:rPr>
        <w:t xml:space="preserve">response to Question </w:t>
      </w:r>
      <w:r w:rsidRPr="009376CC">
        <w:rPr>
          <w:sz w:val="22"/>
          <w:szCs w:val="22"/>
        </w:rPr>
        <w:t>I</w:t>
      </w:r>
      <w:r>
        <w:rPr>
          <w:sz w:val="22"/>
          <w:szCs w:val="22"/>
        </w:rPr>
        <w:t>I.B.4.y</w:t>
      </w:r>
      <w:r w:rsidRPr="009376CC">
        <w:rPr>
          <w:sz w:val="22"/>
          <w:szCs w:val="22"/>
        </w:rPr>
        <w:t>.  For circuit elements with multiple billed units (</w:t>
      </w:r>
      <w:r w:rsidRPr="00CC13EF">
        <w:rPr>
          <w:i/>
          <w:sz w:val="22"/>
          <w:szCs w:val="22"/>
        </w:rPr>
        <w:t>i.e.</w:t>
      </w:r>
      <w:r w:rsidRPr="009376CC">
        <w:rPr>
          <w:sz w:val="22"/>
          <w:szCs w:val="22"/>
        </w:rPr>
        <w:t xml:space="preserve">, quantity greater than one in </w:t>
      </w:r>
      <w:r>
        <w:rPr>
          <w:sz w:val="22"/>
          <w:szCs w:val="22"/>
        </w:rPr>
        <w:t xml:space="preserve">Question </w:t>
      </w:r>
      <w:r w:rsidRPr="009376CC">
        <w:rPr>
          <w:sz w:val="22"/>
          <w:szCs w:val="22"/>
        </w:rPr>
        <w:t>II.B.4.o</w:t>
      </w:r>
      <w:r>
        <w:rPr>
          <w:sz w:val="22"/>
          <w:szCs w:val="22"/>
        </w:rPr>
        <w:t>),</w:t>
      </w:r>
      <w:r w:rsidRPr="009376CC">
        <w:rPr>
          <w:sz w:val="22"/>
          <w:szCs w:val="22"/>
        </w:rPr>
        <w:t xml:space="preserve"> enter the amount billed for a single unit, such that the </w:t>
      </w:r>
      <w:r>
        <w:rPr>
          <w:sz w:val="22"/>
          <w:szCs w:val="22"/>
        </w:rPr>
        <w:t>product of Quantity and B</w:t>
      </w:r>
      <w:r w:rsidRPr="009376CC">
        <w:rPr>
          <w:sz w:val="22"/>
          <w:szCs w:val="22"/>
        </w:rPr>
        <w:t>illed is the total charge on the bill.  For example</w:t>
      </w:r>
      <w:r>
        <w:rPr>
          <w:sz w:val="22"/>
          <w:szCs w:val="22"/>
        </w:rPr>
        <w:t>, if the circuit includes two “channel t</w:t>
      </w:r>
      <w:r w:rsidRPr="009376CC">
        <w:rPr>
          <w:sz w:val="22"/>
          <w:szCs w:val="22"/>
        </w:rPr>
        <w:t>ermination” charges that are both billed at the s</w:t>
      </w:r>
      <w:r>
        <w:rPr>
          <w:sz w:val="22"/>
          <w:szCs w:val="22"/>
        </w:rPr>
        <w:t>ame rate (and have the same Billing</w:t>
      </w:r>
      <w:r w:rsidRPr="009376CC">
        <w:rPr>
          <w:sz w:val="22"/>
          <w:szCs w:val="22"/>
        </w:rPr>
        <w:t>_Code (</w:t>
      </w:r>
      <w:r>
        <w:rPr>
          <w:sz w:val="22"/>
          <w:szCs w:val="22"/>
        </w:rPr>
        <w:t xml:space="preserve">Question </w:t>
      </w:r>
      <w:r w:rsidRPr="009376CC">
        <w:rPr>
          <w:sz w:val="22"/>
          <w:szCs w:val="22"/>
        </w:rPr>
        <w:t>II.B.4.m), Loca</w:t>
      </w:r>
      <w:r>
        <w:rPr>
          <w:sz w:val="22"/>
          <w:szCs w:val="22"/>
        </w:rPr>
        <w:t>tion_ID, bandwidth, etc.), the q</w:t>
      </w:r>
      <w:r w:rsidRPr="009376CC">
        <w:rPr>
          <w:sz w:val="22"/>
          <w:szCs w:val="22"/>
        </w:rPr>
        <w:t>uantity (</w:t>
      </w:r>
      <w:r>
        <w:rPr>
          <w:sz w:val="22"/>
          <w:szCs w:val="22"/>
        </w:rPr>
        <w:t xml:space="preserve">Question </w:t>
      </w:r>
      <w:r w:rsidRPr="009376CC">
        <w:rPr>
          <w:sz w:val="22"/>
          <w:szCs w:val="22"/>
        </w:rPr>
        <w:t>II.B.4.o)</w:t>
      </w:r>
      <w:r>
        <w:rPr>
          <w:sz w:val="22"/>
          <w:szCs w:val="22"/>
        </w:rPr>
        <w:t xml:space="preserve"> is equal to 2, and the per unit monthly b</w:t>
      </w:r>
      <w:r w:rsidRPr="009376CC">
        <w:rPr>
          <w:sz w:val="22"/>
          <w:szCs w:val="22"/>
        </w:rPr>
        <w:t>illed amount (</w:t>
      </w:r>
      <w:r>
        <w:rPr>
          <w:sz w:val="22"/>
          <w:szCs w:val="22"/>
        </w:rPr>
        <w:t xml:space="preserve">Question </w:t>
      </w:r>
      <w:r w:rsidRPr="009376CC">
        <w:rPr>
          <w:sz w:val="22"/>
          <w:szCs w:val="22"/>
        </w:rPr>
        <w:t xml:space="preserve">II.B.4.t) </w:t>
      </w:r>
      <w:r>
        <w:rPr>
          <w:sz w:val="22"/>
          <w:szCs w:val="22"/>
        </w:rPr>
        <w:t>must equal the charge for a single channel t</w:t>
      </w:r>
      <w:r w:rsidRPr="009376CC">
        <w:rPr>
          <w:sz w:val="22"/>
          <w:szCs w:val="22"/>
        </w:rPr>
        <w:t>ermination.  Alternatively, each channel termination may be recorded separately (</w:t>
      </w:r>
      <w:r w:rsidRPr="00CC13EF">
        <w:rPr>
          <w:i/>
          <w:sz w:val="22"/>
          <w:szCs w:val="22"/>
        </w:rPr>
        <w:t>i.e.</w:t>
      </w:r>
      <w:r w:rsidRPr="009376CC">
        <w:rPr>
          <w:sz w:val="22"/>
          <w:szCs w:val="22"/>
        </w:rPr>
        <w:t>, on two separate lines with quantity equal to 1 for each line).  The multiplicative product requirement also applies to charges for mileage of the circuit, if the circuit has such a charge.  For example, if the circuit is 4 miles</w:t>
      </w:r>
      <w:r>
        <w:rPr>
          <w:sz w:val="22"/>
          <w:szCs w:val="22"/>
        </w:rPr>
        <w:t xml:space="preserve"> in length, the amount entered in Q</w:t>
      </w:r>
      <w:r w:rsidRPr="009376CC">
        <w:rPr>
          <w:sz w:val="22"/>
          <w:szCs w:val="22"/>
        </w:rPr>
        <w:t xml:space="preserve">uantity </w:t>
      </w:r>
      <w:r>
        <w:rPr>
          <w:sz w:val="22"/>
          <w:szCs w:val="22"/>
        </w:rPr>
        <w:t>is 4 and the amount entered in the B</w:t>
      </w:r>
      <w:r w:rsidRPr="009376CC">
        <w:rPr>
          <w:sz w:val="22"/>
          <w:szCs w:val="22"/>
        </w:rPr>
        <w:t xml:space="preserve">illed </w:t>
      </w:r>
      <w:r>
        <w:rPr>
          <w:sz w:val="22"/>
          <w:szCs w:val="22"/>
        </w:rPr>
        <w:t>field is</w:t>
      </w:r>
      <w:r w:rsidRPr="009376CC">
        <w:rPr>
          <w:sz w:val="22"/>
          <w:szCs w:val="22"/>
        </w:rPr>
        <w:t xml:space="preserve"> the charge per 1 mile.  </w:t>
      </w:r>
      <w:r>
        <w:rPr>
          <w:sz w:val="22"/>
          <w:szCs w:val="22"/>
        </w:rPr>
        <w:t>E</w:t>
      </w:r>
      <w:r w:rsidRPr="009376CC">
        <w:rPr>
          <w:sz w:val="22"/>
          <w:szCs w:val="22"/>
        </w:rPr>
        <w:t xml:space="preserve">nter the </w:t>
      </w:r>
      <w:r>
        <w:rPr>
          <w:sz w:val="22"/>
          <w:szCs w:val="22"/>
        </w:rPr>
        <w:t>b</w:t>
      </w:r>
      <w:r w:rsidRPr="009376CC">
        <w:rPr>
          <w:sz w:val="22"/>
          <w:szCs w:val="22"/>
        </w:rPr>
        <w:t>illed amount to two decimal places, and do not include other string characters (</w:t>
      </w:r>
      <w:r w:rsidRPr="00CC13EF">
        <w:rPr>
          <w:i/>
          <w:sz w:val="22"/>
          <w:szCs w:val="22"/>
        </w:rPr>
        <w:t>e.g.</w:t>
      </w:r>
      <w:r w:rsidRPr="009376CC">
        <w:rPr>
          <w:sz w:val="22"/>
          <w:szCs w:val="22"/>
        </w:rPr>
        <w:t>, “$”).</w:t>
      </w:r>
      <w:r>
        <w:rPr>
          <w:sz w:val="22"/>
          <w:szCs w:val="22"/>
        </w:rPr>
        <w:t xml:space="preserve">  Fractional miles are permitted if the customer was billed for fractional mileage for any given circuit element.  However, the amount entered in the Billed field must be converted to a whole-mile charge.  For example, for a half mile circuit, the Quantity is reported as 0.5 on any per-mile circuit element, but the amount in Billed is the 1-mile charge such that the product of Quantity and Billed is equal to the total charge to the customer.</w:t>
      </w:r>
    </w:p>
    <w:p w:rsidR="00F97D54" w:rsidRPr="009376CC" w:rsidRDefault="00F97D54" w:rsidP="00EB5B97">
      <w:pPr>
        <w:pStyle w:val="ListParagraph"/>
        <w:rPr>
          <w:sz w:val="22"/>
          <w:szCs w:val="22"/>
        </w:rPr>
      </w:pPr>
    </w:p>
    <w:p w:rsidR="00F97D54" w:rsidRDefault="00F97D54" w:rsidP="00EB5B97">
      <w:pPr>
        <w:pStyle w:val="ListParagraph"/>
        <w:numPr>
          <w:ilvl w:val="0"/>
          <w:numId w:val="19"/>
        </w:numPr>
        <w:spacing w:after="200" w:line="276" w:lineRule="auto"/>
        <w:rPr>
          <w:sz w:val="22"/>
          <w:szCs w:val="22"/>
        </w:rPr>
      </w:pPr>
      <w:r>
        <w:rPr>
          <w:sz w:val="22"/>
          <w:szCs w:val="22"/>
          <w:u w:val="single"/>
        </w:rPr>
        <w:t>Total_Billed</w:t>
      </w:r>
      <w:r>
        <w:rPr>
          <w:sz w:val="22"/>
          <w:szCs w:val="22"/>
        </w:rPr>
        <w:t xml:space="preserve">:  </w:t>
      </w:r>
      <w:r w:rsidRPr="00063B73">
        <w:rPr>
          <w:sz w:val="22"/>
          <w:szCs w:val="22"/>
        </w:rPr>
        <w:t xml:space="preserve">Total monthly amount </w:t>
      </w:r>
      <w:r>
        <w:rPr>
          <w:sz w:val="22"/>
          <w:szCs w:val="22"/>
        </w:rPr>
        <w:t xml:space="preserve">(in dollars) </w:t>
      </w:r>
      <w:r w:rsidRPr="00063B73">
        <w:rPr>
          <w:sz w:val="22"/>
          <w:szCs w:val="22"/>
        </w:rPr>
        <w:t xml:space="preserve">billed for </w:t>
      </w:r>
      <w:r>
        <w:rPr>
          <w:sz w:val="22"/>
          <w:szCs w:val="22"/>
        </w:rPr>
        <w:t xml:space="preserve">all units of </w:t>
      </w:r>
      <w:r w:rsidRPr="00063B73">
        <w:rPr>
          <w:sz w:val="22"/>
          <w:szCs w:val="22"/>
        </w:rPr>
        <w:t xml:space="preserve">the circuit element including all “in-cycle” discounts and penalties.  “In-cycle” discounts and penalties are those adjustments that are rolled into the actual amount paid by the </w:t>
      </w:r>
      <w:r>
        <w:rPr>
          <w:sz w:val="22"/>
          <w:szCs w:val="22"/>
        </w:rPr>
        <w:t>customer</w:t>
      </w:r>
      <w:r w:rsidRPr="00063B73">
        <w:rPr>
          <w:sz w:val="22"/>
          <w:szCs w:val="22"/>
        </w:rPr>
        <w:t xml:space="preserve"> each month (</w:t>
      </w:r>
      <w:r w:rsidRPr="00660E22">
        <w:rPr>
          <w:i/>
          <w:sz w:val="22"/>
          <w:szCs w:val="22"/>
        </w:rPr>
        <w:t>see</w:t>
      </w:r>
      <w:r w:rsidRPr="00063B73">
        <w:rPr>
          <w:sz w:val="22"/>
          <w:szCs w:val="22"/>
        </w:rPr>
        <w:t xml:space="preserve"> the instructions to </w:t>
      </w:r>
      <w:r>
        <w:rPr>
          <w:sz w:val="22"/>
          <w:szCs w:val="22"/>
        </w:rPr>
        <w:t xml:space="preserve">Question </w:t>
      </w:r>
      <w:r w:rsidRPr="00063B73">
        <w:rPr>
          <w:sz w:val="22"/>
          <w:szCs w:val="22"/>
        </w:rPr>
        <w:t>II.</w:t>
      </w:r>
      <w:r>
        <w:rPr>
          <w:sz w:val="22"/>
          <w:szCs w:val="22"/>
        </w:rPr>
        <w:t>B</w:t>
      </w:r>
      <w:r w:rsidRPr="00063B73">
        <w:rPr>
          <w:sz w:val="22"/>
          <w:szCs w:val="22"/>
        </w:rPr>
        <w:t>.</w:t>
      </w:r>
      <w:r>
        <w:rPr>
          <w:sz w:val="22"/>
          <w:szCs w:val="22"/>
        </w:rPr>
        <w:t>5</w:t>
      </w:r>
      <w:r w:rsidRPr="00063B73">
        <w:rPr>
          <w:sz w:val="22"/>
          <w:szCs w:val="22"/>
        </w:rPr>
        <w:t xml:space="preserve"> for more information on “in-cycle” vs. “out-of-cycle” billing adjustments).  If in-cycle adjustments show up as a separate line-item on the customer’s bill, they </w:t>
      </w:r>
      <w:r>
        <w:rPr>
          <w:sz w:val="22"/>
          <w:szCs w:val="22"/>
        </w:rPr>
        <w:t>must</w:t>
      </w:r>
      <w:r w:rsidRPr="00063B73">
        <w:rPr>
          <w:sz w:val="22"/>
          <w:szCs w:val="22"/>
        </w:rPr>
        <w:t xml:space="preserve"> be reported as separate line-items in this table.  Do </w:t>
      </w:r>
      <w:r>
        <w:rPr>
          <w:sz w:val="22"/>
          <w:szCs w:val="22"/>
        </w:rPr>
        <w:t>not include any “out-of-cycle” a</w:t>
      </w:r>
      <w:r w:rsidRPr="00063B73">
        <w:rPr>
          <w:sz w:val="22"/>
          <w:szCs w:val="22"/>
        </w:rPr>
        <w:t xml:space="preserve">djustments as otherwise reported in </w:t>
      </w:r>
      <w:r>
        <w:rPr>
          <w:sz w:val="22"/>
          <w:szCs w:val="22"/>
        </w:rPr>
        <w:t xml:space="preserve">Question </w:t>
      </w:r>
      <w:r w:rsidRPr="00063B73">
        <w:rPr>
          <w:sz w:val="22"/>
          <w:szCs w:val="22"/>
        </w:rPr>
        <w:t>II.</w:t>
      </w:r>
      <w:r>
        <w:rPr>
          <w:sz w:val="22"/>
          <w:szCs w:val="22"/>
        </w:rPr>
        <w:t>B</w:t>
      </w:r>
      <w:r w:rsidRPr="00063B73">
        <w:rPr>
          <w:sz w:val="22"/>
          <w:szCs w:val="22"/>
        </w:rPr>
        <w:t>.</w:t>
      </w:r>
      <w:r>
        <w:rPr>
          <w:sz w:val="22"/>
          <w:szCs w:val="22"/>
        </w:rPr>
        <w:t>4</w:t>
      </w:r>
      <w:r w:rsidRPr="00063B73">
        <w:rPr>
          <w:sz w:val="22"/>
          <w:szCs w:val="22"/>
        </w:rPr>
        <w:t>.</w:t>
      </w:r>
      <w:r>
        <w:rPr>
          <w:sz w:val="22"/>
          <w:szCs w:val="22"/>
        </w:rPr>
        <w:t>y</w:t>
      </w:r>
      <w:r w:rsidRPr="00063B73">
        <w:rPr>
          <w:sz w:val="22"/>
          <w:szCs w:val="22"/>
        </w:rPr>
        <w:t>.</w:t>
      </w:r>
    </w:p>
    <w:p w:rsidR="00F97D54" w:rsidRDefault="00F97D54" w:rsidP="00EB5B97">
      <w:pPr>
        <w:pStyle w:val="ListParagraph"/>
        <w:spacing w:after="200" w:line="276" w:lineRule="auto"/>
        <w:ind w:left="360"/>
        <w:rPr>
          <w:sz w:val="22"/>
          <w:szCs w:val="22"/>
        </w:rPr>
      </w:pPr>
    </w:p>
    <w:p w:rsidR="00F97D54" w:rsidRPr="00E90934" w:rsidRDefault="00F97D54" w:rsidP="00EB5B97">
      <w:pPr>
        <w:pStyle w:val="ListParagraph"/>
        <w:numPr>
          <w:ilvl w:val="0"/>
          <w:numId w:val="19"/>
        </w:numPr>
        <w:spacing w:after="200" w:line="276" w:lineRule="auto"/>
        <w:rPr>
          <w:sz w:val="22"/>
          <w:szCs w:val="22"/>
        </w:rPr>
      </w:pPr>
      <w:r w:rsidRPr="009376CC">
        <w:rPr>
          <w:sz w:val="22"/>
          <w:szCs w:val="22"/>
        </w:rPr>
        <w:t xml:space="preserve">The following questions seek to understand the </w:t>
      </w:r>
      <w:r w:rsidRPr="00E3319A">
        <w:rPr>
          <w:i/>
          <w:sz w:val="22"/>
          <w:szCs w:val="22"/>
        </w:rPr>
        <w:t>Term Commitments</w:t>
      </w:r>
      <w:r w:rsidRPr="009376CC">
        <w:rPr>
          <w:sz w:val="22"/>
          <w:szCs w:val="22"/>
        </w:rPr>
        <w:t xml:space="preserve"> under which circuits are purchased.</w:t>
      </w:r>
    </w:p>
    <w:p w:rsidR="00F97D54" w:rsidRDefault="00F97D54" w:rsidP="00EB5B97">
      <w:pPr>
        <w:pStyle w:val="ListParagraph"/>
        <w:numPr>
          <w:ilvl w:val="0"/>
          <w:numId w:val="20"/>
        </w:numPr>
        <w:spacing w:after="200" w:line="276" w:lineRule="auto"/>
        <w:rPr>
          <w:sz w:val="22"/>
          <w:szCs w:val="22"/>
        </w:rPr>
      </w:pPr>
      <w:r w:rsidRPr="00E90934">
        <w:rPr>
          <w:sz w:val="22"/>
          <w:szCs w:val="22"/>
          <w:u w:val="single"/>
        </w:rPr>
        <w:t>Term</w:t>
      </w:r>
      <w:r w:rsidRPr="009376CC">
        <w:rPr>
          <w:sz w:val="22"/>
          <w:szCs w:val="22"/>
        </w:rPr>
        <w:t xml:space="preserve">:  Length of total time of the </w:t>
      </w:r>
      <w:r w:rsidRPr="00E90934">
        <w:rPr>
          <w:i/>
          <w:sz w:val="22"/>
          <w:szCs w:val="22"/>
        </w:rPr>
        <w:t>Term Commitment</w:t>
      </w:r>
      <w:r w:rsidRPr="009376CC">
        <w:rPr>
          <w:sz w:val="22"/>
          <w:szCs w:val="22"/>
        </w:rPr>
        <w:t xml:space="preserve"> associated with thi</w:t>
      </w:r>
      <w:r>
        <w:rPr>
          <w:sz w:val="22"/>
          <w:szCs w:val="22"/>
        </w:rPr>
        <w:t>s circuit (in months).  L</w:t>
      </w:r>
      <w:r w:rsidRPr="009376CC">
        <w:rPr>
          <w:sz w:val="22"/>
          <w:szCs w:val="22"/>
        </w:rPr>
        <w:t xml:space="preserve">ist the total length of the current </w:t>
      </w:r>
      <w:r w:rsidRPr="00E90934">
        <w:rPr>
          <w:i/>
          <w:sz w:val="22"/>
          <w:szCs w:val="22"/>
        </w:rPr>
        <w:t>Term Commitment</w:t>
      </w:r>
      <w:r w:rsidRPr="009376CC">
        <w:rPr>
          <w:sz w:val="22"/>
          <w:szCs w:val="22"/>
        </w:rPr>
        <w:t xml:space="preserve">, not the remaining length of the </w:t>
      </w:r>
      <w:r w:rsidRPr="00E90934">
        <w:rPr>
          <w:i/>
          <w:sz w:val="22"/>
          <w:szCs w:val="22"/>
        </w:rPr>
        <w:t>Term Commitment</w:t>
      </w:r>
      <w:r w:rsidRPr="009376CC">
        <w:rPr>
          <w:sz w:val="22"/>
          <w:szCs w:val="22"/>
        </w:rPr>
        <w:t>.  For example, in reporting circuits for calendar month Jan</w:t>
      </w:r>
      <w:r>
        <w:rPr>
          <w:sz w:val="22"/>
          <w:szCs w:val="22"/>
        </w:rPr>
        <w:t>uary</w:t>
      </w:r>
      <w:r w:rsidRPr="009376CC">
        <w:rPr>
          <w:sz w:val="22"/>
          <w:szCs w:val="22"/>
        </w:rPr>
        <w:t xml:space="preserve"> 201</w:t>
      </w:r>
      <w:r>
        <w:rPr>
          <w:sz w:val="22"/>
          <w:szCs w:val="22"/>
        </w:rPr>
        <w:t>0</w:t>
      </w:r>
      <w:r w:rsidRPr="009376CC">
        <w:rPr>
          <w:sz w:val="22"/>
          <w:szCs w:val="22"/>
        </w:rPr>
        <w:t>, enter 60 for a circuit that was sold in Jan</w:t>
      </w:r>
      <w:r>
        <w:rPr>
          <w:sz w:val="22"/>
          <w:szCs w:val="22"/>
        </w:rPr>
        <w:t>uary</w:t>
      </w:r>
      <w:r w:rsidRPr="009376CC">
        <w:rPr>
          <w:sz w:val="22"/>
          <w:szCs w:val="22"/>
        </w:rPr>
        <w:t xml:space="preserve"> 200</w:t>
      </w:r>
      <w:r>
        <w:rPr>
          <w:sz w:val="22"/>
          <w:szCs w:val="22"/>
        </w:rPr>
        <w:t>7</w:t>
      </w:r>
      <w:r w:rsidRPr="009376CC">
        <w:rPr>
          <w:sz w:val="22"/>
          <w:szCs w:val="22"/>
        </w:rPr>
        <w:t xml:space="preserve"> under a 5 year commitment, even though only </w:t>
      </w:r>
      <w:r>
        <w:rPr>
          <w:sz w:val="22"/>
          <w:szCs w:val="22"/>
        </w:rPr>
        <w:t>24</w:t>
      </w:r>
      <w:r w:rsidRPr="009376CC">
        <w:rPr>
          <w:sz w:val="22"/>
          <w:szCs w:val="22"/>
        </w:rPr>
        <w:t xml:space="preserve"> months remain on the current term.  For circuits sold on a month-to-month basis, enter 1.  We anticipate that this value </w:t>
      </w:r>
      <w:r>
        <w:rPr>
          <w:sz w:val="22"/>
          <w:szCs w:val="22"/>
        </w:rPr>
        <w:t>is</w:t>
      </w:r>
      <w:r w:rsidRPr="009376CC">
        <w:rPr>
          <w:sz w:val="22"/>
          <w:szCs w:val="22"/>
        </w:rPr>
        <w:t xml:space="preserve"> identical for all circuit elements sold in common on the circuit.  To the extent that the term length varies across different </w:t>
      </w:r>
      <w:r>
        <w:rPr>
          <w:sz w:val="22"/>
          <w:szCs w:val="22"/>
        </w:rPr>
        <w:t xml:space="preserve">circuit elements, </w:t>
      </w:r>
      <w:r w:rsidRPr="009376CC">
        <w:rPr>
          <w:sz w:val="22"/>
          <w:szCs w:val="22"/>
        </w:rPr>
        <w:t>enter the appropriate term commitment for each individual circuit element.</w:t>
      </w:r>
    </w:p>
    <w:p w:rsidR="00F97D54" w:rsidRDefault="00F97D54" w:rsidP="00EB5B97">
      <w:pPr>
        <w:pStyle w:val="ListParagraph"/>
        <w:numPr>
          <w:ilvl w:val="0"/>
          <w:numId w:val="20"/>
        </w:numPr>
        <w:spacing w:after="200" w:line="276" w:lineRule="auto"/>
        <w:rPr>
          <w:sz w:val="22"/>
          <w:szCs w:val="22"/>
        </w:rPr>
      </w:pPr>
      <w:r w:rsidRPr="00E90934">
        <w:rPr>
          <w:sz w:val="22"/>
          <w:szCs w:val="22"/>
          <w:u w:val="single"/>
        </w:rPr>
        <w:t>End_Date</w:t>
      </w:r>
      <w:r w:rsidRPr="00E90934">
        <w:rPr>
          <w:sz w:val="22"/>
          <w:szCs w:val="22"/>
        </w:rPr>
        <w:t>:  If the circuit has an associated total term longer than one month, enter the month and year the term expires.  In the preceding example, the End_Date would be coded as 12/</w:t>
      </w:r>
      <w:r>
        <w:rPr>
          <w:sz w:val="22"/>
          <w:szCs w:val="22"/>
        </w:rPr>
        <w:t>2012</w:t>
      </w:r>
      <w:r w:rsidRPr="00E90934">
        <w:rPr>
          <w:sz w:val="22"/>
          <w:szCs w:val="22"/>
        </w:rPr>
        <w:t>, sixty months after the five-year term was agreed to in January 200</w:t>
      </w:r>
      <w:r>
        <w:rPr>
          <w:sz w:val="22"/>
          <w:szCs w:val="22"/>
        </w:rPr>
        <w:t>7</w:t>
      </w:r>
      <w:r w:rsidRPr="00E90934">
        <w:rPr>
          <w:sz w:val="22"/>
          <w:szCs w:val="22"/>
        </w:rPr>
        <w:t>.  Leave the End_Date field blank for those circuits purchased on a month-to-month basis.</w:t>
      </w:r>
    </w:p>
    <w:p w:rsidR="00F97D54" w:rsidRPr="00E90934" w:rsidRDefault="00F97D54" w:rsidP="00162BEB">
      <w:pPr>
        <w:pStyle w:val="ListParagraph"/>
        <w:widowControl/>
        <w:numPr>
          <w:ilvl w:val="0"/>
          <w:numId w:val="20"/>
        </w:numPr>
        <w:spacing w:after="200" w:line="276" w:lineRule="auto"/>
        <w:rPr>
          <w:sz w:val="22"/>
          <w:szCs w:val="22"/>
        </w:rPr>
      </w:pPr>
      <w:r w:rsidRPr="00E90934">
        <w:rPr>
          <w:sz w:val="22"/>
          <w:szCs w:val="22"/>
          <w:u w:val="single"/>
        </w:rPr>
        <w:t>Term_Discount_IC</w:t>
      </w:r>
      <w:r w:rsidRPr="00E90934">
        <w:rPr>
          <w:sz w:val="22"/>
          <w:szCs w:val="22"/>
        </w:rPr>
        <w:t>:  Indicate whet</w:t>
      </w:r>
      <w:r>
        <w:rPr>
          <w:sz w:val="22"/>
          <w:szCs w:val="22"/>
        </w:rPr>
        <w:t>her the per unit monthly billed amount in Q</w:t>
      </w:r>
      <w:r w:rsidRPr="00E90934">
        <w:rPr>
          <w:sz w:val="22"/>
          <w:szCs w:val="22"/>
        </w:rPr>
        <w:t xml:space="preserve">uestion II.B.4.t includes any in-cycle discounts that have been applied due to a </w:t>
      </w:r>
      <w:r w:rsidRPr="00E90934">
        <w:rPr>
          <w:i/>
          <w:sz w:val="22"/>
          <w:szCs w:val="22"/>
        </w:rPr>
        <w:t>Term Commitment</w:t>
      </w:r>
      <w:r w:rsidRPr="00E90934">
        <w:rPr>
          <w:sz w:val="22"/>
          <w:szCs w:val="22"/>
        </w:rPr>
        <w:t xml:space="preserve">.  Enter a 1 if the </w:t>
      </w:r>
      <w:r>
        <w:rPr>
          <w:sz w:val="22"/>
          <w:szCs w:val="22"/>
        </w:rPr>
        <w:t>per unit monthly</w:t>
      </w:r>
      <w:r w:rsidRPr="00E90934">
        <w:rPr>
          <w:sz w:val="22"/>
          <w:szCs w:val="22"/>
        </w:rPr>
        <w:t xml:space="preserve"> billed amount includes in-cycle term discounts; enter 0 if the </w:t>
      </w:r>
      <w:r>
        <w:rPr>
          <w:sz w:val="22"/>
          <w:szCs w:val="22"/>
        </w:rPr>
        <w:t>per unit monthly</w:t>
      </w:r>
      <w:r w:rsidRPr="00E90934">
        <w:rPr>
          <w:sz w:val="22"/>
          <w:szCs w:val="22"/>
        </w:rPr>
        <w:t xml:space="preserve"> billed amount does not include in-cycle term discounts.  If the term discounts for this circuit are only given through out-of-cy</w:t>
      </w:r>
      <w:r>
        <w:rPr>
          <w:sz w:val="22"/>
          <w:szCs w:val="22"/>
        </w:rPr>
        <w:t>cle adjustments as reported in Q</w:t>
      </w:r>
      <w:r w:rsidRPr="00E90934">
        <w:rPr>
          <w:sz w:val="22"/>
          <w:szCs w:val="22"/>
        </w:rPr>
        <w:t xml:space="preserve">uestion </w:t>
      </w:r>
      <w:r>
        <w:rPr>
          <w:sz w:val="22"/>
          <w:szCs w:val="22"/>
        </w:rPr>
        <w:t xml:space="preserve">II.B.5, </w:t>
      </w:r>
      <w:r w:rsidRPr="00E90934">
        <w:rPr>
          <w:sz w:val="22"/>
          <w:szCs w:val="22"/>
        </w:rPr>
        <w:t xml:space="preserve">enter 0.  If the circuit is not sold under a </w:t>
      </w:r>
      <w:r w:rsidRPr="00E90934">
        <w:rPr>
          <w:i/>
          <w:sz w:val="22"/>
          <w:szCs w:val="22"/>
        </w:rPr>
        <w:t>Term Commitment</w:t>
      </w:r>
      <w:r w:rsidRPr="00E90934">
        <w:rPr>
          <w:sz w:val="22"/>
          <w:szCs w:val="22"/>
        </w:rPr>
        <w:t>, leave this field blank.</w:t>
      </w:r>
    </w:p>
    <w:p w:rsidR="00F97D54" w:rsidRPr="009376CC" w:rsidRDefault="00F97D54" w:rsidP="00EB5B97">
      <w:pPr>
        <w:pStyle w:val="ListParagraph"/>
        <w:rPr>
          <w:sz w:val="22"/>
          <w:szCs w:val="22"/>
        </w:rPr>
      </w:pPr>
    </w:p>
    <w:p w:rsidR="00F97D54" w:rsidRPr="009376CC" w:rsidRDefault="00F97D54" w:rsidP="00EB5B97">
      <w:pPr>
        <w:pStyle w:val="ListParagraph"/>
        <w:numPr>
          <w:ilvl w:val="0"/>
          <w:numId w:val="19"/>
        </w:numPr>
        <w:spacing w:after="200" w:line="276" w:lineRule="auto"/>
        <w:rPr>
          <w:sz w:val="22"/>
          <w:szCs w:val="22"/>
        </w:rPr>
      </w:pPr>
      <w:r w:rsidRPr="00E90934">
        <w:rPr>
          <w:sz w:val="22"/>
          <w:szCs w:val="22"/>
          <w:u w:val="single"/>
        </w:rPr>
        <w:t>Volume_Commitment</w:t>
      </w:r>
      <w:r w:rsidRPr="009376CC">
        <w:rPr>
          <w:sz w:val="22"/>
          <w:szCs w:val="22"/>
        </w:rPr>
        <w:t xml:space="preserve">:  Indicate whether this circuit was sold under a </w:t>
      </w:r>
      <w:r w:rsidRPr="00E90934">
        <w:rPr>
          <w:i/>
          <w:sz w:val="22"/>
          <w:szCs w:val="22"/>
        </w:rPr>
        <w:t>Volume Commitment</w:t>
      </w:r>
      <w:r w:rsidRPr="009376CC">
        <w:rPr>
          <w:sz w:val="22"/>
          <w:szCs w:val="22"/>
        </w:rPr>
        <w:t xml:space="preserve">.  Enter 0 if the circuit was not sold under a </w:t>
      </w:r>
      <w:r w:rsidRPr="00E90934">
        <w:rPr>
          <w:i/>
          <w:sz w:val="22"/>
          <w:szCs w:val="22"/>
        </w:rPr>
        <w:t>Volume Commitment</w:t>
      </w:r>
      <w:r w:rsidRPr="009376CC">
        <w:rPr>
          <w:sz w:val="22"/>
          <w:szCs w:val="22"/>
        </w:rPr>
        <w:t xml:space="preserve">, and enter 1 if the circuit was </w:t>
      </w:r>
      <w:r>
        <w:rPr>
          <w:sz w:val="22"/>
          <w:szCs w:val="22"/>
        </w:rPr>
        <w:t xml:space="preserve">sold under a commitment by the customer </w:t>
      </w:r>
      <w:r w:rsidRPr="009376CC">
        <w:rPr>
          <w:sz w:val="22"/>
          <w:szCs w:val="22"/>
        </w:rPr>
        <w:t xml:space="preserve">to purchase either a specified number of circuits or </w:t>
      </w:r>
      <w:r>
        <w:rPr>
          <w:sz w:val="22"/>
          <w:szCs w:val="22"/>
        </w:rPr>
        <w:t xml:space="preserve">to spend </w:t>
      </w:r>
      <w:r w:rsidRPr="009376CC">
        <w:rPr>
          <w:sz w:val="22"/>
          <w:szCs w:val="22"/>
        </w:rPr>
        <w:t xml:space="preserve">a specified </w:t>
      </w:r>
      <w:r w:rsidRPr="00E90934">
        <w:rPr>
          <w:i/>
          <w:sz w:val="22"/>
          <w:szCs w:val="22"/>
        </w:rPr>
        <w:t>Revenue</w:t>
      </w:r>
      <w:r>
        <w:rPr>
          <w:i/>
          <w:sz w:val="22"/>
          <w:szCs w:val="22"/>
        </w:rPr>
        <w:t xml:space="preserve"> </w:t>
      </w:r>
      <w:r>
        <w:rPr>
          <w:sz w:val="22"/>
          <w:szCs w:val="22"/>
        </w:rPr>
        <w:t>amount</w:t>
      </w:r>
      <w:r w:rsidRPr="009376CC">
        <w:rPr>
          <w:sz w:val="22"/>
          <w:szCs w:val="22"/>
        </w:rPr>
        <w:t>.</w:t>
      </w:r>
    </w:p>
    <w:p w:rsidR="00F97D54" w:rsidRPr="009376CC" w:rsidRDefault="00F97D54" w:rsidP="00EB5B97">
      <w:pPr>
        <w:pStyle w:val="ListParagraph"/>
        <w:numPr>
          <w:ilvl w:val="0"/>
          <w:numId w:val="21"/>
        </w:numPr>
        <w:spacing w:after="200" w:line="276" w:lineRule="auto"/>
        <w:rPr>
          <w:sz w:val="22"/>
          <w:szCs w:val="22"/>
        </w:rPr>
      </w:pPr>
      <w:r w:rsidRPr="00E90934">
        <w:rPr>
          <w:sz w:val="22"/>
          <w:szCs w:val="22"/>
          <w:u w:val="single"/>
        </w:rPr>
        <w:t>Vol_Discount_IC</w:t>
      </w:r>
      <w:r w:rsidRPr="009376CC">
        <w:rPr>
          <w:sz w:val="22"/>
          <w:szCs w:val="22"/>
        </w:rPr>
        <w:t xml:space="preserve">:  Indicate whether the </w:t>
      </w:r>
      <w:r>
        <w:rPr>
          <w:sz w:val="22"/>
          <w:szCs w:val="22"/>
        </w:rPr>
        <w:t xml:space="preserve">per unit monthly </w:t>
      </w:r>
      <w:r w:rsidRPr="009376CC">
        <w:rPr>
          <w:sz w:val="22"/>
          <w:szCs w:val="22"/>
        </w:rPr>
        <w:t xml:space="preserve">billed amount in </w:t>
      </w:r>
      <w:r>
        <w:rPr>
          <w:sz w:val="22"/>
          <w:szCs w:val="22"/>
        </w:rPr>
        <w:t xml:space="preserve">Question </w:t>
      </w:r>
      <w:r w:rsidRPr="009376CC">
        <w:rPr>
          <w:sz w:val="22"/>
          <w:szCs w:val="22"/>
        </w:rPr>
        <w:t xml:space="preserve">II.B.4.t includes any in-cycle discounts that have been applied due to a </w:t>
      </w:r>
      <w:r w:rsidRPr="00E90934">
        <w:rPr>
          <w:i/>
          <w:sz w:val="22"/>
          <w:szCs w:val="22"/>
        </w:rPr>
        <w:t>Volume Commitment</w:t>
      </w:r>
      <w:r w:rsidRPr="009376CC">
        <w:rPr>
          <w:sz w:val="22"/>
          <w:szCs w:val="22"/>
        </w:rPr>
        <w:t xml:space="preserve">, either in total number of circuits or total amount of expenditures (“spend”).  Enter a 1 if the </w:t>
      </w:r>
      <w:r>
        <w:rPr>
          <w:sz w:val="22"/>
          <w:szCs w:val="22"/>
        </w:rPr>
        <w:t xml:space="preserve">per unit monthly </w:t>
      </w:r>
      <w:r w:rsidRPr="009376CC">
        <w:rPr>
          <w:sz w:val="22"/>
          <w:szCs w:val="22"/>
        </w:rPr>
        <w:t xml:space="preserve">billed amount includes in-cycle volume discounts; enter 0 if the </w:t>
      </w:r>
      <w:r>
        <w:rPr>
          <w:sz w:val="22"/>
          <w:szCs w:val="22"/>
        </w:rPr>
        <w:t xml:space="preserve">per unit monthly </w:t>
      </w:r>
      <w:r w:rsidRPr="009376CC">
        <w:rPr>
          <w:sz w:val="22"/>
          <w:szCs w:val="22"/>
        </w:rPr>
        <w:t>billed amount does not include in-cycle volume disc</w:t>
      </w:r>
      <w:r>
        <w:rPr>
          <w:sz w:val="22"/>
          <w:szCs w:val="22"/>
        </w:rPr>
        <w:t>ounts.  If the volume discounts</w:t>
      </w:r>
      <w:r w:rsidRPr="009376CC">
        <w:rPr>
          <w:sz w:val="22"/>
          <w:szCs w:val="22"/>
        </w:rPr>
        <w:t xml:space="preserve"> for this circuit are only given through out-of-cycle adjustments as reported in </w:t>
      </w:r>
      <w:r>
        <w:rPr>
          <w:sz w:val="22"/>
          <w:szCs w:val="22"/>
        </w:rPr>
        <w:t xml:space="preserve">Question II.B.5, </w:t>
      </w:r>
      <w:r w:rsidRPr="009376CC">
        <w:rPr>
          <w:sz w:val="22"/>
          <w:szCs w:val="22"/>
        </w:rPr>
        <w:t xml:space="preserve">enter 0.  If the circuit is not sold under a </w:t>
      </w:r>
      <w:r w:rsidRPr="00E90934">
        <w:rPr>
          <w:i/>
          <w:sz w:val="22"/>
          <w:szCs w:val="22"/>
        </w:rPr>
        <w:t>Volume Commitment</w:t>
      </w:r>
      <w:r w:rsidRPr="009376CC">
        <w:rPr>
          <w:sz w:val="22"/>
          <w:szCs w:val="22"/>
        </w:rPr>
        <w:t>, leave this field blank.</w:t>
      </w:r>
    </w:p>
    <w:p w:rsidR="00F97D54" w:rsidRPr="009376CC" w:rsidRDefault="00F97D54" w:rsidP="00EB5B97">
      <w:pPr>
        <w:pStyle w:val="ListParagraph"/>
        <w:ind w:left="1440"/>
        <w:rPr>
          <w:sz w:val="22"/>
          <w:szCs w:val="22"/>
        </w:rPr>
      </w:pPr>
    </w:p>
    <w:p w:rsidR="00F97D54" w:rsidRDefault="00F97D54" w:rsidP="00EB5B97">
      <w:pPr>
        <w:pStyle w:val="ListParagraph"/>
        <w:numPr>
          <w:ilvl w:val="0"/>
          <w:numId w:val="19"/>
        </w:numPr>
        <w:spacing w:after="200" w:line="276" w:lineRule="auto"/>
        <w:rPr>
          <w:sz w:val="22"/>
          <w:szCs w:val="22"/>
        </w:rPr>
      </w:pPr>
      <w:r w:rsidRPr="00E90934">
        <w:rPr>
          <w:sz w:val="22"/>
          <w:szCs w:val="22"/>
          <w:u w:val="single"/>
        </w:rPr>
        <w:t>Offer</w:t>
      </w:r>
      <w:r w:rsidRPr="009376CC">
        <w:rPr>
          <w:sz w:val="22"/>
          <w:szCs w:val="22"/>
        </w:rPr>
        <w:t xml:space="preserve">:  Indicate whether the circuit was purchased under a </w:t>
      </w:r>
      <w:r w:rsidRPr="00E90934">
        <w:rPr>
          <w:i/>
          <w:sz w:val="22"/>
          <w:szCs w:val="22"/>
        </w:rPr>
        <w:t>Contract-Based Tariff</w:t>
      </w:r>
      <w:r w:rsidRPr="009376CC">
        <w:rPr>
          <w:sz w:val="22"/>
          <w:szCs w:val="22"/>
        </w:rPr>
        <w:t xml:space="preserve">.  Enter 1 if the circuit was purchased </w:t>
      </w:r>
      <w:r>
        <w:rPr>
          <w:sz w:val="22"/>
          <w:szCs w:val="22"/>
        </w:rPr>
        <w:t>under a</w:t>
      </w:r>
      <w:r w:rsidRPr="009376CC">
        <w:rPr>
          <w:sz w:val="22"/>
          <w:szCs w:val="22"/>
        </w:rPr>
        <w:t xml:space="preserve"> </w:t>
      </w:r>
      <w:r w:rsidRPr="00E90934">
        <w:rPr>
          <w:i/>
          <w:sz w:val="22"/>
          <w:szCs w:val="22"/>
        </w:rPr>
        <w:t>Contract-Based Tariff</w:t>
      </w:r>
      <w:r w:rsidRPr="009376CC">
        <w:rPr>
          <w:sz w:val="22"/>
          <w:szCs w:val="22"/>
        </w:rPr>
        <w:t xml:space="preserve"> and enter 0 if it was not.</w:t>
      </w:r>
    </w:p>
    <w:p w:rsidR="00F97D54" w:rsidRPr="00A51BB8" w:rsidRDefault="00F97D54" w:rsidP="00EB5B97">
      <w:pPr>
        <w:pStyle w:val="ListParagraph"/>
        <w:spacing w:after="200" w:line="276" w:lineRule="auto"/>
        <w:ind w:left="0"/>
        <w:rPr>
          <w:sz w:val="22"/>
          <w:szCs w:val="22"/>
        </w:rPr>
      </w:pPr>
    </w:p>
    <w:p w:rsidR="00F97D54" w:rsidRPr="009376CC" w:rsidRDefault="00F97D54" w:rsidP="00587EB9">
      <w:pPr>
        <w:pStyle w:val="ListParagraph"/>
        <w:numPr>
          <w:ilvl w:val="0"/>
          <w:numId w:val="19"/>
        </w:numPr>
        <w:spacing w:line="276" w:lineRule="auto"/>
        <w:rPr>
          <w:sz w:val="22"/>
          <w:szCs w:val="22"/>
        </w:rPr>
      </w:pPr>
      <w:r w:rsidRPr="00E90934">
        <w:rPr>
          <w:sz w:val="22"/>
          <w:szCs w:val="22"/>
          <w:u w:val="single"/>
        </w:rPr>
        <w:t xml:space="preserve">Adjustment_ID_1; Adjustment_ID_2; </w:t>
      </w:r>
      <w:r>
        <w:rPr>
          <w:sz w:val="22"/>
          <w:szCs w:val="22"/>
          <w:u w:val="single"/>
        </w:rPr>
        <w:t>…Adjustment_ID_10</w:t>
      </w:r>
      <w:r w:rsidRPr="009376CC">
        <w:rPr>
          <w:sz w:val="22"/>
          <w:szCs w:val="22"/>
        </w:rPr>
        <w:t>:  For each out-of-cycle billing adjustment applied t</w:t>
      </w:r>
      <w:r>
        <w:rPr>
          <w:sz w:val="22"/>
          <w:szCs w:val="22"/>
        </w:rPr>
        <w:t>o the circuit element, provide a unique a</w:t>
      </w:r>
      <w:r w:rsidRPr="009376CC">
        <w:rPr>
          <w:sz w:val="22"/>
          <w:szCs w:val="22"/>
        </w:rPr>
        <w:t xml:space="preserve">djustment </w:t>
      </w:r>
      <w:r>
        <w:rPr>
          <w:sz w:val="22"/>
          <w:szCs w:val="22"/>
        </w:rPr>
        <w:t>ID</w:t>
      </w:r>
      <w:r w:rsidRPr="009376CC">
        <w:rPr>
          <w:sz w:val="22"/>
          <w:szCs w:val="22"/>
        </w:rPr>
        <w:t xml:space="preserve"> </w:t>
      </w:r>
      <w:r>
        <w:rPr>
          <w:sz w:val="22"/>
          <w:szCs w:val="22"/>
        </w:rPr>
        <w:t xml:space="preserve">that is used </w:t>
      </w:r>
      <w:r w:rsidRPr="009376CC">
        <w:rPr>
          <w:sz w:val="22"/>
          <w:szCs w:val="22"/>
        </w:rPr>
        <w:t xml:space="preserve">to link the circuit elements with the dollar value and descriptions of the appropriate adjustments.  </w:t>
      </w:r>
      <w:r>
        <w:rPr>
          <w:sz w:val="22"/>
          <w:szCs w:val="22"/>
        </w:rPr>
        <w:t xml:space="preserve">The table must include 10 columns for each of the ten potential Adjustment_IDs, regardless of whether all columns are used.  For rate elements with fewer than ten out-of-cycle adjustments, leave the excess Adjustment_ID fields blank.  If a circuit element had more than ten out-of-cycle adjustments applied to it, list the Adjustment_IDs of the ten largest adjustments.  </w:t>
      </w:r>
      <w:r w:rsidRPr="009376CC">
        <w:rPr>
          <w:sz w:val="22"/>
          <w:szCs w:val="22"/>
        </w:rPr>
        <w:t>For example,</w:t>
      </w:r>
      <w:r>
        <w:rPr>
          <w:sz w:val="22"/>
          <w:szCs w:val="22"/>
        </w:rPr>
        <w:t xml:space="preserve"> if a circuit element receives five</w:t>
      </w:r>
      <w:r w:rsidRPr="009376CC">
        <w:rPr>
          <w:sz w:val="22"/>
          <w:szCs w:val="22"/>
        </w:rPr>
        <w:t xml:space="preserve"> distinc</w:t>
      </w:r>
      <w:r>
        <w:rPr>
          <w:sz w:val="22"/>
          <w:szCs w:val="22"/>
        </w:rPr>
        <w:t>t adjustments, there must be five</w:t>
      </w:r>
      <w:r w:rsidRPr="009376CC">
        <w:rPr>
          <w:sz w:val="22"/>
          <w:szCs w:val="22"/>
        </w:rPr>
        <w:t xml:space="preserve"> Adjustment_ID</w:t>
      </w:r>
      <w:r>
        <w:rPr>
          <w:sz w:val="22"/>
          <w:szCs w:val="22"/>
        </w:rPr>
        <w:t>s in the first five</w:t>
      </w:r>
      <w:r w:rsidRPr="009376CC">
        <w:rPr>
          <w:sz w:val="22"/>
          <w:szCs w:val="22"/>
        </w:rPr>
        <w:t xml:space="preserve"> columns.  </w:t>
      </w:r>
      <w:r>
        <w:rPr>
          <w:sz w:val="22"/>
          <w:szCs w:val="22"/>
        </w:rPr>
        <w:t xml:space="preserve">The remaining Adjustment_ID columns (i.e., columns 6 through 10) would be left blank.  </w:t>
      </w:r>
      <w:r w:rsidRPr="00FB5ADA">
        <w:rPr>
          <w:sz w:val="22"/>
          <w:szCs w:val="22"/>
        </w:rPr>
        <w:t xml:space="preserve">In addition, all adjustments must link back to the adjustment amounts and descriptions provided in response to Question </w:t>
      </w:r>
      <w:r>
        <w:rPr>
          <w:sz w:val="22"/>
          <w:szCs w:val="22"/>
        </w:rPr>
        <w:t>II.B</w:t>
      </w:r>
      <w:r w:rsidRPr="00FB5ADA">
        <w:rPr>
          <w:sz w:val="22"/>
          <w:szCs w:val="22"/>
        </w:rPr>
        <w:t>.</w:t>
      </w:r>
      <w:r>
        <w:rPr>
          <w:sz w:val="22"/>
          <w:szCs w:val="22"/>
        </w:rPr>
        <w:t>5</w:t>
      </w:r>
      <w:r w:rsidRPr="00FB5ADA">
        <w:rPr>
          <w:sz w:val="22"/>
          <w:szCs w:val="22"/>
        </w:rPr>
        <w:t xml:space="preserve">.  </w:t>
      </w:r>
      <w:r w:rsidRPr="00E90934">
        <w:rPr>
          <w:i/>
          <w:sz w:val="22"/>
          <w:szCs w:val="22"/>
        </w:rPr>
        <w:t>See</w:t>
      </w:r>
      <w:r w:rsidRPr="009376CC">
        <w:rPr>
          <w:sz w:val="22"/>
          <w:szCs w:val="22"/>
        </w:rPr>
        <w:t xml:space="preserve"> the instructions for </w:t>
      </w:r>
      <w:r>
        <w:rPr>
          <w:sz w:val="22"/>
          <w:szCs w:val="22"/>
        </w:rPr>
        <w:t xml:space="preserve">Question </w:t>
      </w:r>
      <w:r w:rsidRPr="009376CC">
        <w:rPr>
          <w:sz w:val="22"/>
          <w:szCs w:val="22"/>
        </w:rPr>
        <w:t>II.B</w:t>
      </w:r>
      <w:r>
        <w:rPr>
          <w:sz w:val="22"/>
          <w:szCs w:val="22"/>
        </w:rPr>
        <w:t>.5 for further instructions on a</w:t>
      </w:r>
      <w:r w:rsidRPr="009376CC">
        <w:rPr>
          <w:sz w:val="22"/>
          <w:szCs w:val="22"/>
        </w:rPr>
        <w:t>djustments.</w:t>
      </w:r>
    </w:p>
    <w:p w:rsidR="00F97D54" w:rsidRPr="00587EB9" w:rsidRDefault="00587EB9" w:rsidP="00587EB9">
      <w:pPr>
        <w:pStyle w:val="ListParagraph"/>
        <w:tabs>
          <w:tab w:val="left" w:pos="2131"/>
        </w:tabs>
        <w:rPr>
          <w:sz w:val="22"/>
          <w:szCs w:val="22"/>
        </w:rPr>
      </w:pPr>
      <w:r>
        <w:rPr>
          <w:sz w:val="22"/>
          <w:szCs w:val="22"/>
        </w:rPr>
        <w:tab/>
      </w:r>
    </w:p>
    <w:p w:rsidR="00F97D54" w:rsidRPr="00E9084B" w:rsidRDefault="00F97D54" w:rsidP="00E9084B">
      <w:pPr>
        <w:pStyle w:val="Heading4"/>
        <w:numPr>
          <w:ilvl w:val="0"/>
          <w:numId w:val="0"/>
        </w:numPr>
        <w:rPr>
          <w:b w:val="0"/>
          <w:i/>
        </w:rPr>
      </w:pPr>
      <w:bookmarkStart w:id="122" w:name="_Toc365972110"/>
      <w:r w:rsidRPr="00E9084B">
        <w:rPr>
          <w:b w:val="0"/>
          <w:i/>
        </w:rPr>
        <w:t>Question II.B.5:  Billing Adjustments</w:t>
      </w:r>
      <w:bookmarkEnd w:id="122"/>
    </w:p>
    <w:p w:rsidR="00F97D54" w:rsidRDefault="00F97D54" w:rsidP="00EB5B97">
      <w:pPr>
        <w:rPr>
          <w:szCs w:val="22"/>
        </w:rPr>
      </w:pPr>
      <w:r w:rsidRPr="0063769F">
        <w:rPr>
          <w:szCs w:val="22"/>
        </w:rPr>
        <w:t xml:space="preserve">For each adjustment or true-up (including credits for meeting or penalties for not meeting contractual obligations) to billed </w:t>
      </w:r>
      <w:r>
        <w:rPr>
          <w:szCs w:val="22"/>
        </w:rPr>
        <w:t>circuit</w:t>
      </w:r>
      <w:r w:rsidRPr="0063769F">
        <w:rPr>
          <w:szCs w:val="22"/>
        </w:rPr>
        <w:t xml:space="preserve"> elements, provide the following information below.</w:t>
      </w:r>
      <w:r>
        <w:rPr>
          <w:szCs w:val="22"/>
        </w:rPr>
        <w:t xml:space="preserve">  Provide the adjustment at the lowest level of aggregation available, and if possible, at the level of the individual circuit element.  If the adjustment applies to multiple circuit elements and/or circuits, provide the total dollar amount of the billing adjustment, and include an Adjustment_ID for each circuit element reported in Question II.B.4 that can be used to link the billing adjustment (or true-up) with the appropriate circuit elements. </w:t>
      </w:r>
    </w:p>
    <w:p w:rsidR="00F97D54" w:rsidRDefault="00F97D54" w:rsidP="00EB5B97">
      <w:pPr>
        <w:rPr>
          <w:szCs w:val="22"/>
        </w:rPr>
      </w:pPr>
    </w:p>
    <w:p w:rsidR="00F97D54" w:rsidRDefault="00F97D54" w:rsidP="00162BEB">
      <w:pPr>
        <w:widowControl/>
      </w:pPr>
      <w:r w:rsidRPr="005A6188">
        <w:rPr>
          <w:u w:val="single"/>
        </w:rPr>
        <w:t>Note on “in-cycle” vs. “out-of-cycle” billing adjustments</w:t>
      </w:r>
      <w:r w:rsidRPr="005A6188">
        <w:t xml:space="preserve">:  </w:t>
      </w:r>
      <w:r>
        <w:t>Question</w:t>
      </w:r>
      <w:r w:rsidRPr="005A6188">
        <w:t xml:space="preserve"> </w:t>
      </w:r>
      <w:r>
        <w:t xml:space="preserve">II.B.5 </w:t>
      </w:r>
      <w:r w:rsidRPr="005A6188">
        <w:t xml:space="preserve">is meant to capture all adjustments, penalties, and true-ups that are settled outside of the monthly billing cycle (as opposed to adjustments that are rolled into the price billed to the customer each month).  Examples include lump-sum discounts for </w:t>
      </w:r>
      <w:r w:rsidRPr="005A6188">
        <w:rPr>
          <w:i/>
        </w:rPr>
        <w:t>Term</w:t>
      </w:r>
      <w:r w:rsidRPr="005A6188">
        <w:t xml:space="preserve"> and </w:t>
      </w:r>
      <w:r w:rsidRPr="005A6188">
        <w:rPr>
          <w:i/>
        </w:rPr>
        <w:t>Volume Commitments</w:t>
      </w:r>
      <w:r w:rsidRPr="005A6188">
        <w:t>, early termination penalties, rebates for network outages or degraded service quality, waivers of non-recurring charges such as installation fees, etc.</w:t>
      </w:r>
    </w:p>
    <w:p w:rsidR="00F97D54" w:rsidRPr="005A6188" w:rsidRDefault="00F97D54" w:rsidP="00EB5B97"/>
    <w:p w:rsidR="00F97D54" w:rsidRPr="005A6188" w:rsidRDefault="00F97D54" w:rsidP="0083344C">
      <w:pPr>
        <w:widowControl/>
      </w:pPr>
      <w:r>
        <w:t>For example, suppose a customer buys</w:t>
      </w:r>
      <w:r w:rsidRPr="005A6188">
        <w:t xml:space="preserve"> a single circuit with a </w:t>
      </w:r>
      <w:r w:rsidRPr="00FB5ADA">
        <w:rPr>
          <w:i/>
        </w:rPr>
        <w:t>One Month Term Only Rate</w:t>
      </w:r>
      <w:r w:rsidRPr="005A6188">
        <w:t xml:space="preserve"> of $300 per month, but receives a $100 discount on the </w:t>
      </w:r>
      <w:r w:rsidRPr="00FB5ADA">
        <w:rPr>
          <w:i/>
        </w:rPr>
        <w:t>One Month Term Only Rate</w:t>
      </w:r>
      <w:r w:rsidRPr="005A6188">
        <w:t xml:space="preserve"> each month </w:t>
      </w:r>
      <w:r>
        <w:t xml:space="preserve">for committing to a 5-year </w:t>
      </w:r>
      <w:r w:rsidRPr="005A6188">
        <w:rPr>
          <w:i/>
        </w:rPr>
        <w:t>Term Commitment</w:t>
      </w:r>
      <w:r w:rsidRPr="005A6188">
        <w:t xml:space="preserve">.  If the </w:t>
      </w:r>
      <w:r w:rsidRPr="00FB5ADA">
        <w:rPr>
          <w:i/>
        </w:rPr>
        <w:t>Provider</w:t>
      </w:r>
      <w:r w:rsidRPr="005A6188">
        <w:t xml:space="preserve"> of the circuit rolls the discounted amount into the monthly bill, </w:t>
      </w:r>
      <w:r w:rsidRPr="00FB5ADA">
        <w:rPr>
          <w:i/>
        </w:rPr>
        <w:t>i.e.</w:t>
      </w:r>
      <w:r w:rsidRPr="005A6188">
        <w:t xml:space="preserve">, the </w:t>
      </w:r>
      <w:r>
        <w:t>customer</w:t>
      </w:r>
      <w:r w:rsidRPr="005A6188">
        <w:t xml:space="preserve"> is billed $200 every month, then the discount is considered an “in-cycle” adjustment</w:t>
      </w:r>
      <w:r>
        <w:t>,</w:t>
      </w:r>
      <w:r w:rsidRPr="005A6188">
        <w:t xml:space="preserve"> and </w:t>
      </w:r>
      <w:r>
        <w:t xml:space="preserve">the </w:t>
      </w:r>
      <w:r w:rsidRPr="00FB5ADA">
        <w:rPr>
          <w:i/>
        </w:rPr>
        <w:t>Provider</w:t>
      </w:r>
      <w:r>
        <w:t xml:space="preserve"> </w:t>
      </w:r>
      <w:r w:rsidRPr="005A6188">
        <w:t>need not report</w:t>
      </w:r>
      <w:r>
        <w:t xml:space="preserve"> it</w:t>
      </w:r>
      <w:r w:rsidRPr="005A6188">
        <w:t xml:space="preserve"> as a separate “out-of</w:t>
      </w:r>
      <w:r>
        <w:t>-cycle” adjustment in Table II.B</w:t>
      </w:r>
      <w:r w:rsidRPr="005A6188">
        <w:t>.</w:t>
      </w:r>
      <w:r>
        <w:t>5</w:t>
      </w:r>
      <w:r w:rsidRPr="005A6188">
        <w:t xml:space="preserve">.  The seller would only need to report the $200 charge in </w:t>
      </w:r>
      <w:r>
        <w:t>Question II.B</w:t>
      </w:r>
      <w:r w:rsidRPr="005A6188">
        <w:t>.</w:t>
      </w:r>
      <w:r>
        <w:t>4</w:t>
      </w:r>
      <w:r w:rsidRPr="005A6188">
        <w:t xml:space="preserve">, along with an indicator showing a </w:t>
      </w:r>
      <w:r w:rsidRPr="005A6188">
        <w:rPr>
          <w:i/>
        </w:rPr>
        <w:t>Term Commitment</w:t>
      </w:r>
      <w:r w:rsidRPr="005A6188">
        <w:t xml:space="preserve"> in </w:t>
      </w:r>
      <w:r>
        <w:t>Question II.B</w:t>
      </w:r>
      <w:r w:rsidRPr="005A6188">
        <w:t>.</w:t>
      </w:r>
      <w:r>
        <w:t>4</w:t>
      </w:r>
      <w:r w:rsidRPr="005A6188">
        <w:t>.</w:t>
      </w:r>
      <w:r>
        <w:t>u</w:t>
      </w:r>
      <w:r w:rsidRPr="005A6188">
        <w:t xml:space="preserve">.  (Alternatively, </w:t>
      </w:r>
      <w:r>
        <w:t xml:space="preserve">depending on the billing system, </w:t>
      </w:r>
      <w:r w:rsidRPr="005A6188">
        <w:t xml:space="preserve">the discount may show up as a separate -$100 line item in </w:t>
      </w:r>
      <w:r>
        <w:t xml:space="preserve">Question </w:t>
      </w:r>
      <w:r w:rsidRPr="005A6188">
        <w:t>II.</w:t>
      </w:r>
      <w:r>
        <w:t>B</w:t>
      </w:r>
      <w:r w:rsidRPr="005A6188">
        <w:t>.</w:t>
      </w:r>
      <w:r>
        <w:t>4</w:t>
      </w:r>
      <w:r w:rsidRPr="005A6188">
        <w:t xml:space="preserve"> along with the $300 </w:t>
      </w:r>
      <w:r w:rsidRPr="00FB5ADA">
        <w:rPr>
          <w:i/>
        </w:rPr>
        <w:t>One Month Term Only Rate</w:t>
      </w:r>
      <w:r w:rsidRPr="005A6188">
        <w:t xml:space="preserve">.)  </w:t>
      </w:r>
    </w:p>
    <w:p w:rsidR="00F97D54" w:rsidRDefault="00F97D54" w:rsidP="00EB5B97"/>
    <w:p w:rsidR="00F97D54" w:rsidRPr="00587EB9" w:rsidRDefault="00F97D54" w:rsidP="00F6299F">
      <w:pPr>
        <w:widowControl/>
      </w:pPr>
      <w:r w:rsidRPr="005A6188">
        <w:t>Howe</w:t>
      </w:r>
      <w:r>
        <w:t xml:space="preserve">ver, if the </w:t>
      </w:r>
      <w:r w:rsidRPr="00302013">
        <w:rPr>
          <w:i/>
        </w:rPr>
        <w:t>Provider</w:t>
      </w:r>
      <w:r>
        <w:t xml:space="preserve"> charges the customer</w:t>
      </w:r>
      <w:r w:rsidRPr="005A6188">
        <w:t xml:space="preserve"> the full $300 for the circuit every month, then returns a $600 </w:t>
      </w:r>
      <w:r>
        <w:t>payment to the purchaser every 6</w:t>
      </w:r>
      <w:r w:rsidRPr="005A6188">
        <w:t xml:space="preserve"> months, the $600 payment </w:t>
      </w:r>
      <w:r>
        <w:t>must be recorded in Table II.B</w:t>
      </w:r>
      <w:r w:rsidRPr="005A6188">
        <w:t>.</w:t>
      </w:r>
      <w:r>
        <w:t>5</w:t>
      </w:r>
      <w:r w:rsidRPr="005A6188">
        <w:t xml:space="preserve"> as an out-of-cycle adjustment, and the appropriate Adjustment_ID </w:t>
      </w:r>
      <w:r>
        <w:t>must</w:t>
      </w:r>
      <w:r w:rsidRPr="005A6188">
        <w:t xml:space="preserve"> appear next to the affected circuit elements in</w:t>
      </w:r>
      <w:r>
        <w:t xml:space="preserve"> Question</w:t>
      </w:r>
      <w:r w:rsidRPr="005A6188">
        <w:t xml:space="preserve"> II.</w:t>
      </w:r>
      <w:r>
        <w:t>B</w:t>
      </w:r>
      <w:r w:rsidRPr="005A6188">
        <w:t>.</w:t>
      </w:r>
      <w:r>
        <w:t>4</w:t>
      </w:r>
      <w:r w:rsidRPr="005A6188">
        <w:t xml:space="preserve">.  Likewise, if the </w:t>
      </w:r>
      <w:r>
        <w:t>customer</w:t>
      </w:r>
      <w:r w:rsidRPr="005A6188">
        <w:t xml:space="preserve"> is billed at the $200 discounted rate each month but then decides to terminate the contract early and pay an early termination fee of $1000, the $1000 charge </w:t>
      </w:r>
      <w:r>
        <w:t>must</w:t>
      </w:r>
      <w:r w:rsidRPr="005A6188">
        <w:t xml:space="preserve"> be recorded as an out-of-cycle adjustment in </w:t>
      </w:r>
      <w:r>
        <w:t xml:space="preserve">Question </w:t>
      </w:r>
      <w:r w:rsidRPr="005A6188">
        <w:t>II.</w:t>
      </w:r>
      <w:r>
        <w:t>B</w:t>
      </w:r>
      <w:r w:rsidRPr="005A6188">
        <w:t>.</w:t>
      </w:r>
      <w:r>
        <w:t>5</w:t>
      </w:r>
      <w:r w:rsidRPr="005A6188">
        <w:t>.</w:t>
      </w:r>
      <w:r w:rsidR="00587EB9">
        <w:rPr>
          <w:szCs w:val="22"/>
        </w:rPr>
        <w:tab/>
      </w:r>
    </w:p>
    <w:p w:rsidR="00856C67" w:rsidRDefault="00856C67" w:rsidP="00856C67">
      <w:pPr>
        <w:tabs>
          <w:tab w:val="left" w:pos="1060"/>
        </w:tabs>
        <w:rPr>
          <w:szCs w:val="22"/>
        </w:rPr>
      </w:pPr>
      <w:r>
        <w:rPr>
          <w:szCs w:val="22"/>
        </w:rPr>
        <w:tab/>
      </w:r>
    </w:p>
    <w:p w:rsidR="00F97D54" w:rsidRDefault="00F97D54" w:rsidP="00856C67">
      <w:pPr>
        <w:tabs>
          <w:tab w:val="left" w:pos="1060"/>
        </w:tabs>
        <w:rPr>
          <w:szCs w:val="22"/>
        </w:rPr>
      </w:pPr>
    </w:p>
    <w:tbl>
      <w:tblPr>
        <w:tblW w:w="8838" w:type="dxa"/>
        <w:tblLook w:val="01E0" w:firstRow="1" w:lastRow="1" w:firstColumn="1" w:lastColumn="1" w:noHBand="0" w:noVBand="0"/>
      </w:tblPr>
      <w:tblGrid>
        <w:gridCol w:w="1772"/>
        <w:gridCol w:w="4456"/>
        <w:gridCol w:w="1080"/>
        <w:gridCol w:w="1530"/>
      </w:tblGrid>
      <w:tr w:rsidR="00F97D54" w:rsidRPr="0063769F" w:rsidTr="00EB5B97">
        <w:trPr>
          <w:trHeight w:val="432"/>
          <w:tblHeader/>
        </w:trPr>
        <w:tc>
          <w:tcPr>
            <w:tcW w:w="8838" w:type="dxa"/>
            <w:gridSpan w:val="4"/>
            <w:tcBorders>
              <w:top w:val="double" w:sz="4" w:space="0" w:color="auto"/>
              <w:bottom w:val="single" w:sz="4" w:space="0" w:color="auto"/>
            </w:tcBorders>
            <w:vAlign w:val="center"/>
          </w:tcPr>
          <w:p w:rsidR="00F97D54" w:rsidRDefault="00F97D54" w:rsidP="00EB5B97">
            <w:pPr>
              <w:jc w:val="center"/>
              <w:rPr>
                <w:b/>
                <w:bCs/>
              </w:rPr>
            </w:pPr>
            <w:r w:rsidRPr="0063769F">
              <w:rPr>
                <w:b/>
              </w:rPr>
              <w:t xml:space="preserve">Table </w:t>
            </w:r>
            <w:r>
              <w:rPr>
                <w:b/>
                <w:bCs/>
              </w:rPr>
              <w:t>II.B.5</w:t>
            </w:r>
          </w:p>
          <w:p w:rsidR="00F97D54" w:rsidRPr="0063769F" w:rsidRDefault="00F97D54" w:rsidP="00EB5B97">
            <w:pPr>
              <w:jc w:val="center"/>
              <w:rPr>
                <w:b/>
              </w:rPr>
            </w:pPr>
            <w:r>
              <w:rPr>
                <w:b/>
                <w:bCs/>
              </w:rPr>
              <w:t xml:space="preserve">Record Format for </w:t>
            </w:r>
            <w:r w:rsidRPr="0063769F">
              <w:rPr>
                <w:b/>
                <w:bCs/>
              </w:rPr>
              <w:t>Billing Adjustment Data Circuits by Circuit</w:t>
            </w:r>
          </w:p>
        </w:tc>
      </w:tr>
      <w:tr w:rsidR="00F97D54" w:rsidRPr="0063769F" w:rsidTr="00EB5B97">
        <w:trPr>
          <w:trHeight w:val="432"/>
          <w:tblHeader/>
        </w:trPr>
        <w:tc>
          <w:tcPr>
            <w:tcW w:w="1772" w:type="dxa"/>
            <w:tcBorders>
              <w:top w:val="single" w:sz="4" w:space="0" w:color="auto"/>
              <w:bottom w:val="single" w:sz="4" w:space="0" w:color="auto"/>
              <w:right w:val="single" w:sz="4" w:space="0" w:color="auto"/>
            </w:tcBorders>
            <w:vAlign w:val="center"/>
          </w:tcPr>
          <w:p w:rsidR="00F97D54" w:rsidRPr="0063769F" w:rsidRDefault="00F97D54" w:rsidP="00EB5B97">
            <w:pPr>
              <w:rPr>
                <w:b/>
                <w:sz w:val="18"/>
                <w:szCs w:val="18"/>
              </w:rPr>
            </w:pPr>
            <w:r w:rsidRPr="0063769F">
              <w:rPr>
                <w:b/>
                <w:sz w:val="18"/>
                <w:szCs w:val="18"/>
              </w:rPr>
              <w:t>Field Name</w:t>
            </w:r>
          </w:p>
        </w:tc>
        <w:tc>
          <w:tcPr>
            <w:tcW w:w="4456" w:type="dxa"/>
            <w:tcBorders>
              <w:top w:val="single" w:sz="4" w:space="0" w:color="auto"/>
              <w:left w:val="single" w:sz="4" w:space="0" w:color="auto"/>
              <w:bottom w:val="single" w:sz="4" w:space="0" w:color="auto"/>
              <w:right w:val="single" w:sz="4" w:space="0" w:color="auto"/>
            </w:tcBorders>
            <w:vAlign w:val="center"/>
          </w:tcPr>
          <w:p w:rsidR="00F97D54" w:rsidRPr="0063769F" w:rsidRDefault="00F97D54" w:rsidP="00EB5B97">
            <w:pPr>
              <w:rPr>
                <w:b/>
                <w:sz w:val="18"/>
                <w:szCs w:val="18"/>
              </w:rPr>
            </w:pPr>
            <w:r w:rsidRPr="0063769F">
              <w:rPr>
                <w:b/>
                <w:sz w:val="18"/>
                <w:szCs w:val="18"/>
              </w:rPr>
              <w:t>Description</w:t>
            </w:r>
          </w:p>
        </w:tc>
        <w:tc>
          <w:tcPr>
            <w:tcW w:w="1080" w:type="dxa"/>
            <w:tcBorders>
              <w:top w:val="single" w:sz="4" w:space="0" w:color="auto"/>
              <w:left w:val="single" w:sz="4" w:space="0" w:color="auto"/>
              <w:bottom w:val="single" w:sz="4" w:space="0" w:color="auto"/>
              <w:right w:val="single" w:sz="4" w:space="0" w:color="auto"/>
            </w:tcBorders>
            <w:vAlign w:val="center"/>
          </w:tcPr>
          <w:p w:rsidR="00F97D54" w:rsidRPr="0063769F" w:rsidRDefault="00F97D54" w:rsidP="00EB5B97">
            <w:pPr>
              <w:rPr>
                <w:b/>
                <w:sz w:val="18"/>
                <w:szCs w:val="18"/>
              </w:rPr>
            </w:pPr>
            <w:r w:rsidRPr="0063769F">
              <w:rPr>
                <w:b/>
                <w:sz w:val="18"/>
                <w:szCs w:val="18"/>
              </w:rPr>
              <w:t>Type</w:t>
            </w:r>
          </w:p>
        </w:tc>
        <w:tc>
          <w:tcPr>
            <w:tcW w:w="1530" w:type="dxa"/>
            <w:tcBorders>
              <w:top w:val="single" w:sz="4" w:space="0" w:color="auto"/>
              <w:left w:val="single" w:sz="4" w:space="0" w:color="auto"/>
              <w:bottom w:val="single" w:sz="4" w:space="0" w:color="auto"/>
            </w:tcBorders>
            <w:vAlign w:val="center"/>
          </w:tcPr>
          <w:p w:rsidR="00F97D54" w:rsidRPr="0063769F" w:rsidRDefault="00F97D54" w:rsidP="00EB5B97">
            <w:pPr>
              <w:ind w:right="-108"/>
              <w:rPr>
                <w:b/>
                <w:sz w:val="18"/>
                <w:szCs w:val="18"/>
              </w:rPr>
            </w:pPr>
            <w:r w:rsidRPr="0063769F">
              <w:rPr>
                <w:b/>
                <w:sz w:val="18"/>
                <w:szCs w:val="18"/>
              </w:rPr>
              <w:t>Example</w:t>
            </w:r>
          </w:p>
        </w:tc>
      </w:tr>
      <w:tr w:rsidR="00F97D54" w:rsidRPr="0063769F" w:rsidTr="00EB5B97">
        <w:trPr>
          <w:trHeight w:val="360"/>
        </w:trPr>
        <w:tc>
          <w:tcPr>
            <w:tcW w:w="1772" w:type="dxa"/>
          </w:tcPr>
          <w:p w:rsidR="00F97D54" w:rsidRPr="0063769F" w:rsidRDefault="00F97D54" w:rsidP="00EB5B97">
            <w:pPr>
              <w:rPr>
                <w:sz w:val="16"/>
                <w:szCs w:val="16"/>
              </w:rPr>
            </w:pPr>
            <w:r w:rsidRPr="0063769F">
              <w:rPr>
                <w:sz w:val="16"/>
                <w:szCs w:val="16"/>
              </w:rPr>
              <w:t>Adjustment_ID</w:t>
            </w:r>
          </w:p>
        </w:tc>
        <w:tc>
          <w:tcPr>
            <w:tcW w:w="4456" w:type="dxa"/>
          </w:tcPr>
          <w:p w:rsidR="00F97D54" w:rsidRPr="0063769F" w:rsidRDefault="00F97D54" w:rsidP="00EB5B97">
            <w:pPr>
              <w:rPr>
                <w:sz w:val="16"/>
                <w:szCs w:val="16"/>
              </w:rPr>
            </w:pPr>
            <w:r w:rsidRPr="0063769F">
              <w:rPr>
                <w:sz w:val="16"/>
                <w:szCs w:val="16"/>
              </w:rPr>
              <w:t>Unique ID number for the billing adjustment or true-up</w:t>
            </w:r>
          </w:p>
        </w:tc>
        <w:tc>
          <w:tcPr>
            <w:tcW w:w="1080" w:type="dxa"/>
          </w:tcPr>
          <w:p w:rsidR="00F97D54" w:rsidRPr="0063769F" w:rsidRDefault="00F97D54" w:rsidP="00EB5B97">
            <w:pPr>
              <w:rPr>
                <w:sz w:val="16"/>
                <w:szCs w:val="16"/>
              </w:rPr>
            </w:pPr>
            <w:r w:rsidRPr="0063769F">
              <w:rPr>
                <w:sz w:val="16"/>
                <w:szCs w:val="16"/>
              </w:rPr>
              <w:t>Integer</w:t>
            </w:r>
          </w:p>
        </w:tc>
        <w:tc>
          <w:tcPr>
            <w:tcW w:w="1530" w:type="dxa"/>
          </w:tcPr>
          <w:p w:rsidR="00F97D54" w:rsidRPr="0063769F" w:rsidRDefault="00F97D54" w:rsidP="00EB5B97">
            <w:pPr>
              <w:rPr>
                <w:sz w:val="16"/>
                <w:szCs w:val="16"/>
              </w:rPr>
            </w:pPr>
            <w:r w:rsidRPr="0063769F">
              <w:rPr>
                <w:sz w:val="16"/>
                <w:szCs w:val="16"/>
              </w:rPr>
              <w:t>1</w:t>
            </w:r>
          </w:p>
        </w:tc>
      </w:tr>
      <w:tr w:rsidR="00F97D54" w:rsidRPr="0063769F" w:rsidTr="00EB5B97">
        <w:trPr>
          <w:trHeight w:val="360"/>
        </w:trPr>
        <w:tc>
          <w:tcPr>
            <w:tcW w:w="1772" w:type="dxa"/>
          </w:tcPr>
          <w:p w:rsidR="00F97D54" w:rsidRPr="0063769F" w:rsidRDefault="00F97D54" w:rsidP="00EB5B97">
            <w:pPr>
              <w:rPr>
                <w:sz w:val="16"/>
                <w:szCs w:val="16"/>
              </w:rPr>
            </w:pPr>
            <w:r>
              <w:rPr>
                <w:sz w:val="16"/>
                <w:szCs w:val="16"/>
              </w:rPr>
              <w:t>Contract_ID</w:t>
            </w:r>
          </w:p>
        </w:tc>
        <w:tc>
          <w:tcPr>
            <w:tcW w:w="4456" w:type="dxa"/>
          </w:tcPr>
          <w:p w:rsidR="00F97D54" w:rsidRPr="0063769F" w:rsidRDefault="00F97D54" w:rsidP="00EB5B97">
            <w:pPr>
              <w:rPr>
                <w:sz w:val="16"/>
                <w:szCs w:val="16"/>
              </w:rPr>
            </w:pPr>
            <w:r>
              <w:rPr>
                <w:sz w:val="16"/>
                <w:szCs w:val="16"/>
              </w:rPr>
              <w:t xml:space="preserve">Unique ID number for the </w:t>
            </w:r>
            <w:r w:rsidRPr="007D18DB">
              <w:rPr>
                <w:i/>
                <w:sz w:val="16"/>
                <w:szCs w:val="16"/>
              </w:rPr>
              <w:t>Tariff</w:t>
            </w:r>
            <w:r>
              <w:rPr>
                <w:sz w:val="16"/>
                <w:szCs w:val="16"/>
              </w:rPr>
              <w:t xml:space="preserve"> or other agreement from which the adjustment originates.  Leave the field blank if the adjustment cannot be linked back to a single contract</w:t>
            </w:r>
          </w:p>
        </w:tc>
        <w:tc>
          <w:tcPr>
            <w:tcW w:w="1080" w:type="dxa"/>
          </w:tcPr>
          <w:p w:rsidR="00F97D54" w:rsidRPr="0063769F" w:rsidRDefault="00F97D54" w:rsidP="00EB5B97">
            <w:pPr>
              <w:rPr>
                <w:sz w:val="16"/>
                <w:szCs w:val="16"/>
              </w:rPr>
            </w:pPr>
            <w:r>
              <w:rPr>
                <w:sz w:val="16"/>
                <w:szCs w:val="16"/>
              </w:rPr>
              <w:t>Integer</w:t>
            </w:r>
          </w:p>
        </w:tc>
        <w:tc>
          <w:tcPr>
            <w:tcW w:w="1530" w:type="dxa"/>
          </w:tcPr>
          <w:p w:rsidR="00F97D54" w:rsidRPr="0063769F" w:rsidRDefault="00F97D54" w:rsidP="00EB5B97">
            <w:pPr>
              <w:rPr>
                <w:sz w:val="16"/>
                <w:szCs w:val="16"/>
              </w:rPr>
            </w:pPr>
            <w:r>
              <w:rPr>
                <w:sz w:val="16"/>
                <w:szCs w:val="16"/>
              </w:rPr>
              <w:t>33</w:t>
            </w:r>
          </w:p>
        </w:tc>
      </w:tr>
      <w:tr w:rsidR="00F97D54" w:rsidRPr="0063769F" w:rsidTr="00EB5B97">
        <w:trPr>
          <w:trHeight w:val="360"/>
        </w:trPr>
        <w:tc>
          <w:tcPr>
            <w:tcW w:w="1772" w:type="dxa"/>
          </w:tcPr>
          <w:p w:rsidR="00F97D54" w:rsidRPr="0063769F" w:rsidRDefault="00F97D54" w:rsidP="00EB5B97">
            <w:pPr>
              <w:rPr>
                <w:sz w:val="16"/>
                <w:szCs w:val="16"/>
              </w:rPr>
            </w:pPr>
            <w:r w:rsidRPr="0063769F">
              <w:rPr>
                <w:sz w:val="16"/>
                <w:szCs w:val="16"/>
              </w:rPr>
              <w:t>Date_from</w:t>
            </w:r>
          </w:p>
          <w:p w:rsidR="00F97D54" w:rsidRPr="0063769F" w:rsidRDefault="00F97D54" w:rsidP="00EB5B97">
            <w:pPr>
              <w:rPr>
                <w:sz w:val="16"/>
                <w:szCs w:val="16"/>
              </w:rPr>
            </w:pPr>
          </w:p>
        </w:tc>
        <w:tc>
          <w:tcPr>
            <w:tcW w:w="4456" w:type="dxa"/>
          </w:tcPr>
          <w:p w:rsidR="00F97D54" w:rsidRPr="0063769F" w:rsidRDefault="00F97D54" w:rsidP="00EB5B97">
            <w:pPr>
              <w:rPr>
                <w:sz w:val="16"/>
                <w:szCs w:val="16"/>
              </w:rPr>
            </w:pPr>
            <w:r w:rsidRPr="0063769F">
              <w:rPr>
                <w:sz w:val="16"/>
                <w:szCs w:val="16"/>
              </w:rPr>
              <w:t xml:space="preserve">Beginning date of adjustment period (or true-up) in </w:t>
            </w:r>
            <w:r>
              <w:rPr>
                <w:sz w:val="16"/>
                <w:szCs w:val="16"/>
              </w:rPr>
              <w:t>mm/dd</w:t>
            </w:r>
            <w:r w:rsidRPr="0063769F">
              <w:rPr>
                <w:sz w:val="16"/>
                <w:szCs w:val="16"/>
              </w:rPr>
              <w:t>/yyyy format</w:t>
            </w:r>
          </w:p>
          <w:p w:rsidR="00F97D54" w:rsidRPr="0063769F" w:rsidRDefault="00F97D54" w:rsidP="00EB5B97">
            <w:pPr>
              <w:rPr>
                <w:sz w:val="16"/>
                <w:szCs w:val="16"/>
              </w:rPr>
            </w:pPr>
          </w:p>
        </w:tc>
        <w:tc>
          <w:tcPr>
            <w:tcW w:w="1080" w:type="dxa"/>
          </w:tcPr>
          <w:p w:rsidR="00F97D54" w:rsidRPr="0063769F" w:rsidRDefault="00F97D54" w:rsidP="00EB5B97">
            <w:pPr>
              <w:rPr>
                <w:sz w:val="16"/>
                <w:szCs w:val="16"/>
              </w:rPr>
            </w:pPr>
            <w:r w:rsidRPr="0063769F">
              <w:rPr>
                <w:sz w:val="16"/>
                <w:szCs w:val="16"/>
              </w:rPr>
              <w:t>Date</w:t>
            </w:r>
          </w:p>
          <w:p w:rsidR="00F97D54" w:rsidRPr="0063769F" w:rsidRDefault="00F97D54" w:rsidP="00EB5B97">
            <w:pPr>
              <w:rPr>
                <w:sz w:val="16"/>
                <w:szCs w:val="16"/>
              </w:rPr>
            </w:pPr>
          </w:p>
        </w:tc>
        <w:tc>
          <w:tcPr>
            <w:tcW w:w="1530" w:type="dxa"/>
          </w:tcPr>
          <w:p w:rsidR="00F97D54" w:rsidRPr="0063769F" w:rsidRDefault="00F97D54" w:rsidP="00EB5B97">
            <w:pPr>
              <w:rPr>
                <w:sz w:val="16"/>
                <w:szCs w:val="16"/>
              </w:rPr>
            </w:pPr>
            <w:r>
              <w:rPr>
                <w:sz w:val="16"/>
                <w:szCs w:val="16"/>
              </w:rPr>
              <w:t>0</w:t>
            </w:r>
            <w:r w:rsidRPr="0063769F">
              <w:rPr>
                <w:sz w:val="16"/>
                <w:szCs w:val="16"/>
              </w:rPr>
              <w:t>1/</w:t>
            </w:r>
            <w:r>
              <w:rPr>
                <w:sz w:val="16"/>
                <w:szCs w:val="16"/>
              </w:rPr>
              <w:t>0</w:t>
            </w:r>
            <w:r w:rsidRPr="0063769F">
              <w:rPr>
                <w:sz w:val="16"/>
                <w:szCs w:val="16"/>
              </w:rPr>
              <w:t>1/</w:t>
            </w:r>
            <w:r>
              <w:rPr>
                <w:sz w:val="16"/>
                <w:szCs w:val="16"/>
              </w:rPr>
              <w:t>2012</w:t>
            </w:r>
          </w:p>
          <w:p w:rsidR="00F97D54" w:rsidRPr="0063769F" w:rsidRDefault="00F97D54" w:rsidP="00EB5B97">
            <w:pPr>
              <w:rPr>
                <w:sz w:val="16"/>
                <w:szCs w:val="16"/>
              </w:rPr>
            </w:pPr>
          </w:p>
        </w:tc>
      </w:tr>
      <w:tr w:rsidR="00F97D54" w:rsidRPr="0063769F" w:rsidTr="00EB5B97">
        <w:trPr>
          <w:trHeight w:val="495"/>
        </w:trPr>
        <w:tc>
          <w:tcPr>
            <w:tcW w:w="1772" w:type="dxa"/>
          </w:tcPr>
          <w:p w:rsidR="00F97D54" w:rsidRPr="0063769F" w:rsidRDefault="00F97D54" w:rsidP="00EB5B97">
            <w:pPr>
              <w:rPr>
                <w:sz w:val="16"/>
                <w:szCs w:val="16"/>
              </w:rPr>
            </w:pPr>
            <w:r w:rsidRPr="0063769F">
              <w:rPr>
                <w:sz w:val="16"/>
                <w:szCs w:val="16"/>
              </w:rPr>
              <w:t>Date_to</w:t>
            </w:r>
          </w:p>
          <w:p w:rsidR="00F97D54" w:rsidRPr="0063769F" w:rsidRDefault="00F97D54" w:rsidP="00EB5B97">
            <w:pPr>
              <w:rPr>
                <w:sz w:val="16"/>
                <w:szCs w:val="16"/>
              </w:rPr>
            </w:pPr>
          </w:p>
        </w:tc>
        <w:tc>
          <w:tcPr>
            <w:tcW w:w="4456" w:type="dxa"/>
          </w:tcPr>
          <w:p w:rsidR="00F97D54" w:rsidRPr="0063769F" w:rsidRDefault="00F97D54" w:rsidP="00EB5B97">
            <w:pPr>
              <w:rPr>
                <w:sz w:val="16"/>
                <w:szCs w:val="16"/>
              </w:rPr>
            </w:pPr>
            <w:r w:rsidRPr="0063769F">
              <w:rPr>
                <w:sz w:val="16"/>
                <w:szCs w:val="16"/>
              </w:rPr>
              <w:t xml:space="preserve">Ending date of adjustment period (or true-up) in </w:t>
            </w:r>
            <w:r>
              <w:rPr>
                <w:sz w:val="16"/>
                <w:szCs w:val="16"/>
              </w:rPr>
              <w:t>mm/dd</w:t>
            </w:r>
            <w:r w:rsidRPr="0063769F">
              <w:rPr>
                <w:sz w:val="16"/>
                <w:szCs w:val="16"/>
              </w:rPr>
              <w:t>/yyyy format</w:t>
            </w:r>
          </w:p>
          <w:p w:rsidR="00F97D54" w:rsidRPr="0063769F" w:rsidRDefault="00F97D54" w:rsidP="00EB5B97">
            <w:pPr>
              <w:rPr>
                <w:sz w:val="16"/>
                <w:szCs w:val="16"/>
              </w:rPr>
            </w:pPr>
          </w:p>
        </w:tc>
        <w:tc>
          <w:tcPr>
            <w:tcW w:w="1080" w:type="dxa"/>
          </w:tcPr>
          <w:p w:rsidR="00F97D54" w:rsidRPr="0063769F" w:rsidRDefault="00F97D54" w:rsidP="00EB5B97">
            <w:pPr>
              <w:rPr>
                <w:sz w:val="16"/>
                <w:szCs w:val="16"/>
              </w:rPr>
            </w:pPr>
            <w:r w:rsidRPr="0063769F">
              <w:rPr>
                <w:sz w:val="16"/>
                <w:szCs w:val="16"/>
              </w:rPr>
              <w:t>Date</w:t>
            </w:r>
          </w:p>
          <w:p w:rsidR="00F97D54" w:rsidRPr="0063769F" w:rsidRDefault="00F97D54" w:rsidP="00EB5B97">
            <w:pPr>
              <w:rPr>
                <w:sz w:val="16"/>
                <w:szCs w:val="16"/>
              </w:rPr>
            </w:pPr>
          </w:p>
        </w:tc>
        <w:tc>
          <w:tcPr>
            <w:tcW w:w="1530" w:type="dxa"/>
          </w:tcPr>
          <w:p w:rsidR="00F97D54" w:rsidRPr="0063769F" w:rsidRDefault="00F97D54" w:rsidP="00EB5B97">
            <w:pPr>
              <w:rPr>
                <w:sz w:val="16"/>
                <w:szCs w:val="16"/>
              </w:rPr>
            </w:pPr>
            <w:r>
              <w:rPr>
                <w:sz w:val="16"/>
                <w:szCs w:val="16"/>
              </w:rPr>
              <w:t>0</w:t>
            </w:r>
            <w:r w:rsidRPr="0063769F">
              <w:rPr>
                <w:sz w:val="16"/>
                <w:szCs w:val="16"/>
              </w:rPr>
              <w:t>6/30/</w:t>
            </w:r>
            <w:r>
              <w:rPr>
                <w:sz w:val="16"/>
                <w:szCs w:val="16"/>
              </w:rPr>
              <w:t>2012</w:t>
            </w:r>
          </w:p>
          <w:p w:rsidR="00F97D54" w:rsidRPr="0063769F" w:rsidRDefault="00F97D54" w:rsidP="00EB5B97">
            <w:pPr>
              <w:rPr>
                <w:sz w:val="16"/>
                <w:szCs w:val="16"/>
              </w:rPr>
            </w:pPr>
          </w:p>
        </w:tc>
      </w:tr>
      <w:tr w:rsidR="00F97D54" w:rsidRPr="0063769F" w:rsidTr="00EB5B97">
        <w:trPr>
          <w:trHeight w:val="495"/>
        </w:trPr>
        <w:tc>
          <w:tcPr>
            <w:tcW w:w="1772" w:type="dxa"/>
          </w:tcPr>
          <w:p w:rsidR="00F97D54" w:rsidRPr="0063769F" w:rsidRDefault="00F97D54" w:rsidP="00EB5B97">
            <w:pPr>
              <w:rPr>
                <w:sz w:val="16"/>
                <w:szCs w:val="16"/>
              </w:rPr>
            </w:pPr>
            <w:r>
              <w:rPr>
                <w:sz w:val="16"/>
                <w:szCs w:val="16"/>
              </w:rPr>
              <w:t>Adjustment_Scope</w:t>
            </w:r>
          </w:p>
        </w:tc>
        <w:tc>
          <w:tcPr>
            <w:tcW w:w="4456" w:type="dxa"/>
          </w:tcPr>
          <w:p w:rsidR="00F97D54" w:rsidRDefault="00F97D54" w:rsidP="00EB5B97">
            <w:pPr>
              <w:rPr>
                <w:sz w:val="16"/>
                <w:szCs w:val="16"/>
              </w:rPr>
            </w:pPr>
            <w:r>
              <w:rPr>
                <w:sz w:val="16"/>
                <w:szCs w:val="16"/>
              </w:rPr>
              <w:t>Code indicating scope of adjustment.  Enter 1 if adjustment applies to single circuit element for single circuit, enter 2 if adjustment applies to more than one circuit element on a single circuit, enter 3 if adjustment applies to more than one circuit element across multiple circuits, enter 4 if the adjustment is an overall adjustment that applies to every circuit purchased.</w:t>
            </w:r>
          </w:p>
          <w:p w:rsidR="00F97D54" w:rsidRPr="0063769F" w:rsidRDefault="00F97D54" w:rsidP="00EB5B97">
            <w:pPr>
              <w:rPr>
                <w:sz w:val="16"/>
                <w:szCs w:val="16"/>
              </w:rPr>
            </w:pPr>
          </w:p>
        </w:tc>
        <w:tc>
          <w:tcPr>
            <w:tcW w:w="1080" w:type="dxa"/>
          </w:tcPr>
          <w:p w:rsidR="00F97D54" w:rsidRPr="0063769F" w:rsidRDefault="00F97D54" w:rsidP="00EB5B97">
            <w:pPr>
              <w:rPr>
                <w:sz w:val="16"/>
                <w:szCs w:val="16"/>
              </w:rPr>
            </w:pPr>
            <w:r>
              <w:rPr>
                <w:sz w:val="16"/>
                <w:szCs w:val="16"/>
              </w:rPr>
              <w:t>Integer</w:t>
            </w:r>
          </w:p>
        </w:tc>
        <w:tc>
          <w:tcPr>
            <w:tcW w:w="1530" w:type="dxa"/>
          </w:tcPr>
          <w:p w:rsidR="00F97D54" w:rsidRPr="0063769F" w:rsidRDefault="00F97D54" w:rsidP="00EB5B97">
            <w:pPr>
              <w:rPr>
                <w:sz w:val="16"/>
                <w:szCs w:val="16"/>
              </w:rPr>
            </w:pPr>
            <w:r>
              <w:rPr>
                <w:sz w:val="16"/>
                <w:szCs w:val="16"/>
              </w:rPr>
              <w:t>2</w:t>
            </w:r>
          </w:p>
        </w:tc>
      </w:tr>
      <w:tr w:rsidR="00F97D54" w:rsidRPr="0063769F" w:rsidTr="00EB5B97">
        <w:trPr>
          <w:trHeight w:val="360"/>
        </w:trPr>
        <w:tc>
          <w:tcPr>
            <w:tcW w:w="1772" w:type="dxa"/>
          </w:tcPr>
          <w:p w:rsidR="00F97D54" w:rsidRPr="0063769F" w:rsidRDefault="00F97D54" w:rsidP="00EB5B97">
            <w:pPr>
              <w:rPr>
                <w:sz w:val="16"/>
                <w:szCs w:val="16"/>
              </w:rPr>
            </w:pPr>
            <w:r w:rsidRPr="0063769F">
              <w:rPr>
                <w:sz w:val="16"/>
                <w:szCs w:val="16"/>
              </w:rPr>
              <w:t>Adjustment</w:t>
            </w:r>
          </w:p>
        </w:tc>
        <w:tc>
          <w:tcPr>
            <w:tcW w:w="4456" w:type="dxa"/>
          </w:tcPr>
          <w:p w:rsidR="00F97D54" w:rsidRDefault="00F97D54" w:rsidP="00EB5B97">
            <w:pPr>
              <w:rPr>
                <w:sz w:val="16"/>
                <w:szCs w:val="16"/>
              </w:rPr>
            </w:pPr>
            <w:r>
              <w:rPr>
                <w:sz w:val="16"/>
                <w:szCs w:val="16"/>
              </w:rPr>
              <w:t>Total d</w:t>
            </w:r>
            <w:r w:rsidRPr="0063769F">
              <w:rPr>
                <w:sz w:val="16"/>
                <w:szCs w:val="16"/>
              </w:rPr>
              <w:t>ollar amount of</w:t>
            </w:r>
            <w:r>
              <w:rPr>
                <w:sz w:val="16"/>
                <w:szCs w:val="16"/>
              </w:rPr>
              <w:t xml:space="preserve"> billing adjustment (or true-up) for all circuit elements across all circuits covered by the adjustment</w:t>
            </w:r>
            <w:r w:rsidRPr="0063769F">
              <w:rPr>
                <w:sz w:val="16"/>
                <w:szCs w:val="16"/>
              </w:rPr>
              <w:t>.</w:t>
            </w:r>
            <w:r>
              <w:rPr>
                <w:sz w:val="16"/>
                <w:szCs w:val="16"/>
              </w:rPr>
              <w:t xml:space="preserve"> </w:t>
            </w:r>
            <w:r w:rsidRPr="0063769F">
              <w:rPr>
                <w:sz w:val="16"/>
                <w:szCs w:val="16"/>
              </w:rPr>
              <w:t xml:space="preserve"> Any increase in the amount owed to the vendor (</w:t>
            </w:r>
            <w:r w:rsidRPr="007D18DB">
              <w:rPr>
                <w:i/>
                <w:sz w:val="16"/>
                <w:szCs w:val="16"/>
              </w:rPr>
              <w:t>e.g.</w:t>
            </w:r>
            <w:r w:rsidRPr="0063769F">
              <w:rPr>
                <w:sz w:val="16"/>
                <w:szCs w:val="16"/>
              </w:rPr>
              <w:t xml:space="preserve">, penalty) </w:t>
            </w:r>
            <w:r>
              <w:rPr>
                <w:sz w:val="16"/>
                <w:szCs w:val="16"/>
              </w:rPr>
              <w:t>is</w:t>
            </w:r>
            <w:r w:rsidRPr="0063769F">
              <w:rPr>
                <w:sz w:val="16"/>
                <w:szCs w:val="16"/>
              </w:rPr>
              <w:t xml:space="preserve"> a positive number whil</w:t>
            </w:r>
            <w:r>
              <w:rPr>
                <w:sz w:val="16"/>
                <w:szCs w:val="16"/>
              </w:rPr>
              <w:t>e any decrease in the amount ow</w:t>
            </w:r>
            <w:r w:rsidRPr="0063769F">
              <w:rPr>
                <w:sz w:val="16"/>
                <w:szCs w:val="16"/>
              </w:rPr>
              <w:t xml:space="preserve">ed to the vendor (e.g., discount or rebate) </w:t>
            </w:r>
            <w:r>
              <w:rPr>
                <w:sz w:val="16"/>
                <w:szCs w:val="16"/>
              </w:rPr>
              <w:t>is</w:t>
            </w:r>
            <w:r w:rsidRPr="0063769F">
              <w:rPr>
                <w:sz w:val="16"/>
                <w:szCs w:val="16"/>
              </w:rPr>
              <w:t xml:space="preserve"> a negative number.</w:t>
            </w:r>
            <w:r>
              <w:rPr>
                <w:sz w:val="16"/>
                <w:szCs w:val="16"/>
              </w:rPr>
              <w:t xml:space="preserve">  </w:t>
            </w:r>
          </w:p>
          <w:p w:rsidR="00F97D54" w:rsidRPr="0063769F" w:rsidRDefault="00F97D54" w:rsidP="00EB5B97">
            <w:pPr>
              <w:rPr>
                <w:sz w:val="16"/>
                <w:szCs w:val="16"/>
              </w:rPr>
            </w:pPr>
            <w:r>
              <w:rPr>
                <w:sz w:val="16"/>
                <w:szCs w:val="16"/>
              </w:rPr>
              <w:t xml:space="preserve"> </w:t>
            </w:r>
          </w:p>
        </w:tc>
        <w:tc>
          <w:tcPr>
            <w:tcW w:w="1080" w:type="dxa"/>
          </w:tcPr>
          <w:p w:rsidR="00F97D54" w:rsidRPr="0063769F" w:rsidRDefault="00F97D54" w:rsidP="00EB5B97">
            <w:pPr>
              <w:rPr>
                <w:sz w:val="16"/>
                <w:szCs w:val="16"/>
              </w:rPr>
            </w:pPr>
            <w:r w:rsidRPr="0063769F">
              <w:rPr>
                <w:sz w:val="16"/>
                <w:szCs w:val="16"/>
              </w:rPr>
              <w:t>Float</w:t>
            </w:r>
          </w:p>
        </w:tc>
        <w:tc>
          <w:tcPr>
            <w:tcW w:w="1530" w:type="dxa"/>
          </w:tcPr>
          <w:p w:rsidR="00F97D54" w:rsidRPr="0063769F" w:rsidRDefault="00F97D54" w:rsidP="00EB5B97">
            <w:pPr>
              <w:rPr>
                <w:sz w:val="16"/>
                <w:szCs w:val="16"/>
              </w:rPr>
            </w:pPr>
            <w:r w:rsidRPr="0063769F">
              <w:rPr>
                <w:sz w:val="16"/>
                <w:szCs w:val="16"/>
              </w:rPr>
              <w:t>-100</w:t>
            </w:r>
          </w:p>
        </w:tc>
      </w:tr>
      <w:tr w:rsidR="00F97D54" w:rsidRPr="0063769F" w:rsidTr="00EB5B97">
        <w:trPr>
          <w:trHeight w:val="360"/>
        </w:trPr>
        <w:tc>
          <w:tcPr>
            <w:tcW w:w="1772" w:type="dxa"/>
          </w:tcPr>
          <w:p w:rsidR="00F97D54" w:rsidRDefault="00F97D54" w:rsidP="00EB5B97">
            <w:pPr>
              <w:rPr>
                <w:sz w:val="16"/>
                <w:szCs w:val="16"/>
              </w:rPr>
            </w:pPr>
            <w:r>
              <w:rPr>
                <w:sz w:val="16"/>
                <w:szCs w:val="16"/>
              </w:rPr>
              <w:t>Adj_Term</w:t>
            </w:r>
          </w:p>
        </w:tc>
        <w:tc>
          <w:tcPr>
            <w:tcW w:w="4456" w:type="dxa"/>
          </w:tcPr>
          <w:p w:rsidR="00F97D54" w:rsidRDefault="00F97D54" w:rsidP="00EB5B97">
            <w:pPr>
              <w:rPr>
                <w:sz w:val="16"/>
                <w:szCs w:val="16"/>
              </w:rPr>
            </w:pPr>
            <w:r>
              <w:rPr>
                <w:sz w:val="16"/>
                <w:szCs w:val="16"/>
              </w:rPr>
              <w:t xml:space="preserve">Indicator variable denoting whether the adjustment/true-up was due to a </w:t>
            </w:r>
            <w:r w:rsidRPr="00F5506F">
              <w:rPr>
                <w:i/>
                <w:sz w:val="16"/>
                <w:szCs w:val="16"/>
              </w:rPr>
              <w:t>Term Commitment</w:t>
            </w:r>
            <w:r>
              <w:rPr>
                <w:sz w:val="16"/>
                <w:szCs w:val="16"/>
              </w:rPr>
              <w:t xml:space="preserve"> (Y=Yes, N=No)</w:t>
            </w:r>
          </w:p>
          <w:p w:rsidR="00F97D54" w:rsidRDefault="00F97D54" w:rsidP="00EB5B97">
            <w:pPr>
              <w:rPr>
                <w:sz w:val="16"/>
                <w:szCs w:val="16"/>
              </w:rPr>
            </w:pPr>
          </w:p>
        </w:tc>
        <w:tc>
          <w:tcPr>
            <w:tcW w:w="1080" w:type="dxa"/>
          </w:tcPr>
          <w:p w:rsidR="00F97D54" w:rsidRPr="0063769F" w:rsidRDefault="00F97D54" w:rsidP="00EB5B97">
            <w:pPr>
              <w:rPr>
                <w:sz w:val="16"/>
                <w:szCs w:val="16"/>
              </w:rPr>
            </w:pPr>
            <w:r>
              <w:rPr>
                <w:sz w:val="16"/>
                <w:szCs w:val="16"/>
              </w:rPr>
              <w:t>Text</w:t>
            </w:r>
          </w:p>
        </w:tc>
        <w:tc>
          <w:tcPr>
            <w:tcW w:w="1530" w:type="dxa"/>
          </w:tcPr>
          <w:p w:rsidR="00F97D54" w:rsidRPr="0063769F" w:rsidRDefault="00F97D54" w:rsidP="00EB5B97">
            <w:pPr>
              <w:rPr>
                <w:sz w:val="16"/>
                <w:szCs w:val="16"/>
              </w:rPr>
            </w:pPr>
            <w:r>
              <w:rPr>
                <w:sz w:val="16"/>
                <w:szCs w:val="16"/>
              </w:rPr>
              <w:t>Y</w:t>
            </w:r>
          </w:p>
        </w:tc>
      </w:tr>
      <w:tr w:rsidR="00F97D54" w:rsidRPr="0063769F" w:rsidTr="00EB5B97">
        <w:trPr>
          <w:trHeight w:val="360"/>
        </w:trPr>
        <w:tc>
          <w:tcPr>
            <w:tcW w:w="1772" w:type="dxa"/>
          </w:tcPr>
          <w:p w:rsidR="00F97D54" w:rsidRDefault="00F97D54" w:rsidP="00EB5B97">
            <w:pPr>
              <w:rPr>
                <w:sz w:val="16"/>
                <w:szCs w:val="16"/>
              </w:rPr>
            </w:pPr>
            <w:r>
              <w:rPr>
                <w:sz w:val="16"/>
                <w:szCs w:val="16"/>
              </w:rPr>
              <w:t>Adj_Term_Length</w:t>
            </w:r>
          </w:p>
        </w:tc>
        <w:tc>
          <w:tcPr>
            <w:tcW w:w="4456" w:type="dxa"/>
          </w:tcPr>
          <w:p w:rsidR="00F97D54" w:rsidRDefault="00F97D54" w:rsidP="00EB5B97">
            <w:pPr>
              <w:rPr>
                <w:sz w:val="16"/>
                <w:szCs w:val="16"/>
              </w:rPr>
            </w:pPr>
            <w:r>
              <w:rPr>
                <w:sz w:val="16"/>
                <w:szCs w:val="16"/>
              </w:rPr>
              <w:t>If Adj_Term=1, enter the term length in months. If Adj_Term=0, leave blank</w:t>
            </w:r>
          </w:p>
          <w:p w:rsidR="00F97D54" w:rsidRDefault="00F97D54" w:rsidP="00EB5B97">
            <w:pPr>
              <w:rPr>
                <w:sz w:val="16"/>
                <w:szCs w:val="16"/>
              </w:rPr>
            </w:pPr>
          </w:p>
        </w:tc>
        <w:tc>
          <w:tcPr>
            <w:tcW w:w="1080" w:type="dxa"/>
          </w:tcPr>
          <w:p w:rsidR="00F97D54" w:rsidRDefault="00F97D54" w:rsidP="00EB5B97">
            <w:pPr>
              <w:rPr>
                <w:sz w:val="16"/>
                <w:szCs w:val="16"/>
              </w:rPr>
            </w:pPr>
            <w:r>
              <w:rPr>
                <w:sz w:val="16"/>
                <w:szCs w:val="16"/>
              </w:rPr>
              <w:t>Integer</w:t>
            </w:r>
          </w:p>
        </w:tc>
        <w:tc>
          <w:tcPr>
            <w:tcW w:w="1530" w:type="dxa"/>
          </w:tcPr>
          <w:p w:rsidR="00F97D54" w:rsidRDefault="00F97D54" w:rsidP="00EB5B97">
            <w:pPr>
              <w:rPr>
                <w:sz w:val="16"/>
                <w:szCs w:val="16"/>
              </w:rPr>
            </w:pPr>
            <w:r>
              <w:rPr>
                <w:sz w:val="16"/>
                <w:szCs w:val="16"/>
              </w:rPr>
              <w:t>60</w:t>
            </w:r>
          </w:p>
        </w:tc>
      </w:tr>
      <w:tr w:rsidR="00F97D54" w:rsidRPr="0063769F" w:rsidTr="00EB5B97">
        <w:trPr>
          <w:trHeight w:val="360"/>
        </w:trPr>
        <w:tc>
          <w:tcPr>
            <w:tcW w:w="1772" w:type="dxa"/>
          </w:tcPr>
          <w:p w:rsidR="00F97D54" w:rsidRDefault="00F97D54" w:rsidP="00EB5B97">
            <w:pPr>
              <w:rPr>
                <w:sz w:val="16"/>
                <w:szCs w:val="16"/>
              </w:rPr>
            </w:pPr>
            <w:r>
              <w:rPr>
                <w:sz w:val="16"/>
                <w:szCs w:val="16"/>
              </w:rPr>
              <w:t>Adj_Vol</w:t>
            </w:r>
          </w:p>
        </w:tc>
        <w:tc>
          <w:tcPr>
            <w:tcW w:w="4456" w:type="dxa"/>
          </w:tcPr>
          <w:p w:rsidR="00F97D54" w:rsidRDefault="00F97D54" w:rsidP="00EB5B97">
            <w:pPr>
              <w:rPr>
                <w:sz w:val="16"/>
                <w:szCs w:val="16"/>
              </w:rPr>
            </w:pPr>
            <w:r>
              <w:rPr>
                <w:sz w:val="16"/>
                <w:szCs w:val="16"/>
              </w:rPr>
              <w:t xml:space="preserve">Indicator variable denoting whether the adjustment/true-up was due to a </w:t>
            </w:r>
            <w:r w:rsidRPr="00F5506F">
              <w:rPr>
                <w:i/>
                <w:sz w:val="16"/>
                <w:szCs w:val="16"/>
              </w:rPr>
              <w:t>Volume Commitment</w:t>
            </w:r>
            <w:r>
              <w:rPr>
                <w:sz w:val="16"/>
                <w:szCs w:val="16"/>
              </w:rPr>
              <w:t xml:space="preserve"> (Y=Yes, N=No)</w:t>
            </w:r>
          </w:p>
          <w:p w:rsidR="00F97D54" w:rsidRDefault="00F97D54" w:rsidP="00EB5B97">
            <w:pPr>
              <w:rPr>
                <w:sz w:val="16"/>
                <w:szCs w:val="16"/>
              </w:rPr>
            </w:pPr>
          </w:p>
        </w:tc>
        <w:tc>
          <w:tcPr>
            <w:tcW w:w="1080" w:type="dxa"/>
          </w:tcPr>
          <w:p w:rsidR="00F97D54" w:rsidRDefault="00F97D54" w:rsidP="00EB5B97">
            <w:pPr>
              <w:rPr>
                <w:sz w:val="16"/>
                <w:szCs w:val="16"/>
              </w:rPr>
            </w:pPr>
            <w:r>
              <w:rPr>
                <w:sz w:val="16"/>
                <w:szCs w:val="16"/>
              </w:rPr>
              <w:t>Text</w:t>
            </w:r>
          </w:p>
        </w:tc>
        <w:tc>
          <w:tcPr>
            <w:tcW w:w="1530" w:type="dxa"/>
          </w:tcPr>
          <w:p w:rsidR="00F97D54" w:rsidRDefault="00F97D54" w:rsidP="00EB5B97">
            <w:pPr>
              <w:rPr>
                <w:sz w:val="16"/>
                <w:szCs w:val="16"/>
              </w:rPr>
            </w:pPr>
            <w:r>
              <w:rPr>
                <w:sz w:val="16"/>
                <w:szCs w:val="16"/>
              </w:rPr>
              <w:t>Y</w:t>
            </w:r>
          </w:p>
        </w:tc>
      </w:tr>
      <w:tr w:rsidR="00F97D54" w:rsidRPr="0063769F" w:rsidTr="00EB5B97">
        <w:trPr>
          <w:trHeight w:val="360"/>
        </w:trPr>
        <w:tc>
          <w:tcPr>
            <w:tcW w:w="1772" w:type="dxa"/>
          </w:tcPr>
          <w:p w:rsidR="00F97D54" w:rsidRDefault="00F97D54" w:rsidP="00EB5B97">
            <w:pPr>
              <w:rPr>
                <w:sz w:val="16"/>
                <w:szCs w:val="16"/>
              </w:rPr>
            </w:pPr>
            <w:r>
              <w:rPr>
                <w:sz w:val="16"/>
                <w:szCs w:val="16"/>
              </w:rPr>
              <w:t>Adj_Vol_Circ</w:t>
            </w:r>
          </w:p>
        </w:tc>
        <w:tc>
          <w:tcPr>
            <w:tcW w:w="4456" w:type="dxa"/>
          </w:tcPr>
          <w:p w:rsidR="00F97D54" w:rsidRDefault="00F97D54" w:rsidP="00EB5B97">
            <w:pPr>
              <w:rPr>
                <w:sz w:val="16"/>
                <w:szCs w:val="16"/>
              </w:rPr>
            </w:pPr>
            <w:r>
              <w:rPr>
                <w:sz w:val="16"/>
                <w:szCs w:val="16"/>
              </w:rPr>
              <w:t xml:space="preserve">If Adj_Vol=1, and the </w:t>
            </w:r>
            <w:r w:rsidRPr="002E6D72">
              <w:rPr>
                <w:i/>
                <w:sz w:val="16"/>
                <w:szCs w:val="16"/>
              </w:rPr>
              <w:t>Tariff</w:t>
            </w:r>
            <w:r>
              <w:rPr>
                <w:sz w:val="16"/>
                <w:szCs w:val="16"/>
              </w:rPr>
              <w:t xml:space="preserve"> or other agreement required the purchase of a certain number of circuits, enter the number of circuits specified in the </w:t>
            </w:r>
            <w:r w:rsidRPr="002E6D72">
              <w:rPr>
                <w:i/>
                <w:sz w:val="16"/>
                <w:szCs w:val="16"/>
              </w:rPr>
              <w:t>Tariff</w:t>
            </w:r>
            <w:r>
              <w:rPr>
                <w:sz w:val="16"/>
                <w:szCs w:val="16"/>
              </w:rPr>
              <w:t xml:space="preserve"> or other agreement which are necessary to qualify for the adjustment.  If Adj_Vol=0, or the adjustment corresponds to a commitment to a given level of expenditures/spend, leave blank</w:t>
            </w:r>
          </w:p>
          <w:p w:rsidR="00F97D54" w:rsidRDefault="00F97D54" w:rsidP="00EB5B97">
            <w:pPr>
              <w:rPr>
                <w:sz w:val="16"/>
                <w:szCs w:val="16"/>
              </w:rPr>
            </w:pPr>
          </w:p>
        </w:tc>
        <w:tc>
          <w:tcPr>
            <w:tcW w:w="1080" w:type="dxa"/>
          </w:tcPr>
          <w:p w:rsidR="00F97D54" w:rsidRDefault="00F97D54" w:rsidP="00EB5B97">
            <w:pPr>
              <w:rPr>
                <w:sz w:val="16"/>
                <w:szCs w:val="16"/>
              </w:rPr>
            </w:pPr>
            <w:r>
              <w:rPr>
                <w:sz w:val="16"/>
                <w:szCs w:val="16"/>
              </w:rPr>
              <w:t>Integer</w:t>
            </w:r>
          </w:p>
        </w:tc>
        <w:tc>
          <w:tcPr>
            <w:tcW w:w="1530" w:type="dxa"/>
          </w:tcPr>
          <w:p w:rsidR="00F97D54" w:rsidRDefault="00F97D54" w:rsidP="00EB5B97">
            <w:pPr>
              <w:rPr>
                <w:sz w:val="16"/>
                <w:szCs w:val="16"/>
              </w:rPr>
            </w:pPr>
            <w:r>
              <w:rPr>
                <w:sz w:val="16"/>
                <w:szCs w:val="16"/>
              </w:rPr>
              <w:t>500</w:t>
            </w:r>
          </w:p>
        </w:tc>
      </w:tr>
      <w:tr w:rsidR="00F97D54" w:rsidRPr="0063769F" w:rsidTr="00EB5B97">
        <w:trPr>
          <w:trHeight w:val="360"/>
        </w:trPr>
        <w:tc>
          <w:tcPr>
            <w:tcW w:w="1772" w:type="dxa"/>
          </w:tcPr>
          <w:p w:rsidR="00F97D54" w:rsidRDefault="00F97D54" w:rsidP="00EB5B97">
            <w:pPr>
              <w:rPr>
                <w:sz w:val="16"/>
                <w:szCs w:val="16"/>
              </w:rPr>
            </w:pPr>
            <w:r>
              <w:rPr>
                <w:sz w:val="16"/>
                <w:szCs w:val="16"/>
              </w:rPr>
              <w:t>Adj_Vol_Rev</w:t>
            </w:r>
          </w:p>
        </w:tc>
        <w:tc>
          <w:tcPr>
            <w:tcW w:w="4456" w:type="dxa"/>
          </w:tcPr>
          <w:p w:rsidR="00F97D54" w:rsidRDefault="00F97D54" w:rsidP="00EB5B97">
            <w:pPr>
              <w:rPr>
                <w:sz w:val="16"/>
                <w:szCs w:val="16"/>
              </w:rPr>
            </w:pPr>
            <w:r>
              <w:rPr>
                <w:sz w:val="16"/>
                <w:szCs w:val="16"/>
              </w:rPr>
              <w:t xml:space="preserve">If Adj_Vol=1, and the </w:t>
            </w:r>
            <w:r w:rsidRPr="002E6D72">
              <w:rPr>
                <w:i/>
                <w:sz w:val="16"/>
                <w:szCs w:val="16"/>
              </w:rPr>
              <w:t>Tariff</w:t>
            </w:r>
            <w:r>
              <w:rPr>
                <w:sz w:val="16"/>
                <w:szCs w:val="16"/>
              </w:rPr>
              <w:t xml:space="preserve"> or other agreement required the purchase of a certain dollar amount of expenditures/spend, enter the dollar value of the expenditure requirement.  If Adj_Vol=0 or the adjustment corresponds to a commitment to purchase a certain number of circuits, leave the field blank </w:t>
            </w:r>
          </w:p>
        </w:tc>
        <w:tc>
          <w:tcPr>
            <w:tcW w:w="1080" w:type="dxa"/>
          </w:tcPr>
          <w:p w:rsidR="00F97D54" w:rsidRDefault="00F97D54" w:rsidP="00EB5B97">
            <w:pPr>
              <w:rPr>
                <w:sz w:val="16"/>
                <w:szCs w:val="16"/>
              </w:rPr>
            </w:pPr>
            <w:r>
              <w:rPr>
                <w:sz w:val="16"/>
                <w:szCs w:val="16"/>
              </w:rPr>
              <w:t>Float</w:t>
            </w:r>
          </w:p>
        </w:tc>
        <w:tc>
          <w:tcPr>
            <w:tcW w:w="1530" w:type="dxa"/>
          </w:tcPr>
          <w:p w:rsidR="00F97D54" w:rsidRDefault="00F97D54" w:rsidP="00EB5B97">
            <w:pPr>
              <w:rPr>
                <w:sz w:val="16"/>
                <w:szCs w:val="16"/>
              </w:rPr>
            </w:pPr>
            <w:r>
              <w:rPr>
                <w:sz w:val="16"/>
                <w:szCs w:val="16"/>
              </w:rPr>
              <w:t>20,000</w:t>
            </w:r>
          </w:p>
        </w:tc>
      </w:tr>
      <w:tr w:rsidR="00F97D54" w:rsidRPr="0063769F" w:rsidTr="00EB5B97">
        <w:trPr>
          <w:trHeight w:val="360"/>
        </w:trPr>
        <w:tc>
          <w:tcPr>
            <w:tcW w:w="1772" w:type="dxa"/>
            <w:tcBorders>
              <w:bottom w:val="double" w:sz="4" w:space="0" w:color="auto"/>
            </w:tcBorders>
          </w:tcPr>
          <w:p w:rsidR="00F97D54" w:rsidRPr="0063769F" w:rsidRDefault="00F97D54" w:rsidP="00EB5B97">
            <w:pPr>
              <w:rPr>
                <w:sz w:val="16"/>
                <w:szCs w:val="16"/>
              </w:rPr>
            </w:pPr>
            <w:r>
              <w:rPr>
                <w:sz w:val="16"/>
                <w:szCs w:val="16"/>
              </w:rPr>
              <w:t>Adjustment_Other</w:t>
            </w:r>
          </w:p>
        </w:tc>
        <w:tc>
          <w:tcPr>
            <w:tcW w:w="4456" w:type="dxa"/>
            <w:tcBorders>
              <w:bottom w:val="double" w:sz="4" w:space="0" w:color="auto"/>
            </w:tcBorders>
          </w:tcPr>
          <w:p w:rsidR="00F97D54" w:rsidDel="00573D3B" w:rsidRDefault="00F97D54" w:rsidP="00EB5B97">
            <w:pPr>
              <w:rPr>
                <w:sz w:val="16"/>
                <w:szCs w:val="16"/>
              </w:rPr>
            </w:pPr>
            <w:r>
              <w:rPr>
                <w:sz w:val="16"/>
                <w:szCs w:val="16"/>
              </w:rPr>
              <w:t>If the adjustment/true-up is for some other reason, give a brief description of the reason for the adjustment</w:t>
            </w:r>
          </w:p>
        </w:tc>
        <w:tc>
          <w:tcPr>
            <w:tcW w:w="1080" w:type="dxa"/>
            <w:tcBorders>
              <w:bottom w:val="double" w:sz="4" w:space="0" w:color="auto"/>
            </w:tcBorders>
          </w:tcPr>
          <w:p w:rsidR="00F97D54" w:rsidRPr="0063769F" w:rsidRDefault="00F97D54" w:rsidP="00EB5B97">
            <w:pPr>
              <w:rPr>
                <w:sz w:val="16"/>
                <w:szCs w:val="16"/>
              </w:rPr>
            </w:pPr>
            <w:r>
              <w:rPr>
                <w:sz w:val="16"/>
                <w:szCs w:val="16"/>
              </w:rPr>
              <w:t>Text</w:t>
            </w:r>
          </w:p>
        </w:tc>
        <w:tc>
          <w:tcPr>
            <w:tcW w:w="1530" w:type="dxa"/>
            <w:tcBorders>
              <w:bottom w:val="double" w:sz="4" w:space="0" w:color="auto"/>
            </w:tcBorders>
          </w:tcPr>
          <w:p w:rsidR="00F97D54" w:rsidRPr="0063769F" w:rsidRDefault="00F97D54" w:rsidP="00EB5B97">
            <w:pPr>
              <w:rPr>
                <w:sz w:val="16"/>
                <w:szCs w:val="16"/>
              </w:rPr>
            </w:pPr>
            <w:r>
              <w:rPr>
                <w:sz w:val="16"/>
                <w:szCs w:val="16"/>
              </w:rPr>
              <w:t>Network Outage</w:t>
            </w:r>
          </w:p>
        </w:tc>
      </w:tr>
    </w:tbl>
    <w:p w:rsidR="00F97D54" w:rsidRDefault="00F97D54" w:rsidP="00EB5B97"/>
    <w:p w:rsidR="00F97D54" w:rsidRDefault="00F97D54" w:rsidP="00EB5B97">
      <w:r>
        <w:t>Instructions for Table II.B.5, Record Format for Billing Adjustment Data Circuits by Circuit:</w:t>
      </w:r>
    </w:p>
    <w:p w:rsidR="00F97D54" w:rsidRDefault="00F97D54" w:rsidP="00EB5B97"/>
    <w:p w:rsidR="00F97D54" w:rsidRPr="001237F7" w:rsidRDefault="00F97D54" w:rsidP="00EB5B97">
      <w:pPr>
        <w:pStyle w:val="ListParagraph"/>
        <w:numPr>
          <w:ilvl w:val="0"/>
          <w:numId w:val="22"/>
        </w:numPr>
        <w:spacing w:after="200" w:line="276" w:lineRule="auto"/>
        <w:rPr>
          <w:sz w:val="22"/>
          <w:szCs w:val="22"/>
        </w:rPr>
      </w:pPr>
      <w:r w:rsidRPr="005A6188">
        <w:rPr>
          <w:sz w:val="22"/>
          <w:szCs w:val="22"/>
        </w:rPr>
        <w:t>The following questions identify each out-of-cycle billing adjustme</w:t>
      </w:r>
      <w:r>
        <w:rPr>
          <w:sz w:val="22"/>
          <w:szCs w:val="22"/>
        </w:rPr>
        <w:t xml:space="preserve">nt with an adjustment ID and </w:t>
      </w:r>
      <w:r w:rsidRPr="005A6188">
        <w:rPr>
          <w:sz w:val="22"/>
          <w:szCs w:val="22"/>
        </w:rPr>
        <w:t xml:space="preserve">the </w:t>
      </w:r>
      <w:r w:rsidRPr="00E3319A">
        <w:rPr>
          <w:i/>
          <w:sz w:val="22"/>
          <w:szCs w:val="22"/>
        </w:rPr>
        <w:t>Tariff</w:t>
      </w:r>
      <w:r>
        <w:rPr>
          <w:sz w:val="22"/>
          <w:szCs w:val="22"/>
        </w:rPr>
        <w:t xml:space="preserve"> or other agreement</w:t>
      </w:r>
      <w:r w:rsidRPr="005A6188">
        <w:rPr>
          <w:sz w:val="22"/>
          <w:szCs w:val="22"/>
        </w:rPr>
        <w:t xml:space="preserve"> from which they originate.</w:t>
      </w:r>
    </w:p>
    <w:p w:rsidR="00F97D54" w:rsidRDefault="00F97D54" w:rsidP="00EB5B97">
      <w:pPr>
        <w:pStyle w:val="ListParagraph"/>
        <w:numPr>
          <w:ilvl w:val="0"/>
          <w:numId w:val="13"/>
        </w:numPr>
        <w:spacing w:after="200" w:line="276" w:lineRule="auto"/>
        <w:rPr>
          <w:sz w:val="22"/>
          <w:szCs w:val="22"/>
        </w:rPr>
      </w:pPr>
      <w:r w:rsidRPr="00610CCB">
        <w:rPr>
          <w:sz w:val="22"/>
          <w:szCs w:val="22"/>
          <w:u w:val="single"/>
        </w:rPr>
        <w:t>Adjustment_ID</w:t>
      </w:r>
      <w:r w:rsidRPr="00610CCB">
        <w:rPr>
          <w:sz w:val="22"/>
          <w:szCs w:val="22"/>
        </w:rPr>
        <w:t xml:space="preserve">:  </w:t>
      </w:r>
      <w:r w:rsidRPr="005A6188">
        <w:rPr>
          <w:sz w:val="22"/>
          <w:szCs w:val="22"/>
        </w:rPr>
        <w:t xml:space="preserve">Create a unique adjustment ID for each out-of-cycle billing adjustment applied to customer purchases during the </w:t>
      </w:r>
      <w:r>
        <w:rPr>
          <w:sz w:val="22"/>
          <w:szCs w:val="22"/>
        </w:rPr>
        <w:t>relevant</w:t>
      </w:r>
      <w:r w:rsidRPr="005A6188">
        <w:rPr>
          <w:sz w:val="22"/>
          <w:szCs w:val="22"/>
        </w:rPr>
        <w:t xml:space="preserve"> timeframe.  Although each Adjustment_ID may correspond to multipl</w:t>
      </w:r>
      <w:r>
        <w:rPr>
          <w:sz w:val="22"/>
          <w:szCs w:val="22"/>
        </w:rPr>
        <w:t>e circuit elements in Table II.B.4</w:t>
      </w:r>
      <w:r w:rsidRPr="005A6188">
        <w:rPr>
          <w:sz w:val="22"/>
          <w:szCs w:val="22"/>
        </w:rPr>
        <w:t xml:space="preserve">, each </w:t>
      </w:r>
      <w:r>
        <w:rPr>
          <w:sz w:val="22"/>
          <w:szCs w:val="22"/>
        </w:rPr>
        <w:t>must appear only once in Table II.B.5</w:t>
      </w:r>
      <w:r w:rsidRPr="005A6188">
        <w:rPr>
          <w:sz w:val="22"/>
          <w:szCs w:val="22"/>
        </w:rPr>
        <w:t>.  Only include adjustments which were c</w:t>
      </w:r>
      <w:r>
        <w:rPr>
          <w:sz w:val="22"/>
          <w:szCs w:val="22"/>
        </w:rPr>
        <w:t>harged/remitted to the customer</w:t>
      </w:r>
      <w:r w:rsidRPr="005A6188">
        <w:rPr>
          <w:sz w:val="22"/>
          <w:szCs w:val="22"/>
        </w:rPr>
        <w:t xml:space="preserve"> during the </w:t>
      </w:r>
      <w:r>
        <w:rPr>
          <w:sz w:val="22"/>
          <w:szCs w:val="22"/>
        </w:rPr>
        <w:t>2010</w:t>
      </w:r>
      <w:r w:rsidRPr="005A6188">
        <w:rPr>
          <w:sz w:val="22"/>
          <w:szCs w:val="22"/>
        </w:rPr>
        <w:t xml:space="preserve"> and </w:t>
      </w:r>
      <w:r>
        <w:rPr>
          <w:sz w:val="22"/>
          <w:szCs w:val="22"/>
        </w:rPr>
        <w:t>2012 reporting periods.  For example, do not</w:t>
      </w:r>
      <w:r w:rsidRPr="005A6188">
        <w:rPr>
          <w:sz w:val="22"/>
          <w:szCs w:val="22"/>
        </w:rPr>
        <w:t xml:space="preserve"> include adjustments that were charged/remitted in January </w:t>
      </w:r>
      <w:r>
        <w:rPr>
          <w:sz w:val="22"/>
          <w:szCs w:val="22"/>
        </w:rPr>
        <w:t>2011</w:t>
      </w:r>
      <w:r w:rsidRPr="005A6188">
        <w:rPr>
          <w:sz w:val="22"/>
          <w:szCs w:val="22"/>
        </w:rPr>
        <w:t>, even if the adjustment applied to service provided in Dec</w:t>
      </w:r>
      <w:r>
        <w:rPr>
          <w:sz w:val="22"/>
          <w:szCs w:val="22"/>
        </w:rPr>
        <w:t xml:space="preserve">ember 2010.  Likewise, </w:t>
      </w:r>
      <w:r w:rsidRPr="005A6188">
        <w:rPr>
          <w:sz w:val="22"/>
          <w:szCs w:val="22"/>
        </w:rPr>
        <w:t xml:space="preserve">report any adjustments charged/remitted in January </w:t>
      </w:r>
      <w:r>
        <w:rPr>
          <w:sz w:val="22"/>
          <w:szCs w:val="22"/>
        </w:rPr>
        <w:t>2012</w:t>
      </w:r>
      <w:r w:rsidRPr="005A6188">
        <w:rPr>
          <w:sz w:val="22"/>
          <w:szCs w:val="22"/>
        </w:rPr>
        <w:t xml:space="preserve">, even if those adjustments applied to service provided in December </w:t>
      </w:r>
      <w:r>
        <w:rPr>
          <w:sz w:val="22"/>
          <w:szCs w:val="22"/>
        </w:rPr>
        <w:t>2011</w:t>
      </w:r>
      <w:r w:rsidRPr="005A6188">
        <w:rPr>
          <w:sz w:val="22"/>
          <w:szCs w:val="22"/>
        </w:rPr>
        <w:t>.</w:t>
      </w:r>
    </w:p>
    <w:p w:rsidR="00F97D54" w:rsidRPr="00610CCB" w:rsidRDefault="00F97D54" w:rsidP="00EB5B97">
      <w:pPr>
        <w:pStyle w:val="ListParagraph"/>
        <w:numPr>
          <w:ilvl w:val="0"/>
          <w:numId w:val="13"/>
        </w:numPr>
        <w:spacing w:after="200" w:line="276" w:lineRule="auto"/>
        <w:rPr>
          <w:sz w:val="22"/>
          <w:szCs w:val="22"/>
        </w:rPr>
      </w:pPr>
      <w:r w:rsidRPr="00610CCB">
        <w:rPr>
          <w:sz w:val="22"/>
          <w:szCs w:val="22"/>
          <w:u w:val="single"/>
        </w:rPr>
        <w:t>Contract_ID</w:t>
      </w:r>
      <w:r w:rsidRPr="00610CCB">
        <w:rPr>
          <w:sz w:val="22"/>
          <w:szCs w:val="22"/>
        </w:rPr>
        <w:t xml:space="preserve">:  Assign a unique ID number for the </w:t>
      </w:r>
      <w:r w:rsidRPr="00E3319A">
        <w:rPr>
          <w:i/>
          <w:sz w:val="22"/>
          <w:szCs w:val="22"/>
        </w:rPr>
        <w:t>Tariff</w:t>
      </w:r>
      <w:r>
        <w:rPr>
          <w:sz w:val="22"/>
          <w:szCs w:val="22"/>
        </w:rPr>
        <w:t xml:space="preserve"> or other agreement</w:t>
      </w:r>
      <w:r w:rsidRPr="00610CCB">
        <w:rPr>
          <w:sz w:val="22"/>
          <w:szCs w:val="22"/>
        </w:rPr>
        <w:t xml:space="preserve"> from which the adjustment originates.  This field </w:t>
      </w:r>
      <w:r>
        <w:rPr>
          <w:sz w:val="22"/>
          <w:szCs w:val="22"/>
        </w:rPr>
        <w:t>is</w:t>
      </w:r>
      <w:r w:rsidRPr="00610CCB">
        <w:rPr>
          <w:sz w:val="22"/>
          <w:szCs w:val="22"/>
        </w:rPr>
        <w:t xml:space="preserve"> used to group </w:t>
      </w:r>
      <w:r>
        <w:rPr>
          <w:sz w:val="22"/>
          <w:szCs w:val="22"/>
        </w:rPr>
        <w:t xml:space="preserve">adjustments together by the </w:t>
      </w:r>
      <w:r w:rsidRPr="00E3319A">
        <w:rPr>
          <w:i/>
          <w:sz w:val="22"/>
          <w:szCs w:val="22"/>
        </w:rPr>
        <w:t>Tariff</w:t>
      </w:r>
      <w:r>
        <w:rPr>
          <w:sz w:val="22"/>
          <w:szCs w:val="22"/>
        </w:rPr>
        <w:t xml:space="preserve"> or other agreement</w:t>
      </w:r>
      <w:r w:rsidRPr="00610CCB">
        <w:rPr>
          <w:sz w:val="22"/>
          <w:szCs w:val="22"/>
        </w:rPr>
        <w:t xml:space="preserve">.  Leave the field blank if the adjustment cannot be </w:t>
      </w:r>
      <w:r>
        <w:rPr>
          <w:sz w:val="22"/>
          <w:szCs w:val="22"/>
        </w:rPr>
        <w:t xml:space="preserve">linked back to a single </w:t>
      </w:r>
      <w:r w:rsidRPr="00E3319A">
        <w:rPr>
          <w:i/>
          <w:sz w:val="22"/>
          <w:szCs w:val="22"/>
        </w:rPr>
        <w:t>Tariff</w:t>
      </w:r>
      <w:r>
        <w:rPr>
          <w:sz w:val="22"/>
          <w:szCs w:val="22"/>
        </w:rPr>
        <w:t xml:space="preserve"> or other agreement</w:t>
      </w:r>
      <w:r w:rsidRPr="00610CCB">
        <w:rPr>
          <w:sz w:val="22"/>
          <w:szCs w:val="22"/>
        </w:rPr>
        <w:t>.</w:t>
      </w:r>
    </w:p>
    <w:p w:rsidR="00F97D54" w:rsidRPr="005A6188" w:rsidRDefault="00F97D54" w:rsidP="00EB5B97">
      <w:pPr>
        <w:pStyle w:val="ListParagraph"/>
        <w:rPr>
          <w:sz w:val="22"/>
          <w:szCs w:val="22"/>
        </w:rPr>
      </w:pPr>
    </w:p>
    <w:p w:rsidR="00F97D54" w:rsidRPr="005A6188" w:rsidRDefault="00F97D54" w:rsidP="00EB5B97">
      <w:pPr>
        <w:pStyle w:val="ListParagraph"/>
        <w:numPr>
          <w:ilvl w:val="0"/>
          <w:numId w:val="22"/>
        </w:numPr>
        <w:spacing w:after="200" w:line="276" w:lineRule="auto"/>
        <w:rPr>
          <w:sz w:val="22"/>
          <w:szCs w:val="22"/>
        </w:rPr>
      </w:pPr>
      <w:r w:rsidRPr="001237F7">
        <w:rPr>
          <w:sz w:val="22"/>
          <w:szCs w:val="22"/>
          <w:u w:val="single"/>
        </w:rPr>
        <w:t>Date_From</w:t>
      </w:r>
      <w:r w:rsidRPr="005A6188">
        <w:rPr>
          <w:sz w:val="22"/>
          <w:szCs w:val="22"/>
        </w:rPr>
        <w:t xml:space="preserve">:  Enter the beginning date of the adjustment period in mm/dd/yyyy format.  </w:t>
      </w:r>
      <w:r>
        <w:rPr>
          <w:sz w:val="22"/>
          <w:szCs w:val="22"/>
        </w:rPr>
        <w:t xml:space="preserve">For example, if a </w:t>
      </w:r>
      <w:r w:rsidRPr="00E3319A">
        <w:rPr>
          <w:i/>
          <w:sz w:val="22"/>
          <w:szCs w:val="22"/>
        </w:rPr>
        <w:t>Tariff</w:t>
      </w:r>
      <w:r>
        <w:rPr>
          <w:sz w:val="22"/>
          <w:szCs w:val="22"/>
        </w:rPr>
        <w:t xml:space="preserve"> or other agreement</w:t>
      </w:r>
      <w:r w:rsidRPr="005A6188">
        <w:rPr>
          <w:sz w:val="22"/>
          <w:szCs w:val="22"/>
        </w:rPr>
        <w:t xml:space="preserve"> specifies a rebate be r</w:t>
      </w:r>
      <w:r>
        <w:rPr>
          <w:sz w:val="22"/>
          <w:szCs w:val="22"/>
        </w:rPr>
        <w:t>eturned to the customer every three</w:t>
      </w:r>
      <w:r w:rsidRPr="005A6188">
        <w:rPr>
          <w:sz w:val="22"/>
          <w:szCs w:val="22"/>
        </w:rPr>
        <w:t xml:space="preserve"> months, e</w:t>
      </w:r>
      <w:r>
        <w:rPr>
          <w:sz w:val="22"/>
          <w:szCs w:val="22"/>
        </w:rPr>
        <w:t>nter the beginning date of the three</w:t>
      </w:r>
      <w:r w:rsidRPr="005A6188">
        <w:rPr>
          <w:sz w:val="22"/>
          <w:szCs w:val="22"/>
        </w:rPr>
        <w:t xml:space="preserve">-month period for which the rebate applies, and not the beginning date of the </w:t>
      </w:r>
      <w:r w:rsidRPr="00E3319A">
        <w:rPr>
          <w:i/>
          <w:sz w:val="22"/>
          <w:szCs w:val="22"/>
        </w:rPr>
        <w:t>Tariff</w:t>
      </w:r>
      <w:r>
        <w:rPr>
          <w:sz w:val="22"/>
          <w:szCs w:val="22"/>
        </w:rPr>
        <w:t xml:space="preserve"> or other agreement</w:t>
      </w:r>
      <w:r w:rsidRPr="005A6188">
        <w:rPr>
          <w:sz w:val="22"/>
          <w:szCs w:val="22"/>
        </w:rPr>
        <w:t xml:space="preserve"> from which the adjustment originated.  Likewise, do not enter the date on which the adjustment was charged/remitted.  </w:t>
      </w:r>
    </w:p>
    <w:p w:rsidR="00F97D54" w:rsidRPr="005A6188" w:rsidRDefault="00F97D54" w:rsidP="00EB5B97">
      <w:pPr>
        <w:pStyle w:val="ListParagraph"/>
        <w:rPr>
          <w:sz w:val="22"/>
          <w:szCs w:val="22"/>
        </w:rPr>
      </w:pPr>
    </w:p>
    <w:p w:rsidR="00F97D54" w:rsidRPr="005A6188" w:rsidRDefault="00F97D54" w:rsidP="0047272E">
      <w:pPr>
        <w:pStyle w:val="ListParagraph"/>
        <w:widowControl/>
        <w:numPr>
          <w:ilvl w:val="0"/>
          <w:numId w:val="22"/>
        </w:numPr>
        <w:spacing w:after="200" w:line="276" w:lineRule="auto"/>
        <w:rPr>
          <w:sz w:val="22"/>
          <w:szCs w:val="22"/>
        </w:rPr>
      </w:pPr>
      <w:r w:rsidRPr="001237F7">
        <w:rPr>
          <w:sz w:val="22"/>
          <w:szCs w:val="22"/>
          <w:u w:val="single"/>
        </w:rPr>
        <w:t>Date_To</w:t>
      </w:r>
      <w:r w:rsidRPr="001237F7">
        <w:rPr>
          <w:sz w:val="22"/>
          <w:szCs w:val="22"/>
        </w:rPr>
        <w:t>:</w:t>
      </w:r>
      <w:r w:rsidRPr="005A6188">
        <w:rPr>
          <w:sz w:val="22"/>
          <w:szCs w:val="22"/>
        </w:rPr>
        <w:t xml:space="preserve">  Enter the ending date of the adjustment period in mm/dd/yyyy format.  For example, if a </w:t>
      </w:r>
      <w:r w:rsidRPr="00E3319A">
        <w:rPr>
          <w:i/>
          <w:sz w:val="22"/>
          <w:szCs w:val="22"/>
        </w:rPr>
        <w:t>Tariff</w:t>
      </w:r>
      <w:r>
        <w:rPr>
          <w:sz w:val="22"/>
          <w:szCs w:val="22"/>
        </w:rPr>
        <w:t xml:space="preserve"> or other agreement</w:t>
      </w:r>
      <w:r w:rsidRPr="005A6188">
        <w:rPr>
          <w:sz w:val="22"/>
          <w:szCs w:val="22"/>
        </w:rPr>
        <w:t xml:space="preserve"> specifies a rebate </w:t>
      </w:r>
      <w:r>
        <w:rPr>
          <w:sz w:val="22"/>
          <w:szCs w:val="22"/>
        </w:rPr>
        <w:t>to the customer every three</w:t>
      </w:r>
      <w:r w:rsidRPr="005A6188">
        <w:rPr>
          <w:sz w:val="22"/>
          <w:szCs w:val="22"/>
        </w:rPr>
        <w:t xml:space="preserve"> months, enter the ending date of the 3-month period for which the rebate applies, and not the ending date of the </w:t>
      </w:r>
      <w:r w:rsidRPr="00E3319A">
        <w:rPr>
          <w:i/>
          <w:sz w:val="22"/>
          <w:szCs w:val="22"/>
        </w:rPr>
        <w:t>Tariff</w:t>
      </w:r>
      <w:r>
        <w:rPr>
          <w:sz w:val="22"/>
          <w:szCs w:val="22"/>
        </w:rPr>
        <w:t xml:space="preserve"> or other agreement</w:t>
      </w:r>
      <w:r w:rsidRPr="005A6188">
        <w:rPr>
          <w:sz w:val="22"/>
          <w:szCs w:val="22"/>
        </w:rPr>
        <w:t xml:space="preserve"> from which the adjustment originated.  Likewise, do not enter the date on which the adjustment was charged/remitted.</w:t>
      </w:r>
    </w:p>
    <w:p w:rsidR="00F97D54" w:rsidRPr="005A6188" w:rsidRDefault="00F97D54" w:rsidP="00EB5B97">
      <w:pPr>
        <w:pStyle w:val="ListParagraph"/>
        <w:rPr>
          <w:sz w:val="22"/>
          <w:szCs w:val="22"/>
        </w:rPr>
      </w:pPr>
    </w:p>
    <w:p w:rsidR="00F97D54" w:rsidRPr="005A6188" w:rsidRDefault="00F97D54" w:rsidP="00EB5B97">
      <w:pPr>
        <w:pStyle w:val="ListParagraph"/>
        <w:numPr>
          <w:ilvl w:val="0"/>
          <w:numId w:val="22"/>
        </w:numPr>
        <w:spacing w:after="200" w:line="276" w:lineRule="auto"/>
        <w:rPr>
          <w:sz w:val="22"/>
          <w:szCs w:val="22"/>
        </w:rPr>
      </w:pPr>
      <w:r w:rsidRPr="001237F7">
        <w:rPr>
          <w:sz w:val="22"/>
          <w:szCs w:val="22"/>
          <w:u w:val="single"/>
        </w:rPr>
        <w:t>Adjustment_Scope</w:t>
      </w:r>
      <w:r w:rsidRPr="005A6188">
        <w:rPr>
          <w:sz w:val="22"/>
          <w:szCs w:val="22"/>
        </w:rPr>
        <w:t xml:space="preserve">:  Enter the scope of the adjustment according to the following codes:  Enter 1 if the adjustment applies to a single circuit element on a single circuit.  Enter 2 if the adjustment applies to more than one element on a single circuit.  Enter 3 if the adjustment applies to one or more circuit elements across multiple circuits.  Enter 4 if the adjustment is an overall adjustment that applies to every circuit purchased by the </w:t>
      </w:r>
      <w:r>
        <w:rPr>
          <w:sz w:val="22"/>
          <w:szCs w:val="22"/>
        </w:rPr>
        <w:t>customer</w:t>
      </w:r>
      <w:r w:rsidRPr="005A6188">
        <w:rPr>
          <w:sz w:val="22"/>
          <w:szCs w:val="22"/>
        </w:rPr>
        <w:t xml:space="preserve"> (as indicated by the </w:t>
      </w:r>
      <w:r>
        <w:rPr>
          <w:sz w:val="22"/>
          <w:szCs w:val="22"/>
        </w:rPr>
        <w:t>Customer</w:t>
      </w:r>
      <w:r w:rsidRPr="005A6188">
        <w:rPr>
          <w:sz w:val="22"/>
          <w:szCs w:val="22"/>
        </w:rPr>
        <w:t xml:space="preserve">_ID in </w:t>
      </w:r>
      <w:r>
        <w:rPr>
          <w:sz w:val="22"/>
          <w:szCs w:val="22"/>
        </w:rPr>
        <w:t>Question II.B.3</w:t>
      </w:r>
      <w:r w:rsidRPr="005A6188">
        <w:rPr>
          <w:sz w:val="22"/>
          <w:szCs w:val="22"/>
        </w:rPr>
        <w:t xml:space="preserve">).  Apply the codes as described above, even if the adjustment applies to multiple time periods.  For example, if a rebate is given for a single circuit element on a single circuit (as determined by the Circuit_ID in </w:t>
      </w:r>
      <w:r>
        <w:rPr>
          <w:sz w:val="22"/>
          <w:szCs w:val="22"/>
        </w:rPr>
        <w:t>Question II.B.3</w:t>
      </w:r>
      <w:r w:rsidRPr="005A6188">
        <w:rPr>
          <w:sz w:val="22"/>
          <w:szCs w:val="22"/>
        </w:rPr>
        <w:t>), assign an Adjustment_Scope of 1, even if the adjustment period (as determined by Date_From and Date_To) extends over multiple months.</w:t>
      </w:r>
    </w:p>
    <w:p w:rsidR="00F97D54" w:rsidRPr="005A6188" w:rsidRDefault="00F97D54" w:rsidP="00EB5B97">
      <w:pPr>
        <w:pStyle w:val="ListParagraph"/>
        <w:rPr>
          <w:sz w:val="22"/>
          <w:szCs w:val="22"/>
        </w:rPr>
      </w:pPr>
    </w:p>
    <w:p w:rsidR="00F97D54" w:rsidRPr="005A6188" w:rsidRDefault="00F97D54" w:rsidP="00EB5B97">
      <w:pPr>
        <w:pStyle w:val="ListParagraph"/>
        <w:numPr>
          <w:ilvl w:val="0"/>
          <w:numId w:val="22"/>
        </w:numPr>
        <w:spacing w:after="200" w:line="276" w:lineRule="auto"/>
        <w:rPr>
          <w:sz w:val="22"/>
          <w:szCs w:val="22"/>
        </w:rPr>
      </w:pPr>
      <w:r w:rsidRPr="001237F7">
        <w:rPr>
          <w:sz w:val="22"/>
          <w:szCs w:val="22"/>
          <w:u w:val="single"/>
        </w:rPr>
        <w:t>Adjustment</w:t>
      </w:r>
      <w:r w:rsidRPr="005A6188">
        <w:rPr>
          <w:sz w:val="22"/>
          <w:szCs w:val="22"/>
        </w:rPr>
        <w:t>:  Enter the total dollar amount of the billing adjustment for all circuit elements across all circuits and across the entire adjustment period.  Any increase in the amount owed to the vendor (</w:t>
      </w:r>
      <w:r w:rsidRPr="001237F7">
        <w:rPr>
          <w:i/>
          <w:sz w:val="22"/>
          <w:szCs w:val="22"/>
        </w:rPr>
        <w:t>e.g.</w:t>
      </w:r>
      <w:r w:rsidRPr="005A6188">
        <w:rPr>
          <w:sz w:val="22"/>
          <w:szCs w:val="22"/>
        </w:rPr>
        <w:t xml:space="preserve">, penalty) </w:t>
      </w:r>
      <w:r>
        <w:rPr>
          <w:sz w:val="22"/>
          <w:szCs w:val="22"/>
        </w:rPr>
        <w:t>is</w:t>
      </w:r>
      <w:r w:rsidRPr="005A6188">
        <w:rPr>
          <w:sz w:val="22"/>
          <w:szCs w:val="22"/>
        </w:rPr>
        <w:t xml:space="preserve"> a positive number, while any decrease in the amount owed to the vendor (</w:t>
      </w:r>
      <w:r w:rsidRPr="001237F7">
        <w:rPr>
          <w:i/>
          <w:sz w:val="22"/>
          <w:szCs w:val="22"/>
        </w:rPr>
        <w:t>e.g.</w:t>
      </w:r>
      <w:r w:rsidRPr="005A6188">
        <w:rPr>
          <w:sz w:val="22"/>
          <w:szCs w:val="22"/>
        </w:rPr>
        <w:t xml:space="preserve">, discount or rebate) </w:t>
      </w:r>
      <w:r>
        <w:rPr>
          <w:sz w:val="22"/>
          <w:szCs w:val="22"/>
        </w:rPr>
        <w:t>is</w:t>
      </w:r>
      <w:r w:rsidRPr="005A6188">
        <w:rPr>
          <w:sz w:val="22"/>
          <w:szCs w:val="22"/>
        </w:rPr>
        <w:t xml:space="preserve"> a negative number.  For example, suppose </w:t>
      </w:r>
      <w:r>
        <w:rPr>
          <w:sz w:val="22"/>
          <w:szCs w:val="22"/>
        </w:rPr>
        <w:t xml:space="preserve">the </w:t>
      </w:r>
      <w:r w:rsidRPr="00A0542B">
        <w:rPr>
          <w:i/>
          <w:sz w:val="22"/>
          <w:szCs w:val="22"/>
        </w:rPr>
        <w:t>Provider</w:t>
      </w:r>
      <w:r>
        <w:rPr>
          <w:sz w:val="22"/>
          <w:szCs w:val="22"/>
        </w:rPr>
        <w:t xml:space="preserve"> gave </w:t>
      </w:r>
      <w:r w:rsidRPr="005A6188">
        <w:rPr>
          <w:sz w:val="22"/>
          <w:szCs w:val="22"/>
        </w:rPr>
        <w:t xml:space="preserve">a </w:t>
      </w:r>
      <w:r>
        <w:rPr>
          <w:sz w:val="22"/>
          <w:szCs w:val="22"/>
        </w:rPr>
        <w:t>custom</w:t>
      </w:r>
      <w:r w:rsidRPr="005A6188">
        <w:rPr>
          <w:sz w:val="22"/>
          <w:szCs w:val="22"/>
        </w:rPr>
        <w:t xml:space="preserve">er </w:t>
      </w:r>
      <w:r>
        <w:rPr>
          <w:sz w:val="22"/>
          <w:szCs w:val="22"/>
        </w:rPr>
        <w:t>a</w:t>
      </w:r>
      <w:r w:rsidRPr="005A6188">
        <w:rPr>
          <w:sz w:val="22"/>
          <w:szCs w:val="22"/>
        </w:rPr>
        <w:t xml:space="preserve"> $2000 rebate on 10/31/</w:t>
      </w:r>
      <w:r>
        <w:rPr>
          <w:sz w:val="22"/>
          <w:szCs w:val="22"/>
        </w:rPr>
        <w:t>2010</w:t>
      </w:r>
      <w:r w:rsidRPr="005A6188">
        <w:rPr>
          <w:sz w:val="22"/>
          <w:szCs w:val="22"/>
        </w:rPr>
        <w:t>, and that this rebate covered 100 circuits purchased during the six-month period from 04/01/</w:t>
      </w:r>
      <w:r>
        <w:rPr>
          <w:sz w:val="22"/>
          <w:szCs w:val="22"/>
        </w:rPr>
        <w:t>2010 to 10/0</w:t>
      </w:r>
      <w:r w:rsidRPr="005A6188">
        <w:rPr>
          <w:sz w:val="22"/>
          <w:szCs w:val="22"/>
        </w:rPr>
        <w:t>1/</w:t>
      </w:r>
      <w:r>
        <w:rPr>
          <w:sz w:val="22"/>
          <w:szCs w:val="22"/>
        </w:rPr>
        <w:t>2010</w:t>
      </w:r>
      <w:r w:rsidRPr="005A6188">
        <w:rPr>
          <w:sz w:val="22"/>
          <w:szCs w:val="22"/>
        </w:rPr>
        <w:t xml:space="preserve">.  In this case, the filer </w:t>
      </w:r>
      <w:r>
        <w:rPr>
          <w:sz w:val="22"/>
          <w:szCs w:val="22"/>
        </w:rPr>
        <w:t>must</w:t>
      </w:r>
      <w:r w:rsidRPr="005A6188">
        <w:rPr>
          <w:sz w:val="22"/>
          <w:szCs w:val="22"/>
        </w:rPr>
        <w:t xml:space="preserve"> enter “-2000” in the Adjustment field with the appropriate Date_From and Date_To values.  In addition, the Adjustment_Scope </w:t>
      </w:r>
      <w:r>
        <w:rPr>
          <w:sz w:val="22"/>
          <w:szCs w:val="22"/>
        </w:rPr>
        <w:t>(see above) is</w:t>
      </w:r>
      <w:r w:rsidRPr="005A6188">
        <w:rPr>
          <w:sz w:val="22"/>
          <w:szCs w:val="22"/>
        </w:rPr>
        <w:t xml:space="preserve"> recorded as 3, and the Adjustment_ID for this specific rebate </w:t>
      </w:r>
      <w:r>
        <w:rPr>
          <w:sz w:val="22"/>
          <w:szCs w:val="22"/>
        </w:rPr>
        <w:t>is</w:t>
      </w:r>
      <w:r w:rsidRPr="005A6188">
        <w:rPr>
          <w:sz w:val="22"/>
          <w:szCs w:val="22"/>
        </w:rPr>
        <w:t xml:space="preserve"> included next to the 100 circuits in the Adjustment_ID_# fields in Ta</w:t>
      </w:r>
      <w:r>
        <w:rPr>
          <w:sz w:val="22"/>
          <w:szCs w:val="22"/>
        </w:rPr>
        <w:t>ble II.B.4</w:t>
      </w:r>
      <w:r w:rsidRPr="005A6188">
        <w:rPr>
          <w:sz w:val="22"/>
          <w:szCs w:val="22"/>
        </w:rPr>
        <w:t>.</w:t>
      </w:r>
    </w:p>
    <w:p w:rsidR="00F97D54" w:rsidRPr="005A6188" w:rsidRDefault="00F97D54" w:rsidP="00EB5B97">
      <w:pPr>
        <w:pStyle w:val="ListParagraph"/>
        <w:rPr>
          <w:sz w:val="22"/>
          <w:szCs w:val="22"/>
        </w:rPr>
      </w:pPr>
    </w:p>
    <w:p w:rsidR="00F97D54" w:rsidRPr="005A6188" w:rsidRDefault="00F97D54" w:rsidP="00EB5B97">
      <w:pPr>
        <w:pStyle w:val="ListParagraph"/>
        <w:numPr>
          <w:ilvl w:val="0"/>
          <w:numId w:val="22"/>
        </w:numPr>
        <w:spacing w:after="200" w:line="276" w:lineRule="auto"/>
        <w:rPr>
          <w:sz w:val="22"/>
          <w:szCs w:val="22"/>
        </w:rPr>
      </w:pPr>
      <w:r w:rsidRPr="005A6188">
        <w:rPr>
          <w:sz w:val="22"/>
          <w:szCs w:val="22"/>
        </w:rPr>
        <w:t xml:space="preserve">These fields describe the type of adjustment </w:t>
      </w:r>
      <w:r>
        <w:rPr>
          <w:sz w:val="22"/>
          <w:szCs w:val="22"/>
        </w:rPr>
        <w:t>applied to the circuit elements.</w:t>
      </w:r>
    </w:p>
    <w:p w:rsidR="00F97D54" w:rsidRDefault="00F97D54" w:rsidP="00EB5B97">
      <w:pPr>
        <w:pStyle w:val="ListParagraph"/>
        <w:numPr>
          <w:ilvl w:val="0"/>
          <w:numId w:val="15"/>
        </w:numPr>
        <w:spacing w:after="200" w:line="276" w:lineRule="auto"/>
        <w:rPr>
          <w:sz w:val="22"/>
          <w:szCs w:val="22"/>
        </w:rPr>
      </w:pPr>
      <w:r w:rsidRPr="001237F7">
        <w:rPr>
          <w:sz w:val="22"/>
          <w:szCs w:val="22"/>
          <w:u w:val="single"/>
        </w:rPr>
        <w:t>Adj_Term</w:t>
      </w:r>
      <w:r w:rsidRPr="005A6188">
        <w:rPr>
          <w:sz w:val="22"/>
          <w:szCs w:val="22"/>
        </w:rPr>
        <w:t xml:space="preserve">:  If the adjustment/true-up can be linked to a rebate given (or penalty charged) on a </w:t>
      </w:r>
      <w:r w:rsidRPr="001237F7">
        <w:rPr>
          <w:i/>
          <w:sz w:val="22"/>
          <w:szCs w:val="22"/>
        </w:rPr>
        <w:t>Term Commitment</w:t>
      </w:r>
      <w:r w:rsidRPr="005A6188">
        <w:rPr>
          <w:sz w:val="22"/>
          <w:szCs w:val="22"/>
        </w:rPr>
        <w:t xml:space="preserve">, enter 1.  Enter 0 if the adjustment was not due to a </w:t>
      </w:r>
      <w:r w:rsidRPr="001237F7">
        <w:rPr>
          <w:i/>
          <w:sz w:val="22"/>
          <w:szCs w:val="22"/>
        </w:rPr>
        <w:t>Term Commitment</w:t>
      </w:r>
      <w:r w:rsidRPr="005A6188">
        <w:rPr>
          <w:sz w:val="22"/>
          <w:szCs w:val="22"/>
        </w:rPr>
        <w:t xml:space="preserve">. </w:t>
      </w:r>
    </w:p>
    <w:p w:rsidR="00F97D54" w:rsidRDefault="00F97D54" w:rsidP="00EB5B97">
      <w:pPr>
        <w:pStyle w:val="ListParagraph"/>
        <w:numPr>
          <w:ilvl w:val="0"/>
          <w:numId w:val="15"/>
        </w:numPr>
        <w:spacing w:after="200" w:line="276" w:lineRule="auto"/>
        <w:rPr>
          <w:sz w:val="22"/>
          <w:szCs w:val="22"/>
        </w:rPr>
      </w:pPr>
      <w:r w:rsidRPr="001237F7">
        <w:rPr>
          <w:sz w:val="22"/>
          <w:szCs w:val="22"/>
          <w:u w:val="single"/>
        </w:rPr>
        <w:t>Adj_Term_Length</w:t>
      </w:r>
      <w:r w:rsidRPr="001237F7">
        <w:rPr>
          <w:sz w:val="22"/>
          <w:szCs w:val="22"/>
        </w:rPr>
        <w:t>:  If Adj_Term is equal to 1, enter the total term length (not the remaining term length) in months.  If Adj_Term is equal to 0, leave the Adj_Term_Length variable blank.</w:t>
      </w:r>
    </w:p>
    <w:p w:rsidR="00F97D54" w:rsidRDefault="00F97D54" w:rsidP="00EB5B97">
      <w:pPr>
        <w:pStyle w:val="ListParagraph"/>
        <w:numPr>
          <w:ilvl w:val="0"/>
          <w:numId w:val="15"/>
        </w:numPr>
        <w:spacing w:after="200" w:line="276" w:lineRule="auto"/>
        <w:rPr>
          <w:sz w:val="22"/>
          <w:szCs w:val="22"/>
        </w:rPr>
      </w:pPr>
      <w:r w:rsidRPr="001237F7">
        <w:rPr>
          <w:sz w:val="22"/>
          <w:szCs w:val="22"/>
          <w:u w:val="single"/>
        </w:rPr>
        <w:t>Adj_Vol</w:t>
      </w:r>
      <w:r w:rsidRPr="001237F7">
        <w:rPr>
          <w:sz w:val="22"/>
          <w:szCs w:val="22"/>
        </w:rPr>
        <w:t xml:space="preserve">:  Enter 1 if the adjustment/true-up can be linked to a rebate (or penalty) on a </w:t>
      </w:r>
      <w:r w:rsidRPr="001237F7">
        <w:rPr>
          <w:i/>
          <w:sz w:val="22"/>
          <w:szCs w:val="22"/>
        </w:rPr>
        <w:t>Volume Commitment</w:t>
      </w:r>
      <w:r w:rsidRPr="001237F7">
        <w:rPr>
          <w:sz w:val="22"/>
          <w:szCs w:val="22"/>
        </w:rPr>
        <w:t xml:space="preserve">.  Enter 0 if the adjustment was not due to a </w:t>
      </w:r>
      <w:r w:rsidRPr="001237F7">
        <w:rPr>
          <w:i/>
          <w:sz w:val="22"/>
          <w:szCs w:val="22"/>
        </w:rPr>
        <w:t>Volume Commitment</w:t>
      </w:r>
      <w:r w:rsidRPr="001237F7">
        <w:rPr>
          <w:sz w:val="22"/>
          <w:szCs w:val="22"/>
        </w:rPr>
        <w:t xml:space="preserve">.  If the </w:t>
      </w:r>
      <w:r w:rsidRPr="001237F7">
        <w:rPr>
          <w:i/>
          <w:sz w:val="22"/>
          <w:szCs w:val="22"/>
        </w:rPr>
        <w:t>Volume Commitment</w:t>
      </w:r>
      <w:r w:rsidRPr="001237F7">
        <w:rPr>
          <w:sz w:val="22"/>
          <w:szCs w:val="22"/>
        </w:rPr>
        <w:t xml:space="preserve"> corresponds to a cer</w:t>
      </w:r>
      <w:r>
        <w:rPr>
          <w:sz w:val="22"/>
          <w:szCs w:val="22"/>
        </w:rPr>
        <w:t xml:space="preserve">tain number of circuits, </w:t>
      </w:r>
      <w:r w:rsidRPr="001237F7">
        <w:rPr>
          <w:sz w:val="22"/>
          <w:szCs w:val="22"/>
        </w:rPr>
        <w:t xml:space="preserve">enter the number of circuits necessary to qualify for the discount in the Adj_Vol_Circ field.  If the </w:t>
      </w:r>
      <w:r w:rsidRPr="001237F7">
        <w:rPr>
          <w:i/>
          <w:sz w:val="22"/>
          <w:szCs w:val="22"/>
        </w:rPr>
        <w:t>Volume Commitment</w:t>
      </w:r>
      <w:r w:rsidRPr="001237F7">
        <w:rPr>
          <w:sz w:val="22"/>
          <w:szCs w:val="22"/>
        </w:rPr>
        <w:t xml:space="preserve"> corresponds to a certain level of “spend” or d</w:t>
      </w:r>
      <w:r>
        <w:rPr>
          <w:sz w:val="22"/>
          <w:szCs w:val="22"/>
        </w:rPr>
        <w:t xml:space="preserve">ollar value of services, </w:t>
      </w:r>
      <w:r w:rsidRPr="001237F7">
        <w:rPr>
          <w:sz w:val="22"/>
          <w:szCs w:val="22"/>
        </w:rPr>
        <w:t>enter the dollar amount necessary to qualify for the discount in the Adj_Vol_Rev field.</w:t>
      </w:r>
    </w:p>
    <w:p w:rsidR="00F97D54" w:rsidRDefault="00F97D54" w:rsidP="00EB5B97">
      <w:pPr>
        <w:pStyle w:val="ListParagraph"/>
        <w:numPr>
          <w:ilvl w:val="0"/>
          <w:numId w:val="15"/>
        </w:numPr>
        <w:spacing w:after="200" w:line="276" w:lineRule="auto"/>
        <w:rPr>
          <w:sz w:val="22"/>
          <w:szCs w:val="22"/>
        </w:rPr>
      </w:pPr>
      <w:r w:rsidRPr="00A572D4">
        <w:rPr>
          <w:sz w:val="22"/>
          <w:szCs w:val="22"/>
          <w:u w:val="single"/>
        </w:rPr>
        <w:t>Adj_Vol_Circ</w:t>
      </w:r>
      <w:r w:rsidRPr="00A572D4">
        <w:rPr>
          <w:sz w:val="22"/>
          <w:szCs w:val="22"/>
        </w:rPr>
        <w:t xml:space="preserve">:  If Adj_Vol is equal to 1, and the </w:t>
      </w:r>
      <w:r w:rsidRPr="00E3319A">
        <w:rPr>
          <w:i/>
          <w:sz w:val="22"/>
          <w:szCs w:val="22"/>
        </w:rPr>
        <w:t>Tariff</w:t>
      </w:r>
      <w:r>
        <w:rPr>
          <w:sz w:val="22"/>
          <w:szCs w:val="22"/>
        </w:rPr>
        <w:t xml:space="preserve"> or other agreement</w:t>
      </w:r>
      <w:r w:rsidRPr="005A6188">
        <w:rPr>
          <w:sz w:val="22"/>
          <w:szCs w:val="22"/>
        </w:rPr>
        <w:t xml:space="preserve"> </w:t>
      </w:r>
      <w:r w:rsidRPr="00A572D4">
        <w:rPr>
          <w:sz w:val="22"/>
          <w:szCs w:val="22"/>
        </w:rPr>
        <w:t>required the purchase of a certain number of circuits to</w:t>
      </w:r>
      <w:r>
        <w:rPr>
          <w:sz w:val="22"/>
          <w:szCs w:val="22"/>
        </w:rPr>
        <w:t xml:space="preserve"> qualify for a discount, </w:t>
      </w:r>
      <w:r w:rsidRPr="00A572D4">
        <w:rPr>
          <w:sz w:val="22"/>
          <w:szCs w:val="22"/>
        </w:rPr>
        <w:t xml:space="preserve">enter the number of circuits.  If Adj_Vol is equal to 0 or the </w:t>
      </w:r>
      <w:r w:rsidRPr="00A572D4">
        <w:rPr>
          <w:i/>
          <w:sz w:val="22"/>
          <w:szCs w:val="22"/>
        </w:rPr>
        <w:t>Volume Commitment</w:t>
      </w:r>
      <w:r w:rsidRPr="00A572D4">
        <w:rPr>
          <w:sz w:val="22"/>
          <w:szCs w:val="22"/>
        </w:rPr>
        <w:t xml:space="preserve"> was a commitment to a given level of </w:t>
      </w:r>
      <w:r>
        <w:rPr>
          <w:sz w:val="22"/>
          <w:szCs w:val="22"/>
        </w:rPr>
        <w:t xml:space="preserve">expenditures or “spend”, </w:t>
      </w:r>
      <w:r w:rsidRPr="00A572D4">
        <w:rPr>
          <w:sz w:val="22"/>
          <w:szCs w:val="22"/>
        </w:rPr>
        <w:t>leave this field blank.</w:t>
      </w:r>
    </w:p>
    <w:p w:rsidR="00F97D54" w:rsidRDefault="00F97D54" w:rsidP="00EB5B97">
      <w:pPr>
        <w:pStyle w:val="ListParagraph"/>
        <w:numPr>
          <w:ilvl w:val="0"/>
          <w:numId w:val="15"/>
        </w:numPr>
        <w:spacing w:after="200" w:line="276" w:lineRule="auto"/>
        <w:rPr>
          <w:sz w:val="22"/>
          <w:szCs w:val="22"/>
        </w:rPr>
      </w:pPr>
      <w:r w:rsidRPr="00A572D4">
        <w:rPr>
          <w:sz w:val="22"/>
          <w:szCs w:val="22"/>
          <w:u w:val="single"/>
        </w:rPr>
        <w:t>Adj_Vol_Rev</w:t>
      </w:r>
      <w:r w:rsidRPr="00A572D4">
        <w:rPr>
          <w:sz w:val="22"/>
          <w:szCs w:val="22"/>
        </w:rPr>
        <w:t xml:space="preserve">:  If Adj_Vol is equal to 1 and the </w:t>
      </w:r>
      <w:r w:rsidRPr="00E3319A">
        <w:rPr>
          <w:i/>
          <w:sz w:val="22"/>
          <w:szCs w:val="22"/>
        </w:rPr>
        <w:t>Tariff</w:t>
      </w:r>
      <w:r>
        <w:rPr>
          <w:sz w:val="22"/>
          <w:szCs w:val="22"/>
        </w:rPr>
        <w:t xml:space="preserve"> or other agreement</w:t>
      </w:r>
      <w:r w:rsidRPr="00A572D4">
        <w:rPr>
          <w:sz w:val="22"/>
          <w:szCs w:val="22"/>
        </w:rPr>
        <w:t xml:space="preserve"> required the purchase of a certain dollar amount of expenditures (or “spend”) to</w:t>
      </w:r>
      <w:r>
        <w:rPr>
          <w:sz w:val="22"/>
          <w:szCs w:val="22"/>
        </w:rPr>
        <w:t xml:space="preserve"> qualify for a discount, </w:t>
      </w:r>
      <w:r w:rsidRPr="00A572D4">
        <w:rPr>
          <w:sz w:val="22"/>
          <w:szCs w:val="22"/>
        </w:rPr>
        <w:t xml:space="preserve">enter the dollar value of the expenditure requirement.  If Adj_Vol is equal to 0 or the </w:t>
      </w:r>
      <w:r w:rsidRPr="00A572D4">
        <w:rPr>
          <w:i/>
          <w:sz w:val="22"/>
          <w:szCs w:val="22"/>
        </w:rPr>
        <w:t>Volume Commitment</w:t>
      </w:r>
      <w:r w:rsidRPr="00A572D4">
        <w:rPr>
          <w:sz w:val="22"/>
          <w:szCs w:val="22"/>
        </w:rPr>
        <w:t xml:space="preserve"> was a commitment to purchase a cer</w:t>
      </w:r>
      <w:r>
        <w:rPr>
          <w:sz w:val="22"/>
          <w:szCs w:val="22"/>
        </w:rPr>
        <w:t xml:space="preserve">tain number of circuits, </w:t>
      </w:r>
      <w:r w:rsidRPr="00A572D4">
        <w:rPr>
          <w:sz w:val="22"/>
          <w:szCs w:val="22"/>
        </w:rPr>
        <w:t>leave this field blank.</w:t>
      </w:r>
    </w:p>
    <w:p w:rsidR="00F97D54" w:rsidRPr="00587EB9" w:rsidRDefault="00F97D54" w:rsidP="00EB5B97">
      <w:pPr>
        <w:pStyle w:val="ListParagraph"/>
        <w:numPr>
          <w:ilvl w:val="0"/>
          <w:numId w:val="15"/>
        </w:numPr>
        <w:spacing w:after="200" w:line="276" w:lineRule="auto"/>
        <w:rPr>
          <w:sz w:val="22"/>
          <w:szCs w:val="22"/>
        </w:rPr>
      </w:pPr>
      <w:r w:rsidRPr="00635EFE">
        <w:rPr>
          <w:sz w:val="22"/>
          <w:szCs w:val="22"/>
          <w:u w:val="single"/>
        </w:rPr>
        <w:t>Adjustment_Other</w:t>
      </w:r>
      <w:r w:rsidRPr="00635EFE">
        <w:rPr>
          <w:sz w:val="22"/>
          <w:szCs w:val="22"/>
        </w:rPr>
        <w:t xml:space="preserve">:  If the adjustment/true-up was for some reason other than a </w:t>
      </w:r>
      <w:r w:rsidRPr="00635EFE">
        <w:rPr>
          <w:i/>
          <w:sz w:val="22"/>
          <w:szCs w:val="22"/>
        </w:rPr>
        <w:t>Term</w:t>
      </w:r>
      <w:r w:rsidRPr="00635EFE">
        <w:rPr>
          <w:sz w:val="22"/>
          <w:szCs w:val="22"/>
        </w:rPr>
        <w:t xml:space="preserve"> or </w:t>
      </w:r>
      <w:r w:rsidRPr="00635EFE">
        <w:rPr>
          <w:i/>
          <w:sz w:val="22"/>
          <w:szCs w:val="22"/>
        </w:rPr>
        <w:t>Volume Commitment</w:t>
      </w:r>
      <w:r>
        <w:rPr>
          <w:sz w:val="22"/>
          <w:szCs w:val="22"/>
        </w:rPr>
        <w:t xml:space="preserve">, </w:t>
      </w:r>
      <w:r w:rsidRPr="00635EFE">
        <w:rPr>
          <w:sz w:val="22"/>
          <w:szCs w:val="22"/>
        </w:rPr>
        <w:t xml:space="preserve">give a brief description of the reason in this field.  Do not exceed 120 characters in your response.  Leave blank if either Adj_Term or Adj_Vol is equal to 1.  An example of such an adjustment may be </w:t>
      </w:r>
      <w:r>
        <w:rPr>
          <w:sz w:val="22"/>
          <w:szCs w:val="22"/>
        </w:rPr>
        <w:t>a rebate remitted to the custom</w:t>
      </w:r>
      <w:r w:rsidRPr="00635EFE">
        <w:rPr>
          <w:sz w:val="22"/>
          <w:szCs w:val="22"/>
        </w:rPr>
        <w:t>er in compensation for an unanticipated network outage or degraded quality of service.</w:t>
      </w:r>
    </w:p>
    <w:p w:rsidR="00F97D54" w:rsidRPr="00E9084B" w:rsidRDefault="00F97D54" w:rsidP="00E9084B">
      <w:pPr>
        <w:pStyle w:val="Heading4"/>
        <w:numPr>
          <w:ilvl w:val="0"/>
          <w:numId w:val="0"/>
        </w:numPr>
        <w:rPr>
          <w:b w:val="0"/>
          <w:i/>
        </w:rPr>
      </w:pPr>
      <w:bookmarkStart w:id="123" w:name="_Toc365972111"/>
      <w:r w:rsidRPr="00E9084B">
        <w:rPr>
          <w:b w:val="0"/>
          <w:i/>
        </w:rPr>
        <w:t>Question II.B.6:  Billing Code Descriptions</w:t>
      </w:r>
      <w:bookmarkEnd w:id="123"/>
    </w:p>
    <w:p w:rsidR="00F97D54" w:rsidRDefault="00F97D54" w:rsidP="00EB5B97">
      <w:pPr>
        <w:rPr>
          <w:szCs w:val="22"/>
        </w:rPr>
      </w:pPr>
      <w:r w:rsidRPr="00C54BD9">
        <w:rPr>
          <w:szCs w:val="22"/>
        </w:rPr>
        <w:t xml:space="preserve">Provide descriptions for each unique billing code referenced in </w:t>
      </w:r>
      <w:r>
        <w:rPr>
          <w:szCs w:val="22"/>
        </w:rPr>
        <w:t>Table II.B.4 Part 1</w:t>
      </w:r>
      <w:r w:rsidRPr="00C54BD9">
        <w:rPr>
          <w:szCs w:val="22"/>
        </w:rPr>
        <w:t xml:space="preserve">.  Enter one record for each </w:t>
      </w:r>
      <w:r>
        <w:rPr>
          <w:szCs w:val="22"/>
        </w:rPr>
        <w:t>unique b</w:t>
      </w:r>
      <w:r w:rsidRPr="00C54BD9">
        <w:rPr>
          <w:szCs w:val="22"/>
        </w:rPr>
        <w:t>illing</w:t>
      </w:r>
      <w:r>
        <w:rPr>
          <w:szCs w:val="22"/>
        </w:rPr>
        <w:t xml:space="preserve"> code</w:t>
      </w:r>
      <w:r w:rsidRPr="00C54BD9">
        <w:rPr>
          <w:szCs w:val="22"/>
        </w:rPr>
        <w:t>.</w:t>
      </w:r>
      <w:r>
        <w:rPr>
          <w:szCs w:val="22"/>
        </w:rPr>
        <w:t xml:space="preserve">  Examples of common circuit elements are given in the diagram in Question II.B.6.b.  If the billed element cannot be described by the elements listed in the diagram, provide a description of the billed element.  To the extent you bill circuits as a whole, rather than on an element-by-element basis, describe the billed unit, </w:t>
      </w:r>
      <w:r w:rsidRPr="007D18DB">
        <w:rPr>
          <w:i/>
          <w:szCs w:val="22"/>
        </w:rPr>
        <w:t>see</w:t>
      </w:r>
      <w:r>
        <w:rPr>
          <w:szCs w:val="22"/>
        </w:rPr>
        <w:t xml:space="preserve"> Question II.B.6.c, and assign a single unique ID.</w:t>
      </w:r>
    </w:p>
    <w:p w:rsidR="00F97D54" w:rsidRDefault="00F97D54" w:rsidP="00EB5B97">
      <w:pPr>
        <w:rPr>
          <w:szCs w:val="22"/>
        </w:rPr>
      </w:pPr>
    </w:p>
    <w:p w:rsidR="00F97D54" w:rsidRPr="00C54BD9" w:rsidRDefault="00F97D54" w:rsidP="00EB5B97">
      <w:pPr>
        <w:rPr>
          <w:szCs w:val="22"/>
        </w:rPr>
      </w:pPr>
      <w:r>
        <w:t>Table II.B.6</w:t>
      </w:r>
      <w:r w:rsidRPr="001565B7">
        <w:t xml:space="preserve"> </w:t>
      </w:r>
      <w:r>
        <w:t>is</w:t>
      </w:r>
      <w:r w:rsidRPr="001565B7">
        <w:t xml:space="preserve"> used to link the descriptions of billing codes with the billed circuit elements</w:t>
      </w:r>
      <w:r>
        <w:t xml:space="preserve"> reported in Table II.B.4 Part 1 using the Billing</w:t>
      </w:r>
      <w:r w:rsidRPr="001565B7">
        <w:t xml:space="preserve">_Code variable in each table.  Although each </w:t>
      </w:r>
      <w:r>
        <w:t>Billing</w:t>
      </w:r>
      <w:r w:rsidRPr="001565B7">
        <w:t>_Code may appear multiple times in Table II.</w:t>
      </w:r>
      <w:r>
        <w:t>B</w:t>
      </w:r>
      <w:r w:rsidRPr="001565B7">
        <w:t>.</w:t>
      </w:r>
      <w:r>
        <w:t>4 Part 1</w:t>
      </w:r>
      <w:r w:rsidRPr="001565B7">
        <w:t xml:space="preserve">, </w:t>
      </w:r>
      <w:r>
        <w:t>you can only have one entry for each unique Billing</w:t>
      </w:r>
      <w:r w:rsidRPr="001565B7">
        <w:t xml:space="preserve">_Code </w:t>
      </w:r>
      <w:r>
        <w:t xml:space="preserve">reported </w:t>
      </w:r>
      <w:r w:rsidRPr="001565B7">
        <w:t xml:space="preserve">in </w:t>
      </w:r>
      <w:r>
        <w:t>Table II.B.6</w:t>
      </w:r>
      <w:r w:rsidRPr="001565B7">
        <w:t xml:space="preserve">.  Additionally, every </w:t>
      </w:r>
      <w:r>
        <w:t>Billing</w:t>
      </w:r>
      <w:r w:rsidRPr="001565B7">
        <w:t xml:space="preserve">_Code that appears in </w:t>
      </w:r>
      <w:r>
        <w:t xml:space="preserve">Table </w:t>
      </w:r>
      <w:r w:rsidRPr="001565B7">
        <w:t>II.</w:t>
      </w:r>
      <w:r>
        <w:t>B</w:t>
      </w:r>
      <w:r w:rsidRPr="001565B7">
        <w:t>.</w:t>
      </w:r>
      <w:r>
        <w:t>4</w:t>
      </w:r>
      <w:r w:rsidRPr="001565B7">
        <w:t xml:space="preserve"> </w:t>
      </w:r>
      <w:r>
        <w:t xml:space="preserve">Part 1 </w:t>
      </w:r>
      <w:r w:rsidRPr="001565B7">
        <w:t xml:space="preserve">must </w:t>
      </w:r>
      <w:r>
        <w:t xml:space="preserve">be identified </w:t>
      </w:r>
      <w:r w:rsidRPr="001565B7">
        <w:t>in Table II.</w:t>
      </w:r>
      <w:r>
        <w:t>B</w:t>
      </w:r>
      <w:r w:rsidRPr="001565B7">
        <w:t>.</w:t>
      </w:r>
      <w:r>
        <w:t>6</w:t>
      </w:r>
      <w:r w:rsidRPr="001565B7">
        <w:t>.</w:t>
      </w:r>
    </w:p>
    <w:p w:rsidR="00F97D54" w:rsidRPr="00F43280" w:rsidRDefault="00F97D54" w:rsidP="00EB5B97">
      <w:pPr>
        <w:rPr>
          <w:b/>
          <w:sz w:val="20"/>
          <w:szCs w:val="22"/>
        </w:rPr>
      </w:pPr>
    </w:p>
    <w:tbl>
      <w:tblPr>
        <w:tblW w:w="8748" w:type="dxa"/>
        <w:tblLook w:val="01E0" w:firstRow="1" w:lastRow="1" w:firstColumn="1" w:lastColumn="1" w:noHBand="0" w:noVBand="0"/>
      </w:tblPr>
      <w:tblGrid>
        <w:gridCol w:w="1998"/>
        <w:gridCol w:w="4268"/>
        <w:gridCol w:w="1064"/>
        <w:gridCol w:w="1418"/>
      </w:tblGrid>
      <w:tr w:rsidR="00F97D54" w:rsidRPr="00F43280" w:rsidTr="00EB5B97">
        <w:trPr>
          <w:trHeight w:val="432"/>
        </w:trPr>
        <w:tc>
          <w:tcPr>
            <w:tcW w:w="8748" w:type="dxa"/>
            <w:gridSpan w:val="4"/>
            <w:tcBorders>
              <w:top w:val="double" w:sz="4" w:space="0" w:color="auto"/>
              <w:bottom w:val="single" w:sz="4" w:space="0" w:color="auto"/>
            </w:tcBorders>
            <w:vAlign w:val="center"/>
          </w:tcPr>
          <w:p w:rsidR="00F97D54" w:rsidRPr="00CF00E7" w:rsidRDefault="00F97D54" w:rsidP="00EB5B97">
            <w:pPr>
              <w:jc w:val="center"/>
              <w:rPr>
                <w:b/>
                <w:bCs/>
                <w:szCs w:val="22"/>
              </w:rPr>
            </w:pPr>
            <w:r w:rsidRPr="00CF00E7">
              <w:rPr>
                <w:b/>
                <w:bCs/>
                <w:szCs w:val="22"/>
              </w:rPr>
              <w:t>Table II.B.</w:t>
            </w:r>
            <w:r>
              <w:rPr>
                <w:b/>
                <w:bCs/>
                <w:szCs w:val="22"/>
              </w:rPr>
              <w:t>6</w:t>
            </w:r>
          </w:p>
          <w:p w:rsidR="00F97D54" w:rsidRPr="00F43280" w:rsidRDefault="00F97D54" w:rsidP="00EB5B97">
            <w:pPr>
              <w:jc w:val="center"/>
              <w:rPr>
                <w:b/>
                <w:sz w:val="20"/>
              </w:rPr>
            </w:pPr>
            <w:r>
              <w:rPr>
                <w:b/>
                <w:bCs/>
                <w:szCs w:val="22"/>
              </w:rPr>
              <w:t>Record Format for</w:t>
            </w:r>
            <w:r w:rsidRPr="00CF00E7">
              <w:rPr>
                <w:b/>
                <w:bCs/>
                <w:szCs w:val="22"/>
              </w:rPr>
              <w:t xml:space="preserve"> Descriptions </w:t>
            </w:r>
            <w:r>
              <w:rPr>
                <w:b/>
                <w:bCs/>
                <w:szCs w:val="22"/>
              </w:rPr>
              <w:t xml:space="preserve">for Circuits </w:t>
            </w:r>
            <w:r w:rsidRPr="00CF00E7">
              <w:rPr>
                <w:b/>
                <w:bCs/>
                <w:szCs w:val="22"/>
              </w:rPr>
              <w:t>by Circuit</w:t>
            </w:r>
          </w:p>
        </w:tc>
      </w:tr>
      <w:tr w:rsidR="00F97D54" w:rsidRPr="00F43280" w:rsidTr="00832B03">
        <w:trPr>
          <w:trHeight w:val="432"/>
        </w:trPr>
        <w:tc>
          <w:tcPr>
            <w:tcW w:w="1998" w:type="dxa"/>
            <w:tcBorders>
              <w:top w:val="single" w:sz="4" w:space="0" w:color="auto"/>
              <w:bottom w:val="single" w:sz="4" w:space="0" w:color="auto"/>
              <w:right w:val="single" w:sz="4" w:space="0" w:color="auto"/>
            </w:tcBorders>
            <w:vAlign w:val="center"/>
          </w:tcPr>
          <w:p w:rsidR="00F97D54" w:rsidRPr="00F43280" w:rsidRDefault="00F97D54" w:rsidP="00EB5B97">
            <w:pPr>
              <w:rPr>
                <w:b/>
                <w:sz w:val="18"/>
                <w:szCs w:val="18"/>
              </w:rPr>
            </w:pPr>
            <w:r w:rsidRPr="00F43280">
              <w:rPr>
                <w:b/>
                <w:sz w:val="18"/>
                <w:szCs w:val="18"/>
              </w:rPr>
              <w:t>Field Name</w:t>
            </w:r>
          </w:p>
        </w:tc>
        <w:tc>
          <w:tcPr>
            <w:tcW w:w="4268" w:type="dxa"/>
            <w:tcBorders>
              <w:top w:val="single" w:sz="4" w:space="0" w:color="auto"/>
              <w:left w:val="single" w:sz="4" w:space="0" w:color="auto"/>
              <w:bottom w:val="single" w:sz="4" w:space="0" w:color="auto"/>
              <w:right w:val="single" w:sz="4" w:space="0" w:color="auto"/>
            </w:tcBorders>
            <w:vAlign w:val="center"/>
          </w:tcPr>
          <w:p w:rsidR="00F97D54" w:rsidRPr="00F43280" w:rsidRDefault="00F97D54" w:rsidP="00EB5B97">
            <w:pPr>
              <w:rPr>
                <w:b/>
                <w:sz w:val="18"/>
                <w:szCs w:val="18"/>
              </w:rPr>
            </w:pPr>
            <w:r w:rsidRPr="00F43280">
              <w:rPr>
                <w:b/>
                <w:sz w:val="18"/>
                <w:szCs w:val="18"/>
              </w:rPr>
              <w:t>Description</w:t>
            </w:r>
          </w:p>
        </w:tc>
        <w:tc>
          <w:tcPr>
            <w:tcW w:w="1064" w:type="dxa"/>
            <w:tcBorders>
              <w:top w:val="single" w:sz="4" w:space="0" w:color="auto"/>
              <w:left w:val="single" w:sz="4" w:space="0" w:color="auto"/>
              <w:bottom w:val="single" w:sz="4" w:space="0" w:color="auto"/>
              <w:right w:val="single" w:sz="4" w:space="0" w:color="auto"/>
            </w:tcBorders>
            <w:vAlign w:val="center"/>
          </w:tcPr>
          <w:p w:rsidR="00F97D54" w:rsidRPr="00F43280" w:rsidRDefault="00F97D54" w:rsidP="00EB5B97">
            <w:pPr>
              <w:rPr>
                <w:b/>
                <w:sz w:val="18"/>
                <w:szCs w:val="18"/>
              </w:rPr>
            </w:pPr>
            <w:r w:rsidRPr="00F43280">
              <w:rPr>
                <w:b/>
                <w:sz w:val="18"/>
                <w:szCs w:val="18"/>
              </w:rPr>
              <w:t>Type</w:t>
            </w:r>
          </w:p>
        </w:tc>
        <w:tc>
          <w:tcPr>
            <w:tcW w:w="1418" w:type="dxa"/>
            <w:tcBorders>
              <w:top w:val="single" w:sz="4" w:space="0" w:color="auto"/>
              <w:left w:val="single" w:sz="4" w:space="0" w:color="auto"/>
              <w:bottom w:val="single" w:sz="4" w:space="0" w:color="auto"/>
            </w:tcBorders>
            <w:vAlign w:val="center"/>
          </w:tcPr>
          <w:p w:rsidR="00F97D54" w:rsidRPr="00F43280" w:rsidRDefault="00F97D54" w:rsidP="00EB5B97">
            <w:pPr>
              <w:ind w:right="-108"/>
              <w:rPr>
                <w:b/>
                <w:sz w:val="18"/>
                <w:szCs w:val="18"/>
              </w:rPr>
            </w:pPr>
            <w:r w:rsidRPr="00F43280">
              <w:rPr>
                <w:b/>
                <w:sz w:val="18"/>
                <w:szCs w:val="18"/>
              </w:rPr>
              <w:t>Example</w:t>
            </w:r>
          </w:p>
        </w:tc>
      </w:tr>
      <w:tr w:rsidR="00F97D54" w:rsidRPr="00F43280" w:rsidTr="00832B03">
        <w:trPr>
          <w:trHeight w:val="360"/>
        </w:trPr>
        <w:tc>
          <w:tcPr>
            <w:tcW w:w="1998" w:type="dxa"/>
          </w:tcPr>
          <w:p w:rsidR="00F97D54" w:rsidRPr="00F43280" w:rsidRDefault="00F97D54" w:rsidP="00EB5B97">
            <w:pPr>
              <w:rPr>
                <w:sz w:val="16"/>
                <w:szCs w:val="16"/>
              </w:rPr>
            </w:pPr>
            <w:r>
              <w:rPr>
                <w:sz w:val="16"/>
                <w:szCs w:val="16"/>
              </w:rPr>
              <w:t>Billing</w:t>
            </w:r>
            <w:r w:rsidRPr="00F43280">
              <w:rPr>
                <w:sz w:val="16"/>
                <w:szCs w:val="16"/>
              </w:rPr>
              <w:t>_Code</w:t>
            </w:r>
          </w:p>
        </w:tc>
        <w:tc>
          <w:tcPr>
            <w:tcW w:w="4268" w:type="dxa"/>
          </w:tcPr>
          <w:p w:rsidR="00F97D54" w:rsidRPr="00F43280" w:rsidRDefault="00F97D54" w:rsidP="00EB5B97">
            <w:pPr>
              <w:rPr>
                <w:sz w:val="16"/>
                <w:szCs w:val="16"/>
              </w:rPr>
            </w:pPr>
            <w:r w:rsidRPr="00F43280">
              <w:rPr>
                <w:sz w:val="16"/>
                <w:szCs w:val="16"/>
              </w:rPr>
              <w:t xml:space="preserve">Billing </w:t>
            </w:r>
            <w:r>
              <w:rPr>
                <w:sz w:val="16"/>
                <w:szCs w:val="16"/>
              </w:rPr>
              <w:t>code (</w:t>
            </w:r>
            <w:r w:rsidRPr="00F748BC">
              <w:rPr>
                <w:i/>
                <w:sz w:val="16"/>
                <w:szCs w:val="16"/>
              </w:rPr>
              <w:t>e.g.</w:t>
            </w:r>
            <w:r>
              <w:rPr>
                <w:sz w:val="16"/>
                <w:szCs w:val="16"/>
              </w:rPr>
              <w:t>, USOC) used to identify the billed circuit element.  (This variable will aslo appear in Question II.B.4 and is used to link the billed circuit elements with their descriptions)</w:t>
            </w:r>
          </w:p>
        </w:tc>
        <w:tc>
          <w:tcPr>
            <w:tcW w:w="1064" w:type="dxa"/>
          </w:tcPr>
          <w:p w:rsidR="00F97D54" w:rsidRPr="00F43280" w:rsidRDefault="00F97D54" w:rsidP="00EB5B97">
            <w:pPr>
              <w:rPr>
                <w:sz w:val="16"/>
                <w:szCs w:val="16"/>
              </w:rPr>
            </w:pPr>
            <w:r w:rsidRPr="00F43280">
              <w:rPr>
                <w:sz w:val="16"/>
                <w:szCs w:val="16"/>
              </w:rPr>
              <w:t>Text</w:t>
            </w:r>
          </w:p>
        </w:tc>
        <w:tc>
          <w:tcPr>
            <w:tcW w:w="1418" w:type="dxa"/>
          </w:tcPr>
          <w:p w:rsidR="00F97D54" w:rsidRPr="00F43280" w:rsidRDefault="00F97D54" w:rsidP="00EB5B97">
            <w:pPr>
              <w:rPr>
                <w:sz w:val="16"/>
                <w:szCs w:val="16"/>
              </w:rPr>
            </w:pPr>
            <w:r w:rsidRPr="00F43280">
              <w:rPr>
                <w:sz w:val="16"/>
                <w:szCs w:val="16"/>
              </w:rPr>
              <w:t>1YZXD</w:t>
            </w:r>
          </w:p>
        </w:tc>
      </w:tr>
      <w:tr w:rsidR="00F97D54" w:rsidRPr="00F43280" w:rsidTr="00832B03">
        <w:trPr>
          <w:trHeight w:val="495"/>
        </w:trPr>
        <w:tc>
          <w:tcPr>
            <w:tcW w:w="1998" w:type="dxa"/>
          </w:tcPr>
          <w:p w:rsidR="00F97D54" w:rsidRPr="00F43280" w:rsidRDefault="00F97D54" w:rsidP="00EB5B97">
            <w:pPr>
              <w:rPr>
                <w:sz w:val="16"/>
                <w:szCs w:val="16"/>
              </w:rPr>
            </w:pPr>
            <w:r>
              <w:rPr>
                <w:sz w:val="16"/>
                <w:szCs w:val="16"/>
              </w:rPr>
              <w:t>Billing</w:t>
            </w:r>
            <w:r w:rsidRPr="00F43280">
              <w:rPr>
                <w:sz w:val="16"/>
                <w:szCs w:val="16"/>
              </w:rPr>
              <w:t>_Code_Description</w:t>
            </w:r>
          </w:p>
        </w:tc>
        <w:tc>
          <w:tcPr>
            <w:tcW w:w="4268" w:type="dxa"/>
          </w:tcPr>
          <w:p w:rsidR="00F97D54" w:rsidRPr="00F43280" w:rsidRDefault="00F97D54" w:rsidP="00EB5B97">
            <w:pPr>
              <w:rPr>
                <w:sz w:val="16"/>
                <w:szCs w:val="16"/>
              </w:rPr>
            </w:pPr>
            <w:r w:rsidRPr="00F43280">
              <w:rPr>
                <w:sz w:val="16"/>
                <w:szCs w:val="16"/>
              </w:rPr>
              <w:t xml:space="preserve">Brief description of </w:t>
            </w:r>
            <w:r>
              <w:rPr>
                <w:sz w:val="16"/>
                <w:szCs w:val="16"/>
              </w:rPr>
              <w:t>circuit</w:t>
            </w:r>
            <w:r w:rsidRPr="00F43280">
              <w:rPr>
                <w:sz w:val="16"/>
                <w:szCs w:val="16"/>
              </w:rPr>
              <w:t xml:space="preserve"> element  </w:t>
            </w:r>
          </w:p>
        </w:tc>
        <w:tc>
          <w:tcPr>
            <w:tcW w:w="1064" w:type="dxa"/>
          </w:tcPr>
          <w:p w:rsidR="00F97D54" w:rsidRPr="00F43280" w:rsidRDefault="00F97D54" w:rsidP="00EB5B97">
            <w:pPr>
              <w:rPr>
                <w:sz w:val="16"/>
                <w:szCs w:val="16"/>
              </w:rPr>
            </w:pPr>
            <w:r w:rsidRPr="00F43280">
              <w:rPr>
                <w:sz w:val="16"/>
                <w:szCs w:val="16"/>
              </w:rPr>
              <w:t>Text</w:t>
            </w:r>
          </w:p>
        </w:tc>
        <w:tc>
          <w:tcPr>
            <w:tcW w:w="1418" w:type="dxa"/>
          </w:tcPr>
          <w:p w:rsidR="00F97D54" w:rsidRPr="00F43280" w:rsidRDefault="00F97D54" w:rsidP="00EB5B97">
            <w:pPr>
              <w:rPr>
                <w:sz w:val="16"/>
                <w:szCs w:val="16"/>
              </w:rPr>
            </w:pPr>
            <w:r w:rsidRPr="00F43280">
              <w:rPr>
                <w:sz w:val="16"/>
                <w:szCs w:val="16"/>
              </w:rPr>
              <w:t>Channel Mileage</w:t>
            </w:r>
          </w:p>
        </w:tc>
      </w:tr>
      <w:tr w:rsidR="00F97D54" w:rsidRPr="00F43280" w:rsidTr="00832B03">
        <w:trPr>
          <w:trHeight w:val="360"/>
        </w:trPr>
        <w:tc>
          <w:tcPr>
            <w:tcW w:w="1998" w:type="dxa"/>
            <w:tcBorders>
              <w:bottom w:val="double" w:sz="4" w:space="0" w:color="auto"/>
            </w:tcBorders>
          </w:tcPr>
          <w:p w:rsidR="00F97D54" w:rsidRPr="00F43280" w:rsidRDefault="00F97D54" w:rsidP="00EB5B97">
            <w:pPr>
              <w:rPr>
                <w:sz w:val="16"/>
                <w:szCs w:val="16"/>
              </w:rPr>
            </w:pPr>
            <w:r>
              <w:rPr>
                <w:sz w:val="16"/>
                <w:szCs w:val="16"/>
              </w:rPr>
              <w:t>Billing</w:t>
            </w:r>
            <w:r w:rsidRPr="00F43280">
              <w:rPr>
                <w:sz w:val="16"/>
                <w:szCs w:val="16"/>
              </w:rPr>
              <w:t>_Code_Desc_Other</w:t>
            </w:r>
          </w:p>
        </w:tc>
        <w:tc>
          <w:tcPr>
            <w:tcW w:w="4268" w:type="dxa"/>
            <w:tcBorders>
              <w:bottom w:val="double" w:sz="4" w:space="0" w:color="auto"/>
            </w:tcBorders>
          </w:tcPr>
          <w:p w:rsidR="00F97D54" w:rsidRPr="00F43280" w:rsidRDefault="00F97D54" w:rsidP="00EB5B97">
            <w:pPr>
              <w:rPr>
                <w:sz w:val="16"/>
                <w:szCs w:val="16"/>
              </w:rPr>
            </w:pPr>
            <w:r w:rsidRPr="00F43280">
              <w:rPr>
                <w:sz w:val="16"/>
                <w:szCs w:val="16"/>
              </w:rPr>
              <w:t xml:space="preserve">The description of the </w:t>
            </w:r>
            <w:r>
              <w:rPr>
                <w:sz w:val="16"/>
                <w:szCs w:val="16"/>
              </w:rPr>
              <w:t>circuit</w:t>
            </w:r>
            <w:r w:rsidRPr="00F43280">
              <w:rPr>
                <w:sz w:val="16"/>
                <w:szCs w:val="16"/>
              </w:rPr>
              <w:t xml:space="preserve"> element as it appears on the customer’s bill.</w:t>
            </w:r>
          </w:p>
        </w:tc>
        <w:tc>
          <w:tcPr>
            <w:tcW w:w="1064" w:type="dxa"/>
            <w:tcBorders>
              <w:bottom w:val="double" w:sz="4" w:space="0" w:color="auto"/>
            </w:tcBorders>
          </w:tcPr>
          <w:p w:rsidR="00F97D54" w:rsidRPr="00F43280" w:rsidRDefault="00F97D54" w:rsidP="00EB5B97">
            <w:pPr>
              <w:rPr>
                <w:sz w:val="16"/>
                <w:szCs w:val="16"/>
              </w:rPr>
            </w:pPr>
            <w:r w:rsidRPr="00F43280">
              <w:rPr>
                <w:sz w:val="16"/>
                <w:szCs w:val="16"/>
              </w:rPr>
              <w:t>Text</w:t>
            </w:r>
          </w:p>
        </w:tc>
        <w:tc>
          <w:tcPr>
            <w:tcW w:w="1418" w:type="dxa"/>
            <w:tcBorders>
              <w:bottom w:val="double" w:sz="4" w:space="0" w:color="auto"/>
            </w:tcBorders>
          </w:tcPr>
          <w:p w:rsidR="00F97D54" w:rsidRPr="00F43280" w:rsidRDefault="00F97D54" w:rsidP="00EB5B97">
            <w:pPr>
              <w:rPr>
                <w:sz w:val="16"/>
                <w:szCs w:val="16"/>
              </w:rPr>
            </w:pPr>
          </w:p>
        </w:tc>
      </w:tr>
    </w:tbl>
    <w:p w:rsidR="00587EB9" w:rsidRDefault="00587EB9" w:rsidP="00EB5B97"/>
    <w:p w:rsidR="00F97D54" w:rsidRDefault="00F97D54" w:rsidP="00EB5B97">
      <w:r>
        <w:t>Instructions for Table II.B.6, Record Format for Descriptions for Circuits by Circuit:</w:t>
      </w:r>
    </w:p>
    <w:p w:rsidR="00F97D54" w:rsidRPr="007F07E7" w:rsidRDefault="00F97D54" w:rsidP="00EB5B97">
      <w:pPr>
        <w:rPr>
          <w:szCs w:val="22"/>
        </w:rPr>
      </w:pPr>
    </w:p>
    <w:p w:rsidR="00F97D54" w:rsidRPr="007F07E7" w:rsidRDefault="00F97D54" w:rsidP="0047272E">
      <w:pPr>
        <w:pStyle w:val="ListParagraph"/>
        <w:widowControl/>
        <w:numPr>
          <w:ilvl w:val="0"/>
          <w:numId w:val="23"/>
        </w:numPr>
        <w:spacing w:after="200" w:line="276" w:lineRule="auto"/>
        <w:rPr>
          <w:sz w:val="22"/>
          <w:szCs w:val="22"/>
        </w:rPr>
      </w:pPr>
      <w:r w:rsidRPr="007F07E7">
        <w:rPr>
          <w:sz w:val="22"/>
          <w:szCs w:val="22"/>
          <w:u w:val="single"/>
        </w:rPr>
        <w:t>Billing_Code</w:t>
      </w:r>
      <w:r w:rsidRPr="007F07E7">
        <w:rPr>
          <w:sz w:val="22"/>
          <w:szCs w:val="22"/>
        </w:rPr>
        <w:t>:  The billing code variable is used to identify the individual components of billed circuits.  The billing</w:t>
      </w:r>
      <w:r>
        <w:rPr>
          <w:sz w:val="22"/>
          <w:szCs w:val="22"/>
        </w:rPr>
        <w:t xml:space="preserve"> code is </w:t>
      </w:r>
      <w:r w:rsidRPr="007F07E7">
        <w:rPr>
          <w:sz w:val="22"/>
          <w:szCs w:val="22"/>
        </w:rPr>
        <w:t xml:space="preserve">used to link the billed circuit elements in question </w:t>
      </w:r>
      <w:r>
        <w:rPr>
          <w:sz w:val="22"/>
          <w:szCs w:val="22"/>
        </w:rPr>
        <w:t>II.B.4</w:t>
      </w:r>
      <w:r w:rsidRPr="007F07E7">
        <w:rPr>
          <w:sz w:val="22"/>
          <w:szCs w:val="22"/>
        </w:rPr>
        <w:t xml:space="preserve"> with the de</w:t>
      </w:r>
      <w:r>
        <w:rPr>
          <w:sz w:val="22"/>
          <w:szCs w:val="22"/>
        </w:rPr>
        <w:t>scription of those elements in Q</w:t>
      </w:r>
      <w:r w:rsidRPr="007F07E7">
        <w:rPr>
          <w:sz w:val="22"/>
          <w:szCs w:val="22"/>
        </w:rPr>
        <w:t xml:space="preserve">uestion </w:t>
      </w:r>
      <w:r>
        <w:rPr>
          <w:sz w:val="22"/>
          <w:szCs w:val="22"/>
        </w:rPr>
        <w:t>II.B.6</w:t>
      </w:r>
      <w:r w:rsidRPr="007F07E7">
        <w:rPr>
          <w:sz w:val="22"/>
          <w:szCs w:val="22"/>
        </w:rPr>
        <w:t xml:space="preserve">.  A USOC is an example of billing code.  </w:t>
      </w:r>
      <w:r w:rsidRPr="003916F5">
        <w:rPr>
          <w:i/>
          <w:sz w:val="22"/>
          <w:szCs w:val="22"/>
          <w:u w:val="single"/>
        </w:rPr>
        <w:t>However, USOC codes are not required to identify the circuit elements; you can create your own billing code.</w:t>
      </w:r>
      <w:r w:rsidRPr="007F07E7">
        <w:rPr>
          <w:sz w:val="22"/>
          <w:szCs w:val="22"/>
        </w:rPr>
        <w:t xml:space="preserve">  Enter the bi</w:t>
      </w:r>
      <w:r>
        <w:rPr>
          <w:sz w:val="22"/>
          <w:szCs w:val="22"/>
        </w:rPr>
        <w:t>lling code as a string variable</w:t>
      </w:r>
      <w:r w:rsidRPr="007F07E7">
        <w:rPr>
          <w:sz w:val="22"/>
          <w:szCs w:val="22"/>
        </w:rPr>
        <w:t xml:space="preserve"> not to exceed 15 characters in length.</w:t>
      </w:r>
    </w:p>
    <w:p w:rsidR="00F97D54" w:rsidRPr="007F07E7" w:rsidRDefault="00F97D54" w:rsidP="00EB5B97">
      <w:pPr>
        <w:pStyle w:val="ListParagraph"/>
        <w:rPr>
          <w:sz w:val="22"/>
          <w:szCs w:val="22"/>
        </w:rPr>
      </w:pPr>
    </w:p>
    <w:p w:rsidR="00F97D54" w:rsidRPr="007F07E7" w:rsidRDefault="00F97D54" w:rsidP="00EB5B97">
      <w:pPr>
        <w:pStyle w:val="ListParagraph"/>
        <w:numPr>
          <w:ilvl w:val="0"/>
          <w:numId w:val="23"/>
        </w:numPr>
        <w:spacing w:after="200" w:line="276" w:lineRule="auto"/>
        <w:rPr>
          <w:sz w:val="22"/>
          <w:szCs w:val="22"/>
        </w:rPr>
      </w:pPr>
      <w:r w:rsidRPr="007F07E7">
        <w:rPr>
          <w:sz w:val="22"/>
          <w:szCs w:val="22"/>
          <w:u w:val="single"/>
        </w:rPr>
        <w:t>Billing_Code_Desc</w:t>
      </w:r>
      <w:r>
        <w:rPr>
          <w:sz w:val="22"/>
          <w:szCs w:val="22"/>
          <w:u w:val="single"/>
        </w:rPr>
        <w:t>ription</w:t>
      </w:r>
      <w:r w:rsidRPr="007F07E7">
        <w:rPr>
          <w:sz w:val="22"/>
          <w:szCs w:val="22"/>
        </w:rPr>
        <w:t>:  Choose the descri</w:t>
      </w:r>
      <w:r>
        <w:rPr>
          <w:sz w:val="22"/>
          <w:szCs w:val="22"/>
        </w:rPr>
        <w:t>ption from the list/diagram in Question II.B.6</w:t>
      </w:r>
      <w:r w:rsidRPr="007F07E7">
        <w:rPr>
          <w:sz w:val="22"/>
          <w:szCs w:val="22"/>
        </w:rPr>
        <w:t xml:space="preserve"> that best describes the circuit element.  </w:t>
      </w:r>
      <w:r w:rsidRPr="007F07E7">
        <w:rPr>
          <w:i/>
          <w:sz w:val="22"/>
          <w:szCs w:val="22"/>
        </w:rPr>
        <w:t>See</w:t>
      </w:r>
      <w:r>
        <w:rPr>
          <w:sz w:val="22"/>
          <w:szCs w:val="22"/>
        </w:rPr>
        <w:t xml:space="preserve"> list of circuit elements in Q</w:t>
      </w:r>
      <w:r w:rsidRPr="007F07E7">
        <w:rPr>
          <w:sz w:val="22"/>
          <w:szCs w:val="22"/>
        </w:rPr>
        <w:t>uestion II</w:t>
      </w:r>
      <w:r>
        <w:rPr>
          <w:sz w:val="22"/>
          <w:szCs w:val="22"/>
        </w:rPr>
        <w:t>.B.6</w:t>
      </w:r>
      <w:r w:rsidRPr="007F07E7">
        <w:rPr>
          <w:sz w:val="22"/>
          <w:szCs w:val="22"/>
        </w:rPr>
        <w:t>.b.  Make every effort to assign the billed element to one of the categories listed here.  If the item billed to the customer does not fit any of these categories, this field may be left blank and the billed element can be described in the field Billing_Code_Desc_</w:t>
      </w:r>
      <w:r>
        <w:rPr>
          <w:sz w:val="22"/>
          <w:szCs w:val="22"/>
        </w:rPr>
        <w:t>Other</w:t>
      </w:r>
      <w:r w:rsidRPr="007F07E7">
        <w:rPr>
          <w:sz w:val="22"/>
          <w:szCs w:val="22"/>
        </w:rPr>
        <w:t>.  This may occur, for example, if circuits are billed as a complete package instead of on an element-by-element basis (</w:t>
      </w:r>
      <w:r w:rsidRPr="007F07E7">
        <w:rPr>
          <w:i/>
          <w:sz w:val="22"/>
          <w:szCs w:val="22"/>
        </w:rPr>
        <w:t>i.e.</w:t>
      </w:r>
      <w:r w:rsidRPr="007F07E7">
        <w:rPr>
          <w:sz w:val="22"/>
          <w:szCs w:val="22"/>
        </w:rPr>
        <w:t>, all the elements in the circuit are billed together under a single price).  In such a case, a single billing code for the circuit</w:t>
      </w:r>
      <w:r>
        <w:rPr>
          <w:sz w:val="22"/>
          <w:szCs w:val="22"/>
        </w:rPr>
        <w:t xml:space="preserve"> elements listed in Q</w:t>
      </w:r>
      <w:r w:rsidRPr="007F07E7">
        <w:rPr>
          <w:sz w:val="22"/>
          <w:szCs w:val="22"/>
        </w:rPr>
        <w:t xml:space="preserve">uestion </w:t>
      </w:r>
      <w:r>
        <w:rPr>
          <w:sz w:val="22"/>
          <w:szCs w:val="22"/>
        </w:rPr>
        <w:t>II.B.6</w:t>
      </w:r>
      <w:r w:rsidRPr="007F07E7">
        <w:rPr>
          <w:sz w:val="22"/>
          <w:szCs w:val="22"/>
        </w:rPr>
        <w:t>.b may not apply; this field may be left blank and the appropriate description of the billed item may be filled out in Billing_Code_Desc_</w:t>
      </w:r>
      <w:r>
        <w:rPr>
          <w:sz w:val="22"/>
          <w:szCs w:val="22"/>
        </w:rPr>
        <w:t>Other</w:t>
      </w:r>
      <w:r w:rsidRPr="007F07E7">
        <w:rPr>
          <w:sz w:val="22"/>
          <w:szCs w:val="22"/>
        </w:rPr>
        <w:t>.</w:t>
      </w:r>
    </w:p>
    <w:p w:rsidR="00F97D54" w:rsidRPr="007F07E7" w:rsidRDefault="00F97D54" w:rsidP="00EB5B97">
      <w:pPr>
        <w:pStyle w:val="ListParagraph"/>
        <w:rPr>
          <w:sz w:val="22"/>
          <w:szCs w:val="22"/>
        </w:rPr>
      </w:pPr>
    </w:p>
    <w:p w:rsidR="00856C67" w:rsidRDefault="00F97D54" w:rsidP="009F2B22">
      <w:pPr>
        <w:pStyle w:val="ListParagraph"/>
        <w:widowControl/>
        <w:spacing w:after="200" w:line="276" w:lineRule="auto"/>
        <w:ind w:left="0"/>
        <w:rPr>
          <w:sz w:val="22"/>
          <w:szCs w:val="22"/>
        </w:rPr>
      </w:pPr>
      <w:r w:rsidRPr="00856C67">
        <w:rPr>
          <w:sz w:val="22"/>
          <w:szCs w:val="22"/>
          <w:u w:val="single"/>
        </w:rPr>
        <w:t>Billing_Code_Desc_Other</w:t>
      </w:r>
      <w:r w:rsidRPr="00856C67">
        <w:rPr>
          <w:sz w:val="22"/>
          <w:szCs w:val="22"/>
        </w:rPr>
        <w:t>:  Enter a longer description of the circuit element.  For circuit elements categorized under one of the descriptions in Billing_Code_Description, this field is optional.  If Billing_Code_Description is left blank, this field is required.  Keep descriptions under 150 characters.</w:t>
      </w:r>
      <w:bookmarkStart w:id="124" w:name="_Toc365972112"/>
    </w:p>
    <w:p w:rsidR="00856C67" w:rsidRDefault="00856C67" w:rsidP="00856C67">
      <w:pPr>
        <w:pStyle w:val="ListParagraph"/>
        <w:spacing w:line="276" w:lineRule="auto"/>
        <w:ind w:left="0"/>
        <w:rPr>
          <w:i/>
        </w:rPr>
      </w:pPr>
    </w:p>
    <w:p w:rsidR="00F97D54" w:rsidRPr="00856C67" w:rsidRDefault="00F97D54" w:rsidP="00E9084B">
      <w:pPr>
        <w:pStyle w:val="ListParagraph"/>
        <w:spacing w:after="200" w:line="276" w:lineRule="auto"/>
        <w:ind w:left="0"/>
        <w:rPr>
          <w:i/>
        </w:rPr>
      </w:pPr>
      <w:r w:rsidRPr="00856C67">
        <w:rPr>
          <w:i/>
          <w:sz w:val="22"/>
          <w:szCs w:val="22"/>
        </w:rPr>
        <w:t>Question II.B.7:  Wire Centers - CLLI Codes - Regulatory Treatment</w:t>
      </w:r>
      <w:bookmarkEnd w:id="124"/>
    </w:p>
    <w:tbl>
      <w:tblPr>
        <w:tblW w:w="8748" w:type="dxa"/>
        <w:tblLook w:val="01E0" w:firstRow="1" w:lastRow="1" w:firstColumn="1" w:lastColumn="1" w:noHBand="0" w:noVBand="0"/>
      </w:tblPr>
      <w:tblGrid>
        <w:gridCol w:w="2679"/>
        <w:gridCol w:w="3823"/>
        <w:gridCol w:w="991"/>
        <w:gridCol w:w="1255"/>
      </w:tblGrid>
      <w:tr w:rsidR="00F97D54" w:rsidRPr="0063769F" w:rsidTr="00EB5B97">
        <w:trPr>
          <w:trHeight w:val="432"/>
          <w:tblHeader/>
        </w:trPr>
        <w:tc>
          <w:tcPr>
            <w:tcW w:w="8748" w:type="dxa"/>
            <w:gridSpan w:val="4"/>
            <w:tcBorders>
              <w:top w:val="double" w:sz="4" w:space="0" w:color="auto"/>
              <w:bottom w:val="single" w:sz="4" w:space="0" w:color="auto"/>
            </w:tcBorders>
            <w:vAlign w:val="center"/>
          </w:tcPr>
          <w:p w:rsidR="00F97D54" w:rsidRDefault="00F97D54" w:rsidP="00EB5B97">
            <w:pPr>
              <w:jc w:val="center"/>
              <w:rPr>
                <w:b/>
                <w:bCs/>
              </w:rPr>
            </w:pPr>
            <w:r w:rsidRPr="0063769F">
              <w:rPr>
                <w:b/>
              </w:rPr>
              <w:t xml:space="preserve">Table </w:t>
            </w:r>
            <w:r>
              <w:rPr>
                <w:b/>
                <w:bCs/>
              </w:rPr>
              <w:t>II.B.7</w:t>
            </w:r>
          </w:p>
          <w:p w:rsidR="00F97D54" w:rsidRPr="0063769F" w:rsidRDefault="00F97D54" w:rsidP="00EB5B97">
            <w:pPr>
              <w:jc w:val="center"/>
              <w:rPr>
                <w:b/>
              </w:rPr>
            </w:pPr>
            <w:r>
              <w:rPr>
                <w:b/>
                <w:bCs/>
              </w:rPr>
              <w:t>Record Format for Wire Centers</w:t>
            </w:r>
          </w:p>
        </w:tc>
      </w:tr>
      <w:tr w:rsidR="00F97D54" w:rsidRPr="0063769F" w:rsidTr="00EB5B97">
        <w:trPr>
          <w:trHeight w:val="432"/>
          <w:tblHeader/>
        </w:trPr>
        <w:tc>
          <w:tcPr>
            <w:tcW w:w="2679" w:type="dxa"/>
            <w:tcBorders>
              <w:top w:val="single" w:sz="4" w:space="0" w:color="auto"/>
              <w:bottom w:val="single" w:sz="4" w:space="0" w:color="auto"/>
              <w:right w:val="single" w:sz="4" w:space="0" w:color="auto"/>
            </w:tcBorders>
            <w:vAlign w:val="center"/>
          </w:tcPr>
          <w:p w:rsidR="00F97D54" w:rsidRPr="0063769F" w:rsidRDefault="00F97D54" w:rsidP="00EB5B97">
            <w:pPr>
              <w:rPr>
                <w:b/>
                <w:sz w:val="18"/>
                <w:szCs w:val="18"/>
              </w:rPr>
            </w:pPr>
            <w:r w:rsidRPr="0063769F">
              <w:rPr>
                <w:b/>
                <w:sz w:val="18"/>
                <w:szCs w:val="18"/>
              </w:rPr>
              <w:t>Field Name</w:t>
            </w:r>
          </w:p>
        </w:tc>
        <w:tc>
          <w:tcPr>
            <w:tcW w:w="3823" w:type="dxa"/>
            <w:tcBorders>
              <w:top w:val="single" w:sz="4" w:space="0" w:color="auto"/>
              <w:left w:val="single" w:sz="4" w:space="0" w:color="auto"/>
              <w:bottom w:val="single" w:sz="4" w:space="0" w:color="auto"/>
              <w:right w:val="single" w:sz="4" w:space="0" w:color="auto"/>
            </w:tcBorders>
            <w:vAlign w:val="center"/>
          </w:tcPr>
          <w:p w:rsidR="00F97D54" w:rsidRPr="0063769F" w:rsidRDefault="00F97D54" w:rsidP="00EB5B97">
            <w:pPr>
              <w:rPr>
                <w:b/>
                <w:sz w:val="18"/>
                <w:szCs w:val="18"/>
              </w:rPr>
            </w:pPr>
            <w:r w:rsidRPr="0063769F">
              <w:rPr>
                <w:b/>
                <w:sz w:val="18"/>
                <w:szCs w:val="18"/>
              </w:rPr>
              <w:t>Description</w:t>
            </w:r>
          </w:p>
        </w:tc>
        <w:tc>
          <w:tcPr>
            <w:tcW w:w="991" w:type="dxa"/>
            <w:tcBorders>
              <w:top w:val="single" w:sz="4" w:space="0" w:color="auto"/>
              <w:left w:val="single" w:sz="4" w:space="0" w:color="auto"/>
              <w:bottom w:val="single" w:sz="4" w:space="0" w:color="auto"/>
              <w:right w:val="single" w:sz="4" w:space="0" w:color="auto"/>
            </w:tcBorders>
            <w:vAlign w:val="center"/>
          </w:tcPr>
          <w:p w:rsidR="00F97D54" w:rsidRPr="0063769F" w:rsidRDefault="00F97D54" w:rsidP="00EB5B97">
            <w:pPr>
              <w:rPr>
                <w:b/>
                <w:sz w:val="18"/>
                <w:szCs w:val="18"/>
              </w:rPr>
            </w:pPr>
            <w:r w:rsidRPr="0063769F">
              <w:rPr>
                <w:b/>
                <w:sz w:val="18"/>
                <w:szCs w:val="18"/>
              </w:rPr>
              <w:t>Type</w:t>
            </w:r>
          </w:p>
        </w:tc>
        <w:tc>
          <w:tcPr>
            <w:tcW w:w="1255" w:type="dxa"/>
            <w:tcBorders>
              <w:top w:val="single" w:sz="4" w:space="0" w:color="auto"/>
              <w:left w:val="single" w:sz="4" w:space="0" w:color="auto"/>
              <w:bottom w:val="single" w:sz="4" w:space="0" w:color="auto"/>
            </w:tcBorders>
            <w:vAlign w:val="center"/>
          </w:tcPr>
          <w:p w:rsidR="00F97D54" w:rsidRPr="0063769F" w:rsidRDefault="00F97D54" w:rsidP="00EB5B97">
            <w:pPr>
              <w:ind w:right="-108"/>
              <w:rPr>
                <w:b/>
                <w:sz w:val="18"/>
                <w:szCs w:val="18"/>
              </w:rPr>
            </w:pPr>
            <w:r w:rsidRPr="0063769F">
              <w:rPr>
                <w:b/>
                <w:sz w:val="18"/>
                <w:szCs w:val="18"/>
              </w:rPr>
              <w:t>Example</w:t>
            </w:r>
          </w:p>
        </w:tc>
      </w:tr>
      <w:tr w:rsidR="00F97D54" w:rsidRPr="0063769F" w:rsidTr="00EB5B97">
        <w:trPr>
          <w:trHeight w:val="360"/>
        </w:trPr>
        <w:tc>
          <w:tcPr>
            <w:tcW w:w="2679" w:type="dxa"/>
          </w:tcPr>
          <w:p w:rsidR="00F97D54" w:rsidRDefault="00F97D54" w:rsidP="00EB5B97">
            <w:pPr>
              <w:rPr>
                <w:sz w:val="16"/>
                <w:szCs w:val="16"/>
              </w:rPr>
            </w:pPr>
          </w:p>
          <w:p w:rsidR="00F97D54" w:rsidRPr="0063769F" w:rsidRDefault="00F97D54" w:rsidP="00EB5B97">
            <w:pPr>
              <w:rPr>
                <w:sz w:val="16"/>
                <w:szCs w:val="16"/>
              </w:rPr>
            </w:pPr>
            <w:r>
              <w:rPr>
                <w:sz w:val="16"/>
                <w:szCs w:val="16"/>
              </w:rPr>
              <w:t>CLLI</w:t>
            </w:r>
          </w:p>
        </w:tc>
        <w:tc>
          <w:tcPr>
            <w:tcW w:w="3823" w:type="dxa"/>
          </w:tcPr>
          <w:p w:rsidR="00F97D54" w:rsidRDefault="00F97D54" w:rsidP="00EB5B97">
            <w:pPr>
              <w:rPr>
                <w:sz w:val="16"/>
                <w:szCs w:val="16"/>
              </w:rPr>
            </w:pPr>
          </w:p>
          <w:p w:rsidR="00F97D54" w:rsidRPr="0063769F" w:rsidRDefault="00F97D54" w:rsidP="00EB5B97">
            <w:pPr>
              <w:rPr>
                <w:sz w:val="16"/>
                <w:szCs w:val="16"/>
              </w:rPr>
            </w:pPr>
            <w:r>
              <w:rPr>
                <w:sz w:val="16"/>
                <w:szCs w:val="16"/>
              </w:rPr>
              <w:t>Telcordia-specified eight-character CLLI of the ILEC wire center / exchange area with collocation(s)</w:t>
            </w:r>
          </w:p>
        </w:tc>
        <w:tc>
          <w:tcPr>
            <w:tcW w:w="991" w:type="dxa"/>
          </w:tcPr>
          <w:p w:rsidR="00F97D54" w:rsidRDefault="00F97D54" w:rsidP="00EB5B97">
            <w:pPr>
              <w:rPr>
                <w:sz w:val="16"/>
                <w:szCs w:val="16"/>
              </w:rPr>
            </w:pPr>
          </w:p>
          <w:p w:rsidR="00F97D54" w:rsidRPr="0063769F" w:rsidRDefault="00F97D54" w:rsidP="00EB5B97">
            <w:pPr>
              <w:rPr>
                <w:sz w:val="16"/>
                <w:szCs w:val="16"/>
              </w:rPr>
            </w:pPr>
            <w:r>
              <w:rPr>
                <w:sz w:val="16"/>
                <w:szCs w:val="16"/>
              </w:rPr>
              <w:t>Text</w:t>
            </w:r>
          </w:p>
        </w:tc>
        <w:tc>
          <w:tcPr>
            <w:tcW w:w="1255" w:type="dxa"/>
          </w:tcPr>
          <w:p w:rsidR="00F97D54" w:rsidRDefault="00F97D54" w:rsidP="00EB5B97">
            <w:pPr>
              <w:rPr>
                <w:sz w:val="16"/>
                <w:szCs w:val="16"/>
              </w:rPr>
            </w:pPr>
          </w:p>
          <w:p w:rsidR="00F97D54" w:rsidRPr="0063769F" w:rsidRDefault="00F97D54" w:rsidP="00EB5B97">
            <w:pPr>
              <w:rPr>
                <w:sz w:val="16"/>
                <w:szCs w:val="16"/>
              </w:rPr>
            </w:pPr>
            <w:r>
              <w:rPr>
                <w:sz w:val="16"/>
                <w:szCs w:val="16"/>
              </w:rPr>
              <w:t>WASHDCSW</w:t>
            </w:r>
          </w:p>
        </w:tc>
      </w:tr>
      <w:tr w:rsidR="00F97D54" w:rsidRPr="0063769F" w:rsidTr="00EB5B97">
        <w:trPr>
          <w:trHeight w:val="360"/>
        </w:trPr>
        <w:tc>
          <w:tcPr>
            <w:tcW w:w="2679" w:type="dxa"/>
            <w:vAlign w:val="center"/>
          </w:tcPr>
          <w:p w:rsidR="00F97D54" w:rsidRDefault="00F97D54" w:rsidP="00EB5B97">
            <w:pPr>
              <w:rPr>
                <w:sz w:val="16"/>
                <w:szCs w:val="16"/>
              </w:rPr>
            </w:pPr>
            <w:r>
              <w:rPr>
                <w:sz w:val="16"/>
                <w:szCs w:val="16"/>
              </w:rPr>
              <w:t>Street_address</w:t>
            </w:r>
          </w:p>
        </w:tc>
        <w:tc>
          <w:tcPr>
            <w:tcW w:w="3823" w:type="dxa"/>
            <w:vAlign w:val="center"/>
          </w:tcPr>
          <w:p w:rsidR="00F97D54" w:rsidRDefault="00F97D54" w:rsidP="00EB5B97">
            <w:pPr>
              <w:rPr>
                <w:sz w:val="16"/>
                <w:szCs w:val="16"/>
              </w:rPr>
            </w:pPr>
            <w:r>
              <w:rPr>
                <w:sz w:val="16"/>
                <w:szCs w:val="16"/>
              </w:rPr>
              <w:t>Actual situs for the wire center (</w:t>
            </w:r>
            <w:r>
              <w:rPr>
                <w:i/>
                <w:sz w:val="16"/>
                <w:szCs w:val="16"/>
              </w:rPr>
              <w:t>i.e.,</w:t>
            </w:r>
            <w:r>
              <w:rPr>
                <w:sz w:val="16"/>
                <w:szCs w:val="16"/>
              </w:rPr>
              <w:t xml:space="preserve"> land were wire center is located) </w:t>
            </w:r>
          </w:p>
        </w:tc>
        <w:tc>
          <w:tcPr>
            <w:tcW w:w="991" w:type="dxa"/>
            <w:vAlign w:val="center"/>
          </w:tcPr>
          <w:p w:rsidR="00F97D54" w:rsidRDefault="00F97D54" w:rsidP="00EB5B97">
            <w:pPr>
              <w:rPr>
                <w:sz w:val="16"/>
                <w:szCs w:val="16"/>
              </w:rPr>
            </w:pPr>
            <w:r>
              <w:rPr>
                <w:sz w:val="16"/>
                <w:szCs w:val="16"/>
              </w:rPr>
              <w:t>Text</w:t>
            </w:r>
          </w:p>
        </w:tc>
        <w:tc>
          <w:tcPr>
            <w:tcW w:w="1255" w:type="dxa"/>
            <w:vAlign w:val="center"/>
          </w:tcPr>
          <w:p w:rsidR="00F97D54" w:rsidRDefault="00F97D54" w:rsidP="00EB5B97">
            <w:pPr>
              <w:rPr>
                <w:sz w:val="16"/>
                <w:szCs w:val="16"/>
              </w:rPr>
            </w:pPr>
            <w:r>
              <w:rPr>
                <w:sz w:val="16"/>
                <w:szCs w:val="16"/>
              </w:rPr>
              <w:t>445 Twelfth St SW</w:t>
            </w:r>
          </w:p>
        </w:tc>
      </w:tr>
      <w:tr w:rsidR="00F97D54" w:rsidRPr="0063769F" w:rsidTr="00EB5B97">
        <w:trPr>
          <w:trHeight w:val="360"/>
        </w:trPr>
        <w:tc>
          <w:tcPr>
            <w:tcW w:w="2679" w:type="dxa"/>
            <w:vAlign w:val="center"/>
          </w:tcPr>
          <w:p w:rsidR="00F97D54" w:rsidRDefault="00F97D54" w:rsidP="00EB5B97">
            <w:pPr>
              <w:rPr>
                <w:sz w:val="16"/>
                <w:szCs w:val="16"/>
              </w:rPr>
            </w:pPr>
            <w:r>
              <w:rPr>
                <w:sz w:val="16"/>
                <w:szCs w:val="16"/>
              </w:rPr>
              <w:t xml:space="preserve">City </w:t>
            </w:r>
          </w:p>
        </w:tc>
        <w:tc>
          <w:tcPr>
            <w:tcW w:w="3823" w:type="dxa"/>
            <w:vAlign w:val="center"/>
          </w:tcPr>
          <w:p w:rsidR="00F97D54" w:rsidRDefault="00F97D54" w:rsidP="00EB5B97">
            <w:pPr>
              <w:rPr>
                <w:sz w:val="16"/>
                <w:szCs w:val="16"/>
              </w:rPr>
            </w:pPr>
            <w:r>
              <w:rPr>
                <w:sz w:val="16"/>
                <w:szCs w:val="16"/>
              </w:rPr>
              <w:t>City of the wire center</w:t>
            </w:r>
          </w:p>
        </w:tc>
        <w:tc>
          <w:tcPr>
            <w:tcW w:w="991" w:type="dxa"/>
            <w:vAlign w:val="center"/>
          </w:tcPr>
          <w:p w:rsidR="00F97D54" w:rsidRDefault="00F97D54" w:rsidP="00EB5B97">
            <w:pPr>
              <w:rPr>
                <w:sz w:val="16"/>
                <w:szCs w:val="16"/>
              </w:rPr>
            </w:pPr>
            <w:r>
              <w:rPr>
                <w:sz w:val="16"/>
                <w:szCs w:val="16"/>
              </w:rPr>
              <w:t>Text</w:t>
            </w:r>
          </w:p>
        </w:tc>
        <w:tc>
          <w:tcPr>
            <w:tcW w:w="1255" w:type="dxa"/>
            <w:vAlign w:val="center"/>
          </w:tcPr>
          <w:p w:rsidR="00F97D54" w:rsidRDefault="00F97D54" w:rsidP="00EB5B97">
            <w:pPr>
              <w:rPr>
                <w:sz w:val="16"/>
                <w:szCs w:val="16"/>
              </w:rPr>
            </w:pPr>
            <w:r>
              <w:rPr>
                <w:sz w:val="16"/>
                <w:szCs w:val="16"/>
              </w:rPr>
              <w:t>Washington</w:t>
            </w:r>
          </w:p>
        </w:tc>
      </w:tr>
      <w:tr w:rsidR="00F97D54" w:rsidRPr="0063769F" w:rsidTr="00EB5B97">
        <w:trPr>
          <w:trHeight w:val="360"/>
        </w:trPr>
        <w:tc>
          <w:tcPr>
            <w:tcW w:w="2679" w:type="dxa"/>
            <w:vAlign w:val="center"/>
          </w:tcPr>
          <w:p w:rsidR="00F97D54" w:rsidRDefault="00F97D54" w:rsidP="00EB5B97">
            <w:pPr>
              <w:rPr>
                <w:sz w:val="16"/>
                <w:szCs w:val="16"/>
              </w:rPr>
            </w:pPr>
            <w:r>
              <w:rPr>
                <w:sz w:val="16"/>
                <w:szCs w:val="16"/>
              </w:rPr>
              <w:t>State</w:t>
            </w:r>
          </w:p>
        </w:tc>
        <w:tc>
          <w:tcPr>
            <w:tcW w:w="3823" w:type="dxa"/>
            <w:vAlign w:val="center"/>
          </w:tcPr>
          <w:p w:rsidR="00F97D54" w:rsidRDefault="00F97D54" w:rsidP="00EB5B97">
            <w:pPr>
              <w:rPr>
                <w:sz w:val="16"/>
                <w:szCs w:val="16"/>
              </w:rPr>
            </w:pPr>
            <w:r>
              <w:rPr>
                <w:sz w:val="16"/>
                <w:szCs w:val="16"/>
              </w:rPr>
              <w:t>Two-letter state postal abbreviation of the wire center</w:t>
            </w:r>
          </w:p>
        </w:tc>
        <w:tc>
          <w:tcPr>
            <w:tcW w:w="991" w:type="dxa"/>
            <w:vAlign w:val="center"/>
          </w:tcPr>
          <w:p w:rsidR="00F97D54" w:rsidRDefault="00F97D54" w:rsidP="00EB5B97">
            <w:pPr>
              <w:rPr>
                <w:sz w:val="16"/>
                <w:szCs w:val="16"/>
              </w:rPr>
            </w:pPr>
            <w:r>
              <w:rPr>
                <w:sz w:val="16"/>
                <w:szCs w:val="16"/>
              </w:rPr>
              <w:t>Text</w:t>
            </w:r>
          </w:p>
        </w:tc>
        <w:tc>
          <w:tcPr>
            <w:tcW w:w="1255" w:type="dxa"/>
            <w:vAlign w:val="center"/>
          </w:tcPr>
          <w:p w:rsidR="00F97D54" w:rsidRDefault="00F97D54" w:rsidP="00EB5B97">
            <w:pPr>
              <w:rPr>
                <w:sz w:val="16"/>
                <w:szCs w:val="16"/>
              </w:rPr>
            </w:pPr>
            <w:r>
              <w:rPr>
                <w:sz w:val="16"/>
                <w:szCs w:val="16"/>
              </w:rPr>
              <w:t>DC</w:t>
            </w:r>
          </w:p>
        </w:tc>
      </w:tr>
      <w:tr w:rsidR="00F97D54" w:rsidRPr="0063769F" w:rsidTr="00EB5B97">
        <w:trPr>
          <w:trHeight w:val="360"/>
        </w:trPr>
        <w:tc>
          <w:tcPr>
            <w:tcW w:w="2679" w:type="dxa"/>
            <w:vAlign w:val="center"/>
          </w:tcPr>
          <w:p w:rsidR="00F97D54" w:rsidRDefault="00F97D54" w:rsidP="00EB5B97">
            <w:pPr>
              <w:rPr>
                <w:sz w:val="16"/>
                <w:szCs w:val="16"/>
              </w:rPr>
            </w:pPr>
            <w:r>
              <w:rPr>
                <w:sz w:val="16"/>
                <w:szCs w:val="16"/>
              </w:rPr>
              <w:t>ZIP</w:t>
            </w:r>
          </w:p>
        </w:tc>
        <w:tc>
          <w:tcPr>
            <w:tcW w:w="3823" w:type="dxa"/>
            <w:vAlign w:val="center"/>
          </w:tcPr>
          <w:p w:rsidR="00F97D54" w:rsidRDefault="00F97D54" w:rsidP="00EB5B97">
            <w:pPr>
              <w:rPr>
                <w:sz w:val="16"/>
                <w:szCs w:val="16"/>
              </w:rPr>
            </w:pPr>
            <w:r>
              <w:rPr>
                <w:sz w:val="16"/>
                <w:szCs w:val="16"/>
              </w:rPr>
              <w:t>5-digit ZIP code (with leading zeros) of the wire center</w:t>
            </w:r>
          </w:p>
        </w:tc>
        <w:tc>
          <w:tcPr>
            <w:tcW w:w="991" w:type="dxa"/>
            <w:vAlign w:val="center"/>
          </w:tcPr>
          <w:p w:rsidR="00F97D54" w:rsidRDefault="00F97D54" w:rsidP="00EB5B97">
            <w:pPr>
              <w:rPr>
                <w:sz w:val="16"/>
                <w:szCs w:val="16"/>
              </w:rPr>
            </w:pPr>
            <w:r>
              <w:rPr>
                <w:sz w:val="16"/>
                <w:szCs w:val="16"/>
              </w:rPr>
              <w:t>Text</w:t>
            </w:r>
          </w:p>
        </w:tc>
        <w:tc>
          <w:tcPr>
            <w:tcW w:w="1255" w:type="dxa"/>
            <w:vAlign w:val="center"/>
          </w:tcPr>
          <w:p w:rsidR="00F97D54" w:rsidRDefault="00F97D54" w:rsidP="00EB5B97">
            <w:pPr>
              <w:rPr>
                <w:sz w:val="16"/>
                <w:szCs w:val="16"/>
              </w:rPr>
            </w:pPr>
            <w:r>
              <w:rPr>
                <w:sz w:val="16"/>
                <w:szCs w:val="16"/>
              </w:rPr>
              <w:t>20554</w:t>
            </w:r>
          </w:p>
        </w:tc>
      </w:tr>
      <w:tr w:rsidR="00F97D54" w:rsidRPr="0063769F" w:rsidTr="00EB5B97">
        <w:trPr>
          <w:trHeight w:val="360"/>
        </w:trPr>
        <w:tc>
          <w:tcPr>
            <w:tcW w:w="2679" w:type="dxa"/>
            <w:vAlign w:val="center"/>
          </w:tcPr>
          <w:p w:rsidR="00F97D54" w:rsidRDefault="00F97D54" w:rsidP="00EB5B97">
            <w:pPr>
              <w:rPr>
                <w:sz w:val="16"/>
                <w:szCs w:val="16"/>
              </w:rPr>
            </w:pPr>
            <w:r>
              <w:rPr>
                <w:sz w:val="16"/>
                <w:szCs w:val="16"/>
              </w:rPr>
              <w:t>ZIP4</w:t>
            </w:r>
          </w:p>
        </w:tc>
        <w:tc>
          <w:tcPr>
            <w:tcW w:w="3823" w:type="dxa"/>
            <w:vAlign w:val="center"/>
          </w:tcPr>
          <w:p w:rsidR="00F97D54" w:rsidRDefault="00F97D54" w:rsidP="00EB5B97">
            <w:pPr>
              <w:rPr>
                <w:sz w:val="16"/>
                <w:szCs w:val="16"/>
              </w:rPr>
            </w:pPr>
            <w:r>
              <w:rPr>
                <w:sz w:val="16"/>
                <w:szCs w:val="16"/>
              </w:rPr>
              <w:t>4-digit add-on code (with leading zeros) of the wire center</w:t>
            </w:r>
          </w:p>
        </w:tc>
        <w:tc>
          <w:tcPr>
            <w:tcW w:w="991" w:type="dxa"/>
            <w:vAlign w:val="center"/>
          </w:tcPr>
          <w:p w:rsidR="00F97D54" w:rsidRDefault="00F97D54" w:rsidP="00EB5B97">
            <w:pPr>
              <w:rPr>
                <w:sz w:val="16"/>
                <w:szCs w:val="16"/>
              </w:rPr>
            </w:pPr>
            <w:r>
              <w:rPr>
                <w:sz w:val="16"/>
                <w:szCs w:val="16"/>
              </w:rPr>
              <w:t>Text</w:t>
            </w:r>
          </w:p>
        </w:tc>
        <w:tc>
          <w:tcPr>
            <w:tcW w:w="1255" w:type="dxa"/>
            <w:vAlign w:val="center"/>
          </w:tcPr>
          <w:p w:rsidR="00F97D54" w:rsidRDefault="00F97D54" w:rsidP="00EB5B97">
            <w:pPr>
              <w:rPr>
                <w:sz w:val="16"/>
                <w:szCs w:val="16"/>
              </w:rPr>
            </w:pPr>
            <w:r>
              <w:rPr>
                <w:sz w:val="16"/>
                <w:szCs w:val="16"/>
              </w:rPr>
              <w:t>0000</w:t>
            </w:r>
          </w:p>
        </w:tc>
      </w:tr>
      <w:tr w:rsidR="00F97D54" w:rsidRPr="0063769F" w:rsidTr="00EB5B97">
        <w:trPr>
          <w:trHeight w:val="360"/>
        </w:trPr>
        <w:tc>
          <w:tcPr>
            <w:tcW w:w="2679" w:type="dxa"/>
            <w:vAlign w:val="center"/>
          </w:tcPr>
          <w:p w:rsidR="00F97D54" w:rsidRDefault="00F97D54" w:rsidP="00EB5B97">
            <w:pPr>
              <w:rPr>
                <w:sz w:val="16"/>
                <w:szCs w:val="16"/>
              </w:rPr>
            </w:pPr>
            <w:r>
              <w:rPr>
                <w:sz w:val="16"/>
                <w:szCs w:val="16"/>
              </w:rPr>
              <w:t>Lat</w:t>
            </w:r>
          </w:p>
        </w:tc>
        <w:tc>
          <w:tcPr>
            <w:tcW w:w="3823" w:type="dxa"/>
            <w:vAlign w:val="center"/>
          </w:tcPr>
          <w:p w:rsidR="00F97D54" w:rsidRDefault="00F97D54" w:rsidP="00EB5B97">
            <w:pPr>
              <w:rPr>
                <w:sz w:val="16"/>
                <w:szCs w:val="16"/>
              </w:rPr>
            </w:pPr>
            <w:r>
              <w:rPr>
                <w:sz w:val="16"/>
                <w:szCs w:val="16"/>
              </w:rPr>
              <w:t>Latitude</w:t>
            </w:r>
          </w:p>
        </w:tc>
        <w:tc>
          <w:tcPr>
            <w:tcW w:w="991" w:type="dxa"/>
            <w:vAlign w:val="center"/>
          </w:tcPr>
          <w:p w:rsidR="00F97D54" w:rsidRDefault="00F97D54" w:rsidP="00EB5B97">
            <w:pPr>
              <w:rPr>
                <w:sz w:val="16"/>
                <w:szCs w:val="16"/>
              </w:rPr>
            </w:pPr>
            <w:r>
              <w:rPr>
                <w:sz w:val="16"/>
                <w:szCs w:val="16"/>
              </w:rPr>
              <w:t>Float</w:t>
            </w:r>
          </w:p>
        </w:tc>
        <w:tc>
          <w:tcPr>
            <w:tcW w:w="1255" w:type="dxa"/>
            <w:vAlign w:val="center"/>
          </w:tcPr>
          <w:p w:rsidR="00F97D54" w:rsidRDefault="00F97D54" w:rsidP="00EB5B97">
            <w:pPr>
              <w:rPr>
                <w:sz w:val="16"/>
                <w:szCs w:val="16"/>
              </w:rPr>
            </w:pPr>
            <w:r>
              <w:rPr>
                <w:sz w:val="16"/>
                <w:szCs w:val="16"/>
              </w:rPr>
              <w:t>38.8835</w:t>
            </w:r>
          </w:p>
        </w:tc>
      </w:tr>
      <w:tr w:rsidR="00F97D54" w:rsidRPr="0063769F" w:rsidTr="00EB5B97">
        <w:trPr>
          <w:trHeight w:val="360"/>
        </w:trPr>
        <w:tc>
          <w:tcPr>
            <w:tcW w:w="2679" w:type="dxa"/>
            <w:vAlign w:val="center"/>
          </w:tcPr>
          <w:p w:rsidR="00F97D54" w:rsidRDefault="00F97D54" w:rsidP="00EB5B97">
            <w:pPr>
              <w:rPr>
                <w:sz w:val="16"/>
                <w:szCs w:val="16"/>
              </w:rPr>
            </w:pPr>
            <w:r>
              <w:rPr>
                <w:sz w:val="16"/>
                <w:szCs w:val="16"/>
              </w:rPr>
              <w:t>Long</w:t>
            </w:r>
          </w:p>
        </w:tc>
        <w:tc>
          <w:tcPr>
            <w:tcW w:w="3823" w:type="dxa"/>
            <w:vAlign w:val="center"/>
          </w:tcPr>
          <w:p w:rsidR="00F97D54" w:rsidRDefault="00F97D54" w:rsidP="00EB5B97">
            <w:pPr>
              <w:rPr>
                <w:sz w:val="16"/>
                <w:szCs w:val="16"/>
              </w:rPr>
            </w:pPr>
            <w:r>
              <w:rPr>
                <w:sz w:val="16"/>
                <w:szCs w:val="16"/>
              </w:rPr>
              <w:t>Longitude</w:t>
            </w:r>
          </w:p>
        </w:tc>
        <w:tc>
          <w:tcPr>
            <w:tcW w:w="991" w:type="dxa"/>
            <w:vAlign w:val="center"/>
          </w:tcPr>
          <w:p w:rsidR="00F97D54" w:rsidRDefault="00F97D54" w:rsidP="00EB5B97">
            <w:pPr>
              <w:rPr>
                <w:sz w:val="16"/>
                <w:szCs w:val="16"/>
              </w:rPr>
            </w:pPr>
            <w:r>
              <w:rPr>
                <w:sz w:val="16"/>
                <w:szCs w:val="16"/>
              </w:rPr>
              <w:t>Float</w:t>
            </w:r>
          </w:p>
        </w:tc>
        <w:tc>
          <w:tcPr>
            <w:tcW w:w="1255" w:type="dxa"/>
            <w:vAlign w:val="center"/>
          </w:tcPr>
          <w:p w:rsidR="00F97D54" w:rsidRDefault="00F97D54" w:rsidP="00EB5B97">
            <w:pPr>
              <w:rPr>
                <w:sz w:val="16"/>
                <w:szCs w:val="16"/>
              </w:rPr>
            </w:pPr>
            <w:r>
              <w:rPr>
                <w:sz w:val="16"/>
                <w:szCs w:val="16"/>
              </w:rPr>
              <w:t>-77.0280</w:t>
            </w:r>
          </w:p>
        </w:tc>
      </w:tr>
      <w:tr w:rsidR="00F97D54" w:rsidRPr="0063769F" w:rsidTr="00EB5B97">
        <w:trPr>
          <w:trHeight w:val="360"/>
        </w:trPr>
        <w:tc>
          <w:tcPr>
            <w:tcW w:w="2679" w:type="dxa"/>
            <w:tcBorders>
              <w:bottom w:val="double" w:sz="4" w:space="0" w:color="auto"/>
            </w:tcBorders>
          </w:tcPr>
          <w:p w:rsidR="00F97D54" w:rsidRDefault="00F97D54" w:rsidP="00EB5B97">
            <w:pPr>
              <w:rPr>
                <w:sz w:val="16"/>
                <w:szCs w:val="16"/>
              </w:rPr>
            </w:pPr>
          </w:p>
        </w:tc>
        <w:tc>
          <w:tcPr>
            <w:tcW w:w="3823" w:type="dxa"/>
            <w:tcBorders>
              <w:bottom w:val="double" w:sz="4" w:space="0" w:color="auto"/>
            </w:tcBorders>
          </w:tcPr>
          <w:p w:rsidR="00F97D54" w:rsidRDefault="00F97D54" w:rsidP="00EB5B97">
            <w:pPr>
              <w:rPr>
                <w:sz w:val="16"/>
                <w:szCs w:val="16"/>
              </w:rPr>
            </w:pPr>
          </w:p>
        </w:tc>
        <w:tc>
          <w:tcPr>
            <w:tcW w:w="991" w:type="dxa"/>
            <w:tcBorders>
              <w:bottom w:val="double" w:sz="4" w:space="0" w:color="auto"/>
            </w:tcBorders>
          </w:tcPr>
          <w:p w:rsidR="00F97D54" w:rsidRPr="0063769F" w:rsidRDefault="00F97D54" w:rsidP="00EB5B97">
            <w:pPr>
              <w:rPr>
                <w:sz w:val="16"/>
                <w:szCs w:val="16"/>
              </w:rPr>
            </w:pPr>
          </w:p>
        </w:tc>
        <w:tc>
          <w:tcPr>
            <w:tcW w:w="1255" w:type="dxa"/>
            <w:tcBorders>
              <w:bottom w:val="double" w:sz="4" w:space="0" w:color="auto"/>
            </w:tcBorders>
          </w:tcPr>
          <w:p w:rsidR="00F97D54" w:rsidRPr="0063769F" w:rsidRDefault="00F97D54" w:rsidP="00EB5B97">
            <w:pPr>
              <w:rPr>
                <w:sz w:val="16"/>
                <w:szCs w:val="16"/>
              </w:rPr>
            </w:pPr>
          </w:p>
        </w:tc>
      </w:tr>
    </w:tbl>
    <w:p w:rsidR="00F97D54" w:rsidRDefault="00F97D54" w:rsidP="00EB5B97"/>
    <w:p w:rsidR="00F97D54" w:rsidRDefault="00F97D54" w:rsidP="00EB5B97">
      <w:pPr>
        <w:numPr>
          <w:ilvl w:val="0"/>
          <w:numId w:val="24"/>
        </w:numPr>
        <w:rPr>
          <w:szCs w:val="22"/>
        </w:rPr>
      </w:pPr>
      <w:r w:rsidRPr="00DA6AF5">
        <w:rPr>
          <w:szCs w:val="22"/>
          <w:u w:val="single"/>
        </w:rPr>
        <w:t>Lat</w:t>
      </w:r>
      <w:r>
        <w:rPr>
          <w:szCs w:val="22"/>
          <w:u w:val="single"/>
        </w:rPr>
        <w:t>itude</w:t>
      </w:r>
      <w:r>
        <w:rPr>
          <w:szCs w:val="22"/>
        </w:rPr>
        <w:t xml:space="preserve"> and </w:t>
      </w:r>
      <w:r w:rsidRPr="00DA6AF5">
        <w:rPr>
          <w:szCs w:val="22"/>
          <w:u w:val="single"/>
        </w:rPr>
        <w:t>Long</w:t>
      </w:r>
      <w:r>
        <w:rPr>
          <w:szCs w:val="22"/>
          <w:u w:val="single"/>
        </w:rPr>
        <w:t>itude</w:t>
      </w:r>
      <w:r>
        <w:rPr>
          <w:szCs w:val="22"/>
        </w:rPr>
        <w:t xml:space="preserve">:  </w:t>
      </w:r>
      <w:r w:rsidRPr="00DA6AF5">
        <w:rPr>
          <w:szCs w:val="22"/>
        </w:rPr>
        <w:t xml:space="preserve">You </w:t>
      </w:r>
      <w:r>
        <w:rPr>
          <w:szCs w:val="22"/>
        </w:rPr>
        <w:t>can</w:t>
      </w:r>
      <w:r w:rsidRPr="00DA6AF5">
        <w:rPr>
          <w:szCs w:val="22"/>
        </w:rPr>
        <w:t xml:space="preserve"> derive the </w:t>
      </w:r>
      <w:r>
        <w:rPr>
          <w:szCs w:val="22"/>
        </w:rPr>
        <w:t>coordinate</w:t>
      </w:r>
      <w:r w:rsidRPr="00DA6AF5">
        <w:rPr>
          <w:szCs w:val="22"/>
        </w:rPr>
        <w:t xml:space="preserve"> fields for the </w:t>
      </w:r>
      <w:r>
        <w:rPr>
          <w:szCs w:val="22"/>
        </w:rPr>
        <w:t xml:space="preserve">location address </w:t>
      </w:r>
      <w:r w:rsidRPr="00DA6AF5">
        <w:rPr>
          <w:szCs w:val="22"/>
        </w:rPr>
        <w:t xml:space="preserve">from a known geocoding platform like Bing maps, Google, Yahoo, batchgeo.com, </w:t>
      </w:r>
      <w:r>
        <w:rPr>
          <w:szCs w:val="22"/>
        </w:rPr>
        <w:t xml:space="preserve">Texas A&amp;M Geoservices, </w:t>
      </w:r>
      <w:r w:rsidRPr="00DA6AF5">
        <w:rPr>
          <w:szCs w:val="22"/>
        </w:rPr>
        <w:t xml:space="preserve">or other geocoding solution.  Enter values in decimal degrees </w:t>
      </w:r>
      <w:r>
        <w:rPr>
          <w:szCs w:val="22"/>
        </w:rPr>
        <w:t xml:space="preserve">to the nearest ±0.0005, </w:t>
      </w:r>
      <w:r>
        <w:rPr>
          <w:i/>
          <w:szCs w:val="22"/>
        </w:rPr>
        <w:t>i.e.</w:t>
      </w:r>
      <w:r>
        <w:rPr>
          <w:szCs w:val="22"/>
        </w:rPr>
        <w:t>, each coordinate must end in #.###0 or #.###5</w:t>
      </w:r>
      <w:r w:rsidRPr="00DA6AF5">
        <w:rPr>
          <w:szCs w:val="22"/>
        </w:rPr>
        <w:t>.  C</w:t>
      </w:r>
      <w:r>
        <w:rPr>
          <w:szCs w:val="22"/>
        </w:rPr>
        <w:t>oordinates must be in the WGS</w:t>
      </w:r>
      <w:r w:rsidRPr="00DA6AF5">
        <w:rPr>
          <w:szCs w:val="22"/>
        </w:rPr>
        <w:t xml:space="preserve">84 </w:t>
      </w:r>
      <w:r>
        <w:rPr>
          <w:szCs w:val="22"/>
        </w:rPr>
        <w:t xml:space="preserve">or NAD83 </w:t>
      </w:r>
      <w:r w:rsidRPr="00DA6AF5">
        <w:rPr>
          <w:szCs w:val="22"/>
        </w:rPr>
        <w:t>geographic coordinate system.</w:t>
      </w:r>
    </w:p>
    <w:p w:rsidR="00F97D54" w:rsidRDefault="00F97D54" w:rsidP="00EB5B97"/>
    <w:p w:rsidR="00F97D54" w:rsidRDefault="00F97D54" w:rsidP="00587EB9">
      <w:pPr>
        <w:pStyle w:val="Heading5"/>
        <w:numPr>
          <w:ilvl w:val="0"/>
          <w:numId w:val="0"/>
        </w:numPr>
        <w:spacing w:after="220"/>
      </w:pPr>
      <w:bookmarkStart w:id="125" w:name="_Toc365972113"/>
      <w:r>
        <w:t>Revenues, Terms and Conditions Information</w:t>
      </w:r>
      <w:bookmarkEnd w:id="125"/>
    </w:p>
    <w:p w:rsidR="00F97D54" w:rsidRPr="00E9084B" w:rsidRDefault="00F97D54" w:rsidP="00E9084B">
      <w:pPr>
        <w:pStyle w:val="Heading4"/>
        <w:numPr>
          <w:ilvl w:val="0"/>
          <w:numId w:val="0"/>
        </w:numPr>
        <w:rPr>
          <w:b w:val="0"/>
          <w:i/>
        </w:rPr>
      </w:pPr>
      <w:bookmarkStart w:id="126" w:name="_Toc365972114"/>
      <w:r w:rsidRPr="00E9084B">
        <w:rPr>
          <w:b w:val="0"/>
          <w:i/>
        </w:rPr>
        <w:t>Question II.B.8:  Sales Revenues for CBDS</w:t>
      </w:r>
      <w:bookmarkEnd w:id="126"/>
    </w:p>
    <w:tbl>
      <w:tblPr>
        <w:tblW w:w="8748" w:type="dxa"/>
        <w:tblLayout w:type="fixed"/>
        <w:tblLook w:val="01E0" w:firstRow="1" w:lastRow="1" w:firstColumn="1" w:lastColumn="1" w:noHBand="0" w:noVBand="0"/>
      </w:tblPr>
      <w:tblGrid>
        <w:gridCol w:w="2448"/>
        <w:gridCol w:w="4050"/>
        <w:gridCol w:w="1260"/>
        <w:gridCol w:w="990"/>
      </w:tblGrid>
      <w:tr w:rsidR="00F97D54" w:rsidRPr="00F43280" w:rsidTr="00EB5B97">
        <w:trPr>
          <w:trHeight w:val="432"/>
          <w:tblHeader/>
        </w:trPr>
        <w:tc>
          <w:tcPr>
            <w:tcW w:w="8748" w:type="dxa"/>
            <w:gridSpan w:val="4"/>
            <w:tcBorders>
              <w:top w:val="double" w:sz="4" w:space="0" w:color="auto"/>
              <w:bottom w:val="single" w:sz="4" w:space="0" w:color="auto"/>
            </w:tcBorders>
            <w:vAlign w:val="center"/>
          </w:tcPr>
          <w:p w:rsidR="00F97D54" w:rsidRPr="00F748BC" w:rsidRDefault="00F97D54" w:rsidP="00EB5B97">
            <w:pPr>
              <w:jc w:val="center"/>
              <w:rPr>
                <w:b/>
                <w:bCs/>
                <w:szCs w:val="22"/>
              </w:rPr>
            </w:pPr>
            <w:r w:rsidRPr="00F748BC">
              <w:rPr>
                <w:b/>
                <w:bCs/>
                <w:szCs w:val="22"/>
              </w:rPr>
              <w:t>Table II.B.8</w:t>
            </w:r>
          </w:p>
          <w:p w:rsidR="00F97D54" w:rsidRPr="00F43280" w:rsidRDefault="00F97D54" w:rsidP="00EB5B97">
            <w:pPr>
              <w:jc w:val="center"/>
              <w:rPr>
                <w:rFonts w:ascii="Times New Roman Bold" w:hAnsi="Times New Roman Bold"/>
                <w:b/>
                <w:sz w:val="20"/>
              </w:rPr>
            </w:pPr>
            <w:r w:rsidRPr="00F748BC">
              <w:rPr>
                <w:b/>
                <w:bCs/>
                <w:szCs w:val="22"/>
              </w:rPr>
              <w:t xml:space="preserve">Record Format for </w:t>
            </w:r>
            <w:r w:rsidRPr="00F748BC">
              <w:rPr>
                <w:b/>
                <w:bCs/>
                <w:i/>
                <w:szCs w:val="22"/>
              </w:rPr>
              <w:t>CBDS</w:t>
            </w:r>
            <w:r w:rsidRPr="00F748BC">
              <w:rPr>
                <w:b/>
                <w:bCs/>
                <w:szCs w:val="22"/>
              </w:rPr>
              <w:t xml:space="preserve"> </w:t>
            </w:r>
            <w:r w:rsidRPr="00F748BC">
              <w:rPr>
                <w:b/>
                <w:bCs/>
                <w:i/>
                <w:szCs w:val="22"/>
              </w:rPr>
              <w:t>Revenues</w:t>
            </w:r>
          </w:p>
        </w:tc>
      </w:tr>
      <w:tr w:rsidR="00F97D54" w:rsidRPr="00F43280" w:rsidTr="00EB5B97">
        <w:trPr>
          <w:trHeight w:val="432"/>
          <w:tblHeader/>
        </w:trPr>
        <w:tc>
          <w:tcPr>
            <w:tcW w:w="2448" w:type="dxa"/>
            <w:tcBorders>
              <w:top w:val="single" w:sz="4" w:space="0" w:color="auto"/>
              <w:bottom w:val="single" w:sz="4" w:space="0" w:color="auto"/>
              <w:right w:val="single" w:sz="4" w:space="0" w:color="auto"/>
            </w:tcBorders>
            <w:vAlign w:val="center"/>
          </w:tcPr>
          <w:p w:rsidR="00F97D54" w:rsidRPr="00F43280" w:rsidRDefault="00F97D54" w:rsidP="00EB5B97">
            <w:pPr>
              <w:rPr>
                <w:b/>
                <w:sz w:val="18"/>
                <w:szCs w:val="18"/>
              </w:rPr>
            </w:pPr>
            <w:r w:rsidRPr="00F43280">
              <w:rPr>
                <w:b/>
                <w:sz w:val="18"/>
                <w:szCs w:val="18"/>
              </w:rPr>
              <w:t>Field Name</w:t>
            </w:r>
          </w:p>
        </w:tc>
        <w:tc>
          <w:tcPr>
            <w:tcW w:w="4050" w:type="dxa"/>
            <w:tcBorders>
              <w:top w:val="single" w:sz="4" w:space="0" w:color="auto"/>
              <w:left w:val="single" w:sz="4" w:space="0" w:color="auto"/>
              <w:bottom w:val="single" w:sz="4" w:space="0" w:color="auto"/>
              <w:right w:val="single" w:sz="4" w:space="0" w:color="auto"/>
            </w:tcBorders>
            <w:vAlign w:val="center"/>
          </w:tcPr>
          <w:p w:rsidR="00F97D54" w:rsidRPr="00F43280" w:rsidRDefault="00F97D54" w:rsidP="00EB5B97">
            <w:pPr>
              <w:rPr>
                <w:b/>
                <w:sz w:val="18"/>
                <w:szCs w:val="18"/>
              </w:rPr>
            </w:pPr>
            <w:r w:rsidRPr="00F43280">
              <w:rPr>
                <w:b/>
                <w:sz w:val="18"/>
                <w:szCs w:val="18"/>
              </w:rPr>
              <w:t>Description</w:t>
            </w:r>
          </w:p>
        </w:tc>
        <w:tc>
          <w:tcPr>
            <w:tcW w:w="1260" w:type="dxa"/>
            <w:tcBorders>
              <w:top w:val="single" w:sz="4" w:space="0" w:color="auto"/>
              <w:left w:val="single" w:sz="4" w:space="0" w:color="auto"/>
              <w:bottom w:val="single" w:sz="4" w:space="0" w:color="auto"/>
              <w:right w:val="single" w:sz="4" w:space="0" w:color="auto"/>
            </w:tcBorders>
            <w:vAlign w:val="center"/>
          </w:tcPr>
          <w:p w:rsidR="00F97D54" w:rsidRPr="00F43280" w:rsidRDefault="00F97D54" w:rsidP="00EB5B97">
            <w:pPr>
              <w:rPr>
                <w:b/>
                <w:sz w:val="18"/>
                <w:szCs w:val="18"/>
              </w:rPr>
            </w:pPr>
            <w:r w:rsidRPr="00F43280">
              <w:rPr>
                <w:b/>
                <w:sz w:val="18"/>
                <w:szCs w:val="18"/>
              </w:rPr>
              <w:t>Type</w:t>
            </w:r>
          </w:p>
        </w:tc>
        <w:tc>
          <w:tcPr>
            <w:tcW w:w="990" w:type="dxa"/>
            <w:tcBorders>
              <w:top w:val="single" w:sz="4" w:space="0" w:color="auto"/>
              <w:left w:val="single" w:sz="4" w:space="0" w:color="auto"/>
              <w:bottom w:val="single" w:sz="4" w:space="0" w:color="auto"/>
            </w:tcBorders>
            <w:vAlign w:val="center"/>
          </w:tcPr>
          <w:p w:rsidR="00F97D54" w:rsidRPr="00F43280" w:rsidRDefault="00F97D54" w:rsidP="00EB5B97">
            <w:pPr>
              <w:ind w:right="-108"/>
              <w:rPr>
                <w:b/>
                <w:sz w:val="18"/>
                <w:szCs w:val="18"/>
              </w:rPr>
            </w:pPr>
            <w:r w:rsidRPr="00F43280">
              <w:rPr>
                <w:b/>
                <w:sz w:val="18"/>
                <w:szCs w:val="18"/>
              </w:rPr>
              <w:t>Example</w:t>
            </w:r>
          </w:p>
        </w:tc>
      </w:tr>
      <w:tr w:rsidR="00F97D54" w:rsidRPr="00F43280" w:rsidTr="00EB5B97">
        <w:trPr>
          <w:trHeight w:val="360"/>
        </w:trPr>
        <w:tc>
          <w:tcPr>
            <w:tcW w:w="2448" w:type="dxa"/>
          </w:tcPr>
          <w:p w:rsidR="00F97D54" w:rsidRDefault="00F97D54" w:rsidP="00EB5B97">
            <w:pPr>
              <w:tabs>
                <w:tab w:val="left" w:pos="2022"/>
              </w:tabs>
              <w:rPr>
                <w:sz w:val="16"/>
                <w:szCs w:val="16"/>
              </w:rPr>
            </w:pPr>
            <w:r>
              <w:rPr>
                <w:sz w:val="16"/>
                <w:szCs w:val="16"/>
              </w:rPr>
              <w:t>Revenue</w:t>
            </w:r>
          </w:p>
        </w:tc>
        <w:tc>
          <w:tcPr>
            <w:tcW w:w="4050" w:type="dxa"/>
          </w:tcPr>
          <w:p w:rsidR="00F97D54" w:rsidRPr="00D4739B" w:rsidRDefault="00F97D54" w:rsidP="00EB5B97">
            <w:pPr>
              <w:rPr>
                <w:sz w:val="16"/>
                <w:szCs w:val="16"/>
              </w:rPr>
            </w:pPr>
            <w:r>
              <w:rPr>
                <w:sz w:val="16"/>
                <w:szCs w:val="16"/>
              </w:rPr>
              <w:t xml:space="preserve">Enter the total dollar amount of your </w:t>
            </w:r>
            <w:r>
              <w:rPr>
                <w:i/>
                <w:sz w:val="16"/>
                <w:szCs w:val="16"/>
              </w:rPr>
              <w:t>Revenues</w:t>
            </w:r>
            <w:r>
              <w:rPr>
                <w:sz w:val="16"/>
                <w:szCs w:val="16"/>
              </w:rPr>
              <w:t xml:space="preserve"> from the sale of </w:t>
            </w:r>
            <w:r w:rsidRPr="00D4739B">
              <w:rPr>
                <w:i/>
                <w:sz w:val="16"/>
                <w:szCs w:val="16"/>
              </w:rPr>
              <w:t>CBDS</w:t>
            </w:r>
            <w:r>
              <w:rPr>
                <w:sz w:val="16"/>
                <w:szCs w:val="16"/>
              </w:rPr>
              <w:t xml:space="preserve"> for the reported Year</w:t>
            </w:r>
          </w:p>
        </w:tc>
        <w:tc>
          <w:tcPr>
            <w:tcW w:w="1260" w:type="dxa"/>
          </w:tcPr>
          <w:p w:rsidR="00F97D54" w:rsidRDefault="00F97D54" w:rsidP="00EB5B97">
            <w:pPr>
              <w:rPr>
                <w:sz w:val="16"/>
                <w:szCs w:val="16"/>
              </w:rPr>
            </w:pPr>
            <w:r>
              <w:rPr>
                <w:sz w:val="16"/>
                <w:szCs w:val="16"/>
              </w:rPr>
              <w:t>Float</w:t>
            </w:r>
          </w:p>
        </w:tc>
        <w:tc>
          <w:tcPr>
            <w:tcW w:w="990" w:type="dxa"/>
          </w:tcPr>
          <w:p w:rsidR="00F97D54" w:rsidRDefault="00F97D54" w:rsidP="00EB5B97">
            <w:pPr>
              <w:rPr>
                <w:sz w:val="16"/>
                <w:szCs w:val="16"/>
              </w:rPr>
            </w:pPr>
            <w:r>
              <w:rPr>
                <w:sz w:val="16"/>
                <w:szCs w:val="16"/>
              </w:rPr>
              <w:t>123,456</w:t>
            </w:r>
          </w:p>
        </w:tc>
      </w:tr>
      <w:tr w:rsidR="00F97D54" w:rsidRPr="00F43280" w:rsidTr="00EB5B97">
        <w:trPr>
          <w:trHeight w:val="360"/>
        </w:trPr>
        <w:tc>
          <w:tcPr>
            <w:tcW w:w="2448" w:type="dxa"/>
          </w:tcPr>
          <w:p w:rsidR="00F97D54" w:rsidRDefault="00F97D54" w:rsidP="00EB5B97">
            <w:pPr>
              <w:tabs>
                <w:tab w:val="left" w:pos="2022"/>
              </w:tabs>
              <w:rPr>
                <w:sz w:val="16"/>
                <w:szCs w:val="16"/>
              </w:rPr>
            </w:pPr>
            <w:r>
              <w:rPr>
                <w:sz w:val="16"/>
                <w:szCs w:val="16"/>
              </w:rPr>
              <w:t>Service_Type</w:t>
            </w:r>
          </w:p>
        </w:tc>
        <w:tc>
          <w:tcPr>
            <w:tcW w:w="4050" w:type="dxa"/>
          </w:tcPr>
          <w:p w:rsidR="00F97D54" w:rsidRPr="00485270" w:rsidRDefault="00F97D54" w:rsidP="00EB5B97">
            <w:pPr>
              <w:rPr>
                <w:sz w:val="16"/>
                <w:szCs w:val="16"/>
              </w:rPr>
            </w:pPr>
            <w:r>
              <w:rPr>
                <w:sz w:val="16"/>
                <w:szCs w:val="16"/>
              </w:rPr>
              <w:t xml:space="preserve">Indicate the service type category for which the </w:t>
            </w:r>
            <w:r>
              <w:rPr>
                <w:i/>
                <w:sz w:val="16"/>
                <w:szCs w:val="16"/>
              </w:rPr>
              <w:t>Revenues</w:t>
            </w:r>
            <w:r>
              <w:rPr>
                <w:sz w:val="16"/>
                <w:szCs w:val="16"/>
              </w:rPr>
              <w:t xml:space="preserve"> are reported.  Enter “DS1” for </w:t>
            </w:r>
            <w:r>
              <w:rPr>
                <w:i/>
                <w:sz w:val="16"/>
                <w:szCs w:val="16"/>
              </w:rPr>
              <w:t>DS1 Revenues</w:t>
            </w:r>
            <w:r>
              <w:rPr>
                <w:sz w:val="16"/>
                <w:szCs w:val="16"/>
              </w:rPr>
              <w:t xml:space="preserve">, enter “DS3” for </w:t>
            </w:r>
            <w:r>
              <w:rPr>
                <w:i/>
                <w:sz w:val="16"/>
                <w:szCs w:val="16"/>
              </w:rPr>
              <w:t>DS3 Revenues</w:t>
            </w:r>
            <w:r>
              <w:rPr>
                <w:sz w:val="16"/>
                <w:szCs w:val="16"/>
              </w:rPr>
              <w:t xml:space="preserve">, and enter “Other” for other </w:t>
            </w:r>
            <w:r>
              <w:rPr>
                <w:i/>
                <w:sz w:val="16"/>
                <w:szCs w:val="16"/>
              </w:rPr>
              <w:t>CBDS Revenues</w:t>
            </w:r>
          </w:p>
        </w:tc>
        <w:tc>
          <w:tcPr>
            <w:tcW w:w="1260" w:type="dxa"/>
          </w:tcPr>
          <w:p w:rsidR="00F97D54" w:rsidRDefault="00F97D54" w:rsidP="00EB5B97">
            <w:pPr>
              <w:rPr>
                <w:sz w:val="16"/>
                <w:szCs w:val="16"/>
              </w:rPr>
            </w:pPr>
            <w:r>
              <w:rPr>
                <w:sz w:val="16"/>
                <w:szCs w:val="16"/>
              </w:rPr>
              <w:t>Text</w:t>
            </w:r>
          </w:p>
        </w:tc>
        <w:tc>
          <w:tcPr>
            <w:tcW w:w="990" w:type="dxa"/>
          </w:tcPr>
          <w:p w:rsidR="00F97D54" w:rsidRDefault="00F97D54" w:rsidP="00EB5B97">
            <w:pPr>
              <w:rPr>
                <w:sz w:val="16"/>
                <w:szCs w:val="16"/>
              </w:rPr>
            </w:pPr>
            <w:r>
              <w:rPr>
                <w:sz w:val="16"/>
                <w:szCs w:val="16"/>
              </w:rPr>
              <w:t>DS3</w:t>
            </w:r>
          </w:p>
        </w:tc>
      </w:tr>
      <w:tr w:rsidR="00F97D54" w:rsidRPr="00F43280" w:rsidTr="00EB5B97">
        <w:trPr>
          <w:trHeight w:val="360"/>
        </w:trPr>
        <w:tc>
          <w:tcPr>
            <w:tcW w:w="2448" w:type="dxa"/>
          </w:tcPr>
          <w:p w:rsidR="00F97D54" w:rsidRDefault="00F97D54" w:rsidP="00EB5B97">
            <w:pPr>
              <w:tabs>
                <w:tab w:val="left" w:pos="2022"/>
              </w:tabs>
              <w:rPr>
                <w:sz w:val="16"/>
                <w:szCs w:val="16"/>
              </w:rPr>
            </w:pPr>
            <w:r>
              <w:rPr>
                <w:sz w:val="16"/>
                <w:szCs w:val="16"/>
              </w:rPr>
              <w:t>Customer_Type</w:t>
            </w:r>
          </w:p>
        </w:tc>
        <w:tc>
          <w:tcPr>
            <w:tcW w:w="4050" w:type="dxa"/>
          </w:tcPr>
          <w:p w:rsidR="00F97D54" w:rsidRPr="00485270" w:rsidRDefault="00F97D54" w:rsidP="00EB5B97">
            <w:pPr>
              <w:rPr>
                <w:sz w:val="16"/>
                <w:szCs w:val="16"/>
              </w:rPr>
            </w:pPr>
            <w:r>
              <w:rPr>
                <w:sz w:val="16"/>
                <w:szCs w:val="16"/>
              </w:rPr>
              <w:t xml:space="preserve">Enter 0 if the reported </w:t>
            </w:r>
            <w:r>
              <w:rPr>
                <w:i/>
                <w:sz w:val="16"/>
                <w:szCs w:val="16"/>
              </w:rPr>
              <w:t>Revenues</w:t>
            </w:r>
            <w:r>
              <w:rPr>
                <w:sz w:val="16"/>
                <w:szCs w:val="16"/>
              </w:rPr>
              <w:t xml:space="preserve"> are for </w:t>
            </w:r>
            <w:r>
              <w:rPr>
                <w:i/>
                <w:sz w:val="16"/>
                <w:szCs w:val="16"/>
              </w:rPr>
              <w:t>End Users</w:t>
            </w:r>
            <w:r>
              <w:rPr>
                <w:sz w:val="16"/>
                <w:szCs w:val="16"/>
              </w:rPr>
              <w:t xml:space="preserve">, and enter 1 if the reported </w:t>
            </w:r>
            <w:r>
              <w:rPr>
                <w:i/>
                <w:sz w:val="16"/>
                <w:szCs w:val="16"/>
              </w:rPr>
              <w:t>Revenues</w:t>
            </w:r>
            <w:r>
              <w:rPr>
                <w:sz w:val="16"/>
                <w:szCs w:val="16"/>
              </w:rPr>
              <w:t xml:space="preserve"> are for </w:t>
            </w:r>
            <w:r>
              <w:rPr>
                <w:i/>
                <w:sz w:val="16"/>
                <w:szCs w:val="16"/>
              </w:rPr>
              <w:t>Competitive Providers</w:t>
            </w:r>
          </w:p>
        </w:tc>
        <w:tc>
          <w:tcPr>
            <w:tcW w:w="1260" w:type="dxa"/>
          </w:tcPr>
          <w:p w:rsidR="00F97D54" w:rsidRDefault="00F97D54" w:rsidP="00EB5B97">
            <w:pPr>
              <w:rPr>
                <w:sz w:val="16"/>
                <w:szCs w:val="16"/>
              </w:rPr>
            </w:pPr>
            <w:r>
              <w:rPr>
                <w:sz w:val="16"/>
                <w:szCs w:val="16"/>
              </w:rPr>
              <w:t>Binary</w:t>
            </w:r>
          </w:p>
        </w:tc>
        <w:tc>
          <w:tcPr>
            <w:tcW w:w="990" w:type="dxa"/>
          </w:tcPr>
          <w:p w:rsidR="00F97D54" w:rsidRDefault="00F97D54" w:rsidP="00EB5B97">
            <w:pPr>
              <w:rPr>
                <w:sz w:val="16"/>
                <w:szCs w:val="16"/>
              </w:rPr>
            </w:pPr>
            <w:r>
              <w:rPr>
                <w:sz w:val="16"/>
                <w:szCs w:val="16"/>
              </w:rPr>
              <w:t>1</w:t>
            </w:r>
          </w:p>
        </w:tc>
      </w:tr>
      <w:tr w:rsidR="00F97D54" w:rsidRPr="00F43280" w:rsidTr="00EB5B97">
        <w:trPr>
          <w:trHeight w:val="360"/>
        </w:trPr>
        <w:tc>
          <w:tcPr>
            <w:tcW w:w="2448" w:type="dxa"/>
            <w:tcBorders>
              <w:bottom w:val="double" w:sz="4" w:space="0" w:color="auto"/>
            </w:tcBorders>
          </w:tcPr>
          <w:p w:rsidR="00F97D54" w:rsidRDefault="00F97D54" w:rsidP="00EB5B97">
            <w:pPr>
              <w:tabs>
                <w:tab w:val="left" w:pos="2022"/>
              </w:tabs>
              <w:rPr>
                <w:sz w:val="16"/>
                <w:szCs w:val="16"/>
              </w:rPr>
            </w:pPr>
            <w:r>
              <w:rPr>
                <w:sz w:val="16"/>
                <w:szCs w:val="16"/>
              </w:rPr>
              <w:t>Year</w:t>
            </w:r>
          </w:p>
        </w:tc>
        <w:tc>
          <w:tcPr>
            <w:tcW w:w="4050" w:type="dxa"/>
            <w:tcBorders>
              <w:bottom w:val="double" w:sz="4" w:space="0" w:color="auto"/>
            </w:tcBorders>
          </w:tcPr>
          <w:p w:rsidR="00F97D54" w:rsidRPr="00485270" w:rsidRDefault="00F97D54" w:rsidP="00EB5B97">
            <w:pPr>
              <w:rPr>
                <w:sz w:val="16"/>
                <w:szCs w:val="16"/>
              </w:rPr>
            </w:pPr>
            <w:r>
              <w:rPr>
                <w:sz w:val="16"/>
                <w:szCs w:val="16"/>
              </w:rPr>
              <w:t xml:space="preserve">Enter “2010” if the reported </w:t>
            </w:r>
            <w:r>
              <w:rPr>
                <w:i/>
                <w:sz w:val="16"/>
                <w:szCs w:val="16"/>
              </w:rPr>
              <w:t>Revenues</w:t>
            </w:r>
            <w:r>
              <w:rPr>
                <w:sz w:val="16"/>
                <w:szCs w:val="16"/>
              </w:rPr>
              <w:t xml:space="preserve"> are for the year 2010, and enter “2012” if the reported </w:t>
            </w:r>
            <w:r>
              <w:rPr>
                <w:i/>
                <w:sz w:val="16"/>
                <w:szCs w:val="16"/>
              </w:rPr>
              <w:t>Revenues</w:t>
            </w:r>
            <w:r>
              <w:rPr>
                <w:sz w:val="16"/>
                <w:szCs w:val="16"/>
              </w:rPr>
              <w:t xml:space="preserve"> are for the year 2012</w:t>
            </w:r>
          </w:p>
        </w:tc>
        <w:tc>
          <w:tcPr>
            <w:tcW w:w="1260" w:type="dxa"/>
            <w:tcBorders>
              <w:bottom w:val="double" w:sz="4" w:space="0" w:color="auto"/>
            </w:tcBorders>
          </w:tcPr>
          <w:p w:rsidR="00F97D54" w:rsidRDefault="00F97D54" w:rsidP="00EB5B97">
            <w:pPr>
              <w:rPr>
                <w:sz w:val="16"/>
                <w:szCs w:val="16"/>
              </w:rPr>
            </w:pPr>
            <w:r>
              <w:rPr>
                <w:sz w:val="16"/>
                <w:szCs w:val="16"/>
              </w:rPr>
              <w:t>Integer</w:t>
            </w:r>
          </w:p>
        </w:tc>
        <w:tc>
          <w:tcPr>
            <w:tcW w:w="990" w:type="dxa"/>
            <w:tcBorders>
              <w:bottom w:val="double" w:sz="4" w:space="0" w:color="auto"/>
            </w:tcBorders>
          </w:tcPr>
          <w:p w:rsidR="00F97D54" w:rsidRDefault="00F97D54" w:rsidP="00EB5B97">
            <w:pPr>
              <w:rPr>
                <w:sz w:val="16"/>
                <w:szCs w:val="16"/>
              </w:rPr>
            </w:pPr>
            <w:r>
              <w:rPr>
                <w:sz w:val="16"/>
                <w:szCs w:val="16"/>
              </w:rPr>
              <w:t>2012</w:t>
            </w:r>
          </w:p>
        </w:tc>
      </w:tr>
    </w:tbl>
    <w:p w:rsidR="00F97D54" w:rsidRDefault="00F97D54" w:rsidP="00EB5B97">
      <w:pPr>
        <w:tabs>
          <w:tab w:val="num" w:pos="1440"/>
        </w:tabs>
        <w:rPr>
          <w:b/>
        </w:rPr>
      </w:pPr>
    </w:p>
    <w:p w:rsidR="00F97D54" w:rsidRPr="00E9084B" w:rsidRDefault="00F97D54" w:rsidP="00E9084B">
      <w:pPr>
        <w:pStyle w:val="Heading4"/>
        <w:numPr>
          <w:ilvl w:val="0"/>
          <w:numId w:val="0"/>
        </w:numPr>
        <w:rPr>
          <w:b w:val="0"/>
          <w:i/>
        </w:rPr>
      </w:pPr>
      <w:bookmarkStart w:id="127" w:name="_Toc365972115"/>
      <w:r w:rsidRPr="00E9084B">
        <w:rPr>
          <w:b w:val="0"/>
          <w:i/>
        </w:rPr>
        <w:t>Question II.B.9:  Sales Revenues for PBDS</w:t>
      </w:r>
      <w:bookmarkEnd w:id="127"/>
    </w:p>
    <w:tbl>
      <w:tblPr>
        <w:tblW w:w="8838" w:type="dxa"/>
        <w:tblLayout w:type="fixed"/>
        <w:tblLook w:val="01E0" w:firstRow="1" w:lastRow="1" w:firstColumn="1" w:lastColumn="1" w:noHBand="0" w:noVBand="0"/>
      </w:tblPr>
      <w:tblGrid>
        <w:gridCol w:w="2358"/>
        <w:gridCol w:w="4140"/>
        <w:gridCol w:w="1260"/>
        <w:gridCol w:w="990"/>
        <w:gridCol w:w="90"/>
      </w:tblGrid>
      <w:tr w:rsidR="00F97D54" w:rsidRPr="00F43280" w:rsidTr="00EB5B97">
        <w:trPr>
          <w:gridAfter w:val="1"/>
          <w:wAfter w:w="90" w:type="dxa"/>
          <w:trHeight w:val="432"/>
          <w:tblHeader/>
        </w:trPr>
        <w:tc>
          <w:tcPr>
            <w:tcW w:w="8748" w:type="dxa"/>
            <w:gridSpan w:val="4"/>
            <w:tcBorders>
              <w:top w:val="double" w:sz="4" w:space="0" w:color="auto"/>
              <w:bottom w:val="single" w:sz="4" w:space="0" w:color="auto"/>
            </w:tcBorders>
            <w:vAlign w:val="center"/>
          </w:tcPr>
          <w:p w:rsidR="00F97D54" w:rsidRPr="00F748BC" w:rsidRDefault="00F97D54" w:rsidP="00EB5B97">
            <w:pPr>
              <w:jc w:val="center"/>
              <w:rPr>
                <w:b/>
                <w:bCs/>
                <w:szCs w:val="22"/>
              </w:rPr>
            </w:pPr>
            <w:r w:rsidRPr="00F748BC">
              <w:rPr>
                <w:b/>
                <w:bCs/>
                <w:szCs w:val="22"/>
              </w:rPr>
              <w:t>Table II.B.9</w:t>
            </w:r>
          </w:p>
          <w:p w:rsidR="00F97D54" w:rsidRPr="008D6340" w:rsidRDefault="00F97D54" w:rsidP="00EB5B97">
            <w:pPr>
              <w:jc w:val="center"/>
              <w:rPr>
                <w:rFonts w:ascii="Times New Roman Bold" w:hAnsi="Times New Roman Bold"/>
                <w:b/>
                <w:sz w:val="20"/>
              </w:rPr>
            </w:pPr>
            <w:r w:rsidRPr="00F748BC">
              <w:rPr>
                <w:b/>
                <w:bCs/>
                <w:szCs w:val="22"/>
              </w:rPr>
              <w:t xml:space="preserve">Record Format for </w:t>
            </w:r>
            <w:r w:rsidRPr="00F748BC">
              <w:rPr>
                <w:b/>
                <w:bCs/>
                <w:i/>
                <w:szCs w:val="22"/>
              </w:rPr>
              <w:t>PBDS</w:t>
            </w:r>
            <w:r w:rsidRPr="00F748BC">
              <w:rPr>
                <w:b/>
                <w:bCs/>
                <w:szCs w:val="22"/>
              </w:rPr>
              <w:t xml:space="preserve"> </w:t>
            </w:r>
            <w:r w:rsidRPr="00F748BC">
              <w:rPr>
                <w:b/>
                <w:bCs/>
                <w:i/>
                <w:szCs w:val="22"/>
              </w:rPr>
              <w:t>Revenues</w:t>
            </w:r>
            <w:r>
              <w:rPr>
                <w:b/>
                <w:bCs/>
                <w:i/>
                <w:sz w:val="20"/>
              </w:rPr>
              <w:t xml:space="preserve"> </w:t>
            </w:r>
          </w:p>
        </w:tc>
      </w:tr>
      <w:tr w:rsidR="00F97D54" w:rsidRPr="00F43280" w:rsidTr="00EB5B97">
        <w:trPr>
          <w:gridAfter w:val="1"/>
          <w:wAfter w:w="90" w:type="dxa"/>
          <w:trHeight w:val="432"/>
          <w:tblHeader/>
        </w:trPr>
        <w:tc>
          <w:tcPr>
            <w:tcW w:w="2358" w:type="dxa"/>
            <w:tcBorders>
              <w:top w:val="single" w:sz="4" w:space="0" w:color="auto"/>
              <w:bottom w:val="single" w:sz="4" w:space="0" w:color="auto"/>
              <w:right w:val="single" w:sz="4" w:space="0" w:color="auto"/>
            </w:tcBorders>
            <w:vAlign w:val="center"/>
          </w:tcPr>
          <w:p w:rsidR="00F97D54" w:rsidRPr="00F43280" w:rsidRDefault="00F97D54" w:rsidP="00EB5B97">
            <w:pPr>
              <w:rPr>
                <w:b/>
                <w:sz w:val="18"/>
                <w:szCs w:val="18"/>
              </w:rPr>
            </w:pPr>
            <w:r w:rsidRPr="00F43280">
              <w:rPr>
                <w:b/>
                <w:sz w:val="18"/>
                <w:szCs w:val="18"/>
              </w:rPr>
              <w:t>Field Name</w:t>
            </w:r>
          </w:p>
        </w:tc>
        <w:tc>
          <w:tcPr>
            <w:tcW w:w="4140" w:type="dxa"/>
            <w:tcBorders>
              <w:top w:val="single" w:sz="4" w:space="0" w:color="auto"/>
              <w:left w:val="single" w:sz="4" w:space="0" w:color="auto"/>
              <w:bottom w:val="single" w:sz="4" w:space="0" w:color="auto"/>
              <w:right w:val="single" w:sz="4" w:space="0" w:color="auto"/>
            </w:tcBorders>
            <w:vAlign w:val="center"/>
          </w:tcPr>
          <w:p w:rsidR="00F97D54" w:rsidRPr="00F43280" w:rsidRDefault="00F97D54" w:rsidP="00EB5B97">
            <w:pPr>
              <w:rPr>
                <w:b/>
                <w:sz w:val="18"/>
                <w:szCs w:val="18"/>
              </w:rPr>
            </w:pPr>
            <w:r w:rsidRPr="00F43280">
              <w:rPr>
                <w:b/>
                <w:sz w:val="18"/>
                <w:szCs w:val="18"/>
              </w:rPr>
              <w:t>Description</w:t>
            </w:r>
          </w:p>
        </w:tc>
        <w:tc>
          <w:tcPr>
            <w:tcW w:w="1260" w:type="dxa"/>
            <w:tcBorders>
              <w:top w:val="single" w:sz="4" w:space="0" w:color="auto"/>
              <w:left w:val="single" w:sz="4" w:space="0" w:color="auto"/>
              <w:bottom w:val="single" w:sz="4" w:space="0" w:color="auto"/>
              <w:right w:val="single" w:sz="4" w:space="0" w:color="auto"/>
            </w:tcBorders>
            <w:vAlign w:val="center"/>
          </w:tcPr>
          <w:p w:rsidR="00F97D54" w:rsidRPr="00F43280" w:rsidRDefault="00F97D54" w:rsidP="00EB5B97">
            <w:pPr>
              <w:rPr>
                <w:b/>
                <w:sz w:val="18"/>
                <w:szCs w:val="18"/>
              </w:rPr>
            </w:pPr>
            <w:r w:rsidRPr="00F43280">
              <w:rPr>
                <w:b/>
                <w:sz w:val="18"/>
                <w:szCs w:val="18"/>
              </w:rPr>
              <w:t>Type</w:t>
            </w:r>
          </w:p>
        </w:tc>
        <w:tc>
          <w:tcPr>
            <w:tcW w:w="990" w:type="dxa"/>
            <w:tcBorders>
              <w:top w:val="single" w:sz="4" w:space="0" w:color="auto"/>
              <w:left w:val="single" w:sz="4" w:space="0" w:color="auto"/>
              <w:bottom w:val="single" w:sz="4" w:space="0" w:color="auto"/>
            </w:tcBorders>
            <w:vAlign w:val="center"/>
          </w:tcPr>
          <w:p w:rsidR="00F97D54" w:rsidRPr="00F43280" w:rsidRDefault="00F97D54" w:rsidP="00EB5B97">
            <w:pPr>
              <w:ind w:right="-108"/>
              <w:rPr>
                <w:b/>
                <w:sz w:val="18"/>
                <w:szCs w:val="18"/>
              </w:rPr>
            </w:pPr>
            <w:r w:rsidRPr="00F43280">
              <w:rPr>
                <w:b/>
                <w:sz w:val="18"/>
                <w:szCs w:val="18"/>
              </w:rPr>
              <w:t>Example</w:t>
            </w:r>
          </w:p>
        </w:tc>
      </w:tr>
      <w:tr w:rsidR="00F97D54" w:rsidTr="00EB5B97">
        <w:trPr>
          <w:trHeight w:val="360"/>
        </w:trPr>
        <w:tc>
          <w:tcPr>
            <w:tcW w:w="2358" w:type="dxa"/>
          </w:tcPr>
          <w:p w:rsidR="00F97D54" w:rsidRDefault="00F97D54" w:rsidP="00EB5B97">
            <w:pPr>
              <w:tabs>
                <w:tab w:val="left" w:pos="2022"/>
              </w:tabs>
              <w:rPr>
                <w:sz w:val="16"/>
                <w:szCs w:val="16"/>
              </w:rPr>
            </w:pPr>
            <w:r>
              <w:rPr>
                <w:sz w:val="16"/>
                <w:szCs w:val="16"/>
              </w:rPr>
              <w:t>Revenue</w:t>
            </w:r>
          </w:p>
        </w:tc>
        <w:tc>
          <w:tcPr>
            <w:tcW w:w="4140" w:type="dxa"/>
          </w:tcPr>
          <w:p w:rsidR="00F97D54" w:rsidRPr="00D4739B" w:rsidRDefault="00F97D54" w:rsidP="00EB5B97">
            <w:pPr>
              <w:rPr>
                <w:sz w:val="16"/>
                <w:szCs w:val="16"/>
              </w:rPr>
            </w:pPr>
            <w:r>
              <w:rPr>
                <w:sz w:val="16"/>
                <w:szCs w:val="16"/>
              </w:rPr>
              <w:t xml:space="preserve">Enter the total dollar amount of your </w:t>
            </w:r>
            <w:r w:rsidRPr="00626E23">
              <w:rPr>
                <w:i/>
                <w:sz w:val="16"/>
                <w:szCs w:val="16"/>
              </w:rPr>
              <w:t>Revenues</w:t>
            </w:r>
            <w:r>
              <w:rPr>
                <w:sz w:val="16"/>
                <w:szCs w:val="16"/>
              </w:rPr>
              <w:t xml:space="preserve"> from the sale of </w:t>
            </w:r>
            <w:r w:rsidRPr="00D4739B">
              <w:rPr>
                <w:i/>
                <w:sz w:val="16"/>
                <w:szCs w:val="16"/>
              </w:rPr>
              <w:t>PBDS</w:t>
            </w:r>
            <w:r>
              <w:rPr>
                <w:sz w:val="16"/>
                <w:szCs w:val="16"/>
              </w:rPr>
              <w:t xml:space="preserve"> for the reported Year</w:t>
            </w:r>
          </w:p>
        </w:tc>
        <w:tc>
          <w:tcPr>
            <w:tcW w:w="1260" w:type="dxa"/>
          </w:tcPr>
          <w:p w:rsidR="00F97D54" w:rsidRDefault="00F97D54" w:rsidP="00EB5B97">
            <w:pPr>
              <w:rPr>
                <w:sz w:val="16"/>
                <w:szCs w:val="16"/>
              </w:rPr>
            </w:pPr>
            <w:r>
              <w:rPr>
                <w:sz w:val="16"/>
                <w:szCs w:val="16"/>
              </w:rPr>
              <w:t>Float</w:t>
            </w:r>
          </w:p>
        </w:tc>
        <w:tc>
          <w:tcPr>
            <w:tcW w:w="1080" w:type="dxa"/>
            <w:gridSpan w:val="2"/>
          </w:tcPr>
          <w:p w:rsidR="00F97D54" w:rsidRDefault="00F97D54" w:rsidP="00EB5B97">
            <w:pPr>
              <w:rPr>
                <w:sz w:val="16"/>
                <w:szCs w:val="16"/>
              </w:rPr>
            </w:pPr>
            <w:r>
              <w:rPr>
                <w:sz w:val="16"/>
                <w:szCs w:val="16"/>
              </w:rPr>
              <w:t>123,456</w:t>
            </w:r>
          </w:p>
        </w:tc>
      </w:tr>
      <w:tr w:rsidR="00F97D54" w:rsidTr="00EB5B97">
        <w:trPr>
          <w:trHeight w:val="360"/>
        </w:trPr>
        <w:tc>
          <w:tcPr>
            <w:tcW w:w="2358" w:type="dxa"/>
          </w:tcPr>
          <w:p w:rsidR="00F97D54" w:rsidRDefault="00F97D54" w:rsidP="00EB5B97">
            <w:pPr>
              <w:tabs>
                <w:tab w:val="left" w:pos="2022"/>
              </w:tabs>
              <w:rPr>
                <w:sz w:val="16"/>
                <w:szCs w:val="16"/>
              </w:rPr>
            </w:pPr>
            <w:r>
              <w:rPr>
                <w:sz w:val="16"/>
                <w:szCs w:val="16"/>
              </w:rPr>
              <w:t>Bandwidth</w:t>
            </w:r>
          </w:p>
        </w:tc>
        <w:tc>
          <w:tcPr>
            <w:tcW w:w="4140" w:type="dxa"/>
          </w:tcPr>
          <w:p w:rsidR="00F97D54" w:rsidRPr="008C2601" w:rsidRDefault="00F97D54" w:rsidP="00EB5B97">
            <w:pPr>
              <w:rPr>
                <w:sz w:val="16"/>
                <w:szCs w:val="16"/>
              </w:rPr>
            </w:pPr>
            <w:r>
              <w:rPr>
                <w:sz w:val="16"/>
                <w:szCs w:val="16"/>
              </w:rPr>
              <w:t xml:space="preserve">Indicate the bandwidth category for which the </w:t>
            </w:r>
            <w:r w:rsidRPr="00626E23">
              <w:rPr>
                <w:i/>
                <w:sz w:val="16"/>
                <w:szCs w:val="16"/>
              </w:rPr>
              <w:t>Revenues</w:t>
            </w:r>
            <w:r>
              <w:rPr>
                <w:sz w:val="16"/>
                <w:szCs w:val="16"/>
              </w:rPr>
              <w:t xml:space="preserve"> are reported.  Enter “A” for bandwidth less than or equal to 1.5 Mbps, enter “B” for bandwidth greater than 1.5 Mbps but less than or equal to 50 Mbps, enter “C” for bandwidth greater than 50 Mbps but less than or equal to 100 Mbps, enter “D” for bandwidth greater than 100 Mbps but less than or equal to 1 Gbps, and enter “E” for bandwidth greater than 1 Gbps</w:t>
            </w:r>
          </w:p>
        </w:tc>
        <w:tc>
          <w:tcPr>
            <w:tcW w:w="1260" w:type="dxa"/>
          </w:tcPr>
          <w:p w:rsidR="00F97D54" w:rsidRDefault="00F97D54" w:rsidP="00EB5B97">
            <w:pPr>
              <w:rPr>
                <w:sz w:val="16"/>
                <w:szCs w:val="16"/>
              </w:rPr>
            </w:pPr>
            <w:r>
              <w:rPr>
                <w:sz w:val="16"/>
                <w:szCs w:val="16"/>
              </w:rPr>
              <w:t>Text</w:t>
            </w:r>
          </w:p>
        </w:tc>
        <w:tc>
          <w:tcPr>
            <w:tcW w:w="1080" w:type="dxa"/>
            <w:gridSpan w:val="2"/>
          </w:tcPr>
          <w:p w:rsidR="00F97D54" w:rsidRDefault="00F97D54" w:rsidP="00EB5B97">
            <w:pPr>
              <w:rPr>
                <w:sz w:val="16"/>
                <w:szCs w:val="16"/>
              </w:rPr>
            </w:pPr>
            <w:r>
              <w:rPr>
                <w:sz w:val="16"/>
                <w:szCs w:val="16"/>
              </w:rPr>
              <w:t>D</w:t>
            </w:r>
          </w:p>
        </w:tc>
      </w:tr>
      <w:tr w:rsidR="00F97D54" w:rsidTr="00EB5B97">
        <w:trPr>
          <w:trHeight w:val="360"/>
        </w:trPr>
        <w:tc>
          <w:tcPr>
            <w:tcW w:w="2358" w:type="dxa"/>
          </w:tcPr>
          <w:p w:rsidR="00F97D54" w:rsidRDefault="00F97D54" w:rsidP="00EB5B97">
            <w:pPr>
              <w:tabs>
                <w:tab w:val="left" w:pos="2022"/>
              </w:tabs>
              <w:rPr>
                <w:sz w:val="16"/>
                <w:szCs w:val="16"/>
              </w:rPr>
            </w:pPr>
            <w:r>
              <w:rPr>
                <w:sz w:val="16"/>
                <w:szCs w:val="16"/>
              </w:rPr>
              <w:t>Customer_Type</w:t>
            </w:r>
          </w:p>
        </w:tc>
        <w:tc>
          <w:tcPr>
            <w:tcW w:w="4140" w:type="dxa"/>
          </w:tcPr>
          <w:p w:rsidR="00F97D54" w:rsidRPr="005D261F" w:rsidRDefault="00F97D54" w:rsidP="00EB5B97">
            <w:pPr>
              <w:rPr>
                <w:sz w:val="16"/>
                <w:szCs w:val="16"/>
              </w:rPr>
            </w:pPr>
            <w:r>
              <w:rPr>
                <w:sz w:val="16"/>
                <w:szCs w:val="16"/>
              </w:rPr>
              <w:t xml:space="preserve">Enter 0 if the reported </w:t>
            </w:r>
            <w:r w:rsidRPr="00626E23">
              <w:rPr>
                <w:i/>
                <w:sz w:val="16"/>
                <w:szCs w:val="16"/>
              </w:rPr>
              <w:t>Revenues</w:t>
            </w:r>
            <w:r>
              <w:rPr>
                <w:sz w:val="16"/>
                <w:szCs w:val="16"/>
              </w:rPr>
              <w:t xml:space="preserve"> are for </w:t>
            </w:r>
            <w:r w:rsidRPr="00626E23">
              <w:rPr>
                <w:i/>
                <w:sz w:val="16"/>
                <w:szCs w:val="16"/>
              </w:rPr>
              <w:t>End Users</w:t>
            </w:r>
            <w:r>
              <w:rPr>
                <w:sz w:val="16"/>
                <w:szCs w:val="16"/>
              </w:rPr>
              <w:t xml:space="preserve">, and enter 1 if the reported </w:t>
            </w:r>
            <w:r w:rsidRPr="00626E23">
              <w:rPr>
                <w:i/>
                <w:sz w:val="16"/>
                <w:szCs w:val="16"/>
              </w:rPr>
              <w:t>Revenues</w:t>
            </w:r>
            <w:r>
              <w:rPr>
                <w:sz w:val="16"/>
                <w:szCs w:val="16"/>
              </w:rPr>
              <w:t xml:space="preserve"> are for </w:t>
            </w:r>
            <w:r>
              <w:rPr>
                <w:i/>
                <w:sz w:val="16"/>
                <w:szCs w:val="16"/>
              </w:rPr>
              <w:t xml:space="preserve">Competitive </w:t>
            </w:r>
            <w:r w:rsidRPr="00626E23">
              <w:rPr>
                <w:i/>
                <w:sz w:val="16"/>
                <w:szCs w:val="16"/>
              </w:rPr>
              <w:t>Providers</w:t>
            </w:r>
          </w:p>
        </w:tc>
        <w:tc>
          <w:tcPr>
            <w:tcW w:w="1260" w:type="dxa"/>
          </w:tcPr>
          <w:p w:rsidR="00F97D54" w:rsidRDefault="00F97D54" w:rsidP="00EB5B97">
            <w:pPr>
              <w:rPr>
                <w:sz w:val="16"/>
                <w:szCs w:val="16"/>
              </w:rPr>
            </w:pPr>
            <w:r>
              <w:rPr>
                <w:sz w:val="16"/>
                <w:szCs w:val="16"/>
              </w:rPr>
              <w:t>Binary</w:t>
            </w:r>
          </w:p>
        </w:tc>
        <w:tc>
          <w:tcPr>
            <w:tcW w:w="1080" w:type="dxa"/>
            <w:gridSpan w:val="2"/>
          </w:tcPr>
          <w:p w:rsidR="00F97D54" w:rsidRDefault="00F97D54" w:rsidP="00EB5B97">
            <w:pPr>
              <w:rPr>
                <w:sz w:val="16"/>
                <w:szCs w:val="16"/>
              </w:rPr>
            </w:pPr>
            <w:r>
              <w:rPr>
                <w:sz w:val="16"/>
                <w:szCs w:val="16"/>
              </w:rPr>
              <w:t>1</w:t>
            </w:r>
          </w:p>
        </w:tc>
      </w:tr>
      <w:tr w:rsidR="00F97D54" w:rsidTr="00EB5B97">
        <w:trPr>
          <w:trHeight w:val="360"/>
        </w:trPr>
        <w:tc>
          <w:tcPr>
            <w:tcW w:w="2358" w:type="dxa"/>
            <w:tcBorders>
              <w:bottom w:val="double" w:sz="4" w:space="0" w:color="auto"/>
            </w:tcBorders>
          </w:tcPr>
          <w:p w:rsidR="00F97D54" w:rsidRDefault="00F97D54" w:rsidP="00EB5B97">
            <w:pPr>
              <w:tabs>
                <w:tab w:val="left" w:pos="2022"/>
              </w:tabs>
              <w:rPr>
                <w:sz w:val="16"/>
                <w:szCs w:val="16"/>
              </w:rPr>
            </w:pPr>
            <w:r>
              <w:rPr>
                <w:sz w:val="16"/>
                <w:szCs w:val="16"/>
              </w:rPr>
              <w:t>Year</w:t>
            </w:r>
          </w:p>
        </w:tc>
        <w:tc>
          <w:tcPr>
            <w:tcW w:w="4140" w:type="dxa"/>
            <w:tcBorders>
              <w:bottom w:val="double" w:sz="4" w:space="0" w:color="auto"/>
            </w:tcBorders>
          </w:tcPr>
          <w:p w:rsidR="00F97D54" w:rsidRPr="0098143C" w:rsidRDefault="00F97D54" w:rsidP="00EB5B97">
            <w:pPr>
              <w:rPr>
                <w:sz w:val="16"/>
                <w:szCs w:val="16"/>
              </w:rPr>
            </w:pPr>
            <w:r>
              <w:rPr>
                <w:sz w:val="16"/>
                <w:szCs w:val="16"/>
              </w:rPr>
              <w:t xml:space="preserve">Enter “2010” if the reported </w:t>
            </w:r>
            <w:r w:rsidRPr="00626E23">
              <w:rPr>
                <w:i/>
                <w:sz w:val="16"/>
                <w:szCs w:val="16"/>
              </w:rPr>
              <w:t>Revenues</w:t>
            </w:r>
            <w:r>
              <w:rPr>
                <w:sz w:val="16"/>
                <w:szCs w:val="16"/>
              </w:rPr>
              <w:t xml:space="preserve"> are for the year 2010, and enter “2012” if the reported </w:t>
            </w:r>
            <w:r w:rsidRPr="00626E23">
              <w:rPr>
                <w:i/>
                <w:sz w:val="16"/>
                <w:szCs w:val="16"/>
              </w:rPr>
              <w:t>Revenues</w:t>
            </w:r>
            <w:r>
              <w:rPr>
                <w:sz w:val="16"/>
                <w:szCs w:val="16"/>
              </w:rPr>
              <w:t xml:space="preserve"> are for the year 2012</w:t>
            </w:r>
          </w:p>
        </w:tc>
        <w:tc>
          <w:tcPr>
            <w:tcW w:w="1260" w:type="dxa"/>
            <w:tcBorders>
              <w:bottom w:val="double" w:sz="4" w:space="0" w:color="auto"/>
            </w:tcBorders>
          </w:tcPr>
          <w:p w:rsidR="00F97D54" w:rsidRDefault="00F97D54" w:rsidP="00EB5B97">
            <w:pPr>
              <w:rPr>
                <w:sz w:val="16"/>
                <w:szCs w:val="16"/>
              </w:rPr>
            </w:pPr>
            <w:r>
              <w:rPr>
                <w:sz w:val="16"/>
                <w:szCs w:val="16"/>
              </w:rPr>
              <w:t>Integer</w:t>
            </w:r>
          </w:p>
        </w:tc>
        <w:tc>
          <w:tcPr>
            <w:tcW w:w="1080" w:type="dxa"/>
            <w:gridSpan w:val="2"/>
            <w:tcBorders>
              <w:bottom w:val="double" w:sz="4" w:space="0" w:color="auto"/>
            </w:tcBorders>
          </w:tcPr>
          <w:p w:rsidR="00F97D54" w:rsidRDefault="00F97D54" w:rsidP="00EB5B97">
            <w:pPr>
              <w:rPr>
                <w:sz w:val="16"/>
                <w:szCs w:val="16"/>
              </w:rPr>
            </w:pPr>
            <w:r>
              <w:rPr>
                <w:sz w:val="16"/>
                <w:szCs w:val="16"/>
              </w:rPr>
              <w:t>2012</w:t>
            </w:r>
          </w:p>
        </w:tc>
      </w:tr>
    </w:tbl>
    <w:p w:rsidR="00F97D54" w:rsidRPr="00E9084B" w:rsidRDefault="00F97D54" w:rsidP="00EB5B97">
      <w:pPr>
        <w:tabs>
          <w:tab w:val="num" w:pos="1440"/>
        </w:tabs>
        <w:rPr>
          <w:i/>
        </w:rPr>
      </w:pPr>
    </w:p>
    <w:p w:rsidR="00F97D54" w:rsidRPr="00E9084B" w:rsidRDefault="00F97D54" w:rsidP="00E9084B">
      <w:pPr>
        <w:pStyle w:val="Heading4"/>
        <w:numPr>
          <w:ilvl w:val="0"/>
          <w:numId w:val="0"/>
        </w:numPr>
        <w:rPr>
          <w:b w:val="0"/>
          <w:i/>
        </w:rPr>
      </w:pPr>
      <w:bookmarkStart w:id="128" w:name="_Toc365972116"/>
      <w:r w:rsidRPr="00E9084B">
        <w:rPr>
          <w:b w:val="0"/>
          <w:i/>
        </w:rPr>
        <w:t>Question II.B.10:  Revenues from One Month Term Only Rates</w:t>
      </w:r>
      <w:bookmarkEnd w:id="128"/>
    </w:p>
    <w:tbl>
      <w:tblPr>
        <w:tblW w:w="8842" w:type="dxa"/>
        <w:tblLook w:val="01E0" w:firstRow="1" w:lastRow="1" w:firstColumn="1" w:lastColumn="1" w:noHBand="0" w:noVBand="0"/>
      </w:tblPr>
      <w:tblGrid>
        <w:gridCol w:w="2268"/>
        <w:gridCol w:w="4230"/>
        <w:gridCol w:w="1260"/>
        <w:gridCol w:w="1084"/>
      </w:tblGrid>
      <w:tr w:rsidR="00F97D54" w:rsidTr="00EB5B97">
        <w:trPr>
          <w:trHeight w:val="357"/>
          <w:tblHeader/>
        </w:trPr>
        <w:tc>
          <w:tcPr>
            <w:tcW w:w="8842" w:type="dxa"/>
            <w:gridSpan w:val="4"/>
            <w:tcBorders>
              <w:top w:val="double" w:sz="4" w:space="0" w:color="auto"/>
              <w:bottom w:val="single" w:sz="4" w:space="0" w:color="auto"/>
            </w:tcBorders>
            <w:vAlign w:val="center"/>
          </w:tcPr>
          <w:p w:rsidR="00F97D54" w:rsidRDefault="00F97D54" w:rsidP="00EB5B97">
            <w:pPr>
              <w:jc w:val="center"/>
              <w:rPr>
                <w:b/>
                <w:szCs w:val="22"/>
              </w:rPr>
            </w:pPr>
            <w:r>
              <w:rPr>
                <w:b/>
                <w:szCs w:val="22"/>
              </w:rPr>
              <w:t xml:space="preserve">Table II.B.10 </w:t>
            </w:r>
          </w:p>
          <w:p w:rsidR="00F97D54" w:rsidRPr="00886F07" w:rsidRDefault="00F97D54" w:rsidP="00EB5B97">
            <w:pPr>
              <w:jc w:val="center"/>
              <w:rPr>
                <w:b/>
                <w:szCs w:val="22"/>
              </w:rPr>
            </w:pPr>
            <w:r>
              <w:rPr>
                <w:b/>
                <w:szCs w:val="22"/>
              </w:rPr>
              <w:t xml:space="preserve">Record Format </w:t>
            </w:r>
            <w:r w:rsidRPr="00BA65DC">
              <w:rPr>
                <w:b/>
                <w:i/>
                <w:szCs w:val="22"/>
              </w:rPr>
              <w:t>Revenues</w:t>
            </w:r>
            <w:r>
              <w:rPr>
                <w:b/>
                <w:szCs w:val="22"/>
              </w:rPr>
              <w:t xml:space="preserve"> from </w:t>
            </w:r>
            <w:r w:rsidRPr="00BA65DC">
              <w:rPr>
                <w:b/>
                <w:i/>
                <w:szCs w:val="22"/>
              </w:rPr>
              <w:t>One Month Term Only Rates</w:t>
            </w:r>
          </w:p>
        </w:tc>
      </w:tr>
      <w:tr w:rsidR="00F97D54" w:rsidTr="00EB5B97">
        <w:trPr>
          <w:trHeight w:val="359"/>
          <w:tblHeader/>
        </w:trPr>
        <w:tc>
          <w:tcPr>
            <w:tcW w:w="2268" w:type="dxa"/>
            <w:tcBorders>
              <w:top w:val="single" w:sz="4" w:space="0" w:color="auto"/>
              <w:bottom w:val="single" w:sz="4" w:space="0" w:color="auto"/>
              <w:right w:val="single" w:sz="4" w:space="0" w:color="auto"/>
            </w:tcBorders>
            <w:vAlign w:val="center"/>
          </w:tcPr>
          <w:p w:rsidR="00F97D54" w:rsidRDefault="00F97D54" w:rsidP="00EB5B97">
            <w:pPr>
              <w:rPr>
                <w:b/>
                <w:sz w:val="18"/>
                <w:szCs w:val="18"/>
              </w:rPr>
            </w:pPr>
            <w:r>
              <w:rPr>
                <w:b/>
                <w:sz w:val="18"/>
                <w:szCs w:val="18"/>
              </w:rPr>
              <w:t>Field Name</w:t>
            </w:r>
          </w:p>
        </w:tc>
        <w:tc>
          <w:tcPr>
            <w:tcW w:w="4230" w:type="dxa"/>
            <w:tcBorders>
              <w:top w:val="single" w:sz="4" w:space="0" w:color="auto"/>
              <w:left w:val="single" w:sz="4" w:space="0" w:color="auto"/>
              <w:bottom w:val="single" w:sz="4" w:space="0" w:color="auto"/>
              <w:right w:val="single" w:sz="4" w:space="0" w:color="auto"/>
            </w:tcBorders>
            <w:vAlign w:val="center"/>
          </w:tcPr>
          <w:p w:rsidR="00F97D54" w:rsidRDefault="00F97D54" w:rsidP="00EB5B97">
            <w:pPr>
              <w:rPr>
                <w:b/>
                <w:sz w:val="18"/>
                <w:szCs w:val="18"/>
              </w:rPr>
            </w:pPr>
            <w:r>
              <w:rPr>
                <w:b/>
                <w:sz w:val="18"/>
                <w:szCs w:val="18"/>
              </w:rPr>
              <w:t>Description</w:t>
            </w:r>
          </w:p>
        </w:tc>
        <w:tc>
          <w:tcPr>
            <w:tcW w:w="1260" w:type="dxa"/>
            <w:tcBorders>
              <w:top w:val="single" w:sz="4" w:space="0" w:color="auto"/>
              <w:left w:val="single" w:sz="4" w:space="0" w:color="auto"/>
              <w:bottom w:val="single" w:sz="4" w:space="0" w:color="auto"/>
              <w:right w:val="single" w:sz="4" w:space="0" w:color="auto"/>
            </w:tcBorders>
            <w:vAlign w:val="center"/>
          </w:tcPr>
          <w:p w:rsidR="00F97D54" w:rsidRDefault="00F97D54" w:rsidP="00EB5B97">
            <w:pPr>
              <w:rPr>
                <w:b/>
                <w:sz w:val="18"/>
                <w:szCs w:val="18"/>
              </w:rPr>
            </w:pPr>
            <w:r>
              <w:rPr>
                <w:b/>
                <w:sz w:val="18"/>
                <w:szCs w:val="18"/>
              </w:rPr>
              <w:t>Type</w:t>
            </w:r>
          </w:p>
        </w:tc>
        <w:tc>
          <w:tcPr>
            <w:tcW w:w="1084" w:type="dxa"/>
            <w:tcBorders>
              <w:top w:val="single" w:sz="4" w:space="0" w:color="auto"/>
              <w:left w:val="single" w:sz="4" w:space="0" w:color="auto"/>
              <w:bottom w:val="single" w:sz="4" w:space="0" w:color="auto"/>
            </w:tcBorders>
            <w:vAlign w:val="center"/>
          </w:tcPr>
          <w:p w:rsidR="00F97D54" w:rsidRDefault="00F97D54" w:rsidP="00EB5B97">
            <w:pPr>
              <w:ind w:right="-108"/>
              <w:rPr>
                <w:b/>
                <w:sz w:val="18"/>
                <w:szCs w:val="18"/>
              </w:rPr>
            </w:pPr>
            <w:r>
              <w:rPr>
                <w:b/>
                <w:sz w:val="18"/>
                <w:szCs w:val="18"/>
              </w:rPr>
              <w:t>Example</w:t>
            </w:r>
          </w:p>
        </w:tc>
      </w:tr>
      <w:tr w:rsidR="00F97D54" w:rsidTr="00EB5B97">
        <w:trPr>
          <w:trHeight w:val="432"/>
        </w:trPr>
        <w:tc>
          <w:tcPr>
            <w:tcW w:w="2268" w:type="dxa"/>
            <w:vAlign w:val="center"/>
          </w:tcPr>
          <w:p w:rsidR="00F97D54" w:rsidRDefault="00F97D54" w:rsidP="00EB5B97">
            <w:pPr>
              <w:rPr>
                <w:sz w:val="16"/>
                <w:szCs w:val="16"/>
              </w:rPr>
            </w:pPr>
            <w:r>
              <w:rPr>
                <w:sz w:val="16"/>
                <w:szCs w:val="16"/>
              </w:rPr>
              <w:t>Revenues</w:t>
            </w:r>
          </w:p>
        </w:tc>
        <w:tc>
          <w:tcPr>
            <w:tcW w:w="4230" w:type="dxa"/>
            <w:vAlign w:val="center"/>
          </w:tcPr>
          <w:p w:rsidR="00F97D54" w:rsidRPr="00594FBD" w:rsidRDefault="00F97D54" w:rsidP="00EB5B97">
            <w:pPr>
              <w:rPr>
                <w:sz w:val="16"/>
                <w:szCs w:val="16"/>
              </w:rPr>
            </w:pPr>
            <w:r>
              <w:rPr>
                <w:sz w:val="16"/>
                <w:szCs w:val="16"/>
              </w:rPr>
              <w:t xml:space="preserve">Enter the total dollar amount of your </w:t>
            </w:r>
            <w:r>
              <w:rPr>
                <w:i/>
                <w:sz w:val="16"/>
                <w:szCs w:val="16"/>
              </w:rPr>
              <w:t>Revenues</w:t>
            </w:r>
            <w:r>
              <w:rPr>
                <w:sz w:val="16"/>
                <w:szCs w:val="16"/>
              </w:rPr>
              <w:t xml:space="preserve"> from </w:t>
            </w:r>
            <w:r>
              <w:rPr>
                <w:i/>
                <w:sz w:val="16"/>
                <w:szCs w:val="16"/>
              </w:rPr>
              <w:t xml:space="preserve">One Month Term Only Rates </w:t>
            </w:r>
            <w:r>
              <w:rPr>
                <w:sz w:val="16"/>
                <w:szCs w:val="16"/>
              </w:rPr>
              <w:t>charged for the reported Year</w:t>
            </w:r>
          </w:p>
        </w:tc>
        <w:tc>
          <w:tcPr>
            <w:tcW w:w="1260" w:type="dxa"/>
            <w:vAlign w:val="center"/>
          </w:tcPr>
          <w:p w:rsidR="00F97D54" w:rsidRDefault="00F97D54" w:rsidP="00EB5B97">
            <w:pPr>
              <w:rPr>
                <w:sz w:val="16"/>
                <w:szCs w:val="16"/>
              </w:rPr>
            </w:pPr>
            <w:r>
              <w:rPr>
                <w:sz w:val="16"/>
                <w:szCs w:val="16"/>
              </w:rPr>
              <w:t>Float</w:t>
            </w:r>
          </w:p>
        </w:tc>
        <w:tc>
          <w:tcPr>
            <w:tcW w:w="1084" w:type="dxa"/>
            <w:vAlign w:val="center"/>
          </w:tcPr>
          <w:p w:rsidR="00F97D54" w:rsidRDefault="00F97D54" w:rsidP="00EB5B97">
            <w:pPr>
              <w:rPr>
                <w:sz w:val="16"/>
                <w:szCs w:val="16"/>
              </w:rPr>
            </w:pPr>
            <w:r>
              <w:rPr>
                <w:sz w:val="16"/>
                <w:szCs w:val="16"/>
              </w:rPr>
              <w:t>123,456</w:t>
            </w:r>
          </w:p>
        </w:tc>
      </w:tr>
      <w:tr w:rsidR="00F97D54" w:rsidTr="00EB5B97">
        <w:trPr>
          <w:trHeight w:val="432"/>
        </w:trPr>
        <w:tc>
          <w:tcPr>
            <w:tcW w:w="2268" w:type="dxa"/>
            <w:vAlign w:val="center"/>
          </w:tcPr>
          <w:p w:rsidR="00F97D54" w:rsidRDefault="00F97D54" w:rsidP="00EB5B97">
            <w:pPr>
              <w:rPr>
                <w:sz w:val="16"/>
                <w:szCs w:val="16"/>
              </w:rPr>
            </w:pPr>
            <w:r>
              <w:rPr>
                <w:sz w:val="16"/>
                <w:szCs w:val="16"/>
              </w:rPr>
              <w:t>Service_Type</w:t>
            </w:r>
          </w:p>
        </w:tc>
        <w:tc>
          <w:tcPr>
            <w:tcW w:w="4230" w:type="dxa"/>
            <w:vAlign w:val="center"/>
          </w:tcPr>
          <w:p w:rsidR="00F97D54" w:rsidRPr="00AD05A9" w:rsidRDefault="00F97D54" w:rsidP="00EB5B97">
            <w:pPr>
              <w:rPr>
                <w:sz w:val="16"/>
                <w:szCs w:val="16"/>
              </w:rPr>
            </w:pPr>
            <w:r>
              <w:rPr>
                <w:sz w:val="16"/>
                <w:szCs w:val="16"/>
              </w:rPr>
              <w:t xml:space="preserve">Indicate the service type category for which the </w:t>
            </w:r>
            <w:r>
              <w:rPr>
                <w:i/>
                <w:sz w:val="16"/>
                <w:szCs w:val="16"/>
              </w:rPr>
              <w:t>Revenues</w:t>
            </w:r>
            <w:r>
              <w:rPr>
                <w:sz w:val="16"/>
                <w:szCs w:val="16"/>
              </w:rPr>
              <w:t xml:space="preserve"> are reported.  Enter “DS1” for </w:t>
            </w:r>
            <w:r>
              <w:rPr>
                <w:i/>
                <w:sz w:val="16"/>
                <w:szCs w:val="16"/>
              </w:rPr>
              <w:t>DS1 Revenues</w:t>
            </w:r>
            <w:r>
              <w:rPr>
                <w:sz w:val="16"/>
                <w:szCs w:val="16"/>
              </w:rPr>
              <w:t xml:space="preserve">, enter “DS3” for </w:t>
            </w:r>
            <w:r>
              <w:rPr>
                <w:i/>
                <w:sz w:val="16"/>
                <w:szCs w:val="16"/>
              </w:rPr>
              <w:t>DS3 Revenues</w:t>
            </w:r>
            <w:r>
              <w:rPr>
                <w:sz w:val="16"/>
                <w:szCs w:val="16"/>
              </w:rPr>
              <w:t xml:space="preserve">, and enter “PBDS” for </w:t>
            </w:r>
            <w:r>
              <w:rPr>
                <w:i/>
                <w:sz w:val="16"/>
                <w:szCs w:val="16"/>
              </w:rPr>
              <w:t>PBDS Revenues</w:t>
            </w:r>
          </w:p>
        </w:tc>
        <w:tc>
          <w:tcPr>
            <w:tcW w:w="1260" w:type="dxa"/>
            <w:vAlign w:val="center"/>
          </w:tcPr>
          <w:p w:rsidR="00F97D54" w:rsidRDefault="00F97D54" w:rsidP="00EB5B97">
            <w:pPr>
              <w:rPr>
                <w:sz w:val="16"/>
                <w:szCs w:val="16"/>
              </w:rPr>
            </w:pPr>
            <w:r>
              <w:rPr>
                <w:sz w:val="16"/>
                <w:szCs w:val="16"/>
              </w:rPr>
              <w:t>Text</w:t>
            </w:r>
          </w:p>
        </w:tc>
        <w:tc>
          <w:tcPr>
            <w:tcW w:w="1084" w:type="dxa"/>
            <w:vAlign w:val="center"/>
          </w:tcPr>
          <w:p w:rsidR="00F97D54" w:rsidRDefault="00F97D54" w:rsidP="00EB5B97">
            <w:pPr>
              <w:rPr>
                <w:sz w:val="16"/>
                <w:szCs w:val="16"/>
              </w:rPr>
            </w:pPr>
            <w:r>
              <w:rPr>
                <w:sz w:val="16"/>
                <w:szCs w:val="16"/>
              </w:rPr>
              <w:t>PBDS</w:t>
            </w:r>
          </w:p>
        </w:tc>
      </w:tr>
      <w:tr w:rsidR="00F97D54" w:rsidTr="00EB5B97">
        <w:trPr>
          <w:trHeight w:val="432"/>
        </w:trPr>
        <w:tc>
          <w:tcPr>
            <w:tcW w:w="2268" w:type="dxa"/>
            <w:vAlign w:val="center"/>
          </w:tcPr>
          <w:p w:rsidR="00F97D54" w:rsidRDefault="00F97D54" w:rsidP="00EB5B97">
            <w:pPr>
              <w:rPr>
                <w:sz w:val="16"/>
                <w:szCs w:val="16"/>
              </w:rPr>
            </w:pPr>
            <w:r>
              <w:rPr>
                <w:sz w:val="16"/>
                <w:szCs w:val="16"/>
              </w:rPr>
              <w:t>Customer_Type</w:t>
            </w:r>
          </w:p>
        </w:tc>
        <w:tc>
          <w:tcPr>
            <w:tcW w:w="4230" w:type="dxa"/>
            <w:vAlign w:val="center"/>
          </w:tcPr>
          <w:p w:rsidR="00F97D54" w:rsidRPr="00AD05A9" w:rsidRDefault="00F97D54" w:rsidP="00EB5B97">
            <w:pPr>
              <w:rPr>
                <w:sz w:val="16"/>
                <w:szCs w:val="16"/>
              </w:rPr>
            </w:pPr>
            <w:r>
              <w:rPr>
                <w:sz w:val="16"/>
                <w:szCs w:val="16"/>
              </w:rPr>
              <w:t xml:space="preserve">Enter 0 if the reported </w:t>
            </w:r>
            <w:r>
              <w:rPr>
                <w:i/>
                <w:sz w:val="16"/>
                <w:szCs w:val="16"/>
              </w:rPr>
              <w:t>Revenues</w:t>
            </w:r>
            <w:r>
              <w:rPr>
                <w:sz w:val="16"/>
                <w:szCs w:val="16"/>
              </w:rPr>
              <w:t xml:space="preserve"> are for </w:t>
            </w:r>
            <w:r>
              <w:rPr>
                <w:i/>
                <w:sz w:val="16"/>
                <w:szCs w:val="16"/>
              </w:rPr>
              <w:t>End Users</w:t>
            </w:r>
            <w:r>
              <w:rPr>
                <w:sz w:val="16"/>
                <w:szCs w:val="16"/>
              </w:rPr>
              <w:t xml:space="preserve">, and enter 1 if the reported </w:t>
            </w:r>
            <w:r>
              <w:rPr>
                <w:i/>
                <w:sz w:val="16"/>
                <w:szCs w:val="16"/>
              </w:rPr>
              <w:t>Revenues</w:t>
            </w:r>
            <w:r>
              <w:rPr>
                <w:sz w:val="16"/>
                <w:szCs w:val="16"/>
              </w:rPr>
              <w:t xml:space="preserve"> are for </w:t>
            </w:r>
            <w:r>
              <w:rPr>
                <w:i/>
                <w:sz w:val="16"/>
                <w:szCs w:val="16"/>
              </w:rPr>
              <w:t>Competitive Providers</w:t>
            </w:r>
          </w:p>
        </w:tc>
        <w:tc>
          <w:tcPr>
            <w:tcW w:w="1260" w:type="dxa"/>
            <w:vAlign w:val="center"/>
          </w:tcPr>
          <w:p w:rsidR="00F97D54" w:rsidRDefault="00F97D54" w:rsidP="00EB5B97">
            <w:pPr>
              <w:rPr>
                <w:sz w:val="16"/>
                <w:szCs w:val="16"/>
              </w:rPr>
            </w:pPr>
            <w:r>
              <w:rPr>
                <w:sz w:val="16"/>
                <w:szCs w:val="16"/>
              </w:rPr>
              <w:t>Binary</w:t>
            </w:r>
          </w:p>
        </w:tc>
        <w:tc>
          <w:tcPr>
            <w:tcW w:w="1084" w:type="dxa"/>
            <w:vAlign w:val="center"/>
          </w:tcPr>
          <w:p w:rsidR="00F97D54" w:rsidRDefault="00F97D54" w:rsidP="00EB5B97">
            <w:pPr>
              <w:rPr>
                <w:sz w:val="16"/>
                <w:szCs w:val="16"/>
              </w:rPr>
            </w:pPr>
            <w:r>
              <w:rPr>
                <w:sz w:val="16"/>
                <w:szCs w:val="16"/>
              </w:rPr>
              <w:t>1</w:t>
            </w:r>
          </w:p>
        </w:tc>
      </w:tr>
      <w:tr w:rsidR="00F97D54" w:rsidTr="00EB5B97">
        <w:trPr>
          <w:trHeight w:val="432"/>
        </w:trPr>
        <w:tc>
          <w:tcPr>
            <w:tcW w:w="2268" w:type="dxa"/>
            <w:tcBorders>
              <w:bottom w:val="double" w:sz="4" w:space="0" w:color="auto"/>
            </w:tcBorders>
            <w:vAlign w:val="center"/>
          </w:tcPr>
          <w:p w:rsidR="00F97D54" w:rsidRDefault="00F97D54" w:rsidP="00EB5B97">
            <w:pPr>
              <w:rPr>
                <w:sz w:val="16"/>
                <w:szCs w:val="16"/>
              </w:rPr>
            </w:pPr>
            <w:r>
              <w:rPr>
                <w:sz w:val="16"/>
                <w:szCs w:val="16"/>
              </w:rPr>
              <w:t>Year</w:t>
            </w:r>
          </w:p>
        </w:tc>
        <w:tc>
          <w:tcPr>
            <w:tcW w:w="4230" w:type="dxa"/>
            <w:tcBorders>
              <w:bottom w:val="double" w:sz="4" w:space="0" w:color="auto"/>
            </w:tcBorders>
            <w:vAlign w:val="center"/>
          </w:tcPr>
          <w:p w:rsidR="00F97D54" w:rsidRPr="00AD05A9" w:rsidRDefault="00F97D54" w:rsidP="00EB5B97">
            <w:pPr>
              <w:rPr>
                <w:sz w:val="16"/>
                <w:szCs w:val="16"/>
              </w:rPr>
            </w:pPr>
            <w:r>
              <w:rPr>
                <w:sz w:val="16"/>
                <w:szCs w:val="16"/>
              </w:rPr>
              <w:t xml:space="preserve">Enter “2010” if the reported </w:t>
            </w:r>
            <w:r>
              <w:rPr>
                <w:i/>
                <w:sz w:val="16"/>
                <w:szCs w:val="16"/>
              </w:rPr>
              <w:t>Revenues</w:t>
            </w:r>
            <w:r>
              <w:rPr>
                <w:sz w:val="16"/>
                <w:szCs w:val="16"/>
              </w:rPr>
              <w:t xml:space="preserve"> are for the year 2010 and enter “2012” if the reported </w:t>
            </w:r>
            <w:r>
              <w:rPr>
                <w:i/>
                <w:sz w:val="16"/>
                <w:szCs w:val="16"/>
              </w:rPr>
              <w:t>Revenues</w:t>
            </w:r>
            <w:r>
              <w:rPr>
                <w:sz w:val="16"/>
                <w:szCs w:val="16"/>
              </w:rPr>
              <w:t xml:space="preserve"> are for the year 2012</w:t>
            </w:r>
          </w:p>
        </w:tc>
        <w:tc>
          <w:tcPr>
            <w:tcW w:w="1260" w:type="dxa"/>
            <w:tcBorders>
              <w:bottom w:val="double" w:sz="4" w:space="0" w:color="auto"/>
            </w:tcBorders>
            <w:vAlign w:val="center"/>
          </w:tcPr>
          <w:p w:rsidR="00F97D54" w:rsidRDefault="00F97D54" w:rsidP="00EB5B97">
            <w:pPr>
              <w:rPr>
                <w:sz w:val="16"/>
                <w:szCs w:val="16"/>
              </w:rPr>
            </w:pPr>
            <w:r>
              <w:rPr>
                <w:sz w:val="16"/>
                <w:szCs w:val="16"/>
              </w:rPr>
              <w:t>Integer</w:t>
            </w:r>
          </w:p>
        </w:tc>
        <w:tc>
          <w:tcPr>
            <w:tcW w:w="1084" w:type="dxa"/>
            <w:tcBorders>
              <w:bottom w:val="double" w:sz="4" w:space="0" w:color="auto"/>
            </w:tcBorders>
            <w:vAlign w:val="center"/>
          </w:tcPr>
          <w:p w:rsidR="00F97D54" w:rsidRDefault="00F97D54" w:rsidP="00EB5B97">
            <w:pPr>
              <w:rPr>
                <w:sz w:val="16"/>
                <w:szCs w:val="16"/>
              </w:rPr>
            </w:pPr>
            <w:r>
              <w:rPr>
                <w:sz w:val="16"/>
                <w:szCs w:val="16"/>
              </w:rPr>
              <w:t>2012</w:t>
            </w:r>
          </w:p>
        </w:tc>
      </w:tr>
    </w:tbl>
    <w:p w:rsidR="00F97D54" w:rsidRDefault="00F97D54" w:rsidP="00EB5B97">
      <w:pPr>
        <w:tabs>
          <w:tab w:val="num" w:pos="1440"/>
        </w:tabs>
      </w:pPr>
    </w:p>
    <w:p w:rsidR="00F97D54" w:rsidRPr="00E9084B" w:rsidRDefault="00F97D54" w:rsidP="00E9084B">
      <w:pPr>
        <w:pStyle w:val="Heading4"/>
        <w:numPr>
          <w:ilvl w:val="0"/>
          <w:numId w:val="0"/>
        </w:numPr>
        <w:rPr>
          <w:b w:val="0"/>
          <w:i/>
        </w:rPr>
      </w:pPr>
      <w:bookmarkStart w:id="129" w:name="_Toc365972117"/>
      <w:r w:rsidRPr="00E9084B">
        <w:rPr>
          <w:b w:val="0"/>
          <w:i/>
        </w:rPr>
        <w:t>Question II.B.11:  Number of Customers with One Month Term Only Rates</w:t>
      </w:r>
      <w:bookmarkEnd w:id="129"/>
    </w:p>
    <w:tbl>
      <w:tblPr>
        <w:tblW w:w="8928" w:type="dxa"/>
        <w:tblLook w:val="01E0" w:firstRow="1" w:lastRow="1" w:firstColumn="1" w:lastColumn="1" w:noHBand="0" w:noVBand="0"/>
      </w:tblPr>
      <w:tblGrid>
        <w:gridCol w:w="2268"/>
        <w:gridCol w:w="4230"/>
        <w:gridCol w:w="1260"/>
        <w:gridCol w:w="1170"/>
      </w:tblGrid>
      <w:tr w:rsidR="00F97D54" w:rsidTr="00EB5B97">
        <w:trPr>
          <w:trHeight w:val="357"/>
          <w:tblHeader/>
        </w:trPr>
        <w:tc>
          <w:tcPr>
            <w:tcW w:w="8928" w:type="dxa"/>
            <w:gridSpan w:val="4"/>
            <w:tcBorders>
              <w:top w:val="double" w:sz="4" w:space="0" w:color="auto"/>
              <w:bottom w:val="single" w:sz="4" w:space="0" w:color="auto"/>
            </w:tcBorders>
            <w:vAlign w:val="center"/>
          </w:tcPr>
          <w:p w:rsidR="00F97D54" w:rsidRDefault="00F97D54" w:rsidP="00EB5B97">
            <w:pPr>
              <w:jc w:val="center"/>
              <w:rPr>
                <w:b/>
                <w:szCs w:val="22"/>
              </w:rPr>
            </w:pPr>
            <w:r>
              <w:rPr>
                <w:b/>
                <w:szCs w:val="22"/>
              </w:rPr>
              <w:t>Table II.B.11</w:t>
            </w:r>
          </w:p>
          <w:p w:rsidR="00F97D54" w:rsidRPr="00886F07" w:rsidRDefault="00F97D54" w:rsidP="00EB5B97">
            <w:pPr>
              <w:jc w:val="center"/>
              <w:rPr>
                <w:b/>
                <w:szCs w:val="22"/>
              </w:rPr>
            </w:pPr>
            <w:r>
              <w:rPr>
                <w:b/>
                <w:szCs w:val="22"/>
              </w:rPr>
              <w:t xml:space="preserve">Record Format for Customers with </w:t>
            </w:r>
            <w:r w:rsidRPr="00296700">
              <w:rPr>
                <w:b/>
                <w:i/>
                <w:szCs w:val="22"/>
              </w:rPr>
              <w:t>One Month Term Only Rates</w:t>
            </w:r>
          </w:p>
        </w:tc>
      </w:tr>
      <w:tr w:rsidR="00F97D54" w:rsidTr="00EB5B97">
        <w:trPr>
          <w:trHeight w:val="359"/>
          <w:tblHeader/>
        </w:trPr>
        <w:tc>
          <w:tcPr>
            <w:tcW w:w="2268" w:type="dxa"/>
            <w:tcBorders>
              <w:top w:val="single" w:sz="4" w:space="0" w:color="auto"/>
              <w:bottom w:val="single" w:sz="4" w:space="0" w:color="auto"/>
              <w:right w:val="single" w:sz="4" w:space="0" w:color="auto"/>
            </w:tcBorders>
            <w:vAlign w:val="center"/>
          </w:tcPr>
          <w:p w:rsidR="00F97D54" w:rsidRDefault="00F97D54" w:rsidP="00EB5B97">
            <w:pPr>
              <w:rPr>
                <w:b/>
                <w:sz w:val="18"/>
                <w:szCs w:val="18"/>
              </w:rPr>
            </w:pPr>
            <w:r>
              <w:rPr>
                <w:b/>
                <w:sz w:val="18"/>
                <w:szCs w:val="18"/>
              </w:rPr>
              <w:t>Field Name</w:t>
            </w:r>
          </w:p>
        </w:tc>
        <w:tc>
          <w:tcPr>
            <w:tcW w:w="4230" w:type="dxa"/>
            <w:tcBorders>
              <w:top w:val="single" w:sz="4" w:space="0" w:color="auto"/>
              <w:left w:val="single" w:sz="4" w:space="0" w:color="auto"/>
              <w:bottom w:val="single" w:sz="4" w:space="0" w:color="auto"/>
              <w:right w:val="single" w:sz="4" w:space="0" w:color="auto"/>
            </w:tcBorders>
            <w:vAlign w:val="center"/>
          </w:tcPr>
          <w:p w:rsidR="00F97D54" w:rsidRDefault="00F97D54" w:rsidP="00EB5B97">
            <w:pPr>
              <w:rPr>
                <w:b/>
                <w:sz w:val="18"/>
                <w:szCs w:val="18"/>
              </w:rPr>
            </w:pPr>
            <w:r>
              <w:rPr>
                <w:b/>
                <w:sz w:val="18"/>
                <w:szCs w:val="18"/>
              </w:rPr>
              <w:t>Description</w:t>
            </w:r>
          </w:p>
        </w:tc>
        <w:tc>
          <w:tcPr>
            <w:tcW w:w="1260" w:type="dxa"/>
            <w:tcBorders>
              <w:top w:val="single" w:sz="4" w:space="0" w:color="auto"/>
              <w:left w:val="single" w:sz="4" w:space="0" w:color="auto"/>
              <w:bottom w:val="single" w:sz="4" w:space="0" w:color="auto"/>
              <w:right w:val="single" w:sz="4" w:space="0" w:color="auto"/>
            </w:tcBorders>
            <w:vAlign w:val="center"/>
          </w:tcPr>
          <w:p w:rsidR="00F97D54" w:rsidRDefault="00F97D54" w:rsidP="00EB5B97">
            <w:pPr>
              <w:rPr>
                <w:b/>
                <w:sz w:val="18"/>
                <w:szCs w:val="18"/>
              </w:rPr>
            </w:pPr>
            <w:r>
              <w:rPr>
                <w:b/>
                <w:sz w:val="18"/>
                <w:szCs w:val="18"/>
              </w:rPr>
              <w:t>Type</w:t>
            </w:r>
          </w:p>
        </w:tc>
        <w:tc>
          <w:tcPr>
            <w:tcW w:w="1170" w:type="dxa"/>
            <w:tcBorders>
              <w:top w:val="single" w:sz="4" w:space="0" w:color="auto"/>
              <w:left w:val="single" w:sz="4" w:space="0" w:color="auto"/>
              <w:bottom w:val="single" w:sz="4" w:space="0" w:color="auto"/>
            </w:tcBorders>
            <w:vAlign w:val="center"/>
          </w:tcPr>
          <w:p w:rsidR="00F97D54" w:rsidRDefault="00F97D54" w:rsidP="00EB5B97">
            <w:pPr>
              <w:ind w:right="-108"/>
              <w:rPr>
                <w:b/>
                <w:sz w:val="18"/>
                <w:szCs w:val="18"/>
              </w:rPr>
            </w:pPr>
            <w:r>
              <w:rPr>
                <w:b/>
                <w:sz w:val="18"/>
                <w:szCs w:val="18"/>
              </w:rPr>
              <w:t>Example</w:t>
            </w:r>
          </w:p>
        </w:tc>
      </w:tr>
      <w:tr w:rsidR="00F97D54" w:rsidTr="00EB5B97">
        <w:trPr>
          <w:trHeight w:val="317"/>
        </w:trPr>
        <w:tc>
          <w:tcPr>
            <w:tcW w:w="2268" w:type="dxa"/>
            <w:vAlign w:val="center"/>
          </w:tcPr>
          <w:p w:rsidR="00F97D54" w:rsidRDefault="00F97D54" w:rsidP="00EB5B97">
            <w:pPr>
              <w:rPr>
                <w:sz w:val="16"/>
                <w:szCs w:val="16"/>
              </w:rPr>
            </w:pPr>
            <w:r>
              <w:rPr>
                <w:sz w:val="16"/>
                <w:szCs w:val="16"/>
              </w:rPr>
              <w:t>OMT_CustCount</w:t>
            </w:r>
          </w:p>
        </w:tc>
        <w:tc>
          <w:tcPr>
            <w:tcW w:w="4230" w:type="dxa"/>
            <w:vAlign w:val="center"/>
          </w:tcPr>
          <w:p w:rsidR="00F97D54" w:rsidRPr="00AD05A9" w:rsidRDefault="00F97D54" w:rsidP="00EB5B97">
            <w:pPr>
              <w:rPr>
                <w:sz w:val="16"/>
                <w:szCs w:val="16"/>
              </w:rPr>
            </w:pPr>
            <w:r>
              <w:rPr>
                <w:sz w:val="16"/>
                <w:szCs w:val="16"/>
              </w:rPr>
              <w:t xml:space="preserve">Number of </w:t>
            </w:r>
            <w:r>
              <w:rPr>
                <w:i/>
                <w:sz w:val="16"/>
                <w:szCs w:val="16"/>
              </w:rPr>
              <w:t>One Month Term Only Rate</w:t>
            </w:r>
            <w:r>
              <w:rPr>
                <w:sz w:val="16"/>
                <w:szCs w:val="16"/>
              </w:rPr>
              <w:t xml:space="preserve"> customers for </w:t>
            </w:r>
            <w:r>
              <w:rPr>
                <w:i/>
                <w:sz w:val="16"/>
                <w:szCs w:val="16"/>
              </w:rPr>
              <w:t>DS1s, DS3s,</w:t>
            </w:r>
            <w:r>
              <w:rPr>
                <w:sz w:val="16"/>
                <w:szCs w:val="16"/>
              </w:rPr>
              <w:t xml:space="preserve"> and </w:t>
            </w:r>
            <w:r>
              <w:rPr>
                <w:i/>
                <w:sz w:val="16"/>
                <w:szCs w:val="16"/>
              </w:rPr>
              <w:t>PBDS</w:t>
            </w:r>
            <w:r>
              <w:rPr>
                <w:sz w:val="16"/>
                <w:szCs w:val="16"/>
              </w:rPr>
              <w:t xml:space="preserve"> as of Dec. 31, 2012</w:t>
            </w:r>
          </w:p>
        </w:tc>
        <w:tc>
          <w:tcPr>
            <w:tcW w:w="1260" w:type="dxa"/>
            <w:vAlign w:val="center"/>
          </w:tcPr>
          <w:p w:rsidR="00F97D54" w:rsidRDefault="00F97D54" w:rsidP="00EB5B97">
            <w:pPr>
              <w:rPr>
                <w:sz w:val="16"/>
                <w:szCs w:val="16"/>
              </w:rPr>
            </w:pPr>
            <w:r>
              <w:rPr>
                <w:sz w:val="16"/>
                <w:szCs w:val="16"/>
              </w:rPr>
              <w:t>Integer</w:t>
            </w:r>
          </w:p>
        </w:tc>
        <w:tc>
          <w:tcPr>
            <w:tcW w:w="1170" w:type="dxa"/>
            <w:vAlign w:val="center"/>
          </w:tcPr>
          <w:p w:rsidR="00F97D54" w:rsidRDefault="00F97D54" w:rsidP="00EB5B97">
            <w:pPr>
              <w:rPr>
                <w:sz w:val="16"/>
                <w:szCs w:val="16"/>
              </w:rPr>
            </w:pPr>
            <w:r>
              <w:rPr>
                <w:sz w:val="16"/>
                <w:szCs w:val="16"/>
              </w:rPr>
              <w:t>54,321</w:t>
            </w:r>
          </w:p>
        </w:tc>
      </w:tr>
      <w:tr w:rsidR="00F97D54" w:rsidTr="00EB5B97">
        <w:trPr>
          <w:trHeight w:val="317"/>
        </w:trPr>
        <w:tc>
          <w:tcPr>
            <w:tcW w:w="2268" w:type="dxa"/>
            <w:vAlign w:val="center"/>
          </w:tcPr>
          <w:p w:rsidR="00F97D54" w:rsidRDefault="00F97D54" w:rsidP="00EB5B97">
            <w:pPr>
              <w:rPr>
                <w:sz w:val="16"/>
                <w:szCs w:val="16"/>
              </w:rPr>
            </w:pPr>
            <w:r>
              <w:rPr>
                <w:sz w:val="16"/>
                <w:szCs w:val="16"/>
              </w:rPr>
              <w:t>Service_Type</w:t>
            </w:r>
          </w:p>
        </w:tc>
        <w:tc>
          <w:tcPr>
            <w:tcW w:w="4230" w:type="dxa"/>
            <w:vAlign w:val="center"/>
          </w:tcPr>
          <w:p w:rsidR="00F97D54" w:rsidRDefault="00F97D54" w:rsidP="00EB5B97">
            <w:pPr>
              <w:rPr>
                <w:sz w:val="16"/>
                <w:szCs w:val="16"/>
              </w:rPr>
            </w:pPr>
            <w:r>
              <w:rPr>
                <w:sz w:val="16"/>
                <w:szCs w:val="16"/>
              </w:rPr>
              <w:t xml:space="preserve">Indicate the service type category for which the </w:t>
            </w:r>
            <w:r>
              <w:rPr>
                <w:i/>
                <w:sz w:val="16"/>
                <w:szCs w:val="16"/>
              </w:rPr>
              <w:t>Revenues</w:t>
            </w:r>
            <w:r>
              <w:rPr>
                <w:sz w:val="16"/>
                <w:szCs w:val="16"/>
              </w:rPr>
              <w:t xml:space="preserve"> are reported.  Enter “DS1” for </w:t>
            </w:r>
            <w:r>
              <w:rPr>
                <w:i/>
                <w:sz w:val="16"/>
                <w:szCs w:val="16"/>
              </w:rPr>
              <w:t>DS1 Revenues</w:t>
            </w:r>
            <w:r>
              <w:rPr>
                <w:sz w:val="16"/>
                <w:szCs w:val="16"/>
              </w:rPr>
              <w:t xml:space="preserve">, enter “DS3” for </w:t>
            </w:r>
            <w:r>
              <w:rPr>
                <w:i/>
                <w:sz w:val="16"/>
                <w:szCs w:val="16"/>
              </w:rPr>
              <w:t>DS3 Revenues</w:t>
            </w:r>
            <w:r>
              <w:rPr>
                <w:sz w:val="16"/>
                <w:szCs w:val="16"/>
              </w:rPr>
              <w:t xml:space="preserve">, and enter “PBDS” for </w:t>
            </w:r>
            <w:r>
              <w:rPr>
                <w:i/>
                <w:sz w:val="16"/>
                <w:szCs w:val="16"/>
              </w:rPr>
              <w:t>PBDS Revenues</w:t>
            </w:r>
          </w:p>
        </w:tc>
        <w:tc>
          <w:tcPr>
            <w:tcW w:w="1260" w:type="dxa"/>
            <w:vAlign w:val="center"/>
          </w:tcPr>
          <w:p w:rsidR="00F97D54" w:rsidRDefault="00F97D54" w:rsidP="00EB5B97">
            <w:pPr>
              <w:rPr>
                <w:sz w:val="16"/>
                <w:szCs w:val="16"/>
              </w:rPr>
            </w:pPr>
            <w:r>
              <w:rPr>
                <w:sz w:val="16"/>
                <w:szCs w:val="16"/>
              </w:rPr>
              <w:t>Text</w:t>
            </w:r>
          </w:p>
        </w:tc>
        <w:tc>
          <w:tcPr>
            <w:tcW w:w="1170" w:type="dxa"/>
            <w:vAlign w:val="center"/>
          </w:tcPr>
          <w:p w:rsidR="00F97D54" w:rsidRDefault="00F97D54" w:rsidP="00EB5B97">
            <w:pPr>
              <w:rPr>
                <w:sz w:val="16"/>
                <w:szCs w:val="16"/>
              </w:rPr>
            </w:pPr>
            <w:r>
              <w:rPr>
                <w:sz w:val="16"/>
                <w:szCs w:val="16"/>
              </w:rPr>
              <w:t>DS1</w:t>
            </w:r>
          </w:p>
        </w:tc>
      </w:tr>
      <w:tr w:rsidR="00F97D54" w:rsidTr="00EB5B97">
        <w:trPr>
          <w:trHeight w:val="317"/>
        </w:trPr>
        <w:tc>
          <w:tcPr>
            <w:tcW w:w="2268" w:type="dxa"/>
            <w:tcBorders>
              <w:bottom w:val="double" w:sz="4" w:space="0" w:color="auto"/>
            </w:tcBorders>
            <w:vAlign w:val="center"/>
          </w:tcPr>
          <w:p w:rsidR="00F97D54" w:rsidRDefault="00F97D54" w:rsidP="00EB5B97">
            <w:pPr>
              <w:rPr>
                <w:sz w:val="16"/>
                <w:szCs w:val="16"/>
              </w:rPr>
            </w:pPr>
            <w:r>
              <w:rPr>
                <w:sz w:val="16"/>
                <w:szCs w:val="16"/>
              </w:rPr>
              <w:t>Customer_Type</w:t>
            </w:r>
          </w:p>
        </w:tc>
        <w:tc>
          <w:tcPr>
            <w:tcW w:w="4230" w:type="dxa"/>
            <w:tcBorders>
              <w:bottom w:val="double" w:sz="4" w:space="0" w:color="auto"/>
            </w:tcBorders>
            <w:vAlign w:val="center"/>
          </w:tcPr>
          <w:p w:rsidR="00F97D54" w:rsidRDefault="00F97D54" w:rsidP="00EB5B97">
            <w:pPr>
              <w:rPr>
                <w:sz w:val="16"/>
                <w:szCs w:val="16"/>
              </w:rPr>
            </w:pPr>
            <w:r>
              <w:rPr>
                <w:sz w:val="16"/>
                <w:szCs w:val="16"/>
              </w:rPr>
              <w:t xml:space="preserve">Enter 0 if the reported </w:t>
            </w:r>
            <w:r>
              <w:rPr>
                <w:i/>
                <w:sz w:val="16"/>
                <w:szCs w:val="16"/>
              </w:rPr>
              <w:t>Revenues</w:t>
            </w:r>
            <w:r>
              <w:rPr>
                <w:sz w:val="16"/>
                <w:szCs w:val="16"/>
              </w:rPr>
              <w:t xml:space="preserve"> are for </w:t>
            </w:r>
            <w:r>
              <w:rPr>
                <w:i/>
                <w:sz w:val="16"/>
                <w:szCs w:val="16"/>
              </w:rPr>
              <w:t>End Users</w:t>
            </w:r>
            <w:r>
              <w:rPr>
                <w:sz w:val="16"/>
                <w:szCs w:val="16"/>
              </w:rPr>
              <w:t xml:space="preserve">, and enter 1 if the reported </w:t>
            </w:r>
            <w:r>
              <w:rPr>
                <w:i/>
                <w:sz w:val="16"/>
                <w:szCs w:val="16"/>
              </w:rPr>
              <w:t>Revenues</w:t>
            </w:r>
            <w:r>
              <w:rPr>
                <w:sz w:val="16"/>
                <w:szCs w:val="16"/>
              </w:rPr>
              <w:t xml:space="preserve"> are for </w:t>
            </w:r>
            <w:r>
              <w:rPr>
                <w:i/>
                <w:sz w:val="16"/>
                <w:szCs w:val="16"/>
              </w:rPr>
              <w:t>Competitive Providers</w:t>
            </w:r>
          </w:p>
        </w:tc>
        <w:tc>
          <w:tcPr>
            <w:tcW w:w="1260" w:type="dxa"/>
            <w:tcBorders>
              <w:bottom w:val="double" w:sz="4" w:space="0" w:color="auto"/>
            </w:tcBorders>
            <w:vAlign w:val="center"/>
          </w:tcPr>
          <w:p w:rsidR="00F97D54" w:rsidRDefault="00F97D54" w:rsidP="00EB5B97">
            <w:pPr>
              <w:rPr>
                <w:sz w:val="16"/>
                <w:szCs w:val="16"/>
              </w:rPr>
            </w:pPr>
            <w:r>
              <w:rPr>
                <w:sz w:val="16"/>
                <w:szCs w:val="16"/>
              </w:rPr>
              <w:t>Binary</w:t>
            </w:r>
          </w:p>
        </w:tc>
        <w:tc>
          <w:tcPr>
            <w:tcW w:w="1170" w:type="dxa"/>
            <w:tcBorders>
              <w:bottom w:val="double" w:sz="4" w:space="0" w:color="auto"/>
            </w:tcBorders>
            <w:vAlign w:val="center"/>
          </w:tcPr>
          <w:p w:rsidR="00F97D54" w:rsidRDefault="00F97D54" w:rsidP="00EB5B97">
            <w:pPr>
              <w:rPr>
                <w:sz w:val="16"/>
                <w:szCs w:val="16"/>
              </w:rPr>
            </w:pPr>
            <w:r>
              <w:rPr>
                <w:sz w:val="16"/>
                <w:szCs w:val="16"/>
              </w:rPr>
              <w:t>1</w:t>
            </w:r>
          </w:p>
        </w:tc>
      </w:tr>
    </w:tbl>
    <w:p w:rsidR="009F2B22" w:rsidRDefault="009F2B22" w:rsidP="00EB5B97">
      <w:pPr>
        <w:tabs>
          <w:tab w:val="num" w:pos="1440"/>
        </w:tabs>
        <w:rPr>
          <w:i/>
        </w:rPr>
      </w:pPr>
    </w:p>
    <w:p w:rsidR="00F97D54" w:rsidRPr="00E9084B" w:rsidRDefault="00F97D54" w:rsidP="00E9084B">
      <w:pPr>
        <w:pStyle w:val="Heading4"/>
        <w:numPr>
          <w:ilvl w:val="0"/>
          <w:numId w:val="0"/>
        </w:numPr>
        <w:rPr>
          <w:b w:val="0"/>
          <w:i/>
        </w:rPr>
      </w:pPr>
      <w:bookmarkStart w:id="130" w:name="_Toc365972118"/>
      <w:r w:rsidRPr="00E9084B">
        <w:rPr>
          <w:b w:val="0"/>
          <w:i/>
        </w:rPr>
        <w:t>Question II.B.12:  All Applicable Tariff Plans and Contract-Based Tariffs</w:t>
      </w:r>
      <w:bookmarkEnd w:id="130"/>
      <w:r w:rsidRPr="00E9084B">
        <w:rPr>
          <w:b w:val="0"/>
          <w:i/>
        </w:rPr>
        <w:t xml:space="preserve"> </w:t>
      </w:r>
    </w:p>
    <w:tbl>
      <w:tblPr>
        <w:tblW w:w="8928" w:type="dxa"/>
        <w:tblLayout w:type="fixed"/>
        <w:tblLook w:val="01E0" w:firstRow="1" w:lastRow="1" w:firstColumn="1" w:lastColumn="1" w:noHBand="0" w:noVBand="0"/>
      </w:tblPr>
      <w:tblGrid>
        <w:gridCol w:w="2358"/>
        <w:gridCol w:w="4230"/>
        <w:gridCol w:w="1260"/>
        <w:gridCol w:w="1080"/>
      </w:tblGrid>
      <w:tr w:rsidR="00F97D54" w:rsidTr="00EB5B97">
        <w:trPr>
          <w:trHeight w:val="357"/>
          <w:tblHeader/>
        </w:trPr>
        <w:tc>
          <w:tcPr>
            <w:tcW w:w="8928" w:type="dxa"/>
            <w:gridSpan w:val="4"/>
            <w:tcBorders>
              <w:top w:val="double" w:sz="4" w:space="0" w:color="auto"/>
              <w:bottom w:val="single" w:sz="4" w:space="0" w:color="auto"/>
            </w:tcBorders>
            <w:vAlign w:val="center"/>
          </w:tcPr>
          <w:p w:rsidR="00F97D54" w:rsidRDefault="00F97D54" w:rsidP="00EB5B97">
            <w:pPr>
              <w:jc w:val="center"/>
              <w:rPr>
                <w:b/>
                <w:szCs w:val="22"/>
              </w:rPr>
            </w:pPr>
            <w:r>
              <w:rPr>
                <w:b/>
                <w:szCs w:val="22"/>
              </w:rPr>
              <w:t>Table II.B.12</w:t>
            </w:r>
          </w:p>
          <w:p w:rsidR="00F97D54" w:rsidRPr="00886F07" w:rsidRDefault="00F97D54" w:rsidP="00EB5B97">
            <w:pPr>
              <w:jc w:val="center"/>
              <w:rPr>
                <w:b/>
                <w:szCs w:val="22"/>
              </w:rPr>
            </w:pPr>
            <w:r w:rsidRPr="00886F07">
              <w:rPr>
                <w:b/>
                <w:szCs w:val="22"/>
              </w:rPr>
              <w:t xml:space="preserve">Record Format </w:t>
            </w:r>
            <w:r>
              <w:rPr>
                <w:b/>
                <w:szCs w:val="22"/>
              </w:rPr>
              <w:t>for Applicable Tariff Plans and Contract-Based Tariffs</w:t>
            </w:r>
          </w:p>
        </w:tc>
      </w:tr>
      <w:tr w:rsidR="00F97D54" w:rsidTr="00EB5B97">
        <w:trPr>
          <w:trHeight w:val="359"/>
          <w:tblHeader/>
        </w:trPr>
        <w:tc>
          <w:tcPr>
            <w:tcW w:w="2358" w:type="dxa"/>
            <w:tcBorders>
              <w:top w:val="single" w:sz="4" w:space="0" w:color="auto"/>
              <w:bottom w:val="single" w:sz="4" w:space="0" w:color="auto"/>
              <w:right w:val="single" w:sz="4" w:space="0" w:color="auto"/>
            </w:tcBorders>
            <w:vAlign w:val="center"/>
          </w:tcPr>
          <w:p w:rsidR="00F97D54" w:rsidRDefault="00F97D54" w:rsidP="00EB5B97">
            <w:pPr>
              <w:rPr>
                <w:b/>
                <w:sz w:val="18"/>
                <w:szCs w:val="18"/>
              </w:rPr>
            </w:pPr>
            <w:r>
              <w:rPr>
                <w:b/>
                <w:sz w:val="18"/>
                <w:szCs w:val="18"/>
              </w:rPr>
              <w:t>Field Name</w:t>
            </w:r>
          </w:p>
        </w:tc>
        <w:tc>
          <w:tcPr>
            <w:tcW w:w="4230" w:type="dxa"/>
            <w:tcBorders>
              <w:top w:val="single" w:sz="4" w:space="0" w:color="auto"/>
              <w:left w:val="single" w:sz="4" w:space="0" w:color="auto"/>
              <w:bottom w:val="single" w:sz="4" w:space="0" w:color="auto"/>
              <w:right w:val="single" w:sz="4" w:space="0" w:color="auto"/>
            </w:tcBorders>
            <w:vAlign w:val="center"/>
          </w:tcPr>
          <w:p w:rsidR="00F97D54" w:rsidRDefault="00F97D54" w:rsidP="00EB5B97">
            <w:pPr>
              <w:rPr>
                <w:b/>
                <w:sz w:val="18"/>
                <w:szCs w:val="18"/>
              </w:rPr>
            </w:pPr>
            <w:r>
              <w:rPr>
                <w:b/>
                <w:sz w:val="18"/>
                <w:szCs w:val="18"/>
              </w:rPr>
              <w:t>Description</w:t>
            </w:r>
          </w:p>
        </w:tc>
        <w:tc>
          <w:tcPr>
            <w:tcW w:w="1260" w:type="dxa"/>
            <w:tcBorders>
              <w:top w:val="single" w:sz="4" w:space="0" w:color="auto"/>
              <w:left w:val="single" w:sz="4" w:space="0" w:color="auto"/>
              <w:bottom w:val="single" w:sz="4" w:space="0" w:color="auto"/>
              <w:right w:val="single" w:sz="4" w:space="0" w:color="auto"/>
            </w:tcBorders>
            <w:vAlign w:val="center"/>
          </w:tcPr>
          <w:p w:rsidR="00F97D54" w:rsidRDefault="00F97D54" w:rsidP="00EB5B97">
            <w:pPr>
              <w:rPr>
                <w:b/>
                <w:sz w:val="18"/>
                <w:szCs w:val="18"/>
              </w:rPr>
            </w:pPr>
            <w:r>
              <w:rPr>
                <w:b/>
                <w:sz w:val="18"/>
                <w:szCs w:val="18"/>
              </w:rPr>
              <w:t>Type</w:t>
            </w:r>
          </w:p>
        </w:tc>
        <w:tc>
          <w:tcPr>
            <w:tcW w:w="1080" w:type="dxa"/>
            <w:tcBorders>
              <w:top w:val="single" w:sz="4" w:space="0" w:color="auto"/>
              <w:left w:val="single" w:sz="4" w:space="0" w:color="auto"/>
              <w:bottom w:val="single" w:sz="4" w:space="0" w:color="auto"/>
            </w:tcBorders>
            <w:vAlign w:val="center"/>
          </w:tcPr>
          <w:p w:rsidR="00F97D54" w:rsidRDefault="00F97D54" w:rsidP="00EB5B97">
            <w:pPr>
              <w:ind w:right="-108"/>
              <w:rPr>
                <w:b/>
                <w:sz w:val="18"/>
                <w:szCs w:val="18"/>
              </w:rPr>
            </w:pPr>
            <w:r>
              <w:rPr>
                <w:b/>
                <w:sz w:val="18"/>
                <w:szCs w:val="18"/>
              </w:rPr>
              <w:t>Example</w:t>
            </w:r>
          </w:p>
        </w:tc>
      </w:tr>
      <w:tr w:rsidR="00F97D54" w:rsidTr="00EB5B97">
        <w:trPr>
          <w:trHeight w:val="360"/>
        </w:trPr>
        <w:tc>
          <w:tcPr>
            <w:tcW w:w="2358" w:type="dxa"/>
            <w:vAlign w:val="center"/>
          </w:tcPr>
          <w:p w:rsidR="00F97D54" w:rsidRDefault="00F97D54" w:rsidP="00EB5B97">
            <w:pPr>
              <w:rPr>
                <w:sz w:val="16"/>
                <w:szCs w:val="16"/>
              </w:rPr>
            </w:pPr>
            <w:r>
              <w:rPr>
                <w:sz w:val="16"/>
                <w:szCs w:val="16"/>
              </w:rPr>
              <w:t>Tar_Plan</w:t>
            </w:r>
          </w:p>
        </w:tc>
        <w:tc>
          <w:tcPr>
            <w:tcW w:w="4230" w:type="dxa"/>
            <w:vAlign w:val="center"/>
          </w:tcPr>
          <w:p w:rsidR="00F97D54" w:rsidRDefault="00F97D54" w:rsidP="00EB5B97">
            <w:pPr>
              <w:rPr>
                <w:sz w:val="16"/>
                <w:szCs w:val="16"/>
              </w:rPr>
            </w:pPr>
            <w:r>
              <w:rPr>
                <w:sz w:val="16"/>
                <w:szCs w:val="16"/>
              </w:rPr>
              <w:t xml:space="preserve">Plan is a </w:t>
            </w:r>
            <w:r w:rsidRPr="0014363F">
              <w:rPr>
                <w:i/>
                <w:sz w:val="16"/>
                <w:szCs w:val="16"/>
              </w:rPr>
              <w:t>Tariff Plan</w:t>
            </w:r>
            <w:r>
              <w:rPr>
                <w:sz w:val="16"/>
                <w:szCs w:val="16"/>
              </w:rPr>
              <w:t xml:space="preserve"> (Y=Yes, N=No)</w:t>
            </w:r>
          </w:p>
        </w:tc>
        <w:tc>
          <w:tcPr>
            <w:tcW w:w="1260" w:type="dxa"/>
            <w:vAlign w:val="center"/>
          </w:tcPr>
          <w:p w:rsidR="00F97D54" w:rsidRDefault="00F97D54" w:rsidP="00EB5B97">
            <w:pPr>
              <w:rPr>
                <w:sz w:val="16"/>
                <w:szCs w:val="16"/>
              </w:rPr>
            </w:pPr>
            <w:r>
              <w:rPr>
                <w:sz w:val="16"/>
                <w:szCs w:val="16"/>
              </w:rPr>
              <w:t>Text</w:t>
            </w:r>
          </w:p>
        </w:tc>
        <w:tc>
          <w:tcPr>
            <w:tcW w:w="1080" w:type="dxa"/>
            <w:vAlign w:val="center"/>
          </w:tcPr>
          <w:p w:rsidR="00F97D54" w:rsidRDefault="00F97D54" w:rsidP="00EB5B97">
            <w:pPr>
              <w:rPr>
                <w:sz w:val="16"/>
                <w:szCs w:val="16"/>
              </w:rPr>
            </w:pPr>
            <w:r>
              <w:rPr>
                <w:sz w:val="16"/>
                <w:szCs w:val="16"/>
              </w:rPr>
              <w:t>Y</w:t>
            </w:r>
          </w:p>
        </w:tc>
      </w:tr>
      <w:tr w:rsidR="00F97D54" w:rsidTr="00EB5B97">
        <w:trPr>
          <w:trHeight w:val="360"/>
        </w:trPr>
        <w:tc>
          <w:tcPr>
            <w:tcW w:w="2358" w:type="dxa"/>
            <w:vAlign w:val="center"/>
          </w:tcPr>
          <w:p w:rsidR="00F97D54" w:rsidRDefault="00F97D54" w:rsidP="00EB5B97">
            <w:pPr>
              <w:rPr>
                <w:sz w:val="16"/>
                <w:szCs w:val="16"/>
              </w:rPr>
            </w:pPr>
            <w:r>
              <w:rPr>
                <w:sz w:val="16"/>
                <w:szCs w:val="16"/>
              </w:rPr>
              <w:t>CBT_Plan</w:t>
            </w:r>
          </w:p>
        </w:tc>
        <w:tc>
          <w:tcPr>
            <w:tcW w:w="4230" w:type="dxa"/>
            <w:vAlign w:val="center"/>
          </w:tcPr>
          <w:p w:rsidR="00F97D54" w:rsidRPr="0014363F" w:rsidRDefault="00F97D54" w:rsidP="00EB5B97">
            <w:pPr>
              <w:rPr>
                <w:sz w:val="16"/>
                <w:szCs w:val="16"/>
              </w:rPr>
            </w:pPr>
            <w:r>
              <w:rPr>
                <w:sz w:val="16"/>
                <w:szCs w:val="16"/>
              </w:rPr>
              <w:t xml:space="preserve">Plan is a </w:t>
            </w:r>
            <w:r w:rsidRPr="0014363F">
              <w:rPr>
                <w:i/>
                <w:sz w:val="16"/>
                <w:szCs w:val="16"/>
              </w:rPr>
              <w:t>Contract-Based Tariff</w:t>
            </w:r>
            <w:r>
              <w:rPr>
                <w:i/>
                <w:sz w:val="16"/>
                <w:szCs w:val="16"/>
              </w:rPr>
              <w:t xml:space="preserve"> </w:t>
            </w:r>
            <w:r>
              <w:rPr>
                <w:sz w:val="16"/>
                <w:szCs w:val="16"/>
              </w:rPr>
              <w:t xml:space="preserve"> (Y=Yes, N=No)</w:t>
            </w:r>
          </w:p>
        </w:tc>
        <w:tc>
          <w:tcPr>
            <w:tcW w:w="1260" w:type="dxa"/>
            <w:vAlign w:val="center"/>
          </w:tcPr>
          <w:p w:rsidR="00F97D54" w:rsidRDefault="00F97D54" w:rsidP="00EB5B97">
            <w:pPr>
              <w:rPr>
                <w:sz w:val="16"/>
                <w:szCs w:val="16"/>
              </w:rPr>
            </w:pPr>
            <w:r>
              <w:rPr>
                <w:sz w:val="16"/>
                <w:szCs w:val="16"/>
              </w:rPr>
              <w:t>Text</w:t>
            </w:r>
          </w:p>
        </w:tc>
        <w:tc>
          <w:tcPr>
            <w:tcW w:w="1080" w:type="dxa"/>
            <w:vAlign w:val="center"/>
          </w:tcPr>
          <w:p w:rsidR="00F97D54" w:rsidRDefault="00F97D54" w:rsidP="00EB5B97">
            <w:pPr>
              <w:rPr>
                <w:sz w:val="16"/>
                <w:szCs w:val="16"/>
              </w:rPr>
            </w:pPr>
            <w:r>
              <w:rPr>
                <w:sz w:val="16"/>
                <w:szCs w:val="16"/>
              </w:rPr>
              <w:t>N</w:t>
            </w:r>
          </w:p>
        </w:tc>
      </w:tr>
      <w:tr w:rsidR="00F97D54" w:rsidTr="00EB5B97">
        <w:trPr>
          <w:trHeight w:val="360"/>
        </w:trPr>
        <w:tc>
          <w:tcPr>
            <w:tcW w:w="2358" w:type="dxa"/>
            <w:vAlign w:val="center"/>
          </w:tcPr>
          <w:p w:rsidR="00F97D54" w:rsidRDefault="00F97D54" w:rsidP="00EB5B97">
            <w:pPr>
              <w:rPr>
                <w:sz w:val="16"/>
                <w:szCs w:val="16"/>
              </w:rPr>
            </w:pPr>
            <w:r>
              <w:rPr>
                <w:sz w:val="16"/>
                <w:szCs w:val="16"/>
              </w:rPr>
              <w:t>Plan_Name</w:t>
            </w:r>
          </w:p>
        </w:tc>
        <w:tc>
          <w:tcPr>
            <w:tcW w:w="4230" w:type="dxa"/>
            <w:vAlign w:val="center"/>
          </w:tcPr>
          <w:p w:rsidR="00F97D54" w:rsidRDefault="00F97D54" w:rsidP="00EB5B97">
            <w:pPr>
              <w:rPr>
                <w:sz w:val="16"/>
                <w:szCs w:val="16"/>
              </w:rPr>
            </w:pPr>
            <w:r>
              <w:rPr>
                <w:sz w:val="16"/>
                <w:szCs w:val="16"/>
              </w:rPr>
              <w:t>Name of plan</w:t>
            </w:r>
          </w:p>
        </w:tc>
        <w:tc>
          <w:tcPr>
            <w:tcW w:w="1260" w:type="dxa"/>
            <w:vAlign w:val="center"/>
          </w:tcPr>
          <w:p w:rsidR="00F97D54" w:rsidRDefault="00F97D54" w:rsidP="00EB5B97">
            <w:pPr>
              <w:rPr>
                <w:sz w:val="16"/>
                <w:szCs w:val="16"/>
              </w:rPr>
            </w:pPr>
            <w:r>
              <w:rPr>
                <w:sz w:val="16"/>
                <w:szCs w:val="16"/>
              </w:rPr>
              <w:t>Text</w:t>
            </w:r>
          </w:p>
        </w:tc>
        <w:tc>
          <w:tcPr>
            <w:tcW w:w="1080" w:type="dxa"/>
            <w:vAlign w:val="center"/>
          </w:tcPr>
          <w:p w:rsidR="00F97D54" w:rsidRDefault="00F97D54" w:rsidP="00EB5B97">
            <w:pPr>
              <w:rPr>
                <w:sz w:val="16"/>
                <w:szCs w:val="16"/>
              </w:rPr>
            </w:pPr>
            <w:r>
              <w:rPr>
                <w:sz w:val="16"/>
                <w:szCs w:val="16"/>
              </w:rPr>
              <w:t>Green Tariff</w:t>
            </w:r>
          </w:p>
        </w:tc>
      </w:tr>
      <w:tr w:rsidR="00F97D54" w:rsidTr="00EB5B97">
        <w:trPr>
          <w:trHeight w:val="432"/>
        </w:trPr>
        <w:tc>
          <w:tcPr>
            <w:tcW w:w="2358" w:type="dxa"/>
            <w:vAlign w:val="center"/>
          </w:tcPr>
          <w:p w:rsidR="00F97D54" w:rsidRDefault="00F97D54" w:rsidP="00EB5B97">
            <w:pPr>
              <w:rPr>
                <w:sz w:val="16"/>
                <w:szCs w:val="16"/>
              </w:rPr>
            </w:pPr>
            <w:r>
              <w:rPr>
                <w:sz w:val="16"/>
                <w:szCs w:val="16"/>
              </w:rPr>
              <w:t>Tar_Sec</w:t>
            </w:r>
          </w:p>
        </w:tc>
        <w:tc>
          <w:tcPr>
            <w:tcW w:w="4230" w:type="dxa"/>
            <w:vAlign w:val="center"/>
          </w:tcPr>
          <w:p w:rsidR="00F97D54" w:rsidRDefault="00F97D54" w:rsidP="00EB5B97">
            <w:pPr>
              <w:rPr>
                <w:sz w:val="16"/>
                <w:szCs w:val="16"/>
              </w:rPr>
            </w:pPr>
            <w:r w:rsidRPr="0014363F">
              <w:rPr>
                <w:i/>
                <w:sz w:val="16"/>
                <w:szCs w:val="16"/>
              </w:rPr>
              <w:t>Tariff</w:t>
            </w:r>
            <w:r>
              <w:rPr>
                <w:sz w:val="16"/>
                <w:szCs w:val="16"/>
              </w:rPr>
              <w:t xml:space="preserve"> Section and Number</w:t>
            </w:r>
          </w:p>
        </w:tc>
        <w:tc>
          <w:tcPr>
            <w:tcW w:w="1260" w:type="dxa"/>
            <w:vAlign w:val="center"/>
          </w:tcPr>
          <w:p w:rsidR="00F97D54" w:rsidRDefault="00F97D54" w:rsidP="00EB5B97">
            <w:pPr>
              <w:rPr>
                <w:sz w:val="16"/>
                <w:szCs w:val="16"/>
              </w:rPr>
            </w:pPr>
            <w:r>
              <w:rPr>
                <w:sz w:val="16"/>
                <w:szCs w:val="16"/>
              </w:rPr>
              <w:t>Text</w:t>
            </w:r>
          </w:p>
        </w:tc>
        <w:tc>
          <w:tcPr>
            <w:tcW w:w="1080" w:type="dxa"/>
            <w:vAlign w:val="center"/>
          </w:tcPr>
          <w:p w:rsidR="00F97D54" w:rsidRDefault="00F97D54" w:rsidP="00EB5B97">
            <w:pPr>
              <w:rPr>
                <w:sz w:val="16"/>
                <w:szCs w:val="16"/>
              </w:rPr>
            </w:pPr>
            <w:r>
              <w:rPr>
                <w:sz w:val="16"/>
                <w:szCs w:val="16"/>
              </w:rPr>
              <w:t>ABC Co. FCC No. 2 § 7.90</w:t>
            </w:r>
          </w:p>
        </w:tc>
      </w:tr>
      <w:tr w:rsidR="00F97D54" w:rsidTr="00EB5B97">
        <w:trPr>
          <w:trHeight w:val="432"/>
        </w:trPr>
        <w:tc>
          <w:tcPr>
            <w:tcW w:w="2358" w:type="dxa"/>
            <w:vAlign w:val="center"/>
          </w:tcPr>
          <w:p w:rsidR="00F97D54" w:rsidRDefault="00F97D54" w:rsidP="00EB5B97">
            <w:pPr>
              <w:rPr>
                <w:sz w:val="16"/>
                <w:szCs w:val="16"/>
              </w:rPr>
            </w:pPr>
            <w:r>
              <w:rPr>
                <w:sz w:val="16"/>
                <w:szCs w:val="16"/>
              </w:rPr>
              <w:t>Term_Com</w:t>
            </w:r>
          </w:p>
        </w:tc>
        <w:tc>
          <w:tcPr>
            <w:tcW w:w="4230" w:type="dxa"/>
            <w:vAlign w:val="center"/>
          </w:tcPr>
          <w:p w:rsidR="00F97D54" w:rsidRDefault="00F97D54" w:rsidP="00EB5B97">
            <w:pPr>
              <w:rPr>
                <w:sz w:val="16"/>
                <w:szCs w:val="16"/>
              </w:rPr>
            </w:pPr>
            <w:r>
              <w:rPr>
                <w:sz w:val="16"/>
                <w:szCs w:val="16"/>
              </w:rPr>
              <w:t xml:space="preserve">Does plan contain a </w:t>
            </w:r>
            <w:r w:rsidRPr="003C6D12">
              <w:rPr>
                <w:i/>
                <w:sz w:val="16"/>
                <w:szCs w:val="16"/>
              </w:rPr>
              <w:t>Term Commitment</w:t>
            </w:r>
            <w:r>
              <w:rPr>
                <w:sz w:val="16"/>
                <w:szCs w:val="16"/>
              </w:rPr>
              <w:t xml:space="preserve">? </w:t>
            </w:r>
          </w:p>
          <w:p w:rsidR="00F97D54" w:rsidRDefault="00F97D54" w:rsidP="00EB5B97">
            <w:pPr>
              <w:rPr>
                <w:sz w:val="16"/>
                <w:szCs w:val="16"/>
              </w:rPr>
            </w:pPr>
            <w:r>
              <w:rPr>
                <w:sz w:val="16"/>
                <w:szCs w:val="16"/>
              </w:rPr>
              <w:t>(Y=Yes, N=No)</w:t>
            </w:r>
          </w:p>
        </w:tc>
        <w:tc>
          <w:tcPr>
            <w:tcW w:w="1260" w:type="dxa"/>
            <w:vAlign w:val="center"/>
          </w:tcPr>
          <w:p w:rsidR="00F97D54" w:rsidRDefault="00F97D54" w:rsidP="00EB5B97">
            <w:pPr>
              <w:rPr>
                <w:sz w:val="16"/>
                <w:szCs w:val="16"/>
              </w:rPr>
            </w:pPr>
            <w:r>
              <w:rPr>
                <w:sz w:val="16"/>
                <w:szCs w:val="16"/>
              </w:rPr>
              <w:t>Text</w:t>
            </w:r>
          </w:p>
        </w:tc>
        <w:tc>
          <w:tcPr>
            <w:tcW w:w="1080" w:type="dxa"/>
            <w:vAlign w:val="center"/>
          </w:tcPr>
          <w:p w:rsidR="00F97D54" w:rsidRDefault="00F97D54" w:rsidP="00EB5B97">
            <w:pPr>
              <w:rPr>
                <w:sz w:val="16"/>
                <w:szCs w:val="16"/>
              </w:rPr>
            </w:pPr>
            <w:r>
              <w:rPr>
                <w:sz w:val="16"/>
                <w:szCs w:val="16"/>
              </w:rPr>
              <w:t>Y</w:t>
            </w:r>
          </w:p>
        </w:tc>
      </w:tr>
      <w:tr w:rsidR="00F97D54" w:rsidTr="00EB5B97">
        <w:trPr>
          <w:trHeight w:val="432"/>
        </w:trPr>
        <w:tc>
          <w:tcPr>
            <w:tcW w:w="2358" w:type="dxa"/>
            <w:vAlign w:val="center"/>
          </w:tcPr>
          <w:p w:rsidR="00F97D54" w:rsidRDefault="00F97D54" w:rsidP="00EB5B97">
            <w:pPr>
              <w:rPr>
                <w:sz w:val="16"/>
                <w:szCs w:val="16"/>
              </w:rPr>
            </w:pPr>
            <w:r>
              <w:rPr>
                <w:sz w:val="16"/>
                <w:szCs w:val="16"/>
              </w:rPr>
              <w:t>Vol_Com</w:t>
            </w:r>
          </w:p>
        </w:tc>
        <w:tc>
          <w:tcPr>
            <w:tcW w:w="4230" w:type="dxa"/>
            <w:vAlign w:val="center"/>
          </w:tcPr>
          <w:p w:rsidR="00F97D54" w:rsidRDefault="00F97D54" w:rsidP="00EB5B97">
            <w:pPr>
              <w:rPr>
                <w:sz w:val="16"/>
                <w:szCs w:val="16"/>
              </w:rPr>
            </w:pPr>
            <w:r>
              <w:rPr>
                <w:sz w:val="16"/>
                <w:szCs w:val="16"/>
              </w:rPr>
              <w:t xml:space="preserve">Does plan contain a </w:t>
            </w:r>
            <w:r w:rsidRPr="003C6D12">
              <w:rPr>
                <w:i/>
                <w:sz w:val="16"/>
                <w:szCs w:val="16"/>
              </w:rPr>
              <w:t>Volume Commitment</w:t>
            </w:r>
            <w:r>
              <w:rPr>
                <w:sz w:val="16"/>
                <w:szCs w:val="16"/>
              </w:rPr>
              <w:t>?</w:t>
            </w:r>
          </w:p>
          <w:p w:rsidR="00F97D54" w:rsidRDefault="00F97D54" w:rsidP="00EB5B97">
            <w:pPr>
              <w:rPr>
                <w:sz w:val="16"/>
                <w:szCs w:val="16"/>
              </w:rPr>
            </w:pPr>
            <w:r>
              <w:rPr>
                <w:sz w:val="16"/>
                <w:szCs w:val="16"/>
              </w:rPr>
              <w:t>(Y=Yes, N=No)</w:t>
            </w:r>
          </w:p>
        </w:tc>
        <w:tc>
          <w:tcPr>
            <w:tcW w:w="1260" w:type="dxa"/>
            <w:vAlign w:val="center"/>
          </w:tcPr>
          <w:p w:rsidR="00F97D54" w:rsidRDefault="00F97D54" w:rsidP="00EB5B97">
            <w:pPr>
              <w:rPr>
                <w:sz w:val="16"/>
                <w:szCs w:val="16"/>
              </w:rPr>
            </w:pPr>
            <w:r>
              <w:rPr>
                <w:sz w:val="16"/>
                <w:szCs w:val="16"/>
              </w:rPr>
              <w:t>Text</w:t>
            </w:r>
          </w:p>
        </w:tc>
        <w:tc>
          <w:tcPr>
            <w:tcW w:w="1080" w:type="dxa"/>
            <w:vAlign w:val="center"/>
          </w:tcPr>
          <w:p w:rsidR="00F97D54" w:rsidRDefault="00F97D54" w:rsidP="00EB5B97">
            <w:pPr>
              <w:rPr>
                <w:sz w:val="16"/>
                <w:szCs w:val="16"/>
              </w:rPr>
            </w:pPr>
            <w:r>
              <w:rPr>
                <w:sz w:val="16"/>
                <w:szCs w:val="16"/>
              </w:rPr>
              <w:t>Y</w:t>
            </w:r>
          </w:p>
        </w:tc>
      </w:tr>
      <w:tr w:rsidR="00F97D54" w:rsidTr="00EB5B97">
        <w:trPr>
          <w:trHeight w:val="432"/>
        </w:trPr>
        <w:tc>
          <w:tcPr>
            <w:tcW w:w="2358" w:type="dxa"/>
            <w:vAlign w:val="center"/>
          </w:tcPr>
          <w:p w:rsidR="00F97D54" w:rsidRDefault="00F97D54" w:rsidP="00EB5B97">
            <w:pPr>
              <w:rPr>
                <w:sz w:val="16"/>
                <w:szCs w:val="16"/>
              </w:rPr>
            </w:pPr>
            <w:r>
              <w:rPr>
                <w:sz w:val="16"/>
                <w:szCs w:val="16"/>
              </w:rPr>
              <w:t>Non_Rate_Benefit</w:t>
            </w:r>
          </w:p>
        </w:tc>
        <w:tc>
          <w:tcPr>
            <w:tcW w:w="4230" w:type="dxa"/>
            <w:vAlign w:val="center"/>
          </w:tcPr>
          <w:p w:rsidR="00F97D54" w:rsidRDefault="00F97D54" w:rsidP="00EB5B97">
            <w:pPr>
              <w:rPr>
                <w:sz w:val="16"/>
                <w:szCs w:val="16"/>
              </w:rPr>
            </w:pPr>
            <w:r>
              <w:rPr>
                <w:sz w:val="16"/>
                <w:szCs w:val="16"/>
              </w:rPr>
              <w:t xml:space="preserve">Does plan contain a </w:t>
            </w:r>
            <w:r w:rsidRPr="003C6D12">
              <w:rPr>
                <w:i/>
                <w:sz w:val="16"/>
                <w:szCs w:val="16"/>
              </w:rPr>
              <w:t>Non-Rate Benefit</w:t>
            </w:r>
            <w:r>
              <w:rPr>
                <w:sz w:val="16"/>
                <w:szCs w:val="16"/>
              </w:rPr>
              <w:t xml:space="preserve"> option?</w:t>
            </w:r>
          </w:p>
          <w:p w:rsidR="00F97D54" w:rsidRDefault="00F97D54" w:rsidP="00EB5B97">
            <w:pPr>
              <w:rPr>
                <w:sz w:val="16"/>
                <w:szCs w:val="16"/>
              </w:rPr>
            </w:pPr>
            <w:r>
              <w:rPr>
                <w:sz w:val="16"/>
                <w:szCs w:val="16"/>
              </w:rPr>
              <w:t>(Y=Yes, N=No)</w:t>
            </w:r>
          </w:p>
        </w:tc>
        <w:tc>
          <w:tcPr>
            <w:tcW w:w="1260" w:type="dxa"/>
            <w:vAlign w:val="center"/>
          </w:tcPr>
          <w:p w:rsidR="00F97D54" w:rsidRDefault="00F97D54" w:rsidP="00EB5B97">
            <w:pPr>
              <w:rPr>
                <w:sz w:val="16"/>
                <w:szCs w:val="16"/>
              </w:rPr>
            </w:pPr>
            <w:r>
              <w:rPr>
                <w:sz w:val="16"/>
                <w:szCs w:val="16"/>
              </w:rPr>
              <w:t>Text</w:t>
            </w:r>
          </w:p>
        </w:tc>
        <w:tc>
          <w:tcPr>
            <w:tcW w:w="1080" w:type="dxa"/>
            <w:vAlign w:val="center"/>
          </w:tcPr>
          <w:p w:rsidR="00F97D54" w:rsidRDefault="00F97D54" w:rsidP="00EB5B97">
            <w:pPr>
              <w:rPr>
                <w:sz w:val="16"/>
                <w:szCs w:val="16"/>
              </w:rPr>
            </w:pPr>
            <w:r>
              <w:rPr>
                <w:sz w:val="16"/>
                <w:szCs w:val="16"/>
              </w:rPr>
              <w:t>Y</w:t>
            </w:r>
          </w:p>
        </w:tc>
      </w:tr>
      <w:tr w:rsidR="00F97D54" w:rsidTr="00EB5B97">
        <w:trPr>
          <w:trHeight w:val="317"/>
        </w:trPr>
        <w:tc>
          <w:tcPr>
            <w:tcW w:w="2358" w:type="dxa"/>
            <w:vAlign w:val="center"/>
          </w:tcPr>
          <w:p w:rsidR="00F97D54" w:rsidRDefault="00F97D54" w:rsidP="00EB5B97">
            <w:pPr>
              <w:rPr>
                <w:sz w:val="16"/>
                <w:szCs w:val="16"/>
              </w:rPr>
            </w:pPr>
            <w:r>
              <w:rPr>
                <w:sz w:val="16"/>
                <w:szCs w:val="16"/>
              </w:rPr>
              <w:t>Non_Rate_Benefit_Exp</w:t>
            </w:r>
          </w:p>
        </w:tc>
        <w:tc>
          <w:tcPr>
            <w:tcW w:w="4230" w:type="dxa"/>
            <w:vAlign w:val="center"/>
          </w:tcPr>
          <w:p w:rsidR="00F97D54" w:rsidRDefault="00F97D54" w:rsidP="00EB5B97">
            <w:pPr>
              <w:rPr>
                <w:sz w:val="16"/>
                <w:szCs w:val="16"/>
              </w:rPr>
            </w:pPr>
            <w:r>
              <w:rPr>
                <w:sz w:val="16"/>
                <w:szCs w:val="16"/>
              </w:rPr>
              <w:t xml:space="preserve">If plan contains a </w:t>
            </w:r>
            <w:r w:rsidRPr="003C6D12">
              <w:rPr>
                <w:i/>
                <w:sz w:val="16"/>
                <w:szCs w:val="16"/>
              </w:rPr>
              <w:t>Non-Rate Benefit</w:t>
            </w:r>
            <w:r>
              <w:rPr>
                <w:sz w:val="16"/>
                <w:szCs w:val="16"/>
              </w:rPr>
              <w:t xml:space="preserve"> option, explain the </w:t>
            </w:r>
            <w:r w:rsidRPr="003C6D12">
              <w:rPr>
                <w:i/>
                <w:sz w:val="16"/>
                <w:szCs w:val="16"/>
              </w:rPr>
              <w:t>Non-Rate Benefits</w:t>
            </w:r>
            <w:r>
              <w:rPr>
                <w:sz w:val="16"/>
                <w:szCs w:val="16"/>
              </w:rPr>
              <w:t>.</w:t>
            </w:r>
          </w:p>
        </w:tc>
        <w:tc>
          <w:tcPr>
            <w:tcW w:w="1260" w:type="dxa"/>
            <w:vAlign w:val="center"/>
          </w:tcPr>
          <w:p w:rsidR="00F97D54" w:rsidRDefault="00F97D54" w:rsidP="00EB5B97">
            <w:pPr>
              <w:rPr>
                <w:sz w:val="16"/>
                <w:szCs w:val="16"/>
              </w:rPr>
            </w:pPr>
            <w:r>
              <w:rPr>
                <w:sz w:val="16"/>
                <w:szCs w:val="16"/>
              </w:rPr>
              <w:t>Text</w:t>
            </w:r>
          </w:p>
        </w:tc>
        <w:tc>
          <w:tcPr>
            <w:tcW w:w="1080" w:type="dxa"/>
            <w:vAlign w:val="center"/>
          </w:tcPr>
          <w:p w:rsidR="00F97D54" w:rsidRDefault="00F97D54" w:rsidP="00EB5B97">
            <w:pPr>
              <w:rPr>
                <w:sz w:val="16"/>
                <w:szCs w:val="16"/>
              </w:rPr>
            </w:pPr>
            <w:r>
              <w:rPr>
                <w:sz w:val="16"/>
                <w:szCs w:val="16"/>
              </w:rPr>
              <w:t>Plan allows for circuit portability . . .</w:t>
            </w:r>
          </w:p>
        </w:tc>
      </w:tr>
      <w:tr w:rsidR="00F97D54" w:rsidTr="00EB5B97">
        <w:trPr>
          <w:trHeight w:val="317"/>
        </w:trPr>
        <w:tc>
          <w:tcPr>
            <w:tcW w:w="2358" w:type="dxa"/>
            <w:vAlign w:val="center"/>
          </w:tcPr>
          <w:p w:rsidR="00F97D54" w:rsidRDefault="00F97D54" w:rsidP="00EB5B97">
            <w:pPr>
              <w:rPr>
                <w:sz w:val="16"/>
                <w:szCs w:val="16"/>
              </w:rPr>
            </w:pPr>
            <w:r>
              <w:rPr>
                <w:sz w:val="16"/>
                <w:szCs w:val="16"/>
              </w:rPr>
              <w:t>Plan_DS1</w:t>
            </w:r>
          </w:p>
        </w:tc>
        <w:tc>
          <w:tcPr>
            <w:tcW w:w="4230" w:type="dxa"/>
            <w:vAlign w:val="center"/>
          </w:tcPr>
          <w:p w:rsidR="00F97D54" w:rsidRDefault="00F97D54" w:rsidP="00EB5B97">
            <w:pPr>
              <w:rPr>
                <w:sz w:val="16"/>
                <w:szCs w:val="16"/>
              </w:rPr>
            </w:pPr>
            <w:r>
              <w:rPr>
                <w:sz w:val="16"/>
                <w:szCs w:val="16"/>
              </w:rPr>
              <w:t xml:space="preserve">Does plan apply to purchase of </w:t>
            </w:r>
            <w:r w:rsidRPr="003C6D12">
              <w:rPr>
                <w:i/>
                <w:sz w:val="16"/>
                <w:szCs w:val="16"/>
              </w:rPr>
              <w:t>DS1s</w:t>
            </w:r>
            <w:r>
              <w:rPr>
                <w:sz w:val="16"/>
                <w:szCs w:val="16"/>
              </w:rPr>
              <w:t xml:space="preserve">? </w:t>
            </w:r>
          </w:p>
          <w:p w:rsidR="00F97D54" w:rsidRDefault="00F97D54" w:rsidP="00EB5B97">
            <w:pPr>
              <w:rPr>
                <w:sz w:val="16"/>
                <w:szCs w:val="16"/>
              </w:rPr>
            </w:pPr>
            <w:r>
              <w:rPr>
                <w:sz w:val="16"/>
                <w:szCs w:val="16"/>
              </w:rPr>
              <w:t>(Y=Yes, N=No)</w:t>
            </w:r>
          </w:p>
        </w:tc>
        <w:tc>
          <w:tcPr>
            <w:tcW w:w="1260" w:type="dxa"/>
            <w:vAlign w:val="center"/>
          </w:tcPr>
          <w:p w:rsidR="00F97D54" w:rsidRDefault="00F97D54" w:rsidP="00EB5B97">
            <w:pPr>
              <w:rPr>
                <w:sz w:val="16"/>
                <w:szCs w:val="16"/>
              </w:rPr>
            </w:pPr>
            <w:r>
              <w:rPr>
                <w:sz w:val="16"/>
                <w:szCs w:val="16"/>
              </w:rPr>
              <w:t>Text</w:t>
            </w:r>
          </w:p>
        </w:tc>
        <w:tc>
          <w:tcPr>
            <w:tcW w:w="1080" w:type="dxa"/>
            <w:vAlign w:val="center"/>
          </w:tcPr>
          <w:p w:rsidR="00F97D54" w:rsidRDefault="00F97D54" w:rsidP="00EB5B97">
            <w:pPr>
              <w:rPr>
                <w:sz w:val="16"/>
                <w:szCs w:val="16"/>
              </w:rPr>
            </w:pPr>
            <w:r>
              <w:rPr>
                <w:sz w:val="16"/>
                <w:szCs w:val="16"/>
              </w:rPr>
              <w:t>Y</w:t>
            </w:r>
          </w:p>
        </w:tc>
      </w:tr>
      <w:tr w:rsidR="00F97D54" w:rsidTr="00EB5B97">
        <w:trPr>
          <w:trHeight w:val="317"/>
        </w:trPr>
        <w:tc>
          <w:tcPr>
            <w:tcW w:w="2358" w:type="dxa"/>
            <w:vAlign w:val="center"/>
          </w:tcPr>
          <w:p w:rsidR="00F97D54" w:rsidRDefault="00F97D54" w:rsidP="00EB5B97">
            <w:pPr>
              <w:rPr>
                <w:sz w:val="16"/>
                <w:szCs w:val="16"/>
              </w:rPr>
            </w:pPr>
            <w:r>
              <w:rPr>
                <w:sz w:val="16"/>
                <w:szCs w:val="16"/>
              </w:rPr>
              <w:t>Plan_DS3</w:t>
            </w:r>
          </w:p>
        </w:tc>
        <w:tc>
          <w:tcPr>
            <w:tcW w:w="4230" w:type="dxa"/>
            <w:vAlign w:val="center"/>
          </w:tcPr>
          <w:p w:rsidR="00F97D54" w:rsidRDefault="00F97D54" w:rsidP="00EB5B97">
            <w:pPr>
              <w:rPr>
                <w:sz w:val="16"/>
                <w:szCs w:val="16"/>
              </w:rPr>
            </w:pPr>
            <w:r>
              <w:rPr>
                <w:sz w:val="16"/>
                <w:szCs w:val="16"/>
              </w:rPr>
              <w:t xml:space="preserve">Does plan apply to purchase of </w:t>
            </w:r>
            <w:r w:rsidRPr="003C6D12">
              <w:rPr>
                <w:i/>
                <w:sz w:val="16"/>
                <w:szCs w:val="16"/>
              </w:rPr>
              <w:t>DS</w:t>
            </w:r>
            <w:r>
              <w:rPr>
                <w:i/>
                <w:sz w:val="16"/>
                <w:szCs w:val="16"/>
              </w:rPr>
              <w:t>3</w:t>
            </w:r>
            <w:r w:rsidRPr="003C6D12">
              <w:rPr>
                <w:i/>
                <w:sz w:val="16"/>
                <w:szCs w:val="16"/>
              </w:rPr>
              <w:t>s</w:t>
            </w:r>
            <w:r>
              <w:rPr>
                <w:sz w:val="16"/>
                <w:szCs w:val="16"/>
              </w:rPr>
              <w:t xml:space="preserve">? </w:t>
            </w:r>
          </w:p>
          <w:p w:rsidR="00F97D54" w:rsidRDefault="00F97D54" w:rsidP="00EB5B97">
            <w:pPr>
              <w:rPr>
                <w:sz w:val="16"/>
                <w:szCs w:val="16"/>
              </w:rPr>
            </w:pPr>
            <w:r>
              <w:rPr>
                <w:sz w:val="16"/>
                <w:szCs w:val="16"/>
              </w:rPr>
              <w:t>(Y=Yes, N=No)</w:t>
            </w:r>
          </w:p>
        </w:tc>
        <w:tc>
          <w:tcPr>
            <w:tcW w:w="1260" w:type="dxa"/>
            <w:vAlign w:val="center"/>
          </w:tcPr>
          <w:p w:rsidR="00F97D54" w:rsidRDefault="00F97D54" w:rsidP="00EB5B97">
            <w:pPr>
              <w:rPr>
                <w:sz w:val="16"/>
                <w:szCs w:val="16"/>
              </w:rPr>
            </w:pPr>
            <w:r>
              <w:rPr>
                <w:sz w:val="16"/>
                <w:szCs w:val="16"/>
              </w:rPr>
              <w:t>Text</w:t>
            </w:r>
          </w:p>
        </w:tc>
        <w:tc>
          <w:tcPr>
            <w:tcW w:w="1080" w:type="dxa"/>
            <w:vAlign w:val="center"/>
          </w:tcPr>
          <w:p w:rsidR="00F97D54" w:rsidRDefault="00F97D54" w:rsidP="00EB5B97">
            <w:pPr>
              <w:rPr>
                <w:sz w:val="16"/>
                <w:szCs w:val="16"/>
              </w:rPr>
            </w:pPr>
            <w:r>
              <w:rPr>
                <w:sz w:val="16"/>
                <w:szCs w:val="16"/>
              </w:rPr>
              <w:t>Y</w:t>
            </w:r>
          </w:p>
        </w:tc>
      </w:tr>
      <w:tr w:rsidR="00F97D54" w:rsidTr="00EB5B97">
        <w:trPr>
          <w:trHeight w:val="317"/>
        </w:trPr>
        <w:tc>
          <w:tcPr>
            <w:tcW w:w="2358" w:type="dxa"/>
            <w:vAlign w:val="center"/>
          </w:tcPr>
          <w:p w:rsidR="00F97D54" w:rsidRDefault="00F97D54" w:rsidP="00EB5B97">
            <w:pPr>
              <w:rPr>
                <w:sz w:val="16"/>
                <w:szCs w:val="16"/>
              </w:rPr>
            </w:pPr>
            <w:r>
              <w:rPr>
                <w:sz w:val="16"/>
                <w:szCs w:val="16"/>
              </w:rPr>
              <w:t>Plan_PBDS</w:t>
            </w:r>
          </w:p>
        </w:tc>
        <w:tc>
          <w:tcPr>
            <w:tcW w:w="4230" w:type="dxa"/>
            <w:vAlign w:val="center"/>
          </w:tcPr>
          <w:p w:rsidR="00F97D54" w:rsidRDefault="00F97D54" w:rsidP="00EB5B97">
            <w:pPr>
              <w:rPr>
                <w:sz w:val="16"/>
                <w:szCs w:val="16"/>
              </w:rPr>
            </w:pPr>
            <w:r>
              <w:rPr>
                <w:sz w:val="16"/>
                <w:szCs w:val="16"/>
              </w:rPr>
              <w:t xml:space="preserve">Does plan apply to purchase of </w:t>
            </w:r>
            <w:r>
              <w:rPr>
                <w:i/>
                <w:sz w:val="16"/>
                <w:szCs w:val="16"/>
              </w:rPr>
              <w:t>PBDS</w:t>
            </w:r>
            <w:r>
              <w:rPr>
                <w:sz w:val="16"/>
                <w:szCs w:val="16"/>
              </w:rPr>
              <w:t xml:space="preserve">? </w:t>
            </w:r>
          </w:p>
          <w:p w:rsidR="00F97D54" w:rsidRDefault="00F97D54" w:rsidP="00EB5B97">
            <w:pPr>
              <w:rPr>
                <w:sz w:val="16"/>
                <w:szCs w:val="16"/>
              </w:rPr>
            </w:pPr>
            <w:r>
              <w:rPr>
                <w:sz w:val="16"/>
                <w:szCs w:val="16"/>
              </w:rPr>
              <w:t>(Y=Yes, N=No)</w:t>
            </w:r>
          </w:p>
        </w:tc>
        <w:tc>
          <w:tcPr>
            <w:tcW w:w="1260" w:type="dxa"/>
            <w:vAlign w:val="center"/>
          </w:tcPr>
          <w:p w:rsidR="00F97D54" w:rsidRDefault="00F97D54" w:rsidP="00EB5B97">
            <w:pPr>
              <w:rPr>
                <w:sz w:val="16"/>
                <w:szCs w:val="16"/>
              </w:rPr>
            </w:pPr>
            <w:r>
              <w:rPr>
                <w:sz w:val="16"/>
                <w:szCs w:val="16"/>
              </w:rPr>
              <w:t>Text</w:t>
            </w:r>
          </w:p>
        </w:tc>
        <w:tc>
          <w:tcPr>
            <w:tcW w:w="1080" w:type="dxa"/>
            <w:vAlign w:val="center"/>
          </w:tcPr>
          <w:p w:rsidR="00F97D54" w:rsidRDefault="00F97D54" w:rsidP="00EB5B97">
            <w:pPr>
              <w:rPr>
                <w:sz w:val="16"/>
                <w:szCs w:val="16"/>
              </w:rPr>
            </w:pPr>
            <w:r>
              <w:rPr>
                <w:sz w:val="16"/>
                <w:szCs w:val="16"/>
              </w:rPr>
              <w:t>Y</w:t>
            </w:r>
          </w:p>
        </w:tc>
      </w:tr>
      <w:tr w:rsidR="00F97D54" w:rsidTr="00EB5B97">
        <w:trPr>
          <w:trHeight w:val="317"/>
        </w:trPr>
        <w:tc>
          <w:tcPr>
            <w:tcW w:w="2358" w:type="dxa"/>
            <w:vAlign w:val="center"/>
          </w:tcPr>
          <w:p w:rsidR="00F97D54" w:rsidRDefault="00F97D54" w:rsidP="00EB5B97">
            <w:pPr>
              <w:rPr>
                <w:sz w:val="16"/>
                <w:szCs w:val="16"/>
              </w:rPr>
            </w:pPr>
            <w:r>
              <w:rPr>
                <w:sz w:val="16"/>
                <w:szCs w:val="16"/>
              </w:rPr>
              <w:t>Plan_Other</w:t>
            </w:r>
          </w:p>
        </w:tc>
        <w:tc>
          <w:tcPr>
            <w:tcW w:w="4230" w:type="dxa"/>
            <w:vAlign w:val="center"/>
          </w:tcPr>
          <w:p w:rsidR="00F97D54" w:rsidRDefault="00F97D54" w:rsidP="00EB5B97">
            <w:pPr>
              <w:rPr>
                <w:sz w:val="16"/>
                <w:szCs w:val="16"/>
              </w:rPr>
            </w:pPr>
            <w:r>
              <w:rPr>
                <w:sz w:val="16"/>
                <w:szCs w:val="16"/>
              </w:rPr>
              <w:t>Does plan apply to purchase of other services? (Y=Yes, N=No)</w:t>
            </w:r>
          </w:p>
        </w:tc>
        <w:tc>
          <w:tcPr>
            <w:tcW w:w="1260" w:type="dxa"/>
            <w:vAlign w:val="center"/>
          </w:tcPr>
          <w:p w:rsidR="00F97D54" w:rsidRDefault="00F97D54" w:rsidP="00EB5B97">
            <w:pPr>
              <w:rPr>
                <w:sz w:val="16"/>
                <w:szCs w:val="16"/>
              </w:rPr>
            </w:pPr>
            <w:r>
              <w:rPr>
                <w:sz w:val="16"/>
                <w:szCs w:val="16"/>
              </w:rPr>
              <w:t>Text</w:t>
            </w:r>
          </w:p>
        </w:tc>
        <w:tc>
          <w:tcPr>
            <w:tcW w:w="1080" w:type="dxa"/>
            <w:vAlign w:val="center"/>
          </w:tcPr>
          <w:p w:rsidR="00F97D54" w:rsidRDefault="00F97D54" w:rsidP="00EB5B97">
            <w:pPr>
              <w:rPr>
                <w:sz w:val="16"/>
                <w:szCs w:val="16"/>
              </w:rPr>
            </w:pPr>
            <w:r>
              <w:rPr>
                <w:sz w:val="16"/>
                <w:szCs w:val="16"/>
              </w:rPr>
              <w:t>Y</w:t>
            </w:r>
          </w:p>
        </w:tc>
      </w:tr>
      <w:tr w:rsidR="00F97D54" w:rsidTr="00EB5B97">
        <w:trPr>
          <w:trHeight w:val="317"/>
        </w:trPr>
        <w:tc>
          <w:tcPr>
            <w:tcW w:w="2358" w:type="dxa"/>
            <w:vAlign w:val="center"/>
          </w:tcPr>
          <w:p w:rsidR="00F97D54" w:rsidRDefault="00F97D54" w:rsidP="00EB5B97">
            <w:pPr>
              <w:rPr>
                <w:sz w:val="16"/>
                <w:szCs w:val="16"/>
              </w:rPr>
            </w:pPr>
            <w:r>
              <w:rPr>
                <w:sz w:val="16"/>
                <w:szCs w:val="16"/>
              </w:rPr>
              <w:t>Plan_Geo_Nat</w:t>
            </w:r>
          </w:p>
        </w:tc>
        <w:tc>
          <w:tcPr>
            <w:tcW w:w="4230" w:type="dxa"/>
            <w:vAlign w:val="center"/>
          </w:tcPr>
          <w:p w:rsidR="00F97D54" w:rsidRDefault="00F97D54" w:rsidP="00EB5B97">
            <w:pPr>
              <w:rPr>
                <w:sz w:val="16"/>
                <w:szCs w:val="16"/>
              </w:rPr>
            </w:pPr>
            <w:r w:rsidRPr="000B2BAB">
              <w:rPr>
                <w:sz w:val="16"/>
                <w:szCs w:val="16"/>
              </w:rPr>
              <w:t xml:space="preserve">Is the plan available across your entire nationwide service area?  Enter “Y” if the plan is available across your entire service area, including both within and outside of </w:t>
            </w:r>
            <w:r w:rsidRPr="00FF31E9">
              <w:rPr>
                <w:i/>
                <w:sz w:val="16"/>
                <w:szCs w:val="16"/>
              </w:rPr>
              <w:t>MSA</w:t>
            </w:r>
            <w:r w:rsidRPr="000B2BAB">
              <w:rPr>
                <w:sz w:val="16"/>
                <w:szCs w:val="16"/>
              </w:rPr>
              <w:t>s, and enter “N” if it is only available in a subset of your service area.</w:t>
            </w:r>
          </w:p>
        </w:tc>
        <w:tc>
          <w:tcPr>
            <w:tcW w:w="1260" w:type="dxa"/>
            <w:vAlign w:val="center"/>
          </w:tcPr>
          <w:p w:rsidR="00F97D54" w:rsidRDefault="00F97D54" w:rsidP="00EB5B97">
            <w:pPr>
              <w:rPr>
                <w:sz w:val="16"/>
                <w:szCs w:val="16"/>
              </w:rPr>
            </w:pPr>
            <w:r>
              <w:rPr>
                <w:sz w:val="16"/>
                <w:szCs w:val="16"/>
              </w:rPr>
              <w:t>Text</w:t>
            </w:r>
          </w:p>
        </w:tc>
        <w:tc>
          <w:tcPr>
            <w:tcW w:w="1080" w:type="dxa"/>
            <w:vAlign w:val="center"/>
          </w:tcPr>
          <w:p w:rsidR="00F97D54" w:rsidRDefault="00F97D54" w:rsidP="00EB5B97">
            <w:pPr>
              <w:rPr>
                <w:sz w:val="16"/>
                <w:szCs w:val="16"/>
              </w:rPr>
            </w:pPr>
            <w:r>
              <w:rPr>
                <w:sz w:val="16"/>
                <w:szCs w:val="16"/>
              </w:rPr>
              <w:t>N</w:t>
            </w:r>
          </w:p>
        </w:tc>
      </w:tr>
      <w:tr w:rsidR="00F97D54" w:rsidTr="00EB5B97">
        <w:trPr>
          <w:trHeight w:val="317"/>
        </w:trPr>
        <w:tc>
          <w:tcPr>
            <w:tcW w:w="2358" w:type="dxa"/>
            <w:vAlign w:val="center"/>
          </w:tcPr>
          <w:p w:rsidR="00F97D54" w:rsidRDefault="00F97D54" w:rsidP="00EB5B97">
            <w:pPr>
              <w:rPr>
                <w:sz w:val="16"/>
                <w:szCs w:val="16"/>
              </w:rPr>
            </w:pPr>
            <w:r>
              <w:rPr>
                <w:sz w:val="16"/>
                <w:szCs w:val="16"/>
              </w:rPr>
              <w:t>Plan_Geo_MSA</w:t>
            </w:r>
          </w:p>
        </w:tc>
        <w:tc>
          <w:tcPr>
            <w:tcW w:w="4230" w:type="dxa"/>
            <w:vAlign w:val="center"/>
          </w:tcPr>
          <w:p w:rsidR="00F97D54" w:rsidRPr="000B2BAB" w:rsidRDefault="00F97D54" w:rsidP="00EB5B97">
            <w:pPr>
              <w:rPr>
                <w:sz w:val="16"/>
                <w:szCs w:val="16"/>
              </w:rPr>
            </w:pPr>
            <w:r>
              <w:rPr>
                <w:sz w:val="16"/>
                <w:szCs w:val="16"/>
              </w:rPr>
              <w:t>If the plan is not available across your entire nationwide service area (</w:t>
            </w:r>
            <w:r>
              <w:rPr>
                <w:i/>
                <w:sz w:val="16"/>
                <w:szCs w:val="16"/>
              </w:rPr>
              <w:t>i.e.</w:t>
            </w:r>
            <w:r>
              <w:rPr>
                <w:sz w:val="16"/>
                <w:szCs w:val="16"/>
              </w:rPr>
              <w:t xml:space="preserve">, Plan_Geo_Nat = “N”), indicate whether the plan is available in at least one </w:t>
            </w:r>
            <w:r w:rsidRPr="006C756D">
              <w:rPr>
                <w:i/>
                <w:sz w:val="16"/>
                <w:szCs w:val="16"/>
              </w:rPr>
              <w:t>MSA</w:t>
            </w:r>
            <w:r>
              <w:rPr>
                <w:sz w:val="16"/>
                <w:szCs w:val="16"/>
              </w:rPr>
              <w:t xml:space="preserve">.  Enter “Y” if the plan is available in at least one </w:t>
            </w:r>
            <w:r w:rsidRPr="006C756D">
              <w:rPr>
                <w:i/>
                <w:sz w:val="16"/>
                <w:szCs w:val="16"/>
              </w:rPr>
              <w:t>MSA</w:t>
            </w:r>
            <w:r>
              <w:rPr>
                <w:sz w:val="16"/>
                <w:szCs w:val="16"/>
              </w:rPr>
              <w:t>, and enter “N” if it is only available in non-</w:t>
            </w:r>
            <w:r w:rsidRPr="006C756D">
              <w:rPr>
                <w:i/>
                <w:sz w:val="16"/>
                <w:szCs w:val="16"/>
              </w:rPr>
              <w:t>MSA</w:t>
            </w:r>
            <w:r>
              <w:rPr>
                <w:sz w:val="16"/>
                <w:szCs w:val="16"/>
              </w:rPr>
              <w:t xml:space="preserve"> areas.  If Plan_Geo_Nat = “Y”, the value for Plan_Geo_MSA must be “Y”</w:t>
            </w:r>
          </w:p>
        </w:tc>
        <w:tc>
          <w:tcPr>
            <w:tcW w:w="1260" w:type="dxa"/>
            <w:vAlign w:val="center"/>
          </w:tcPr>
          <w:p w:rsidR="00F97D54" w:rsidRDefault="00F97D54" w:rsidP="00EB5B97">
            <w:pPr>
              <w:rPr>
                <w:sz w:val="16"/>
                <w:szCs w:val="16"/>
              </w:rPr>
            </w:pPr>
            <w:r>
              <w:rPr>
                <w:sz w:val="16"/>
                <w:szCs w:val="16"/>
              </w:rPr>
              <w:t>Text</w:t>
            </w:r>
          </w:p>
        </w:tc>
        <w:tc>
          <w:tcPr>
            <w:tcW w:w="1080" w:type="dxa"/>
            <w:vAlign w:val="center"/>
          </w:tcPr>
          <w:p w:rsidR="00F97D54" w:rsidRDefault="00F97D54" w:rsidP="00EB5B97">
            <w:pPr>
              <w:rPr>
                <w:sz w:val="16"/>
                <w:szCs w:val="16"/>
              </w:rPr>
            </w:pPr>
            <w:r>
              <w:rPr>
                <w:sz w:val="16"/>
                <w:szCs w:val="16"/>
              </w:rPr>
              <w:t>Y</w:t>
            </w:r>
          </w:p>
        </w:tc>
      </w:tr>
      <w:tr w:rsidR="00F97D54" w:rsidTr="00EB5B97">
        <w:trPr>
          <w:trHeight w:val="317"/>
        </w:trPr>
        <w:tc>
          <w:tcPr>
            <w:tcW w:w="2358" w:type="dxa"/>
            <w:vAlign w:val="center"/>
          </w:tcPr>
          <w:p w:rsidR="00F97D54" w:rsidRDefault="00F97D54" w:rsidP="00EB5B97">
            <w:pPr>
              <w:rPr>
                <w:sz w:val="16"/>
                <w:szCs w:val="16"/>
              </w:rPr>
            </w:pPr>
            <w:r>
              <w:rPr>
                <w:sz w:val="16"/>
                <w:szCs w:val="16"/>
              </w:rPr>
              <w:t>Plan_Geo_nonMSA</w:t>
            </w:r>
          </w:p>
        </w:tc>
        <w:tc>
          <w:tcPr>
            <w:tcW w:w="4230" w:type="dxa"/>
            <w:vAlign w:val="center"/>
          </w:tcPr>
          <w:p w:rsidR="00F97D54" w:rsidRDefault="00F97D54" w:rsidP="00EB5B97">
            <w:pPr>
              <w:rPr>
                <w:sz w:val="16"/>
                <w:szCs w:val="16"/>
              </w:rPr>
            </w:pPr>
            <w:r>
              <w:rPr>
                <w:sz w:val="16"/>
                <w:szCs w:val="16"/>
              </w:rPr>
              <w:t>If the plan is not available across your entire nationwide service area (</w:t>
            </w:r>
            <w:r>
              <w:rPr>
                <w:i/>
                <w:sz w:val="16"/>
                <w:szCs w:val="16"/>
              </w:rPr>
              <w:t>i.e.</w:t>
            </w:r>
            <w:r>
              <w:rPr>
                <w:sz w:val="16"/>
                <w:szCs w:val="16"/>
              </w:rPr>
              <w:t>, Plan_Geo_Nat = “N”), indicate whether the plan is available in at least one non-</w:t>
            </w:r>
            <w:r w:rsidRPr="00C06376">
              <w:rPr>
                <w:i/>
                <w:sz w:val="16"/>
                <w:szCs w:val="16"/>
              </w:rPr>
              <w:t>MSA</w:t>
            </w:r>
            <w:r>
              <w:rPr>
                <w:sz w:val="16"/>
                <w:szCs w:val="16"/>
              </w:rPr>
              <w:t xml:space="preserve"> area.  Enter “Y” if the plan is available in at least one non-</w:t>
            </w:r>
            <w:r w:rsidRPr="00C06376">
              <w:rPr>
                <w:i/>
                <w:sz w:val="16"/>
                <w:szCs w:val="16"/>
              </w:rPr>
              <w:t>MSA</w:t>
            </w:r>
            <w:r>
              <w:rPr>
                <w:sz w:val="16"/>
                <w:szCs w:val="16"/>
              </w:rPr>
              <w:t xml:space="preserve">, and enter “N” if it is only available in </w:t>
            </w:r>
            <w:r w:rsidRPr="00C06376">
              <w:rPr>
                <w:i/>
                <w:sz w:val="16"/>
                <w:szCs w:val="16"/>
              </w:rPr>
              <w:t>MSA</w:t>
            </w:r>
            <w:r>
              <w:rPr>
                <w:i/>
                <w:sz w:val="16"/>
                <w:szCs w:val="16"/>
              </w:rPr>
              <w:t>s</w:t>
            </w:r>
            <w:r>
              <w:rPr>
                <w:sz w:val="16"/>
                <w:szCs w:val="16"/>
              </w:rPr>
              <w:t>.  If Plan_Geo_Nat = “Y”, the value for Plan_Geo_nonMSA must be “Y”</w:t>
            </w:r>
          </w:p>
        </w:tc>
        <w:tc>
          <w:tcPr>
            <w:tcW w:w="1260" w:type="dxa"/>
            <w:vAlign w:val="center"/>
          </w:tcPr>
          <w:p w:rsidR="00F97D54" w:rsidRDefault="00F97D54" w:rsidP="00EB5B97">
            <w:pPr>
              <w:rPr>
                <w:sz w:val="16"/>
                <w:szCs w:val="16"/>
              </w:rPr>
            </w:pPr>
            <w:r>
              <w:rPr>
                <w:sz w:val="16"/>
                <w:szCs w:val="16"/>
              </w:rPr>
              <w:t>Text</w:t>
            </w:r>
          </w:p>
        </w:tc>
        <w:tc>
          <w:tcPr>
            <w:tcW w:w="1080" w:type="dxa"/>
            <w:vAlign w:val="center"/>
          </w:tcPr>
          <w:p w:rsidR="00F97D54" w:rsidRDefault="00F97D54" w:rsidP="00EB5B97">
            <w:pPr>
              <w:rPr>
                <w:sz w:val="16"/>
                <w:szCs w:val="16"/>
              </w:rPr>
            </w:pPr>
            <w:r>
              <w:rPr>
                <w:sz w:val="16"/>
                <w:szCs w:val="16"/>
              </w:rPr>
              <w:t>N</w:t>
            </w:r>
          </w:p>
        </w:tc>
      </w:tr>
      <w:tr w:rsidR="00F97D54" w:rsidTr="00EB5B97">
        <w:trPr>
          <w:trHeight w:val="317"/>
        </w:trPr>
        <w:tc>
          <w:tcPr>
            <w:tcW w:w="2358" w:type="dxa"/>
            <w:vAlign w:val="center"/>
          </w:tcPr>
          <w:p w:rsidR="00F97D54" w:rsidRDefault="00F97D54" w:rsidP="00EB5B97">
            <w:pPr>
              <w:rPr>
                <w:sz w:val="16"/>
                <w:szCs w:val="16"/>
              </w:rPr>
            </w:pPr>
            <w:r>
              <w:rPr>
                <w:sz w:val="16"/>
                <w:szCs w:val="16"/>
              </w:rPr>
              <w:t>PPB_Com</w:t>
            </w:r>
          </w:p>
        </w:tc>
        <w:tc>
          <w:tcPr>
            <w:tcW w:w="4230" w:type="dxa"/>
            <w:vAlign w:val="center"/>
          </w:tcPr>
          <w:p w:rsidR="00F97D54" w:rsidRDefault="00F97D54" w:rsidP="00EB5B97">
            <w:pPr>
              <w:rPr>
                <w:sz w:val="16"/>
                <w:szCs w:val="16"/>
              </w:rPr>
            </w:pPr>
            <w:r>
              <w:rPr>
                <w:sz w:val="16"/>
                <w:szCs w:val="16"/>
              </w:rPr>
              <w:t xml:space="preserve">To receive a discount or </w:t>
            </w:r>
            <w:r w:rsidRPr="009E2A4B">
              <w:rPr>
                <w:i/>
                <w:sz w:val="16"/>
                <w:szCs w:val="16"/>
              </w:rPr>
              <w:t>Non-Rate Benefit</w:t>
            </w:r>
            <w:r>
              <w:rPr>
                <w:sz w:val="16"/>
                <w:szCs w:val="16"/>
              </w:rPr>
              <w:t xml:space="preserve"> under this plan, must the customer make a </w:t>
            </w:r>
            <w:r w:rsidRPr="009E2A4B">
              <w:rPr>
                <w:i/>
                <w:sz w:val="16"/>
                <w:szCs w:val="16"/>
              </w:rPr>
              <w:t>Prior Purchase-Based Commitment</w:t>
            </w:r>
            <w:r>
              <w:rPr>
                <w:sz w:val="16"/>
                <w:szCs w:val="16"/>
              </w:rPr>
              <w:t xml:space="preserve">? </w:t>
            </w:r>
          </w:p>
          <w:p w:rsidR="00F97D54" w:rsidRDefault="00F97D54" w:rsidP="00EB5B97">
            <w:pPr>
              <w:rPr>
                <w:sz w:val="16"/>
                <w:szCs w:val="16"/>
              </w:rPr>
            </w:pPr>
            <w:r>
              <w:rPr>
                <w:sz w:val="16"/>
                <w:szCs w:val="16"/>
              </w:rPr>
              <w:t>(Y=Yes, N=No)</w:t>
            </w:r>
          </w:p>
        </w:tc>
        <w:tc>
          <w:tcPr>
            <w:tcW w:w="1260" w:type="dxa"/>
            <w:vAlign w:val="center"/>
          </w:tcPr>
          <w:p w:rsidR="00F97D54" w:rsidRDefault="00F97D54" w:rsidP="00EB5B97">
            <w:pPr>
              <w:rPr>
                <w:sz w:val="16"/>
                <w:szCs w:val="16"/>
              </w:rPr>
            </w:pPr>
            <w:r>
              <w:rPr>
                <w:sz w:val="16"/>
                <w:szCs w:val="16"/>
              </w:rPr>
              <w:t>Text</w:t>
            </w:r>
          </w:p>
        </w:tc>
        <w:tc>
          <w:tcPr>
            <w:tcW w:w="1080" w:type="dxa"/>
            <w:vAlign w:val="center"/>
          </w:tcPr>
          <w:p w:rsidR="00F97D54" w:rsidRDefault="00F97D54" w:rsidP="00EB5B97">
            <w:pPr>
              <w:rPr>
                <w:sz w:val="16"/>
                <w:szCs w:val="16"/>
              </w:rPr>
            </w:pPr>
            <w:r>
              <w:rPr>
                <w:sz w:val="16"/>
                <w:szCs w:val="16"/>
              </w:rPr>
              <w:t>N</w:t>
            </w:r>
          </w:p>
        </w:tc>
      </w:tr>
      <w:tr w:rsidR="00F97D54" w:rsidTr="00EB5B97">
        <w:trPr>
          <w:trHeight w:val="317"/>
        </w:trPr>
        <w:tc>
          <w:tcPr>
            <w:tcW w:w="2358" w:type="dxa"/>
            <w:vAlign w:val="center"/>
          </w:tcPr>
          <w:p w:rsidR="00F97D54" w:rsidRDefault="00F97D54" w:rsidP="00EB5B97">
            <w:pPr>
              <w:rPr>
                <w:sz w:val="16"/>
                <w:szCs w:val="16"/>
              </w:rPr>
            </w:pPr>
            <w:r>
              <w:rPr>
                <w:sz w:val="16"/>
                <w:szCs w:val="16"/>
              </w:rPr>
              <w:t>OOR_Apply</w:t>
            </w:r>
          </w:p>
        </w:tc>
        <w:tc>
          <w:tcPr>
            <w:tcW w:w="4230" w:type="dxa"/>
            <w:vAlign w:val="center"/>
          </w:tcPr>
          <w:p w:rsidR="00F97D54" w:rsidRDefault="00F97D54" w:rsidP="00EB5B97">
            <w:pPr>
              <w:rPr>
                <w:sz w:val="16"/>
                <w:szCs w:val="16"/>
              </w:rPr>
            </w:pPr>
            <w:r w:rsidRPr="00EF6F02">
              <w:rPr>
                <w:sz w:val="16"/>
                <w:szCs w:val="16"/>
              </w:rPr>
              <w:t xml:space="preserve">Do purchases of </w:t>
            </w:r>
            <w:r w:rsidRPr="00EF6F02">
              <w:rPr>
                <w:i/>
                <w:sz w:val="16"/>
                <w:szCs w:val="16"/>
              </w:rPr>
              <w:t xml:space="preserve">DS1 </w:t>
            </w:r>
            <w:r w:rsidRPr="00EF6F02">
              <w:rPr>
                <w:sz w:val="16"/>
                <w:szCs w:val="16"/>
              </w:rPr>
              <w:t xml:space="preserve">or </w:t>
            </w:r>
            <w:r w:rsidRPr="00EF6F02">
              <w:rPr>
                <w:i/>
                <w:sz w:val="16"/>
                <w:szCs w:val="16"/>
              </w:rPr>
              <w:t>DS3</w:t>
            </w:r>
            <w:r w:rsidRPr="00EF6F02">
              <w:rPr>
                <w:sz w:val="16"/>
                <w:szCs w:val="16"/>
              </w:rPr>
              <w:t xml:space="preserve"> services in areas outside of your price cap study area(s) </w:t>
            </w:r>
            <w:r>
              <w:rPr>
                <w:sz w:val="16"/>
                <w:szCs w:val="16"/>
              </w:rPr>
              <w:t xml:space="preserve">count towards </w:t>
            </w:r>
            <w:r w:rsidRPr="00EF6F02">
              <w:rPr>
                <w:sz w:val="16"/>
                <w:szCs w:val="16"/>
              </w:rPr>
              <w:t xml:space="preserve">meeting any </w:t>
            </w:r>
            <w:r w:rsidRPr="00EF6F02">
              <w:rPr>
                <w:i/>
                <w:sz w:val="16"/>
                <w:szCs w:val="16"/>
              </w:rPr>
              <w:t>Volume Commitment</w:t>
            </w:r>
            <w:r w:rsidRPr="00EF6F02">
              <w:rPr>
                <w:sz w:val="16"/>
                <w:szCs w:val="16"/>
              </w:rPr>
              <w:t xml:space="preserve"> to receive a discount or </w:t>
            </w:r>
            <w:r w:rsidRPr="00EF6F02">
              <w:rPr>
                <w:i/>
                <w:sz w:val="16"/>
                <w:szCs w:val="16"/>
              </w:rPr>
              <w:t>Non-Rate Benefit</w:t>
            </w:r>
            <w:r w:rsidRPr="00EF6F02">
              <w:rPr>
                <w:sz w:val="16"/>
                <w:szCs w:val="16"/>
              </w:rPr>
              <w:t xml:space="preserve"> under this plan?</w:t>
            </w:r>
            <w:r>
              <w:rPr>
                <w:sz w:val="16"/>
                <w:szCs w:val="16"/>
              </w:rPr>
              <w:t xml:space="preserve"> </w:t>
            </w:r>
          </w:p>
          <w:p w:rsidR="00F97D54" w:rsidRDefault="00F97D54" w:rsidP="00EB5B97">
            <w:pPr>
              <w:rPr>
                <w:sz w:val="16"/>
                <w:szCs w:val="16"/>
              </w:rPr>
            </w:pPr>
            <w:r>
              <w:rPr>
                <w:sz w:val="16"/>
                <w:szCs w:val="16"/>
              </w:rPr>
              <w:t>(Y=Yes, N=No, NA=Not Applicable)</w:t>
            </w:r>
          </w:p>
        </w:tc>
        <w:tc>
          <w:tcPr>
            <w:tcW w:w="1260" w:type="dxa"/>
            <w:vAlign w:val="center"/>
          </w:tcPr>
          <w:p w:rsidR="00F97D54" w:rsidRDefault="00F97D54" w:rsidP="00EB5B97">
            <w:pPr>
              <w:rPr>
                <w:sz w:val="16"/>
                <w:szCs w:val="16"/>
              </w:rPr>
            </w:pPr>
            <w:r>
              <w:rPr>
                <w:sz w:val="16"/>
                <w:szCs w:val="16"/>
              </w:rPr>
              <w:t>Text</w:t>
            </w:r>
          </w:p>
        </w:tc>
        <w:tc>
          <w:tcPr>
            <w:tcW w:w="1080" w:type="dxa"/>
            <w:vAlign w:val="center"/>
          </w:tcPr>
          <w:p w:rsidR="00F97D54" w:rsidRDefault="00F97D54" w:rsidP="00EB5B97">
            <w:pPr>
              <w:rPr>
                <w:sz w:val="16"/>
                <w:szCs w:val="16"/>
              </w:rPr>
            </w:pPr>
            <w:r>
              <w:rPr>
                <w:sz w:val="16"/>
                <w:szCs w:val="16"/>
              </w:rPr>
              <w:t>N</w:t>
            </w:r>
          </w:p>
        </w:tc>
      </w:tr>
      <w:tr w:rsidR="00F97D54" w:rsidTr="00EB5B97">
        <w:trPr>
          <w:trHeight w:val="317"/>
        </w:trPr>
        <w:tc>
          <w:tcPr>
            <w:tcW w:w="2358" w:type="dxa"/>
            <w:vAlign w:val="center"/>
          </w:tcPr>
          <w:p w:rsidR="00F97D54" w:rsidRDefault="00F97D54" w:rsidP="00EB5B97">
            <w:pPr>
              <w:rPr>
                <w:sz w:val="16"/>
                <w:szCs w:val="16"/>
              </w:rPr>
            </w:pPr>
            <w:r>
              <w:rPr>
                <w:sz w:val="16"/>
                <w:szCs w:val="16"/>
              </w:rPr>
              <w:t>OOR_PC_Apply</w:t>
            </w:r>
          </w:p>
        </w:tc>
        <w:tc>
          <w:tcPr>
            <w:tcW w:w="4230" w:type="dxa"/>
            <w:vAlign w:val="center"/>
          </w:tcPr>
          <w:p w:rsidR="00F97D54" w:rsidRDefault="00F97D54" w:rsidP="00EB5B97">
            <w:pPr>
              <w:rPr>
                <w:sz w:val="16"/>
                <w:szCs w:val="16"/>
              </w:rPr>
            </w:pPr>
            <w:r w:rsidRPr="00EF6F02">
              <w:rPr>
                <w:sz w:val="16"/>
                <w:szCs w:val="16"/>
              </w:rPr>
              <w:t xml:space="preserve">Do </w:t>
            </w:r>
            <w:r w:rsidRPr="00EF6F02">
              <w:rPr>
                <w:i/>
                <w:sz w:val="16"/>
                <w:szCs w:val="16"/>
              </w:rPr>
              <w:t>DS1</w:t>
            </w:r>
            <w:r w:rsidRPr="00EF6F02">
              <w:rPr>
                <w:sz w:val="16"/>
                <w:szCs w:val="16"/>
              </w:rPr>
              <w:t xml:space="preserve"> or </w:t>
            </w:r>
            <w:r w:rsidRPr="00EF6F02">
              <w:rPr>
                <w:i/>
                <w:sz w:val="16"/>
                <w:szCs w:val="16"/>
              </w:rPr>
              <w:t>DS3</w:t>
            </w:r>
            <w:r w:rsidRPr="00EF6F02">
              <w:rPr>
                <w:sz w:val="16"/>
                <w:szCs w:val="16"/>
              </w:rPr>
              <w:t xml:space="preserve"> purchases in areas where you are subject to price cap regulation and where pricing flexibility has not been granted </w:t>
            </w:r>
            <w:r>
              <w:rPr>
                <w:sz w:val="16"/>
                <w:szCs w:val="16"/>
              </w:rPr>
              <w:t xml:space="preserve">count towards </w:t>
            </w:r>
            <w:r w:rsidRPr="00EF6F02">
              <w:rPr>
                <w:sz w:val="16"/>
                <w:szCs w:val="16"/>
              </w:rPr>
              <w:t xml:space="preserve">meeting any </w:t>
            </w:r>
            <w:r w:rsidRPr="00EF6F02">
              <w:rPr>
                <w:i/>
                <w:sz w:val="16"/>
                <w:szCs w:val="16"/>
              </w:rPr>
              <w:t>Volume Commitment</w:t>
            </w:r>
            <w:r w:rsidRPr="00EF6F02">
              <w:rPr>
                <w:sz w:val="16"/>
                <w:szCs w:val="16"/>
              </w:rPr>
              <w:t xml:space="preserve"> to receive a discount or </w:t>
            </w:r>
            <w:r w:rsidRPr="00EF6F02">
              <w:rPr>
                <w:i/>
                <w:sz w:val="16"/>
                <w:szCs w:val="16"/>
              </w:rPr>
              <w:t>Non-Rate Benefit</w:t>
            </w:r>
            <w:r w:rsidRPr="00EF6F02">
              <w:rPr>
                <w:sz w:val="16"/>
                <w:szCs w:val="16"/>
              </w:rPr>
              <w:t xml:space="preserve"> under this plan?</w:t>
            </w:r>
          </w:p>
          <w:p w:rsidR="00F97D54" w:rsidRDefault="00F97D54" w:rsidP="00EB5B97">
            <w:pPr>
              <w:rPr>
                <w:sz w:val="16"/>
                <w:szCs w:val="16"/>
              </w:rPr>
            </w:pPr>
            <w:r>
              <w:rPr>
                <w:sz w:val="16"/>
                <w:szCs w:val="16"/>
              </w:rPr>
              <w:t>(Y=Yes, N=No, NA=Not Applicable)</w:t>
            </w:r>
          </w:p>
        </w:tc>
        <w:tc>
          <w:tcPr>
            <w:tcW w:w="1260" w:type="dxa"/>
            <w:vAlign w:val="center"/>
          </w:tcPr>
          <w:p w:rsidR="00F97D54" w:rsidRDefault="00F97D54" w:rsidP="00EB5B97">
            <w:pPr>
              <w:rPr>
                <w:sz w:val="16"/>
                <w:szCs w:val="16"/>
              </w:rPr>
            </w:pPr>
            <w:r>
              <w:rPr>
                <w:sz w:val="16"/>
                <w:szCs w:val="16"/>
              </w:rPr>
              <w:t>Text</w:t>
            </w:r>
          </w:p>
        </w:tc>
        <w:tc>
          <w:tcPr>
            <w:tcW w:w="1080" w:type="dxa"/>
            <w:vAlign w:val="center"/>
          </w:tcPr>
          <w:p w:rsidR="00F97D54" w:rsidRDefault="00F97D54" w:rsidP="00EB5B97">
            <w:pPr>
              <w:rPr>
                <w:sz w:val="16"/>
                <w:szCs w:val="16"/>
              </w:rPr>
            </w:pPr>
            <w:r>
              <w:rPr>
                <w:sz w:val="16"/>
                <w:szCs w:val="16"/>
              </w:rPr>
              <w:t>N</w:t>
            </w:r>
          </w:p>
        </w:tc>
      </w:tr>
      <w:tr w:rsidR="00F97D54" w:rsidTr="00EB5B97">
        <w:trPr>
          <w:trHeight w:val="317"/>
        </w:trPr>
        <w:tc>
          <w:tcPr>
            <w:tcW w:w="2358" w:type="dxa"/>
            <w:vAlign w:val="center"/>
          </w:tcPr>
          <w:p w:rsidR="00F97D54" w:rsidRDefault="00F97D54" w:rsidP="00EB5B97">
            <w:pPr>
              <w:rPr>
                <w:sz w:val="16"/>
                <w:szCs w:val="16"/>
              </w:rPr>
            </w:pPr>
            <w:r>
              <w:rPr>
                <w:sz w:val="16"/>
                <w:szCs w:val="16"/>
              </w:rPr>
              <w:t>PH1_Apply</w:t>
            </w:r>
          </w:p>
        </w:tc>
        <w:tc>
          <w:tcPr>
            <w:tcW w:w="4230" w:type="dxa"/>
            <w:vAlign w:val="center"/>
          </w:tcPr>
          <w:p w:rsidR="00F97D54" w:rsidRDefault="00F97D54" w:rsidP="00EB5B97">
            <w:pPr>
              <w:rPr>
                <w:sz w:val="16"/>
                <w:szCs w:val="16"/>
              </w:rPr>
            </w:pPr>
            <w:r w:rsidRPr="00FF4B58">
              <w:rPr>
                <w:sz w:val="16"/>
                <w:szCs w:val="16"/>
              </w:rPr>
              <w:t xml:space="preserve">Do </w:t>
            </w:r>
            <w:r w:rsidRPr="00FF4B58">
              <w:rPr>
                <w:i/>
                <w:sz w:val="16"/>
                <w:szCs w:val="16"/>
              </w:rPr>
              <w:t>DS1</w:t>
            </w:r>
            <w:r w:rsidRPr="00FF4B58">
              <w:rPr>
                <w:sz w:val="16"/>
                <w:szCs w:val="16"/>
              </w:rPr>
              <w:t xml:space="preserve"> or </w:t>
            </w:r>
            <w:r w:rsidRPr="00FF4B58">
              <w:rPr>
                <w:i/>
                <w:sz w:val="16"/>
                <w:szCs w:val="16"/>
              </w:rPr>
              <w:t>DS3</w:t>
            </w:r>
            <w:r w:rsidRPr="00FF4B58">
              <w:rPr>
                <w:sz w:val="16"/>
                <w:szCs w:val="16"/>
              </w:rPr>
              <w:t xml:space="preserve"> purchases in areas where you have been granted </w:t>
            </w:r>
            <w:r w:rsidRPr="00FF4B58">
              <w:rPr>
                <w:i/>
                <w:sz w:val="16"/>
                <w:szCs w:val="16"/>
              </w:rPr>
              <w:t>Phase I Pricing Flexibility</w:t>
            </w:r>
            <w:r w:rsidRPr="00FF4B58">
              <w:rPr>
                <w:sz w:val="16"/>
                <w:szCs w:val="16"/>
              </w:rPr>
              <w:t xml:space="preserve"> count towards meeting any </w:t>
            </w:r>
            <w:r w:rsidRPr="00FF4B58">
              <w:rPr>
                <w:i/>
                <w:sz w:val="16"/>
                <w:szCs w:val="16"/>
              </w:rPr>
              <w:t>Volume Commitment</w:t>
            </w:r>
            <w:r w:rsidRPr="00FF4B58">
              <w:rPr>
                <w:sz w:val="16"/>
                <w:szCs w:val="16"/>
              </w:rPr>
              <w:t xml:space="preserve"> to receive a discount or </w:t>
            </w:r>
            <w:r w:rsidRPr="00FF4B58">
              <w:rPr>
                <w:i/>
                <w:sz w:val="16"/>
                <w:szCs w:val="16"/>
              </w:rPr>
              <w:t>Non-Rate Benefit</w:t>
            </w:r>
            <w:r w:rsidRPr="00FF4B58">
              <w:rPr>
                <w:sz w:val="16"/>
                <w:szCs w:val="16"/>
              </w:rPr>
              <w:t xml:space="preserve"> under this plan?</w:t>
            </w:r>
          </w:p>
          <w:p w:rsidR="00F97D54" w:rsidRPr="00EF6F02" w:rsidRDefault="00F97D54" w:rsidP="00EB5B97">
            <w:pPr>
              <w:rPr>
                <w:sz w:val="16"/>
                <w:szCs w:val="16"/>
              </w:rPr>
            </w:pPr>
            <w:r>
              <w:rPr>
                <w:sz w:val="16"/>
                <w:szCs w:val="16"/>
              </w:rPr>
              <w:t>(Y=Yes, N=No, NA=Not Applicable)</w:t>
            </w:r>
          </w:p>
        </w:tc>
        <w:tc>
          <w:tcPr>
            <w:tcW w:w="1260" w:type="dxa"/>
            <w:vAlign w:val="center"/>
          </w:tcPr>
          <w:p w:rsidR="00F97D54" w:rsidRDefault="00F97D54" w:rsidP="00EB5B97">
            <w:pPr>
              <w:rPr>
                <w:sz w:val="16"/>
                <w:szCs w:val="16"/>
              </w:rPr>
            </w:pPr>
            <w:r>
              <w:rPr>
                <w:sz w:val="16"/>
                <w:szCs w:val="16"/>
              </w:rPr>
              <w:t>Text</w:t>
            </w:r>
          </w:p>
        </w:tc>
        <w:tc>
          <w:tcPr>
            <w:tcW w:w="1080" w:type="dxa"/>
            <w:vAlign w:val="center"/>
          </w:tcPr>
          <w:p w:rsidR="00F97D54" w:rsidRDefault="00F97D54" w:rsidP="00EB5B97">
            <w:pPr>
              <w:rPr>
                <w:sz w:val="16"/>
                <w:szCs w:val="16"/>
              </w:rPr>
            </w:pPr>
            <w:r>
              <w:rPr>
                <w:sz w:val="16"/>
                <w:szCs w:val="16"/>
              </w:rPr>
              <w:t>N</w:t>
            </w:r>
          </w:p>
        </w:tc>
      </w:tr>
      <w:tr w:rsidR="00F97D54" w:rsidTr="00EB5B97">
        <w:trPr>
          <w:trHeight w:val="317"/>
        </w:trPr>
        <w:tc>
          <w:tcPr>
            <w:tcW w:w="2358" w:type="dxa"/>
            <w:vAlign w:val="center"/>
          </w:tcPr>
          <w:p w:rsidR="00F97D54" w:rsidRDefault="00F97D54" w:rsidP="00EB5B97">
            <w:pPr>
              <w:rPr>
                <w:sz w:val="16"/>
                <w:szCs w:val="16"/>
              </w:rPr>
            </w:pPr>
            <w:r>
              <w:rPr>
                <w:sz w:val="16"/>
                <w:szCs w:val="16"/>
              </w:rPr>
              <w:t>PH2_Apply</w:t>
            </w:r>
          </w:p>
        </w:tc>
        <w:tc>
          <w:tcPr>
            <w:tcW w:w="4230" w:type="dxa"/>
            <w:vAlign w:val="center"/>
          </w:tcPr>
          <w:p w:rsidR="00F97D54" w:rsidRDefault="00F97D54" w:rsidP="00EB5B97">
            <w:pPr>
              <w:rPr>
                <w:sz w:val="16"/>
                <w:szCs w:val="16"/>
              </w:rPr>
            </w:pPr>
            <w:r w:rsidRPr="00FF4B58">
              <w:rPr>
                <w:sz w:val="16"/>
                <w:szCs w:val="16"/>
              </w:rPr>
              <w:t xml:space="preserve">Do </w:t>
            </w:r>
            <w:r w:rsidRPr="00FF4B58">
              <w:rPr>
                <w:i/>
                <w:sz w:val="16"/>
                <w:szCs w:val="16"/>
              </w:rPr>
              <w:t>DS1</w:t>
            </w:r>
            <w:r w:rsidRPr="00FF4B58">
              <w:rPr>
                <w:sz w:val="16"/>
                <w:szCs w:val="16"/>
              </w:rPr>
              <w:t xml:space="preserve"> or </w:t>
            </w:r>
            <w:r w:rsidRPr="00FF4B58">
              <w:rPr>
                <w:i/>
                <w:sz w:val="16"/>
                <w:szCs w:val="16"/>
              </w:rPr>
              <w:t>DS3</w:t>
            </w:r>
            <w:r w:rsidRPr="00FF4B58">
              <w:rPr>
                <w:sz w:val="16"/>
                <w:szCs w:val="16"/>
              </w:rPr>
              <w:t xml:space="preserve"> purchases in areas where you have been granted </w:t>
            </w:r>
            <w:r w:rsidRPr="00FF4B58">
              <w:rPr>
                <w:i/>
                <w:sz w:val="16"/>
                <w:szCs w:val="16"/>
              </w:rPr>
              <w:t>Phase I</w:t>
            </w:r>
            <w:r>
              <w:rPr>
                <w:i/>
                <w:sz w:val="16"/>
                <w:szCs w:val="16"/>
              </w:rPr>
              <w:t>I</w:t>
            </w:r>
            <w:r w:rsidRPr="00FF4B58">
              <w:rPr>
                <w:i/>
                <w:sz w:val="16"/>
                <w:szCs w:val="16"/>
              </w:rPr>
              <w:t xml:space="preserve"> Pricing Flexibility</w:t>
            </w:r>
            <w:r w:rsidRPr="00FF4B58">
              <w:rPr>
                <w:sz w:val="16"/>
                <w:szCs w:val="16"/>
              </w:rPr>
              <w:t xml:space="preserve"> </w:t>
            </w:r>
            <w:r>
              <w:rPr>
                <w:sz w:val="16"/>
                <w:szCs w:val="16"/>
              </w:rPr>
              <w:t xml:space="preserve">count towards </w:t>
            </w:r>
            <w:r w:rsidRPr="00FF4B58">
              <w:rPr>
                <w:sz w:val="16"/>
                <w:szCs w:val="16"/>
              </w:rPr>
              <w:t xml:space="preserve">meeting any </w:t>
            </w:r>
            <w:r w:rsidRPr="00FF4B58">
              <w:rPr>
                <w:i/>
                <w:sz w:val="16"/>
                <w:szCs w:val="16"/>
              </w:rPr>
              <w:t>Volume Commitment</w:t>
            </w:r>
            <w:r w:rsidRPr="00FF4B58">
              <w:rPr>
                <w:sz w:val="16"/>
                <w:szCs w:val="16"/>
              </w:rPr>
              <w:t xml:space="preserve"> to receive a discount or </w:t>
            </w:r>
            <w:r w:rsidRPr="00FF4B58">
              <w:rPr>
                <w:i/>
                <w:sz w:val="16"/>
                <w:szCs w:val="16"/>
              </w:rPr>
              <w:t>Non-Rate Benefit</w:t>
            </w:r>
            <w:r w:rsidRPr="00FF4B58">
              <w:rPr>
                <w:sz w:val="16"/>
                <w:szCs w:val="16"/>
              </w:rPr>
              <w:t xml:space="preserve"> under this plan?</w:t>
            </w:r>
          </w:p>
          <w:p w:rsidR="00F97D54" w:rsidRPr="00EF6F02" w:rsidRDefault="00F97D54" w:rsidP="00EB5B97">
            <w:pPr>
              <w:rPr>
                <w:sz w:val="16"/>
                <w:szCs w:val="16"/>
              </w:rPr>
            </w:pPr>
            <w:r>
              <w:rPr>
                <w:sz w:val="16"/>
                <w:szCs w:val="16"/>
              </w:rPr>
              <w:t>(Y=Yes, N=No, NA=Not Applicable)</w:t>
            </w:r>
          </w:p>
        </w:tc>
        <w:tc>
          <w:tcPr>
            <w:tcW w:w="1260" w:type="dxa"/>
            <w:vAlign w:val="center"/>
          </w:tcPr>
          <w:p w:rsidR="00F97D54" w:rsidRDefault="00F97D54" w:rsidP="00EB5B97">
            <w:pPr>
              <w:rPr>
                <w:sz w:val="16"/>
                <w:szCs w:val="16"/>
              </w:rPr>
            </w:pPr>
            <w:r>
              <w:rPr>
                <w:sz w:val="16"/>
                <w:szCs w:val="16"/>
              </w:rPr>
              <w:t>Text</w:t>
            </w:r>
          </w:p>
        </w:tc>
        <w:tc>
          <w:tcPr>
            <w:tcW w:w="1080" w:type="dxa"/>
            <w:vAlign w:val="center"/>
          </w:tcPr>
          <w:p w:rsidR="00F97D54" w:rsidRDefault="00F97D54" w:rsidP="00EB5B97">
            <w:pPr>
              <w:rPr>
                <w:sz w:val="16"/>
                <w:szCs w:val="16"/>
              </w:rPr>
            </w:pPr>
            <w:r>
              <w:rPr>
                <w:sz w:val="16"/>
                <w:szCs w:val="16"/>
              </w:rPr>
              <w:t>N</w:t>
            </w:r>
          </w:p>
        </w:tc>
      </w:tr>
      <w:tr w:rsidR="00F97D54" w:rsidTr="00EB5B97">
        <w:trPr>
          <w:trHeight w:val="317"/>
        </w:trPr>
        <w:tc>
          <w:tcPr>
            <w:tcW w:w="2358" w:type="dxa"/>
            <w:vAlign w:val="center"/>
          </w:tcPr>
          <w:p w:rsidR="00F97D54" w:rsidRDefault="00F97D54" w:rsidP="00EB5B97">
            <w:pPr>
              <w:rPr>
                <w:sz w:val="16"/>
                <w:szCs w:val="16"/>
              </w:rPr>
            </w:pPr>
            <w:r>
              <w:rPr>
                <w:sz w:val="16"/>
                <w:szCs w:val="16"/>
              </w:rPr>
              <w:t>PBDS1_Apply</w:t>
            </w:r>
          </w:p>
        </w:tc>
        <w:tc>
          <w:tcPr>
            <w:tcW w:w="4230" w:type="dxa"/>
            <w:vAlign w:val="center"/>
          </w:tcPr>
          <w:p w:rsidR="00F97D54" w:rsidRDefault="00F97D54" w:rsidP="00EB5B97">
            <w:pPr>
              <w:rPr>
                <w:sz w:val="16"/>
                <w:szCs w:val="16"/>
              </w:rPr>
            </w:pPr>
            <w:r w:rsidRPr="00EF6F02">
              <w:rPr>
                <w:sz w:val="16"/>
                <w:szCs w:val="16"/>
              </w:rPr>
              <w:t xml:space="preserve">Do non-tariffed </w:t>
            </w:r>
            <w:r w:rsidRPr="00EF6F02">
              <w:rPr>
                <w:i/>
                <w:sz w:val="16"/>
                <w:szCs w:val="16"/>
              </w:rPr>
              <w:t>PBDS</w:t>
            </w:r>
            <w:r w:rsidRPr="00EF6F02">
              <w:rPr>
                <w:sz w:val="16"/>
                <w:szCs w:val="16"/>
              </w:rPr>
              <w:t xml:space="preserve"> purchases by the custom</w:t>
            </w:r>
            <w:r>
              <w:rPr>
                <w:sz w:val="16"/>
                <w:szCs w:val="16"/>
              </w:rPr>
              <w:t xml:space="preserve">er count towards </w:t>
            </w:r>
            <w:r w:rsidRPr="00EF6F02">
              <w:rPr>
                <w:sz w:val="16"/>
                <w:szCs w:val="16"/>
              </w:rPr>
              <w:t xml:space="preserve">meeting any </w:t>
            </w:r>
            <w:r w:rsidRPr="00EF6F02">
              <w:rPr>
                <w:i/>
                <w:sz w:val="16"/>
                <w:szCs w:val="16"/>
              </w:rPr>
              <w:t>Volume Commitment</w:t>
            </w:r>
            <w:r w:rsidRPr="00EF6F02">
              <w:rPr>
                <w:sz w:val="16"/>
                <w:szCs w:val="16"/>
              </w:rPr>
              <w:t xml:space="preserve"> to receive a discount or </w:t>
            </w:r>
            <w:r w:rsidRPr="00EF6F02">
              <w:rPr>
                <w:i/>
                <w:sz w:val="16"/>
                <w:szCs w:val="16"/>
              </w:rPr>
              <w:t>Non-Rate Benefit</w:t>
            </w:r>
            <w:r w:rsidRPr="00EF6F02">
              <w:rPr>
                <w:sz w:val="16"/>
                <w:szCs w:val="16"/>
              </w:rPr>
              <w:t xml:space="preserve"> under this plan?</w:t>
            </w:r>
            <w:r>
              <w:rPr>
                <w:sz w:val="16"/>
                <w:szCs w:val="16"/>
              </w:rPr>
              <w:t xml:space="preserve"> </w:t>
            </w:r>
          </w:p>
          <w:p w:rsidR="00F97D54" w:rsidRDefault="00F97D54" w:rsidP="00EB5B97">
            <w:pPr>
              <w:rPr>
                <w:sz w:val="16"/>
                <w:szCs w:val="16"/>
              </w:rPr>
            </w:pPr>
            <w:r>
              <w:rPr>
                <w:sz w:val="16"/>
                <w:szCs w:val="16"/>
              </w:rPr>
              <w:t>(Y=Yes, N=No, NA=Not Applicable)</w:t>
            </w:r>
          </w:p>
        </w:tc>
        <w:tc>
          <w:tcPr>
            <w:tcW w:w="1260" w:type="dxa"/>
            <w:vAlign w:val="center"/>
          </w:tcPr>
          <w:p w:rsidR="00F97D54" w:rsidRDefault="00F97D54" w:rsidP="00EB5B97">
            <w:pPr>
              <w:rPr>
                <w:sz w:val="16"/>
                <w:szCs w:val="16"/>
              </w:rPr>
            </w:pPr>
            <w:r>
              <w:rPr>
                <w:sz w:val="16"/>
                <w:szCs w:val="16"/>
              </w:rPr>
              <w:t>Text</w:t>
            </w:r>
          </w:p>
        </w:tc>
        <w:tc>
          <w:tcPr>
            <w:tcW w:w="1080" w:type="dxa"/>
            <w:vAlign w:val="center"/>
          </w:tcPr>
          <w:p w:rsidR="00F97D54" w:rsidRDefault="00F97D54" w:rsidP="00EB5B97">
            <w:pPr>
              <w:rPr>
                <w:sz w:val="16"/>
                <w:szCs w:val="16"/>
              </w:rPr>
            </w:pPr>
            <w:r>
              <w:rPr>
                <w:sz w:val="16"/>
                <w:szCs w:val="16"/>
              </w:rPr>
              <w:t>N</w:t>
            </w:r>
          </w:p>
        </w:tc>
      </w:tr>
      <w:tr w:rsidR="00F97D54" w:rsidTr="00EB5B97">
        <w:trPr>
          <w:trHeight w:val="317"/>
        </w:trPr>
        <w:tc>
          <w:tcPr>
            <w:tcW w:w="2358" w:type="dxa"/>
            <w:vAlign w:val="center"/>
          </w:tcPr>
          <w:p w:rsidR="00F97D54" w:rsidRDefault="00F97D54" w:rsidP="00EB5B97">
            <w:pPr>
              <w:rPr>
                <w:sz w:val="16"/>
                <w:szCs w:val="16"/>
              </w:rPr>
            </w:pPr>
            <w:r>
              <w:rPr>
                <w:sz w:val="16"/>
                <w:szCs w:val="16"/>
              </w:rPr>
              <w:t>PBDS2_Apply</w:t>
            </w:r>
          </w:p>
        </w:tc>
        <w:tc>
          <w:tcPr>
            <w:tcW w:w="4230" w:type="dxa"/>
            <w:vAlign w:val="center"/>
          </w:tcPr>
          <w:p w:rsidR="00F97D54" w:rsidRDefault="00F97D54" w:rsidP="00EB5B97">
            <w:pPr>
              <w:rPr>
                <w:sz w:val="16"/>
                <w:szCs w:val="16"/>
              </w:rPr>
            </w:pPr>
            <w:r w:rsidRPr="00EF6F02">
              <w:rPr>
                <w:sz w:val="16"/>
                <w:szCs w:val="16"/>
              </w:rPr>
              <w:t xml:space="preserve">Do tariffed </w:t>
            </w:r>
            <w:r w:rsidRPr="00EF6F02">
              <w:rPr>
                <w:i/>
                <w:sz w:val="16"/>
                <w:szCs w:val="16"/>
              </w:rPr>
              <w:t>PBDS</w:t>
            </w:r>
            <w:r w:rsidRPr="00EF6F02">
              <w:rPr>
                <w:sz w:val="16"/>
                <w:szCs w:val="16"/>
              </w:rPr>
              <w:t xml:space="preserve"> purchases by the customer </w:t>
            </w:r>
            <w:r>
              <w:rPr>
                <w:sz w:val="16"/>
                <w:szCs w:val="16"/>
              </w:rPr>
              <w:t xml:space="preserve">count towards </w:t>
            </w:r>
            <w:r w:rsidRPr="00EF6F02">
              <w:rPr>
                <w:sz w:val="16"/>
                <w:szCs w:val="16"/>
              </w:rPr>
              <w:t xml:space="preserve">meeting any </w:t>
            </w:r>
            <w:r w:rsidRPr="00EF6F02">
              <w:rPr>
                <w:i/>
                <w:sz w:val="16"/>
                <w:szCs w:val="16"/>
              </w:rPr>
              <w:t>Volume Commitment</w:t>
            </w:r>
            <w:r w:rsidRPr="00EF6F02">
              <w:rPr>
                <w:sz w:val="16"/>
                <w:szCs w:val="16"/>
              </w:rPr>
              <w:t xml:space="preserve"> to receive a discount or </w:t>
            </w:r>
            <w:r w:rsidRPr="00EF6F02">
              <w:rPr>
                <w:i/>
                <w:sz w:val="16"/>
                <w:szCs w:val="16"/>
              </w:rPr>
              <w:t>Non-Rate Benefit</w:t>
            </w:r>
            <w:r w:rsidRPr="00EF6F02">
              <w:rPr>
                <w:sz w:val="16"/>
                <w:szCs w:val="16"/>
              </w:rPr>
              <w:t xml:space="preserve"> under this plan?</w:t>
            </w:r>
            <w:r>
              <w:rPr>
                <w:sz w:val="16"/>
                <w:szCs w:val="16"/>
              </w:rPr>
              <w:t xml:space="preserve"> </w:t>
            </w:r>
          </w:p>
          <w:p w:rsidR="00F97D54" w:rsidRDefault="00F97D54" w:rsidP="00EB5B97">
            <w:pPr>
              <w:rPr>
                <w:sz w:val="16"/>
                <w:szCs w:val="16"/>
              </w:rPr>
            </w:pPr>
            <w:r>
              <w:rPr>
                <w:sz w:val="16"/>
                <w:szCs w:val="16"/>
              </w:rPr>
              <w:t>(Y=Yes, N=No, NA=Not Applicable)</w:t>
            </w:r>
          </w:p>
        </w:tc>
        <w:tc>
          <w:tcPr>
            <w:tcW w:w="1260" w:type="dxa"/>
            <w:vAlign w:val="center"/>
          </w:tcPr>
          <w:p w:rsidR="00F97D54" w:rsidRDefault="00F97D54" w:rsidP="00EB5B97">
            <w:pPr>
              <w:rPr>
                <w:sz w:val="16"/>
                <w:szCs w:val="16"/>
              </w:rPr>
            </w:pPr>
            <w:r>
              <w:rPr>
                <w:sz w:val="16"/>
                <w:szCs w:val="16"/>
              </w:rPr>
              <w:t>Text</w:t>
            </w:r>
          </w:p>
        </w:tc>
        <w:tc>
          <w:tcPr>
            <w:tcW w:w="1080" w:type="dxa"/>
            <w:vAlign w:val="center"/>
          </w:tcPr>
          <w:p w:rsidR="00F97D54" w:rsidRDefault="00F97D54" w:rsidP="00EB5B97">
            <w:pPr>
              <w:rPr>
                <w:sz w:val="16"/>
                <w:szCs w:val="16"/>
              </w:rPr>
            </w:pPr>
            <w:r>
              <w:rPr>
                <w:sz w:val="16"/>
                <w:szCs w:val="16"/>
              </w:rPr>
              <w:t>N</w:t>
            </w:r>
          </w:p>
        </w:tc>
      </w:tr>
      <w:tr w:rsidR="00F97D54" w:rsidTr="00EB5B97">
        <w:trPr>
          <w:trHeight w:val="317"/>
        </w:trPr>
        <w:tc>
          <w:tcPr>
            <w:tcW w:w="2358" w:type="dxa"/>
            <w:vAlign w:val="center"/>
          </w:tcPr>
          <w:p w:rsidR="00F97D54" w:rsidRDefault="00F97D54" w:rsidP="00EB5B97">
            <w:pPr>
              <w:rPr>
                <w:sz w:val="16"/>
                <w:szCs w:val="16"/>
              </w:rPr>
            </w:pPr>
            <w:r>
              <w:rPr>
                <w:sz w:val="16"/>
                <w:szCs w:val="16"/>
              </w:rPr>
              <w:t>Other_Apply</w:t>
            </w:r>
          </w:p>
        </w:tc>
        <w:tc>
          <w:tcPr>
            <w:tcW w:w="4230" w:type="dxa"/>
            <w:vAlign w:val="center"/>
          </w:tcPr>
          <w:p w:rsidR="00F97D54" w:rsidRDefault="00F97D54" w:rsidP="00EB5B97">
            <w:pPr>
              <w:rPr>
                <w:sz w:val="16"/>
                <w:szCs w:val="16"/>
              </w:rPr>
            </w:pPr>
            <w:r w:rsidRPr="00EF6F02">
              <w:rPr>
                <w:sz w:val="16"/>
                <w:szCs w:val="16"/>
              </w:rPr>
              <w:t xml:space="preserve">Do purchases by the customer for services other than </w:t>
            </w:r>
            <w:r w:rsidRPr="00EF6F02">
              <w:rPr>
                <w:i/>
                <w:sz w:val="16"/>
                <w:szCs w:val="16"/>
              </w:rPr>
              <w:t>DS1s, DS3s,</w:t>
            </w:r>
            <w:r w:rsidRPr="00EF6F02">
              <w:rPr>
                <w:sz w:val="16"/>
                <w:szCs w:val="16"/>
              </w:rPr>
              <w:t xml:space="preserve"> and </w:t>
            </w:r>
            <w:r w:rsidRPr="00EF6F02">
              <w:rPr>
                <w:i/>
                <w:sz w:val="16"/>
                <w:szCs w:val="16"/>
              </w:rPr>
              <w:t>PBDS</w:t>
            </w:r>
            <w:r w:rsidRPr="00EF6F02">
              <w:rPr>
                <w:sz w:val="16"/>
                <w:szCs w:val="16"/>
              </w:rPr>
              <w:t xml:space="preserve"> </w:t>
            </w:r>
            <w:r>
              <w:rPr>
                <w:sz w:val="16"/>
                <w:szCs w:val="16"/>
              </w:rPr>
              <w:t xml:space="preserve">count towards </w:t>
            </w:r>
            <w:r w:rsidRPr="00EF6F02">
              <w:rPr>
                <w:sz w:val="16"/>
                <w:szCs w:val="16"/>
              </w:rPr>
              <w:t xml:space="preserve">meeting any </w:t>
            </w:r>
            <w:r w:rsidRPr="00EF6F02">
              <w:rPr>
                <w:i/>
                <w:sz w:val="16"/>
                <w:szCs w:val="16"/>
              </w:rPr>
              <w:t>Volume Commitment</w:t>
            </w:r>
            <w:r w:rsidRPr="00EF6F02">
              <w:rPr>
                <w:sz w:val="16"/>
                <w:szCs w:val="16"/>
              </w:rPr>
              <w:t xml:space="preserve"> to receive a discount or </w:t>
            </w:r>
            <w:r w:rsidRPr="00EF6F02">
              <w:rPr>
                <w:i/>
                <w:sz w:val="16"/>
                <w:szCs w:val="16"/>
              </w:rPr>
              <w:t>Non-Rate Benefit</w:t>
            </w:r>
            <w:r w:rsidRPr="00EF6F02">
              <w:rPr>
                <w:sz w:val="16"/>
                <w:szCs w:val="16"/>
              </w:rPr>
              <w:t xml:space="preserve"> under this plan?</w:t>
            </w:r>
          </w:p>
          <w:p w:rsidR="00F97D54" w:rsidRDefault="00F97D54" w:rsidP="00EB5B97">
            <w:pPr>
              <w:rPr>
                <w:sz w:val="16"/>
                <w:szCs w:val="16"/>
              </w:rPr>
            </w:pPr>
            <w:r>
              <w:rPr>
                <w:sz w:val="16"/>
                <w:szCs w:val="16"/>
              </w:rPr>
              <w:t>(Y=Yes, N=No, NA=Not Applicable)</w:t>
            </w:r>
          </w:p>
        </w:tc>
        <w:tc>
          <w:tcPr>
            <w:tcW w:w="1260" w:type="dxa"/>
            <w:vAlign w:val="center"/>
          </w:tcPr>
          <w:p w:rsidR="00F97D54" w:rsidRDefault="00F97D54" w:rsidP="00EB5B97">
            <w:pPr>
              <w:rPr>
                <w:sz w:val="16"/>
                <w:szCs w:val="16"/>
              </w:rPr>
            </w:pPr>
            <w:r>
              <w:rPr>
                <w:sz w:val="16"/>
                <w:szCs w:val="16"/>
              </w:rPr>
              <w:t>Text</w:t>
            </w:r>
          </w:p>
        </w:tc>
        <w:tc>
          <w:tcPr>
            <w:tcW w:w="1080" w:type="dxa"/>
            <w:vAlign w:val="center"/>
          </w:tcPr>
          <w:p w:rsidR="00F97D54" w:rsidRDefault="00F97D54" w:rsidP="00EB5B97">
            <w:pPr>
              <w:rPr>
                <w:sz w:val="16"/>
                <w:szCs w:val="16"/>
              </w:rPr>
            </w:pPr>
            <w:r>
              <w:rPr>
                <w:sz w:val="16"/>
                <w:szCs w:val="16"/>
              </w:rPr>
              <w:t>N</w:t>
            </w:r>
          </w:p>
        </w:tc>
      </w:tr>
      <w:tr w:rsidR="00F97D54" w:rsidTr="00EB5B97">
        <w:trPr>
          <w:trHeight w:val="317"/>
        </w:trPr>
        <w:tc>
          <w:tcPr>
            <w:tcW w:w="2358" w:type="dxa"/>
            <w:vAlign w:val="center"/>
          </w:tcPr>
          <w:p w:rsidR="00F97D54" w:rsidRDefault="00F97D54" w:rsidP="00EB5B97">
            <w:pPr>
              <w:rPr>
                <w:sz w:val="16"/>
                <w:szCs w:val="16"/>
              </w:rPr>
            </w:pPr>
            <w:r>
              <w:rPr>
                <w:sz w:val="16"/>
                <w:szCs w:val="16"/>
              </w:rPr>
              <w:t>UNE_Cond</w:t>
            </w:r>
          </w:p>
        </w:tc>
        <w:tc>
          <w:tcPr>
            <w:tcW w:w="4230" w:type="dxa"/>
            <w:vAlign w:val="center"/>
          </w:tcPr>
          <w:p w:rsidR="00F97D54" w:rsidRDefault="00F97D54" w:rsidP="00EB5B97">
            <w:pPr>
              <w:rPr>
                <w:sz w:val="16"/>
                <w:szCs w:val="16"/>
              </w:rPr>
            </w:pPr>
            <w:r w:rsidRPr="00EF6F02">
              <w:rPr>
                <w:sz w:val="16"/>
                <w:szCs w:val="16"/>
              </w:rPr>
              <w:t xml:space="preserve">Is the discount or </w:t>
            </w:r>
            <w:r w:rsidRPr="00EF6F02">
              <w:rPr>
                <w:i/>
                <w:sz w:val="16"/>
                <w:szCs w:val="16"/>
              </w:rPr>
              <w:t>Non-Rate Benefit</w:t>
            </w:r>
            <w:r w:rsidRPr="00EF6F02">
              <w:rPr>
                <w:sz w:val="16"/>
                <w:szCs w:val="16"/>
              </w:rPr>
              <w:t xml:space="preserve"> available under this plan conditioned on the customer limiting its purchase of </w:t>
            </w:r>
            <w:r w:rsidRPr="00EF6F02">
              <w:rPr>
                <w:i/>
                <w:sz w:val="16"/>
                <w:szCs w:val="16"/>
              </w:rPr>
              <w:t>UNEs</w:t>
            </w:r>
            <w:r w:rsidRPr="00EF6F02">
              <w:rPr>
                <w:sz w:val="16"/>
                <w:szCs w:val="16"/>
              </w:rPr>
              <w:t xml:space="preserve">, </w:t>
            </w:r>
            <w:r w:rsidRPr="00EF6F02">
              <w:rPr>
                <w:i/>
                <w:sz w:val="16"/>
                <w:szCs w:val="16"/>
              </w:rPr>
              <w:t>e.g.</w:t>
            </w:r>
            <w:r w:rsidRPr="00EF6F02">
              <w:rPr>
                <w:sz w:val="16"/>
                <w:szCs w:val="16"/>
              </w:rPr>
              <w:t xml:space="preserve">, customer must keep its purchase of </w:t>
            </w:r>
            <w:r w:rsidRPr="00EF6F02">
              <w:rPr>
                <w:i/>
                <w:sz w:val="16"/>
                <w:szCs w:val="16"/>
              </w:rPr>
              <w:t>UNEs</w:t>
            </w:r>
            <w:r w:rsidRPr="00EF6F02">
              <w:rPr>
                <w:sz w:val="16"/>
                <w:szCs w:val="16"/>
              </w:rPr>
              <w:t xml:space="preserve"> below a certain percentage of the customer’s total spend?</w:t>
            </w:r>
          </w:p>
          <w:p w:rsidR="00F97D54" w:rsidRDefault="00F97D54" w:rsidP="00EB5B97">
            <w:pPr>
              <w:rPr>
                <w:sz w:val="16"/>
                <w:szCs w:val="16"/>
              </w:rPr>
            </w:pPr>
            <w:r>
              <w:rPr>
                <w:sz w:val="16"/>
                <w:szCs w:val="16"/>
              </w:rPr>
              <w:t>(Y=Yes, N=No)</w:t>
            </w:r>
          </w:p>
        </w:tc>
        <w:tc>
          <w:tcPr>
            <w:tcW w:w="1260" w:type="dxa"/>
            <w:vAlign w:val="center"/>
          </w:tcPr>
          <w:p w:rsidR="00F97D54" w:rsidRDefault="00F97D54" w:rsidP="00EB5B97">
            <w:pPr>
              <w:rPr>
                <w:sz w:val="16"/>
                <w:szCs w:val="16"/>
              </w:rPr>
            </w:pPr>
            <w:r>
              <w:rPr>
                <w:sz w:val="16"/>
                <w:szCs w:val="16"/>
              </w:rPr>
              <w:t>Text</w:t>
            </w:r>
          </w:p>
        </w:tc>
        <w:tc>
          <w:tcPr>
            <w:tcW w:w="1080" w:type="dxa"/>
            <w:vAlign w:val="center"/>
          </w:tcPr>
          <w:p w:rsidR="00F97D54" w:rsidRDefault="00F97D54" w:rsidP="00EB5B97">
            <w:pPr>
              <w:rPr>
                <w:sz w:val="16"/>
                <w:szCs w:val="16"/>
              </w:rPr>
            </w:pPr>
            <w:r>
              <w:rPr>
                <w:sz w:val="16"/>
                <w:szCs w:val="16"/>
              </w:rPr>
              <w:t>N</w:t>
            </w:r>
          </w:p>
        </w:tc>
      </w:tr>
      <w:tr w:rsidR="00F97D54" w:rsidTr="00EB5B97">
        <w:trPr>
          <w:trHeight w:val="317"/>
        </w:trPr>
        <w:tc>
          <w:tcPr>
            <w:tcW w:w="2358" w:type="dxa"/>
          </w:tcPr>
          <w:p w:rsidR="00F97D54" w:rsidRPr="00F43280" w:rsidRDefault="00F97D54" w:rsidP="00EB5B97">
            <w:pPr>
              <w:tabs>
                <w:tab w:val="left" w:pos="2022"/>
              </w:tabs>
              <w:rPr>
                <w:sz w:val="16"/>
                <w:szCs w:val="16"/>
              </w:rPr>
            </w:pPr>
            <w:r>
              <w:rPr>
                <w:sz w:val="16"/>
                <w:szCs w:val="16"/>
              </w:rPr>
              <w:t>Rev_Tot_2010</w:t>
            </w:r>
          </w:p>
        </w:tc>
        <w:tc>
          <w:tcPr>
            <w:tcW w:w="4230" w:type="dxa"/>
          </w:tcPr>
          <w:p w:rsidR="00F97D54" w:rsidRPr="00F43280" w:rsidRDefault="00F97D54" w:rsidP="00EB5B97">
            <w:pPr>
              <w:rPr>
                <w:sz w:val="16"/>
                <w:szCs w:val="16"/>
              </w:rPr>
            </w:pPr>
            <w:r>
              <w:rPr>
                <w:sz w:val="16"/>
                <w:szCs w:val="16"/>
              </w:rPr>
              <w:t xml:space="preserve">Total </w:t>
            </w:r>
            <w:r w:rsidRPr="00DE2DCC">
              <w:rPr>
                <w:i/>
                <w:sz w:val="16"/>
                <w:szCs w:val="16"/>
              </w:rPr>
              <w:t>Revenue</w:t>
            </w:r>
            <w:r>
              <w:rPr>
                <w:sz w:val="16"/>
                <w:szCs w:val="16"/>
              </w:rPr>
              <w:t xml:space="preserve"> from the provision of </w:t>
            </w:r>
            <w:r w:rsidRPr="00A17A30">
              <w:rPr>
                <w:i/>
                <w:sz w:val="16"/>
                <w:szCs w:val="16"/>
              </w:rPr>
              <w:t>Dedicated Services</w:t>
            </w:r>
            <w:r>
              <w:rPr>
                <w:sz w:val="16"/>
                <w:szCs w:val="16"/>
              </w:rPr>
              <w:t xml:space="preserve"> under this plan for 2010</w:t>
            </w:r>
          </w:p>
        </w:tc>
        <w:tc>
          <w:tcPr>
            <w:tcW w:w="1260" w:type="dxa"/>
          </w:tcPr>
          <w:p w:rsidR="00F97D54" w:rsidRPr="00F43280" w:rsidRDefault="00F97D54" w:rsidP="00EB5B97">
            <w:pPr>
              <w:rPr>
                <w:sz w:val="16"/>
                <w:szCs w:val="16"/>
              </w:rPr>
            </w:pPr>
            <w:r>
              <w:rPr>
                <w:sz w:val="16"/>
                <w:szCs w:val="16"/>
              </w:rPr>
              <w:t>Float</w:t>
            </w:r>
          </w:p>
        </w:tc>
        <w:tc>
          <w:tcPr>
            <w:tcW w:w="1080" w:type="dxa"/>
          </w:tcPr>
          <w:p w:rsidR="00F97D54" w:rsidRPr="00F43280" w:rsidRDefault="00F97D54" w:rsidP="00EB5B97">
            <w:pPr>
              <w:rPr>
                <w:sz w:val="16"/>
                <w:szCs w:val="16"/>
              </w:rPr>
            </w:pPr>
            <w:r>
              <w:rPr>
                <w:sz w:val="16"/>
                <w:szCs w:val="16"/>
              </w:rPr>
              <w:t>123,456</w:t>
            </w:r>
          </w:p>
        </w:tc>
      </w:tr>
      <w:tr w:rsidR="00F97D54" w:rsidTr="00EB5B97">
        <w:trPr>
          <w:trHeight w:val="317"/>
        </w:trPr>
        <w:tc>
          <w:tcPr>
            <w:tcW w:w="2358" w:type="dxa"/>
          </w:tcPr>
          <w:p w:rsidR="00F97D54" w:rsidRPr="00F43280" w:rsidRDefault="00F97D54" w:rsidP="00EB5B97">
            <w:pPr>
              <w:tabs>
                <w:tab w:val="left" w:pos="2022"/>
              </w:tabs>
              <w:rPr>
                <w:sz w:val="16"/>
                <w:szCs w:val="16"/>
              </w:rPr>
            </w:pPr>
            <w:r>
              <w:rPr>
                <w:sz w:val="16"/>
                <w:szCs w:val="16"/>
              </w:rPr>
              <w:t>Rev_Tot_2012</w:t>
            </w:r>
          </w:p>
        </w:tc>
        <w:tc>
          <w:tcPr>
            <w:tcW w:w="4230" w:type="dxa"/>
          </w:tcPr>
          <w:p w:rsidR="00F97D54" w:rsidRPr="00F43280" w:rsidRDefault="00F97D54" w:rsidP="00EB5B97">
            <w:pPr>
              <w:rPr>
                <w:sz w:val="16"/>
                <w:szCs w:val="16"/>
              </w:rPr>
            </w:pPr>
            <w:r>
              <w:rPr>
                <w:sz w:val="16"/>
                <w:szCs w:val="16"/>
              </w:rPr>
              <w:t xml:space="preserve">Total </w:t>
            </w:r>
            <w:r w:rsidRPr="00DE2DCC">
              <w:rPr>
                <w:i/>
                <w:sz w:val="16"/>
                <w:szCs w:val="16"/>
              </w:rPr>
              <w:t>Revenue</w:t>
            </w:r>
            <w:r>
              <w:rPr>
                <w:sz w:val="16"/>
                <w:szCs w:val="16"/>
              </w:rPr>
              <w:t xml:space="preserve"> from the provision of </w:t>
            </w:r>
            <w:r w:rsidRPr="00A17A30">
              <w:rPr>
                <w:i/>
                <w:sz w:val="16"/>
                <w:szCs w:val="16"/>
              </w:rPr>
              <w:t>Dedicated Services</w:t>
            </w:r>
            <w:r>
              <w:rPr>
                <w:sz w:val="16"/>
                <w:szCs w:val="16"/>
              </w:rPr>
              <w:t xml:space="preserve"> under this plan for 2012 </w:t>
            </w:r>
          </w:p>
        </w:tc>
        <w:tc>
          <w:tcPr>
            <w:tcW w:w="1260" w:type="dxa"/>
          </w:tcPr>
          <w:p w:rsidR="00F97D54" w:rsidRPr="00F43280" w:rsidRDefault="00F97D54" w:rsidP="00EB5B97">
            <w:pPr>
              <w:rPr>
                <w:sz w:val="16"/>
                <w:szCs w:val="16"/>
              </w:rPr>
            </w:pPr>
            <w:r>
              <w:rPr>
                <w:sz w:val="16"/>
                <w:szCs w:val="16"/>
              </w:rPr>
              <w:t>Float</w:t>
            </w:r>
          </w:p>
        </w:tc>
        <w:tc>
          <w:tcPr>
            <w:tcW w:w="1080" w:type="dxa"/>
          </w:tcPr>
          <w:p w:rsidR="00F97D54" w:rsidRPr="00F43280" w:rsidRDefault="00F97D54" w:rsidP="00EB5B97">
            <w:pPr>
              <w:rPr>
                <w:sz w:val="16"/>
                <w:szCs w:val="16"/>
              </w:rPr>
            </w:pPr>
            <w:r>
              <w:rPr>
                <w:sz w:val="16"/>
                <w:szCs w:val="16"/>
              </w:rPr>
              <w:t>123,456</w:t>
            </w:r>
          </w:p>
        </w:tc>
      </w:tr>
      <w:tr w:rsidR="00F97D54" w:rsidTr="00EB5B97">
        <w:trPr>
          <w:trHeight w:val="317"/>
        </w:trPr>
        <w:tc>
          <w:tcPr>
            <w:tcW w:w="2358" w:type="dxa"/>
            <w:vAlign w:val="center"/>
          </w:tcPr>
          <w:p w:rsidR="00F97D54" w:rsidRDefault="00F97D54" w:rsidP="00EB5B97">
            <w:pPr>
              <w:rPr>
                <w:sz w:val="16"/>
                <w:szCs w:val="16"/>
              </w:rPr>
            </w:pPr>
            <w:r>
              <w:rPr>
                <w:sz w:val="16"/>
                <w:szCs w:val="16"/>
              </w:rPr>
              <w:t>Biz_Rational</w:t>
            </w:r>
          </w:p>
        </w:tc>
        <w:tc>
          <w:tcPr>
            <w:tcW w:w="4230" w:type="dxa"/>
            <w:vAlign w:val="center"/>
          </w:tcPr>
          <w:p w:rsidR="00F97D54" w:rsidRDefault="00F97D54" w:rsidP="00EB5B97">
            <w:pPr>
              <w:rPr>
                <w:sz w:val="16"/>
                <w:szCs w:val="16"/>
              </w:rPr>
            </w:pPr>
            <w:r w:rsidRPr="005A64D1">
              <w:rPr>
                <w:sz w:val="16"/>
                <w:szCs w:val="16"/>
              </w:rPr>
              <w:t xml:space="preserve">What is the business justification for any </w:t>
            </w:r>
            <w:r w:rsidRPr="005A64D1">
              <w:rPr>
                <w:i/>
                <w:sz w:val="16"/>
                <w:szCs w:val="16"/>
              </w:rPr>
              <w:t>Term</w:t>
            </w:r>
            <w:r w:rsidRPr="005A64D1">
              <w:rPr>
                <w:sz w:val="16"/>
                <w:szCs w:val="16"/>
              </w:rPr>
              <w:t xml:space="preserve"> or </w:t>
            </w:r>
            <w:r w:rsidRPr="005A64D1">
              <w:rPr>
                <w:i/>
                <w:sz w:val="16"/>
                <w:szCs w:val="16"/>
              </w:rPr>
              <w:t>Volume Commitments</w:t>
            </w:r>
            <w:r w:rsidRPr="005A64D1">
              <w:rPr>
                <w:sz w:val="16"/>
                <w:szCs w:val="16"/>
              </w:rPr>
              <w:t xml:space="preserve"> associated with this plan?</w:t>
            </w:r>
          </w:p>
        </w:tc>
        <w:tc>
          <w:tcPr>
            <w:tcW w:w="1260" w:type="dxa"/>
            <w:vAlign w:val="center"/>
          </w:tcPr>
          <w:p w:rsidR="00F97D54" w:rsidRDefault="00F97D54" w:rsidP="00EB5B97">
            <w:pPr>
              <w:rPr>
                <w:sz w:val="16"/>
                <w:szCs w:val="16"/>
              </w:rPr>
            </w:pPr>
            <w:r>
              <w:rPr>
                <w:sz w:val="16"/>
                <w:szCs w:val="16"/>
              </w:rPr>
              <w:t>Text</w:t>
            </w:r>
          </w:p>
        </w:tc>
        <w:tc>
          <w:tcPr>
            <w:tcW w:w="1080" w:type="dxa"/>
            <w:vAlign w:val="center"/>
          </w:tcPr>
          <w:p w:rsidR="00F97D54" w:rsidRDefault="00F97D54" w:rsidP="00EB5B97">
            <w:pPr>
              <w:rPr>
                <w:sz w:val="16"/>
                <w:szCs w:val="16"/>
              </w:rPr>
            </w:pPr>
            <w:r>
              <w:rPr>
                <w:sz w:val="16"/>
                <w:szCs w:val="16"/>
              </w:rPr>
              <w:t>We have . . .</w:t>
            </w:r>
          </w:p>
        </w:tc>
      </w:tr>
      <w:tr w:rsidR="00F97D54" w:rsidTr="00EB5B97">
        <w:trPr>
          <w:trHeight w:val="317"/>
        </w:trPr>
        <w:tc>
          <w:tcPr>
            <w:tcW w:w="2358" w:type="dxa"/>
            <w:vAlign w:val="center"/>
          </w:tcPr>
          <w:p w:rsidR="00F97D54" w:rsidRDefault="00F97D54" w:rsidP="00EB5B97">
            <w:pPr>
              <w:rPr>
                <w:sz w:val="16"/>
                <w:szCs w:val="16"/>
              </w:rPr>
            </w:pPr>
            <w:r>
              <w:rPr>
                <w:sz w:val="16"/>
                <w:szCs w:val="16"/>
              </w:rPr>
              <w:t>Tot_CustCount_2012</w:t>
            </w:r>
          </w:p>
        </w:tc>
        <w:tc>
          <w:tcPr>
            <w:tcW w:w="4230" w:type="dxa"/>
            <w:vAlign w:val="center"/>
          </w:tcPr>
          <w:p w:rsidR="00F97D54" w:rsidRDefault="00F97D54" w:rsidP="00EB5B97">
            <w:pPr>
              <w:rPr>
                <w:sz w:val="16"/>
                <w:szCs w:val="16"/>
              </w:rPr>
            </w:pPr>
            <w:r>
              <w:rPr>
                <w:sz w:val="16"/>
                <w:szCs w:val="16"/>
              </w:rPr>
              <w:t>Total number of customers subscribed to this plan as of Dec. 31, 2012</w:t>
            </w:r>
          </w:p>
        </w:tc>
        <w:tc>
          <w:tcPr>
            <w:tcW w:w="1260" w:type="dxa"/>
            <w:vAlign w:val="center"/>
          </w:tcPr>
          <w:p w:rsidR="00F97D54" w:rsidRDefault="00F97D54" w:rsidP="00EB5B97">
            <w:pPr>
              <w:rPr>
                <w:sz w:val="16"/>
                <w:szCs w:val="16"/>
              </w:rPr>
            </w:pPr>
            <w:r>
              <w:rPr>
                <w:sz w:val="16"/>
                <w:szCs w:val="16"/>
              </w:rPr>
              <w:t>Integer</w:t>
            </w:r>
          </w:p>
        </w:tc>
        <w:tc>
          <w:tcPr>
            <w:tcW w:w="1080" w:type="dxa"/>
            <w:vAlign w:val="center"/>
          </w:tcPr>
          <w:p w:rsidR="00F97D54" w:rsidRDefault="00F97D54" w:rsidP="00EB5B97">
            <w:pPr>
              <w:rPr>
                <w:sz w:val="16"/>
                <w:szCs w:val="16"/>
              </w:rPr>
            </w:pPr>
            <w:r>
              <w:rPr>
                <w:sz w:val="16"/>
                <w:szCs w:val="16"/>
              </w:rPr>
              <w:t>434</w:t>
            </w:r>
          </w:p>
        </w:tc>
      </w:tr>
      <w:tr w:rsidR="00F97D54" w:rsidTr="00EB5B97">
        <w:trPr>
          <w:trHeight w:val="317"/>
        </w:trPr>
        <w:tc>
          <w:tcPr>
            <w:tcW w:w="2358" w:type="dxa"/>
            <w:vAlign w:val="center"/>
          </w:tcPr>
          <w:p w:rsidR="00F97D54" w:rsidRDefault="00F97D54" w:rsidP="00EB5B97">
            <w:pPr>
              <w:rPr>
                <w:sz w:val="16"/>
                <w:szCs w:val="16"/>
              </w:rPr>
            </w:pPr>
            <w:r>
              <w:rPr>
                <w:sz w:val="16"/>
                <w:szCs w:val="16"/>
              </w:rPr>
              <w:t>DS1_CustCount_2012</w:t>
            </w:r>
          </w:p>
        </w:tc>
        <w:tc>
          <w:tcPr>
            <w:tcW w:w="4230" w:type="dxa"/>
            <w:vAlign w:val="center"/>
          </w:tcPr>
          <w:p w:rsidR="00F97D54" w:rsidRDefault="00F97D54" w:rsidP="00EB5B97">
            <w:pPr>
              <w:rPr>
                <w:sz w:val="16"/>
                <w:szCs w:val="16"/>
              </w:rPr>
            </w:pPr>
            <w:r>
              <w:rPr>
                <w:sz w:val="16"/>
                <w:szCs w:val="16"/>
              </w:rPr>
              <w:t xml:space="preserve">Number of customers purchasing </w:t>
            </w:r>
            <w:r w:rsidRPr="00925B0A">
              <w:rPr>
                <w:i/>
                <w:sz w:val="16"/>
                <w:szCs w:val="16"/>
              </w:rPr>
              <w:t>DS1s</w:t>
            </w:r>
            <w:r>
              <w:rPr>
                <w:sz w:val="16"/>
                <w:szCs w:val="16"/>
              </w:rPr>
              <w:t xml:space="preserve"> under this plan as of Dec. 31, 2012</w:t>
            </w:r>
          </w:p>
        </w:tc>
        <w:tc>
          <w:tcPr>
            <w:tcW w:w="1260" w:type="dxa"/>
            <w:vAlign w:val="center"/>
          </w:tcPr>
          <w:p w:rsidR="00F97D54" w:rsidRDefault="00F97D54" w:rsidP="00EB5B97">
            <w:pPr>
              <w:rPr>
                <w:sz w:val="16"/>
                <w:szCs w:val="16"/>
              </w:rPr>
            </w:pPr>
            <w:r>
              <w:rPr>
                <w:sz w:val="16"/>
                <w:szCs w:val="16"/>
              </w:rPr>
              <w:t>Integer</w:t>
            </w:r>
          </w:p>
        </w:tc>
        <w:tc>
          <w:tcPr>
            <w:tcW w:w="1080" w:type="dxa"/>
            <w:vAlign w:val="center"/>
          </w:tcPr>
          <w:p w:rsidR="00F97D54" w:rsidRDefault="00F97D54" w:rsidP="00EB5B97">
            <w:pPr>
              <w:rPr>
                <w:sz w:val="16"/>
                <w:szCs w:val="16"/>
              </w:rPr>
            </w:pPr>
            <w:r>
              <w:rPr>
                <w:sz w:val="16"/>
                <w:szCs w:val="16"/>
              </w:rPr>
              <w:t>434</w:t>
            </w:r>
          </w:p>
        </w:tc>
      </w:tr>
      <w:tr w:rsidR="00F97D54" w:rsidTr="00EB5B97">
        <w:trPr>
          <w:trHeight w:val="317"/>
        </w:trPr>
        <w:tc>
          <w:tcPr>
            <w:tcW w:w="2358" w:type="dxa"/>
            <w:vAlign w:val="center"/>
          </w:tcPr>
          <w:p w:rsidR="00F97D54" w:rsidRDefault="00F97D54" w:rsidP="00EB5B97">
            <w:pPr>
              <w:rPr>
                <w:sz w:val="16"/>
                <w:szCs w:val="16"/>
              </w:rPr>
            </w:pPr>
            <w:r>
              <w:rPr>
                <w:sz w:val="16"/>
                <w:szCs w:val="16"/>
              </w:rPr>
              <w:t>DS3_CustCount_2012</w:t>
            </w:r>
          </w:p>
        </w:tc>
        <w:tc>
          <w:tcPr>
            <w:tcW w:w="4230" w:type="dxa"/>
            <w:vAlign w:val="center"/>
          </w:tcPr>
          <w:p w:rsidR="00F97D54" w:rsidRDefault="00F97D54" w:rsidP="00EB5B97">
            <w:pPr>
              <w:rPr>
                <w:sz w:val="16"/>
                <w:szCs w:val="16"/>
              </w:rPr>
            </w:pPr>
            <w:r>
              <w:rPr>
                <w:sz w:val="16"/>
                <w:szCs w:val="16"/>
              </w:rPr>
              <w:t xml:space="preserve">Number of customers purchasing </w:t>
            </w:r>
            <w:r w:rsidRPr="00925B0A">
              <w:rPr>
                <w:i/>
                <w:sz w:val="16"/>
                <w:szCs w:val="16"/>
              </w:rPr>
              <w:t>DS</w:t>
            </w:r>
            <w:r>
              <w:rPr>
                <w:i/>
                <w:sz w:val="16"/>
                <w:szCs w:val="16"/>
              </w:rPr>
              <w:t>3</w:t>
            </w:r>
            <w:r w:rsidRPr="00925B0A">
              <w:rPr>
                <w:i/>
                <w:sz w:val="16"/>
                <w:szCs w:val="16"/>
              </w:rPr>
              <w:t>s</w:t>
            </w:r>
            <w:r>
              <w:rPr>
                <w:sz w:val="16"/>
                <w:szCs w:val="16"/>
              </w:rPr>
              <w:t xml:space="preserve"> under this plan as of Dec. 31, 2012</w:t>
            </w:r>
          </w:p>
        </w:tc>
        <w:tc>
          <w:tcPr>
            <w:tcW w:w="1260" w:type="dxa"/>
            <w:vAlign w:val="center"/>
          </w:tcPr>
          <w:p w:rsidR="00F97D54" w:rsidRDefault="00F97D54" w:rsidP="00EB5B97">
            <w:pPr>
              <w:rPr>
                <w:sz w:val="16"/>
                <w:szCs w:val="16"/>
              </w:rPr>
            </w:pPr>
            <w:r>
              <w:rPr>
                <w:sz w:val="16"/>
                <w:szCs w:val="16"/>
              </w:rPr>
              <w:t>Integer</w:t>
            </w:r>
          </w:p>
        </w:tc>
        <w:tc>
          <w:tcPr>
            <w:tcW w:w="1080" w:type="dxa"/>
            <w:vAlign w:val="center"/>
          </w:tcPr>
          <w:p w:rsidR="00F97D54" w:rsidRDefault="00F97D54" w:rsidP="00EB5B97">
            <w:pPr>
              <w:rPr>
                <w:sz w:val="16"/>
                <w:szCs w:val="16"/>
              </w:rPr>
            </w:pPr>
            <w:r>
              <w:rPr>
                <w:sz w:val="16"/>
                <w:szCs w:val="16"/>
              </w:rPr>
              <w:t>434</w:t>
            </w:r>
          </w:p>
        </w:tc>
      </w:tr>
      <w:tr w:rsidR="00F97D54" w:rsidTr="00EB5B97">
        <w:trPr>
          <w:trHeight w:val="317"/>
        </w:trPr>
        <w:tc>
          <w:tcPr>
            <w:tcW w:w="2358" w:type="dxa"/>
            <w:vAlign w:val="center"/>
          </w:tcPr>
          <w:p w:rsidR="00F97D54" w:rsidRDefault="00F97D54" w:rsidP="00EB5B97">
            <w:pPr>
              <w:rPr>
                <w:sz w:val="16"/>
                <w:szCs w:val="16"/>
              </w:rPr>
            </w:pPr>
            <w:r>
              <w:rPr>
                <w:sz w:val="16"/>
                <w:szCs w:val="16"/>
              </w:rPr>
              <w:t>PBDS_CustCount2012</w:t>
            </w:r>
          </w:p>
        </w:tc>
        <w:tc>
          <w:tcPr>
            <w:tcW w:w="4230" w:type="dxa"/>
            <w:vAlign w:val="center"/>
          </w:tcPr>
          <w:p w:rsidR="00F97D54" w:rsidRDefault="00F97D54" w:rsidP="00EB5B97">
            <w:pPr>
              <w:rPr>
                <w:sz w:val="16"/>
                <w:szCs w:val="16"/>
              </w:rPr>
            </w:pPr>
            <w:r>
              <w:rPr>
                <w:sz w:val="16"/>
                <w:szCs w:val="16"/>
              </w:rPr>
              <w:t xml:space="preserve">Number of customers purchasing </w:t>
            </w:r>
            <w:r>
              <w:rPr>
                <w:i/>
                <w:sz w:val="16"/>
                <w:szCs w:val="16"/>
              </w:rPr>
              <w:t>PBDS</w:t>
            </w:r>
            <w:r>
              <w:rPr>
                <w:sz w:val="16"/>
                <w:szCs w:val="16"/>
              </w:rPr>
              <w:t xml:space="preserve"> under this plan as of Dec. 31, 2012</w:t>
            </w:r>
          </w:p>
        </w:tc>
        <w:tc>
          <w:tcPr>
            <w:tcW w:w="1260" w:type="dxa"/>
            <w:vAlign w:val="center"/>
          </w:tcPr>
          <w:p w:rsidR="00F97D54" w:rsidRDefault="00F97D54" w:rsidP="00EB5B97">
            <w:pPr>
              <w:rPr>
                <w:sz w:val="16"/>
                <w:szCs w:val="16"/>
              </w:rPr>
            </w:pPr>
          </w:p>
        </w:tc>
        <w:tc>
          <w:tcPr>
            <w:tcW w:w="1080" w:type="dxa"/>
            <w:vAlign w:val="center"/>
          </w:tcPr>
          <w:p w:rsidR="00F97D54" w:rsidRDefault="00F97D54" w:rsidP="00EB5B97">
            <w:pPr>
              <w:rPr>
                <w:sz w:val="16"/>
                <w:szCs w:val="16"/>
              </w:rPr>
            </w:pPr>
          </w:p>
        </w:tc>
      </w:tr>
      <w:tr w:rsidR="00F97D54" w:rsidTr="00EB5B97">
        <w:trPr>
          <w:trHeight w:val="317"/>
        </w:trPr>
        <w:tc>
          <w:tcPr>
            <w:tcW w:w="2358" w:type="dxa"/>
            <w:vAlign w:val="center"/>
          </w:tcPr>
          <w:p w:rsidR="00F97D54" w:rsidRDefault="00F97D54" w:rsidP="00EB5B97">
            <w:pPr>
              <w:rPr>
                <w:sz w:val="16"/>
                <w:szCs w:val="16"/>
              </w:rPr>
            </w:pPr>
            <w:r>
              <w:rPr>
                <w:sz w:val="16"/>
                <w:szCs w:val="16"/>
              </w:rPr>
              <w:t>DS1_CustCount_2012_CP</w:t>
            </w:r>
          </w:p>
        </w:tc>
        <w:tc>
          <w:tcPr>
            <w:tcW w:w="4230" w:type="dxa"/>
            <w:vAlign w:val="center"/>
          </w:tcPr>
          <w:p w:rsidR="00F97D54" w:rsidRDefault="00F97D54" w:rsidP="00EB5B97">
            <w:pPr>
              <w:rPr>
                <w:sz w:val="16"/>
                <w:szCs w:val="16"/>
              </w:rPr>
            </w:pPr>
            <w:r>
              <w:rPr>
                <w:sz w:val="16"/>
                <w:szCs w:val="16"/>
              </w:rPr>
              <w:t xml:space="preserve">Number of customers that were </w:t>
            </w:r>
            <w:r w:rsidRPr="00925B0A">
              <w:rPr>
                <w:i/>
                <w:sz w:val="16"/>
                <w:szCs w:val="16"/>
              </w:rPr>
              <w:t>Competitive Providers</w:t>
            </w:r>
            <w:r>
              <w:rPr>
                <w:sz w:val="16"/>
                <w:szCs w:val="16"/>
              </w:rPr>
              <w:t xml:space="preserve"> purchasing </w:t>
            </w:r>
            <w:r w:rsidRPr="00925B0A">
              <w:rPr>
                <w:i/>
                <w:sz w:val="16"/>
                <w:szCs w:val="16"/>
              </w:rPr>
              <w:t>DS1s</w:t>
            </w:r>
            <w:r>
              <w:rPr>
                <w:sz w:val="16"/>
                <w:szCs w:val="16"/>
              </w:rPr>
              <w:t xml:space="preserve"> under this plan as of Dec. 31, 2012</w:t>
            </w:r>
          </w:p>
        </w:tc>
        <w:tc>
          <w:tcPr>
            <w:tcW w:w="1260" w:type="dxa"/>
            <w:vAlign w:val="center"/>
          </w:tcPr>
          <w:p w:rsidR="00F97D54" w:rsidRDefault="00F97D54" w:rsidP="00EB5B97">
            <w:pPr>
              <w:rPr>
                <w:sz w:val="16"/>
                <w:szCs w:val="16"/>
              </w:rPr>
            </w:pPr>
            <w:r>
              <w:rPr>
                <w:sz w:val="16"/>
                <w:szCs w:val="16"/>
              </w:rPr>
              <w:t>Integer</w:t>
            </w:r>
          </w:p>
        </w:tc>
        <w:tc>
          <w:tcPr>
            <w:tcW w:w="1080" w:type="dxa"/>
            <w:vAlign w:val="center"/>
          </w:tcPr>
          <w:p w:rsidR="00F97D54" w:rsidRDefault="00F97D54" w:rsidP="00EB5B97">
            <w:pPr>
              <w:rPr>
                <w:sz w:val="16"/>
                <w:szCs w:val="16"/>
              </w:rPr>
            </w:pPr>
            <w:r>
              <w:rPr>
                <w:sz w:val="16"/>
                <w:szCs w:val="16"/>
              </w:rPr>
              <w:t>434</w:t>
            </w:r>
          </w:p>
        </w:tc>
      </w:tr>
      <w:tr w:rsidR="00F97D54" w:rsidTr="00EB5B97">
        <w:trPr>
          <w:trHeight w:val="317"/>
        </w:trPr>
        <w:tc>
          <w:tcPr>
            <w:tcW w:w="2358" w:type="dxa"/>
            <w:vAlign w:val="center"/>
          </w:tcPr>
          <w:p w:rsidR="00F97D54" w:rsidRDefault="00F97D54" w:rsidP="00EB5B97">
            <w:pPr>
              <w:rPr>
                <w:sz w:val="16"/>
                <w:szCs w:val="16"/>
              </w:rPr>
            </w:pPr>
            <w:r>
              <w:rPr>
                <w:sz w:val="16"/>
                <w:szCs w:val="16"/>
              </w:rPr>
              <w:t>DS3_CustCount_2012_CP</w:t>
            </w:r>
          </w:p>
        </w:tc>
        <w:tc>
          <w:tcPr>
            <w:tcW w:w="4230" w:type="dxa"/>
            <w:vAlign w:val="center"/>
          </w:tcPr>
          <w:p w:rsidR="00F97D54" w:rsidRDefault="00F97D54" w:rsidP="00EB5B97">
            <w:pPr>
              <w:rPr>
                <w:sz w:val="16"/>
                <w:szCs w:val="16"/>
              </w:rPr>
            </w:pPr>
            <w:r>
              <w:rPr>
                <w:sz w:val="16"/>
                <w:szCs w:val="16"/>
              </w:rPr>
              <w:t xml:space="preserve">Number of customers that were </w:t>
            </w:r>
            <w:r w:rsidRPr="00925B0A">
              <w:rPr>
                <w:i/>
                <w:sz w:val="16"/>
                <w:szCs w:val="16"/>
              </w:rPr>
              <w:t>Competitive Providers</w:t>
            </w:r>
            <w:r>
              <w:rPr>
                <w:sz w:val="16"/>
                <w:szCs w:val="16"/>
              </w:rPr>
              <w:t xml:space="preserve"> purchasing </w:t>
            </w:r>
            <w:r w:rsidRPr="00925B0A">
              <w:rPr>
                <w:i/>
                <w:sz w:val="16"/>
                <w:szCs w:val="16"/>
              </w:rPr>
              <w:t>DS</w:t>
            </w:r>
            <w:r>
              <w:rPr>
                <w:i/>
                <w:sz w:val="16"/>
                <w:szCs w:val="16"/>
              </w:rPr>
              <w:t>3</w:t>
            </w:r>
            <w:r w:rsidRPr="00925B0A">
              <w:rPr>
                <w:i/>
                <w:sz w:val="16"/>
                <w:szCs w:val="16"/>
              </w:rPr>
              <w:t>s</w:t>
            </w:r>
            <w:r>
              <w:rPr>
                <w:sz w:val="16"/>
                <w:szCs w:val="16"/>
              </w:rPr>
              <w:t xml:space="preserve"> under this plan as of Dec. 31, 2012</w:t>
            </w:r>
          </w:p>
        </w:tc>
        <w:tc>
          <w:tcPr>
            <w:tcW w:w="1260" w:type="dxa"/>
            <w:vAlign w:val="center"/>
          </w:tcPr>
          <w:p w:rsidR="00F97D54" w:rsidRDefault="00F97D54" w:rsidP="00EB5B97">
            <w:pPr>
              <w:rPr>
                <w:sz w:val="16"/>
                <w:szCs w:val="16"/>
              </w:rPr>
            </w:pPr>
            <w:r>
              <w:rPr>
                <w:sz w:val="16"/>
                <w:szCs w:val="16"/>
              </w:rPr>
              <w:t>Integer</w:t>
            </w:r>
          </w:p>
        </w:tc>
        <w:tc>
          <w:tcPr>
            <w:tcW w:w="1080" w:type="dxa"/>
            <w:vAlign w:val="center"/>
          </w:tcPr>
          <w:p w:rsidR="00F97D54" w:rsidRDefault="00F97D54" w:rsidP="00EB5B97">
            <w:pPr>
              <w:rPr>
                <w:sz w:val="16"/>
                <w:szCs w:val="16"/>
              </w:rPr>
            </w:pPr>
            <w:r>
              <w:rPr>
                <w:sz w:val="16"/>
                <w:szCs w:val="16"/>
              </w:rPr>
              <w:t>434</w:t>
            </w:r>
          </w:p>
        </w:tc>
      </w:tr>
      <w:tr w:rsidR="00F97D54" w:rsidTr="00EB5B97">
        <w:trPr>
          <w:trHeight w:val="317"/>
        </w:trPr>
        <w:tc>
          <w:tcPr>
            <w:tcW w:w="2358" w:type="dxa"/>
            <w:vAlign w:val="center"/>
          </w:tcPr>
          <w:p w:rsidR="00F97D54" w:rsidRDefault="00F97D54" w:rsidP="00EB5B97">
            <w:pPr>
              <w:rPr>
                <w:sz w:val="16"/>
                <w:szCs w:val="16"/>
              </w:rPr>
            </w:pPr>
            <w:r>
              <w:rPr>
                <w:sz w:val="16"/>
                <w:szCs w:val="16"/>
              </w:rPr>
              <w:t>PBDS_CustCount_2012_CP</w:t>
            </w:r>
          </w:p>
        </w:tc>
        <w:tc>
          <w:tcPr>
            <w:tcW w:w="4230" w:type="dxa"/>
            <w:vAlign w:val="center"/>
          </w:tcPr>
          <w:p w:rsidR="00F97D54" w:rsidRDefault="00F97D54" w:rsidP="00EB5B97">
            <w:pPr>
              <w:rPr>
                <w:sz w:val="16"/>
                <w:szCs w:val="16"/>
              </w:rPr>
            </w:pPr>
            <w:r>
              <w:rPr>
                <w:sz w:val="16"/>
                <w:szCs w:val="16"/>
              </w:rPr>
              <w:t xml:space="preserve">Number of customers that were </w:t>
            </w:r>
            <w:r w:rsidRPr="00925B0A">
              <w:rPr>
                <w:i/>
                <w:sz w:val="16"/>
                <w:szCs w:val="16"/>
              </w:rPr>
              <w:t>Competitive Providers</w:t>
            </w:r>
            <w:r>
              <w:rPr>
                <w:sz w:val="16"/>
                <w:szCs w:val="16"/>
              </w:rPr>
              <w:t xml:space="preserve"> purchasing </w:t>
            </w:r>
            <w:r>
              <w:rPr>
                <w:i/>
                <w:sz w:val="16"/>
                <w:szCs w:val="16"/>
              </w:rPr>
              <w:t>PBDS</w:t>
            </w:r>
            <w:r>
              <w:rPr>
                <w:sz w:val="16"/>
                <w:szCs w:val="16"/>
              </w:rPr>
              <w:t xml:space="preserve"> under this plan as of Dec. 31, 2012</w:t>
            </w:r>
          </w:p>
        </w:tc>
        <w:tc>
          <w:tcPr>
            <w:tcW w:w="1260" w:type="dxa"/>
            <w:vAlign w:val="center"/>
          </w:tcPr>
          <w:p w:rsidR="00F97D54" w:rsidRDefault="00F97D54" w:rsidP="00EB5B97">
            <w:pPr>
              <w:rPr>
                <w:sz w:val="16"/>
                <w:szCs w:val="16"/>
              </w:rPr>
            </w:pPr>
            <w:r>
              <w:rPr>
                <w:sz w:val="16"/>
                <w:szCs w:val="16"/>
              </w:rPr>
              <w:t>Integer</w:t>
            </w:r>
          </w:p>
        </w:tc>
        <w:tc>
          <w:tcPr>
            <w:tcW w:w="1080" w:type="dxa"/>
            <w:vAlign w:val="center"/>
          </w:tcPr>
          <w:p w:rsidR="00F97D54" w:rsidRDefault="00F97D54" w:rsidP="00EB5B97">
            <w:pPr>
              <w:rPr>
                <w:sz w:val="16"/>
                <w:szCs w:val="16"/>
              </w:rPr>
            </w:pPr>
            <w:r>
              <w:rPr>
                <w:sz w:val="16"/>
                <w:szCs w:val="16"/>
              </w:rPr>
              <w:t>434</w:t>
            </w:r>
          </w:p>
        </w:tc>
      </w:tr>
      <w:tr w:rsidR="00F97D54" w:rsidTr="00EB5B97">
        <w:trPr>
          <w:trHeight w:val="317"/>
        </w:trPr>
        <w:tc>
          <w:tcPr>
            <w:tcW w:w="2358" w:type="dxa"/>
            <w:vAlign w:val="center"/>
          </w:tcPr>
          <w:p w:rsidR="00F97D54" w:rsidRDefault="00F97D54" w:rsidP="00EB5B97">
            <w:pPr>
              <w:rPr>
                <w:sz w:val="16"/>
                <w:szCs w:val="16"/>
              </w:rPr>
            </w:pPr>
            <w:r>
              <w:rPr>
                <w:sz w:val="16"/>
                <w:szCs w:val="16"/>
              </w:rPr>
              <w:t>DS1_CustCount_2012_EUsers</w:t>
            </w:r>
          </w:p>
        </w:tc>
        <w:tc>
          <w:tcPr>
            <w:tcW w:w="4230" w:type="dxa"/>
            <w:vAlign w:val="center"/>
          </w:tcPr>
          <w:p w:rsidR="00F97D54" w:rsidRDefault="00F97D54" w:rsidP="00EB5B97">
            <w:pPr>
              <w:rPr>
                <w:sz w:val="16"/>
                <w:szCs w:val="16"/>
              </w:rPr>
            </w:pPr>
            <w:r>
              <w:rPr>
                <w:sz w:val="16"/>
                <w:szCs w:val="16"/>
              </w:rPr>
              <w:t xml:space="preserve">Number of customers that were </w:t>
            </w:r>
            <w:r>
              <w:rPr>
                <w:i/>
                <w:sz w:val="16"/>
                <w:szCs w:val="16"/>
              </w:rPr>
              <w:t>End User</w:t>
            </w:r>
            <w:r w:rsidRPr="00925B0A">
              <w:rPr>
                <w:i/>
                <w:sz w:val="16"/>
                <w:szCs w:val="16"/>
              </w:rPr>
              <w:t>s</w:t>
            </w:r>
            <w:r>
              <w:rPr>
                <w:sz w:val="16"/>
                <w:szCs w:val="16"/>
              </w:rPr>
              <w:t xml:space="preserve"> purchasing </w:t>
            </w:r>
            <w:r w:rsidRPr="00925B0A">
              <w:rPr>
                <w:i/>
                <w:sz w:val="16"/>
                <w:szCs w:val="16"/>
              </w:rPr>
              <w:t>DS1s</w:t>
            </w:r>
            <w:r>
              <w:rPr>
                <w:sz w:val="16"/>
                <w:szCs w:val="16"/>
              </w:rPr>
              <w:t xml:space="preserve"> under this plan as of Dec. 31, 2012</w:t>
            </w:r>
          </w:p>
        </w:tc>
        <w:tc>
          <w:tcPr>
            <w:tcW w:w="1260" w:type="dxa"/>
            <w:vAlign w:val="center"/>
          </w:tcPr>
          <w:p w:rsidR="00F97D54" w:rsidRDefault="00F97D54" w:rsidP="00EB5B97">
            <w:pPr>
              <w:rPr>
                <w:sz w:val="16"/>
                <w:szCs w:val="16"/>
              </w:rPr>
            </w:pPr>
            <w:r>
              <w:rPr>
                <w:sz w:val="16"/>
                <w:szCs w:val="16"/>
              </w:rPr>
              <w:t>Integer</w:t>
            </w:r>
          </w:p>
        </w:tc>
        <w:tc>
          <w:tcPr>
            <w:tcW w:w="1080" w:type="dxa"/>
            <w:vAlign w:val="center"/>
          </w:tcPr>
          <w:p w:rsidR="00F97D54" w:rsidRDefault="00F97D54" w:rsidP="00EB5B97">
            <w:pPr>
              <w:rPr>
                <w:sz w:val="16"/>
                <w:szCs w:val="16"/>
              </w:rPr>
            </w:pPr>
            <w:r>
              <w:rPr>
                <w:sz w:val="16"/>
                <w:szCs w:val="16"/>
              </w:rPr>
              <w:t>434</w:t>
            </w:r>
          </w:p>
        </w:tc>
      </w:tr>
      <w:tr w:rsidR="00F97D54" w:rsidTr="00EB5B97">
        <w:trPr>
          <w:trHeight w:val="317"/>
        </w:trPr>
        <w:tc>
          <w:tcPr>
            <w:tcW w:w="2358" w:type="dxa"/>
            <w:vAlign w:val="center"/>
          </w:tcPr>
          <w:p w:rsidR="00F97D54" w:rsidRDefault="00F97D54" w:rsidP="00EB5B97">
            <w:pPr>
              <w:rPr>
                <w:sz w:val="16"/>
                <w:szCs w:val="16"/>
              </w:rPr>
            </w:pPr>
            <w:r>
              <w:rPr>
                <w:sz w:val="16"/>
                <w:szCs w:val="16"/>
              </w:rPr>
              <w:t>DS3_CustCount_2012_EUsers</w:t>
            </w:r>
          </w:p>
        </w:tc>
        <w:tc>
          <w:tcPr>
            <w:tcW w:w="4230" w:type="dxa"/>
            <w:vAlign w:val="center"/>
          </w:tcPr>
          <w:p w:rsidR="00F97D54" w:rsidRDefault="00F97D54" w:rsidP="00EB5B97">
            <w:pPr>
              <w:rPr>
                <w:sz w:val="16"/>
                <w:szCs w:val="16"/>
              </w:rPr>
            </w:pPr>
            <w:r>
              <w:rPr>
                <w:sz w:val="16"/>
                <w:szCs w:val="16"/>
              </w:rPr>
              <w:t xml:space="preserve">Number of customers that were </w:t>
            </w:r>
            <w:r>
              <w:rPr>
                <w:i/>
                <w:sz w:val="16"/>
                <w:szCs w:val="16"/>
              </w:rPr>
              <w:t>End User</w:t>
            </w:r>
            <w:r w:rsidRPr="00925B0A">
              <w:rPr>
                <w:i/>
                <w:sz w:val="16"/>
                <w:szCs w:val="16"/>
              </w:rPr>
              <w:t>s</w:t>
            </w:r>
            <w:r>
              <w:rPr>
                <w:sz w:val="16"/>
                <w:szCs w:val="16"/>
              </w:rPr>
              <w:t xml:space="preserve"> purchasing </w:t>
            </w:r>
            <w:r w:rsidRPr="00925B0A">
              <w:rPr>
                <w:i/>
                <w:sz w:val="16"/>
                <w:szCs w:val="16"/>
              </w:rPr>
              <w:t>DS</w:t>
            </w:r>
            <w:r>
              <w:rPr>
                <w:i/>
                <w:sz w:val="16"/>
                <w:szCs w:val="16"/>
              </w:rPr>
              <w:t>3</w:t>
            </w:r>
            <w:r w:rsidRPr="00925B0A">
              <w:rPr>
                <w:i/>
                <w:sz w:val="16"/>
                <w:szCs w:val="16"/>
              </w:rPr>
              <w:t>s</w:t>
            </w:r>
            <w:r>
              <w:rPr>
                <w:sz w:val="16"/>
                <w:szCs w:val="16"/>
              </w:rPr>
              <w:t xml:space="preserve"> under this plan as of Dec. 31, 2012</w:t>
            </w:r>
          </w:p>
        </w:tc>
        <w:tc>
          <w:tcPr>
            <w:tcW w:w="1260" w:type="dxa"/>
            <w:vAlign w:val="center"/>
          </w:tcPr>
          <w:p w:rsidR="00F97D54" w:rsidRDefault="00F97D54" w:rsidP="00EB5B97">
            <w:pPr>
              <w:rPr>
                <w:sz w:val="16"/>
                <w:szCs w:val="16"/>
              </w:rPr>
            </w:pPr>
            <w:r>
              <w:rPr>
                <w:sz w:val="16"/>
                <w:szCs w:val="16"/>
              </w:rPr>
              <w:t>Integer</w:t>
            </w:r>
          </w:p>
        </w:tc>
        <w:tc>
          <w:tcPr>
            <w:tcW w:w="1080" w:type="dxa"/>
            <w:vAlign w:val="center"/>
          </w:tcPr>
          <w:p w:rsidR="00F97D54" w:rsidRDefault="00F97D54" w:rsidP="00EB5B97">
            <w:pPr>
              <w:rPr>
                <w:sz w:val="16"/>
                <w:szCs w:val="16"/>
              </w:rPr>
            </w:pPr>
            <w:r>
              <w:rPr>
                <w:sz w:val="16"/>
                <w:szCs w:val="16"/>
              </w:rPr>
              <w:t>434</w:t>
            </w:r>
          </w:p>
        </w:tc>
      </w:tr>
      <w:tr w:rsidR="00F97D54" w:rsidTr="00EB5B97">
        <w:trPr>
          <w:trHeight w:val="317"/>
        </w:trPr>
        <w:tc>
          <w:tcPr>
            <w:tcW w:w="2358" w:type="dxa"/>
            <w:vAlign w:val="center"/>
          </w:tcPr>
          <w:p w:rsidR="00F97D54" w:rsidRDefault="00F97D54" w:rsidP="00EB5B97">
            <w:pPr>
              <w:rPr>
                <w:sz w:val="16"/>
                <w:szCs w:val="16"/>
              </w:rPr>
            </w:pPr>
            <w:r>
              <w:rPr>
                <w:sz w:val="16"/>
                <w:szCs w:val="16"/>
              </w:rPr>
              <w:t>PBDS_CustCount_2012_EUsers</w:t>
            </w:r>
          </w:p>
        </w:tc>
        <w:tc>
          <w:tcPr>
            <w:tcW w:w="4230" w:type="dxa"/>
            <w:vAlign w:val="center"/>
          </w:tcPr>
          <w:p w:rsidR="00F97D54" w:rsidRDefault="00F97D54" w:rsidP="00EB5B97">
            <w:pPr>
              <w:rPr>
                <w:sz w:val="16"/>
                <w:szCs w:val="16"/>
              </w:rPr>
            </w:pPr>
            <w:r>
              <w:rPr>
                <w:sz w:val="16"/>
                <w:szCs w:val="16"/>
              </w:rPr>
              <w:t xml:space="preserve">Number of customers that were </w:t>
            </w:r>
            <w:r>
              <w:rPr>
                <w:i/>
                <w:sz w:val="16"/>
                <w:szCs w:val="16"/>
              </w:rPr>
              <w:t>End User</w:t>
            </w:r>
            <w:r w:rsidRPr="00925B0A">
              <w:rPr>
                <w:i/>
                <w:sz w:val="16"/>
                <w:szCs w:val="16"/>
              </w:rPr>
              <w:t>s</w:t>
            </w:r>
            <w:r>
              <w:rPr>
                <w:sz w:val="16"/>
                <w:szCs w:val="16"/>
              </w:rPr>
              <w:t xml:space="preserve"> purchasing </w:t>
            </w:r>
            <w:r>
              <w:rPr>
                <w:i/>
                <w:sz w:val="16"/>
                <w:szCs w:val="16"/>
              </w:rPr>
              <w:t>PBDS</w:t>
            </w:r>
            <w:r>
              <w:rPr>
                <w:sz w:val="16"/>
                <w:szCs w:val="16"/>
              </w:rPr>
              <w:t xml:space="preserve"> under this plan as of Dec. 31, 2012</w:t>
            </w:r>
          </w:p>
        </w:tc>
        <w:tc>
          <w:tcPr>
            <w:tcW w:w="1260" w:type="dxa"/>
            <w:vAlign w:val="center"/>
          </w:tcPr>
          <w:p w:rsidR="00F97D54" w:rsidRDefault="00F97D54" w:rsidP="00EB5B97">
            <w:pPr>
              <w:rPr>
                <w:sz w:val="16"/>
                <w:szCs w:val="16"/>
              </w:rPr>
            </w:pPr>
            <w:r>
              <w:rPr>
                <w:sz w:val="16"/>
                <w:szCs w:val="16"/>
              </w:rPr>
              <w:t>Integer</w:t>
            </w:r>
          </w:p>
        </w:tc>
        <w:tc>
          <w:tcPr>
            <w:tcW w:w="1080" w:type="dxa"/>
            <w:vAlign w:val="center"/>
          </w:tcPr>
          <w:p w:rsidR="00F97D54" w:rsidRDefault="00F97D54" w:rsidP="00EB5B97">
            <w:pPr>
              <w:rPr>
                <w:sz w:val="16"/>
                <w:szCs w:val="16"/>
              </w:rPr>
            </w:pPr>
            <w:r>
              <w:rPr>
                <w:sz w:val="16"/>
                <w:szCs w:val="16"/>
              </w:rPr>
              <w:t>434</w:t>
            </w:r>
          </w:p>
        </w:tc>
      </w:tr>
      <w:tr w:rsidR="00F97D54" w:rsidTr="00EB5B97">
        <w:trPr>
          <w:trHeight w:val="317"/>
        </w:trPr>
        <w:tc>
          <w:tcPr>
            <w:tcW w:w="2358" w:type="dxa"/>
            <w:vAlign w:val="center"/>
          </w:tcPr>
          <w:p w:rsidR="00F97D54" w:rsidRDefault="00F97D54" w:rsidP="00EB5B97">
            <w:pPr>
              <w:rPr>
                <w:sz w:val="16"/>
                <w:szCs w:val="16"/>
              </w:rPr>
            </w:pPr>
            <w:r>
              <w:rPr>
                <w:sz w:val="16"/>
                <w:szCs w:val="16"/>
              </w:rPr>
              <w:t>CustCount_5orfewer</w:t>
            </w:r>
          </w:p>
        </w:tc>
        <w:tc>
          <w:tcPr>
            <w:tcW w:w="4230" w:type="dxa"/>
            <w:vAlign w:val="center"/>
          </w:tcPr>
          <w:p w:rsidR="00F97D54" w:rsidRDefault="00F97D54" w:rsidP="00EB5B97">
            <w:pPr>
              <w:rPr>
                <w:sz w:val="16"/>
                <w:szCs w:val="16"/>
              </w:rPr>
            </w:pPr>
            <w:r>
              <w:rPr>
                <w:sz w:val="16"/>
                <w:szCs w:val="16"/>
              </w:rPr>
              <w:t>We</w:t>
            </w:r>
            <w:r w:rsidRPr="00A6540C">
              <w:rPr>
                <w:sz w:val="16"/>
                <w:szCs w:val="16"/>
              </w:rPr>
              <w:t>re five or fewer customers</w:t>
            </w:r>
            <w:r>
              <w:rPr>
                <w:sz w:val="16"/>
                <w:szCs w:val="16"/>
              </w:rPr>
              <w:t>, in total,</w:t>
            </w:r>
            <w:r w:rsidRPr="00A6540C">
              <w:rPr>
                <w:sz w:val="16"/>
                <w:szCs w:val="16"/>
              </w:rPr>
              <w:t xml:space="preserve"> subscribed to this plan</w:t>
            </w:r>
            <w:r>
              <w:rPr>
                <w:sz w:val="16"/>
                <w:szCs w:val="16"/>
              </w:rPr>
              <w:t xml:space="preserve"> as of Dec. 31, 2012? (Y=Yes, N=No) </w:t>
            </w:r>
          </w:p>
        </w:tc>
        <w:tc>
          <w:tcPr>
            <w:tcW w:w="1260" w:type="dxa"/>
            <w:vAlign w:val="center"/>
          </w:tcPr>
          <w:p w:rsidR="00F97D54" w:rsidRDefault="00F97D54" w:rsidP="00EB5B97">
            <w:pPr>
              <w:rPr>
                <w:sz w:val="16"/>
                <w:szCs w:val="16"/>
              </w:rPr>
            </w:pPr>
            <w:r>
              <w:rPr>
                <w:sz w:val="16"/>
                <w:szCs w:val="16"/>
              </w:rPr>
              <w:t>Text</w:t>
            </w:r>
          </w:p>
        </w:tc>
        <w:tc>
          <w:tcPr>
            <w:tcW w:w="1080" w:type="dxa"/>
            <w:vAlign w:val="center"/>
          </w:tcPr>
          <w:p w:rsidR="00F97D54" w:rsidRDefault="00F97D54" w:rsidP="00EB5B97">
            <w:pPr>
              <w:rPr>
                <w:sz w:val="16"/>
                <w:szCs w:val="16"/>
              </w:rPr>
            </w:pPr>
            <w:r>
              <w:rPr>
                <w:sz w:val="16"/>
                <w:szCs w:val="16"/>
              </w:rPr>
              <w:t>Y</w:t>
            </w:r>
          </w:p>
        </w:tc>
      </w:tr>
      <w:tr w:rsidR="00F97D54" w:rsidTr="00EB5B97">
        <w:trPr>
          <w:trHeight w:val="317"/>
        </w:trPr>
        <w:tc>
          <w:tcPr>
            <w:tcW w:w="2358" w:type="dxa"/>
            <w:vAlign w:val="center"/>
          </w:tcPr>
          <w:p w:rsidR="00F97D54" w:rsidRDefault="00F97D54" w:rsidP="00EB5B97">
            <w:pPr>
              <w:rPr>
                <w:sz w:val="16"/>
                <w:szCs w:val="16"/>
              </w:rPr>
            </w:pPr>
            <w:r>
              <w:rPr>
                <w:sz w:val="16"/>
                <w:szCs w:val="16"/>
              </w:rPr>
              <w:t>CustCount_New</w:t>
            </w:r>
          </w:p>
        </w:tc>
        <w:tc>
          <w:tcPr>
            <w:tcW w:w="4230" w:type="dxa"/>
            <w:vAlign w:val="center"/>
          </w:tcPr>
          <w:p w:rsidR="00F97D54" w:rsidRDefault="00F97D54" w:rsidP="00EB5B97">
            <w:pPr>
              <w:rPr>
                <w:sz w:val="16"/>
                <w:szCs w:val="16"/>
              </w:rPr>
            </w:pPr>
            <w:r>
              <w:rPr>
                <w:sz w:val="16"/>
                <w:szCs w:val="16"/>
              </w:rPr>
              <w:t xml:space="preserve">If Yes, </w:t>
            </w:r>
            <w:r w:rsidRPr="00A6540C">
              <w:rPr>
                <w:sz w:val="16"/>
                <w:szCs w:val="16"/>
              </w:rPr>
              <w:t xml:space="preserve">indicate the number of subscribers to this plan that were new customers (as opposed to an existing or prior customer) at the time they </w:t>
            </w:r>
            <w:r>
              <w:rPr>
                <w:sz w:val="16"/>
                <w:szCs w:val="16"/>
              </w:rPr>
              <w:t>to subscribed</w:t>
            </w:r>
            <w:r w:rsidRPr="00A6540C">
              <w:rPr>
                <w:sz w:val="16"/>
                <w:szCs w:val="16"/>
              </w:rPr>
              <w:t xml:space="preserve"> this plan.</w:t>
            </w:r>
            <w:r>
              <w:rPr>
                <w:sz w:val="16"/>
                <w:szCs w:val="16"/>
              </w:rPr>
              <w:t xml:space="preserve"> </w:t>
            </w:r>
          </w:p>
        </w:tc>
        <w:tc>
          <w:tcPr>
            <w:tcW w:w="1260" w:type="dxa"/>
            <w:vAlign w:val="center"/>
          </w:tcPr>
          <w:p w:rsidR="00F97D54" w:rsidRDefault="00F97D54" w:rsidP="00EB5B97">
            <w:pPr>
              <w:rPr>
                <w:sz w:val="16"/>
                <w:szCs w:val="16"/>
              </w:rPr>
            </w:pPr>
            <w:r>
              <w:rPr>
                <w:sz w:val="16"/>
                <w:szCs w:val="16"/>
              </w:rPr>
              <w:t>Integer</w:t>
            </w:r>
          </w:p>
        </w:tc>
        <w:tc>
          <w:tcPr>
            <w:tcW w:w="1080" w:type="dxa"/>
            <w:vAlign w:val="center"/>
          </w:tcPr>
          <w:p w:rsidR="00F97D54" w:rsidRDefault="00F97D54" w:rsidP="00EB5B97">
            <w:pPr>
              <w:rPr>
                <w:sz w:val="16"/>
                <w:szCs w:val="16"/>
              </w:rPr>
            </w:pPr>
            <w:r>
              <w:rPr>
                <w:sz w:val="16"/>
                <w:szCs w:val="16"/>
              </w:rPr>
              <w:t>3</w:t>
            </w:r>
          </w:p>
        </w:tc>
      </w:tr>
      <w:tr w:rsidR="00F97D54" w:rsidTr="00EB5B97">
        <w:trPr>
          <w:trHeight w:val="317"/>
        </w:trPr>
        <w:tc>
          <w:tcPr>
            <w:tcW w:w="2358" w:type="dxa"/>
            <w:vAlign w:val="center"/>
          </w:tcPr>
          <w:p w:rsidR="00F97D54" w:rsidRDefault="00F97D54" w:rsidP="00EB5B97">
            <w:pPr>
              <w:rPr>
                <w:sz w:val="16"/>
                <w:szCs w:val="16"/>
              </w:rPr>
            </w:pPr>
            <w:r>
              <w:rPr>
                <w:sz w:val="16"/>
                <w:szCs w:val="16"/>
              </w:rPr>
              <w:t>CustCount_Exist</w:t>
            </w:r>
          </w:p>
        </w:tc>
        <w:tc>
          <w:tcPr>
            <w:tcW w:w="4230" w:type="dxa"/>
            <w:vAlign w:val="center"/>
          </w:tcPr>
          <w:p w:rsidR="00F97D54" w:rsidRDefault="00F97D54" w:rsidP="00EB5B97">
            <w:pPr>
              <w:rPr>
                <w:sz w:val="16"/>
                <w:szCs w:val="16"/>
              </w:rPr>
            </w:pPr>
            <w:r w:rsidRPr="00A6540C">
              <w:rPr>
                <w:sz w:val="16"/>
                <w:szCs w:val="16"/>
              </w:rPr>
              <w:t>For those subscribers to this plan that were existing or prior customers at the time they committed to purchasing services under this plan, explain how the purchase commitment made under this plan compares to the customer’s previous purchase commitment.  For example, indicate what percentage of the previous purchase commitment, the new purchase commitment equals</w:t>
            </w:r>
            <w:r>
              <w:rPr>
                <w:sz w:val="16"/>
                <w:szCs w:val="16"/>
              </w:rPr>
              <w:t>.</w:t>
            </w:r>
          </w:p>
        </w:tc>
        <w:tc>
          <w:tcPr>
            <w:tcW w:w="1260" w:type="dxa"/>
            <w:vAlign w:val="center"/>
          </w:tcPr>
          <w:p w:rsidR="00F97D54" w:rsidRDefault="00F97D54" w:rsidP="00EB5B97">
            <w:pPr>
              <w:rPr>
                <w:sz w:val="16"/>
                <w:szCs w:val="16"/>
              </w:rPr>
            </w:pPr>
            <w:r>
              <w:rPr>
                <w:sz w:val="16"/>
                <w:szCs w:val="16"/>
              </w:rPr>
              <w:t>Text</w:t>
            </w:r>
          </w:p>
        </w:tc>
        <w:tc>
          <w:tcPr>
            <w:tcW w:w="1080" w:type="dxa"/>
            <w:vAlign w:val="center"/>
          </w:tcPr>
          <w:p w:rsidR="00F97D54" w:rsidRDefault="00F97D54" w:rsidP="00EB5B97">
            <w:pPr>
              <w:rPr>
                <w:sz w:val="16"/>
                <w:szCs w:val="16"/>
              </w:rPr>
            </w:pPr>
            <w:r>
              <w:rPr>
                <w:sz w:val="16"/>
                <w:szCs w:val="16"/>
              </w:rPr>
              <w:t>The new commitment amounts to 50% of what the customer committed to previously.</w:t>
            </w:r>
          </w:p>
        </w:tc>
      </w:tr>
      <w:tr w:rsidR="00F97D54" w:rsidTr="00EB5B97">
        <w:trPr>
          <w:trHeight w:val="317"/>
        </w:trPr>
        <w:tc>
          <w:tcPr>
            <w:tcW w:w="2358" w:type="dxa"/>
            <w:tcBorders>
              <w:bottom w:val="double" w:sz="4" w:space="0" w:color="auto"/>
            </w:tcBorders>
            <w:vAlign w:val="center"/>
          </w:tcPr>
          <w:p w:rsidR="00F97D54" w:rsidRDefault="00F97D54" w:rsidP="00EB5B97">
            <w:pPr>
              <w:rPr>
                <w:sz w:val="16"/>
                <w:szCs w:val="16"/>
              </w:rPr>
            </w:pPr>
            <w:r>
              <w:rPr>
                <w:sz w:val="16"/>
                <w:szCs w:val="16"/>
              </w:rPr>
              <w:t>Customer_Fail</w:t>
            </w:r>
          </w:p>
        </w:tc>
        <w:tc>
          <w:tcPr>
            <w:tcW w:w="4230" w:type="dxa"/>
            <w:tcBorders>
              <w:bottom w:val="double" w:sz="4" w:space="0" w:color="auto"/>
            </w:tcBorders>
            <w:vAlign w:val="center"/>
          </w:tcPr>
          <w:p w:rsidR="00F97D54" w:rsidRPr="00A6540C" w:rsidRDefault="00F97D54" w:rsidP="00EB5B97">
            <w:pPr>
              <w:rPr>
                <w:sz w:val="16"/>
                <w:szCs w:val="16"/>
              </w:rPr>
            </w:pPr>
            <w:r w:rsidRPr="00A6540C">
              <w:rPr>
                <w:sz w:val="16"/>
                <w:szCs w:val="16"/>
              </w:rPr>
              <w:t xml:space="preserve">Of those customers subscribed as of December 31, </w:t>
            </w:r>
            <w:r>
              <w:rPr>
                <w:sz w:val="16"/>
                <w:szCs w:val="16"/>
              </w:rPr>
              <w:t>2012</w:t>
            </w:r>
            <w:r w:rsidRPr="00A6540C">
              <w:rPr>
                <w:sz w:val="16"/>
                <w:szCs w:val="16"/>
              </w:rPr>
              <w:t xml:space="preserve">, how many in </w:t>
            </w:r>
            <w:r>
              <w:rPr>
                <w:sz w:val="16"/>
                <w:szCs w:val="16"/>
              </w:rPr>
              <w:t>2012</w:t>
            </w:r>
            <w:r w:rsidRPr="00A6540C">
              <w:rPr>
                <w:sz w:val="16"/>
                <w:szCs w:val="16"/>
              </w:rPr>
              <w:t xml:space="preserve"> failed to meet any </w:t>
            </w:r>
            <w:r w:rsidRPr="00A6540C">
              <w:rPr>
                <w:i/>
                <w:sz w:val="16"/>
                <w:szCs w:val="16"/>
              </w:rPr>
              <w:t>Volume Commitment</w:t>
            </w:r>
            <w:r w:rsidRPr="00A6540C">
              <w:rPr>
                <w:sz w:val="16"/>
                <w:szCs w:val="16"/>
              </w:rPr>
              <w:t xml:space="preserve"> or </w:t>
            </w:r>
            <w:r w:rsidRPr="00A6540C">
              <w:rPr>
                <w:i/>
                <w:sz w:val="16"/>
                <w:szCs w:val="16"/>
              </w:rPr>
              <w:t>Term Commitment</w:t>
            </w:r>
            <w:r w:rsidRPr="00A6540C">
              <w:rPr>
                <w:sz w:val="16"/>
                <w:szCs w:val="16"/>
              </w:rPr>
              <w:t xml:space="preserve"> required to retain a discount or </w:t>
            </w:r>
            <w:r w:rsidRPr="00A6540C">
              <w:rPr>
                <w:i/>
                <w:sz w:val="16"/>
                <w:szCs w:val="16"/>
              </w:rPr>
              <w:t>Non-Rate Benefit</w:t>
            </w:r>
            <w:r w:rsidRPr="00A6540C">
              <w:rPr>
                <w:sz w:val="16"/>
                <w:szCs w:val="16"/>
              </w:rPr>
              <w:t xml:space="preserve"> they originally agreed to when entering into this plan?</w:t>
            </w:r>
            <w:r>
              <w:rPr>
                <w:sz w:val="16"/>
                <w:szCs w:val="16"/>
              </w:rPr>
              <w:t xml:space="preserve"> </w:t>
            </w:r>
          </w:p>
        </w:tc>
        <w:tc>
          <w:tcPr>
            <w:tcW w:w="1260" w:type="dxa"/>
            <w:tcBorders>
              <w:bottom w:val="double" w:sz="4" w:space="0" w:color="auto"/>
            </w:tcBorders>
            <w:vAlign w:val="center"/>
          </w:tcPr>
          <w:p w:rsidR="00F97D54" w:rsidRDefault="00F97D54" w:rsidP="00EB5B97">
            <w:pPr>
              <w:rPr>
                <w:sz w:val="16"/>
                <w:szCs w:val="16"/>
              </w:rPr>
            </w:pPr>
            <w:r>
              <w:rPr>
                <w:sz w:val="16"/>
                <w:szCs w:val="16"/>
              </w:rPr>
              <w:t>Integer</w:t>
            </w:r>
          </w:p>
        </w:tc>
        <w:tc>
          <w:tcPr>
            <w:tcW w:w="1080" w:type="dxa"/>
            <w:tcBorders>
              <w:bottom w:val="double" w:sz="4" w:space="0" w:color="auto"/>
            </w:tcBorders>
            <w:vAlign w:val="center"/>
          </w:tcPr>
          <w:p w:rsidR="00F97D54" w:rsidRDefault="00F97D54" w:rsidP="00EB5B97">
            <w:pPr>
              <w:rPr>
                <w:sz w:val="16"/>
                <w:szCs w:val="16"/>
              </w:rPr>
            </w:pPr>
            <w:r>
              <w:rPr>
                <w:sz w:val="16"/>
                <w:szCs w:val="16"/>
              </w:rPr>
              <w:t>30</w:t>
            </w:r>
          </w:p>
        </w:tc>
      </w:tr>
    </w:tbl>
    <w:p w:rsidR="00F97D54" w:rsidRPr="00E9084B" w:rsidRDefault="00F97D54" w:rsidP="00EB5B97">
      <w:pPr>
        <w:tabs>
          <w:tab w:val="num" w:pos="1440"/>
        </w:tabs>
        <w:rPr>
          <w:i/>
        </w:rPr>
      </w:pPr>
    </w:p>
    <w:p w:rsidR="00F97D54" w:rsidRPr="00E9084B" w:rsidRDefault="00F97D54" w:rsidP="00E9084B">
      <w:pPr>
        <w:pStyle w:val="Heading4"/>
        <w:numPr>
          <w:ilvl w:val="0"/>
          <w:numId w:val="0"/>
        </w:numPr>
        <w:rPr>
          <w:b w:val="0"/>
          <w:i/>
        </w:rPr>
      </w:pPr>
      <w:bookmarkStart w:id="131" w:name="_Toc365972119"/>
      <w:r w:rsidRPr="00E9084B">
        <w:rPr>
          <w:b w:val="0"/>
          <w:i/>
        </w:rPr>
        <w:t>Question II.B.13:  Non-Tariffed Agreements</w:t>
      </w:r>
      <w:bookmarkEnd w:id="131"/>
      <w:r w:rsidRPr="00E9084B">
        <w:rPr>
          <w:b w:val="0"/>
          <w:i/>
        </w:rPr>
        <w:t xml:space="preserve"> </w:t>
      </w:r>
    </w:p>
    <w:p w:rsidR="00F97D54" w:rsidRDefault="00F97D54" w:rsidP="00EB5B97">
      <w:r>
        <w:t>If you have a non-tariffed agreement covered by Question II.B.13, then you must identify each agreement in Table II.B.13 within the data container.  If you do not have an agreement covered by Question II.B.13, then type “Not Applicable” in the Agreement field.  You will receive an error message upon validation of the data container if you do not put any information into Table II.B.13.</w:t>
      </w:r>
    </w:p>
    <w:p w:rsidR="00F97D54" w:rsidRPr="0055754E" w:rsidRDefault="00F97D54" w:rsidP="00EB5B97"/>
    <w:tbl>
      <w:tblPr>
        <w:tblW w:w="8748" w:type="dxa"/>
        <w:tblLook w:val="01E0" w:firstRow="1" w:lastRow="1" w:firstColumn="1" w:lastColumn="1" w:noHBand="0" w:noVBand="0"/>
      </w:tblPr>
      <w:tblGrid>
        <w:gridCol w:w="2679"/>
        <w:gridCol w:w="3823"/>
        <w:gridCol w:w="991"/>
        <w:gridCol w:w="1255"/>
      </w:tblGrid>
      <w:tr w:rsidR="00F97D54" w:rsidRPr="0063769F" w:rsidTr="00EB5B97">
        <w:trPr>
          <w:trHeight w:val="432"/>
          <w:tblHeader/>
        </w:trPr>
        <w:tc>
          <w:tcPr>
            <w:tcW w:w="8748" w:type="dxa"/>
            <w:gridSpan w:val="4"/>
            <w:tcBorders>
              <w:top w:val="double" w:sz="4" w:space="0" w:color="auto"/>
              <w:bottom w:val="single" w:sz="4" w:space="0" w:color="auto"/>
            </w:tcBorders>
            <w:vAlign w:val="center"/>
          </w:tcPr>
          <w:p w:rsidR="00F97D54" w:rsidRDefault="00F97D54" w:rsidP="00EB5B97">
            <w:pPr>
              <w:jc w:val="center"/>
              <w:rPr>
                <w:b/>
                <w:bCs/>
              </w:rPr>
            </w:pPr>
            <w:r w:rsidRPr="0063769F">
              <w:rPr>
                <w:b/>
              </w:rPr>
              <w:t xml:space="preserve">Table </w:t>
            </w:r>
            <w:r>
              <w:rPr>
                <w:b/>
                <w:bCs/>
              </w:rPr>
              <w:t>II.B.13</w:t>
            </w:r>
          </w:p>
          <w:p w:rsidR="00F97D54" w:rsidRPr="0063769F" w:rsidRDefault="00F97D54" w:rsidP="00EB5B97">
            <w:pPr>
              <w:jc w:val="center"/>
              <w:rPr>
                <w:b/>
              </w:rPr>
            </w:pPr>
            <w:r>
              <w:rPr>
                <w:b/>
                <w:bCs/>
              </w:rPr>
              <w:t>Record Format for Non-Tariffed Agreements</w:t>
            </w:r>
          </w:p>
        </w:tc>
      </w:tr>
      <w:tr w:rsidR="00F97D54" w:rsidRPr="0063769F" w:rsidTr="00EB5B97">
        <w:trPr>
          <w:trHeight w:val="432"/>
          <w:tblHeader/>
        </w:trPr>
        <w:tc>
          <w:tcPr>
            <w:tcW w:w="2679" w:type="dxa"/>
            <w:tcBorders>
              <w:top w:val="single" w:sz="4" w:space="0" w:color="auto"/>
              <w:bottom w:val="single" w:sz="4" w:space="0" w:color="auto"/>
              <w:right w:val="single" w:sz="4" w:space="0" w:color="auto"/>
            </w:tcBorders>
            <w:vAlign w:val="center"/>
          </w:tcPr>
          <w:p w:rsidR="00F97D54" w:rsidRPr="0063769F" w:rsidRDefault="00F97D54" w:rsidP="00EB5B97">
            <w:pPr>
              <w:rPr>
                <w:b/>
                <w:sz w:val="18"/>
                <w:szCs w:val="18"/>
              </w:rPr>
            </w:pPr>
            <w:r w:rsidRPr="0063769F">
              <w:rPr>
                <w:b/>
                <w:sz w:val="18"/>
                <w:szCs w:val="18"/>
              </w:rPr>
              <w:t>Field Name</w:t>
            </w:r>
          </w:p>
        </w:tc>
        <w:tc>
          <w:tcPr>
            <w:tcW w:w="3823" w:type="dxa"/>
            <w:tcBorders>
              <w:top w:val="single" w:sz="4" w:space="0" w:color="auto"/>
              <w:left w:val="single" w:sz="4" w:space="0" w:color="auto"/>
              <w:bottom w:val="single" w:sz="4" w:space="0" w:color="auto"/>
              <w:right w:val="single" w:sz="4" w:space="0" w:color="auto"/>
            </w:tcBorders>
            <w:vAlign w:val="center"/>
          </w:tcPr>
          <w:p w:rsidR="00F97D54" w:rsidRPr="0063769F" w:rsidRDefault="00F97D54" w:rsidP="00EB5B97">
            <w:pPr>
              <w:rPr>
                <w:b/>
                <w:sz w:val="18"/>
                <w:szCs w:val="18"/>
              </w:rPr>
            </w:pPr>
            <w:r w:rsidRPr="0063769F">
              <w:rPr>
                <w:b/>
                <w:sz w:val="18"/>
                <w:szCs w:val="18"/>
              </w:rPr>
              <w:t>Description</w:t>
            </w:r>
          </w:p>
        </w:tc>
        <w:tc>
          <w:tcPr>
            <w:tcW w:w="991" w:type="dxa"/>
            <w:tcBorders>
              <w:top w:val="single" w:sz="4" w:space="0" w:color="auto"/>
              <w:left w:val="single" w:sz="4" w:space="0" w:color="auto"/>
              <w:bottom w:val="single" w:sz="4" w:space="0" w:color="auto"/>
              <w:right w:val="single" w:sz="4" w:space="0" w:color="auto"/>
            </w:tcBorders>
            <w:vAlign w:val="center"/>
          </w:tcPr>
          <w:p w:rsidR="00F97D54" w:rsidRPr="0063769F" w:rsidRDefault="00F97D54" w:rsidP="00EB5B97">
            <w:pPr>
              <w:rPr>
                <w:b/>
                <w:sz w:val="18"/>
                <w:szCs w:val="18"/>
              </w:rPr>
            </w:pPr>
            <w:r w:rsidRPr="0063769F">
              <w:rPr>
                <w:b/>
                <w:sz w:val="18"/>
                <w:szCs w:val="18"/>
              </w:rPr>
              <w:t>Type</w:t>
            </w:r>
          </w:p>
        </w:tc>
        <w:tc>
          <w:tcPr>
            <w:tcW w:w="1255" w:type="dxa"/>
            <w:tcBorders>
              <w:top w:val="single" w:sz="4" w:space="0" w:color="auto"/>
              <w:left w:val="single" w:sz="4" w:space="0" w:color="auto"/>
              <w:bottom w:val="single" w:sz="4" w:space="0" w:color="auto"/>
            </w:tcBorders>
            <w:vAlign w:val="center"/>
          </w:tcPr>
          <w:p w:rsidR="00F97D54" w:rsidRPr="0063769F" w:rsidRDefault="00F97D54" w:rsidP="00EB5B97">
            <w:pPr>
              <w:ind w:right="-108"/>
              <w:rPr>
                <w:b/>
                <w:sz w:val="18"/>
                <w:szCs w:val="18"/>
              </w:rPr>
            </w:pPr>
            <w:r w:rsidRPr="0063769F">
              <w:rPr>
                <w:b/>
                <w:sz w:val="18"/>
                <w:szCs w:val="18"/>
              </w:rPr>
              <w:t>Example</w:t>
            </w:r>
          </w:p>
        </w:tc>
      </w:tr>
      <w:tr w:rsidR="00F97D54" w:rsidRPr="00551AAF" w:rsidTr="00EB5B97">
        <w:trPr>
          <w:trHeight w:val="360"/>
        </w:trPr>
        <w:tc>
          <w:tcPr>
            <w:tcW w:w="2679" w:type="dxa"/>
          </w:tcPr>
          <w:p w:rsidR="00F97D54" w:rsidRPr="00551AAF" w:rsidRDefault="00F97D54" w:rsidP="00EB5B97">
            <w:pPr>
              <w:rPr>
                <w:sz w:val="16"/>
                <w:szCs w:val="16"/>
              </w:rPr>
            </w:pPr>
            <w:r>
              <w:rPr>
                <w:sz w:val="16"/>
                <w:szCs w:val="16"/>
              </w:rPr>
              <w:t>Unique</w:t>
            </w:r>
            <w:r w:rsidRPr="00551AAF">
              <w:rPr>
                <w:sz w:val="16"/>
                <w:szCs w:val="16"/>
              </w:rPr>
              <w:t>_ID</w:t>
            </w:r>
          </w:p>
        </w:tc>
        <w:tc>
          <w:tcPr>
            <w:tcW w:w="3823" w:type="dxa"/>
          </w:tcPr>
          <w:p w:rsidR="00F97D54" w:rsidRPr="00551AAF" w:rsidRDefault="00F97D54" w:rsidP="00EB5B97">
            <w:pPr>
              <w:rPr>
                <w:sz w:val="16"/>
                <w:szCs w:val="16"/>
              </w:rPr>
            </w:pPr>
            <w:r>
              <w:rPr>
                <w:sz w:val="16"/>
                <w:szCs w:val="16"/>
              </w:rPr>
              <w:t>Sequential</w:t>
            </w:r>
            <w:r w:rsidRPr="000A51DF">
              <w:rPr>
                <w:sz w:val="16"/>
                <w:szCs w:val="16"/>
              </w:rPr>
              <w:t xml:space="preserve"> number </w:t>
            </w:r>
          </w:p>
        </w:tc>
        <w:tc>
          <w:tcPr>
            <w:tcW w:w="991" w:type="dxa"/>
          </w:tcPr>
          <w:p w:rsidR="00F97D54" w:rsidRPr="00551AAF" w:rsidRDefault="00F97D54" w:rsidP="00EB5B97">
            <w:pPr>
              <w:rPr>
                <w:sz w:val="16"/>
                <w:szCs w:val="16"/>
              </w:rPr>
            </w:pPr>
            <w:r w:rsidRPr="00551AAF">
              <w:rPr>
                <w:sz w:val="16"/>
                <w:szCs w:val="16"/>
              </w:rPr>
              <w:t>Integer</w:t>
            </w:r>
          </w:p>
        </w:tc>
        <w:tc>
          <w:tcPr>
            <w:tcW w:w="1255" w:type="dxa"/>
          </w:tcPr>
          <w:p w:rsidR="00F97D54" w:rsidRPr="00551AAF" w:rsidRDefault="00F97D54" w:rsidP="00EB5B97">
            <w:pPr>
              <w:rPr>
                <w:sz w:val="16"/>
                <w:szCs w:val="16"/>
              </w:rPr>
            </w:pPr>
            <w:r w:rsidRPr="00551AAF">
              <w:rPr>
                <w:sz w:val="16"/>
                <w:szCs w:val="16"/>
              </w:rPr>
              <w:t>1</w:t>
            </w:r>
          </w:p>
        </w:tc>
      </w:tr>
      <w:tr w:rsidR="00F97D54" w:rsidRPr="00551AAF" w:rsidTr="00EB5B97">
        <w:trPr>
          <w:trHeight w:val="360"/>
        </w:trPr>
        <w:tc>
          <w:tcPr>
            <w:tcW w:w="2679" w:type="dxa"/>
          </w:tcPr>
          <w:p w:rsidR="00F97D54" w:rsidRDefault="00F97D54" w:rsidP="00EB5B97">
            <w:pPr>
              <w:rPr>
                <w:sz w:val="16"/>
                <w:szCs w:val="16"/>
              </w:rPr>
            </w:pPr>
            <w:r>
              <w:rPr>
                <w:sz w:val="16"/>
                <w:szCs w:val="16"/>
              </w:rPr>
              <w:t>Agreement</w:t>
            </w:r>
          </w:p>
        </w:tc>
        <w:tc>
          <w:tcPr>
            <w:tcW w:w="3823" w:type="dxa"/>
          </w:tcPr>
          <w:p w:rsidR="00F97D54" w:rsidRPr="009924C9" w:rsidRDefault="00F97D54" w:rsidP="00EB5B97">
            <w:pPr>
              <w:rPr>
                <w:sz w:val="16"/>
                <w:szCs w:val="16"/>
              </w:rPr>
            </w:pPr>
            <w:r>
              <w:rPr>
                <w:sz w:val="16"/>
                <w:szCs w:val="16"/>
              </w:rPr>
              <w:t>Name of n</w:t>
            </w:r>
            <w:r w:rsidRPr="009924C9">
              <w:rPr>
                <w:sz w:val="16"/>
                <w:szCs w:val="16"/>
              </w:rPr>
              <w:t xml:space="preserve">on-tariffed agreement </w:t>
            </w:r>
          </w:p>
        </w:tc>
        <w:tc>
          <w:tcPr>
            <w:tcW w:w="991" w:type="dxa"/>
          </w:tcPr>
          <w:p w:rsidR="00F97D54" w:rsidRPr="00551AAF" w:rsidRDefault="00F97D54" w:rsidP="00EB5B97">
            <w:pPr>
              <w:rPr>
                <w:sz w:val="16"/>
                <w:szCs w:val="16"/>
              </w:rPr>
            </w:pPr>
            <w:r>
              <w:rPr>
                <w:sz w:val="16"/>
                <w:szCs w:val="16"/>
              </w:rPr>
              <w:t>Text</w:t>
            </w:r>
          </w:p>
        </w:tc>
        <w:tc>
          <w:tcPr>
            <w:tcW w:w="1255" w:type="dxa"/>
          </w:tcPr>
          <w:p w:rsidR="00F97D54" w:rsidRPr="00551AAF" w:rsidRDefault="00F97D54" w:rsidP="00EB5B97">
            <w:pPr>
              <w:rPr>
                <w:sz w:val="16"/>
                <w:szCs w:val="16"/>
              </w:rPr>
            </w:pPr>
            <w:r>
              <w:rPr>
                <w:sz w:val="16"/>
                <w:szCs w:val="16"/>
              </w:rPr>
              <w:t>PBDS Agreement with Local Fiber Incorporated</w:t>
            </w:r>
          </w:p>
        </w:tc>
      </w:tr>
      <w:tr w:rsidR="00F97D54" w:rsidRPr="0063769F" w:rsidTr="00EB5B97">
        <w:trPr>
          <w:trHeight w:val="360"/>
        </w:trPr>
        <w:tc>
          <w:tcPr>
            <w:tcW w:w="2679" w:type="dxa"/>
          </w:tcPr>
          <w:p w:rsidR="00F97D54" w:rsidRDefault="00F97D54" w:rsidP="00EB5B97">
            <w:pPr>
              <w:rPr>
                <w:sz w:val="16"/>
                <w:szCs w:val="16"/>
              </w:rPr>
            </w:pPr>
            <w:r>
              <w:rPr>
                <w:sz w:val="16"/>
                <w:szCs w:val="16"/>
              </w:rPr>
              <w:t>Parties</w:t>
            </w:r>
          </w:p>
        </w:tc>
        <w:tc>
          <w:tcPr>
            <w:tcW w:w="3823" w:type="dxa"/>
          </w:tcPr>
          <w:p w:rsidR="00F97D54" w:rsidRPr="000A51DF" w:rsidRDefault="00F97D54" w:rsidP="00EB5B97">
            <w:pPr>
              <w:rPr>
                <w:sz w:val="16"/>
                <w:szCs w:val="16"/>
              </w:rPr>
            </w:pPr>
            <w:r>
              <w:rPr>
                <w:sz w:val="16"/>
                <w:szCs w:val="16"/>
              </w:rPr>
              <w:t>Parties to the agreement</w:t>
            </w:r>
          </w:p>
        </w:tc>
        <w:tc>
          <w:tcPr>
            <w:tcW w:w="991" w:type="dxa"/>
          </w:tcPr>
          <w:p w:rsidR="00F97D54" w:rsidRDefault="00F97D54" w:rsidP="00EB5B97">
            <w:pPr>
              <w:rPr>
                <w:sz w:val="16"/>
                <w:szCs w:val="16"/>
              </w:rPr>
            </w:pPr>
            <w:r>
              <w:rPr>
                <w:sz w:val="16"/>
                <w:szCs w:val="16"/>
              </w:rPr>
              <w:t>Text</w:t>
            </w:r>
          </w:p>
        </w:tc>
        <w:tc>
          <w:tcPr>
            <w:tcW w:w="1255" w:type="dxa"/>
          </w:tcPr>
          <w:p w:rsidR="00F97D54" w:rsidRDefault="00F97D54" w:rsidP="00EB5B97">
            <w:pPr>
              <w:rPr>
                <w:sz w:val="16"/>
                <w:szCs w:val="16"/>
              </w:rPr>
            </w:pPr>
            <w:r>
              <w:rPr>
                <w:sz w:val="16"/>
                <w:szCs w:val="16"/>
              </w:rPr>
              <w:t>ILEC Company and Local Fiber Inc.</w:t>
            </w:r>
          </w:p>
        </w:tc>
      </w:tr>
      <w:tr w:rsidR="00F97D54" w:rsidRPr="0063769F" w:rsidTr="00EB5B97">
        <w:trPr>
          <w:trHeight w:val="360"/>
        </w:trPr>
        <w:tc>
          <w:tcPr>
            <w:tcW w:w="2679" w:type="dxa"/>
          </w:tcPr>
          <w:p w:rsidR="00F97D54" w:rsidRDefault="00F97D54" w:rsidP="00EB5B97">
            <w:pPr>
              <w:rPr>
                <w:sz w:val="16"/>
                <w:szCs w:val="16"/>
              </w:rPr>
            </w:pPr>
            <w:r>
              <w:rPr>
                <w:sz w:val="16"/>
                <w:szCs w:val="16"/>
              </w:rPr>
              <w:t>Effective_Date</w:t>
            </w:r>
          </w:p>
        </w:tc>
        <w:tc>
          <w:tcPr>
            <w:tcW w:w="3823" w:type="dxa"/>
          </w:tcPr>
          <w:p w:rsidR="00F97D54" w:rsidRPr="000A51DF" w:rsidRDefault="00F97D54" w:rsidP="00EB5B97">
            <w:pPr>
              <w:rPr>
                <w:sz w:val="16"/>
                <w:szCs w:val="16"/>
              </w:rPr>
            </w:pPr>
            <w:r w:rsidRPr="000A51DF">
              <w:rPr>
                <w:sz w:val="16"/>
                <w:szCs w:val="16"/>
              </w:rPr>
              <w:t xml:space="preserve">The beginning date of the time period covered by the </w:t>
            </w:r>
            <w:r>
              <w:rPr>
                <w:sz w:val="16"/>
                <w:szCs w:val="16"/>
              </w:rPr>
              <w:t>agreement</w:t>
            </w:r>
          </w:p>
        </w:tc>
        <w:tc>
          <w:tcPr>
            <w:tcW w:w="991" w:type="dxa"/>
          </w:tcPr>
          <w:p w:rsidR="00F97D54" w:rsidRDefault="00F97D54" w:rsidP="00EB5B97">
            <w:pPr>
              <w:rPr>
                <w:sz w:val="16"/>
                <w:szCs w:val="16"/>
              </w:rPr>
            </w:pPr>
            <w:r>
              <w:rPr>
                <w:sz w:val="16"/>
                <w:szCs w:val="16"/>
              </w:rPr>
              <w:t>Date</w:t>
            </w:r>
          </w:p>
        </w:tc>
        <w:tc>
          <w:tcPr>
            <w:tcW w:w="1255" w:type="dxa"/>
          </w:tcPr>
          <w:p w:rsidR="00F97D54" w:rsidRDefault="00F97D54" w:rsidP="00EB5B97">
            <w:pPr>
              <w:rPr>
                <w:sz w:val="16"/>
                <w:szCs w:val="16"/>
              </w:rPr>
            </w:pPr>
            <w:r>
              <w:rPr>
                <w:sz w:val="16"/>
                <w:szCs w:val="16"/>
              </w:rPr>
              <w:t>1/15/10</w:t>
            </w:r>
          </w:p>
        </w:tc>
      </w:tr>
      <w:tr w:rsidR="00F97D54" w:rsidRPr="0063769F" w:rsidTr="00EB5B97">
        <w:trPr>
          <w:trHeight w:val="360"/>
        </w:trPr>
        <w:tc>
          <w:tcPr>
            <w:tcW w:w="2679" w:type="dxa"/>
          </w:tcPr>
          <w:p w:rsidR="00F97D54" w:rsidRDefault="00F97D54" w:rsidP="00EB5B97">
            <w:pPr>
              <w:rPr>
                <w:sz w:val="16"/>
                <w:szCs w:val="16"/>
              </w:rPr>
            </w:pPr>
            <w:r>
              <w:rPr>
                <w:sz w:val="16"/>
                <w:szCs w:val="16"/>
              </w:rPr>
              <w:t>End_Date</w:t>
            </w:r>
          </w:p>
        </w:tc>
        <w:tc>
          <w:tcPr>
            <w:tcW w:w="3823" w:type="dxa"/>
          </w:tcPr>
          <w:p w:rsidR="00F97D54" w:rsidRPr="000A51DF" w:rsidRDefault="00F97D54" w:rsidP="00EB5B97">
            <w:pPr>
              <w:rPr>
                <w:sz w:val="16"/>
                <w:szCs w:val="16"/>
              </w:rPr>
            </w:pPr>
            <w:r w:rsidRPr="000A51DF">
              <w:rPr>
                <w:sz w:val="16"/>
                <w:szCs w:val="16"/>
              </w:rPr>
              <w:t xml:space="preserve">The </w:t>
            </w:r>
            <w:r>
              <w:rPr>
                <w:sz w:val="16"/>
                <w:szCs w:val="16"/>
              </w:rPr>
              <w:t>ending</w:t>
            </w:r>
            <w:r w:rsidRPr="000A51DF">
              <w:rPr>
                <w:sz w:val="16"/>
                <w:szCs w:val="16"/>
              </w:rPr>
              <w:t xml:space="preserve"> date of the time period covered by the a</w:t>
            </w:r>
            <w:r>
              <w:rPr>
                <w:sz w:val="16"/>
                <w:szCs w:val="16"/>
              </w:rPr>
              <w:t>greement</w:t>
            </w:r>
          </w:p>
        </w:tc>
        <w:tc>
          <w:tcPr>
            <w:tcW w:w="991" w:type="dxa"/>
          </w:tcPr>
          <w:p w:rsidR="00F97D54" w:rsidRDefault="00F97D54" w:rsidP="00EB5B97">
            <w:pPr>
              <w:rPr>
                <w:sz w:val="16"/>
                <w:szCs w:val="16"/>
              </w:rPr>
            </w:pPr>
            <w:r>
              <w:rPr>
                <w:sz w:val="16"/>
                <w:szCs w:val="16"/>
              </w:rPr>
              <w:t>Date</w:t>
            </w:r>
          </w:p>
        </w:tc>
        <w:tc>
          <w:tcPr>
            <w:tcW w:w="1255" w:type="dxa"/>
          </w:tcPr>
          <w:p w:rsidR="00F97D54" w:rsidRDefault="00F97D54" w:rsidP="00EB5B97">
            <w:pPr>
              <w:rPr>
                <w:sz w:val="16"/>
                <w:szCs w:val="16"/>
              </w:rPr>
            </w:pPr>
            <w:r>
              <w:rPr>
                <w:sz w:val="16"/>
                <w:szCs w:val="16"/>
              </w:rPr>
              <w:t>12/31/12</w:t>
            </w:r>
          </w:p>
        </w:tc>
      </w:tr>
      <w:tr w:rsidR="00F97D54" w:rsidRPr="0063769F" w:rsidTr="00EB5B97">
        <w:trPr>
          <w:trHeight w:val="360"/>
        </w:trPr>
        <w:tc>
          <w:tcPr>
            <w:tcW w:w="2679" w:type="dxa"/>
            <w:tcBorders>
              <w:bottom w:val="double" w:sz="4" w:space="0" w:color="auto"/>
            </w:tcBorders>
          </w:tcPr>
          <w:p w:rsidR="00F97D54" w:rsidRDefault="00F97D54" w:rsidP="00EB5B97">
            <w:pPr>
              <w:rPr>
                <w:sz w:val="16"/>
                <w:szCs w:val="16"/>
              </w:rPr>
            </w:pPr>
            <w:r>
              <w:rPr>
                <w:sz w:val="16"/>
                <w:szCs w:val="16"/>
              </w:rPr>
              <w:t>Summary</w:t>
            </w:r>
          </w:p>
        </w:tc>
        <w:tc>
          <w:tcPr>
            <w:tcW w:w="3823" w:type="dxa"/>
            <w:tcBorders>
              <w:bottom w:val="double" w:sz="4" w:space="0" w:color="auto"/>
            </w:tcBorders>
          </w:tcPr>
          <w:p w:rsidR="00F97D54" w:rsidRDefault="00F97D54" w:rsidP="00EB5B97">
            <w:pPr>
              <w:rPr>
                <w:sz w:val="16"/>
                <w:szCs w:val="16"/>
              </w:rPr>
            </w:pPr>
            <w:r>
              <w:rPr>
                <w:sz w:val="16"/>
                <w:szCs w:val="16"/>
              </w:rPr>
              <w:t>Summary of relevant provisions</w:t>
            </w:r>
          </w:p>
        </w:tc>
        <w:tc>
          <w:tcPr>
            <w:tcW w:w="991" w:type="dxa"/>
            <w:tcBorders>
              <w:bottom w:val="double" w:sz="4" w:space="0" w:color="auto"/>
            </w:tcBorders>
          </w:tcPr>
          <w:p w:rsidR="00F97D54" w:rsidRDefault="00F97D54" w:rsidP="00EB5B97">
            <w:pPr>
              <w:rPr>
                <w:sz w:val="16"/>
                <w:szCs w:val="16"/>
              </w:rPr>
            </w:pPr>
            <w:r>
              <w:rPr>
                <w:sz w:val="16"/>
                <w:szCs w:val="16"/>
              </w:rPr>
              <w:t>Text</w:t>
            </w:r>
          </w:p>
        </w:tc>
        <w:tc>
          <w:tcPr>
            <w:tcW w:w="1255" w:type="dxa"/>
            <w:tcBorders>
              <w:bottom w:val="double" w:sz="4" w:space="0" w:color="auto"/>
            </w:tcBorders>
          </w:tcPr>
          <w:p w:rsidR="00F97D54" w:rsidRDefault="00F97D54" w:rsidP="00EB5B97">
            <w:pPr>
              <w:rPr>
                <w:sz w:val="16"/>
                <w:szCs w:val="16"/>
              </w:rPr>
            </w:pPr>
            <w:r>
              <w:rPr>
                <w:sz w:val="16"/>
                <w:szCs w:val="16"/>
              </w:rPr>
              <w:t xml:space="preserve">Requires the purchase of . . . </w:t>
            </w:r>
          </w:p>
        </w:tc>
      </w:tr>
    </w:tbl>
    <w:p w:rsidR="00856C67" w:rsidRDefault="00856C67" w:rsidP="00587EB9">
      <w:pPr>
        <w:pStyle w:val="Heading3"/>
        <w:numPr>
          <w:ilvl w:val="0"/>
          <w:numId w:val="0"/>
        </w:numPr>
        <w:tabs>
          <w:tab w:val="clear" w:pos="2160"/>
          <w:tab w:val="left" w:pos="0"/>
        </w:tabs>
        <w:spacing w:after="220"/>
        <w:rPr>
          <w:b w:val="0"/>
          <w:szCs w:val="22"/>
        </w:rPr>
      </w:pPr>
      <w:bookmarkStart w:id="132" w:name="_Toc350777053"/>
      <w:bookmarkStart w:id="133" w:name="_Toc365972120"/>
    </w:p>
    <w:p w:rsidR="00F97D54" w:rsidRPr="00E9084B" w:rsidRDefault="00F97D54" w:rsidP="00587EB9">
      <w:pPr>
        <w:pStyle w:val="Heading3"/>
        <w:numPr>
          <w:ilvl w:val="0"/>
          <w:numId w:val="0"/>
        </w:numPr>
        <w:tabs>
          <w:tab w:val="clear" w:pos="2160"/>
          <w:tab w:val="left" w:pos="0"/>
        </w:tabs>
        <w:spacing w:after="220"/>
        <w:rPr>
          <w:b w:val="0"/>
          <w:szCs w:val="22"/>
          <w:u w:val="single"/>
        </w:rPr>
      </w:pPr>
      <w:r w:rsidRPr="00E9084B">
        <w:rPr>
          <w:b w:val="0"/>
          <w:u w:val="single"/>
        </w:rPr>
        <w:t xml:space="preserve">QUESTIONS DIRECTED AT ENTITIES PROVIDING </w:t>
      </w:r>
      <w:r w:rsidRPr="00E9084B">
        <w:rPr>
          <w:b w:val="0"/>
          <w:szCs w:val="22"/>
          <w:u w:val="single"/>
        </w:rPr>
        <w:t>BEST EFFORTS</w:t>
      </w:r>
      <w:bookmarkEnd w:id="132"/>
      <w:bookmarkEnd w:id="133"/>
    </w:p>
    <w:p w:rsidR="00F97D54" w:rsidRPr="00E9084B" w:rsidRDefault="00F97D54" w:rsidP="00E9084B">
      <w:pPr>
        <w:pStyle w:val="Heading4"/>
        <w:numPr>
          <w:ilvl w:val="0"/>
          <w:numId w:val="0"/>
        </w:numPr>
        <w:rPr>
          <w:b w:val="0"/>
          <w:i/>
        </w:rPr>
      </w:pPr>
      <w:bookmarkStart w:id="134" w:name="_Toc365972121"/>
      <w:r w:rsidRPr="00E9084B">
        <w:rPr>
          <w:b w:val="0"/>
          <w:i/>
        </w:rPr>
        <w:t>Question II.C.1:  Census Blocks and Price Lists for 2010 and 2012</w:t>
      </w:r>
      <w:bookmarkEnd w:id="134"/>
      <w:r w:rsidRPr="00E9084B">
        <w:rPr>
          <w:b w:val="0"/>
          <w:i/>
        </w:rPr>
        <w:t xml:space="preserve"> </w:t>
      </w:r>
    </w:p>
    <w:p w:rsidR="00F97D54" w:rsidRDefault="00F97D54" w:rsidP="00EB5B97">
      <w:r>
        <w:t>You must separately upload all documents (</w:t>
      </w:r>
      <w:r w:rsidRPr="005F0306">
        <w:rPr>
          <w:i/>
        </w:rPr>
        <w:t>e.g.</w:t>
      </w:r>
      <w:r>
        <w:t xml:space="preserve">, Word, Excel, .pdf) responding to this question through the Special Access Web Portal; do not include these documents in the data container.    </w:t>
      </w:r>
    </w:p>
    <w:p w:rsidR="00F97D54" w:rsidRDefault="00F97D54" w:rsidP="00EB5B97"/>
    <w:p w:rsidR="00F97D54" w:rsidRDefault="00F97D54" w:rsidP="00EB5B97">
      <w:r>
        <w:t xml:space="preserve">If the State Broadband Initiative (SBI) data previously submitted accurately and completely identifies the areas in which you offered </w:t>
      </w:r>
      <w:r w:rsidRPr="006419E2">
        <w:rPr>
          <w:i/>
        </w:rPr>
        <w:t>Best Efforts Business Broadband Internet Access Services</w:t>
      </w:r>
      <w:r>
        <w:t xml:space="preserve"> as of December 31, 2010 and as of December 31, 2012, then provide the requisite certification and identify the FRN(s) for the entities that reported the information as part of the SBI program.</w:t>
      </w:r>
    </w:p>
    <w:p w:rsidR="00F97D54" w:rsidRDefault="00F97D54" w:rsidP="00EB5B97"/>
    <w:p w:rsidR="00F97D54" w:rsidRDefault="00F97D54" w:rsidP="00EB5B97">
      <w:r>
        <w:t xml:space="preserve">If not, then identify, on a granular level (ideally, at the census block level), the geographic areas in which </w:t>
      </w:r>
      <w:r>
        <w:rPr>
          <w:i/>
        </w:rPr>
        <w:t>Best Efforts Business Broadband Internet Access Service</w:t>
      </w:r>
      <w:r>
        <w:t xml:space="preserve"> was offered as of December 31, 2010 and as of December 31, 2012.  If the data are not submitted at the census block level, identify the geography at which they are submitted, </w:t>
      </w:r>
      <w:r>
        <w:rPr>
          <w:i/>
        </w:rPr>
        <w:t>e.g.</w:t>
      </w:r>
      <w:r>
        <w:t>, ZIP code, MSA, county, etc.</w:t>
      </w:r>
    </w:p>
    <w:p w:rsidR="00F97D54" w:rsidRDefault="00F97D54" w:rsidP="00EB5B97"/>
    <w:p w:rsidR="00F97D54" w:rsidRDefault="00F97D54" w:rsidP="00EB5B97">
      <w:r>
        <w:t xml:space="preserve">Separate from the SBI data, you must submit a price list for the </w:t>
      </w:r>
      <w:r>
        <w:rPr>
          <w:i/>
        </w:rPr>
        <w:t>Best Efforts Business Broadband Internet Access Services</w:t>
      </w:r>
      <w:r>
        <w:t xml:space="preserve"> that you offer within your footprint as of December 31, 2010 and as of December 31, 2012.  To the extent that prices vary across your service area, identify the nature of such variation, </w:t>
      </w:r>
      <w:r w:rsidRPr="00521DC5">
        <w:rPr>
          <w:i/>
        </w:rPr>
        <w:t>e.g.</w:t>
      </w:r>
      <w:r>
        <w:t xml:space="preserve">, variations by region or speed tier.  </w:t>
      </w:r>
    </w:p>
    <w:p w:rsidR="00F97D54" w:rsidRDefault="00F97D54" w:rsidP="00EB5B97"/>
    <w:p w:rsidR="00F97D54" w:rsidRDefault="00F97D54" w:rsidP="00EB5B97">
      <w:r>
        <w:t xml:space="preserve">The Special Access Web Portal contains two areas for uploading documents for this question.  One is for uploading the “Confidential” versions of the documents where you </w:t>
      </w:r>
      <w:r>
        <w:rPr>
          <w:rStyle w:val="Emphasis"/>
          <w:i w:val="0"/>
        </w:rPr>
        <w:t xml:space="preserve">will indicate information deemed </w:t>
      </w:r>
      <w:r w:rsidRPr="00974151">
        <w:rPr>
          <w:rStyle w:val="Emphasis"/>
          <w:i w:val="0"/>
        </w:rPr>
        <w:t>Confidential</w:t>
      </w:r>
      <w:r>
        <w:rPr>
          <w:rStyle w:val="Emphasis"/>
          <w:i w:val="0"/>
        </w:rPr>
        <w:t xml:space="preserve"> and redact information that is </w:t>
      </w:r>
      <w:r w:rsidRPr="00974151">
        <w:rPr>
          <w:rStyle w:val="Emphasis"/>
          <w:i w:val="0"/>
        </w:rPr>
        <w:t>Highly Confidential</w:t>
      </w:r>
      <w:r>
        <w:rPr>
          <w:rStyle w:val="Emphasis"/>
          <w:i w:val="0"/>
        </w:rPr>
        <w:t xml:space="preserve"> based on the Protective Order issued for the data collection.  The second area is for uploading the “Highly Confidential” versions of the documents noting both </w:t>
      </w:r>
      <w:r w:rsidRPr="00974151">
        <w:rPr>
          <w:rStyle w:val="Emphasis"/>
          <w:i w:val="0"/>
        </w:rPr>
        <w:t>Confidential</w:t>
      </w:r>
      <w:r>
        <w:rPr>
          <w:rStyle w:val="Emphasis"/>
          <w:i w:val="0"/>
        </w:rPr>
        <w:t xml:space="preserve"> and </w:t>
      </w:r>
      <w:r w:rsidRPr="00974151">
        <w:rPr>
          <w:rStyle w:val="Emphasis"/>
          <w:i w:val="0"/>
        </w:rPr>
        <w:t>Highly Confidential</w:t>
      </w:r>
      <w:r>
        <w:rPr>
          <w:rStyle w:val="Emphasis"/>
          <w:i w:val="0"/>
        </w:rPr>
        <w:t xml:space="preserve"> information without any redactions.  You must upload at least one document in each area or you will receive an error message during the submission process.  If the document does not contain Confidential or Highly Confidential information, </w:t>
      </w:r>
      <w:r w:rsidRPr="00FF31E9">
        <w:rPr>
          <w:rStyle w:val="Emphasis"/>
        </w:rPr>
        <w:t>e.g.</w:t>
      </w:r>
      <w:r>
        <w:rPr>
          <w:rStyle w:val="Emphasis"/>
          <w:i w:val="0"/>
        </w:rPr>
        <w:t>, all information is publicly available, then upload the document in each area without the relevant Confidential/Highly Confidential notations or redactions in the case of the Confidential upload area.</w:t>
      </w:r>
    </w:p>
    <w:p w:rsidR="00F97D54" w:rsidRDefault="00F97D54" w:rsidP="00EB5B97"/>
    <w:p w:rsidR="00F97D54" w:rsidRDefault="00F97D54" w:rsidP="0047272E">
      <w:pPr>
        <w:widowControl/>
      </w:pPr>
      <w:r>
        <w:t>Below is a suggested template for formatting records in response to this question.  You are not required to format your information in this manner.</w:t>
      </w:r>
    </w:p>
    <w:p w:rsidR="00F97D54" w:rsidRDefault="00F97D54" w:rsidP="00EB5B97"/>
    <w:tbl>
      <w:tblPr>
        <w:tblW w:w="8748" w:type="dxa"/>
        <w:tblLook w:val="01E0" w:firstRow="1" w:lastRow="1" w:firstColumn="1" w:lastColumn="1" w:noHBand="0" w:noVBand="0"/>
      </w:tblPr>
      <w:tblGrid>
        <w:gridCol w:w="2646"/>
        <w:gridCol w:w="3711"/>
        <w:gridCol w:w="975"/>
        <w:gridCol w:w="1416"/>
      </w:tblGrid>
      <w:tr w:rsidR="00F97D54" w:rsidRPr="0063769F" w:rsidTr="00EB5B97">
        <w:trPr>
          <w:trHeight w:val="432"/>
          <w:tblHeader/>
        </w:trPr>
        <w:tc>
          <w:tcPr>
            <w:tcW w:w="8748" w:type="dxa"/>
            <w:gridSpan w:val="4"/>
            <w:tcBorders>
              <w:top w:val="double" w:sz="4" w:space="0" w:color="auto"/>
              <w:bottom w:val="single" w:sz="4" w:space="0" w:color="auto"/>
            </w:tcBorders>
            <w:vAlign w:val="center"/>
          </w:tcPr>
          <w:p w:rsidR="00F97D54" w:rsidRDefault="00F97D54" w:rsidP="00EB5B97">
            <w:pPr>
              <w:jc w:val="center"/>
              <w:rPr>
                <w:b/>
                <w:bCs/>
              </w:rPr>
            </w:pPr>
            <w:r>
              <w:rPr>
                <w:b/>
              </w:rPr>
              <w:t xml:space="preserve">Suggested </w:t>
            </w:r>
            <w:r>
              <w:rPr>
                <w:b/>
                <w:szCs w:val="22"/>
              </w:rPr>
              <w:t xml:space="preserve">Record Format </w:t>
            </w:r>
            <w:r>
              <w:rPr>
                <w:b/>
              </w:rPr>
              <w:t>Template for Responding to Question</w:t>
            </w:r>
            <w:r w:rsidRPr="0063769F">
              <w:rPr>
                <w:b/>
              </w:rPr>
              <w:t xml:space="preserve"> </w:t>
            </w:r>
            <w:r>
              <w:rPr>
                <w:b/>
                <w:bCs/>
              </w:rPr>
              <w:t>II.C.1.c-d Part 1</w:t>
            </w:r>
          </w:p>
          <w:p w:rsidR="00F97D54" w:rsidRPr="00A47BCE" w:rsidRDefault="00F97D54" w:rsidP="00EB5B97">
            <w:pPr>
              <w:jc w:val="center"/>
              <w:rPr>
                <w:b/>
              </w:rPr>
            </w:pPr>
            <w:r w:rsidRPr="00583F23">
              <w:rPr>
                <w:b/>
                <w:i/>
                <w:szCs w:val="22"/>
              </w:rPr>
              <w:t>Best Efforts Business Broadband Internet Access Services</w:t>
            </w:r>
          </w:p>
        </w:tc>
      </w:tr>
      <w:tr w:rsidR="00F97D54" w:rsidRPr="0063769F" w:rsidTr="00EB5B97">
        <w:trPr>
          <w:trHeight w:val="432"/>
          <w:tblHeader/>
        </w:trPr>
        <w:tc>
          <w:tcPr>
            <w:tcW w:w="2646" w:type="dxa"/>
            <w:tcBorders>
              <w:top w:val="single" w:sz="4" w:space="0" w:color="auto"/>
              <w:bottom w:val="single" w:sz="4" w:space="0" w:color="auto"/>
              <w:right w:val="single" w:sz="4" w:space="0" w:color="auto"/>
            </w:tcBorders>
            <w:vAlign w:val="center"/>
          </w:tcPr>
          <w:p w:rsidR="00F97D54" w:rsidRPr="0063769F" w:rsidRDefault="00F97D54" w:rsidP="00EB5B97">
            <w:pPr>
              <w:rPr>
                <w:b/>
                <w:sz w:val="18"/>
                <w:szCs w:val="18"/>
              </w:rPr>
            </w:pPr>
            <w:r w:rsidRPr="0063769F">
              <w:rPr>
                <w:b/>
                <w:sz w:val="18"/>
                <w:szCs w:val="18"/>
              </w:rPr>
              <w:t>Field Name</w:t>
            </w:r>
          </w:p>
        </w:tc>
        <w:tc>
          <w:tcPr>
            <w:tcW w:w="3711" w:type="dxa"/>
            <w:tcBorders>
              <w:top w:val="single" w:sz="4" w:space="0" w:color="auto"/>
              <w:left w:val="single" w:sz="4" w:space="0" w:color="auto"/>
              <w:bottom w:val="single" w:sz="4" w:space="0" w:color="auto"/>
              <w:right w:val="single" w:sz="4" w:space="0" w:color="auto"/>
            </w:tcBorders>
            <w:vAlign w:val="center"/>
          </w:tcPr>
          <w:p w:rsidR="00F97D54" w:rsidRPr="0063769F" w:rsidRDefault="00F97D54" w:rsidP="00EB5B97">
            <w:pPr>
              <w:rPr>
                <w:b/>
                <w:sz w:val="18"/>
                <w:szCs w:val="18"/>
              </w:rPr>
            </w:pPr>
            <w:r w:rsidRPr="0063769F">
              <w:rPr>
                <w:b/>
                <w:sz w:val="18"/>
                <w:szCs w:val="18"/>
              </w:rPr>
              <w:t>Description</w:t>
            </w:r>
          </w:p>
        </w:tc>
        <w:tc>
          <w:tcPr>
            <w:tcW w:w="975" w:type="dxa"/>
            <w:tcBorders>
              <w:top w:val="single" w:sz="4" w:space="0" w:color="auto"/>
              <w:left w:val="single" w:sz="4" w:space="0" w:color="auto"/>
              <w:bottom w:val="single" w:sz="4" w:space="0" w:color="auto"/>
              <w:right w:val="single" w:sz="4" w:space="0" w:color="auto"/>
            </w:tcBorders>
            <w:vAlign w:val="center"/>
          </w:tcPr>
          <w:p w:rsidR="00F97D54" w:rsidRPr="0063769F" w:rsidRDefault="00F97D54" w:rsidP="00EB5B97">
            <w:pPr>
              <w:rPr>
                <w:b/>
                <w:sz w:val="18"/>
                <w:szCs w:val="18"/>
              </w:rPr>
            </w:pPr>
            <w:r w:rsidRPr="0063769F">
              <w:rPr>
                <w:b/>
                <w:sz w:val="18"/>
                <w:szCs w:val="18"/>
              </w:rPr>
              <w:t>Type</w:t>
            </w:r>
          </w:p>
        </w:tc>
        <w:tc>
          <w:tcPr>
            <w:tcW w:w="1416" w:type="dxa"/>
            <w:tcBorders>
              <w:top w:val="single" w:sz="4" w:space="0" w:color="auto"/>
              <w:left w:val="single" w:sz="4" w:space="0" w:color="auto"/>
              <w:bottom w:val="single" w:sz="4" w:space="0" w:color="auto"/>
            </w:tcBorders>
            <w:vAlign w:val="center"/>
          </w:tcPr>
          <w:p w:rsidR="00F97D54" w:rsidRPr="0063769F" w:rsidRDefault="00F97D54" w:rsidP="00EB5B97">
            <w:pPr>
              <w:ind w:right="-108"/>
              <w:rPr>
                <w:b/>
                <w:sz w:val="18"/>
                <w:szCs w:val="18"/>
              </w:rPr>
            </w:pPr>
            <w:r w:rsidRPr="0063769F">
              <w:rPr>
                <w:b/>
                <w:sz w:val="18"/>
                <w:szCs w:val="18"/>
              </w:rPr>
              <w:t>Example</w:t>
            </w:r>
          </w:p>
        </w:tc>
      </w:tr>
      <w:tr w:rsidR="00F97D54" w:rsidRPr="00551AAF" w:rsidTr="00EB5B97">
        <w:trPr>
          <w:trHeight w:val="611"/>
        </w:trPr>
        <w:tc>
          <w:tcPr>
            <w:tcW w:w="2646" w:type="dxa"/>
            <w:vAlign w:val="center"/>
          </w:tcPr>
          <w:p w:rsidR="00F97D54" w:rsidRDefault="00F97D54" w:rsidP="00EB5B97">
            <w:pPr>
              <w:rPr>
                <w:sz w:val="16"/>
                <w:szCs w:val="16"/>
              </w:rPr>
            </w:pPr>
            <w:r>
              <w:rPr>
                <w:sz w:val="16"/>
                <w:szCs w:val="16"/>
              </w:rPr>
              <w:t>DBA Name</w:t>
            </w:r>
          </w:p>
        </w:tc>
        <w:tc>
          <w:tcPr>
            <w:tcW w:w="3711" w:type="dxa"/>
            <w:vAlign w:val="center"/>
          </w:tcPr>
          <w:p w:rsidR="00F97D54" w:rsidRPr="00327836" w:rsidRDefault="00F97D54" w:rsidP="00EB5B97">
            <w:pPr>
              <w:rPr>
                <w:sz w:val="16"/>
                <w:szCs w:val="16"/>
              </w:rPr>
            </w:pPr>
            <w:r>
              <w:rPr>
                <w:sz w:val="16"/>
                <w:szCs w:val="16"/>
              </w:rPr>
              <w:t>Name of the entity customers could contact to purchase service in this block with the characteristics below.</w:t>
            </w:r>
          </w:p>
        </w:tc>
        <w:tc>
          <w:tcPr>
            <w:tcW w:w="975" w:type="dxa"/>
            <w:vAlign w:val="center"/>
          </w:tcPr>
          <w:p w:rsidR="00F97D54" w:rsidRPr="00327836" w:rsidRDefault="00F97D54" w:rsidP="00EB5B97">
            <w:pPr>
              <w:rPr>
                <w:sz w:val="16"/>
                <w:szCs w:val="16"/>
              </w:rPr>
            </w:pPr>
            <w:r>
              <w:rPr>
                <w:sz w:val="16"/>
                <w:szCs w:val="16"/>
              </w:rPr>
              <w:t>Text</w:t>
            </w:r>
          </w:p>
        </w:tc>
        <w:tc>
          <w:tcPr>
            <w:tcW w:w="1416" w:type="dxa"/>
            <w:vAlign w:val="center"/>
          </w:tcPr>
          <w:p w:rsidR="00F97D54" w:rsidRPr="00327836" w:rsidRDefault="00F97D54" w:rsidP="00EB5B97">
            <w:pPr>
              <w:rPr>
                <w:sz w:val="16"/>
                <w:szCs w:val="16"/>
              </w:rPr>
            </w:pPr>
            <w:r>
              <w:rPr>
                <w:sz w:val="16"/>
                <w:szCs w:val="16"/>
              </w:rPr>
              <w:t>Cable Town</w:t>
            </w:r>
          </w:p>
        </w:tc>
      </w:tr>
      <w:tr w:rsidR="00F97D54" w:rsidRPr="00551AAF" w:rsidTr="00EB5B97">
        <w:trPr>
          <w:trHeight w:val="360"/>
        </w:trPr>
        <w:tc>
          <w:tcPr>
            <w:tcW w:w="2646" w:type="dxa"/>
            <w:vAlign w:val="center"/>
          </w:tcPr>
          <w:p w:rsidR="00F97D54" w:rsidRPr="00551AAF" w:rsidRDefault="00F97D54" w:rsidP="00EB5B97">
            <w:pPr>
              <w:rPr>
                <w:sz w:val="16"/>
                <w:szCs w:val="16"/>
              </w:rPr>
            </w:pPr>
            <w:r>
              <w:rPr>
                <w:sz w:val="16"/>
                <w:szCs w:val="16"/>
              </w:rPr>
              <w:t>Census_Block</w:t>
            </w:r>
          </w:p>
        </w:tc>
        <w:tc>
          <w:tcPr>
            <w:tcW w:w="3711" w:type="dxa"/>
            <w:vAlign w:val="center"/>
          </w:tcPr>
          <w:p w:rsidR="00F97D54" w:rsidRPr="00551AAF" w:rsidRDefault="00F97D54" w:rsidP="00EB5B97">
            <w:pPr>
              <w:rPr>
                <w:sz w:val="16"/>
                <w:szCs w:val="16"/>
              </w:rPr>
            </w:pPr>
            <w:r>
              <w:rPr>
                <w:sz w:val="16"/>
                <w:szCs w:val="16"/>
              </w:rPr>
              <w:t xml:space="preserve">As defined by US Census Bureau; 15 digit FIPS code </w:t>
            </w:r>
          </w:p>
        </w:tc>
        <w:tc>
          <w:tcPr>
            <w:tcW w:w="975" w:type="dxa"/>
            <w:vAlign w:val="center"/>
          </w:tcPr>
          <w:p w:rsidR="00F97D54" w:rsidRPr="00740F4C" w:rsidRDefault="00F97D54" w:rsidP="00EB5B97">
            <w:pPr>
              <w:rPr>
                <w:sz w:val="16"/>
                <w:szCs w:val="16"/>
              </w:rPr>
            </w:pPr>
            <w:r w:rsidRPr="00740F4C">
              <w:rPr>
                <w:sz w:val="16"/>
                <w:szCs w:val="16"/>
              </w:rPr>
              <w:t>Text</w:t>
            </w:r>
          </w:p>
        </w:tc>
        <w:tc>
          <w:tcPr>
            <w:tcW w:w="1416" w:type="dxa"/>
            <w:vAlign w:val="center"/>
          </w:tcPr>
          <w:p w:rsidR="00F97D54" w:rsidRPr="00740F4C" w:rsidRDefault="00F97D54" w:rsidP="00EB5B97">
            <w:pPr>
              <w:rPr>
                <w:sz w:val="16"/>
                <w:szCs w:val="16"/>
              </w:rPr>
            </w:pPr>
            <w:r w:rsidRPr="00B26ADE">
              <w:rPr>
                <w:sz w:val="16"/>
                <w:szCs w:val="16"/>
              </w:rPr>
              <w:t>060290057001136</w:t>
            </w:r>
          </w:p>
        </w:tc>
      </w:tr>
      <w:tr w:rsidR="00F97D54" w:rsidRPr="0063769F" w:rsidTr="00EB5B97">
        <w:trPr>
          <w:trHeight w:val="441"/>
        </w:trPr>
        <w:tc>
          <w:tcPr>
            <w:tcW w:w="2646" w:type="dxa"/>
            <w:vAlign w:val="center"/>
          </w:tcPr>
          <w:p w:rsidR="00F97D54" w:rsidRDefault="00F97D54" w:rsidP="00EB5B97">
            <w:pPr>
              <w:rPr>
                <w:sz w:val="16"/>
                <w:szCs w:val="16"/>
              </w:rPr>
            </w:pPr>
            <w:r>
              <w:rPr>
                <w:sz w:val="16"/>
                <w:szCs w:val="16"/>
              </w:rPr>
              <w:t>Transtech</w:t>
            </w:r>
          </w:p>
        </w:tc>
        <w:tc>
          <w:tcPr>
            <w:tcW w:w="3711" w:type="dxa"/>
            <w:vAlign w:val="center"/>
          </w:tcPr>
          <w:p w:rsidR="00F97D54" w:rsidRPr="00327836" w:rsidRDefault="00F97D54" w:rsidP="00EB5B97">
            <w:pPr>
              <w:rPr>
                <w:sz w:val="16"/>
                <w:szCs w:val="16"/>
              </w:rPr>
            </w:pPr>
            <w:r w:rsidRPr="00327836">
              <w:rPr>
                <w:sz w:val="16"/>
                <w:szCs w:val="16"/>
              </w:rPr>
              <w:t>Category of technology for the provision of Internet access service</w:t>
            </w:r>
            <w:r>
              <w:rPr>
                <w:sz w:val="16"/>
                <w:szCs w:val="16"/>
              </w:rPr>
              <w:t xml:space="preserve"> (see Codes below)</w:t>
            </w:r>
          </w:p>
        </w:tc>
        <w:tc>
          <w:tcPr>
            <w:tcW w:w="975" w:type="dxa"/>
            <w:vAlign w:val="center"/>
          </w:tcPr>
          <w:p w:rsidR="00F97D54" w:rsidRPr="00327836" w:rsidRDefault="00F97D54" w:rsidP="00EB5B97">
            <w:pPr>
              <w:rPr>
                <w:sz w:val="16"/>
                <w:szCs w:val="16"/>
              </w:rPr>
            </w:pPr>
            <w:r w:rsidRPr="00327836">
              <w:rPr>
                <w:sz w:val="16"/>
                <w:szCs w:val="16"/>
              </w:rPr>
              <w:t>Integer</w:t>
            </w:r>
          </w:p>
        </w:tc>
        <w:tc>
          <w:tcPr>
            <w:tcW w:w="1416" w:type="dxa"/>
            <w:vAlign w:val="center"/>
          </w:tcPr>
          <w:p w:rsidR="00F97D54" w:rsidRPr="00327836" w:rsidRDefault="00F97D54" w:rsidP="00EB5B97">
            <w:pPr>
              <w:rPr>
                <w:sz w:val="16"/>
                <w:szCs w:val="16"/>
              </w:rPr>
            </w:pPr>
            <w:r w:rsidRPr="00327836">
              <w:rPr>
                <w:sz w:val="16"/>
                <w:szCs w:val="16"/>
              </w:rPr>
              <w:t>41</w:t>
            </w:r>
          </w:p>
        </w:tc>
      </w:tr>
      <w:tr w:rsidR="00F97D54" w:rsidRPr="0063769F" w:rsidTr="00EB5B97">
        <w:trPr>
          <w:trHeight w:val="441"/>
        </w:trPr>
        <w:tc>
          <w:tcPr>
            <w:tcW w:w="2646" w:type="dxa"/>
            <w:vAlign w:val="center"/>
          </w:tcPr>
          <w:p w:rsidR="00F97D54" w:rsidRDefault="00F97D54" w:rsidP="00EB5B97">
            <w:pPr>
              <w:rPr>
                <w:sz w:val="16"/>
                <w:szCs w:val="16"/>
              </w:rPr>
            </w:pPr>
            <w:r>
              <w:rPr>
                <w:sz w:val="16"/>
                <w:szCs w:val="16"/>
              </w:rPr>
              <w:t>Maxaddown</w:t>
            </w:r>
          </w:p>
        </w:tc>
        <w:tc>
          <w:tcPr>
            <w:tcW w:w="3711" w:type="dxa"/>
            <w:vAlign w:val="center"/>
          </w:tcPr>
          <w:p w:rsidR="00F97D54" w:rsidRDefault="00F97D54" w:rsidP="00EB5B97">
            <w:pPr>
              <w:rPr>
                <w:sz w:val="16"/>
                <w:szCs w:val="16"/>
              </w:rPr>
            </w:pPr>
            <w:r>
              <w:rPr>
                <w:sz w:val="16"/>
                <w:szCs w:val="16"/>
              </w:rPr>
              <w:t>Maximum advertised download speed in Mbps available in the census block</w:t>
            </w:r>
          </w:p>
        </w:tc>
        <w:tc>
          <w:tcPr>
            <w:tcW w:w="975" w:type="dxa"/>
            <w:vAlign w:val="center"/>
          </w:tcPr>
          <w:p w:rsidR="00F97D54" w:rsidRPr="00740F4C" w:rsidRDefault="00F97D54" w:rsidP="00EB5B97">
            <w:pPr>
              <w:rPr>
                <w:sz w:val="16"/>
                <w:szCs w:val="16"/>
              </w:rPr>
            </w:pPr>
            <w:r>
              <w:rPr>
                <w:sz w:val="16"/>
                <w:szCs w:val="16"/>
              </w:rPr>
              <w:t>Float</w:t>
            </w:r>
          </w:p>
        </w:tc>
        <w:tc>
          <w:tcPr>
            <w:tcW w:w="1416" w:type="dxa"/>
            <w:vAlign w:val="center"/>
          </w:tcPr>
          <w:p w:rsidR="00F97D54" w:rsidRPr="00740F4C" w:rsidRDefault="00F97D54" w:rsidP="00EB5B97">
            <w:pPr>
              <w:rPr>
                <w:sz w:val="16"/>
                <w:szCs w:val="16"/>
              </w:rPr>
            </w:pPr>
            <w:r>
              <w:rPr>
                <w:sz w:val="16"/>
                <w:szCs w:val="16"/>
              </w:rPr>
              <w:t>9</w:t>
            </w:r>
          </w:p>
        </w:tc>
      </w:tr>
      <w:tr w:rsidR="00F97D54" w:rsidRPr="0063769F" w:rsidTr="00EB5B97">
        <w:trPr>
          <w:trHeight w:val="702"/>
        </w:trPr>
        <w:tc>
          <w:tcPr>
            <w:tcW w:w="2646" w:type="dxa"/>
            <w:vAlign w:val="center"/>
          </w:tcPr>
          <w:p w:rsidR="00F97D54" w:rsidRDefault="00F97D54" w:rsidP="00EB5B97">
            <w:pPr>
              <w:rPr>
                <w:sz w:val="16"/>
                <w:szCs w:val="16"/>
              </w:rPr>
            </w:pPr>
            <w:r>
              <w:rPr>
                <w:sz w:val="16"/>
                <w:szCs w:val="16"/>
              </w:rPr>
              <w:t>Maxaddup</w:t>
            </w:r>
          </w:p>
        </w:tc>
        <w:tc>
          <w:tcPr>
            <w:tcW w:w="3711" w:type="dxa"/>
            <w:vAlign w:val="center"/>
          </w:tcPr>
          <w:p w:rsidR="00F97D54" w:rsidRDefault="00F97D54" w:rsidP="00EB5B97">
            <w:pPr>
              <w:rPr>
                <w:sz w:val="16"/>
                <w:szCs w:val="16"/>
              </w:rPr>
            </w:pPr>
            <w:r>
              <w:rPr>
                <w:sz w:val="16"/>
                <w:szCs w:val="16"/>
              </w:rPr>
              <w:t>Maximum advertised upload speed in Mbps offered with the above maximum advertised downstream speed</w:t>
            </w:r>
          </w:p>
        </w:tc>
        <w:tc>
          <w:tcPr>
            <w:tcW w:w="975" w:type="dxa"/>
            <w:vAlign w:val="center"/>
          </w:tcPr>
          <w:p w:rsidR="00F97D54" w:rsidRPr="00740F4C" w:rsidRDefault="00F97D54" w:rsidP="00EB5B97">
            <w:pPr>
              <w:rPr>
                <w:sz w:val="16"/>
                <w:szCs w:val="16"/>
              </w:rPr>
            </w:pPr>
            <w:r>
              <w:rPr>
                <w:sz w:val="16"/>
                <w:szCs w:val="16"/>
              </w:rPr>
              <w:t>Float</w:t>
            </w:r>
          </w:p>
        </w:tc>
        <w:tc>
          <w:tcPr>
            <w:tcW w:w="1416" w:type="dxa"/>
            <w:vAlign w:val="center"/>
          </w:tcPr>
          <w:p w:rsidR="00F97D54" w:rsidRPr="00740F4C" w:rsidRDefault="00F97D54" w:rsidP="00EB5B97">
            <w:pPr>
              <w:rPr>
                <w:sz w:val="16"/>
                <w:szCs w:val="16"/>
              </w:rPr>
            </w:pPr>
            <w:r>
              <w:rPr>
                <w:sz w:val="16"/>
                <w:szCs w:val="16"/>
              </w:rPr>
              <w:t>0.768</w:t>
            </w:r>
          </w:p>
        </w:tc>
      </w:tr>
      <w:tr w:rsidR="00F97D54" w:rsidRPr="00551AAF" w:rsidTr="00EB5B97">
        <w:trPr>
          <w:trHeight w:val="360"/>
        </w:trPr>
        <w:tc>
          <w:tcPr>
            <w:tcW w:w="2646" w:type="dxa"/>
            <w:tcBorders>
              <w:bottom w:val="double" w:sz="4" w:space="0" w:color="auto"/>
            </w:tcBorders>
            <w:vAlign w:val="center"/>
          </w:tcPr>
          <w:p w:rsidR="00F97D54" w:rsidRDefault="00F97D54" w:rsidP="00EB5B97">
            <w:pPr>
              <w:rPr>
                <w:sz w:val="16"/>
                <w:szCs w:val="16"/>
              </w:rPr>
            </w:pPr>
            <w:r>
              <w:rPr>
                <w:sz w:val="16"/>
                <w:szCs w:val="16"/>
              </w:rPr>
              <w:t>Year</w:t>
            </w:r>
          </w:p>
        </w:tc>
        <w:tc>
          <w:tcPr>
            <w:tcW w:w="3711" w:type="dxa"/>
            <w:tcBorders>
              <w:bottom w:val="double" w:sz="4" w:space="0" w:color="auto"/>
            </w:tcBorders>
            <w:vAlign w:val="center"/>
          </w:tcPr>
          <w:p w:rsidR="00F97D54" w:rsidRDefault="00F97D54" w:rsidP="00EB5B97">
            <w:pPr>
              <w:rPr>
                <w:sz w:val="16"/>
                <w:szCs w:val="16"/>
              </w:rPr>
            </w:pPr>
            <w:r>
              <w:rPr>
                <w:sz w:val="16"/>
                <w:szCs w:val="16"/>
              </w:rPr>
              <w:t>Year:  2010 or 2012</w:t>
            </w:r>
          </w:p>
        </w:tc>
        <w:tc>
          <w:tcPr>
            <w:tcW w:w="975" w:type="dxa"/>
            <w:tcBorders>
              <w:bottom w:val="double" w:sz="4" w:space="0" w:color="auto"/>
            </w:tcBorders>
            <w:vAlign w:val="center"/>
          </w:tcPr>
          <w:p w:rsidR="00F97D54" w:rsidRPr="00740F4C" w:rsidRDefault="00F97D54" w:rsidP="00EB5B97">
            <w:pPr>
              <w:rPr>
                <w:sz w:val="16"/>
                <w:szCs w:val="16"/>
              </w:rPr>
            </w:pPr>
            <w:r>
              <w:rPr>
                <w:sz w:val="16"/>
                <w:szCs w:val="16"/>
              </w:rPr>
              <w:t>Date</w:t>
            </w:r>
          </w:p>
        </w:tc>
        <w:tc>
          <w:tcPr>
            <w:tcW w:w="1416" w:type="dxa"/>
            <w:tcBorders>
              <w:bottom w:val="double" w:sz="4" w:space="0" w:color="auto"/>
            </w:tcBorders>
            <w:vAlign w:val="center"/>
          </w:tcPr>
          <w:p w:rsidR="00F97D54" w:rsidRPr="00740F4C" w:rsidRDefault="00F97D54" w:rsidP="00EB5B97">
            <w:pPr>
              <w:rPr>
                <w:sz w:val="16"/>
                <w:szCs w:val="16"/>
              </w:rPr>
            </w:pPr>
            <w:r>
              <w:rPr>
                <w:sz w:val="16"/>
                <w:szCs w:val="16"/>
              </w:rPr>
              <w:t>2010</w:t>
            </w:r>
          </w:p>
        </w:tc>
      </w:tr>
    </w:tbl>
    <w:p w:rsidR="00F97D54" w:rsidRDefault="00F97D54" w:rsidP="00EB5B97"/>
    <w:p w:rsidR="00F97D54" w:rsidRDefault="00F97D54" w:rsidP="00162BEB">
      <w:pPr>
        <w:widowControl/>
        <w:numPr>
          <w:ilvl w:val="0"/>
          <w:numId w:val="24"/>
        </w:numPr>
      </w:pPr>
      <w:r w:rsidRPr="00F978A4">
        <w:t>Census_Block</w:t>
      </w:r>
      <w:r w:rsidRPr="00FE2F0D">
        <w:t xml:space="preserve"> – Each census block must be identified using the 2010 block identifier from the 2010 TIGER/Line Block State-based Shapefile or Block County-based Shapefile.  The block identifier is a concatenation of Census 2010 state FIPS code, Census 2010 county FIPS code, Census 2010 census tract code and Census 2010 tabulation block number.  Please see the 2010 TIGER/Line Shapefiles Technical Documentation, Chapter 5, Part 5.2 at </w:t>
      </w:r>
      <w:r w:rsidRPr="00E33B54">
        <w:t>http://www.census.gov/geo/maps-data/data/pdfs/tiger/tgrshp2010/TGRSHP10SF1CH5.pdf</w:t>
      </w:r>
      <w:r w:rsidRPr="00FE2F0D">
        <w:t xml:space="preserve"> for more information.</w:t>
      </w:r>
    </w:p>
    <w:p w:rsidR="00F97D54" w:rsidRDefault="00F97D54" w:rsidP="00EB5B97"/>
    <w:p w:rsidR="00F97D54" w:rsidRPr="00FE2F0D" w:rsidRDefault="00F97D54" w:rsidP="00EB5B97">
      <w:pPr>
        <w:numPr>
          <w:ilvl w:val="0"/>
          <w:numId w:val="24"/>
        </w:numPr>
      </w:pPr>
      <w:bookmarkStart w:id="135" w:name="OLE_LINK9"/>
      <w:bookmarkStart w:id="136" w:name="OLE_LINK10"/>
      <w:r w:rsidRPr="00FE2F0D">
        <w:t xml:space="preserve">Any variation in </w:t>
      </w:r>
      <w:r w:rsidRPr="00F978A4">
        <w:t>Census_Block</w:t>
      </w:r>
      <w:r w:rsidRPr="00FE2F0D">
        <w:t xml:space="preserve">, </w:t>
      </w:r>
      <w:r>
        <w:t>DBA N</w:t>
      </w:r>
      <w:r w:rsidRPr="00F978A4">
        <w:t>ame</w:t>
      </w:r>
      <w:r w:rsidRPr="00FE2F0D">
        <w:t xml:space="preserve">, or </w:t>
      </w:r>
      <w:r>
        <w:t>t</w:t>
      </w:r>
      <w:r w:rsidRPr="00F978A4">
        <w:t xml:space="preserve">echnology of </w:t>
      </w:r>
      <w:r>
        <w:t>t</w:t>
      </w:r>
      <w:r w:rsidRPr="00F978A4">
        <w:t>ransmission</w:t>
      </w:r>
      <w:r w:rsidRPr="00FE2F0D">
        <w:t xml:space="preserve"> </w:t>
      </w:r>
      <w:r>
        <w:t xml:space="preserve">(Transtech) </w:t>
      </w:r>
      <w:r w:rsidRPr="00FE2F0D">
        <w:t xml:space="preserve">necessitates the creation of a new record.  For example, if a </w:t>
      </w:r>
      <w:r>
        <w:t>respondent</w:t>
      </w:r>
      <w:r w:rsidRPr="00FE2F0D">
        <w:t xml:space="preserve"> indicates that broadband service is available in a particular census block via two technologies, then the data </w:t>
      </w:r>
      <w:r>
        <w:t>must</w:t>
      </w:r>
      <w:r w:rsidRPr="00FE2F0D">
        <w:t xml:space="preserve"> contain two records for that census block.  Records </w:t>
      </w:r>
      <w:r>
        <w:t>must</w:t>
      </w:r>
      <w:r w:rsidRPr="00FE2F0D">
        <w:t xml:space="preserve"> be unique by </w:t>
      </w:r>
      <w:r w:rsidRPr="00F978A4">
        <w:t>Block</w:t>
      </w:r>
      <w:r w:rsidRPr="00FE2F0D">
        <w:t xml:space="preserve">, </w:t>
      </w:r>
      <w:r w:rsidRPr="00F978A4">
        <w:t xml:space="preserve">DBA </w:t>
      </w:r>
      <w:r>
        <w:t>N</w:t>
      </w:r>
      <w:r w:rsidRPr="00F978A4">
        <w:t>ame</w:t>
      </w:r>
      <w:r w:rsidRPr="00FE2F0D">
        <w:t xml:space="preserve">, and </w:t>
      </w:r>
      <w:r>
        <w:t>Transtech</w:t>
      </w:r>
      <w:r w:rsidRPr="00F978A4">
        <w:t>.</w:t>
      </w:r>
    </w:p>
    <w:p w:rsidR="00F97D54" w:rsidRDefault="00F97D54" w:rsidP="00EB5B97">
      <w:pPr>
        <w:pStyle w:val="ListParagraph"/>
      </w:pPr>
    </w:p>
    <w:bookmarkEnd w:id="135"/>
    <w:bookmarkEnd w:id="136"/>
    <w:p w:rsidR="00F97D54" w:rsidRDefault="00F97D54" w:rsidP="00EB5B97">
      <w:pPr>
        <w:numPr>
          <w:ilvl w:val="0"/>
          <w:numId w:val="24"/>
        </w:numPr>
      </w:pPr>
      <w:r w:rsidRPr="00F978A4">
        <w:t>Transtech</w:t>
      </w:r>
      <w:r w:rsidRPr="00FE2F0D">
        <w:t xml:space="preserve"> – For reporting </w:t>
      </w:r>
      <w:r>
        <w:t xml:space="preserve">in the </w:t>
      </w:r>
      <w:r w:rsidRPr="00F978A4">
        <w:t>Transtech</w:t>
      </w:r>
      <w:r>
        <w:t xml:space="preserve"> data field</w:t>
      </w:r>
      <w:r w:rsidRPr="00FE2F0D">
        <w:t xml:space="preserve">, </w:t>
      </w:r>
      <w:r w:rsidRPr="00F978A4">
        <w:t>report the technology used by the portion of the connection that would terminate at the end-user location</w:t>
      </w:r>
      <w:r w:rsidRPr="00FE2F0D">
        <w:t xml:space="preserve">.  If different technologies could be used in the two directions of information transfer (“downstream” and “upstream”), report the connection in the technology category for the downstream direction.  The </w:t>
      </w:r>
      <w:r>
        <w:t>Transtech</w:t>
      </w:r>
      <w:r w:rsidRPr="00FE2F0D">
        <w:t xml:space="preserve"> </w:t>
      </w:r>
      <w:r>
        <w:t>field must</w:t>
      </w:r>
      <w:r w:rsidRPr="00FE2F0D">
        <w:t xml:space="preserve"> be entered as an integer based on the </w:t>
      </w:r>
      <w:r>
        <w:t xml:space="preserve">following </w:t>
      </w:r>
      <w:r w:rsidRPr="00FE2F0D">
        <w:t>reference.</w:t>
      </w:r>
    </w:p>
    <w:p w:rsidR="00F97D54" w:rsidRDefault="00F97D54" w:rsidP="00EB5B9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0"/>
        <w:gridCol w:w="3240"/>
      </w:tblGrid>
      <w:tr w:rsidR="00F97D54" w:rsidTr="00EB5B97">
        <w:trPr>
          <w:trHeight w:val="285"/>
          <w:jc w:val="center"/>
        </w:trPr>
        <w:tc>
          <w:tcPr>
            <w:tcW w:w="3960" w:type="dxa"/>
            <w:gridSpan w:val="2"/>
            <w:tcBorders>
              <w:top w:val="double" w:sz="4" w:space="0" w:color="auto"/>
              <w:left w:val="nil"/>
              <w:right w:val="nil"/>
            </w:tcBorders>
            <w:vAlign w:val="center"/>
          </w:tcPr>
          <w:p w:rsidR="00F97D54" w:rsidRPr="00FE2F0D" w:rsidRDefault="00F97D54" w:rsidP="00EB5B97">
            <w:pPr>
              <w:jc w:val="center"/>
              <w:rPr>
                <w:b/>
                <w:sz w:val="18"/>
                <w:szCs w:val="18"/>
              </w:rPr>
            </w:pPr>
            <w:r w:rsidRPr="00FE2F0D">
              <w:rPr>
                <w:b/>
                <w:sz w:val="18"/>
                <w:szCs w:val="18"/>
              </w:rPr>
              <w:t>Technology of Transmission Codes</w:t>
            </w:r>
          </w:p>
        </w:tc>
      </w:tr>
      <w:tr w:rsidR="00F97D54" w:rsidTr="00EB5B97">
        <w:trPr>
          <w:trHeight w:val="288"/>
          <w:jc w:val="center"/>
        </w:trPr>
        <w:tc>
          <w:tcPr>
            <w:tcW w:w="720" w:type="dxa"/>
            <w:tcBorders>
              <w:left w:val="nil"/>
            </w:tcBorders>
            <w:vAlign w:val="center"/>
          </w:tcPr>
          <w:p w:rsidR="00F97D54" w:rsidRPr="00322815" w:rsidRDefault="00F97D54" w:rsidP="00EB5B97">
            <w:pPr>
              <w:jc w:val="center"/>
              <w:rPr>
                <w:b/>
                <w:sz w:val="18"/>
                <w:szCs w:val="18"/>
              </w:rPr>
            </w:pPr>
            <w:r w:rsidRPr="00322815">
              <w:rPr>
                <w:b/>
                <w:sz w:val="18"/>
                <w:szCs w:val="18"/>
              </w:rPr>
              <w:t>Code</w:t>
            </w:r>
          </w:p>
        </w:tc>
        <w:tc>
          <w:tcPr>
            <w:tcW w:w="3240" w:type="dxa"/>
            <w:tcBorders>
              <w:right w:val="nil"/>
            </w:tcBorders>
            <w:vAlign w:val="center"/>
          </w:tcPr>
          <w:p w:rsidR="00F97D54" w:rsidRPr="00322815" w:rsidRDefault="00F97D54" w:rsidP="00EB5B97">
            <w:pPr>
              <w:rPr>
                <w:b/>
                <w:sz w:val="18"/>
                <w:szCs w:val="18"/>
              </w:rPr>
            </w:pPr>
            <w:r>
              <w:rPr>
                <w:b/>
                <w:sz w:val="18"/>
                <w:szCs w:val="18"/>
              </w:rPr>
              <w:t>Description</w:t>
            </w:r>
          </w:p>
        </w:tc>
      </w:tr>
      <w:tr w:rsidR="00F97D54" w:rsidTr="00EB5B97">
        <w:trPr>
          <w:trHeight w:val="216"/>
          <w:jc w:val="center"/>
        </w:trPr>
        <w:tc>
          <w:tcPr>
            <w:tcW w:w="720" w:type="dxa"/>
            <w:tcBorders>
              <w:left w:val="nil"/>
              <w:bottom w:val="nil"/>
              <w:right w:val="nil"/>
            </w:tcBorders>
            <w:vAlign w:val="center"/>
          </w:tcPr>
          <w:p w:rsidR="00F97D54" w:rsidRPr="00FF5C78" w:rsidRDefault="00F97D54" w:rsidP="00EB5B97">
            <w:pPr>
              <w:jc w:val="center"/>
              <w:rPr>
                <w:sz w:val="16"/>
              </w:rPr>
            </w:pPr>
            <w:r>
              <w:rPr>
                <w:sz w:val="16"/>
              </w:rPr>
              <w:t>1</w:t>
            </w:r>
            <w:r w:rsidRPr="00FF5C78">
              <w:rPr>
                <w:sz w:val="16"/>
              </w:rPr>
              <w:t>0</w:t>
            </w:r>
          </w:p>
        </w:tc>
        <w:tc>
          <w:tcPr>
            <w:tcW w:w="3240" w:type="dxa"/>
            <w:tcBorders>
              <w:left w:val="nil"/>
              <w:bottom w:val="nil"/>
              <w:right w:val="nil"/>
            </w:tcBorders>
            <w:vAlign w:val="center"/>
          </w:tcPr>
          <w:p w:rsidR="00F97D54" w:rsidRPr="00FF5C78" w:rsidRDefault="00F97D54" w:rsidP="00EB5B97">
            <w:pPr>
              <w:rPr>
                <w:sz w:val="16"/>
              </w:rPr>
            </w:pPr>
            <w:r w:rsidRPr="003F3E28">
              <w:rPr>
                <w:sz w:val="16"/>
              </w:rPr>
              <w:t>Asymmetric xDSL</w:t>
            </w:r>
          </w:p>
        </w:tc>
      </w:tr>
      <w:tr w:rsidR="00F97D54" w:rsidTr="00EB5B97">
        <w:trPr>
          <w:trHeight w:val="216"/>
          <w:jc w:val="center"/>
        </w:trPr>
        <w:tc>
          <w:tcPr>
            <w:tcW w:w="720" w:type="dxa"/>
            <w:tcBorders>
              <w:top w:val="nil"/>
              <w:left w:val="nil"/>
              <w:bottom w:val="nil"/>
              <w:right w:val="nil"/>
            </w:tcBorders>
            <w:vAlign w:val="center"/>
          </w:tcPr>
          <w:p w:rsidR="00F97D54" w:rsidRPr="00FF5C78" w:rsidRDefault="00F97D54" w:rsidP="00EB5B97">
            <w:pPr>
              <w:jc w:val="center"/>
              <w:rPr>
                <w:sz w:val="16"/>
              </w:rPr>
            </w:pPr>
            <w:r>
              <w:rPr>
                <w:sz w:val="16"/>
              </w:rPr>
              <w:t>20</w:t>
            </w:r>
          </w:p>
        </w:tc>
        <w:tc>
          <w:tcPr>
            <w:tcW w:w="3240" w:type="dxa"/>
            <w:tcBorders>
              <w:top w:val="nil"/>
              <w:left w:val="nil"/>
              <w:bottom w:val="nil"/>
              <w:right w:val="nil"/>
            </w:tcBorders>
            <w:vAlign w:val="center"/>
          </w:tcPr>
          <w:p w:rsidR="00F97D54" w:rsidRPr="00FF5C78" w:rsidRDefault="00F97D54" w:rsidP="00EB5B97">
            <w:pPr>
              <w:rPr>
                <w:sz w:val="16"/>
              </w:rPr>
            </w:pPr>
            <w:r w:rsidRPr="003F3E28">
              <w:rPr>
                <w:sz w:val="16"/>
              </w:rPr>
              <w:t>Symmetric xDSL</w:t>
            </w:r>
          </w:p>
        </w:tc>
      </w:tr>
      <w:tr w:rsidR="00F97D54" w:rsidTr="00EB5B97">
        <w:trPr>
          <w:trHeight w:val="216"/>
          <w:jc w:val="center"/>
        </w:trPr>
        <w:tc>
          <w:tcPr>
            <w:tcW w:w="720" w:type="dxa"/>
            <w:tcBorders>
              <w:top w:val="nil"/>
              <w:left w:val="nil"/>
              <w:bottom w:val="nil"/>
              <w:right w:val="nil"/>
            </w:tcBorders>
            <w:vAlign w:val="center"/>
          </w:tcPr>
          <w:p w:rsidR="00F97D54" w:rsidRPr="00FF5C78" w:rsidRDefault="00F97D54" w:rsidP="00EB5B97">
            <w:pPr>
              <w:jc w:val="center"/>
              <w:rPr>
                <w:sz w:val="16"/>
              </w:rPr>
            </w:pPr>
            <w:r>
              <w:rPr>
                <w:sz w:val="16"/>
              </w:rPr>
              <w:t>30</w:t>
            </w:r>
          </w:p>
        </w:tc>
        <w:tc>
          <w:tcPr>
            <w:tcW w:w="3240" w:type="dxa"/>
            <w:tcBorders>
              <w:top w:val="nil"/>
              <w:left w:val="nil"/>
              <w:bottom w:val="nil"/>
              <w:right w:val="nil"/>
            </w:tcBorders>
            <w:vAlign w:val="center"/>
          </w:tcPr>
          <w:p w:rsidR="00F97D54" w:rsidRPr="00FF5C78" w:rsidRDefault="00F97D54" w:rsidP="00EB5B97">
            <w:pPr>
              <w:rPr>
                <w:sz w:val="16"/>
              </w:rPr>
            </w:pPr>
            <w:r w:rsidRPr="003F3E28">
              <w:rPr>
                <w:sz w:val="16"/>
              </w:rPr>
              <w:t>Other Copper Wire</w:t>
            </w:r>
          </w:p>
        </w:tc>
      </w:tr>
      <w:tr w:rsidR="00F97D54" w:rsidTr="00EB5B97">
        <w:trPr>
          <w:trHeight w:val="216"/>
          <w:jc w:val="center"/>
        </w:trPr>
        <w:tc>
          <w:tcPr>
            <w:tcW w:w="720" w:type="dxa"/>
            <w:tcBorders>
              <w:top w:val="nil"/>
              <w:left w:val="nil"/>
              <w:bottom w:val="nil"/>
              <w:right w:val="nil"/>
            </w:tcBorders>
            <w:vAlign w:val="center"/>
          </w:tcPr>
          <w:p w:rsidR="00F97D54" w:rsidRPr="00FF5C78" w:rsidRDefault="00F97D54" w:rsidP="00EB5B97">
            <w:pPr>
              <w:jc w:val="center"/>
              <w:rPr>
                <w:sz w:val="16"/>
              </w:rPr>
            </w:pPr>
            <w:r>
              <w:rPr>
                <w:sz w:val="16"/>
              </w:rPr>
              <w:t>40</w:t>
            </w:r>
          </w:p>
        </w:tc>
        <w:tc>
          <w:tcPr>
            <w:tcW w:w="3240" w:type="dxa"/>
            <w:tcBorders>
              <w:top w:val="nil"/>
              <w:left w:val="nil"/>
              <w:bottom w:val="nil"/>
              <w:right w:val="nil"/>
            </w:tcBorders>
            <w:vAlign w:val="center"/>
          </w:tcPr>
          <w:p w:rsidR="00F97D54" w:rsidRPr="00FF5C78" w:rsidRDefault="00F97D54" w:rsidP="00EB5B97">
            <w:pPr>
              <w:rPr>
                <w:sz w:val="16"/>
              </w:rPr>
            </w:pPr>
            <w:r w:rsidRPr="00FE2F0D">
              <w:rPr>
                <w:sz w:val="16"/>
              </w:rPr>
              <w:t>Cable Modem - DOCSIS 3.0</w:t>
            </w:r>
          </w:p>
        </w:tc>
      </w:tr>
      <w:tr w:rsidR="00F97D54" w:rsidTr="00EB5B97">
        <w:trPr>
          <w:trHeight w:val="216"/>
          <w:jc w:val="center"/>
        </w:trPr>
        <w:tc>
          <w:tcPr>
            <w:tcW w:w="720" w:type="dxa"/>
            <w:tcBorders>
              <w:top w:val="nil"/>
              <w:left w:val="nil"/>
              <w:bottom w:val="nil"/>
              <w:right w:val="nil"/>
            </w:tcBorders>
            <w:vAlign w:val="center"/>
          </w:tcPr>
          <w:p w:rsidR="00F97D54" w:rsidRPr="00FF5C78" w:rsidRDefault="00F97D54" w:rsidP="00EB5B97">
            <w:pPr>
              <w:jc w:val="center"/>
              <w:rPr>
                <w:sz w:val="16"/>
              </w:rPr>
            </w:pPr>
            <w:r>
              <w:rPr>
                <w:sz w:val="16"/>
              </w:rPr>
              <w:t>41</w:t>
            </w:r>
          </w:p>
        </w:tc>
        <w:tc>
          <w:tcPr>
            <w:tcW w:w="3240" w:type="dxa"/>
            <w:tcBorders>
              <w:top w:val="nil"/>
              <w:left w:val="nil"/>
              <w:bottom w:val="nil"/>
              <w:right w:val="nil"/>
            </w:tcBorders>
            <w:vAlign w:val="center"/>
          </w:tcPr>
          <w:p w:rsidR="00F97D54" w:rsidRPr="00FF5C78" w:rsidRDefault="00F97D54" w:rsidP="00EB5B97">
            <w:pPr>
              <w:rPr>
                <w:sz w:val="16"/>
              </w:rPr>
            </w:pPr>
            <w:r>
              <w:rPr>
                <w:sz w:val="16"/>
              </w:rPr>
              <w:t>Cable Modem</w:t>
            </w:r>
            <w:r w:rsidRPr="00FE2F0D">
              <w:rPr>
                <w:sz w:val="16"/>
              </w:rPr>
              <w:t xml:space="preserve"> - Other</w:t>
            </w:r>
          </w:p>
        </w:tc>
      </w:tr>
      <w:tr w:rsidR="00F97D54" w:rsidTr="00EB5B97">
        <w:trPr>
          <w:trHeight w:val="216"/>
          <w:jc w:val="center"/>
        </w:trPr>
        <w:tc>
          <w:tcPr>
            <w:tcW w:w="720" w:type="dxa"/>
            <w:tcBorders>
              <w:top w:val="nil"/>
              <w:left w:val="nil"/>
              <w:bottom w:val="nil"/>
              <w:right w:val="nil"/>
            </w:tcBorders>
            <w:vAlign w:val="center"/>
          </w:tcPr>
          <w:p w:rsidR="00F97D54" w:rsidRPr="00FF5C78" w:rsidRDefault="00F97D54" w:rsidP="00EB5B97">
            <w:pPr>
              <w:jc w:val="center"/>
              <w:rPr>
                <w:sz w:val="16"/>
              </w:rPr>
            </w:pPr>
            <w:r>
              <w:rPr>
                <w:sz w:val="16"/>
              </w:rPr>
              <w:t>50</w:t>
            </w:r>
          </w:p>
        </w:tc>
        <w:tc>
          <w:tcPr>
            <w:tcW w:w="3240" w:type="dxa"/>
            <w:tcBorders>
              <w:top w:val="nil"/>
              <w:left w:val="nil"/>
              <w:bottom w:val="nil"/>
              <w:right w:val="nil"/>
            </w:tcBorders>
            <w:vAlign w:val="center"/>
          </w:tcPr>
          <w:p w:rsidR="00F97D54" w:rsidRPr="00FF5C78" w:rsidRDefault="00F97D54" w:rsidP="00EB5B97">
            <w:pPr>
              <w:rPr>
                <w:sz w:val="16"/>
              </w:rPr>
            </w:pPr>
            <w:r w:rsidRPr="00FE2F0D">
              <w:rPr>
                <w:sz w:val="16"/>
              </w:rPr>
              <w:t>Optical Carrier/Fiber to the End User</w:t>
            </w:r>
          </w:p>
        </w:tc>
      </w:tr>
      <w:tr w:rsidR="00F97D54" w:rsidTr="00EB5B97">
        <w:trPr>
          <w:trHeight w:val="216"/>
          <w:jc w:val="center"/>
        </w:trPr>
        <w:tc>
          <w:tcPr>
            <w:tcW w:w="720" w:type="dxa"/>
            <w:tcBorders>
              <w:top w:val="nil"/>
              <w:left w:val="nil"/>
              <w:bottom w:val="nil"/>
              <w:right w:val="nil"/>
            </w:tcBorders>
            <w:vAlign w:val="center"/>
          </w:tcPr>
          <w:p w:rsidR="00F97D54" w:rsidRPr="00FF5C78" w:rsidRDefault="00F97D54" w:rsidP="00EB5B97">
            <w:pPr>
              <w:jc w:val="center"/>
              <w:rPr>
                <w:sz w:val="16"/>
              </w:rPr>
            </w:pPr>
            <w:r>
              <w:rPr>
                <w:sz w:val="16"/>
              </w:rPr>
              <w:t>60</w:t>
            </w:r>
          </w:p>
        </w:tc>
        <w:tc>
          <w:tcPr>
            <w:tcW w:w="3240" w:type="dxa"/>
            <w:tcBorders>
              <w:top w:val="nil"/>
              <w:left w:val="nil"/>
              <w:bottom w:val="nil"/>
              <w:right w:val="nil"/>
            </w:tcBorders>
            <w:vAlign w:val="center"/>
          </w:tcPr>
          <w:p w:rsidR="00F97D54" w:rsidRPr="00FF5C78" w:rsidRDefault="00F97D54" w:rsidP="00EB5B97">
            <w:pPr>
              <w:rPr>
                <w:sz w:val="16"/>
              </w:rPr>
            </w:pPr>
            <w:r w:rsidRPr="00FE2F0D">
              <w:rPr>
                <w:sz w:val="16"/>
              </w:rPr>
              <w:t>Satellite</w:t>
            </w:r>
          </w:p>
        </w:tc>
      </w:tr>
      <w:tr w:rsidR="00F97D54" w:rsidTr="00EB5B97">
        <w:trPr>
          <w:trHeight w:val="216"/>
          <w:jc w:val="center"/>
        </w:trPr>
        <w:tc>
          <w:tcPr>
            <w:tcW w:w="720" w:type="dxa"/>
            <w:tcBorders>
              <w:top w:val="nil"/>
              <w:left w:val="nil"/>
              <w:bottom w:val="nil"/>
              <w:right w:val="nil"/>
            </w:tcBorders>
            <w:vAlign w:val="center"/>
          </w:tcPr>
          <w:p w:rsidR="00F97D54" w:rsidRPr="00FF5C78" w:rsidRDefault="00F97D54" w:rsidP="00EB5B97">
            <w:pPr>
              <w:jc w:val="center"/>
              <w:rPr>
                <w:sz w:val="16"/>
              </w:rPr>
            </w:pPr>
            <w:r>
              <w:rPr>
                <w:sz w:val="16"/>
              </w:rPr>
              <w:t>70</w:t>
            </w:r>
          </w:p>
        </w:tc>
        <w:tc>
          <w:tcPr>
            <w:tcW w:w="3240" w:type="dxa"/>
            <w:tcBorders>
              <w:top w:val="nil"/>
              <w:left w:val="nil"/>
              <w:bottom w:val="nil"/>
              <w:right w:val="nil"/>
            </w:tcBorders>
            <w:vAlign w:val="center"/>
          </w:tcPr>
          <w:p w:rsidR="00F97D54" w:rsidRPr="00FF5C78" w:rsidRDefault="00F97D54" w:rsidP="00EB5B97">
            <w:pPr>
              <w:rPr>
                <w:sz w:val="16"/>
              </w:rPr>
            </w:pPr>
            <w:r w:rsidRPr="00FE2F0D">
              <w:rPr>
                <w:sz w:val="16"/>
              </w:rPr>
              <w:t>Terrestrial Fixed - Unlicensed</w:t>
            </w:r>
          </w:p>
        </w:tc>
      </w:tr>
      <w:tr w:rsidR="00F97D54" w:rsidTr="00EB5B97">
        <w:trPr>
          <w:trHeight w:val="216"/>
          <w:jc w:val="center"/>
        </w:trPr>
        <w:tc>
          <w:tcPr>
            <w:tcW w:w="720" w:type="dxa"/>
            <w:tcBorders>
              <w:top w:val="nil"/>
              <w:left w:val="nil"/>
              <w:bottom w:val="nil"/>
              <w:right w:val="nil"/>
            </w:tcBorders>
            <w:vAlign w:val="center"/>
          </w:tcPr>
          <w:p w:rsidR="00F97D54" w:rsidRPr="00FF5C78" w:rsidRDefault="00F97D54" w:rsidP="00EB5B97">
            <w:pPr>
              <w:jc w:val="center"/>
              <w:rPr>
                <w:sz w:val="16"/>
              </w:rPr>
            </w:pPr>
            <w:r>
              <w:rPr>
                <w:sz w:val="16"/>
              </w:rPr>
              <w:t>71</w:t>
            </w:r>
          </w:p>
        </w:tc>
        <w:tc>
          <w:tcPr>
            <w:tcW w:w="3240" w:type="dxa"/>
            <w:tcBorders>
              <w:top w:val="nil"/>
              <w:left w:val="nil"/>
              <w:bottom w:val="nil"/>
              <w:right w:val="nil"/>
            </w:tcBorders>
            <w:vAlign w:val="center"/>
          </w:tcPr>
          <w:p w:rsidR="00F97D54" w:rsidRPr="00FF5C78" w:rsidRDefault="00F97D54" w:rsidP="00EB5B97">
            <w:pPr>
              <w:rPr>
                <w:sz w:val="16"/>
              </w:rPr>
            </w:pPr>
            <w:r w:rsidRPr="00FE2F0D">
              <w:rPr>
                <w:sz w:val="16"/>
              </w:rPr>
              <w:t>Terrestrial Fixed - Licensed</w:t>
            </w:r>
          </w:p>
        </w:tc>
      </w:tr>
      <w:tr w:rsidR="00F97D54" w:rsidTr="00EB5B97">
        <w:trPr>
          <w:trHeight w:val="216"/>
          <w:jc w:val="center"/>
        </w:trPr>
        <w:tc>
          <w:tcPr>
            <w:tcW w:w="720" w:type="dxa"/>
            <w:tcBorders>
              <w:top w:val="nil"/>
              <w:left w:val="nil"/>
              <w:bottom w:val="nil"/>
              <w:right w:val="nil"/>
            </w:tcBorders>
            <w:vAlign w:val="center"/>
          </w:tcPr>
          <w:p w:rsidR="00F97D54" w:rsidRPr="00FF5C78" w:rsidRDefault="00F97D54" w:rsidP="00EB5B97">
            <w:pPr>
              <w:jc w:val="center"/>
              <w:rPr>
                <w:sz w:val="16"/>
              </w:rPr>
            </w:pPr>
            <w:r>
              <w:rPr>
                <w:sz w:val="16"/>
              </w:rPr>
              <w:t>80</w:t>
            </w:r>
          </w:p>
        </w:tc>
        <w:tc>
          <w:tcPr>
            <w:tcW w:w="3240" w:type="dxa"/>
            <w:tcBorders>
              <w:top w:val="nil"/>
              <w:left w:val="nil"/>
              <w:bottom w:val="nil"/>
              <w:right w:val="nil"/>
            </w:tcBorders>
            <w:vAlign w:val="center"/>
          </w:tcPr>
          <w:p w:rsidR="00F97D54" w:rsidRPr="00FF5C78" w:rsidRDefault="00F97D54" w:rsidP="00EB5B97">
            <w:pPr>
              <w:rPr>
                <w:sz w:val="16"/>
              </w:rPr>
            </w:pPr>
            <w:r w:rsidRPr="00FE2F0D">
              <w:rPr>
                <w:sz w:val="16"/>
              </w:rPr>
              <w:t>Terrestrial Mobile Wireless</w:t>
            </w:r>
          </w:p>
        </w:tc>
      </w:tr>
      <w:tr w:rsidR="00F97D54" w:rsidTr="00EB5B97">
        <w:trPr>
          <w:trHeight w:val="216"/>
          <w:jc w:val="center"/>
        </w:trPr>
        <w:tc>
          <w:tcPr>
            <w:tcW w:w="720" w:type="dxa"/>
            <w:tcBorders>
              <w:top w:val="nil"/>
              <w:left w:val="nil"/>
              <w:bottom w:val="nil"/>
              <w:right w:val="nil"/>
            </w:tcBorders>
            <w:vAlign w:val="center"/>
          </w:tcPr>
          <w:p w:rsidR="00F97D54" w:rsidRPr="00FF5C78" w:rsidRDefault="00F97D54" w:rsidP="00EB5B97">
            <w:pPr>
              <w:jc w:val="center"/>
              <w:rPr>
                <w:sz w:val="16"/>
              </w:rPr>
            </w:pPr>
            <w:r>
              <w:rPr>
                <w:sz w:val="16"/>
              </w:rPr>
              <w:t>90</w:t>
            </w:r>
          </w:p>
        </w:tc>
        <w:tc>
          <w:tcPr>
            <w:tcW w:w="3240" w:type="dxa"/>
            <w:tcBorders>
              <w:top w:val="nil"/>
              <w:left w:val="nil"/>
              <w:bottom w:val="nil"/>
              <w:right w:val="nil"/>
            </w:tcBorders>
            <w:vAlign w:val="center"/>
          </w:tcPr>
          <w:p w:rsidR="00F97D54" w:rsidRPr="00FF5C78" w:rsidRDefault="00F97D54" w:rsidP="00EB5B97">
            <w:pPr>
              <w:rPr>
                <w:sz w:val="16"/>
              </w:rPr>
            </w:pPr>
            <w:r w:rsidRPr="00FE2F0D">
              <w:rPr>
                <w:sz w:val="16"/>
              </w:rPr>
              <w:t>Electric Power Line</w:t>
            </w:r>
          </w:p>
        </w:tc>
      </w:tr>
      <w:tr w:rsidR="00F97D54" w:rsidTr="00EB5B97">
        <w:trPr>
          <w:trHeight w:val="216"/>
          <w:jc w:val="center"/>
        </w:trPr>
        <w:tc>
          <w:tcPr>
            <w:tcW w:w="720" w:type="dxa"/>
            <w:tcBorders>
              <w:top w:val="nil"/>
              <w:left w:val="nil"/>
              <w:bottom w:val="double" w:sz="4" w:space="0" w:color="auto"/>
              <w:right w:val="nil"/>
            </w:tcBorders>
            <w:vAlign w:val="center"/>
          </w:tcPr>
          <w:p w:rsidR="00F97D54" w:rsidRDefault="00F97D54" w:rsidP="00EB5B97">
            <w:pPr>
              <w:jc w:val="center"/>
              <w:rPr>
                <w:sz w:val="16"/>
              </w:rPr>
            </w:pPr>
            <w:r>
              <w:rPr>
                <w:sz w:val="16"/>
              </w:rPr>
              <w:t>0</w:t>
            </w:r>
          </w:p>
        </w:tc>
        <w:tc>
          <w:tcPr>
            <w:tcW w:w="3240" w:type="dxa"/>
            <w:tcBorders>
              <w:top w:val="nil"/>
              <w:left w:val="nil"/>
              <w:bottom w:val="double" w:sz="4" w:space="0" w:color="auto"/>
              <w:right w:val="nil"/>
            </w:tcBorders>
            <w:vAlign w:val="center"/>
          </w:tcPr>
          <w:p w:rsidR="00F97D54" w:rsidRPr="00FE2F0D" w:rsidRDefault="00F97D54" w:rsidP="00EB5B97">
            <w:pPr>
              <w:rPr>
                <w:sz w:val="16"/>
              </w:rPr>
            </w:pPr>
            <w:r>
              <w:rPr>
                <w:sz w:val="16"/>
              </w:rPr>
              <w:t>Other</w:t>
            </w:r>
          </w:p>
        </w:tc>
      </w:tr>
    </w:tbl>
    <w:p w:rsidR="00F97D54" w:rsidRDefault="00F97D54" w:rsidP="00EB5B97"/>
    <w:p w:rsidR="00F97D54" w:rsidRDefault="00F97D54" w:rsidP="00EB5B97"/>
    <w:tbl>
      <w:tblPr>
        <w:tblW w:w="8838" w:type="dxa"/>
        <w:tblLook w:val="01E0" w:firstRow="1" w:lastRow="1" w:firstColumn="1" w:lastColumn="1" w:noHBand="0" w:noVBand="0"/>
      </w:tblPr>
      <w:tblGrid>
        <w:gridCol w:w="2679"/>
        <w:gridCol w:w="3823"/>
        <w:gridCol w:w="991"/>
        <w:gridCol w:w="1345"/>
      </w:tblGrid>
      <w:tr w:rsidR="00F97D54" w:rsidRPr="0063769F" w:rsidTr="00EB5B97">
        <w:trPr>
          <w:trHeight w:val="432"/>
          <w:tblHeader/>
        </w:trPr>
        <w:tc>
          <w:tcPr>
            <w:tcW w:w="8838" w:type="dxa"/>
            <w:gridSpan w:val="4"/>
            <w:tcBorders>
              <w:top w:val="double" w:sz="4" w:space="0" w:color="auto"/>
              <w:bottom w:val="single" w:sz="4" w:space="0" w:color="auto"/>
            </w:tcBorders>
            <w:vAlign w:val="center"/>
          </w:tcPr>
          <w:p w:rsidR="00F97D54" w:rsidRDefault="00F97D54" w:rsidP="00EB5B97">
            <w:pPr>
              <w:jc w:val="center"/>
              <w:rPr>
                <w:b/>
                <w:bCs/>
              </w:rPr>
            </w:pPr>
            <w:r>
              <w:rPr>
                <w:b/>
              </w:rPr>
              <w:t xml:space="preserve">Suggested </w:t>
            </w:r>
            <w:r>
              <w:rPr>
                <w:b/>
                <w:szCs w:val="22"/>
              </w:rPr>
              <w:t xml:space="preserve">Record Format </w:t>
            </w:r>
            <w:r>
              <w:rPr>
                <w:b/>
              </w:rPr>
              <w:t>Template for Responding to Question</w:t>
            </w:r>
            <w:r w:rsidRPr="0063769F">
              <w:rPr>
                <w:b/>
              </w:rPr>
              <w:t xml:space="preserve"> </w:t>
            </w:r>
            <w:r>
              <w:rPr>
                <w:b/>
                <w:bCs/>
              </w:rPr>
              <w:t>II.C.1.c-d Part 2</w:t>
            </w:r>
          </w:p>
          <w:p w:rsidR="00F97D54" w:rsidRPr="00A51F84" w:rsidRDefault="00F97D54" w:rsidP="00EB5B97">
            <w:pPr>
              <w:jc w:val="center"/>
              <w:rPr>
                <w:b/>
                <w:bCs/>
              </w:rPr>
            </w:pPr>
            <w:r w:rsidRPr="00583F23">
              <w:rPr>
                <w:b/>
                <w:i/>
                <w:szCs w:val="22"/>
              </w:rPr>
              <w:t>Best Efforts Business Broadband Internet Access Services</w:t>
            </w:r>
            <w:r>
              <w:rPr>
                <w:b/>
                <w:i/>
                <w:szCs w:val="22"/>
              </w:rPr>
              <w:t xml:space="preserve"> </w:t>
            </w:r>
          </w:p>
        </w:tc>
      </w:tr>
      <w:tr w:rsidR="00F97D54" w:rsidRPr="0063769F" w:rsidTr="00EB5B97">
        <w:trPr>
          <w:trHeight w:val="432"/>
          <w:tblHeader/>
        </w:trPr>
        <w:tc>
          <w:tcPr>
            <w:tcW w:w="2679" w:type="dxa"/>
            <w:tcBorders>
              <w:top w:val="single" w:sz="4" w:space="0" w:color="auto"/>
              <w:bottom w:val="single" w:sz="4" w:space="0" w:color="auto"/>
              <w:right w:val="single" w:sz="4" w:space="0" w:color="auto"/>
            </w:tcBorders>
            <w:vAlign w:val="center"/>
          </w:tcPr>
          <w:p w:rsidR="00F97D54" w:rsidRPr="0063769F" w:rsidRDefault="00F97D54" w:rsidP="00EB5B97">
            <w:pPr>
              <w:rPr>
                <w:b/>
                <w:sz w:val="18"/>
                <w:szCs w:val="18"/>
              </w:rPr>
            </w:pPr>
            <w:r w:rsidRPr="0063769F">
              <w:rPr>
                <w:b/>
                <w:sz w:val="18"/>
                <w:szCs w:val="18"/>
              </w:rPr>
              <w:t>Field Name</w:t>
            </w:r>
          </w:p>
        </w:tc>
        <w:tc>
          <w:tcPr>
            <w:tcW w:w="3823" w:type="dxa"/>
            <w:tcBorders>
              <w:top w:val="single" w:sz="4" w:space="0" w:color="auto"/>
              <w:left w:val="single" w:sz="4" w:space="0" w:color="auto"/>
              <w:bottom w:val="single" w:sz="4" w:space="0" w:color="auto"/>
              <w:right w:val="single" w:sz="4" w:space="0" w:color="auto"/>
            </w:tcBorders>
            <w:vAlign w:val="center"/>
          </w:tcPr>
          <w:p w:rsidR="00F97D54" w:rsidRPr="0063769F" w:rsidRDefault="00F97D54" w:rsidP="00EB5B97">
            <w:pPr>
              <w:rPr>
                <w:b/>
                <w:sz w:val="18"/>
                <w:szCs w:val="18"/>
              </w:rPr>
            </w:pPr>
            <w:r w:rsidRPr="0063769F">
              <w:rPr>
                <w:b/>
                <w:sz w:val="18"/>
                <w:szCs w:val="18"/>
              </w:rPr>
              <w:t>Description</w:t>
            </w:r>
          </w:p>
        </w:tc>
        <w:tc>
          <w:tcPr>
            <w:tcW w:w="991" w:type="dxa"/>
            <w:tcBorders>
              <w:top w:val="single" w:sz="4" w:space="0" w:color="auto"/>
              <w:left w:val="single" w:sz="4" w:space="0" w:color="auto"/>
              <w:bottom w:val="single" w:sz="4" w:space="0" w:color="auto"/>
              <w:right w:val="single" w:sz="4" w:space="0" w:color="auto"/>
            </w:tcBorders>
            <w:vAlign w:val="center"/>
          </w:tcPr>
          <w:p w:rsidR="00F97D54" w:rsidRPr="0063769F" w:rsidRDefault="00F97D54" w:rsidP="00EB5B97">
            <w:pPr>
              <w:rPr>
                <w:b/>
                <w:sz w:val="18"/>
                <w:szCs w:val="18"/>
              </w:rPr>
            </w:pPr>
            <w:r w:rsidRPr="0063769F">
              <w:rPr>
                <w:b/>
                <w:sz w:val="18"/>
                <w:szCs w:val="18"/>
              </w:rPr>
              <w:t>Type</w:t>
            </w:r>
          </w:p>
        </w:tc>
        <w:tc>
          <w:tcPr>
            <w:tcW w:w="1345" w:type="dxa"/>
            <w:tcBorders>
              <w:top w:val="single" w:sz="4" w:space="0" w:color="auto"/>
              <w:left w:val="single" w:sz="4" w:space="0" w:color="auto"/>
              <w:bottom w:val="single" w:sz="4" w:space="0" w:color="auto"/>
            </w:tcBorders>
            <w:vAlign w:val="center"/>
          </w:tcPr>
          <w:p w:rsidR="00F97D54" w:rsidRPr="0063769F" w:rsidRDefault="00F97D54" w:rsidP="00EB5B97">
            <w:pPr>
              <w:ind w:right="-108"/>
              <w:rPr>
                <w:b/>
                <w:sz w:val="18"/>
                <w:szCs w:val="18"/>
              </w:rPr>
            </w:pPr>
            <w:r w:rsidRPr="0063769F">
              <w:rPr>
                <w:b/>
                <w:sz w:val="18"/>
                <w:szCs w:val="18"/>
              </w:rPr>
              <w:t>Example</w:t>
            </w:r>
          </w:p>
        </w:tc>
      </w:tr>
      <w:tr w:rsidR="00F97D54" w:rsidRPr="0063769F" w:rsidTr="00EB5B97">
        <w:trPr>
          <w:trHeight w:val="360"/>
        </w:trPr>
        <w:tc>
          <w:tcPr>
            <w:tcW w:w="2679" w:type="dxa"/>
          </w:tcPr>
          <w:p w:rsidR="00F97D54" w:rsidRDefault="00F97D54" w:rsidP="00EB5B97">
            <w:pPr>
              <w:rPr>
                <w:sz w:val="16"/>
                <w:szCs w:val="16"/>
              </w:rPr>
            </w:pPr>
            <w:r>
              <w:rPr>
                <w:sz w:val="16"/>
                <w:szCs w:val="16"/>
              </w:rPr>
              <w:t>County_ID</w:t>
            </w:r>
          </w:p>
        </w:tc>
        <w:tc>
          <w:tcPr>
            <w:tcW w:w="3823" w:type="dxa"/>
          </w:tcPr>
          <w:p w:rsidR="00F97D54" w:rsidRDefault="00F97D54" w:rsidP="00EB5B97">
            <w:pPr>
              <w:rPr>
                <w:sz w:val="16"/>
                <w:szCs w:val="16"/>
              </w:rPr>
            </w:pPr>
            <w:r>
              <w:rPr>
                <w:sz w:val="16"/>
                <w:szCs w:val="16"/>
              </w:rPr>
              <w:t>5-digit FIPS code for the state and county or equivalent entity.</w:t>
            </w:r>
          </w:p>
        </w:tc>
        <w:tc>
          <w:tcPr>
            <w:tcW w:w="991" w:type="dxa"/>
          </w:tcPr>
          <w:p w:rsidR="00F97D54" w:rsidRDefault="00F97D54" w:rsidP="00EB5B97">
            <w:pPr>
              <w:rPr>
                <w:sz w:val="16"/>
                <w:szCs w:val="16"/>
              </w:rPr>
            </w:pPr>
            <w:r>
              <w:rPr>
                <w:sz w:val="16"/>
                <w:szCs w:val="16"/>
              </w:rPr>
              <w:t>Text</w:t>
            </w:r>
          </w:p>
        </w:tc>
        <w:tc>
          <w:tcPr>
            <w:tcW w:w="1345" w:type="dxa"/>
          </w:tcPr>
          <w:p w:rsidR="00F97D54" w:rsidRDefault="00F97D54" w:rsidP="00EB5B97">
            <w:pPr>
              <w:rPr>
                <w:sz w:val="16"/>
                <w:szCs w:val="16"/>
              </w:rPr>
            </w:pPr>
            <w:r>
              <w:rPr>
                <w:sz w:val="16"/>
                <w:szCs w:val="16"/>
              </w:rPr>
              <w:t>01121</w:t>
            </w:r>
          </w:p>
        </w:tc>
      </w:tr>
      <w:tr w:rsidR="00F97D54" w:rsidRPr="0063769F" w:rsidTr="00EB5B97">
        <w:trPr>
          <w:trHeight w:val="360"/>
        </w:trPr>
        <w:tc>
          <w:tcPr>
            <w:tcW w:w="2679" w:type="dxa"/>
          </w:tcPr>
          <w:p w:rsidR="00F97D54" w:rsidRDefault="00F97D54" w:rsidP="00EB5B97">
            <w:pPr>
              <w:rPr>
                <w:sz w:val="16"/>
                <w:szCs w:val="16"/>
              </w:rPr>
            </w:pPr>
            <w:r>
              <w:rPr>
                <w:sz w:val="16"/>
                <w:szCs w:val="16"/>
              </w:rPr>
              <w:t>Sum_Bandwidth</w:t>
            </w:r>
          </w:p>
        </w:tc>
        <w:tc>
          <w:tcPr>
            <w:tcW w:w="3823" w:type="dxa"/>
          </w:tcPr>
          <w:p w:rsidR="00F97D54" w:rsidRDefault="00F97D54" w:rsidP="00EB5B97">
            <w:pPr>
              <w:rPr>
                <w:sz w:val="16"/>
                <w:szCs w:val="16"/>
              </w:rPr>
            </w:pPr>
            <w:r>
              <w:rPr>
                <w:sz w:val="16"/>
                <w:szCs w:val="16"/>
              </w:rPr>
              <w:t>Indicate the sum bandwidth category for which you are reporting prices offered in this range.  Enter “A” for sum bandwidth equal to or greater than 3 Mbps but less than or equal to 6 Mbps, enter “B” for bandwidth greater than 6 Mbps but less than or equal to 20 Mbps, enter “C” for bandwidth greater than 20 Mbps but less than or equal to 50 Mbps, enter “D” for bandwidth greater than 50 Mbps but less than or equal to 200 Mbps, and enter “E”  for bandwidth greater than 200 Mbps</w:t>
            </w:r>
          </w:p>
        </w:tc>
        <w:tc>
          <w:tcPr>
            <w:tcW w:w="991" w:type="dxa"/>
          </w:tcPr>
          <w:p w:rsidR="00F97D54" w:rsidRDefault="00F97D54" w:rsidP="00EB5B97">
            <w:pPr>
              <w:rPr>
                <w:sz w:val="16"/>
                <w:szCs w:val="16"/>
              </w:rPr>
            </w:pPr>
            <w:r>
              <w:rPr>
                <w:sz w:val="16"/>
                <w:szCs w:val="16"/>
              </w:rPr>
              <w:t>Text</w:t>
            </w:r>
          </w:p>
        </w:tc>
        <w:tc>
          <w:tcPr>
            <w:tcW w:w="1345" w:type="dxa"/>
          </w:tcPr>
          <w:p w:rsidR="00F97D54" w:rsidRDefault="00F97D54" w:rsidP="00EB5B97">
            <w:pPr>
              <w:rPr>
                <w:sz w:val="16"/>
                <w:szCs w:val="16"/>
              </w:rPr>
            </w:pPr>
            <w:r>
              <w:rPr>
                <w:sz w:val="16"/>
                <w:szCs w:val="16"/>
              </w:rPr>
              <w:t>A</w:t>
            </w:r>
          </w:p>
        </w:tc>
      </w:tr>
      <w:tr w:rsidR="00F97D54" w:rsidRPr="0063769F" w:rsidTr="00EB5B97">
        <w:trPr>
          <w:trHeight w:val="360"/>
        </w:trPr>
        <w:tc>
          <w:tcPr>
            <w:tcW w:w="2679" w:type="dxa"/>
          </w:tcPr>
          <w:p w:rsidR="00F97D54" w:rsidRDefault="00F97D54" w:rsidP="00EB5B97">
            <w:pPr>
              <w:rPr>
                <w:sz w:val="16"/>
                <w:szCs w:val="16"/>
              </w:rPr>
            </w:pPr>
            <w:r>
              <w:rPr>
                <w:sz w:val="16"/>
                <w:szCs w:val="16"/>
              </w:rPr>
              <w:t>Min_Price_Range</w:t>
            </w:r>
          </w:p>
        </w:tc>
        <w:tc>
          <w:tcPr>
            <w:tcW w:w="3823" w:type="dxa"/>
          </w:tcPr>
          <w:p w:rsidR="00F97D54" w:rsidRPr="00AD3F37" w:rsidRDefault="00F97D54" w:rsidP="00EB5B97">
            <w:pPr>
              <w:rPr>
                <w:sz w:val="16"/>
                <w:szCs w:val="16"/>
              </w:rPr>
            </w:pPr>
            <w:r>
              <w:rPr>
                <w:sz w:val="16"/>
                <w:szCs w:val="16"/>
              </w:rPr>
              <w:t xml:space="preserve">Enter the minimum price offered for the available </w:t>
            </w:r>
            <w:r w:rsidRPr="00562F58">
              <w:rPr>
                <w:i/>
                <w:sz w:val="16"/>
                <w:szCs w:val="16"/>
              </w:rPr>
              <w:t>Best Efforts Business Broadband Internet Access Services</w:t>
            </w:r>
            <w:r w:rsidRPr="00562F58">
              <w:rPr>
                <w:sz w:val="16"/>
                <w:szCs w:val="16"/>
              </w:rPr>
              <w:t xml:space="preserve"> </w:t>
            </w:r>
            <w:r>
              <w:rPr>
                <w:sz w:val="16"/>
                <w:szCs w:val="16"/>
              </w:rPr>
              <w:t>in the reported bandwidth tier</w:t>
            </w:r>
          </w:p>
        </w:tc>
        <w:tc>
          <w:tcPr>
            <w:tcW w:w="991" w:type="dxa"/>
          </w:tcPr>
          <w:p w:rsidR="00F97D54" w:rsidRDefault="00F97D54" w:rsidP="00EB5B97">
            <w:pPr>
              <w:rPr>
                <w:sz w:val="16"/>
                <w:szCs w:val="16"/>
              </w:rPr>
            </w:pPr>
            <w:r>
              <w:rPr>
                <w:sz w:val="16"/>
                <w:szCs w:val="16"/>
              </w:rPr>
              <w:t>Float</w:t>
            </w:r>
          </w:p>
        </w:tc>
        <w:tc>
          <w:tcPr>
            <w:tcW w:w="1345" w:type="dxa"/>
          </w:tcPr>
          <w:p w:rsidR="00F97D54" w:rsidRPr="0063769F" w:rsidRDefault="00F97D54" w:rsidP="00EB5B97">
            <w:pPr>
              <w:rPr>
                <w:sz w:val="16"/>
                <w:szCs w:val="16"/>
              </w:rPr>
            </w:pPr>
            <w:r>
              <w:rPr>
                <w:sz w:val="16"/>
                <w:szCs w:val="16"/>
              </w:rPr>
              <w:t>9.99</w:t>
            </w:r>
          </w:p>
        </w:tc>
      </w:tr>
      <w:tr w:rsidR="00F97D54" w:rsidRPr="0063769F" w:rsidTr="00EB5B97">
        <w:trPr>
          <w:trHeight w:val="360"/>
        </w:trPr>
        <w:tc>
          <w:tcPr>
            <w:tcW w:w="2679" w:type="dxa"/>
          </w:tcPr>
          <w:p w:rsidR="00F97D54" w:rsidRDefault="00F97D54" w:rsidP="00EB5B97">
            <w:pPr>
              <w:rPr>
                <w:sz w:val="16"/>
                <w:szCs w:val="16"/>
              </w:rPr>
            </w:pPr>
            <w:r>
              <w:rPr>
                <w:sz w:val="16"/>
                <w:szCs w:val="16"/>
              </w:rPr>
              <w:t>Max_Price_Range</w:t>
            </w:r>
          </w:p>
        </w:tc>
        <w:tc>
          <w:tcPr>
            <w:tcW w:w="3823" w:type="dxa"/>
          </w:tcPr>
          <w:p w:rsidR="00F97D54" w:rsidRPr="00AD3F37" w:rsidRDefault="00F97D54" w:rsidP="00EB5B97">
            <w:pPr>
              <w:rPr>
                <w:sz w:val="16"/>
                <w:szCs w:val="16"/>
              </w:rPr>
            </w:pPr>
            <w:r>
              <w:rPr>
                <w:sz w:val="16"/>
                <w:szCs w:val="16"/>
              </w:rPr>
              <w:t xml:space="preserve">Enter the maximum price offered for the available </w:t>
            </w:r>
            <w:r w:rsidRPr="00562F58">
              <w:rPr>
                <w:i/>
                <w:sz w:val="16"/>
                <w:szCs w:val="16"/>
              </w:rPr>
              <w:t>Best Efforts Business Broadband Internet Access Services</w:t>
            </w:r>
            <w:r w:rsidRPr="00562F58">
              <w:rPr>
                <w:sz w:val="16"/>
                <w:szCs w:val="16"/>
              </w:rPr>
              <w:t xml:space="preserve"> </w:t>
            </w:r>
            <w:r>
              <w:rPr>
                <w:sz w:val="16"/>
                <w:szCs w:val="16"/>
              </w:rPr>
              <w:t>in the reported bandwidth tier</w:t>
            </w:r>
          </w:p>
        </w:tc>
        <w:tc>
          <w:tcPr>
            <w:tcW w:w="991" w:type="dxa"/>
          </w:tcPr>
          <w:p w:rsidR="00F97D54" w:rsidRDefault="00F97D54" w:rsidP="00EB5B97">
            <w:pPr>
              <w:rPr>
                <w:sz w:val="16"/>
                <w:szCs w:val="16"/>
              </w:rPr>
            </w:pPr>
            <w:r>
              <w:rPr>
                <w:sz w:val="16"/>
                <w:szCs w:val="16"/>
              </w:rPr>
              <w:t>Float</w:t>
            </w:r>
          </w:p>
        </w:tc>
        <w:tc>
          <w:tcPr>
            <w:tcW w:w="1345" w:type="dxa"/>
          </w:tcPr>
          <w:p w:rsidR="00F97D54" w:rsidRPr="0063769F" w:rsidRDefault="00F97D54" w:rsidP="00EB5B97">
            <w:pPr>
              <w:rPr>
                <w:sz w:val="16"/>
                <w:szCs w:val="16"/>
              </w:rPr>
            </w:pPr>
            <w:r>
              <w:rPr>
                <w:sz w:val="16"/>
                <w:szCs w:val="16"/>
              </w:rPr>
              <w:t>29.99</w:t>
            </w:r>
          </w:p>
        </w:tc>
      </w:tr>
      <w:tr w:rsidR="00F97D54" w:rsidRPr="0063769F" w:rsidTr="00EB5B97">
        <w:trPr>
          <w:trHeight w:val="360"/>
        </w:trPr>
        <w:tc>
          <w:tcPr>
            <w:tcW w:w="2679" w:type="dxa"/>
          </w:tcPr>
          <w:p w:rsidR="00F97D54" w:rsidRDefault="00F97D54" w:rsidP="00EB5B97">
            <w:pPr>
              <w:rPr>
                <w:sz w:val="16"/>
                <w:szCs w:val="16"/>
              </w:rPr>
            </w:pPr>
            <w:r>
              <w:rPr>
                <w:sz w:val="16"/>
                <w:szCs w:val="16"/>
              </w:rPr>
              <w:t>Price_Territory</w:t>
            </w:r>
          </w:p>
        </w:tc>
        <w:tc>
          <w:tcPr>
            <w:tcW w:w="3823" w:type="dxa"/>
          </w:tcPr>
          <w:p w:rsidR="00F97D54" w:rsidRDefault="00F97D54" w:rsidP="00EB5B97">
            <w:pPr>
              <w:rPr>
                <w:sz w:val="16"/>
                <w:szCs w:val="16"/>
              </w:rPr>
            </w:pPr>
            <w:r>
              <w:rPr>
                <w:sz w:val="16"/>
                <w:szCs w:val="16"/>
              </w:rPr>
              <w:t xml:space="preserve">Indicate geographic territory where you offered the reported price range, </w:t>
            </w:r>
            <w:r w:rsidRPr="00F36926">
              <w:rPr>
                <w:i/>
                <w:sz w:val="16"/>
                <w:szCs w:val="16"/>
              </w:rPr>
              <w:t>e.g.</w:t>
            </w:r>
            <w:r>
              <w:rPr>
                <w:sz w:val="16"/>
                <w:szCs w:val="16"/>
              </w:rPr>
              <w:t>, nationwide, certain regions, certain states, etc.</w:t>
            </w:r>
          </w:p>
        </w:tc>
        <w:tc>
          <w:tcPr>
            <w:tcW w:w="991" w:type="dxa"/>
          </w:tcPr>
          <w:p w:rsidR="00F97D54" w:rsidRDefault="00F97D54" w:rsidP="00EB5B97">
            <w:pPr>
              <w:rPr>
                <w:sz w:val="16"/>
                <w:szCs w:val="16"/>
              </w:rPr>
            </w:pPr>
            <w:r>
              <w:rPr>
                <w:sz w:val="16"/>
                <w:szCs w:val="16"/>
              </w:rPr>
              <w:t>Text</w:t>
            </w:r>
          </w:p>
        </w:tc>
        <w:tc>
          <w:tcPr>
            <w:tcW w:w="1345" w:type="dxa"/>
          </w:tcPr>
          <w:p w:rsidR="00F97D54" w:rsidRDefault="00F97D54" w:rsidP="00EB5B97">
            <w:pPr>
              <w:rPr>
                <w:sz w:val="16"/>
                <w:szCs w:val="16"/>
              </w:rPr>
            </w:pPr>
            <w:r>
              <w:rPr>
                <w:sz w:val="16"/>
                <w:szCs w:val="16"/>
              </w:rPr>
              <w:t>Nationwide</w:t>
            </w:r>
          </w:p>
        </w:tc>
      </w:tr>
      <w:tr w:rsidR="00F97D54" w:rsidRPr="0063769F" w:rsidTr="00EB5B97">
        <w:trPr>
          <w:trHeight w:val="360"/>
        </w:trPr>
        <w:tc>
          <w:tcPr>
            <w:tcW w:w="2679" w:type="dxa"/>
            <w:tcBorders>
              <w:bottom w:val="double" w:sz="4" w:space="0" w:color="auto"/>
            </w:tcBorders>
          </w:tcPr>
          <w:p w:rsidR="00F97D54" w:rsidRDefault="00F97D54" w:rsidP="00EB5B97">
            <w:pPr>
              <w:rPr>
                <w:sz w:val="16"/>
                <w:szCs w:val="16"/>
              </w:rPr>
            </w:pPr>
            <w:r>
              <w:rPr>
                <w:sz w:val="16"/>
                <w:szCs w:val="16"/>
              </w:rPr>
              <w:t>Year</w:t>
            </w:r>
          </w:p>
        </w:tc>
        <w:tc>
          <w:tcPr>
            <w:tcW w:w="3823" w:type="dxa"/>
            <w:tcBorders>
              <w:bottom w:val="double" w:sz="4" w:space="0" w:color="auto"/>
            </w:tcBorders>
          </w:tcPr>
          <w:p w:rsidR="00F97D54" w:rsidRDefault="00F97D54" w:rsidP="00EB5B97">
            <w:pPr>
              <w:rPr>
                <w:sz w:val="16"/>
                <w:szCs w:val="16"/>
              </w:rPr>
            </w:pPr>
            <w:r>
              <w:rPr>
                <w:sz w:val="16"/>
                <w:szCs w:val="16"/>
              </w:rPr>
              <w:t>Enter “2010” if the reported price range is for the year 2010 and enter “2012” if the reported price range is for the year 2012</w:t>
            </w:r>
          </w:p>
        </w:tc>
        <w:tc>
          <w:tcPr>
            <w:tcW w:w="991" w:type="dxa"/>
            <w:tcBorders>
              <w:bottom w:val="double" w:sz="4" w:space="0" w:color="auto"/>
            </w:tcBorders>
          </w:tcPr>
          <w:p w:rsidR="00F97D54" w:rsidRDefault="00F97D54" w:rsidP="00EB5B97">
            <w:pPr>
              <w:rPr>
                <w:sz w:val="16"/>
                <w:szCs w:val="16"/>
              </w:rPr>
            </w:pPr>
            <w:r>
              <w:rPr>
                <w:sz w:val="16"/>
                <w:szCs w:val="16"/>
              </w:rPr>
              <w:t>Integer</w:t>
            </w:r>
          </w:p>
        </w:tc>
        <w:tc>
          <w:tcPr>
            <w:tcW w:w="1345" w:type="dxa"/>
            <w:tcBorders>
              <w:bottom w:val="double" w:sz="4" w:space="0" w:color="auto"/>
            </w:tcBorders>
          </w:tcPr>
          <w:p w:rsidR="00F97D54" w:rsidRDefault="00F97D54" w:rsidP="00EB5B97">
            <w:pPr>
              <w:rPr>
                <w:sz w:val="16"/>
                <w:szCs w:val="16"/>
              </w:rPr>
            </w:pPr>
            <w:r>
              <w:rPr>
                <w:sz w:val="16"/>
                <w:szCs w:val="16"/>
              </w:rPr>
              <w:t>2012</w:t>
            </w:r>
          </w:p>
        </w:tc>
      </w:tr>
    </w:tbl>
    <w:p w:rsidR="00F97D54" w:rsidRPr="00413181" w:rsidRDefault="00F97D54" w:rsidP="00EB5B97"/>
    <w:p w:rsidR="00F97D54" w:rsidRDefault="00F97D54" w:rsidP="00170D00">
      <w:pPr>
        <w:numPr>
          <w:ilvl w:val="0"/>
          <w:numId w:val="28"/>
        </w:numPr>
      </w:pPr>
      <w:r>
        <w:t xml:space="preserve">County_ID – Each county or equivalent entity must be identified using the 2010 county identifier from the 2010 TIGER/Line County and Equivalent Entity Shapefile.  The county identifier is a concatenation of Census 2010 state FIPS code and the Census 2010 county FIPS code.  </w:t>
      </w:r>
      <w:r w:rsidRPr="00ED12C5">
        <w:rPr>
          <w:i/>
        </w:rPr>
        <w:t>See</w:t>
      </w:r>
      <w:r>
        <w:t xml:space="preserve"> 2010 TIGER/Line Shapefiles Technical Documentation, Chapter 5, Part 5.7 at </w:t>
      </w:r>
      <w:r w:rsidRPr="00E33B54">
        <w:t>http://www.census.gov/geo/maps-data/data/pdfs/tiger/tgrshp2010/TGRSHP10SF1CH5.pdf</w:t>
      </w:r>
      <w:r>
        <w:t xml:space="preserve"> for more information.</w:t>
      </w:r>
    </w:p>
    <w:p w:rsidR="00F97D54" w:rsidRDefault="00F97D54" w:rsidP="00EB5B97">
      <w:pPr>
        <w:numPr>
          <w:ilvl w:val="0"/>
          <w:numId w:val="28"/>
        </w:numPr>
      </w:pPr>
      <w:r>
        <w:t>Sum</w:t>
      </w:r>
      <w:r w:rsidRPr="00F978A4">
        <w:t>_B</w:t>
      </w:r>
      <w:r>
        <w:t>andwidth</w:t>
      </w:r>
      <w:r w:rsidRPr="00FE2F0D">
        <w:t xml:space="preserve"> – </w:t>
      </w:r>
      <w:r>
        <w:t xml:space="preserve">To calculate the Sum_Bandwidth, add the advertised downstream and upstream bandwidth for the </w:t>
      </w:r>
      <w:r w:rsidRPr="008E1610">
        <w:rPr>
          <w:i/>
        </w:rPr>
        <w:t>Best Efforts Business Broadband Internet Access Service</w:t>
      </w:r>
      <w:r w:rsidRPr="008E1610">
        <w:t xml:space="preserve"> </w:t>
      </w:r>
      <w:r>
        <w:t xml:space="preserve">offered.  At a minimum, the </w:t>
      </w:r>
      <w:r w:rsidRPr="008E1610">
        <w:rPr>
          <w:i/>
        </w:rPr>
        <w:t>Best Efforts Business Broadband Internet Access Service</w:t>
      </w:r>
      <w:r w:rsidRPr="008E1610">
        <w:t xml:space="preserve"> </w:t>
      </w:r>
      <w:r>
        <w:t xml:space="preserve">offered and reported must have a bandwidth connection of at least 1.5 Mbps in both directions (upstream/downstream).   </w:t>
      </w:r>
    </w:p>
    <w:p w:rsidR="00F97D54" w:rsidRDefault="00F97D54" w:rsidP="00EB5B97">
      <w:pPr>
        <w:numPr>
          <w:ilvl w:val="0"/>
          <w:numId w:val="28"/>
        </w:numPr>
      </w:pPr>
      <w:r>
        <w:t xml:space="preserve">Min_Price_Range – Determine the minimum price offered by looking at the prices for all available </w:t>
      </w:r>
      <w:r w:rsidRPr="008E1610">
        <w:rPr>
          <w:i/>
        </w:rPr>
        <w:t>Best Efforts Business Broadband Internet Access Service</w:t>
      </w:r>
      <w:r>
        <w:rPr>
          <w:i/>
        </w:rPr>
        <w:t xml:space="preserve">s </w:t>
      </w:r>
      <w:r>
        <w:t>you offer within the reported Sum_Bandwidth range and selecting the lowest price offered across those services.</w:t>
      </w:r>
    </w:p>
    <w:p w:rsidR="00F97D54" w:rsidRDefault="00F97D54" w:rsidP="00EB5B97">
      <w:pPr>
        <w:numPr>
          <w:ilvl w:val="0"/>
          <w:numId w:val="28"/>
        </w:numPr>
      </w:pPr>
      <w:r>
        <w:t xml:space="preserve">Max_Price_Range – Determine the maximum price offered by looking at the prices for all available </w:t>
      </w:r>
      <w:r w:rsidRPr="008E1610">
        <w:rPr>
          <w:i/>
        </w:rPr>
        <w:t>Best Efforts Business Broadband Internet Access Service</w:t>
      </w:r>
      <w:r>
        <w:rPr>
          <w:i/>
        </w:rPr>
        <w:t xml:space="preserve">s </w:t>
      </w:r>
      <w:r>
        <w:t>you offer within the reported Sum_Bandwidth range and selecting the highest price offered across those services.</w:t>
      </w:r>
    </w:p>
    <w:p w:rsidR="00F97D54" w:rsidRDefault="00F97D54" w:rsidP="00EB5B97"/>
    <w:p w:rsidR="00F97D54" w:rsidRDefault="00F97D54" w:rsidP="00EB5B97"/>
    <w:p w:rsidR="00F97D54" w:rsidRPr="00E9084B" w:rsidRDefault="00F97D54" w:rsidP="00E9084B">
      <w:pPr>
        <w:pStyle w:val="Heading3"/>
        <w:numPr>
          <w:ilvl w:val="0"/>
          <w:numId w:val="0"/>
        </w:numPr>
        <w:rPr>
          <w:b w:val="0"/>
          <w:u w:val="single"/>
        </w:rPr>
      </w:pPr>
      <w:bookmarkStart w:id="137" w:name="_Toc350777054"/>
      <w:bookmarkStart w:id="138" w:name="_Toc365972122"/>
      <w:r w:rsidRPr="00E9084B">
        <w:rPr>
          <w:b w:val="0"/>
          <w:u w:val="single"/>
        </w:rPr>
        <w:t>QUESTIONS DIRECTED AT ALL PROVIDERS</w:t>
      </w:r>
      <w:bookmarkEnd w:id="137"/>
      <w:bookmarkEnd w:id="138"/>
    </w:p>
    <w:p w:rsidR="00F97D54" w:rsidRDefault="00F97D54" w:rsidP="00EB5B97">
      <w:r>
        <w:t xml:space="preserve">If the filer has both </w:t>
      </w:r>
      <w:r w:rsidRPr="000E064C">
        <w:rPr>
          <w:i/>
        </w:rPr>
        <w:t>ILEC</w:t>
      </w:r>
      <w:r>
        <w:t xml:space="preserve"> and </w:t>
      </w:r>
      <w:r w:rsidRPr="000E064C">
        <w:rPr>
          <w:i/>
        </w:rPr>
        <w:t>Competitive Provider</w:t>
      </w:r>
      <w:r>
        <w:t xml:space="preserve"> operations, identify the applicable operating unit when responding to these questions.  For example, if discussing promotional and advertising strategies, indicate whether the strategies pertain to your </w:t>
      </w:r>
      <w:r w:rsidRPr="000E064C">
        <w:rPr>
          <w:i/>
        </w:rPr>
        <w:t>ILEC</w:t>
      </w:r>
      <w:r>
        <w:t xml:space="preserve"> or </w:t>
      </w:r>
      <w:r w:rsidRPr="000E064C">
        <w:rPr>
          <w:i/>
        </w:rPr>
        <w:t>Competitive Provider</w:t>
      </w:r>
      <w:r>
        <w:t xml:space="preserve"> operations or both. </w:t>
      </w:r>
    </w:p>
    <w:p w:rsidR="00F97D54" w:rsidRPr="00E9084B" w:rsidRDefault="00F97D54" w:rsidP="00EB5B97">
      <w:pPr>
        <w:rPr>
          <w:i/>
        </w:rPr>
      </w:pPr>
    </w:p>
    <w:p w:rsidR="00F97D54" w:rsidRPr="00E9084B" w:rsidRDefault="00F97D54" w:rsidP="00E9084B">
      <w:pPr>
        <w:pStyle w:val="Heading4"/>
        <w:numPr>
          <w:ilvl w:val="0"/>
          <w:numId w:val="0"/>
        </w:numPr>
        <w:spacing w:after="0"/>
        <w:rPr>
          <w:b w:val="0"/>
          <w:i/>
        </w:rPr>
      </w:pPr>
      <w:bookmarkStart w:id="139" w:name="_Toc365972123"/>
      <w:r w:rsidRPr="00E9084B">
        <w:rPr>
          <w:b w:val="0"/>
          <w:i/>
        </w:rPr>
        <w:t>Question II.D.1:  Short Term and Long-Range Strategies</w:t>
      </w:r>
      <w:bookmarkEnd w:id="139"/>
      <w:r w:rsidRPr="00E9084B">
        <w:rPr>
          <w:b w:val="0"/>
          <w:i/>
        </w:rPr>
        <w:t xml:space="preserve"> </w:t>
      </w:r>
    </w:p>
    <w:p w:rsidR="00F97D54" w:rsidRPr="00E9084B" w:rsidRDefault="00F97D54" w:rsidP="00E9084B">
      <w:pPr>
        <w:pStyle w:val="Heading4"/>
        <w:numPr>
          <w:ilvl w:val="0"/>
          <w:numId w:val="0"/>
        </w:numPr>
        <w:spacing w:after="0"/>
        <w:rPr>
          <w:b w:val="0"/>
          <w:i/>
        </w:rPr>
      </w:pPr>
      <w:bookmarkStart w:id="140" w:name="_Toc365972124"/>
      <w:r w:rsidRPr="00E9084B">
        <w:rPr>
          <w:b w:val="0"/>
          <w:i/>
        </w:rPr>
        <w:t>Question II.D.2:  Location of Recorded Policies</w:t>
      </w:r>
      <w:bookmarkEnd w:id="140"/>
      <w:r w:rsidRPr="00E9084B">
        <w:rPr>
          <w:b w:val="0"/>
          <w:i/>
        </w:rPr>
        <w:t xml:space="preserve"> </w:t>
      </w:r>
    </w:p>
    <w:p w:rsidR="00F97D54" w:rsidRPr="00744001" w:rsidRDefault="00F97D54" w:rsidP="00EB5B97"/>
    <w:p w:rsidR="00F97D54" w:rsidRDefault="00F97D54" w:rsidP="00EB5B97">
      <w:r>
        <w:t xml:space="preserve">You must upload a .pdf text searchable (not a picture/image) document responding to these questions through the Special Access Web Portal in the “Essay Questions – File Upload” section; you will not include these documents in the data container.  </w:t>
      </w:r>
    </w:p>
    <w:p w:rsidR="00F97D54" w:rsidRDefault="00F97D54" w:rsidP="00EB5B97"/>
    <w:p w:rsidR="00F97D54" w:rsidRDefault="00F97D54" w:rsidP="00EB5B97">
      <w:pPr>
        <w:rPr>
          <w:rStyle w:val="Emphasis"/>
          <w:i w:val="0"/>
        </w:rPr>
      </w:pPr>
      <w:r>
        <w:t xml:space="preserve">The web portal contains two areas for uploading documents for each question.  One is for uploading the “Confidential” version of the document where you </w:t>
      </w:r>
      <w:r>
        <w:rPr>
          <w:rStyle w:val="Emphasis"/>
          <w:i w:val="0"/>
        </w:rPr>
        <w:t xml:space="preserve">will indicate information deemed </w:t>
      </w:r>
      <w:r w:rsidRPr="00974151">
        <w:rPr>
          <w:rStyle w:val="Emphasis"/>
          <w:i w:val="0"/>
        </w:rPr>
        <w:t>Confidential</w:t>
      </w:r>
      <w:r>
        <w:rPr>
          <w:rStyle w:val="Emphasis"/>
          <w:i w:val="0"/>
        </w:rPr>
        <w:t xml:space="preserve"> and redact information that is </w:t>
      </w:r>
      <w:r w:rsidRPr="00974151">
        <w:rPr>
          <w:rStyle w:val="Emphasis"/>
          <w:i w:val="0"/>
        </w:rPr>
        <w:t>Highly Confidential</w:t>
      </w:r>
      <w:r>
        <w:rPr>
          <w:rStyle w:val="Emphasis"/>
          <w:i w:val="0"/>
        </w:rPr>
        <w:t xml:space="preserve"> based on the Protective Order issued for the data collection.  The second area is for uploading the “Highly Confidential” version of the document noting both </w:t>
      </w:r>
      <w:r w:rsidRPr="00974151">
        <w:rPr>
          <w:rStyle w:val="Emphasis"/>
          <w:i w:val="0"/>
        </w:rPr>
        <w:t>Confidential</w:t>
      </w:r>
      <w:r>
        <w:rPr>
          <w:rStyle w:val="Emphasis"/>
          <w:i w:val="0"/>
        </w:rPr>
        <w:t xml:space="preserve"> and </w:t>
      </w:r>
      <w:r w:rsidRPr="00974151">
        <w:rPr>
          <w:rStyle w:val="Emphasis"/>
          <w:i w:val="0"/>
        </w:rPr>
        <w:t>Highly Confidential</w:t>
      </w:r>
      <w:r>
        <w:rPr>
          <w:rStyle w:val="Emphasis"/>
          <w:i w:val="0"/>
        </w:rPr>
        <w:t xml:space="preserve"> information without any redactions.  You must upload at least one document in each area or you will receive an error message during the submission process.  If the document does not contain Confidential or Highly Confidential information, </w:t>
      </w:r>
      <w:r w:rsidRPr="00FF31E9">
        <w:rPr>
          <w:rStyle w:val="Emphasis"/>
        </w:rPr>
        <w:t>e.g.</w:t>
      </w:r>
      <w:r>
        <w:rPr>
          <w:rStyle w:val="Emphasis"/>
          <w:i w:val="0"/>
        </w:rPr>
        <w:t xml:space="preserve">, all information is publicly available, then upload the document in each area without the relevant Confidential/Highly Confidential notations or redactions in the case of the Confidential upload area.  </w:t>
      </w:r>
      <w:r>
        <w:t xml:space="preserve"> </w:t>
      </w:r>
      <w:r>
        <w:rPr>
          <w:rStyle w:val="Emphasis"/>
          <w:i w:val="0"/>
        </w:rPr>
        <w:t xml:space="preserve">  </w:t>
      </w:r>
    </w:p>
    <w:p w:rsidR="00F97D54" w:rsidRDefault="00F97D54" w:rsidP="00EB5B97">
      <w:pPr>
        <w:tabs>
          <w:tab w:val="num" w:pos="1440"/>
        </w:tabs>
        <w:rPr>
          <w:i/>
        </w:rPr>
      </w:pPr>
    </w:p>
    <w:p w:rsidR="00F97D54" w:rsidRDefault="00F97D54" w:rsidP="00EB5B97">
      <w:pPr>
        <w:tabs>
          <w:tab w:val="num" w:pos="1440"/>
        </w:tabs>
        <w:rPr>
          <w:b/>
          <w:szCs w:val="22"/>
        </w:rPr>
      </w:pPr>
    </w:p>
    <w:p w:rsidR="00F97D54" w:rsidRPr="00E9084B" w:rsidRDefault="00F97D54" w:rsidP="00E9084B">
      <w:pPr>
        <w:pStyle w:val="Heading3"/>
        <w:numPr>
          <w:ilvl w:val="0"/>
          <w:numId w:val="0"/>
        </w:numPr>
        <w:rPr>
          <w:b w:val="0"/>
          <w:u w:val="single"/>
        </w:rPr>
      </w:pPr>
      <w:bookmarkStart w:id="141" w:name="_Toc350777055"/>
      <w:bookmarkStart w:id="142" w:name="_Toc365972125"/>
      <w:r w:rsidRPr="00E9084B">
        <w:rPr>
          <w:b w:val="0"/>
          <w:u w:val="single"/>
        </w:rPr>
        <w:t xml:space="preserve">QUESTIONS DIRECTED AT PURCHASERS </w:t>
      </w:r>
      <w:r w:rsidR="00AB0A6B">
        <w:rPr>
          <w:b w:val="0"/>
          <w:u w:val="single"/>
        </w:rPr>
        <w:t xml:space="preserve">THAT ARE </w:t>
      </w:r>
      <w:r w:rsidRPr="00E9084B">
        <w:rPr>
          <w:b w:val="0"/>
          <w:u w:val="single"/>
        </w:rPr>
        <w:t>MOBILE WIRELESS SERVICE PROVIDERS</w:t>
      </w:r>
      <w:bookmarkEnd w:id="141"/>
      <w:bookmarkEnd w:id="142"/>
    </w:p>
    <w:p w:rsidR="00F97D54" w:rsidRDefault="00F97D54" w:rsidP="00170D00">
      <w:r>
        <w:t xml:space="preserve">Facilities-based mobile wireless service providers purchasing </w:t>
      </w:r>
      <w:r w:rsidRPr="00CB3F8A">
        <w:rPr>
          <w:i/>
        </w:rPr>
        <w:t>Dedicated Service</w:t>
      </w:r>
      <w:r>
        <w:t xml:space="preserve"> in price cap areas are required to answer these questions.</w:t>
      </w:r>
    </w:p>
    <w:p w:rsidR="00F97D54" w:rsidRPr="00CB3F8A" w:rsidRDefault="00F97D54" w:rsidP="00EB5B97"/>
    <w:p w:rsidR="00F97D54" w:rsidRPr="00265FDA" w:rsidRDefault="00F97D54" w:rsidP="00265FDA">
      <w:pPr>
        <w:pStyle w:val="Heading4"/>
        <w:numPr>
          <w:ilvl w:val="0"/>
          <w:numId w:val="0"/>
        </w:numPr>
        <w:rPr>
          <w:b w:val="0"/>
          <w:i/>
        </w:rPr>
      </w:pPr>
      <w:bookmarkStart w:id="143" w:name="_Toc365972126"/>
      <w:r w:rsidRPr="00265FDA">
        <w:rPr>
          <w:b w:val="0"/>
          <w:i/>
        </w:rPr>
        <w:t>Question II.E.1:  Total Number of Cell Sites</w:t>
      </w:r>
      <w:bookmarkEnd w:id="143"/>
      <w:r w:rsidRPr="00265FDA">
        <w:rPr>
          <w:b w:val="0"/>
          <w:i/>
        </w:rPr>
        <w:t xml:space="preserve"> </w:t>
      </w:r>
    </w:p>
    <w:tbl>
      <w:tblPr>
        <w:tblW w:w="8838" w:type="dxa"/>
        <w:tblLook w:val="01E0" w:firstRow="1" w:lastRow="1" w:firstColumn="1" w:lastColumn="1" w:noHBand="0" w:noVBand="0"/>
      </w:tblPr>
      <w:tblGrid>
        <w:gridCol w:w="1718"/>
        <w:gridCol w:w="3762"/>
        <w:gridCol w:w="1573"/>
        <w:gridCol w:w="1785"/>
      </w:tblGrid>
      <w:tr w:rsidR="00F97D54" w:rsidTr="00EB5B97">
        <w:trPr>
          <w:trHeight w:val="432"/>
          <w:tblHeader/>
        </w:trPr>
        <w:tc>
          <w:tcPr>
            <w:tcW w:w="8838" w:type="dxa"/>
            <w:gridSpan w:val="4"/>
            <w:tcBorders>
              <w:top w:val="double" w:sz="4" w:space="0" w:color="auto"/>
              <w:bottom w:val="single" w:sz="4" w:space="0" w:color="auto"/>
            </w:tcBorders>
            <w:vAlign w:val="center"/>
          </w:tcPr>
          <w:p w:rsidR="00F97D54" w:rsidRDefault="00F97D54" w:rsidP="00EB5B97">
            <w:pPr>
              <w:jc w:val="center"/>
              <w:rPr>
                <w:b/>
                <w:szCs w:val="22"/>
              </w:rPr>
            </w:pPr>
            <w:r>
              <w:rPr>
                <w:b/>
                <w:szCs w:val="22"/>
              </w:rPr>
              <w:t>Table II.E.1</w:t>
            </w:r>
          </w:p>
          <w:p w:rsidR="00F97D54" w:rsidRPr="00B7026C" w:rsidRDefault="00F97D54" w:rsidP="00EB5B97">
            <w:pPr>
              <w:jc w:val="center"/>
              <w:rPr>
                <w:b/>
                <w:szCs w:val="22"/>
              </w:rPr>
            </w:pPr>
            <w:r w:rsidRPr="00B7026C">
              <w:rPr>
                <w:b/>
                <w:szCs w:val="22"/>
              </w:rPr>
              <w:t xml:space="preserve">Record Format for </w:t>
            </w:r>
            <w:r>
              <w:rPr>
                <w:b/>
                <w:szCs w:val="22"/>
              </w:rPr>
              <w:t xml:space="preserve">Total </w:t>
            </w:r>
            <w:r w:rsidRPr="00B7026C">
              <w:rPr>
                <w:b/>
                <w:szCs w:val="22"/>
              </w:rPr>
              <w:t xml:space="preserve">Cell Sites </w:t>
            </w:r>
          </w:p>
        </w:tc>
      </w:tr>
      <w:tr w:rsidR="00F97D54" w:rsidTr="00EB5B97">
        <w:trPr>
          <w:trHeight w:val="432"/>
          <w:tblHeader/>
        </w:trPr>
        <w:tc>
          <w:tcPr>
            <w:tcW w:w="1718" w:type="dxa"/>
            <w:tcBorders>
              <w:top w:val="single" w:sz="4" w:space="0" w:color="auto"/>
              <w:bottom w:val="single" w:sz="4" w:space="0" w:color="auto"/>
              <w:right w:val="single" w:sz="4" w:space="0" w:color="auto"/>
            </w:tcBorders>
            <w:vAlign w:val="center"/>
          </w:tcPr>
          <w:p w:rsidR="00F97D54" w:rsidRDefault="00F97D54" w:rsidP="00EB5B97">
            <w:pPr>
              <w:rPr>
                <w:b/>
                <w:sz w:val="18"/>
                <w:szCs w:val="18"/>
              </w:rPr>
            </w:pPr>
            <w:r>
              <w:rPr>
                <w:b/>
                <w:sz w:val="18"/>
                <w:szCs w:val="18"/>
              </w:rPr>
              <w:t>Field Name</w:t>
            </w:r>
          </w:p>
        </w:tc>
        <w:tc>
          <w:tcPr>
            <w:tcW w:w="3762" w:type="dxa"/>
            <w:tcBorders>
              <w:top w:val="single" w:sz="4" w:space="0" w:color="auto"/>
              <w:left w:val="single" w:sz="4" w:space="0" w:color="auto"/>
              <w:bottom w:val="single" w:sz="4" w:space="0" w:color="auto"/>
              <w:right w:val="single" w:sz="4" w:space="0" w:color="auto"/>
            </w:tcBorders>
            <w:vAlign w:val="center"/>
          </w:tcPr>
          <w:p w:rsidR="00F97D54" w:rsidRDefault="00F97D54" w:rsidP="00EB5B97">
            <w:pPr>
              <w:rPr>
                <w:b/>
                <w:sz w:val="18"/>
                <w:szCs w:val="18"/>
              </w:rPr>
            </w:pPr>
            <w:r>
              <w:rPr>
                <w:b/>
                <w:sz w:val="18"/>
                <w:szCs w:val="18"/>
              </w:rPr>
              <w:t>Description</w:t>
            </w:r>
          </w:p>
        </w:tc>
        <w:tc>
          <w:tcPr>
            <w:tcW w:w="1573" w:type="dxa"/>
            <w:tcBorders>
              <w:top w:val="single" w:sz="4" w:space="0" w:color="auto"/>
              <w:left w:val="single" w:sz="4" w:space="0" w:color="auto"/>
              <w:bottom w:val="single" w:sz="4" w:space="0" w:color="auto"/>
              <w:right w:val="single" w:sz="4" w:space="0" w:color="auto"/>
            </w:tcBorders>
            <w:vAlign w:val="center"/>
          </w:tcPr>
          <w:p w:rsidR="00F97D54" w:rsidRDefault="00F97D54" w:rsidP="00EB5B97">
            <w:pPr>
              <w:rPr>
                <w:b/>
                <w:sz w:val="18"/>
                <w:szCs w:val="18"/>
              </w:rPr>
            </w:pPr>
            <w:r>
              <w:rPr>
                <w:b/>
                <w:sz w:val="18"/>
                <w:szCs w:val="18"/>
              </w:rPr>
              <w:t>Type</w:t>
            </w:r>
          </w:p>
        </w:tc>
        <w:tc>
          <w:tcPr>
            <w:tcW w:w="1785" w:type="dxa"/>
            <w:tcBorders>
              <w:top w:val="single" w:sz="4" w:space="0" w:color="auto"/>
              <w:left w:val="single" w:sz="4" w:space="0" w:color="auto"/>
              <w:bottom w:val="single" w:sz="4" w:space="0" w:color="auto"/>
            </w:tcBorders>
            <w:vAlign w:val="center"/>
          </w:tcPr>
          <w:p w:rsidR="00F97D54" w:rsidRDefault="00F97D54" w:rsidP="00EB5B97">
            <w:pPr>
              <w:ind w:right="-108"/>
              <w:rPr>
                <w:b/>
                <w:sz w:val="18"/>
                <w:szCs w:val="18"/>
              </w:rPr>
            </w:pPr>
            <w:r>
              <w:rPr>
                <w:b/>
                <w:sz w:val="18"/>
                <w:szCs w:val="18"/>
              </w:rPr>
              <w:t>Example</w:t>
            </w:r>
          </w:p>
        </w:tc>
      </w:tr>
      <w:tr w:rsidR="00F97D54" w:rsidRPr="00C136DE" w:rsidTr="00EB5B97">
        <w:trPr>
          <w:trHeight w:val="432"/>
        </w:trPr>
        <w:tc>
          <w:tcPr>
            <w:tcW w:w="1718" w:type="dxa"/>
            <w:tcBorders>
              <w:top w:val="single" w:sz="4" w:space="0" w:color="auto"/>
            </w:tcBorders>
            <w:vAlign w:val="center"/>
          </w:tcPr>
          <w:p w:rsidR="00F97D54" w:rsidRPr="00490CD2" w:rsidRDefault="00F97D54" w:rsidP="00EB5B97">
            <w:pPr>
              <w:rPr>
                <w:sz w:val="16"/>
                <w:szCs w:val="16"/>
              </w:rPr>
            </w:pPr>
            <w:r>
              <w:rPr>
                <w:sz w:val="16"/>
                <w:szCs w:val="16"/>
              </w:rPr>
              <w:t>Provider_Name</w:t>
            </w:r>
          </w:p>
        </w:tc>
        <w:tc>
          <w:tcPr>
            <w:tcW w:w="3762" w:type="dxa"/>
            <w:tcBorders>
              <w:top w:val="single" w:sz="4" w:space="0" w:color="auto"/>
            </w:tcBorders>
            <w:vAlign w:val="center"/>
          </w:tcPr>
          <w:p w:rsidR="00F97D54" w:rsidRPr="00C136DE" w:rsidRDefault="00F97D54" w:rsidP="00EB5B97">
            <w:pPr>
              <w:rPr>
                <w:sz w:val="16"/>
                <w:szCs w:val="16"/>
              </w:rPr>
            </w:pPr>
            <w:r>
              <w:rPr>
                <w:sz w:val="16"/>
                <w:szCs w:val="16"/>
              </w:rPr>
              <w:t>Name of mobile wireless service p</w:t>
            </w:r>
            <w:r w:rsidRPr="00C4594D">
              <w:rPr>
                <w:sz w:val="16"/>
                <w:szCs w:val="16"/>
              </w:rPr>
              <w:t>rovider</w:t>
            </w:r>
          </w:p>
        </w:tc>
        <w:tc>
          <w:tcPr>
            <w:tcW w:w="1573" w:type="dxa"/>
            <w:tcBorders>
              <w:top w:val="single" w:sz="4" w:space="0" w:color="auto"/>
            </w:tcBorders>
            <w:vAlign w:val="center"/>
          </w:tcPr>
          <w:p w:rsidR="00F97D54" w:rsidRPr="00C136DE" w:rsidRDefault="00F97D54" w:rsidP="00EB5B97">
            <w:pPr>
              <w:rPr>
                <w:sz w:val="16"/>
                <w:szCs w:val="16"/>
              </w:rPr>
            </w:pPr>
            <w:r>
              <w:rPr>
                <w:sz w:val="16"/>
                <w:szCs w:val="16"/>
              </w:rPr>
              <w:t>Text</w:t>
            </w:r>
          </w:p>
        </w:tc>
        <w:tc>
          <w:tcPr>
            <w:tcW w:w="1785" w:type="dxa"/>
            <w:tcBorders>
              <w:top w:val="single" w:sz="4" w:space="0" w:color="auto"/>
            </w:tcBorders>
            <w:vAlign w:val="center"/>
          </w:tcPr>
          <w:p w:rsidR="00F97D54" w:rsidRPr="00C136DE" w:rsidRDefault="00F97D54" w:rsidP="00EB5B97">
            <w:pPr>
              <w:rPr>
                <w:sz w:val="16"/>
                <w:szCs w:val="16"/>
              </w:rPr>
            </w:pPr>
            <w:r>
              <w:rPr>
                <w:sz w:val="16"/>
                <w:szCs w:val="16"/>
              </w:rPr>
              <w:t>Local Fiber Incorporated</w:t>
            </w:r>
          </w:p>
        </w:tc>
      </w:tr>
      <w:tr w:rsidR="00F97D54" w:rsidTr="00EB5B97">
        <w:trPr>
          <w:trHeight w:val="432"/>
        </w:trPr>
        <w:tc>
          <w:tcPr>
            <w:tcW w:w="1718" w:type="dxa"/>
            <w:tcBorders>
              <w:bottom w:val="double" w:sz="4" w:space="0" w:color="auto"/>
            </w:tcBorders>
            <w:vAlign w:val="center"/>
          </w:tcPr>
          <w:p w:rsidR="00F97D54" w:rsidRDefault="00F97D54" w:rsidP="00EB5B97">
            <w:pPr>
              <w:rPr>
                <w:sz w:val="16"/>
                <w:szCs w:val="16"/>
              </w:rPr>
            </w:pPr>
            <w:r>
              <w:rPr>
                <w:sz w:val="16"/>
                <w:szCs w:val="16"/>
              </w:rPr>
              <w:t>Total_Number</w:t>
            </w:r>
          </w:p>
        </w:tc>
        <w:tc>
          <w:tcPr>
            <w:tcW w:w="3762" w:type="dxa"/>
            <w:tcBorders>
              <w:bottom w:val="double" w:sz="4" w:space="0" w:color="auto"/>
            </w:tcBorders>
            <w:vAlign w:val="center"/>
          </w:tcPr>
          <w:p w:rsidR="00F97D54" w:rsidRDefault="00F97D54" w:rsidP="00EB5B97">
            <w:pPr>
              <w:rPr>
                <w:sz w:val="16"/>
                <w:szCs w:val="16"/>
              </w:rPr>
            </w:pPr>
            <w:r>
              <w:rPr>
                <w:sz w:val="16"/>
                <w:szCs w:val="16"/>
              </w:rPr>
              <w:t>Total number of cell sites on network</w:t>
            </w:r>
          </w:p>
        </w:tc>
        <w:tc>
          <w:tcPr>
            <w:tcW w:w="1573" w:type="dxa"/>
            <w:tcBorders>
              <w:bottom w:val="double" w:sz="4" w:space="0" w:color="auto"/>
            </w:tcBorders>
            <w:vAlign w:val="center"/>
          </w:tcPr>
          <w:p w:rsidR="00F97D54" w:rsidRDefault="00F97D54" w:rsidP="00EB5B97">
            <w:pPr>
              <w:rPr>
                <w:sz w:val="16"/>
                <w:szCs w:val="16"/>
              </w:rPr>
            </w:pPr>
            <w:r>
              <w:rPr>
                <w:sz w:val="16"/>
                <w:szCs w:val="16"/>
              </w:rPr>
              <w:t>Float</w:t>
            </w:r>
          </w:p>
        </w:tc>
        <w:tc>
          <w:tcPr>
            <w:tcW w:w="1785" w:type="dxa"/>
            <w:tcBorders>
              <w:bottom w:val="double" w:sz="4" w:space="0" w:color="auto"/>
            </w:tcBorders>
            <w:vAlign w:val="center"/>
          </w:tcPr>
          <w:p w:rsidR="00F97D54" w:rsidRDefault="00F97D54" w:rsidP="00EB5B97">
            <w:pPr>
              <w:rPr>
                <w:sz w:val="16"/>
                <w:szCs w:val="16"/>
              </w:rPr>
            </w:pPr>
            <w:r>
              <w:rPr>
                <w:sz w:val="16"/>
                <w:szCs w:val="16"/>
              </w:rPr>
              <w:t>100</w:t>
            </w:r>
          </w:p>
        </w:tc>
      </w:tr>
    </w:tbl>
    <w:p w:rsidR="00856C67" w:rsidRDefault="00856C67" w:rsidP="00856C67">
      <w:pPr>
        <w:pStyle w:val="Heading4"/>
        <w:numPr>
          <w:ilvl w:val="0"/>
          <w:numId w:val="0"/>
        </w:numPr>
        <w:spacing w:after="0"/>
        <w:rPr>
          <w:b w:val="0"/>
          <w:i/>
        </w:rPr>
      </w:pPr>
      <w:bookmarkStart w:id="144" w:name="_Toc365972127"/>
    </w:p>
    <w:p w:rsidR="00F97D54" w:rsidRPr="00E9084B" w:rsidRDefault="00F97D54" w:rsidP="00E9084B">
      <w:pPr>
        <w:pStyle w:val="Heading4"/>
        <w:numPr>
          <w:ilvl w:val="0"/>
          <w:numId w:val="0"/>
        </w:numPr>
        <w:rPr>
          <w:b w:val="0"/>
          <w:i/>
        </w:rPr>
      </w:pPr>
      <w:r w:rsidRPr="00E9084B">
        <w:rPr>
          <w:b w:val="0"/>
          <w:i/>
        </w:rPr>
        <w:t>Question II.E.2:  Cell Site Locations</w:t>
      </w:r>
      <w:bookmarkEnd w:id="144"/>
      <w:r w:rsidRPr="00E9084B">
        <w:rPr>
          <w:b w:val="0"/>
          <w:i/>
        </w:rPr>
        <w:t xml:space="preserve"> </w:t>
      </w:r>
    </w:p>
    <w:p w:rsidR="00F97D54" w:rsidRDefault="00F97D54" w:rsidP="00EB5B97">
      <w:r>
        <w:t>Provide, for each cell site on your network, the following information:</w:t>
      </w:r>
    </w:p>
    <w:p w:rsidR="00F97D54" w:rsidRDefault="00F97D54" w:rsidP="00EB5B97">
      <w:pPr>
        <w:rPr>
          <w:b/>
        </w:rPr>
      </w:pPr>
    </w:p>
    <w:tbl>
      <w:tblPr>
        <w:tblW w:w="8838" w:type="dxa"/>
        <w:tblLook w:val="01E0" w:firstRow="1" w:lastRow="1" w:firstColumn="1" w:lastColumn="1" w:noHBand="0" w:noVBand="0"/>
      </w:tblPr>
      <w:tblGrid>
        <w:gridCol w:w="1718"/>
        <w:gridCol w:w="3762"/>
        <w:gridCol w:w="1573"/>
        <w:gridCol w:w="1785"/>
      </w:tblGrid>
      <w:tr w:rsidR="00F97D54" w:rsidTr="00EB5B97">
        <w:trPr>
          <w:trHeight w:val="432"/>
          <w:tblHeader/>
        </w:trPr>
        <w:tc>
          <w:tcPr>
            <w:tcW w:w="8838" w:type="dxa"/>
            <w:gridSpan w:val="4"/>
            <w:tcBorders>
              <w:top w:val="double" w:sz="4" w:space="0" w:color="auto"/>
              <w:bottom w:val="single" w:sz="4" w:space="0" w:color="auto"/>
            </w:tcBorders>
            <w:vAlign w:val="center"/>
          </w:tcPr>
          <w:p w:rsidR="00F97D54" w:rsidRDefault="00F97D54" w:rsidP="00EB5B97">
            <w:pPr>
              <w:jc w:val="center"/>
              <w:rPr>
                <w:b/>
                <w:szCs w:val="22"/>
              </w:rPr>
            </w:pPr>
            <w:r>
              <w:rPr>
                <w:b/>
                <w:szCs w:val="22"/>
              </w:rPr>
              <w:t>Table II.E.2</w:t>
            </w:r>
          </w:p>
          <w:p w:rsidR="00F97D54" w:rsidRPr="00B7026C" w:rsidRDefault="00F97D54" w:rsidP="00EB5B97">
            <w:pPr>
              <w:jc w:val="center"/>
              <w:rPr>
                <w:b/>
                <w:szCs w:val="22"/>
              </w:rPr>
            </w:pPr>
            <w:r w:rsidRPr="00B7026C">
              <w:rPr>
                <w:b/>
                <w:szCs w:val="22"/>
              </w:rPr>
              <w:t xml:space="preserve">Record Format for Cell Sites by </w:t>
            </w:r>
            <w:r w:rsidRPr="00561A45">
              <w:rPr>
                <w:b/>
                <w:i/>
                <w:szCs w:val="22"/>
              </w:rPr>
              <w:t>Location</w:t>
            </w:r>
            <w:r w:rsidRPr="00B7026C">
              <w:rPr>
                <w:b/>
                <w:szCs w:val="22"/>
              </w:rPr>
              <w:t xml:space="preserve"> </w:t>
            </w:r>
          </w:p>
        </w:tc>
      </w:tr>
      <w:tr w:rsidR="00F97D54" w:rsidTr="00EB5B97">
        <w:trPr>
          <w:trHeight w:val="432"/>
          <w:tblHeader/>
        </w:trPr>
        <w:tc>
          <w:tcPr>
            <w:tcW w:w="1718" w:type="dxa"/>
            <w:tcBorders>
              <w:top w:val="single" w:sz="4" w:space="0" w:color="auto"/>
              <w:bottom w:val="single" w:sz="4" w:space="0" w:color="auto"/>
              <w:right w:val="single" w:sz="4" w:space="0" w:color="auto"/>
            </w:tcBorders>
            <w:vAlign w:val="center"/>
          </w:tcPr>
          <w:p w:rsidR="00F97D54" w:rsidRDefault="00F97D54" w:rsidP="00EB5B97">
            <w:pPr>
              <w:rPr>
                <w:b/>
                <w:sz w:val="18"/>
                <w:szCs w:val="18"/>
              </w:rPr>
            </w:pPr>
            <w:r>
              <w:rPr>
                <w:b/>
                <w:sz w:val="18"/>
                <w:szCs w:val="18"/>
              </w:rPr>
              <w:t>Field Name</w:t>
            </w:r>
          </w:p>
        </w:tc>
        <w:tc>
          <w:tcPr>
            <w:tcW w:w="3762" w:type="dxa"/>
            <w:tcBorders>
              <w:top w:val="single" w:sz="4" w:space="0" w:color="auto"/>
              <w:left w:val="single" w:sz="4" w:space="0" w:color="auto"/>
              <w:bottom w:val="single" w:sz="4" w:space="0" w:color="auto"/>
              <w:right w:val="single" w:sz="4" w:space="0" w:color="auto"/>
            </w:tcBorders>
            <w:vAlign w:val="center"/>
          </w:tcPr>
          <w:p w:rsidR="00F97D54" w:rsidRDefault="00F97D54" w:rsidP="00EB5B97">
            <w:pPr>
              <w:rPr>
                <w:b/>
                <w:sz w:val="18"/>
                <w:szCs w:val="18"/>
              </w:rPr>
            </w:pPr>
            <w:r>
              <w:rPr>
                <w:b/>
                <w:sz w:val="18"/>
                <w:szCs w:val="18"/>
              </w:rPr>
              <w:t>Description</w:t>
            </w:r>
          </w:p>
        </w:tc>
        <w:tc>
          <w:tcPr>
            <w:tcW w:w="1573" w:type="dxa"/>
            <w:tcBorders>
              <w:top w:val="single" w:sz="4" w:space="0" w:color="auto"/>
              <w:left w:val="single" w:sz="4" w:space="0" w:color="auto"/>
              <w:bottom w:val="single" w:sz="4" w:space="0" w:color="auto"/>
              <w:right w:val="single" w:sz="4" w:space="0" w:color="auto"/>
            </w:tcBorders>
            <w:vAlign w:val="center"/>
          </w:tcPr>
          <w:p w:rsidR="00F97D54" w:rsidRDefault="00F97D54" w:rsidP="00EB5B97">
            <w:pPr>
              <w:rPr>
                <w:b/>
                <w:sz w:val="18"/>
                <w:szCs w:val="18"/>
              </w:rPr>
            </w:pPr>
            <w:r>
              <w:rPr>
                <w:b/>
                <w:sz w:val="18"/>
                <w:szCs w:val="18"/>
              </w:rPr>
              <w:t>Type</w:t>
            </w:r>
          </w:p>
        </w:tc>
        <w:tc>
          <w:tcPr>
            <w:tcW w:w="1785" w:type="dxa"/>
            <w:tcBorders>
              <w:top w:val="single" w:sz="4" w:space="0" w:color="auto"/>
              <w:left w:val="single" w:sz="4" w:space="0" w:color="auto"/>
              <w:bottom w:val="single" w:sz="4" w:space="0" w:color="auto"/>
            </w:tcBorders>
            <w:vAlign w:val="center"/>
          </w:tcPr>
          <w:p w:rsidR="00F97D54" w:rsidRDefault="00F97D54" w:rsidP="00EB5B97">
            <w:pPr>
              <w:ind w:right="-108"/>
              <w:rPr>
                <w:b/>
                <w:sz w:val="18"/>
                <w:szCs w:val="18"/>
              </w:rPr>
            </w:pPr>
            <w:r>
              <w:rPr>
                <w:b/>
                <w:sz w:val="18"/>
                <w:szCs w:val="18"/>
              </w:rPr>
              <w:t>Example</w:t>
            </w:r>
          </w:p>
        </w:tc>
      </w:tr>
      <w:tr w:rsidR="00F97D54" w:rsidRPr="00C136DE" w:rsidTr="00EB5B97">
        <w:trPr>
          <w:trHeight w:val="432"/>
        </w:trPr>
        <w:tc>
          <w:tcPr>
            <w:tcW w:w="1718" w:type="dxa"/>
            <w:tcBorders>
              <w:top w:val="single" w:sz="4" w:space="0" w:color="auto"/>
            </w:tcBorders>
            <w:vAlign w:val="center"/>
          </w:tcPr>
          <w:p w:rsidR="00F97D54" w:rsidRPr="00490CD2" w:rsidRDefault="00F97D54" w:rsidP="00EB5B97">
            <w:pPr>
              <w:rPr>
                <w:sz w:val="16"/>
                <w:szCs w:val="16"/>
              </w:rPr>
            </w:pPr>
            <w:r w:rsidRPr="00490CD2">
              <w:rPr>
                <w:sz w:val="16"/>
                <w:szCs w:val="16"/>
              </w:rPr>
              <w:t>Location_ID</w:t>
            </w:r>
          </w:p>
        </w:tc>
        <w:tc>
          <w:tcPr>
            <w:tcW w:w="3762" w:type="dxa"/>
            <w:tcBorders>
              <w:top w:val="single" w:sz="4" w:space="0" w:color="auto"/>
            </w:tcBorders>
            <w:vAlign w:val="center"/>
          </w:tcPr>
          <w:p w:rsidR="00F97D54" w:rsidRPr="00C136DE" w:rsidRDefault="00F97D54" w:rsidP="00EB5B97">
            <w:pPr>
              <w:rPr>
                <w:sz w:val="16"/>
                <w:szCs w:val="16"/>
              </w:rPr>
            </w:pPr>
            <w:r w:rsidRPr="00C136DE">
              <w:rPr>
                <w:sz w:val="16"/>
                <w:szCs w:val="16"/>
              </w:rPr>
              <w:t>Sequential location number</w:t>
            </w:r>
          </w:p>
        </w:tc>
        <w:tc>
          <w:tcPr>
            <w:tcW w:w="1573" w:type="dxa"/>
            <w:tcBorders>
              <w:top w:val="single" w:sz="4" w:space="0" w:color="auto"/>
            </w:tcBorders>
            <w:vAlign w:val="center"/>
          </w:tcPr>
          <w:p w:rsidR="00F97D54" w:rsidRPr="00C136DE" w:rsidRDefault="00F97D54" w:rsidP="00EB5B97">
            <w:pPr>
              <w:rPr>
                <w:sz w:val="16"/>
                <w:szCs w:val="16"/>
              </w:rPr>
            </w:pPr>
            <w:r w:rsidRPr="00C136DE">
              <w:rPr>
                <w:sz w:val="16"/>
                <w:szCs w:val="16"/>
              </w:rPr>
              <w:t>Integer</w:t>
            </w:r>
          </w:p>
        </w:tc>
        <w:tc>
          <w:tcPr>
            <w:tcW w:w="1785" w:type="dxa"/>
            <w:tcBorders>
              <w:top w:val="single" w:sz="4" w:space="0" w:color="auto"/>
            </w:tcBorders>
            <w:vAlign w:val="center"/>
          </w:tcPr>
          <w:p w:rsidR="00F97D54" w:rsidRPr="00C136DE" w:rsidRDefault="00F97D54" w:rsidP="00EB5B97">
            <w:pPr>
              <w:rPr>
                <w:sz w:val="16"/>
                <w:szCs w:val="16"/>
              </w:rPr>
            </w:pPr>
            <w:r w:rsidRPr="00C136DE">
              <w:rPr>
                <w:sz w:val="16"/>
                <w:szCs w:val="16"/>
              </w:rPr>
              <w:t>1</w:t>
            </w:r>
          </w:p>
        </w:tc>
      </w:tr>
      <w:tr w:rsidR="00F97D54" w:rsidTr="00EB5B97">
        <w:trPr>
          <w:trHeight w:val="216"/>
        </w:trPr>
        <w:tc>
          <w:tcPr>
            <w:tcW w:w="1718" w:type="dxa"/>
            <w:vAlign w:val="center"/>
          </w:tcPr>
          <w:p w:rsidR="00F97D54" w:rsidRDefault="00F97D54" w:rsidP="00EB5B97">
            <w:pPr>
              <w:rPr>
                <w:sz w:val="16"/>
                <w:szCs w:val="16"/>
              </w:rPr>
            </w:pPr>
            <w:r>
              <w:rPr>
                <w:sz w:val="16"/>
                <w:szCs w:val="16"/>
              </w:rPr>
              <w:t>Year</w:t>
            </w:r>
          </w:p>
        </w:tc>
        <w:tc>
          <w:tcPr>
            <w:tcW w:w="3762" w:type="dxa"/>
            <w:vAlign w:val="center"/>
          </w:tcPr>
          <w:p w:rsidR="00F97D54" w:rsidRDefault="00F97D54" w:rsidP="00EB5B97">
            <w:pPr>
              <w:rPr>
                <w:color w:val="243F60"/>
                <w:sz w:val="16"/>
                <w:szCs w:val="16"/>
              </w:rPr>
            </w:pPr>
            <w:r>
              <w:rPr>
                <w:sz w:val="16"/>
                <w:szCs w:val="16"/>
              </w:rPr>
              <w:t>Indicator of the calendar year of the data</w:t>
            </w:r>
          </w:p>
        </w:tc>
        <w:tc>
          <w:tcPr>
            <w:tcW w:w="1573" w:type="dxa"/>
            <w:vAlign w:val="center"/>
          </w:tcPr>
          <w:p w:rsidR="00F97D54" w:rsidRDefault="00F97D54" w:rsidP="00EB5B97">
            <w:pPr>
              <w:rPr>
                <w:sz w:val="16"/>
                <w:szCs w:val="16"/>
              </w:rPr>
            </w:pPr>
            <w:r>
              <w:rPr>
                <w:sz w:val="16"/>
                <w:szCs w:val="16"/>
              </w:rPr>
              <w:t>Integer</w:t>
            </w:r>
          </w:p>
        </w:tc>
        <w:tc>
          <w:tcPr>
            <w:tcW w:w="1785" w:type="dxa"/>
            <w:vAlign w:val="center"/>
          </w:tcPr>
          <w:p w:rsidR="00F97D54" w:rsidRDefault="00F97D54" w:rsidP="00EB5B97">
            <w:pPr>
              <w:rPr>
                <w:sz w:val="16"/>
                <w:szCs w:val="16"/>
              </w:rPr>
            </w:pPr>
            <w:r>
              <w:rPr>
                <w:sz w:val="16"/>
                <w:szCs w:val="16"/>
              </w:rPr>
              <w:t>2010</w:t>
            </w:r>
          </w:p>
        </w:tc>
      </w:tr>
      <w:tr w:rsidR="00F97D54" w:rsidTr="00EB5B97">
        <w:trPr>
          <w:trHeight w:val="432"/>
        </w:trPr>
        <w:tc>
          <w:tcPr>
            <w:tcW w:w="1718" w:type="dxa"/>
            <w:vAlign w:val="center"/>
          </w:tcPr>
          <w:p w:rsidR="00F97D54" w:rsidRDefault="00F97D54" w:rsidP="00EB5B97">
            <w:pPr>
              <w:rPr>
                <w:sz w:val="16"/>
                <w:szCs w:val="16"/>
              </w:rPr>
            </w:pPr>
            <w:r>
              <w:rPr>
                <w:sz w:val="16"/>
                <w:szCs w:val="16"/>
              </w:rPr>
              <w:t>Street_address</w:t>
            </w:r>
          </w:p>
        </w:tc>
        <w:tc>
          <w:tcPr>
            <w:tcW w:w="3762" w:type="dxa"/>
            <w:vAlign w:val="center"/>
          </w:tcPr>
          <w:p w:rsidR="00F97D54" w:rsidRDefault="00F97D54" w:rsidP="00EB5B97">
            <w:pPr>
              <w:rPr>
                <w:sz w:val="16"/>
                <w:szCs w:val="16"/>
              </w:rPr>
            </w:pPr>
            <w:r>
              <w:rPr>
                <w:sz w:val="16"/>
                <w:szCs w:val="16"/>
              </w:rPr>
              <w:t>Actual situs for the cell site (</w:t>
            </w:r>
            <w:r>
              <w:rPr>
                <w:i/>
                <w:sz w:val="16"/>
                <w:szCs w:val="16"/>
              </w:rPr>
              <w:t>i.e.,</w:t>
            </w:r>
            <w:r>
              <w:rPr>
                <w:sz w:val="16"/>
                <w:szCs w:val="16"/>
              </w:rPr>
              <w:t xml:space="preserve"> land where cell site is located) if the cell site is located in or on a building</w:t>
            </w:r>
          </w:p>
        </w:tc>
        <w:tc>
          <w:tcPr>
            <w:tcW w:w="1573" w:type="dxa"/>
            <w:vAlign w:val="center"/>
          </w:tcPr>
          <w:p w:rsidR="00F97D54" w:rsidRDefault="00F97D54" w:rsidP="00EB5B97">
            <w:pPr>
              <w:rPr>
                <w:sz w:val="16"/>
                <w:szCs w:val="16"/>
              </w:rPr>
            </w:pPr>
            <w:r>
              <w:rPr>
                <w:sz w:val="16"/>
                <w:szCs w:val="16"/>
              </w:rPr>
              <w:t>Text</w:t>
            </w:r>
          </w:p>
        </w:tc>
        <w:tc>
          <w:tcPr>
            <w:tcW w:w="1785" w:type="dxa"/>
            <w:vAlign w:val="center"/>
          </w:tcPr>
          <w:p w:rsidR="00F97D54" w:rsidRDefault="00F97D54" w:rsidP="00EB5B97">
            <w:pPr>
              <w:rPr>
                <w:sz w:val="16"/>
                <w:szCs w:val="16"/>
              </w:rPr>
            </w:pPr>
            <w:r>
              <w:rPr>
                <w:sz w:val="16"/>
                <w:szCs w:val="16"/>
              </w:rPr>
              <w:t>445 Twelfth St SW</w:t>
            </w:r>
          </w:p>
        </w:tc>
      </w:tr>
      <w:tr w:rsidR="00F97D54" w:rsidTr="00EB5B97">
        <w:trPr>
          <w:trHeight w:val="288"/>
        </w:trPr>
        <w:tc>
          <w:tcPr>
            <w:tcW w:w="1718" w:type="dxa"/>
            <w:vAlign w:val="center"/>
          </w:tcPr>
          <w:p w:rsidR="00F97D54" w:rsidRDefault="00F97D54" w:rsidP="00EB5B97">
            <w:pPr>
              <w:rPr>
                <w:sz w:val="16"/>
                <w:szCs w:val="16"/>
              </w:rPr>
            </w:pPr>
            <w:r>
              <w:rPr>
                <w:sz w:val="16"/>
                <w:szCs w:val="16"/>
              </w:rPr>
              <w:t>Other_address</w:t>
            </w:r>
          </w:p>
        </w:tc>
        <w:tc>
          <w:tcPr>
            <w:tcW w:w="3762" w:type="dxa"/>
            <w:vAlign w:val="center"/>
          </w:tcPr>
          <w:p w:rsidR="00F97D54" w:rsidRDefault="00F97D54" w:rsidP="00EB5B97">
            <w:pPr>
              <w:rPr>
                <w:sz w:val="16"/>
                <w:szCs w:val="16"/>
              </w:rPr>
            </w:pPr>
            <w:r>
              <w:rPr>
                <w:sz w:val="16"/>
                <w:szCs w:val="16"/>
              </w:rPr>
              <w:t>If cell site does not have a street address, provide description of location</w:t>
            </w:r>
          </w:p>
        </w:tc>
        <w:tc>
          <w:tcPr>
            <w:tcW w:w="1573" w:type="dxa"/>
            <w:vAlign w:val="center"/>
          </w:tcPr>
          <w:p w:rsidR="00F97D54" w:rsidRDefault="00F97D54" w:rsidP="00EB5B97">
            <w:pPr>
              <w:rPr>
                <w:sz w:val="16"/>
                <w:szCs w:val="16"/>
              </w:rPr>
            </w:pPr>
            <w:r>
              <w:rPr>
                <w:sz w:val="16"/>
                <w:szCs w:val="16"/>
              </w:rPr>
              <w:t>Text</w:t>
            </w:r>
          </w:p>
        </w:tc>
        <w:tc>
          <w:tcPr>
            <w:tcW w:w="1785" w:type="dxa"/>
            <w:vAlign w:val="center"/>
          </w:tcPr>
          <w:p w:rsidR="00F97D54" w:rsidRDefault="00F97D54" w:rsidP="00EB5B97">
            <w:pPr>
              <w:rPr>
                <w:sz w:val="16"/>
                <w:szCs w:val="16"/>
              </w:rPr>
            </w:pPr>
            <w:r>
              <w:rPr>
                <w:sz w:val="16"/>
                <w:szCs w:val="16"/>
              </w:rPr>
              <w:t>500 yards N of I35 and SR270 intersection</w:t>
            </w:r>
          </w:p>
        </w:tc>
      </w:tr>
      <w:tr w:rsidR="00F97D54" w:rsidTr="00EB5B97">
        <w:trPr>
          <w:trHeight w:val="288"/>
        </w:trPr>
        <w:tc>
          <w:tcPr>
            <w:tcW w:w="1718" w:type="dxa"/>
            <w:vAlign w:val="center"/>
          </w:tcPr>
          <w:p w:rsidR="00F97D54" w:rsidRDefault="00F97D54" w:rsidP="00EB5B97">
            <w:pPr>
              <w:rPr>
                <w:sz w:val="16"/>
                <w:szCs w:val="16"/>
              </w:rPr>
            </w:pPr>
            <w:r>
              <w:rPr>
                <w:sz w:val="16"/>
                <w:szCs w:val="16"/>
              </w:rPr>
              <w:t xml:space="preserve">City </w:t>
            </w:r>
          </w:p>
        </w:tc>
        <w:tc>
          <w:tcPr>
            <w:tcW w:w="3762" w:type="dxa"/>
            <w:vAlign w:val="center"/>
          </w:tcPr>
          <w:p w:rsidR="00F97D54" w:rsidRDefault="00F97D54" w:rsidP="00EB5B97">
            <w:pPr>
              <w:rPr>
                <w:sz w:val="16"/>
                <w:szCs w:val="16"/>
              </w:rPr>
            </w:pPr>
            <w:r>
              <w:rPr>
                <w:sz w:val="16"/>
                <w:szCs w:val="16"/>
              </w:rPr>
              <w:t>City of the cell site</w:t>
            </w:r>
          </w:p>
        </w:tc>
        <w:tc>
          <w:tcPr>
            <w:tcW w:w="1573" w:type="dxa"/>
            <w:vAlign w:val="center"/>
          </w:tcPr>
          <w:p w:rsidR="00F97D54" w:rsidRDefault="00F97D54" w:rsidP="00EB5B97">
            <w:pPr>
              <w:rPr>
                <w:sz w:val="16"/>
                <w:szCs w:val="16"/>
              </w:rPr>
            </w:pPr>
            <w:r>
              <w:rPr>
                <w:sz w:val="16"/>
                <w:szCs w:val="16"/>
              </w:rPr>
              <w:t>Text</w:t>
            </w:r>
          </w:p>
        </w:tc>
        <w:tc>
          <w:tcPr>
            <w:tcW w:w="1785" w:type="dxa"/>
            <w:vAlign w:val="center"/>
          </w:tcPr>
          <w:p w:rsidR="00F97D54" w:rsidRDefault="00F97D54" w:rsidP="00EB5B97">
            <w:pPr>
              <w:rPr>
                <w:sz w:val="16"/>
                <w:szCs w:val="16"/>
              </w:rPr>
            </w:pPr>
            <w:r>
              <w:rPr>
                <w:sz w:val="16"/>
                <w:szCs w:val="16"/>
              </w:rPr>
              <w:t>Washington</w:t>
            </w:r>
          </w:p>
        </w:tc>
      </w:tr>
      <w:tr w:rsidR="00F97D54" w:rsidTr="00EB5B97">
        <w:trPr>
          <w:trHeight w:val="288"/>
        </w:trPr>
        <w:tc>
          <w:tcPr>
            <w:tcW w:w="1718" w:type="dxa"/>
            <w:vAlign w:val="center"/>
          </w:tcPr>
          <w:p w:rsidR="00F97D54" w:rsidRDefault="00F97D54" w:rsidP="00EB5B97">
            <w:pPr>
              <w:rPr>
                <w:sz w:val="16"/>
                <w:szCs w:val="16"/>
              </w:rPr>
            </w:pPr>
            <w:r>
              <w:rPr>
                <w:sz w:val="16"/>
                <w:szCs w:val="16"/>
              </w:rPr>
              <w:t>State</w:t>
            </w:r>
          </w:p>
        </w:tc>
        <w:tc>
          <w:tcPr>
            <w:tcW w:w="3762" w:type="dxa"/>
            <w:vAlign w:val="center"/>
          </w:tcPr>
          <w:p w:rsidR="00F97D54" w:rsidRDefault="00F97D54" w:rsidP="00EB5B97">
            <w:pPr>
              <w:rPr>
                <w:sz w:val="16"/>
                <w:szCs w:val="16"/>
              </w:rPr>
            </w:pPr>
            <w:r>
              <w:rPr>
                <w:sz w:val="16"/>
                <w:szCs w:val="16"/>
              </w:rPr>
              <w:t>Two-letter state postal abbreviation of the cell site</w:t>
            </w:r>
          </w:p>
        </w:tc>
        <w:tc>
          <w:tcPr>
            <w:tcW w:w="1573" w:type="dxa"/>
            <w:vAlign w:val="center"/>
          </w:tcPr>
          <w:p w:rsidR="00F97D54" w:rsidRDefault="00F97D54" w:rsidP="00EB5B97">
            <w:pPr>
              <w:rPr>
                <w:sz w:val="16"/>
                <w:szCs w:val="16"/>
              </w:rPr>
            </w:pPr>
            <w:r>
              <w:rPr>
                <w:sz w:val="16"/>
                <w:szCs w:val="16"/>
              </w:rPr>
              <w:t>Text</w:t>
            </w:r>
          </w:p>
        </w:tc>
        <w:tc>
          <w:tcPr>
            <w:tcW w:w="1785" w:type="dxa"/>
            <w:vAlign w:val="center"/>
          </w:tcPr>
          <w:p w:rsidR="00F97D54" w:rsidRDefault="00F97D54" w:rsidP="00EB5B97">
            <w:pPr>
              <w:rPr>
                <w:sz w:val="16"/>
                <w:szCs w:val="16"/>
              </w:rPr>
            </w:pPr>
            <w:r>
              <w:rPr>
                <w:sz w:val="16"/>
                <w:szCs w:val="16"/>
              </w:rPr>
              <w:t>DC</w:t>
            </w:r>
          </w:p>
        </w:tc>
      </w:tr>
      <w:tr w:rsidR="00F97D54" w:rsidTr="00EB5B97">
        <w:trPr>
          <w:trHeight w:val="288"/>
        </w:trPr>
        <w:tc>
          <w:tcPr>
            <w:tcW w:w="1718" w:type="dxa"/>
            <w:vAlign w:val="center"/>
          </w:tcPr>
          <w:p w:rsidR="00F97D54" w:rsidRDefault="00F97D54" w:rsidP="00EB5B97">
            <w:pPr>
              <w:rPr>
                <w:sz w:val="16"/>
                <w:szCs w:val="16"/>
              </w:rPr>
            </w:pPr>
            <w:r>
              <w:rPr>
                <w:sz w:val="16"/>
                <w:szCs w:val="16"/>
              </w:rPr>
              <w:t>ZIP</w:t>
            </w:r>
          </w:p>
        </w:tc>
        <w:tc>
          <w:tcPr>
            <w:tcW w:w="3762" w:type="dxa"/>
            <w:vAlign w:val="center"/>
          </w:tcPr>
          <w:p w:rsidR="00F97D54" w:rsidRDefault="00F97D54" w:rsidP="00EB5B97">
            <w:pPr>
              <w:rPr>
                <w:sz w:val="16"/>
                <w:szCs w:val="16"/>
              </w:rPr>
            </w:pPr>
            <w:r>
              <w:rPr>
                <w:sz w:val="16"/>
                <w:szCs w:val="16"/>
              </w:rPr>
              <w:t>5-digit ZIP code (with leading zeros) of the cell site</w:t>
            </w:r>
          </w:p>
        </w:tc>
        <w:tc>
          <w:tcPr>
            <w:tcW w:w="1573" w:type="dxa"/>
            <w:vAlign w:val="center"/>
          </w:tcPr>
          <w:p w:rsidR="00F97D54" w:rsidRDefault="00F97D54" w:rsidP="00EB5B97">
            <w:pPr>
              <w:rPr>
                <w:sz w:val="16"/>
                <w:szCs w:val="16"/>
              </w:rPr>
            </w:pPr>
            <w:r>
              <w:rPr>
                <w:sz w:val="16"/>
                <w:szCs w:val="16"/>
              </w:rPr>
              <w:t>Text</w:t>
            </w:r>
          </w:p>
        </w:tc>
        <w:tc>
          <w:tcPr>
            <w:tcW w:w="1785" w:type="dxa"/>
            <w:vAlign w:val="center"/>
          </w:tcPr>
          <w:p w:rsidR="00F97D54" w:rsidRDefault="00F97D54" w:rsidP="00EB5B97">
            <w:pPr>
              <w:rPr>
                <w:sz w:val="16"/>
                <w:szCs w:val="16"/>
              </w:rPr>
            </w:pPr>
            <w:r>
              <w:rPr>
                <w:sz w:val="16"/>
                <w:szCs w:val="16"/>
              </w:rPr>
              <w:t>20554</w:t>
            </w:r>
          </w:p>
        </w:tc>
      </w:tr>
      <w:tr w:rsidR="00F97D54" w:rsidTr="00EB5B97">
        <w:trPr>
          <w:trHeight w:val="288"/>
        </w:trPr>
        <w:tc>
          <w:tcPr>
            <w:tcW w:w="1718" w:type="dxa"/>
            <w:vAlign w:val="center"/>
          </w:tcPr>
          <w:p w:rsidR="00F97D54" w:rsidRDefault="00F97D54" w:rsidP="00EB5B97">
            <w:pPr>
              <w:rPr>
                <w:sz w:val="16"/>
                <w:szCs w:val="16"/>
              </w:rPr>
            </w:pPr>
            <w:r>
              <w:rPr>
                <w:sz w:val="16"/>
                <w:szCs w:val="16"/>
              </w:rPr>
              <w:t>ZIP4</w:t>
            </w:r>
          </w:p>
        </w:tc>
        <w:tc>
          <w:tcPr>
            <w:tcW w:w="3762" w:type="dxa"/>
            <w:vAlign w:val="center"/>
          </w:tcPr>
          <w:p w:rsidR="00F97D54" w:rsidRDefault="00F97D54" w:rsidP="00EB5B97">
            <w:pPr>
              <w:rPr>
                <w:sz w:val="16"/>
                <w:szCs w:val="16"/>
              </w:rPr>
            </w:pPr>
            <w:r>
              <w:rPr>
                <w:sz w:val="16"/>
                <w:szCs w:val="16"/>
              </w:rPr>
              <w:t>4-digit add-on code (with leading zeros) of the cell site</w:t>
            </w:r>
          </w:p>
        </w:tc>
        <w:tc>
          <w:tcPr>
            <w:tcW w:w="1573" w:type="dxa"/>
            <w:vAlign w:val="center"/>
          </w:tcPr>
          <w:p w:rsidR="00F97D54" w:rsidRDefault="00F97D54" w:rsidP="00EB5B97">
            <w:pPr>
              <w:rPr>
                <w:sz w:val="16"/>
                <w:szCs w:val="16"/>
              </w:rPr>
            </w:pPr>
            <w:r>
              <w:rPr>
                <w:sz w:val="16"/>
                <w:szCs w:val="16"/>
              </w:rPr>
              <w:t>Text</w:t>
            </w:r>
          </w:p>
        </w:tc>
        <w:tc>
          <w:tcPr>
            <w:tcW w:w="1785" w:type="dxa"/>
            <w:vAlign w:val="center"/>
          </w:tcPr>
          <w:p w:rsidR="00F97D54" w:rsidRDefault="00F97D54" w:rsidP="00EB5B97">
            <w:pPr>
              <w:rPr>
                <w:sz w:val="16"/>
                <w:szCs w:val="16"/>
              </w:rPr>
            </w:pPr>
            <w:r>
              <w:rPr>
                <w:sz w:val="16"/>
                <w:szCs w:val="16"/>
              </w:rPr>
              <w:t>0000</w:t>
            </w:r>
          </w:p>
        </w:tc>
      </w:tr>
      <w:tr w:rsidR="00F97D54" w:rsidTr="00EB5B97">
        <w:trPr>
          <w:trHeight w:val="288"/>
        </w:trPr>
        <w:tc>
          <w:tcPr>
            <w:tcW w:w="1718" w:type="dxa"/>
            <w:vAlign w:val="center"/>
          </w:tcPr>
          <w:p w:rsidR="00F97D54" w:rsidRDefault="00F97D54" w:rsidP="00EB5B97">
            <w:pPr>
              <w:rPr>
                <w:sz w:val="16"/>
                <w:szCs w:val="16"/>
              </w:rPr>
            </w:pPr>
            <w:r>
              <w:rPr>
                <w:sz w:val="16"/>
                <w:szCs w:val="16"/>
              </w:rPr>
              <w:t>Lat</w:t>
            </w:r>
          </w:p>
        </w:tc>
        <w:tc>
          <w:tcPr>
            <w:tcW w:w="3762" w:type="dxa"/>
            <w:vAlign w:val="center"/>
          </w:tcPr>
          <w:p w:rsidR="00F97D54" w:rsidRDefault="00F97D54" w:rsidP="00EB5B97">
            <w:pPr>
              <w:rPr>
                <w:sz w:val="16"/>
                <w:szCs w:val="16"/>
              </w:rPr>
            </w:pPr>
            <w:r>
              <w:rPr>
                <w:sz w:val="16"/>
                <w:szCs w:val="16"/>
              </w:rPr>
              <w:t>Latitude</w:t>
            </w:r>
          </w:p>
        </w:tc>
        <w:tc>
          <w:tcPr>
            <w:tcW w:w="1573" w:type="dxa"/>
            <w:vAlign w:val="center"/>
          </w:tcPr>
          <w:p w:rsidR="00F97D54" w:rsidRDefault="00F97D54" w:rsidP="00EB5B97">
            <w:pPr>
              <w:rPr>
                <w:sz w:val="16"/>
                <w:szCs w:val="16"/>
              </w:rPr>
            </w:pPr>
            <w:r>
              <w:rPr>
                <w:sz w:val="16"/>
                <w:szCs w:val="16"/>
              </w:rPr>
              <w:t>Float</w:t>
            </w:r>
          </w:p>
        </w:tc>
        <w:tc>
          <w:tcPr>
            <w:tcW w:w="1785" w:type="dxa"/>
            <w:vAlign w:val="center"/>
          </w:tcPr>
          <w:p w:rsidR="00F97D54" w:rsidRDefault="00F97D54" w:rsidP="00EB5B97">
            <w:pPr>
              <w:rPr>
                <w:sz w:val="16"/>
                <w:szCs w:val="16"/>
              </w:rPr>
            </w:pPr>
            <w:r>
              <w:rPr>
                <w:sz w:val="16"/>
                <w:szCs w:val="16"/>
              </w:rPr>
              <w:t>38.8835</w:t>
            </w:r>
          </w:p>
        </w:tc>
      </w:tr>
      <w:tr w:rsidR="00F97D54" w:rsidTr="00EB5B97">
        <w:trPr>
          <w:trHeight w:val="288"/>
        </w:trPr>
        <w:tc>
          <w:tcPr>
            <w:tcW w:w="1718" w:type="dxa"/>
            <w:vAlign w:val="center"/>
          </w:tcPr>
          <w:p w:rsidR="00F97D54" w:rsidRDefault="00F97D54" w:rsidP="00EB5B97">
            <w:pPr>
              <w:rPr>
                <w:sz w:val="16"/>
                <w:szCs w:val="16"/>
              </w:rPr>
            </w:pPr>
            <w:r>
              <w:rPr>
                <w:sz w:val="16"/>
                <w:szCs w:val="16"/>
              </w:rPr>
              <w:t>Long</w:t>
            </w:r>
          </w:p>
        </w:tc>
        <w:tc>
          <w:tcPr>
            <w:tcW w:w="3762" w:type="dxa"/>
            <w:vAlign w:val="center"/>
          </w:tcPr>
          <w:p w:rsidR="00F97D54" w:rsidRDefault="00F97D54" w:rsidP="00EB5B97">
            <w:pPr>
              <w:rPr>
                <w:sz w:val="16"/>
                <w:szCs w:val="16"/>
              </w:rPr>
            </w:pPr>
            <w:r>
              <w:rPr>
                <w:sz w:val="16"/>
                <w:szCs w:val="16"/>
              </w:rPr>
              <w:t>Longitude</w:t>
            </w:r>
          </w:p>
        </w:tc>
        <w:tc>
          <w:tcPr>
            <w:tcW w:w="1573" w:type="dxa"/>
            <w:vAlign w:val="center"/>
          </w:tcPr>
          <w:p w:rsidR="00F97D54" w:rsidRDefault="00F97D54" w:rsidP="00EB5B97">
            <w:pPr>
              <w:rPr>
                <w:sz w:val="16"/>
                <w:szCs w:val="16"/>
              </w:rPr>
            </w:pPr>
            <w:r>
              <w:rPr>
                <w:sz w:val="16"/>
                <w:szCs w:val="16"/>
              </w:rPr>
              <w:t>Float</w:t>
            </w:r>
          </w:p>
        </w:tc>
        <w:tc>
          <w:tcPr>
            <w:tcW w:w="1785" w:type="dxa"/>
            <w:vAlign w:val="center"/>
          </w:tcPr>
          <w:p w:rsidR="00F97D54" w:rsidRDefault="00F97D54" w:rsidP="00EB5B97">
            <w:pPr>
              <w:rPr>
                <w:sz w:val="16"/>
                <w:szCs w:val="16"/>
              </w:rPr>
            </w:pPr>
            <w:r>
              <w:rPr>
                <w:sz w:val="16"/>
                <w:szCs w:val="16"/>
              </w:rPr>
              <w:t>-77.0280</w:t>
            </w:r>
          </w:p>
        </w:tc>
      </w:tr>
      <w:tr w:rsidR="00F97D54" w:rsidTr="00EB5B97">
        <w:trPr>
          <w:trHeight w:val="432"/>
        </w:trPr>
        <w:tc>
          <w:tcPr>
            <w:tcW w:w="1718" w:type="dxa"/>
            <w:vAlign w:val="center"/>
          </w:tcPr>
          <w:p w:rsidR="00F97D54" w:rsidRDefault="00F97D54" w:rsidP="00EB5B97">
            <w:pPr>
              <w:rPr>
                <w:sz w:val="16"/>
                <w:szCs w:val="16"/>
              </w:rPr>
            </w:pPr>
            <w:r>
              <w:rPr>
                <w:sz w:val="16"/>
                <w:szCs w:val="16"/>
              </w:rPr>
              <w:t>CLLI</w:t>
            </w:r>
          </w:p>
        </w:tc>
        <w:tc>
          <w:tcPr>
            <w:tcW w:w="3762" w:type="dxa"/>
            <w:vAlign w:val="center"/>
          </w:tcPr>
          <w:p w:rsidR="00F97D54" w:rsidRDefault="00F97D54" w:rsidP="00EB5B97">
            <w:pPr>
              <w:rPr>
                <w:b/>
                <w:sz w:val="16"/>
                <w:szCs w:val="16"/>
              </w:rPr>
            </w:pPr>
            <w:r>
              <w:rPr>
                <w:sz w:val="16"/>
                <w:szCs w:val="16"/>
              </w:rPr>
              <w:t xml:space="preserve">Telcordia-specified eight-character CLLI of the ILEC wire center that serves the cell site </w:t>
            </w:r>
          </w:p>
        </w:tc>
        <w:tc>
          <w:tcPr>
            <w:tcW w:w="1573" w:type="dxa"/>
            <w:vAlign w:val="center"/>
          </w:tcPr>
          <w:p w:rsidR="00F97D54" w:rsidRDefault="00F97D54" w:rsidP="00EB5B97">
            <w:pPr>
              <w:rPr>
                <w:sz w:val="16"/>
                <w:szCs w:val="16"/>
              </w:rPr>
            </w:pPr>
            <w:r>
              <w:rPr>
                <w:sz w:val="16"/>
                <w:szCs w:val="16"/>
              </w:rPr>
              <w:t>Alphanumeric</w:t>
            </w:r>
          </w:p>
        </w:tc>
        <w:tc>
          <w:tcPr>
            <w:tcW w:w="1785" w:type="dxa"/>
            <w:vAlign w:val="center"/>
          </w:tcPr>
          <w:p w:rsidR="00F97D54" w:rsidRDefault="00F97D54" w:rsidP="00EB5B97">
            <w:pPr>
              <w:rPr>
                <w:sz w:val="16"/>
                <w:szCs w:val="16"/>
              </w:rPr>
            </w:pPr>
            <w:r>
              <w:rPr>
                <w:sz w:val="16"/>
                <w:szCs w:val="16"/>
              </w:rPr>
              <w:t>WASHDCSW</w:t>
            </w:r>
          </w:p>
        </w:tc>
      </w:tr>
      <w:tr w:rsidR="00F97D54" w:rsidTr="00EB5B97">
        <w:trPr>
          <w:trHeight w:val="1008"/>
        </w:trPr>
        <w:tc>
          <w:tcPr>
            <w:tcW w:w="1718" w:type="dxa"/>
            <w:vAlign w:val="center"/>
          </w:tcPr>
          <w:p w:rsidR="00F97D54" w:rsidRDefault="00F97D54" w:rsidP="00EB5B97">
            <w:pPr>
              <w:rPr>
                <w:sz w:val="16"/>
                <w:szCs w:val="16"/>
              </w:rPr>
            </w:pPr>
            <w:r>
              <w:rPr>
                <w:sz w:val="16"/>
                <w:szCs w:val="16"/>
              </w:rPr>
              <w:t>Loc_type</w:t>
            </w:r>
          </w:p>
        </w:tc>
        <w:tc>
          <w:tcPr>
            <w:tcW w:w="3762" w:type="dxa"/>
            <w:vAlign w:val="center"/>
          </w:tcPr>
          <w:p w:rsidR="00F97D54" w:rsidRPr="009F0970" w:rsidRDefault="00F97D54" w:rsidP="00EB5B97">
            <w:pPr>
              <w:rPr>
                <w:b/>
                <w:sz w:val="16"/>
                <w:szCs w:val="16"/>
              </w:rPr>
            </w:pPr>
            <w:r>
              <w:rPr>
                <w:sz w:val="16"/>
                <w:szCs w:val="16"/>
              </w:rPr>
              <w:t>Indicate whether cell site is 1=in or on a bu</w:t>
            </w:r>
            <w:r w:rsidRPr="009F0970">
              <w:rPr>
                <w:sz w:val="16"/>
                <w:szCs w:val="16"/>
              </w:rPr>
              <w:t>ilding;</w:t>
            </w:r>
            <w:r>
              <w:rPr>
                <w:sz w:val="16"/>
                <w:szCs w:val="16"/>
              </w:rPr>
              <w:t xml:space="preserve"> 2=on other man-made structure, </w:t>
            </w:r>
            <w:r w:rsidRPr="00361D93">
              <w:rPr>
                <w:i/>
                <w:sz w:val="16"/>
                <w:szCs w:val="16"/>
              </w:rPr>
              <w:t>e.g.</w:t>
            </w:r>
            <w:r>
              <w:rPr>
                <w:sz w:val="16"/>
                <w:szCs w:val="16"/>
              </w:rPr>
              <w:t>, water tower;</w:t>
            </w:r>
            <w:r w:rsidRPr="009F0970">
              <w:rPr>
                <w:sz w:val="16"/>
                <w:szCs w:val="16"/>
              </w:rPr>
              <w:t xml:space="preserve"> </w:t>
            </w:r>
            <w:r>
              <w:rPr>
                <w:sz w:val="16"/>
                <w:szCs w:val="16"/>
              </w:rPr>
              <w:t>3</w:t>
            </w:r>
            <w:r w:rsidRPr="009F0970">
              <w:rPr>
                <w:sz w:val="16"/>
                <w:szCs w:val="16"/>
              </w:rPr>
              <w:t>=</w:t>
            </w:r>
            <w:r>
              <w:rPr>
                <w:sz w:val="16"/>
                <w:szCs w:val="16"/>
              </w:rPr>
              <w:t>a f</w:t>
            </w:r>
            <w:r w:rsidRPr="009F0970">
              <w:rPr>
                <w:sz w:val="16"/>
                <w:szCs w:val="16"/>
              </w:rPr>
              <w:t xml:space="preserve">ree-standing cell site </w:t>
            </w:r>
          </w:p>
        </w:tc>
        <w:tc>
          <w:tcPr>
            <w:tcW w:w="1573" w:type="dxa"/>
            <w:vAlign w:val="center"/>
          </w:tcPr>
          <w:p w:rsidR="00F97D54" w:rsidRDefault="00F97D54" w:rsidP="00EB5B97">
            <w:pPr>
              <w:rPr>
                <w:sz w:val="16"/>
                <w:szCs w:val="16"/>
              </w:rPr>
            </w:pPr>
            <w:r>
              <w:rPr>
                <w:sz w:val="16"/>
                <w:szCs w:val="16"/>
              </w:rPr>
              <w:t>Integer</w:t>
            </w:r>
          </w:p>
        </w:tc>
        <w:tc>
          <w:tcPr>
            <w:tcW w:w="1785" w:type="dxa"/>
            <w:vAlign w:val="center"/>
          </w:tcPr>
          <w:p w:rsidR="00F97D54" w:rsidRDefault="00F97D54" w:rsidP="00EB5B97">
            <w:pPr>
              <w:rPr>
                <w:sz w:val="16"/>
                <w:szCs w:val="16"/>
              </w:rPr>
            </w:pPr>
            <w:r>
              <w:rPr>
                <w:sz w:val="16"/>
                <w:szCs w:val="16"/>
              </w:rPr>
              <w:t>1</w:t>
            </w:r>
          </w:p>
        </w:tc>
      </w:tr>
      <w:tr w:rsidR="00F97D54" w:rsidTr="00EB5B97">
        <w:trPr>
          <w:trHeight w:val="432"/>
        </w:trPr>
        <w:tc>
          <w:tcPr>
            <w:tcW w:w="1718" w:type="dxa"/>
            <w:vAlign w:val="center"/>
          </w:tcPr>
          <w:p w:rsidR="00F97D54" w:rsidRDefault="00F97D54" w:rsidP="00EB5B97">
            <w:pPr>
              <w:rPr>
                <w:sz w:val="16"/>
                <w:szCs w:val="16"/>
              </w:rPr>
            </w:pPr>
            <w:r>
              <w:rPr>
                <w:sz w:val="16"/>
                <w:szCs w:val="16"/>
              </w:rPr>
              <w:t>CBDS_Bandwidth</w:t>
            </w:r>
          </w:p>
        </w:tc>
        <w:tc>
          <w:tcPr>
            <w:tcW w:w="3762" w:type="dxa"/>
          </w:tcPr>
          <w:p w:rsidR="00F97D54" w:rsidRPr="00F43280" w:rsidRDefault="00F97D54" w:rsidP="00EB5B97">
            <w:pPr>
              <w:rPr>
                <w:sz w:val="16"/>
                <w:szCs w:val="16"/>
              </w:rPr>
            </w:pPr>
            <w:r w:rsidRPr="00F43280">
              <w:rPr>
                <w:sz w:val="16"/>
                <w:szCs w:val="16"/>
              </w:rPr>
              <w:t xml:space="preserve">If a </w:t>
            </w:r>
            <w:r w:rsidRPr="006A2FE9">
              <w:rPr>
                <w:i/>
                <w:sz w:val="16"/>
                <w:szCs w:val="16"/>
              </w:rPr>
              <w:t>DS1, DS3, DS1-UNE,</w:t>
            </w:r>
            <w:r>
              <w:rPr>
                <w:sz w:val="16"/>
                <w:szCs w:val="16"/>
              </w:rPr>
              <w:t xml:space="preserve"> or </w:t>
            </w:r>
            <w:r w:rsidRPr="006A2FE9">
              <w:rPr>
                <w:i/>
                <w:sz w:val="16"/>
                <w:szCs w:val="16"/>
              </w:rPr>
              <w:t>DS3-UNE</w:t>
            </w:r>
            <w:r w:rsidRPr="00F43280">
              <w:rPr>
                <w:sz w:val="16"/>
                <w:szCs w:val="16"/>
              </w:rPr>
              <w:t xml:space="preserve">, indicate the </w:t>
            </w:r>
            <w:r>
              <w:rPr>
                <w:sz w:val="16"/>
                <w:szCs w:val="16"/>
              </w:rPr>
              <w:t>one-direction bandwidth of the circuit in Mbps</w:t>
            </w:r>
            <w:r w:rsidRPr="00F43280">
              <w:rPr>
                <w:sz w:val="16"/>
                <w:szCs w:val="16"/>
              </w:rPr>
              <w:t>.</w:t>
            </w:r>
          </w:p>
        </w:tc>
        <w:tc>
          <w:tcPr>
            <w:tcW w:w="1573" w:type="dxa"/>
            <w:vAlign w:val="center"/>
          </w:tcPr>
          <w:p w:rsidR="00F97D54" w:rsidRDefault="00F97D54" w:rsidP="00EB5B97">
            <w:pPr>
              <w:rPr>
                <w:sz w:val="16"/>
                <w:szCs w:val="16"/>
              </w:rPr>
            </w:pPr>
            <w:r>
              <w:rPr>
                <w:sz w:val="16"/>
                <w:szCs w:val="16"/>
              </w:rPr>
              <w:t>Float</w:t>
            </w:r>
          </w:p>
        </w:tc>
        <w:tc>
          <w:tcPr>
            <w:tcW w:w="1785" w:type="dxa"/>
            <w:vAlign w:val="center"/>
          </w:tcPr>
          <w:p w:rsidR="00F97D54" w:rsidRDefault="00F97D54" w:rsidP="00EB5B97">
            <w:pPr>
              <w:rPr>
                <w:sz w:val="16"/>
                <w:szCs w:val="16"/>
              </w:rPr>
            </w:pPr>
            <w:r>
              <w:rPr>
                <w:sz w:val="16"/>
                <w:szCs w:val="16"/>
              </w:rPr>
              <w:t>1.544</w:t>
            </w:r>
          </w:p>
        </w:tc>
      </w:tr>
      <w:tr w:rsidR="00F97D54" w:rsidTr="00EB5B97">
        <w:trPr>
          <w:trHeight w:val="432"/>
        </w:trPr>
        <w:tc>
          <w:tcPr>
            <w:tcW w:w="1718" w:type="dxa"/>
            <w:vAlign w:val="center"/>
          </w:tcPr>
          <w:p w:rsidR="00F97D54" w:rsidRDefault="00F97D54" w:rsidP="00EB5B97">
            <w:pPr>
              <w:rPr>
                <w:sz w:val="16"/>
                <w:szCs w:val="16"/>
              </w:rPr>
            </w:pPr>
            <w:r>
              <w:rPr>
                <w:sz w:val="16"/>
                <w:szCs w:val="16"/>
              </w:rPr>
              <w:t>PBDS_Bandwidth</w:t>
            </w:r>
          </w:p>
        </w:tc>
        <w:tc>
          <w:tcPr>
            <w:tcW w:w="3762" w:type="dxa"/>
            <w:vAlign w:val="center"/>
          </w:tcPr>
          <w:p w:rsidR="00F97D54" w:rsidRDefault="00F97D54" w:rsidP="00EB5B97">
            <w:pPr>
              <w:rPr>
                <w:sz w:val="16"/>
                <w:szCs w:val="16"/>
              </w:rPr>
            </w:pPr>
            <w:r>
              <w:rPr>
                <w:sz w:val="16"/>
                <w:szCs w:val="16"/>
              </w:rPr>
              <w:t xml:space="preserve">If the cell site is served by a </w:t>
            </w:r>
            <w:r w:rsidRPr="00324E5A">
              <w:rPr>
                <w:i/>
                <w:sz w:val="16"/>
                <w:szCs w:val="16"/>
              </w:rPr>
              <w:t>PBDS</w:t>
            </w:r>
            <w:r>
              <w:rPr>
                <w:sz w:val="16"/>
                <w:szCs w:val="16"/>
              </w:rPr>
              <w:t>, indicate the bandwidth of the circuit(s) in Mbps.</w:t>
            </w:r>
          </w:p>
        </w:tc>
        <w:tc>
          <w:tcPr>
            <w:tcW w:w="1573" w:type="dxa"/>
            <w:vAlign w:val="center"/>
          </w:tcPr>
          <w:p w:rsidR="00F97D54" w:rsidRDefault="00F97D54" w:rsidP="00EB5B97">
            <w:pPr>
              <w:rPr>
                <w:sz w:val="16"/>
                <w:szCs w:val="16"/>
              </w:rPr>
            </w:pPr>
            <w:r>
              <w:rPr>
                <w:sz w:val="16"/>
                <w:szCs w:val="16"/>
              </w:rPr>
              <w:t>Float</w:t>
            </w:r>
          </w:p>
        </w:tc>
        <w:tc>
          <w:tcPr>
            <w:tcW w:w="1785" w:type="dxa"/>
            <w:vAlign w:val="center"/>
          </w:tcPr>
          <w:p w:rsidR="00F97D54" w:rsidRDefault="00F97D54" w:rsidP="00EB5B97">
            <w:pPr>
              <w:rPr>
                <w:sz w:val="16"/>
                <w:szCs w:val="16"/>
              </w:rPr>
            </w:pPr>
            <w:r>
              <w:rPr>
                <w:sz w:val="16"/>
                <w:szCs w:val="16"/>
              </w:rPr>
              <w:t>10.000</w:t>
            </w:r>
          </w:p>
        </w:tc>
      </w:tr>
      <w:tr w:rsidR="00F97D54" w:rsidTr="00EB5B97">
        <w:trPr>
          <w:trHeight w:val="432"/>
        </w:trPr>
        <w:tc>
          <w:tcPr>
            <w:tcW w:w="1718" w:type="dxa"/>
            <w:vAlign w:val="center"/>
          </w:tcPr>
          <w:p w:rsidR="00F97D54" w:rsidRDefault="00F97D54" w:rsidP="00EB5B97">
            <w:pPr>
              <w:rPr>
                <w:sz w:val="16"/>
                <w:szCs w:val="16"/>
              </w:rPr>
            </w:pPr>
            <w:r>
              <w:rPr>
                <w:sz w:val="16"/>
                <w:szCs w:val="16"/>
              </w:rPr>
              <w:t>FW_Bandwidth</w:t>
            </w:r>
          </w:p>
        </w:tc>
        <w:tc>
          <w:tcPr>
            <w:tcW w:w="3762" w:type="dxa"/>
            <w:vAlign w:val="center"/>
          </w:tcPr>
          <w:p w:rsidR="00F97D54" w:rsidRDefault="00F97D54" w:rsidP="00EB5B97">
            <w:pPr>
              <w:rPr>
                <w:sz w:val="16"/>
                <w:szCs w:val="16"/>
              </w:rPr>
            </w:pPr>
            <w:r>
              <w:rPr>
                <w:sz w:val="16"/>
                <w:szCs w:val="16"/>
              </w:rPr>
              <w:t xml:space="preserve">If the cell site is served by a wireless </w:t>
            </w:r>
            <w:r w:rsidRPr="00324E5A">
              <w:rPr>
                <w:i/>
                <w:sz w:val="16"/>
                <w:szCs w:val="16"/>
              </w:rPr>
              <w:t>Connection</w:t>
            </w:r>
            <w:r>
              <w:rPr>
                <w:sz w:val="16"/>
                <w:szCs w:val="16"/>
              </w:rPr>
              <w:t>, indicate the bandwidth of the circuit(s) in Mbps.</w:t>
            </w:r>
          </w:p>
        </w:tc>
        <w:tc>
          <w:tcPr>
            <w:tcW w:w="1573" w:type="dxa"/>
            <w:vAlign w:val="center"/>
          </w:tcPr>
          <w:p w:rsidR="00F97D54" w:rsidRDefault="00F97D54" w:rsidP="00EB5B97">
            <w:pPr>
              <w:rPr>
                <w:sz w:val="16"/>
                <w:szCs w:val="16"/>
              </w:rPr>
            </w:pPr>
            <w:r>
              <w:rPr>
                <w:sz w:val="16"/>
                <w:szCs w:val="16"/>
              </w:rPr>
              <w:t>Float</w:t>
            </w:r>
          </w:p>
        </w:tc>
        <w:tc>
          <w:tcPr>
            <w:tcW w:w="1785" w:type="dxa"/>
            <w:vAlign w:val="center"/>
          </w:tcPr>
          <w:p w:rsidR="00F97D54" w:rsidRDefault="00F97D54" w:rsidP="00EB5B97">
            <w:pPr>
              <w:rPr>
                <w:sz w:val="16"/>
                <w:szCs w:val="16"/>
              </w:rPr>
            </w:pPr>
            <w:r>
              <w:rPr>
                <w:sz w:val="16"/>
                <w:szCs w:val="16"/>
              </w:rPr>
              <w:t>0</w:t>
            </w:r>
          </w:p>
        </w:tc>
      </w:tr>
      <w:tr w:rsidR="00F97D54" w:rsidTr="00EB5B97">
        <w:trPr>
          <w:trHeight w:val="432"/>
        </w:trPr>
        <w:tc>
          <w:tcPr>
            <w:tcW w:w="1718" w:type="dxa"/>
            <w:vAlign w:val="center"/>
          </w:tcPr>
          <w:p w:rsidR="00F97D54" w:rsidRDefault="00F97D54" w:rsidP="00EB5B97">
            <w:pPr>
              <w:rPr>
                <w:sz w:val="16"/>
                <w:szCs w:val="16"/>
              </w:rPr>
            </w:pPr>
            <w:r>
              <w:rPr>
                <w:sz w:val="16"/>
                <w:szCs w:val="16"/>
              </w:rPr>
              <w:t>Provider</w:t>
            </w:r>
          </w:p>
        </w:tc>
        <w:tc>
          <w:tcPr>
            <w:tcW w:w="3762" w:type="dxa"/>
            <w:vAlign w:val="center"/>
          </w:tcPr>
          <w:p w:rsidR="00F97D54" w:rsidRDefault="00F97D54" w:rsidP="00EB5B97">
            <w:pPr>
              <w:rPr>
                <w:sz w:val="16"/>
                <w:szCs w:val="16"/>
              </w:rPr>
            </w:pPr>
            <w:r>
              <w:rPr>
                <w:sz w:val="16"/>
                <w:szCs w:val="16"/>
              </w:rPr>
              <w:t xml:space="preserve">The name of the </w:t>
            </w:r>
            <w:r w:rsidRPr="00F978A4">
              <w:rPr>
                <w:i/>
                <w:sz w:val="16"/>
                <w:szCs w:val="16"/>
              </w:rPr>
              <w:t>Provider</w:t>
            </w:r>
            <w:r>
              <w:rPr>
                <w:i/>
                <w:sz w:val="16"/>
                <w:szCs w:val="16"/>
              </w:rPr>
              <w:t>(s)</w:t>
            </w:r>
            <w:r>
              <w:rPr>
                <w:sz w:val="16"/>
                <w:szCs w:val="16"/>
              </w:rPr>
              <w:t xml:space="preserve"> that supplies your </w:t>
            </w:r>
            <w:r w:rsidRPr="00324E5A">
              <w:rPr>
                <w:i/>
                <w:sz w:val="16"/>
                <w:szCs w:val="16"/>
              </w:rPr>
              <w:t>Connection</w:t>
            </w:r>
            <w:r>
              <w:rPr>
                <w:sz w:val="16"/>
                <w:szCs w:val="16"/>
              </w:rPr>
              <w:t xml:space="preserve"> to the cell site.</w:t>
            </w:r>
          </w:p>
        </w:tc>
        <w:tc>
          <w:tcPr>
            <w:tcW w:w="1573" w:type="dxa"/>
            <w:vAlign w:val="center"/>
          </w:tcPr>
          <w:p w:rsidR="00F97D54" w:rsidRDefault="00F97D54" w:rsidP="00EB5B97">
            <w:pPr>
              <w:rPr>
                <w:sz w:val="16"/>
                <w:szCs w:val="16"/>
              </w:rPr>
            </w:pPr>
            <w:r>
              <w:rPr>
                <w:sz w:val="16"/>
                <w:szCs w:val="16"/>
              </w:rPr>
              <w:t>Text</w:t>
            </w:r>
          </w:p>
        </w:tc>
        <w:tc>
          <w:tcPr>
            <w:tcW w:w="1785" w:type="dxa"/>
            <w:vAlign w:val="center"/>
          </w:tcPr>
          <w:p w:rsidR="00F97D54" w:rsidRDefault="00F97D54" w:rsidP="00EB5B97">
            <w:pPr>
              <w:rPr>
                <w:sz w:val="16"/>
                <w:szCs w:val="16"/>
              </w:rPr>
            </w:pPr>
            <w:r>
              <w:rPr>
                <w:sz w:val="16"/>
                <w:szCs w:val="16"/>
              </w:rPr>
              <w:t>Verizon, XO</w:t>
            </w:r>
          </w:p>
        </w:tc>
      </w:tr>
      <w:tr w:rsidR="00F97D54" w:rsidTr="00EB5B97">
        <w:trPr>
          <w:trHeight w:val="432"/>
        </w:trPr>
        <w:tc>
          <w:tcPr>
            <w:tcW w:w="1718" w:type="dxa"/>
            <w:tcBorders>
              <w:bottom w:val="double" w:sz="4" w:space="0" w:color="auto"/>
            </w:tcBorders>
            <w:vAlign w:val="center"/>
          </w:tcPr>
          <w:p w:rsidR="00F97D54" w:rsidRDefault="00F97D54" w:rsidP="00EB5B97">
            <w:pPr>
              <w:rPr>
                <w:sz w:val="16"/>
                <w:szCs w:val="16"/>
              </w:rPr>
            </w:pPr>
            <w:r>
              <w:rPr>
                <w:sz w:val="16"/>
                <w:szCs w:val="16"/>
              </w:rPr>
              <w:t>Self_prov_bw</w:t>
            </w:r>
          </w:p>
        </w:tc>
        <w:tc>
          <w:tcPr>
            <w:tcW w:w="3762" w:type="dxa"/>
            <w:tcBorders>
              <w:bottom w:val="double" w:sz="4" w:space="0" w:color="auto"/>
            </w:tcBorders>
            <w:vAlign w:val="center"/>
          </w:tcPr>
          <w:p w:rsidR="00F97D54" w:rsidRDefault="00F97D54" w:rsidP="00EB5B97">
            <w:pPr>
              <w:rPr>
                <w:sz w:val="16"/>
                <w:szCs w:val="16"/>
              </w:rPr>
            </w:pPr>
            <w:r>
              <w:rPr>
                <w:sz w:val="16"/>
                <w:szCs w:val="16"/>
              </w:rPr>
              <w:t xml:space="preserve">If you self-provide a </w:t>
            </w:r>
            <w:r w:rsidRPr="00324E5A">
              <w:rPr>
                <w:i/>
                <w:sz w:val="16"/>
                <w:szCs w:val="16"/>
              </w:rPr>
              <w:t>Connection</w:t>
            </w:r>
            <w:r>
              <w:rPr>
                <w:sz w:val="16"/>
                <w:szCs w:val="16"/>
              </w:rPr>
              <w:t xml:space="preserve"> to the cell site, indicate the provisioned bandwidth of the circuit in Mbps.</w:t>
            </w:r>
          </w:p>
        </w:tc>
        <w:tc>
          <w:tcPr>
            <w:tcW w:w="1573" w:type="dxa"/>
            <w:tcBorders>
              <w:bottom w:val="double" w:sz="4" w:space="0" w:color="auto"/>
            </w:tcBorders>
            <w:vAlign w:val="center"/>
          </w:tcPr>
          <w:p w:rsidR="00F97D54" w:rsidRDefault="00F97D54" w:rsidP="00EB5B97">
            <w:pPr>
              <w:rPr>
                <w:sz w:val="16"/>
                <w:szCs w:val="16"/>
              </w:rPr>
            </w:pPr>
            <w:r>
              <w:rPr>
                <w:sz w:val="16"/>
                <w:szCs w:val="16"/>
              </w:rPr>
              <w:t>Float</w:t>
            </w:r>
          </w:p>
        </w:tc>
        <w:tc>
          <w:tcPr>
            <w:tcW w:w="1785" w:type="dxa"/>
            <w:tcBorders>
              <w:bottom w:val="double" w:sz="4" w:space="0" w:color="auto"/>
            </w:tcBorders>
            <w:vAlign w:val="center"/>
          </w:tcPr>
          <w:p w:rsidR="00F97D54" w:rsidRDefault="00F97D54" w:rsidP="00EB5B97">
            <w:pPr>
              <w:rPr>
                <w:sz w:val="16"/>
                <w:szCs w:val="16"/>
              </w:rPr>
            </w:pPr>
            <w:r>
              <w:rPr>
                <w:sz w:val="16"/>
                <w:szCs w:val="16"/>
              </w:rPr>
              <w:t>0</w:t>
            </w:r>
          </w:p>
        </w:tc>
      </w:tr>
    </w:tbl>
    <w:p w:rsidR="00F97D54" w:rsidRDefault="00F97D54" w:rsidP="00EB5B97"/>
    <w:p w:rsidR="00F97D54" w:rsidRDefault="00F97D54" w:rsidP="00EB5B97">
      <w:r>
        <w:t>Instructions for Cell Sites Record Format:</w:t>
      </w:r>
    </w:p>
    <w:p w:rsidR="00F97D54" w:rsidRDefault="00F97D54" w:rsidP="00EB5B97"/>
    <w:p w:rsidR="00F97D54" w:rsidRDefault="00F97D54" w:rsidP="00EB5B97">
      <w:pPr>
        <w:numPr>
          <w:ilvl w:val="0"/>
          <w:numId w:val="7"/>
        </w:numPr>
      </w:pPr>
      <w:r>
        <w:t xml:space="preserve">Leave cells blank in the case of data that is not applicable for that record. </w:t>
      </w:r>
    </w:p>
    <w:p w:rsidR="00F97D54" w:rsidRDefault="00F97D54" w:rsidP="00EB5B97">
      <w:pPr>
        <w:numPr>
          <w:ilvl w:val="0"/>
          <w:numId w:val="7"/>
        </w:numPr>
      </w:pPr>
      <w:r>
        <w:t xml:space="preserve">The Location_ID field is a sequential integer ranging from 1 to the total number of locations.  Records containing information about </w:t>
      </w:r>
      <w:r w:rsidRPr="00572993">
        <w:rPr>
          <w:i/>
        </w:rPr>
        <w:t>Connections</w:t>
      </w:r>
      <w:r>
        <w:t xml:space="preserve"> to the same </w:t>
      </w:r>
      <w:r w:rsidRPr="00572993">
        <w:rPr>
          <w:i/>
        </w:rPr>
        <w:t>Location</w:t>
      </w:r>
      <w:r>
        <w:t xml:space="preserve"> must be assigned the same Location_ID.  </w:t>
      </w:r>
    </w:p>
    <w:p w:rsidR="00F97D54" w:rsidRDefault="00F97D54" w:rsidP="00EB5B97">
      <w:pPr>
        <w:numPr>
          <w:ilvl w:val="0"/>
          <w:numId w:val="7"/>
        </w:numPr>
      </w:pPr>
      <w:r>
        <w:t xml:space="preserve">Address data fields must be space-delimited in standardized Postal Service form.  </w:t>
      </w:r>
      <w:r>
        <w:rPr>
          <w:i/>
        </w:rPr>
        <w:t>See</w:t>
      </w:r>
      <w:r>
        <w:t xml:space="preserve"> </w:t>
      </w:r>
      <w:r w:rsidRPr="00E33B54">
        <w:t>http://pe.usps.gov/cpim/ftp/pubs/Pub28/pub28.pdf</w:t>
      </w:r>
      <w:r>
        <w:t xml:space="preserve">.  </w:t>
      </w:r>
    </w:p>
    <w:p w:rsidR="00F97D54" w:rsidRDefault="00F97D54" w:rsidP="00EB5B97">
      <w:pPr>
        <w:numPr>
          <w:ilvl w:val="0"/>
          <w:numId w:val="7"/>
        </w:numPr>
        <w:rPr>
          <w:szCs w:val="22"/>
        </w:rPr>
      </w:pPr>
      <w:r w:rsidRPr="00DA6AF5">
        <w:rPr>
          <w:szCs w:val="22"/>
          <w:u w:val="single"/>
        </w:rPr>
        <w:t>Lat</w:t>
      </w:r>
      <w:r>
        <w:rPr>
          <w:szCs w:val="22"/>
          <w:u w:val="single"/>
        </w:rPr>
        <w:t>itude</w:t>
      </w:r>
      <w:r>
        <w:rPr>
          <w:szCs w:val="22"/>
        </w:rPr>
        <w:t xml:space="preserve"> and </w:t>
      </w:r>
      <w:r w:rsidRPr="00DA6AF5">
        <w:rPr>
          <w:szCs w:val="22"/>
          <w:u w:val="single"/>
        </w:rPr>
        <w:t>Long</w:t>
      </w:r>
      <w:r>
        <w:rPr>
          <w:szCs w:val="22"/>
          <w:u w:val="single"/>
        </w:rPr>
        <w:t>itude</w:t>
      </w:r>
      <w:r>
        <w:rPr>
          <w:szCs w:val="22"/>
        </w:rPr>
        <w:t>:  You can</w:t>
      </w:r>
      <w:r w:rsidRPr="00DA6AF5">
        <w:rPr>
          <w:szCs w:val="22"/>
        </w:rPr>
        <w:t xml:space="preserve"> derive the </w:t>
      </w:r>
      <w:r>
        <w:rPr>
          <w:szCs w:val="22"/>
        </w:rPr>
        <w:t>coordinate</w:t>
      </w:r>
      <w:r w:rsidRPr="00DA6AF5">
        <w:rPr>
          <w:szCs w:val="22"/>
        </w:rPr>
        <w:t xml:space="preserve"> fields for the</w:t>
      </w:r>
      <w:r>
        <w:rPr>
          <w:szCs w:val="22"/>
        </w:rPr>
        <w:t xml:space="preserve"> location address</w:t>
      </w:r>
      <w:r w:rsidRPr="00DA6AF5">
        <w:rPr>
          <w:szCs w:val="22"/>
        </w:rPr>
        <w:t xml:space="preserve"> from a known geocoding platform like Bing maps, Google, Yahoo, batchgeo.com, </w:t>
      </w:r>
      <w:r>
        <w:rPr>
          <w:szCs w:val="22"/>
        </w:rPr>
        <w:t xml:space="preserve">Texas A&amp;M Geoservices </w:t>
      </w:r>
      <w:r w:rsidRPr="00DA6AF5">
        <w:rPr>
          <w:szCs w:val="22"/>
        </w:rPr>
        <w:t xml:space="preserve">or other geocoding solution.  Enter values in decimal degrees </w:t>
      </w:r>
      <w:r>
        <w:rPr>
          <w:szCs w:val="22"/>
        </w:rPr>
        <w:t xml:space="preserve">to the nearest ±0.0005, </w:t>
      </w:r>
      <w:r>
        <w:rPr>
          <w:i/>
          <w:szCs w:val="22"/>
        </w:rPr>
        <w:t>i.e.</w:t>
      </w:r>
      <w:r>
        <w:rPr>
          <w:szCs w:val="22"/>
        </w:rPr>
        <w:t>, each coordinate must end in #.###0 or #.###5</w:t>
      </w:r>
      <w:r w:rsidRPr="00DA6AF5">
        <w:rPr>
          <w:szCs w:val="22"/>
        </w:rPr>
        <w:t>.  C</w:t>
      </w:r>
      <w:r>
        <w:rPr>
          <w:szCs w:val="22"/>
        </w:rPr>
        <w:t>oordinates must be in the WGS</w:t>
      </w:r>
      <w:r w:rsidRPr="00DA6AF5">
        <w:rPr>
          <w:szCs w:val="22"/>
        </w:rPr>
        <w:t xml:space="preserve">84 </w:t>
      </w:r>
      <w:r>
        <w:rPr>
          <w:szCs w:val="22"/>
        </w:rPr>
        <w:t xml:space="preserve">or NAD83 </w:t>
      </w:r>
      <w:r w:rsidRPr="00DA6AF5">
        <w:rPr>
          <w:szCs w:val="22"/>
        </w:rPr>
        <w:t>geographic coordinate system.</w:t>
      </w:r>
    </w:p>
    <w:p w:rsidR="00F97D54" w:rsidRDefault="00F97D54" w:rsidP="00EB5B97">
      <w:pPr>
        <w:numPr>
          <w:ilvl w:val="0"/>
          <w:numId w:val="7"/>
        </w:numPr>
      </w:pPr>
      <w:r>
        <w:t>For the CLLI code, enter the first eight digits of the CLLI code of the ILEC wire center serving the location.</w:t>
      </w:r>
    </w:p>
    <w:p w:rsidR="00F97D54" w:rsidRDefault="00587EB9" w:rsidP="00587EB9">
      <w:pPr>
        <w:tabs>
          <w:tab w:val="left" w:pos="1935"/>
        </w:tabs>
      </w:pPr>
      <w:r>
        <w:tab/>
      </w:r>
    </w:p>
    <w:p w:rsidR="00162BEB" w:rsidRDefault="00162BEB">
      <w:pPr>
        <w:widowControl/>
        <w:rPr>
          <w:b/>
        </w:rPr>
      </w:pPr>
      <w:bookmarkStart w:id="145" w:name="_Toc365972128"/>
    </w:p>
    <w:p w:rsidR="00F97D54" w:rsidRDefault="00F97D54" w:rsidP="00587EB9">
      <w:pPr>
        <w:pStyle w:val="Heading5"/>
        <w:numPr>
          <w:ilvl w:val="0"/>
          <w:numId w:val="0"/>
        </w:numPr>
        <w:spacing w:after="220"/>
      </w:pPr>
      <w:r>
        <w:t>Expenditures Information</w:t>
      </w:r>
      <w:bookmarkEnd w:id="145"/>
    </w:p>
    <w:p w:rsidR="00F97D54" w:rsidRPr="00E9084B" w:rsidRDefault="00F97D54" w:rsidP="00E9084B">
      <w:pPr>
        <w:pStyle w:val="Heading4"/>
        <w:numPr>
          <w:ilvl w:val="0"/>
          <w:numId w:val="0"/>
        </w:numPr>
        <w:rPr>
          <w:b w:val="0"/>
          <w:i/>
        </w:rPr>
      </w:pPr>
      <w:bookmarkStart w:id="146" w:name="_Toc365972129"/>
      <w:r w:rsidRPr="00E9084B">
        <w:rPr>
          <w:b w:val="0"/>
          <w:i/>
        </w:rPr>
        <w:t>Question II.E.3:  Total Expenditures on Dedicated Services</w:t>
      </w:r>
      <w:bookmarkEnd w:id="146"/>
      <w:r w:rsidRPr="00E9084B">
        <w:rPr>
          <w:b w:val="0"/>
          <w:i/>
        </w:rPr>
        <w:t xml:space="preserve"> </w:t>
      </w:r>
    </w:p>
    <w:tbl>
      <w:tblPr>
        <w:tblW w:w="8838" w:type="dxa"/>
        <w:tblLayout w:type="fixed"/>
        <w:tblLook w:val="01E0" w:firstRow="1" w:lastRow="1" w:firstColumn="1" w:lastColumn="1" w:noHBand="0" w:noVBand="0"/>
      </w:tblPr>
      <w:tblGrid>
        <w:gridCol w:w="2155"/>
        <w:gridCol w:w="4613"/>
        <w:gridCol w:w="1042"/>
        <w:gridCol w:w="1028"/>
      </w:tblGrid>
      <w:tr w:rsidR="00F97D54" w:rsidRPr="0063769F" w:rsidTr="00EB5B97">
        <w:trPr>
          <w:trHeight w:val="432"/>
          <w:tblHeader/>
        </w:trPr>
        <w:tc>
          <w:tcPr>
            <w:tcW w:w="8838" w:type="dxa"/>
            <w:gridSpan w:val="4"/>
            <w:tcBorders>
              <w:top w:val="double" w:sz="4" w:space="0" w:color="auto"/>
              <w:bottom w:val="single" w:sz="4" w:space="0" w:color="auto"/>
            </w:tcBorders>
            <w:vAlign w:val="center"/>
          </w:tcPr>
          <w:p w:rsidR="00F97D54" w:rsidRDefault="00F97D54" w:rsidP="00EB5B97">
            <w:pPr>
              <w:jc w:val="center"/>
              <w:rPr>
                <w:b/>
                <w:bCs/>
              </w:rPr>
            </w:pPr>
            <w:r w:rsidRPr="0063769F">
              <w:rPr>
                <w:b/>
              </w:rPr>
              <w:t xml:space="preserve">Table </w:t>
            </w:r>
            <w:r>
              <w:rPr>
                <w:b/>
                <w:bCs/>
              </w:rPr>
              <w:t>II.E.3</w:t>
            </w:r>
          </w:p>
          <w:p w:rsidR="00F97D54" w:rsidRPr="0063769F" w:rsidRDefault="00F97D54" w:rsidP="00EB5B97">
            <w:pPr>
              <w:jc w:val="center"/>
              <w:rPr>
                <w:b/>
              </w:rPr>
            </w:pPr>
            <w:r>
              <w:rPr>
                <w:b/>
                <w:bCs/>
              </w:rPr>
              <w:t xml:space="preserve">Record Format for Expenditures on </w:t>
            </w:r>
            <w:r w:rsidRPr="00FB1928">
              <w:rPr>
                <w:b/>
                <w:bCs/>
                <w:i/>
              </w:rPr>
              <w:t>Dedicated Service</w:t>
            </w:r>
          </w:p>
        </w:tc>
      </w:tr>
      <w:tr w:rsidR="00F97D54" w:rsidRPr="0063769F" w:rsidTr="00EB5B97">
        <w:trPr>
          <w:trHeight w:val="432"/>
          <w:tblHeader/>
        </w:trPr>
        <w:tc>
          <w:tcPr>
            <w:tcW w:w="2155" w:type="dxa"/>
            <w:tcBorders>
              <w:top w:val="single" w:sz="4" w:space="0" w:color="auto"/>
              <w:bottom w:val="single" w:sz="4" w:space="0" w:color="auto"/>
              <w:right w:val="single" w:sz="4" w:space="0" w:color="auto"/>
            </w:tcBorders>
            <w:vAlign w:val="center"/>
          </w:tcPr>
          <w:p w:rsidR="00F97D54" w:rsidRPr="0063769F" w:rsidRDefault="00F97D54" w:rsidP="00EB5B97">
            <w:pPr>
              <w:rPr>
                <w:b/>
                <w:sz w:val="18"/>
                <w:szCs w:val="18"/>
              </w:rPr>
            </w:pPr>
            <w:r w:rsidRPr="0063769F">
              <w:rPr>
                <w:b/>
                <w:sz w:val="18"/>
                <w:szCs w:val="18"/>
              </w:rPr>
              <w:t>Field Name</w:t>
            </w:r>
          </w:p>
        </w:tc>
        <w:tc>
          <w:tcPr>
            <w:tcW w:w="4613" w:type="dxa"/>
            <w:tcBorders>
              <w:top w:val="single" w:sz="4" w:space="0" w:color="auto"/>
              <w:left w:val="single" w:sz="4" w:space="0" w:color="auto"/>
              <w:bottom w:val="single" w:sz="4" w:space="0" w:color="auto"/>
              <w:right w:val="single" w:sz="4" w:space="0" w:color="auto"/>
            </w:tcBorders>
            <w:vAlign w:val="center"/>
          </w:tcPr>
          <w:p w:rsidR="00F97D54" w:rsidRPr="0063769F" w:rsidRDefault="00F97D54" w:rsidP="00EB5B97">
            <w:pPr>
              <w:rPr>
                <w:b/>
                <w:sz w:val="18"/>
                <w:szCs w:val="18"/>
              </w:rPr>
            </w:pPr>
            <w:r w:rsidRPr="0063769F">
              <w:rPr>
                <w:b/>
                <w:sz w:val="18"/>
                <w:szCs w:val="18"/>
              </w:rPr>
              <w:t>Description</w:t>
            </w:r>
          </w:p>
        </w:tc>
        <w:tc>
          <w:tcPr>
            <w:tcW w:w="1042" w:type="dxa"/>
            <w:tcBorders>
              <w:top w:val="single" w:sz="4" w:space="0" w:color="auto"/>
              <w:left w:val="single" w:sz="4" w:space="0" w:color="auto"/>
              <w:bottom w:val="single" w:sz="4" w:space="0" w:color="auto"/>
              <w:right w:val="single" w:sz="4" w:space="0" w:color="auto"/>
            </w:tcBorders>
            <w:vAlign w:val="center"/>
          </w:tcPr>
          <w:p w:rsidR="00F97D54" w:rsidRPr="0063769F" w:rsidRDefault="00F97D54" w:rsidP="00EB5B97">
            <w:pPr>
              <w:rPr>
                <w:b/>
                <w:sz w:val="18"/>
                <w:szCs w:val="18"/>
              </w:rPr>
            </w:pPr>
            <w:r w:rsidRPr="0063769F">
              <w:rPr>
                <w:b/>
                <w:sz w:val="18"/>
                <w:szCs w:val="18"/>
              </w:rPr>
              <w:t>Type</w:t>
            </w:r>
          </w:p>
        </w:tc>
        <w:tc>
          <w:tcPr>
            <w:tcW w:w="1028" w:type="dxa"/>
            <w:tcBorders>
              <w:top w:val="single" w:sz="4" w:space="0" w:color="auto"/>
              <w:left w:val="single" w:sz="4" w:space="0" w:color="auto"/>
              <w:bottom w:val="single" w:sz="4" w:space="0" w:color="auto"/>
            </w:tcBorders>
            <w:vAlign w:val="center"/>
          </w:tcPr>
          <w:p w:rsidR="00F97D54" w:rsidRPr="0063769F" w:rsidRDefault="00F97D54" w:rsidP="00EB5B97">
            <w:pPr>
              <w:ind w:right="-108"/>
              <w:rPr>
                <w:b/>
                <w:sz w:val="18"/>
                <w:szCs w:val="18"/>
              </w:rPr>
            </w:pPr>
            <w:r w:rsidRPr="0063769F">
              <w:rPr>
                <w:b/>
                <w:sz w:val="18"/>
                <w:szCs w:val="18"/>
              </w:rPr>
              <w:t>Example</w:t>
            </w:r>
          </w:p>
        </w:tc>
      </w:tr>
      <w:tr w:rsidR="00F97D54" w:rsidRPr="0063769F" w:rsidTr="00EB5B97">
        <w:trPr>
          <w:trHeight w:val="360"/>
        </w:trPr>
        <w:tc>
          <w:tcPr>
            <w:tcW w:w="2155" w:type="dxa"/>
          </w:tcPr>
          <w:p w:rsidR="00F97D54" w:rsidRDefault="00F97D54" w:rsidP="00EB5B97">
            <w:pPr>
              <w:rPr>
                <w:sz w:val="16"/>
                <w:szCs w:val="16"/>
              </w:rPr>
            </w:pPr>
            <w:r>
              <w:rPr>
                <w:sz w:val="16"/>
                <w:szCs w:val="16"/>
              </w:rPr>
              <w:t>Expenditures</w:t>
            </w:r>
          </w:p>
        </w:tc>
        <w:tc>
          <w:tcPr>
            <w:tcW w:w="4613" w:type="dxa"/>
          </w:tcPr>
          <w:p w:rsidR="00F97D54" w:rsidRPr="00AE7A4A" w:rsidRDefault="00F97D54" w:rsidP="00EB5B97">
            <w:pPr>
              <w:rPr>
                <w:sz w:val="16"/>
                <w:szCs w:val="16"/>
              </w:rPr>
            </w:pPr>
            <w:r>
              <w:rPr>
                <w:sz w:val="16"/>
                <w:szCs w:val="16"/>
              </w:rPr>
              <w:t xml:space="preserve">Enter the dollar value of expenditures on </w:t>
            </w:r>
            <w:r>
              <w:rPr>
                <w:i/>
                <w:sz w:val="16"/>
                <w:szCs w:val="16"/>
              </w:rPr>
              <w:t>Dedicated Service</w:t>
            </w:r>
          </w:p>
        </w:tc>
        <w:tc>
          <w:tcPr>
            <w:tcW w:w="1042" w:type="dxa"/>
          </w:tcPr>
          <w:p w:rsidR="00F97D54" w:rsidRDefault="00F97D54" w:rsidP="00EB5B97">
            <w:pPr>
              <w:rPr>
                <w:sz w:val="16"/>
                <w:szCs w:val="16"/>
              </w:rPr>
            </w:pPr>
            <w:r>
              <w:rPr>
                <w:sz w:val="16"/>
                <w:szCs w:val="16"/>
              </w:rPr>
              <w:t>Float</w:t>
            </w:r>
          </w:p>
        </w:tc>
        <w:tc>
          <w:tcPr>
            <w:tcW w:w="1028" w:type="dxa"/>
          </w:tcPr>
          <w:p w:rsidR="00F97D54" w:rsidRDefault="00F97D54" w:rsidP="00EB5B97">
            <w:pPr>
              <w:rPr>
                <w:sz w:val="16"/>
                <w:szCs w:val="16"/>
              </w:rPr>
            </w:pPr>
            <w:r>
              <w:rPr>
                <w:sz w:val="16"/>
                <w:szCs w:val="16"/>
              </w:rPr>
              <w:t>4321.00</w:t>
            </w:r>
          </w:p>
        </w:tc>
      </w:tr>
      <w:tr w:rsidR="00F97D54" w:rsidRPr="0063769F" w:rsidTr="00EB5B97">
        <w:trPr>
          <w:trHeight w:val="360"/>
        </w:trPr>
        <w:tc>
          <w:tcPr>
            <w:tcW w:w="2155" w:type="dxa"/>
          </w:tcPr>
          <w:p w:rsidR="00F97D54" w:rsidRDefault="00F97D54" w:rsidP="00EB5B97">
            <w:pPr>
              <w:rPr>
                <w:sz w:val="16"/>
                <w:szCs w:val="16"/>
              </w:rPr>
            </w:pPr>
            <w:r>
              <w:rPr>
                <w:sz w:val="16"/>
                <w:szCs w:val="16"/>
              </w:rPr>
              <w:t>Service_Type</w:t>
            </w:r>
          </w:p>
        </w:tc>
        <w:tc>
          <w:tcPr>
            <w:tcW w:w="4613" w:type="dxa"/>
          </w:tcPr>
          <w:p w:rsidR="00F97D54" w:rsidRPr="00AE7A4A" w:rsidRDefault="00F97D54" w:rsidP="00EB5B97">
            <w:pPr>
              <w:rPr>
                <w:sz w:val="16"/>
                <w:szCs w:val="16"/>
              </w:rPr>
            </w:pPr>
            <w:r>
              <w:rPr>
                <w:sz w:val="16"/>
                <w:szCs w:val="16"/>
              </w:rPr>
              <w:t xml:space="preserve">Indicate the service type category for which the expenditures are reported.  Enter “CBDS” for </w:t>
            </w:r>
            <w:r>
              <w:rPr>
                <w:i/>
                <w:sz w:val="16"/>
                <w:szCs w:val="16"/>
              </w:rPr>
              <w:t>CBDS</w:t>
            </w:r>
            <w:r>
              <w:rPr>
                <w:sz w:val="16"/>
                <w:szCs w:val="16"/>
              </w:rPr>
              <w:t xml:space="preserve"> expenditures and enter “PBDS” for </w:t>
            </w:r>
            <w:r>
              <w:rPr>
                <w:i/>
                <w:sz w:val="16"/>
                <w:szCs w:val="16"/>
              </w:rPr>
              <w:t>PBDS</w:t>
            </w:r>
            <w:r>
              <w:rPr>
                <w:sz w:val="16"/>
                <w:szCs w:val="16"/>
              </w:rPr>
              <w:t xml:space="preserve"> expenditures</w:t>
            </w:r>
          </w:p>
        </w:tc>
        <w:tc>
          <w:tcPr>
            <w:tcW w:w="1042" w:type="dxa"/>
          </w:tcPr>
          <w:p w:rsidR="00F97D54" w:rsidRDefault="00F97D54" w:rsidP="00EB5B97">
            <w:pPr>
              <w:rPr>
                <w:sz w:val="16"/>
                <w:szCs w:val="16"/>
              </w:rPr>
            </w:pPr>
            <w:r>
              <w:rPr>
                <w:sz w:val="16"/>
                <w:szCs w:val="16"/>
              </w:rPr>
              <w:t>Text</w:t>
            </w:r>
          </w:p>
        </w:tc>
        <w:tc>
          <w:tcPr>
            <w:tcW w:w="1028" w:type="dxa"/>
          </w:tcPr>
          <w:p w:rsidR="00F97D54" w:rsidRDefault="00F97D54" w:rsidP="00EB5B97">
            <w:pPr>
              <w:rPr>
                <w:sz w:val="16"/>
                <w:szCs w:val="16"/>
              </w:rPr>
            </w:pPr>
            <w:r>
              <w:rPr>
                <w:sz w:val="16"/>
                <w:szCs w:val="16"/>
              </w:rPr>
              <w:t>CBDS</w:t>
            </w:r>
          </w:p>
        </w:tc>
      </w:tr>
      <w:tr w:rsidR="00F97D54" w:rsidRPr="0063769F" w:rsidTr="00EB5B97">
        <w:trPr>
          <w:trHeight w:val="360"/>
        </w:trPr>
        <w:tc>
          <w:tcPr>
            <w:tcW w:w="2155" w:type="dxa"/>
          </w:tcPr>
          <w:p w:rsidR="00F97D54" w:rsidRDefault="00F97D54" w:rsidP="00EB5B97">
            <w:pPr>
              <w:rPr>
                <w:sz w:val="16"/>
                <w:szCs w:val="16"/>
              </w:rPr>
            </w:pPr>
            <w:r>
              <w:rPr>
                <w:sz w:val="16"/>
                <w:szCs w:val="16"/>
              </w:rPr>
              <w:t>Provider_Type</w:t>
            </w:r>
          </w:p>
        </w:tc>
        <w:tc>
          <w:tcPr>
            <w:tcW w:w="4613" w:type="dxa"/>
          </w:tcPr>
          <w:p w:rsidR="00F97D54" w:rsidRPr="00AE7A4A" w:rsidRDefault="00F97D54" w:rsidP="00EB5B97">
            <w:pPr>
              <w:rPr>
                <w:sz w:val="16"/>
                <w:szCs w:val="16"/>
              </w:rPr>
            </w:pPr>
            <w:r>
              <w:rPr>
                <w:sz w:val="16"/>
                <w:szCs w:val="16"/>
              </w:rPr>
              <w:t xml:space="preserve">Enter 0 if the reported expenditures are for purchases from </w:t>
            </w:r>
            <w:r>
              <w:rPr>
                <w:i/>
                <w:sz w:val="16"/>
                <w:szCs w:val="16"/>
              </w:rPr>
              <w:t>ILECs</w:t>
            </w:r>
            <w:r>
              <w:rPr>
                <w:sz w:val="16"/>
                <w:szCs w:val="16"/>
              </w:rPr>
              <w:t xml:space="preserve"> and enter 1 if the reported expenditures are for purchases from </w:t>
            </w:r>
            <w:r>
              <w:rPr>
                <w:i/>
                <w:sz w:val="16"/>
                <w:szCs w:val="16"/>
              </w:rPr>
              <w:t>Competitive Providers</w:t>
            </w:r>
          </w:p>
        </w:tc>
        <w:tc>
          <w:tcPr>
            <w:tcW w:w="1042" w:type="dxa"/>
          </w:tcPr>
          <w:p w:rsidR="00F97D54" w:rsidRDefault="00F97D54" w:rsidP="00EB5B97">
            <w:pPr>
              <w:rPr>
                <w:sz w:val="16"/>
                <w:szCs w:val="16"/>
              </w:rPr>
            </w:pPr>
            <w:r>
              <w:rPr>
                <w:sz w:val="16"/>
                <w:szCs w:val="16"/>
              </w:rPr>
              <w:t>Binary</w:t>
            </w:r>
          </w:p>
        </w:tc>
        <w:tc>
          <w:tcPr>
            <w:tcW w:w="1028" w:type="dxa"/>
          </w:tcPr>
          <w:p w:rsidR="00F97D54" w:rsidRDefault="00F97D54" w:rsidP="00EB5B97">
            <w:pPr>
              <w:rPr>
                <w:sz w:val="16"/>
                <w:szCs w:val="16"/>
              </w:rPr>
            </w:pPr>
            <w:r>
              <w:rPr>
                <w:sz w:val="16"/>
                <w:szCs w:val="16"/>
              </w:rPr>
              <w:t>0</w:t>
            </w:r>
          </w:p>
        </w:tc>
      </w:tr>
      <w:tr w:rsidR="00F97D54" w:rsidRPr="0063769F" w:rsidTr="00EB5B97">
        <w:trPr>
          <w:trHeight w:val="360"/>
        </w:trPr>
        <w:tc>
          <w:tcPr>
            <w:tcW w:w="2155" w:type="dxa"/>
            <w:tcBorders>
              <w:bottom w:val="double" w:sz="4" w:space="0" w:color="auto"/>
            </w:tcBorders>
          </w:tcPr>
          <w:p w:rsidR="00F97D54" w:rsidRDefault="00F97D54" w:rsidP="00EB5B97">
            <w:pPr>
              <w:rPr>
                <w:sz w:val="16"/>
                <w:szCs w:val="16"/>
              </w:rPr>
            </w:pPr>
            <w:r>
              <w:rPr>
                <w:sz w:val="16"/>
                <w:szCs w:val="16"/>
              </w:rPr>
              <w:t>Year</w:t>
            </w:r>
          </w:p>
        </w:tc>
        <w:tc>
          <w:tcPr>
            <w:tcW w:w="4613" w:type="dxa"/>
            <w:tcBorders>
              <w:bottom w:val="double" w:sz="4" w:space="0" w:color="auto"/>
            </w:tcBorders>
          </w:tcPr>
          <w:p w:rsidR="00F97D54" w:rsidRDefault="00F97D54" w:rsidP="00EB5B97">
            <w:pPr>
              <w:rPr>
                <w:sz w:val="16"/>
                <w:szCs w:val="16"/>
              </w:rPr>
            </w:pPr>
            <w:r>
              <w:rPr>
                <w:sz w:val="16"/>
                <w:szCs w:val="16"/>
              </w:rPr>
              <w:t>Enter “2010” if the reported expenditures are for the year 2010 and enter “2012” if the reported expenditures are for the year 2012</w:t>
            </w:r>
          </w:p>
        </w:tc>
        <w:tc>
          <w:tcPr>
            <w:tcW w:w="1042" w:type="dxa"/>
            <w:tcBorders>
              <w:bottom w:val="double" w:sz="4" w:space="0" w:color="auto"/>
            </w:tcBorders>
          </w:tcPr>
          <w:p w:rsidR="00F97D54" w:rsidRDefault="00F97D54" w:rsidP="00EB5B97">
            <w:pPr>
              <w:rPr>
                <w:sz w:val="16"/>
                <w:szCs w:val="16"/>
              </w:rPr>
            </w:pPr>
            <w:r>
              <w:rPr>
                <w:sz w:val="16"/>
                <w:szCs w:val="16"/>
              </w:rPr>
              <w:t>Integer</w:t>
            </w:r>
          </w:p>
        </w:tc>
        <w:tc>
          <w:tcPr>
            <w:tcW w:w="1028" w:type="dxa"/>
            <w:tcBorders>
              <w:bottom w:val="double" w:sz="4" w:space="0" w:color="auto"/>
            </w:tcBorders>
          </w:tcPr>
          <w:p w:rsidR="00F97D54" w:rsidRDefault="00F97D54" w:rsidP="00EB5B97">
            <w:pPr>
              <w:rPr>
                <w:sz w:val="16"/>
                <w:szCs w:val="16"/>
              </w:rPr>
            </w:pPr>
            <w:r>
              <w:rPr>
                <w:sz w:val="16"/>
                <w:szCs w:val="16"/>
              </w:rPr>
              <w:t>2012</w:t>
            </w:r>
          </w:p>
        </w:tc>
      </w:tr>
    </w:tbl>
    <w:p w:rsidR="00F97D54" w:rsidRDefault="00F97D54" w:rsidP="00EB5B97"/>
    <w:p w:rsidR="00F97D54" w:rsidRDefault="00F97D54" w:rsidP="00EB5B97">
      <w:r>
        <w:t>Note:  If there were no expenditures for a particular category or year, then report 0.</w:t>
      </w:r>
    </w:p>
    <w:p w:rsidR="00F97D54" w:rsidRDefault="00F97D54" w:rsidP="00EB5B97"/>
    <w:p w:rsidR="00F97D54" w:rsidRPr="00E9084B" w:rsidRDefault="00F97D54" w:rsidP="00E9084B">
      <w:pPr>
        <w:pStyle w:val="Heading4"/>
        <w:numPr>
          <w:ilvl w:val="0"/>
          <w:numId w:val="0"/>
        </w:numPr>
        <w:rPr>
          <w:b w:val="0"/>
          <w:i/>
        </w:rPr>
      </w:pPr>
      <w:bookmarkStart w:id="147" w:name="_Toc365972130"/>
      <w:r w:rsidRPr="00E9084B">
        <w:rPr>
          <w:b w:val="0"/>
          <w:i/>
        </w:rPr>
        <w:t>Question II.E.4:  Expenditures with ILECs under Tariffs</w:t>
      </w:r>
      <w:bookmarkEnd w:id="147"/>
      <w:r w:rsidRPr="00E9084B">
        <w:rPr>
          <w:b w:val="0"/>
          <w:i/>
        </w:rPr>
        <w:t xml:space="preserve"> </w:t>
      </w:r>
    </w:p>
    <w:tbl>
      <w:tblPr>
        <w:tblW w:w="8748" w:type="dxa"/>
        <w:tblLayout w:type="fixed"/>
        <w:tblLook w:val="01E0" w:firstRow="1" w:lastRow="1" w:firstColumn="1" w:lastColumn="1" w:noHBand="0" w:noVBand="0"/>
      </w:tblPr>
      <w:tblGrid>
        <w:gridCol w:w="3258"/>
        <w:gridCol w:w="3870"/>
        <w:gridCol w:w="720"/>
        <w:gridCol w:w="900"/>
      </w:tblGrid>
      <w:tr w:rsidR="00F97D54" w:rsidRPr="0063769F" w:rsidTr="00EB5B97">
        <w:trPr>
          <w:trHeight w:val="432"/>
          <w:tblHeader/>
        </w:trPr>
        <w:tc>
          <w:tcPr>
            <w:tcW w:w="8748" w:type="dxa"/>
            <w:gridSpan w:val="4"/>
            <w:tcBorders>
              <w:top w:val="double" w:sz="4" w:space="0" w:color="auto"/>
              <w:bottom w:val="single" w:sz="4" w:space="0" w:color="auto"/>
            </w:tcBorders>
            <w:vAlign w:val="center"/>
          </w:tcPr>
          <w:p w:rsidR="00F97D54" w:rsidRDefault="00F97D54" w:rsidP="00EB5B97">
            <w:pPr>
              <w:jc w:val="center"/>
              <w:rPr>
                <w:b/>
                <w:bCs/>
              </w:rPr>
            </w:pPr>
            <w:r w:rsidRPr="0063769F">
              <w:rPr>
                <w:b/>
              </w:rPr>
              <w:t xml:space="preserve">Table </w:t>
            </w:r>
            <w:r>
              <w:rPr>
                <w:b/>
                <w:bCs/>
              </w:rPr>
              <w:t>II.E.4</w:t>
            </w:r>
          </w:p>
          <w:p w:rsidR="00F97D54" w:rsidRPr="0063769F" w:rsidRDefault="00F97D54" w:rsidP="00EB5B97">
            <w:pPr>
              <w:jc w:val="center"/>
              <w:rPr>
                <w:b/>
              </w:rPr>
            </w:pPr>
            <w:r>
              <w:rPr>
                <w:b/>
                <w:bCs/>
              </w:rPr>
              <w:t xml:space="preserve">Record Format for Expenditures with </w:t>
            </w:r>
            <w:r w:rsidRPr="00E27621">
              <w:rPr>
                <w:b/>
                <w:bCs/>
                <w:i/>
              </w:rPr>
              <w:t>ILECs</w:t>
            </w:r>
            <w:r>
              <w:rPr>
                <w:b/>
                <w:bCs/>
              </w:rPr>
              <w:t xml:space="preserve"> Pursuant to a </w:t>
            </w:r>
            <w:r w:rsidRPr="00E27621">
              <w:rPr>
                <w:b/>
                <w:bCs/>
                <w:i/>
              </w:rPr>
              <w:t>Tariff</w:t>
            </w:r>
          </w:p>
        </w:tc>
      </w:tr>
      <w:tr w:rsidR="00F97D54" w:rsidRPr="0063769F" w:rsidTr="00EB5B97">
        <w:trPr>
          <w:trHeight w:val="432"/>
          <w:tblHeader/>
        </w:trPr>
        <w:tc>
          <w:tcPr>
            <w:tcW w:w="3258" w:type="dxa"/>
            <w:tcBorders>
              <w:top w:val="single" w:sz="4" w:space="0" w:color="auto"/>
              <w:bottom w:val="single" w:sz="4" w:space="0" w:color="auto"/>
              <w:right w:val="single" w:sz="4" w:space="0" w:color="auto"/>
            </w:tcBorders>
            <w:vAlign w:val="center"/>
          </w:tcPr>
          <w:p w:rsidR="00F97D54" w:rsidRPr="0063769F" w:rsidRDefault="00F97D54" w:rsidP="00EB5B97">
            <w:pPr>
              <w:rPr>
                <w:b/>
                <w:sz w:val="18"/>
                <w:szCs w:val="18"/>
              </w:rPr>
            </w:pPr>
            <w:r w:rsidRPr="0063769F">
              <w:rPr>
                <w:b/>
                <w:sz w:val="18"/>
                <w:szCs w:val="18"/>
              </w:rPr>
              <w:t>Field Name</w:t>
            </w:r>
          </w:p>
        </w:tc>
        <w:tc>
          <w:tcPr>
            <w:tcW w:w="3870" w:type="dxa"/>
            <w:tcBorders>
              <w:top w:val="single" w:sz="4" w:space="0" w:color="auto"/>
              <w:left w:val="single" w:sz="4" w:space="0" w:color="auto"/>
              <w:bottom w:val="single" w:sz="4" w:space="0" w:color="auto"/>
              <w:right w:val="single" w:sz="4" w:space="0" w:color="auto"/>
            </w:tcBorders>
            <w:vAlign w:val="center"/>
          </w:tcPr>
          <w:p w:rsidR="00F97D54" w:rsidRPr="0063769F" w:rsidRDefault="00F97D54" w:rsidP="00EB5B97">
            <w:pPr>
              <w:rPr>
                <w:b/>
                <w:sz w:val="18"/>
                <w:szCs w:val="18"/>
              </w:rPr>
            </w:pPr>
            <w:r w:rsidRPr="0063769F">
              <w:rPr>
                <w:b/>
                <w:sz w:val="18"/>
                <w:szCs w:val="18"/>
              </w:rPr>
              <w:t>Description</w:t>
            </w:r>
          </w:p>
        </w:tc>
        <w:tc>
          <w:tcPr>
            <w:tcW w:w="720" w:type="dxa"/>
            <w:tcBorders>
              <w:top w:val="single" w:sz="4" w:space="0" w:color="auto"/>
              <w:left w:val="single" w:sz="4" w:space="0" w:color="auto"/>
              <w:bottom w:val="single" w:sz="4" w:space="0" w:color="auto"/>
              <w:right w:val="single" w:sz="4" w:space="0" w:color="auto"/>
            </w:tcBorders>
            <w:vAlign w:val="center"/>
          </w:tcPr>
          <w:p w:rsidR="00F97D54" w:rsidRPr="0063769F" w:rsidRDefault="00F97D54" w:rsidP="00EB5B97">
            <w:pPr>
              <w:rPr>
                <w:b/>
                <w:sz w:val="18"/>
                <w:szCs w:val="18"/>
              </w:rPr>
            </w:pPr>
            <w:r w:rsidRPr="0063769F">
              <w:rPr>
                <w:b/>
                <w:sz w:val="18"/>
                <w:szCs w:val="18"/>
              </w:rPr>
              <w:t>Type</w:t>
            </w:r>
          </w:p>
        </w:tc>
        <w:tc>
          <w:tcPr>
            <w:tcW w:w="900" w:type="dxa"/>
            <w:tcBorders>
              <w:top w:val="single" w:sz="4" w:space="0" w:color="auto"/>
              <w:left w:val="single" w:sz="4" w:space="0" w:color="auto"/>
              <w:bottom w:val="single" w:sz="4" w:space="0" w:color="auto"/>
            </w:tcBorders>
            <w:vAlign w:val="center"/>
          </w:tcPr>
          <w:p w:rsidR="00F97D54" w:rsidRPr="0063769F" w:rsidRDefault="00F97D54" w:rsidP="00EB5B97">
            <w:pPr>
              <w:ind w:right="-108"/>
              <w:rPr>
                <w:b/>
                <w:sz w:val="18"/>
                <w:szCs w:val="18"/>
              </w:rPr>
            </w:pPr>
            <w:r w:rsidRPr="0063769F">
              <w:rPr>
                <w:b/>
                <w:sz w:val="18"/>
                <w:szCs w:val="18"/>
              </w:rPr>
              <w:t>Example</w:t>
            </w:r>
          </w:p>
        </w:tc>
      </w:tr>
      <w:tr w:rsidR="00F97D54" w:rsidRPr="0063769F" w:rsidTr="00EB5B97">
        <w:trPr>
          <w:trHeight w:val="360"/>
        </w:trPr>
        <w:tc>
          <w:tcPr>
            <w:tcW w:w="3258" w:type="dxa"/>
          </w:tcPr>
          <w:p w:rsidR="00F97D54" w:rsidRDefault="00F97D54" w:rsidP="00EB5B97">
            <w:pPr>
              <w:rPr>
                <w:sz w:val="16"/>
                <w:szCs w:val="16"/>
              </w:rPr>
            </w:pPr>
            <w:r>
              <w:rPr>
                <w:sz w:val="16"/>
                <w:szCs w:val="16"/>
              </w:rPr>
              <w:t>Expenditures</w:t>
            </w:r>
          </w:p>
        </w:tc>
        <w:tc>
          <w:tcPr>
            <w:tcW w:w="3870" w:type="dxa"/>
          </w:tcPr>
          <w:p w:rsidR="00F97D54" w:rsidRPr="0069743E" w:rsidRDefault="00F97D54" w:rsidP="00EB5B97">
            <w:pPr>
              <w:rPr>
                <w:sz w:val="16"/>
                <w:szCs w:val="16"/>
              </w:rPr>
            </w:pPr>
            <w:r>
              <w:rPr>
                <w:sz w:val="16"/>
                <w:szCs w:val="16"/>
              </w:rPr>
              <w:t xml:space="preserve">Enter the dollar value of expenditures on </w:t>
            </w:r>
            <w:r>
              <w:rPr>
                <w:i/>
                <w:sz w:val="16"/>
                <w:szCs w:val="16"/>
              </w:rPr>
              <w:t xml:space="preserve">Dedicated Service </w:t>
            </w:r>
            <w:r>
              <w:rPr>
                <w:sz w:val="16"/>
                <w:szCs w:val="16"/>
              </w:rPr>
              <w:t>for the corresponding categorical breakdown</w:t>
            </w:r>
          </w:p>
        </w:tc>
        <w:tc>
          <w:tcPr>
            <w:tcW w:w="720" w:type="dxa"/>
          </w:tcPr>
          <w:p w:rsidR="00F97D54" w:rsidRDefault="00F97D54" w:rsidP="00EB5B97">
            <w:pPr>
              <w:rPr>
                <w:sz w:val="16"/>
                <w:szCs w:val="16"/>
              </w:rPr>
            </w:pPr>
            <w:r>
              <w:rPr>
                <w:sz w:val="16"/>
                <w:szCs w:val="16"/>
              </w:rPr>
              <w:t>Float</w:t>
            </w:r>
          </w:p>
        </w:tc>
        <w:tc>
          <w:tcPr>
            <w:tcW w:w="900" w:type="dxa"/>
          </w:tcPr>
          <w:p w:rsidR="00F97D54" w:rsidRDefault="00F97D54" w:rsidP="00EB5B97">
            <w:pPr>
              <w:rPr>
                <w:sz w:val="16"/>
                <w:szCs w:val="16"/>
              </w:rPr>
            </w:pPr>
            <w:r>
              <w:rPr>
                <w:sz w:val="16"/>
                <w:szCs w:val="16"/>
              </w:rPr>
              <w:t>5364821</w:t>
            </w:r>
          </w:p>
        </w:tc>
      </w:tr>
      <w:tr w:rsidR="00F97D54" w:rsidRPr="0063769F" w:rsidTr="00EB5B97">
        <w:trPr>
          <w:trHeight w:val="360"/>
        </w:trPr>
        <w:tc>
          <w:tcPr>
            <w:tcW w:w="3258" w:type="dxa"/>
          </w:tcPr>
          <w:p w:rsidR="00F97D54" w:rsidRDefault="00F97D54" w:rsidP="00EB5B97">
            <w:pPr>
              <w:rPr>
                <w:sz w:val="16"/>
                <w:szCs w:val="16"/>
              </w:rPr>
            </w:pPr>
            <w:r>
              <w:rPr>
                <w:sz w:val="16"/>
                <w:szCs w:val="16"/>
              </w:rPr>
              <w:t>Year</w:t>
            </w:r>
          </w:p>
        </w:tc>
        <w:tc>
          <w:tcPr>
            <w:tcW w:w="3870" w:type="dxa"/>
          </w:tcPr>
          <w:p w:rsidR="00F97D54" w:rsidRDefault="00F97D54" w:rsidP="00EB5B97">
            <w:pPr>
              <w:rPr>
                <w:sz w:val="16"/>
                <w:szCs w:val="16"/>
              </w:rPr>
            </w:pPr>
            <w:r>
              <w:rPr>
                <w:sz w:val="16"/>
                <w:szCs w:val="16"/>
              </w:rPr>
              <w:t>Enter “2010” if the reported expenditures are for the year 2010 and enter “2012” if the reported expenditures are for the year 2012</w:t>
            </w:r>
          </w:p>
        </w:tc>
        <w:tc>
          <w:tcPr>
            <w:tcW w:w="720" w:type="dxa"/>
          </w:tcPr>
          <w:p w:rsidR="00F97D54" w:rsidRDefault="00F97D54" w:rsidP="00EB5B97">
            <w:pPr>
              <w:rPr>
                <w:sz w:val="16"/>
                <w:szCs w:val="16"/>
              </w:rPr>
            </w:pPr>
            <w:r>
              <w:rPr>
                <w:sz w:val="16"/>
                <w:szCs w:val="16"/>
              </w:rPr>
              <w:t>Integer</w:t>
            </w:r>
          </w:p>
        </w:tc>
        <w:tc>
          <w:tcPr>
            <w:tcW w:w="900" w:type="dxa"/>
          </w:tcPr>
          <w:p w:rsidR="00F97D54" w:rsidRDefault="00F97D54" w:rsidP="00EB5B97">
            <w:pPr>
              <w:rPr>
                <w:sz w:val="16"/>
                <w:szCs w:val="16"/>
              </w:rPr>
            </w:pPr>
            <w:r>
              <w:rPr>
                <w:sz w:val="16"/>
                <w:szCs w:val="16"/>
              </w:rPr>
              <w:t>2012</w:t>
            </w:r>
          </w:p>
        </w:tc>
      </w:tr>
      <w:tr w:rsidR="00F97D54" w:rsidRPr="0063769F" w:rsidTr="00EB5B97">
        <w:trPr>
          <w:trHeight w:val="360"/>
        </w:trPr>
        <w:tc>
          <w:tcPr>
            <w:tcW w:w="3258" w:type="dxa"/>
          </w:tcPr>
          <w:p w:rsidR="00F97D54" w:rsidRDefault="00F97D54" w:rsidP="00EB5B97">
            <w:pPr>
              <w:rPr>
                <w:sz w:val="16"/>
                <w:szCs w:val="16"/>
              </w:rPr>
            </w:pPr>
            <w:r>
              <w:rPr>
                <w:sz w:val="16"/>
                <w:szCs w:val="16"/>
              </w:rPr>
              <w:t>Service_Type</w:t>
            </w:r>
          </w:p>
        </w:tc>
        <w:tc>
          <w:tcPr>
            <w:tcW w:w="3870" w:type="dxa"/>
          </w:tcPr>
          <w:p w:rsidR="00F97D54" w:rsidRDefault="00F97D54" w:rsidP="00EB5B97">
            <w:pPr>
              <w:rPr>
                <w:sz w:val="16"/>
                <w:szCs w:val="16"/>
              </w:rPr>
            </w:pPr>
            <w:r>
              <w:rPr>
                <w:sz w:val="16"/>
                <w:szCs w:val="16"/>
              </w:rPr>
              <w:t xml:space="preserve">Indicate the service type category for which the expenditures are reported.  Enter “DS1” for </w:t>
            </w:r>
            <w:r>
              <w:rPr>
                <w:i/>
                <w:sz w:val="16"/>
                <w:szCs w:val="16"/>
              </w:rPr>
              <w:t xml:space="preserve">DS1 </w:t>
            </w:r>
            <w:r>
              <w:rPr>
                <w:sz w:val="16"/>
                <w:szCs w:val="16"/>
              </w:rPr>
              <w:t xml:space="preserve">expenditures, enter “DS3” for </w:t>
            </w:r>
            <w:r>
              <w:rPr>
                <w:i/>
                <w:sz w:val="16"/>
                <w:szCs w:val="16"/>
              </w:rPr>
              <w:t xml:space="preserve">DS3 </w:t>
            </w:r>
            <w:r>
              <w:rPr>
                <w:sz w:val="16"/>
                <w:szCs w:val="16"/>
              </w:rPr>
              <w:t xml:space="preserve">expenditures, and enter “PBDS” for </w:t>
            </w:r>
            <w:r>
              <w:rPr>
                <w:i/>
                <w:sz w:val="16"/>
                <w:szCs w:val="16"/>
              </w:rPr>
              <w:t xml:space="preserve">PBDS </w:t>
            </w:r>
            <w:r>
              <w:rPr>
                <w:sz w:val="16"/>
                <w:szCs w:val="16"/>
              </w:rPr>
              <w:t>expenditures</w:t>
            </w:r>
          </w:p>
        </w:tc>
        <w:tc>
          <w:tcPr>
            <w:tcW w:w="720" w:type="dxa"/>
          </w:tcPr>
          <w:p w:rsidR="00F97D54" w:rsidRDefault="00F97D54" w:rsidP="00EB5B97">
            <w:pPr>
              <w:rPr>
                <w:sz w:val="16"/>
                <w:szCs w:val="16"/>
              </w:rPr>
            </w:pPr>
            <w:r>
              <w:rPr>
                <w:sz w:val="16"/>
                <w:szCs w:val="16"/>
              </w:rPr>
              <w:t>Text</w:t>
            </w:r>
          </w:p>
        </w:tc>
        <w:tc>
          <w:tcPr>
            <w:tcW w:w="900" w:type="dxa"/>
          </w:tcPr>
          <w:p w:rsidR="00F97D54" w:rsidRDefault="00F97D54" w:rsidP="00EB5B97">
            <w:pPr>
              <w:rPr>
                <w:sz w:val="16"/>
                <w:szCs w:val="16"/>
              </w:rPr>
            </w:pPr>
            <w:r>
              <w:rPr>
                <w:sz w:val="16"/>
                <w:szCs w:val="16"/>
              </w:rPr>
              <w:t>DS3</w:t>
            </w:r>
          </w:p>
        </w:tc>
      </w:tr>
      <w:tr w:rsidR="00F97D54" w:rsidRPr="0063769F" w:rsidTr="00EB5B97">
        <w:trPr>
          <w:trHeight w:val="360"/>
        </w:trPr>
        <w:tc>
          <w:tcPr>
            <w:tcW w:w="3258" w:type="dxa"/>
          </w:tcPr>
          <w:p w:rsidR="00F97D54" w:rsidRDefault="00F97D54" w:rsidP="00EB5B97">
            <w:pPr>
              <w:rPr>
                <w:sz w:val="16"/>
                <w:szCs w:val="16"/>
              </w:rPr>
            </w:pPr>
            <w:r>
              <w:rPr>
                <w:sz w:val="16"/>
                <w:szCs w:val="16"/>
              </w:rPr>
              <w:t>Agreement_Type</w:t>
            </w:r>
          </w:p>
        </w:tc>
        <w:tc>
          <w:tcPr>
            <w:tcW w:w="3870" w:type="dxa"/>
          </w:tcPr>
          <w:p w:rsidR="00F97D54" w:rsidRPr="00FA3147" w:rsidRDefault="00F97D54" w:rsidP="00EB5B97">
            <w:pPr>
              <w:rPr>
                <w:sz w:val="16"/>
                <w:szCs w:val="16"/>
              </w:rPr>
            </w:pPr>
            <w:r>
              <w:rPr>
                <w:sz w:val="16"/>
                <w:szCs w:val="16"/>
              </w:rPr>
              <w:t>Enter the code for the appropriate contract type indicated in the question.  The codes must be a letter from “a” to “h”.  See instructions below the table for more information on the codes for Agreement_Type</w:t>
            </w:r>
          </w:p>
        </w:tc>
        <w:tc>
          <w:tcPr>
            <w:tcW w:w="720" w:type="dxa"/>
          </w:tcPr>
          <w:p w:rsidR="00F97D54" w:rsidRDefault="00F97D54" w:rsidP="00EB5B97">
            <w:pPr>
              <w:rPr>
                <w:sz w:val="16"/>
                <w:szCs w:val="16"/>
              </w:rPr>
            </w:pPr>
            <w:r>
              <w:rPr>
                <w:sz w:val="16"/>
                <w:szCs w:val="16"/>
              </w:rPr>
              <w:t>Text</w:t>
            </w:r>
          </w:p>
        </w:tc>
        <w:tc>
          <w:tcPr>
            <w:tcW w:w="900" w:type="dxa"/>
          </w:tcPr>
          <w:p w:rsidR="00F97D54" w:rsidRDefault="00F97D54" w:rsidP="00EB5B97">
            <w:pPr>
              <w:rPr>
                <w:sz w:val="16"/>
                <w:szCs w:val="16"/>
              </w:rPr>
            </w:pPr>
            <w:r>
              <w:rPr>
                <w:sz w:val="16"/>
                <w:szCs w:val="16"/>
              </w:rPr>
              <w:t>c</w:t>
            </w:r>
          </w:p>
        </w:tc>
      </w:tr>
      <w:tr w:rsidR="00F97D54" w:rsidRPr="0063769F" w:rsidTr="00EB5B97">
        <w:trPr>
          <w:trHeight w:val="360"/>
        </w:trPr>
        <w:tc>
          <w:tcPr>
            <w:tcW w:w="3258" w:type="dxa"/>
          </w:tcPr>
          <w:p w:rsidR="00F97D54" w:rsidRDefault="00F97D54" w:rsidP="00EB5B97">
            <w:pPr>
              <w:rPr>
                <w:sz w:val="16"/>
                <w:szCs w:val="16"/>
              </w:rPr>
            </w:pPr>
            <w:r>
              <w:rPr>
                <w:sz w:val="16"/>
                <w:szCs w:val="16"/>
              </w:rPr>
              <w:t>Avg_Discount_PPBC</w:t>
            </w:r>
          </w:p>
        </w:tc>
        <w:tc>
          <w:tcPr>
            <w:tcW w:w="3870" w:type="dxa"/>
          </w:tcPr>
          <w:p w:rsidR="00F97D54" w:rsidRPr="00FA3147" w:rsidRDefault="00F97D54" w:rsidP="00EB5B97">
            <w:pPr>
              <w:rPr>
                <w:sz w:val="16"/>
                <w:szCs w:val="16"/>
              </w:rPr>
            </w:pPr>
            <w:r>
              <w:rPr>
                <w:sz w:val="16"/>
                <w:szCs w:val="16"/>
              </w:rPr>
              <w:t xml:space="preserve">If the Agreement_Type is coded as “f” or “h”, enter the average discount (in percentage terms) off the </w:t>
            </w:r>
            <w:r>
              <w:rPr>
                <w:i/>
                <w:sz w:val="16"/>
                <w:szCs w:val="16"/>
              </w:rPr>
              <w:t>One Month Term Only Rate</w:t>
            </w:r>
            <w:r>
              <w:rPr>
                <w:sz w:val="16"/>
                <w:szCs w:val="16"/>
              </w:rPr>
              <w:t xml:space="preserve"> incorporated in the expenditures purchased under </w:t>
            </w:r>
            <w:r>
              <w:rPr>
                <w:i/>
                <w:sz w:val="16"/>
                <w:szCs w:val="16"/>
              </w:rPr>
              <w:t>Tariff Plans</w:t>
            </w:r>
            <w:r>
              <w:rPr>
                <w:sz w:val="16"/>
                <w:szCs w:val="16"/>
              </w:rPr>
              <w:t xml:space="preserve"> (for code “f”) or </w:t>
            </w:r>
            <w:r>
              <w:rPr>
                <w:i/>
                <w:sz w:val="16"/>
                <w:szCs w:val="16"/>
              </w:rPr>
              <w:t xml:space="preserve">Contract-Based Tariffs </w:t>
            </w:r>
            <w:r>
              <w:rPr>
                <w:sz w:val="16"/>
                <w:szCs w:val="16"/>
              </w:rPr>
              <w:t xml:space="preserve">(for code “h”) that contained a </w:t>
            </w:r>
            <w:r>
              <w:rPr>
                <w:i/>
                <w:sz w:val="16"/>
                <w:szCs w:val="16"/>
              </w:rPr>
              <w:t>Prior Purchase-Based Commitment</w:t>
            </w:r>
            <w:r>
              <w:rPr>
                <w:sz w:val="16"/>
                <w:szCs w:val="16"/>
              </w:rPr>
              <w:t>.  See the example in the question on how to calculate the average discount.  If Agreement_Type is not coded as “f” or “h”, leave the field blank</w:t>
            </w:r>
          </w:p>
        </w:tc>
        <w:tc>
          <w:tcPr>
            <w:tcW w:w="720" w:type="dxa"/>
          </w:tcPr>
          <w:p w:rsidR="00F97D54" w:rsidRDefault="00F97D54" w:rsidP="00EB5B97">
            <w:pPr>
              <w:rPr>
                <w:sz w:val="16"/>
                <w:szCs w:val="16"/>
              </w:rPr>
            </w:pPr>
            <w:r>
              <w:rPr>
                <w:sz w:val="16"/>
                <w:szCs w:val="16"/>
              </w:rPr>
              <w:t>Float</w:t>
            </w:r>
          </w:p>
        </w:tc>
        <w:tc>
          <w:tcPr>
            <w:tcW w:w="900" w:type="dxa"/>
          </w:tcPr>
          <w:p w:rsidR="00F97D54" w:rsidRDefault="00F97D54" w:rsidP="00EB5B97">
            <w:pPr>
              <w:rPr>
                <w:sz w:val="16"/>
                <w:szCs w:val="16"/>
              </w:rPr>
            </w:pPr>
            <w:r>
              <w:rPr>
                <w:sz w:val="16"/>
                <w:szCs w:val="16"/>
              </w:rPr>
              <w:t>25</w:t>
            </w:r>
          </w:p>
        </w:tc>
      </w:tr>
      <w:tr w:rsidR="00F97D54" w:rsidRPr="0063769F" w:rsidTr="00EB5B97">
        <w:trPr>
          <w:trHeight w:val="360"/>
        </w:trPr>
        <w:tc>
          <w:tcPr>
            <w:tcW w:w="3258" w:type="dxa"/>
            <w:tcBorders>
              <w:bottom w:val="double" w:sz="4" w:space="0" w:color="auto"/>
            </w:tcBorders>
          </w:tcPr>
          <w:p w:rsidR="00F97D54" w:rsidRDefault="00F97D54" w:rsidP="00EB5B97">
            <w:pPr>
              <w:rPr>
                <w:sz w:val="16"/>
                <w:szCs w:val="16"/>
              </w:rPr>
            </w:pPr>
            <w:r>
              <w:rPr>
                <w:sz w:val="16"/>
                <w:szCs w:val="16"/>
              </w:rPr>
              <w:t>5orMore</w:t>
            </w:r>
          </w:p>
        </w:tc>
        <w:tc>
          <w:tcPr>
            <w:tcW w:w="3870" w:type="dxa"/>
            <w:tcBorders>
              <w:bottom w:val="double" w:sz="4" w:space="0" w:color="auto"/>
            </w:tcBorders>
          </w:tcPr>
          <w:p w:rsidR="00F97D54" w:rsidRPr="00F16C64" w:rsidRDefault="00F97D54" w:rsidP="00EB5B97">
            <w:pPr>
              <w:rPr>
                <w:sz w:val="16"/>
                <w:szCs w:val="16"/>
              </w:rPr>
            </w:pPr>
            <w:r>
              <w:rPr>
                <w:sz w:val="16"/>
                <w:szCs w:val="16"/>
              </w:rPr>
              <w:t>If the Year field is 2012, w</w:t>
            </w:r>
            <w:r w:rsidRPr="0078729C">
              <w:rPr>
                <w:sz w:val="16"/>
                <w:szCs w:val="16"/>
              </w:rPr>
              <w:t>hat percentage of your expenditures w</w:t>
            </w:r>
            <w:r>
              <w:rPr>
                <w:sz w:val="16"/>
                <w:szCs w:val="16"/>
              </w:rPr>
              <w:t>as</w:t>
            </w:r>
            <w:r w:rsidRPr="0078729C">
              <w:rPr>
                <w:sz w:val="16"/>
                <w:szCs w:val="16"/>
              </w:rPr>
              <w:t xml:space="preserve"> subject to a </w:t>
            </w:r>
            <w:r w:rsidRPr="0078729C">
              <w:rPr>
                <w:i/>
                <w:sz w:val="16"/>
                <w:szCs w:val="16"/>
              </w:rPr>
              <w:t>Term Commitment</w:t>
            </w:r>
            <w:r w:rsidRPr="0078729C">
              <w:rPr>
                <w:sz w:val="16"/>
                <w:szCs w:val="16"/>
              </w:rPr>
              <w:t xml:space="preserve"> of five or more years?</w:t>
            </w:r>
            <w:r>
              <w:rPr>
                <w:sz w:val="16"/>
                <w:szCs w:val="16"/>
              </w:rPr>
              <w:t xml:space="preserve">  </w:t>
            </w:r>
          </w:p>
        </w:tc>
        <w:tc>
          <w:tcPr>
            <w:tcW w:w="720" w:type="dxa"/>
            <w:tcBorders>
              <w:bottom w:val="double" w:sz="4" w:space="0" w:color="auto"/>
            </w:tcBorders>
          </w:tcPr>
          <w:p w:rsidR="00F97D54" w:rsidRDefault="00F97D54" w:rsidP="00EB5B97">
            <w:pPr>
              <w:rPr>
                <w:sz w:val="16"/>
                <w:szCs w:val="16"/>
              </w:rPr>
            </w:pPr>
            <w:r>
              <w:rPr>
                <w:sz w:val="16"/>
                <w:szCs w:val="16"/>
              </w:rPr>
              <w:t>Integer</w:t>
            </w:r>
          </w:p>
        </w:tc>
        <w:tc>
          <w:tcPr>
            <w:tcW w:w="900" w:type="dxa"/>
            <w:tcBorders>
              <w:bottom w:val="double" w:sz="4" w:space="0" w:color="auto"/>
            </w:tcBorders>
          </w:tcPr>
          <w:p w:rsidR="00F97D54" w:rsidRDefault="00F97D54" w:rsidP="00EB5B97">
            <w:pPr>
              <w:rPr>
                <w:sz w:val="16"/>
                <w:szCs w:val="16"/>
              </w:rPr>
            </w:pPr>
            <w:r>
              <w:rPr>
                <w:sz w:val="16"/>
                <w:szCs w:val="16"/>
              </w:rPr>
              <w:t>45</w:t>
            </w:r>
          </w:p>
        </w:tc>
      </w:tr>
    </w:tbl>
    <w:p w:rsidR="00F97D54" w:rsidRDefault="00F97D54" w:rsidP="00EB5B97"/>
    <w:p w:rsidR="00F97D54" w:rsidRDefault="00F97D54" w:rsidP="00EB5B97">
      <w:r>
        <w:t>Note:  If there were no expenditures for a particular category or year, then report 0.</w:t>
      </w:r>
    </w:p>
    <w:p w:rsidR="00F97D54" w:rsidRDefault="00F97D54" w:rsidP="00EB5B97"/>
    <w:p w:rsidR="00F97D54" w:rsidRPr="00CF0319" w:rsidRDefault="00F97D54" w:rsidP="00724B61">
      <w:pPr>
        <w:widowControl/>
      </w:pPr>
      <w:r>
        <w:t xml:space="preserve">Use the following codes for the Agreement_Type variable.  Enter “a” for expenditures on ALL purchases; enter “b” for expenditures on purchases at </w:t>
      </w:r>
      <w:r>
        <w:rPr>
          <w:i/>
        </w:rPr>
        <w:t>One Month Term Only Rates</w:t>
      </w:r>
      <w:r>
        <w:t xml:space="preserve">; enter “c” for expenditures purchased under </w:t>
      </w:r>
      <w:r>
        <w:rPr>
          <w:i/>
        </w:rPr>
        <w:t>Tariff Plans</w:t>
      </w:r>
      <w:r>
        <w:t xml:space="preserve">; enter “d” for expenditures purchased under </w:t>
      </w:r>
      <w:r>
        <w:rPr>
          <w:i/>
        </w:rPr>
        <w:t>Contract-Based Tariffs</w:t>
      </w:r>
      <w:r>
        <w:t xml:space="preserve">; enter “e” for expenditures purchased under </w:t>
      </w:r>
      <w:r>
        <w:rPr>
          <w:i/>
        </w:rPr>
        <w:t>Tariff Plans</w:t>
      </w:r>
      <w:r>
        <w:t xml:space="preserve"> that contained a </w:t>
      </w:r>
      <w:r>
        <w:rPr>
          <w:i/>
        </w:rPr>
        <w:t>Term Commitment</w:t>
      </w:r>
      <w:r>
        <w:t xml:space="preserve"> but not a </w:t>
      </w:r>
      <w:r>
        <w:rPr>
          <w:i/>
        </w:rPr>
        <w:t>Volume Commitment</w:t>
      </w:r>
      <w:r>
        <w:t xml:space="preserve">; enter “f” for expenditures purchased under </w:t>
      </w:r>
      <w:r>
        <w:rPr>
          <w:i/>
        </w:rPr>
        <w:t>Tariff Plans</w:t>
      </w:r>
      <w:r>
        <w:t xml:space="preserve"> that contained a </w:t>
      </w:r>
      <w:r>
        <w:rPr>
          <w:i/>
        </w:rPr>
        <w:t>Prior Purchase-Based Commitment</w:t>
      </w:r>
      <w:r>
        <w:t xml:space="preserve">; enter “g” for expenditures purchased under </w:t>
      </w:r>
      <w:r>
        <w:rPr>
          <w:i/>
        </w:rPr>
        <w:t>Contract-Based Tariffs</w:t>
      </w:r>
      <w:r>
        <w:t xml:space="preserve"> that contained a </w:t>
      </w:r>
      <w:r>
        <w:rPr>
          <w:i/>
        </w:rPr>
        <w:t>Term Commitment</w:t>
      </w:r>
      <w:r>
        <w:t xml:space="preserve"> but not a </w:t>
      </w:r>
      <w:r>
        <w:rPr>
          <w:i/>
        </w:rPr>
        <w:t xml:space="preserve">Volume </w:t>
      </w:r>
      <w:r w:rsidRPr="00371D1B">
        <w:rPr>
          <w:i/>
        </w:rPr>
        <w:t>Commitment</w:t>
      </w:r>
      <w:r w:rsidRPr="006A2CA4">
        <w:t xml:space="preserve">; </w:t>
      </w:r>
      <w:r w:rsidRPr="00371D1B">
        <w:t>and</w:t>
      </w:r>
      <w:r w:rsidRPr="00FD2382">
        <w:t xml:space="preserve"> </w:t>
      </w:r>
      <w:r>
        <w:t xml:space="preserve">enter “h” for expenditures purchased under </w:t>
      </w:r>
      <w:r>
        <w:rPr>
          <w:i/>
        </w:rPr>
        <w:t>Contract-Based Tariffs</w:t>
      </w:r>
      <w:r>
        <w:t xml:space="preserve"> that contained a </w:t>
      </w:r>
      <w:r>
        <w:rPr>
          <w:i/>
        </w:rPr>
        <w:t>Prior Purchase-Based Commitment</w:t>
      </w:r>
      <w:r>
        <w:t>.</w:t>
      </w:r>
    </w:p>
    <w:p w:rsidR="00F97D54" w:rsidRDefault="00F97D54" w:rsidP="00EB5B97"/>
    <w:p w:rsidR="00F97D54" w:rsidRPr="00CF0319" w:rsidRDefault="00F97D54" w:rsidP="00EB5B97">
      <w:r w:rsidRPr="00A217F9">
        <w:rPr>
          <w:u w:val="single"/>
        </w:rPr>
        <w:t>5orMore</w:t>
      </w:r>
      <w:r>
        <w:t xml:space="preserve">:  Provide the percentage of your expenditures in 2012 that were subject to a </w:t>
      </w:r>
      <w:r w:rsidRPr="00A217F9">
        <w:rPr>
          <w:i/>
        </w:rPr>
        <w:t>Term Commitment</w:t>
      </w:r>
      <w:r>
        <w:t xml:space="preserve"> of five or more years.  If the Year field reported is 2010, then leave this field blank.</w:t>
      </w:r>
    </w:p>
    <w:p w:rsidR="00F97D54" w:rsidRDefault="00F97D54" w:rsidP="00EB5B97">
      <w:pPr>
        <w:rPr>
          <w:b/>
          <w:i/>
        </w:rPr>
      </w:pPr>
    </w:p>
    <w:p w:rsidR="00F97D54" w:rsidRPr="00E9084B" w:rsidRDefault="00F97D54" w:rsidP="00E9084B">
      <w:pPr>
        <w:pStyle w:val="Heading4"/>
        <w:numPr>
          <w:ilvl w:val="0"/>
          <w:numId w:val="0"/>
        </w:numPr>
        <w:rPr>
          <w:b w:val="0"/>
          <w:i/>
        </w:rPr>
      </w:pPr>
      <w:bookmarkStart w:id="148" w:name="_Toc365972131"/>
      <w:r w:rsidRPr="00E9084B">
        <w:rPr>
          <w:b w:val="0"/>
          <w:i/>
        </w:rPr>
        <w:t>Question II.E.5:  Expenditures with Competitive Providers under Tariffs</w:t>
      </w:r>
      <w:bookmarkEnd w:id="148"/>
      <w:r w:rsidRPr="00E9084B">
        <w:rPr>
          <w:b w:val="0"/>
          <w:i/>
        </w:rPr>
        <w:t xml:space="preserve"> </w:t>
      </w:r>
    </w:p>
    <w:tbl>
      <w:tblPr>
        <w:tblW w:w="8748" w:type="dxa"/>
        <w:tblLook w:val="01E0" w:firstRow="1" w:lastRow="1" w:firstColumn="1" w:lastColumn="1" w:noHBand="0" w:noVBand="0"/>
      </w:tblPr>
      <w:tblGrid>
        <w:gridCol w:w="2679"/>
        <w:gridCol w:w="3823"/>
        <w:gridCol w:w="991"/>
        <w:gridCol w:w="1255"/>
      </w:tblGrid>
      <w:tr w:rsidR="00F97D54" w:rsidRPr="0063769F" w:rsidTr="00EB5B97">
        <w:trPr>
          <w:trHeight w:val="432"/>
          <w:tblHeader/>
        </w:trPr>
        <w:tc>
          <w:tcPr>
            <w:tcW w:w="8748" w:type="dxa"/>
            <w:gridSpan w:val="4"/>
            <w:tcBorders>
              <w:top w:val="double" w:sz="4" w:space="0" w:color="auto"/>
              <w:bottom w:val="single" w:sz="4" w:space="0" w:color="auto"/>
            </w:tcBorders>
            <w:vAlign w:val="center"/>
          </w:tcPr>
          <w:p w:rsidR="00F97D54" w:rsidRDefault="00F97D54" w:rsidP="00EB5B97">
            <w:pPr>
              <w:jc w:val="center"/>
              <w:rPr>
                <w:b/>
                <w:bCs/>
              </w:rPr>
            </w:pPr>
            <w:r w:rsidRPr="0063769F">
              <w:rPr>
                <w:b/>
              </w:rPr>
              <w:t xml:space="preserve">Table </w:t>
            </w:r>
            <w:r>
              <w:rPr>
                <w:b/>
                <w:bCs/>
              </w:rPr>
              <w:t>II.E.5</w:t>
            </w:r>
          </w:p>
          <w:p w:rsidR="00F97D54" w:rsidRPr="0063769F" w:rsidRDefault="00F97D54" w:rsidP="00EB5B97">
            <w:pPr>
              <w:jc w:val="center"/>
              <w:rPr>
                <w:b/>
              </w:rPr>
            </w:pPr>
            <w:r>
              <w:rPr>
                <w:b/>
                <w:bCs/>
              </w:rPr>
              <w:t xml:space="preserve">Record Format for Expenditures with </w:t>
            </w:r>
            <w:r w:rsidRPr="00D62900">
              <w:rPr>
                <w:b/>
                <w:bCs/>
                <w:i/>
              </w:rPr>
              <w:t>Competitive Providers</w:t>
            </w:r>
            <w:r>
              <w:rPr>
                <w:b/>
                <w:bCs/>
              </w:rPr>
              <w:t xml:space="preserve"> Pursuant to a </w:t>
            </w:r>
            <w:r w:rsidRPr="00D62900">
              <w:rPr>
                <w:b/>
                <w:bCs/>
                <w:i/>
              </w:rPr>
              <w:t>Tariff</w:t>
            </w:r>
          </w:p>
        </w:tc>
      </w:tr>
      <w:tr w:rsidR="00F97D54" w:rsidRPr="0063769F" w:rsidTr="00EB5B97">
        <w:trPr>
          <w:trHeight w:val="432"/>
          <w:tblHeader/>
        </w:trPr>
        <w:tc>
          <w:tcPr>
            <w:tcW w:w="2679" w:type="dxa"/>
            <w:tcBorders>
              <w:top w:val="single" w:sz="4" w:space="0" w:color="auto"/>
              <w:bottom w:val="single" w:sz="4" w:space="0" w:color="auto"/>
              <w:right w:val="single" w:sz="4" w:space="0" w:color="auto"/>
            </w:tcBorders>
            <w:vAlign w:val="center"/>
          </w:tcPr>
          <w:p w:rsidR="00F97D54" w:rsidRPr="0063769F" w:rsidRDefault="00F97D54" w:rsidP="00EB5B97">
            <w:pPr>
              <w:rPr>
                <w:b/>
                <w:sz w:val="18"/>
                <w:szCs w:val="18"/>
              </w:rPr>
            </w:pPr>
            <w:r w:rsidRPr="0063769F">
              <w:rPr>
                <w:b/>
                <w:sz w:val="18"/>
                <w:szCs w:val="18"/>
              </w:rPr>
              <w:t>Field Name</w:t>
            </w:r>
          </w:p>
        </w:tc>
        <w:tc>
          <w:tcPr>
            <w:tcW w:w="3823" w:type="dxa"/>
            <w:tcBorders>
              <w:top w:val="single" w:sz="4" w:space="0" w:color="auto"/>
              <w:left w:val="single" w:sz="4" w:space="0" w:color="auto"/>
              <w:bottom w:val="single" w:sz="4" w:space="0" w:color="auto"/>
              <w:right w:val="single" w:sz="4" w:space="0" w:color="auto"/>
            </w:tcBorders>
            <w:vAlign w:val="center"/>
          </w:tcPr>
          <w:p w:rsidR="00F97D54" w:rsidRPr="0063769F" w:rsidRDefault="00F97D54" w:rsidP="00EB5B97">
            <w:pPr>
              <w:rPr>
                <w:b/>
                <w:sz w:val="18"/>
                <w:szCs w:val="18"/>
              </w:rPr>
            </w:pPr>
            <w:r w:rsidRPr="0063769F">
              <w:rPr>
                <w:b/>
                <w:sz w:val="18"/>
                <w:szCs w:val="18"/>
              </w:rPr>
              <w:t>Description</w:t>
            </w:r>
          </w:p>
        </w:tc>
        <w:tc>
          <w:tcPr>
            <w:tcW w:w="991" w:type="dxa"/>
            <w:tcBorders>
              <w:top w:val="single" w:sz="4" w:space="0" w:color="auto"/>
              <w:left w:val="single" w:sz="4" w:space="0" w:color="auto"/>
              <w:bottom w:val="single" w:sz="4" w:space="0" w:color="auto"/>
              <w:right w:val="single" w:sz="4" w:space="0" w:color="auto"/>
            </w:tcBorders>
            <w:vAlign w:val="center"/>
          </w:tcPr>
          <w:p w:rsidR="00F97D54" w:rsidRPr="0063769F" w:rsidRDefault="00F97D54" w:rsidP="00EB5B97">
            <w:pPr>
              <w:rPr>
                <w:b/>
                <w:sz w:val="18"/>
                <w:szCs w:val="18"/>
              </w:rPr>
            </w:pPr>
            <w:r w:rsidRPr="0063769F">
              <w:rPr>
                <w:b/>
                <w:sz w:val="18"/>
                <w:szCs w:val="18"/>
              </w:rPr>
              <w:t>Type</w:t>
            </w:r>
          </w:p>
        </w:tc>
        <w:tc>
          <w:tcPr>
            <w:tcW w:w="1255" w:type="dxa"/>
            <w:tcBorders>
              <w:top w:val="single" w:sz="4" w:space="0" w:color="auto"/>
              <w:left w:val="single" w:sz="4" w:space="0" w:color="auto"/>
              <w:bottom w:val="single" w:sz="4" w:space="0" w:color="auto"/>
            </w:tcBorders>
            <w:vAlign w:val="center"/>
          </w:tcPr>
          <w:p w:rsidR="00F97D54" w:rsidRPr="0063769F" w:rsidRDefault="00F97D54" w:rsidP="00EB5B97">
            <w:pPr>
              <w:ind w:right="-108"/>
              <w:rPr>
                <w:b/>
                <w:sz w:val="18"/>
                <w:szCs w:val="18"/>
              </w:rPr>
            </w:pPr>
            <w:r w:rsidRPr="0063769F">
              <w:rPr>
                <w:b/>
                <w:sz w:val="18"/>
                <w:szCs w:val="18"/>
              </w:rPr>
              <w:t>Example</w:t>
            </w:r>
          </w:p>
        </w:tc>
      </w:tr>
      <w:tr w:rsidR="00F97D54" w:rsidRPr="0063769F" w:rsidTr="00EB5B97">
        <w:trPr>
          <w:trHeight w:val="360"/>
        </w:trPr>
        <w:tc>
          <w:tcPr>
            <w:tcW w:w="2679" w:type="dxa"/>
          </w:tcPr>
          <w:p w:rsidR="00F97D54" w:rsidRDefault="00F97D54" w:rsidP="00EB5B97">
            <w:pPr>
              <w:rPr>
                <w:sz w:val="16"/>
                <w:szCs w:val="16"/>
              </w:rPr>
            </w:pPr>
            <w:r>
              <w:rPr>
                <w:sz w:val="16"/>
                <w:szCs w:val="16"/>
              </w:rPr>
              <w:t>Expenditures</w:t>
            </w:r>
          </w:p>
        </w:tc>
        <w:tc>
          <w:tcPr>
            <w:tcW w:w="3823" w:type="dxa"/>
          </w:tcPr>
          <w:p w:rsidR="00F97D54" w:rsidRPr="0069743E" w:rsidRDefault="00F97D54" w:rsidP="00EB5B97">
            <w:pPr>
              <w:rPr>
                <w:sz w:val="16"/>
                <w:szCs w:val="16"/>
              </w:rPr>
            </w:pPr>
            <w:r>
              <w:rPr>
                <w:sz w:val="16"/>
                <w:szCs w:val="16"/>
              </w:rPr>
              <w:t>Enter the dollar value of e</w:t>
            </w:r>
            <w:r w:rsidRPr="002103EE">
              <w:rPr>
                <w:sz w:val="16"/>
                <w:szCs w:val="16"/>
              </w:rPr>
              <w:t>xpenditures</w:t>
            </w:r>
            <w:r>
              <w:rPr>
                <w:sz w:val="16"/>
                <w:szCs w:val="16"/>
              </w:rPr>
              <w:t xml:space="preserve"> on </w:t>
            </w:r>
            <w:r w:rsidRPr="006A2CA4">
              <w:rPr>
                <w:i/>
                <w:sz w:val="16"/>
                <w:szCs w:val="16"/>
              </w:rPr>
              <w:t>Dedicated Service</w:t>
            </w:r>
            <w:r w:rsidRPr="002103EE">
              <w:rPr>
                <w:sz w:val="16"/>
                <w:szCs w:val="16"/>
              </w:rPr>
              <w:t xml:space="preserve"> </w:t>
            </w:r>
            <w:r>
              <w:rPr>
                <w:sz w:val="16"/>
                <w:szCs w:val="16"/>
              </w:rPr>
              <w:t>for the corresponding categorical breakdown</w:t>
            </w:r>
          </w:p>
        </w:tc>
        <w:tc>
          <w:tcPr>
            <w:tcW w:w="991" w:type="dxa"/>
          </w:tcPr>
          <w:p w:rsidR="00F97D54" w:rsidRDefault="00F97D54" w:rsidP="00EB5B97">
            <w:pPr>
              <w:rPr>
                <w:sz w:val="16"/>
                <w:szCs w:val="16"/>
              </w:rPr>
            </w:pPr>
            <w:r>
              <w:rPr>
                <w:sz w:val="16"/>
                <w:szCs w:val="16"/>
              </w:rPr>
              <w:t>Float</w:t>
            </w:r>
          </w:p>
        </w:tc>
        <w:tc>
          <w:tcPr>
            <w:tcW w:w="1255" w:type="dxa"/>
          </w:tcPr>
          <w:p w:rsidR="00F97D54" w:rsidRDefault="00F97D54" w:rsidP="00EB5B97">
            <w:pPr>
              <w:rPr>
                <w:sz w:val="16"/>
                <w:szCs w:val="16"/>
              </w:rPr>
            </w:pPr>
            <w:r>
              <w:rPr>
                <w:sz w:val="16"/>
                <w:szCs w:val="16"/>
              </w:rPr>
              <w:t>5364821</w:t>
            </w:r>
          </w:p>
        </w:tc>
      </w:tr>
      <w:tr w:rsidR="00F97D54" w:rsidRPr="0063769F" w:rsidTr="00EB5B97">
        <w:trPr>
          <w:trHeight w:val="360"/>
        </w:trPr>
        <w:tc>
          <w:tcPr>
            <w:tcW w:w="2679" w:type="dxa"/>
          </w:tcPr>
          <w:p w:rsidR="00F97D54" w:rsidRDefault="00F97D54" w:rsidP="00EB5B97">
            <w:pPr>
              <w:rPr>
                <w:sz w:val="16"/>
                <w:szCs w:val="16"/>
              </w:rPr>
            </w:pPr>
            <w:r>
              <w:rPr>
                <w:sz w:val="16"/>
                <w:szCs w:val="16"/>
              </w:rPr>
              <w:t>Year</w:t>
            </w:r>
          </w:p>
        </w:tc>
        <w:tc>
          <w:tcPr>
            <w:tcW w:w="3823" w:type="dxa"/>
          </w:tcPr>
          <w:p w:rsidR="00F97D54" w:rsidRDefault="00F97D54" w:rsidP="00EB5B97">
            <w:pPr>
              <w:rPr>
                <w:sz w:val="16"/>
                <w:szCs w:val="16"/>
              </w:rPr>
            </w:pPr>
            <w:r>
              <w:rPr>
                <w:sz w:val="16"/>
                <w:szCs w:val="16"/>
              </w:rPr>
              <w:t>Enter “2010” if the reported expenditures are for the year 2010 and enter “2012” if the reported expenditures are for the year 2012</w:t>
            </w:r>
          </w:p>
        </w:tc>
        <w:tc>
          <w:tcPr>
            <w:tcW w:w="991" w:type="dxa"/>
          </w:tcPr>
          <w:p w:rsidR="00F97D54" w:rsidRDefault="00F97D54" w:rsidP="00EB5B97">
            <w:pPr>
              <w:rPr>
                <w:sz w:val="16"/>
                <w:szCs w:val="16"/>
              </w:rPr>
            </w:pPr>
            <w:r>
              <w:rPr>
                <w:sz w:val="16"/>
                <w:szCs w:val="16"/>
              </w:rPr>
              <w:t>Integer</w:t>
            </w:r>
          </w:p>
        </w:tc>
        <w:tc>
          <w:tcPr>
            <w:tcW w:w="1255" w:type="dxa"/>
          </w:tcPr>
          <w:p w:rsidR="00F97D54" w:rsidRDefault="00F97D54" w:rsidP="00EB5B97">
            <w:pPr>
              <w:rPr>
                <w:sz w:val="16"/>
                <w:szCs w:val="16"/>
              </w:rPr>
            </w:pPr>
            <w:r>
              <w:rPr>
                <w:sz w:val="16"/>
                <w:szCs w:val="16"/>
              </w:rPr>
              <w:t>2012</w:t>
            </w:r>
          </w:p>
        </w:tc>
      </w:tr>
      <w:tr w:rsidR="00F97D54" w:rsidRPr="0063769F" w:rsidTr="00EB5B97">
        <w:trPr>
          <w:trHeight w:val="360"/>
        </w:trPr>
        <w:tc>
          <w:tcPr>
            <w:tcW w:w="2679" w:type="dxa"/>
          </w:tcPr>
          <w:p w:rsidR="00F97D54" w:rsidRDefault="00F97D54" w:rsidP="00EB5B97">
            <w:pPr>
              <w:rPr>
                <w:sz w:val="16"/>
                <w:szCs w:val="16"/>
              </w:rPr>
            </w:pPr>
            <w:r>
              <w:rPr>
                <w:sz w:val="16"/>
                <w:szCs w:val="16"/>
              </w:rPr>
              <w:t>Service_Type</w:t>
            </w:r>
          </w:p>
        </w:tc>
        <w:tc>
          <w:tcPr>
            <w:tcW w:w="3823" w:type="dxa"/>
          </w:tcPr>
          <w:p w:rsidR="00F97D54" w:rsidRDefault="00F97D54" w:rsidP="00EB5B97">
            <w:pPr>
              <w:rPr>
                <w:sz w:val="16"/>
                <w:szCs w:val="16"/>
              </w:rPr>
            </w:pPr>
            <w:r>
              <w:rPr>
                <w:sz w:val="16"/>
                <w:szCs w:val="16"/>
              </w:rPr>
              <w:t xml:space="preserve">Indicate the service type category for which the expenditures are reported.  Enter “DS1” for </w:t>
            </w:r>
            <w:r w:rsidRPr="006A2CA4">
              <w:rPr>
                <w:i/>
                <w:sz w:val="16"/>
                <w:szCs w:val="16"/>
              </w:rPr>
              <w:t>DS1</w:t>
            </w:r>
            <w:r>
              <w:rPr>
                <w:i/>
                <w:sz w:val="16"/>
                <w:szCs w:val="16"/>
              </w:rPr>
              <w:t xml:space="preserve"> </w:t>
            </w:r>
            <w:r>
              <w:rPr>
                <w:sz w:val="16"/>
                <w:szCs w:val="16"/>
              </w:rPr>
              <w:t xml:space="preserve">expenditures, enter “DS3” for </w:t>
            </w:r>
            <w:r w:rsidRPr="006A2CA4">
              <w:rPr>
                <w:i/>
                <w:sz w:val="16"/>
                <w:szCs w:val="16"/>
              </w:rPr>
              <w:t>DS3</w:t>
            </w:r>
            <w:r w:rsidRPr="002103EE">
              <w:rPr>
                <w:sz w:val="16"/>
                <w:szCs w:val="16"/>
              </w:rPr>
              <w:t xml:space="preserve"> </w:t>
            </w:r>
            <w:r>
              <w:rPr>
                <w:sz w:val="16"/>
                <w:szCs w:val="16"/>
              </w:rPr>
              <w:t xml:space="preserve">expenditures, and enter “PBDS” for </w:t>
            </w:r>
            <w:r w:rsidRPr="006A2CA4">
              <w:rPr>
                <w:i/>
                <w:sz w:val="16"/>
                <w:szCs w:val="16"/>
              </w:rPr>
              <w:t>PBDS</w:t>
            </w:r>
            <w:r w:rsidRPr="002103EE">
              <w:rPr>
                <w:sz w:val="16"/>
                <w:szCs w:val="16"/>
              </w:rPr>
              <w:t xml:space="preserve"> </w:t>
            </w:r>
            <w:r>
              <w:rPr>
                <w:sz w:val="16"/>
                <w:szCs w:val="16"/>
              </w:rPr>
              <w:t>expenditures</w:t>
            </w:r>
          </w:p>
        </w:tc>
        <w:tc>
          <w:tcPr>
            <w:tcW w:w="991" w:type="dxa"/>
          </w:tcPr>
          <w:p w:rsidR="00F97D54" w:rsidRDefault="00F97D54" w:rsidP="00EB5B97">
            <w:pPr>
              <w:rPr>
                <w:sz w:val="16"/>
                <w:szCs w:val="16"/>
              </w:rPr>
            </w:pPr>
            <w:r>
              <w:rPr>
                <w:sz w:val="16"/>
                <w:szCs w:val="16"/>
              </w:rPr>
              <w:t>Text</w:t>
            </w:r>
          </w:p>
        </w:tc>
        <w:tc>
          <w:tcPr>
            <w:tcW w:w="1255" w:type="dxa"/>
          </w:tcPr>
          <w:p w:rsidR="00F97D54" w:rsidRDefault="00F97D54" w:rsidP="00EB5B97">
            <w:pPr>
              <w:rPr>
                <w:sz w:val="16"/>
                <w:szCs w:val="16"/>
              </w:rPr>
            </w:pPr>
            <w:r>
              <w:rPr>
                <w:sz w:val="16"/>
                <w:szCs w:val="16"/>
              </w:rPr>
              <w:t>DS3</w:t>
            </w:r>
          </w:p>
        </w:tc>
      </w:tr>
      <w:tr w:rsidR="00F97D54" w:rsidRPr="0063769F" w:rsidTr="00EB5B97">
        <w:trPr>
          <w:trHeight w:val="360"/>
        </w:trPr>
        <w:tc>
          <w:tcPr>
            <w:tcW w:w="2679" w:type="dxa"/>
          </w:tcPr>
          <w:p w:rsidR="00F97D54" w:rsidRDefault="00F97D54" w:rsidP="00EB5B97">
            <w:pPr>
              <w:rPr>
                <w:sz w:val="16"/>
                <w:szCs w:val="16"/>
              </w:rPr>
            </w:pPr>
            <w:r>
              <w:rPr>
                <w:sz w:val="16"/>
                <w:szCs w:val="16"/>
              </w:rPr>
              <w:t>Agreement_Type</w:t>
            </w:r>
          </w:p>
        </w:tc>
        <w:tc>
          <w:tcPr>
            <w:tcW w:w="3823" w:type="dxa"/>
          </w:tcPr>
          <w:p w:rsidR="00F97D54" w:rsidRPr="00FA3147" w:rsidRDefault="00F97D54" w:rsidP="00EB5B97">
            <w:pPr>
              <w:rPr>
                <w:sz w:val="16"/>
                <w:szCs w:val="16"/>
              </w:rPr>
            </w:pPr>
            <w:r>
              <w:rPr>
                <w:sz w:val="16"/>
                <w:szCs w:val="16"/>
              </w:rPr>
              <w:t>Enter the code for the appropriate contract type indicated in the question.  The codes must be a letter from “a” to “d”.  See instructions below the table for more information on the codes for Agreement_Type</w:t>
            </w:r>
          </w:p>
        </w:tc>
        <w:tc>
          <w:tcPr>
            <w:tcW w:w="991" w:type="dxa"/>
          </w:tcPr>
          <w:p w:rsidR="00F97D54" w:rsidRDefault="00F97D54" w:rsidP="00EB5B97">
            <w:pPr>
              <w:rPr>
                <w:sz w:val="16"/>
                <w:szCs w:val="16"/>
              </w:rPr>
            </w:pPr>
            <w:r>
              <w:rPr>
                <w:sz w:val="16"/>
                <w:szCs w:val="16"/>
              </w:rPr>
              <w:t>Text</w:t>
            </w:r>
          </w:p>
        </w:tc>
        <w:tc>
          <w:tcPr>
            <w:tcW w:w="1255" w:type="dxa"/>
          </w:tcPr>
          <w:p w:rsidR="00F97D54" w:rsidRDefault="00F97D54" w:rsidP="00EB5B97">
            <w:pPr>
              <w:rPr>
                <w:sz w:val="16"/>
                <w:szCs w:val="16"/>
              </w:rPr>
            </w:pPr>
            <w:r>
              <w:rPr>
                <w:sz w:val="16"/>
                <w:szCs w:val="16"/>
              </w:rPr>
              <w:t>c</w:t>
            </w:r>
          </w:p>
        </w:tc>
      </w:tr>
      <w:tr w:rsidR="00F97D54" w:rsidRPr="0063769F" w:rsidTr="00EB5B97">
        <w:trPr>
          <w:trHeight w:val="360"/>
        </w:trPr>
        <w:tc>
          <w:tcPr>
            <w:tcW w:w="2679" w:type="dxa"/>
          </w:tcPr>
          <w:p w:rsidR="00F97D54" w:rsidRDefault="00F97D54" w:rsidP="00EB5B97">
            <w:pPr>
              <w:rPr>
                <w:sz w:val="16"/>
                <w:szCs w:val="16"/>
              </w:rPr>
            </w:pPr>
            <w:r>
              <w:rPr>
                <w:sz w:val="16"/>
                <w:szCs w:val="16"/>
              </w:rPr>
              <w:t>Avg_Discount_PPBC</w:t>
            </w:r>
          </w:p>
        </w:tc>
        <w:tc>
          <w:tcPr>
            <w:tcW w:w="3823" w:type="dxa"/>
          </w:tcPr>
          <w:p w:rsidR="00F97D54" w:rsidRPr="00FA3147" w:rsidRDefault="00F97D54" w:rsidP="00EB5B97">
            <w:pPr>
              <w:rPr>
                <w:sz w:val="16"/>
                <w:szCs w:val="16"/>
              </w:rPr>
            </w:pPr>
            <w:r>
              <w:rPr>
                <w:sz w:val="16"/>
                <w:szCs w:val="16"/>
              </w:rPr>
              <w:t xml:space="preserve">If the Agreement_Type is coded as “d”, enter the average discount (in percentage terms) off the </w:t>
            </w:r>
            <w:r w:rsidRPr="006A2CA4">
              <w:rPr>
                <w:i/>
                <w:sz w:val="16"/>
                <w:szCs w:val="16"/>
              </w:rPr>
              <w:t>One Month Term Only Rate</w:t>
            </w:r>
            <w:r>
              <w:rPr>
                <w:sz w:val="16"/>
                <w:szCs w:val="16"/>
              </w:rPr>
              <w:t xml:space="preserve"> incorporated in the expenditures purchased under </w:t>
            </w:r>
            <w:r w:rsidRPr="006A2CA4">
              <w:rPr>
                <w:i/>
                <w:sz w:val="16"/>
                <w:szCs w:val="16"/>
              </w:rPr>
              <w:t>Tariffs</w:t>
            </w:r>
            <w:r>
              <w:rPr>
                <w:sz w:val="16"/>
                <w:szCs w:val="16"/>
              </w:rPr>
              <w:t xml:space="preserve"> that contained a </w:t>
            </w:r>
            <w:r w:rsidRPr="006A2CA4">
              <w:rPr>
                <w:i/>
                <w:sz w:val="16"/>
                <w:szCs w:val="16"/>
              </w:rPr>
              <w:t>Prior Purchase-Based Commitment</w:t>
            </w:r>
            <w:r>
              <w:rPr>
                <w:sz w:val="16"/>
                <w:szCs w:val="16"/>
              </w:rPr>
              <w:t>.  See the example in the question on how to calculate the average discount.  If Agreement_Type is not coded as “d”, leave the field blank</w:t>
            </w:r>
          </w:p>
        </w:tc>
        <w:tc>
          <w:tcPr>
            <w:tcW w:w="991" w:type="dxa"/>
          </w:tcPr>
          <w:p w:rsidR="00F97D54" w:rsidRDefault="00F97D54" w:rsidP="00EB5B97">
            <w:pPr>
              <w:rPr>
                <w:sz w:val="16"/>
                <w:szCs w:val="16"/>
              </w:rPr>
            </w:pPr>
            <w:r>
              <w:rPr>
                <w:sz w:val="16"/>
                <w:szCs w:val="16"/>
              </w:rPr>
              <w:t>Float</w:t>
            </w:r>
          </w:p>
        </w:tc>
        <w:tc>
          <w:tcPr>
            <w:tcW w:w="1255" w:type="dxa"/>
          </w:tcPr>
          <w:p w:rsidR="00F97D54" w:rsidRDefault="00F97D54" w:rsidP="00EB5B97">
            <w:pPr>
              <w:rPr>
                <w:sz w:val="16"/>
                <w:szCs w:val="16"/>
              </w:rPr>
            </w:pPr>
            <w:r>
              <w:rPr>
                <w:sz w:val="16"/>
                <w:szCs w:val="16"/>
              </w:rPr>
              <w:t>25</w:t>
            </w:r>
          </w:p>
        </w:tc>
      </w:tr>
      <w:tr w:rsidR="00F97D54" w:rsidRPr="0063769F" w:rsidTr="00EB5B97">
        <w:trPr>
          <w:trHeight w:val="360"/>
        </w:trPr>
        <w:tc>
          <w:tcPr>
            <w:tcW w:w="2679" w:type="dxa"/>
            <w:tcBorders>
              <w:bottom w:val="double" w:sz="4" w:space="0" w:color="auto"/>
            </w:tcBorders>
          </w:tcPr>
          <w:p w:rsidR="00F97D54" w:rsidRDefault="00F97D54" w:rsidP="00EB5B97">
            <w:pPr>
              <w:rPr>
                <w:sz w:val="16"/>
                <w:szCs w:val="16"/>
              </w:rPr>
            </w:pPr>
            <w:r>
              <w:rPr>
                <w:sz w:val="16"/>
                <w:szCs w:val="16"/>
              </w:rPr>
              <w:t>5orMore</w:t>
            </w:r>
          </w:p>
        </w:tc>
        <w:tc>
          <w:tcPr>
            <w:tcW w:w="3823" w:type="dxa"/>
            <w:tcBorders>
              <w:bottom w:val="double" w:sz="4" w:space="0" w:color="auto"/>
            </w:tcBorders>
          </w:tcPr>
          <w:p w:rsidR="00F97D54" w:rsidRPr="00F16C64" w:rsidRDefault="00F97D54" w:rsidP="00EB5B97">
            <w:pPr>
              <w:rPr>
                <w:sz w:val="16"/>
                <w:szCs w:val="16"/>
              </w:rPr>
            </w:pPr>
            <w:r>
              <w:rPr>
                <w:sz w:val="16"/>
                <w:szCs w:val="16"/>
              </w:rPr>
              <w:t>If the Year field is 2012, w</w:t>
            </w:r>
            <w:r w:rsidRPr="0078729C">
              <w:rPr>
                <w:sz w:val="16"/>
                <w:szCs w:val="16"/>
              </w:rPr>
              <w:t>hat percentage of your expenditures w</w:t>
            </w:r>
            <w:r>
              <w:rPr>
                <w:sz w:val="16"/>
                <w:szCs w:val="16"/>
              </w:rPr>
              <w:t>as</w:t>
            </w:r>
            <w:r w:rsidRPr="0078729C">
              <w:rPr>
                <w:sz w:val="16"/>
                <w:szCs w:val="16"/>
              </w:rPr>
              <w:t xml:space="preserve"> subject to a </w:t>
            </w:r>
            <w:r w:rsidRPr="0078729C">
              <w:rPr>
                <w:i/>
                <w:sz w:val="16"/>
                <w:szCs w:val="16"/>
              </w:rPr>
              <w:t>Term Commitment</w:t>
            </w:r>
            <w:r w:rsidRPr="0078729C">
              <w:rPr>
                <w:sz w:val="16"/>
                <w:szCs w:val="16"/>
              </w:rPr>
              <w:t xml:space="preserve"> of five or more years?</w:t>
            </w:r>
            <w:r>
              <w:rPr>
                <w:sz w:val="16"/>
                <w:szCs w:val="16"/>
              </w:rPr>
              <w:t xml:space="preserve">  </w:t>
            </w:r>
          </w:p>
        </w:tc>
        <w:tc>
          <w:tcPr>
            <w:tcW w:w="991" w:type="dxa"/>
            <w:tcBorders>
              <w:bottom w:val="double" w:sz="4" w:space="0" w:color="auto"/>
            </w:tcBorders>
          </w:tcPr>
          <w:p w:rsidR="00F97D54" w:rsidRDefault="00F97D54" w:rsidP="00EB5B97">
            <w:pPr>
              <w:rPr>
                <w:sz w:val="16"/>
                <w:szCs w:val="16"/>
              </w:rPr>
            </w:pPr>
            <w:r>
              <w:rPr>
                <w:sz w:val="16"/>
                <w:szCs w:val="16"/>
              </w:rPr>
              <w:t>Integer</w:t>
            </w:r>
          </w:p>
        </w:tc>
        <w:tc>
          <w:tcPr>
            <w:tcW w:w="1255" w:type="dxa"/>
            <w:tcBorders>
              <w:bottom w:val="double" w:sz="4" w:space="0" w:color="auto"/>
            </w:tcBorders>
          </w:tcPr>
          <w:p w:rsidR="00F97D54" w:rsidRDefault="00F97D54" w:rsidP="00EB5B97">
            <w:pPr>
              <w:rPr>
                <w:sz w:val="16"/>
                <w:szCs w:val="16"/>
              </w:rPr>
            </w:pPr>
            <w:r>
              <w:rPr>
                <w:sz w:val="16"/>
                <w:szCs w:val="16"/>
              </w:rPr>
              <w:t>45</w:t>
            </w:r>
          </w:p>
        </w:tc>
      </w:tr>
    </w:tbl>
    <w:p w:rsidR="00F97D54" w:rsidRDefault="00F97D54" w:rsidP="00EB5B97"/>
    <w:p w:rsidR="00F97D54" w:rsidRDefault="00F97D54" w:rsidP="00EB5B97">
      <w:r>
        <w:t>Note:  If there were no expenditures for a particular category or year, then report 0.</w:t>
      </w:r>
    </w:p>
    <w:p w:rsidR="00F97D54" w:rsidRDefault="00F97D54" w:rsidP="00EB5B97"/>
    <w:p w:rsidR="00F97D54" w:rsidRPr="00CF0319" w:rsidRDefault="00F97D54" w:rsidP="00EB5B97">
      <w:r>
        <w:t xml:space="preserve">Use the following codes for the Agreement_Type variable.  Enter “a” for expenditures on ALL purchases; enter “b” for expenditures on purchases at </w:t>
      </w:r>
      <w:r>
        <w:rPr>
          <w:i/>
        </w:rPr>
        <w:t>One Month Term Only Rates</w:t>
      </w:r>
      <w:r>
        <w:t xml:space="preserve">; enter “c” for expenditures purchased under </w:t>
      </w:r>
      <w:r>
        <w:rPr>
          <w:i/>
        </w:rPr>
        <w:t>Tariffs</w:t>
      </w:r>
      <w:r>
        <w:t xml:space="preserve"> that contained a </w:t>
      </w:r>
      <w:r>
        <w:rPr>
          <w:i/>
        </w:rPr>
        <w:t>Term Commitment</w:t>
      </w:r>
      <w:r>
        <w:t xml:space="preserve"> but not a </w:t>
      </w:r>
      <w:r>
        <w:rPr>
          <w:i/>
        </w:rPr>
        <w:t>Volume Commitment</w:t>
      </w:r>
      <w:r>
        <w:t xml:space="preserve">; enter “d” for expenditures purchased under </w:t>
      </w:r>
      <w:r>
        <w:rPr>
          <w:i/>
        </w:rPr>
        <w:t>Tariffs</w:t>
      </w:r>
      <w:r>
        <w:t xml:space="preserve"> that contained a </w:t>
      </w:r>
      <w:r>
        <w:rPr>
          <w:i/>
        </w:rPr>
        <w:t>Prior Purchase-Based Commitment</w:t>
      </w:r>
      <w:r>
        <w:t>.</w:t>
      </w:r>
    </w:p>
    <w:p w:rsidR="00F97D54" w:rsidRDefault="00F97D54" w:rsidP="00EB5B97"/>
    <w:p w:rsidR="00F97D54" w:rsidRDefault="00F97D54" w:rsidP="00EB5B97">
      <w:r w:rsidRPr="00A217F9">
        <w:rPr>
          <w:u w:val="single"/>
        </w:rPr>
        <w:t>5orMore</w:t>
      </w:r>
      <w:r>
        <w:t xml:space="preserve">:  Provide the percentage of your expenditures in 2012 that were subject to a </w:t>
      </w:r>
      <w:r w:rsidRPr="00A217F9">
        <w:rPr>
          <w:i/>
        </w:rPr>
        <w:t>Term Commitment</w:t>
      </w:r>
      <w:r>
        <w:t xml:space="preserve"> of five or more years.  If the Year field reported is 2010, then leave this field blank.</w:t>
      </w:r>
    </w:p>
    <w:p w:rsidR="00F97D54" w:rsidRDefault="00F97D54" w:rsidP="00EB5B97">
      <w:pPr>
        <w:rPr>
          <w:b/>
          <w:i/>
        </w:rPr>
      </w:pPr>
    </w:p>
    <w:p w:rsidR="00F97D54" w:rsidRPr="00E9084B" w:rsidRDefault="00F97D54" w:rsidP="00E9084B">
      <w:pPr>
        <w:pStyle w:val="Heading4"/>
        <w:numPr>
          <w:ilvl w:val="0"/>
          <w:numId w:val="0"/>
        </w:numPr>
        <w:tabs>
          <w:tab w:val="clear" w:pos="2880"/>
          <w:tab w:val="left" w:pos="0"/>
        </w:tabs>
        <w:rPr>
          <w:b w:val="0"/>
          <w:i/>
        </w:rPr>
      </w:pPr>
      <w:bookmarkStart w:id="149" w:name="_Toc365972132"/>
      <w:r w:rsidRPr="00E9084B">
        <w:rPr>
          <w:b w:val="0"/>
          <w:i/>
        </w:rPr>
        <w:t>Question II.E.6:  Expenditures with ILECs and Competitive Providers Pursuant to Non-Tariffs</w:t>
      </w:r>
      <w:bookmarkEnd w:id="149"/>
      <w:r w:rsidRPr="00E9084B">
        <w:rPr>
          <w:b w:val="0"/>
          <w:i/>
        </w:rPr>
        <w:t xml:space="preserve">  </w:t>
      </w:r>
    </w:p>
    <w:tbl>
      <w:tblPr>
        <w:tblW w:w="8838" w:type="dxa"/>
        <w:tblLook w:val="01E0" w:firstRow="1" w:lastRow="1" w:firstColumn="1" w:lastColumn="1" w:noHBand="0" w:noVBand="0"/>
      </w:tblPr>
      <w:tblGrid>
        <w:gridCol w:w="2830"/>
        <w:gridCol w:w="3718"/>
        <w:gridCol w:w="976"/>
        <w:gridCol w:w="1314"/>
      </w:tblGrid>
      <w:tr w:rsidR="00F97D54" w:rsidRPr="0063769F" w:rsidTr="00EB5B97">
        <w:trPr>
          <w:trHeight w:val="432"/>
          <w:tblHeader/>
        </w:trPr>
        <w:tc>
          <w:tcPr>
            <w:tcW w:w="8838" w:type="dxa"/>
            <w:gridSpan w:val="4"/>
            <w:tcBorders>
              <w:top w:val="double" w:sz="4" w:space="0" w:color="auto"/>
              <w:bottom w:val="single" w:sz="4" w:space="0" w:color="auto"/>
            </w:tcBorders>
            <w:vAlign w:val="center"/>
          </w:tcPr>
          <w:p w:rsidR="00F97D54" w:rsidRDefault="00F97D54" w:rsidP="00EB5B97">
            <w:pPr>
              <w:jc w:val="center"/>
              <w:rPr>
                <w:b/>
                <w:bCs/>
              </w:rPr>
            </w:pPr>
            <w:r w:rsidRPr="0063769F">
              <w:rPr>
                <w:b/>
              </w:rPr>
              <w:t xml:space="preserve">Table </w:t>
            </w:r>
            <w:r>
              <w:rPr>
                <w:b/>
                <w:bCs/>
              </w:rPr>
              <w:t>II.E.6</w:t>
            </w:r>
          </w:p>
          <w:p w:rsidR="00F97D54" w:rsidRDefault="00F97D54" w:rsidP="00EB5B97">
            <w:pPr>
              <w:jc w:val="center"/>
              <w:rPr>
                <w:b/>
                <w:bCs/>
              </w:rPr>
            </w:pPr>
            <w:r>
              <w:rPr>
                <w:b/>
                <w:bCs/>
              </w:rPr>
              <w:t xml:space="preserve">Record Format for Expenditures with </w:t>
            </w:r>
            <w:r w:rsidRPr="00062F4F">
              <w:rPr>
                <w:b/>
                <w:bCs/>
                <w:i/>
              </w:rPr>
              <w:t>ILECs</w:t>
            </w:r>
            <w:r>
              <w:rPr>
                <w:b/>
                <w:bCs/>
              </w:rPr>
              <w:t xml:space="preserve"> and </w:t>
            </w:r>
            <w:r w:rsidRPr="00062F4F">
              <w:rPr>
                <w:b/>
                <w:bCs/>
                <w:i/>
              </w:rPr>
              <w:t>Competitive Providers</w:t>
            </w:r>
            <w:r>
              <w:rPr>
                <w:b/>
                <w:bCs/>
              </w:rPr>
              <w:t xml:space="preserve"> </w:t>
            </w:r>
          </w:p>
          <w:p w:rsidR="00F97D54" w:rsidRPr="0063769F" w:rsidRDefault="00F97D54" w:rsidP="00EB5B97">
            <w:pPr>
              <w:jc w:val="center"/>
              <w:rPr>
                <w:b/>
              </w:rPr>
            </w:pPr>
            <w:r>
              <w:rPr>
                <w:b/>
                <w:bCs/>
              </w:rPr>
              <w:t>Pursuant to Non-Tariffed Agreement</w:t>
            </w:r>
          </w:p>
        </w:tc>
      </w:tr>
      <w:tr w:rsidR="00F97D54" w:rsidRPr="0063769F" w:rsidTr="00EB5B97">
        <w:trPr>
          <w:trHeight w:val="432"/>
          <w:tblHeader/>
        </w:trPr>
        <w:tc>
          <w:tcPr>
            <w:tcW w:w="2830" w:type="dxa"/>
            <w:tcBorders>
              <w:top w:val="single" w:sz="4" w:space="0" w:color="auto"/>
              <w:bottom w:val="single" w:sz="4" w:space="0" w:color="auto"/>
              <w:right w:val="single" w:sz="4" w:space="0" w:color="auto"/>
            </w:tcBorders>
            <w:vAlign w:val="center"/>
          </w:tcPr>
          <w:p w:rsidR="00F97D54" w:rsidRPr="0063769F" w:rsidRDefault="00F97D54" w:rsidP="00EB5B97">
            <w:pPr>
              <w:rPr>
                <w:b/>
                <w:sz w:val="18"/>
                <w:szCs w:val="18"/>
              </w:rPr>
            </w:pPr>
            <w:r w:rsidRPr="0063769F">
              <w:rPr>
                <w:b/>
                <w:sz w:val="18"/>
                <w:szCs w:val="18"/>
              </w:rPr>
              <w:t>Field Name</w:t>
            </w:r>
          </w:p>
        </w:tc>
        <w:tc>
          <w:tcPr>
            <w:tcW w:w="3718" w:type="dxa"/>
            <w:tcBorders>
              <w:top w:val="single" w:sz="4" w:space="0" w:color="auto"/>
              <w:left w:val="single" w:sz="4" w:space="0" w:color="auto"/>
              <w:bottom w:val="single" w:sz="4" w:space="0" w:color="auto"/>
              <w:right w:val="single" w:sz="4" w:space="0" w:color="auto"/>
            </w:tcBorders>
            <w:vAlign w:val="center"/>
          </w:tcPr>
          <w:p w:rsidR="00F97D54" w:rsidRPr="0063769F" w:rsidRDefault="00F97D54" w:rsidP="00EB5B97">
            <w:pPr>
              <w:rPr>
                <w:b/>
                <w:sz w:val="18"/>
                <w:szCs w:val="18"/>
              </w:rPr>
            </w:pPr>
            <w:r w:rsidRPr="0063769F">
              <w:rPr>
                <w:b/>
                <w:sz w:val="18"/>
                <w:szCs w:val="18"/>
              </w:rPr>
              <w:t>Description</w:t>
            </w:r>
          </w:p>
        </w:tc>
        <w:tc>
          <w:tcPr>
            <w:tcW w:w="976" w:type="dxa"/>
            <w:tcBorders>
              <w:top w:val="single" w:sz="4" w:space="0" w:color="auto"/>
              <w:left w:val="single" w:sz="4" w:space="0" w:color="auto"/>
              <w:bottom w:val="single" w:sz="4" w:space="0" w:color="auto"/>
              <w:right w:val="single" w:sz="4" w:space="0" w:color="auto"/>
            </w:tcBorders>
            <w:vAlign w:val="center"/>
          </w:tcPr>
          <w:p w:rsidR="00F97D54" w:rsidRPr="0063769F" w:rsidRDefault="00F97D54" w:rsidP="00EB5B97">
            <w:pPr>
              <w:rPr>
                <w:b/>
                <w:sz w:val="18"/>
                <w:szCs w:val="18"/>
              </w:rPr>
            </w:pPr>
            <w:r w:rsidRPr="0063769F">
              <w:rPr>
                <w:b/>
                <w:sz w:val="18"/>
                <w:szCs w:val="18"/>
              </w:rPr>
              <w:t>Type</w:t>
            </w:r>
          </w:p>
        </w:tc>
        <w:tc>
          <w:tcPr>
            <w:tcW w:w="1314" w:type="dxa"/>
            <w:tcBorders>
              <w:top w:val="single" w:sz="4" w:space="0" w:color="auto"/>
              <w:left w:val="single" w:sz="4" w:space="0" w:color="auto"/>
              <w:bottom w:val="single" w:sz="4" w:space="0" w:color="auto"/>
            </w:tcBorders>
            <w:vAlign w:val="center"/>
          </w:tcPr>
          <w:p w:rsidR="00F97D54" w:rsidRPr="0063769F" w:rsidRDefault="00F97D54" w:rsidP="00EB5B97">
            <w:pPr>
              <w:ind w:right="-108"/>
              <w:rPr>
                <w:b/>
                <w:sz w:val="18"/>
                <w:szCs w:val="18"/>
              </w:rPr>
            </w:pPr>
            <w:r w:rsidRPr="0063769F">
              <w:rPr>
                <w:b/>
                <w:sz w:val="18"/>
                <w:szCs w:val="18"/>
              </w:rPr>
              <w:t>Example</w:t>
            </w:r>
          </w:p>
        </w:tc>
      </w:tr>
      <w:tr w:rsidR="00F97D54" w:rsidRPr="0063769F" w:rsidTr="00EB5B97">
        <w:trPr>
          <w:trHeight w:val="360"/>
        </w:trPr>
        <w:tc>
          <w:tcPr>
            <w:tcW w:w="2830" w:type="dxa"/>
          </w:tcPr>
          <w:p w:rsidR="00F97D54" w:rsidRDefault="00F97D54" w:rsidP="00EB5B97">
            <w:pPr>
              <w:rPr>
                <w:sz w:val="16"/>
                <w:szCs w:val="16"/>
              </w:rPr>
            </w:pPr>
            <w:r>
              <w:rPr>
                <w:sz w:val="16"/>
                <w:szCs w:val="16"/>
              </w:rPr>
              <w:t>Expenditures</w:t>
            </w:r>
          </w:p>
        </w:tc>
        <w:tc>
          <w:tcPr>
            <w:tcW w:w="3718" w:type="dxa"/>
          </w:tcPr>
          <w:p w:rsidR="00F97D54" w:rsidRPr="0069743E" w:rsidRDefault="00F97D54" w:rsidP="00EB5B97">
            <w:pPr>
              <w:rPr>
                <w:sz w:val="16"/>
                <w:szCs w:val="16"/>
              </w:rPr>
            </w:pPr>
            <w:r>
              <w:rPr>
                <w:sz w:val="16"/>
                <w:szCs w:val="16"/>
              </w:rPr>
              <w:t>Enter the dollar value of e</w:t>
            </w:r>
            <w:r w:rsidRPr="002103EE">
              <w:rPr>
                <w:sz w:val="16"/>
                <w:szCs w:val="16"/>
              </w:rPr>
              <w:t>xpenditures</w:t>
            </w:r>
            <w:r>
              <w:rPr>
                <w:sz w:val="16"/>
                <w:szCs w:val="16"/>
              </w:rPr>
              <w:t xml:space="preserve"> on </w:t>
            </w:r>
            <w:r w:rsidRPr="004A2212">
              <w:rPr>
                <w:sz w:val="16"/>
                <w:szCs w:val="16"/>
              </w:rPr>
              <w:t>Dedicated Service</w:t>
            </w:r>
            <w:r w:rsidRPr="002103EE">
              <w:rPr>
                <w:sz w:val="16"/>
                <w:szCs w:val="16"/>
              </w:rPr>
              <w:t xml:space="preserve"> </w:t>
            </w:r>
            <w:r>
              <w:rPr>
                <w:sz w:val="16"/>
                <w:szCs w:val="16"/>
              </w:rPr>
              <w:t>for the corresponding categorical breakdown</w:t>
            </w:r>
          </w:p>
        </w:tc>
        <w:tc>
          <w:tcPr>
            <w:tcW w:w="976" w:type="dxa"/>
          </w:tcPr>
          <w:p w:rsidR="00F97D54" w:rsidRDefault="00F97D54" w:rsidP="00EB5B97">
            <w:pPr>
              <w:rPr>
                <w:sz w:val="16"/>
                <w:szCs w:val="16"/>
              </w:rPr>
            </w:pPr>
            <w:r>
              <w:rPr>
                <w:sz w:val="16"/>
                <w:szCs w:val="16"/>
              </w:rPr>
              <w:t>Float</w:t>
            </w:r>
          </w:p>
        </w:tc>
        <w:tc>
          <w:tcPr>
            <w:tcW w:w="1314" w:type="dxa"/>
          </w:tcPr>
          <w:p w:rsidR="00F97D54" w:rsidRDefault="00F97D54" w:rsidP="00EB5B97">
            <w:pPr>
              <w:rPr>
                <w:sz w:val="16"/>
                <w:szCs w:val="16"/>
              </w:rPr>
            </w:pPr>
            <w:r>
              <w:rPr>
                <w:sz w:val="16"/>
                <w:szCs w:val="16"/>
              </w:rPr>
              <w:t>5364821</w:t>
            </w:r>
          </w:p>
        </w:tc>
      </w:tr>
      <w:tr w:rsidR="00F97D54" w:rsidRPr="0063769F" w:rsidTr="00EB5B97">
        <w:trPr>
          <w:trHeight w:val="360"/>
        </w:trPr>
        <w:tc>
          <w:tcPr>
            <w:tcW w:w="2830" w:type="dxa"/>
          </w:tcPr>
          <w:p w:rsidR="00F97D54" w:rsidRDefault="00F97D54" w:rsidP="00EB5B97">
            <w:pPr>
              <w:rPr>
                <w:sz w:val="16"/>
                <w:szCs w:val="16"/>
              </w:rPr>
            </w:pPr>
            <w:r>
              <w:rPr>
                <w:sz w:val="16"/>
                <w:szCs w:val="16"/>
              </w:rPr>
              <w:t>Year</w:t>
            </w:r>
          </w:p>
        </w:tc>
        <w:tc>
          <w:tcPr>
            <w:tcW w:w="3718" w:type="dxa"/>
          </w:tcPr>
          <w:p w:rsidR="00F97D54" w:rsidRDefault="00F97D54" w:rsidP="00EB5B97">
            <w:pPr>
              <w:rPr>
                <w:sz w:val="16"/>
                <w:szCs w:val="16"/>
              </w:rPr>
            </w:pPr>
            <w:r>
              <w:rPr>
                <w:sz w:val="16"/>
                <w:szCs w:val="16"/>
              </w:rPr>
              <w:t>Enter “2010” if the reported expenditures are for the year 2010 and enter “2012” if the reported expenditures are for the year 2012</w:t>
            </w:r>
          </w:p>
        </w:tc>
        <w:tc>
          <w:tcPr>
            <w:tcW w:w="976" w:type="dxa"/>
          </w:tcPr>
          <w:p w:rsidR="00F97D54" w:rsidRDefault="00F97D54" w:rsidP="00EB5B97">
            <w:pPr>
              <w:rPr>
                <w:sz w:val="16"/>
                <w:szCs w:val="16"/>
              </w:rPr>
            </w:pPr>
            <w:r>
              <w:rPr>
                <w:sz w:val="16"/>
                <w:szCs w:val="16"/>
              </w:rPr>
              <w:t>Integer</w:t>
            </w:r>
          </w:p>
        </w:tc>
        <w:tc>
          <w:tcPr>
            <w:tcW w:w="1314" w:type="dxa"/>
          </w:tcPr>
          <w:p w:rsidR="00F97D54" w:rsidRDefault="00F97D54" w:rsidP="00EB5B97">
            <w:pPr>
              <w:rPr>
                <w:sz w:val="16"/>
                <w:szCs w:val="16"/>
              </w:rPr>
            </w:pPr>
            <w:r>
              <w:rPr>
                <w:sz w:val="16"/>
                <w:szCs w:val="16"/>
              </w:rPr>
              <w:t>2012</w:t>
            </w:r>
          </w:p>
        </w:tc>
      </w:tr>
      <w:tr w:rsidR="00F97D54" w:rsidRPr="0063769F" w:rsidTr="00EB5B97">
        <w:trPr>
          <w:trHeight w:val="360"/>
        </w:trPr>
        <w:tc>
          <w:tcPr>
            <w:tcW w:w="2830" w:type="dxa"/>
          </w:tcPr>
          <w:p w:rsidR="00F97D54" w:rsidRDefault="00F97D54" w:rsidP="00EB5B97">
            <w:pPr>
              <w:rPr>
                <w:sz w:val="16"/>
                <w:szCs w:val="16"/>
              </w:rPr>
            </w:pPr>
            <w:r>
              <w:rPr>
                <w:sz w:val="16"/>
                <w:szCs w:val="16"/>
              </w:rPr>
              <w:t>Provider_Type</w:t>
            </w:r>
          </w:p>
        </w:tc>
        <w:tc>
          <w:tcPr>
            <w:tcW w:w="3718" w:type="dxa"/>
          </w:tcPr>
          <w:p w:rsidR="00F97D54" w:rsidRPr="00AD3F37" w:rsidRDefault="00F97D54" w:rsidP="00EB5B97">
            <w:pPr>
              <w:rPr>
                <w:i/>
                <w:sz w:val="16"/>
                <w:szCs w:val="16"/>
              </w:rPr>
            </w:pPr>
            <w:r>
              <w:rPr>
                <w:sz w:val="16"/>
                <w:szCs w:val="16"/>
              </w:rPr>
              <w:t xml:space="preserve">Enter 0 if the reported expenditures are for purchases from </w:t>
            </w:r>
            <w:r>
              <w:rPr>
                <w:i/>
                <w:sz w:val="16"/>
                <w:szCs w:val="16"/>
              </w:rPr>
              <w:t>ILECs</w:t>
            </w:r>
            <w:r>
              <w:rPr>
                <w:sz w:val="16"/>
                <w:szCs w:val="16"/>
              </w:rPr>
              <w:t xml:space="preserve"> and enter 1 if the reported expenditures are for purchases from </w:t>
            </w:r>
            <w:r>
              <w:rPr>
                <w:i/>
                <w:sz w:val="16"/>
                <w:szCs w:val="16"/>
              </w:rPr>
              <w:t>Competitive Providers</w:t>
            </w:r>
          </w:p>
        </w:tc>
        <w:tc>
          <w:tcPr>
            <w:tcW w:w="976" w:type="dxa"/>
          </w:tcPr>
          <w:p w:rsidR="00F97D54" w:rsidRDefault="00F97D54" w:rsidP="00EB5B97">
            <w:pPr>
              <w:rPr>
                <w:sz w:val="16"/>
                <w:szCs w:val="16"/>
              </w:rPr>
            </w:pPr>
            <w:r>
              <w:rPr>
                <w:sz w:val="16"/>
                <w:szCs w:val="16"/>
              </w:rPr>
              <w:t>Binary</w:t>
            </w:r>
          </w:p>
        </w:tc>
        <w:tc>
          <w:tcPr>
            <w:tcW w:w="1314" w:type="dxa"/>
          </w:tcPr>
          <w:p w:rsidR="00F97D54" w:rsidRDefault="00F97D54" w:rsidP="00EB5B97">
            <w:pPr>
              <w:rPr>
                <w:sz w:val="16"/>
                <w:szCs w:val="16"/>
              </w:rPr>
            </w:pPr>
            <w:r>
              <w:rPr>
                <w:sz w:val="16"/>
                <w:szCs w:val="16"/>
              </w:rPr>
              <w:t>0</w:t>
            </w:r>
          </w:p>
        </w:tc>
      </w:tr>
      <w:tr w:rsidR="00F97D54" w:rsidRPr="0063769F" w:rsidTr="00EB5B97">
        <w:trPr>
          <w:trHeight w:val="360"/>
        </w:trPr>
        <w:tc>
          <w:tcPr>
            <w:tcW w:w="2830" w:type="dxa"/>
          </w:tcPr>
          <w:p w:rsidR="00F97D54" w:rsidRDefault="00F97D54" w:rsidP="00EB5B97">
            <w:pPr>
              <w:rPr>
                <w:sz w:val="16"/>
                <w:szCs w:val="16"/>
              </w:rPr>
            </w:pPr>
            <w:r>
              <w:rPr>
                <w:sz w:val="16"/>
                <w:szCs w:val="16"/>
              </w:rPr>
              <w:t>Service_Type</w:t>
            </w:r>
          </w:p>
        </w:tc>
        <w:tc>
          <w:tcPr>
            <w:tcW w:w="3718" w:type="dxa"/>
          </w:tcPr>
          <w:p w:rsidR="00F97D54" w:rsidRDefault="00F97D54" w:rsidP="00EB5B97">
            <w:pPr>
              <w:rPr>
                <w:sz w:val="16"/>
                <w:szCs w:val="16"/>
              </w:rPr>
            </w:pPr>
            <w:r>
              <w:rPr>
                <w:sz w:val="16"/>
                <w:szCs w:val="16"/>
              </w:rPr>
              <w:t xml:space="preserve">Indicate the service type category for which the expenditures are reported.  Enter “DS1” for </w:t>
            </w:r>
            <w:r w:rsidRPr="00AD3F37">
              <w:rPr>
                <w:i/>
                <w:sz w:val="16"/>
                <w:szCs w:val="16"/>
              </w:rPr>
              <w:t>DS1</w:t>
            </w:r>
            <w:r>
              <w:rPr>
                <w:i/>
                <w:sz w:val="16"/>
                <w:szCs w:val="16"/>
              </w:rPr>
              <w:t xml:space="preserve"> </w:t>
            </w:r>
            <w:r>
              <w:rPr>
                <w:sz w:val="16"/>
                <w:szCs w:val="16"/>
              </w:rPr>
              <w:t xml:space="preserve">expenditures, enter “DS3” for </w:t>
            </w:r>
            <w:r w:rsidRPr="00AD3F37">
              <w:rPr>
                <w:i/>
                <w:sz w:val="16"/>
                <w:szCs w:val="16"/>
              </w:rPr>
              <w:t>DS3</w:t>
            </w:r>
            <w:r w:rsidRPr="002103EE">
              <w:rPr>
                <w:sz w:val="16"/>
                <w:szCs w:val="16"/>
              </w:rPr>
              <w:t xml:space="preserve"> </w:t>
            </w:r>
            <w:r>
              <w:rPr>
                <w:sz w:val="16"/>
                <w:szCs w:val="16"/>
              </w:rPr>
              <w:t xml:space="preserve">expenditures, and enter “PBDS” for </w:t>
            </w:r>
            <w:r w:rsidRPr="00AD3F37">
              <w:rPr>
                <w:i/>
                <w:sz w:val="16"/>
                <w:szCs w:val="16"/>
              </w:rPr>
              <w:t>PBDS</w:t>
            </w:r>
            <w:r w:rsidRPr="002103EE">
              <w:rPr>
                <w:sz w:val="16"/>
                <w:szCs w:val="16"/>
              </w:rPr>
              <w:t xml:space="preserve"> </w:t>
            </w:r>
            <w:r>
              <w:rPr>
                <w:sz w:val="16"/>
                <w:szCs w:val="16"/>
              </w:rPr>
              <w:t>expenditures</w:t>
            </w:r>
          </w:p>
        </w:tc>
        <w:tc>
          <w:tcPr>
            <w:tcW w:w="976" w:type="dxa"/>
          </w:tcPr>
          <w:p w:rsidR="00F97D54" w:rsidRDefault="00F97D54" w:rsidP="00EB5B97">
            <w:pPr>
              <w:rPr>
                <w:sz w:val="16"/>
                <w:szCs w:val="16"/>
              </w:rPr>
            </w:pPr>
            <w:r>
              <w:rPr>
                <w:sz w:val="16"/>
                <w:szCs w:val="16"/>
              </w:rPr>
              <w:t>Text</w:t>
            </w:r>
          </w:p>
        </w:tc>
        <w:tc>
          <w:tcPr>
            <w:tcW w:w="1314" w:type="dxa"/>
          </w:tcPr>
          <w:p w:rsidR="00F97D54" w:rsidRDefault="00F97D54" w:rsidP="00EB5B97">
            <w:pPr>
              <w:rPr>
                <w:sz w:val="16"/>
                <w:szCs w:val="16"/>
              </w:rPr>
            </w:pPr>
            <w:r>
              <w:rPr>
                <w:sz w:val="16"/>
                <w:szCs w:val="16"/>
              </w:rPr>
              <w:t>DS3</w:t>
            </w:r>
          </w:p>
        </w:tc>
      </w:tr>
      <w:tr w:rsidR="00F97D54" w:rsidRPr="0063769F" w:rsidTr="00EB5B97">
        <w:trPr>
          <w:trHeight w:val="360"/>
        </w:trPr>
        <w:tc>
          <w:tcPr>
            <w:tcW w:w="2830" w:type="dxa"/>
          </w:tcPr>
          <w:p w:rsidR="00F97D54" w:rsidRDefault="00F97D54" w:rsidP="00EB5B97">
            <w:pPr>
              <w:rPr>
                <w:sz w:val="16"/>
                <w:szCs w:val="16"/>
              </w:rPr>
            </w:pPr>
            <w:r>
              <w:rPr>
                <w:sz w:val="16"/>
                <w:szCs w:val="16"/>
              </w:rPr>
              <w:t>Agreement_Type</w:t>
            </w:r>
          </w:p>
        </w:tc>
        <w:tc>
          <w:tcPr>
            <w:tcW w:w="3718" w:type="dxa"/>
          </w:tcPr>
          <w:p w:rsidR="00F97D54" w:rsidRPr="00FA3147" w:rsidRDefault="00F97D54" w:rsidP="00EB5B97">
            <w:pPr>
              <w:rPr>
                <w:sz w:val="16"/>
                <w:szCs w:val="16"/>
              </w:rPr>
            </w:pPr>
            <w:r>
              <w:rPr>
                <w:sz w:val="16"/>
                <w:szCs w:val="16"/>
              </w:rPr>
              <w:t>Enter the code for the appropriate contract type indicated in the question.  The codes must be a letter from “a” to “d”.  See instructions below the table for more information on the codes for Agreement_Type</w:t>
            </w:r>
          </w:p>
        </w:tc>
        <w:tc>
          <w:tcPr>
            <w:tcW w:w="976" w:type="dxa"/>
          </w:tcPr>
          <w:p w:rsidR="00F97D54" w:rsidRDefault="00F97D54" w:rsidP="00EB5B97">
            <w:pPr>
              <w:rPr>
                <w:sz w:val="16"/>
                <w:szCs w:val="16"/>
              </w:rPr>
            </w:pPr>
            <w:r>
              <w:rPr>
                <w:sz w:val="16"/>
                <w:szCs w:val="16"/>
              </w:rPr>
              <w:t>Text</w:t>
            </w:r>
          </w:p>
        </w:tc>
        <w:tc>
          <w:tcPr>
            <w:tcW w:w="1314" w:type="dxa"/>
          </w:tcPr>
          <w:p w:rsidR="00F97D54" w:rsidRDefault="00F97D54" w:rsidP="00EB5B97">
            <w:pPr>
              <w:rPr>
                <w:sz w:val="16"/>
                <w:szCs w:val="16"/>
              </w:rPr>
            </w:pPr>
            <w:r>
              <w:rPr>
                <w:sz w:val="16"/>
                <w:szCs w:val="16"/>
              </w:rPr>
              <w:t>c</w:t>
            </w:r>
          </w:p>
        </w:tc>
      </w:tr>
      <w:tr w:rsidR="00F97D54" w:rsidRPr="0063769F" w:rsidTr="00EB5B97">
        <w:trPr>
          <w:trHeight w:val="360"/>
        </w:trPr>
        <w:tc>
          <w:tcPr>
            <w:tcW w:w="2830" w:type="dxa"/>
            <w:tcBorders>
              <w:bottom w:val="double" w:sz="4" w:space="0" w:color="auto"/>
            </w:tcBorders>
          </w:tcPr>
          <w:p w:rsidR="00F97D54" w:rsidRDefault="00F97D54" w:rsidP="00EB5B97">
            <w:pPr>
              <w:rPr>
                <w:sz w:val="16"/>
                <w:szCs w:val="16"/>
              </w:rPr>
            </w:pPr>
            <w:r>
              <w:rPr>
                <w:sz w:val="16"/>
                <w:szCs w:val="16"/>
              </w:rPr>
              <w:t>Avg_Discount_PPBC</w:t>
            </w:r>
          </w:p>
        </w:tc>
        <w:tc>
          <w:tcPr>
            <w:tcW w:w="3718" w:type="dxa"/>
            <w:tcBorders>
              <w:bottom w:val="double" w:sz="4" w:space="0" w:color="auto"/>
            </w:tcBorders>
          </w:tcPr>
          <w:p w:rsidR="00F97D54" w:rsidRPr="00FA3147" w:rsidRDefault="00F97D54" w:rsidP="00EB5B97">
            <w:pPr>
              <w:rPr>
                <w:sz w:val="16"/>
                <w:szCs w:val="16"/>
              </w:rPr>
            </w:pPr>
            <w:r>
              <w:rPr>
                <w:sz w:val="16"/>
                <w:szCs w:val="16"/>
              </w:rPr>
              <w:t xml:space="preserve">If the Agreement_Type is coded as “d”, enter the average discount (in percentage terms) off the non-discounted rate incorporated in the expenditures purchased under non-tariffed agreements that contained a </w:t>
            </w:r>
            <w:r w:rsidRPr="00AD3F37">
              <w:rPr>
                <w:i/>
                <w:sz w:val="16"/>
                <w:szCs w:val="16"/>
              </w:rPr>
              <w:t>Prior Purchase-Based Commitment</w:t>
            </w:r>
            <w:r>
              <w:rPr>
                <w:sz w:val="16"/>
                <w:szCs w:val="16"/>
              </w:rPr>
              <w:t>.  See the example in the question on how to calculate the average discount.  If Agreement_Type is not coded as “d”, leave the field blank</w:t>
            </w:r>
          </w:p>
        </w:tc>
        <w:tc>
          <w:tcPr>
            <w:tcW w:w="976" w:type="dxa"/>
            <w:tcBorders>
              <w:bottom w:val="double" w:sz="4" w:space="0" w:color="auto"/>
            </w:tcBorders>
          </w:tcPr>
          <w:p w:rsidR="00F97D54" w:rsidRDefault="00F97D54" w:rsidP="00EB5B97">
            <w:pPr>
              <w:rPr>
                <w:sz w:val="16"/>
                <w:szCs w:val="16"/>
              </w:rPr>
            </w:pPr>
            <w:r>
              <w:rPr>
                <w:sz w:val="16"/>
                <w:szCs w:val="16"/>
              </w:rPr>
              <w:t>Float</w:t>
            </w:r>
          </w:p>
        </w:tc>
        <w:tc>
          <w:tcPr>
            <w:tcW w:w="1314" w:type="dxa"/>
            <w:tcBorders>
              <w:bottom w:val="double" w:sz="4" w:space="0" w:color="auto"/>
            </w:tcBorders>
          </w:tcPr>
          <w:p w:rsidR="00F97D54" w:rsidRDefault="00F97D54" w:rsidP="00EB5B97">
            <w:pPr>
              <w:rPr>
                <w:sz w:val="16"/>
                <w:szCs w:val="16"/>
              </w:rPr>
            </w:pPr>
            <w:r>
              <w:rPr>
                <w:sz w:val="16"/>
                <w:szCs w:val="16"/>
              </w:rPr>
              <w:t>25</w:t>
            </w:r>
          </w:p>
        </w:tc>
      </w:tr>
    </w:tbl>
    <w:p w:rsidR="00F97D54" w:rsidRDefault="00F97D54" w:rsidP="00EB5B97"/>
    <w:p w:rsidR="00F97D54" w:rsidRDefault="00F97D54" w:rsidP="00EB5B97">
      <w:r>
        <w:t>Note:  If there were no expenditures for a particular category or year, then report 0.</w:t>
      </w:r>
    </w:p>
    <w:p w:rsidR="00F97D54" w:rsidRDefault="00F97D54" w:rsidP="00EB5B97"/>
    <w:p w:rsidR="00F97D54" w:rsidRPr="00CF0319" w:rsidRDefault="00F97D54" w:rsidP="00EB5B97">
      <w:r>
        <w:t xml:space="preserve">Use the following codes for the Agreement_Type variable.  Enter “a” for expenditures on ALL purchases; enter “b” for expenditures purchased at non-discounted rates; enter “c” for expenditures purchased under a non-tariffed agreement that contained a </w:t>
      </w:r>
      <w:r>
        <w:rPr>
          <w:i/>
        </w:rPr>
        <w:t>Term Commitment</w:t>
      </w:r>
      <w:r>
        <w:t xml:space="preserve"> but not a </w:t>
      </w:r>
      <w:r>
        <w:rPr>
          <w:i/>
        </w:rPr>
        <w:t>Volume Commitment</w:t>
      </w:r>
      <w:r>
        <w:t xml:space="preserve">; enter “d” for expenditures purchased under a non-tariffed agreement that contained a </w:t>
      </w:r>
      <w:r>
        <w:rPr>
          <w:i/>
        </w:rPr>
        <w:t>Prior Purchase-Based Commitment</w:t>
      </w:r>
      <w:r>
        <w:t>.</w:t>
      </w:r>
    </w:p>
    <w:p w:rsidR="00F97D54" w:rsidRDefault="00F97D54" w:rsidP="00EB5B97"/>
    <w:p w:rsidR="00F97D54" w:rsidRPr="00E9084B" w:rsidRDefault="00F97D54" w:rsidP="00E9084B">
      <w:pPr>
        <w:pStyle w:val="Heading4"/>
        <w:numPr>
          <w:ilvl w:val="0"/>
          <w:numId w:val="0"/>
        </w:numPr>
        <w:rPr>
          <w:b w:val="0"/>
          <w:i/>
        </w:rPr>
      </w:pPr>
      <w:bookmarkStart w:id="150" w:name="_Toc365972133"/>
      <w:r w:rsidRPr="00E9084B">
        <w:rPr>
          <w:b w:val="0"/>
          <w:i/>
        </w:rPr>
        <w:t>Question II.E.7:  Expenditures under Tariffs for PBDS</w:t>
      </w:r>
      <w:bookmarkEnd w:id="150"/>
      <w:r w:rsidRPr="00E9084B">
        <w:rPr>
          <w:b w:val="0"/>
          <w:i/>
        </w:rPr>
        <w:t xml:space="preserve"> </w:t>
      </w:r>
    </w:p>
    <w:tbl>
      <w:tblPr>
        <w:tblW w:w="8838" w:type="dxa"/>
        <w:tblLook w:val="01E0" w:firstRow="1" w:lastRow="1" w:firstColumn="1" w:lastColumn="1" w:noHBand="0" w:noVBand="0"/>
      </w:tblPr>
      <w:tblGrid>
        <w:gridCol w:w="2679"/>
        <w:gridCol w:w="3823"/>
        <w:gridCol w:w="991"/>
        <w:gridCol w:w="1345"/>
      </w:tblGrid>
      <w:tr w:rsidR="00F97D54" w:rsidRPr="0063769F" w:rsidTr="00EB5B97">
        <w:trPr>
          <w:trHeight w:val="432"/>
          <w:tblHeader/>
        </w:trPr>
        <w:tc>
          <w:tcPr>
            <w:tcW w:w="8838" w:type="dxa"/>
            <w:gridSpan w:val="4"/>
            <w:tcBorders>
              <w:top w:val="double" w:sz="4" w:space="0" w:color="auto"/>
              <w:bottom w:val="single" w:sz="4" w:space="0" w:color="auto"/>
            </w:tcBorders>
            <w:vAlign w:val="center"/>
          </w:tcPr>
          <w:p w:rsidR="00F97D54" w:rsidRDefault="00F97D54" w:rsidP="00EB5B97">
            <w:pPr>
              <w:jc w:val="center"/>
              <w:rPr>
                <w:b/>
                <w:bCs/>
              </w:rPr>
            </w:pPr>
            <w:r w:rsidRPr="0063769F">
              <w:rPr>
                <w:b/>
              </w:rPr>
              <w:t xml:space="preserve">Table </w:t>
            </w:r>
            <w:r>
              <w:rPr>
                <w:b/>
                <w:bCs/>
              </w:rPr>
              <w:t>II.E.7</w:t>
            </w:r>
          </w:p>
          <w:p w:rsidR="00F97D54" w:rsidRDefault="00F97D54" w:rsidP="00EB5B97">
            <w:pPr>
              <w:jc w:val="center"/>
              <w:rPr>
                <w:b/>
                <w:bCs/>
              </w:rPr>
            </w:pPr>
            <w:r>
              <w:rPr>
                <w:b/>
                <w:bCs/>
              </w:rPr>
              <w:t xml:space="preserve">Record Format for Expenditures on </w:t>
            </w:r>
            <w:r w:rsidRPr="00A02E78">
              <w:rPr>
                <w:b/>
                <w:bCs/>
                <w:i/>
              </w:rPr>
              <w:t>PBDS</w:t>
            </w:r>
            <w:r>
              <w:rPr>
                <w:b/>
                <w:bCs/>
              </w:rPr>
              <w:t xml:space="preserve"> Purchased </w:t>
            </w:r>
          </w:p>
          <w:p w:rsidR="00F97D54" w:rsidRPr="00A02E78" w:rsidRDefault="00F97D54" w:rsidP="00EB5B97">
            <w:pPr>
              <w:jc w:val="center"/>
              <w:rPr>
                <w:b/>
                <w:bCs/>
              </w:rPr>
            </w:pPr>
            <w:r>
              <w:rPr>
                <w:b/>
                <w:bCs/>
              </w:rPr>
              <w:t xml:space="preserve">Pursuant to a </w:t>
            </w:r>
            <w:r w:rsidRPr="00A02E78">
              <w:rPr>
                <w:b/>
                <w:bCs/>
                <w:i/>
              </w:rPr>
              <w:t>Tariff</w:t>
            </w:r>
            <w:r>
              <w:rPr>
                <w:b/>
                <w:bCs/>
                <w:i/>
              </w:rPr>
              <w:t xml:space="preserve"> </w:t>
            </w:r>
            <w:r>
              <w:rPr>
                <w:b/>
                <w:bCs/>
              </w:rPr>
              <w:t>by Bandwidth Category</w:t>
            </w:r>
          </w:p>
        </w:tc>
      </w:tr>
      <w:tr w:rsidR="00F97D54" w:rsidRPr="0063769F" w:rsidTr="00EB5B97">
        <w:trPr>
          <w:trHeight w:val="432"/>
          <w:tblHeader/>
        </w:trPr>
        <w:tc>
          <w:tcPr>
            <w:tcW w:w="2679" w:type="dxa"/>
            <w:tcBorders>
              <w:top w:val="single" w:sz="4" w:space="0" w:color="auto"/>
              <w:bottom w:val="single" w:sz="4" w:space="0" w:color="auto"/>
              <w:right w:val="single" w:sz="4" w:space="0" w:color="auto"/>
            </w:tcBorders>
            <w:vAlign w:val="center"/>
          </w:tcPr>
          <w:p w:rsidR="00F97D54" w:rsidRPr="0063769F" w:rsidRDefault="00F97D54" w:rsidP="00EB5B97">
            <w:pPr>
              <w:rPr>
                <w:b/>
                <w:sz w:val="18"/>
                <w:szCs w:val="18"/>
              </w:rPr>
            </w:pPr>
            <w:r w:rsidRPr="0063769F">
              <w:rPr>
                <w:b/>
                <w:sz w:val="18"/>
                <w:szCs w:val="18"/>
              </w:rPr>
              <w:t>Field Name</w:t>
            </w:r>
          </w:p>
        </w:tc>
        <w:tc>
          <w:tcPr>
            <w:tcW w:w="3823" w:type="dxa"/>
            <w:tcBorders>
              <w:top w:val="single" w:sz="4" w:space="0" w:color="auto"/>
              <w:left w:val="single" w:sz="4" w:space="0" w:color="auto"/>
              <w:bottom w:val="single" w:sz="4" w:space="0" w:color="auto"/>
              <w:right w:val="single" w:sz="4" w:space="0" w:color="auto"/>
            </w:tcBorders>
            <w:vAlign w:val="center"/>
          </w:tcPr>
          <w:p w:rsidR="00F97D54" w:rsidRPr="0063769F" w:rsidRDefault="00F97D54" w:rsidP="00EB5B97">
            <w:pPr>
              <w:rPr>
                <w:b/>
                <w:sz w:val="18"/>
                <w:szCs w:val="18"/>
              </w:rPr>
            </w:pPr>
            <w:r w:rsidRPr="0063769F">
              <w:rPr>
                <w:b/>
                <w:sz w:val="18"/>
                <w:szCs w:val="18"/>
              </w:rPr>
              <w:t>Description</w:t>
            </w:r>
          </w:p>
        </w:tc>
        <w:tc>
          <w:tcPr>
            <w:tcW w:w="991" w:type="dxa"/>
            <w:tcBorders>
              <w:top w:val="single" w:sz="4" w:space="0" w:color="auto"/>
              <w:left w:val="single" w:sz="4" w:space="0" w:color="auto"/>
              <w:bottom w:val="single" w:sz="4" w:space="0" w:color="auto"/>
              <w:right w:val="single" w:sz="4" w:space="0" w:color="auto"/>
            </w:tcBorders>
            <w:vAlign w:val="center"/>
          </w:tcPr>
          <w:p w:rsidR="00F97D54" w:rsidRPr="0063769F" w:rsidRDefault="00F97D54" w:rsidP="00EB5B97">
            <w:pPr>
              <w:rPr>
                <w:b/>
                <w:sz w:val="18"/>
                <w:szCs w:val="18"/>
              </w:rPr>
            </w:pPr>
            <w:r w:rsidRPr="0063769F">
              <w:rPr>
                <w:b/>
                <w:sz w:val="18"/>
                <w:szCs w:val="18"/>
              </w:rPr>
              <w:t>Type</w:t>
            </w:r>
          </w:p>
        </w:tc>
        <w:tc>
          <w:tcPr>
            <w:tcW w:w="1345" w:type="dxa"/>
            <w:tcBorders>
              <w:top w:val="single" w:sz="4" w:space="0" w:color="auto"/>
              <w:left w:val="single" w:sz="4" w:space="0" w:color="auto"/>
              <w:bottom w:val="single" w:sz="4" w:space="0" w:color="auto"/>
            </w:tcBorders>
            <w:vAlign w:val="center"/>
          </w:tcPr>
          <w:p w:rsidR="00F97D54" w:rsidRPr="0063769F" w:rsidRDefault="00F97D54" w:rsidP="00EB5B97">
            <w:pPr>
              <w:ind w:right="-108"/>
              <w:rPr>
                <w:b/>
                <w:sz w:val="18"/>
                <w:szCs w:val="18"/>
              </w:rPr>
            </w:pPr>
            <w:r w:rsidRPr="0063769F">
              <w:rPr>
                <w:b/>
                <w:sz w:val="18"/>
                <w:szCs w:val="18"/>
              </w:rPr>
              <w:t>Example</w:t>
            </w:r>
          </w:p>
        </w:tc>
      </w:tr>
      <w:tr w:rsidR="00F97D54" w:rsidRPr="0063769F" w:rsidTr="00EB5B97">
        <w:trPr>
          <w:trHeight w:val="360"/>
        </w:trPr>
        <w:tc>
          <w:tcPr>
            <w:tcW w:w="2679" w:type="dxa"/>
          </w:tcPr>
          <w:p w:rsidR="00F97D54" w:rsidRDefault="00F97D54" w:rsidP="00EB5B97">
            <w:pPr>
              <w:rPr>
                <w:sz w:val="16"/>
                <w:szCs w:val="16"/>
              </w:rPr>
            </w:pPr>
            <w:r>
              <w:rPr>
                <w:sz w:val="16"/>
                <w:szCs w:val="16"/>
              </w:rPr>
              <w:t>Expenditures</w:t>
            </w:r>
          </w:p>
        </w:tc>
        <w:tc>
          <w:tcPr>
            <w:tcW w:w="3823" w:type="dxa"/>
          </w:tcPr>
          <w:p w:rsidR="00F97D54" w:rsidRPr="00AD3F37" w:rsidRDefault="00F97D54" w:rsidP="00EB5B97">
            <w:pPr>
              <w:rPr>
                <w:sz w:val="16"/>
                <w:szCs w:val="16"/>
              </w:rPr>
            </w:pPr>
            <w:r>
              <w:rPr>
                <w:sz w:val="16"/>
                <w:szCs w:val="16"/>
              </w:rPr>
              <w:t xml:space="preserve">Enter the dollar value of expenditures on </w:t>
            </w:r>
            <w:r>
              <w:rPr>
                <w:i/>
                <w:sz w:val="16"/>
                <w:szCs w:val="16"/>
              </w:rPr>
              <w:t>Tariffed PBDS</w:t>
            </w:r>
            <w:r>
              <w:rPr>
                <w:sz w:val="16"/>
                <w:szCs w:val="16"/>
              </w:rPr>
              <w:t xml:space="preserve"> service</w:t>
            </w:r>
          </w:p>
        </w:tc>
        <w:tc>
          <w:tcPr>
            <w:tcW w:w="991" w:type="dxa"/>
          </w:tcPr>
          <w:p w:rsidR="00F97D54" w:rsidRDefault="00F97D54" w:rsidP="00EB5B97">
            <w:pPr>
              <w:rPr>
                <w:sz w:val="16"/>
                <w:szCs w:val="16"/>
              </w:rPr>
            </w:pPr>
            <w:r>
              <w:rPr>
                <w:sz w:val="16"/>
                <w:szCs w:val="16"/>
              </w:rPr>
              <w:t>Float</w:t>
            </w:r>
          </w:p>
        </w:tc>
        <w:tc>
          <w:tcPr>
            <w:tcW w:w="1345" w:type="dxa"/>
          </w:tcPr>
          <w:p w:rsidR="00F97D54" w:rsidRPr="0063769F" w:rsidRDefault="00F97D54" w:rsidP="00EB5B97">
            <w:pPr>
              <w:rPr>
                <w:sz w:val="16"/>
                <w:szCs w:val="16"/>
              </w:rPr>
            </w:pPr>
            <w:r>
              <w:rPr>
                <w:sz w:val="16"/>
                <w:szCs w:val="16"/>
              </w:rPr>
              <w:t>4,321.00</w:t>
            </w:r>
          </w:p>
        </w:tc>
      </w:tr>
      <w:tr w:rsidR="00F97D54" w:rsidRPr="0063769F" w:rsidTr="00EB5B97">
        <w:trPr>
          <w:trHeight w:val="360"/>
        </w:trPr>
        <w:tc>
          <w:tcPr>
            <w:tcW w:w="2679" w:type="dxa"/>
          </w:tcPr>
          <w:p w:rsidR="00F97D54" w:rsidRDefault="00F97D54" w:rsidP="00EB5B97">
            <w:pPr>
              <w:rPr>
                <w:sz w:val="16"/>
                <w:szCs w:val="16"/>
              </w:rPr>
            </w:pPr>
            <w:r>
              <w:rPr>
                <w:sz w:val="16"/>
                <w:szCs w:val="16"/>
              </w:rPr>
              <w:t>Provider_Type</w:t>
            </w:r>
          </w:p>
        </w:tc>
        <w:tc>
          <w:tcPr>
            <w:tcW w:w="3823" w:type="dxa"/>
          </w:tcPr>
          <w:p w:rsidR="00F97D54" w:rsidRDefault="00F97D54" w:rsidP="00EB5B97">
            <w:pPr>
              <w:rPr>
                <w:sz w:val="16"/>
                <w:szCs w:val="16"/>
              </w:rPr>
            </w:pPr>
            <w:r>
              <w:rPr>
                <w:sz w:val="16"/>
                <w:szCs w:val="16"/>
              </w:rPr>
              <w:t xml:space="preserve">Enter 0 if the reported expenditures are for purchases from </w:t>
            </w:r>
            <w:r>
              <w:rPr>
                <w:i/>
                <w:sz w:val="16"/>
                <w:szCs w:val="16"/>
              </w:rPr>
              <w:t>ILECs</w:t>
            </w:r>
            <w:r>
              <w:rPr>
                <w:sz w:val="16"/>
                <w:szCs w:val="16"/>
              </w:rPr>
              <w:t xml:space="preserve"> and enter 1 if the reported expenditures are for purchases from </w:t>
            </w:r>
            <w:r>
              <w:rPr>
                <w:i/>
                <w:sz w:val="16"/>
                <w:szCs w:val="16"/>
              </w:rPr>
              <w:t>Competitive Providers</w:t>
            </w:r>
          </w:p>
        </w:tc>
        <w:tc>
          <w:tcPr>
            <w:tcW w:w="991" w:type="dxa"/>
          </w:tcPr>
          <w:p w:rsidR="00F97D54" w:rsidRDefault="00F97D54" w:rsidP="00EB5B97">
            <w:pPr>
              <w:rPr>
                <w:sz w:val="16"/>
                <w:szCs w:val="16"/>
              </w:rPr>
            </w:pPr>
            <w:r>
              <w:rPr>
                <w:sz w:val="16"/>
                <w:szCs w:val="16"/>
              </w:rPr>
              <w:t>Binary</w:t>
            </w:r>
          </w:p>
        </w:tc>
        <w:tc>
          <w:tcPr>
            <w:tcW w:w="1345" w:type="dxa"/>
          </w:tcPr>
          <w:p w:rsidR="00F97D54" w:rsidRDefault="00F97D54" w:rsidP="00EB5B97">
            <w:pPr>
              <w:rPr>
                <w:sz w:val="16"/>
                <w:szCs w:val="16"/>
              </w:rPr>
            </w:pPr>
            <w:r>
              <w:rPr>
                <w:sz w:val="16"/>
                <w:szCs w:val="16"/>
              </w:rPr>
              <w:t>0</w:t>
            </w:r>
          </w:p>
        </w:tc>
      </w:tr>
      <w:tr w:rsidR="00F97D54" w:rsidRPr="0063769F" w:rsidTr="00EB5B97">
        <w:trPr>
          <w:trHeight w:val="360"/>
        </w:trPr>
        <w:tc>
          <w:tcPr>
            <w:tcW w:w="2679" w:type="dxa"/>
          </w:tcPr>
          <w:p w:rsidR="00F97D54" w:rsidRDefault="00F97D54" w:rsidP="00EB5B97">
            <w:pPr>
              <w:rPr>
                <w:sz w:val="16"/>
                <w:szCs w:val="16"/>
              </w:rPr>
            </w:pPr>
            <w:r>
              <w:rPr>
                <w:sz w:val="16"/>
                <w:szCs w:val="16"/>
              </w:rPr>
              <w:t>Bandwidth</w:t>
            </w:r>
          </w:p>
        </w:tc>
        <w:tc>
          <w:tcPr>
            <w:tcW w:w="3823" w:type="dxa"/>
          </w:tcPr>
          <w:p w:rsidR="00F97D54" w:rsidRDefault="00F97D54" w:rsidP="00EB5B97">
            <w:pPr>
              <w:rPr>
                <w:sz w:val="16"/>
                <w:szCs w:val="16"/>
              </w:rPr>
            </w:pPr>
            <w:r>
              <w:rPr>
                <w:sz w:val="16"/>
                <w:szCs w:val="16"/>
              </w:rPr>
              <w:t>Indicate the bandwidth category for which the expenditures are reported.  Enter “A” for bandwidth less than or equal to 1.5 Mbps, enter “B” for bandwidth greater than 1.5 Mbps but less than or equal to 50 Mbps, enter “C” for bandwidth greater than 50 Mbps but less than or equal to 100 Mbps, enter “D” for bandwidth greater than 100 Mbps but less than or equal to 1 Gbps, and enter “E” for bandwidth greater than 1 Gbps</w:t>
            </w:r>
          </w:p>
        </w:tc>
        <w:tc>
          <w:tcPr>
            <w:tcW w:w="991" w:type="dxa"/>
          </w:tcPr>
          <w:p w:rsidR="00F97D54" w:rsidRDefault="00F97D54" w:rsidP="00EB5B97">
            <w:pPr>
              <w:rPr>
                <w:sz w:val="16"/>
                <w:szCs w:val="16"/>
              </w:rPr>
            </w:pPr>
            <w:r>
              <w:rPr>
                <w:sz w:val="16"/>
                <w:szCs w:val="16"/>
              </w:rPr>
              <w:t>Text</w:t>
            </w:r>
          </w:p>
        </w:tc>
        <w:tc>
          <w:tcPr>
            <w:tcW w:w="1345" w:type="dxa"/>
          </w:tcPr>
          <w:p w:rsidR="00F97D54" w:rsidRDefault="00F97D54" w:rsidP="00EB5B97">
            <w:pPr>
              <w:rPr>
                <w:sz w:val="16"/>
                <w:szCs w:val="16"/>
              </w:rPr>
            </w:pPr>
            <w:r>
              <w:rPr>
                <w:sz w:val="16"/>
                <w:szCs w:val="16"/>
              </w:rPr>
              <w:t>B</w:t>
            </w:r>
          </w:p>
        </w:tc>
      </w:tr>
      <w:tr w:rsidR="00F97D54" w:rsidRPr="0063769F" w:rsidTr="00EB5B97">
        <w:trPr>
          <w:trHeight w:val="360"/>
        </w:trPr>
        <w:tc>
          <w:tcPr>
            <w:tcW w:w="2679" w:type="dxa"/>
            <w:tcBorders>
              <w:bottom w:val="double" w:sz="4" w:space="0" w:color="auto"/>
            </w:tcBorders>
          </w:tcPr>
          <w:p w:rsidR="00F97D54" w:rsidRDefault="00F97D54" w:rsidP="00EB5B97">
            <w:pPr>
              <w:rPr>
                <w:sz w:val="16"/>
                <w:szCs w:val="16"/>
              </w:rPr>
            </w:pPr>
            <w:r>
              <w:rPr>
                <w:sz w:val="16"/>
                <w:szCs w:val="16"/>
              </w:rPr>
              <w:t>Year</w:t>
            </w:r>
          </w:p>
        </w:tc>
        <w:tc>
          <w:tcPr>
            <w:tcW w:w="3823" w:type="dxa"/>
            <w:tcBorders>
              <w:bottom w:val="double" w:sz="4" w:space="0" w:color="auto"/>
            </w:tcBorders>
          </w:tcPr>
          <w:p w:rsidR="00F97D54" w:rsidRDefault="00F97D54" w:rsidP="00EB5B97">
            <w:pPr>
              <w:rPr>
                <w:sz w:val="16"/>
                <w:szCs w:val="16"/>
              </w:rPr>
            </w:pPr>
            <w:r>
              <w:rPr>
                <w:sz w:val="16"/>
                <w:szCs w:val="16"/>
              </w:rPr>
              <w:t>Enter “2010” if the reported expenditures are for the year 2010 and enter “2012” if the reported expenditures are for the year 2012</w:t>
            </w:r>
          </w:p>
        </w:tc>
        <w:tc>
          <w:tcPr>
            <w:tcW w:w="991" w:type="dxa"/>
            <w:tcBorders>
              <w:bottom w:val="double" w:sz="4" w:space="0" w:color="auto"/>
            </w:tcBorders>
          </w:tcPr>
          <w:p w:rsidR="00F97D54" w:rsidRDefault="00F97D54" w:rsidP="00EB5B97">
            <w:pPr>
              <w:rPr>
                <w:sz w:val="16"/>
                <w:szCs w:val="16"/>
              </w:rPr>
            </w:pPr>
            <w:r>
              <w:rPr>
                <w:sz w:val="16"/>
                <w:szCs w:val="16"/>
              </w:rPr>
              <w:t>Integer</w:t>
            </w:r>
          </w:p>
        </w:tc>
        <w:tc>
          <w:tcPr>
            <w:tcW w:w="1345" w:type="dxa"/>
            <w:tcBorders>
              <w:bottom w:val="double" w:sz="4" w:space="0" w:color="auto"/>
            </w:tcBorders>
          </w:tcPr>
          <w:p w:rsidR="00F97D54" w:rsidRDefault="00F97D54" w:rsidP="00EB5B97">
            <w:pPr>
              <w:rPr>
                <w:sz w:val="16"/>
                <w:szCs w:val="16"/>
              </w:rPr>
            </w:pPr>
            <w:r>
              <w:rPr>
                <w:sz w:val="16"/>
                <w:szCs w:val="16"/>
              </w:rPr>
              <w:t>2012</w:t>
            </w:r>
          </w:p>
        </w:tc>
      </w:tr>
    </w:tbl>
    <w:p w:rsidR="00F97D54" w:rsidRDefault="00F97D54" w:rsidP="00EB5B97"/>
    <w:p w:rsidR="00F97D54" w:rsidRPr="00E9084B" w:rsidRDefault="00F97D54" w:rsidP="00E9084B">
      <w:pPr>
        <w:pStyle w:val="Heading4"/>
        <w:numPr>
          <w:ilvl w:val="0"/>
          <w:numId w:val="0"/>
        </w:numPr>
        <w:rPr>
          <w:b w:val="0"/>
          <w:i/>
        </w:rPr>
      </w:pPr>
      <w:bookmarkStart w:id="151" w:name="_Toc365972134"/>
      <w:r w:rsidRPr="00E9084B">
        <w:rPr>
          <w:b w:val="0"/>
          <w:i/>
        </w:rPr>
        <w:t>Question II.E.8:  Expenditures under Non-Tariffs for PBDS</w:t>
      </w:r>
      <w:bookmarkEnd w:id="151"/>
      <w:r w:rsidRPr="00E9084B">
        <w:rPr>
          <w:b w:val="0"/>
          <w:i/>
        </w:rPr>
        <w:t xml:space="preserve"> </w:t>
      </w:r>
    </w:p>
    <w:tbl>
      <w:tblPr>
        <w:tblW w:w="8838" w:type="dxa"/>
        <w:tblLook w:val="01E0" w:firstRow="1" w:lastRow="1" w:firstColumn="1" w:lastColumn="1" w:noHBand="0" w:noVBand="0"/>
      </w:tblPr>
      <w:tblGrid>
        <w:gridCol w:w="2679"/>
        <w:gridCol w:w="3823"/>
        <w:gridCol w:w="991"/>
        <w:gridCol w:w="1345"/>
      </w:tblGrid>
      <w:tr w:rsidR="00F97D54" w:rsidRPr="0063769F" w:rsidTr="00EB5B97">
        <w:trPr>
          <w:trHeight w:val="432"/>
          <w:tblHeader/>
        </w:trPr>
        <w:tc>
          <w:tcPr>
            <w:tcW w:w="8838" w:type="dxa"/>
            <w:gridSpan w:val="4"/>
            <w:tcBorders>
              <w:top w:val="double" w:sz="4" w:space="0" w:color="auto"/>
              <w:bottom w:val="single" w:sz="4" w:space="0" w:color="auto"/>
            </w:tcBorders>
            <w:vAlign w:val="center"/>
          </w:tcPr>
          <w:p w:rsidR="00F97D54" w:rsidRDefault="00F97D54" w:rsidP="00EB5B97">
            <w:pPr>
              <w:jc w:val="center"/>
              <w:rPr>
                <w:b/>
                <w:bCs/>
              </w:rPr>
            </w:pPr>
            <w:r w:rsidRPr="0063769F">
              <w:rPr>
                <w:b/>
              </w:rPr>
              <w:t xml:space="preserve">Table </w:t>
            </w:r>
            <w:r>
              <w:rPr>
                <w:b/>
                <w:bCs/>
              </w:rPr>
              <w:t>II.E.8</w:t>
            </w:r>
          </w:p>
          <w:p w:rsidR="00F97D54" w:rsidRPr="0063769F" w:rsidRDefault="00F97D54" w:rsidP="00EB5B97">
            <w:pPr>
              <w:jc w:val="center"/>
              <w:rPr>
                <w:b/>
              </w:rPr>
            </w:pPr>
            <w:r>
              <w:rPr>
                <w:b/>
                <w:bCs/>
              </w:rPr>
              <w:t xml:space="preserve">Record Format for Expenditures on </w:t>
            </w:r>
            <w:r w:rsidRPr="00713BC6">
              <w:rPr>
                <w:b/>
                <w:bCs/>
                <w:i/>
              </w:rPr>
              <w:t>PBDS</w:t>
            </w:r>
            <w:r>
              <w:rPr>
                <w:b/>
                <w:bCs/>
              </w:rPr>
              <w:t xml:space="preserve"> Pursuant to Non-Tariff Agreement</w:t>
            </w:r>
          </w:p>
        </w:tc>
      </w:tr>
      <w:tr w:rsidR="00F97D54" w:rsidRPr="0063769F" w:rsidTr="00EB5B97">
        <w:trPr>
          <w:trHeight w:val="432"/>
          <w:tblHeader/>
        </w:trPr>
        <w:tc>
          <w:tcPr>
            <w:tcW w:w="2679" w:type="dxa"/>
            <w:tcBorders>
              <w:top w:val="single" w:sz="4" w:space="0" w:color="auto"/>
              <w:bottom w:val="single" w:sz="4" w:space="0" w:color="auto"/>
              <w:right w:val="single" w:sz="4" w:space="0" w:color="auto"/>
            </w:tcBorders>
            <w:vAlign w:val="center"/>
          </w:tcPr>
          <w:p w:rsidR="00F97D54" w:rsidRPr="0063769F" w:rsidRDefault="00F97D54" w:rsidP="00EB5B97">
            <w:pPr>
              <w:rPr>
                <w:b/>
                <w:sz w:val="18"/>
                <w:szCs w:val="18"/>
              </w:rPr>
            </w:pPr>
            <w:r w:rsidRPr="0063769F">
              <w:rPr>
                <w:b/>
                <w:sz w:val="18"/>
                <w:szCs w:val="18"/>
              </w:rPr>
              <w:t>Field Name</w:t>
            </w:r>
          </w:p>
        </w:tc>
        <w:tc>
          <w:tcPr>
            <w:tcW w:w="3823" w:type="dxa"/>
            <w:tcBorders>
              <w:top w:val="single" w:sz="4" w:space="0" w:color="auto"/>
              <w:left w:val="single" w:sz="4" w:space="0" w:color="auto"/>
              <w:bottom w:val="single" w:sz="4" w:space="0" w:color="auto"/>
              <w:right w:val="single" w:sz="4" w:space="0" w:color="auto"/>
            </w:tcBorders>
            <w:vAlign w:val="center"/>
          </w:tcPr>
          <w:p w:rsidR="00F97D54" w:rsidRPr="0063769F" w:rsidRDefault="00F97D54" w:rsidP="00EB5B97">
            <w:pPr>
              <w:rPr>
                <w:b/>
                <w:sz w:val="18"/>
                <w:szCs w:val="18"/>
              </w:rPr>
            </w:pPr>
            <w:r w:rsidRPr="0063769F">
              <w:rPr>
                <w:b/>
                <w:sz w:val="18"/>
                <w:szCs w:val="18"/>
              </w:rPr>
              <w:t>Description</w:t>
            </w:r>
          </w:p>
        </w:tc>
        <w:tc>
          <w:tcPr>
            <w:tcW w:w="991" w:type="dxa"/>
            <w:tcBorders>
              <w:top w:val="single" w:sz="4" w:space="0" w:color="auto"/>
              <w:left w:val="single" w:sz="4" w:space="0" w:color="auto"/>
              <w:bottom w:val="single" w:sz="4" w:space="0" w:color="auto"/>
              <w:right w:val="single" w:sz="4" w:space="0" w:color="auto"/>
            </w:tcBorders>
            <w:vAlign w:val="center"/>
          </w:tcPr>
          <w:p w:rsidR="00F97D54" w:rsidRPr="0063769F" w:rsidRDefault="00F97D54" w:rsidP="00EB5B97">
            <w:pPr>
              <w:rPr>
                <w:b/>
                <w:sz w:val="18"/>
                <w:szCs w:val="18"/>
              </w:rPr>
            </w:pPr>
            <w:r w:rsidRPr="0063769F">
              <w:rPr>
                <w:b/>
                <w:sz w:val="18"/>
                <w:szCs w:val="18"/>
              </w:rPr>
              <w:t>Type</w:t>
            </w:r>
          </w:p>
        </w:tc>
        <w:tc>
          <w:tcPr>
            <w:tcW w:w="1345" w:type="dxa"/>
            <w:tcBorders>
              <w:top w:val="single" w:sz="4" w:space="0" w:color="auto"/>
              <w:left w:val="single" w:sz="4" w:space="0" w:color="auto"/>
              <w:bottom w:val="single" w:sz="4" w:space="0" w:color="auto"/>
            </w:tcBorders>
            <w:vAlign w:val="center"/>
          </w:tcPr>
          <w:p w:rsidR="00F97D54" w:rsidRPr="0063769F" w:rsidRDefault="00F97D54" w:rsidP="00EB5B97">
            <w:pPr>
              <w:ind w:right="-108"/>
              <w:rPr>
                <w:b/>
                <w:sz w:val="18"/>
                <w:szCs w:val="18"/>
              </w:rPr>
            </w:pPr>
            <w:r w:rsidRPr="0063769F">
              <w:rPr>
                <w:b/>
                <w:sz w:val="18"/>
                <w:szCs w:val="18"/>
              </w:rPr>
              <w:t>Example</w:t>
            </w:r>
          </w:p>
        </w:tc>
      </w:tr>
      <w:tr w:rsidR="00F97D54" w:rsidRPr="0063769F" w:rsidTr="00EB5B97">
        <w:trPr>
          <w:trHeight w:val="360"/>
        </w:trPr>
        <w:tc>
          <w:tcPr>
            <w:tcW w:w="2679" w:type="dxa"/>
          </w:tcPr>
          <w:p w:rsidR="00F97D54" w:rsidRDefault="00F97D54" w:rsidP="00EB5B97">
            <w:pPr>
              <w:rPr>
                <w:sz w:val="16"/>
                <w:szCs w:val="16"/>
              </w:rPr>
            </w:pPr>
            <w:r>
              <w:rPr>
                <w:sz w:val="16"/>
                <w:szCs w:val="16"/>
              </w:rPr>
              <w:t>Expenditures</w:t>
            </w:r>
          </w:p>
        </w:tc>
        <w:tc>
          <w:tcPr>
            <w:tcW w:w="3823" w:type="dxa"/>
          </w:tcPr>
          <w:p w:rsidR="00F97D54" w:rsidRPr="00626E23" w:rsidRDefault="00F97D54" w:rsidP="00EB5B97">
            <w:pPr>
              <w:rPr>
                <w:sz w:val="16"/>
                <w:szCs w:val="16"/>
              </w:rPr>
            </w:pPr>
            <w:r>
              <w:rPr>
                <w:sz w:val="16"/>
                <w:szCs w:val="16"/>
              </w:rPr>
              <w:t>Enter the dollar value of expenditures on non-</w:t>
            </w:r>
            <w:r>
              <w:rPr>
                <w:i/>
                <w:sz w:val="16"/>
                <w:szCs w:val="16"/>
              </w:rPr>
              <w:t>Tariffed PBDS</w:t>
            </w:r>
            <w:r>
              <w:rPr>
                <w:sz w:val="16"/>
                <w:szCs w:val="16"/>
              </w:rPr>
              <w:t xml:space="preserve"> service</w:t>
            </w:r>
          </w:p>
        </w:tc>
        <w:tc>
          <w:tcPr>
            <w:tcW w:w="991" w:type="dxa"/>
          </w:tcPr>
          <w:p w:rsidR="00F97D54" w:rsidRDefault="00F97D54" w:rsidP="00EB5B97">
            <w:pPr>
              <w:rPr>
                <w:sz w:val="16"/>
                <w:szCs w:val="16"/>
              </w:rPr>
            </w:pPr>
            <w:r>
              <w:rPr>
                <w:sz w:val="16"/>
                <w:szCs w:val="16"/>
              </w:rPr>
              <w:t>Float</w:t>
            </w:r>
          </w:p>
        </w:tc>
        <w:tc>
          <w:tcPr>
            <w:tcW w:w="1345" w:type="dxa"/>
          </w:tcPr>
          <w:p w:rsidR="00F97D54" w:rsidRPr="0063769F" w:rsidRDefault="00F97D54" w:rsidP="00EB5B97">
            <w:pPr>
              <w:rPr>
                <w:sz w:val="16"/>
                <w:szCs w:val="16"/>
              </w:rPr>
            </w:pPr>
            <w:r>
              <w:rPr>
                <w:sz w:val="16"/>
                <w:szCs w:val="16"/>
              </w:rPr>
              <w:t>4,321.00</w:t>
            </w:r>
          </w:p>
        </w:tc>
      </w:tr>
      <w:tr w:rsidR="00F97D54" w:rsidRPr="0063769F" w:rsidTr="00EB5B97">
        <w:trPr>
          <w:trHeight w:val="360"/>
        </w:trPr>
        <w:tc>
          <w:tcPr>
            <w:tcW w:w="2679" w:type="dxa"/>
          </w:tcPr>
          <w:p w:rsidR="00F97D54" w:rsidRDefault="00F97D54" w:rsidP="00EB5B97">
            <w:pPr>
              <w:rPr>
                <w:sz w:val="16"/>
                <w:szCs w:val="16"/>
              </w:rPr>
            </w:pPr>
            <w:r>
              <w:rPr>
                <w:sz w:val="16"/>
                <w:szCs w:val="16"/>
              </w:rPr>
              <w:t>Provider_Type</w:t>
            </w:r>
          </w:p>
        </w:tc>
        <w:tc>
          <w:tcPr>
            <w:tcW w:w="3823" w:type="dxa"/>
          </w:tcPr>
          <w:p w:rsidR="00F97D54" w:rsidRDefault="00F97D54" w:rsidP="00EB5B97">
            <w:pPr>
              <w:rPr>
                <w:sz w:val="16"/>
                <w:szCs w:val="16"/>
              </w:rPr>
            </w:pPr>
            <w:r>
              <w:rPr>
                <w:sz w:val="16"/>
                <w:szCs w:val="16"/>
              </w:rPr>
              <w:t xml:space="preserve">Enter 0 if the reported expenditures are for purchases from </w:t>
            </w:r>
            <w:r>
              <w:rPr>
                <w:i/>
                <w:sz w:val="16"/>
                <w:szCs w:val="16"/>
              </w:rPr>
              <w:t>ILECs</w:t>
            </w:r>
            <w:r>
              <w:rPr>
                <w:sz w:val="16"/>
                <w:szCs w:val="16"/>
              </w:rPr>
              <w:t xml:space="preserve"> and enter 1 if the reported expenditures are for purchases from </w:t>
            </w:r>
            <w:r>
              <w:rPr>
                <w:i/>
                <w:sz w:val="16"/>
                <w:szCs w:val="16"/>
              </w:rPr>
              <w:t>Competitive Providers</w:t>
            </w:r>
          </w:p>
        </w:tc>
        <w:tc>
          <w:tcPr>
            <w:tcW w:w="991" w:type="dxa"/>
          </w:tcPr>
          <w:p w:rsidR="00F97D54" w:rsidRDefault="00F97D54" w:rsidP="00EB5B97">
            <w:pPr>
              <w:rPr>
                <w:sz w:val="16"/>
                <w:szCs w:val="16"/>
              </w:rPr>
            </w:pPr>
            <w:r>
              <w:rPr>
                <w:sz w:val="16"/>
                <w:szCs w:val="16"/>
              </w:rPr>
              <w:t>Binary</w:t>
            </w:r>
          </w:p>
        </w:tc>
        <w:tc>
          <w:tcPr>
            <w:tcW w:w="1345" w:type="dxa"/>
          </w:tcPr>
          <w:p w:rsidR="00F97D54" w:rsidRDefault="00F97D54" w:rsidP="00EB5B97">
            <w:pPr>
              <w:rPr>
                <w:sz w:val="16"/>
                <w:szCs w:val="16"/>
              </w:rPr>
            </w:pPr>
            <w:r>
              <w:rPr>
                <w:sz w:val="16"/>
                <w:szCs w:val="16"/>
              </w:rPr>
              <w:t>0</w:t>
            </w:r>
          </w:p>
        </w:tc>
      </w:tr>
      <w:tr w:rsidR="00F97D54" w:rsidRPr="0063769F" w:rsidTr="00EB5B97">
        <w:trPr>
          <w:trHeight w:val="360"/>
        </w:trPr>
        <w:tc>
          <w:tcPr>
            <w:tcW w:w="2679" w:type="dxa"/>
          </w:tcPr>
          <w:p w:rsidR="00F97D54" w:rsidRDefault="00F97D54" w:rsidP="00EB5B97">
            <w:pPr>
              <w:rPr>
                <w:sz w:val="16"/>
                <w:szCs w:val="16"/>
              </w:rPr>
            </w:pPr>
            <w:r>
              <w:rPr>
                <w:sz w:val="16"/>
                <w:szCs w:val="16"/>
              </w:rPr>
              <w:t>Bandwidth</w:t>
            </w:r>
          </w:p>
        </w:tc>
        <w:tc>
          <w:tcPr>
            <w:tcW w:w="3823" w:type="dxa"/>
          </w:tcPr>
          <w:p w:rsidR="00F97D54" w:rsidRDefault="00F97D54" w:rsidP="00EB5B97">
            <w:pPr>
              <w:rPr>
                <w:sz w:val="16"/>
                <w:szCs w:val="16"/>
              </w:rPr>
            </w:pPr>
            <w:r>
              <w:rPr>
                <w:sz w:val="16"/>
                <w:szCs w:val="16"/>
              </w:rPr>
              <w:t>Indicate the bandwidth category for which the expenditures are reported.  Enter “A” for bandwidth less than or equal to 1.5 Mbps, enter “B” for bandwidth greater than 1.5 Mbps but less than or equal to 50 Mbps, enter “C” for bandwidth greater than 50 Mbps but less than or equal to 100 Mbps, enter “D” for bandwidth greater than 100 Mbps but less than or equal to 1 Gbps, and enter “E” for bandwidth greater than 1 Gbps</w:t>
            </w:r>
          </w:p>
        </w:tc>
        <w:tc>
          <w:tcPr>
            <w:tcW w:w="991" w:type="dxa"/>
          </w:tcPr>
          <w:p w:rsidR="00F97D54" w:rsidRDefault="00F97D54" w:rsidP="00EB5B97">
            <w:pPr>
              <w:rPr>
                <w:sz w:val="16"/>
                <w:szCs w:val="16"/>
              </w:rPr>
            </w:pPr>
            <w:r>
              <w:rPr>
                <w:sz w:val="16"/>
                <w:szCs w:val="16"/>
              </w:rPr>
              <w:t>Text</w:t>
            </w:r>
          </w:p>
        </w:tc>
        <w:tc>
          <w:tcPr>
            <w:tcW w:w="1345" w:type="dxa"/>
          </w:tcPr>
          <w:p w:rsidR="00F97D54" w:rsidRDefault="00F97D54" w:rsidP="00EB5B97">
            <w:pPr>
              <w:rPr>
                <w:sz w:val="16"/>
                <w:szCs w:val="16"/>
              </w:rPr>
            </w:pPr>
            <w:r>
              <w:rPr>
                <w:sz w:val="16"/>
                <w:szCs w:val="16"/>
              </w:rPr>
              <w:t>B</w:t>
            </w:r>
          </w:p>
        </w:tc>
      </w:tr>
      <w:tr w:rsidR="00F97D54" w:rsidRPr="0063769F" w:rsidTr="00EB5B97">
        <w:trPr>
          <w:trHeight w:val="360"/>
        </w:trPr>
        <w:tc>
          <w:tcPr>
            <w:tcW w:w="2679" w:type="dxa"/>
            <w:tcBorders>
              <w:bottom w:val="double" w:sz="4" w:space="0" w:color="auto"/>
            </w:tcBorders>
          </w:tcPr>
          <w:p w:rsidR="00F97D54" w:rsidRDefault="00F97D54" w:rsidP="00EB5B97">
            <w:pPr>
              <w:rPr>
                <w:sz w:val="16"/>
                <w:szCs w:val="16"/>
              </w:rPr>
            </w:pPr>
            <w:r>
              <w:rPr>
                <w:sz w:val="16"/>
                <w:szCs w:val="16"/>
              </w:rPr>
              <w:t>Year</w:t>
            </w:r>
          </w:p>
        </w:tc>
        <w:tc>
          <w:tcPr>
            <w:tcW w:w="3823" w:type="dxa"/>
            <w:tcBorders>
              <w:bottom w:val="double" w:sz="4" w:space="0" w:color="auto"/>
            </w:tcBorders>
          </w:tcPr>
          <w:p w:rsidR="00F97D54" w:rsidRDefault="00F97D54" w:rsidP="00EB5B97">
            <w:pPr>
              <w:rPr>
                <w:sz w:val="16"/>
                <w:szCs w:val="16"/>
              </w:rPr>
            </w:pPr>
            <w:r>
              <w:rPr>
                <w:sz w:val="16"/>
                <w:szCs w:val="16"/>
              </w:rPr>
              <w:t>Enter “2010” if the reported expenditures are for the year 2010 and enter “2012” if the reported expenditures are for the year 2012</w:t>
            </w:r>
          </w:p>
        </w:tc>
        <w:tc>
          <w:tcPr>
            <w:tcW w:w="991" w:type="dxa"/>
            <w:tcBorders>
              <w:bottom w:val="double" w:sz="4" w:space="0" w:color="auto"/>
            </w:tcBorders>
          </w:tcPr>
          <w:p w:rsidR="00F97D54" w:rsidRDefault="00F97D54" w:rsidP="00EB5B97">
            <w:pPr>
              <w:rPr>
                <w:sz w:val="16"/>
                <w:szCs w:val="16"/>
              </w:rPr>
            </w:pPr>
            <w:r>
              <w:rPr>
                <w:sz w:val="16"/>
                <w:szCs w:val="16"/>
              </w:rPr>
              <w:t>Integer</w:t>
            </w:r>
          </w:p>
        </w:tc>
        <w:tc>
          <w:tcPr>
            <w:tcW w:w="1345" w:type="dxa"/>
            <w:tcBorders>
              <w:bottom w:val="double" w:sz="4" w:space="0" w:color="auto"/>
            </w:tcBorders>
          </w:tcPr>
          <w:p w:rsidR="00F97D54" w:rsidRDefault="00F97D54" w:rsidP="00EB5B97">
            <w:pPr>
              <w:rPr>
                <w:sz w:val="16"/>
                <w:szCs w:val="16"/>
              </w:rPr>
            </w:pPr>
            <w:r>
              <w:rPr>
                <w:sz w:val="16"/>
                <w:szCs w:val="16"/>
              </w:rPr>
              <w:t>2012</w:t>
            </w:r>
          </w:p>
        </w:tc>
      </w:tr>
    </w:tbl>
    <w:p w:rsidR="00F97D54" w:rsidRDefault="00F97D54" w:rsidP="00EB5B97"/>
    <w:p w:rsidR="00F97D54" w:rsidRPr="00864A81" w:rsidRDefault="00F97D54" w:rsidP="00E9084B">
      <w:pPr>
        <w:pStyle w:val="Heading5"/>
        <w:numPr>
          <w:ilvl w:val="0"/>
          <w:numId w:val="0"/>
        </w:numPr>
      </w:pPr>
      <w:bookmarkStart w:id="152" w:name="_Toc365972135"/>
      <w:r>
        <w:t>Terms and Conditions Information</w:t>
      </w:r>
      <w:bookmarkEnd w:id="152"/>
    </w:p>
    <w:p w:rsidR="00F97D54" w:rsidRPr="00E9084B" w:rsidRDefault="00F97D54" w:rsidP="00E9084B">
      <w:pPr>
        <w:pStyle w:val="Heading4"/>
        <w:numPr>
          <w:ilvl w:val="0"/>
          <w:numId w:val="0"/>
        </w:numPr>
        <w:spacing w:after="0"/>
        <w:rPr>
          <w:b w:val="0"/>
          <w:i/>
        </w:rPr>
      </w:pPr>
      <w:bookmarkStart w:id="153" w:name="_Toc365972136"/>
      <w:r w:rsidRPr="00E9084B">
        <w:rPr>
          <w:b w:val="0"/>
          <w:i/>
        </w:rPr>
        <w:t>Question II.E.9:  Terms and Conditions Constraints</w:t>
      </w:r>
      <w:bookmarkEnd w:id="153"/>
      <w:r w:rsidRPr="00E9084B">
        <w:rPr>
          <w:b w:val="0"/>
          <w:i/>
        </w:rPr>
        <w:t xml:space="preserve"> </w:t>
      </w:r>
    </w:p>
    <w:p w:rsidR="00F97D54" w:rsidRPr="00E9084B" w:rsidRDefault="00F97D54" w:rsidP="00E9084B">
      <w:pPr>
        <w:pStyle w:val="Heading4"/>
        <w:numPr>
          <w:ilvl w:val="0"/>
          <w:numId w:val="0"/>
        </w:numPr>
        <w:spacing w:after="0"/>
        <w:rPr>
          <w:b w:val="0"/>
          <w:i/>
        </w:rPr>
      </w:pPr>
      <w:bookmarkStart w:id="154" w:name="_Toc365972137"/>
      <w:r w:rsidRPr="00E9084B">
        <w:rPr>
          <w:b w:val="0"/>
          <w:i/>
        </w:rPr>
        <w:t>Question II.E.10:  Changing Transport Providers</w:t>
      </w:r>
      <w:bookmarkEnd w:id="154"/>
      <w:r w:rsidRPr="00E9084B">
        <w:rPr>
          <w:b w:val="0"/>
          <w:i/>
        </w:rPr>
        <w:t xml:space="preserve"> </w:t>
      </w:r>
    </w:p>
    <w:p w:rsidR="00F97D54" w:rsidRPr="00E9084B" w:rsidRDefault="00F97D54" w:rsidP="00E9084B">
      <w:pPr>
        <w:pStyle w:val="Heading4"/>
        <w:numPr>
          <w:ilvl w:val="0"/>
          <w:numId w:val="0"/>
        </w:numPr>
        <w:tabs>
          <w:tab w:val="clear" w:pos="2880"/>
          <w:tab w:val="left" w:pos="0"/>
        </w:tabs>
        <w:spacing w:after="0"/>
        <w:rPr>
          <w:b w:val="0"/>
          <w:i/>
        </w:rPr>
      </w:pPr>
      <w:bookmarkStart w:id="155" w:name="_Toc365972138"/>
      <w:r w:rsidRPr="00E9084B">
        <w:rPr>
          <w:b w:val="0"/>
          <w:i/>
        </w:rPr>
        <w:t>Question II.E.11:  Purchases Solely for the Purpose of Meeting a Prior Purchase-Based Commitment</w:t>
      </w:r>
      <w:bookmarkEnd w:id="155"/>
      <w:r w:rsidRPr="00E9084B">
        <w:rPr>
          <w:b w:val="0"/>
          <w:i/>
        </w:rPr>
        <w:t xml:space="preserve"> </w:t>
      </w:r>
    </w:p>
    <w:p w:rsidR="00F97D54" w:rsidRPr="00E9084B" w:rsidRDefault="00F97D54" w:rsidP="00E9084B">
      <w:pPr>
        <w:pStyle w:val="Heading4"/>
        <w:numPr>
          <w:ilvl w:val="0"/>
          <w:numId w:val="0"/>
        </w:numPr>
        <w:spacing w:after="0"/>
        <w:rPr>
          <w:b w:val="0"/>
          <w:i/>
        </w:rPr>
      </w:pPr>
      <w:bookmarkStart w:id="156" w:name="_Toc365972139"/>
      <w:r w:rsidRPr="00E9084B">
        <w:rPr>
          <w:b w:val="0"/>
          <w:i/>
        </w:rPr>
        <w:t>Question II.E.12:  Switching Providers</w:t>
      </w:r>
      <w:bookmarkEnd w:id="156"/>
      <w:r w:rsidRPr="00E9084B">
        <w:rPr>
          <w:b w:val="0"/>
          <w:i/>
        </w:rPr>
        <w:t xml:space="preserve"> </w:t>
      </w:r>
    </w:p>
    <w:p w:rsidR="00F97D54" w:rsidRPr="00E9084B" w:rsidRDefault="00F97D54" w:rsidP="00E9084B">
      <w:pPr>
        <w:pStyle w:val="Heading4"/>
        <w:numPr>
          <w:ilvl w:val="0"/>
          <w:numId w:val="0"/>
        </w:numPr>
        <w:rPr>
          <w:b w:val="0"/>
          <w:i/>
        </w:rPr>
      </w:pPr>
      <w:bookmarkStart w:id="157" w:name="_Toc365972140"/>
      <w:r w:rsidRPr="00E9084B">
        <w:rPr>
          <w:b w:val="0"/>
          <w:i/>
        </w:rPr>
        <w:t>Question II.E.13:  Paying One Month Term Only Rates</w:t>
      </w:r>
      <w:bookmarkEnd w:id="157"/>
      <w:r w:rsidRPr="00E9084B">
        <w:rPr>
          <w:b w:val="0"/>
          <w:i/>
        </w:rPr>
        <w:t xml:space="preserve"> </w:t>
      </w:r>
    </w:p>
    <w:p w:rsidR="00F97D54" w:rsidRDefault="00F97D54" w:rsidP="00EB5B97">
      <w:r>
        <w:t xml:space="preserve">You must upload a .pdf text searchable (not a picture/image) document responding to these questions through the Special Access Web Portal in the “Essay Questions – File Upload” section; you will not include these documents in the data container.  </w:t>
      </w:r>
    </w:p>
    <w:p w:rsidR="00F97D54" w:rsidRDefault="00F97D54" w:rsidP="00EB5B97"/>
    <w:p w:rsidR="00F97D54" w:rsidRPr="00710DC0" w:rsidRDefault="00F97D54" w:rsidP="00EB5B97">
      <w:pPr>
        <w:rPr>
          <w:rStyle w:val="Emphasis"/>
          <w:i w:val="0"/>
        </w:rPr>
      </w:pPr>
      <w:r>
        <w:t xml:space="preserve">The web portal contains two areas for uploading documents for each question.  One is for uploading the “Confidential” version of the document where you </w:t>
      </w:r>
      <w:r>
        <w:rPr>
          <w:rStyle w:val="Emphasis"/>
          <w:i w:val="0"/>
        </w:rPr>
        <w:t xml:space="preserve">will indicate information deemed </w:t>
      </w:r>
      <w:r w:rsidRPr="00974151">
        <w:rPr>
          <w:rStyle w:val="Emphasis"/>
          <w:i w:val="0"/>
        </w:rPr>
        <w:t>Confidential</w:t>
      </w:r>
      <w:r>
        <w:rPr>
          <w:rStyle w:val="Emphasis"/>
          <w:i w:val="0"/>
        </w:rPr>
        <w:t xml:space="preserve"> and redact information that is </w:t>
      </w:r>
      <w:r w:rsidRPr="00974151">
        <w:rPr>
          <w:rStyle w:val="Emphasis"/>
          <w:i w:val="0"/>
        </w:rPr>
        <w:t>Highly Confidential</w:t>
      </w:r>
      <w:r>
        <w:rPr>
          <w:rStyle w:val="Emphasis"/>
          <w:i w:val="0"/>
        </w:rPr>
        <w:t xml:space="preserve"> based on the Protective Order issued for the data collection.  The second area is for uploading the “Highly Confidential” version of the document noting both </w:t>
      </w:r>
      <w:r w:rsidRPr="00974151">
        <w:rPr>
          <w:rStyle w:val="Emphasis"/>
          <w:i w:val="0"/>
        </w:rPr>
        <w:t>Confidential</w:t>
      </w:r>
      <w:r>
        <w:rPr>
          <w:rStyle w:val="Emphasis"/>
          <w:i w:val="0"/>
        </w:rPr>
        <w:t xml:space="preserve"> and </w:t>
      </w:r>
      <w:r w:rsidRPr="00974151">
        <w:rPr>
          <w:rStyle w:val="Emphasis"/>
          <w:i w:val="0"/>
        </w:rPr>
        <w:t>Highly Confidential</w:t>
      </w:r>
      <w:r>
        <w:rPr>
          <w:rStyle w:val="Emphasis"/>
          <w:i w:val="0"/>
        </w:rPr>
        <w:t xml:space="preserve"> information without any redactions.  You must upload at least one document in each area or you will receive an error message during the submission process.  If the document does not contain Confidential or Highly Confidential information, </w:t>
      </w:r>
      <w:r w:rsidRPr="00FF31E9">
        <w:rPr>
          <w:rStyle w:val="Emphasis"/>
        </w:rPr>
        <w:t>e.g.</w:t>
      </w:r>
      <w:r>
        <w:rPr>
          <w:rStyle w:val="Emphasis"/>
          <w:i w:val="0"/>
        </w:rPr>
        <w:t>, all information is publicly available, then upload the document in each area without the relevant Confidential/Highly Confidential notations or redactions in the case of the Confidential upload area.</w:t>
      </w:r>
    </w:p>
    <w:p w:rsidR="00F97D54" w:rsidRDefault="00F97D54" w:rsidP="00EB5B97"/>
    <w:p w:rsidR="00F97D54" w:rsidRDefault="00F97D54" w:rsidP="00EB5B97">
      <w:r w:rsidRPr="00256E2D">
        <w:rPr>
          <w:u w:val="single"/>
        </w:rPr>
        <w:t>Additional Note for Question</w:t>
      </w:r>
      <w:r>
        <w:rPr>
          <w:u w:val="single"/>
        </w:rPr>
        <w:t>s</w:t>
      </w:r>
      <w:r w:rsidRPr="00256E2D">
        <w:rPr>
          <w:u w:val="single"/>
        </w:rPr>
        <w:t xml:space="preserve"> II.E.9</w:t>
      </w:r>
      <w:r>
        <w:rPr>
          <w:u w:val="single"/>
        </w:rPr>
        <w:t>-11</w:t>
      </w:r>
      <w:r>
        <w:t xml:space="preserve">.  </w:t>
      </w:r>
      <w:r>
        <w:rPr>
          <w:szCs w:val="22"/>
        </w:rPr>
        <w:t>The</w:t>
      </w:r>
      <w:r w:rsidRPr="00904906">
        <w:rPr>
          <w:szCs w:val="22"/>
        </w:rPr>
        <w:t>s</w:t>
      </w:r>
      <w:r>
        <w:rPr>
          <w:szCs w:val="22"/>
        </w:rPr>
        <w:t>e</w:t>
      </w:r>
      <w:r w:rsidRPr="00904906">
        <w:rPr>
          <w:szCs w:val="22"/>
        </w:rPr>
        <w:t xml:space="preserve"> question</w:t>
      </w:r>
      <w:r>
        <w:rPr>
          <w:szCs w:val="22"/>
        </w:rPr>
        <w:t>s</w:t>
      </w:r>
      <w:r w:rsidRPr="00904906">
        <w:rPr>
          <w:szCs w:val="22"/>
        </w:rPr>
        <w:t xml:space="preserve"> </w:t>
      </w:r>
      <w:r>
        <w:rPr>
          <w:szCs w:val="22"/>
        </w:rPr>
        <w:t>are</w:t>
      </w:r>
      <w:r w:rsidRPr="00904906">
        <w:rPr>
          <w:szCs w:val="22"/>
        </w:rPr>
        <w:t xml:space="preserve"> intended to give you an opportunity to discuss any alleged </w:t>
      </w:r>
      <w:r>
        <w:rPr>
          <w:szCs w:val="22"/>
        </w:rPr>
        <w:t>concerns</w:t>
      </w:r>
      <w:r w:rsidRPr="00904906">
        <w:rPr>
          <w:szCs w:val="22"/>
        </w:rPr>
        <w:t xml:space="preserve"> that you are having with terms and conditions associated with the purchase of </w:t>
      </w:r>
      <w:r w:rsidRPr="00904906">
        <w:rPr>
          <w:i/>
          <w:szCs w:val="22"/>
        </w:rPr>
        <w:t>Dedicated Services</w:t>
      </w:r>
      <w:r>
        <w:rPr>
          <w:szCs w:val="22"/>
        </w:rPr>
        <w:t xml:space="preserve"> or with changing </w:t>
      </w:r>
      <w:r w:rsidRPr="00C03F08">
        <w:rPr>
          <w:i/>
          <w:szCs w:val="22"/>
        </w:rPr>
        <w:t>Providers</w:t>
      </w:r>
      <w:r w:rsidRPr="00904906">
        <w:rPr>
          <w:szCs w:val="22"/>
        </w:rPr>
        <w:t xml:space="preserve">.  If you do not need, or want, to provide a response, </w:t>
      </w:r>
      <w:r w:rsidRPr="00904906">
        <w:rPr>
          <w:i/>
          <w:szCs w:val="22"/>
        </w:rPr>
        <w:t>e.g.</w:t>
      </w:r>
      <w:r w:rsidRPr="00904906">
        <w:rPr>
          <w:szCs w:val="22"/>
        </w:rPr>
        <w:t xml:space="preserve">, you do not have any alleged </w:t>
      </w:r>
      <w:r>
        <w:rPr>
          <w:szCs w:val="22"/>
        </w:rPr>
        <w:t>concerns</w:t>
      </w:r>
      <w:r w:rsidRPr="00904906">
        <w:rPr>
          <w:szCs w:val="22"/>
        </w:rPr>
        <w:t xml:space="preserve"> with terms and conditions, then you can simply respond</w:t>
      </w:r>
      <w:r>
        <w:rPr>
          <w:szCs w:val="22"/>
        </w:rPr>
        <w:t xml:space="preserve"> stating as such.</w:t>
      </w:r>
      <w:r w:rsidRPr="00904906">
        <w:rPr>
          <w:szCs w:val="22"/>
        </w:rPr>
        <w:t xml:space="preserve">  </w:t>
      </w:r>
    </w:p>
    <w:p w:rsidR="00F97D54" w:rsidRDefault="00F97D54" w:rsidP="00EB5B97"/>
    <w:p w:rsidR="00F97D54" w:rsidRDefault="00F97D54" w:rsidP="00F6299F">
      <w:pPr>
        <w:widowControl/>
      </w:pPr>
      <w:r w:rsidRPr="00C12612">
        <w:rPr>
          <w:u w:val="single"/>
        </w:rPr>
        <w:t>Additional Note for Question II.E.12</w:t>
      </w:r>
      <w:r>
        <w:t xml:space="preserve">.  The purpose of this question is to assess the frequency of switching </w:t>
      </w:r>
      <w:r w:rsidRPr="00750538">
        <w:rPr>
          <w:i/>
        </w:rPr>
        <w:t>Providers</w:t>
      </w:r>
      <w:r>
        <w:t xml:space="preserve"> for </w:t>
      </w:r>
      <w:r w:rsidRPr="00750538">
        <w:rPr>
          <w:i/>
        </w:rPr>
        <w:t>End-User Channel Terminations</w:t>
      </w:r>
      <w:r>
        <w:t xml:space="preserve"> at as granular a geographic level as possible.  Respondents may define their own geographic areas.  Given the level of detail required in other parts of the data collection, respondents need only provide switching history in five geographic areas of their choice or more.  Respondents may provide switching history for less than five years if they do not keep such information in the regular course of business.</w:t>
      </w:r>
    </w:p>
    <w:p w:rsidR="00F97D54" w:rsidRDefault="00F97D54" w:rsidP="00EB5B97"/>
    <w:p w:rsidR="00F97D54" w:rsidRDefault="00F97D54" w:rsidP="00EB5B97">
      <w:r w:rsidRPr="00326E14">
        <w:rPr>
          <w:u w:val="single"/>
        </w:rPr>
        <w:t>Additional Note for Question II.E.13</w:t>
      </w:r>
      <w:r>
        <w:t xml:space="preserve">.  The purpose of this question is to understand the economic impact of paying </w:t>
      </w:r>
      <w:r w:rsidRPr="00326E14">
        <w:rPr>
          <w:i/>
        </w:rPr>
        <w:t>One Month Term Only Rates</w:t>
      </w:r>
      <w:r>
        <w:t xml:space="preserve"> on your business and consumers.  Given the level of detail required in other parts of the data collection, respondents may provide information over a shorter timeframe.  Alternatively, respondents who do not need or want to provide a response, </w:t>
      </w:r>
      <w:r w:rsidRPr="00326E14">
        <w:rPr>
          <w:i/>
        </w:rPr>
        <w:t>e.g.</w:t>
      </w:r>
      <w:r>
        <w:t xml:space="preserve">, you do not have any alleged concerns with paying </w:t>
      </w:r>
      <w:r w:rsidRPr="00326E14">
        <w:rPr>
          <w:i/>
        </w:rPr>
        <w:t>One Month Term Only Rates</w:t>
      </w:r>
      <w:r>
        <w:t xml:space="preserve">, then you can simply respond stating as such.  </w:t>
      </w:r>
    </w:p>
    <w:p w:rsidR="00F97D54" w:rsidRDefault="00F97D54" w:rsidP="00EB5B97"/>
    <w:p w:rsidR="00F97D54" w:rsidRPr="00E9084B" w:rsidRDefault="00F97D54" w:rsidP="00E9084B">
      <w:pPr>
        <w:pStyle w:val="Heading4"/>
        <w:numPr>
          <w:ilvl w:val="0"/>
          <w:numId w:val="0"/>
        </w:numPr>
        <w:rPr>
          <w:b w:val="0"/>
          <w:i/>
        </w:rPr>
      </w:pPr>
      <w:bookmarkStart w:id="158" w:name="_Toc365972141"/>
      <w:r w:rsidRPr="00E9084B">
        <w:rPr>
          <w:b w:val="0"/>
          <w:i/>
        </w:rPr>
        <w:t>Question II.E.14:  Tariffs under which you Purchase Service</w:t>
      </w:r>
      <w:bookmarkEnd w:id="158"/>
      <w:r w:rsidRPr="00E9084B">
        <w:rPr>
          <w:b w:val="0"/>
          <w:i/>
        </w:rPr>
        <w:t xml:space="preserve"> </w:t>
      </w:r>
    </w:p>
    <w:tbl>
      <w:tblPr>
        <w:tblW w:w="8838" w:type="dxa"/>
        <w:tblLook w:val="01E0" w:firstRow="1" w:lastRow="1" w:firstColumn="1" w:lastColumn="1" w:noHBand="0" w:noVBand="0"/>
      </w:tblPr>
      <w:tblGrid>
        <w:gridCol w:w="2679"/>
        <w:gridCol w:w="3823"/>
        <w:gridCol w:w="991"/>
        <w:gridCol w:w="1345"/>
      </w:tblGrid>
      <w:tr w:rsidR="00F97D54" w:rsidRPr="0063769F" w:rsidTr="00EB5B97">
        <w:trPr>
          <w:trHeight w:val="432"/>
          <w:tblHeader/>
        </w:trPr>
        <w:tc>
          <w:tcPr>
            <w:tcW w:w="8838" w:type="dxa"/>
            <w:gridSpan w:val="4"/>
            <w:tcBorders>
              <w:top w:val="double" w:sz="4" w:space="0" w:color="auto"/>
              <w:bottom w:val="single" w:sz="4" w:space="0" w:color="auto"/>
            </w:tcBorders>
            <w:vAlign w:val="center"/>
          </w:tcPr>
          <w:p w:rsidR="00F97D54" w:rsidRDefault="00F97D54" w:rsidP="00EB5B97">
            <w:pPr>
              <w:jc w:val="center"/>
              <w:rPr>
                <w:b/>
                <w:bCs/>
              </w:rPr>
            </w:pPr>
            <w:r w:rsidRPr="0063769F">
              <w:rPr>
                <w:b/>
              </w:rPr>
              <w:t xml:space="preserve">Table </w:t>
            </w:r>
            <w:r>
              <w:rPr>
                <w:b/>
                <w:bCs/>
              </w:rPr>
              <w:t>II.E.14</w:t>
            </w:r>
          </w:p>
          <w:p w:rsidR="00F97D54" w:rsidRPr="0063769F" w:rsidRDefault="00F97D54" w:rsidP="00EB5B97">
            <w:pPr>
              <w:jc w:val="center"/>
              <w:rPr>
                <w:b/>
              </w:rPr>
            </w:pPr>
            <w:r>
              <w:rPr>
                <w:b/>
                <w:bCs/>
              </w:rPr>
              <w:t xml:space="preserve">Record Format for </w:t>
            </w:r>
            <w:r w:rsidRPr="00F05758">
              <w:rPr>
                <w:b/>
                <w:bCs/>
                <w:i/>
              </w:rPr>
              <w:t>Tariffs</w:t>
            </w:r>
            <w:r>
              <w:rPr>
                <w:b/>
                <w:bCs/>
              </w:rPr>
              <w:t xml:space="preserve"> under which you Purchase Service</w:t>
            </w:r>
          </w:p>
        </w:tc>
      </w:tr>
      <w:tr w:rsidR="00F97D54" w:rsidRPr="0063769F" w:rsidTr="00EB5B97">
        <w:trPr>
          <w:trHeight w:val="432"/>
          <w:tblHeader/>
        </w:trPr>
        <w:tc>
          <w:tcPr>
            <w:tcW w:w="2679" w:type="dxa"/>
            <w:tcBorders>
              <w:top w:val="single" w:sz="4" w:space="0" w:color="auto"/>
              <w:bottom w:val="single" w:sz="4" w:space="0" w:color="auto"/>
              <w:right w:val="single" w:sz="4" w:space="0" w:color="auto"/>
            </w:tcBorders>
            <w:vAlign w:val="center"/>
          </w:tcPr>
          <w:p w:rsidR="00F97D54" w:rsidRPr="0063769F" w:rsidRDefault="00F97D54" w:rsidP="00EB5B97">
            <w:pPr>
              <w:rPr>
                <w:b/>
                <w:sz w:val="18"/>
                <w:szCs w:val="18"/>
              </w:rPr>
            </w:pPr>
            <w:r w:rsidRPr="0063769F">
              <w:rPr>
                <w:b/>
                <w:sz w:val="18"/>
                <w:szCs w:val="18"/>
              </w:rPr>
              <w:t>Field Name</w:t>
            </w:r>
          </w:p>
        </w:tc>
        <w:tc>
          <w:tcPr>
            <w:tcW w:w="3823" w:type="dxa"/>
            <w:tcBorders>
              <w:top w:val="single" w:sz="4" w:space="0" w:color="auto"/>
              <w:left w:val="single" w:sz="4" w:space="0" w:color="auto"/>
              <w:bottom w:val="single" w:sz="4" w:space="0" w:color="auto"/>
              <w:right w:val="single" w:sz="4" w:space="0" w:color="auto"/>
            </w:tcBorders>
            <w:vAlign w:val="center"/>
          </w:tcPr>
          <w:p w:rsidR="00F97D54" w:rsidRPr="00512AA0" w:rsidRDefault="00F97D54" w:rsidP="00EB5B97">
            <w:pPr>
              <w:rPr>
                <w:b/>
                <w:sz w:val="18"/>
                <w:szCs w:val="18"/>
              </w:rPr>
            </w:pPr>
            <w:r w:rsidRPr="00512AA0">
              <w:rPr>
                <w:b/>
                <w:sz w:val="18"/>
                <w:szCs w:val="18"/>
              </w:rPr>
              <w:t>Description</w:t>
            </w:r>
          </w:p>
        </w:tc>
        <w:tc>
          <w:tcPr>
            <w:tcW w:w="991" w:type="dxa"/>
            <w:tcBorders>
              <w:top w:val="single" w:sz="4" w:space="0" w:color="auto"/>
              <w:left w:val="single" w:sz="4" w:space="0" w:color="auto"/>
              <w:bottom w:val="single" w:sz="4" w:space="0" w:color="auto"/>
              <w:right w:val="single" w:sz="4" w:space="0" w:color="auto"/>
            </w:tcBorders>
            <w:vAlign w:val="center"/>
          </w:tcPr>
          <w:p w:rsidR="00F97D54" w:rsidRPr="0063769F" w:rsidRDefault="00F97D54" w:rsidP="00EB5B97">
            <w:pPr>
              <w:rPr>
                <w:b/>
                <w:sz w:val="18"/>
                <w:szCs w:val="18"/>
              </w:rPr>
            </w:pPr>
            <w:r w:rsidRPr="0063769F">
              <w:rPr>
                <w:b/>
                <w:sz w:val="18"/>
                <w:szCs w:val="18"/>
              </w:rPr>
              <w:t>Type</w:t>
            </w:r>
          </w:p>
        </w:tc>
        <w:tc>
          <w:tcPr>
            <w:tcW w:w="1345" w:type="dxa"/>
            <w:tcBorders>
              <w:top w:val="single" w:sz="4" w:space="0" w:color="auto"/>
              <w:left w:val="single" w:sz="4" w:space="0" w:color="auto"/>
              <w:bottom w:val="single" w:sz="4" w:space="0" w:color="auto"/>
            </w:tcBorders>
            <w:vAlign w:val="center"/>
          </w:tcPr>
          <w:p w:rsidR="00F97D54" w:rsidRPr="0063769F" w:rsidRDefault="00F97D54" w:rsidP="00EB5B97">
            <w:pPr>
              <w:ind w:right="-108"/>
              <w:rPr>
                <w:b/>
                <w:sz w:val="18"/>
                <w:szCs w:val="18"/>
              </w:rPr>
            </w:pPr>
            <w:r w:rsidRPr="0063769F">
              <w:rPr>
                <w:b/>
                <w:sz w:val="18"/>
                <w:szCs w:val="18"/>
              </w:rPr>
              <w:t>Example</w:t>
            </w:r>
          </w:p>
        </w:tc>
      </w:tr>
      <w:tr w:rsidR="00F97D54" w:rsidRPr="00551AAF" w:rsidTr="00EB5B97">
        <w:trPr>
          <w:trHeight w:val="360"/>
        </w:trPr>
        <w:tc>
          <w:tcPr>
            <w:tcW w:w="2679" w:type="dxa"/>
          </w:tcPr>
          <w:p w:rsidR="00F97D54" w:rsidRDefault="00F97D54" w:rsidP="00EB5B97">
            <w:pPr>
              <w:rPr>
                <w:sz w:val="16"/>
                <w:szCs w:val="16"/>
              </w:rPr>
            </w:pPr>
            <w:r>
              <w:rPr>
                <w:sz w:val="16"/>
                <w:szCs w:val="16"/>
              </w:rPr>
              <w:t>Tar_Plan</w:t>
            </w:r>
          </w:p>
        </w:tc>
        <w:tc>
          <w:tcPr>
            <w:tcW w:w="3823" w:type="dxa"/>
          </w:tcPr>
          <w:p w:rsidR="00F97D54" w:rsidRPr="00512AA0" w:rsidRDefault="00F97D54" w:rsidP="00EB5B97">
            <w:pPr>
              <w:rPr>
                <w:sz w:val="16"/>
                <w:szCs w:val="16"/>
              </w:rPr>
            </w:pPr>
            <w:r>
              <w:rPr>
                <w:sz w:val="16"/>
                <w:szCs w:val="16"/>
              </w:rPr>
              <w:t xml:space="preserve">Plan is a </w:t>
            </w:r>
            <w:r w:rsidRPr="00FD0F54">
              <w:rPr>
                <w:i/>
                <w:sz w:val="16"/>
                <w:szCs w:val="16"/>
              </w:rPr>
              <w:t>Tariff Plan</w:t>
            </w:r>
            <w:r>
              <w:rPr>
                <w:sz w:val="16"/>
                <w:szCs w:val="16"/>
              </w:rPr>
              <w:t xml:space="preserve"> (Y=Yes, N=No) </w:t>
            </w:r>
          </w:p>
        </w:tc>
        <w:tc>
          <w:tcPr>
            <w:tcW w:w="991" w:type="dxa"/>
          </w:tcPr>
          <w:p w:rsidR="00F97D54" w:rsidRDefault="00F97D54" w:rsidP="00EB5B97">
            <w:pPr>
              <w:rPr>
                <w:sz w:val="16"/>
                <w:szCs w:val="16"/>
              </w:rPr>
            </w:pPr>
            <w:r>
              <w:rPr>
                <w:sz w:val="16"/>
                <w:szCs w:val="16"/>
              </w:rPr>
              <w:t>Text</w:t>
            </w:r>
          </w:p>
        </w:tc>
        <w:tc>
          <w:tcPr>
            <w:tcW w:w="1345" w:type="dxa"/>
          </w:tcPr>
          <w:p w:rsidR="00F97D54" w:rsidRDefault="00F97D54" w:rsidP="00EB5B97">
            <w:pPr>
              <w:rPr>
                <w:sz w:val="16"/>
                <w:szCs w:val="16"/>
              </w:rPr>
            </w:pPr>
            <w:r>
              <w:rPr>
                <w:sz w:val="16"/>
                <w:szCs w:val="16"/>
              </w:rPr>
              <w:t>Y</w:t>
            </w:r>
          </w:p>
        </w:tc>
      </w:tr>
      <w:tr w:rsidR="00F97D54" w:rsidRPr="00551AAF" w:rsidTr="00EB5B97">
        <w:trPr>
          <w:trHeight w:val="360"/>
        </w:trPr>
        <w:tc>
          <w:tcPr>
            <w:tcW w:w="2679" w:type="dxa"/>
          </w:tcPr>
          <w:p w:rsidR="00F97D54" w:rsidRDefault="00F97D54" w:rsidP="00EB5B97">
            <w:pPr>
              <w:rPr>
                <w:sz w:val="16"/>
                <w:szCs w:val="16"/>
              </w:rPr>
            </w:pPr>
            <w:r>
              <w:rPr>
                <w:sz w:val="16"/>
                <w:szCs w:val="16"/>
              </w:rPr>
              <w:t>Tariff_Name</w:t>
            </w:r>
          </w:p>
        </w:tc>
        <w:tc>
          <w:tcPr>
            <w:tcW w:w="3823" w:type="dxa"/>
          </w:tcPr>
          <w:p w:rsidR="00F97D54" w:rsidRPr="0014363F" w:rsidRDefault="00F97D54" w:rsidP="00EB5B97">
            <w:pPr>
              <w:rPr>
                <w:sz w:val="16"/>
                <w:szCs w:val="16"/>
              </w:rPr>
            </w:pPr>
            <w:r>
              <w:rPr>
                <w:sz w:val="16"/>
                <w:szCs w:val="16"/>
              </w:rPr>
              <w:t xml:space="preserve">Name of </w:t>
            </w:r>
            <w:r w:rsidRPr="00FD0F54">
              <w:rPr>
                <w:i/>
                <w:sz w:val="16"/>
                <w:szCs w:val="16"/>
              </w:rPr>
              <w:t>Tariff</w:t>
            </w:r>
            <w:r>
              <w:rPr>
                <w:i/>
                <w:sz w:val="16"/>
                <w:szCs w:val="16"/>
              </w:rPr>
              <w:t xml:space="preserve"> </w:t>
            </w:r>
            <w:r w:rsidRPr="00BC256E">
              <w:rPr>
                <w:i/>
                <w:sz w:val="16"/>
                <w:szCs w:val="16"/>
              </w:rPr>
              <w:t>Plan</w:t>
            </w:r>
            <w:r>
              <w:rPr>
                <w:sz w:val="16"/>
                <w:szCs w:val="16"/>
              </w:rPr>
              <w:t xml:space="preserve"> </w:t>
            </w:r>
          </w:p>
        </w:tc>
        <w:tc>
          <w:tcPr>
            <w:tcW w:w="991" w:type="dxa"/>
          </w:tcPr>
          <w:p w:rsidR="00F97D54" w:rsidRDefault="00F97D54" w:rsidP="00EB5B97">
            <w:pPr>
              <w:rPr>
                <w:sz w:val="16"/>
                <w:szCs w:val="16"/>
              </w:rPr>
            </w:pPr>
            <w:r>
              <w:rPr>
                <w:sz w:val="16"/>
                <w:szCs w:val="16"/>
              </w:rPr>
              <w:t>Text</w:t>
            </w:r>
          </w:p>
        </w:tc>
        <w:tc>
          <w:tcPr>
            <w:tcW w:w="1345" w:type="dxa"/>
          </w:tcPr>
          <w:p w:rsidR="00F97D54" w:rsidRDefault="00F97D54" w:rsidP="00EB5B97">
            <w:pPr>
              <w:rPr>
                <w:sz w:val="16"/>
                <w:szCs w:val="16"/>
              </w:rPr>
            </w:pPr>
            <w:r>
              <w:rPr>
                <w:sz w:val="16"/>
                <w:szCs w:val="16"/>
              </w:rPr>
              <w:t>Regional Volume Discount Plan</w:t>
            </w:r>
          </w:p>
        </w:tc>
      </w:tr>
      <w:tr w:rsidR="00F97D54" w:rsidRPr="00551AAF" w:rsidTr="00EB5B97">
        <w:trPr>
          <w:trHeight w:val="360"/>
        </w:trPr>
        <w:tc>
          <w:tcPr>
            <w:tcW w:w="2679" w:type="dxa"/>
          </w:tcPr>
          <w:p w:rsidR="00F97D54" w:rsidRDefault="00F97D54" w:rsidP="00EB5B97">
            <w:pPr>
              <w:rPr>
                <w:sz w:val="16"/>
                <w:szCs w:val="16"/>
              </w:rPr>
            </w:pPr>
            <w:r>
              <w:rPr>
                <w:sz w:val="16"/>
                <w:szCs w:val="16"/>
              </w:rPr>
              <w:t>TP_Provider</w:t>
            </w:r>
          </w:p>
        </w:tc>
        <w:tc>
          <w:tcPr>
            <w:tcW w:w="3823" w:type="dxa"/>
          </w:tcPr>
          <w:p w:rsidR="00F97D54" w:rsidRPr="00512AA0" w:rsidRDefault="00F97D54" w:rsidP="00EB5B97">
            <w:pPr>
              <w:rPr>
                <w:sz w:val="16"/>
                <w:szCs w:val="16"/>
              </w:rPr>
            </w:pPr>
            <w:r>
              <w:rPr>
                <w:sz w:val="16"/>
                <w:szCs w:val="16"/>
              </w:rPr>
              <w:t xml:space="preserve">The </w:t>
            </w:r>
            <w:r w:rsidRPr="00BC256E">
              <w:rPr>
                <w:i/>
                <w:sz w:val="16"/>
                <w:szCs w:val="16"/>
              </w:rPr>
              <w:t>Tariff Plan</w:t>
            </w:r>
            <w:r>
              <w:rPr>
                <w:sz w:val="16"/>
                <w:szCs w:val="16"/>
              </w:rPr>
              <w:t xml:space="preserve"> </w:t>
            </w:r>
            <w:r w:rsidRPr="00FD0F54">
              <w:rPr>
                <w:i/>
                <w:sz w:val="16"/>
                <w:szCs w:val="16"/>
              </w:rPr>
              <w:t>Provider</w:t>
            </w:r>
            <w:r>
              <w:rPr>
                <w:sz w:val="16"/>
                <w:szCs w:val="16"/>
              </w:rPr>
              <w:t xml:space="preserve"> name </w:t>
            </w:r>
          </w:p>
        </w:tc>
        <w:tc>
          <w:tcPr>
            <w:tcW w:w="991" w:type="dxa"/>
          </w:tcPr>
          <w:p w:rsidR="00F97D54" w:rsidRDefault="00F97D54" w:rsidP="00EB5B97">
            <w:pPr>
              <w:rPr>
                <w:sz w:val="16"/>
                <w:szCs w:val="16"/>
              </w:rPr>
            </w:pPr>
            <w:r>
              <w:rPr>
                <w:sz w:val="16"/>
                <w:szCs w:val="16"/>
              </w:rPr>
              <w:t>Text</w:t>
            </w:r>
          </w:p>
        </w:tc>
        <w:tc>
          <w:tcPr>
            <w:tcW w:w="1345" w:type="dxa"/>
          </w:tcPr>
          <w:p w:rsidR="00F97D54" w:rsidRDefault="00F97D54" w:rsidP="00EB5B97">
            <w:pPr>
              <w:rPr>
                <w:sz w:val="16"/>
                <w:szCs w:val="16"/>
              </w:rPr>
            </w:pPr>
            <w:r>
              <w:rPr>
                <w:sz w:val="16"/>
                <w:szCs w:val="16"/>
              </w:rPr>
              <w:t>ABC Company</w:t>
            </w:r>
          </w:p>
        </w:tc>
      </w:tr>
      <w:tr w:rsidR="00F97D54" w:rsidRPr="00551AAF" w:rsidTr="00EB5B97">
        <w:trPr>
          <w:trHeight w:val="360"/>
        </w:trPr>
        <w:tc>
          <w:tcPr>
            <w:tcW w:w="2679" w:type="dxa"/>
          </w:tcPr>
          <w:p w:rsidR="00F97D54" w:rsidRDefault="00F97D54" w:rsidP="00EB5B97">
            <w:pPr>
              <w:rPr>
                <w:sz w:val="16"/>
                <w:szCs w:val="16"/>
              </w:rPr>
            </w:pPr>
            <w:r>
              <w:rPr>
                <w:sz w:val="16"/>
                <w:szCs w:val="16"/>
              </w:rPr>
              <w:t>TP_Tariff_Number</w:t>
            </w:r>
          </w:p>
        </w:tc>
        <w:tc>
          <w:tcPr>
            <w:tcW w:w="3823" w:type="dxa"/>
          </w:tcPr>
          <w:p w:rsidR="00F97D54" w:rsidRPr="00512AA0" w:rsidRDefault="00F97D54" w:rsidP="00EB5B97">
            <w:pPr>
              <w:rPr>
                <w:sz w:val="16"/>
                <w:szCs w:val="16"/>
              </w:rPr>
            </w:pPr>
            <w:r>
              <w:rPr>
                <w:sz w:val="16"/>
                <w:szCs w:val="16"/>
              </w:rPr>
              <w:t xml:space="preserve">The </w:t>
            </w:r>
            <w:r w:rsidRPr="00BC256E">
              <w:rPr>
                <w:i/>
                <w:sz w:val="16"/>
                <w:szCs w:val="16"/>
              </w:rPr>
              <w:t>Tariff Plan</w:t>
            </w:r>
            <w:r>
              <w:rPr>
                <w:sz w:val="16"/>
                <w:szCs w:val="16"/>
              </w:rPr>
              <w:t xml:space="preserve"> Name and Section Number </w:t>
            </w:r>
          </w:p>
        </w:tc>
        <w:tc>
          <w:tcPr>
            <w:tcW w:w="991" w:type="dxa"/>
          </w:tcPr>
          <w:p w:rsidR="00F97D54" w:rsidRDefault="00F97D54" w:rsidP="00EB5B97">
            <w:pPr>
              <w:rPr>
                <w:sz w:val="16"/>
                <w:szCs w:val="16"/>
              </w:rPr>
            </w:pPr>
            <w:r>
              <w:rPr>
                <w:sz w:val="16"/>
                <w:szCs w:val="16"/>
              </w:rPr>
              <w:t>Text</w:t>
            </w:r>
          </w:p>
        </w:tc>
        <w:tc>
          <w:tcPr>
            <w:tcW w:w="1345" w:type="dxa"/>
          </w:tcPr>
          <w:p w:rsidR="00F97D54" w:rsidRDefault="00F97D54" w:rsidP="00EB5B97">
            <w:pPr>
              <w:rPr>
                <w:sz w:val="16"/>
                <w:szCs w:val="16"/>
              </w:rPr>
            </w:pPr>
            <w:r>
              <w:rPr>
                <w:sz w:val="16"/>
                <w:szCs w:val="16"/>
              </w:rPr>
              <w:t>ABC Tariff FCC No. 2 § 7.4.15</w:t>
            </w:r>
          </w:p>
        </w:tc>
      </w:tr>
      <w:tr w:rsidR="00F97D54" w:rsidRPr="00551AAF" w:rsidTr="00EB5B97">
        <w:trPr>
          <w:trHeight w:val="360"/>
        </w:trPr>
        <w:tc>
          <w:tcPr>
            <w:tcW w:w="2679" w:type="dxa"/>
          </w:tcPr>
          <w:p w:rsidR="00F97D54" w:rsidRDefault="00F97D54" w:rsidP="00EB5B97">
            <w:pPr>
              <w:rPr>
                <w:sz w:val="16"/>
                <w:szCs w:val="16"/>
              </w:rPr>
            </w:pPr>
            <w:r>
              <w:rPr>
                <w:sz w:val="16"/>
                <w:szCs w:val="16"/>
              </w:rPr>
              <w:t>CBT_Plan</w:t>
            </w:r>
          </w:p>
        </w:tc>
        <w:tc>
          <w:tcPr>
            <w:tcW w:w="3823" w:type="dxa"/>
          </w:tcPr>
          <w:p w:rsidR="00F97D54" w:rsidRDefault="00F97D54" w:rsidP="00EB5B97">
            <w:pPr>
              <w:rPr>
                <w:sz w:val="16"/>
                <w:szCs w:val="16"/>
              </w:rPr>
            </w:pPr>
            <w:r>
              <w:rPr>
                <w:sz w:val="16"/>
                <w:szCs w:val="16"/>
              </w:rPr>
              <w:t xml:space="preserve">Plan is a </w:t>
            </w:r>
            <w:r>
              <w:rPr>
                <w:i/>
                <w:sz w:val="16"/>
                <w:szCs w:val="16"/>
              </w:rPr>
              <w:t>Contract-</w:t>
            </w:r>
            <w:r w:rsidRPr="00FD0F54">
              <w:rPr>
                <w:i/>
                <w:sz w:val="16"/>
                <w:szCs w:val="16"/>
              </w:rPr>
              <w:t>Based Tariff</w:t>
            </w:r>
            <w:r>
              <w:rPr>
                <w:i/>
                <w:sz w:val="16"/>
                <w:szCs w:val="16"/>
              </w:rPr>
              <w:t xml:space="preserve"> </w:t>
            </w:r>
            <w:r>
              <w:rPr>
                <w:sz w:val="16"/>
                <w:szCs w:val="16"/>
              </w:rPr>
              <w:t xml:space="preserve">(Y=Yes, N=No) </w:t>
            </w:r>
          </w:p>
        </w:tc>
        <w:tc>
          <w:tcPr>
            <w:tcW w:w="991" w:type="dxa"/>
          </w:tcPr>
          <w:p w:rsidR="00F97D54" w:rsidRDefault="00F97D54" w:rsidP="00EB5B97">
            <w:pPr>
              <w:rPr>
                <w:sz w:val="16"/>
                <w:szCs w:val="16"/>
              </w:rPr>
            </w:pPr>
            <w:r>
              <w:rPr>
                <w:sz w:val="16"/>
                <w:szCs w:val="16"/>
              </w:rPr>
              <w:t>Text</w:t>
            </w:r>
          </w:p>
        </w:tc>
        <w:tc>
          <w:tcPr>
            <w:tcW w:w="1345" w:type="dxa"/>
          </w:tcPr>
          <w:p w:rsidR="00F97D54" w:rsidRDefault="00F97D54" w:rsidP="00EB5B97">
            <w:pPr>
              <w:rPr>
                <w:sz w:val="16"/>
                <w:szCs w:val="16"/>
              </w:rPr>
            </w:pPr>
            <w:r>
              <w:rPr>
                <w:sz w:val="16"/>
                <w:szCs w:val="16"/>
              </w:rPr>
              <w:t>N</w:t>
            </w:r>
          </w:p>
        </w:tc>
      </w:tr>
      <w:tr w:rsidR="00F97D54" w:rsidRPr="00551AAF" w:rsidTr="00EB5B97">
        <w:trPr>
          <w:trHeight w:val="360"/>
        </w:trPr>
        <w:tc>
          <w:tcPr>
            <w:tcW w:w="2679" w:type="dxa"/>
          </w:tcPr>
          <w:p w:rsidR="00F97D54" w:rsidRDefault="00F97D54" w:rsidP="00EB5B97">
            <w:pPr>
              <w:rPr>
                <w:sz w:val="16"/>
                <w:szCs w:val="16"/>
              </w:rPr>
            </w:pPr>
            <w:r>
              <w:rPr>
                <w:sz w:val="16"/>
                <w:szCs w:val="16"/>
              </w:rPr>
              <w:t>CBT_Name</w:t>
            </w:r>
          </w:p>
        </w:tc>
        <w:tc>
          <w:tcPr>
            <w:tcW w:w="3823" w:type="dxa"/>
          </w:tcPr>
          <w:p w:rsidR="00F97D54" w:rsidRPr="0014363F" w:rsidRDefault="00F97D54" w:rsidP="00EB5B97">
            <w:pPr>
              <w:rPr>
                <w:sz w:val="16"/>
                <w:szCs w:val="16"/>
              </w:rPr>
            </w:pPr>
            <w:r>
              <w:rPr>
                <w:sz w:val="16"/>
                <w:szCs w:val="16"/>
              </w:rPr>
              <w:t xml:space="preserve">Name of </w:t>
            </w:r>
            <w:r w:rsidRPr="00BC256E">
              <w:rPr>
                <w:i/>
                <w:sz w:val="16"/>
                <w:szCs w:val="16"/>
              </w:rPr>
              <w:t xml:space="preserve">Contract-Based </w:t>
            </w:r>
            <w:r w:rsidRPr="00FD0F54">
              <w:rPr>
                <w:i/>
                <w:sz w:val="16"/>
                <w:szCs w:val="16"/>
              </w:rPr>
              <w:t>Tariff</w:t>
            </w:r>
            <w:r>
              <w:rPr>
                <w:i/>
                <w:sz w:val="16"/>
                <w:szCs w:val="16"/>
              </w:rPr>
              <w:t xml:space="preserve"> </w:t>
            </w:r>
            <w:r>
              <w:rPr>
                <w:sz w:val="16"/>
                <w:szCs w:val="16"/>
              </w:rPr>
              <w:t xml:space="preserve">plan </w:t>
            </w:r>
          </w:p>
        </w:tc>
        <w:tc>
          <w:tcPr>
            <w:tcW w:w="991" w:type="dxa"/>
          </w:tcPr>
          <w:p w:rsidR="00F97D54" w:rsidRDefault="00F97D54" w:rsidP="00EB5B97">
            <w:pPr>
              <w:rPr>
                <w:sz w:val="16"/>
                <w:szCs w:val="16"/>
              </w:rPr>
            </w:pPr>
            <w:r>
              <w:rPr>
                <w:sz w:val="16"/>
                <w:szCs w:val="16"/>
              </w:rPr>
              <w:t>Text</w:t>
            </w:r>
          </w:p>
        </w:tc>
        <w:tc>
          <w:tcPr>
            <w:tcW w:w="1345" w:type="dxa"/>
          </w:tcPr>
          <w:p w:rsidR="00F97D54" w:rsidRDefault="00F97D54" w:rsidP="00EB5B97">
            <w:pPr>
              <w:rPr>
                <w:sz w:val="16"/>
                <w:szCs w:val="16"/>
              </w:rPr>
            </w:pPr>
            <w:r>
              <w:rPr>
                <w:sz w:val="16"/>
                <w:szCs w:val="16"/>
              </w:rPr>
              <w:t>Regional Volume Discount Plan</w:t>
            </w:r>
          </w:p>
        </w:tc>
      </w:tr>
      <w:tr w:rsidR="00F97D54" w:rsidRPr="00551AAF" w:rsidTr="00EB5B97">
        <w:trPr>
          <w:trHeight w:val="360"/>
        </w:trPr>
        <w:tc>
          <w:tcPr>
            <w:tcW w:w="2679" w:type="dxa"/>
          </w:tcPr>
          <w:p w:rsidR="00F97D54" w:rsidRDefault="00F97D54" w:rsidP="00EB5B97">
            <w:pPr>
              <w:rPr>
                <w:sz w:val="16"/>
                <w:szCs w:val="16"/>
              </w:rPr>
            </w:pPr>
            <w:r>
              <w:rPr>
                <w:sz w:val="16"/>
                <w:szCs w:val="16"/>
              </w:rPr>
              <w:t>CBT_Provider</w:t>
            </w:r>
          </w:p>
        </w:tc>
        <w:tc>
          <w:tcPr>
            <w:tcW w:w="3823" w:type="dxa"/>
          </w:tcPr>
          <w:p w:rsidR="00F97D54" w:rsidRPr="00512AA0" w:rsidRDefault="00F97D54" w:rsidP="00EB5B97">
            <w:pPr>
              <w:rPr>
                <w:sz w:val="16"/>
                <w:szCs w:val="16"/>
              </w:rPr>
            </w:pPr>
            <w:r>
              <w:rPr>
                <w:sz w:val="16"/>
                <w:szCs w:val="16"/>
              </w:rPr>
              <w:t xml:space="preserve">The </w:t>
            </w:r>
            <w:r>
              <w:rPr>
                <w:i/>
                <w:sz w:val="16"/>
                <w:szCs w:val="16"/>
              </w:rPr>
              <w:t>Contract-</w:t>
            </w:r>
            <w:r w:rsidRPr="00FD0F54">
              <w:rPr>
                <w:i/>
                <w:sz w:val="16"/>
                <w:szCs w:val="16"/>
              </w:rPr>
              <w:t>Based Tariff</w:t>
            </w:r>
            <w:r>
              <w:rPr>
                <w:sz w:val="16"/>
                <w:szCs w:val="16"/>
              </w:rPr>
              <w:t xml:space="preserve"> </w:t>
            </w:r>
            <w:r w:rsidRPr="00FD0F54">
              <w:rPr>
                <w:i/>
                <w:sz w:val="16"/>
                <w:szCs w:val="16"/>
              </w:rPr>
              <w:t>Provider</w:t>
            </w:r>
            <w:r>
              <w:rPr>
                <w:sz w:val="16"/>
                <w:szCs w:val="16"/>
              </w:rPr>
              <w:t xml:space="preserve"> name </w:t>
            </w:r>
          </w:p>
        </w:tc>
        <w:tc>
          <w:tcPr>
            <w:tcW w:w="991" w:type="dxa"/>
          </w:tcPr>
          <w:p w:rsidR="00F97D54" w:rsidRDefault="00F97D54" w:rsidP="00EB5B97">
            <w:pPr>
              <w:rPr>
                <w:sz w:val="16"/>
                <w:szCs w:val="16"/>
              </w:rPr>
            </w:pPr>
            <w:r>
              <w:rPr>
                <w:sz w:val="16"/>
                <w:szCs w:val="16"/>
              </w:rPr>
              <w:t>Text</w:t>
            </w:r>
          </w:p>
        </w:tc>
        <w:tc>
          <w:tcPr>
            <w:tcW w:w="1345" w:type="dxa"/>
          </w:tcPr>
          <w:p w:rsidR="00F97D54" w:rsidRDefault="00F97D54" w:rsidP="00EB5B97">
            <w:pPr>
              <w:rPr>
                <w:sz w:val="16"/>
                <w:szCs w:val="16"/>
              </w:rPr>
            </w:pPr>
            <w:r>
              <w:rPr>
                <w:sz w:val="16"/>
                <w:szCs w:val="16"/>
              </w:rPr>
              <w:t>ABC Company</w:t>
            </w:r>
          </w:p>
        </w:tc>
      </w:tr>
      <w:tr w:rsidR="00F97D54" w:rsidRPr="00551AAF" w:rsidTr="00EB5B97">
        <w:trPr>
          <w:trHeight w:val="360"/>
        </w:trPr>
        <w:tc>
          <w:tcPr>
            <w:tcW w:w="2679" w:type="dxa"/>
          </w:tcPr>
          <w:p w:rsidR="00F97D54" w:rsidRDefault="00F97D54" w:rsidP="00EB5B97">
            <w:pPr>
              <w:rPr>
                <w:sz w:val="16"/>
                <w:szCs w:val="16"/>
              </w:rPr>
            </w:pPr>
            <w:r>
              <w:rPr>
                <w:sz w:val="16"/>
                <w:szCs w:val="16"/>
              </w:rPr>
              <w:t>CBT_Tariff_Number</w:t>
            </w:r>
          </w:p>
        </w:tc>
        <w:tc>
          <w:tcPr>
            <w:tcW w:w="3823" w:type="dxa"/>
          </w:tcPr>
          <w:p w:rsidR="00F97D54" w:rsidRPr="00512AA0" w:rsidRDefault="00F97D54" w:rsidP="00EB5B97">
            <w:pPr>
              <w:rPr>
                <w:sz w:val="16"/>
                <w:szCs w:val="16"/>
              </w:rPr>
            </w:pPr>
            <w:r>
              <w:rPr>
                <w:sz w:val="16"/>
                <w:szCs w:val="16"/>
              </w:rPr>
              <w:t xml:space="preserve">The </w:t>
            </w:r>
            <w:r>
              <w:rPr>
                <w:i/>
                <w:sz w:val="16"/>
                <w:szCs w:val="16"/>
              </w:rPr>
              <w:t>Contract-</w:t>
            </w:r>
            <w:r w:rsidRPr="00FD0F54">
              <w:rPr>
                <w:i/>
                <w:sz w:val="16"/>
                <w:szCs w:val="16"/>
              </w:rPr>
              <w:t>Based Tariff</w:t>
            </w:r>
            <w:r>
              <w:rPr>
                <w:i/>
                <w:sz w:val="16"/>
                <w:szCs w:val="16"/>
              </w:rPr>
              <w:t xml:space="preserve"> </w:t>
            </w:r>
            <w:r>
              <w:rPr>
                <w:sz w:val="16"/>
                <w:szCs w:val="16"/>
              </w:rPr>
              <w:t xml:space="preserve">Name and Section Number </w:t>
            </w:r>
          </w:p>
        </w:tc>
        <w:tc>
          <w:tcPr>
            <w:tcW w:w="991" w:type="dxa"/>
          </w:tcPr>
          <w:p w:rsidR="00F97D54" w:rsidRDefault="00F97D54" w:rsidP="00EB5B97">
            <w:pPr>
              <w:rPr>
                <w:sz w:val="16"/>
                <w:szCs w:val="16"/>
              </w:rPr>
            </w:pPr>
            <w:r>
              <w:rPr>
                <w:sz w:val="16"/>
                <w:szCs w:val="16"/>
              </w:rPr>
              <w:t>Text</w:t>
            </w:r>
          </w:p>
        </w:tc>
        <w:tc>
          <w:tcPr>
            <w:tcW w:w="1345" w:type="dxa"/>
          </w:tcPr>
          <w:p w:rsidR="00F97D54" w:rsidRDefault="00F97D54" w:rsidP="00EB5B97">
            <w:pPr>
              <w:rPr>
                <w:sz w:val="16"/>
                <w:szCs w:val="16"/>
              </w:rPr>
            </w:pPr>
            <w:r>
              <w:rPr>
                <w:sz w:val="16"/>
                <w:szCs w:val="16"/>
              </w:rPr>
              <w:t>ABC Tariff FCC No. 2 § 7.4.15</w:t>
            </w:r>
          </w:p>
        </w:tc>
      </w:tr>
      <w:tr w:rsidR="00F97D54" w:rsidRPr="00551AAF" w:rsidTr="00EB5B97">
        <w:trPr>
          <w:trHeight w:val="360"/>
        </w:trPr>
        <w:tc>
          <w:tcPr>
            <w:tcW w:w="2679" w:type="dxa"/>
          </w:tcPr>
          <w:p w:rsidR="00F97D54" w:rsidRDefault="00F97D54" w:rsidP="00EB5B97">
            <w:pPr>
              <w:rPr>
                <w:sz w:val="16"/>
                <w:szCs w:val="16"/>
              </w:rPr>
            </w:pPr>
            <w:r>
              <w:rPr>
                <w:sz w:val="16"/>
                <w:szCs w:val="16"/>
              </w:rPr>
              <w:t>Tariff_Type</w:t>
            </w:r>
          </w:p>
        </w:tc>
        <w:tc>
          <w:tcPr>
            <w:tcW w:w="3823" w:type="dxa"/>
          </w:tcPr>
          <w:p w:rsidR="00F97D54" w:rsidRPr="00512AA0" w:rsidRDefault="00F97D54" w:rsidP="00EB5B97">
            <w:pPr>
              <w:rPr>
                <w:sz w:val="16"/>
                <w:szCs w:val="16"/>
              </w:rPr>
            </w:pPr>
            <w:r>
              <w:rPr>
                <w:sz w:val="16"/>
                <w:szCs w:val="16"/>
              </w:rPr>
              <w:t xml:space="preserve">Interstate (Inter) or Intrastate (Intra) </w:t>
            </w:r>
          </w:p>
        </w:tc>
        <w:tc>
          <w:tcPr>
            <w:tcW w:w="991" w:type="dxa"/>
          </w:tcPr>
          <w:p w:rsidR="00F97D54" w:rsidRDefault="00F97D54" w:rsidP="00EB5B97">
            <w:pPr>
              <w:rPr>
                <w:sz w:val="16"/>
                <w:szCs w:val="16"/>
              </w:rPr>
            </w:pPr>
            <w:r>
              <w:rPr>
                <w:sz w:val="16"/>
                <w:szCs w:val="16"/>
              </w:rPr>
              <w:t>Text</w:t>
            </w:r>
          </w:p>
        </w:tc>
        <w:tc>
          <w:tcPr>
            <w:tcW w:w="1345" w:type="dxa"/>
          </w:tcPr>
          <w:p w:rsidR="00F97D54" w:rsidRDefault="00F97D54" w:rsidP="00EB5B97">
            <w:pPr>
              <w:rPr>
                <w:sz w:val="16"/>
                <w:szCs w:val="16"/>
              </w:rPr>
            </w:pPr>
            <w:r>
              <w:rPr>
                <w:sz w:val="16"/>
                <w:szCs w:val="16"/>
              </w:rPr>
              <w:t>Inter</w:t>
            </w:r>
          </w:p>
        </w:tc>
      </w:tr>
      <w:tr w:rsidR="00F97D54" w:rsidRPr="00551AAF" w:rsidTr="00EB5B97">
        <w:trPr>
          <w:trHeight w:val="360"/>
        </w:trPr>
        <w:tc>
          <w:tcPr>
            <w:tcW w:w="2679" w:type="dxa"/>
          </w:tcPr>
          <w:p w:rsidR="00F97D54" w:rsidRDefault="00F97D54" w:rsidP="00EB5B97">
            <w:pPr>
              <w:rPr>
                <w:sz w:val="16"/>
                <w:szCs w:val="16"/>
              </w:rPr>
            </w:pPr>
            <w:r>
              <w:rPr>
                <w:sz w:val="16"/>
                <w:szCs w:val="16"/>
              </w:rPr>
              <w:t>Contains_Term</w:t>
            </w:r>
          </w:p>
        </w:tc>
        <w:tc>
          <w:tcPr>
            <w:tcW w:w="3823" w:type="dxa"/>
          </w:tcPr>
          <w:p w:rsidR="00F97D54" w:rsidRPr="00512AA0" w:rsidRDefault="00F97D54" w:rsidP="00EB5B97">
            <w:pPr>
              <w:rPr>
                <w:sz w:val="16"/>
                <w:szCs w:val="16"/>
              </w:rPr>
            </w:pPr>
            <w:r>
              <w:rPr>
                <w:sz w:val="16"/>
                <w:szCs w:val="16"/>
              </w:rPr>
              <w:t xml:space="preserve">Contains </w:t>
            </w:r>
            <w:r w:rsidRPr="00FD0F54">
              <w:rPr>
                <w:i/>
                <w:sz w:val="16"/>
                <w:szCs w:val="16"/>
              </w:rPr>
              <w:t>Term Commitments</w:t>
            </w:r>
            <w:r>
              <w:rPr>
                <w:sz w:val="16"/>
                <w:szCs w:val="16"/>
              </w:rPr>
              <w:t xml:space="preserve"> (Y=Yes, N=No) </w:t>
            </w:r>
          </w:p>
        </w:tc>
        <w:tc>
          <w:tcPr>
            <w:tcW w:w="991" w:type="dxa"/>
          </w:tcPr>
          <w:p w:rsidR="00F97D54" w:rsidRDefault="00F97D54" w:rsidP="00EB5B97">
            <w:pPr>
              <w:rPr>
                <w:sz w:val="16"/>
                <w:szCs w:val="16"/>
              </w:rPr>
            </w:pPr>
            <w:r>
              <w:rPr>
                <w:sz w:val="16"/>
                <w:szCs w:val="16"/>
              </w:rPr>
              <w:t>Text</w:t>
            </w:r>
          </w:p>
        </w:tc>
        <w:tc>
          <w:tcPr>
            <w:tcW w:w="1345" w:type="dxa"/>
          </w:tcPr>
          <w:p w:rsidR="00F97D54" w:rsidRDefault="00F97D54" w:rsidP="00EB5B97">
            <w:pPr>
              <w:rPr>
                <w:sz w:val="16"/>
                <w:szCs w:val="16"/>
              </w:rPr>
            </w:pPr>
            <w:r>
              <w:rPr>
                <w:sz w:val="16"/>
                <w:szCs w:val="16"/>
              </w:rPr>
              <w:t>Y</w:t>
            </w:r>
          </w:p>
        </w:tc>
      </w:tr>
      <w:tr w:rsidR="00F97D54" w:rsidRPr="00551AAF" w:rsidTr="00EB5B97">
        <w:trPr>
          <w:trHeight w:val="360"/>
        </w:trPr>
        <w:tc>
          <w:tcPr>
            <w:tcW w:w="2679" w:type="dxa"/>
          </w:tcPr>
          <w:p w:rsidR="00F97D54" w:rsidRDefault="00F97D54" w:rsidP="00EB5B97">
            <w:pPr>
              <w:rPr>
                <w:sz w:val="16"/>
                <w:szCs w:val="16"/>
              </w:rPr>
            </w:pPr>
            <w:r>
              <w:rPr>
                <w:sz w:val="16"/>
                <w:szCs w:val="16"/>
              </w:rPr>
              <w:t>Contains_Vol</w:t>
            </w:r>
          </w:p>
        </w:tc>
        <w:tc>
          <w:tcPr>
            <w:tcW w:w="3823" w:type="dxa"/>
          </w:tcPr>
          <w:p w:rsidR="00F97D54" w:rsidRPr="00512AA0" w:rsidRDefault="00F97D54" w:rsidP="00EB5B97">
            <w:pPr>
              <w:rPr>
                <w:sz w:val="16"/>
                <w:szCs w:val="16"/>
              </w:rPr>
            </w:pPr>
            <w:r>
              <w:rPr>
                <w:sz w:val="16"/>
                <w:szCs w:val="16"/>
              </w:rPr>
              <w:t xml:space="preserve">Contains </w:t>
            </w:r>
            <w:r w:rsidRPr="00FD0F54">
              <w:rPr>
                <w:i/>
                <w:sz w:val="16"/>
                <w:szCs w:val="16"/>
              </w:rPr>
              <w:t>Volume Commitments</w:t>
            </w:r>
            <w:r>
              <w:rPr>
                <w:sz w:val="16"/>
                <w:szCs w:val="16"/>
              </w:rPr>
              <w:t xml:space="preserve"> (Y=Yes, N=No) </w:t>
            </w:r>
          </w:p>
        </w:tc>
        <w:tc>
          <w:tcPr>
            <w:tcW w:w="991" w:type="dxa"/>
          </w:tcPr>
          <w:p w:rsidR="00F97D54" w:rsidRDefault="00F97D54" w:rsidP="00EB5B97">
            <w:pPr>
              <w:rPr>
                <w:sz w:val="16"/>
                <w:szCs w:val="16"/>
              </w:rPr>
            </w:pPr>
            <w:r>
              <w:rPr>
                <w:sz w:val="16"/>
                <w:szCs w:val="16"/>
              </w:rPr>
              <w:t>Text</w:t>
            </w:r>
          </w:p>
        </w:tc>
        <w:tc>
          <w:tcPr>
            <w:tcW w:w="1345" w:type="dxa"/>
          </w:tcPr>
          <w:p w:rsidR="00F97D54" w:rsidRDefault="00F97D54" w:rsidP="00EB5B97">
            <w:pPr>
              <w:rPr>
                <w:sz w:val="16"/>
                <w:szCs w:val="16"/>
              </w:rPr>
            </w:pPr>
            <w:r>
              <w:rPr>
                <w:sz w:val="16"/>
                <w:szCs w:val="16"/>
              </w:rPr>
              <w:t>Y</w:t>
            </w:r>
          </w:p>
        </w:tc>
      </w:tr>
      <w:tr w:rsidR="00F97D54" w:rsidRPr="00551AAF" w:rsidTr="00EB5B97">
        <w:trPr>
          <w:trHeight w:val="360"/>
        </w:trPr>
        <w:tc>
          <w:tcPr>
            <w:tcW w:w="2679" w:type="dxa"/>
          </w:tcPr>
          <w:p w:rsidR="00F97D54" w:rsidRDefault="00F97D54" w:rsidP="00EB5B97">
            <w:pPr>
              <w:rPr>
                <w:sz w:val="16"/>
                <w:szCs w:val="16"/>
              </w:rPr>
            </w:pPr>
            <w:r>
              <w:rPr>
                <w:sz w:val="16"/>
                <w:szCs w:val="16"/>
              </w:rPr>
              <w:t>Contains_NonR</w:t>
            </w:r>
          </w:p>
        </w:tc>
        <w:tc>
          <w:tcPr>
            <w:tcW w:w="3823" w:type="dxa"/>
          </w:tcPr>
          <w:p w:rsidR="00F97D54" w:rsidRPr="000A3AE7" w:rsidRDefault="00F97D54" w:rsidP="00EB5B97">
            <w:pPr>
              <w:rPr>
                <w:sz w:val="16"/>
                <w:szCs w:val="16"/>
              </w:rPr>
            </w:pPr>
            <w:r w:rsidRPr="000A3AE7">
              <w:rPr>
                <w:sz w:val="16"/>
                <w:szCs w:val="16"/>
              </w:rPr>
              <w:t xml:space="preserve">Contains </w:t>
            </w:r>
            <w:r w:rsidRPr="00FD0F54">
              <w:rPr>
                <w:i/>
                <w:sz w:val="16"/>
                <w:szCs w:val="16"/>
              </w:rPr>
              <w:t>Non-Rat</w:t>
            </w:r>
            <w:r>
              <w:rPr>
                <w:i/>
                <w:sz w:val="16"/>
                <w:szCs w:val="16"/>
              </w:rPr>
              <w:t>e B</w:t>
            </w:r>
            <w:r w:rsidRPr="00FD0F54">
              <w:rPr>
                <w:i/>
                <w:sz w:val="16"/>
                <w:szCs w:val="16"/>
              </w:rPr>
              <w:t>enefits</w:t>
            </w:r>
            <w:r w:rsidRPr="000A3AE7">
              <w:rPr>
                <w:sz w:val="16"/>
                <w:szCs w:val="16"/>
              </w:rPr>
              <w:t xml:space="preserve"> </w:t>
            </w:r>
            <w:r>
              <w:rPr>
                <w:sz w:val="16"/>
                <w:szCs w:val="16"/>
              </w:rPr>
              <w:t xml:space="preserve">(Y=Yes, N=No) </w:t>
            </w:r>
          </w:p>
        </w:tc>
        <w:tc>
          <w:tcPr>
            <w:tcW w:w="991" w:type="dxa"/>
          </w:tcPr>
          <w:p w:rsidR="00F97D54" w:rsidRDefault="00F97D54" w:rsidP="00EB5B97">
            <w:pPr>
              <w:rPr>
                <w:sz w:val="16"/>
                <w:szCs w:val="16"/>
              </w:rPr>
            </w:pPr>
            <w:r>
              <w:rPr>
                <w:sz w:val="16"/>
                <w:szCs w:val="16"/>
              </w:rPr>
              <w:t>Text</w:t>
            </w:r>
          </w:p>
        </w:tc>
        <w:tc>
          <w:tcPr>
            <w:tcW w:w="1345" w:type="dxa"/>
          </w:tcPr>
          <w:p w:rsidR="00F97D54" w:rsidRDefault="00F97D54" w:rsidP="00EB5B97">
            <w:pPr>
              <w:rPr>
                <w:sz w:val="16"/>
                <w:szCs w:val="16"/>
              </w:rPr>
            </w:pPr>
            <w:r>
              <w:rPr>
                <w:sz w:val="16"/>
                <w:szCs w:val="16"/>
              </w:rPr>
              <w:t>N</w:t>
            </w:r>
          </w:p>
        </w:tc>
      </w:tr>
      <w:tr w:rsidR="00F97D54" w:rsidRPr="00551AAF" w:rsidTr="00EB5B97">
        <w:trPr>
          <w:trHeight w:val="360"/>
        </w:trPr>
        <w:tc>
          <w:tcPr>
            <w:tcW w:w="2679" w:type="dxa"/>
          </w:tcPr>
          <w:p w:rsidR="00F97D54" w:rsidRDefault="00F97D54" w:rsidP="00EB5B97">
            <w:pPr>
              <w:rPr>
                <w:sz w:val="16"/>
                <w:szCs w:val="16"/>
              </w:rPr>
            </w:pPr>
            <w:r>
              <w:rPr>
                <w:sz w:val="16"/>
                <w:szCs w:val="16"/>
              </w:rPr>
              <w:t>NonRate</w:t>
            </w:r>
          </w:p>
        </w:tc>
        <w:tc>
          <w:tcPr>
            <w:tcW w:w="3823" w:type="dxa"/>
          </w:tcPr>
          <w:p w:rsidR="00F97D54" w:rsidRPr="000A3AE7" w:rsidRDefault="00F97D54" w:rsidP="00EB5B97">
            <w:pPr>
              <w:rPr>
                <w:sz w:val="16"/>
                <w:szCs w:val="16"/>
              </w:rPr>
            </w:pPr>
            <w:r w:rsidRPr="000A3AE7">
              <w:rPr>
                <w:sz w:val="16"/>
                <w:szCs w:val="16"/>
              </w:rPr>
              <w:t xml:space="preserve">If the plan contains </w:t>
            </w:r>
            <w:r w:rsidRPr="000A3AE7">
              <w:rPr>
                <w:i/>
                <w:sz w:val="16"/>
                <w:szCs w:val="16"/>
              </w:rPr>
              <w:t>Non-Rate Benefits</w:t>
            </w:r>
            <w:r w:rsidRPr="000A3AE7">
              <w:rPr>
                <w:sz w:val="16"/>
                <w:szCs w:val="16"/>
              </w:rPr>
              <w:t xml:space="preserve">, identify the </w:t>
            </w:r>
            <w:r w:rsidRPr="000A3AE7">
              <w:rPr>
                <w:i/>
                <w:sz w:val="16"/>
                <w:szCs w:val="16"/>
              </w:rPr>
              <w:t>Non-Rate Benefits</w:t>
            </w:r>
            <w:r w:rsidRPr="000A3AE7">
              <w:rPr>
                <w:sz w:val="16"/>
                <w:szCs w:val="16"/>
              </w:rPr>
              <w:t xml:space="preserve"> that were relevant to your decision to purchase services under this plan.</w:t>
            </w:r>
            <w:r>
              <w:rPr>
                <w:sz w:val="16"/>
                <w:szCs w:val="16"/>
              </w:rPr>
              <w:t xml:space="preserve"> </w:t>
            </w:r>
          </w:p>
        </w:tc>
        <w:tc>
          <w:tcPr>
            <w:tcW w:w="991" w:type="dxa"/>
          </w:tcPr>
          <w:p w:rsidR="00F97D54" w:rsidRDefault="00F97D54" w:rsidP="00EB5B97">
            <w:pPr>
              <w:rPr>
                <w:sz w:val="16"/>
                <w:szCs w:val="16"/>
              </w:rPr>
            </w:pPr>
            <w:r>
              <w:rPr>
                <w:sz w:val="16"/>
                <w:szCs w:val="16"/>
              </w:rPr>
              <w:t>Text</w:t>
            </w:r>
          </w:p>
        </w:tc>
        <w:tc>
          <w:tcPr>
            <w:tcW w:w="1345" w:type="dxa"/>
          </w:tcPr>
          <w:p w:rsidR="00F97D54" w:rsidRDefault="00F97D54" w:rsidP="00EB5B97">
            <w:pPr>
              <w:rPr>
                <w:sz w:val="16"/>
                <w:szCs w:val="16"/>
              </w:rPr>
            </w:pPr>
            <w:r>
              <w:rPr>
                <w:sz w:val="16"/>
                <w:szCs w:val="16"/>
              </w:rPr>
              <w:t>Plan allows for circuit portability . . .</w:t>
            </w:r>
          </w:p>
        </w:tc>
      </w:tr>
      <w:tr w:rsidR="00F97D54" w:rsidRPr="00551AAF" w:rsidTr="00EB5B97">
        <w:trPr>
          <w:trHeight w:val="360"/>
        </w:trPr>
        <w:tc>
          <w:tcPr>
            <w:tcW w:w="2679" w:type="dxa"/>
          </w:tcPr>
          <w:p w:rsidR="00F97D54" w:rsidRDefault="00F97D54" w:rsidP="00EB5B97">
            <w:pPr>
              <w:rPr>
                <w:sz w:val="16"/>
                <w:szCs w:val="16"/>
              </w:rPr>
            </w:pPr>
            <w:r>
              <w:rPr>
                <w:sz w:val="16"/>
                <w:szCs w:val="16"/>
              </w:rPr>
              <w:t>Tariff_DS1</w:t>
            </w:r>
          </w:p>
        </w:tc>
        <w:tc>
          <w:tcPr>
            <w:tcW w:w="3823" w:type="dxa"/>
          </w:tcPr>
          <w:p w:rsidR="00F97D54" w:rsidRDefault="00F97D54" w:rsidP="00EB5B97">
            <w:pPr>
              <w:rPr>
                <w:sz w:val="16"/>
                <w:szCs w:val="16"/>
              </w:rPr>
            </w:pPr>
            <w:r>
              <w:rPr>
                <w:sz w:val="16"/>
                <w:szCs w:val="16"/>
              </w:rPr>
              <w:t xml:space="preserve">Does this plan apply to the purchase of </w:t>
            </w:r>
            <w:r w:rsidRPr="00FD0F54">
              <w:rPr>
                <w:i/>
                <w:sz w:val="16"/>
                <w:szCs w:val="16"/>
              </w:rPr>
              <w:t>DS1s</w:t>
            </w:r>
            <w:r>
              <w:rPr>
                <w:sz w:val="16"/>
                <w:szCs w:val="16"/>
              </w:rPr>
              <w:t xml:space="preserve">? </w:t>
            </w:r>
          </w:p>
          <w:p w:rsidR="00F97D54" w:rsidRPr="00512AA0" w:rsidRDefault="00F97D54" w:rsidP="00EB5B97">
            <w:pPr>
              <w:rPr>
                <w:sz w:val="16"/>
                <w:szCs w:val="16"/>
              </w:rPr>
            </w:pPr>
            <w:r>
              <w:rPr>
                <w:sz w:val="16"/>
                <w:szCs w:val="16"/>
              </w:rPr>
              <w:t xml:space="preserve">(Y=Yes, N=No) </w:t>
            </w:r>
          </w:p>
        </w:tc>
        <w:tc>
          <w:tcPr>
            <w:tcW w:w="991" w:type="dxa"/>
          </w:tcPr>
          <w:p w:rsidR="00F97D54" w:rsidRDefault="00F97D54" w:rsidP="00EB5B97">
            <w:pPr>
              <w:rPr>
                <w:sz w:val="16"/>
                <w:szCs w:val="16"/>
              </w:rPr>
            </w:pPr>
            <w:r>
              <w:rPr>
                <w:sz w:val="16"/>
                <w:szCs w:val="16"/>
              </w:rPr>
              <w:t>Text</w:t>
            </w:r>
          </w:p>
        </w:tc>
        <w:tc>
          <w:tcPr>
            <w:tcW w:w="1345" w:type="dxa"/>
          </w:tcPr>
          <w:p w:rsidR="00F97D54" w:rsidRDefault="00F97D54" w:rsidP="00EB5B97">
            <w:pPr>
              <w:rPr>
                <w:sz w:val="16"/>
                <w:szCs w:val="16"/>
              </w:rPr>
            </w:pPr>
            <w:r>
              <w:rPr>
                <w:sz w:val="16"/>
                <w:szCs w:val="16"/>
              </w:rPr>
              <w:t>Y</w:t>
            </w:r>
          </w:p>
        </w:tc>
      </w:tr>
      <w:tr w:rsidR="00F97D54" w:rsidRPr="00551AAF" w:rsidTr="00EB5B97">
        <w:trPr>
          <w:trHeight w:val="360"/>
        </w:trPr>
        <w:tc>
          <w:tcPr>
            <w:tcW w:w="2679" w:type="dxa"/>
          </w:tcPr>
          <w:p w:rsidR="00F97D54" w:rsidRDefault="00F97D54" w:rsidP="00EB5B97">
            <w:pPr>
              <w:rPr>
                <w:sz w:val="16"/>
                <w:szCs w:val="16"/>
              </w:rPr>
            </w:pPr>
            <w:r>
              <w:rPr>
                <w:sz w:val="16"/>
                <w:szCs w:val="16"/>
              </w:rPr>
              <w:t>Tariff_DS3</w:t>
            </w:r>
          </w:p>
        </w:tc>
        <w:tc>
          <w:tcPr>
            <w:tcW w:w="3823" w:type="dxa"/>
          </w:tcPr>
          <w:p w:rsidR="00F97D54" w:rsidRDefault="00F97D54" w:rsidP="00EB5B97">
            <w:pPr>
              <w:rPr>
                <w:sz w:val="16"/>
                <w:szCs w:val="16"/>
              </w:rPr>
            </w:pPr>
            <w:r>
              <w:rPr>
                <w:sz w:val="16"/>
                <w:szCs w:val="16"/>
              </w:rPr>
              <w:t xml:space="preserve">Does this plan apply to the purchase of </w:t>
            </w:r>
            <w:r w:rsidRPr="00FD0F54">
              <w:rPr>
                <w:i/>
                <w:sz w:val="16"/>
                <w:szCs w:val="16"/>
              </w:rPr>
              <w:t>DS3s</w:t>
            </w:r>
            <w:r>
              <w:rPr>
                <w:sz w:val="16"/>
                <w:szCs w:val="16"/>
              </w:rPr>
              <w:t xml:space="preserve">? </w:t>
            </w:r>
          </w:p>
          <w:p w:rsidR="00F97D54" w:rsidRPr="00512AA0" w:rsidRDefault="00F97D54" w:rsidP="00EB5B97">
            <w:pPr>
              <w:rPr>
                <w:sz w:val="16"/>
                <w:szCs w:val="16"/>
              </w:rPr>
            </w:pPr>
            <w:r>
              <w:rPr>
                <w:sz w:val="16"/>
                <w:szCs w:val="16"/>
              </w:rPr>
              <w:t xml:space="preserve">(Y=Yes, N=No) </w:t>
            </w:r>
          </w:p>
        </w:tc>
        <w:tc>
          <w:tcPr>
            <w:tcW w:w="991" w:type="dxa"/>
          </w:tcPr>
          <w:p w:rsidR="00F97D54" w:rsidRDefault="00F97D54" w:rsidP="00EB5B97">
            <w:pPr>
              <w:rPr>
                <w:sz w:val="16"/>
                <w:szCs w:val="16"/>
              </w:rPr>
            </w:pPr>
            <w:r>
              <w:rPr>
                <w:sz w:val="16"/>
                <w:szCs w:val="16"/>
              </w:rPr>
              <w:t>Text</w:t>
            </w:r>
          </w:p>
        </w:tc>
        <w:tc>
          <w:tcPr>
            <w:tcW w:w="1345" w:type="dxa"/>
          </w:tcPr>
          <w:p w:rsidR="00F97D54" w:rsidRDefault="00F97D54" w:rsidP="00EB5B97">
            <w:pPr>
              <w:rPr>
                <w:sz w:val="16"/>
                <w:szCs w:val="16"/>
              </w:rPr>
            </w:pPr>
            <w:r>
              <w:rPr>
                <w:sz w:val="16"/>
                <w:szCs w:val="16"/>
              </w:rPr>
              <w:t>Y</w:t>
            </w:r>
          </w:p>
        </w:tc>
      </w:tr>
      <w:tr w:rsidR="00F97D54" w:rsidRPr="00551AAF" w:rsidTr="00EB5B97">
        <w:trPr>
          <w:trHeight w:val="360"/>
        </w:trPr>
        <w:tc>
          <w:tcPr>
            <w:tcW w:w="2679" w:type="dxa"/>
          </w:tcPr>
          <w:p w:rsidR="00F97D54" w:rsidRDefault="00F97D54" w:rsidP="00EB5B97">
            <w:pPr>
              <w:rPr>
                <w:sz w:val="16"/>
                <w:szCs w:val="16"/>
              </w:rPr>
            </w:pPr>
            <w:r>
              <w:rPr>
                <w:sz w:val="16"/>
                <w:szCs w:val="16"/>
              </w:rPr>
              <w:t>Tariff_PBDS</w:t>
            </w:r>
          </w:p>
        </w:tc>
        <w:tc>
          <w:tcPr>
            <w:tcW w:w="3823" w:type="dxa"/>
          </w:tcPr>
          <w:p w:rsidR="00F97D54" w:rsidRDefault="00F97D54" w:rsidP="00EB5B97">
            <w:pPr>
              <w:rPr>
                <w:sz w:val="16"/>
                <w:szCs w:val="16"/>
              </w:rPr>
            </w:pPr>
            <w:r>
              <w:rPr>
                <w:sz w:val="16"/>
                <w:szCs w:val="16"/>
              </w:rPr>
              <w:t xml:space="preserve">Does this plan apply to the purchase of </w:t>
            </w:r>
            <w:r w:rsidRPr="00FD0F54">
              <w:rPr>
                <w:i/>
                <w:sz w:val="16"/>
                <w:szCs w:val="16"/>
              </w:rPr>
              <w:t>PBDS</w:t>
            </w:r>
            <w:r>
              <w:rPr>
                <w:sz w:val="16"/>
                <w:szCs w:val="16"/>
              </w:rPr>
              <w:t xml:space="preserve">? </w:t>
            </w:r>
          </w:p>
          <w:p w:rsidR="00F97D54" w:rsidRPr="00512AA0" w:rsidRDefault="00F97D54" w:rsidP="00EB5B97">
            <w:pPr>
              <w:rPr>
                <w:sz w:val="16"/>
                <w:szCs w:val="16"/>
              </w:rPr>
            </w:pPr>
            <w:r>
              <w:rPr>
                <w:sz w:val="16"/>
                <w:szCs w:val="16"/>
              </w:rPr>
              <w:t xml:space="preserve">(Y=Yes, N=No) </w:t>
            </w:r>
          </w:p>
        </w:tc>
        <w:tc>
          <w:tcPr>
            <w:tcW w:w="991" w:type="dxa"/>
          </w:tcPr>
          <w:p w:rsidR="00F97D54" w:rsidRDefault="00F97D54" w:rsidP="00EB5B97">
            <w:pPr>
              <w:rPr>
                <w:sz w:val="16"/>
                <w:szCs w:val="16"/>
              </w:rPr>
            </w:pPr>
            <w:r>
              <w:rPr>
                <w:sz w:val="16"/>
                <w:szCs w:val="16"/>
              </w:rPr>
              <w:t>Text</w:t>
            </w:r>
          </w:p>
        </w:tc>
        <w:tc>
          <w:tcPr>
            <w:tcW w:w="1345" w:type="dxa"/>
          </w:tcPr>
          <w:p w:rsidR="00F97D54" w:rsidRDefault="00F97D54" w:rsidP="00EB5B97">
            <w:pPr>
              <w:rPr>
                <w:sz w:val="16"/>
                <w:szCs w:val="16"/>
              </w:rPr>
            </w:pPr>
            <w:r>
              <w:rPr>
                <w:sz w:val="16"/>
                <w:szCs w:val="16"/>
              </w:rPr>
              <w:t>N</w:t>
            </w:r>
          </w:p>
        </w:tc>
      </w:tr>
      <w:tr w:rsidR="00F97D54" w:rsidRPr="00551AAF" w:rsidTr="00EB5B97">
        <w:trPr>
          <w:trHeight w:val="360"/>
        </w:trPr>
        <w:tc>
          <w:tcPr>
            <w:tcW w:w="2679" w:type="dxa"/>
          </w:tcPr>
          <w:p w:rsidR="00F97D54" w:rsidRDefault="00F97D54" w:rsidP="00EB5B97">
            <w:pPr>
              <w:rPr>
                <w:sz w:val="16"/>
                <w:szCs w:val="16"/>
              </w:rPr>
            </w:pPr>
            <w:r>
              <w:rPr>
                <w:sz w:val="16"/>
                <w:szCs w:val="16"/>
              </w:rPr>
              <w:t>Tariff_Other</w:t>
            </w:r>
          </w:p>
        </w:tc>
        <w:tc>
          <w:tcPr>
            <w:tcW w:w="3823" w:type="dxa"/>
          </w:tcPr>
          <w:p w:rsidR="00F97D54" w:rsidRPr="000C6F39" w:rsidRDefault="00F97D54" w:rsidP="00EB5B97">
            <w:pPr>
              <w:rPr>
                <w:sz w:val="16"/>
                <w:szCs w:val="16"/>
              </w:rPr>
            </w:pPr>
            <w:r w:rsidRPr="000C6F39">
              <w:rPr>
                <w:sz w:val="16"/>
                <w:szCs w:val="16"/>
              </w:rPr>
              <w:t xml:space="preserve">Does this </w:t>
            </w:r>
            <w:r>
              <w:rPr>
                <w:sz w:val="16"/>
                <w:szCs w:val="16"/>
              </w:rPr>
              <w:t>p</w:t>
            </w:r>
            <w:r w:rsidRPr="000C6F39">
              <w:rPr>
                <w:sz w:val="16"/>
                <w:szCs w:val="16"/>
              </w:rPr>
              <w:t xml:space="preserve">lan apply to </w:t>
            </w:r>
            <w:r>
              <w:rPr>
                <w:sz w:val="16"/>
                <w:szCs w:val="16"/>
              </w:rPr>
              <w:t xml:space="preserve">the purchase of other </w:t>
            </w:r>
            <w:r w:rsidRPr="000C6F39">
              <w:rPr>
                <w:sz w:val="16"/>
                <w:szCs w:val="16"/>
              </w:rPr>
              <w:t>service</w:t>
            </w:r>
            <w:r>
              <w:rPr>
                <w:sz w:val="16"/>
                <w:szCs w:val="16"/>
              </w:rPr>
              <w:t>s</w:t>
            </w:r>
            <w:r w:rsidRPr="000C6F39">
              <w:rPr>
                <w:sz w:val="16"/>
                <w:szCs w:val="16"/>
              </w:rPr>
              <w:t xml:space="preserve">? </w:t>
            </w:r>
            <w:r>
              <w:rPr>
                <w:sz w:val="16"/>
                <w:szCs w:val="16"/>
              </w:rPr>
              <w:t xml:space="preserve">(Y=Yes, N=No) </w:t>
            </w:r>
          </w:p>
        </w:tc>
        <w:tc>
          <w:tcPr>
            <w:tcW w:w="991" w:type="dxa"/>
          </w:tcPr>
          <w:p w:rsidR="00F97D54" w:rsidRDefault="00F97D54" w:rsidP="00EB5B97">
            <w:pPr>
              <w:rPr>
                <w:sz w:val="16"/>
                <w:szCs w:val="16"/>
              </w:rPr>
            </w:pPr>
            <w:r>
              <w:rPr>
                <w:sz w:val="16"/>
                <w:szCs w:val="16"/>
              </w:rPr>
              <w:t>Text</w:t>
            </w:r>
          </w:p>
        </w:tc>
        <w:tc>
          <w:tcPr>
            <w:tcW w:w="1345" w:type="dxa"/>
          </w:tcPr>
          <w:p w:rsidR="00F97D54" w:rsidRDefault="00F97D54" w:rsidP="00EB5B97">
            <w:pPr>
              <w:rPr>
                <w:sz w:val="16"/>
                <w:szCs w:val="16"/>
              </w:rPr>
            </w:pPr>
            <w:r>
              <w:rPr>
                <w:sz w:val="16"/>
                <w:szCs w:val="16"/>
              </w:rPr>
              <w:t>N</w:t>
            </w:r>
          </w:p>
        </w:tc>
      </w:tr>
      <w:tr w:rsidR="00F97D54" w:rsidRPr="00551AAF" w:rsidTr="00EB5B97">
        <w:trPr>
          <w:trHeight w:val="360"/>
        </w:trPr>
        <w:tc>
          <w:tcPr>
            <w:tcW w:w="2679" w:type="dxa"/>
          </w:tcPr>
          <w:p w:rsidR="00F97D54" w:rsidRDefault="00F97D54" w:rsidP="00EB5B97">
            <w:pPr>
              <w:rPr>
                <w:sz w:val="16"/>
                <w:szCs w:val="16"/>
              </w:rPr>
            </w:pPr>
            <w:r>
              <w:rPr>
                <w:sz w:val="16"/>
                <w:szCs w:val="16"/>
              </w:rPr>
              <w:t>Geo_DS1</w:t>
            </w:r>
          </w:p>
        </w:tc>
        <w:tc>
          <w:tcPr>
            <w:tcW w:w="3823" w:type="dxa"/>
          </w:tcPr>
          <w:p w:rsidR="00F97D54" w:rsidRPr="000C6F39" w:rsidRDefault="00F97D54" w:rsidP="00EB5B97">
            <w:pPr>
              <w:rPr>
                <w:sz w:val="16"/>
                <w:szCs w:val="16"/>
              </w:rPr>
            </w:pPr>
            <w:r w:rsidRPr="000C6F39">
              <w:rPr>
                <w:sz w:val="16"/>
                <w:szCs w:val="16"/>
              </w:rPr>
              <w:t xml:space="preserve">In what geographic areas do you purchase </w:t>
            </w:r>
            <w:r w:rsidRPr="000C6F39">
              <w:rPr>
                <w:i/>
                <w:sz w:val="16"/>
                <w:szCs w:val="16"/>
              </w:rPr>
              <w:t>DS1s</w:t>
            </w:r>
            <w:r w:rsidRPr="000C6F39">
              <w:rPr>
                <w:sz w:val="16"/>
                <w:szCs w:val="16"/>
              </w:rPr>
              <w:t xml:space="preserve"> under this plan?  </w:t>
            </w:r>
          </w:p>
        </w:tc>
        <w:tc>
          <w:tcPr>
            <w:tcW w:w="991" w:type="dxa"/>
          </w:tcPr>
          <w:p w:rsidR="00F97D54" w:rsidRDefault="00F97D54" w:rsidP="00EB5B97">
            <w:pPr>
              <w:rPr>
                <w:sz w:val="16"/>
                <w:szCs w:val="16"/>
              </w:rPr>
            </w:pPr>
            <w:r>
              <w:rPr>
                <w:sz w:val="16"/>
                <w:szCs w:val="16"/>
              </w:rPr>
              <w:t>Text</w:t>
            </w:r>
          </w:p>
        </w:tc>
        <w:tc>
          <w:tcPr>
            <w:tcW w:w="1345" w:type="dxa"/>
          </w:tcPr>
          <w:p w:rsidR="00F97D54" w:rsidRDefault="00F97D54" w:rsidP="00EB5B97">
            <w:pPr>
              <w:rPr>
                <w:sz w:val="16"/>
                <w:szCs w:val="16"/>
              </w:rPr>
            </w:pPr>
            <w:r>
              <w:rPr>
                <w:sz w:val="16"/>
                <w:szCs w:val="16"/>
              </w:rPr>
              <w:t>California</w:t>
            </w:r>
          </w:p>
        </w:tc>
      </w:tr>
      <w:tr w:rsidR="00F97D54" w:rsidRPr="00551AAF" w:rsidTr="00EB5B97">
        <w:trPr>
          <w:trHeight w:val="360"/>
        </w:trPr>
        <w:tc>
          <w:tcPr>
            <w:tcW w:w="2679" w:type="dxa"/>
          </w:tcPr>
          <w:p w:rsidR="00F97D54" w:rsidRDefault="00F97D54" w:rsidP="00EB5B97">
            <w:pPr>
              <w:rPr>
                <w:sz w:val="16"/>
                <w:szCs w:val="16"/>
              </w:rPr>
            </w:pPr>
            <w:r>
              <w:rPr>
                <w:sz w:val="16"/>
                <w:szCs w:val="16"/>
              </w:rPr>
              <w:t>Geo_DS3</w:t>
            </w:r>
          </w:p>
        </w:tc>
        <w:tc>
          <w:tcPr>
            <w:tcW w:w="3823" w:type="dxa"/>
          </w:tcPr>
          <w:p w:rsidR="00F97D54" w:rsidRPr="000C6F39" w:rsidRDefault="00F97D54" w:rsidP="00EB5B97">
            <w:pPr>
              <w:rPr>
                <w:sz w:val="16"/>
                <w:szCs w:val="16"/>
              </w:rPr>
            </w:pPr>
            <w:r w:rsidRPr="000C6F39">
              <w:rPr>
                <w:sz w:val="16"/>
                <w:szCs w:val="16"/>
              </w:rPr>
              <w:t xml:space="preserve">In what geographic areas do you purchase </w:t>
            </w:r>
            <w:r w:rsidRPr="000C6F39">
              <w:rPr>
                <w:i/>
                <w:sz w:val="16"/>
                <w:szCs w:val="16"/>
              </w:rPr>
              <w:t>DS</w:t>
            </w:r>
            <w:r>
              <w:rPr>
                <w:i/>
                <w:sz w:val="16"/>
                <w:szCs w:val="16"/>
              </w:rPr>
              <w:t>3</w:t>
            </w:r>
            <w:r w:rsidRPr="000C6F39">
              <w:rPr>
                <w:i/>
                <w:sz w:val="16"/>
                <w:szCs w:val="16"/>
              </w:rPr>
              <w:t>s</w:t>
            </w:r>
            <w:r w:rsidRPr="000C6F39">
              <w:rPr>
                <w:sz w:val="16"/>
                <w:szCs w:val="16"/>
              </w:rPr>
              <w:t xml:space="preserve"> under this plan?  </w:t>
            </w:r>
          </w:p>
        </w:tc>
        <w:tc>
          <w:tcPr>
            <w:tcW w:w="991" w:type="dxa"/>
          </w:tcPr>
          <w:p w:rsidR="00F97D54" w:rsidRDefault="00F97D54" w:rsidP="00EB5B97">
            <w:pPr>
              <w:rPr>
                <w:sz w:val="16"/>
                <w:szCs w:val="16"/>
              </w:rPr>
            </w:pPr>
            <w:r>
              <w:rPr>
                <w:sz w:val="16"/>
                <w:szCs w:val="16"/>
              </w:rPr>
              <w:t>Text</w:t>
            </w:r>
          </w:p>
        </w:tc>
        <w:tc>
          <w:tcPr>
            <w:tcW w:w="1345" w:type="dxa"/>
          </w:tcPr>
          <w:p w:rsidR="00F97D54" w:rsidRDefault="00F97D54" w:rsidP="00EB5B97">
            <w:pPr>
              <w:rPr>
                <w:sz w:val="16"/>
                <w:szCs w:val="16"/>
              </w:rPr>
            </w:pPr>
            <w:r>
              <w:rPr>
                <w:sz w:val="16"/>
                <w:szCs w:val="16"/>
              </w:rPr>
              <w:t>Texas</w:t>
            </w:r>
          </w:p>
        </w:tc>
      </w:tr>
      <w:tr w:rsidR="00F97D54" w:rsidRPr="00551AAF" w:rsidTr="00EB5B97">
        <w:trPr>
          <w:trHeight w:val="360"/>
        </w:trPr>
        <w:tc>
          <w:tcPr>
            <w:tcW w:w="2679" w:type="dxa"/>
          </w:tcPr>
          <w:p w:rsidR="00F97D54" w:rsidRDefault="00F97D54" w:rsidP="00EB5B97">
            <w:pPr>
              <w:rPr>
                <w:sz w:val="16"/>
                <w:szCs w:val="16"/>
              </w:rPr>
            </w:pPr>
            <w:r>
              <w:rPr>
                <w:sz w:val="16"/>
                <w:szCs w:val="16"/>
              </w:rPr>
              <w:t>Geo_PBDS</w:t>
            </w:r>
          </w:p>
        </w:tc>
        <w:tc>
          <w:tcPr>
            <w:tcW w:w="3823" w:type="dxa"/>
          </w:tcPr>
          <w:p w:rsidR="00F97D54" w:rsidRPr="000C6F39" w:rsidRDefault="00F97D54" w:rsidP="00EB5B97">
            <w:pPr>
              <w:rPr>
                <w:sz w:val="16"/>
                <w:szCs w:val="16"/>
              </w:rPr>
            </w:pPr>
            <w:r w:rsidRPr="000C6F39">
              <w:rPr>
                <w:sz w:val="16"/>
                <w:szCs w:val="16"/>
              </w:rPr>
              <w:t xml:space="preserve">In what geographic areas do you purchase </w:t>
            </w:r>
            <w:r>
              <w:rPr>
                <w:i/>
                <w:sz w:val="16"/>
                <w:szCs w:val="16"/>
              </w:rPr>
              <w:t>PBDS</w:t>
            </w:r>
            <w:r w:rsidRPr="000C6F39">
              <w:rPr>
                <w:sz w:val="16"/>
                <w:szCs w:val="16"/>
              </w:rPr>
              <w:t xml:space="preserve"> under this plan?  </w:t>
            </w:r>
          </w:p>
        </w:tc>
        <w:tc>
          <w:tcPr>
            <w:tcW w:w="991" w:type="dxa"/>
          </w:tcPr>
          <w:p w:rsidR="00F97D54" w:rsidRDefault="00F97D54" w:rsidP="00EB5B97">
            <w:pPr>
              <w:rPr>
                <w:sz w:val="16"/>
                <w:szCs w:val="16"/>
              </w:rPr>
            </w:pPr>
            <w:r>
              <w:rPr>
                <w:sz w:val="16"/>
                <w:szCs w:val="16"/>
              </w:rPr>
              <w:t>Text</w:t>
            </w:r>
          </w:p>
        </w:tc>
        <w:tc>
          <w:tcPr>
            <w:tcW w:w="1345" w:type="dxa"/>
          </w:tcPr>
          <w:p w:rsidR="00F97D54" w:rsidRDefault="00F97D54" w:rsidP="00EB5B97">
            <w:pPr>
              <w:rPr>
                <w:sz w:val="16"/>
                <w:szCs w:val="16"/>
              </w:rPr>
            </w:pPr>
            <w:r>
              <w:rPr>
                <w:sz w:val="16"/>
                <w:szCs w:val="16"/>
              </w:rPr>
              <w:t>Oklahoma</w:t>
            </w:r>
          </w:p>
        </w:tc>
      </w:tr>
      <w:tr w:rsidR="00F97D54" w:rsidRPr="00551AAF" w:rsidTr="00EB5B97">
        <w:trPr>
          <w:trHeight w:val="360"/>
        </w:trPr>
        <w:tc>
          <w:tcPr>
            <w:tcW w:w="2679" w:type="dxa"/>
          </w:tcPr>
          <w:p w:rsidR="00F97D54" w:rsidRDefault="00F97D54" w:rsidP="00EB5B97">
            <w:pPr>
              <w:rPr>
                <w:sz w:val="16"/>
                <w:szCs w:val="16"/>
              </w:rPr>
            </w:pPr>
            <w:r>
              <w:rPr>
                <w:sz w:val="16"/>
                <w:szCs w:val="16"/>
              </w:rPr>
              <w:t>Geo_Other</w:t>
            </w:r>
          </w:p>
        </w:tc>
        <w:tc>
          <w:tcPr>
            <w:tcW w:w="3823" w:type="dxa"/>
          </w:tcPr>
          <w:p w:rsidR="00F97D54" w:rsidRPr="000C6F39" w:rsidRDefault="00F97D54" w:rsidP="00EB5B97">
            <w:pPr>
              <w:rPr>
                <w:sz w:val="16"/>
                <w:szCs w:val="16"/>
              </w:rPr>
            </w:pPr>
            <w:r w:rsidRPr="000C6F39">
              <w:rPr>
                <w:sz w:val="16"/>
                <w:szCs w:val="16"/>
              </w:rPr>
              <w:t xml:space="preserve">In what geographic areas do you purchase </w:t>
            </w:r>
            <w:r>
              <w:rPr>
                <w:sz w:val="16"/>
                <w:szCs w:val="16"/>
              </w:rPr>
              <w:t>o</w:t>
            </w:r>
            <w:r w:rsidRPr="000C6F39">
              <w:rPr>
                <w:sz w:val="16"/>
                <w:szCs w:val="16"/>
              </w:rPr>
              <w:t xml:space="preserve">ther services under this plan?  </w:t>
            </w:r>
          </w:p>
        </w:tc>
        <w:tc>
          <w:tcPr>
            <w:tcW w:w="991" w:type="dxa"/>
          </w:tcPr>
          <w:p w:rsidR="00F97D54" w:rsidRDefault="00F97D54" w:rsidP="00EB5B97">
            <w:pPr>
              <w:rPr>
                <w:sz w:val="16"/>
                <w:szCs w:val="16"/>
              </w:rPr>
            </w:pPr>
            <w:r>
              <w:rPr>
                <w:sz w:val="16"/>
                <w:szCs w:val="16"/>
              </w:rPr>
              <w:t>Text</w:t>
            </w:r>
          </w:p>
        </w:tc>
        <w:tc>
          <w:tcPr>
            <w:tcW w:w="1345" w:type="dxa"/>
          </w:tcPr>
          <w:p w:rsidR="00F97D54" w:rsidRDefault="00F97D54" w:rsidP="00EB5B97">
            <w:pPr>
              <w:rPr>
                <w:sz w:val="16"/>
                <w:szCs w:val="16"/>
              </w:rPr>
            </w:pPr>
            <w:r>
              <w:rPr>
                <w:sz w:val="16"/>
                <w:szCs w:val="16"/>
              </w:rPr>
              <w:t>Kansas</w:t>
            </w:r>
          </w:p>
        </w:tc>
      </w:tr>
      <w:tr w:rsidR="00F97D54" w:rsidRPr="00551AAF" w:rsidTr="00EB5B97">
        <w:trPr>
          <w:trHeight w:val="360"/>
        </w:trPr>
        <w:tc>
          <w:tcPr>
            <w:tcW w:w="2679" w:type="dxa"/>
          </w:tcPr>
          <w:p w:rsidR="00F97D54" w:rsidRDefault="00F97D54" w:rsidP="00EB5B97">
            <w:pPr>
              <w:rPr>
                <w:sz w:val="16"/>
                <w:szCs w:val="16"/>
              </w:rPr>
            </w:pPr>
            <w:r>
              <w:rPr>
                <w:sz w:val="16"/>
                <w:szCs w:val="16"/>
              </w:rPr>
              <w:t>Prior_P</w:t>
            </w:r>
          </w:p>
        </w:tc>
        <w:tc>
          <w:tcPr>
            <w:tcW w:w="3823" w:type="dxa"/>
          </w:tcPr>
          <w:p w:rsidR="00F97D54" w:rsidRPr="000C6F39" w:rsidRDefault="00F97D54" w:rsidP="00EB5B97">
            <w:pPr>
              <w:rPr>
                <w:sz w:val="16"/>
                <w:szCs w:val="16"/>
              </w:rPr>
            </w:pPr>
            <w:r w:rsidRPr="000C6F39">
              <w:rPr>
                <w:sz w:val="16"/>
                <w:szCs w:val="16"/>
              </w:rPr>
              <w:t xml:space="preserve">To receive a discount or </w:t>
            </w:r>
            <w:r w:rsidRPr="000C6F39">
              <w:rPr>
                <w:i/>
                <w:sz w:val="16"/>
                <w:szCs w:val="16"/>
              </w:rPr>
              <w:t xml:space="preserve">Non-Rate Benefit </w:t>
            </w:r>
            <w:r w:rsidRPr="000C6F39">
              <w:rPr>
                <w:sz w:val="16"/>
                <w:szCs w:val="16"/>
              </w:rPr>
              <w:t xml:space="preserve">under this plan, does your company make a </w:t>
            </w:r>
            <w:r w:rsidRPr="000C6F39">
              <w:rPr>
                <w:i/>
                <w:sz w:val="16"/>
                <w:szCs w:val="16"/>
              </w:rPr>
              <w:t>Prior Purchase-Based Commitment</w:t>
            </w:r>
            <w:r w:rsidRPr="000C6F39">
              <w:rPr>
                <w:sz w:val="16"/>
                <w:szCs w:val="16"/>
              </w:rPr>
              <w:t>?</w:t>
            </w:r>
            <w:r>
              <w:rPr>
                <w:sz w:val="16"/>
                <w:szCs w:val="16"/>
              </w:rPr>
              <w:t xml:space="preserve"> (Y=Yes, N=No) </w:t>
            </w:r>
          </w:p>
        </w:tc>
        <w:tc>
          <w:tcPr>
            <w:tcW w:w="991" w:type="dxa"/>
          </w:tcPr>
          <w:p w:rsidR="00F97D54" w:rsidRDefault="00F97D54" w:rsidP="00EB5B97">
            <w:pPr>
              <w:rPr>
                <w:sz w:val="16"/>
                <w:szCs w:val="16"/>
              </w:rPr>
            </w:pPr>
            <w:r>
              <w:rPr>
                <w:sz w:val="16"/>
                <w:szCs w:val="16"/>
              </w:rPr>
              <w:t>Text</w:t>
            </w:r>
          </w:p>
        </w:tc>
        <w:tc>
          <w:tcPr>
            <w:tcW w:w="1345" w:type="dxa"/>
          </w:tcPr>
          <w:p w:rsidR="00F97D54" w:rsidRDefault="00F97D54" w:rsidP="00EB5B97">
            <w:pPr>
              <w:rPr>
                <w:sz w:val="16"/>
                <w:szCs w:val="16"/>
              </w:rPr>
            </w:pPr>
            <w:r>
              <w:rPr>
                <w:sz w:val="16"/>
                <w:szCs w:val="16"/>
              </w:rPr>
              <w:t>Y</w:t>
            </w:r>
          </w:p>
        </w:tc>
      </w:tr>
      <w:tr w:rsidR="00F97D54" w:rsidRPr="00551AAF" w:rsidTr="00EB5B97">
        <w:trPr>
          <w:trHeight w:val="360"/>
        </w:trPr>
        <w:tc>
          <w:tcPr>
            <w:tcW w:w="2679" w:type="dxa"/>
          </w:tcPr>
          <w:p w:rsidR="00F97D54" w:rsidRDefault="00F97D54" w:rsidP="00EB5B97">
            <w:pPr>
              <w:rPr>
                <w:sz w:val="16"/>
                <w:szCs w:val="16"/>
              </w:rPr>
            </w:pPr>
            <w:r>
              <w:rPr>
                <w:sz w:val="16"/>
                <w:szCs w:val="16"/>
              </w:rPr>
              <w:t>Outside_Area</w:t>
            </w:r>
          </w:p>
        </w:tc>
        <w:tc>
          <w:tcPr>
            <w:tcW w:w="3823" w:type="dxa"/>
          </w:tcPr>
          <w:p w:rsidR="00F97D54" w:rsidRPr="000C6F39" w:rsidRDefault="00F97D54" w:rsidP="00EB5B97">
            <w:pPr>
              <w:rPr>
                <w:sz w:val="16"/>
                <w:szCs w:val="16"/>
              </w:rPr>
            </w:pPr>
            <w:r w:rsidRPr="000C6F39">
              <w:rPr>
                <w:sz w:val="16"/>
                <w:szCs w:val="16"/>
              </w:rPr>
              <w:t xml:space="preserve">If this is an </w:t>
            </w:r>
            <w:r w:rsidRPr="006150ED">
              <w:rPr>
                <w:i/>
                <w:sz w:val="16"/>
                <w:szCs w:val="16"/>
              </w:rPr>
              <w:t>ILEC</w:t>
            </w:r>
            <w:r w:rsidRPr="000C6F39">
              <w:rPr>
                <w:sz w:val="16"/>
                <w:szCs w:val="16"/>
              </w:rPr>
              <w:t xml:space="preserve"> plan, do </w:t>
            </w:r>
            <w:r w:rsidRPr="006150ED">
              <w:rPr>
                <w:i/>
                <w:sz w:val="16"/>
                <w:szCs w:val="16"/>
              </w:rPr>
              <w:t>DS1</w:t>
            </w:r>
            <w:r>
              <w:rPr>
                <w:sz w:val="16"/>
                <w:szCs w:val="16"/>
              </w:rPr>
              <w:t>,</w:t>
            </w:r>
            <w:r w:rsidRPr="000C6F39">
              <w:rPr>
                <w:sz w:val="16"/>
                <w:szCs w:val="16"/>
              </w:rPr>
              <w:t xml:space="preserve"> </w:t>
            </w:r>
            <w:r w:rsidRPr="006150ED">
              <w:rPr>
                <w:i/>
                <w:sz w:val="16"/>
                <w:szCs w:val="16"/>
              </w:rPr>
              <w:t>DS3</w:t>
            </w:r>
            <w:r>
              <w:rPr>
                <w:sz w:val="16"/>
                <w:szCs w:val="16"/>
              </w:rPr>
              <w:t xml:space="preserve">, or tariffed </w:t>
            </w:r>
            <w:r w:rsidRPr="00E528B8">
              <w:rPr>
                <w:i/>
                <w:sz w:val="16"/>
                <w:szCs w:val="16"/>
              </w:rPr>
              <w:t>PBDS</w:t>
            </w:r>
            <w:r w:rsidRPr="000C6F39">
              <w:rPr>
                <w:sz w:val="16"/>
                <w:szCs w:val="16"/>
              </w:rPr>
              <w:t xml:space="preserve"> purchases your company makes outside the study area(s) of the </w:t>
            </w:r>
            <w:r w:rsidRPr="006150ED">
              <w:rPr>
                <w:i/>
                <w:sz w:val="16"/>
                <w:szCs w:val="16"/>
              </w:rPr>
              <w:t>ILEC</w:t>
            </w:r>
            <w:r w:rsidRPr="000C6F39">
              <w:rPr>
                <w:sz w:val="16"/>
                <w:szCs w:val="16"/>
              </w:rPr>
              <w:t xml:space="preserve"> </w:t>
            </w:r>
            <w:r>
              <w:rPr>
                <w:sz w:val="16"/>
                <w:szCs w:val="16"/>
              </w:rPr>
              <w:t xml:space="preserve">count towards </w:t>
            </w:r>
            <w:r w:rsidRPr="000C6F39">
              <w:rPr>
                <w:sz w:val="16"/>
                <w:szCs w:val="16"/>
              </w:rPr>
              <w:t xml:space="preserve">meeting any </w:t>
            </w:r>
            <w:r w:rsidRPr="006150ED">
              <w:rPr>
                <w:i/>
                <w:sz w:val="16"/>
                <w:szCs w:val="16"/>
              </w:rPr>
              <w:t>Volume Commitment</w:t>
            </w:r>
            <w:r w:rsidRPr="000C6F39">
              <w:rPr>
                <w:sz w:val="16"/>
                <w:szCs w:val="16"/>
              </w:rPr>
              <w:t xml:space="preserve"> to receive a discount or </w:t>
            </w:r>
            <w:r w:rsidRPr="006150ED">
              <w:rPr>
                <w:i/>
                <w:sz w:val="16"/>
                <w:szCs w:val="16"/>
              </w:rPr>
              <w:t>Non-Rate Benefit</w:t>
            </w:r>
            <w:r w:rsidRPr="000C6F39">
              <w:rPr>
                <w:sz w:val="16"/>
                <w:szCs w:val="16"/>
              </w:rPr>
              <w:t xml:space="preserve"> under this plan? </w:t>
            </w:r>
            <w:r>
              <w:rPr>
                <w:sz w:val="16"/>
                <w:szCs w:val="16"/>
              </w:rPr>
              <w:t xml:space="preserve">(Y=Yes, N=No, NA=Not Applicable)  </w:t>
            </w:r>
          </w:p>
        </w:tc>
        <w:tc>
          <w:tcPr>
            <w:tcW w:w="991" w:type="dxa"/>
          </w:tcPr>
          <w:p w:rsidR="00F97D54" w:rsidRDefault="00F97D54" w:rsidP="00EB5B97">
            <w:pPr>
              <w:rPr>
                <w:sz w:val="16"/>
                <w:szCs w:val="16"/>
              </w:rPr>
            </w:pPr>
            <w:r>
              <w:rPr>
                <w:sz w:val="16"/>
                <w:szCs w:val="16"/>
              </w:rPr>
              <w:t>Text</w:t>
            </w:r>
          </w:p>
        </w:tc>
        <w:tc>
          <w:tcPr>
            <w:tcW w:w="1345" w:type="dxa"/>
          </w:tcPr>
          <w:p w:rsidR="00F97D54" w:rsidRDefault="00F97D54" w:rsidP="00EB5B97">
            <w:pPr>
              <w:rPr>
                <w:sz w:val="16"/>
                <w:szCs w:val="16"/>
              </w:rPr>
            </w:pPr>
            <w:r>
              <w:rPr>
                <w:sz w:val="16"/>
                <w:szCs w:val="16"/>
              </w:rPr>
              <w:t>Y</w:t>
            </w:r>
          </w:p>
        </w:tc>
      </w:tr>
      <w:tr w:rsidR="00F97D54" w:rsidRPr="00551AAF" w:rsidTr="00EB5B97">
        <w:trPr>
          <w:trHeight w:val="360"/>
        </w:trPr>
        <w:tc>
          <w:tcPr>
            <w:tcW w:w="2679" w:type="dxa"/>
          </w:tcPr>
          <w:p w:rsidR="00F97D54" w:rsidRDefault="00F97D54" w:rsidP="00EB5B97">
            <w:pPr>
              <w:rPr>
                <w:sz w:val="16"/>
                <w:szCs w:val="16"/>
              </w:rPr>
            </w:pPr>
            <w:r>
              <w:rPr>
                <w:sz w:val="16"/>
                <w:szCs w:val="16"/>
              </w:rPr>
              <w:t>Outside_Area_Yes</w:t>
            </w:r>
          </w:p>
        </w:tc>
        <w:tc>
          <w:tcPr>
            <w:tcW w:w="3823" w:type="dxa"/>
          </w:tcPr>
          <w:p w:rsidR="00F97D54" w:rsidRPr="000C6F39" w:rsidRDefault="00F97D54" w:rsidP="00EB5B97">
            <w:pPr>
              <w:rPr>
                <w:sz w:val="16"/>
                <w:szCs w:val="16"/>
              </w:rPr>
            </w:pPr>
            <w:r w:rsidRPr="000C6F39">
              <w:rPr>
                <w:sz w:val="16"/>
                <w:szCs w:val="16"/>
              </w:rPr>
              <w:t xml:space="preserve">If yes, in what geographic areas outside the study area(s) of the </w:t>
            </w:r>
            <w:r w:rsidRPr="000C6F39">
              <w:rPr>
                <w:i/>
                <w:sz w:val="16"/>
                <w:szCs w:val="16"/>
              </w:rPr>
              <w:t>ILEC</w:t>
            </w:r>
            <w:r w:rsidRPr="000C6F39">
              <w:rPr>
                <w:sz w:val="16"/>
                <w:szCs w:val="16"/>
              </w:rPr>
              <w:t xml:space="preserve">, do you purchase these </w:t>
            </w:r>
            <w:r w:rsidRPr="000C6F39">
              <w:rPr>
                <w:i/>
                <w:sz w:val="16"/>
                <w:szCs w:val="16"/>
              </w:rPr>
              <w:t>DS1s</w:t>
            </w:r>
            <w:r>
              <w:rPr>
                <w:sz w:val="16"/>
                <w:szCs w:val="16"/>
              </w:rPr>
              <w:t>,</w:t>
            </w:r>
            <w:r w:rsidRPr="000C6F39">
              <w:rPr>
                <w:sz w:val="16"/>
                <w:szCs w:val="16"/>
              </w:rPr>
              <w:t xml:space="preserve"> </w:t>
            </w:r>
            <w:r w:rsidRPr="000C6F39">
              <w:rPr>
                <w:i/>
                <w:sz w:val="16"/>
                <w:szCs w:val="16"/>
              </w:rPr>
              <w:t>DS3s</w:t>
            </w:r>
            <w:r>
              <w:rPr>
                <w:sz w:val="16"/>
                <w:szCs w:val="16"/>
              </w:rPr>
              <w:t xml:space="preserve">, and/or tariffed </w:t>
            </w:r>
            <w:r w:rsidRPr="00E528B8">
              <w:rPr>
                <w:i/>
                <w:sz w:val="16"/>
                <w:szCs w:val="16"/>
              </w:rPr>
              <w:t>PBDS</w:t>
            </w:r>
            <w:r w:rsidRPr="000C6F39">
              <w:rPr>
                <w:sz w:val="16"/>
                <w:szCs w:val="16"/>
              </w:rPr>
              <w:t>?</w:t>
            </w:r>
            <w:r>
              <w:rPr>
                <w:sz w:val="16"/>
                <w:szCs w:val="16"/>
              </w:rPr>
              <w:t xml:space="preserve"> </w:t>
            </w:r>
          </w:p>
        </w:tc>
        <w:tc>
          <w:tcPr>
            <w:tcW w:w="991" w:type="dxa"/>
          </w:tcPr>
          <w:p w:rsidR="00F97D54" w:rsidRDefault="00F97D54" w:rsidP="00EB5B97">
            <w:pPr>
              <w:rPr>
                <w:sz w:val="16"/>
                <w:szCs w:val="16"/>
              </w:rPr>
            </w:pPr>
            <w:r>
              <w:rPr>
                <w:sz w:val="16"/>
                <w:szCs w:val="16"/>
              </w:rPr>
              <w:t>Text</w:t>
            </w:r>
          </w:p>
        </w:tc>
        <w:tc>
          <w:tcPr>
            <w:tcW w:w="1345" w:type="dxa"/>
          </w:tcPr>
          <w:p w:rsidR="00F97D54" w:rsidRDefault="00F97D54" w:rsidP="00EB5B97">
            <w:pPr>
              <w:rPr>
                <w:sz w:val="16"/>
                <w:szCs w:val="16"/>
              </w:rPr>
            </w:pPr>
            <w:r>
              <w:rPr>
                <w:sz w:val="16"/>
                <w:szCs w:val="16"/>
              </w:rPr>
              <w:t>Southern California</w:t>
            </w:r>
          </w:p>
        </w:tc>
      </w:tr>
      <w:tr w:rsidR="00F97D54" w:rsidRPr="00551AAF" w:rsidTr="00EB5B97">
        <w:trPr>
          <w:trHeight w:val="360"/>
        </w:trPr>
        <w:tc>
          <w:tcPr>
            <w:tcW w:w="2679" w:type="dxa"/>
          </w:tcPr>
          <w:p w:rsidR="00F97D54" w:rsidRDefault="00F97D54" w:rsidP="00EB5B97">
            <w:pPr>
              <w:rPr>
                <w:sz w:val="16"/>
                <w:szCs w:val="16"/>
              </w:rPr>
            </w:pPr>
            <w:r>
              <w:rPr>
                <w:sz w:val="16"/>
                <w:szCs w:val="16"/>
              </w:rPr>
              <w:t>Outside_Area_Yes_Diff</w:t>
            </w:r>
          </w:p>
        </w:tc>
        <w:tc>
          <w:tcPr>
            <w:tcW w:w="3823" w:type="dxa"/>
          </w:tcPr>
          <w:p w:rsidR="00F97D54" w:rsidRPr="000C6F39" w:rsidRDefault="00F97D54" w:rsidP="00EB5B97">
            <w:pPr>
              <w:rPr>
                <w:sz w:val="16"/>
                <w:szCs w:val="16"/>
              </w:rPr>
            </w:pPr>
            <w:r w:rsidRPr="000C6F39">
              <w:rPr>
                <w:sz w:val="16"/>
                <w:szCs w:val="16"/>
              </w:rPr>
              <w:t xml:space="preserve">Of the geographic areas identified, in which of those areas would your company have purchased from a different </w:t>
            </w:r>
            <w:r w:rsidRPr="000C6F39">
              <w:rPr>
                <w:i/>
                <w:sz w:val="16"/>
                <w:szCs w:val="16"/>
              </w:rPr>
              <w:t>Provider</w:t>
            </w:r>
            <w:r w:rsidRPr="000C6F39">
              <w:rPr>
                <w:sz w:val="16"/>
                <w:szCs w:val="16"/>
              </w:rPr>
              <w:t>, if at all,</w:t>
            </w:r>
            <w:r w:rsidRPr="000C6F39">
              <w:rPr>
                <w:i/>
                <w:sz w:val="16"/>
                <w:szCs w:val="16"/>
              </w:rPr>
              <w:t xml:space="preserve"> </w:t>
            </w:r>
            <w:r w:rsidRPr="000C6F39">
              <w:rPr>
                <w:sz w:val="16"/>
                <w:szCs w:val="16"/>
              </w:rPr>
              <w:t xml:space="preserve">had it not been for the discounts or </w:t>
            </w:r>
            <w:r w:rsidRPr="000C6F39">
              <w:rPr>
                <w:i/>
                <w:sz w:val="16"/>
                <w:szCs w:val="16"/>
              </w:rPr>
              <w:t>Non-Rate Benefits</w:t>
            </w:r>
            <w:r w:rsidRPr="000C6F39">
              <w:rPr>
                <w:sz w:val="16"/>
                <w:szCs w:val="16"/>
              </w:rPr>
              <w:t xml:space="preserve"> received under this plan?  </w:t>
            </w:r>
          </w:p>
        </w:tc>
        <w:tc>
          <w:tcPr>
            <w:tcW w:w="991" w:type="dxa"/>
          </w:tcPr>
          <w:p w:rsidR="00F97D54" w:rsidRDefault="00F97D54" w:rsidP="00EB5B97">
            <w:pPr>
              <w:rPr>
                <w:sz w:val="16"/>
                <w:szCs w:val="16"/>
              </w:rPr>
            </w:pPr>
            <w:r>
              <w:rPr>
                <w:sz w:val="16"/>
                <w:szCs w:val="16"/>
              </w:rPr>
              <w:t>Text</w:t>
            </w:r>
          </w:p>
        </w:tc>
        <w:tc>
          <w:tcPr>
            <w:tcW w:w="1345" w:type="dxa"/>
          </w:tcPr>
          <w:p w:rsidR="00F97D54" w:rsidRDefault="00F97D54" w:rsidP="00EB5B97">
            <w:pPr>
              <w:rPr>
                <w:sz w:val="16"/>
                <w:szCs w:val="16"/>
              </w:rPr>
            </w:pPr>
            <w:r>
              <w:rPr>
                <w:sz w:val="16"/>
                <w:szCs w:val="16"/>
              </w:rPr>
              <w:t>Southern California</w:t>
            </w:r>
          </w:p>
        </w:tc>
      </w:tr>
      <w:tr w:rsidR="00F97D54" w:rsidRPr="00551AAF" w:rsidTr="00EB5B97">
        <w:trPr>
          <w:trHeight w:val="360"/>
        </w:trPr>
        <w:tc>
          <w:tcPr>
            <w:tcW w:w="2679" w:type="dxa"/>
          </w:tcPr>
          <w:p w:rsidR="00F97D54" w:rsidRDefault="00F97D54" w:rsidP="00EB5B97">
            <w:pPr>
              <w:rPr>
                <w:sz w:val="16"/>
                <w:szCs w:val="16"/>
              </w:rPr>
            </w:pPr>
            <w:r>
              <w:rPr>
                <w:sz w:val="16"/>
                <w:szCs w:val="16"/>
              </w:rPr>
              <w:t>Outside_Area_Yes_Provider</w:t>
            </w:r>
          </w:p>
        </w:tc>
        <w:tc>
          <w:tcPr>
            <w:tcW w:w="3823" w:type="dxa"/>
          </w:tcPr>
          <w:p w:rsidR="00F97D54" w:rsidRPr="00997F57" w:rsidRDefault="00F97D54" w:rsidP="00EB5B97">
            <w:pPr>
              <w:rPr>
                <w:sz w:val="16"/>
                <w:szCs w:val="16"/>
              </w:rPr>
            </w:pPr>
            <w:r>
              <w:rPr>
                <w:sz w:val="16"/>
                <w:szCs w:val="16"/>
              </w:rPr>
              <w:t xml:space="preserve">Name of </w:t>
            </w:r>
            <w:r w:rsidRPr="002B1D08">
              <w:rPr>
                <w:i/>
                <w:sz w:val="16"/>
                <w:szCs w:val="16"/>
              </w:rPr>
              <w:t>Provider</w:t>
            </w:r>
            <w:r>
              <w:rPr>
                <w:i/>
                <w:sz w:val="16"/>
                <w:szCs w:val="16"/>
              </w:rPr>
              <w:t>(s)</w:t>
            </w:r>
            <w:r>
              <w:rPr>
                <w:sz w:val="16"/>
                <w:szCs w:val="16"/>
              </w:rPr>
              <w:t xml:space="preserve"> in the geographic area identified above you would have purchased from had it not been for the discounts or </w:t>
            </w:r>
            <w:r w:rsidRPr="002B1D08">
              <w:rPr>
                <w:i/>
                <w:sz w:val="16"/>
                <w:szCs w:val="16"/>
              </w:rPr>
              <w:t>Non-Rate Benefits</w:t>
            </w:r>
            <w:r>
              <w:rPr>
                <w:sz w:val="16"/>
                <w:szCs w:val="16"/>
              </w:rPr>
              <w:t xml:space="preserve"> received under this plan.</w:t>
            </w:r>
          </w:p>
        </w:tc>
        <w:tc>
          <w:tcPr>
            <w:tcW w:w="991" w:type="dxa"/>
          </w:tcPr>
          <w:p w:rsidR="00F97D54" w:rsidRDefault="00F97D54" w:rsidP="00EB5B97">
            <w:pPr>
              <w:rPr>
                <w:sz w:val="16"/>
                <w:szCs w:val="16"/>
              </w:rPr>
            </w:pPr>
            <w:r>
              <w:rPr>
                <w:sz w:val="16"/>
                <w:szCs w:val="16"/>
              </w:rPr>
              <w:t>Text</w:t>
            </w:r>
          </w:p>
        </w:tc>
        <w:tc>
          <w:tcPr>
            <w:tcW w:w="1345" w:type="dxa"/>
          </w:tcPr>
          <w:p w:rsidR="00F97D54" w:rsidRDefault="00F97D54" w:rsidP="00EB5B97">
            <w:pPr>
              <w:rPr>
                <w:sz w:val="16"/>
                <w:szCs w:val="16"/>
              </w:rPr>
            </w:pPr>
            <w:r>
              <w:rPr>
                <w:sz w:val="16"/>
                <w:szCs w:val="16"/>
              </w:rPr>
              <w:t>ABC Co.</w:t>
            </w:r>
          </w:p>
        </w:tc>
      </w:tr>
      <w:tr w:rsidR="00F97D54" w:rsidRPr="00551AAF" w:rsidTr="00EB5B97">
        <w:trPr>
          <w:trHeight w:val="360"/>
        </w:trPr>
        <w:tc>
          <w:tcPr>
            <w:tcW w:w="2679" w:type="dxa"/>
          </w:tcPr>
          <w:p w:rsidR="00F97D54" w:rsidRDefault="00F97D54" w:rsidP="00EB5B97">
            <w:pPr>
              <w:rPr>
                <w:sz w:val="16"/>
                <w:szCs w:val="16"/>
              </w:rPr>
            </w:pPr>
            <w:r>
              <w:rPr>
                <w:sz w:val="16"/>
                <w:szCs w:val="16"/>
              </w:rPr>
              <w:t>ILEC_Price_Cap</w:t>
            </w:r>
          </w:p>
        </w:tc>
        <w:tc>
          <w:tcPr>
            <w:tcW w:w="3823" w:type="dxa"/>
          </w:tcPr>
          <w:p w:rsidR="00F97D54" w:rsidRPr="00997F57" w:rsidRDefault="00F97D54" w:rsidP="00EB5B97">
            <w:pPr>
              <w:rPr>
                <w:sz w:val="16"/>
                <w:szCs w:val="16"/>
              </w:rPr>
            </w:pPr>
            <w:r w:rsidRPr="00997F57">
              <w:rPr>
                <w:sz w:val="16"/>
                <w:szCs w:val="16"/>
              </w:rPr>
              <w:t xml:space="preserve">If this is an </w:t>
            </w:r>
            <w:r w:rsidRPr="00997F57">
              <w:rPr>
                <w:i/>
                <w:sz w:val="16"/>
                <w:szCs w:val="16"/>
              </w:rPr>
              <w:t>ILEC</w:t>
            </w:r>
            <w:r w:rsidRPr="00997F57">
              <w:rPr>
                <w:sz w:val="16"/>
                <w:szCs w:val="16"/>
              </w:rPr>
              <w:t xml:space="preserve"> plan, do </w:t>
            </w:r>
            <w:r w:rsidRPr="000C6F39">
              <w:rPr>
                <w:i/>
                <w:sz w:val="16"/>
                <w:szCs w:val="16"/>
              </w:rPr>
              <w:t>DS1s</w:t>
            </w:r>
            <w:r>
              <w:rPr>
                <w:sz w:val="16"/>
                <w:szCs w:val="16"/>
              </w:rPr>
              <w:t>,</w:t>
            </w:r>
            <w:r w:rsidRPr="000C6F39">
              <w:rPr>
                <w:sz w:val="16"/>
                <w:szCs w:val="16"/>
              </w:rPr>
              <w:t xml:space="preserve"> </w:t>
            </w:r>
            <w:r w:rsidRPr="000C6F39">
              <w:rPr>
                <w:i/>
                <w:sz w:val="16"/>
                <w:szCs w:val="16"/>
              </w:rPr>
              <w:t>DS3s</w:t>
            </w:r>
            <w:r>
              <w:rPr>
                <w:sz w:val="16"/>
                <w:szCs w:val="16"/>
              </w:rPr>
              <w:t xml:space="preserve">, and/or tariffed </w:t>
            </w:r>
            <w:r w:rsidRPr="00E528B8">
              <w:rPr>
                <w:i/>
                <w:sz w:val="16"/>
                <w:szCs w:val="16"/>
              </w:rPr>
              <w:t>PBDS</w:t>
            </w:r>
            <w:r w:rsidRPr="00997F57">
              <w:rPr>
                <w:sz w:val="16"/>
                <w:szCs w:val="16"/>
              </w:rPr>
              <w:t xml:space="preserve"> purchases your company makes from the </w:t>
            </w:r>
            <w:r w:rsidRPr="00997F57">
              <w:rPr>
                <w:i/>
                <w:sz w:val="16"/>
                <w:szCs w:val="16"/>
              </w:rPr>
              <w:t>ILEC</w:t>
            </w:r>
            <w:r w:rsidRPr="00997F57">
              <w:rPr>
                <w:sz w:val="16"/>
                <w:szCs w:val="16"/>
              </w:rPr>
              <w:t xml:space="preserve"> in price cap areas where the Commission has not granted the </w:t>
            </w:r>
            <w:r w:rsidRPr="00997F57">
              <w:rPr>
                <w:i/>
                <w:sz w:val="16"/>
                <w:szCs w:val="16"/>
              </w:rPr>
              <w:t>ILEC</w:t>
            </w:r>
            <w:r w:rsidRPr="00997F57">
              <w:rPr>
                <w:sz w:val="16"/>
                <w:szCs w:val="16"/>
              </w:rPr>
              <w:t xml:space="preserve"> pricing flexibility </w:t>
            </w:r>
            <w:r>
              <w:rPr>
                <w:sz w:val="16"/>
                <w:szCs w:val="16"/>
              </w:rPr>
              <w:t xml:space="preserve">count towards </w:t>
            </w:r>
            <w:r w:rsidRPr="00997F57">
              <w:rPr>
                <w:sz w:val="16"/>
                <w:szCs w:val="16"/>
              </w:rPr>
              <w:t xml:space="preserve">meeting any </w:t>
            </w:r>
            <w:r w:rsidRPr="00997F57">
              <w:rPr>
                <w:i/>
                <w:sz w:val="16"/>
                <w:szCs w:val="16"/>
              </w:rPr>
              <w:t>Volume Commitment</w:t>
            </w:r>
            <w:r w:rsidRPr="00997F57">
              <w:rPr>
                <w:sz w:val="16"/>
                <w:szCs w:val="16"/>
              </w:rPr>
              <w:t xml:space="preserve"> to receive a discount or </w:t>
            </w:r>
            <w:r w:rsidRPr="00997F57">
              <w:rPr>
                <w:i/>
                <w:sz w:val="16"/>
                <w:szCs w:val="16"/>
              </w:rPr>
              <w:t>Non-Rate Benefit</w:t>
            </w:r>
            <w:r w:rsidRPr="00997F57">
              <w:rPr>
                <w:sz w:val="16"/>
                <w:szCs w:val="16"/>
              </w:rPr>
              <w:t xml:space="preserve"> under this plan? </w:t>
            </w:r>
            <w:r>
              <w:rPr>
                <w:sz w:val="16"/>
                <w:szCs w:val="16"/>
              </w:rPr>
              <w:t xml:space="preserve">(Y=Yes, N=No, NA=Not Applicable) </w:t>
            </w:r>
          </w:p>
        </w:tc>
        <w:tc>
          <w:tcPr>
            <w:tcW w:w="991" w:type="dxa"/>
          </w:tcPr>
          <w:p w:rsidR="00F97D54" w:rsidRDefault="00F97D54" w:rsidP="00EB5B97">
            <w:pPr>
              <w:rPr>
                <w:sz w:val="16"/>
                <w:szCs w:val="16"/>
              </w:rPr>
            </w:pPr>
            <w:r>
              <w:rPr>
                <w:sz w:val="16"/>
                <w:szCs w:val="16"/>
              </w:rPr>
              <w:t>Text</w:t>
            </w:r>
          </w:p>
        </w:tc>
        <w:tc>
          <w:tcPr>
            <w:tcW w:w="1345" w:type="dxa"/>
          </w:tcPr>
          <w:p w:rsidR="00F97D54" w:rsidRDefault="00F97D54" w:rsidP="00EB5B97">
            <w:pPr>
              <w:rPr>
                <w:sz w:val="16"/>
                <w:szCs w:val="16"/>
              </w:rPr>
            </w:pPr>
            <w:r>
              <w:rPr>
                <w:sz w:val="16"/>
                <w:szCs w:val="16"/>
              </w:rPr>
              <w:t>Y</w:t>
            </w:r>
          </w:p>
        </w:tc>
      </w:tr>
      <w:tr w:rsidR="00F97D54" w:rsidRPr="00551AAF" w:rsidTr="00EB5B97">
        <w:trPr>
          <w:trHeight w:val="360"/>
        </w:trPr>
        <w:tc>
          <w:tcPr>
            <w:tcW w:w="2679" w:type="dxa"/>
          </w:tcPr>
          <w:p w:rsidR="00F97D54" w:rsidRDefault="00F97D54" w:rsidP="00EB5B97">
            <w:pPr>
              <w:rPr>
                <w:sz w:val="16"/>
                <w:szCs w:val="16"/>
              </w:rPr>
            </w:pPr>
            <w:r>
              <w:rPr>
                <w:sz w:val="16"/>
                <w:szCs w:val="16"/>
              </w:rPr>
              <w:t>ILEC_Price_Cap_Vol</w:t>
            </w:r>
          </w:p>
        </w:tc>
        <w:tc>
          <w:tcPr>
            <w:tcW w:w="3823" w:type="dxa"/>
          </w:tcPr>
          <w:p w:rsidR="00F97D54" w:rsidRPr="00F83CE8" w:rsidRDefault="00F97D54" w:rsidP="00EB5B97">
            <w:pPr>
              <w:rPr>
                <w:sz w:val="16"/>
                <w:szCs w:val="16"/>
              </w:rPr>
            </w:pPr>
            <w:r w:rsidRPr="00F83CE8">
              <w:rPr>
                <w:sz w:val="16"/>
                <w:szCs w:val="16"/>
              </w:rPr>
              <w:t xml:space="preserve">If Yes, then identify the price cap areas where you purchase </w:t>
            </w:r>
            <w:r w:rsidRPr="000C6F39">
              <w:rPr>
                <w:i/>
                <w:sz w:val="16"/>
                <w:szCs w:val="16"/>
              </w:rPr>
              <w:t>DS1s</w:t>
            </w:r>
            <w:r>
              <w:rPr>
                <w:sz w:val="16"/>
                <w:szCs w:val="16"/>
              </w:rPr>
              <w:t>,</w:t>
            </w:r>
            <w:r w:rsidRPr="000C6F39">
              <w:rPr>
                <w:sz w:val="16"/>
                <w:szCs w:val="16"/>
              </w:rPr>
              <w:t xml:space="preserve"> </w:t>
            </w:r>
            <w:r w:rsidRPr="000C6F39">
              <w:rPr>
                <w:i/>
                <w:sz w:val="16"/>
                <w:szCs w:val="16"/>
              </w:rPr>
              <w:t>DS3s</w:t>
            </w:r>
            <w:r>
              <w:rPr>
                <w:sz w:val="16"/>
                <w:szCs w:val="16"/>
              </w:rPr>
              <w:t xml:space="preserve">, and/or tariffed </w:t>
            </w:r>
            <w:r w:rsidRPr="00E528B8">
              <w:rPr>
                <w:i/>
                <w:sz w:val="16"/>
                <w:szCs w:val="16"/>
              </w:rPr>
              <w:t>PBDS</w:t>
            </w:r>
            <w:r w:rsidRPr="00F83CE8">
              <w:rPr>
                <w:sz w:val="16"/>
                <w:szCs w:val="16"/>
              </w:rPr>
              <w:t xml:space="preserve"> that count towards meeting any </w:t>
            </w:r>
            <w:r w:rsidRPr="00F83CE8">
              <w:rPr>
                <w:i/>
                <w:sz w:val="16"/>
                <w:szCs w:val="16"/>
              </w:rPr>
              <w:t>Volume Commitment</w:t>
            </w:r>
            <w:r w:rsidRPr="00F83CE8">
              <w:rPr>
                <w:sz w:val="16"/>
                <w:szCs w:val="16"/>
              </w:rPr>
              <w:t xml:space="preserve"> to receive a discount or </w:t>
            </w:r>
            <w:r w:rsidRPr="00F83CE8">
              <w:rPr>
                <w:i/>
                <w:sz w:val="16"/>
                <w:szCs w:val="16"/>
              </w:rPr>
              <w:t>Non-Rate Benefit</w:t>
            </w:r>
            <w:r w:rsidRPr="00F83CE8">
              <w:rPr>
                <w:sz w:val="16"/>
                <w:szCs w:val="16"/>
              </w:rPr>
              <w:t xml:space="preserve"> under this plan</w:t>
            </w:r>
            <w:r>
              <w:rPr>
                <w:sz w:val="16"/>
                <w:szCs w:val="16"/>
              </w:rPr>
              <w:t>.</w:t>
            </w:r>
          </w:p>
        </w:tc>
        <w:tc>
          <w:tcPr>
            <w:tcW w:w="991" w:type="dxa"/>
          </w:tcPr>
          <w:p w:rsidR="00F97D54" w:rsidRDefault="00F97D54" w:rsidP="00EB5B97">
            <w:pPr>
              <w:rPr>
                <w:sz w:val="16"/>
                <w:szCs w:val="16"/>
              </w:rPr>
            </w:pPr>
            <w:r>
              <w:rPr>
                <w:sz w:val="16"/>
                <w:szCs w:val="16"/>
              </w:rPr>
              <w:t>Text</w:t>
            </w:r>
          </w:p>
        </w:tc>
        <w:tc>
          <w:tcPr>
            <w:tcW w:w="1345" w:type="dxa"/>
          </w:tcPr>
          <w:p w:rsidR="00F97D54" w:rsidRDefault="00F97D54" w:rsidP="00EB5B97">
            <w:pPr>
              <w:rPr>
                <w:sz w:val="16"/>
                <w:szCs w:val="16"/>
              </w:rPr>
            </w:pPr>
            <w:r>
              <w:rPr>
                <w:sz w:val="16"/>
                <w:szCs w:val="16"/>
              </w:rPr>
              <w:t>Texas</w:t>
            </w:r>
          </w:p>
        </w:tc>
      </w:tr>
      <w:tr w:rsidR="00F97D54" w:rsidRPr="00551AAF" w:rsidTr="00EB5B97">
        <w:trPr>
          <w:trHeight w:val="360"/>
        </w:trPr>
        <w:tc>
          <w:tcPr>
            <w:tcW w:w="2679" w:type="dxa"/>
          </w:tcPr>
          <w:p w:rsidR="00F97D54" w:rsidRDefault="00F97D54" w:rsidP="00EB5B97">
            <w:pPr>
              <w:rPr>
                <w:sz w:val="16"/>
                <w:szCs w:val="16"/>
              </w:rPr>
            </w:pPr>
            <w:r>
              <w:rPr>
                <w:sz w:val="16"/>
                <w:szCs w:val="16"/>
              </w:rPr>
              <w:t>ILEC_Price_Flex1</w:t>
            </w:r>
          </w:p>
        </w:tc>
        <w:tc>
          <w:tcPr>
            <w:tcW w:w="3823" w:type="dxa"/>
          </w:tcPr>
          <w:p w:rsidR="00F97D54" w:rsidRPr="00F83CE8" w:rsidRDefault="00F97D54" w:rsidP="00EB5B97">
            <w:pPr>
              <w:rPr>
                <w:sz w:val="16"/>
                <w:szCs w:val="16"/>
              </w:rPr>
            </w:pPr>
            <w:r w:rsidRPr="00F83CE8">
              <w:rPr>
                <w:sz w:val="16"/>
                <w:szCs w:val="16"/>
              </w:rPr>
              <w:t xml:space="preserve">If this is an </w:t>
            </w:r>
            <w:r w:rsidRPr="00F83CE8">
              <w:rPr>
                <w:i/>
                <w:sz w:val="16"/>
                <w:szCs w:val="16"/>
              </w:rPr>
              <w:t>ILEC</w:t>
            </w:r>
            <w:r w:rsidRPr="00F83CE8">
              <w:rPr>
                <w:sz w:val="16"/>
                <w:szCs w:val="16"/>
              </w:rPr>
              <w:t xml:space="preserve"> plan, do </w:t>
            </w:r>
            <w:r w:rsidRPr="000C6F39">
              <w:rPr>
                <w:i/>
                <w:sz w:val="16"/>
                <w:szCs w:val="16"/>
              </w:rPr>
              <w:t>DS1s</w:t>
            </w:r>
            <w:r>
              <w:rPr>
                <w:sz w:val="16"/>
                <w:szCs w:val="16"/>
              </w:rPr>
              <w:t>,</w:t>
            </w:r>
            <w:r w:rsidRPr="000C6F39">
              <w:rPr>
                <w:sz w:val="16"/>
                <w:szCs w:val="16"/>
              </w:rPr>
              <w:t xml:space="preserve"> </w:t>
            </w:r>
            <w:r w:rsidRPr="000C6F39">
              <w:rPr>
                <w:i/>
                <w:sz w:val="16"/>
                <w:szCs w:val="16"/>
              </w:rPr>
              <w:t>DS3s</w:t>
            </w:r>
            <w:r>
              <w:rPr>
                <w:sz w:val="16"/>
                <w:szCs w:val="16"/>
              </w:rPr>
              <w:t xml:space="preserve">, and/or tariffed </w:t>
            </w:r>
            <w:r w:rsidRPr="00E528B8">
              <w:rPr>
                <w:i/>
                <w:sz w:val="16"/>
                <w:szCs w:val="16"/>
              </w:rPr>
              <w:t>PBDS</w:t>
            </w:r>
            <w:r w:rsidRPr="00F83CE8">
              <w:rPr>
                <w:sz w:val="16"/>
                <w:szCs w:val="16"/>
              </w:rPr>
              <w:t xml:space="preserve"> purchases your company makes from the </w:t>
            </w:r>
            <w:r w:rsidRPr="00F83CE8">
              <w:rPr>
                <w:i/>
                <w:sz w:val="16"/>
                <w:szCs w:val="16"/>
              </w:rPr>
              <w:t>ILEC</w:t>
            </w:r>
            <w:r w:rsidRPr="00F83CE8">
              <w:rPr>
                <w:sz w:val="16"/>
                <w:szCs w:val="16"/>
              </w:rPr>
              <w:t xml:space="preserve"> in areas where the Commission has granted </w:t>
            </w:r>
            <w:r>
              <w:rPr>
                <w:sz w:val="16"/>
                <w:szCs w:val="16"/>
              </w:rPr>
              <w:t xml:space="preserve">the </w:t>
            </w:r>
            <w:r w:rsidRPr="00ED6F7B">
              <w:rPr>
                <w:i/>
                <w:sz w:val="16"/>
                <w:szCs w:val="16"/>
              </w:rPr>
              <w:t>ILEC</w:t>
            </w:r>
            <w:r>
              <w:rPr>
                <w:sz w:val="16"/>
                <w:szCs w:val="16"/>
              </w:rPr>
              <w:t xml:space="preserve"> </w:t>
            </w:r>
            <w:r w:rsidRPr="00F83CE8">
              <w:rPr>
                <w:i/>
                <w:sz w:val="16"/>
                <w:szCs w:val="16"/>
              </w:rPr>
              <w:t>Phase I</w:t>
            </w:r>
            <w:r w:rsidRPr="00F83CE8">
              <w:rPr>
                <w:sz w:val="16"/>
                <w:szCs w:val="16"/>
              </w:rPr>
              <w:t xml:space="preserve"> </w:t>
            </w:r>
            <w:r w:rsidRPr="00F83CE8">
              <w:rPr>
                <w:i/>
                <w:sz w:val="16"/>
                <w:szCs w:val="16"/>
              </w:rPr>
              <w:t>Pricing Flexibility</w:t>
            </w:r>
            <w:r w:rsidRPr="00F83CE8">
              <w:rPr>
                <w:sz w:val="16"/>
                <w:szCs w:val="16"/>
              </w:rPr>
              <w:t xml:space="preserve"> </w:t>
            </w:r>
            <w:r>
              <w:rPr>
                <w:sz w:val="16"/>
                <w:szCs w:val="16"/>
              </w:rPr>
              <w:t xml:space="preserve">count towards </w:t>
            </w:r>
            <w:r w:rsidRPr="00F83CE8">
              <w:rPr>
                <w:sz w:val="16"/>
                <w:szCs w:val="16"/>
              </w:rPr>
              <w:t xml:space="preserve">meeting any </w:t>
            </w:r>
            <w:r w:rsidRPr="00F83CE8">
              <w:rPr>
                <w:i/>
                <w:sz w:val="16"/>
                <w:szCs w:val="16"/>
              </w:rPr>
              <w:t>Volume Commitment</w:t>
            </w:r>
            <w:r w:rsidRPr="00F83CE8">
              <w:rPr>
                <w:sz w:val="16"/>
                <w:szCs w:val="16"/>
              </w:rPr>
              <w:t xml:space="preserve"> to receive a discount or </w:t>
            </w:r>
            <w:r w:rsidRPr="00F83CE8">
              <w:rPr>
                <w:i/>
                <w:sz w:val="16"/>
                <w:szCs w:val="16"/>
              </w:rPr>
              <w:t>Non-Rate Benefit</w:t>
            </w:r>
            <w:r w:rsidRPr="00F83CE8">
              <w:rPr>
                <w:sz w:val="16"/>
                <w:szCs w:val="16"/>
              </w:rPr>
              <w:t xml:space="preserve"> under this plan? </w:t>
            </w:r>
            <w:r>
              <w:rPr>
                <w:sz w:val="16"/>
                <w:szCs w:val="16"/>
              </w:rPr>
              <w:t xml:space="preserve">(Y=Yes, N=No, NA=Not Applicable) </w:t>
            </w:r>
          </w:p>
        </w:tc>
        <w:tc>
          <w:tcPr>
            <w:tcW w:w="991" w:type="dxa"/>
          </w:tcPr>
          <w:p w:rsidR="00F97D54" w:rsidRDefault="00F97D54" w:rsidP="00EB5B97">
            <w:pPr>
              <w:rPr>
                <w:sz w:val="16"/>
                <w:szCs w:val="16"/>
              </w:rPr>
            </w:pPr>
            <w:r>
              <w:rPr>
                <w:sz w:val="16"/>
                <w:szCs w:val="16"/>
              </w:rPr>
              <w:t>Text</w:t>
            </w:r>
          </w:p>
        </w:tc>
        <w:tc>
          <w:tcPr>
            <w:tcW w:w="1345" w:type="dxa"/>
          </w:tcPr>
          <w:p w:rsidR="00F97D54" w:rsidRDefault="00F97D54" w:rsidP="00EB5B97">
            <w:pPr>
              <w:rPr>
                <w:sz w:val="16"/>
                <w:szCs w:val="16"/>
              </w:rPr>
            </w:pPr>
            <w:r>
              <w:rPr>
                <w:sz w:val="16"/>
                <w:szCs w:val="16"/>
              </w:rPr>
              <w:t>Y</w:t>
            </w:r>
          </w:p>
        </w:tc>
      </w:tr>
      <w:tr w:rsidR="00F97D54" w:rsidRPr="00551AAF" w:rsidTr="00EB5B97">
        <w:trPr>
          <w:trHeight w:val="360"/>
        </w:trPr>
        <w:tc>
          <w:tcPr>
            <w:tcW w:w="2679" w:type="dxa"/>
          </w:tcPr>
          <w:p w:rsidR="00F97D54" w:rsidRDefault="00F97D54" w:rsidP="00EB5B97">
            <w:pPr>
              <w:rPr>
                <w:sz w:val="16"/>
                <w:szCs w:val="16"/>
              </w:rPr>
            </w:pPr>
            <w:r>
              <w:rPr>
                <w:sz w:val="16"/>
                <w:szCs w:val="16"/>
              </w:rPr>
              <w:t>ILEC_Price_Flex1_Vol</w:t>
            </w:r>
          </w:p>
        </w:tc>
        <w:tc>
          <w:tcPr>
            <w:tcW w:w="3823" w:type="dxa"/>
          </w:tcPr>
          <w:p w:rsidR="00F97D54" w:rsidRPr="00F83CE8" w:rsidRDefault="00F97D54" w:rsidP="00EB5B97">
            <w:pPr>
              <w:rPr>
                <w:sz w:val="16"/>
                <w:szCs w:val="16"/>
              </w:rPr>
            </w:pPr>
            <w:r w:rsidRPr="00F83CE8">
              <w:rPr>
                <w:sz w:val="16"/>
                <w:szCs w:val="16"/>
              </w:rPr>
              <w:t xml:space="preserve">If </w:t>
            </w:r>
            <w:r>
              <w:rPr>
                <w:sz w:val="16"/>
                <w:szCs w:val="16"/>
              </w:rPr>
              <w:t>Y</w:t>
            </w:r>
            <w:r w:rsidRPr="00F83CE8">
              <w:rPr>
                <w:sz w:val="16"/>
                <w:szCs w:val="16"/>
              </w:rPr>
              <w:t xml:space="preserve">es, in what geographic areas subject to pricing flexibility do you purchase </w:t>
            </w:r>
            <w:r w:rsidRPr="000C6F39">
              <w:rPr>
                <w:i/>
                <w:sz w:val="16"/>
                <w:szCs w:val="16"/>
              </w:rPr>
              <w:t>DS1s</w:t>
            </w:r>
            <w:r>
              <w:rPr>
                <w:sz w:val="16"/>
                <w:szCs w:val="16"/>
              </w:rPr>
              <w:t>,</w:t>
            </w:r>
            <w:r w:rsidRPr="000C6F39">
              <w:rPr>
                <w:sz w:val="16"/>
                <w:szCs w:val="16"/>
              </w:rPr>
              <w:t xml:space="preserve"> </w:t>
            </w:r>
            <w:r w:rsidRPr="000C6F39">
              <w:rPr>
                <w:i/>
                <w:sz w:val="16"/>
                <w:szCs w:val="16"/>
              </w:rPr>
              <w:t>DS3s</w:t>
            </w:r>
            <w:r>
              <w:rPr>
                <w:sz w:val="16"/>
                <w:szCs w:val="16"/>
              </w:rPr>
              <w:t xml:space="preserve">, and/or tariffed </w:t>
            </w:r>
            <w:r w:rsidRPr="00E528B8">
              <w:rPr>
                <w:i/>
                <w:sz w:val="16"/>
                <w:szCs w:val="16"/>
              </w:rPr>
              <w:t>PBDS</w:t>
            </w:r>
            <w:r w:rsidRPr="00F83CE8">
              <w:rPr>
                <w:sz w:val="16"/>
                <w:szCs w:val="16"/>
              </w:rPr>
              <w:t xml:space="preserve"> that count towards meeting any </w:t>
            </w:r>
            <w:r w:rsidRPr="00F83CE8">
              <w:rPr>
                <w:i/>
                <w:sz w:val="16"/>
                <w:szCs w:val="16"/>
              </w:rPr>
              <w:t>Volume Commitment</w:t>
            </w:r>
            <w:r w:rsidRPr="00F83CE8">
              <w:rPr>
                <w:sz w:val="16"/>
                <w:szCs w:val="16"/>
              </w:rPr>
              <w:t xml:space="preserve"> to receive a discount or </w:t>
            </w:r>
            <w:r w:rsidRPr="00F83CE8">
              <w:rPr>
                <w:i/>
                <w:sz w:val="16"/>
                <w:szCs w:val="16"/>
              </w:rPr>
              <w:t>Non-Rate Benefit</w:t>
            </w:r>
            <w:r w:rsidRPr="00F83CE8">
              <w:rPr>
                <w:sz w:val="16"/>
                <w:szCs w:val="16"/>
              </w:rPr>
              <w:t xml:space="preserve"> under this plan?</w:t>
            </w:r>
            <w:r>
              <w:rPr>
                <w:sz w:val="16"/>
                <w:szCs w:val="16"/>
              </w:rPr>
              <w:t xml:space="preserve"> </w:t>
            </w:r>
          </w:p>
        </w:tc>
        <w:tc>
          <w:tcPr>
            <w:tcW w:w="991" w:type="dxa"/>
          </w:tcPr>
          <w:p w:rsidR="00F97D54" w:rsidRDefault="00F97D54" w:rsidP="00EB5B97">
            <w:pPr>
              <w:rPr>
                <w:sz w:val="16"/>
                <w:szCs w:val="16"/>
              </w:rPr>
            </w:pPr>
            <w:r>
              <w:rPr>
                <w:sz w:val="16"/>
                <w:szCs w:val="16"/>
              </w:rPr>
              <w:t>Text</w:t>
            </w:r>
          </w:p>
        </w:tc>
        <w:tc>
          <w:tcPr>
            <w:tcW w:w="1345" w:type="dxa"/>
          </w:tcPr>
          <w:p w:rsidR="00F97D54" w:rsidRDefault="00F97D54" w:rsidP="00EB5B97">
            <w:pPr>
              <w:rPr>
                <w:sz w:val="16"/>
                <w:szCs w:val="16"/>
              </w:rPr>
            </w:pPr>
            <w:r>
              <w:rPr>
                <w:sz w:val="16"/>
                <w:szCs w:val="16"/>
              </w:rPr>
              <w:t>Dallas MSA</w:t>
            </w:r>
          </w:p>
        </w:tc>
      </w:tr>
      <w:tr w:rsidR="00F97D54" w:rsidRPr="00551AAF" w:rsidTr="00EB5B97">
        <w:trPr>
          <w:trHeight w:val="360"/>
        </w:trPr>
        <w:tc>
          <w:tcPr>
            <w:tcW w:w="2679" w:type="dxa"/>
          </w:tcPr>
          <w:p w:rsidR="00F97D54" w:rsidRDefault="00F97D54" w:rsidP="00EB5B97">
            <w:pPr>
              <w:rPr>
                <w:sz w:val="16"/>
                <w:szCs w:val="16"/>
              </w:rPr>
            </w:pPr>
            <w:r>
              <w:rPr>
                <w:sz w:val="16"/>
                <w:szCs w:val="16"/>
              </w:rPr>
              <w:t>ILEC_Price_Flex1_Diff</w:t>
            </w:r>
          </w:p>
        </w:tc>
        <w:tc>
          <w:tcPr>
            <w:tcW w:w="3823" w:type="dxa"/>
          </w:tcPr>
          <w:p w:rsidR="00F97D54" w:rsidRPr="000C6F39" w:rsidRDefault="00F97D54" w:rsidP="00EB5B97">
            <w:pPr>
              <w:rPr>
                <w:sz w:val="16"/>
                <w:szCs w:val="16"/>
              </w:rPr>
            </w:pPr>
            <w:r w:rsidRPr="000C6F39">
              <w:rPr>
                <w:sz w:val="16"/>
                <w:szCs w:val="16"/>
              </w:rPr>
              <w:t xml:space="preserve">Of the geographic areas identified, in which of those areas would your company have purchased from a different </w:t>
            </w:r>
            <w:r w:rsidRPr="000C6F39">
              <w:rPr>
                <w:i/>
                <w:sz w:val="16"/>
                <w:szCs w:val="16"/>
              </w:rPr>
              <w:t>Provider</w:t>
            </w:r>
            <w:r w:rsidRPr="000C6F39">
              <w:rPr>
                <w:sz w:val="16"/>
                <w:szCs w:val="16"/>
              </w:rPr>
              <w:t>, if at all,</w:t>
            </w:r>
            <w:r w:rsidRPr="000C6F39">
              <w:rPr>
                <w:i/>
                <w:sz w:val="16"/>
                <w:szCs w:val="16"/>
              </w:rPr>
              <w:t xml:space="preserve"> </w:t>
            </w:r>
            <w:r w:rsidRPr="000C6F39">
              <w:rPr>
                <w:sz w:val="16"/>
                <w:szCs w:val="16"/>
              </w:rPr>
              <w:t xml:space="preserve">had it not been for the discounts or </w:t>
            </w:r>
            <w:r w:rsidRPr="000C6F39">
              <w:rPr>
                <w:i/>
                <w:sz w:val="16"/>
                <w:szCs w:val="16"/>
              </w:rPr>
              <w:t>Non-Rate Benefits</w:t>
            </w:r>
            <w:r w:rsidRPr="000C6F39">
              <w:rPr>
                <w:sz w:val="16"/>
                <w:szCs w:val="16"/>
              </w:rPr>
              <w:t xml:space="preserve"> received under this plan?  </w:t>
            </w:r>
          </w:p>
        </w:tc>
        <w:tc>
          <w:tcPr>
            <w:tcW w:w="991" w:type="dxa"/>
          </w:tcPr>
          <w:p w:rsidR="00F97D54" w:rsidRDefault="00F97D54" w:rsidP="00EB5B97">
            <w:pPr>
              <w:rPr>
                <w:sz w:val="16"/>
                <w:szCs w:val="16"/>
              </w:rPr>
            </w:pPr>
            <w:r>
              <w:rPr>
                <w:sz w:val="16"/>
                <w:szCs w:val="16"/>
              </w:rPr>
              <w:t>Text</w:t>
            </w:r>
          </w:p>
        </w:tc>
        <w:tc>
          <w:tcPr>
            <w:tcW w:w="1345" w:type="dxa"/>
          </w:tcPr>
          <w:p w:rsidR="00F97D54" w:rsidRDefault="00F97D54" w:rsidP="00EB5B97">
            <w:pPr>
              <w:rPr>
                <w:sz w:val="16"/>
                <w:szCs w:val="16"/>
              </w:rPr>
            </w:pPr>
            <w:r>
              <w:rPr>
                <w:sz w:val="16"/>
                <w:szCs w:val="16"/>
              </w:rPr>
              <w:t>Southern California</w:t>
            </w:r>
          </w:p>
        </w:tc>
      </w:tr>
      <w:tr w:rsidR="00F97D54" w:rsidRPr="00551AAF" w:rsidTr="00EB5B97">
        <w:trPr>
          <w:trHeight w:val="360"/>
        </w:trPr>
        <w:tc>
          <w:tcPr>
            <w:tcW w:w="2679" w:type="dxa"/>
          </w:tcPr>
          <w:p w:rsidR="00F97D54" w:rsidRDefault="00F97D54" w:rsidP="00EB5B97">
            <w:pPr>
              <w:rPr>
                <w:sz w:val="16"/>
                <w:szCs w:val="16"/>
              </w:rPr>
            </w:pPr>
            <w:r>
              <w:rPr>
                <w:sz w:val="16"/>
                <w:szCs w:val="16"/>
              </w:rPr>
              <w:t>ILEC_Price_Flex1_Provider</w:t>
            </w:r>
          </w:p>
        </w:tc>
        <w:tc>
          <w:tcPr>
            <w:tcW w:w="3823" w:type="dxa"/>
          </w:tcPr>
          <w:p w:rsidR="00F97D54" w:rsidRPr="00997F57" w:rsidRDefault="00F97D54" w:rsidP="00EB5B97">
            <w:pPr>
              <w:rPr>
                <w:sz w:val="16"/>
                <w:szCs w:val="16"/>
              </w:rPr>
            </w:pPr>
            <w:r>
              <w:rPr>
                <w:sz w:val="16"/>
                <w:szCs w:val="16"/>
              </w:rPr>
              <w:t xml:space="preserve">Name of </w:t>
            </w:r>
            <w:r w:rsidRPr="002B1D08">
              <w:rPr>
                <w:i/>
                <w:sz w:val="16"/>
                <w:szCs w:val="16"/>
              </w:rPr>
              <w:t>Provider</w:t>
            </w:r>
            <w:r>
              <w:rPr>
                <w:i/>
                <w:sz w:val="16"/>
                <w:szCs w:val="16"/>
              </w:rPr>
              <w:t>(s)</w:t>
            </w:r>
            <w:r>
              <w:rPr>
                <w:sz w:val="16"/>
                <w:szCs w:val="16"/>
              </w:rPr>
              <w:t xml:space="preserve"> in the geographic areas identified above you would have purchased from had it not been for the discounts or </w:t>
            </w:r>
            <w:r w:rsidRPr="002B1D08">
              <w:rPr>
                <w:i/>
                <w:sz w:val="16"/>
                <w:szCs w:val="16"/>
              </w:rPr>
              <w:t>Non-Rate Benefits</w:t>
            </w:r>
            <w:r>
              <w:rPr>
                <w:sz w:val="16"/>
                <w:szCs w:val="16"/>
              </w:rPr>
              <w:t xml:space="preserve"> received under this plan.</w:t>
            </w:r>
          </w:p>
        </w:tc>
        <w:tc>
          <w:tcPr>
            <w:tcW w:w="991" w:type="dxa"/>
          </w:tcPr>
          <w:p w:rsidR="00F97D54" w:rsidRDefault="00F97D54" w:rsidP="00EB5B97">
            <w:pPr>
              <w:rPr>
                <w:sz w:val="16"/>
                <w:szCs w:val="16"/>
              </w:rPr>
            </w:pPr>
            <w:r>
              <w:rPr>
                <w:sz w:val="16"/>
                <w:szCs w:val="16"/>
              </w:rPr>
              <w:t>Text</w:t>
            </w:r>
          </w:p>
        </w:tc>
        <w:tc>
          <w:tcPr>
            <w:tcW w:w="1345" w:type="dxa"/>
          </w:tcPr>
          <w:p w:rsidR="00F97D54" w:rsidRDefault="00F97D54" w:rsidP="00EB5B97">
            <w:pPr>
              <w:rPr>
                <w:sz w:val="16"/>
                <w:szCs w:val="16"/>
              </w:rPr>
            </w:pPr>
            <w:r>
              <w:rPr>
                <w:sz w:val="16"/>
                <w:szCs w:val="16"/>
              </w:rPr>
              <w:t>ABC Co.</w:t>
            </w:r>
          </w:p>
        </w:tc>
      </w:tr>
      <w:tr w:rsidR="00F97D54" w:rsidRPr="00551AAF" w:rsidTr="00EB5B97">
        <w:trPr>
          <w:trHeight w:val="360"/>
        </w:trPr>
        <w:tc>
          <w:tcPr>
            <w:tcW w:w="2679" w:type="dxa"/>
          </w:tcPr>
          <w:p w:rsidR="00F97D54" w:rsidRDefault="00F97D54" w:rsidP="00EB5B97">
            <w:pPr>
              <w:rPr>
                <w:sz w:val="16"/>
                <w:szCs w:val="16"/>
              </w:rPr>
            </w:pPr>
            <w:r>
              <w:rPr>
                <w:sz w:val="16"/>
                <w:szCs w:val="16"/>
              </w:rPr>
              <w:t>ILEC_Price_Flex2</w:t>
            </w:r>
          </w:p>
        </w:tc>
        <w:tc>
          <w:tcPr>
            <w:tcW w:w="3823" w:type="dxa"/>
          </w:tcPr>
          <w:p w:rsidR="00F97D54" w:rsidRPr="00F83CE8" w:rsidRDefault="00F97D54" w:rsidP="00EB5B97">
            <w:pPr>
              <w:rPr>
                <w:sz w:val="16"/>
                <w:szCs w:val="16"/>
              </w:rPr>
            </w:pPr>
            <w:r w:rsidRPr="00F83CE8">
              <w:rPr>
                <w:sz w:val="16"/>
                <w:szCs w:val="16"/>
              </w:rPr>
              <w:t xml:space="preserve">If this is an </w:t>
            </w:r>
            <w:r w:rsidRPr="00F83CE8">
              <w:rPr>
                <w:i/>
                <w:sz w:val="16"/>
                <w:szCs w:val="16"/>
              </w:rPr>
              <w:t>ILEC</w:t>
            </w:r>
            <w:r w:rsidRPr="00F83CE8">
              <w:rPr>
                <w:sz w:val="16"/>
                <w:szCs w:val="16"/>
              </w:rPr>
              <w:t xml:space="preserve"> plan, do </w:t>
            </w:r>
            <w:r w:rsidRPr="000C6F39">
              <w:rPr>
                <w:i/>
                <w:sz w:val="16"/>
                <w:szCs w:val="16"/>
              </w:rPr>
              <w:t>DS1s</w:t>
            </w:r>
            <w:r>
              <w:rPr>
                <w:sz w:val="16"/>
                <w:szCs w:val="16"/>
              </w:rPr>
              <w:t>,</w:t>
            </w:r>
            <w:r w:rsidRPr="000C6F39">
              <w:rPr>
                <w:sz w:val="16"/>
                <w:szCs w:val="16"/>
              </w:rPr>
              <w:t xml:space="preserve"> </w:t>
            </w:r>
            <w:r w:rsidRPr="000C6F39">
              <w:rPr>
                <w:i/>
                <w:sz w:val="16"/>
                <w:szCs w:val="16"/>
              </w:rPr>
              <w:t>DS3s</w:t>
            </w:r>
            <w:r>
              <w:rPr>
                <w:sz w:val="16"/>
                <w:szCs w:val="16"/>
              </w:rPr>
              <w:t xml:space="preserve">, and/or tariffed </w:t>
            </w:r>
            <w:r w:rsidRPr="00E528B8">
              <w:rPr>
                <w:i/>
                <w:sz w:val="16"/>
                <w:szCs w:val="16"/>
              </w:rPr>
              <w:t>PBDS</w:t>
            </w:r>
            <w:r w:rsidRPr="00F83CE8">
              <w:rPr>
                <w:sz w:val="16"/>
                <w:szCs w:val="16"/>
              </w:rPr>
              <w:t xml:space="preserve"> purchases your company makes from the </w:t>
            </w:r>
            <w:r w:rsidRPr="00F83CE8">
              <w:rPr>
                <w:i/>
                <w:sz w:val="16"/>
                <w:szCs w:val="16"/>
              </w:rPr>
              <w:t>ILEC</w:t>
            </w:r>
            <w:r w:rsidRPr="00F83CE8">
              <w:rPr>
                <w:sz w:val="16"/>
                <w:szCs w:val="16"/>
              </w:rPr>
              <w:t xml:space="preserve"> in areas where the Commission has granted </w:t>
            </w:r>
            <w:r>
              <w:rPr>
                <w:sz w:val="16"/>
                <w:szCs w:val="16"/>
              </w:rPr>
              <w:t xml:space="preserve">the </w:t>
            </w:r>
            <w:r w:rsidRPr="00ED6F7B">
              <w:rPr>
                <w:i/>
                <w:sz w:val="16"/>
                <w:szCs w:val="16"/>
              </w:rPr>
              <w:t>ILEC</w:t>
            </w:r>
            <w:r>
              <w:rPr>
                <w:sz w:val="16"/>
                <w:szCs w:val="16"/>
              </w:rPr>
              <w:t xml:space="preserve"> </w:t>
            </w:r>
            <w:r w:rsidRPr="00F83CE8">
              <w:rPr>
                <w:i/>
                <w:sz w:val="16"/>
                <w:szCs w:val="16"/>
              </w:rPr>
              <w:t>Phase I</w:t>
            </w:r>
            <w:r>
              <w:rPr>
                <w:i/>
                <w:sz w:val="16"/>
                <w:szCs w:val="16"/>
              </w:rPr>
              <w:t>I</w:t>
            </w:r>
            <w:r w:rsidRPr="00F83CE8">
              <w:rPr>
                <w:sz w:val="16"/>
                <w:szCs w:val="16"/>
              </w:rPr>
              <w:t xml:space="preserve"> </w:t>
            </w:r>
            <w:r w:rsidRPr="00F83CE8">
              <w:rPr>
                <w:i/>
                <w:sz w:val="16"/>
                <w:szCs w:val="16"/>
              </w:rPr>
              <w:t>Pricing Flexibility</w:t>
            </w:r>
            <w:r w:rsidRPr="00F83CE8">
              <w:rPr>
                <w:sz w:val="16"/>
                <w:szCs w:val="16"/>
              </w:rPr>
              <w:t xml:space="preserve"> </w:t>
            </w:r>
            <w:r>
              <w:rPr>
                <w:sz w:val="16"/>
                <w:szCs w:val="16"/>
              </w:rPr>
              <w:t xml:space="preserve">count towards </w:t>
            </w:r>
            <w:r w:rsidRPr="00F83CE8">
              <w:rPr>
                <w:sz w:val="16"/>
                <w:szCs w:val="16"/>
              </w:rPr>
              <w:t xml:space="preserve">meeting any </w:t>
            </w:r>
            <w:r w:rsidRPr="00F83CE8">
              <w:rPr>
                <w:i/>
                <w:sz w:val="16"/>
                <w:szCs w:val="16"/>
              </w:rPr>
              <w:t>Volume Commitment</w:t>
            </w:r>
            <w:r w:rsidRPr="00F83CE8">
              <w:rPr>
                <w:sz w:val="16"/>
                <w:szCs w:val="16"/>
              </w:rPr>
              <w:t xml:space="preserve"> to receive a discount or </w:t>
            </w:r>
            <w:r w:rsidRPr="00F83CE8">
              <w:rPr>
                <w:i/>
                <w:sz w:val="16"/>
                <w:szCs w:val="16"/>
              </w:rPr>
              <w:t>Non-Rate Benefit</w:t>
            </w:r>
            <w:r w:rsidRPr="00F83CE8">
              <w:rPr>
                <w:sz w:val="16"/>
                <w:szCs w:val="16"/>
              </w:rPr>
              <w:t xml:space="preserve"> under this plan? </w:t>
            </w:r>
            <w:r>
              <w:rPr>
                <w:sz w:val="16"/>
                <w:szCs w:val="16"/>
              </w:rPr>
              <w:t xml:space="preserve">(Y=Yes, N=No, NA=Not Applicable) </w:t>
            </w:r>
          </w:p>
        </w:tc>
        <w:tc>
          <w:tcPr>
            <w:tcW w:w="991" w:type="dxa"/>
          </w:tcPr>
          <w:p w:rsidR="00F97D54" w:rsidRDefault="00F97D54" w:rsidP="00EB5B97">
            <w:pPr>
              <w:rPr>
                <w:sz w:val="16"/>
                <w:szCs w:val="16"/>
              </w:rPr>
            </w:pPr>
            <w:r>
              <w:rPr>
                <w:sz w:val="16"/>
                <w:szCs w:val="16"/>
              </w:rPr>
              <w:t>Text</w:t>
            </w:r>
          </w:p>
        </w:tc>
        <w:tc>
          <w:tcPr>
            <w:tcW w:w="1345" w:type="dxa"/>
          </w:tcPr>
          <w:p w:rsidR="00F97D54" w:rsidRDefault="00F97D54" w:rsidP="00EB5B97">
            <w:pPr>
              <w:rPr>
                <w:sz w:val="16"/>
                <w:szCs w:val="16"/>
              </w:rPr>
            </w:pPr>
            <w:r>
              <w:rPr>
                <w:sz w:val="16"/>
                <w:szCs w:val="16"/>
              </w:rPr>
              <w:t>Y</w:t>
            </w:r>
          </w:p>
        </w:tc>
      </w:tr>
      <w:tr w:rsidR="00F97D54" w:rsidRPr="00551AAF" w:rsidTr="00EB5B97">
        <w:trPr>
          <w:trHeight w:val="360"/>
        </w:trPr>
        <w:tc>
          <w:tcPr>
            <w:tcW w:w="2679" w:type="dxa"/>
          </w:tcPr>
          <w:p w:rsidR="00F97D54" w:rsidRDefault="00F97D54" w:rsidP="00EB5B97">
            <w:pPr>
              <w:rPr>
                <w:sz w:val="16"/>
                <w:szCs w:val="16"/>
              </w:rPr>
            </w:pPr>
            <w:r>
              <w:rPr>
                <w:sz w:val="16"/>
                <w:szCs w:val="16"/>
              </w:rPr>
              <w:t>ILEC_Price_Flex2_Vol</w:t>
            </w:r>
          </w:p>
        </w:tc>
        <w:tc>
          <w:tcPr>
            <w:tcW w:w="3823" w:type="dxa"/>
          </w:tcPr>
          <w:p w:rsidR="00F97D54" w:rsidRPr="00F83CE8" w:rsidRDefault="00F97D54" w:rsidP="00EB5B97">
            <w:pPr>
              <w:rPr>
                <w:sz w:val="16"/>
                <w:szCs w:val="16"/>
              </w:rPr>
            </w:pPr>
            <w:r w:rsidRPr="00F83CE8">
              <w:rPr>
                <w:sz w:val="16"/>
                <w:szCs w:val="16"/>
              </w:rPr>
              <w:t xml:space="preserve">If </w:t>
            </w:r>
            <w:r>
              <w:rPr>
                <w:sz w:val="16"/>
                <w:szCs w:val="16"/>
              </w:rPr>
              <w:t>Y</w:t>
            </w:r>
            <w:r w:rsidRPr="00F83CE8">
              <w:rPr>
                <w:sz w:val="16"/>
                <w:szCs w:val="16"/>
              </w:rPr>
              <w:t xml:space="preserve">es, in what geographic areas subject to pricing flexibility do you purchase </w:t>
            </w:r>
            <w:r w:rsidRPr="000C6F39">
              <w:rPr>
                <w:i/>
                <w:sz w:val="16"/>
                <w:szCs w:val="16"/>
              </w:rPr>
              <w:t>DS1s</w:t>
            </w:r>
            <w:r>
              <w:rPr>
                <w:sz w:val="16"/>
                <w:szCs w:val="16"/>
              </w:rPr>
              <w:t>,</w:t>
            </w:r>
            <w:r w:rsidRPr="000C6F39">
              <w:rPr>
                <w:sz w:val="16"/>
                <w:szCs w:val="16"/>
              </w:rPr>
              <w:t xml:space="preserve"> </w:t>
            </w:r>
            <w:r w:rsidRPr="000C6F39">
              <w:rPr>
                <w:i/>
                <w:sz w:val="16"/>
                <w:szCs w:val="16"/>
              </w:rPr>
              <w:t>DS3s</w:t>
            </w:r>
            <w:r>
              <w:rPr>
                <w:sz w:val="16"/>
                <w:szCs w:val="16"/>
              </w:rPr>
              <w:t xml:space="preserve">, and/or tariffed </w:t>
            </w:r>
            <w:r w:rsidRPr="00E528B8">
              <w:rPr>
                <w:i/>
                <w:sz w:val="16"/>
                <w:szCs w:val="16"/>
              </w:rPr>
              <w:t>PBDS</w:t>
            </w:r>
            <w:r w:rsidRPr="00F83CE8">
              <w:rPr>
                <w:sz w:val="16"/>
                <w:szCs w:val="16"/>
              </w:rPr>
              <w:t xml:space="preserve"> that count towards meeting any </w:t>
            </w:r>
            <w:r w:rsidRPr="00F83CE8">
              <w:rPr>
                <w:i/>
                <w:sz w:val="16"/>
                <w:szCs w:val="16"/>
              </w:rPr>
              <w:t>Volume Commitment</w:t>
            </w:r>
            <w:r w:rsidRPr="00F83CE8">
              <w:rPr>
                <w:sz w:val="16"/>
                <w:szCs w:val="16"/>
              </w:rPr>
              <w:t xml:space="preserve"> to receive a discount or </w:t>
            </w:r>
            <w:r w:rsidRPr="00F83CE8">
              <w:rPr>
                <w:i/>
                <w:sz w:val="16"/>
                <w:szCs w:val="16"/>
              </w:rPr>
              <w:t>Non-Rate Benefit</w:t>
            </w:r>
            <w:r w:rsidRPr="00F83CE8">
              <w:rPr>
                <w:sz w:val="16"/>
                <w:szCs w:val="16"/>
              </w:rPr>
              <w:t xml:space="preserve"> under this plan?</w:t>
            </w:r>
            <w:r>
              <w:rPr>
                <w:sz w:val="16"/>
                <w:szCs w:val="16"/>
              </w:rPr>
              <w:t xml:space="preserve"> </w:t>
            </w:r>
          </w:p>
        </w:tc>
        <w:tc>
          <w:tcPr>
            <w:tcW w:w="991" w:type="dxa"/>
          </w:tcPr>
          <w:p w:rsidR="00F97D54" w:rsidRDefault="00F97D54" w:rsidP="00EB5B97">
            <w:pPr>
              <w:rPr>
                <w:sz w:val="16"/>
                <w:szCs w:val="16"/>
              </w:rPr>
            </w:pPr>
            <w:r>
              <w:rPr>
                <w:sz w:val="16"/>
                <w:szCs w:val="16"/>
              </w:rPr>
              <w:t>Text</w:t>
            </w:r>
          </w:p>
        </w:tc>
        <w:tc>
          <w:tcPr>
            <w:tcW w:w="1345" w:type="dxa"/>
          </w:tcPr>
          <w:p w:rsidR="00F97D54" w:rsidRDefault="00F97D54" w:rsidP="00EB5B97">
            <w:pPr>
              <w:rPr>
                <w:sz w:val="16"/>
                <w:szCs w:val="16"/>
              </w:rPr>
            </w:pPr>
            <w:r>
              <w:rPr>
                <w:sz w:val="16"/>
                <w:szCs w:val="16"/>
              </w:rPr>
              <w:t>Dallas MSA</w:t>
            </w:r>
          </w:p>
        </w:tc>
      </w:tr>
      <w:tr w:rsidR="00F97D54" w:rsidRPr="00551AAF" w:rsidTr="00EB5B97">
        <w:trPr>
          <w:trHeight w:val="360"/>
        </w:trPr>
        <w:tc>
          <w:tcPr>
            <w:tcW w:w="2679" w:type="dxa"/>
          </w:tcPr>
          <w:p w:rsidR="00F97D54" w:rsidRDefault="00F97D54" w:rsidP="00EB5B97">
            <w:pPr>
              <w:rPr>
                <w:sz w:val="16"/>
                <w:szCs w:val="16"/>
              </w:rPr>
            </w:pPr>
            <w:r>
              <w:rPr>
                <w:sz w:val="16"/>
                <w:szCs w:val="16"/>
              </w:rPr>
              <w:t>ILEC_Price_Flex2_Diff</w:t>
            </w:r>
          </w:p>
        </w:tc>
        <w:tc>
          <w:tcPr>
            <w:tcW w:w="3823" w:type="dxa"/>
          </w:tcPr>
          <w:p w:rsidR="00F97D54" w:rsidRPr="000C6F39" w:rsidRDefault="00F97D54" w:rsidP="00EB5B97">
            <w:pPr>
              <w:rPr>
                <w:sz w:val="16"/>
                <w:szCs w:val="16"/>
              </w:rPr>
            </w:pPr>
            <w:r w:rsidRPr="000C6F39">
              <w:rPr>
                <w:sz w:val="16"/>
                <w:szCs w:val="16"/>
              </w:rPr>
              <w:t xml:space="preserve">Of the geographic areas identified, in which of those areas would your company have purchased from a different </w:t>
            </w:r>
            <w:r w:rsidRPr="000C6F39">
              <w:rPr>
                <w:i/>
                <w:sz w:val="16"/>
                <w:szCs w:val="16"/>
              </w:rPr>
              <w:t>Provider</w:t>
            </w:r>
            <w:r w:rsidRPr="000C6F39">
              <w:rPr>
                <w:sz w:val="16"/>
                <w:szCs w:val="16"/>
              </w:rPr>
              <w:t>, if at all,</w:t>
            </w:r>
            <w:r w:rsidRPr="000C6F39">
              <w:rPr>
                <w:i/>
                <w:sz w:val="16"/>
                <w:szCs w:val="16"/>
              </w:rPr>
              <w:t xml:space="preserve"> </w:t>
            </w:r>
            <w:r w:rsidRPr="000C6F39">
              <w:rPr>
                <w:sz w:val="16"/>
                <w:szCs w:val="16"/>
              </w:rPr>
              <w:t xml:space="preserve">had it not been for the discounts or </w:t>
            </w:r>
            <w:r w:rsidRPr="000C6F39">
              <w:rPr>
                <w:i/>
                <w:sz w:val="16"/>
                <w:szCs w:val="16"/>
              </w:rPr>
              <w:t>Non-Rate Benefits</w:t>
            </w:r>
            <w:r w:rsidRPr="000C6F39">
              <w:rPr>
                <w:sz w:val="16"/>
                <w:szCs w:val="16"/>
              </w:rPr>
              <w:t xml:space="preserve"> received under this plan?  </w:t>
            </w:r>
          </w:p>
        </w:tc>
        <w:tc>
          <w:tcPr>
            <w:tcW w:w="991" w:type="dxa"/>
          </w:tcPr>
          <w:p w:rsidR="00F97D54" w:rsidRDefault="00F97D54" w:rsidP="00EB5B97">
            <w:pPr>
              <w:rPr>
                <w:sz w:val="16"/>
                <w:szCs w:val="16"/>
              </w:rPr>
            </w:pPr>
            <w:r>
              <w:rPr>
                <w:sz w:val="16"/>
                <w:szCs w:val="16"/>
              </w:rPr>
              <w:t>Text</w:t>
            </w:r>
          </w:p>
        </w:tc>
        <w:tc>
          <w:tcPr>
            <w:tcW w:w="1345" w:type="dxa"/>
          </w:tcPr>
          <w:p w:rsidR="00F97D54" w:rsidRDefault="00F97D54" w:rsidP="00EB5B97">
            <w:pPr>
              <w:rPr>
                <w:sz w:val="16"/>
                <w:szCs w:val="16"/>
              </w:rPr>
            </w:pPr>
            <w:r>
              <w:rPr>
                <w:sz w:val="16"/>
                <w:szCs w:val="16"/>
              </w:rPr>
              <w:t>Southern California</w:t>
            </w:r>
          </w:p>
        </w:tc>
      </w:tr>
      <w:tr w:rsidR="00F97D54" w:rsidRPr="00551AAF" w:rsidTr="00EB5B97">
        <w:trPr>
          <w:trHeight w:val="360"/>
        </w:trPr>
        <w:tc>
          <w:tcPr>
            <w:tcW w:w="2679" w:type="dxa"/>
          </w:tcPr>
          <w:p w:rsidR="00F97D54" w:rsidRDefault="00F97D54" w:rsidP="00EB5B97">
            <w:pPr>
              <w:rPr>
                <w:sz w:val="16"/>
                <w:szCs w:val="16"/>
              </w:rPr>
            </w:pPr>
            <w:r>
              <w:rPr>
                <w:sz w:val="16"/>
                <w:szCs w:val="16"/>
              </w:rPr>
              <w:t>ILEC_Price_Flex2_Provider</w:t>
            </w:r>
          </w:p>
        </w:tc>
        <w:tc>
          <w:tcPr>
            <w:tcW w:w="3823" w:type="dxa"/>
          </w:tcPr>
          <w:p w:rsidR="00F97D54" w:rsidRPr="00997F57" w:rsidRDefault="00F97D54" w:rsidP="00EB5B97">
            <w:pPr>
              <w:rPr>
                <w:sz w:val="16"/>
                <w:szCs w:val="16"/>
              </w:rPr>
            </w:pPr>
            <w:r>
              <w:rPr>
                <w:sz w:val="16"/>
                <w:szCs w:val="16"/>
              </w:rPr>
              <w:t xml:space="preserve">Name of </w:t>
            </w:r>
            <w:r w:rsidRPr="002B1D08">
              <w:rPr>
                <w:i/>
                <w:sz w:val="16"/>
                <w:szCs w:val="16"/>
              </w:rPr>
              <w:t>Provider</w:t>
            </w:r>
            <w:r>
              <w:rPr>
                <w:i/>
                <w:sz w:val="16"/>
                <w:szCs w:val="16"/>
              </w:rPr>
              <w:t>(s)</w:t>
            </w:r>
            <w:r>
              <w:rPr>
                <w:sz w:val="16"/>
                <w:szCs w:val="16"/>
              </w:rPr>
              <w:t xml:space="preserve"> in the geographic areas identified above you would have purchased from had it not been for the discounts or </w:t>
            </w:r>
            <w:r w:rsidRPr="002B1D08">
              <w:rPr>
                <w:i/>
                <w:sz w:val="16"/>
                <w:szCs w:val="16"/>
              </w:rPr>
              <w:t>Non-Rate Benefits</w:t>
            </w:r>
            <w:r>
              <w:rPr>
                <w:sz w:val="16"/>
                <w:szCs w:val="16"/>
              </w:rPr>
              <w:t xml:space="preserve"> received under this plan.</w:t>
            </w:r>
          </w:p>
        </w:tc>
        <w:tc>
          <w:tcPr>
            <w:tcW w:w="991" w:type="dxa"/>
          </w:tcPr>
          <w:p w:rsidR="00F97D54" w:rsidRDefault="00F97D54" w:rsidP="00EB5B97">
            <w:pPr>
              <w:rPr>
                <w:sz w:val="16"/>
                <w:szCs w:val="16"/>
              </w:rPr>
            </w:pPr>
            <w:r>
              <w:rPr>
                <w:sz w:val="16"/>
                <w:szCs w:val="16"/>
              </w:rPr>
              <w:t>Text</w:t>
            </w:r>
          </w:p>
        </w:tc>
        <w:tc>
          <w:tcPr>
            <w:tcW w:w="1345" w:type="dxa"/>
          </w:tcPr>
          <w:p w:rsidR="00F97D54" w:rsidRDefault="00F97D54" w:rsidP="00EB5B97">
            <w:pPr>
              <w:rPr>
                <w:sz w:val="16"/>
                <w:szCs w:val="16"/>
              </w:rPr>
            </w:pPr>
            <w:r>
              <w:rPr>
                <w:sz w:val="16"/>
                <w:szCs w:val="16"/>
              </w:rPr>
              <w:t>ABC Co.</w:t>
            </w:r>
          </w:p>
        </w:tc>
      </w:tr>
      <w:tr w:rsidR="00F97D54" w:rsidRPr="00551AAF" w:rsidTr="00EB5B97">
        <w:trPr>
          <w:trHeight w:val="360"/>
        </w:trPr>
        <w:tc>
          <w:tcPr>
            <w:tcW w:w="2679" w:type="dxa"/>
          </w:tcPr>
          <w:p w:rsidR="00F97D54" w:rsidRDefault="00F97D54" w:rsidP="00EB5B97">
            <w:pPr>
              <w:rPr>
                <w:sz w:val="16"/>
                <w:szCs w:val="16"/>
              </w:rPr>
            </w:pPr>
            <w:r>
              <w:rPr>
                <w:sz w:val="16"/>
                <w:szCs w:val="16"/>
              </w:rPr>
              <w:t>ILEC_PBDS</w:t>
            </w:r>
          </w:p>
        </w:tc>
        <w:tc>
          <w:tcPr>
            <w:tcW w:w="3823" w:type="dxa"/>
          </w:tcPr>
          <w:p w:rsidR="00F97D54" w:rsidRPr="00D1576C" w:rsidRDefault="00F97D54" w:rsidP="00EB5B97">
            <w:pPr>
              <w:rPr>
                <w:sz w:val="16"/>
                <w:szCs w:val="16"/>
              </w:rPr>
            </w:pPr>
            <w:r w:rsidRPr="00D1576C">
              <w:rPr>
                <w:sz w:val="16"/>
                <w:szCs w:val="16"/>
              </w:rPr>
              <w:t xml:space="preserve">If an </w:t>
            </w:r>
            <w:r w:rsidRPr="004F3888">
              <w:rPr>
                <w:i/>
                <w:sz w:val="16"/>
                <w:szCs w:val="16"/>
              </w:rPr>
              <w:t>ILEC</w:t>
            </w:r>
            <w:r w:rsidRPr="00D1576C">
              <w:rPr>
                <w:sz w:val="16"/>
                <w:szCs w:val="16"/>
              </w:rPr>
              <w:t xml:space="preserve"> plan, do non-tariffed </w:t>
            </w:r>
            <w:r w:rsidRPr="004F3888">
              <w:rPr>
                <w:i/>
                <w:sz w:val="16"/>
                <w:szCs w:val="16"/>
              </w:rPr>
              <w:t>PBDS</w:t>
            </w:r>
            <w:r w:rsidRPr="00D1576C">
              <w:rPr>
                <w:sz w:val="16"/>
                <w:szCs w:val="16"/>
              </w:rPr>
              <w:t xml:space="preserve"> purchases you make from this </w:t>
            </w:r>
            <w:r w:rsidRPr="004F3888">
              <w:rPr>
                <w:i/>
                <w:sz w:val="16"/>
                <w:szCs w:val="16"/>
              </w:rPr>
              <w:t>ILEC</w:t>
            </w:r>
            <w:r w:rsidRPr="00D1576C">
              <w:rPr>
                <w:sz w:val="16"/>
                <w:szCs w:val="16"/>
              </w:rPr>
              <w:t xml:space="preserve"> </w:t>
            </w:r>
            <w:r>
              <w:rPr>
                <w:sz w:val="16"/>
                <w:szCs w:val="16"/>
              </w:rPr>
              <w:t xml:space="preserve">count towards </w:t>
            </w:r>
            <w:r w:rsidRPr="00D1576C">
              <w:rPr>
                <w:sz w:val="16"/>
                <w:szCs w:val="16"/>
              </w:rPr>
              <w:t xml:space="preserve">meeting any </w:t>
            </w:r>
            <w:r w:rsidRPr="004F3888">
              <w:rPr>
                <w:i/>
                <w:sz w:val="16"/>
                <w:szCs w:val="16"/>
              </w:rPr>
              <w:t>Volume Commitment</w:t>
            </w:r>
            <w:r w:rsidRPr="00D1576C">
              <w:rPr>
                <w:sz w:val="16"/>
                <w:szCs w:val="16"/>
              </w:rPr>
              <w:t xml:space="preserve"> to receive a discount or </w:t>
            </w:r>
            <w:r w:rsidRPr="004F3888">
              <w:rPr>
                <w:i/>
                <w:sz w:val="16"/>
                <w:szCs w:val="16"/>
              </w:rPr>
              <w:t>Non-Rate Benefit</w:t>
            </w:r>
            <w:r w:rsidRPr="00D1576C">
              <w:rPr>
                <w:sz w:val="16"/>
                <w:szCs w:val="16"/>
              </w:rPr>
              <w:t xml:space="preserve"> under this plan? </w:t>
            </w:r>
            <w:r>
              <w:rPr>
                <w:sz w:val="16"/>
                <w:szCs w:val="16"/>
              </w:rPr>
              <w:t xml:space="preserve">(Y=Yes, N=No, NA=Not Applicable) </w:t>
            </w:r>
          </w:p>
        </w:tc>
        <w:tc>
          <w:tcPr>
            <w:tcW w:w="991" w:type="dxa"/>
          </w:tcPr>
          <w:p w:rsidR="00F97D54" w:rsidRPr="00551AAF" w:rsidRDefault="00F97D54" w:rsidP="00EB5B97">
            <w:pPr>
              <w:rPr>
                <w:sz w:val="16"/>
                <w:szCs w:val="16"/>
              </w:rPr>
            </w:pPr>
            <w:r>
              <w:rPr>
                <w:sz w:val="16"/>
                <w:szCs w:val="16"/>
              </w:rPr>
              <w:t>Text</w:t>
            </w:r>
          </w:p>
        </w:tc>
        <w:tc>
          <w:tcPr>
            <w:tcW w:w="1345" w:type="dxa"/>
          </w:tcPr>
          <w:p w:rsidR="00F97D54" w:rsidRPr="00551AAF" w:rsidRDefault="00F97D54" w:rsidP="00EB5B97">
            <w:pPr>
              <w:rPr>
                <w:sz w:val="16"/>
                <w:szCs w:val="16"/>
              </w:rPr>
            </w:pPr>
            <w:r>
              <w:rPr>
                <w:sz w:val="16"/>
                <w:szCs w:val="16"/>
              </w:rPr>
              <w:t>Y</w:t>
            </w:r>
          </w:p>
        </w:tc>
      </w:tr>
      <w:tr w:rsidR="00F97D54" w:rsidRPr="00551AAF" w:rsidTr="00EB5B97">
        <w:trPr>
          <w:trHeight w:val="360"/>
        </w:trPr>
        <w:tc>
          <w:tcPr>
            <w:tcW w:w="2679" w:type="dxa"/>
          </w:tcPr>
          <w:p w:rsidR="00F97D54" w:rsidRDefault="00F97D54" w:rsidP="00EB5B97">
            <w:pPr>
              <w:rPr>
                <w:sz w:val="16"/>
                <w:szCs w:val="16"/>
              </w:rPr>
            </w:pPr>
            <w:r>
              <w:rPr>
                <w:sz w:val="16"/>
                <w:szCs w:val="16"/>
              </w:rPr>
              <w:t>ILEC_PBDS_Vol</w:t>
            </w:r>
          </w:p>
        </w:tc>
        <w:tc>
          <w:tcPr>
            <w:tcW w:w="3823" w:type="dxa"/>
          </w:tcPr>
          <w:p w:rsidR="00F97D54" w:rsidRPr="00D1576C" w:rsidRDefault="00F97D54" w:rsidP="00EB5B97">
            <w:pPr>
              <w:rPr>
                <w:sz w:val="16"/>
                <w:szCs w:val="16"/>
              </w:rPr>
            </w:pPr>
            <w:r w:rsidRPr="00D1576C">
              <w:rPr>
                <w:sz w:val="16"/>
                <w:szCs w:val="16"/>
              </w:rPr>
              <w:t xml:space="preserve">If </w:t>
            </w:r>
            <w:r>
              <w:rPr>
                <w:sz w:val="16"/>
                <w:szCs w:val="16"/>
              </w:rPr>
              <w:t>Y</w:t>
            </w:r>
            <w:r w:rsidRPr="00D1576C">
              <w:rPr>
                <w:sz w:val="16"/>
                <w:szCs w:val="16"/>
              </w:rPr>
              <w:t xml:space="preserve">es, in what geographic areas do you purchase non-tariffed </w:t>
            </w:r>
            <w:r w:rsidRPr="00D1576C">
              <w:rPr>
                <w:i/>
                <w:sz w:val="16"/>
                <w:szCs w:val="16"/>
              </w:rPr>
              <w:t xml:space="preserve">PBDS </w:t>
            </w:r>
            <w:r w:rsidRPr="00D1576C">
              <w:rPr>
                <w:sz w:val="16"/>
                <w:szCs w:val="16"/>
              </w:rPr>
              <w:t xml:space="preserve">that counts towards meeting any </w:t>
            </w:r>
            <w:r w:rsidRPr="00D1576C">
              <w:rPr>
                <w:i/>
                <w:sz w:val="16"/>
                <w:szCs w:val="16"/>
              </w:rPr>
              <w:t>Volume Commitment</w:t>
            </w:r>
            <w:r w:rsidRPr="00D1576C">
              <w:rPr>
                <w:sz w:val="16"/>
                <w:szCs w:val="16"/>
              </w:rPr>
              <w:t xml:space="preserve"> to receive a discount or </w:t>
            </w:r>
            <w:r w:rsidRPr="00D1576C">
              <w:rPr>
                <w:i/>
                <w:sz w:val="16"/>
                <w:szCs w:val="16"/>
              </w:rPr>
              <w:t>Non-Rate Benefit</w:t>
            </w:r>
            <w:r w:rsidRPr="00D1576C">
              <w:rPr>
                <w:sz w:val="16"/>
                <w:szCs w:val="16"/>
              </w:rPr>
              <w:t xml:space="preserve"> under this plan.</w:t>
            </w:r>
            <w:r>
              <w:rPr>
                <w:sz w:val="16"/>
                <w:szCs w:val="16"/>
              </w:rPr>
              <w:t xml:space="preserve"> </w:t>
            </w:r>
          </w:p>
        </w:tc>
        <w:tc>
          <w:tcPr>
            <w:tcW w:w="991" w:type="dxa"/>
          </w:tcPr>
          <w:p w:rsidR="00F97D54" w:rsidRPr="00551AAF" w:rsidRDefault="00F97D54" w:rsidP="00EB5B97">
            <w:pPr>
              <w:rPr>
                <w:sz w:val="16"/>
                <w:szCs w:val="16"/>
              </w:rPr>
            </w:pPr>
            <w:r>
              <w:rPr>
                <w:sz w:val="16"/>
                <w:szCs w:val="16"/>
              </w:rPr>
              <w:t>Text</w:t>
            </w:r>
          </w:p>
        </w:tc>
        <w:tc>
          <w:tcPr>
            <w:tcW w:w="1345" w:type="dxa"/>
          </w:tcPr>
          <w:p w:rsidR="00F97D54" w:rsidRPr="00551AAF" w:rsidRDefault="00F97D54" w:rsidP="00EB5B97">
            <w:pPr>
              <w:rPr>
                <w:sz w:val="16"/>
                <w:szCs w:val="16"/>
              </w:rPr>
            </w:pPr>
            <w:r>
              <w:rPr>
                <w:sz w:val="16"/>
                <w:szCs w:val="16"/>
              </w:rPr>
              <w:t>Oklahoma City, OK</w:t>
            </w:r>
          </w:p>
        </w:tc>
      </w:tr>
      <w:tr w:rsidR="00F97D54" w:rsidRPr="0063769F" w:rsidTr="00EB5B97">
        <w:trPr>
          <w:trHeight w:val="360"/>
        </w:trPr>
        <w:tc>
          <w:tcPr>
            <w:tcW w:w="2679" w:type="dxa"/>
          </w:tcPr>
          <w:p w:rsidR="00F97D54" w:rsidRDefault="00F97D54" w:rsidP="00EB5B97">
            <w:pPr>
              <w:rPr>
                <w:sz w:val="16"/>
                <w:szCs w:val="16"/>
              </w:rPr>
            </w:pPr>
            <w:r>
              <w:rPr>
                <w:sz w:val="16"/>
                <w:szCs w:val="16"/>
              </w:rPr>
              <w:t>ILEC_PBDS_Diff</w:t>
            </w:r>
          </w:p>
        </w:tc>
        <w:tc>
          <w:tcPr>
            <w:tcW w:w="3823" w:type="dxa"/>
          </w:tcPr>
          <w:p w:rsidR="00F97D54" w:rsidRPr="000A4501" w:rsidRDefault="00F97D54" w:rsidP="00EB5B97">
            <w:pPr>
              <w:rPr>
                <w:sz w:val="16"/>
                <w:szCs w:val="16"/>
              </w:rPr>
            </w:pPr>
            <w:r w:rsidRPr="000A4501">
              <w:rPr>
                <w:sz w:val="16"/>
                <w:szCs w:val="16"/>
              </w:rPr>
              <w:t xml:space="preserve">Of the geographic areas identified, in which of those areas would your company have purchased </w:t>
            </w:r>
            <w:r>
              <w:rPr>
                <w:sz w:val="16"/>
                <w:szCs w:val="16"/>
              </w:rPr>
              <w:t xml:space="preserve">non-tariffed </w:t>
            </w:r>
            <w:r w:rsidRPr="000A4501">
              <w:rPr>
                <w:i/>
                <w:sz w:val="16"/>
                <w:szCs w:val="16"/>
              </w:rPr>
              <w:t xml:space="preserve">PBDS </w:t>
            </w:r>
            <w:r w:rsidRPr="000A4501">
              <w:rPr>
                <w:sz w:val="16"/>
                <w:szCs w:val="16"/>
              </w:rPr>
              <w:t xml:space="preserve">from a different </w:t>
            </w:r>
            <w:r w:rsidRPr="000A4501">
              <w:rPr>
                <w:i/>
                <w:sz w:val="16"/>
                <w:szCs w:val="16"/>
              </w:rPr>
              <w:t>Provider</w:t>
            </w:r>
            <w:r w:rsidRPr="000A4501">
              <w:rPr>
                <w:sz w:val="16"/>
                <w:szCs w:val="16"/>
              </w:rPr>
              <w:t xml:space="preserve">, if at all, had it not been for the requirements of the plan?  </w:t>
            </w:r>
          </w:p>
        </w:tc>
        <w:tc>
          <w:tcPr>
            <w:tcW w:w="991" w:type="dxa"/>
          </w:tcPr>
          <w:p w:rsidR="00F97D54" w:rsidRDefault="00F97D54" w:rsidP="00EB5B97">
            <w:pPr>
              <w:rPr>
                <w:sz w:val="16"/>
                <w:szCs w:val="16"/>
              </w:rPr>
            </w:pPr>
            <w:r>
              <w:rPr>
                <w:sz w:val="16"/>
                <w:szCs w:val="16"/>
              </w:rPr>
              <w:t>Text</w:t>
            </w:r>
          </w:p>
        </w:tc>
        <w:tc>
          <w:tcPr>
            <w:tcW w:w="1345" w:type="dxa"/>
          </w:tcPr>
          <w:p w:rsidR="00F97D54" w:rsidRDefault="00F97D54" w:rsidP="00EB5B97">
            <w:pPr>
              <w:rPr>
                <w:sz w:val="16"/>
                <w:szCs w:val="16"/>
              </w:rPr>
            </w:pPr>
            <w:r>
              <w:rPr>
                <w:sz w:val="16"/>
                <w:szCs w:val="16"/>
              </w:rPr>
              <w:t>Oklahoma City, OK</w:t>
            </w:r>
          </w:p>
        </w:tc>
      </w:tr>
      <w:tr w:rsidR="00F97D54" w:rsidRPr="00551AAF" w:rsidTr="00EB5B97">
        <w:trPr>
          <w:trHeight w:val="360"/>
        </w:trPr>
        <w:tc>
          <w:tcPr>
            <w:tcW w:w="2679" w:type="dxa"/>
          </w:tcPr>
          <w:p w:rsidR="00F97D54" w:rsidRDefault="00F97D54" w:rsidP="00EB5B97">
            <w:pPr>
              <w:rPr>
                <w:sz w:val="16"/>
                <w:szCs w:val="16"/>
              </w:rPr>
            </w:pPr>
            <w:r>
              <w:rPr>
                <w:sz w:val="16"/>
                <w:szCs w:val="16"/>
              </w:rPr>
              <w:t>ILEC_PBDS_Provider</w:t>
            </w:r>
          </w:p>
        </w:tc>
        <w:tc>
          <w:tcPr>
            <w:tcW w:w="3823" w:type="dxa"/>
          </w:tcPr>
          <w:p w:rsidR="00F97D54" w:rsidRPr="00997F57" w:rsidRDefault="00F97D54" w:rsidP="00EB5B97">
            <w:pPr>
              <w:rPr>
                <w:sz w:val="16"/>
                <w:szCs w:val="16"/>
              </w:rPr>
            </w:pPr>
            <w:r>
              <w:rPr>
                <w:sz w:val="16"/>
                <w:szCs w:val="16"/>
              </w:rPr>
              <w:t xml:space="preserve">Name of </w:t>
            </w:r>
            <w:r w:rsidRPr="002B1D08">
              <w:rPr>
                <w:i/>
                <w:sz w:val="16"/>
                <w:szCs w:val="16"/>
              </w:rPr>
              <w:t>Provider</w:t>
            </w:r>
            <w:r>
              <w:rPr>
                <w:i/>
                <w:sz w:val="16"/>
                <w:szCs w:val="16"/>
              </w:rPr>
              <w:t>(s)</w:t>
            </w:r>
            <w:r>
              <w:rPr>
                <w:sz w:val="16"/>
                <w:szCs w:val="16"/>
              </w:rPr>
              <w:t xml:space="preserve"> in the geographic areas identified above you would have purchased from had it not been for the discounts or </w:t>
            </w:r>
            <w:r w:rsidRPr="002B1D08">
              <w:rPr>
                <w:i/>
                <w:sz w:val="16"/>
                <w:szCs w:val="16"/>
              </w:rPr>
              <w:t>Non-Rate Benefits</w:t>
            </w:r>
            <w:r>
              <w:rPr>
                <w:sz w:val="16"/>
                <w:szCs w:val="16"/>
              </w:rPr>
              <w:t xml:space="preserve"> received under this plan.</w:t>
            </w:r>
          </w:p>
        </w:tc>
        <w:tc>
          <w:tcPr>
            <w:tcW w:w="991" w:type="dxa"/>
          </w:tcPr>
          <w:p w:rsidR="00F97D54" w:rsidRDefault="00F97D54" w:rsidP="00EB5B97">
            <w:pPr>
              <w:rPr>
                <w:sz w:val="16"/>
                <w:szCs w:val="16"/>
              </w:rPr>
            </w:pPr>
            <w:r>
              <w:rPr>
                <w:sz w:val="16"/>
                <w:szCs w:val="16"/>
              </w:rPr>
              <w:t>Text</w:t>
            </w:r>
          </w:p>
        </w:tc>
        <w:tc>
          <w:tcPr>
            <w:tcW w:w="1345" w:type="dxa"/>
          </w:tcPr>
          <w:p w:rsidR="00F97D54" w:rsidRDefault="00F97D54" w:rsidP="00EB5B97">
            <w:pPr>
              <w:rPr>
                <w:sz w:val="16"/>
                <w:szCs w:val="16"/>
              </w:rPr>
            </w:pPr>
            <w:r>
              <w:rPr>
                <w:sz w:val="16"/>
                <w:szCs w:val="16"/>
              </w:rPr>
              <w:t>ABC Co.</w:t>
            </w:r>
          </w:p>
        </w:tc>
      </w:tr>
      <w:tr w:rsidR="00F97D54" w:rsidRPr="0063769F" w:rsidTr="00EB5B97">
        <w:trPr>
          <w:trHeight w:val="360"/>
        </w:trPr>
        <w:tc>
          <w:tcPr>
            <w:tcW w:w="2679" w:type="dxa"/>
          </w:tcPr>
          <w:p w:rsidR="00F97D54" w:rsidRDefault="00F97D54" w:rsidP="00EB5B97">
            <w:pPr>
              <w:rPr>
                <w:sz w:val="16"/>
                <w:szCs w:val="16"/>
              </w:rPr>
            </w:pPr>
            <w:r>
              <w:rPr>
                <w:sz w:val="16"/>
                <w:szCs w:val="16"/>
              </w:rPr>
              <w:t>ILEC_Other</w:t>
            </w:r>
          </w:p>
        </w:tc>
        <w:tc>
          <w:tcPr>
            <w:tcW w:w="3823" w:type="dxa"/>
          </w:tcPr>
          <w:p w:rsidR="00F97D54" w:rsidRPr="009777E5" w:rsidRDefault="00F97D54" w:rsidP="00EB5B97">
            <w:pPr>
              <w:rPr>
                <w:sz w:val="16"/>
                <w:szCs w:val="16"/>
              </w:rPr>
            </w:pPr>
            <w:r w:rsidRPr="009777E5">
              <w:rPr>
                <w:sz w:val="16"/>
                <w:szCs w:val="16"/>
              </w:rPr>
              <w:t xml:space="preserve">If this is an </w:t>
            </w:r>
            <w:r w:rsidRPr="009777E5">
              <w:rPr>
                <w:i/>
                <w:sz w:val="16"/>
                <w:szCs w:val="16"/>
              </w:rPr>
              <w:t>ILEC</w:t>
            </w:r>
            <w:r w:rsidRPr="009777E5">
              <w:rPr>
                <w:sz w:val="16"/>
                <w:szCs w:val="16"/>
              </w:rPr>
              <w:t xml:space="preserve"> plan, do purchases you make for services other than </w:t>
            </w:r>
            <w:r w:rsidRPr="009777E5">
              <w:rPr>
                <w:i/>
                <w:sz w:val="16"/>
                <w:szCs w:val="16"/>
              </w:rPr>
              <w:t>DS1s, DS3s,</w:t>
            </w:r>
            <w:r w:rsidRPr="009777E5">
              <w:rPr>
                <w:sz w:val="16"/>
                <w:szCs w:val="16"/>
              </w:rPr>
              <w:t xml:space="preserve"> and </w:t>
            </w:r>
            <w:r w:rsidRPr="009777E5">
              <w:rPr>
                <w:i/>
                <w:sz w:val="16"/>
                <w:szCs w:val="16"/>
              </w:rPr>
              <w:t>PBDS</w:t>
            </w:r>
            <w:r w:rsidRPr="009777E5">
              <w:rPr>
                <w:sz w:val="16"/>
                <w:szCs w:val="16"/>
              </w:rPr>
              <w:t xml:space="preserve"> from this </w:t>
            </w:r>
            <w:r w:rsidRPr="009777E5">
              <w:rPr>
                <w:i/>
                <w:sz w:val="16"/>
                <w:szCs w:val="16"/>
              </w:rPr>
              <w:t>ILEC</w:t>
            </w:r>
            <w:r w:rsidRPr="009777E5">
              <w:rPr>
                <w:sz w:val="16"/>
                <w:szCs w:val="16"/>
              </w:rPr>
              <w:t xml:space="preserve"> </w:t>
            </w:r>
            <w:r>
              <w:rPr>
                <w:sz w:val="16"/>
                <w:szCs w:val="16"/>
              </w:rPr>
              <w:t xml:space="preserve">count towards </w:t>
            </w:r>
            <w:r w:rsidRPr="009777E5">
              <w:rPr>
                <w:sz w:val="16"/>
                <w:szCs w:val="16"/>
              </w:rPr>
              <w:t xml:space="preserve">meeting any </w:t>
            </w:r>
            <w:r w:rsidRPr="009777E5">
              <w:rPr>
                <w:i/>
                <w:sz w:val="16"/>
                <w:szCs w:val="16"/>
              </w:rPr>
              <w:t>Volume Commitment</w:t>
            </w:r>
            <w:r w:rsidRPr="009777E5">
              <w:rPr>
                <w:sz w:val="16"/>
                <w:szCs w:val="16"/>
              </w:rPr>
              <w:t xml:space="preserve"> to receive a discount or </w:t>
            </w:r>
            <w:r w:rsidRPr="009777E5">
              <w:rPr>
                <w:i/>
                <w:sz w:val="16"/>
                <w:szCs w:val="16"/>
              </w:rPr>
              <w:t>Non-Rate Benefit</w:t>
            </w:r>
            <w:r w:rsidRPr="009777E5">
              <w:rPr>
                <w:sz w:val="16"/>
                <w:szCs w:val="16"/>
              </w:rPr>
              <w:t xml:space="preserve"> under this plan? </w:t>
            </w:r>
            <w:r>
              <w:rPr>
                <w:sz w:val="16"/>
                <w:szCs w:val="16"/>
              </w:rPr>
              <w:t xml:space="preserve">((Y=Yes, N=No, NA=Not Applicable) </w:t>
            </w:r>
          </w:p>
        </w:tc>
        <w:tc>
          <w:tcPr>
            <w:tcW w:w="991" w:type="dxa"/>
          </w:tcPr>
          <w:p w:rsidR="00F97D54" w:rsidRDefault="00F97D54" w:rsidP="00EB5B97">
            <w:pPr>
              <w:rPr>
                <w:sz w:val="16"/>
                <w:szCs w:val="16"/>
              </w:rPr>
            </w:pPr>
            <w:r>
              <w:rPr>
                <w:sz w:val="16"/>
                <w:szCs w:val="16"/>
              </w:rPr>
              <w:t>Text</w:t>
            </w:r>
          </w:p>
        </w:tc>
        <w:tc>
          <w:tcPr>
            <w:tcW w:w="1345" w:type="dxa"/>
          </w:tcPr>
          <w:p w:rsidR="00F97D54" w:rsidRDefault="00F97D54" w:rsidP="00EB5B97">
            <w:pPr>
              <w:rPr>
                <w:sz w:val="16"/>
                <w:szCs w:val="16"/>
              </w:rPr>
            </w:pPr>
            <w:r>
              <w:rPr>
                <w:sz w:val="16"/>
                <w:szCs w:val="16"/>
              </w:rPr>
              <w:t>Y</w:t>
            </w:r>
          </w:p>
        </w:tc>
      </w:tr>
      <w:tr w:rsidR="00F97D54" w:rsidRPr="0063769F" w:rsidTr="00EB5B97">
        <w:trPr>
          <w:trHeight w:val="360"/>
        </w:trPr>
        <w:tc>
          <w:tcPr>
            <w:tcW w:w="2679" w:type="dxa"/>
          </w:tcPr>
          <w:p w:rsidR="00F97D54" w:rsidRDefault="00F97D54" w:rsidP="00EB5B97">
            <w:pPr>
              <w:rPr>
                <w:sz w:val="16"/>
                <w:szCs w:val="16"/>
              </w:rPr>
            </w:pPr>
            <w:r>
              <w:rPr>
                <w:sz w:val="16"/>
                <w:szCs w:val="16"/>
              </w:rPr>
              <w:t>ILEC_Other_Service</w:t>
            </w:r>
          </w:p>
        </w:tc>
        <w:tc>
          <w:tcPr>
            <w:tcW w:w="3823" w:type="dxa"/>
          </w:tcPr>
          <w:p w:rsidR="00F97D54" w:rsidRPr="009777E5" w:rsidRDefault="00F97D54" w:rsidP="00EB5B97">
            <w:pPr>
              <w:rPr>
                <w:sz w:val="16"/>
                <w:szCs w:val="16"/>
              </w:rPr>
            </w:pPr>
            <w:r w:rsidRPr="009777E5">
              <w:rPr>
                <w:sz w:val="16"/>
                <w:szCs w:val="16"/>
              </w:rPr>
              <w:t xml:space="preserve">If </w:t>
            </w:r>
            <w:r>
              <w:rPr>
                <w:sz w:val="16"/>
                <w:szCs w:val="16"/>
              </w:rPr>
              <w:t>Y</w:t>
            </w:r>
            <w:r w:rsidRPr="009777E5">
              <w:rPr>
                <w:sz w:val="16"/>
                <w:szCs w:val="16"/>
              </w:rPr>
              <w:t>es, identify the other services purchased</w:t>
            </w:r>
            <w:r w:rsidRPr="009777E5">
              <w:rPr>
                <w:i/>
                <w:sz w:val="16"/>
                <w:szCs w:val="16"/>
              </w:rPr>
              <w:t xml:space="preserve"> </w:t>
            </w:r>
            <w:r w:rsidRPr="009777E5">
              <w:rPr>
                <w:sz w:val="16"/>
                <w:szCs w:val="16"/>
              </w:rPr>
              <w:t xml:space="preserve">that count towards meeting any </w:t>
            </w:r>
            <w:r w:rsidRPr="009777E5">
              <w:rPr>
                <w:i/>
                <w:sz w:val="16"/>
                <w:szCs w:val="16"/>
              </w:rPr>
              <w:t>Volume Commitment</w:t>
            </w:r>
            <w:r w:rsidRPr="009777E5">
              <w:rPr>
                <w:sz w:val="16"/>
                <w:szCs w:val="16"/>
              </w:rPr>
              <w:t xml:space="preserve"> to receive a discount or </w:t>
            </w:r>
            <w:r w:rsidRPr="009777E5">
              <w:rPr>
                <w:i/>
                <w:sz w:val="16"/>
                <w:szCs w:val="16"/>
              </w:rPr>
              <w:t>Non-Rate Benefit</w:t>
            </w:r>
            <w:r w:rsidRPr="009777E5">
              <w:rPr>
                <w:sz w:val="16"/>
                <w:szCs w:val="16"/>
              </w:rPr>
              <w:t xml:space="preserve"> under this plan.</w:t>
            </w:r>
            <w:r>
              <w:rPr>
                <w:sz w:val="16"/>
                <w:szCs w:val="16"/>
              </w:rPr>
              <w:t xml:space="preserve"> </w:t>
            </w:r>
          </w:p>
        </w:tc>
        <w:tc>
          <w:tcPr>
            <w:tcW w:w="991" w:type="dxa"/>
          </w:tcPr>
          <w:p w:rsidR="00F97D54" w:rsidRDefault="00F97D54" w:rsidP="00EB5B97">
            <w:pPr>
              <w:rPr>
                <w:sz w:val="16"/>
                <w:szCs w:val="16"/>
              </w:rPr>
            </w:pPr>
            <w:r>
              <w:rPr>
                <w:sz w:val="16"/>
                <w:szCs w:val="16"/>
              </w:rPr>
              <w:t>Text</w:t>
            </w:r>
          </w:p>
        </w:tc>
        <w:tc>
          <w:tcPr>
            <w:tcW w:w="1345" w:type="dxa"/>
          </w:tcPr>
          <w:p w:rsidR="00F97D54" w:rsidRDefault="00F97D54" w:rsidP="00EB5B97">
            <w:pPr>
              <w:rPr>
                <w:sz w:val="16"/>
                <w:szCs w:val="16"/>
              </w:rPr>
            </w:pPr>
            <w:r>
              <w:rPr>
                <w:sz w:val="16"/>
                <w:szCs w:val="16"/>
              </w:rPr>
              <w:t>Cloud computing</w:t>
            </w:r>
          </w:p>
        </w:tc>
      </w:tr>
      <w:tr w:rsidR="00F97D54" w:rsidRPr="0063769F" w:rsidTr="00EB5B97">
        <w:trPr>
          <w:trHeight w:val="360"/>
        </w:trPr>
        <w:tc>
          <w:tcPr>
            <w:tcW w:w="2679" w:type="dxa"/>
          </w:tcPr>
          <w:p w:rsidR="00F97D54" w:rsidRDefault="00F97D54" w:rsidP="00EB5B97">
            <w:pPr>
              <w:rPr>
                <w:sz w:val="16"/>
                <w:szCs w:val="16"/>
              </w:rPr>
            </w:pPr>
            <w:r>
              <w:rPr>
                <w:sz w:val="16"/>
                <w:szCs w:val="16"/>
              </w:rPr>
              <w:t>ILEC_Other_Geo</w:t>
            </w:r>
          </w:p>
        </w:tc>
        <w:tc>
          <w:tcPr>
            <w:tcW w:w="3823" w:type="dxa"/>
          </w:tcPr>
          <w:p w:rsidR="00F97D54" w:rsidRPr="009777E5" w:rsidRDefault="00F97D54" w:rsidP="00EB5B97">
            <w:pPr>
              <w:rPr>
                <w:sz w:val="16"/>
                <w:szCs w:val="16"/>
              </w:rPr>
            </w:pPr>
            <w:r w:rsidRPr="009777E5">
              <w:rPr>
                <w:sz w:val="16"/>
                <w:szCs w:val="16"/>
              </w:rPr>
              <w:t xml:space="preserve">If </w:t>
            </w:r>
            <w:r>
              <w:rPr>
                <w:sz w:val="16"/>
                <w:szCs w:val="16"/>
              </w:rPr>
              <w:t>Y</w:t>
            </w:r>
            <w:r w:rsidRPr="009777E5">
              <w:rPr>
                <w:sz w:val="16"/>
                <w:szCs w:val="16"/>
              </w:rPr>
              <w:t xml:space="preserve">es, identify the </w:t>
            </w:r>
            <w:r>
              <w:rPr>
                <w:sz w:val="16"/>
                <w:szCs w:val="16"/>
              </w:rPr>
              <w:t>g</w:t>
            </w:r>
            <w:r w:rsidRPr="009777E5">
              <w:rPr>
                <w:sz w:val="16"/>
                <w:szCs w:val="16"/>
              </w:rPr>
              <w:t xml:space="preserve">eographic areas where you purchase these </w:t>
            </w:r>
            <w:r>
              <w:rPr>
                <w:sz w:val="16"/>
                <w:szCs w:val="16"/>
              </w:rPr>
              <w:t xml:space="preserve">other </w:t>
            </w:r>
            <w:r w:rsidRPr="009777E5">
              <w:rPr>
                <w:sz w:val="16"/>
                <w:szCs w:val="16"/>
              </w:rPr>
              <w:t>services</w:t>
            </w:r>
            <w:r w:rsidRPr="009777E5">
              <w:rPr>
                <w:i/>
                <w:sz w:val="16"/>
                <w:szCs w:val="16"/>
              </w:rPr>
              <w:t xml:space="preserve"> </w:t>
            </w:r>
            <w:r w:rsidRPr="009777E5">
              <w:rPr>
                <w:sz w:val="16"/>
                <w:szCs w:val="16"/>
              </w:rPr>
              <w:t xml:space="preserve">that count towards meeting any </w:t>
            </w:r>
            <w:r w:rsidRPr="009777E5">
              <w:rPr>
                <w:i/>
                <w:sz w:val="16"/>
                <w:szCs w:val="16"/>
              </w:rPr>
              <w:t>Volume Commitment</w:t>
            </w:r>
            <w:r w:rsidRPr="009777E5">
              <w:rPr>
                <w:sz w:val="16"/>
                <w:szCs w:val="16"/>
              </w:rPr>
              <w:t xml:space="preserve"> to receive a discount or </w:t>
            </w:r>
            <w:r w:rsidRPr="009777E5">
              <w:rPr>
                <w:i/>
                <w:sz w:val="16"/>
                <w:szCs w:val="16"/>
              </w:rPr>
              <w:t>Non-Rate Benefit</w:t>
            </w:r>
            <w:r w:rsidRPr="009777E5">
              <w:rPr>
                <w:sz w:val="16"/>
                <w:szCs w:val="16"/>
              </w:rPr>
              <w:t xml:space="preserve"> under this plan.</w:t>
            </w:r>
            <w:r>
              <w:rPr>
                <w:sz w:val="16"/>
                <w:szCs w:val="16"/>
              </w:rPr>
              <w:t xml:space="preserve"> </w:t>
            </w:r>
          </w:p>
        </w:tc>
        <w:tc>
          <w:tcPr>
            <w:tcW w:w="991" w:type="dxa"/>
          </w:tcPr>
          <w:p w:rsidR="00F97D54" w:rsidRDefault="00F97D54" w:rsidP="00EB5B97">
            <w:pPr>
              <w:rPr>
                <w:sz w:val="16"/>
                <w:szCs w:val="16"/>
              </w:rPr>
            </w:pPr>
            <w:r>
              <w:rPr>
                <w:sz w:val="16"/>
                <w:szCs w:val="16"/>
              </w:rPr>
              <w:t>Text</w:t>
            </w:r>
          </w:p>
        </w:tc>
        <w:tc>
          <w:tcPr>
            <w:tcW w:w="1345" w:type="dxa"/>
          </w:tcPr>
          <w:p w:rsidR="00F97D54" w:rsidRDefault="00F97D54" w:rsidP="00EB5B97">
            <w:pPr>
              <w:rPr>
                <w:sz w:val="16"/>
                <w:szCs w:val="16"/>
              </w:rPr>
            </w:pPr>
            <w:r>
              <w:rPr>
                <w:sz w:val="16"/>
                <w:szCs w:val="16"/>
              </w:rPr>
              <w:t>Little Rock, AR</w:t>
            </w:r>
          </w:p>
        </w:tc>
      </w:tr>
      <w:tr w:rsidR="00F97D54" w:rsidRPr="0063769F" w:rsidTr="00EB5B97">
        <w:trPr>
          <w:trHeight w:val="360"/>
        </w:trPr>
        <w:tc>
          <w:tcPr>
            <w:tcW w:w="2679" w:type="dxa"/>
          </w:tcPr>
          <w:p w:rsidR="00F97D54" w:rsidRDefault="00F97D54" w:rsidP="00EB5B97">
            <w:pPr>
              <w:rPr>
                <w:sz w:val="16"/>
                <w:szCs w:val="16"/>
              </w:rPr>
            </w:pPr>
            <w:r>
              <w:rPr>
                <w:sz w:val="16"/>
                <w:szCs w:val="16"/>
              </w:rPr>
              <w:t>ILEC_Other_Diff</w:t>
            </w:r>
          </w:p>
        </w:tc>
        <w:tc>
          <w:tcPr>
            <w:tcW w:w="3823" w:type="dxa"/>
          </w:tcPr>
          <w:p w:rsidR="00F97D54" w:rsidRPr="009777E5" w:rsidRDefault="00F97D54" w:rsidP="00EB5B97">
            <w:pPr>
              <w:rPr>
                <w:sz w:val="16"/>
                <w:szCs w:val="16"/>
              </w:rPr>
            </w:pPr>
            <w:r w:rsidRPr="009777E5">
              <w:rPr>
                <w:sz w:val="16"/>
                <w:szCs w:val="16"/>
              </w:rPr>
              <w:t>Of the geographic areas identified, in which of those areas would your company have purchased those other services</w:t>
            </w:r>
            <w:r w:rsidRPr="009777E5">
              <w:rPr>
                <w:i/>
                <w:sz w:val="16"/>
                <w:szCs w:val="16"/>
              </w:rPr>
              <w:t xml:space="preserve"> </w:t>
            </w:r>
            <w:r w:rsidRPr="009777E5">
              <w:rPr>
                <w:sz w:val="16"/>
                <w:szCs w:val="16"/>
              </w:rPr>
              <w:t>from a different</w:t>
            </w:r>
            <w:r w:rsidRPr="009777E5">
              <w:rPr>
                <w:i/>
                <w:sz w:val="16"/>
                <w:szCs w:val="16"/>
              </w:rPr>
              <w:t xml:space="preserve"> Provider</w:t>
            </w:r>
            <w:r w:rsidRPr="009777E5">
              <w:rPr>
                <w:sz w:val="16"/>
                <w:szCs w:val="16"/>
              </w:rPr>
              <w:t xml:space="preserve">, had it not been for the requirements of the plan?  In your response, indicate whether the </w:t>
            </w:r>
            <w:r w:rsidRPr="009777E5">
              <w:rPr>
                <w:i/>
                <w:sz w:val="16"/>
                <w:szCs w:val="16"/>
              </w:rPr>
              <w:t>Provider</w:t>
            </w:r>
            <w:r w:rsidRPr="009777E5">
              <w:rPr>
                <w:sz w:val="16"/>
                <w:szCs w:val="16"/>
              </w:rPr>
              <w:t xml:space="preserve"> that you would have purchased from has </w:t>
            </w:r>
            <w:r w:rsidRPr="009777E5">
              <w:rPr>
                <w:i/>
                <w:sz w:val="16"/>
                <w:szCs w:val="16"/>
              </w:rPr>
              <w:t>Connections</w:t>
            </w:r>
            <w:r w:rsidRPr="009777E5">
              <w:rPr>
                <w:sz w:val="16"/>
                <w:szCs w:val="16"/>
              </w:rPr>
              <w:t xml:space="preserve"> serving that geographic area.</w:t>
            </w:r>
            <w:r>
              <w:rPr>
                <w:sz w:val="16"/>
                <w:szCs w:val="16"/>
              </w:rPr>
              <w:t xml:space="preserve"> </w:t>
            </w:r>
          </w:p>
        </w:tc>
        <w:tc>
          <w:tcPr>
            <w:tcW w:w="991" w:type="dxa"/>
          </w:tcPr>
          <w:p w:rsidR="00F97D54" w:rsidRPr="0063769F" w:rsidRDefault="00F97D54" w:rsidP="00EB5B97">
            <w:pPr>
              <w:rPr>
                <w:sz w:val="16"/>
                <w:szCs w:val="16"/>
              </w:rPr>
            </w:pPr>
            <w:r>
              <w:rPr>
                <w:sz w:val="16"/>
                <w:szCs w:val="16"/>
              </w:rPr>
              <w:t>Text</w:t>
            </w:r>
          </w:p>
        </w:tc>
        <w:tc>
          <w:tcPr>
            <w:tcW w:w="1345" w:type="dxa"/>
          </w:tcPr>
          <w:p w:rsidR="00F97D54" w:rsidRPr="0063769F" w:rsidRDefault="00F97D54" w:rsidP="00EB5B97">
            <w:pPr>
              <w:rPr>
                <w:sz w:val="16"/>
                <w:szCs w:val="16"/>
              </w:rPr>
            </w:pPr>
            <w:r>
              <w:rPr>
                <w:sz w:val="16"/>
                <w:szCs w:val="16"/>
              </w:rPr>
              <w:t>Little Rock, AR</w:t>
            </w:r>
          </w:p>
        </w:tc>
      </w:tr>
      <w:tr w:rsidR="00F97D54" w:rsidRPr="00551AAF" w:rsidTr="00EB5B97">
        <w:trPr>
          <w:trHeight w:val="360"/>
        </w:trPr>
        <w:tc>
          <w:tcPr>
            <w:tcW w:w="2679" w:type="dxa"/>
          </w:tcPr>
          <w:p w:rsidR="00F97D54" w:rsidRDefault="00F97D54" w:rsidP="00EB5B97">
            <w:pPr>
              <w:rPr>
                <w:sz w:val="16"/>
                <w:szCs w:val="16"/>
              </w:rPr>
            </w:pPr>
            <w:r>
              <w:rPr>
                <w:sz w:val="16"/>
                <w:szCs w:val="16"/>
              </w:rPr>
              <w:t>ILEC_Other_Provider</w:t>
            </w:r>
          </w:p>
        </w:tc>
        <w:tc>
          <w:tcPr>
            <w:tcW w:w="3823" w:type="dxa"/>
          </w:tcPr>
          <w:p w:rsidR="00F97D54" w:rsidRPr="00997F57" w:rsidRDefault="00F97D54" w:rsidP="00EB5B97">
            <w:pPr>
              <w:rPr>
                <w:sz w:val="16"/>
                <w:szCs w:val="16"/>
              </w:rPr>
            </w:pPr>
            <w:r>
              <w:rPr>
                <w:sz w:val="16"/>
                <w:szCs w:val="16"/>
              </w:rPr>
              <w:t xml:space="preserve">Name of </w:t>
            </w:r>
            <w:r w:rsidRPr="002B1D08">
              <w:rPr>
                <w:i/>
                <w:sz w:val="16"/>
                <w:szCs w:val="16"/>
              </w:rPr>
              <w:t>Provider</w:t>
            </w:r>
            <w:r>
              <w:rPr>
                <w:i/>
                <w:sz w:val="16"/>
                <w:szCs w:val="16"/>
              </w:rPr>
              <w:t>(s)</w:t>
            </w:r>
            <w:r>
              <w:rPr>
                <w:sz w:val="16"/>
                <w:szCs w:val="16"/>
              </w:rPr>
              <w:t xml:space="preserve"> in the geographic areas identified above you would have purchased from had it not been for the discounts or </w:t>
            </w:r>
            <w:r w:rsidRPr="002B1D08">
              <w:rPr>
                <w:i/>
                <w:sz w:val="16"/>
                <w:szCs w:val="16"/>
              </w:rPr>
              <w:t>Non-Rate Benefits</w:t>
            </w:r>
            <w:r>
              <w:rPr>
                <w:sz w:val="16"/>
                <w:szCs w:val="16"/>
              </w:rPr>
              <w:t xml:space="preserve"> received under this plan.</w:t>
            </w:r>
          </w:p>
        </w:tc>
        <w:tc>
          <w:tcPr>
            <w:tcW w:w="991" w:type="dxa"/>
          </w:tcPr>
          <w:p w:rsidR="00F97D54" w:rsidRDefault="00F97D54" w:rsidP="00EB5B97">
            <w:pPr>
              <w:rPr>
                <w:sz w:val="16"/>
                <w:szCs w:val="16"/>
              </w:rPr>
            </w:pPr>
            <w:r>
              <w:rPr>
                <w:sz w:val="16"/>
                <w:szCs w:val="16"/>
              </w:rPr>
              <w:t>Text</w:t>
            </w:r>
          </w:p>
        </w:tc>
        <w:tc>
          <w:tcPr>
            <w:tcW w:w="1345" w:type="dxa"/>
          </w:tcPr>
          <w:p w:rsidR="00F97D54" w:rsidRDefault="00F97D54" w:rsidP="00EB5B97">
            <w:pPr>
              <w:rPr>
                <w:sz w:val="16"/>
                <w:szCs w:val="16"/>
              </w:rPr>
            </w:pPr>
            <w:r>
              <w:rPr>
                <w:sz w:val="16"/>
                <w:szCs w:val="16"/>
              </w:rPr>
              <w:t>ABC Co.</w:t>
            </w:r>
          </w:p>
        </w:tc>
      </w:tr>
      <w:tr w:rsidR="00F97D54" w:rsidRPr="0063769F" w:rsidTr="00EB5B97">
        <w:trPr>
          <w:trHeight w:val="360"/>
        </w:trPr>
        <w:tc>
          <w:tcPr>
            <w:tcW w:w="2679" w:type="dxa"/>
            <w:tcBorders>
              <w:bottom w:val="double" w:sz="4" w:space="0" w:color="auto"/>
            </w:tcBorders>
          </w:tcPr>
          <w:p w:rsidR="00F97D54" w:rsidRDefault="00F97D54" w:rsidP="00EB5B97">
            <w:pPr>
              <w:rPr>
                <w:sz w:val="16"/>
                <w:szCs w:val="16"/>
              </w:rPr>
            </w:pPr>
            <w:r>
              <w:rPr>
                <w:sz w:val="16"/>
                <w:szCs w:val="16"/>
              </w:rPr>
              <w:t>Limiting_Purchase</w:t>
            </w:r>
          </w:p>
        </w:tc>
        <w:tc>
          <w:tcPr>
            <w:tcW w:w="3823" w:type="dxa"/>
            <w:tcBorders>
              <w:bottom w:val="double" w:sz="4" w:space="0" w:color="auto"/>
            </w:tcBorders>
          </w:tcPr>
          <w:p w:rsidR="00F97D54" w:rsidRPr="00F16C64" w:rsidRDefault="00F97D54" w:rsidP="00EB5B97">
            <w:pPr>
              <w:rPr>
                <w:sz w:val="16"/>
                <w:szCs w:val="16"/>
              </w:rPr>
            </w:pPr>
            <w:r w:rsidRPr="00F16C64">
              <w:rPr>
                <w:sz w:val="16"/>
                <w:szCs w:val="16"/>
              </w:rPr>
              <w:t xml:space="preserve">Is the discount or </w:t>
            </w:r>
            <w:r w:rsidRPr="00F16C64">
              <w:rPr>
                <w:i/>
                <w:sz w:val="16"/>
                <w:szCs w:val="16"/>
              </w:rPr>
              <w:t>Non-Rate Benefit</w:t>
            </w:r>
            <w:r w:rsidRPr="00F16C64">
              <w:rPr>
                <w:sz w:val="16"/>
                <w:szCs w:val="16"/>
              </w:rPr>
              <w:t xml:space="preserve"> available under this plan conditioned on the customer limiting its purchase of </w:t>
            </w:r>
            <w:r w:rsidRPr="00F16C64">
              <w:rPr>
                <w:i/>
                <w:sz w:val="16"/>
                <w:szCs w:val="16"/>
              </w:rPr>
              <w:t>UNEs</w:t>
            </w:r>
            <w:r w:rsidRPr="00F16C64">
              <w:rPr>
                <w:sz w:val="16"/>
                <w:szCs w:val="16"/>
              </w:rPr>
              <w:t xml:space="preserve">, </w:t>
            </w:r>
            <w:r w:rsidRPr="00F16C64">
              <w:rPr>
                <w:i/>
                <w:sz w:val="16"/>
                <w:szCs w:val="16"/>
              </w:rPr>
              <w:t>e.g.</w:t>
            </w:r>
            <w:r w:rsidRPr="00F16C64">
              <w:rPr>
                <w:sz w:val="16"/>
                <w:szCs w:val="16"/>
              </w:rPr>
              <w:t xml:space="preserve">, the customer must keep its purchase of </w:t>
            </w:r>
            <w:r w:rsidRPr="00F16C64">
              <w:rPr>
                <w:i/>
                <w:sz w:val="16"/>
                <w:szCs w:val="16"/>
              </w:rPr>
              <w:t>UNEs</w:t>
            </w:r>
            <w:r w:rsidRPr="00F16C64">
              <w:rPr>
                <w:sz w:val="16"/>
                <w:szCs w:val="16"/>
              </w:rPr>
              <w:t xml:space="preserve"> below a certain percentage of the customer’s total spend?  If yes, then provide additional details about the condition.</w:t>
            </w:r>
            <w:r>
              <w:rPr>
                <w:sz w:val="16"/>
                <w:szCs w:val="16"/>
              </w:rPr>
              <w:t xml:space="preserve"> </w:t>
            </w:r>
          </w:p>
        </w:tc>
        <w:tc>
          <w:tcPr>
            <w:tcW w:w="991" w:type="dxa"/>
            <w:tcBorders>
              <w:bottom w:val="double" w:sz="4" w:space="0" w:color="auto"/>
            </w:tcBorders>
          </w:tcPr>
          <w:p w:rsidR="00F97D54" w:rsidRPr="0063769F" w:rsidRDefault="00F97D54" w:rsidP="00EB5B97">
            <w:pPr>
              <w:rPr>
                <w:sz w:val="16"/>
                <w:szCs w:val="16"/>
              </w:rPr>
            </w:pPr>
            <w:r>
              <w:rPr>
                <w:sz w:val="16"/>
                <w:szCs w:val="16"/>
              </w:rPr>
              <w:t>Text</w:t>
            </w:r>
          </w:p>
        </w:tc>
        <w:tc>
          <w:tcPr>
            <w:tcW w:w="1345" w:type="dxa"/>
            <w:tcBorders>
              <w:bottom w:val="double" w:sz="4" w:space="0" w:color="auto"/>
            </w:tcBorders>
          </w:tcPr>
          <w:p w:rsidR="00F97D54" w:rsidRPr="0063769F" w:rsidRDefault="00F97D54" w:rsidP="00EB5B97">
            <w:pPr>
              <w:rPr>
                <w:sz w:val="16"/>
                <w:szCs w:val="16"/>
              </w:rPr>
            </w:pPr>
            <w:r>
              <w:rPr>
                <w:sz w:val="16"/>
                <w:szCs w:val="16"/>
              </w:rPr>
              <w:t>Yes, to obtain the discount our company must . . .</w:t>
            </w:r>
          </w:p>
        </w:tc>
      </w:tr>
    </w:tbl>
    <w:p w:rsidR="00F97D54" w:rsidRDefault="00F97D54" w:rsidP="00EB5B97"/>
    <w:p w:rsidR="00F97D54" w:rsidRPr="00E9084B" w:rsidRDefault="00F97D54" w:rsidP="00E9084B">
      <w:pPr>
        <w:pStyle w:val="Heading4"/>
        <w:numPr>
          <w:ilvl w:val="0"/>
          <w:numId w:val="0"/>
        </w:numPr>
        <w:rPr>
          <w:b w:val="0"/>
          <w:i/>
        </w:rPr>
      </w:pPr>
      <w:bookmarkStart w:id="159" w:name="_Toc365972142"/>
      <w:r w:rsidRPr="00E9084B">
        <w:rPr>
          <w:b w:val="0"/>
          <w:i/>
        </w:rPr>
        <w:t>Question II.E.15:  Non-Tariffed Agreements</w:t>
      </w:r>
      <w:bookmarkEnd w:id="159"/>
      <w:r w:rsidRPr="00E9084B">
        <w:rPr>
          <w:b w:val="0"/>
          <w:i/>
        </w:rPr>
        <w:t xml:space="preserve"> </w:t>
      </w:r>
    </w:p>
    <w:p w:rsidR="00F97D54" w:rsidRDefault="00F97D54" w:rsidP="00EB5B97">
      <w:r>
        <w:t>If you have a non-tariffed agreement covered by Question II.E.15, then you must identify each agreement in Table II.E.15 within the data container.  If you do not have an agreement covered by Question II.E.15, then type “Not Applicable” in the Agreement field.  You will receive an error message upon validation of the data container if you do not put any information into Table II.E.15.</w:t>
      </w:r>
    </w:p>
    <w:p w:rsidR="00F97D54" w:rsidRPr="0055754E" w:rsidRDefault="00F97D54" w:rsidP="00EB5B97"/>
    <w:tbl>
      <w:tblPr>
        <w:tblW w:w="8838" w:type="dxa"/>
        <w:tblLook w:val="01E0" w:firstRow="1" w:lastRow="1" w:firstColumn="1" w:lastColumn="1" w:noHBand="0" w:noVBand="0"/>
      </w:tblPr>
      <w:tblGrid>
        <w:gridCol w:w="2679"/>
        <w:gridCol w:w="3823"/>
        <w:gridCol w:w="991"/>
        <w:gridCol w:w="1345"/>
      </w:tblGrid>
      <w:tr w:rsidR="00F97D54" w:rsidRPr="0063769F" w:rsidTr="00EB5B97">
        <w:trPr>
          <w:trHeight w:val="432"/>
          <w:tblHeader/>
        </w:trPr>
        <w:tc>
          <w:tcPr>
            <w:tcW w:w="8838" w:type="dxa"/>
            <w:gridSpan w:val="4"/>
            <w:tcBorders>
              <w:top w:val="double" w:sz="4" w:space="0" w:color="auto"/>
              <w:bottom w:val="single" w:sz="4" w:space="0" w:color="auto"/>
            </w:tcBorders>
            <w:vAlign w:val="center"/>
          </w:tcPr>
          <w:p w:rsidR="00F97D54" w:rsidRDefault="00F97D54" w:rsidP="00EB5B97">
            <w:pPr>
              <w:jc w:val="center"/>
              <w:rPr>
                <w:b/>
                <w:bCs/>
              </w:rPr>
            </w:pPr>
            <w:r w:rsidRPr="0063769F">
              <w:rPr>
                <w:b/>
              </w:rPr>
              <w:t xml:space="preserve">Table </w:t>
            </w:r>
            <w:r>
              <w:rPr>
                <w:b/>
                <w:bCs/>
              </w:rPr>
              <w:t>II.E.15</w:t>
            </w:r>
          </w:p>
          <w:p w:rsidR="00F97D54" w:rsidRPr="0063769F" w:rsidRDefault="00F97D54" w:rsidP="00EB5B97">
            <w:pPr>
              <w:jc w:val="center"/>
              <w:rPr>
                <w:b/>
              </w:rPr>
            </w:pPr>
            <w:r>
              <w:rPr>
                <w:b/>
                <w:bCs/>
              </w:rPr>
              <w:t>Record Format for Non-Tariffed Agreements</w:t>
            </w:r>
          </w:p>
        </w:tc>
      </w:tr>
      <w:tr w:rsidR="00F97D54" w:rsidRPr="0063769F" w:rsidTr="00EB5B97">
        <w:trPr>
          <w:trHeight w:val="432"/>
          <w:tblHeader/>
        </w:trPr>
        <w:tc>
          <w:tcPr>
            <w:tcW w:w="2679" w:type="dxa"/>
            <w:tcBorders>
              <w:top w:val="single" w:sz="4" w:space="0" w:color="auto"/>
              <w:bottom w:val="single" w:sz="4" w:space="0" w:color="auto"/>
              <w:right w:val="single" w:sz="4" w:space="0" w:color="auto"/>
            </w:tcBorders>
            <w:vAlign w:val="center"/>
          </w:tcPr>
          <w:p w:rsidR="00F97D54" w:rsidRPr="0063769F" w:rsidRDefault="00F97D54" w:rsidP="00EB5B97">
            <w:pPr>
              <w:rPr>
                <w:b/>
                <w:sz w:val="18"/>
                <w:szCs w:val="18"/>
              </w:rPr>
            </w:pPr>
            <w:r w:rsidRPr="0063769F">
              <w:rPr>
                <w:b/>
                <w:sz w:val="18"/>
                <w:szCs w:val="18"/>
              </w:rPr>
              <w:t>Field Name</w:t>
            </w:r>
          </w:p>
        </w:tc>
        <w:tc>
          <w:tcPr>
            <w:tcW w:w="3823" w:type="dxa"/>
            <w:tcBorders>
              <w:top w:val="single" w:sz="4" w:space="0" w:color="auto"/>
              <w:left w:val="single" w:sz="4" w:space="0" w:color="auto"/>
              <w:bottom w:val="single" w:sz="4" w:space="0" w:color="auto"/>
              <w:right w:val="single" w:sz="4" w:space="0" w:color="auto"/>
            </w:tcBorders>
            <w:vAlign w:val="center"/>
          </w:tcPr>
          <w:p w:rsidR="00F97D54" w:rsidRPr="00512AA0" w:rsidRDefault="00F97D54" w:rsidP="00EB5B97">
            <w:pPr>
              <w:rPr>
                <w:b/>
                <w:sz w:val="18"/>
                <w:szCs w:val="18"/>
              </w:rPr>
            </w:pPr>
            <w:r w:rsidRPr="00512AA0">
              <w:rPr>
                <w:b/>
                <w:sz w:val="18"/>
                <w:szCs w:val="18"/>
              </w:rPr>
              <w:t>Description</w:t>
            </w:r>
          </w:p>
        </w:tc>
        <w:tc>
          <w:tcPr>
            <w:tcW w:w="991" w:type="dxa"/>
            <w:tcBorders>
              <w:top w:val="single" w:sz="4" w:space="0" w:color="auto"/>
              <w:left w:val="single" w:sz="4" w:space="0" w:color="auto"/>
              <w:bottom w:val="single" w:sz="4" w:space="0" w:color="auto"/>
              <w:right w:val="single" w:sz="4" w:space="0" w:color="auto"/>
            </w:tcBorders>
            <w:vAlign w:val="center"/>
          </w:tcPr>
          <w:p w:rsidR="00F97D54" w:rsidRPr="0063769F" w:rsidRDefault="00F97D54" w:rsidP="00EB5B97">
            <w:pPr>
              <w:rPr>
                <w:b/>
                <w:sz w:val="18"/>
                <w:szCs w:val="18"/>
              </w:rPr>
            </w:pPr>
            <w:r w:rsidRPr="0063769F">
              <w:rPr>
                <w:b/>
                <w:sz w:val="18"/>
                <w:szCs w:val="18"/>
              </w:rPr>
              <w:t>Type</w:t>
            </w:r>
          </w:p>
        </w:tc>
        <w:tc>
          <w:tcPr>
            <w:tcW w:w="1345" w:type="dxa"/>
            <w:tcBorders>
              <w:top w:val="single" w:sz="4" w:space="0" w:color="auto"/>
              <w:left w:val="single" w:sz="4" w:space="0" w:color="auto"/>
              <w:bottom w:val="single" w:sz="4" w:space="0" w:color="auto"/>
            </w:tcBorders>
            <w:vAlign w:val="center"/>
          </w:tcPr>
          <w:p w:rsidR="00F97D54" w:rsidRPr="0063769F" w:rsidRDefault="00F97D54" w:rsidP="00EB5B97">
            <w:pPr>
              <w:ind w:right="-108"/>
              <w:rPr>
                <w:b/>
                <w:sz w:val="18"/>
                <w:szCs w:val="18"/>
              </w:rPr>
            </w:pPr>
            <w:r w:rsidRPr="0063769F">
              <w:rPr>
                <w:b/>
                <w:sz w:val="18"/>
                <w:szCs w:val="18"/>
              </w:rPr>
              <w:t>Example</w:t>
            </w:r>
          </w:p>
        </w:tc>
      </w:tr>
      <w:tr w:rsidR="00F97D54" w:rsidRPr="00551AAF" w:rsidTr="00EB5B97">
        <w:trPr>
          <w:trHeight w:val="360"/>
        </w:trPr>
        <w:tc>
          <w:tcPr>
            <w:tcW w:w="2679" w:type="dxa"/>
          </w:tcPr>
          <w:p w:rsidR="00F97D54" w:rsidRPr="00551AAF" w:rsidRDefault="00F97D54" w:rsidP="00EB5B97">
            <w:pPr>
              <w:rPr>
                <w:sz w:val="16"/>
                <w:szCs w:val="16"/>
              </w:rPr>
            </w:pPr>
            <w:r>
              <w:rPr>
                <w:sz w:val="16"/>
                <w:szCs w:val="16"/>
              </w:rPr>
              <w:t>Unique</w:t>
            </w:r>
            <w:r w:rsidRPr="00551AAF">
              <w:rPr>
                <w:sz w:val="16"/>
                <w:szCs w:val="16"/>
              </w:rPr>
              <w:t>_ID</w:t>
            </w:r>
          </w:p>
        </w:tc>
        <w:tc>
          <w:tcPr>
            <w:tcW w:w="3823" w:type="dxa"/>
          </w:tcPr>
          <w:p w:rsidR="00F97D54" w:rsidRPr="00551AAF" w:rsidRDefault="00F97D54" w:rsidP="00EB5B97">
            <w:pPr>
              <w:rPr>
                <w:sz w:val="16"/>
                <w:szCs w:val="16"/>
              </w:rPr>
            </w:pPr>
            <w:r>
              <w:rPr>
                <w:sz w:val="16"/>
                <w:szCs w:val="16"/>
              </w:rPr>
              <w:t xml:space="preserve">Sequential number  </w:t>
            </w:r>
          </w:p>
        </w:tc>
        <w:tc>
          <w:tcPr>
            <w:tcW w:w="991" w:type="dxa"/>
          </w:tcPr>
          <w:p w:rsidR="00F97D54" w:rsidRPr="00551AAF" w:rsidRDefault="00F97D54" w:rsidP="00EB5B97">
            <w:pPr>
              <w:rPr>
                <w:sz w:val="16"/>
                <w:szCs w:val="16"/>
              </w:rPr>
            </w:pPr>
            <w:r w:rsidRPr="00551AAF">
              <w:rPr>
                <w:sz w:val="16"/>
                <w:szCs w:val="16"/>
              </w:rPr>
              <w:t>Integer</w:t>
            </w:r>
          </w:p>
        </w:tc>
        <w:tc>
          <w:tcPr>
            <w:tcW w:w="1345" w:type="dxa"/>
          </w:tcPr>
          <w:p w:rsidR="00F97D54" w:rsidRPr="00551AAF" w:rsidRDefault="00F97D54" w:rsidP="00EB5B97">
            <w:pPr>
              <w:rPr>
                <w:sz w:val="16"/>
                <w:szCs w:val="16"/>
              </w:rPr>
            </w:pPr>
            <w:r w:rsidRPr="00551AAF">
              <w:rPr>
                <w:sz w:val="16"/>
                <w:szCs w:val="16"/>
              </w:rPr>
              <w:t>1</w:t>
            </w:r>
          </w:p>
        </w:tc>
      </w:tr>
      <w:tr w:rsidR="00F97D54" w:rsidRPr="00551AAF" w:rsidTr="00EB5B97">
        <w:trPr>
          <w:trHeight w:val="360"/>
        </w:trPr>
        <w:tc>
          <w:tcPr>
            <w:tcW w:w="2679" w:type="dxa"/>
          </w:tcPr>
          <w:p w:rsidR="00F97D54" w:rsidRDefault="00F97D54" w:rsidP="00EB5B97">
            <w:pPr>
              <w:rPr>
                <w:sz w:val="16"/>
                <w:szCs w:val="16"/>
              </w:rPr>
            </w:pPr>
            <w:r>
              <w:rPr>
                <w:sz w:val="16"/>
                <w:szCs w:val="16"/>
              </w:rPr>
              <w:t>Agreement</w:t>
            </w:r>
          </w:p>
        </w:tc>
        <w:tc>
          <w:tcPr>
            <w:tcW w:w="3823" w:type="dxa"/>
          </w:tcPr>
          <w:p w:rsidR="00F97D54" w:rsidRPr="009924C9" w:rsidRDefault="00F97D54" w:rsidP="00EB5B97">
            <w:pPr>
              <w:rPr>
                <w:sz w:val="16"/>
                <w:szCs w:val="16"/>
              </w:rPr>
            </w:pPr>
            <w:r>
              <w:rPr>
                <w:sz w:val="16"/>
                <w:szCs w:val="16"/>
              </w:rPr>
              <w:t>Name of n</w:t>
            </w:r>
            <w:r w:rsidRPr="009924C9">
              <w:rPr>
                <w:sz w:val="16"/>
                <w:szCs w:val="16"/>
              </w:rPr>
              <w:t xml:space="preserve">on-tariffed agreement </w:t>
            </w:r>
          </w:p>
        </w:tc>
        <w:tc>
          <w:tcPr>
            <w:tcW w:w="991" w:type="dxa"/>
          </w:tcPr>
          <w:p w:rsidR="00F97D54" w:rsidRPr="00551AAF" w:rsidRDefault="00F97D54" w:rsidP="00EB5B97">
            <w:pPr>
              <w:rPr>
                <w:sz w:val="16"/>
                <w:szCs w:val="16"/>
              </w:rPr>
            </w:pPr>
            <w:r>
              <w:rPr>
                <w:sz w:val="16"/>
                <w:szCs w:val="16"/>
              </w:rPr>
              <w:t>Text</w:t>
            </w:r>
          </w:p>
        </w:tc>
        <w:tc>
          <w:tcPr>
            <w:tcW w:w="1345" w:type="dxa"/>
          </w:tcPr>
          <w:p w:rsidR="00F97D54" w:rsidRPr="00551AAF" w:rsidRDefault="00F97D54" w:rsidP="00EB5B97">
            <w:pPr>
              <w:rPr>
                <w:sz w:val="16"/>
                <w:szCs w:val="16"/>
              </w:rPr>
            </w:pPr>
            <w:r>
              <w:rPr>
                <w:sz w:val="16"/>
                <w:szCs w:val="16"/>
              </w:rPr>
              <w:t>PBDS Agreement with Local Fiber Incorporated</w:t>
            </w:r>
          </w:p>
        </w:tc>
      </w:tr>
      <w:tr w:rsidR="00F97D54" w:rsidRPr="0063769F" w:rsidTr="00EB5B97">
        <w:trPr>
          <w:trHeight w:val="360"/>
        </w:trPr>
        <w:tc>
          <w:tcPr>
            <w:tcW w:w="2679" w:type="dxa"/>
          </w:tcPr>
          <w:p w:rsidR="00F97D54" w:rsidRDefault="00F97D54" w:rsidP="00EB5B97">
            <w:pPr>
              <w:rPr>
                <w:sz w:val="16"/>
                <w:szCs w:val="16"/>
              </w:rPr>
            </w:pPr>
            <w:r>
              <w:rPr>
                <w:sz w:val="16"/>
                <w:szCs w:val="16"/>
              </w:rPr>
              <w:t>Parties</w:t>
            </w:r>
          </w:p>
        </w:tc>
        <w:tc>
          <w:tcPr>
            <w:tcW w:w="3823" w:type="dxa"/>
          </w:tcPr>
          <w:p w:rsidR="00F97D54" w:rsidRPr="000A51DF" w:rsidRDefault="00F97D54" w:rsidP="00EB5B97">
            <w:pPr>
              <w:rPr>
                <w:sz w:val="16"/>
                <w:szCs w:val="16"/>
              </w:rPr>
            </w:pPr>
            <w:r>
              <w:rPr>
                <w:sz w:val="16"/>
                <w:szCs w:val="16"/>
              </w:rPr>
              <w:t xml:space="preserve">Parties to the agreement </w:t>
            </w:r>
          </w:p>
        </w:tc>
        <w:tc>
          <w:tcPr>
            <w:tcW w:w="991" w:type="dxa"/>
          </w:tcPr>
          <w:p w:rsidR="00F97D54" w:rsidRDefault="00F97D54" w:rsidP="00EB5B97">
            <w:pPr>
              <w:rPr>
                <w:sz w:val="16"/>
                <w:szCs w:val="16"/>
              </w:rPr>
            </w:pPr>
            <w:r>
              <w:rPr>
                <w:sz w:val="16"/>
                <w:szCs w:val="16"/>
              </w:rPr>
              <w:t>Text</w:t>
            </w:r>
          </w:p>
        </w:tc>
        <w:tc>
          <w:tcPr>
            <w:tcW w:w="1345" w:type="dxa"/>
          </w:tcPr>
          <w:p w:rsidR="00F97D54" w:rsidRDefault="00F97D54" w:rsidP="00EB5B97">
            <w:pPr>
              <w:rPr>
                <w:sz w:val="16"/>
                <w:szCs w:val="16"/>
              </w:rPr>
            </w:pPr>
            <w:r>
              <w:rPr>
                <w:sz w:val="16"/>
                <w:szCs w:val="16"/>
              </w:rPr>
              <w:t>ILEC Company and Local Fiber Inc.</w:t>
            </w:r>
          </w:p>
        </w:tc>
      </w:tr>
      <w:tr w:rsidR="00F97D54" w:rsidRPr="0063769F" w:rsidTr="00EB5B97">
        <w:trPr>
          <w:trHeight w:val="360"/>
        </w:trPr>
        <w:tc>
          <w:tcPr>
            <w:tcW w:w="2679" w:type="dxa"/>
          </w:tcPr>
          <w:p w:rsidR="00F97D54" w:rsidRDefault="00F97D54" w:rsidP="00EB5B97">
            <w:pPr>
              <w:rPr>
                <w:sz w:val="16"/>
                <w:szCs w:val="16"/>
              </w:rPr>
            </w:pPr>
            <w:r>
              <w:rPr>
                <w:sz w:val="16"/>
                <w:szCs w:val="16"/>
              </w:rPr>
              <w:t>Effective_Date</w:t>
            </w:r>
          </w:p>
        </w:tc>
        <w:tc>
          <w:tcPr>
            <w:tcW w:w="3823" w:type="dxa"/>
          </w:tcPr>
          <w:p w:rsidR="00F97D54" w:rsidRPr="000A51DF" w:rsidRDefault="00F97D54" w:rsidP="00EB5B97">
            <w:pPr>
              <w:rPr>
                <w:sz w:val="16"/>
                <w:szCs w:val="16"/>
              </w:rPr>
            </w:pPr>
            <w:r w:rsidRPr="000A51DF">
              <w:rPr>
                <w:sz w:val="16"/>
                <w:szCs w:val="16"/>
              </w:rPr>
              <w:t xml:space="preserve">The beginning date of the time period covered by the </w:t>
            </w:r>
            <w:r>
              <w:rPr>
                <w:sz w:val="16"/>
                <w:szCs w:val="16"/>
              </w:rPr>
              <w:t xml:space="preserve">agreement </w:t>
            </w:r>
          </w:p>
        </w:tc>
        <w:tc>
          <w:tcPr>
            <w:tcW w:w="991" w:type="dxa"/>
          </w:tcPr>
          <w:p w:rsidR="00F97D54" w:rsidRDefault="00F97D54" w:rsidP="00EB5B97">
            <w:pPr>
              <w:rPr>
                <w:sz w:val="16"/>
                <w:szCs w:val="16"/>
              </w:rPr>
            </w:pPr>
            <w:r>
              <w:rPr>
                <w:sz w:val="16"/>
                <w:szCs w:val="16"/>
              </w:rPr>
              <w:t>Date</w:t>
            </w:r>
          </w:p>
        </w:tc>
        <w:tc>
          <w:tcPr>
            <w:tcW w:w="1345" w:type="dxa"/>
          </w:tcPr>
          <w:p w:rsidR="00F97D54" w:rsidRDefault="00F97D54" w:rsidP="00EB5B97">
            <w:pPr>
              <w:rPr>
                <w:sz w:val="16"/>
                <w:szCs w:val="16"/>
              </w:rPr>
            </w:pPr>
            <w:r>
              <w:rPr>
                <w:sz w:val="16"/>
                <w:szCs w:val="16"/>
              </w:rPr>
              <w:t>1/15/10</w:t>
            </w:r>
          </w:p>
        </w:tc>
      </w:tr>
      <w:tr w:rsidR="00F97D54" w:rsidRPr="0063769F" w:rsidTr="00EB5B97">
        <w:trPr>
          <w:trHeight w:val="360"/>
        </w:trPr>
        <w:tc>
          <w:tcPr>
            <w:tcW w:w="2679" w:type="dxa"/>
          </w:tcPr>
          <w:p w:rsidR="00F97D54" w:rsidRDefault="00F97D54" w:rsidP="00EB5B97">
            <w:pPr>
              <w:rPr>
                <w:sz w:val="16"/>
                <w:szCs w:val="16"/>
              </w:rPr>
            </w:pPr>
            <w:r>
              <w:rPr>
                <w:sz w:val="16"/>
                <w:szCs w:val="16"/>
              </w:rPr>
              <w:t>End_Date</w:t>
            </w:r>
          </w:p>
        </w:tc>
        <w:tc>
          <w:tcPr>
            <w:tcW w:w="3823" w:type="dxa"/>
          </w:tcPr>
          <w:p w:rsidR="00F97D54" w:rsidRPr="000A51DF" w:rsidRDefault="00F97D54" w:rsidP="00EB5B97">
            <w:pPr>
              <w:rPr>
                <w:sz w:val="16"/>
                <w:szCs w:val="16"/>
              </w:rPr>
            </w:pPr>
            <w:r w:rsidRPr="000A51DF">
              <w:rPr>
                <w:sz w:val="16"/>
                <w:szCs w:val="16"/>
              </w:rPr>
              <w:t xml:space="preserve">The </w:t>
            </w:r>
            <w:r>
              <w:rPr>
                <w:sz w:val="16"/>
                <w:szCs w:val="16"/>
              </w:rPr>
              <w:t>ending</w:t>
            </w:r>
            <w:r w:rsidRPr="000A51DF">
              <w:rPr>
                <w:sz w:val="16"/>
                <w:szCs w:val="16"/>
              </w:rPr>
              <w:t xml:space="preserve"> date of the time period covered by the a</w:t>
            </w:r>
            <w:r>
              <w:rPr>
                <w:sz w:val="16"/>
                <w:szCs w:val="16"/>
              </w:rPr>
              <w:t xml:space="preserve">greement </w:t>
            </w:r>
          </w:p>
        </w:tc>
        <w:tc>
          <w:tcPr>
            <w:tcW w:w="991" w:type="dxa"/>
          </w:tcPr>
          <w:p w:rsidR="00F97D54" w:rsidRDefault="00F97D54" w:rsidP="00EB5B97">
            <w:pPr>
              <w:rPr>
                <w:sz w:val="16"/>
                <w:szCs w:val="16"/>
              </w:rPr>
            </w:pPr>
            <w:r>
              <w:rPr>
                <w:sz w:val="16"/>
                <w:szCs w:val="16"/>
              </w:rPr>
              <w:t>Date</w:t>
            </w:r>
          </w:p>
        </w:tc>
        <w:tc>
          <w:tcPr>
            <w:tcW w:w="1345" w:type="dxa"/>
          </w:tcPr>
          <w:p w:rsidR="00F97D54" w:rsidRDefault="00F97D54" w:rsidP="00EB5B97">
            <w:pPr>
              <w:rPr>
                <w:sz w:val="16"/>
                <w:szCs w:val="16"/>
              </w:rPr>
            </w:pPr>
            <w:r>
              <w:rPr>
                <w:sz w:val="16"/>
                <w:szCs w:val="16"/>
              </w:rPr>
              <w:t>12/31/12</w:t>
            </w:r>
          </w:p>
        </w:tc>
      </w:tr>
      <w:tr w:rsidR="00F97D54" w:rsidRPr="0063769F" w:rsidTr="00EB5B97">
        <w:trPr>
          <w:trHeight w:val="360"/>
        </w:trPr>
        <w:tc>
          <w:tcPr>
            <w:tcW w:w="2679" w:type="dxa"/>
            <w:tcBorders>
              <w:bottom w:val="double" w:sz="4" w:space="0" w:color="auto"/>
            </w:tcBorders>
          </w:tcPr>
          <w:p w:rsidR="00F97D54" w:rsidRDefault="00F97D54" w:rsidP="00EB5B97">
            <w:pPr>
              <w:rPr>
                <w:sz w:val="16"/>
                <w:szCs w:val="16"/>
              </w:rPr>
            </w:pPr>
            <w:r>
              <w:rPr>
                <w:sz w:val="16"/>
                <w:szCs w:val="16"/>
              </w:rPr>
              <w:t>Summary</w:t>
            </w:r>
          </w:p>
        </w:tc>
        <w:tc>
          <w:tcPr>
            <w:tcW w:w="3823" w:type="dxa"/>
            <w:tcBorders>
              <w:bottom w:val="double" w:sz="4" w:space="0" w:color="auto"/>
            </w:tcBorders>
          </w:tcPr>
          <w:p w:rsidR="00F97D54" w:rsidRDefault="00F97D54" w:rsidP="00EB5B97">
            <w:pPr>
              <w:rPr>
                <w:sz w:val="16"/>
                <w:szCs w:val="16"/>
              </w:rPr>
            </w:pPr>
            <w:r>
              <w:rPr>
                <w:sz w:val="16"/>
                <w:szCs w:val="16"/>
              </w:rPr>
              <w:t xml:space="preserve">Summary of relevant provisions </w:t>
            </w:r>
          </w:p>
        </w:tc>
        <w:tc>
          <w:tcPr>
            <w:tcW w:w="991" w:type="dxa"/>
            <w:tcBorders>
              <w:bottom w:val="double" w:sz="4" w:space="0" w:color="auto"/>
            </w:tcBorders>
          </w:tcPr>
          <w:p w:rsidR="00F97D54" w:rsidRDefault="00F97D54" w:rsidP="00EB5B97">
            <w:pPr>
              <w:rPr>
                <w:sz w:val="16"/>
                <w:szCs w:val="16"/>
              </w:rPr>
            </w:pPr>
            <w:r>
              <w:rPr>
                <w:sz w:val="16"/>
                <w:szCs w:val="16"/>
              </w:rPr>
              <w:t>Text</w:t>
            </w:r>
          </w:p>
        </w:tc>
        <w:tc>
          <w:tcPr>
            <w:tcW w:w="1345" w:type="dxa"/>
            <w:tcBorders>
              <w:bottom w:val="double" w:sz="4" w:space="0" w:color="auto"/>
            </w:tcBorders>
          </w:tcPr>
          <w:p w:rsidR="00F97D54" w:rsidRDefault="00F97D54" w:rsidP="00EB5B97">
            <w:pPr>
              <w:rPr>
                <w:sz w:val="16"/>
                <w:szCs w:val="16"/>
              </w:rPr>
            </w:pPr>
            <w:r>
              <w:rPr>
                <w:sz w:val="16"/>
                <w:szCs w:val="16"/>
              </w:rPr>
              <w:t xml:space="preserve">Requires the purchase of . . . </w:t>
            </w:r>
          </w:p>
        </w:tc>
      </w:tr>
    </w:tbl>
    <w:p w:rsidR="00F97D54" w:rsidRDefault="00F97D54" w:rsidP="00EB5B97"/>
    <w:p w:rsidR="00F97D54" w:rsidRDefault="00F97D54" w:rsidP="00EB5B97"/>
    <w:p w:rsidR="00F97D54" w:rsidRPr="00587EB9" w:rsidRDefault="00F97D54" w:rsidP="00587EB9">
      <w:pPr>
        <w:pStyle w:val="Heading3"/>
        <w:numPr>
          <w:ilvl w:val="0"/>
          <w:numId w:val="0"/>
        </w:numPr>
        <w:spacing w:after="220"/>
        <w:rPr>
          <w:b w:val="0"/>
          <w:u w:val="single"/>
        </w:rPr>
      </w:pPr>
      <w:bookmarkStart w:id="160" w:name="_Toc350777056"/>
      <w:bookmarkStart w:id="161" w:name="_Toc365972143"/>
      <w:r w:rsidRPr="00E9084B">
        <w:rPr>
          <w:b w:val="0"/>
          <w:u w:val="single"/>
        </w:rPr>
        <w:t>QUESTIONS DIRECTED AT OTHER PURCHASERS</w:t>
      </w:r>
      <w:bookmarkEnd w:id="160"/>
      <w:bookmarkEnd w:id="161"/>
    </w:p>
    <w:p w:rsidR="00F97D54" w:rsidRPr="00E9084B" w:rsidRDefault="00F97D54" w:rsidP="00E9084B">
      <w:pPr>
        <w:pStyle w:val="Heading4"/>
        <w:numPr>
          <w:ilvl w:val="0"/>
          <w:numId w:val="0"/>
        </w:numPr>
        <w:rPr>
          <w:b w:val="0"/>
          <w:i/>
        </w:rPr>
      </w:pPr>
      <w:bookmarkStart w:id="162" w:name="_Toc365972144"/>
      <w:r w:rsidRPr="00E9084B">
        <w:rPr>
          <w:b w:val="0"/>
          <w:i/>
        </w:rPr>
        <w:t>Question II.F.1:  Principal Nature of Business</w:t>
      </w:r>
      <w:bookmarkEnd w:id="162"/>
      <w:r w:rsidRPr="00E9084B">
        <w:rPr>
          <w:b w:val="0"/>
          <w:i/>
        </w:rPr>
        <w:t xml:space="preserve"> </w:t>
      </w:r>
    </w:p>
    <w:tbl>
      <w:tblPr>
        <w:tblW w:w="8838" w:type="dxa"/>
        <w:tblLayout w:type="fixed"/>
        <w:tblLook w:val="01E0" w:firstRow="1" w:lastRow="1" w:firstColumn="1" w:lastColumn="1" w:noHBand="0" w:noVBand="0"/>
      </w:tblPr>
      <w:tblGrid>
        <w:gridCol w:w="2178"/>
        <w:gridCol w:w="4590"/>
        <w:gridCol w:w="990"/>
        <w:gridCol w:w="1080"/>
      </w:tblGrid>
      <w:tr w:rsidR="00F97D54" w:rsidTr="00EB5B97">
        <w:trPr>
          <w:trHeight w:val="432"/>
          <w:tblHeader/>
        </w:trPr>
        <w:tc>
          <w:tcPr>
            <w:tcW w:w="8838" w:type="dxa"/>
            <w:gridSpan w:val="4"/>
            <w:tcBorders>
              <w:top w:val="double" w:sz="4" w:space="0" w:color="auto"/>
              <w:bottom w:val="single" w:sz="4" w:space="0" w:color="auto"/>
            </w:tcBorders>
            <w:vAlign w:val="center"/>
          </w:tcPr>
          <w:p w:rsidR="00F97D54" w:rsidRDefault="00F97D54" w:rsidP="00EB5B97">
            <w:pPr>
              <w:jc w:val="center"/>
              <w:rPr>
                <w:b/>
                <w:szCs w:val="22"/>
              </w:rPr>
            </w:pPr>
            <w:r>
              <w:rPr>
                <w:b/>
                <w:szCs w:val="22"/>
              </w:rPr>
              <w:t>Table II.F.1</w:t>
            </w:r>
          </w:p>
          <w:p w:rsidR="00F97D54" w:rsidRPr="00B7026C" w:rsidRDefault="00F97D54" w:rsidP="00EB5B97">
            <w:pPr>
              <w:jc w:val="center"/>
              <w:rPr>
                <w:b/>
                <w:szCs w:val="22"/>
              </w:rPr>
            </w:pPr>
            <w:r w:rsidRPr="00B7026C">
              <w:rPr>
                <w:b/>
                <w:szCs w:val="22"/>
              </w:rPr>
              <w:t xml:space="preserve">Record Format for </w:t>
            </w:r>
            <w:r w:rsidRPr="00D7263E">
              <w:rPr>
                <w:b/>
                <w:i/>
                <w:szCs w:val="22"/>
              </w:rPr>
              <w:t>Purchaser’s</w:t>
            </w:r>
            <w:r>
              <w:rPr>
                <w:b/>
                <w:szCs w:val="22"/>
              </w:rPr>
              <w:t xml:space="preserve"> Business</w:t>
            </w:r>
            <w:r w:rsidRPr="00B7026C">
              <w:rPr>
                <w:b/>
                <w:szCs w:val="22"/>
              </w:rPr>
              <w:t xml:space="preserve"> </w:t>
            </w:r>
          </w:p>
        </w:tc>
      </w:tr>
      <w:tr w:rsidR="00F97D54" w:rsidTr="00EB5B97">
        <w:trPr>
          <w:trHeight w:val="432"/>
          <w:tblHeader/>
        </w:trPr>
        <w:tc>
          <w:tcPr>
            <w:tcW w:w="2178" w:type="dxa"/>
            <w:tcBorders>
              <w:top w:val="single" w:sz="4" w:space="0" w:color="auto"/>
              <w:bottom w:val="single" w:sz="4" w:space="0" w:color="auto"/>
              <w:right w:val="single" w:sz="4" w:space="0" w:color="auto"/>
            </w:tcBorders>
            <w:vAlign w:val="center"/>
          </w:tcPr>
          <w:p w:rsidR="00F97D54" w:rsidRDefault="00F97D54" w:rsidP="00EB5B97">
            <w:pPr>
              <w:rPr>
                <w:b/>
                <w:sz w:val="18"/>
                <w:szCs w:val="18"/>
              </w:rPr>
            </w:pPr>
            <w:r>
              <w:rPr>
                <w:b/>
                <w:sz w:val="18"/>
                <w:szCs w:val="18"/>
              </w:rPr>
              <w:t>Field Name</w:t>
            </w:r>
          </w:p>
        </w:tc>
        <w:tc>
          <w:tcPr>
            <w:tcW w:w="4590" w:type="dxa"/>
            <w:tcBorders>
              <w:top w:val="single" w:sz="4" w:space="0" w:color="auto"/>
              <w:left w:val="single" w:sz="4" w:space="0" w:color="auto"/>
              <w:bottom w:val="single" w:sz="4" w:space="0" w:color="auto"/>
              <w:right w:val="single" w:sz="4" w:space="0" w:color="auto"/>
            </w:tcBorders>
            <w:vAlign w:val="center"/>
          </w:tcPr>
          <w:p w:rsidR="00F97D54" w:rsidRDefault="00F97D54" w:rsidP="00EB5B97">
            <w:pPr>
              <w:rPr>
                <w:b/>
                <w:sz w:val="18"/>
                <w:szCs w:val="18"/>
              </w:rPr>
            </w:pPr>
            <w:r>
              <w:rPr>
                <w:b/>
                <w:sz w:val="18"/>
                <w:szCs w:val="18"/>
              </w:rPr>
              <w:t>Description</w:t>
            </w:r>
          </w:p>
        </w:tc>
        <w:tc>
          <w:tcPr>
            <w:tcW w:w="990" w:type="dxa"/>
            <w:tcBorders>
              <w:top w:val="single" w:sz="4" w:space="0" w:color="auto"/>
              <w:left w:val="single" w:sz="4" w:space="0" w:color="auto"/>
              <w:bottom w:val="single" w:sz="4" w:space="0" w:color="auto"/>
              <w:right w:val="single" w:sz="4" w:space="0" w:color="auto"/>
            </w:tcBorders>
            <w:vAlign w:val="center"/>
          </w:tcPr>
          <w:p w:rsidR="00F97D54" w:rsidRDefault="00F97D54" w:rsidP="00EB5B97">
            <w:pPr>
              <w:rPr>
                <w:b/>
                <w:sz w:val="18"/>
                <w:szCs w:val="18"/>
              </w:rPr>
            </w:pPr>
            <w:r>
              <w:rPr>
                <w:b/>
                <w:sz w:val="18"/>
                <w:szCs w:val="18"/>
              </w:rPr>
              <w:t>Type</w:t>
            </w:r>
          </w:p>
        </w:tc>
        <w:tc>
          <w:tcPr>
            <w:tcW w:w="1080" w:type="dxa"/>
            <w:tcBorders>
              <w:top w:val="single" w:sz="4" w:space="0" w:color="auto"/>
              <w:left w:val="single" w:sz="4" w:space="0" w:color="auto"/>
              <w:bottom w:val="single" w:sz="4" w:space="0" w:color="auto"/>
            </w:tcBorders>
            <w:vAlign w:val="center"/>
          </w:tcPr>
          <w:p w:rsidR="00F97D54" w:rsidRDefault="00F97D54" w:rsidP="00EB5B97">
            <w:pPr>
              <w:ind w:right="-108"/>
              <w:rPr>
                <w:b/>
                <w:sz w:val="18"/>
                <w:szCs w:val="18"/>
              </w:rPr>
            </w:pPr>
            <w:r>
              <w:rPr>
                <w:b/>
                <w:sz w:val="18"/>
                <w:szCs w:val="18"/>
              </w:rPr>
              <w:t>Example</w:t>
            </w:r>
          </w:p>
        </w:tc>
      </w:tr>
      <w:tr w:rsidR="00F97D54" w:rsidRPr="00C136DE" w:rsidTr="00EB5B97">
        <w:trPr>
          <w:trHeight w:val="432"/>
        </w:trPr>
        <w:tc>
          <w:tcPr>
            <w:tcW w:w="2178" w:type="dxa"/>
            <w:tcBorders>
              <w:top w:val="single" w:sz="4" w:space="0" w:color="auto"/>
            </w:tcBorders>
            <w:vAlign w:val="center"/>
          </w:tcPr>
          <w:p w:rsidR="00F97D54" w:rsidRPr="00490CD2" w:rsidRDefault="00F97D54" w:rsidP="00EB5B97">
            <w:pPr>
              <w:rPr>
                <w:sz w:val="16"/>
                <w:szCs w:val="16"/>
              </w:rPr>
            </w:pPr>
            <w:r>
              <w:rPr>
                <w:sz w:val="16"/>
                <w:szCs w:val="16"/>
              </w:rPr>
              <w:t>Purchaser_Name</w:t>
            </w:r>
          </w:p>
        </w:tc>
        <w:tc>
          <w:tcPr>
            <w:tcW w:w="4590" w:type="dxa"/>
            <w:tcBorders>
              <w:top w:val="single" w:sz="4" w:space="0" w:color="auto"/>
            </w:tcBorders>
            <w:vAlign w:val="center"/>
          </w:tcPr>
          <w:p w:rsidR="00F97D54" w:rsidRPr="00C136DE" w:rsidRDefault="00F97D54" w:rsidP="00EB5B97">
            <w:pPr>
              <w:rPr>
                <w:sz w:val="16"/>
                <w:szCs w:val="16"/>
              </w:rPr>
            </w:pPr>
            <w:r>
              <w:rPr>
                <w:sz w:val="16"/>
                <w:szCs w:val="16"/>
              </w:rPr>
              <w:t xml:space="preserve">Name of </w:t>
            </w:r>
            <w:r w:rsidRPr="00C4594D">
              <w:rPr>
                <w:i/>
                <w:sz w:val="16"/>
                <w:szCs w:val="16"/>
              </w:rPr>
              <w:t>Purchaser</w:t>
            </w:r>
          </w:p>
        </w:tc>
        <w:tc>
          <w:tcPr>
            <w:tcW w:w="990" w:type="dxa"/>
            <w:tcBorders>
              <w:top w:val="single" w:sz="4" w:space="0" w:color="auto"/>
            </w:tcBorders>
            <w:vAlign w:val="center"/>
          </w:tcPr>
          <w:p w:rsidR="00F97D54" w:rsidRPr="00C136DE" w:rsidRDefault="00F97D54" w:rsidP="00EB5B97">
            <w:pPr>
              <w:rPr>
                <w:sz w:val="16"/>
                <w:szCs w:val="16"/>
              </w:rPr>
            </w:pPr>
            <w:r>
              <w:rPr>
                <w:sz w:val="16"/>
                <w:szCs w:val="16"/>
              </w:rPr>
              <w:t>Text</w:t>
            </w:r>
          </w:p>
        </w:tc>
        <w:tc>
          <w:tcPr>
            <w:tcW w:w="1080" w:type="dxa"/>
            <w:tcBorders>
              <w:top w:val="single" w:sz="4" w:space="0" w:color="auto"/>
            </w:tcBorders>
            <w:vAlign w:val="center"/>
          </w:tcPr>
          <w:p w:rsidR="00F97D54" w:rsidRPr="00C136DE" w:rsidRDefault="00F97D54" w:rsidP="00EB5B97">
            <w:pPr>
              <w:rPr>
                <w:sz w:val="16"/>
                <w:szCs w:val="16"/>
              </w:rPr>
            </w:pPr>
            <w:r>
              <w:rPr>
                <w:sz w:val="16"/>
                <w:szCs w:val="16"/>
              </w:rPr>
              <w:t>Local Fiber Inc.</w:t>
            </w:r>
          </w:p>
        </w:tc>
      </w:tr>
      <w:tr w:rsidR="00F97D54" w:rsidTr="00EB5B97">
        <w:trPr>
          <w:trHeight w:val="432"/>
        </w:trPr>
        <w:tc>
          <w:tcPr>
            <w:tcW w:w="2178" w:type="dxa"/>
            <w:tcBorders>
              <w:bottom w:val="double" w:sz="4" w:space="0" w:color="auto"/>
            </w:tcBorders>
            <w:vAlign w:val="center"/>
          </w:tcPr>
          <w:p w:rsidR="00F97D54" w:rsidRDefault="00F97D54" w:rsidP="00EB5B97">
            <w:pPr>
              <w:rPr>
                <w:sz w:val="16"/>
                <w:szCs w:val="16"/>
              </w:rPr>
            </w:pPr>
            <w:r>
              <w:rPr>
                <w:sz w:val="16"/>
                <w:szCs w:val="16"/>
              </w:rPr>
              <w:t>Biz_Nature</w:t>
            </w:r>
          </w:p>
        </w:tc>
        <w:tc>
          <w:tcPr>
            <w:tcW w:w="4590" w:type="dxa"/>
            <w:tcBorders>
              <w:bottom w:val="double" w:sz="4" w:space="0" w:color="auto"/>
            </w:tcBorders>
            <w:vAlign w:val="center"/>
          </w:tcPr>
          <w:p w:rsidR="00F97D54" w:rsidRDefault="00F97D54" w:rsidP="00EB5B97">
            <w:pPr>
              <w:rPr>
                <w:sz w:val="16"/>
                <w:szCs w:val="16"/>
              </w:rPr>
            </w:pPr>
            <w:r>
              <w:rPr>
                <w:sz w:val="16"/>
                <w:szCs w:val="16"/>
              </w:rPr>
              <w:t xml:space="preserve">Principal nature of </w:t>
            </w:r>
            <w:r w:rsidRPr="00DB3AB6">
              <w:rPr>
                <w:i/>
                <w:sz w:val="16"/>
                <w:szCs w:val="16"/>
              </w:rPr>
              <w:t>Purchaser’s</w:t>
            </w:r>
            <w:r>
              <w:rPr>
                <w:sz w:val="16"/>
                <w:szCs w:val="16"/>
              </w:rPr>
              <w:t xml:space="preserve"> business</w:t>
            </w:r>
          </w:p>
        </w:tc>
        <w:tc>
          <w:tcPr>
            <w:tcW w:w="990" w:type="dxa"/>
            <w:tcBorders>
              <w:bottom w:val="double" w:sz="4" w:space="0" w:color="auto"/>
            </w:tcBorders>
            <w:vAlign w:val="center"/>
          </w:tcPr>
          <w:p w:rsidR="00F97D54" w:rsidRDefault="00F97D54" w:rsidP="00EB5B97">
            <w:pPr>
              <w:rPr>
                <w:sz w:val="16"/>
                <w:szCs w:val="16"/>
              </w:rPr>
            </w:pPr>
            <w:r>
              <w:rPr>
                <w:sz w:val="16"/>
                <w:szCs w:val="16"/>
              </w:rPr>
              <w:t>Text</w:t>
            </w:r>
          </w:p>
        </w:tc>
        <w:tc>
          <w:tcPr>
            <w:tcW w:w="1080" w:type="dxa"/>
            <w:tcBorders>
              <w:bottom w:val="double" w:sz="4" w:space="0" w:color="auto"/>
            </w:tcBorders>
            <w:vAlign w:val="center"/>
          </w:tcPr>
          <w:p w:rsidR="00F97D54" w:rsidRDefault="00F97D54" w:rsidP="00EB5B97">
            <w:pPr>
              <w:rPr>
                <w:sz w:val="16"/>
                <w:szCs w:val="16"/>
              </w:rPr>
            </w:pPr>
            <w:r>
              <w:rPr>
                <w:sz w:val="16"/>
                <w:szCs w:val="16"/>
              </w:rPr>
              <w:t>CLEC</w:t>
            </w:r>
          </w:p>
        </w:tc>
      </w:tr>
    </w:tbl>
    <w:p w:rsidR="00856C67" w:rsidRDefault="00856C67" w:rsidP="00587EB9">
      <w:pPr>
        <w:pStyle w:val="Heading5"/>
        <w:numPr>
          <w:ilvl w:val="0"/>
          <w:numId w:val="0"/>
        </w:numPr>
        <w:spacing w:after="220"/>
      </w:pPr>
      <w:bookmarkStart w:id="163" w:name="_Toc365972145"/>
    </w:p>
    <w:p w:rsidR="00F97D54" w:rsidRDefault="00F97D54" w:rsidP="00587EB9">
      <w:pPr>
        <w:pStyle w:val="Heading5"/>
        <w:numPr>
          <w:ilvl w:val="0"/>
          <w:numId w:val="0"/>
        </w:numPr>
        <w:spacing w:after="220"/>
      </w:pPr>
      <w:r>
        <w:t>Expenditures Information</w:t>
      </w:r>
      <w:bookmarkEnd w:id="163"/>
    </w:p>
    <w:p w:rsidR="00F97D54" w:rsidRPr="00E9084B" w:rsidRDefault="00F97D54" w:rsidP="00E9084B">
      <w:pPr>
        <w:pStyle w:val="Heading4"/>
        <w:numPr>
          <w:ilvl w:val="0"/>
          <w:numId w:val="0"/>
        </w:numPr>
        <w:rPr>
          <w:b w:val="0"/>
          <w:i/>
        </w:rPr>
      </w:pPr>
      <w:bookmarkStart w:id="164" w:name="_Toc365972146"/>
      <w:r w:rsidRPr="00E9084B">
        <w:rPr>
          <w:b w:val="0"/>
          <w:i/>
        </w:rPr>
        <w:t>Question II.F.2:  Total Expenditures on Dedicated Services</w:t>
      </w:r>
      <w:bookmarkEnd w:id="164"/>
      <w:r w:rsidRPr="00E9084B">
        <w:rPr>
          <w:b w:val="0"/>
          <w:i/>
        </w:rPr>
        <w:t xml:space="preserve"> </w:t>
      </w:r>
    </w:p>
    <w:tbl>
      <w:tblPr>
        <w:tblW w:w="8838" w:type="dxa"/>
        <w:tblLayout w:type="fixed"/>
        <w:tblLook w:val="01E0" w:firstRow="1" w:lastRow="1" w:firstColumn="1" w:lastColumn="1" w:noHBand="0" w:noVBand="0"/>
      </w:tblPr>
      <w:tblGrid>
        <w:gridCol w:w="2155"/>
        <w:gridCol w:w="4613"/>
        <w:gridCol w:w="1042"/>
        <w:gridCol w:w="1028"/>
      </w:tblGrid>
      <w:tr w:rsidR="00F97D54" w:rsidRPr="0063769F" w:rsidTr="00EB5B97">
        <w:trPr>
          <w:trHeight w:val="432"/>
          <w:tblHeader/>
        </w:trPr>
        <w:tc>
          <w:tcPr>
            <w:tcW w:w="8838" w:type="dxa"/>
            <w:gridSpan w:val="4"/>
            <w:tcBorders>
              <w:top w:val="double" w:sz="4" w:space="0" w:color="auto"/>
              <w:bottom w:val="single" w:sz="4" w:space="0" w:color="auto"/>
            </w:tcBorders>
            <w:vAlign w:val="center"/>
          </w:tcPr>
          <w:p w:rsidR="00F97D54" w:rsidRDefault="00F97D54" w:rsidP="00EB5B97">
            <w:pPr>
              <w:jc w:val="center"/>
              <w:rPr>
                <w:b/>
                <w:bCs/>
              </w:rPr>
            </w:pPr>
            <w:r w:rsidRPr="0063769F">
              <w:rPr>
                <w:b/>
              </w:rPr>
              <w:t xml:space="preserve">Table </w:t>
            </w:r>
            <w:r>
              <w:rPr>
                <w:b/>
                <w:bCs/>
              </w:rPr>
              <w:t>II.F.2</w:t>
            </w:r>
          </w:p>
          <w:p w:rsidR="00F97D54" w:rsidRPr="0063769F" w:rsidRDefault="00F97D54" w:rsidP="00EB5B97">
            <w:pPr>
              <w:jc w:val="center"/>
              <w:rPr>
                <w:b/>
              </w:rPr>
            </w:pPr>
            <w:r>
              <w:rPr>
                <w:b/>
                <w:bCs/>
              </w:rPr>
              <w:t xml:space="preserve">Record Format for Expenditures on </w:t>
            </w:r>
            <w:r w:rsidRPr="00FB1928">
              <w:rPr>
                <w:b/>
                <w:bCs/>
                <w:i/>
              </w:rPr>
              <w:t>Dedicated Service</w:t>
            </w:r>
          </w:p>
        </w:tc>
      </w:tr>
      <w:tr w:rsidR="00F97D54" w:rsidRPr="0063769F" w:rsidTr="00EB5B97">
        <w:trPr>
          <w:trHeight w:val="432"/>
          <w:tblHeader/>
        </w:trPr>
        <w:tc>
          <w:tcPr>
            <w:tcW w:w="2155" w:type="dxa"/>
            <w:tcBorders>
              <w:top w:val="single" w:sz="4" w:space="0" w:color="auto"/>
              <w:bottom w:val="single" w:sz="4" w:space="0" w:color="auto"/>
              <w:right w:val="single" w:sz="4" w:space="0" w:color="auto"/>
            </w:tcBorders>
            <w:vAlign w:val="center"/>
          </w:tcPr>
          <w:p w:rsidR="00F97D54" w:rsidRPr="0063769F" w:rsidRDefault="00F97D54" w:rsidP="00EB5B97">
            <w:pPr>
              <w:rPr>
                <w:b/>
                <w:sz w:val="18"/>
                <w:szCs w:val="18"/>
              </w:rPr>
            </w:pPr>
            <w:r w:rsidRPr="0063769F">
              <w:rPr>
                <w:b/>
                <w:sz w:val="18"/>
                <w:szCs w:val="18"/>
              </w:rPr>
              <w:t>Field Name</w:t>
            </w:r>
          </w:p>
        </w:tc>
        <w:tc>
          <w:tcPr>
            <w:tcW w:w="4613" w:type="dxa"/>
            <w:tcBorders>
              <w:top w:val="single" w:sz="4" w:space="0" w:color="auto"/>
              <w:left w:val="single" w:sz="4" w:space="0" w:color="auto"/>
              <w:bottom w:val="single" w:sz="4" w:space="0" w:color="auto"/>
              <w:right w:val="single" w:sz="4" w:space="0" w:color="auto"/>
            </w:tcBorders>
            <w:vAlign w:val="center"/>
          </w:tcPr>
          <w:p w:rsidR="00F97D54" w:rsidRPr="0063769F" w:rsidRDefault="00F97D54" w:rsidP="00EB5B97">
            <w:pPr>
              <w:rPr>
                <w:b/>
                <w:sz w:val="18"/>
                <w:szCs w:val="18"/>
              </w:rPr>
            </w:pPr>
            <w:r w:rsidRPr="0063769F">
              <w:rPr>
                <w:b/>
                <w:sz w:val="18"/>
                <w:szCs w:val="18"/>
              </w:rPr>
              <w:t>Description</w:t>
            </w:r>
          </w:p>
        </w:tc>
        <w:tc>
          <w:tcPr>
            <w:tcW w:w="1042" w:type="dxa"/>
            <w:tcBorders>
              <w:top w:val="single" w:sz="4" w:space="0" w:color="auto"/>
              <w:left w:val="single" w:sz="4" w:space="0" w:color="auto"/>
              <w:bottom w:val="single" w:sz="4" w:space="0" w:color="auto"/>
              <w:right w:val="single" w:sz="4" w:space="0" w:color="auto"/>
            </w:tcBorders>
            <w:vAlign w:val="center"/>
          </w:tcPr>
          <w:p w:rsidR="00F97D54" w:rsidRPr="0063769F" w:rsidRDefault="00F97D54" w:rsidP="00EB5B97">
            <w:pPr>
              <w:rPr>
                <w:b/>
                <w:sz w:val="18"/>
                <w:szCs w:val="18"/>
              </w:rPr>
            </w:pPr>
            <w:r w:rsidRPr="0063769F">
              <w:rPr>
                <w:b/>
                <w:sz w:val="18"/>
                <w:szCs w:val="18"/>
              </w:rPr>
              <w:t>Type</w:t>
            </w:r>
          </w:p>
        </w:tc>
        <w:tc>
          <w:tcPr>
            <w:tcW w:w="1028" w:type="dxa"/>
            <w:tcBorders>
              <w:top w:val="single" w:sz="4" w:space="0" w:color="auto"/>
              <w:left w:val="single" w:sz="4" w:space="0" w:color="auto"/>
              <w:bottom w:val="single" w:sz="4" w:space="0" w:color="auto"/>
            </w:tcBorders>
            <w:vAlign w:val="center"/>
          </w:tcPr>
          <w:p w:rsidR="00F97D54" w:rsidRPr="0063769F" w:rsidRDefault="00F97D54" w:rsidP="00EB5B97">
            <w:pPr>
              <w:ind w:right="-108"/>
              <w:rPr>
                <w:b/>
                <w:sz w:val="18"/>
                <w:szCs w:val="18"/>
              </w:rPr>
            </w:pPr>
            <w:r w:rsidRPr="0063769F">
              <w:rPr>
                <w:b/>
                <w:sz w:val="18"/>
                <w:szCs w:val="18"/>
              </w:rPr>
              <w:t>Example</w:t>
            </w:r>
          </w:p>
        </w:tc>
      </w:tr>
      <w:tr w:rsidR="00F97D54" w:rsidRPr="0063769F" w:rsidTr="00EB5B97">
        <w:trPr>
          <w:trHeight w:val="360"/>
        </w:trPr>
        <w:tc>
          <w:tcPr>
            <w:tcW w:w="2155" w:type="dxa"/>
          </w:tcPr>
          <w:p w:rsidR="00F97D54" w:rsidRDefault="00F97D54" w:rsidP="00EB5B97">
            <w:pPr>
              <w:rPr>
                <w:sz w:val="16"/>
                <w:szCs w:val="16"/>
              </w:rPr>
            </w:pPr>
            <w:r>
              <w:rPr>
                <w:sz w:val="16"/>
                <w:szCs w:val="16"/>
              </w:rPr>
              <w:t>Expenditures</w:t>
            </w:r>
          </w:p>
        </w:tc>
        <w:tc>
          <w:tcPr>
            <w:tcW w:w="4613" w:type="dxa"/>
          </w:tcPr>
          <w:p w:rsidR="00F97D54" w:rsidRPr="00AE7A4A" w:rsidRDefault="00F97D54" w:rsidP="00EB5B97">
            <w:pPr>
              <w:rPr>
                <w:sz w:val="16"/>
                <w:szCs w:val="16"/>
              </w:rPr>
            </w:pPr>
            <w:r>
              <w:rPr>
                <w:sz w:val="16"/>
                <w:szCs w:val="16"/>
              </w:rPr>
              <w:t xml:space="preserve">Enter the dollar value of expenditures on </w:t>
            </w:r>
            <w:r>
              <w:rPr>
                <w:i/>
                <w:sz w:val="16"/>
                <w:szCs w:val="16"/>
              </w:rPr>
              <w:t>Dedicated Service</w:t>
            </w:r>
          </w:p>
        </w:tc>
        <w:tc>
          <w:tcPr>
            <w:tcW w:w="1042" w:type="dxa"/>
          </w:tcPr>
          <w:p w:rsidR="00F97D54" w:rsidRDefault="00F97D54" w:rsidP="00EB5B97">
            <w:pPr>
              <w:rPr>
                <w:sz w:val="16"/>
                <w:szCs w:val="16"/>
              </w:rPr>
            </w:pPr>
            <w:r>
              <w:rPr>
                <w:sz w:val="16"/>
                <w:szCs w:val="16"/>
              </w:rPr>
              <w:t>Float</w:t>
            </w:r>
          </w:p>
        </w:tc>
        <w:tc>
          <w:tcPr>
            <w:tcW w:w="1028" w:type="dxa"/>
          </w:tcPr>
          <w:p w:rsidR="00F97D54" w:rsidRDefault="00F97D54" w:rsidP="00EB5B97">
            <w:pPr>
              <w:rPr>
                <w:sz w:val="16"/>
                <w:szCs w:val="16"/>
              </w:rPr>
            </w:pPr>
            <w:r>
              <w:rPr>
                <w:sz w:val="16"/>
                <w:szCs w:val="16"/>
              </w:rPr>
              <w:t>4321.00</w:t>
            </w:r>
          </w:p>
        </w:tc>
      </w:tr>
      <w:tr w:rsidR="00F97D54" w:rsidRPr="0063769F" w:rsidTr="00EB5B97">
        <w:trPr>
          <w:trHeight w:val="360"/>
        </w:trPr>
        <w:tc>
          <w:tcPr>
            <w:tcW w:w="2155" w:type="dxa"/>
          </w:tcPr>
          <w:p w:rsidR="00F97D54" w:rsidRDefault="00F97D54" w:rsidP="00EB5B97">
            <w:pPr>
              <w:rPr>
                <w:sz w:val="16"/>
                <w:szCs w:val="16"/>
              </w:rPr>
            </w:pPr>
            <w:r>
              <w:rPr>
                <w:sz w:val="16"/>
                <w:szCs w:val="16"/>
              </w:rPr>
              <w:t>Service_Type</w:t>
            </w:r>
          </w:p>
        </w:tc>
        <w:tc>
          <w:tcPr>
            <w:tcW w:w="4613" w:type="dxa"/>
          </w:tcPr>
          <w:p w:rsidR="00F97D54" w:rsidRPr="00AE7A4A" w:rsidRDefault="00F97D54" w:rsidP="00EB5B97">
            <w:pPr>
              <w:rPr>
                <w:sz w:val="16"/>
                <w:szCs w:val="16"/>
              </w:rPr>
            </w:pPr>
            <w:r>
              <w:rPr>
                <w:sz w:val="16"/>
                <w:szCs w:val="16"/>
              </w:rPr>
              <w:t xml:space="preserve">Indicate the service type category for which the expenditures are reported.  Enter “CBDS” for </w:t>
            </w:r>
            <w:r>
              <w:rPr>
                <w:i/>
                <w:sz w:val="16"/>
                <w:szCs w:val="16"/>
              </w:rPr>
              <w:t>CBDS</w:t>
            </w:r>
            <w:r>
              <w:rPr>
                <w:sz w:val="16"/>
                <w:szCs w:val="16"/>
              </w:rPr>
              <w:t xml:space="preserve"> expenditures and enter “PBDS” for </w:t>
            </w:r>
            <w:r>
              <w:rPr>
                <w:i/>
                <w:sz w:val="16"/>
                <w:szCs w:val="16"/>
              </w:rPr>
              <w:t>PBDS</w:t>
            </w:r>
            <w:r>
              <w:rPr>
                <w:sz w:val="16"/>
                <w:szCs w:val="16"/>
              </w:rPr>
              <w:t xml:space="preserve"> expenditures</w:t>
            </w:r>
          </w:p>
        </w:tc>
        <w:tc>
          <w:tcPr>
            <w:tcW w:w="1042" w:type="dxa"/>
          </w:tcPr>
          <w:p w:rsidR="00F97D54" w:rsidRDefault="00F97D54" w:rsidP="00EB5B97">
            <w:pPr>
              <w:rPr>
                <w:sz w:val="16"/>
                <w:szCs w:val="16"/>
              </w:rPr>
            </w:pPr>
            <w:r>
              <w:rPr>
                <w:sz w:val="16"/>
                <w:szCs w:val="16"/>
              </w:rPr>
              <w:t>Text</w:t>
            </w:r>
          </w:p>
        </w:tc>
        <w:tc>
          <w:tcPr>
            <w:tcW w:w="1028" w:type="dxa"/>
          </w:tcPr>
          <w:p w:rsidR="00F97D54" w:rsidRDefault="00F97D54" w:rsidP="00EB5B97">
            <w:pPr>
              <w:rPr>
                <w:sz w:val="16"/>
                <w:szCs w:val="16"/>
              </w:rPr>
            </w:pPr>
            <w:r>
              <w:rPr>
                <w:sz w:val="16"/>
                <w:szCs w:val="16"/>
              </w:rPr>
              <w:t>CBDS</w:t>
            </w:r>
          </w:p>
        </w:tc>
      </w:tr>
      <w:tr w:rsidR="00F97D54" w:rsidRPr="0063769F" w:rsidTr="00EB5B97">
        <w:trPr>
          <w:trHeight w:val="360"/>
        </w:trPr>
        <w:tc>
          <w:tcPr>
            <w:tcW w:w="2155" w:type="dxa"/>
          </w:tcPr>
          <w:p w:rsidR="00F97D54" w:rsidRDefault="00F97D54" w:rsidP="00EB5B97">
            <w:pPr>
              <w:rPr>
                <w:sz w:val="16"/>
                <w:szCs w:val="16"/>
              </w:rPr>
            </w:pPr>
            <w:r>
              <w:rPr>
                <w:sz w:val="16"/>
                <w:szCs w:val="16"/>
              </w:rPr>
              <w:t>Provider_Type</w:t>
            </w:r>
          </w:p>
        </w:tc>
        <w:tc>
          <w:tcPr>
            <w:tcW w:w="4613" w:type="dxa"/>
          </w:tcPr>
          <w:p w:rsidR="00F97D54" w:rsidRPr="00AE7A4A" w:rsidRDefault="00F97D54" w:rsidP="00EB5B97">
            <w:pPr>
              <w:rPr>
                <w:sz w:val="16"/>
                <w:szCs w:val="16"/>
              </w:rPr>
            </w:pPr>
            <w:r>
              <w:rPr>
                <w:sz w:val="16"/>
                <w:szCs w:val="16"/>
              </w:rPr>
              <w:t xml:space="preserve">Enter 0 if the reported expenditures are for purchases from </w:t>
            </w:r>
            <w:r>
              <w:rPr>
                <w:i/>
                <w:sz w:val="16"/>
                <w:szCs w:val="16"/>
              </w:rPr>
              <w:t>ILECs</w:t>
            </w:r>
            <w:r>
              <w:rPr>
                <w:sz w:val="16"/>
                <w:szCs w:val="16"/>
              </w:rPr>
              <w:t xml:space="preserve"> and enter 1 if the reported expenditures are for purchases from </w:t>
            </w:r>
            <w:r>
              <w:rPr>
                <w:i/>
                <w:sz w:val="16"/>
                <w:szCs w:val="16"/>
              </w:rPr>
              <w:t>Competitive Providers</w:t>
            </w:r>
          </w:p>
        </w:tc>
        <w:tc>
          <w:tcPr>
            <w:tcW w:w="1042" w:type="dxa"/>
          </w:tcPr>
          <w:p w:rsidR="00F97D54" w:rsidRDefault="00F97D54" w:rsidP="00EB5B97">
            <w:pPr>
              <w:rPr>
                <w:sz w:val="16"/>
                <w:szCs w:val="16"/>
              </w:rPr>
            </w:pPr>
            <w:r>
              <w:rPr>
                <w:sz w:val="16"/>
                <w:szCs w:val="16"/>
              </w:rPr>
              <w:t>Binary</w:t>
            </w:r>
          </w:p>
        </w:tc>
        <w:tc>
          <w:tcPr>
            <w:tcW w:w="1028" w:type="dxa"/>
          </w:tcPr>
          <w:p w:rsidR="00F97D54" w:rsidRDefault="00F97D54" w:rsidP="00EB5B97">
            <w:pPr>
              <w:rPr>
                <w:sz w:val="16"/>
                <w:szCs w:val="16"/>
              </w:rPr>
            </w:pPr>
            <w:r>
              <w:rPr>
                <w:sz w:val="16"/>
                <w:szCs w:val="16"/>
              </w:rPr>
              <w:t>0</w:t>
            </w:r>
          </w:p>
        </w:tc>
      </w:tr>
      <w:tr w:rsidR="00F97D54" w:rsidRPr="0063769F" w:rsidTr="00EB5B97">
        <w:trPr>
          <w:trHeight w:val="360"/>
        </w:trPr>
        <w:tc>
          <w:tcPr>
            <w:tcW w:w="2155" w:type="dxa"/>
            <w:tcBorders>
              <w:bottom w:val="double" w:sz="4" w:space="0" w:color="auto"/>
            </w:tcBorders>
          </w:tcPr>
          <w:p w:rsidR="00F97D54" w:rsidRDefault="00F97D54" w:rsidP="00EB5B97">
            <w:pPr>
              <w:rPr>
                <w:sz w:val="16"/>
                <w:szCs w:val="16"/>
              </w:rPr>
            </w:pPr>
            <w:r>
              <w:rPr>
                <w:sz w:val="16"/>
                <w:szCs w:val="16"/>
              </w:rPr>
              <w:t>Year</w:t>
            </w:r>
          </w:p>
        </w:tc>
        <w:tc>
          <w:tcPr>
            <w:tcW w:w="4613" w:type="dxa"/>
            <w:tcBorders>
              <w:bottom w:val="double" w:sz="4" w:space="0" w:color="auto"/>
            </w:tcBorders>
          </w:tcPr>
          <w:p w:rsidR="00F97D54" w:rsidRDefault="00F97D54" w:rsidP="00EB5B97">
            <w:pPr>
              <w:rPr>
                <w:sz w:val="16"/>
                <w:szCs w:val="16"/>
              </w:rPr>
            </w:pPr>
            <w:r>
              <w:rPr>
                <w:sz w:val="16"/>
                <w:szCs w:val="16"/>
              </w:rPr>
              <w:t>Enter “2010” if the reported expenditures are for the year 2010 and enter “2012” if the reported expenditures are for the year 2012</w:t>
            </w:r>
          </w:p>
        </w:tc>
        <w:tc>
          <w:tcPr>
            <w:tcW w:w="1042" w:type="dxa"/>
            <w:tcBorders>
              <w:bottom w:val="double" w:sz="4" w:space="0" w:color="auto"/>
            </w:tcBorders>
          </w:tcPr>
          <w:p w:rsidR="00F97D54" w:rsidRDefault="00F97D54" w:rsidP="00EB5B97">
            <w:pPr>
              <w:rPr>
                <w:sz w:val="16"/>
                <w:szCs w:val="16"/>
              </w:rPr>
            </w:pPr>
            <w:r>
              <w:rPr>
                <w:sz w:val="16"/>
                <w:szCs w:val="16"/>
              </w:rPr>
              <w:t>Integer</w:t>
            </w:r>
          </w:p>
        </w:tc>
        <w:tc>
          <w:tcPr>
            <w:tcW w:w="1028" w:type="dxa"/>
            <w:tcBorders>
              <w:bottom w:val="double" w:sz="4" w:space="0" w:color="auto"/>
            </w:tcBorders>
          </w:tcPr>
          <w:p w:rsidR="00F97D54" w:rsidRDefault="00F97D54" w:rsidP="00EB5B97">
            <w:pPr>
              <w:rPr>
                <w:sz w:val="16"/>
                <w:szCs w:val="16"/>
              </w:rPr>
            </w:pPr>
            <w:r>
              <w:rPr>
                <w:sz w:val="16"/>
                <w:szCs w:val="16"/>
              </w:rPr>
              <w:t>2012</w:t>
            </w:r>
          </w:p>
        </w:tc>
      </w:tr>
    </w:tbl>
    <w:p w:rsidR="00F97D54" w:rsidRDefault="00F97D54" w:rsidP="00EB5B97"/>
    <w:p w:rsidR="00F97D54" w:rsidRDefault="00F97D54" w:rsidP="00EB5B97">
      <w:r>
        <w:t>Note:  If there were no expenditures for a particular category or year, then report 0.</w:t>
      </w:r>
    </w:p>
    <w:p w:rsidR="00F97D54" w:rsidRDefault="00F97D54" w:rsidP="00EB5B97"/>
    <w:p w:rsidR="00F97D54" w:rsidRPr="00E9084B" w:rsidRDefault="00F97D54" w:rsidP="00E9084B">
      <w:pPr>
        <w:pStyle w:val="Heading4"/>
        <w:numPr>
          <w:ilvl w:val="0"/>
          <w:numId w:val="0"/>
        </w:numPr>
        <w:rPr>
          <w:b w:val="0"/>
          <w:i/>
        </w:rPr>
      </w:pPr>
      <w:bookmarkStart w:id="165" w:name="_Toc365972147"/>
      <w:r w:rsidRPr="00E9084B">
        <w:rPr>
          <w:b w:val="0"/>
          <w:i/>
        </w:rPr>
        <w:t>Question II.F.3:  Expenditures with ILECs under Tariffs</w:t>
      </w:r>
      <w:bookmarkEnd w:id="165"/>
      <w:r w:rsidRPr="00E9084B">
        <w:rPr>
          <w:b w:val="0"/>
          <w:i/>
        </w:rPr>
        <w:t xml:space="preserve"> </w:t>
      </w:r>
    </w:p>
    <w:tbl>
      <w:tblPr>
        <w:tblW w:w="8748" w:type="dxa"/>
        <w:tblLayout w:type="fixed"/>
        <w:tblLook w:val="01E0" w:firstRow="1" w:lastRow="1" w:firstColumn="1" w:lastColumn="1" w:noHBand="0" w:noVBand="0"/>
      </w:tblPr>
      <w:tblGrid>
        <w:gridCol w:w="2178"/>
        <w:gridCol w:w="4590"/>
        <w:gridCol w:w="1080"/>
        <w:gridCol w:w="900"/>
      </w:tblGrid>
      <w:tr w:rsidR="00F97D54" w:rsidRPr="0063769F" w:rsidTr="00EB5B97">
        <w:trPr>
          <w:trHeight w:val="432"/>
          <w:tblHeader/>
        </w:trPr>
        <w:tc>
          <w:tcPr>
            <w:tcW w:w="8748" w:type="dxa"/>
            <w:gridSpan w:val="4"/>
            <w:tcBorders>
              <w:top w:val="double" w:sz="4" w:space="0" w:color="auto"/>
              <w:bottom w:val="single" w:sz="4" w:space="0" w:color="auto"/>
            </w:tcBorders>
            <w:vAlign w:val="center"/>
          </w:tcPr>
          <w:p w:rsidR="00F97D54" w:rsidRDefault="00F97D54" w:rsidP="00EB5B97">
            <w:pPr>
              <w:jc w:val="center"/>
              <w:rPr>
                <w:b/>
                <w:bCs/>
              </w:rPr>
            </w:pPr>
            <w:r w:rsidRPr="0063769F">
              <w:rPr>
                <w:b/>
              </w:rPr>
              <w:t xml:space="preserve">Table </w:t>
            </w:r>
            <w:r>
              <w:rPr>
                <w:b/>
                <w:bCs/>
              </w:rPr>
              <w:t>II.F.3</w:t>
            </w:r>
          </w:p>
          <w:p w:rsidR="00F97D54" w:rsidRPr="0063769F" w:rsidRDefault="00F97D54" w:rsidP="00EB5B97">
            <w:pPr>
              <w:jc w:val="center"/>
              <w:rPr>
                <w:b/>
              </w:rPr>
            </w:pPr>
            <w:r>
              <w:rPr>
                <w:b/>
                <w:bCs/>
              </w:rPr>
              <w:t xml:space="preserve">Record Format for Expenditures with </w:t>
            </w:r>
            <w:r w:rsidRPr="00E27621">
              <w:rPr>
                <w:b/>
                <w:bCs/>
                <w:i/>
              </w:rPr>
              <w:t>ILECs</w:t>
            </w:r>
            <w:r>
              <w:rPr>
                <w:b/>
                <w:bCs/>
              </w:rPr>
              <w:t xml:space="preserve"> Pursuant to a </w:t>
            </w:r>
            <w:r w:rsidRPr="00E27621">
              <w:rPr>
                <w:b/>
                <w:bCs/>
                <w:i/>
              </w:rPr>
              <w:t>Tariff</w:t>
            </w:r>
          </w:p>
        </w:tc>
      </w:tr>
      <w:tr w:rsidR="00F97D54" w:rsidRPr="0063769F" w:rsidTr="00EB5B97">
        <w:trPr>
          <w:trHeight w:val="432"/>
          <w:tblHeader/>
        </w:trPr>
        <w:tc>
          <w:tcPr>
            <w:tcW w:w="2178" w:type="dxa"/>
            <w:tcBorders>
              <w:top w:val="single" w:sz="4" w:space="0" w:color="auto"/>
              <w:bottom w:val="single" w:sz="4" w:space="0" w:color="auto"/>
              <w:right w:val="single" w:sz="4" w:space="0" w:color="auto"/>
            </w:tcBorders>
            <w:vAlign w:val="center"/>
          </w:tcPr>
          <w:p w:rsidR="00F97D54" w:rsidRPr="0063769F" w:rsidRDefault="00F97D54" w:rsidP="00EB5B97">
            <w:pPr>
              <w:rPr>
                <w:b/>
                <w:sz w:val="18"/>
                <w:szCs w:val="18"/>
              </w:rPr>
            </w:pPr>
            <w:r w:rsidRPr="0063769F">
              <w:rPr>
                <w:b/>
                <w:sz w:val="18"/>
                <w:szCs w:val="18"/>
              </w:rPr>
              <w:t>Field Name</w:t>
            </w:r>
          </w:p>
        </w:tc>
        <w:tc>
          <w:tcPr>
            <w:tcW w:w="4590" w:type="dxa"/>
            <w:tcBorders>
              <w:top w:val="single" w:sz="4" w:space="0" w:color="auto"/>
              <w:left w:val="single" w:sz="4" w:space="0" w:color="auto"/>
              <w:bottom w:val="single" w:sz="4" w:space="0" w:color="auto"/>
              <w:right w:val="single" w:sz="4" w:space="0" w:color="auto"/>
            </w:tcBorders>
            <w:vAlign w:val="center"/>
          </w:tcPr>
          <w:p w:rsidR="00F97D54" w:rsidRPr="0063769F" w:rsidRDefault="00F97D54" w:rsidP="00EB5B97">
            <w:pPr>
              <w:rPr>
                <w:b/>
                <w:sz w:val="18"/>
                <w:szCs w:val="18"/>
              </w:rPr>
            </w:pPr>
            <w:r w:rsidRPr="0063769F">
              <w:rPr>
                <w:b/>
                <w:sz w:val="18"/>
                <w:szCs w:val="18"/>
              </w:rPr>
              <w:t>Description</w:t>
            </w:r>
          </w:p>
        </w:tc>
        <w:tc>
          <w:tcPr>
            <w:tcW w:w="1080" w:type="dxa"/>
            <w:tcBorders>
              <w:top w:val="single" w:sz="4" w:space="0" w:color="auto"/>
              <w:left w:val="single" w:sz="4" w:space="0" w:color="auto"/>
              <w:bottom w:val="single" w:sz="4" w:space="0" w:color="auto"/>
              <w:right w:val="single" w:sz="4" w:space="0" w:color="auto"/>
            </w:tcBorders>
            <w:vAlign w:val="center"/>
          </w:tcPr>
          <w:p w:rsidR="00F97D54" w:rsidRPr="0063769F" w:rsidRDefault="00F97D54" w:rsidP="00EB5B97">
            <w:pPr>
              <w:rPr>
                <w:b/>
                <w:sz w:val="18"/>
                <w:szCs w:val="18"/>
              </w:rPr>
            </w:pPr>
            <w:r w:rsidRPr="0063769F">
              <w:rPr>
                <w:b/>
                <w:sz w:val="18"/>
                <w:szCs w:val="18"/>
              </w:rPr>
              <w:t>Type</w:t>
            </w:r>
          </w:p>
        </w:tc>
        <w:tc>
          <w:tcPr>
            <w:tcW w:w="900" w:type="dxa"/>
            <w:tcBorders>
              <w:top w:val="single" w:sz="4" w:space="0" w:color="auto"/>
              <w:left w:val="single" w:sz="4" w:space="0" w:color="auto"/>
              <w:bottom w:val="single" w:sz="4" w:space="0" w:color="auto"/>
            </w:tcBorders>
            <w:vAlign w:val="center"/>
          </w:tcPr>
          <w:p w:rsidR="00F97D54" w:rsidRPr="0063769F" w:rsidRDefault="00F97D54" w:rsidP="00EB5B97">
            <w:pPr>
              <w:ind w:right="-108"/>
              <w:rPr>
                <w:b/>
                <w:sz w:val="18"/>
                <w:szCs w:val="18"/>
              </w:rPr>
            </w:pPr>
            <w:r w:rsidRPr="0063769F">
              <w:rPr>
                <w:b/>
                <w:sz w:val="18"/>
                <w:szCs w:val="18"/>
              </w:rPr>
              <w:t>Example</w:t>
            </w:r>
          </w:p>
        </w:tc>
      </w:tr>
      <w:tr w:rsidR="00F97D54" w:rsidRPr="0063769F" w:rsidTr="00EB5B97">
        <w:trPr>
          <w:trHeight w:val="360"/>
        </w:trPr>
        <w:tc>
          <w:tcPr>
            <w:tcW w:w="2178" w:type="dxa"/>
          </w:tcPr>
          <w:p w:rsidR="00F97D54" w:rsidRDefault="00F97D54" w:rsidP="00EB5B97">
            <w:pPr>
              <w:rPr>
                <w:sz w:val="16"/>
                <w:szCs w:val="16"/>
              </w:rPr>
            </w:pPr>
            <w:r>
              <w:rPr>
                <w:sz w:val="16"/>
                <w:szCs w:val="16"/>
              </w:rPr>
              <w:t>Expenditures</w:t>
            </w:r>
          </w:p>
        </w:tc>
        <w:tc>
          <w:tcPr>
            <w:tcW w:w="4590" w:type="dxa"/>
          </w:tcPr>
          <w:p w:rsidR="00F97D54" w:rsidRPr="0069743E" w:rsidRDefault="00F97D54" w:rsidP="00EB5B97">
            <w:pPr>
              <w:rPr>
                <w:sz w:val="16"/>
                <w:szCs w:val="16"/>
              </w:rPr>
            </w:pPr>
            <w:r>
              <w:rPr>
                <w:sz w:val="16"/>
                <w:szCs w:val="16"/>
              </w:rPr>
              <w:t xml:space="preserve">Enter the dollar value of expenditures on </w:t>
            </w:r>
            <w:r>
              <w:rPr>
                <w:i/>
                <w:sz w:val="16"/>
                <w:szCs w:val="16"/>
              </w:rPr>
              <w:t xml:space="preserve">Dedicated Service </w:t>
            </w:r>
            <w:r>
              <w:rPr>
                <w:sz w:val="16"/>
                <w:szCs w:val="16"/>
              </w:rPr>
              <w:t>for the corresponding categorical breakdown</w:t>
            </w:r>
          </w:p>
        </w:tc>
        <w:tc>
          <w:tcPr>
            <w:tcW w:w="1080" w:type="dxa"/>
          </w:tcPr>
          <w:p w:rsidR="00F97D54" w:rsidRDefault="00F97D54" w:rsidP="00EB5B97">
            <w:pPr>
              <w:rPr>
                <w:sz w:val="16"/>
                <w:szCs w:val="16"/>
              </w:rPr>
            </w:pPr>
            <w:r>
              <w:rPr>
                <w:sz w:val="16"/>
                <w:szCs w:val="16"/>
              </w:rPr>
              <w:t>Float</w:t>
            </w:r>
          </w:p>
        </w:tc>
        <w:tc>
          <w:tcPr>
            <w:tcW w:w="900" w:type="dxa"/>
          </w:tcPr>
          <w:p w:rsidR="00F97D54" w:rsidRDefault="00F97D54" w:rsidP="00EB5B97">
            <w:pPr>
              <w:rPr>
                <w:sz w:val="16"/>
                <w:szCs w:val="16"/>
              </w:rPr>
            </w:pPr>
            <w:r>
              <w:rPr>
                <w:sz w:val="16"/>
                <w:szCs w:val="16"/>
              </w:rPr>
              <w:t>5364821</w:t>
            </w:r>
          </w:p>
        </w:tc>
      </w:tr>
      <w:tr w:rsidR="00F97D54" w:rsidRPr="0063769F" w:rsidTr="00EB5B97">
        <w:trPr>
          <w:trHeight w:val="360"/>
        </w:trPr>
        <w:tc>
          <w:tcPr>
            <w:tcW w:w="2178" w:type="dxa"/>
          </w:tcPr>
          <w:p w:rsidR="00F97D54" w:rsidRDefault="00F97D54" w:rsidP="00EB5B97">
            <w:pPr>
              <w:rPr>
                <w:sz w:val="16"/>
                <w:szCs w:val="16"/>
              </w:rPr>
            </w:pPr>
            <w:r>
              <w:rPr>
                <w:sz w:val="16"/>
                <w:szCs w:val="16"/>
              </w:rPr>
              <w:t>Year</w:t>
            </w:r>
          </w:p>
        </w:tc>
        <w:tc>
          <w:tcPr>
            <w:tcW w:w="4590" w:type="dxa"/>
          </w:tcPr>
          <w:p w:rsidR="00F97D54" w:rsidRDefault="00F97D54" w:rsidP="00EB5B97">
            <w:pPr>
              <w:rPr>
                <w:sz w:val="16"/>
                <w:szCs w:val="16"/>
              </w:rPr>
            </w:pPr>
            <w:r>
              <w:rPr>
                <w:sz w:val="16"/>
                <w:szCs w:val="16"/>
              </w:rPr>
              <w:t>Enter “2010” if the reported expenditures are for the year 2010 and enter “2012” if the reported expenditures are for the year 2012</w:t>
            </w:r>
          </w:p>
        </w:tc>
        <w:tc>
          <w:tcPr>
            <w:tcW w:w="1080" w:type="dxa"/>
          </w:tcPr>
          <w:p w:rsidR="00F97D54" w:rsidRDefault="00F97D54" w:rsidP="00EB5B97">
            <w:pPr>
              <w:rPr>
                <w:sz w:val="16"/>
                <w:szCs w:val="16"/>
              </w:rPr>
            </w:pPr>
            <w:r>
              <w:rPr>
                <w:sz w:val="16"/>
                <w:szCs w:val="16"/>
              </w:rPr>
              <w:t>Integer</w:t>
            </w:r>
          </w:p>
        </w:tc>
        <w:tc>
          <w:tcPr>
            <w:tcW w:w="900" w:type="dxa"/>
          </w:tcPr>
          <w:p w:rsidR="00F97D54" w:rsidRDefault="00F97D54" w:rsidP="00EB5B97">
            <w:pPr>
              <w:rPr>
                <w:sz w:val="16"/>
                <w:szCs w:val="16"/>
              </w:rPr>
            </w:pPr>
            <w:r>
              <w:rPr>
                <w:sz w:val="16"/>
                <w:szCs w:val="16"/>
              </w:rPr>
              <w:t>2012</w:t>
            </w:r>
          </w:p>
        </w:tc>
      </w:tr>
      <w:tr w:rsidR="00F97D54" w:rsidRPr="0063769F" w:rsidTr="00EB5B97">
        <w:trPr>
          <w:trHeight w:val="360"/>
        </w:trPr>
        <w:tc>
          <w:tcPr>
            <w:tcW w:w="2178" w:type="dxa"/>
          </w:tcPr>
          <w:p w:rsidR="00F97D54" w:rsidRDefault="00F97D54" w:rsidP="00EB5B97">
            <w:pPr>
              <w:rPr>
                <w:sz w:val="16"/>
                <w:szCs w:val="16"/>
              </w:rPr>
            </w:pPr>
            <w:r>
              <w:rPr>
                <w:sz w:val="16"/>
                <w:szCs w:val="16"/>
              </w:rPr>
              <w:t>Service_Type</w:t>
            </w:r>
          </w:p>
        </w:tc>
        <w:tc>
          <w:tcPr>
            <w:tcW w:w="4590" w:type="dxa"/>
          </w:tcPr>
          <w:p w:rsidR="00F97D54" w:rsidRDefault="00F97D54" w:rsidP="00EB5B97">
            <w:pPr>
              <w:rPr>
                <w:sz w:val="16"/>
                <w:szCs w:val="16"/>
              </w:rPr>
            </w:pPr>
            <w:r>
              <w:rPr>
                <w:sz w:val="16"/>
                <w:szCs w:val="16"/>
              </w:rPr>
              <w:t xml:space="preserve">Indicate the service type category for which the expenditures are reported.  Enter “DS1” for </w:t>
            </w:r>
            <w:r>
              <w:rPr>
                <w:i/>
                <w:sz w:val="16"/>
                <w:szCs w:val="16"/>
              </w:rPr>
              <w:t xml:space="preserve">DS1 </w:t>
            </w:r>
            <w:r>
              <w:rPr>
                <w:sz w:val="16"/>
                <w:szCs w:val="16"/>
              </w:rPr>
              <w:t xml:space="preserve">expenditures, enter “DS3” for </w:t>
            </w:r>
            <w:r>
              <w:rPr>
                <w:i/>
                <w:sz w:val="16"/>
                <w:szCs w:val="16"/>
              </w:rPr>
              <w:t xml:space="preserve">DS3 </w:t>
            </w:r>
            <w:r>
              <w:rPr>
                <w:sz w:val="16"/>
                <w:szCs w:val="16"/>
              </w:rPr>
              <w:t xml:space="preserve">expenditures, and enter “PBDS” for </w:t>
            </w:r>
            <w:r>
              <w:rPr>
                <w:i/>
                <w:sz w:val="16"/>
                <w:szCs w:val="16"/>
              </w:rPr>
              <w:t xml:space="preserve">PBDS </w:t>
            </w:r>
            <w:r>
              <w:rPr>
                <w:sz w:val="16"/>
                <w:szCs w:val="16"/>
              </w:rPr>
              <w:t>expenditures</w:t>
            </w:r>
          </w:p>
        </w:tc>
        <w:tc>
          <w:tcPr>
            <w:tcW w:w="1080" w:type="dxa"/>
          </w:tcPr>
          <w:p w:rsidR="00F97D54" w:rsidRDefault="00F97D54" w:rsidP="00EB5B97">
            <w:pPr>
              <w:rPr>
                <w:sz w:val="16"/>
                <w:szCs w:val="16"/>
              </w:rPr>
            </w:pPr>
            <w:r>
              <w:rPr>
                <w:sz w:val="16"/>
                <w:szCs w:val="16"/>
              </w:rPr>
              <w:t>Text</w:t>
            </w:r>
          </w:p>
        </w:tc>
        <w:tc>
          <w:tcPr>
            <w:tcW w:w="900" w:type="dxa"/>
          </w:tcPr>
          <w:p w:rsidR="00F97D54" w:rsidRDefault="00F97D54" w:rsidP="00EB5B97">
            <w:pPr>
              <w:rPr>
                <w:sz w:val="16"/>
                <w:szCs w:val="16"/>
              </w:rPr>
            </w:pPr>
            <w:r>
              <w:rPr>
                <w:sz w:val="16"/>
                <w:szCs w:val="16"/>
              </w:rPr>
              <w:t>DS3</w:t>
            </w:r>
          </w:p>
        </w:tc>
      </w:tr>
      <w:tr w:rsidR="00F97D54" w:rsidRPr="0063769F" w:rsidTr="00EB5B97">
        <w:trPr>
          <w:trHeight w:val="360"/>
        </w:trPr>
        <w:tc>
          <w:tcPr>
            <w:tcW w:w="2178" w:type="dxa"/>
          </w:tcPr>
          <w:p w:rsidR="00F97D54" w:rsidRDefault="00F97D54" w:rsidP="00EB5B97">
            <w:pPr>
              <w:rPr>
                <w:sz w:val="16"/>
                <w:szCs w:val="16"/>
              </w:rPr>
            </w:pPr>
            <w:r>
              <w:rPr>
                <w:sz w:val="16"/>
                <w:szCs w:val="16"/>
              </w:rPr>
              <w:t>Agreement_Type</w:t>
            </w:r>
          </w:p>
        </w:tc>
        <w:tc>
          <w:tcPr>
            <w:tcW w:w="4590" w:type="dxa"/>
          </w:tcPr>
          <w:p w:rsidR="00F97D54" w:rsidRPr="00FA3147" w:rsidRDefault="00F97D54" w:rsidP="00EB5B97">
            <w:pPr>
              <w:rPr>
                <w:sz w:val="16"/>
                <w:szCs w:val="16"/>
              </w:rPr>
            </w:pPr>
            <w:r>
              <w:rPr>
                <w:sz w:val="16"/>
                <w:szCs w:val="16"/>
              </w:rPr>
              <w:t>Enter the code for the appropriate contract type indicated in the question.  The codes must be a letter from “a” to “h”.  See instructions below the table for more information on the codes for Agreement_Type</w:t>
            </w:r>
          </w:p>
        </w:tc>
        <w:tc>
          <w:tcPr>
            <w:tcW w:w="1080" w:type="dxa"/>
          </w:tcPr>
          <w:p w:rsidR="00F97D54" w:rsidRDefault="00F97D54" w:rsidP="00EB5B97">
            <w:pPr>
              <w:rPr>
                <w:sz w:val="16"/>
                <w:szCs w:val="16"/>
              </w:rPr>
            </w:pPr>
            <w:r>
              <w:rPr>
                <w:sz w:val="16"/>
                <w:szCs w:val="16"/>
              </w:rPr>
              <w:t>Text</w:t>
            </w:r>
          </w:p>
        </w:tc>
        <w:tc>
          <w:tcPr>
            <w:tcW w:w="900" w:type="dxa"/>
          </w:tcPr>
          <w:p w:rsidR="00F97D54" w:rsidRDefault="00F97D54" w:rsidP="00EB5B97">
            <w:pPr>
              <w:rPr>
                <w:sz w:val="16"/>
                <w:szCs w:val="16"/>
              </w:rPr>
            </w:pPr>
            <w:r>
              <w:rPr>
                <w:sz w:val="16"/>
                <w:szCs w:val="16"/>
              </w:rPr>
              <w:t>c</w:t>
            </w:r>
          </w:p>
        </w:tc>
      </w:tr>
      <w:tr w:rsidR="00F97D54" w:rsidRPr="0063769F" w:rsidTr="00EB5B97">
        <w:trPr>
          <w:trHeight w:val="360"/>
        </w:trPr>
        <w:tc>
          <w:tcPr>
            <w:tcW w:w="2178" w:type="dxa"/>
          </w:tcPr>
          <w:p w:rsidR="00F97D54" w:rsidRDefault="00F97D54" w:rsidP="00EB5B97">
            <w:pPr>
              <w:rPr>
                <w:sz w:val="16"/>
                <w:szCs w:val="16"/>
              </w:rPr>
            </w:pPr>
            <w:r>
              <w:rPr>
                <w:sz w:val="16"/>
                <w:szCs w:val="16"/>
              </w:rPr>
              <w:t>Avg_Discount_PPBC</w:t>
            </w:r>
          </w:p>
        </w:tc>
        <w:tc>
          <w:tcPr>
            <w:tcW w:w="4590" w:type="dxa"/>
          </w:tcPr>
          <w:p w:rsidR="00F97D54" w:rsidRPr="00FA3147" w:rsidRDefault="00F97D54" w:rsidP="00EB5B97">
            <w:pPr>
              <w:rPr>
                <w:sz w:val="16"/>
                <w:szCs w:val="16"/>
              </w:rPr>
            </w:pPr>
            <w:r>
              <w:rPr>
                <w:sz w:val="16"/>
                <w:szCs w:val="16"/>
              </w:rPr>
              <w:t xml:space="preserve">If the Agreement_Type is coded as “f” or “h”, enter the average discount (in percentage terms) off the </w:t>
            </w:r>
            <w:r>
              <w:rPr>
                <w:i/>
                <w:sz w:val="16"/>
                <w:szCs w:val="16"/>
              </w:rPr>
              <w:t>One Month Term Only Rate</w:t>
            </w:r>
            <w:r>
              <w:rPr>
                <w:sz w:val="16"/>
                <w:szCs w:val="16"/>
              </w:rPr>
              <w:t xml:space="preserve"> incorporated in the expenditures purchased under </w:t>
            </w:r>
            <w:r>
              <w:rPr>
                <w:i/>
                <w:sz w:val="16"/>
                <w:szCs w:val="16"/>
              </w:rPr>
              <w:t>Tariff Plans</w:t>
            </w:r>
            <w:r>
              <w:rPr>
                <w:sz w:val="16"/>
                <w:szCs w:val="16"/>
              </w:rPr>
              <w:t xml:space="preserve"> (for code “f”) or </w:t>
            </w:r>
            <w:r>
              <w:rPr>
                <w:i/>
                <w:sz w:val="16"/>
                <w:szCs w:val="16"/>
              </w:rPr>
              <w:t xml:space="preserve">Contract-Based Tariffs </w:t>
            </w:r>
            <w:r>
              <w:rPr>
                <w:sz w:val="16"/>
                <w:szCs w:val="16"/>
              </w:rPr>
              <w:t xml:space="preserve">(for code “h”) that contained a </w:t>
            </w:r>
            <w:r>
              <w:rPr>
                <w:i/>
                <w:sz w:val="16"/>
                <w:szCs w:val="16"/>
              </w:rPr>
              <w:t>Prior Purchase-Based Commitment</w:t>
            </w:r>
            <w:r>
              <w:rPr>
                <w:sz w:val="16"/>
                <w:szCs w:val="16"/>
              </w:rPr>
              <w:t>.  See the example in the question on how to calculate the average discount.  If Agreement_Type is not coded as “f” or “h”, leave the field blank</w:t>
            </w:r>
          </w:p>
        </w:tc>
        <w:tc>
          <w:tcPr>
            <w:tcW w:w="1080" w:type="dxa"/>
          </w:tcPr>
          <w:p w:rsidR="00F97D54" w:rsidRDefault="00F97D54" w:rsidP="00EB5B97">
            <w:pPr>
              <w:rPr>
                <w:sz w:val="16"/>
                <w:szCs w:val="16"/>
              </w:rPr>
            </w:pPr>
            <w:r>
              <w:rPr>
                <w:sz w:val="16"/>
                <w:szCs w:val="16"/>
              </w:rPr>
              <w:t>Float</w:t>
            </w:r>
          </w:p>
        </w:tc>
        <w:tc>
          <w:tcPr>
            <w:tcW w:w="900" w:type="dxa"/>
          </w:tcPr>
          <w:p w:rsidR="00F97D54" w:rsidRDefault="00F97D54" w:rsidP="00EB5B97">
            <w:pPr>
              <w:rPr>
                <w:sz w:val="16"/>
                <w:szCs w:val="16"/>
              </w:rPr>
            </w:pPr>
            <w:r>
              <w:rPr>
                <w:sz w:val="16"/>
                <w:szCs w:val="16"/>
              </w:rPr>
              <w:t>25</w:t>
            </w:r>
          </w:p>
        </w:tc>
      </w:tr>
      <w:tr w:rsidR="00F97D54" w:rsidRPr="0063769F" w:rsidTr="00EB5B97">
        <w:trPr>
          <w:trHeight w:val="360"/>
        </w:trPr>
        <w:tc>
          <w:tcPr>
            <w:tcW w:w="2178" w:type="dxa"/>
            <w:tcBorders>
              <w:bottom w:val="double" w:sz="4" w:space="0" w:color="auto"/>
            </w:tcBorders>
          </w:tcPr>
          <w:p w:rsidR="00F97D54" w:rsidRDefault="00F97D54" w:rsidP="00EB5B97">
            <w:pPr>
              <w:rPr>
                <w:sz w:val="16"/>
                <w:szCs w:val="16"/>
              </w:rPr>
            </w:pPr>
            <w:r>
              <w:rPr>
                <w:sz w:val="16"/>
                <w:szCs w:val="16"/>
              </w:rPr>
              <w:t>5orMore</w:t>
            </w:r>
          </w:p>
        </w:tc>
        <w:tc>
          <w:tcPr>
            <w:tcW w:w="4590" w:type="dxa"/>
            <w:tcBorders>
              <w:bottom w:val="double" w:sz="4" w:space="0" w:color="auto"/>
            </w:tcBorders>
          </w:tcPr>
          <w:p w:rsidR="00F97D54" w:rsidRPr="00F16C64" w:rsidRDefault="00F97D54" w:rsidP="00EB5B97">
            <w:pPr>
              <w:rPr>
                <w:sz w:val="16"/>
                <w:szCs w:val="16"/>
              </w:rPr>
            </w:pPr>
            <w:r>
              <w:rPr>
                <w:sz w:val="16"/>
                <w:szCs w:val="16"/>
              </w:rPr>
              <w:t>If the Year field is 2012, w</w:t>
            </w:r>
            <w:r w:rsidRPr="0078729C">
              <w:rPr>
                <w:sz w:val="16"/>
                <w:szCs w:val="16"/>
              </w:rPr>
              <w:t>hat percentage of your expenditures w</w:t>
            </w:r>
            <w:r>
              <w:rPr>
                <w:sz w:val="16"/>
                <w:szCs w:val="16"/>
              </w:rPr>
              <w:t>as</w:t>
            </w:r>
            <w:r w:rsidRPr="0078729C">
              <w:rPr>
                <w:sz w:val="16"/>
                <w:szCs w:val="16"/>
              </w:rPr>
              <w:t xml:space="preserve"> subject to a </w:t>
            </w:r>
            <w:r w:rsidRPr="0078729C">
              <w:rPr>
                <w:i/>
                <w:sz w:val="16"/>
                <w:szCs w:val="16"/>
              </w:rPr>
              <w:t>Term Commitment</w:t>
            </w:r>
            <w:r w:rsidRPr="0078729C">
              <w:rPr>
                <w:sz w:val="16"/>
                <w:szCs w:val="16"/>
              </w:rPr>
              <w:t xml:space="preserve"> of five or more years?</w:t>
            </w:r>
            <w:r>
              <w:rPr>
                <w:sz w:val="16"/>
                <w:szCs w:val="16"/>
              </w:rPr>
              <w:t xml:space="preserve">  </w:t>
            </w:r>
          </w:p>
        </w:tc>
        <w:tc>
          <w:tcPr>
            <w:tcW w:w="1080" w:type="dxa"/>
            <w:tcBorders>
              <w:bottom w:val="double" w:sz="4" w:space="0" w:color="auto"/>
            </w:tcBorders>
          </w:tcPr>
          <w:p w:rsidR="00F97D54" w:rsidRDefault="00F97D54" w:rsidP="00EB5B97">
            <w:pPr>
              <w:rPr>
                <w:sz w:val="16"/>
                <w:szCs w:val="16"/>
              </w:rPr>
            </w:pPr>
            <w:r>
              <w:rPr>
                <w:sz w:val="16"/>
                <w:szCs w:val="16"/>
              </w:rPr>
              <w:t>Integer</w:t>
            </w:r>
          </w:p>
        </w:tc>
        <w:tc>
          <w:tcPr>
            <w:tcW w:w="900" w:type="dxa"/>
            <w:tcBorders>
              <w:bottom w:val="double" w:sz="4" w:space="0" w:color="auto"/>
            </w:tcBorders>
          </w:tcPr>
          <w:p w:rsidR="00F97D54" w:rsidRDefault="00F97D54" w:rsidP="00EB5B97">
            <w:pPr>
              <w:rPr>
                <w:sz w:val="16"/>
                <w:szCs w:val="16"/>
              </w:rPr>
            </w:pPr>
            <w:r>
              <w:rPr>
                <w:sz w:val="16"/>
                <w:szCs w:val="16"/>
              </w:rPr>
              <w:t>45</w:t>
            </w:r>
          </w:p>
        </w:tc>
      </w:tr>
    </w:tbl>
    <w:p w:rsidR="00F97D54" w:rsidRDefault="00F97D54" w:rsidP="00EB5B97"/>
    <w:p w:rsidR="00F97D54" w:rsidRDefault="00F97D54" w:rsidP="00EB5B97">
      <w:r>
        <w:t xml:space="preserve"> Note:  If there were no expenditures for a particular category or year, then report 0.</w:t>
      </w:r>
    </w:p>
    <w:p w:rsidR="00F97D54" w:rsidRDefault="00F97D54" w:rsidP="00EB5B97"/>
    <w:p w:rsidR="00F97D54" w:rsidRPr="00CF0319" w:rsidRDefault="00F97D54" w:rsidP="00EB5B97">
      <w:r>
        <w:t xml:space="preserve">Use the following codes for the Agreement_Type variable.  Enter “a” for expenditures on ALL purchases; enter “b” for expenditures on purchases at </w:t>
      </w:r>
      <w:r>
        <w:rPr>
          <w:i/>
        </w:rPr>
        <w:t>One Month Term Only Rates</w:t>
      </w:r>
      <w:r>
        <w:t xml:space="preserve">; enter “c” for expenditures purchased under </w:t>
      </w:r>
      <w:r>
        <w:rPr>
          <w:i/>
        </w:rPr>
        <w:t>Tariff Plans</w:t>
      </w:r>
      <w:r>
        <w:t xml:space="preserve">; enter “d” for expenditures purchased under </w:t>
      </w:r>
      <w:r>
        <w:rPr>
          <w:i/>
        </w:rPr>
        <w:t>Contract-Based Tariffs</w:t>
      </w:r>
      <w:r>
        <w:t xml:space="preserve">; enter “e” for expenditures purchased under </w:t>
      </w:r>
      <w:r>
        <w:rPr>
          <w:i/>
        </w:rPr>
        <w:t>Tariff Plans</w:t>
      </w:r>
      <w:r>
        <w:t xml:space="preserve"> that contained a </w:t>
      </w:r>
      <w:r>
        <w:rPr>
          <w:i/>
        </w:rPr>
        <w:t>Term Commitment</w:t>
      </w:r>
      <w:r>
        <w:t xml:space="preserve"> but not a </w:t>
      </w:r>
      <w:r>
        <w:rPr>
          <w:i/>
        </w:rPr>
        <w:t>Volume Commitment</w:t>
      </w:r>
      <w:r>
        <w:t xml:space="preserve">; enter “f” for expenditures purchased under </w:t>
      </w:r>
      <w:r>
        <w:rPr>
          <w:i/>
        </w:rPr>
        <w:t>Tariff Plans</w:t>
      </w:r>
      <w:r>
        <w:t xml:space="preserve"> that contained a </w:t>
      </w:r>
      <w:r>
        <w:rPr>
          <w:i/>
        </w:rPr>
        <w:t>Prior Purchase-Based Commitment</w:t>
      </w:r>
      <w:r>
        <w:t xml:space="preserve">; enter “g” for expenditures purchased under </w:t>
      </w:r>
      <w:r>
        <w:rPr>
          <w:i/>
        </w:rPr>
        <w:t>Contract-Based Tariffs</w:t>
      </w:r>
      <w:r>
        <w:t xml:space="preserve"> that contained a </w:t>
      </w:r>
      <w:r>
        <w:rPr>
          <w:i/>
        </w:rPr>
        <w:t>Term Commitment</w:t>
      </w:r>
      <w:r>
        <w:t xml:space="preserve"> but not a </w:t>
      </w:r>
      <w:r>
        <w:rPr>
          <w:i/>
        </w:rPr>
        <w:t>Volume Commitment</w:t>
      </w:r>
      <w:r>
        <w:t xml:space="preserve">; and enter “h” for expenditures purchased under </w:t>
      </w:r>
      <w:r>
        <w:rPr>
          <w:i/>
        </w:rPr>
        <w:t>Contract-Based Tariffs</w:t>
      </w:r>
      <w:r>
        <w:t xml:space="preserve"> that contained a </w:t>
      </w:r>
      <w:r>
        <w:rPr>
          <w:i/>
        </w:rPr>
        <w:t>Prior Purchase-Based Commitment</w:t>
      </w:r>
      <w:r>
        <w:t>.</w:t>
      </w:r>
    </w:p>
    <w:p w:rsidR="00F97D54" w:rsidRDefault="00F97D54" w:rsidP="00EB5B97"/>
    <w:p w:rsidR="00F97D54" w:rsidRDefault="00F97D54" w:rsidP="00EB5B97">
      <w:r w:rsidRPr="00A217F9">
        <w:rPr>
          <w:u w:val="single"/>
        </w:rPr>
        <w:t>5orMore</w:t>
      </w:r>
      <w:r>
        <w:t xml:space="preserve">:  Provide the percentage of your expenditures in 2012 that were subject to a </w:t>
      </w:r>
      <w:r w:rsidRPr="00A217F9">
        <w:rPr>
          <w:i/>
        </w:rPr>
        <w:t>Term Commitment</w:t>
      </w:r>
      <w:r>
        <w:t xml:space="preserve"> of five or more years.  If the Year field reported is 2010, then leave this field blank.</w:t>
      </w:r>
    </w:p>
    <w:p w:rsidR="00F97D54" w:rsidRDefault="00F97D54" w:rsidP="00EB5B97">
      <w:pPr>
        <w:rPr>
          <w:b/>
          <w:i/>
        </w:rPr>
      </w:pPr>
    </w:p>
    <w:p w:rsidR="00F97D54" w:rsidRPr="00E9084B" w:rsidRDefault="00F97D54" w:rsidP="00E9084B">
      <w:pPr>
        <w:pStyle w:val="Heading4"/>
        <w:numPr>
          <w:ilvl w:val="0"/>
          <w:numId w:val="0"/>
        </w:numPr>
        <w:rPr>
          <w:b w:val="0"/>
          <w:i/>
        </w:rPr>
      </w:pPr>
      <w:bookmarkStart w:id="166" w:name="_Toc365972148"/>
      <w:r w:rsidRPr="00E9084B">
        <w:rPr>
          <w:b w:val="0"/>
          <w:i/>
        </w:rPr>
        <w:t>Question II.F.4:  Expenditures with Competitive Providers under Tariffs</w:t>
      </w:r>
      <w:bookmarkEnd w:id="166"/>
      <w:r w:rsidRPr="00E9084B">
        <w:rPr>
          <w:b w:val="0"/>
          <w:i/>
        </w:rPr>
        <w:t xml:space="preserve"> </w:t>
      </w:r>
    </w:p>
    <w:tbl>
      <w:tblPr>
        <w:tblW w:w="8748" w:type="dxa"/>
        <w:tblLayout w:type="fixed"/>
        <w:tblLook w:val="01E0" w:firstRow="1" w:lastRow="1" w:firstColumn="1" w:lastColumn="1" w:noHBand="0" w:noVBand="0"/>
      </w:tblPr>
      <w:tblGrid>
        <w:gridCol w:w="2178"/>
        <w:gridCol w:w="4590"/>
        <w:gridCol w:w="1080"/>
        <w:gridCol w:w="900"/>
      </w:tblGrid>
      <w:tr w:rsidR="00F97D54" w:rsidRPr="0063769F" w:rsidTr="00EB5B97">
        <w:trPr>
          <w:trHeight w:val="432"/>
          <w:tblHeader/>
        </w:trPr>
        <w:tc>
          <w:tcPr>
            <w:tcW w:w="8748" w:type="dxa"/>
            <w:gridSpan w:val="4"/>
            <w:tcBorders>
              <w:top w:val="double" w:sz="4" w:space="0" w:color="auto"/>
              <w:bottom w:val="single" w:sz="4" w:space="0" w:color="auto"/>
            </w:tcBorders>
            <w:vAlign w:val="center"/>
          </w:tcPr>
          <w:p w:rsidR="00F97D54" w:rsidRDefault="00F97D54" w:rsidP="00EB5B97">
            <w:pPr>
              <w:jc w:val="center"/>
              <w:rPr>
                <w:b/>
                <w:bCs/>
              </w:rPr>
            </w:pPr>
            <w:r w:rsidRPr="0063769F">
              <w:rPr>
                <w:b/>
              </w:rPr>
              <w:t xml:space="preserve">Table </w:t>
            </w:r>
            <w:r>
              <w:rPr>
                <w:b/>
                <w:bCs/>
              </w:rPr>
              <w:t>II.F.4</w:t>
            </w:r>
          </w:p>
          <w:p w:rsidR="00F97D54" w:rsidRPr="0063769F" w:rsidRDefault="00F97D54" w:rsidP="00EB5B97">
            <w:pPr>
              <w:jc w:val="center"/>
              <w:rPr>
                <w:b/>
              </w:rPr>
            </w:pPr>
            <w:r>
              <w:rPr>
                <w:b/>
                <w:bCs/>
              </w:rPr>
              <w:t xml:space="preserve">Record Format for Expenditures with </w:t>
            </w:r>
            <w:r w:rsidRPr="00D62900">
              <w:rPr>
                <w:b/>
                <w:bCs/>
                <w:i/>
              </w:rPr>
              <w:t>Competitive Providers</w:t>
            </w:r>
            <w:r>
              <w:rPr>
                <w:b/>
                <w:bCs/>
              </w:rPr>
              <w:t xml:space="preserve"> Pursuant to a </w:t>
            </w:r>
            <w:r w:rsidRPr="00D62900">
              <w:rPr>
                <w:b/>
                <w:bCs/>
                <w:i/>
              </w:rPr>
              <w:t>Tariff</w:t>
            </w:r>
          </w:p>
        </w:tc>
      </w:tr>
      <w:tr w:rsidR="00F97D54" w:rsidRPr="0063769F" w:rsidTr="00EB5B97">
        <w:trPr>
          <w:trHeight w:val="432"/>
          <w:tblHeader/>
        </w:trPr>
        <w:tc>
          <w:tcPr>
            <w:tcW w:w="2178" w:type="dxa"/>
            <w:tcBorders>
              <w:top w:val="single" w:sz="4" w:space="0" w:color="auto"/>
              <w:bottom w:val="single" w:sz="4" w:space="0" w:color="auto"/>
              <w:right w:val="single" w:sz="4" w:space="0" w:color="auto"/>
            </w:tcBorders>
            <w:vAlign w:val="center"/>
          </w:tcPr>
          <w:p w:rsidR="00F97D54" w:rsidRPr="0063769F" w:rsidRDefault="00F97D54" w:rsidP="00EB5B97">
            <w:pPr>
              <w:rPr>
                <w:b/>
                <w:sz w:val="18"/>
                <w:szCs w:val="18"/>
              </w:rPr>
            </w:pPr>
            <w:r w:rsidRPr="0063769F">
              <w:rPr>
                <w:b/>
                <w:sz w:val="18"/>
                <w:szCs w:val="18"/>
              </w:rPr>
              <w:t>Field Name</w:t>
            </w:r>
          </w:p>
        </w:tc>
        <w:tc>
          <w:tcPr>
            <w:tcW w:w="4590" w:type="dxa"/>
            <w:tcBorders>
              <w:top w:val="single" w:sz="4" w:space="0" w:color="auto"/>
              <w:left w:val="single" w:sz="4" w:space="0" w:color="auto"/>
              <w:bottom w:val="single" w:sz="4" w:space="0" w:color="auto"/>
              <w:right w:val="single" w:sz="4" w:space="0" w:color="auto"/>
            </w:tcBorders>
            <w:vAlign w:val="center"/>
          </w:tcPr>
          <w:p w:rsidR="00F97D54" w:rsidRPr="0063769F" w:rsidRDefault="00F97D54" w:rsidP="00EB5B97">
            <w:pPr>
              <w:rPr>
                <w:b/>
                <w:sz w:val="18"/>
                <w:szCs w:val="18"/>
              </w:rPr>
            </w:pPr>
            <w:r w:rsidRPr="0063769F">
              <w:rPr>
                <w:b/>
                <w:sz w:val="18"/>
                <w:szCs w:val="18"/>
              </w:rPr>
              <w:t>Description</w:t>
            </w:r>
          </w:p>
        </w:tc>
        <w:tc>
          <w:tcPr>
            <w:tcW w:w="1080" w:type="dxa"/>
            <w:tcBorders>
              <w:top w:val="single" w:sz="4" w:space="0" w:color="auto"/>
              <w:left w:val="single" w:sz="4" w:space="0" w:color="auto"/>
              <w:bottom w:val="single" w:sz="4" w:space="0" w:color="auto"/>
              <w:right w:val="single" w:sz="4" w:space="0" w:color="auto"/>
            </w:tcBorders>
            <w:vAlign w:val="center"/>
          </w:tcPr>
          <w:p w:rsidR="00F97D54" w:rsidRPr="0063769F" w:rsidRDefault="00F97D54" w:rsidP="00EB5B97">
            <w:pPr>
              <w:rPr>
                <w:b/>
                <w:sz w:val="18"/>
                <w:szCs w:val="18"/>
              </w:rPr>
            </w:pPr>
            <w:r w:rsidRPr="0063769F">
              <w:rPr>
                <w:b/>
                <w:sz w:val="18"/>
                <w:szCs w:val="18"/>
              </w:rPr>
              <w:t>Type</w:t>
            </w:r>
          </w:p>
        </w:tc>
        <w:tc>
          <w:tcPr>
            <w:tcW w:w="900" w:type="dxa"/>
            <w:tcBorders>
              <w:top w:val="single" w:sz="4" w:space="0" w:color="auto"/>
              <w:left w:val="single" w:sz="4" w:space="0" w:color="auto"/>
              <w:bottom w:val="single" w:sz="4" w:space="0" w:color="auto"/>
            </w:tcBorders>
            <w:vAlign w:val="center"/>
          </w:tcPr>
          <w:p w:rsidR="00F97D54" w:rsidRPr="0063769F" w:rsidRDefault="00F97D54" w:rsidP="00EB5B97">
            <w:pPr>
              <w:ind w:right="-108"/>
              <w:rPr>
                <w:b/>
                <w:sz w:val="18"/>
                <w:szCs w:val="18"/>
              </w:rPr>
            </w:pPr>
            <w:r w:rsidRPr="0063769F">
              <w:rPr>
                <w:b/>
                <w:sz w:val="18"/>
                <w:szCs w:val="18"/>
              </w:rPr>
              <w:t>Example</w:t>
            </w:r>
          </w:p>
        </w:tc>
      </w:tr>
      <w:tr w:rsidR="00F97D54" w:rsidRPr="0063769F" w:rsidTr="00EB5B97">
        <w:trPr>
          <w:trHeight w:val="360"/>
        </w:trPr>
        <w:tc>
          <w:tcPr>
            <w:tcW w:w="2178" w:type="dxa"/>
          </w:tcPr>
          <w:p w:rsidR="00F97D54" w:rsidRDefault="00F97D54" w:rsidP="00EB5B97">
            <w:pPr>
              <w:rPr>
                <w:sz w:val="16"/>
                <w:szCs w:val="16"/>
              </w:rPr>
            </w:pPr>
            <w:r>
              <w:rPr>
                <w:sz w:val="16"/>
                <w:szCs w:val="16"/>
              </w:rPr>
              <w:t>Expenditures</w:t>
            </w:r>
          </w:p>
        </w:tc>
        <w:tc>
          <w:tcPr>
            <w:tcW w:w="4590" w:type="dxa"/>
          </w:tcPr>
          <w:p w:rsidR="00F97D54" w:rsidRPr="0069743E" w:rsidRDefault="00F97D54" w:rsidP="00EB5B97">
            <w:pPr>
              <w:rPr>
                <w:sz w:val="16"/>
                <w:szCs w:val="16"/>
              </w:rPr>
            </w:pPr>
            <w:r>
              <w:rPr>
                <w:sz w:val="16"/>
                <w:szCs w:val="16"/>
              </w:rPr>
              <w:t>Enter the dollar value of e</w:t>
            </w:r>
            <w:r w:rsidRPr="002103EE">
              <w:rPr>
                <w:sz w:val="16"/>
                <w:szCs w:val="16"/>
              </w:rPr>
              <w:t>xpenditures</w:t>
            </w:r>
            <w:r>
              <w:rPr>
                <w:sz w:val="16"/>
                <w:szCs w:val="16"/>
              </w:rPr>
              <w:t xml:space="preserve"> on </w:t>
            </w:r>
            <w:r w:rsidRPr="004914B4">
              <w:rPr>
                <w:i/>
                <w:sz w:val="16"/>
                <w:szCs w:val="16"/>
              </w:rPr>
              <w:t>Dedicated Service</w:t>
            </w:r>
            <w:r w:rsidRPr="002103EE">
              <w:rPr>
                <w:sz w:val="16"/>
                <w:szCs w:val="16"/>
              </w:rPr>
              <w:t xml:space="preserve"> </w:t>
            </w:r>
            <w:r>
              <w:rPr>
                <w:sz w:val="16"/>
                <w:szCs w:val="16"/>
              </w:rPr>
              <w:t>for the corresponding categorical breakdown</w:t>
            </w:r>
          </w:p>
        </w:tc>
        <w:tc>
          <w:tcPr>
            <w:tcW w:w="1080" w:type="dxa"/>
          </w:tcPr>
          <w:p w:rsidR="00F97D54" w:rsidRDefault="00F97D54" w:rsidP="00EB5B97">
            <w:pPr>
              <w:rPr>
                <w:sz w:val="16"/>
                <w:szCs w:val="16"/>
              </w:rPr>
            </w:pPr>
            <w:r>
              <w:rPr>
                <w:sz w:val="16"/>
                <w:szCs w:val="16"/>
              </w:rPr>
              <w:t>Float</w:t>
            </w:r>
          </w:p>
        </w:tc>
        <w:tc>
          <w:tcPr>
            <w:tcW w:w="900" w:type="dxa"/>
          </w:tcPr>
          <w:p w:rsidR="00F97D54" w:rsidRDefault="00F97D54" w:rsidP="00EB5B97">
            <w:pPr>
              <w:rPr>
                <w:sz w:val="16"/>
                <w:szCs w:val="16"/>
              </w:rPr>
            </w:pPr>
            <w:r>
              <w:rPr>
                <w:sz w:val="16"/>
                <w:szCs w:val="16"/>
              </w:rPr>
              <w:t>5364821</w:t>
            </w:r>
          </w:p>
        </w:tc>
      </w:tr>
      <w:tr w:rsidR="00F97D54" w:rsidRPr="0063769F" w:rsidTr="00EB5B97">
        <w:trPr>
          <w:trHeight w:val="360"/>
        </w:trPr>
        <w:tc>
          <w:tcPr>
            <w:tcW w:w="2178" w:type="dxa"/>
          </w:tcPr>
          <w:p w:rsidR="00F97D54" w:rsidRDefault="00F97D54" w:rsidP="00EB5B97">
            <w:pPr>
              <w:rPr>
                <w:sz w:val="16"/>
                <w:szCs w:val="16"/>
              </w:rPr>
            </w:pPr>
            <w:r>
              <w:rPr>
                <w:sz w:val="16"/>
                <w:szCs w:val="16"/>
              </w:rPr>
              <w:t>Year</w:t>
            </w:r>
          </w:p>
        </w:tc>
        <w:tc>
          <w:tcPr>
            <w:tcW w:w="4590" w:type="dxa"/>
          </w:tcPr>
          <w:p w:rsidR="00F97D54" w:rsidRDefault="00F97D54" w:rsidP="00EB5B97">
            <w:pPr>
              <w:rPr>
                <w:sz w:val="16"/>
                <w:szCs w:val="16"/>
              </w:rPr>
            </w:pPr>
            <w:r>
              <w:rPr>
                <w:sz w:val="16"/>
                <w:szCs w:val="16"/>
              </w:rPr>
              <w:t>Enter “2010” if the reported expenditures are for the year 2010 and enter “2012” if the reported expenditures are for the year 2012</w:t>
            </w:r>
          </w:p>
        </w:tc>
        <w:tc>
          <w:tcPr>
            <w:tcW w:w="1080" w:type="dxa"/>
          </w:tcPr>
          <w:p w:rsidR="00F97D54" w:rsidRDefault="00F97D54" w:rsidP="00EB5B97">
            <w:pPr>
              <w:rPr>
                <w:sz w:val="16"/>
                <w:szCs w:val="16"/>
              </w:rPr>
            </w:pPr>
            <w:r>
              <w:rPr>
                <w:sz w:val="16"/>
                <w:szCs w:val="16"/>
              </w:rPr>
              <w:t>Integer</w:t>
            </w:r>
          </w:p>
        </w:tc>
        <w:tc>
          <w:tcPr>
            <w:tcW w:w="900" w:type="dxa"/>
          </w:tcPr>
          <w:p w:rsidR="00F97D54" w:rsidRDefault="00F97D54" w:rsidP="00EB5B97">
            <w:pPr>
              <w:rPr>
                <w:sz w:val="16"/>
                <w:szCs w:val="16"/>
              </w:rPr>
            </w:pPr>
            <w:r>
              <w:rPr>
                <w:sz w:val="16"/>
                <w:szCs w:val="16"/>
              </w:rPr>
              <w:t>2012</w:t>
            </w:r>
          </w:p>
        </w:tc>
      </w:tr>
      <w:tr w:rsidR="00F97D54" w:rsidRPr="0063769F" w:rsidTr="00EB5B97">
        <w:trPr>
          <w:trHeight w:val="360"/>
        </w:trPr>
        <w:tc>
          <w:tcPr>
            <w:tcW w:w="2178" w:type="dxa"/>
          </w:tcPr>
          <w:p w:rsidR="00F97D54" w:rsidRDefault="00F97D54" w:rsidP="00EB5B97">
            <w:pPr>
              <w:rPr>
                <w:sz w:val="16"/>
                <w:szCs w:val="16"/>
              </w:rPr>
            </w:pPr>
            <w:r>
              <w:rPr>
                <w:sz w:val="16"/>
                <w:szCs w:val="16"/>
              </w:rPr>
              <w:t>Service_Type</w:t>
            </w:r>
          </w:p>
        </w:tc>
        <w:tc>
          <w:tcPr>
            <w:tcW w:w="4590" w:type="dxa"/>
          </w:tcPr>
          <w:p w:rsidR="00F97D54" w:rsidRDefault="00F97D54" w:rsidP="00EB5B97">
            <w:pPr>
              <w:rPr>
                <w:sz w:val="16"/>
                <w:szCs w:val="16"/>
              </w:rPr>
            </w:pPr>
            <w:r>
              <w:rPr>
                <w:sz w:val="16"/>
                <w:szCs w:val="16"/>
              </w:rPr>
              <w:t xml:space="preserve">Indicate the service type category for which the expenditures are reported.  Enter “DS1” for </w:t>
            </w:r>
            <w:r w:rsidRPr="00E76842">
              <w:rPr>
                <w:sz w:val="16"/>
                <w:szCs w:val="16"/>
              </w:rPr>
              <w:t>DS1</w:t>
            </w:r>
            <w:r>
              <w:rPr>
                <w:sz w:val="16"/>
                <w:szCs w:val="16"/>
              </w:rPr>
              <w:t xml:space="preserve"> </w:t>
            </w:r>
            <w:r w:rsidRPr="00E76842">
              <w:rPr>
                <w:sz w:val="16"/>
                <w:szCs w:val="16"/>
              </w:rPr>
              <w:t>expenditures</w:t>
            </w:r>
            <w:r>
              <w:rPr>
                <w:sz w:val="16"/>
                <w:szCs w:val="16"/>
              </w:rPr>
              <w:t xml:space="preserve">, enter “DS3” for </w:t>
            </w:r>
            <w:r w:rsidRPr="004914B4">
              <w:rPr>
                <w:i/>
                <w:sz w:val="16"/>
                <w:szCs w:val="16"/>
              </w:rPr>
              <w:t>DS3</w:t>
            </w:r>
            <w:r w:rsidRPr="002103EE">
              <w:rPr>
                <w:sz w:val="16"/>
                <w:szCs w:val="16"/>
              </w:rPr>
              <w:t xml:space="preserve"> </w:t>
            </w:r>
            <w:r>
              <w:rPr>
                <w:sz w:val="16"/>
                <w:szCs w:val="16"/>
              </w:rPr>
              <w:t xml:space="preserve">expenditures, and enter “PBDS” for </w:t>
            </w:r>
            <w:r w:rsidRPr="004914B4">
              <w:rPr>
                <w:i/>
                <w:sz w:val="16"/>
                <w:szCs w:val="16"/>
              </w:rPr>
              <w:t>PBDS</w:t>
            </w:r>
            <w:r w:rsidRPr="002103EE">
              <w:rPr>
                <w:sz w:val="16"/>
                <w:szCs w:val="16"/>
              </w:rPr>
              <w:t xml:space="preserve"> </w:t>
            </w:r>
            <w:r>
              <w:rPr>
                <w:sz w:val="16"/>
                <w:szCs w:val="16"/>
              </w:rPr>
              <w:t>expenditures</w:t>
            </w:r>
          </w:p>
        </w:tc>
        <w:tc>
          <w:tcPr>
            <w:tcW w:w="1080" w:type="dxa"/>
          </w:tcPr>
          <w:p w:rsidR="00F97D54" w:rsidRDefault="00F97D54" w:rsidP="00EB5B97">
            <w:pPr>
              <w:rPr>
                <w:sz w:val="16"/>
                <w:szCs w:val="16"/>
              </w:rPr>
            </w:pPr>
            <w:r>
              <w:rPr>
                <w:sz w:val="16"/>
                <w:szCs w:val="16"/>
              </w:rPr>
              <w:t>Text</w:t>
            </w:r>
          </w:p>
        </w:tc>
        <w:tc>
          <w:tcPr>
            <w:tcW w:w="900" w:type="dxa"/>
          </w:tcPr>
          <w:p w:rsidR="00F97D54" w:rsidRDefault="00F97D54" w:rsidP="00EB5B97">
            <w:pPr>
              <w:rPr>
                <w:sz w:val="16"/>
                <w:szCs w:val="16"/>
              </w:rPr>
            </w:pPr>
            <w:r>
              <w:rPr>
                <w:sz w:val="16"/>
                <w:szCs w:val="16"/>
              </w:rPr>
              <w:t>DS3</w:t>
            </w:r>
          </w:p>
        </w:tc>
      </w:tr>
      <w:tr w:rsidR="00F97D54" w:rsidRPr="0063769F" w:rsidTr="00EB5B97">
        <w:trPr>
          <w:trHeight w:val="360"/>
        </w:trPr>
        <w:tc>
          <w:tcPr>
            <w:tcW w:w="2178" w:type="dxa"/>
          </w:tcPr>
          <w:p w:rsidR="00F97D54" w:rsidRDefault="00F97D54" w:rsidP="00EB5B97">
            <w:pPr>
              <w:rPr>
                <w:sz w:val="16"/>
                <w:szCs w:val="16"/>
              </w:rPr>
            </w:pPr>
            <w:r>
              <w:rPr>
                <w:sz w:val="16"/>
                <w:szCs w:val="16"/>
              </w:rPr>
              <w:t>Agreement_Type</w:t>
            </w:r>
          </w:p>
        </w:tc>
        <w:tc>
          <w:tcPr>
            <w:tcW w:w="4590" w:type="dxa"/>
          </w:tcPr>
          <w:p w:rsidR="00F97D54" w:rsidRPr="00FA3147" w:rsidRDefault="00F97D54" w:rsidP="00EB5B97">
            <w:pPr>
              <w:rPr>
                <w:sz w:val="16"/>
                <w:szCs w:val="16"/>
              </w:rPr>
            </w:pPr>
            <w:r>
              <w:rPr>
                <w:sz w:val="16"/>
                <w:szCs w:val="16"/>
              </w:rPr>
              <w:t>Enter the code for the appropriate contract type indicated in the question.  The codes must be a letter from “a” to “d”.  See instructions below the table for more information on the codes for Agreement_Type</w:t>
            </w:r>
          </w:p>
        </w:tc>
        <w:tc>
          <w:tcPr>
            <w:tcW w:w="1080" w:type="dxa"/>
          </w:tcPr>
          <w:p w:rsidR="00F97D54" w:rsidRDefault="00F97D54" w:rsidP="00EB5B97">
            <w:pPr>
              <w:rPr>
                <w:sz w:val="16"/>
                <w:szCs w:val="16"/>
              </w:rPr>
            </w:pPr>
            <w:r>
              <w:rPr>
                <w:sz w:val="16"/>
                <w:szCs w:val="16"/>
              </w:rPr>
              <w:t>Text</w:t>
            </w:r>
          </w:p>
        </w:tc>
        <w:tc>
          <w:tcPr>
            <w:tcW w:w="900" w:type="dxa"/>
          </w:tcPr>
          <w:p w:rsidR="00F97D54" w:rsidRDefault="00F97D54" w:rsidP="00EB5B97">
            <w:pPr>
              <w:rPr>
                <w:sz w:val="16"/>
                <w:szCs w:val="16"/>
              </w:rPr>
            </w:pPr>
            <w:r>
              <w:rPr>
                <w:sz w:val="16"/>
                <w:szCs w:val="16"/>
              </w:rPr>
              <w:t>c</w:t>
            </w:r>
          </w:p>
        </w:tc>
      </w:tr>
      <w:tr w:rsidR="00F97D54" w:rsidRPr="0063769F" w:rsidTr="00EB5B97">
        <w:trPr>
          <w:trHeight w:val="360"/>
        </w:trPr>
        <w:tc>
          <w:tcPr>
            <w:tcW w:w="2178" w:type="dxa"/>
          </w:tcPr>
          <w:p w:rsidR="00F97D54" w:rsidRDefault="00F97D54" w:rsidP="00EB5B97">
            <w:pPr>
              <w:rPr>
                <w:sz w:val="16"/>
                <w:szCs w:val="16"/>
              </w:rPr>
            </w:pPr>
            <w:r>
              <w:rPr>
                <w:sz w:val="16"/>
                <w:szCs w:val="16"/>
              </w:rPr>
              <w:t>Avg_Discount_PPBC</w:t>
            </w:r>
          </w:p>
        </w:tc>
        <w:tc>
          <w:tcPr>
            <w:tcW w:w="4590" w:type="dxa"/>
          </w:tcPr>
          <w:p w:rsidR="00F97D54" w:rsidRPr="00FA3147" w:rsidRDefault="00F97D54" w:rsidP="00EB5B97">
            <w:pPr>
              <w:rPr>
                <w:sz w:val="16"/>
                <w:szCs w:val="16"/>
              </w:rPr>
            </w:pPr>
            <w:r>
              <w:rPr>
                <w:sz w:val="16"/>
                <w:szCs w:val="16"/>
              </w:rPr>
              <w:t xml:space="preserve">If the Agreement_Type is coded as “d”, enter the average discount (in percentage terms) off the </w:t>
            </w:r>
            <w:r w:rsidRPr="004914B4">
              <w:rPr>
                <w:i/>
                <w:sz w:val="16"/>
                <w:szCs w:val="16"/>
              </w:rPr>
              <w:t>One Month Term Only Rate</w:t>
            </w:r>
            <w:r>
              <w:rPr>
                <w:sz w:val="16"/>
                <w:szCs w:val="16"/>
              </w:rPr>
              <w:t xml:space="preserve"> incorporated in the expenditures purchased under </w:t>
            </w:r>
            <w:r w:rsidRPr="004914B4">
              <w:rPr>
                <w:i/>
                <w:sz w:val="16"/>
                <w:szCs w:val="16"/>
              </w:rPr>
              <w:t>Tariffs</w:t>
            </w:r>
            <w:r>
              <w:rPr>
                <w:sz w:val="16"/>
                <w:szCs w:val="16"/>
              </w:rPr>
              <w:t xml:space="preserve"> that contained a </w:t>
            </w:r>
            <w:r w:rsidRPr="004914B4">
              <w:rPr>
                <w:i/>
                <w:sz w:val="16"/>
                <w:szCs w:val="16"/>
              </w:rPr>
              <w:t>Prior Purchase-Based Commitment</w:t>
            </w:r>
            <w:r>
              <w:rPr>
                <w:sz w:val="16"/>
                <w:szCs w:val="16"/>
              </w:rPr>
              <w:t>.  See the example in the question on how to calculate the average discount.  If Agreement_Type is not coded as “d”, leave the field blank</w:t>
            </w:r>
          </w:p>
        </w:tc>
        <w:tc>
          <w:tcPr>
            <w:tcW w:w="1080" w:type="dxa"/>
          </w:tcPr>
          <w:p w:rsidR="00F97D54" w:rsidRDefault="00F97D54" w:rsidP="00EB5B97">
            <w:pPr>
              <w:rPr>
                <w:sz w:val="16"/>
                <w:szCs w:val="16"/>
              </w:rPr>
            </w:pPr>
            <w:r>
              <w:rPr>
                <w:sz w:val="16"/>
                <w:szCs w:val="16"/>
              </w:rPr>
              <w:t>Float</w:t>
            </w:r>
          </w:p>
        </w:tc>
        <w:tc>
          <w:tcPr>
            <w:tcW w:w="900" w:type="dxa"/>
          </w:tcPr>
          <w:p w:rsidR="00F97D54" w:rsidRDefault="00F97D54" w:rsidP="00EB5B97">
            <w:pPr>
              <w:rPr>
                <w:sz w:val="16"/>
                <w:szCs w:val="16"/>
              </w:rPr>
            </w:pPr>
            <w:r>
              <w:rPr>
                <w:sz w:val="16"/>
                <w:szCs w:val="16"/>
              </w:rPr>
              <w:t>25</w:t>
            </w:r>
          </w:p>
        </w:tc>
      </w:tr>
      <w:tr w:rsidR="00F97D54" w:rsidRPr="0063769F" w:rsidTr="00EB5B97">
        <w:trPr>
          <w:trHeight w:val="360"/>
        </w:trPr>
        <w:tc>
          <w:tcPr>
            <w:tcW w:w="2178" w:type="dxa"/>
            <w:tcBorders>
              <w:bottom w:val="double" w:sz="4" w:space="0" w:color="auto"/>
            </w:tcBorders>
          </w:tcPr>
          <w:p w:rsidR="00F97D54" w:rsidRDefault="00F97D54" w:rsidP="00EB5B97">
            <w:pPr>
              <w:rPr>
                <w:sz w:val="16"/>
                <w:szCs w:val="16"/>
              </w:rPr>
            </w:pPr>
            <w:r>
              <w:rPr>
                <w:sz w:val="16"/>
                <w:szCs w:val="16"/>
              </w:rPr>
              <w:t>5orMore</w:t>
            </w:r>
          </w:p>
        </w:tc>
        <w:tc>
          <w:tcPr>
            <w:tcW w:w="4590" w:type="dxa"/>
            <w:tcBorders>
              <w:bottom w:val="double" w:sz="4" w:space="0" w:color="auto"/>
            </w:tcBorders>
          </w:tcPr>
          <w:p w:rsidR="00F97D54" w:rsidRPr="00F16C64" w:rsidRDefault="00F97D54" w:rsidP="00EB5B97">
            <w:pPr>
              <w:rPr>
                <w:sz w:val="16"/>
                <w:szCs w:val="16"/>
              </w:rPr>
            </w:pPr>
            <w:r>
              <w:rPr>
                <w:sz w:val="16"/>
                <w:szCs w:val="16"/>
              </w:rPr>
              <w:t>If the Year field is 2012, w</w:t>
            </w:r>
            <w:r w:rsidRPr="0078729C">
              <w:rPr>
                <w:sz w:val="16"/>
                <w:szCs w:val="16"/>
              </w:rPr>
              <w:t>hat percentage of your expenditures w</w:t>
            </w:r>
            <w:r>
              <w:rPr>
                <w:sz w:val="16"/>
                <w:szCs w:val="16"/>
              </w:rPr>
              <w:t>as</w:t>
            </w:r>
            <w:r w:rsidRPr="0078729C">
              <w:rPr>
                <w:sz w:val="16"/>
                <w:szCs w:val="16"/>
              </w:rPr>
              <w:t xml:space="preserve"> subject to a </w:t>
            </w:r>
            <w:r w:rsidRPr="0078729C">
              <w:rPr>
                <w:i/>
                <w:sz w:val="16"/>
                <w:szCs w:val="16"/>
              </w:rPr>
              <w:t>Term Commitment</w:t>
            </w:r>
            <w:r w:rsidRPr="0078729C">
              <w:rPr>
                <w:sz w:val="16"/>
                <w:szCs w:val="16"/>
              </w:rPr>
              <w:t xml:space="preserve"> of five or more years?</w:t>
            </w:r>
            <w:r>
              <w:rPr>
                <w:sz w:val="16"/>
                <w:szCs w:val="16"/>
              </w:rPr>
              <w:t xml:space="preserve">  </w:t>
            </w:r>
          </w:p>
        </w:tc>
        <w:tc>
          <w:tcPr>
            <w:tcW w:w="1080" w:type="dxa"/>
            <w:tcBorders>
              <w:bottom w:val="double" w:sz="4" w:space="0" w:color="auto"/>
            </w:tcBorders>
          </w:tcPr>
          <w:p w:rsidR="00F97D54" w:rsidRDefault="00F97D54" w:rsidP="00EB5B97">
            <w:pPr>
              <w:rPr>
                <w:sz w:val="16"/>
                <w:szCs w:val="16"/>
              </w:rPr>
            </w:pPr>
            <w:r>
              <w:rPr>
                <w:sz w:val="16"/>
                <w:szCs w:val="16"/>
              </w:rPr>
              <w:t>Integer</w:t>
            </w:r>
          </w:p>
        </w:tc>
        <w:tc>
          <w:tcPr>
            <w:tcW w:w="900" w:type="dxa"/>
            <w:tcBorders>
              <w:bottom w:val="double" w:sz="4" w:space="0" w:color="auto"/>
            </w:tcBorders>
          </w:tcPr>
          <w:p w:rsidR="00F97D54" w:rsidRDefault="00F97D54" w:rsidP="00EB5B97">
            <w:pPr>
              <w:rPr>
                <w:sz w:val="16"/>
                <w:szCs w:val="16"/>
              </w:rPr>
            </w:pPr>
            <w:r>
              <w:rPr>
                <w:sz w:val="16"/>
                <w:szCs w:val="16"/>
              </w:rPr>
              <w:t>45</w:t>
            </w:r>
          </w:p>
        </w:tc>
      </w:tr>
    </w:tbl>
    <w:p w:rsidR="00F97D54" w:rsidRDefault="00F97D54" w:rsidP="00EB5B97"/>
    <w:p w:rsidR="00F97D54" w:rsidRDefault="00F97D54" w:rsidP="00EB5B97">
      <w:r>
        <w:t>Note:  If there were no expenditures for a particular category or year, then report 0.</w:t>
      </w:r>
    </w:p>
    <w:p w:rsidR="00F97D54" w:rsidRDefault="00F97D54" w:rsidP="00EB5B97"/>
    <w:p w:rsidR="00F97D54" w:rsidRDefault="00F97D54" w:rsidP="00EB5B97">
      <w:r>
        <w:t xml:space="preserve">Use the following codes for the Agreement_Type variable.  Enter “a” for expenditures on ALL purchases; enter “b” for expenditures on purchases at </w:t>
      </w:r>
      <w:r>
        <w:rPr>
          <w:i/>
        </w:rPr>
        <w:t>One Month Term Only Rates</w:t>
      </w:r>
      <w:r>
        <w:t xml:space="preserve">; enter “c” for expenditures purchased under </w:t>
      </w:r>
      <w:r>
        <w:rPr>
          <w:i/>
        </w:rPr>
        <w:t>Tariffs</w:t>
      </w:r>
      <w:r>
        <w:t xml:space="preserve"> that contained a </w:t>
      </w:r>
      <w:r>
        <w:rPr>
          <w:i/>
        </w:rPr>
        <w:t>Term Commitment</w:t>
      </w:r>
      <w:r>
        <w:t xml:space="preserve"> but not a </w:t>
      </w:r>
      <w:r>
        <w:rPr>
          <w:i/>
        </w:rPr>
        <w:t>Volume Commitment</w:t>
      </w:r>
      <w:r>
        <w:t xml:space="preserve">; enter “d” for expenditures purchased under </w:t>
      </w:r>
      <w:r>
        <w:rPr>
          <w:i/>
        </w:rPr>
        <w:t>Tariffs</w:t>
      </w:r>
      <w:r>
        <w:t xml:space="preserve"> that contained a </w:t>
      </w:r>
      <w:r>
        <w:rPr>
          <w:i/>
        </w:rPr>
        <w:t>Prior Purchase-Based Commitment</w:t>
      </w:r>
      <w:r>
        <w:t>.</w:t>
      </w:r>
    </w:p>
    <w:p w:rsidR="00F97D54" w:rsidRDefault="00F97D54" w:rsidP="00EB5B97"/>
    <w:p w:rsidR="00F97D54" w:rsidRPr="00CF0319" w:rsidRDefault="00F97D54" w:rsidP="00EB5B97">
      <w:r w:rsidRPr="00A217F9">
        <w:rPr>
          <w:u w:val="single"/>
        </w:rPr>
        <w:t>5orMore</w:t>
      </w:r>
      <w:r>
        <w:t xml:space="preserve">:  Provide the percentage of your expenditures in 2012 that were subject to a </w:t>
      </w:r>
      <w:r w:rsidRPr="00A217F9">
        <w:rPr>
          <w:i/>
        </w:rPr>
        <w:t>Term Commitment</w:t>
      </w:r>
      <w:r>
        <w:t xml:space="preserve"> of five or more years.  If the Year field reported is 2010, then leave this field blank.</w:t>
      </w:r>
    </w:p>
    <w:p w:rsidR="00F97D54" w:rsidRDefault="00F97D54" w:rsidP="00EB5B97"/>
    <w:p w:rsidR="00F97D54" w:rsidRPr="00E9084B" w:rsidRDefault="00F97D54" w:rsidP="00E9084B">
      <w:pPr>
        <w:pStyle w:val="Heading4"/>
        <w:numPr>
          <w:ilvl w:val="0"/>
          <w:numId w:val="0"/>
        </w:numPr>
        <w:rPr>
          <w:b w:val="0"/>
          <w:i/>
        </w:rPr>
      </w:pPr>
      <w:bookmarkStart w:id="167" w:name="_Toc365972149"/>
      <w:r w:rsidRPr="00E9084B">
        <w:rPr>
          <w:b w:val="0"/>
          <w:i/>
        </w:rPr>
        <w:t>Question II.F.5:  Expenditures with ILECs and Competitive Providers Pursuant to Non-Tariffs</w:t>
      </w:r>
      <w:bookmarkEnd w:id="167"/>
      <w:r w:rsidRPr="00E9084B">
        <w:rPr>
          <w:b w:val="0"/>
          <w:i/>
        </w:rPr>
        <w:t xml:space="preserve">  </w:t>
      </w:r>
    </w:p>
    <w:tbl>
      <w:tblPr>
        <w:tblW w:w="9162" w:type="dxa"/>
        <w:tblLook w:val="01E0" w:firstRow="1" w:lastRow="1" w:firstColumn="1" w:lastColumn="1" w:noHBand="0" w:noVBand="0"/>
      </w:tblPr>
      <w:tblGrid>
        <w:gridCol w:w="2178"/>
        <w:gridCol w:w="4590"/>
        <w:gridCol w:w="1080"/>
        <w:gridCol w:w="1314"/>
      </w:tblGrid>
      <w:tr w:rsidR="00F97D54" w:rsidRPr="0063769F" w:rsidTr="00EB5B97">
        <w:trPr>
          <w:trHeight w:val="432"/>
          <w:tblHeader/>
        </w:trPr>
        <w:tc>
          <w:tcPr>
            <w:tcW w:w="9162" w:type="dxa"/>
            <w:gridSpan w:val="4"/>
            <w:tcBorders>
              <w:top w:val="double" w:sz="4" w:space="0" w:color="auto"/>
              <w:bottom w:val="single" w:sz="4" w:space="0" w:color="auto"/>
            </w:tcBorders>
            <w:vAlign w:val="center"/>
          </w:tcPr>
          <w:p w:rsidR="00F97D54" w:rsidRDefault="00F97D54" w:rsidP="00EB5B97">
            <w:pPr>
              <w:jc w:val="center"/>
              <w:rPr>
                <w:b/>
                <w:bCs/>
              </w:rPr>
            </w:pPr>
            <w:r w:rsidRPr="0063769F">
              <w:rPr>
                <w:b/>
              </w:rPr>
              <w:t xml:space="preserve">Table </w:t>
            </w:r>
            <w:r>
              <w:rPr>
                <w:b/>
                <w:bCs/>
              </w:rPr>
              <w:t>II.F.5</w:t>
            </w:r>
          </w:p>
          <w:p w:rsidR="00F97D54" w:rsidRDefault="00F97D54" w:rsidP="00EB5B97">
            <w:pPr>
              <w:jc w:val="center"/>
              <w:rPr>
                <w:b/>
                <w:bCs/>
              </w:rPr>
            </w:pPr>
            <w:r>
              <w:rPr>
                <w:b/>
                <w:bCs/>
              </w:rPr>
              <w:t xml:space="preserve">Record Format for Expenditures with </w:t>
            </w:r>
            <w:r w:rsidRPr="00062F4F">
              <w:rPr>
                <w:b/>
                <w:bCs/>
                <w:i/>
              </w:rPr>
              <w:t>ILECs</w:t>
            </w:r>
            <w:r>
              <w:rPr>
                <w:b/>
                <w:bCs/>
              </w:rPr>
              <w:t xml:space="preserve"> and </w:t>
            </w:r>
            <w:r w:rsidRPr="00062F4F">
              <w:rPr>
                <w:b/>
                <w:bCs/>
                <w:i/>
              </w:rPr>
              <w:t>Competitive Providers</w:t>
            </w:r>
            <w:r>
              <w:rPr>
                <w:b/>
                <w:bCs/>
              </w:rPr>
              <w:t xml:space="preserve"> </w:t>
            </w:r>
          </w:p>
          <w:p w:rsidR="00F97D54" w:rsidRPr="0063769F" w:rsidRDefault="00F97D54" w:rsidP="00EB5B97">
            <w:pPr>
              <w:jc w:val="center"/>
              <w:rPr>
                <w:b/>
              </w:rPr>
            </w:pPr>
            <w:r>
              <w:rPr>
                <w:b/>
                <w:bCs/>
              </w:rPr>
              <w:t>Pursuant to Non-Tariffed Agreement</w:t>
            </w:r>
          </w:p>
        </w:tc>
      </w:tr>
      <w:tr w:rsidR="00F97D54" w:rsidRPr="0063769F" w:rsidTr="00EB5B97">
        <w:trPr>
          <w:trHeight w:val="432"/>
          <w:tblHeader/>
        </w:trPr>
        <w:tc>
          <w:tcPr>
            <w:tcW w:w="2178" w:type="dxa"/>
            <w:tcBorders>
              <w:top w:val="single" w:sz="4" w:space="0" w:color="auto"/>
              <w:bottom w:val="single" w:sz="4" w:space="0" w:color="auto"/>
              <w:right w:val="single" w:sz="4" w:space="0" w:color="auto"/>
            </w:tcBorders>
            <w:vAlign w:val="center"/>
          </w:tcPr>
          <w:p w:rsidR="00F97D54" w:rsidRPr="0063769F" w:rsidRDefault="00F97D54" w:rsidP="00EB5B97">
            <w:pPr>
              <w:rPr>
                <w:b/>
                <w:sz w:val="18"/>
                <w:szCs w:val="18"/>
              </w:rPr>
            </w:pPr>
            <w:r w:rsidRPr="0063769F">
              <w:rPr>
                <w:b/>
                <w:sz w:val="18"/>
                <w:szCs w:val="18"/>
              </w:rPr>
              <w:t>Field Name</w:t>
            </w:r>
          </w:p>
        </w:tc>
        <w:tc>
          <w:tcPr>
            <w:tcW w:w="4590" w:type="dxa"/>
            <w:tcBorders>
              <w:top w:val="single" w:sz="4" w:space="0" w:color="auto"/>
              <w:left w:val="single" w:sz="4" w:space="0" w:color="auto"/>
              <w:bottom w:val="single" w:sz="4" w:space="0" w:color="auto"/>
              <w:right w:val="single" w:sz="4" w:space="0" w:color="auto"/>
            </w:tcBorders>
            <w:vAlign w:val="center"/>
          </w:tcPr>
          <w:p w:rsidR="00F97D54" w:rsidRPr="0063769F" w:rsidRDefault="00F97D54" w:rsidP="00EB5B97">
            <w:pPr>
              <w:rPr>
                <w:b/>
                <w:sz w:val="18"/>
                <w:szCs w:val="18"/>
              </w:rPr>
            </w:pPr>
            <w:r w:rsidRPr="0063769F">
              <w:rPr>
                <w:b/>
                <w:sz w:val="18"/>
                <w:szCs w:val="18"/>
              </w:rPr>
              <w:t>Description</w:t>
            </w:r>
          </w:p>
        </w:tc>
        <w:tc>
          <w:tcPr>
            <w:tcW w:w="1080" w:type="dxa"/>
            <w:tcBorders>
              <w:top w:val="single" w:sz="4" w:space="0" w:color="auto"/>
              <w:left w:val="single" w:sz="4" w:space="0" w:color="auto"/>
              <w:bottom w:val="single" w:sz="4" w:space="0" w:color="auto"/>
              <w:right w:val="single" w:sz="4" w:space="0" w:color="auto"/>
            </w:tcBorders>
            <w:vAlign w:val="center"/>
          </w:tcPr>
          <w:p w:rsidR="00F97D54" w:rsidRPr="0063769F" w:rsidRDefault="00F97D54" w:rsidP="00EB5B97">
            <w:pPr>
              <w:rPr>
                <w:b/>
                <w:sz w:val="18"/>
                <w:szCs w:val="18"/>
              </w:rPr>
            </w:pPr>
            <w:r w:rsidRPr="0063769F">
              <w:rPr>
                <w:b/>
                <w:sz w:val="18"/>
                <w:szCs w:val="18"/>
              </w:rPr>
              <w:t>Type</w:t>
            </w:r>
          </w:p>
        </w:tc>
        <w:tc>
          <w:tcPr>
            <w:tcW w:w="1314" w:type="dxa"/>
            <w:tcBorders>
              <w:top w:val="single" w:sz="4" w:space="0" w:color="auto"/>
              <w:left w:val="single" w:sz="4" w:space="0" w:color="auto"/>
              <w:bottom w:val="single" w:sz="4" w:space="0" w:color="auto"/>
            </w:tcBorders>
            <w:vAlign w:val="center"/>
          </w:tcPr>
          <w:p w:rsidR="00F97D54" w:rsidRPr="0063769F" w:rsidRDefault="00F97D54" w:rsidP="00EB5B97">
            <w:pPr>
              <w:ind w:right="-108"/>
              <w:rPr>
                <w:b/>
                <w:sz w:val="18"/>
                <w:szCs w:val="18"/>
              </w:rPr>
            </w:pPr>
            <w:r w:rsidRPr="0063769F">
              <w:rPr>
                <w:b/>
                <w:sz w:val="18"/>
                <w:szCs w:val="18"/>
              </w:rPr>
              <w:t>Example</w:t>
            </w:r>
          </w:p>
        </w:tc>
      </w:tr>
      <w:tr w:rsidR="00F97D54" w:rsidRPr="0063769F" w:rsidTr="00EB5B97">
        <w:trPr>
          <w:trHeight w:val="360"/>
        </w:trPr>
        <w:tc>
          <w:tcPr>
            <w:tcW w:w="2178" w:type="dxa"/>
          </w:tcPr>
          <w:p w:rsidR="00F97D54" w:rsidRDefault="00F97D54" w:rsidP="00EB5B97">
            <w:pPr>
              <w:rPr>
                <w:sz w:val="16"/>
                <w:szCs w:val="16"/>
              </w:rPr>
            </w:pPr>
            <w:r>
              <w:rPr>
                <w:sz w:val="16"/>
                <w:szCs w:val="16"/>
              </w:rPr>
              <w:t>Expenditures</w:t>
            </w:r>
          </w:p>
        </w:tc>
        <w:tc>
          <w:tcPr>
            <w:tcW w:w="4590" w:type="dxa"/>
          </w:tcPr>
          <w:p w:rsidR="00F97D54" w:rsidRPr="0069743E" w:rsidRDefault="00F97D54" w:rsidP="00EB5B97">
            <w:pPr>
              <w:rPr>
                <w:sz w:val="16"/>
                <w:szCs w:val="16"/>
              </w:rPr>
            </w:pPr>
            <w:r>
              <w:rPr>
                <w:sz w:val="16"/>
                <w:szCs w:val="16"/>
              </w:rPr>
              <w:t>Enter the dollar value of e</w:t>
            </w:r>
            <w:r w:rsidRPr="002103EE">
              <w:rPr>
                <w:sz w:val="16"/>
                <w:szCs w:val="16"/>
              </w:rPr>
              <w:t>xpenditures</w:t>
            </w:r>
            <w:r>
              <w:rPr>
                <w:sz w:val="16"/>
                <w:szCs w:val="16"/>
              </w:rPr>
              <w:t xml:space="preserve"> on </w:t>
            </w:r>
            <w:r w:rsidRPr="004A2212">
              <w:rPr>
                <w:sz w:val="16"/>
                <w:szCs w:val="16"/>
              </w:rPr>
              <w:t>Dedicated Service</w:t>
            </w:r>
            <w:r w:rsidRPr="002103EE">
              <w:rPr>
                <w:sz w:val="16"/>
                <w:szCs w:val="16"/>
              </w:rPr>
              <w:t xml:space="preserve"> </w:t>
            </w:r>
            <w:r>
              <w:rPr>
                <w:sz w:val="16"/>
                <w:szCs w:val="16"/>
              </w:rPr>
              <w:t>for the corresponding categorical breakdown</w:t>
            </w:r>
          </w:p>
        </w:tc>
        <w:tc>
          <w:tcPr>
            <w:tcW w:w="1080" w:type="dxa"/>
          </w:tcPr>
          <w:p w:rsidR="00F97D54" w:rsidRDefault="00F97D54" w:rsidP="00EB5B97">
            <w:pPr>
              <w:rPr>
                <w:sz w:val="16"/>
                <w:szCs w:val="16"/>
              </w:rPr>
            </w:pPr>
            <w:r>
              <w:rPr>
                <w:sz w:val="16"/>
                <w:szCs w:val="16"/>
              </w:rPr>
              <w:t>Float</w:t>
            </w:r>
          </w:p>
        </w:tc>
        <w:tc>
          <w:tcPr>
            <w:tcW w:w="1314" w:type="dxa"/>
          </w:tcPr>
          <w:p w:rsidR="00F97D54" w:rsidRDefault="00F97D54" w:rsidP="00EB5B97">
            <w:pPr>
              <w:rPr>
                <w:sz w:val="16"/>
                <w:szCs w:val="16"/>
              </w:rPr>
            </w:pPr>
            <w:r>
              <w:rPr>
                <w:sz w:val="16"/>
                <w:szCs w:val="16"/>
              </w:rPr>
              <w:t>5364821</w:t>
            </w:r>
          </w:p>
        </w:tc>
      </w:tr>
      <w:tr w:rsidR="00F97D54" w:rsidRPr="0063769F" w:rsidTr="00EB5B97">
        <w:trPr>
          <w:trHeight w:val="360"/>
        </w:trPr>
        <w:tc>
          <w:tcPr>
            <w:tcW w:w="2178" w:type="dxa"/>
          </w:tcPr>
          <w:p w:rsidR="00F97D54" w:rsidRDefault="00F97D54" w:rsidP="00EB5B97">
            <w:pPr>
              <w:rPr>
                <w:sz w:val="16"/>
                <w:szCs w:val="16"/>
              </w:rPr>
            </w:pPr>
            <w:r>
              <w:rPr>
                <w:sz w:val="16"/>
                <w:szCs w:val="16"/>
              </w:rPr>
              <w:t>Year</w:t>
            </w:r>
          </w:p>
        </w:tc>
        <w:tc>
          <w:tcPr>
            <w:tcW w:w="4590" w:type="dxa"/>
          </w:tcPr>
          <w:p w:rsidR="00F97D54" w:rsidRDefault="00F97D54" w:rsidP="00EB5B97">
            <w:pPr>
              <w:rPr>
                <w:sz w:val="16"/>
                <w:szCs w:val="16"/>
              </w:rPr>
            </w:pPr>
            <w:r>
              <w:rPr>
                <w:sz w:val="16"/>
                <w:szCs w:val="16"/>
              </w:rPr>
              <w:t>Enter “2010” if the reported expenditures are for the year 2010 and enter “2012” if the reported expenditures are for the year 2012</w:t>
            </w:r>
          </w:p>
        </w:tc>
        <w:tc>
          <w:tcPr>
            <w:tcW w:w="1080" w:type="dxa"/>
          </w:tcPr>
          <w:p w:rsidR="00F97D54" w:rsidRDefault="00F97D54" w:rsidP="00EB5B97">
            <w:pPr>
              <w:rPr>
                <w:sz w:val="16"/>
                <w:szCs w:val="16"/>
              </w:rPr>
            </w:pPr>
            <w:r>
              <w:rPr>
                <w:sz w:val="16"/>
                <w:szCs w:val="16"/>
              </w:rPr>
              <w:t>Integer</w:t>
            </w:r>
          </w:p>
        </w:tc>
        <w:tc>
          <w:tcPr>
            <w:tcW w:w="1314" w:type="dxa"/>
          </w:tcPr>
          <w:p w:rsidR="00F97D54" w:rsidRDefault="00F97D54" w:rsidP="00EB5B97">
            <w:pPr>
              <w:rPr>
                <w:sz w:val="16"/>
                <w:szCs w:val="16"/>
              </w:rPr>
            </w:pPr>
            <w:r>
              <w:rPr>
                <w:sz w:val="16"/>
                <w:szCs w:val="16"/>
              </w:rPr>
              <w:t>2012</w:t>
            </w:r>
          </w:p>
        </w:tc>
      </w:tr>
      <w:tr w:rsidR="00F97D54" w:rsidRPr="0063769F" w:rsidTr="00EB5B97">
        <w:trPr>
          <w:trHeight w:val="360"/>
        </w:trPr>
        <w:tc>
          <w:tcPr>
            <w:tcW w:w="2178" w:type="dxa"/>
          </w:tcPr>
          <w:p w:rsidR="00F97D54" w:rsidRDefault="00F97D54" w:rsidP="00EB5B97">
            <w:pPr>
              <w:rPr>
                <w:sz w:val="16"/>
                <w:szCs w:val="16"/>
              </w:rPr>
            </w:pPr>
            <w:r>
              <w:rPr>
                <w:sz w:val="16"/>
                <w:szCs w:val="16"/>
              </w:rPr>
              <w:t>Provider_Type</w:t>
            </w:r>
          </w:p>
        </w:tc>
        <w:tc>
          <w:tcPr>
            <w:tcW w:w="4590" w:type="dxa"/>
          </w:tcPr>
          <w:p w:rsidR="00F97D54" w:rsidRPr="004914B4" w:rsidRDefault="00F97D54" w:rsidP="00EB5B97">
            <w:pPr>
              <w:rPr>
                <w:i/>
                <w:sz w:val="16"/>
                <w:szCs w:val="16"/>
              </w:rPr>
            </w:pPr>
            <w:r>
              <w:rPr>
                <w:sz w:val="16"/>
                <w:szCs w:val="16"/>
              </w:rPr>
              <w:t xml:space="preserve">Enter 0 if the reported expenditures are for purchases from </w:t>
            </w:r>
            <w:r>
              <w:rPr>
                <w:i/>
                <w:sz w:val="16"/>
                <w:szCs w:val="16"/>
              </w:rPr>
              <w:t>ILECs</w:t>
            </w:r>
            <w:r>
              <w:rPr>
                <w:sz w:val="16"/>
                <w:szCs w:val="16"/>
              </w:rPr>
              <w:t xml:space="preserve"> and enter 1 if the reported expenditures are for purchases from </w:t>
            </w:r>
            <w:r>
              <w:rPr>
                <w:i/>
                <w:sz w:val="16"/>
                <w:szCs w:val="16"/>
              </w:rPr>
              <w:t>Competitive Providers</w:t>
            </w:r>
          </w:p>
        </w:tc>
        <w:tc>
          <w:tcPr>
            <w:tcW w:w="1080" w:type="dxa"/>
          </w:tcPr>
          <w:p w:rsidR="00F97D54" w:rsidRDefault="00F97D54" w:rsidP="00EB5B97">
            <w:pPr>
              <w:rPr>
                <w:sz w:val="16"/>
                <w:szCs w:val="16"/>
              </w:rPr>
            </w:pPr>
            <w:r>
              <w:rPr>
                <w:sz w:val="16"/>
                <w:szCs w:val="16"/>
              </w:rPr>
              <w:t>Binary</w:t>
            </w:r>
          </w:p>
        </w:tc>
        <w:tc>
          <w:tcPr>
            <w:tcW w:w="1314" w:type="dxa"/>
          </w:tcPr>
          <w:p w:rsidR="00F97D54" w:rsidRDefault="00F97D54" w:rsidP="00EB5B97">
            <w:pPr>
              <w:rPr>
                <w:sz w:val="16"/>
                <w:szCs w:val="16"/>
              </w:rPr>
            </w:pPr>
            <w:r>
              <w:rPr>
                <w:sz w:val="16"/>
                <w:szCs w:val="16"/>
              </w:rPr>
              <w:t>0</w:t>
            </w:r>
          </w:p>
        </w:tc>
      </w:tr>
      <w:tr w:rsidR="00F97D54" w:rsidRPr="0063769F" w:rsidTr="00EB5B97">
        <w:trPr>
          <w:trHeight w:val="360"/>
        </w:trPr>
        <w:tc>
          <w:tcPr>
            <w:tcW w:w="2178" w:type="dxa"/>
          </w:tcPr>
          <w:p w:rsidR="00F97D54" w:rsidRDefault="00F97D54" w:rsidP="00EB5B97">
            <w:pPr>
              <w:rPr>
                <w:sz w:val="16"/>
                <w:szCs w:val="16"/>
              </w:rPr>
            </w:pPr>
            <w:r>
              <w:rPr>
                <w:sz w:val="16"/>
                <w:szCs w:val="16"/>
              </w:rPr>
              <w:t>Service_Type</w:t>
            </w:r>
          </w:p>
        </w:tc>
        <w:tc>
          <w:tcPr>
            <w:tcW w:w="4590" w:type="dxa"/>
          </w:tcPr>
          <w:p w:rsidR="00F97D54" w:rsidRDefault="00F97D54" w:rsidP="00EB5B97">
            <w:pPr>
              <w:rPr>
                <w:sz w:val="16"/>
                <w:szCs w:val="16"/>
              </w:rPr>
            </w:pPr>
            <w:r>
              <w:rPr>
                <w:sz w:val="16"/>
                <w:szCs w:val="16"/>
              </w:rPr>
              <w:t xml:space="preserve">Indicate the service type category for which the expenditures are reported.  Enter “DS1” for </w:t>
            </w:r>
            <w:r w:rsidRPr="006B19E4">
              <w:rPr>
                <w:i/>
                <w:sz w:val="16"/>
                <w:szCs w:val="16"/>
              </w:rPr>
              <w:t>DS1</w:t>
            </w:r>
            <w:r>
              <w:rPr>
                <w:i/>
                <w:sz w:val="16"/>
                <w:szCs w:val="16"/>
              </w:rPr>
              <w:t xml:space="preserve"> </w:t>
            </w:r>
            <w:r>
              <w:rPr>
                <w:sz w:val="16"/>
                <w:szCs w:val="16"/>
              </w:rPr>
              <w:t xml:space="preserve">expenditures, enter “DS3” for </w:t>
            </w:r>
            <w:r w:rsidRPr="006B19E4">
              <w:rPr>
                <w:i/>
                <w:sz w:val="16"/>
                <w:szCs w:val="16"/>
              </w:rPr>
              <w:t>DS3</w:t>
            </w:r>
            <w:r w:rsidRPr="002103EE">
              <w:rPr>
                <w:sz w:val="16"/>
                <w:szCs w:val="16"/>
              </w:rPr>
              <w:t xml:space="preserve"> </w:t>
            </w:r>
            <w:r>
              <w:rPr>
                <w:sz w:val="16"/>
                <w:szCs w:val="16"/>
              </w:rPr>
              <w:t xml:space="preserve">expenditures, and enter “PBDS” for </w:t>
            </w:r>
            <w:r w:rsidRPr="006B19E4">
              <w:rPr>
                <w:i/>
                <w:sz w:val="16"/>
                <w:szCs w:val="16"/>
              </w:rPr>
              <w:t>PBDS</w:t>
            </w:r>
            <w:r w:rsidRPr="002103EE">
              <w:rPr>
                <w:sz w:val="16"/>
                <w:szCs w:val="16"/>
              </w:rPr>
              <w:t xml:space="preserve"> </w:t>
            </w:r>
            <w:r>
              <w:rPr>
                <w:sz w:val="16"/>
                <w:szCs w:val="16"/>
              </w:rPr>
              <w:t>expenditures</w:t>
            </w:r>
          </w:p>
        </w:tc>
        <w:tc>
          <w:tcPr>
            <w:tcW w:w="1080" w:type="dxa"/>
          </w:tcPr>
          <w:p w:rsidR="00F97D54" w:rsidRDefault="00F97D54" w:rsidP="00EB5B97">
            <w:pPr>
              <w:rPr>
                <w:sz w:val="16"/>
                <w:szCs w:val="16"/>
              </w:rPr>
            </w:pPr>
            <w:r>
              <w:rPr>
                <w:sz w:val="16"/>
                <w:szCs w:val="16"/>
              </w:rPr>
              <w:t>Text</w:t>
            </w:r>
          </w:p>
        </w:tc>
        <w:tc>
          <w:tcPr>
            <w:tcW w:w="1314" w:type="dxa"/>
          </w:tcPr>
          <w:p w:rsidR="00F97D54" w:rsidRDefault="00F97D54" w:rsidP="00EB5B97">
            <w:pPr>
              <w:rPr>
                <w:sz w:val="16"/>
                <w:szCs w:val="16"/>
              </w:rPr>
            </w:pPr>
            <w:r>
              <w:rPr>
                <w:sz w:val="16"/>
                <w:szCs w:val="16"/>
              </w:rPr>
              <w:t>DS3</w:t>
            </w:r>
          </w:p>
        </w:tc>
      </w:tr>
      <w:tr w:rsidR="00F97D54" w:rsidRPr="0063769F" w:rsidTr="00EB5B97">
        <w:trPr>
          <w:trHeight w:val="360"/>
        </w:trPr>
        <w:tc>
          <w:tcPr>
            <w:tcW w:w="2178" w:type="dxa"/>
          </w:tcPr>
          <w:p w:rsidR="00F97D54" w:rsidRDefault="00F97D54" w:rsidP="00EB5B97">
            <w:pPr>
              <w:rPr>
                <w:sz w:val="16"/>
                <w:szCs w:val="16"/>
              </w:rPr>
            </w:pPr>
            <w:r>
              <w:rPr>
                <w:sz w:val="16"/>
                <w:szCs w:val="16"/>
              </w:rPr>
              <w:t>Agreement_Type</w:t>
            </w:r>
          </w:p>
        </w:tc>
        <w:tc>
          <w:tcPr>
            <w:tcW w:w="4590" w:type="dxa"/>
          </w:tcPr>
          <w:p w:rsidR="00F97D54" w:rsidRPr="00FA3147" w:rsidRDefault="00F97D54" w:rsidP="00EB5B97">
            <w:pPr>
              <w:rPr>
                <w:sz w:val="16"/>
                <w:szCs w:val="16"/>
              </w:rPr>
            </w:pPr>
            <w:r>
              <w:rPr>
                <w:sz w:val="16"/>
                <w:szCs w:val="16"/>
              </w:rPr>
              <w:t>Enter the code for the appropriate contract type indicated in the question.  The codes must be a letter from “a” to “d”.  See instructions below the table for more information on the codes for Agreement_Type</w:t>
            </w:r>
          </w:p>
        </w:tc>
        <w:tc>
          <w:tcPr>
            <w:tcW w:w="1080" w:type="dxa"/>
          </w:tcPr>
          <w:p w:rsidR="00F97D54" w:rsidRDefault="00F97D54" w:rsidP="00EB5B97">
            <w:pPr>
              <w:rPr>
                <w:sz w:val="16"/>
                <w:szCs w:val="16"/>
              </w:rPr>
            </w:pPr>
            <w:r>
              <w:rPr>
                <w:sz w:val="16"/>
                <w:szCs w:val="16"/>
              </w:rPr>
              <w:t>Text</w:t>
            </w:r>
          </w:p>
        </w:tc>
        <w:tc>
          <w:tcPr>
            <w:tcW w:w="1314" w:type="dxa"/>
          </w:tcPr>
          <w:p w:rsidR="00F97D54" w:rsidRDefault="00F97D54" w:rsidP="00EB5B97">
            <w:pPr>
              <w:rPr>
                <w:sz w:val="16"/>
                <w:szCs w:val="16"/>
              </w:rPr>
            </w:pPr>
            <w:r>
              <w:rPr>
                <w:sz w:val="16"/>
                <w:szCs w:val="16"/>
              </w:rPr>
              <w:t>c</w:t>
            </w:r>
          </w:p>
        </w:tc>
      </w:tr>
      <w:tr w:rsidR="00F97D54" w:rsidRPr="0063769F" w:rsidTr="00EB5B97">
        <w:trPr>
          <w:trHeight w:val="360"/>
        </w:trPr>
        <w:tc>
          <w:tcPr>
            <w:tcW w:w="2178" w:type="dxa"/>
            <w:tcBorders>
              <w:bottom w:val="double" w:sz="4" w:space="0" w:color="auto"/>
            </w:tcBorders>
          </w:tcPr>
          <w:p w:rsidR="00F97D54" w:rsidRDefault="00F97D54" w:rsidP="00EB5B97">
            <w:pPr>
              <w:rPr>
                <w:sz w:val="16"/>
                <w:szCs w:val="16"/>
              </w:rPr>
            </w:pPr>
            <w:r>
              <w:rPr>
                <w:sz w:val="16"/>
                <w:szCs w:val="16"/>
              </w:rPr>
              <w:t>Avg_Discount_PPBC</w:t>
            </w:r>
          </w:p>
        </w:tc>
        <w:tc>
          <w:tcPr>
            <w:tcW w:w="4590" w:type="dxa"/>
            <w:tcBorders>
              <w:bottom w:val="double" w:sz="4" w:space="0" w:color="auto"/>
            </w:tcBorders>
          </w:tcPr>
          <w:p w:rsidR="00F97D54" w:rsidRPr="00FA3147" w:rsidRDefault="00F97D54" w:rsidP="00EB5B97">
            <w:pPr>
              <w:rPr>
                <w:sz w:val="16"/>
                <w:szCs w:val="16"/>
              </w:rPr>
            </w:pPr>
            <w:r>
              <w:rPr>
                <w:sz w:val="16"/>
                <w:szCs w:val="16"/>
              </w:rPr>
              <w:t xml:space="preserve">If the Agreement_Type is coded as “d”, enter the average discount (in percentage terms) off the non-discounted rate incorporated in the expenditures purchased under non-tariffed agreements that contained a </w:t>
            </w:r>
            <w:r w:rsidRPr="006B19E4">
              <w:rPr>
                <w:i/>
                <w:sz w:val="16"/>
                <w:szCs w:val="16"/>
              </w:rPr>
              <w:t>Prior Purchase-Based Commitment</w:t>
            </w:r>
            <w:r>
              <w:rPr>
                <w:sz w:val="16"/>
                <w:szCs w:val="16"/>
              </w:rPr>
              <w:t>.  See the example in the question on how to calculate the average discount.  If Agreement_Type is not coded as “d”, leave the field blank</w:t>
            </w:r>
          </w:p>
        </w:tc>
        <w:tc>
          <w:tcPr>
            <w:tcW w:w="1080" w:type="dxa"/>
            <w:tcBorders>
              <w:bottom w:val="double" w:sz="4" w:space="0" w:color="auto"/>
            </w:tcBorders>
          </w:tcPr>
          <w:p w:rsidR="00F97D54" w:rsidRDefault="00F97D54" w:rsidP="00EB5B97">
            <w:pPr>
              <w:rPr>
                <w:sz w:val="16"/>
                <w:szCs w:val="16"/>
              </w:rPr>
            </w:pPr>
            <w:r>
              <w:rPr>
                <w:sz w:val="16"/>
                <w:szCs w:val="16"/>
              </w:rPr>
              <w:t>Float</w:t>
            </w:r>
          </w:p>
        </w:tc>
        <w:tc>
          <w:tcPr>
            <w:tcW w:w="1314" w:type="dxa"/>
            <w:tcBorders>
              <w:bottom w:val="double" w:sz="4" w:space="0" w:color="auto"/>
            </w:tcBorders>
          </w:tcPr>
          <w:p w:rsidR="00F97D54" w:rsidRDefault="00F97D54" w:rsidP="00EB5B97">
            <w:pPr>
              <w:rPr>
                <w:sz w:val="16"/>
                <w:szCs w:val="16"/>
              </w:rPr>
            </w:pPr>
            <w:r>
              <w:rPr>
                <w:sz w:val="16"/>
                <w:szCs w:val="16"/>
              </w:rPr>
              <w:t>25</w:t>
            </w:r>
          </w:p>
        </w:tc>
      </w:tr>
    </w:tbl>
    <w:p w:rsidR="00F97D54" w:rsidRDefault="00F97D54" w:rsidP="00EB5B97"/>
    <w:p w:rsidR="00F97D54" w:rsidRDefault="00F97D54" w:rsidP="00EB5B97">
      <w:r>
        <w:t>Note:  If there were no expenditures for a particular category or year, then report 0.</w:t>
      </w:r>
    </w:p>
    <w:p w:rsidR="00F97D54" w:rsidRDefault="00F97D54" w:rsidP="00EB5B97"/>
    <w:p w:rsidR="00F97D54" w:rsidRPr="00CF0319" w:rsidRDefault="00F97D54" w:rsidP="00EB5B97">
      <w:r>
        <w:t xml:space="preserve">Use the following codes for the Agreement_Type variable.  Enter “a” for expenditures on ALL purchases; enter “b” for expenditures purchased at non-discounted rates; enter “c” for expenditures purchased under a non-tariffed agreement that contained a </w:t>
      </w:r>
      <w:r>
        <w:rPr>
          <w:i/>
        </w:rPr>
        <w:t>Term Commitment</w:t>
      </w:r>
      <w:r>
        <w:t xml:space="preserve"> but not a </w:t>
      </w:r>
      <w:r>
        <w:rPr>
          <w:i/>
        </w:rPr>
        <w:t>Volume Commitment</w:t>
      </w:r>
      <w:r>
        <w:t xml:space="preserve">; enter “d” for expenditures purchased under a non-tariffed agreement that contained a </w:t>
      </w:r>
      <w:r>
        <w:rPr>
          <w:i/>
        </w:rPr>
        <w:t>Prior Purchase-Based Commitment</w:t>
      </w:r>
      <w:r>
        <w:t>.</w:t>
      </w:r>
    </w:p>
    <w:p w:rsidR="00F97D54" w:rsidRDefault="00F97D54" w:rsidP="00EB5B97"/>
    <w:p w:rsidR="00F97D54" w:rsidRPr="00E9084B" w:rsidRDefault="00F97D54" w:rsidP="00E9084B">
      <w:pPr>
        <w:pStyle w:val="Heading4"/>
        <w:numPr>
          <w:ilvl w:val="0"/>
          <w:numId w:val="0"/>
        </w:numPr>
        <w:rPr>
          <w:b w:val="0"/>
          <w:i/>
        </w:rPr>
      </w:pPr>
      <w:bookmarkStart w:id="168" w:name="_Toc365972150"/>
      <w:r w:rsidRPr="00E9084B">
        <w:rPr>
          <w:b w:val="0"/>
          <w:i/>
        </w:rPr>
        <w:t>Question II.F.6:  Expenditures under Tariffs for PBDS</w:t>
      </w:r>
      <w:bookmarkEnd w:id="168"/>
      <w:r w:rsidRPr="00E9084B">
        <w:rPr>
          <w:b w:val="0"/>
          <w:i/>
        </w:rPr>
        <w:t xml:space="preserve"> </w:t>
      </w:r>
    </w:p>
    <w:tbl>
      <w:tblPr>
        <w:tblW w:w="9193" w:type="dxa"/>
        <w:tblLook w:val="01E0" w:firstRow="1" w:lastRow="1" w:firstColumn="1" w:lastColumn="1" w:noHBand="0" w:noVBand="0"/>
      </w:tblPr>
      <w:tblGrid>
        <w:gridCol w:w="2178"/>
        <w:gridCol w:w="4590"/>
        <w:gridCol w:w="1080"/>
        <w:gridCol w:w="1345"/>
      </w:tblGrid>
      <w:tr w:rsidR="00F97D54" w:rsidRPr="0063769F" w:rsidTr="00EB5B97">
        <w:trPr>
          <w:trHeight w:val="432"/>
          <w:tblHeader/>
        </w:trPr>
        <w:tc>
          <w:tcPr>
            <w:tcW w:w="9193" w:type="dxa"/>
            <w:gridSpan w:val="4"/>
            <w:tcBorders>
              <w:top w:val="double" w:sz="4" w:space="0" w:color="auto"/>
              <w:bottom w:val="single" w:sz="4" w:space="0" w:color="auto"/>
            </w:tcBorders>
            <w:vAlign w:val="center"/>
          </w:tcPr>
          <w:p w:rsidR="00F97D54" w:rsidRDefault="00F97D54" w:rsidP="00EB5B97">
            <w:pPr>
              <w:jc w:val="center"/>
              <w:rPr>
                <w:b/>
                <w:bCs/>
              </w:rPr>
            </w:pPr>
            <w:r w:rsidRPr="0063769F">
              <w:rPr>
                <w:b/>
              </w:rPr>
              <w:t xml:space="preserve">Table </w:t>
            </w:r>
            <w:r>
              <w:rPr>
                <w:b/>
                <w:bCs/>
              </w:rPr>
              <w:t>II.F.6</w:t>
            </w:r>
          </w:p>
          <w:p w:rsidR="00F97D54" w:rsidRDefault="00F97D54" w:rsidP="00EB5B97">
            <w:pPr>
              <w:jc w:val="center"/>
              <w:rPr>
                <w:b/>
                <w:bCs/>
              </w:rPr>
            </w:pPr>
            <w:r>
              <w:rPr>
                <w:b/>
                <w:bCs/>
              </w:rPr>
              <w:t xml:space="preserve">Record Format for Expenditures on </w:t>
            </w:r>
            <w:r w:rsidRPr="00A02E78">
              <w:rPr>
                <w:b/>
                <w:bCs/>
                <w:i/>
              </w:rPr>
              <w:t>PBDS</w:t>
            </w:r>
            <w:r>
              <w:rPr>
                <w:b/>
                <w:bCs/>
              </w:rPr>
              <w:t xml:space="preserve"> Purchased </w:t>
            </w:r>
          </w:p>
          <w:p w:rsidR="00F97D54" w:rsidRPr="00A02E78" w:rsidRDefault="00F97D54" w:rsidP="00EB5B97">
            <w:pPr>
              <w:jc w:val="center"/>
              <w:rPr>
                <w:b/>
                <w:bCs/>
              </w:rPr>
            </w:pPr>
            <w:r>
              <w:rPr>
                <w:b/>
                <w:bCs/>
              </w:rPr>
              <w:t xml:space="preserve">Pursuant to a </w:t>
            </w:r>
            <w:r w:rsidRPr="00A02E78">
              <w:rPr>
                <w:b/>
                <w:bCs/>
                <w:i/>
              </w:rPr>
              <w:t>Tariff</w:t>
            </w:r>
            <w:r>
              <w:rPr>
                <w:b/>
                <w:bCs/>
                <w:i/>
              </w:rPr>
              <w:t xml:space="preserve"> </w:t>
            </w:r>
            <w:r>
              <w:rPr>
                <w:b/>
                <w:bCs/>
              </w:rPr>
              <w:t>by Bandwidth Category</w:t>
            </w:r>
          </w:p>
        </w:tc>
      </w:tr>
      <w:tr w:rsidR="00F97D54" w:rsidRPr="0063769F" w:rsidTr="00EB5B97">
        <w:trPr>
          <w:trHeight w:val="432"/>
          <w:tblHeader/>
        </w:trPr>
        <w:tc>
          <w:tcPr>
            <w:tcW w:w="2178" w:type="dxa"/>
            <w:tcBorders>
              <w:top w:val="single" w:sz="4" w:space="0" w:color="auto"/>
              <w:bottom w:val="single" w:sz="4" w:space="0" w:color="auto"/>
              <w:right w:val="single" w:sz="4" w:space="0" w:color="auto"/>
            </w:tcBorders>
            <w:vAlign w:val="center"/>
          </w:tcPr>
          <w:p w:rsidR="00F97D54" w:rsidRPr="0063769F" w:rsidRDefault="00F97D54" w:rsidP="00EB5B97">
            <w:pPr>
              <w:rPr>
                <w:b/>
                <w:sz w:val="18"/>
                <w:szCs w:val="18"/>
              </w:rPr>
            </w:pPr>
            <w:r w:rsidRPr="0063769F">
              <w:rPr>
                <w:b/>
                <w:sz w:val="18"/>
                <w:szCs w:val="18"/>
              </w:rPr>
              <w:t>Field Name</w:t>
            </w:r>
          </w:p>
        </w:tc>
        <w:tc>
          <w:tcPr>
            <w:tcW w:w="4590" w:type="dxa"/>
            <w:tcBorders>
              <w:top w:val="single" w:sz="4" w:space="0" w:color="auto"/>
              <w:left w:val="single" w:sz="4" w:space="0" w:color="auto"/>
              <w:bottom w:val="single" w:sz="4" w:space="0" w:color="auto"/>
              <w:right w:val="single" w:sz="4" w:space="0" w:color="auto"/>
            </w:tcBorders>
            <w:vAlign w:val="center"/>
          </w:tcPr>
          <w:p w:rsidR="00F97D54" w:rsidRPr="0063769F" w:rsidRDefault="00F97D54" w:rsidP="00EB5B97">
            <w:pPr>
              <w:rPr>
                <w:b/>
                <w:sz w:val="18"/>
                <w:szCs w:val="18"/>
              </w:rPr>
            </w:pPr>
            <w:r w:rsidRPr="0063769F">
              <w:rPr>
                <w:b/>
                <w:sz w:val="18"/>
                <w:szCs w:val="18"/>
              </w:rPr>
              <w:t>Description</w:t>
            </w:r>
          </w:p>
        </w:tc>
        <w:tc>
          <w:tcPr>
            <w:tcW w:w="1080" w:type="dxa"/>
            <w:tcBorders>
              <w:top w:val="single" w:sz="4" w:space="0" w:color="auto"/>
              <w:left w:val="single" w:sz="4" w:space="0" w:color="auto"/>
              <w:bottom w:val="single" w:sz="4" w:space="0" w:color="auto"/>
              <w:right w:val="single" w:sz="4" w:space="0" w:color="auto"/>
            </w:tcBorders>
            <w:vAlign w:val="center"/>
          </w:tcPr>
          <w:p w:rsidR="00F97D54" w:rsidRPr="0063769F" w:rsidRDefault="00F97D54" w:rsidP="00EB5B97">
            <w:pPr>
              <w:rPr>
                <w:b/>
                <w:sz w:val="18"/>
                <w:szCs w:val="18"/>
              </w:rPr>
            </w:pPr>
            <w:r w:rsidRPr="0063769F">
              <w:rPr>
                <w:b/>
                <w:sz w:val="18"/>
                <w:szCs w:val="18"/>
              </w:rPr>
              <w:t>Type</w:t>
            </w:r>
          </w:p>
        </w:tc>
        <w:tc>
          <w:tcPr>
            <w:tcW w:w="1345" w:type="dxa"/>
            <w:tcBorders>
              <w:top w:val="single" w:sz="4" w:space="0" w:color="auto"/>
              <w:left w:val="single" w:sz="4" w:space="0" w:color="auto"/>
              <w:bottom w:val="single" w:sz="4" w:space="0" w:color="auto"/>
            </w:tcBorders>
            <w:vAlign w:val="center"/>
          </w:tcPr>
          <w:p w:rsidR="00F97D54" w:rsidRPr="0063769F" w:rsidRDefault="00F97D54" w:rsidP="00EB5B97">
            <w:pPr>
              <w:ind w:right="-108"/>
              <w:rPr>
                <w:b/>
                <w:sz w:val="18"/>
                <w:szCs w:val="18"/>
              </w:rPr>
            </w:pPr>
            <w:r w:rsidRPr="0063769F">
              <w:rPr>
                <w:b/>
                <w:sz w:val="18"/>
                <w:szCs w:val="18"/>
              </w:rPr>
              <w:t>Example</w:t>
            </w:r>
          </w:p>
        </w:tc>
      </w:tr>
      <w:tr w:rsidR="00F97D54" w:rsidRPr="0063769F" w:rsidTr="00EB5B97">
        <w:trPr>
          <w:trHeight w:val="360"/>
        </w:trPr>
        <w:tc>
          <w:tcPr>
            <w:tcW w:w="2178" w:type="dxa"/>
          </w:tcPr>
          <w:p w:rsidR="00F97D54" w:rsidRDefault="00F97D54" w:rsidP="00EB5B97">
            <w:pPr>
              <w:rPr>
                <w:sz w:val="16"/>
                <w:szCs w:val="16"/>
              </w:rPr>
            </w:pPr>
            <w:r>
              <w:rPr>
                <w:sz w:val="16"/>
                <w:szCs w:val="16"/>
              </w:rPr>
              <w:t>Expenditures</w:t>
            </w:r>
          </w:p>
        </w:tc>
        <w:tc>
          <w:tcPr>
            <w:tcW w:w="4590" w:type="dxa"/>
          </w:tcPr>
          <w:p w:rsidR="00F97D54" w:rsidRPr="00626E23" w:rsidRDefault="00F97D54" w:rsidP="00EB5B97">
            <w:pPr>
              <w:rPr>
                <w:sz w:val="16"/>
                <w:szCs w:val="16"/>
              </w:rPr>
            </w:pPr>
            <w:r>
              <w:rPr>
                <w:sz w:val="16"/>
                <w:szCs w:val="16"/>
              </w:rPr>
              <w:t xml:space="preserve">Enter the dollar value of expenditures on </w:t>
            </w:r>
            <w:r>
              <w:rPr>
                <w:i/>
                <w:sz w:val="16"/>
                <w:szCs w:val="16"/>
              </w:rPr>
              <w:t>Tariffed PBDS</w:t>
            </w:r>
            <w:r>
              <w:rPr>
                <w:sz w:val="16"/>
                <w:szCs w:val="16"/>
              </w:rPr>
              <w:t xml:space="preserve"> service</w:t>
            </w:r>
          </w:p>
        </w:tc>
        <w:tc>
          <w:tcPr>
            <w:tcW w:w="1080" w:type="dxa"/>
          </w:tcPr>
          <w:p w:rsidR="00F97D54" w:rsidRDefault="00F97D54" w:rsidP="00EB5B97">
            <w:pPr>
              <w:rPr>
                <w:sz w:val="16"/>
                <w:szCs w:val="16"/>
              </w:rPr>
            </w:pPr>
            <w:r>
              <w:rPr>
                <w:sz w:val="16"/>
                <w:szCs w:val="16"/>
              </w:rPr>
              <w:t>Float</w:t>
            </w:r>
          </w:p>
        </w:tc>
        <w:tc>
          <w:tcPr>
            <w:tcW w:w="1345" w:type="dxa"/>
          </w:tcPr>
          <w:p w:rsidR="00F97D54" w:rsidRPr="0063769F" w:rsidRDefault="00F97D54" w:rsidP="00EB5B97">
            <w:pPr>
              <w:rPr>
                <w:sz w:val="16"/>
                <w:szCs w:val="16"/>
              </w:rPr>
            </w:pPr>
            <w:r>
              <w:rPr>
                <w:sz w:val="16"/>
                <w:szCs w:val="16"/>
              </w:rPr>
              <w:t>4,321.00</w:t>
            </w:r>
          </w:p>
        </w:tc>
      </w:tr>
      <w:tr w:rsidR="00F97D54" w:rsidRPr="0063769F" w:rsidTr="00EB5B97">
        <w:trPr>
          <w:trHeight w:val="360"/>
        </w:trPr>
        <w:tc>
          <w:tcPr>
            <w:tcW w:w="2178" w:type="dxa"/>
          </w:tcPr>
          <w:p w:rsidR="00F97D54" w:rsidRDefault="00F97D54" w:rsidP="00EB5B97">
            <w:pPr>
              <w:rPr>
                <w:sz w:val="16"/>
                <w:szCs w:val="16"/>
              </w:rPr>
            </w:pPr>
            <w:r>
              <w:rPr>
                <w:sz w:val="16"/>
                <w:szCs w:val="16"/>
              </w:rPr>
              <w:t>Provider_Type</w:t>
            </w:r>
          </w:p>
        </w:tc>
        <w:tc>
          <w:tcPr>
            <w:tcW w:w="4590" w:type="dxa"/>
          </w:tcPr>
          <w:p w:rsidR="00F97D54" w:rsidRDefault="00F97D54" w:rsidP="00EB5B97">
            <w:pPr>
              <w:rPr>
                <w:sz w:val="16"/>
                <w:szCs w:val="16"/>
              </w:rPr>
            </w:pPr>
            <w:r>
              <w:rPr>
                <w:sz w:val="16"/>
                <w:szCs w:val="16"/>
              </w:rPr>
              <w:t xml:space="preserve">Enter 0 if the reported expenditures are for purchases from </w:t>
            </w:r>
            <w:r>
              <w:rPr>
                <w:i/>
                <w:sz w:val="16"/>
                <w:szCs w:val="16"/>
              </w:rPr>
              <w:t>ILECs</w:t>
            </w:r>
            <w:r>
              <w:rPr>
                <w:sz w:val="16"/>
                <w:szCs w:val="16"/>
              </w:rPr>
              <w:t xml:space="preserve"> and enter 1 if the reported expenditures are for purchases from </w:t>
            </w:r>
            <w:r>
              <w:rPr>
                <w:i/>
                <w:sz w:val="16"/>
                <w:szCs w:val="16"/>
              </w:rPr>
              <w:t>Competitive Providers</w:t>
            </w:r>
          </w:p>
        </w:tc>
        <w:tc>
          <w:tcPr>
            <w:tcW w:w="1080" w:type="dxa"/>
          </w:tcPr>
          <w:p w:rsidR="00F97D54" w:rsidRDefault="00F97D54" w:rsidP="00EB5B97">
            <w:pPr>
              <w:rPr>
                <w:sz w:val="16"/>
                <w:szCs w:val="16"/>
              </w:rPr>
            </w:pPr>
            <w:r>
              <w:rPr>
                <w:sz w:val="16"/>
                <w:szCs w:val="16"/>
              </w:rPr>
              <w:t>Binary</w:t>
            </w:r>
          </w:p>
        </w:tc>
        <w:tc>
          <w:tcPr>
            <w:tcW w:w="1345" w:type="dxa"/>
          </w:tcPr>
          <w:p w:rsidR="00F97D54" w:rsidRDefault="00F97D54" w:rsidP="00EB5B97">
            <w:pPr>
              <w:rPr>
                <w:sz w:val="16"/>
                <w:szCs w:val="16"/>
              </w:rPr>
            </w:pPr>
            <w:r>
              <w:rPr>
                <w:sz w:val="16"/>
                <w:szCs w:val="16"/>
              </w:rPr>
              <w:t>0</w:t>
            </w:r>
          </w:p>
        </w:tc>
      </w:tr>
      <w:tr w:rsidR="00F97D54" w:rsidRPr="0063769F" w:rsidTr="00EB5B97">
        <w:trPr>
          <w:trHeight w:val="360"/>
        </w:trPr>
        <w:tc>
          <w:tcPr>
            <w:tcW w:w="2178" w:type="dxa"/>
          </w:tcPr>
          <w:p w:rsidR="00F97D54" w:rsidRDefault="00F97D54" w:rsidP="00EB5B97">
            <w:pPr>
              <w:rPr>
                <w:sz w:val="16"/>
                <w:szCs w:val="16"/>
              </w:rPr>
            </w:pPr>
            <w:r>
              <w:rPr>
                <w:sz w:val="16"/>
                <w:szCs w:val="16"/>
              </w:rPr>
              <w:t>Bandwidth</w:t>
            </w:r>
          </w:p>
        </w:tc>
        <w:tc>
          <w:tcPr>
            <w:tcW w:w="4590" w:type="dxa"/>
          </w:tcPr>
          <w:p w:rsidR="00F97D54" w:rsidRDefault="00F97D54" w:rsidP="00EB5B97">
            <w:pPr>
              <w:rPr>
                <w:sz w:val="16"/>
                <w:szCs w:val="16"/>
              </w:rPr>
            </w:pPr>
            <w:r>
              <w:rPr>
                <w:sz w:val="16"/>
                <w:szCs w:val="16"/>
              </w:rPr>
              <w:t>Indicate the bandwidth category for which the expenditures are reported.  Enter “A” for bandwidth less than or equal to 1.5 Mbps, enter “B” for bandwidth greater than 1.5 Mbps but less than or equal to 50 Mbps, enter “C” for bandwidth greater than 50 Mbps but less than or equal to 100 Mbps, enter “D” for bandwidth greater than 100 Mbps but less than or equal to 1 Gbps, and enter “E” for bandwidth greater than 1 Gbps</w:t>
            </w:r>
          </w:p>
        </w:tc>
        <w:tc>
          <w:tcPr>
            <w:tcW w:w="1080" w:type="dxa"/>
          </w:tcPr>
          <w:p w:rsidR="00F97D54" w:rsidRDefault="00F97D54" w:rsidP="00EB5B97">
            <w:pPr>
              <w:rPr>
                <w:sz w:val="16"/>
                <w:szCs w:val="16"/>
              </w:rPr>
            </w:pPr>
            <w:r>
              <w:rPr>
                <w:sz w:val="16"/>
                <w:szCs w:val="16"/>
              </w:rPr>
              <w:t>Text</w:t>
            </w:r>
          </w:p>
        </w:tc>
        <w:tc>
          <w:tcPr>
            <w:tcW w:w="1345" w:type="dxa"/>
          </w:tcPr>
          <w:p w:rsidR="00F97D54" w:rsidRDefault="00F97D54" w:rsidP="00EB5B97">
            <w:pPr>
              <w:rPr>
                <w:sz w:val="16"/>
                <w:szCs w:val="16"/>
              </w:rPr>
            </w:pPr>
            <w:r>
              <w:rPr>
                <w:sz w:val="16"/>
                <w:szCs w:val="16"/>
              </w:rPr>
              <w:t>B</w:t>
            </w:r>
          </w:p>
        </w:tc>
      </w:tr>
      <w:tr w:rsidR="00F97D54" w:rsidRPr="0063769F" w:rsidTr="00EB5B97">
        <w:trPr>
          <w:trHeight w:val="360"/>
        </w:trPr>
        <w:tc>
          <w:tcPr>
            <w:tcW w:w="2178" w:type="dxa"/>
            <w:tcBorders>
              <w:bottom w:val="double" w:sz="4" w:space="0" w:color="auto"/>
            </w:tcBorders>
          </w:tcPr>
          <w:p w:rsidR="00F97D54" w:rsidRDefault="00F97D54" w:rsidP="00EB5B97">
            <w:pPr>
              <w:rPr>
                <w:sz w:val="16"/>
                <w:szCs w:val="16"/>
              </w:rPr>
            </w:pPr>
            <w:r>
              <w:rPr>
                <w:sz w:val="16"/>
                <w:szCs w:val="16"/>
              </w:rPr>
              <w:t>Year</w:t>
            </w:r>
          </w:p>
        </w:tc>
        <w:tc>
          <w:tcPr>
            <w:tcW w:w="4590" w:type="dxa"/>
            <w:tcBorders>
              <w:bottom w:val="double" w:sz="4" w:space="0" w:color="auto"/>
            </w:tcBorders>
          </w:tcPr>
          <w:p w:rsidR="00F97D54" w:rsidRDefault="00F97D54" w:rsidP="00EB5B97">
            <w:pPr>
              <w:rPr>
                <w:sz w:val="16"/>
                <w:szCs w:val="16"/>
              </w:rPr>
            </w:pPr>
            <w:r>
              <w:rPr>
                <w:sz w:val="16"/>
                <w:szCs w:val="16"/>
              </w:rPr>
              <w:t>Enter “2010” if the reported expenditures are for the year 2010 and enter “2012” if the reported expenditures are for the year 2012</w:t>
            </w:r>
          </w:p>
        </w:tc>
        <w:tc>
          <w:tcPr>
            <w:tcW w:w="1080" w:type="dxa"/>
            <w:tcBorders>
              <w:bottom w:val="double" w:sz="4" w:space="0" w:color="auto"/>
            </w:tcBorders>
          </w:tcPr>
          <w:p w:rsidR="00F97D54" w:rsidRDefault="00F97D54" w:rsidP="00EB5B97">
            <w:pPr>
              <w:rPr>
                <w:sz w:val="16"/>
                <w:szCs w:val="16"/>
              </w:rPr>
            </w:pPr>
            <w:r>
              <w:rPr>
                <w:sz w:val="16"/>
                <w:szCs w:val="16"/>
              </w:rPr>
              <w:t>Integer</w:t>
            </w:r>
          </w:p>
        </w:tc>
        <w:tc>
          <w:tcPr>
            <w:tcW w:w="1345" w:type="dxa"/>
            <w:tcBorders>
              <w:bottom w:val="double" w:sz="4" w:space="0" w:color="auto"/>
            </w:tcBorders>
          </w:tcPr>
          <w:p w:rsidR="00F97D54" w:rsidRDefault="00F97D54" w:rsidP="00EB5B97">
            <w:pPr>
              <w:rPr>
                <w:sz w:val="16"/>
                <w:szCs w:val="16"/>
              </w:rPr>
            </w:pPr>
            <w:r>
              <w:rPr>
                <w:sz w:val="16"/>
                <w:szCs w:val="16"/>
              </w:rPr>
              <w:t>2012</w:t>
            </w:r>
          </w:p>
        </w:tc>
      </w:tr>
    </w:tbl>
    <w:p w:rsidR="00F97D54" w:rsidRDefault="00F97D54" w:rsidP="00EB5B97"/>
    <w:p w:rsidR="00F97D54" w:rsidRPr="00E9084B" w:rsidRDefault="00F97D54" w:rsidP="00E9084B">
      <w:pPr>
        <w:pStyle w:val="Heading4"/>
        <w:numPr>
          <w:ilvl w:val="0"/>
          <w:numId w:val="0"/>
        </w:numPr>
        <w:rPr>
          <w:b w:val="0"/>
          <w:i/>
        </w:rPr>
      </w:pPr>
      <w:bookmarkStart w:id="169" w:name="_Toc365972151"/>
      <w:r w:rsidRPr="00E9084B">
        <w:rPr>
          <w:b w:val="0"/>
          <w:i/>
        </w:rPr>
        <w:t>Question II.F.7:  Expenditures under Non-Tariffs for PBDS</w:t>
      </w:r>
      <w:bookmarkEnd w:id="169"/>
      <w:r w:rsidRPr="00E9084B">
        <w:rPr>
          <w:b w:val="0"/>
          <w:i/>
        </w:rPr>
        <w:t xml:space="preserve"> </w:t>
      </w:r>
    </w:p>
    <w:tbl>
      <w:tblPr>
        <w:tblW w:w="9198" w:type="dxa"/>
        <w:tblLook w:val="01E0" w:firstRow="1" w:lastRow="1" w:firstColumn="1" w:lastColumn="1" w:noHBand="0" w:noVBand="0"/>
      </w:tblPr>
      <w:tblGrid>
        <w:gridCol w:w="2178"/>
        <w:gridCol w:w="4590"/>
        <w:gridCol w:w="991"/>
        <w:gridCol w:w="1439"/>
      </w:tblGrid>
      <w:tr w:rsidR="00F97D54" w:rsidRPr="0063769F" w:rsidTr="00EB5B97">
        <w:trPr>
          <w:trHeight w:val="432"/>
          <w:tblHeader/>
        </w:trPr>
        <w:tc>
          <w:tcPr>
            <w:tcW w:w="9198" w:type="dxa"/>
            <w:gridSpan w:val="4"/>
            <w:tcBorders>
              <w:top w:val="double" w:sz="4" w:space="0" w:color="auto"/>
              <w:bottom w:val="single" w:sz="4" w:space="0" w:color="auto"/>
            </w:tcBorders>
            <w:vAlign w:val="center"/>
          </w:tcPr>
          <w:p w:rsidR="00F97D54" w:rsidRDefault="00F97D54" w:rsidP="00EB5B97">
            <w:pPr>
              <w:jc w:val="center"/>
              <w:rPr>
                <w:b/>
                <w:bCs/>
              </w:rPr>
            </w:pPr>
            <w:r w:rsidRPr="0063769F">
              <w:rPr>
                <w:b/>
              </w:rPr>
              <w:t xml:space="preserve">Table </w:t>
            </w:r>
            <w:r>
              <w:rPr>
                <w:b/>
                <w:bCs/>
              </w:rPr>
              <w:t>II.F.7</w:t>
            </w:r>
          </w:p>
          <w:p w:rsidR="00F97D54" w:rsidRPr="0063769F" w:rsidRDefault="00F97D54" w:rsidP="00EB5B97">
            <w:pPr>
              <w:jc w:val="center"/>
              <w:rPr>
                <w:b/>
              </w:rPr>
            </w:pPr>
            <w:r>
              <w:rPr>
                <w:b/>
                <w:bCs/>
              </w:rPr>
              <w:t xml:space="preserve">Record Format for Expenditures on </w:t>
            </w:r>
            <w:r w:rsidRPr="00713BC6">
              <w:rPr>
                <w:b/>
                <w:bCs/>
                <w:i/>
              </w:rPr>
              <w:t>PBDS</w:t>
            </w:r>
            <w:r>
              <w:rPr>
                <w:b/>
                <w:bCs/>
              </w:rPr>
              <w:t xml:space="preserve"> Pursuant to Non-Tariff Agreement</w:t>
            </w:r>
          </w:p>
        </w:tc>
      </w:tr>
      <w:tr w:rsidR="00F97D54" w:rsidRPr="0063769F" w:rsidTr="00EB5B97">
        <w:trPr>
          <w:trHeight w:val="432"/>
          <w:tblHeader/>
        </w:trPr>
        <w:tc>
          <w:tcPr>
            <w:tcW w:w="2178" w:type="dxa"/>
            <w:tcBorders>
              <w:top w:val="single" w:sz="4" w:space="0" w:color="auto"/>
              <w:bottom w:val="single" w:sz="4" w:space="0" w:color="auto"/>
              <w:right w:val="single" w:sz="4" w:space="0" w:color="auto"/>
            </w:tcBorders>
            <w:vAlign w:val="center"/>
          </w:tcPr>
          <w:p w:rsidR="00F97D54" w:rsidRPr="0063769F" w:rsidRDefault="00F97D54" w:rsidP="00EB5B97">
            <w:pPr>
              <w:rPr>
                <w:b/>
                <w:sz w:val="18"/>
                <w:szCs w:val="18"/>
              </w:rPr>
            </w:pPr>
            <w:r w:rsidRPr="0063769F">
              <w:rPr>
                <w:b/>
                <w:sz w:val="18"/>
                <w:szCs w:val="18"/>
              </w:rPr>
              <w:t>Field Name</w:t>
            </w:r>
          </w:p>
        </w:tc>
        <w:tc>
          <w:tcPr>
            <w:tcW w:w="4590" w:type="dxa"/>
            <w:tcBorders>
              <w:top w:val="single" w:sz="4" w:space="0" w:color="auto"/>
              <w:left w:val="single" w:sz="4" w:space="0" w:color="auto"/>
              <w:bottom w:val="single" w:sz="4" w:space="0" w:color="auto"/>
              <w:right w:val="single" w:sz="4" w:space="0" w:color="auto"/>
            </w:tcBorders>
            <w:vAlign w:val="center"/>
          </w:tcPr>
          <w:p w:rsidR="00F97D54" w:rsidRPr="0063769F" w:rsidRDefault="00F97D54" w:rsidP="00EB5B97">
            <w:pPr>
              <w:rPr>
                <w:b/>
                <w:sz w:val="18"/>
                <w:szCs w:val="18"/>
              </w:rPr>
            </w:pPr>
            <w:r w:rsidRPr="0063769F">
              <w:rPr>
                <w:b/>
                <w:sz w:val="18"/>
                <w:szCs w:val="18"/>
              </w:rPr>
              <w:t>Description</w:t>
            </w:r>
          </w:p>
        </w:tc>
        <w:tc>
          <w:tcPr>
            <w:tcW w:w="991" w:type="dxa"/>
            <w:tcBorders>
              <w:top w:val="single" w:sz="4" w:space="0" w:color="auto"/>
              <w:left w:val="single" w:sz="4" w:space="0" w:color="auto"/>
              <w:bottom w:val="single" w:sz="4" w:space="0" w:color="auto"/>
              <w:right w:val="single" w:sz="4" w:space="0" w:color="auto"/>
            </w:tcBorders>
            <w:vAlign w:val="center"/>
          </w:tcPr>
          <w:p w:rsidR="00F97D54" w:rsidRPr="0063769F" w:rsidRDefault="00F97D54" w:rsidP="00EB5B97">
            <w:pPr>
              <w:rPr>
                <w:b/>
                <w:sz w:val="18"/>
                <w:szCs w:val="18"/>
              </w:rPr>
            </w:pPr>
            <w:r w:rsidRPr="0063769F">
              <w:rPr>
                <w:b/>
                <w:sz w:val="18"/>
                <w:szCs w:val="18"/>
              </w:rPr>
              <w:t>Type</w:t>
            </w:r>
          </w:p>
        </w:tc>
        <w:tc>
          <w:tcPr>
            <w:tcW w:w="1439" w:type="dxa"/>
            <w:tcBorders>
              <w:top w:val="single" w:sz="4" w:space="0" w:color="auto"/>
              <w:left w:val="single" w:sz="4" w:space="0" w:color="auto"/>
              <w:bottom w:val="single" w:sz="4" w:space="0" w:color="auto"/>
            </w:tcBorders>
            <w:vAlign w:val="center"/>
          </w:tcPr>
          <w:p w:rsidR="00F97D54" w:rsidRPr="0063769F" w:rsidRDefault="00F97D54" w:rsidP="00EB5B97">
            <w:pPr>
              <w:ind w:right="-108"/>
              <w:rPr>
                <w:b/>
                <w:sz w:val="18"/>
                <w:szCs w:val="18"/>
              </w:rPr>
            </w:pPr>
            <w:r w:rsidRPr="0063769F">
              <w:rPr>
                <w:b/>
                <w:sz w:val="18"/>
                <w:szCs w:val="18"/>
              </w:rPr>
              <w:t>Example</w:t>
            </w:r>
          </w:p>
        </w:tc>
      </w:tr>
      <w:tr w:rsidR="00F97D54" w:rsidRPr="0063769F" w:rsidTr="00EB5B97">
        <w:trPr>
          <w:trHeight w:val="360"/>
        </w:trPr>
        <w:tc>
          <w:tcPr>
            <w:tcW w:w="2178" w:type="dxa"/>
          </w:tcPr>
          <w:p w:rsidR="00F97D54" w:rsidRDefault="00F97D54" w:rsidP="00EB5B97">
            <w:pPr>
              <w:rPr>
                <w:sz w:val="16"/>
                <w:szCs w:val="16"/>
              </w:rPr>
            </w:pPr>
            <w:r>
              <w:rPr>
                <w:sz w:val="16"/>
                <w:szCs w:val="16"/>
              </w:rPr>
              <w:t>Expenditures</w:t>
            </w:r>
          </w:p>
        </w:tc>
        <w:tc>
          <w:tcPr>
            <w:tcW w:w="4590" w:type="dxa"/>
          </w:tcPr>
          <w:p w:rsidR="00F97D54" w:rsidRPr="00626E23" w:rsidRDefault="00F97D54" w:rsidP="00EB5B97">
            <w:pPr>
              <w:rPr>
                <w:sz w:val="16"/>
                <w:szCs w:val="16"/>
              </w:rPr>
            </w:pPr>
            <w:r>
              <w:rPr>
                <w:sz w:val="16"/>
                <w:szCs w:val="16"/>
              </w:rPr>
              <w:t>Enter the dollar value of expenditures on non-</w:t>
            </w:r>
            <w:r>
              <w:rPr>
                <w:i/>
                <w:sz w:val="16"/>
                <w:szCs w:val="16"/>
              </w:rPr>
              <w:t>Tariffed PBDS</w:t>
            </w:r>
            <w:r>
              <w:rPr>
                <w:sz w:val="16"/>
                <w:szCs w:val="16"/>
              </w:rPr>
              <w:t xml:space="preserve"> service</w:t>
            </w:r>
          </w:p>
        </w:tc>
        <w:tc>
          <w:tcPr>
            <w:tcW w:w="991" w:type="dxa"/>
          </w:tcPr>
          <w:p w:rsidR="00F97D54" w:rsidRDefault="00F97D54" w:rsidP="00EB5B97">
            <w:pPr>
              <w:rPr>
                <w:sz w:val="16"/>
                <w:szCs w:val="16"/>
              </w:rPr>
            </w:pPr>
            <w:r>
              <w:rPr>
                <w:sz w:val="16"/>
                <w:szCs w:val="16"/>
              </w:rPr>
              <w:t>Float</w:t>
            </w:r>
          </w:p>
        </w:tc>
        <w:tc>
          <w:tcPr>
            <w:tcW w:w="1439" w:type="dxa"/>
          </w:tcPr>
          <w:p w:rsidR="00F97D54" w:rsidRPr="0063769F" w:rsidRDefault="00F97D54" w:rsidP="00EB5B97">
            <w:pPr>
              <w:rPr>
                <w:sz w:val="16"/>
                <w:szCs w:val="16"/>
              </w:rPr>
            </w:pPr>
            <w:r>
              <w:rPr>
                <w:sz w:val="16"/>
                <w:szCs w:val="16"/>
              </w:rPr>
              <w:t>4,321.00</w:t>
            </w:r>
          </w:p>
        </w:tc>
      </w:tr>
      <w:tr w:rsidR="00F97D54" w:rsidRPr="0063769F" w:rsidTr="00EB5B97">
        <w:trPr>
          <w:trHeight w:val="360"/>
        </w:trPr>
        <w:tc>
          <w:tcPr>
            <w:tcW w:w="2178" w:type="dxa"/>
          </w:tcPr>
          <w:p w:rsidR="00F97D54" w:rsidRDefault="00F97D54" w:rsidP="00EB5B97">
            <w:pPr>
              <w:rPr>
                <w:sz w:val="16"/>
                <w:szCs w:val="16"/>
              </w:rPr>
            </w:pPr>
            <w:r>
              <w:rPr>
                <w:sz w:val="16"/>
                <w:szCs w:val="16"/>
              </w:rPr>
              <w:t>Provider_Type</w:t>
            </w:r>
          </w:p>
        </w:tc>
        <w:tc>
          <w:tcPr>
            <w:tcW w:w="4590" w:type="dxa"/>
          </w:tcPr>
          <w:p w:rsidR="00F97D54" w:rsidRDefault="00F97D54" w:rsidP="00EB5B97">
            <w:pPr>
              <w:rPr>
                <w:sz w:val="16"/>
                <w:szCs w:val="16"/>
              </w:rPr>
            </w:pPr>
            <w:r>
              <w:rPr>
                <w:sz w:val="16"/>
                <w:szCs w:val="16"/>
              </w:rPr>
              <w:t xml:space="preserve">Enter 0 if the reported expenditures are for purchases from </w:t>
            </w:r>
            <w:r>
              <w:rPr>
                <w:i/>
                <w:sz w:val="16"/>
                <w:szCs w:val="16"/>
              </w:rPr>
              <w:t>ILECs</w:t>
            </w:r>
            <w:r>
              <w:rPr>
                <w:sz w:val="16"/>
                <w:szCs w:val="16"/>
              </w:rPr>
              <w:t xml:space="preserve"> and enter 1 if the reported expenditures are for purchases from </w:t>
            </w:r>
            <w:r>
              <w:rPr>
                <w:i/>
                <w:sz w:val="16"/>
                <w:szCs w:val="16"/>
              </w:rPr>
              <w:t>Competitive Providers</w:t>
            </w:r>
          </w:p>
        </w:tc>
        <w:tc>
          <w:tcPr>
            <w:tcW w:w="991" w:type="dxa"/>
          </w:tcPr>
          <w:p w:rsidR="00F97D54" w:rsidRDefault="00F97D54" w:rsidP="00EB5B97">
            <w:pPr>
              <w:rPr>
                <w:sz w:val="16"/>
                <w:szCs w:val="16"/>
              </w:rPr>
            </w:pPr>
            <w:r>
              <w:rPr>
                <w:sz w:val="16"/>
                <w:szCs w:val="16"/>
              </w:rPr>
              <w:t>Binary</w:t>
            </w:r>
          </w:p>
        </w:tc>
        <w:tc>
          <w:tcPr>
            <w:tcW w:w="1439" w:type="dxa"/>
          </w:tcPr>
          <w:p w:rsidR="00F97D54" w:rsidRDefault="00F97D54" w:rsidP="00EB5B97">
            <w:pPr>
              <w:rPr>
                <w:sz w:val="16"/>
                <w:szCs w:val="16"/>
              </w:rPr>
            </w:pPr>
            <w:r>
              <w:rPr>
                <w:sz w:val="16"/>
                <w:szCs w:val="16"/>
              </w:rPr>
              <w:t>0</w:t>
            </w:r>
          </w:p>
        </w:tc>
      </w:tr>
      <w:tr w:rsidR="00F97D54" w:rsidRPr="0063769F" w:rsidTr="00EB5B97">
        <w:trPr>
          <w:trHeight w:val="360"/>
        </w:trPr>
        <w:tc>
          <w:tcPr>
            <w:tcW w:w="2178" w:type="dxa"/>
          </w:tcPr>
          <w:p w:rsidR="00F97D54" w:rsidRDefault="00F97D54" w:rsidP="00EB5B97">
            <w:pPr>
              <w:rPr>
                <w:sz w:val="16"/>
                <w:szCs w:val="16"/>
              </w:rPr>
            </w:pPr>
            <w:r>
              <w:rPr>
                <w:sz w:val="16"/>
                <w:szCs w:val="16"/>
              </w:rPr>
              <w:t>Bandwidth</w:t>
            </w:r>
          </w:p>
        </w:tc>
        <w:tc>
          <w:tcPr>
            <w:tcW w:w="4590" w:type="dxa"/>
          </w:tcPr>
          <w:p w:rsidR="00F97D54" w:rsidRDefault="00F97D54" w:rsidP="00EB5B97">
            <w:pPr>
              <w:rPr>
                <w:sz w:val="16"/>
                <w:szCs w:val="16"/>
              </w:rPr>
            </w:pPr>
            <w:r>
              <w:rPr>
                <w:sz w:val="16"/>
                <w:szCs w:val="16"/>
              </w:rPr>
              <w:t>Indicate the bandwidth category for which the expenditures are reported.  Enter “A” for bandwidth less than or equal to 1.5 Mbps, enter “B” for bandwidth greater than 1.5 Mbps but less than or equal to 50 Mbps, enter “C” for bandwidth greater than 50 Mbps but less than or equal to 100 Mbps, enter “D” for bandwidth greater than 100 Mbps but less than or equal to 1 Gbps, and enter “E” for bandwidth greater than 1 Gbps</w:t>
            </w:r>
          </w:p>
        </w:tc>
        <w:tc>
          <w:tcPr>
            <w:tcW w:w="991" w:type="dxa"/>
          </w:tcPr>
          <w:p w:rsidR="00F97D54" w:rsidRDefault="00F97D54" w:rsidP="00EB5B97">
            <w:pPr>
              <w:rPr>
                <w:sz w:val="16"/>
                <w:szCs w:val="16"/>
              </w:rPr>
            </w:pPr>
            <w:r>
              <w:rPr>
                <w:sz w:val="16"/>
                <w:szCs w:val="16"/>
              </w:rPr>
              <w:t>Text</w:t>
            </w:r>
          </w:p>
        </w:tc>
        <w:tc>
          <w:tcPr>
            <w:tcW w:w="1439" w:type="dxa"/>
          </w:tcPr>
          <w:p w:rsidR="00F97D54" w:rsidRDefault="00F97D54" w:rsidP="00EB5B97">
            <w:pPr>
              <w:rPr>
                <w:sz w:val="16"/>
                <w:szCs w:val="16"/>
              </w:rPr>
            </w:pPr>
            <w:r>
              <w:rPr>
                <w:sz w:val="16"/>
                <w:szCs w:val="16"/>
              </w:rPr>
              <w:t>B</w:t>
            </w:r>
          </w:p>
        </w:tc>
      </w:tr>
      <w:tr w:rsidR="00F97D54" w:rsidRPr="0063769F" w:rsidTr="00EB5B97">
        <w:trPr>
          <w:trHeight w:val="360"/>
        </w:trPr>
        <w:tc>
          <w:tcPr>
            <w:tcW w:w="2178" w:type="dxa"/>
            <w:tcBorders>
              <w:bottom w:val="double" w:sz="4" w:space="0" w:color="auto"/>
            </w:tcBorders>
          </w:tcPr>
          <w:p w:rsidR="00F97D54" w:rsidRDefault="00F97D54" w:rsidP="00EB5B97">
            <w:pPr>
              <w:rPr>
                <w:sz w:val="16"/>
                <w:szCs w:val="16"/>
              </w:rPr>
            </w:pPr>
            <w:r>
              <w:rPr>
                <w:sz w:val="16"/>
                <w:szCs w:val="16"/>
              </w:rPr>
              <w:t>Year</w:t>
            </w:r>
          </w:p>
        </w:tc>
        <w:tc>
          <w:tcPr>
            <w:tcW w:w="4590" w:type="dxa"/>
            <w:tcBorders>
              <w:bottom w:val="double" w:sz="4" w:space="0" w:color="auto"/>
            </w:tcBorders>
          </w:tcPr>
          <w:p w:rsidR="00F97D54" w:rsidRDefault="00F97D54" w:rsidP="00EB5B97">
            <w:pPr>
              <w:rPr>
                <w:sz w:val="16"/>
                <w:szCs w:val="16"/>
              </w:rPr>
            </w:pPr>
            <w:r>
              <w:rPr>
                <w:sz w:val="16"/>
                <w:szCs w:val="16"/>
              </w:rPr>
              <w:t>Enter “2010” if the reported expenditures are for the year 2010 and enter “2012” if the reported expenditures are for the year 2012</w:t>
            </w:r>
          </w:p>
        </w:tc>
        <w:tc>
          <w:tcPr>
            <w:tcW w:w="991" w:type="dxa"/>
            <w:tcBorders>
              <w:bottom w:val="double" w:sz="4" w:space="0" w:color="auto"/>
            </w:tcBorders>
          </w:tcPr>
          <w:p w:rsidR="00F97D54" w:rsidRDefault="00F97D54" w:rsidP="00EB5B97">
            <w:pPr>
              <w:rPr>
                <w:sz w:val="16"/>
                <w:szCs w:val="16"/>
              </w:rPr>
            </w:pPr>
            <w:r>
              <w:rPr>
                <w:sz w:val="16"/>
                <w:szCs w:val="16"/>
              </w:rPr>
              <w:t>Integer</w:t>
            </w:r>
          </w:p>
        </w:tc>
        <w:tc>
          <w:tcPr>
            <w:tcW w:w="1439" w:type="dxa"/>
            <w:tcBorders>
              <w:bottom w:val="double" w:sz="4" w:space="0" w:color="auto"/>
            </w:tcBorders>
          </w:tcPr>
          <w:p w:rsidR="00F97D54" w:rsidRDefault="00F97D54" w:rsidP="00EB5B97">
            <w:pPr>
              <w:rPr>
                <w:sz w:val="16"/>
                <w:szCs w:val="16"/>
              </w:rPr>
            </w:pPr>
            <w:r>
              <w:rPr>
                <w:sz w:val="16"/>
                <w:szCs w:val="16"/>
              </w:rPr>
              <w:t>2012</w:t>
            </w:r>
          </w:p>
        </w:tc>
      </w:tr>
    </w:tbl>
    <w:p w:rsidR="00F97D54" w:rsidRDefault="00F97D54" w:rsidP="00EB5B97"/>
    <w:p w:rsidR="00F97D54" w:rsidRPr="00864A81" w:rsidRDefault="00F97D54" w:rsidP="00587EB9">
      <w:pPr>
        <w:pStyle w:val="Heading5"/>
        <w:numPr>
          <w:ilvl w:val="0"/>
          <w:numId w:val="0"/>
        </w:numPr>
        <w:spacing w:after="220"/>
      </w:pPr>
      <w:bookmarkStart w:id="170" w:name="_Toc365972152"/>
      <w:r>
        <w:t>Terms and Conditions Information</w:t>
      </w:r>
      <w:bookmarkEnd w:id="170"/>
    </w:p>
    <w:p w:rsidR="00F97D54" w:rsidRPr="001E4D6A" w:rsidRDefault="00F97D54" w:rsidP="001E4D6A">
      <w:pPr>
        <w:pStyle w:val="Heading4"/>
        <w:numPr>
          <w:ilvl w:val="0"/>
          <w:numId w:val="0"/>
        </w:numPr>
        <w:spacing w:after="0"/>
        <w:rPr>
          <w:b w:val="0"/>
          <w:i/>
        </w:rPr>
      </w:pPr>
      <w:bookmarkStart w:id="171" w:name="_Toc365972153"/>
      <w:r w:rsidRPr="001E4D6A">
        <w:rPr>
          <w:b w:val="0"/>
          <w:i/>
        </w:rPr>
        <w:t>Question II.F.8:  Terms and Conditions Constraints</w:t>
      </w:r>
      <w:bookmarkEnd w:id="171"/>
      <w:r w:rsidRPr="001E4D6A">
        <w:rPr>
          <w:b w:val="0"/>
          <w:i/>
        </w:rPr>
        <w:t xml:space="preserve"> </w:t>
      </w:r>
    </w:p>
    <w:p w:rsidR="00F97D54" w:rsidRPr="001E4D6A" w:rsidRDefault="00F97D54" w:rsidP="001E4D6A">
      <w:pPr>
        <w:pStyle w:val="Heading4"/>
        <w:numPr>
          <w:ilvl w:val="0"/>
          <w:numId w:val="0"/>
        </w:numPr>
        <w:spacing w:after="0"/>
        <w:rPr>
          <w:b w:val="0"/>
          <w:i/>
        </w:rPr>
      </w:pPr>
      <w:bookmarkStart w:id="172" w:name="_Toc365972154"/>
      <w:r w:rsidRPr="001E4D6A">
        <w:rPr>
          <w:b w:val="0"/>
          <w:i/>
        </w:rPr>
        <w:t>Question II.F.9:  Changing Transport Providers</w:t>
      </w:r>
      <w:bookmarkEnd w:id="172"/>
      <w:r w:rsidRPr="001E4D6A">
        <w:rPr>
          <w:b w:val="0"/>
          <w:i/>
        </w:rPr>
        <w:t xml:space="preserve"> </w:t>
      </w:r>
    </w:p>
    <w:p w:rsidR="00F97D54" w:rsidRPr="001E4D6A" w:rsidRDefault="00F97D54" w:rsidP="0047272E">
      <w:pPr>
        <w:pStyle w:val="Heading4"/>
        <w:keepNext w:val="0"/>
        <w:widowControl/>
        <w:numPr>
          <w:ilvl w:val="0"/>
          <w:numId w:val="0"/>
        </w:numPr>
        <w:spacing w:after="0"/>
        <w:rPr>
          <w:b w:val="0"/>
          <w:i/>
        </w:rPr>
      </w:pPr>
      <w:bookmarkStart w:id="173" w:name="_Toc365972155"/>
      <w:r w:rsidRPr="001E4D6A">
        <w:rPr>
          <w:b w:val="0"/>
          <w:i/>
        </w:rPr>
        <w:t>Question II.F.10:  Purchases Solely for the Purpose of Meeting a Prior Purchase-Based Commitment</w:t>
      </w:r>
      <w:bookmarkEnd w:id="173"/>
      <w:r w:rsidRPr="001E4D6A">
        <w:rPr>
          <w:b w:val="0"/>
          <w:i/>
        </w:rPr>
        <w:t xml:space="preserve"> </w:t>
      </w:r>
    </w:p>
    <w:p w:rsidR="00F97D54" w:rsidRPr="001E4D6A" w:rsidRDefault="00F97D54" w:rsidP="001E4D6A">
      <w:pPr>
        <w:pStyle w:val="Heading4"/>
        <w:numPr>
          <w:ilvl w:val="0"/>
          <w:numId w:val="0"/>
        </w:numPr>
        <w:spacing w:after="0"/>
        <w:rPr>
          <w:b w:val="0"/>
          <w:i/>
        </w:rPr>
      </w:pPr>
      <w:bookmarkStart w:id="174" w:name="_Toc365972156"/>
      <w:r w:rsidRPr="001E4D6A">
        <w:rPr>
          <w:b w:val="0"/>
          <w:i/>
        </w:rPr>
        <w:t>Question II.F.11:  Switching Providers</w:t>
      </w:r>
      <w:bookmarkEnd w:id="174"/>
      <w:r w:rsidRPr="001E4D6A">
        <w:rPr>
          <w:b w:val="0"/>
          <w:i/>
        </w:rPr>
        <w:t xml:space="preserve"> </w:t>
      </w:r>
    </w:p>
    <w:p w:rsidR="00F97D54" w:rsidRPr="001E4D6A" w:rsidRDefault="00F97D54" w:rsidP="001E4D6A">
      <w:pPr>
        <w:pStyle w:val="Heading4"/>
        <w:numPr>
          <w:ilvl w:val="0"/>
          <w:numId w:val="0"/>
        </w:numPr>
        <w:rPr>
          <w:b w:val="0"/>
          <w:i/>
        </w:rPr>
      </w:pPr>
      <w:bookmarkStart w:id="175" w:name="_Toc365972157"/>
      <w:r w:rsidRPr="001E4D6A">
        <w:rPr>
          <w:b w:val="0"/>
          <w:i/>
        </w:rPr>
        <w:t>Question II.F.12:  Paying One Month Term Only Rates</w:t>
      </w:r>
      <w:bookmarkEnd w:id="175"/>
      <w:r w:rsidRPr="001E4D6A">
        <w:rPr>
          <w:b w:val="0"/>
          <w:i/>
        </w:rPr>
        <w:t xml:space="preserve"> </w:t>
      </w:r>
    </w:p>
    <w:p w:rsidR="00F97D54" w:rsidRDefault="00F97D54" w:rsidP="00EB5B97">
      <w:r>
        <w:t xml:space="preserve">You must upload a .pdf text searchable (not a picture/image) document responding to these questions through the Special Access Web Portal in the “Essay Questions – File Upload” section; you will not include these documents in the data container.  </w:t>
      </w:r>
    </w:p>
    <w:p w:rsidR="00F97D54" w:rsidRDefault="00F97D54" w:rsidP="00EB5B97"/>
    <w:p w:rsidR="00F97D54" w:rsidRPr="00710DC0" w:rsidRDefault="00F97D54" w:rsidP="00EB5B97">
      <w:pPr>
        <w:rPr>
          <w:rStyle w:val="Emphasis"/>
          <w:i w:val="0"/>
        </w:rPr>
      </w:pPr>
      <w:r>
        <w:t xml:space="preserve">The web portal contains two areas for uploading documents for each question.  One is for uploading the “Confidential” version of the document where you </w:t>
      </w:r>
      <w:r>
        <w:rPr>
          <w:rStyle w:val="Emphasis"/>
          <w:i w:val="0"/>
        </w:rPr>
        <w:t xml:space="preserve">will indicate information deemed </w:t>
      </w:r>
      <w:r w:rsidRPr="00974151">
        <w:rPr>
          <w:rStyle w:val="Emphasis"/>
          <w:i w:val="0"/>
        </w:rPr>
        <w:t>Confidential</w:t>
      </w:r>
      <w:r>
        <w:rPr>
          <w:rStyle w:val="Emphasis"/>
          <w:i w:val="0"/>
        </w:rPr>
        <w:t xml:space="preserve"> and redact information that is </w:t>
      </w:r>
      <w:r w:rsidRPr="00974151">
        <w:rPr>
          <w:rStyle w:val="Emphasis"/>
          <w:i w:val="0"/>
        </w:rPr>
        <w:t>Highly Confidential</w:t>
      </w:r>
      <w:r>
        <w:rPr>
          <w:rStyle w:val="Emphasis"/>
          <w:i w:val="0"/>
        </w:rPr>
        <w:t xml:space="preserve"> based on the Protective Order issued for the data collection.  The second area is for uploading the “Highly Confidential” version of the document noting both </w:t>
      </w:r>
      <w:r w:rsidRPr="00974151">
        <w:rPr>
          <w:rStyle w:val="Emphasis"/>
          <w:i w:val="0"/>
        </w:rPr>
        <w:t>Confidential</w:t>
      </w:r>
      <w:r>
        <w:rPr>
          <w:rStyle w:val="Emphasis"/>
          <w:i w:val="0"/>
        </w:rPr>
        <w:t xml:space="preserve"> and </w:t>
      </w:r>
      <w:r w:rsidRPr="00974151">
        <w:rPr>
          <w:rStyle w:val="Emphasis"/>
          <w:i w:val="0"/>
        </w:rPr>
        <w:t>Highly Confidential</w:t>
      </w:r>
      <w:r>
        <w:rPr>
          <w:rStyle w:val="Emphasis"/>
          <w:i w:val="0"/>
        </w:rPr>
        <w:t xml:space="preserve"> information without any redactions.  You must upload at least one document in each area or you will receive an error message during the submission process.  If the document does not contain Confidential or Highly Confidential information, </w:t>
      </w:r>
      <w:r w:rsidRPr="00FF31E9">
        <w:rPr>
          <w:rStyle w:val="Emphasis"/>
        </w:rPr>
        <w:t>e.g.</w:t>
      </w:r>
      <w:r>
        <w:rPr>
          <w:rStyle w:val="Emphasis"/>
          <w:i w:val="0"/>
        </w:rPr>
        <w:t>, all information is publicly available, then upload the document in each area without the relevant Confidential/Highly Confidential notations or redactions in the case of the Confidential upload area.</w:t>
      </w:r>
    </w:p>
    <w:p w:rsidR="00F97D54" w:rsidRDefault="00F97D54" w:rsidP="00EB5B97"/>
    <w:p w:rsidR="00F97D54" w:rsidRDefault="00F97D54" w:rsidP="00EB5B97">
      <w:r w:rsidRPr="00256E2D">
        <w:rPr>
          <w:u w:val="single"/>
        </w:rPr>
        <w:t>Additional Note for Question</w:t>
      </w:r>
      <w:r>
        <w:rPr>
          <w:u w:val="single"/>
        </w:rPr>
        <w:t>s</w:t>
      </w:r>
      <w:r w:rsidRPr="00256E2D">
        <w:rPr>
          <w:u w:val="single"/>
        </w:rPr>
        <w:t xml:space="preserve"> II.</w:t>
      </w:r>
      <w:r>
        <w:rPr>
          <w:u w:val="single"/>
        </w:rPr>
        <w:t>F</w:t>
      </w:r>
      <w:r w:rsidRPr="00256E2D">
        <w:rPr>
          <w:u w:val="single"/>
        </w:rPr>
        <w:t>.</w:t>
      </w:r>
      <w:r>
        <w:rPr>
          <w:u w:val="single"/>
        </w:rPr>
        <w:t>8-10</w:t>
      </w:r>
      <w:r>
        <w:t xml:space="preserve">.  </w:t>
      </w:r>
      <w:r>
        <w:rPr>
          <w:szCs w:val="22"/>
        </w:rPr>
        <w:t>The</w:t>
      </w:r>
      <w:r w:rsidRPr="00904906">
        <w:rPr>
          <w:szCs w:val="22"/>
        </w:rPr>
        <w:t>s</w:t>
      </w:r>
      <w:r>
        <w:rPr>
          <w:szCs w:val="22"/>
        </w:rPr>
        <w:t>e</w:t>
      </w:r>
      <w:r w:rsidRPr="00904906">
        <w:rPr>
          <w:szCs w:val="22"/>
        </w:rPr>
        <w:t xml:space="preserve"> question</w:t>
      </w:r>
      <w:r>
        <w:rPr>
          <w:szCs w:val="22"/>
        </w:rPr>
        <w:t>s</w:t>
      </w:r>
      <w:r w:rsidRPr="00904906">
        <w:rPr>
          <w:szCs w:val="22"/>
        </w:rPr>
        <w:t xml:space="preserve"> </w:t>
      </w:r>
      <w:r>
        <w:rPr>
          <w:szCs w:val="22"/>
        </w:rPr>
        <w:t>are</w:t>
      </w:r>
      <w:r w:rsidRPr="00904906">
        <w:rPr>
          <w:szCs w:val="22"/>
        </w:rPr>
        <w:t xml:space="preserve"> intended to give you an opportunity to discuss any alleged </w:t>
      </w:r>
      <w:r>
        <w:rPr>
          <w:szCs w:val="22"/>
        </w:rPr>
        <w:t>concerns</w:t>
      </w:r>
      <w:r w:rsidRPr="00904906">
        <w:rPr>
          <w:szCs w:val="22"/>
        </w:rPr>
        <w:t xml:space="preserve"> that you are having with terms and conditions associated with the purchase of </w:t>
      </w:r>
      <w:r w:rsidRPr="00904906">
        <w:rPr>
          <w:i/>
          <w:szCs w:val="22"/>
        </w:rPr>
        <w:t>Dedicated Services</w:t>
      </w:r>
      <w:r>
        <w:rPr>
          <w:szCs w:val="22"/>
        </w:rPr>
        <w:t xml:space="preserve"> or with changing </w:t>
      </w:r>
      <w:r w:rsidRPr="00C03F08">
        <w:rPr>
          <w:i/>
          <w:szCs w:val="22"/>
        </w:rPr>
        <w:t>Providers</w:t>
      </w:r>
      <w:r w:rsidRPr="00904906">
        <w:rPr>
          <w:szCs w:val="22"/>
        </w:rPr>
        <w:t xml:space="preserve">.  If you do not need, or want, to provide a response, </w:t>
      </w:r>
      <w:r w:rsidRPr="00904906">
        <w:rPr>
          <w:i/>
          <w:szCs w:val="22"/>
        </w:rPr>
        <w:t>e.g.</w:t>
      </w:r>
      <w:r w:rsidRPr="00904906">
        <w:rPr>
          <w:szCs w:val="22"/>
        </w:rPr>
        <w:t xml:space="preserve">, you do not have any alleged </w:t>
      </w:r>
      <w:r>
        <w:rPr>
          <w:szCs w:val="22"/>
        </w:rPr>
        <w:t>concerns</w:t>
      </w:r>
      <w:r w:rsidRPr="00904906">
        <w:rPr>
          <w:szCs w:val="22"/>
        </w:rPr>
        <w:t xml:space="preserve"> with terms and conditions, then you can simply respond</w:t>
      </w:r>
      <w:r>
        <w:rPr>
          <w:szCs w:val="22"/>
        </w:rPr>
        <w:t xml:space="preserve"> stating as such.</w:t>
      </w:r>
      <w:r w:rsidRPr="00904906">
        <w:rPr>
          <w:szCs w:val="22"/>
        </w:rPr>
        <w:t xml:space="preserve">  </w:t>
      </w:r>
    </w:p>
    <w:p w:rsidR="00F97D54" w:rsidRDefault="00F97D54" w:rsidP="00EB5B97"/>
    <w:p w:rsidR="00F97D54" w:rsidRDefault="00F97D54" w:rsidP="00EB5B97">
      <w:r w:rsidRPr="00C12612">
        <w:rPr>
          <w:u w:val="single"/>
        </w:rPr>
        <w:t>Additional Note for Question II.F.11</w:t>
      </w:r>
      <w:r>
        <w:t xml:space="preserve">.  The purpose of this question is to assess the frequency of switching </w:t>
      </w:r>
      <w:r w:rsidRPr="00750538">
        <w:rPr>
          <w:i/>
        </w:rPr>
        <w:t>Providers</w:t>
      </w:r>
      <w:r>
        <w:t xml:space="preserve"> for </w:t>
      </w:r>
      <w:r w:rsidRPr="00750538">
        <w:rPr>
          <w:i/>
        </w:rPr>
        <w:t>End-User Channel Terminations</w:t>
      </w:r>
      <w:r>
        <w:t xml:space="preserve"> at as granular a geographic level as possible.  Respondents may define their own geographic areas.  Given the level of detail required in other parts of the data collection, respondents need only provide switching history in five geographic areas of their choice or more.  Respondents may provide switching history for less than five years if they do not keep such information in the regular course of business.</w:t>
      </w:r>
    </w:p>
    <w:p w:rsidR="00F97D54" w:rsidRDefault="00F97D54" w:rsidP="00EB5B97"/>
    <w:p w:rsidR="00F97D54" w:rsidRDefault="00F97D54" w:rsidP="00EB5B97">
      <w:r w:rsidRPr="00326E14">
        <w:rPr>
          <w:u w:val="single"/>
        </w:rPr>
        <w:t>A</w:t>
      </w:r>
      <w:r>
        <w:rPr>
          <w:u w:val="single"/>
        </w:rPr>
        <w:t>dditional Note for Question II.F</w:t>
      </w:r>
      <w:r w:rsidRPr="00326E14">
        <w:rPr>
          <w:u w:val="single"/>
        </w:rPr>
        <w:t>.1</w:t>
      </w:r>
      <w:r>
        <w:rPr>
          <w:u w:val="single"/>
        </w:rPr>
        <w:t>2</w:t>
      </w:r>
      <w:r>
        <w:t xml:space="preserve">.  The purpose of this question is to understand the economic impact of paying </w:t>
      </w:r>
      <w:r w:rsidRPr="00326E14">
        <w:rPr>
          <w:i/>
        </w:rPr>
        <w:t>One Month Term Only Rates</w:t>
      </w:r>
      <w:r>
        <w:t xml:space="preserve"> on your business and consumers.  Given the level of detail required in other parts of the data collection, respondents may provide information over a shorter timeframe.  Alternatively, respondents who do not need or want to provide a response, </w:t>
      </w:r>
      <w:r w:rsidRPr="00326E14">
        <w:rPr>
          <w:i/>
        </w:rPr>
        <w:t>e.g.</w:t>
      </w:r>
      <w:r>
        <w:t xml:space="preserve">, you do not have any alleged concerns with the terms and conditions, then you can simply respond stating as such.  </w:t>
      </w:r>
    </w:p>
    <w:p w:rsidR="00F97D54" w:rsidRDefault="00F97D54" w:rsidP="00EB5B97"/>
    <w:p w:rsidR="00F97D54" w:rsidRPr="001E4D6A" w:rsidRDefault="00F97D54" w:rsidP="001E4D6A">
      <w:pPr>
        <w:pStyle w:val="Heading4"/>
        <w:numPr>
          <w:ilvl w:val="0"/>
          <w:numId w:val="0"/>
        </w:numPr>
        <w:rPr>
          <w:b w:val="0"/>
          <w:i/>
        </w:rPr>
      </w:pPr>
      <w:bookmarkStart w:id="176" w:name="_Toc365972158"/>
      <w:r w:rsidRPr="001E4D6A">
        <w:rPr>
          <w:b w:val="0"/>
          <w:i/>
        </w:rPr>
        <w:t>Question II.F.13:  Tariffs under which you Purchase Service</w:t>
      </w:r>
      <w:bookmarkEnd w:id="176"/>
      <w:r w:rsidRPr="001E4D6A">
        <w:rPr>
          <w:b w:val="0"/>
          <w:i/>
        </w:rPr>
        <w:t xml:space="preserve"> </w:t>
      </w:r>
    </w:p>
    <w:tbl>
      <w:tblPr>
        <w:tblW w:w="8838" w:type="dxa"/>
        <w:tblLook w:val="01E0" w:firstRow="1" w:lastRow="1" w:firstColumn="1" w:lastColumn="1" w:noHBand="0" w:noVBand="0"/>
      </w:tblPr>
      <w:tblGrid>
        <w:gridCol w:w="2679"/>
        <w:gridCol w:w="3823"/>
        <w:gridCol w:w="991"/>
        <w:gridCol w:w="1345"/>
      </w:tblGrid>
      <w:tr w:rsidR="00F97D54" w:rsidRPr="0063769F" w:rsidTr="00EB5B97">
        <w:trPr>
          <w:trHeight w:val="432"/>
          <w:tblHeader/>
        </w:trPr>
        <w:tc>
          <w:tcPr>
            <w:tcW w:w="8838" w:type="dxa"/>
            <w:gridSpan w:val="4"/>
            <w:tcBorders>
              <w:top w:val="double" w:sz="4" w:space="0" w:color="auto"/>
              <w:bottom w:val="single" w:sz="4" w:space="0" w:color="auto"/>
            </w:tcBorders>
            <w:vAlign w:val="center"/>
          </w:tcPr>
          <w:p w:rsidR="00F97D54" w:rsidRDefault="00F97D54" w:rsidP="00EB5B97">
            <w:pPr>
              <w:jc w:val="center"/>
              <w:rPr>
                <w:b/>
                <w:bCs/>
              </w:rPr>
            </w:pPr>
            <w:r w:rsidRPr="0063769F">
              <w:rPr>
                <w:b/>
              </w:rPr>
              <w:t xml:space="preserve">Table </w:t>
            </w:r>
            <w:r>
              <w:rPr>
                <w:b/>
                <w:bCs/>
              </w:rPr>
              <w:t>II.F.13</w:t>
            </w:r>
          </w:p>
          <w:p w:rsidR="00F97D54" w:rsidRPr="0063769F" w:rsidRDefault="00F97D54" w:rsidP="00EB5B97">
            <w:pPr>
              <w:jc w:val="center"/>
              <w:rPr>
                <w:b/>
              </w:rPr>
            </w:pPr>
            <w:r>
              <w:rPr>
                <w:b/>
                <w:bCs/>
              </w:rPr>
              <w:t xml:space="preserve">Record Format for </w:t>
            </w:r>
            <w:r w:rsidRPr="00F05758">
              <w:rPr>
                <w:b/>
                <w:bCs/>
                <w:i/>
              </w:rPr>
              <w:t>Tariffs</w:t>
            </w:r>
            <w:r>
              <w:rPr>
                <w:b/>
                <w:bCs/>
              </w:rPr>
              <w:t xml:space="preserve"> under which you Purchase Service</w:t>
            </w:r>
          </w:p>
        </w:tc>
      </w:tr>
      <w:tr w:rsidR="00F97D54" w:rsidRPr="0063769F" w:rsidTr="00EB5B97">
        <w:trPr>
          <w:trHeight w:val="432"/>
          <w:tblHeader/>
        </w:trPr>
        <w:tc>
          <w:tcPr>
            <w:tcW w:w="2679" w:type="dxa"/>
            <w:tcBorders>
              <w:top w:val="single" w:sz="4" w:space="0" w:color="auto"/>
              <w:bottom w:val="single" w:sz="4" w:space="0" w:color="auto"/>
              <w:right w:val="single" w:sz="4" w:space="0" w:color="auto"/>
            </w:tcBorders>
            <w:vAlign w:val="center"/>
          </w:tcPr>
          <w:p w:rsidR="00F97D54" w:rsidRPr="0063769F" w:rsidRDefault="00F97D54" w:rsidP="00EB5B97">
            <w:pPr>
              <w:rPr>
                <w:b/>
                <w:sz w:val="18"/>
                <w:szCs w:val="18"/>
              </w:rPr>
            </w:pPr>
            <w:r w:rsidRPr="0063769F">
              <w:rPr>
                <w:b/>
                <w:sz w:val="18"/>
                <w:szCs w:val="18"/>
              </w:rPr>
              <w:t>Field Name</w:t>
            </w:r>
          </w:p>
        </w:tc>
        <w:tc>
          <w:tcPr>
            <w:tcW w:w="3823" w:type="dxa"/>
            <w:tcBorders>
              <w:top w:val="single" w:sz="4" w:space="0" w:color="auto"/>
              <w:left w:val="single" w:sz="4" w:space="0" w:color="auto"/>
              <w:bottom w:val="single" w:sz="4" w:space="0" w:color="auto"/>
              <w:right w:val="single" w:sz="4" w:space="0" w:color="auto"/>
            </w:tcBorders>
            <w:vAlign w:val="center"/>
          </w:tcPr>
          <w:p w:rsidR="00F97D54" w:rsidRPr="00512AA0" w:rsidRDefault="00F97D54" w:rsidP="00EB5B97">
            <w:pPr>
              <w:rPr>
                <w:b/>
                <w:sz w:val="18"/>
                <w:szCs w:val="18"/>
              </w:rPr>
            </w:pPr>
            <w:r w:rsidRPr="00512AA0">
              <w:rPr>
                <w:b/>
                <w:sz w:val="18"/>
                <w:szCs w:val="18"/>
              </w:rPr>
              <w:t>Description</w:t>
            </w:r>
          </w:p>
        </w:tc>
        <w:tc>
          <w:tcPr>
            <w:tcW w:w="991" w:type="dxa"/>
            <w:tcBorders>
              <w:top w:val="single" w:sz="4" w:space="0" w:color="auto"/>
              <w:left w:val="single" w:sz="4" w:space="0" w:color="auto"/>
              <w:bottom w:val="single" w:sz="4" w:space="0" w:color="auto"/>
              <w:right w:val="single" w:sz="4" w:space="0" w:color="auto"/>
            </w:tcBorders>
            <w:vAlign w:val="center"/>
          </w:tcPr>
          <w:p w:rsidR="00F97D54" w:rsidRPr="0063769F" w:rsidRDefault="00F97D54" w:rsidP="00EB5B97">
            <w:pPr>
              <w:rPr>
                <w:b/>
                <w:sz w:val="18"/>
                <w:szCs w:val="18"/>
              </w:rPr>
            </w:pPr>
            <w:r w:rsidRPr="0063769F">
              <w:rPr>
                <w:b/>
                <w:sz w:val="18"/>
                <w:szCs w:val="18"/>
              </w:rPr>
              <w:t>Type</w:t>
            </w:r>
          </w:p>
        </w:tc>
        <w:tc>
          <w:tcPr>
            <w:tcW w:w="1345" w:type="dxa"/>
            <w:tcBorders>
              <w:top w:val="single" w:sz="4" w:space="0" w:color="auto"/>
              <w:left w:val="single" w:sz="4" w:space="0" w:color="auto"/>
              <w:bottom w:val="single" w:sz="4" w:space="0" w:color="auto"/>
            </w:tcBorders>
            <w:vAlign w:val="center"/>
          </w:tcPr>
          <w:p w:rsidR="00F97D54" w:rsidRPr="0063769F" w:rsidRDefault="00F97D54" w:rsidP="00EB5B97">
            <w:pPr>
              <w:ind w:right="-108"/>
              <w:rPr>
                <w:b/>
                <w:sz w:val="18"/>
                <w:szCs w:val="18"/>
              </w:rPr>
            </w:pPr>
            <w:r w:rsidRPr="0063769F">
              <w:rPr>
                <w:b/>
                <w:sz w:val="18"/>
                <w:szCs w:val="18"/>
              </w:rPr>
              <w:t>Example</w:t>
            </w:r>
          </w:p>
        </w:tc>
      </w:tr>
      <w:tr w:rsidR="00F97D54" w:rsidRPr="00551AAF" w:rsidTr="00EB5B97">
        <w:trPr>
          <w:trHeight w:val="360"/>
        </w:trPr>
        <w:tc>
          <w:tcPr>
            <w:tcW w:w="2679" w:type="dxa"/>
          </w:tcPr>
          <w:p w:rsidR="00F97D54" w:rsidRDefault="00F97D54" w:rsidP="00EB5B97">
            <w:pPr>
              <w:rPr>
                <w:sz w:val="16"/>
                <w:szCs w:val="16"/>
              </w:rPr>
            </w:pPr>
            <w:r>
              <w:rPr>
                <w:sz w:val="16"/>
                <w:szCs w:val="16"/>
              </w:rPr>
              <w:t>Tar_Plan</w:t>
            </w:r>
          </w:p>
        </w:tc>
        <w:tc>
          <w:tcPr>
            <w:tcW w:w="3823" w:type="dxa"/>
          </w:tcPr>
          <w:p w:rsidR="00F97D54" w:rsidRPr="00512AA0" w:rsidRDefault="00F97D54" w:rsidP="00EB5B97">
            <w:pPr>
              <w:rPr>
                <w:sz w:val="16"/>
                <w:szCs w:val="16"/>
              </w:rPr>
            </w:pPr>
            <w:r>
              <w:rPr>
                <w:sz w:val="16"/>
                <w:szCs w:val="16"/>
              </w:rPr>
              <w:t xml:space="preserve">Plan is a </w:t>
            </w:r>
            <w:r w:rsidRPr="00FD0F54">
              <w:rPr>
                <w:i/>
                <w:sz w:val="16"/>
                <w:szCs w:val="16"/>
              </w:rPr>
              <w:t>Tariff Plan</w:t>
            </w:r>
            <w:r>
              <w:rPr>
                <w:sz w:val="16"/>
                <w:szCs w:val="16"/>
              </w:rPr>
              <w:t xml:space="preserve"> (Y=Yes, N=No) </w:t>
            </w:r>
          </w:p>
        </w:tc>
        <w:tc>
          <w:tcPr>
            <w:tcW w:w="991" w:type="dxa"/>
          </w:tcPr>
          <w:p w:rsidR="00F97D54" w:rsidRDefault="00F97D54" w:rsidP="00EB5B97">
            <w:pPr>
              <w:rPr>
                <w:sz w:val="16"/>
                <w:szCs w:val="16"/>
              </w:rPr>
            </w:pPr>
            <w:r>
              <w:rPr>
                <w:sz w:val="16"/>
                <w:szCs w:val="16"/>
              </w:rPr>
              <w:t>Text</w:t>
            </w:r>
          </w:p>
        </w:tc>
        <w:tc>
          <w:tcPr>
            <w:tcW w:w="1345" w:type="dxa"/>
          </w:tcPr>
          <w:p w:rsidR="00F97D54" w:rsidRDefault="00F97D54" w:rsidP="00EB5B97">
            <w:pPr>
              <w:rPr>
                <w:sz w:val="16"/>
                <w:szCs w:val="16"/>
              </w:rPr>
            </w:pPr>
            <w:r>
              <w:rPr>
                <w:sz w:val="16"/>
                <w:szCs w:val="16"/>
              </w:rPr>
              <w:t>Y</w:t>
            </w:r>
          </w:p>
        </w:tc>
      </w:tr>
      <w:tr w:rsidR="00F97D54" w:rsidRPr="00551AAF" w:rsidTr="00EB5B97">
        <w:trPr>
          <w:trHeight w:val="360"/>
        </w:trPr>
        <w:tc>
          <w:tcPr>
            <w:tcW w:w="2679" w:type="dxa"/>
          </w:tcPr>
          <w:p w:rsidR="00F97D54" w:rsidRDefault="00F97D54" w:rsidP="00EB5B97">
            <w:pPr>
              <w:rPr>
                <w:sz w:val="16"/>
                <w:szCs w:val="16"/>
              </w:rPr>
            </w:pPr>
            <w:r>
              <w:rPr>
                <w:sz w:val="16"/>
                <w:szCs w:val="16"/>
              </w:rPr>
              <w:t>Tariff_Name</w:t>
            </w:r>
          </w:p>
        </w:tc>
        <w:tc>
          <w:tcPr>
            <w:tcW w:w="3823" w:type="dxa"/>
          </w:tcPr>
          <w:p w:rsidR="00F97D54" w:rsidRPr="0014363F" w:rsidRDefault="00F97D54" w:rsidP="00EB5B97">
            <w:pPr>
              <w:rPr>
                <w:sz w:val="16"/>
                <w:szCs w:val="16"/>
              </w:rPr>
            </w:pPr>
            <w:r>
              <w:rPr>
                <w:sz w:val="16"/>
                <w:szCs w:val="16"/>
              </w:rPr>
              <w:t xml:space="preserve">Name of </w:t>
            </w:r>
            <w:r w:rsidRPr="00FD0F54">
              <w:rPr>
                <w:i/>
                <w:sz w:val="16"/>
                <w:szCs w:val="16"/>
              </w:rPr>
              <w:t>Tariff</w:t>
            </w:r>
            <w:r>
              <w:rPr>
                <w:i/>
                <w:sz w:val="16"/>
                <w:szCs w:val="16"/>
              </w:rPr>
              <w:t xml:space="preserve"> </w:t>
            </w:r>
            <w:r w:rsidRPr="00BC256E">
              <w:rPr>
                <w:i/>
                <w:sz w:val="16"/>
                <w:szCs w:val="16"/>
              </w:rPr>
              <w:t>Plan</w:t>
            </w:r>
            <w:r>
              <w:rPr>
                <w:sz w:val="16"/>
                <w:szCs w:val="16"/>
              </w:rPr>
              <w:t xml:space="preserve"> </w:t>
            </w:r>
          </w:p>
        </w:tc>
        <w:tc>
          <w:tcPr>
            <w:tcW w:w="991" w:type="dxa"/>
          </w:tcPr>
          <w:p w:rsidR="00F97D54" w:rsidRDefault="00F97D54" w:rsidP="00EB5B97">
            <w:pPr>
              <w:rPr>
                <w:sz w:val="16"/>
                <w:szCs w:val="16"/>
              </w:rPr>
            </w:pPr>
            <w:r>
              <w:rPr>
                <w:sz w:val="16"/>
                <w:szCs w:val="16"/>
              </w:rPr>
              <w:t>Text</w:t>
            </w:r>
          </w:p>
        </w:tc>
        <w:tc>
          <w:tcPr>
            <w:tcW w:w="1345" w:type="dxa"/>
          </w:tcPr>
          <w:p w:rsidR="00F97D54" w:rsidRDefault="00F97D54" w:rsidP="00EB5B97">
            <w:pPr>
              <w:rPr>
                <w:sz w:val="16"/>
                <w:szCs w:val="16"/>
              </w:rPr>
            </w:pPr>
            <w:r>
              <w:rPr>
                <w:sz w:val="16"/>
                <w:szCs w:val="16"/>
              </w:rPr>
              <w:t>Regional Volume Discount Plan</w:t>
            </w:r>
          </w:p>
        </w:tc>
      </w:tr>
      <w:tr w:rsidR="00F97D54" w:rsidRPr="00551AAF" w:rsidTr="00EB5B97">
        <w:trPr>
          <w:trHeight w:val="360"/>
        </w:trPr>
        <w:tc>
          <w:tcPr>
            <w:tcW w:w="2679" w:type="dxa"/>
          </w:tcPr>
          <w:p w:rsidR="00F97D54" w:rsidRDefault="00F97D54" w:rsidP="00EB5B97">
            <w:pPr>
              <w:rPr>
                <w:sz w:val="16"/>
                <w:szCs w:val="16"/>
              </w:rPr>
            </w:pPr>
            <w:r>
              <w:rPr>
                <w:sz w:val="16"/>
                <w:szCs w:val="16"/>
              </w:rPr>
              <w:t>TP_Provider</w:t>
            </w:r>
          </w:p>
        </w:tc>
        <w:tc>
          <w:tcPr>
            <w:tcW w:w="3823" w:type="dxa"/>
          </w:tcPr>
          <w:p w:rsidR="00F97D54" w:rsidRPr="00512AA0" w:rsidRDefault="00F97D54" w:rsidP="00EB5B97">
            <w:pPr>
              <w:rPr>
                <w:sz w:val="16"/>
                <w:szCs w:val="16"/>
              </w:rPr>
            </w:pPr>
            <w:r>
              <w:rPr>
                <w:sz w:val="16"/>
                <w:szCs w:val="16"/>
              </w:rPr>
              <w:t xml:space="preserve">The </w:t>
            </w:r>
            <w:r w:rsidRPr="00BC256E">
              <w:rPr>
                <w:i/>
                <w:sz w:val="16"/>
                <w:szCs w:val="16"/>
              </w:rPr>
              <w:t>Tariff Plan</w:t>
            </w:r>
            <w:r>
              <w:rPr>
                <w:sz w:val="16"/>
                <w:szCs w:val="16"/>
              </w:rPr>
              <w:t xml:space="preserve"> </w:t>
            </w:r>
            <w:r w:rsidRPr="00FD0F54">
              <w:rPr>
                <w:i/>
                <w:sz w:val="16"/>
                <w:szCs w:val="16"/>
              </w:rPr>
              <w:t>Provider</w:t>
            </w:r>
            <w:r>
              <w:rPr>
                <w:sz w:val="16"/>
                <w:szCs w:val="16"/>
              </w:rPr>
              <w:t xml:space="preserve"> name </w:t>
            </w:r>
          </w:p>
        </w:tc>
        <w:tc>
          <w:tcPr>
            <w:tcW w:w="991" w:type="dxa"/>
          </w:tcPr>
          <w:p w:rsidR="00F97D54" w:rsidRDefault="00F97D54" w:rsidP="00EB5B97">
            <w:pPr>
              <w:rPr>
                <w:sz w:val="16"/>
                <w:szCs w:val="16"/>
              </w:rPr>
            </w:pPr>
            <w:r>
              <w:rPr>
                <w:sz w:val="16"/>
                <w:szCs w:val="16"/>
              </w:rPr>
              <w:t>Text</w:t>
            </w:r>
          </w:p>
        </w:tc>
        <w:tc>
          <w:tcPr>
            <w:tcW w:w="1345" w:type="dxa"/>
          </w:tcPr>
          <w:p w:rsidR="00F97D54" w:rsidRDefault="00F97D54" w:rsidP="00EB5B97">
            <w:pPr>
              <w:rPr>
                <w:sz w:val="16"/>
                <w:szCs w:val="16"/>
              </w:rPr>
            </w:pPr>
            <w:r>
              <w:rPr>
                <w:sz w:val="16"/>
                <w:szCs w:val="16"/>
              </w:rPr>
              <w:t>ABC Company</w:t>
            </w:r>
          </w:p>
        </w:tc>
      </w:tr>
      <w:tr w:rsidR="00F97D54" w:rsidRPr="00551AAF" w:rsidTr="00EB5B97">
        <w:trPr>
          <w:trHeight w:val="360"/>
        </w:trPr>
        <w:tc>
          <w:tcPr>
            <w:tcW w:w="2679" w:type="dxa"/>
          </w:tcPr>
          <w:p w:rsidR="00F97D54" w:rsidRDefault="00F97D54" w:rsidP="00EB5B97">
            <w:pPr>
              <w:rPr>
                <w:sz w:val="16"/>
                <w:szCs w:val="16"/>
              </w:rPr>
            </w:pPr>
            <w:r>
              <w:rPr>
                <w:sz w:val="16"/>
                <w:szCs w:val="16"/>
              </w:rPr>
              <w:t>TP_Tariff_Number</w:t>
            </w:r>
          </w:p>
        </w:tc>
        <w:tc>
          <w:tcPr>
            <w:tcW w:w="3823" w:type="dxa"/>
          </w:tcPr>
          <w:p w:rsidR="00F97D54" w:rsidRPr="00512AA0" w:rsidRDefault="00F97D54" w:rsidP="00EB5B97">
            <w:pPr>
              <w:rPr>
                <w:sz w:val="16"/>
                <w:szCs w:val="16"/>
              </w:rPr>
            </w:pPr>
            <w:r>
              <w:rPr>
                <w:sz w:val="16"/>
                <w:szCs w:val="16"/>
              </w:rPr>
              <w:t xml:space="preserve">The </w:t>
            </w:r>
            <w:r w:rsidRPr="00BC256E">
              <w:rPr>
                <w:i/>
                <w:sz w:val="16"/>
                <w:szCs w:val="16"/>
              </w:rPr>
              <w:t>Tariff Plan</w:t>
            </w:r>
            <w:r>
              <w:rPr>
                <w:sz w:val="16"/>
                <w:szCs w:val="16"/>
              </w:rPr>
              <w:t xml:space="preserve"> Name and Section Number </w:t>
            </w:r>
          </w:p>
        </w:tc>
        <w:tc>
          <w:tcPr>
            <w:tcW w:w="991" w:type="dxa"/>
          </w:tcPr>
          <w:p w:rsidR="00F97D54" w:rsidRDefault="00F97D54" w:rsidP="00EB5B97">
            <w:pPr>
              <w:rPr>
                <w:sz w:val="16"/>
                <w:szCs w:val="16"/>
              </w:rPr>
            </w:pPr>
            <w:r>
              <w:rPr>
                <w:sz w:val="16"/>
                <w:szCs w:val="16"/>
              </w:rPr>
              <w:t>Text</w:t>
            </w:r>
          </w:p>
        </w:tc>
        <w:tc>
          <w:tcPr>
            <w:tcW w:w="1345" w:type="dxa"/>
          </w:tcPr>
          <w:p w:rsidR="00F97D54" w:rsidRDefault="00F97D54" w:rsidP="00EB5B97">
            <w:pPr>
              <w:rPr>
                <w:sz w:val="16"/>
                <w:szCs w:val="16"/>
              </w:rPr>
            </w:pPr>
            <w:r>
              <w:rPr>
                <w:sz w:val="16"/>
                <w:szCs w:val="16"/>
              </w:rPr>
              <w:t>ABC Tariff FCC No. 2 § 7.4.15</w:t>
            </w:r>
          </w:p>
        </w:tc>
      </w:tr>
      <w:tr w:rsidR="00F97D54" w:rsidRPr="00551AAF" w:rsidTr="00EB5B97">
        <w:trPr>
          <w:trHeight w:val="360"/>
        </w:trPr>
        <w:tc>
          <w:tcPr>
            <w:tcW w:w="2679" w:type="dxa"/>
          </w:tcPr>
          <w:p w:rsidR="00F97D54" w:rsidRDefault="00F97D54" w:rsidP="00EB5B97">
            <w:pPr>
              <w:rPr>
                <w:sz w:val="16"/>
                <w:szCs w:val="16"/>
              </w:rPr>
            </w:pPr>
            <w:r>
              <w:rPr>
                <w:sz w:val="16"/>
                <w:szCs w:val="16"/>
              </w:rPr>
              <w:t>CBT_Plan</w:t>
            </w:r>
          </w:p>
        </w:tc>
        <w:tc>
          <w:tcPr>
            <w:tcW w:w="3823" w:type="dxa"/>
          </w:tcPr>
          <w:p w:rsidR="00F97D54" w:rsidRDefault="00F97D54" w:rsidP="00EB5B97">
            <w:pPr>
              <w:rPr>
                <w:sz w:val="16"/>
                <w:szCs w:val="16"/>
              </w:rPr>
            </w:pPr>
            <w:r>
              <w:rPr>
                <w:sz w:val="16"/>
                <w:szCs w:val="16"/>
              </w:rPr>
              <w:t xml:space="preserve">Plan is a </w:t>
            </w:r>
            <w:r>
              <w:rPr>
                <w:i/>
                <w:sz w:val="16"/>
                <w:szCs w:val="16"/>
              </w:rPr>
              <w:t>Contract-</w:t>
            </w:r>
            <w:r w:rsidRPr="00FD0F54">
              <w:rPr>
                <w:i/>
                <w:sz w:val="16"/>
                <w:szCs w:val="16"/>
              </w:rPr>
              <w:t>Based Tariff</w:t>
            </w:r>
            <w:r>
              <w:rPr>
                <w:i/>
                <w:sz w:val="16"/>
                <w:szCs w:val="16"/>
              </w:rPr>
              <w:t xml:space="preserve"> </w:t>
            </w:r>
            <w:r>
              <w:rPr>
                <w:sz w:val="16"/>
                <w:szCs w:val="16"/>
              </w:rPr>
              <w:t xml:space="preserve">(Y=Yes, N=No) </w:t>
            </w:r>
          </w:p>
        </w:tc>
        <w:tc>
          <w:tcPr>
            <w:tcW w:w="991" w:type="dxa"/>
          </w:tcPr>
          <w:p w:rsidR="00F97D54" w:rsidRDefault="00F97D54" w:rsidP="00EB5B97">
            <w:pPr>
              <w:rPr>
                <w:sz w:val="16"/>
                <w:szCs w:val="16"/>
              </w:rPr>
            </w:pPr>
            <w:r>
              <w:rPr>
                <w:sz w:val="16"/>
                <w:szCs w:val="16"/>
              </w:rPr>
              <w:t>Text</w:t>
            </w:r>
          </w:p>
        </w:tc>
        <w:tc>
          <w:tcPr>
            <w:tcW w:w="1345" w:type="dxa"/>
          </w:tcPr>
          <w:p w:rsidR="00F97D54" w:rsidRDefault="00F97D54" w:rsidP="00EB5B97">
            <w:pPr>
              <w:rPr>
                <w:sz w:val="16"/>
                <w:szCs w:val="16"/>
              </w:rPr>
            </w:pPr>
            <w:r>
              <w:rPr>
                <w:sz w:val="16"/>
                <w:szCs w:val="16"/>
              </w:rPr>
              <w:t>N</w:t>
            </w:r>
          </w:p>
        </w:tc>
      </w:tr>
      <w:tr w:rsidR="00F97D54" w:rsidRPr="00551AAF" w:rsidTr="00EB5B97">
        <w:trPr>
          <w:trHeight w:val="360"/>
        </w:trPr>
        <w:tc>
          <w:tcPr>
            <w:tcW w:w="2679" w:type="dxa"/>
          </w:tcPr>
          <w:p w:rsidR="00F97D54" w:rsidRDefault="00F97D54" w:rsidP="00EB5B97">
            <w:pPr>
              <w:rPr>
                <w:sz w:val="16"/>
                <w:szCs w:val="16"/>
              </w:rPr>
            </w:pPr>
            <w:r>
              <w:rPr>
                <w:sz w:val="16"/>
                <w:szCs w:val="16"/>
              </w:rPr>
              <w:t>CBT_Name</w:t>
            </w:r>
          </w:p>
        </w:tc>
        <w:tc>
          <w:tcPr>
            <w:tcW w:w="3823" w:type="dxa"/>
          </w:tcPr>
          <w:p w:rsidR="00F97D54" w:rsidRPr="0014363F" w:rsidRDefault="00F97D54" w:rsidP="00EB5B97">
            <w:pPr>
              <w:rPr>
                <w:sz w:val="16"/>
                <w:szCs w:val="16"/>
              </w:rPr>
            </w:pPr>
            <w:r>
              <w:rPr>
                <w:sz w:val="16"/>
                <w:szCs w:val="16"/>
              </w:rPr>
              <w:t xml:space="preserve">Name of </w:t>
            </w:r>
            <w:r w:rsidRPr="00BC256E">
              <w:rPr>
                <w:i/>
                <w:sz w:val="16"/>
                <w:szCs w:val="16"/>
              </w:rPr>
              <w:t xml:space="preserve">Contract-Based </w:t>
            </w:r>
            <w:r w:rsidRPr="00FD0F54">
              <w:rPr>
                <w:i/>
                <w:sz w:val="16"/>
                <w:szCs w:val="16"/>
              </w:rPr>
              <w:t>Tariff</w:t>
            </w:r>
            <w:r>
              <w:rPr>
                <w:i/>
                <w:sz w:val="16"/>
                <w:szCs w:val="16"/>
              </w:rPr>
              <w:t xml:space="preserve"> </w:t>
            </w:r>
            <w:r>
              <w:rPr>
                <w:sz w:val="16"/>
                <w:szCs w:val="16"/>
              </w:rPr>
              <w:t xml:space="preserve">plan </w:t>
            </w:r>
          </w:p>
        </w:tc>
        <w:tc>
          <w:tcPr>
            <w:tcW w:w="991" w:type="dxa"/>
          </w:tcPr>
          <w:p w:rsidR="00F97D54" w:rsidRDefault="00F97D54" w:rsidP="00EB5B97">
            <w:pPr>
              <w:rPr>
                <w:sz w:val="16"/>
                <w:szCs w:val="16"/>
              </w:rPr>
            </w:pPr>
            <w:r>
              <w:rPr>
                <w:sz w:val="16"/>
                <w:szCs w:val="16"/>
              </w:rPr>
              <w:t>Text</w:t>
            </w:r>
          </w:p>
        </w:tc>
        <w:tc>
          <w:tcPr>
            <w:tcW w:w="1345" w:type="dxa"/>
          </w:tcPr>
          <w:p w:rsidR="00F97D54" w:rsidRDefault="00F97D54" w:rsidP="00EB5B97">
            <w:pPr>
              <w:rPr>
                <w:sz w:val="16"/>
                <w:szCs w:val="16"/>
              </w:rPr>
            </w:pPr>
            <w:r>
              <w:rPr>
                <w:sz w:val="16"/>
                <w:szCs w:val="16"/>
              </w:rPr>
              <w:t>Regional Volume Discount Plan</w:t>
            </w:r>
          </w:p>
        </w:tc>
      </w:tr>
      <w:tr w:rsidR="00F97D54" w:rsidRPr="00551AAF" w:rsidTr="00EB5B97">
        <w:trPr>
          <w:trHeight w:val="360"/>
        </w:trPr>
        <w:tc>
          <w:tcPr>
            <w:tcW w:w="2679" w:type="dxa"/>
          </w:tcPr>
          <w:p w:rsidR="00F97D54" w:rsidRDefault="00F97D54" w:rsidP="00EB5B97">
            <w:pPr>
              <w:rPr>
                <w:sz w:val="16"/>
                <w:szCs w:val="16"/>
              </w:rPr>
            </w:pPr>
            <w:r>
              <w:rPr>
                <w:sz w:val="16"/>
                <w:szCs w:val="16"/>
              </w:rPr>
              <w:t>CBT_Provider</w:t>
            </w:r>
          </w:p>
        </w:tc>
        <w:tc>
          <w:tcPr>
            <w:tcW w:w="3823" w:type="dxa"/>
          </w:tcPr>
          <w:p w:rsidR="00F97D54" w:rsidRPr="00512AA0" w:rsidRDefault="00F97D54" w:rsidP="00EB5B97">
            <w:pPr>
              <w:rPr>
                <w:sz w:val="16"/>
                <w:szCs w:val="16"/>
              </w:rPr>
            </w:pPr>
            <w:r>
              <w:rPr>
                <w:sz w:val="16"/>
                <w:szCs w:val="16"/>
              </w:rPr>
              <w:t xml:space="preserve">The </w:t>
            </w:r>
            <w:r>
              <w:rPr>
                <w:i/>
                <w:sz w:val="16"/>
                <w:szCs w:val="16"/>
              </w:rPr>
              <w:t>Contract-</w:t>
            </w:r>
            <w:r w:rsidRPr="00FD0F54">
              <w:rPr>
                <w:i/>
                <w:sz w:val="16"/>
                <w:szCs w:val="16"/>
              </w:rPr>
              <w:t>Based Tariff</w:t>
            </w:r>
            <w:r>
              <w:rPr>
                <w:sz w:val="16"/>
                <w:szCs w:val="16"/>
              </w:rPr>
              <w:t xml:space="preserve"> </w:t>
            </w:r>
            <w:r w:rsidRPr="00FD0F54">
              <w:rPr>
                <w:i/>
                <w:sz w:val="16"/>
                <w:szCs w:val="16"/>
              </w:rPr>
              <w:t>Provider</w:t>
            </w:r>
            <w:r>
              <w:rPr>
                <w:sz w:val="16"/>
                <w:szCs w:val="16"/>
              </w:rPr>
              <w:t xml:space="preserve"> name </w:t>
            </w:r>
          </w:p>
        </w:tc>
        <w:tc>
          <w:tcPr>
            <w:tcW w:w="991" w:type="dxa"/>
          </w:tcPr>
          <w:p w:rsidR="00F97D54" w:rsidRDefault="00F97D54" w:rsidP="00EB5B97">
            <w:pPr>
              <w:rPr>
                <w:sz w:val="16"/>
                <w:szCs w:val="16"/>
              </w:rPr>
            </w:pPr>
            <w:r>
              <w:rPr>
                <w:sz w:val="16"/>
                <w:szCs w:val="16"/>
              </w:rPr>
              <w:t>Text</w:t>
            </w:r>
          </w:p>
        </w:tc>
        <w:tc>
          <w:tcPr>
            <w:tcW w:w="1345" w:type="dxa"/>
          </w:tcPr>
          <w:p w:rsidR="00F97D54" w:rsidRDefault="00F97D54" w:rsidP="00EB5B97">
            <w:pPr>
              <w:rPr>
                <w:sz w:val="16"/>
                <w:szCs w:val="16"/>
              </w:rPr>
            </w:pPr>
            <w:r>
              <w:rPr>
                <w:sz w:val="16"/>
                <w:szCs w:val="16"/>
              </w:rPr>
              <w:t>ABC Company</w:t>
            </w:r>
          </w:p>
        </w:tc>
      </w:tr>
      <w:tr w:rsidR="00F97D54" w:rsidRPr="00551AAF" w:rsidTr="00EB5B97">
        <w:trPr>
          <w:trHeight w:val="360"/>
        </w:trPr>
        <w:tc>
          <w:tcPr>
            <w:tcW w:w="2679" w:type="dxa"/>
          </w:tcPr>
          <w:p w:rsidR="00F97D54" w:rsidRDefault="00F97D54" w:rsidP="00EB5B97">
            <w:pPr>
              <w:rPr>
                <w:sz w:val="16"/>
                <w:szCs w:val="16"/>
              </w:rPr>
            </w:pPr>
            <w:r>
              <w:rPr>
                <w:sz w:val="16"/>
                <w:szCs w:val="16"/>
              </w:rPr>
              <w:t>CBT_Tariff_Number</w:t>
            </w:r>
          </w:p>
        </w:tc>
        <w:tc>
          <w:tcPr>
            <w:tcW w:w="3823" w:type="dxa"/>
          </w:tcPr>
          <w:p w:rsidR="00F97D54" w:rsidRPr="00512AA0" w:rsidRDefault="00F97D54" w:rsidP="00EB5B97">
            <w:pPr>
              <w:rPr>
                <w:sz w:val="16"/>
                <w:szCs w:val="16"/>
              </w:rPr>
            </w:pPr>
            <w:r>
              <w:rPr>
                <w:sz w:val="16"/>
                <w:szCs w:val="16"/>
              </w:rPr>
              <w:t xml:space="preserve">The </w:t>
            </w:r>
            <w:r>
              <w:rPr>
                <w:i/>
                <w:sz w:val="16"/>
                <w:szCs w:val="16"/>
              </w:rPr>
              <w:t>Contract-</w:t>
            </w:r>
            <w:r w:rsidRPr="00FD0F54">
              <w:rPr>
                <w:i/>
                <w:sz w:val="16"/>
                <w:szCs w:val="16"/>
              </w:rPr>
              <w:t>Based Tariff</w:t>
            </w:r>
            <w:r>
              <w:rPr>
                <w:i/>
                <w:sz w:val="16"/>
                <w:szCs w:val="16"/>
              </w:rPr>
              <w:t xml:space="preserve"> </w:t>
            </w:r>
            <w:r>
              <w:rPr>
                <w:sz w:val="16"/>
                <w:szCs w:val="16"/>
              </w:rPr>
              <w:t xml:space="preserve">Name and Section Number </w:t>
            </w:r>
          </w:p>
        </w:tc>
        <w:tc>
          <w:tcPr>
            <w:tcW w:w="991" w:type="dxa"/>
          </w:tcPr>
          <w:p w:rsidR="00F97D54" w:rsidRDefault="00F97D54" w:rsidP="00EB5B97">
            <w:pPr>
              <w:rPr>
                <w:sz w:val="16"/>
                <w:szCs w:val="16"/>
              </w:rPr>
            </w:pPr>
            <w:r>
              <w:rPr>
                <w:sz w:val="16"/>
                <w:szCs w:val="16"/>
              </w:rPr>
              <w:t>Text</w:t>
            </w:r>
          </w:p>
        </w:tc>
        <w:tc>
          <w:tcPr>
            <w:tcW w:w="1345" w:type="dxa"/>
          </w:tcPr>
          <w:p w:rsidR="00F97D54" w:rsidRDefault="00F97D54" w:rsidP="00EB5B97">
            <w:pPr>
              <w:rPr>
                <w:sz w:val="16"/>
                <w:szCs w:val="16"/>
              </w:rPr>
            </w:pPr>
            <w:r>
              <w:rPr>
                <w:sz w:val="16"/>
                <w:szCs w:val="16"/>
              </w:rPr>
              <w:t>ABC Tariff FCC No. 2 § 7.4.15</w:t>
            </w:r>
          </w:p>
        </w:tc>
      </w:tr>
      <w:tr w:rsidR="00F97D54" w:rsidRPr="00551AAF" w:rsidTr="00EB5B97">
        <w:trPr>
          <w:trHeight w:val="360"/>
        </w:trPr>
        <w:tc>
          <w:tcPr>
            <w:tcW w:w="2679" w:type="dxa"/>
          </w:tcPr>
          <w:p w:rsidR="00F97D54" w:rsidRDefault="00F97D54" w:rsidP="00EB5B97">
            <w:pPr>
              <w:rPr>
                <w:sz w:val="16"/>
                <w:szCs w:val="16"/>
              </w:rPr>
            </w:pPr>
            <w:r>
              <w:rPr>
                <w:sz w:val="16"/>
                <w:szCs w:val="16"/>
              </w:rPr>
              <w:t>Tariff_Type</w:t>
            </w:r>
          </w:p>
        </w:tc>
        <w:tc>
          <w:tcPr>
            <w:tcW w:w="3823" w:type="dxa"/>
          </w:tcPr>
          <w:p w:rsidR="00F97D54" w:rsidRPr="00512AA0" w:rsidRDefault="00F97D54" w:rsidP="00EB5B97">
            <w:pPr>
              <w:rPr>
                <w:sz w:val="16"/>
                <w:szCs w:val="16"/>
              </w:rPr>
            </w:pPr>
            <w:r>
              <w:rPr>
                <w:sz w:val="16"/>
                <w:szCs w:val="16"/>
              </w:rPr>
              <w:t xml:space="preserve">Interstate (Inter) or Intrastate (Intra) </w:t>
            </w:r>
          </w:p>
        </w:tc>
        <w:tc>
          <w:tcPr>
            <w:tcW w:w="991" w:type="dxa"/>
          </w:tcPr>
          <w:p w:rsidR="00F97D54" w:rsidRDefault="00F97D54" w:rsidP="00EB5B97">
            <w:pPr>
              <w:rPr>
                <w:sz w:val="16"/>
                <w:szCs w:val="16"/>
              </w:rPr>
            </w:pPr>
            <w:r>
              <w:rPr>
                <w:sz w:val="16"/>
                <w:szCs w:val="16"/>
              </w:rPr>
              <w:t>Text</w:t>
            </w:r>
          </w:p>
        </w:tc>
        <w:tc>
          <w:tcPr>
            <w:tcW w:w="1345" w:type="dxa"/>
          </w:tcPr>
          <w:p w:rsidR="00F97D54" w:rsidRDefault="00F97D54" w:rsidP="00EB5B97">
            <w:pPr>
              <w:rPr>
                <w:sz w:val="16"/>
                <w:szCs w:val="16"/>
              </w:rPr>
            </w:pPr>
            <w:r>
              <w:rPr>
                <w:sz w:val="16"/>
                <w:szCs w:val="16"/>
              </w:rPr>
              <w:t>Inter</w:t>
            </w:r>
          </w:p>
        </w:tc>
      </w:tr>
      <w:tr w:rsidR="00F97D54" w:rsidRPr="00551AAF" w:rsidTr="00EB5B97">
        <w:trPr>
          <w:trHeight w:val="360"/>
        </w:trPr>
        <w:tc>
          <w:tcPr>
            <w:tcW w:w="2679" w:type="dxa"/>
          </w:tcPr>
          <w:p w:rsidR="00F97D54" w:rsidRDefault="00F97D54" w:rsidP="00EB5B97">
            <w:pPr>
              <w:rPr>
                <w:sz w:val="16"/>
                <w:szCs w:val="16"/>
              </w:rPr>
            </w:pPr>
            <w:r>
              <w:rPr>
                <w:sz w:val="16"/>
                <w:szCs w:val="16"/>
              </w:rPr>
              <w:t>Contains_Term</w:t>
            </w:r>
          </w:p>
        </w:tc>
        <w:tc>
          <w:tcPr>
            <w:tcW w:w="3823" w:type="dxa"/>
          </w:tcPr>
          <w:p w:rsidR="00F97D54" w:rsidRPr="00512AA0" w:rsidRDefault="00F97D54" w:rsidP="00EB5B97">
            <w:pPr>
              <w:rPr>
                <w:sz w:val="16"/>
                <w:szCs w:val="16"/>
              </w:rPr>
            </w:pPr>
            <w:r>
              <w:rPr>
                <w:sz w:val="16"/>
                <w:szCs w:val="16"/>
              </w:rPr>
              <w:t xml:space="preserve">Contains </w:t>
            </w:r>
            <w:r w:rsidRPr="00FD0F54">
              <w:rPr>
                <w:i/>
                <w:sz w:val="16"/>
                <w:szCs w:val="16"/>
              </w:rPr>
              <w:t>Term Commitments</w:t>
            </w:r>
            <w:r>
              <w:rPr>
                <w:sz w:val="16"/>
                <w:szCs w:val="16"/>
              </w:rPr>
              <w:t xml:space="preserve"> (Y=Yes, N=No) </w:t>
            </w:r>
          </w:p>
        </w:tc>
        <w:tc>
          <w:tcPr>
            <w:tcW w:w="991" w:type="dxa"/>
          </w:tcPr>
          <w:p w:rsidR="00F97D54" w:rsidRDefault="00F97D54" w:rsidP="00EB5B97">
            <w:pPr>
              <w:rPr>
                <w:sz w:val="16"/>
                <w:szCs w:val="16"/>
              </w:rPr>
            </w:pPr>
            <w:r>
              <w:rPr>
                <w:sz w:val="16"/>
                <w:szCs w:val="16"/>
              </w:rPr>
              <w:t>Text</w:t>
            </w:r>
          </w:p>
        </w:tc>
        <w:tc>
          <w:tcPr>
            <w:tcW w:w="1345" w:type="dxa"/>
          </w:tcPr>
          <w:p w:rsidR="00F97D54" w:rsidRDefault="00F97D54" w:rsidP="00EB5B97">
            <w:pPr>
              <w:rPr>
                <w:sz w:val="16"/>
                <w:szCs w:val="16"/>
              </w:rPr>
            </w:pPr>
            <w:r>
              <w:rPr>
                <w:sz w:val="16"/>
                <w:szCs w:val="16"/>
              </w:rPr>
              <w:t>Y</w:t>
            </w:r>
          </w:p>
        </w:tc>
      </w:tr>
      <w:tr w:rsidR="00F97D54" w:rsidRPr="00551AAF" w:rsidTr="00EB5B97">
        <w:trPr>
          <w:trHeight w:val="360"/>
        </w:trPr>
        <w:tc>
          <w:tcPr>
            <w:tcW w:w="2679" w:type="dxa"/>
          </w:tcPr>
          <w:p w:rsidR="00F97D54" w:rsidRDefault="00F97D54" w:rsidP="00EB5B97">
            <w:pPr>
              <w:rPr>
                <w:sz w:val="16"/>
                <w:szCs w:val="16"/>
              </w:rPr>
            </w:pPr>
            <w:r>
              <w:rPr>
                <w:sz w:val="16"/>
                <w:szCs w:val="16"/>
              </w:rPr>
              <w:t>Contains_Vol</w:t>
            </w:r>
          </w:p>
        </w:tc>
        <w:tc>
          <w:tcPr>
            <w:tcW w:w="3823" w:type="dxa"/>
          </w:tcPr>
          <w:p w:rsidR="00F97D54" w:rsidRPr="00512AA0" w:rsidRDefault="00F97D54" w:rsidP="00EB5B97">
            <w:pPr>
              <w:rPr>
                <w:sz w:val="16"/>
                <w:szCs w:val="16"/>
              </w:rPr>
            </w:pPr>
            <w:r>
              <w:rPr>
                <w:sz w:val="16"/>
                <w:szCs w:val="16"/>
              </w:rPr>
              <w:t xml:space="preserve">Contains </w:t>
            </w:r>
            <w:r w:rsidRPr="00FD0F54">
              <w:rPr>
                <w:i/>
                <w:sz w:val="16"/>
                <w:szCs w:val="16"/>
              </w:rPr>
              <w:t>Volume Commitments</w:t>
            </w:r>
            <w:r>
              <w:rPr>
                <w:sz w:val="16"/>
                <w:szCs w:val="16"/>
              </w:rPr>
              <w:t xml:space="preserve"> (Y=Yes, N=No) </w:t>
            </w:r>
          </w:p>
        </w:tc>
        <w:tc>
          <w:tcPr>
            <w:tcW w:w="991" w:type="dxa"/>
          </w:tcPr>
          <w:p w:rsidR="00F97D54" w:rsidRDefault="00F97D54" w:rsidP="00EB5B97">
            <w:pPr>
              <w:rPr>
                <w:sz w:val="16"/>
                <w:szCs w:val="16"/>
              </w:rPr>
            </w:pPr>
            <w:r>
              <w:rPr>
                <w:sz w:val="16"/>
                <w:szCs w:val="16"/>
              </w:rPr>
              <w:t>Text</w:t>
            </w:r>
          </w:p>
        </w:tc>
        <w:tc>
          <w:tcPr>
            <w:tcW w:w="1345" w:type="dxa"/>
          </w:tcPr>
          <w:p w:rsidR="00F97D54" w:rsidRDefault="00F97D54" w:rsidP="00EB5B97">
            <w:pPr>
              <w:rPr>
                <w:sz w:val="16"/>
                <w:szCs w:val="16"/>
              </w:rPr>
            </w:pPr>
            <w:r>
              <w:rPr>
                <w:sz w:val="16"/>
                <w:szCs w:val="16"/>
              </w:rPr>
              <w:t>Y</w:t>
            </w:r>
          </w:p>
        </w:tc>
      </w:tr>
      <w:tr w:rsidR="00F97D54" w:rsidRPr="00551AAF" w:rsidTr="00EB5B97">
        <w:trPr>
          <w:trHeight w:val="360"/>
        </w:trPr>
        <w:tc>
          <w:tcPr>
            <w:tcW w:w="2679" w:type="dxa"/>
          </w:tcPr>
          <w:p w:rsidR="00F97D54" w:rsidRDefault="00F97D54" w:rsidP="00EB5B97">
            <w:pPr>
              <w:rPr>
                <w:sz w:val="16"/>
                <w:szCs w:val="16"/>
              </w:rPr>
            </w:pPr>
            <w:r>
              <w:rPr>
                <w:sz w:val="16"/>
                <w:szCs w:val="16"/>
              </w:rPr>
              <w:t>Contains_NonR</w:t>
            </w:r>
          </w:p>
        </w:tc>
        <w:tc>
          <w:tcPr>
            <w:tcW w:w="3823" w:type="dxa"/>
          </w:tcPr>
          <w:p w:rsidR="00F97D54" w:rsidRPr="000A3AE7" w:rsidRDefault="00F97D54" w:rsidP="00EB5B97">
            <w:pPr>
              <w:rPr>
                <w:sz w:val="16"/>
                <w:szCs w:val="16"/>
              </w:rPr>
            </w:pPr>
            <w:r w:rsidRPr="000A3AE7">
              <w:rPr>
                <w:sz w:val="16"/>
                <w:szCs w:val="16"/>
              </w:rPr>
              <w:t xml:space="preserve">Contains </w:t>
            </w:r>
            <w:r w:rsidRPr="00FD0F54">
              <w:rPr>
                <w:i/>
                <w:sz w:val="16"/>
                <w:szCs w:val="16"/>
              </w:rPr>
              <w:t>Non-Rat</w:t>
            </w:r>
            <w:r>
              <w:rPr>
                <w:i/>
                <w:sz w:val="16"/>
                <w:szCs w:val="16"/>
              </w:rPr>
              <w:t>e B</w:t>
            </w:r>
            <w:r w:rsidRPr="00FD0F54">
              <w:rPr>
                <w:i/>
                <w:sz w:val="16"/>
                <w:szCs w:val="16"/>
              </w:rPr>
              <w:t>enefits</w:t>
            </w:r>
            <w:r w:rsidRPr="000A3AE7">
              <w:rPr>
                <w:sz w:val="16"/>
                <w:szCs w:val="16"/>
              </w:rPr>
              <w:t xml:space="preserve"> </w:t>
            </w:r>
            <w:r>
              <w:rPr>
                <w:sz w:val="16"/>
                <w:szCs w:val="16"/>
              </w:rPr>
              <w:t xml:space="preserve">(Y=Yes, N=No) </w:t>
            </w:r>
          </w:p>
        </w:tc>
        <w:tc>
          <w:tcPr>
            <w:tcW w:w="991" w:type="dxa"/>
          </w:tcPr>
          <w:p w:rsidR="00F97D54" w:rsidRDefault="00F97D54" w:rsidP="00EB5B97">
            <w:pPr>
              <w:rPr>
                <w:sz w:val="16"/>
                <w:szCs w:val="16"/>
              </w:rPr>
            </w:pPr>
            <w:r>
              <w:rPr>
                <w:sz w:val="16"/>
                <w:szCs w:val="16"/>
              </w:rPr>
              <w:t>Text</w:t>
            </w:r>
          </w:p>
        </w:tc>
        <w:tc>
          <w:tcPr>
            <w:tcW w:w="1345" w:type="dxa"/>
          </w:tcPr>
          <w:p w:rsidR="00F97D54" w:rsidRDefault="00F97D54" w:rsidP="00EB5B97">
            <w:pPr>
              <w:rPr>
                <w:sz w:val="16"/>
                <w:szCs w:val="16"/>
              </w:rPr>
            </w:pPr>
            <w:r>
              <w:rPr>
                <w:sz w:val="16"/>
                <w:szCs w:val="16"/>
              </w:rPr>
              <w:t>N</w:t>
            </w:r>
          </w:p>
        </w:tc>
      </w:tr>
      <w:tr w:rsidR="00F97D54" w:rsidRPr="00551AAF" w:rsidTr="00EB5B97">
        <w:trPr>
          <w:trHeight w:val="360"/>
        </w:trPr>
        <w:tc>
          <w:tcPr>
            <w:tcW w:w="2679" w:type="dxa"/>
          </w:tcPr>
          <w:p w:rsidR="00F97D54" w:rsidRDefault="00F97D54" w:rsidP="00EB5B97">
            <w:pPr>
              <w:rPr>
                <w:sz w:val="16"/>
                <w:szCs w:val="16"/>
              </w:rPr>
            </w:pPr>
            <w:r>
              <w:rPr>
                <w:sz w:val="16"/>
                <w:szCs w:val="16"/>
              </w:rPr>
              <w:t>NonRate</w:t>
            </w:r>
          </w:p>
        </w:tc>
        <w:tc>
          <w:tcPr>
            <w:tcW w:w="3823" w:type="dxa"/>
          </w:tcPr>
          <w:p w:rsidR="00F97D54" w:rsidRPr="000A3AE7" w:rsidRDefault="00F97D54" w:rsidP="00EB5B97">
            <w:pPr>
              <w:rPr>
                <w:sz w:val="16"/>
                <w:szCs w:val="16"/>
              </w:rPr>
            </w:pPr>
            <w:r w:rsidRPr="000A3AE7">
              <w:rPr>
                <w:sz w:val="16"/>
                <w:szCs w:val="16"/>
              </w:rPr>
              <w:t xml:space="preserve">If the plan contains </w:t>
            </w:r>
            <w:r w:rsidRPr="000A3AE7">
              <w:rPr>
                <w:i/>
                <w:sz w:val="16"/>
                <w:szCs w:val="16"/>
              </w:rPr>
              <w:t>Non-Rate Benefits</w:t>
            </w:r>
            <w:r w:rsidRPr="000A3AE7">
              <w:rPr>
                <w:sz w:val="16"/>
                <w:szCs w:val="16"/>
              </w:rPr>
              <w:t xml:space="preserve">, identify the </w:t>
            </w:r>
            <w:r w:rsidRPr="000A3AE7">
              <w:rPr>
                <w:i/>
                <w:sz w:val="16"/>
                <w:szCs w:val="16"/>
              </w:rPr>
              <w:t>Non-Rate Benefits</w:t>
            </w:r>
            <w:r w:rsidRPr="000A3AE7">
              <w:rPr>
                <w:sz w:val="16"/>
                <w:szCs w:val="16"/>
              </w:rPr>
              <w:t xml:space="preserve"> that were relevant to your decision to purchase services under this plan.</w:t>
            </w:r>
            <w:r>
              <w:rPr>
                <w:sz w:val="16"/>
                <w:szCs w:val="16"/>
              </w:rPr>
              <w:t xml:space="preserve"> </w:t>
            </w:r>
          </w:p>
        </w:tc>
        <w:tc>
          <w:tcPr>
            <w:tcW w:w="991" w:type="dxa"/>
          </w:tcPr>
          <w:p w:rsidR="00F97D54" w:rsidRDefault="00F97D54" w:rsidP="00EB5B97">
            <w:pPr>
              <w:rPr>
                <w:sz w:val="16"/>
                <w:szCs w:val="16"/>
              </w:rPr>
            </w:pPr>
            <w:r>
              <w:rPr>
                <w:sz w:val="16"/>
                <w:szCs w:val="16"/>
              </w:rPr>
              <w:t>Text</w:t>
            </w:r>
          </w:p>
        </w:tc>
        <w:tc>
          <w:tcPr>
            <w:tcW w:w="1345" w:type="dxa"/>
          </w:tcPr>
          <w:p w:rsidR="00F97D54" w:rsidRDefault="00F97D54" w:rsidP="00EB5B97">
            <w:pPr>
              <w:rPr>
                <w:sz w:val="16"/>
                <w:szCs w:val="16"/>
              </w:rPr>
            </w:pPr>
            <w:r>
              <w:rPr>
                <w:sz w:val="16"/>
                <w:szCs w:val="16"/>
              </w:rPr>
              <w:t>Plan allows for circuit portability . . .</w:t>
            </w:r>
          </w:p>
        </w:tc>
      </w:tr>
      <w:tr w:rsidR="00F97D54" w:rsidRPr="00551AAF" w:rsidTr="00EB5B97">
        <w:trPr>
          <w:trHeight w:val="360"/>
        </w:trPr>
        <w:tc>
          <w:tcPr>
            <w:tcW w:w="2679" w:type="dxa"/>
          </w:tcPr>
          <w:p w:rsidR="00F97D54" w:rsidRDefault="00F97D54" w:rsidP="00EB5B97">
            <w:pPr>
              <w:rPr>
                <w:sz w:val="16"/>
                <w:szCs w:val="16"/>
              </w:rPr>
            </w:pPr>
            <w:r>
              <w:rPr>
                <w:sz w:val="16"/>
                <w:szCs w:val="16"/>
              </w:rPr>
              <w:t>Tariff_DS1</w:t>
            </w:r>
          </w:p>
        </w:tc>
        <w:tc>
          <w:tcPr>
            <w:tcW w:w="3823" w:type="dxa"/>
          </w:tcPr>
          <w:p w:rsidR="00F97D54" w:rsidRDefault="00F97D54" w:rsidP="00EB5B97">
            <w:pPr>
              <w:rPr>
                <w:sz w:val="16"/>
                <w:szCs w:val="16"/>
              </w:rPr>
            </w:pPr>
            <w:r>
              <w:rPr>
                <w:sz w:val="16"/>
                <w:szCs w:val="16"/>
              </w:rPr>
              <w:t xml:space="preserve">Does this plan apply to the purchase of </w:t>
            </w:r>
            <w:r w:rsidRPr="00FD0F54">
              <w:rPr>
                <w:i/>
                <w:sz w:val="16"/>
                <w:szCs w:val="16"/>
              </w:rPr>
              <w:t>DS1s</w:t>
            </w:r>
            <w:r>
              <w:rPr>
                <w:sz w:val="16"/>
                <w:szCs w:val="16"/>
              </w:rPr>
              <w:t xml:space="preserve">? </w:t>
            </w:r>
          </w:p>
          <w:p w:rsidR="00F97D54" w:rsidRPr="00512AA0" w:rsidRDefault="00F97D54" w:rsidP="00EB5B97">
            <w:pPr>
              <w:rPr>
                <w:sz w:val="16"/>
                <w:szCs w:val="16"/>
              </w:rPr>
            </w:pPr>
            <w:r>
              <w:rPr>
                <w:sz w:val="16"/>
                <w:szCs w:val="16"/>
              </w:rPr>
              <w:t xml:space="preserve">(Y=Yes, N=No) </w:t>
            </w:r>
          </w:p>
        </w:tc>
        <w:tc>
          <w:tcPr>
            <w:tcW w:w="991" w:type="dxa"/>
          </w:tcPr>
          <w:p w:rsidR="00F97D54" w:rsidRDefault="00F97D54" w:rsidP="00EB5B97">
            <w:pPr>
              <w:rPr>
                <w:sz w:val="16"/>
                <w:szCs w:val="16"/>
              </w:rPr>
            </w:pPr>
            <w:r>
              <w:rPr>
                <w:sz w:val="16"/>
                <w:szCs w:val="16"/>
              </w:rPr>
              <w:t>Text</w:t>
            </w:r>
          </w:p>
        </w:tc>
        <w:tc>
          <w:tcPr>
            <w:tcW w:w="1345" w:type="dxa"/>
          </w:tcPr>
          <w:p w:rsidR="00F97D54" w:rsidRDefault="00F97D54" w:rsidP="00EB5B97">
            <w:pPr>
              <w:rPr>
                <w:sz w:val="16"/>
                <w:szCs w:val="16"/>
              </w:rPr>
            </w:pPr>
            <w:r>
              <w:rPr>
                <w:sz w:val="16"/>
                <w:szCs w:val="16"/>
              </w:rPr>
              <w:t>Y</w:t>
            </w:r>
          </w:p>
        </w:tc>
      </w:tr>
      <w:tr w:rsidR="00F97D54" w:rsidRPr="00551AAF" w:rsidTr="00EB5B97">
        <w:trPr>
          <w:trHeight w:val="360"/>
        </w:trPr>
        <w:tc>
          <w:tcPr>
            <w:tcW w:w="2679" w:type="dxa"/>
          </w:tcPr>
          <w:p w:rsidR="00F97D54" w:rsidRDefault="00F97D54" w:rsidP="00EB5B97">
            <w:pPr>
              <w:rPr>
                <w:sz w:val="16"/>
                <w:szCs w:val="16"/>
              </w:rPr>
            </w:pPr>
            <w:r>
              <w:rPr>
                <w:sz w:val="16"/>
                <w:szCs w:val="16"/>
              </w:rPr>
              <w:t>Tariff_DS3</w:t>
            </w:r>
          </w:p>
        </w:tc>
        <w:tc>
          <w:tcPr>
            <w:tcW w:w="3823" w:type="dxa"/>
          </w:tcPr>
          <w:p w:rsidR="00F97D54" w:rsidRDefault="00F97D54" w:rsidP="00EB5B97">
            <w:pPr>
              <w:rPr>
                <w:sz w:val="16"/>
                <w:szCs w:val="16"/>
              </w:rPr>
            </w:pPr>
            <w:r>
              <w:rPr>
                <w:sz w:val="16"/>
                <w:szCs w:val="16"/>
              </w:rPr>
              <w:t xml:space="preserve">Does this plan apply to the purchase of </w:t>
            </w:r>
            <w:r w:rsidRPr="00FD0F54">
              <w:rPr>
                <w:i/>
                <w:sz w:val="16"/>
                <w:szCs w:val="16"/>
              </w:rPr>
              <w:t>DS3s</w:t>
            </w:r>
            <w:r>
              <w:rPr>
                <w:sz w:val="16"/>
                <w:szCs w:val="16"/>
              </w:rPr>
              <w:t xml:space="preserve">? </w:t>
            </w:r>
          </w:p>
          <w:p w:rsidR="00F97D54" w:rsidRPr="00512AA0" w:rsidRDefault="00F97D54" w:rsidP="00EB5B97">
            <w:pPr>
              <w:rPr>
                <w:sz w:val="16"/>
                <w:szCs w:val="16"/>
              </w:rPr>
            </w:pPr>
            <w:r>
              <w:rPr>
                <w:sz w:val="16"/>
                <w:szCs w:val="16"/>
              </w:rPr>
              <w:t xml:space="preserve">(Y=Yes, N=No) </w:t>
            </w:r>
          </w:p>
        </w:tc>
        <w:tc>
          <w:tcPr>
            <w:tcW w:w="991" w:type="dxa"/>
          </w:tcPr>
          <w:p w:rsidR="00F97D54" w:rsidRDefault="00F97D54" w:rsidP="00EB5B97">
            <w:pPr>
              <w:rPr>
                <w:sz w:val="16"/>
                <w:szCs w:val="16"/>
              </w:rPr>
            </w:pPr>
            <w:r>
              <w:rPr>
                <w:sz w:val="16"/>
                <w:szCs w:val="16"/>
              </w:rPr>
              <w:t>Text</w:t>
            </w:r>
          </w:p>
        </w:tc>
        <w:tc>
          <w:tcPr>
            <w:tcW w:w="1345" w:type="dxa"/>
          </w:tcPr>
          <w:p w:rsidR="00F97D54" w:rsidRDefault="00F97D54" w:rsidP="00EB5B97">
            <w:pPr>
              <w:rPr>
                <w:sz w:val="16"/>
                <w:szCs w:val="16"/>
              </w:rPr>
            </w:pPr>
            <w:r>
              <w:rPr>
                <w:sz w:val="16"/>
                <w:szCs w:val="16"/>
              </w:rPr>
              <w:t>Y</w:t>
            </w:r>
          </w:p>
        </w:tc>
      </w:tr>
      <w:tr w:rsidR="00F97D54" w:rsidRPr="00551AAF" w:rsidTr="00EB5B97">
        <w:trPr>
          <w:trHeight w:val="360"/>
        </w:trPr>
        <w:tc>
          <w:tcPr>
            <w:tcW w:w="2679" w:type="dxa"/>
          </w:tcPr>
          <w:p w:rsidR="00F97D54" w:rsidRDefault="00F97D54" w:rsidP="00EB5B97">
            <w:pPr>
              <w:rPr>
                <w:sz w:val="16"/>
                <w:szCs w:val="16"/>
              </w:rPr>
            </w:pPr>
            <w:r>
              <w:rPr>
                <w:sz w:val="16"/>
                <w:szCs w:val="16"/>
              </w:rPr>
              <w:t>Tariff_PBDS</w:t>
            </w:r>
          </w:p>
        </w:tc>
        <w:tc>
          <w:tcPr>
            <w:tcW w:w="3823" w:type="dxa"/>
          </w:tcPr>
          <w:p w:rsidR="00F97D54" w:rsidRDefault="00F97D54" w:rsidP="00EB5B97">
            <w:pPr>
              <w:rPr>
                <w:sz w:val="16"/>
                <w:szCs w:val="16"/>
              </w:rPr>
            </w:pPr>
            <w:r>
              <w:rPr>
                <w:sz w:val="16"/>
                <w:szCs w:val="16"/>
              </w:rPr>
              <w:t xml:space="preserve">Does this plan apply to the purchase of </w:t>
            </w:r>
            <w:r w:rsidRPr="00FD0F54">
              <w:rPr>
                <w:i/>
                <w:sz w:val="16"/>
                <w:szCs w:val="16"/>
              </w:rPr>
              <w:t>PBDS</w:t>
            </w:r>
            <w:r>
              <w:rPr>
                <w:sz w:val="16"/>
                <w:szCs w:val="16"/>
              </w:rPr>
              <w:t xml:space="preserve">? </w:t>
            </w:r>
          </w:p>
          <w:p w:rsidR="00F97D54" w:rsidRPr="00512AA0" w:rsidRDefault="00F97D54" w:rsidP="00EB5B97">
            <w:pPr>
              <w:rPr>
                <w:sz w:val="16"/>
                <w:szCs w:val="16"/>
              </w:rPr>
            </w:pPr>
            <w:r>
              <w:rPr>
                <w:sz w:val="16"/>
                <w:szCs w:val="16"/>
              </w:rPr>
              <w:t xml:space="preserve">(Y=Yes, N=No) </w:t>
            </w:r>
          </w:p>
        </w:tc>
        <w:tc>
          <w:tcPr>
            <w:tcW w:w="991" w:type="dxa"/>
          </w:tcPr>
          <w:p w:rsidR="00F97D54" w:rsidRDefault="00F97D54" w:rsidP="00EB5B97">
            <w:pPr>
              <w:rPr>
                <w:sz w:val="16"/>
                <w:szCs w:val="16"/>
              </w:rPr>
            </w:pPr>
            <w:r>
              <w:rPr>
                <w:sz w:val="16"/>
                <w:szCs w:val="16"/>
              </w:rPr>
              <w:t>Text</w:t>
            </w:r>
          </w:p>
        </w:tc>
        <w:tc>
          <w:tcPr>
            <w:tcW w:w="1345" w:type="dxa"/>
          </w:tcPr>
          <w:p w:rsidR="00F97D54" w:rsidRDefault="00F97D54" w:rsidP="00EB5B97">
            <w:pPr>
              <w:rPr>
                <w:sz w:val="16"/>
                <w:szCs w:val="16"/>
              </w:rPr>
            </w:pPr>
            <w:r>
              <w:rPr>
                <w:sz w:val="16"/>
                <w:szCs w:val="16"/>
              </w:rPr>
              <w:t>N</w:t>
            </w:r>
          </w:p>
        </w:tc>
      </w:tr>
      <w:tr w:rsidR="00F97D54" w:rsidRPr="00551AAF" w:rsidTr="00EB5B97">
        <w:trPr>
          <w:trHeight w:val="360"/>
        </w:trPr>
        <w:tc>
          <w:tcPr>
            <w:tcW w:w="2679" w:type="dxa"/>
          </w:tcPr>
          <w:p w:rsidR="00F97D54" w:rsidRDefault="00F97D54" w:rsidP="00EB5B97">
            <w:pPr>
              <w:rPr>
                <w:sz w:val="16"/>
                <w:szCs w:val="16"/>
              </w:rPr>
            </w:pPr>
            <w:r>
              <w:rPr>
                <w:sz w:val="16"/>
                <w:szCs w:val="16"/>
              </w:rPr>
              <w:t>Tariff_Other</w:t>
            </w:r>
          </w:p>
        </w:tc>
        <w:tc>
          <w:tcPr>
            <w:tcW w:w="3823" w:type="dxa"/>
          </w:tcPr>
          <w:p w:rsidR="00F97D54" w:rsidRPr="000C6F39" w:rsidRDefault="00F97D54" w:rsidP="00EB5B97">
            <w:pPr>
              <w:rPr>
                <w:sz w:val="16"/>
                <w:szCs w:val="16"/>
              </w:rPr>
            </w:pPr>
            <w:r w:rsidRPr="000C6F39">
              <w:rPr>
                <w:sz w:val="16"/>
                <w:szCs w:val="16"/>
              </w:rPr>
              <w:t xml:space="preserve">Does this </w:t>
            </w:r>
            <w:r>
              <w:rPr>
                <w:sz w:val="16"/>
                <w:szCs w:val="16"/>
              </w:rPr>
              <w:t>p</w:t>
            </w:r>
            <w:r w:rsidRPr="000C6F39">
              <w:rPr>
                <w:sz w:val="16"/>
                <w:szCs w:val="16"/>
              </w:rPr>
              <w:t xml:space="preserve">lan apply to </w:t>
            </w:r>
            <w:r>
              <w:rPr>
                <w:sz w:val="16"/>
                <w:szCs w:val="16"/>
              </w:rPr>
              <w:t xml:space="preserve">the purchase of other </w:t>
            </w:r>
            <w:r w:rsidRPr="000C6F39">
              <w:rPr>
                <w:sz w:val="16"/>
                <w:szCs w:val="16"/>
              </w:rPr>
              <w:t>service</w:t>
            </w:r>
            <w:r>
              <w:rPr>
                <w:sz w:val="16"/>
                <w:szCs w:val="16"/>
              </w:rPr>
              <w:t>s</w:t>
            </w:r>
            <w:r w:rsidRPr="000C6F39">
              <w:rPr>
                <w:sz w:val="16"/>
                <w:szCs w:val="16"/>
              </w:rPr>
              <w:t xml:space="preserve">? </w:t>
            </w:r>
            <w:r>
              <w:rPr>
                <w:sz w:val="16"/>
                <w:szCs w:val="16"/>
              </w:rPr>
              <w:t xml:space="preserve">(Y=Yes, N=No) </w:t>
            </w:r>
          </w:p>
        </w:tc>
        <w:tc>
          <w:tcPr>
            <w:tcW w:w="991" w:type="dxa"/>
          </w:tcPr>
          <w:p w:rsidR="00F97D54" w:rsidRDefault="00F97D54" w:rsidP="00EB5B97">
            <w:pPr>
              <w:rPr>
                <w:sz w:val="16"/>
                <w:szCs w:val="16"/>
              </w:rPr>
            </w:pPr>
            <w:r>
              <w:rPr>
                <w:sz w:val="16"/>
                <w:szCs w:val="16"/>
              </w:rPr>
              <w:t>Text</w:t>
            </w:r>
          </w:p>
        </w:tc>
        <w:tc>
          <w:tcPr>
            <w:tcW w:w="1345" w:type="dxa"/>
          </w:tcPr>
          <w:p w:rsidR="00F97D54" w:rsidRDefault="00F97D54" w:rsidP="00EB5B97">
            <w:pPr>
              <w:rPr>
                <w:sz w:val="16"/>
                <w:szCs w:val="16"/>
              </w:rPr>
            </w:pPr>
            <w:r>
              <w:rPr>
                <w:sz w:val="16"/>
                <w:szCs w:val="16"/>
              </w:rPr>
              <w:t>N</w:t>
            </w:r>
          </w:p>
        </w:tc>
      </w:tr>
      <w:tr w:rsidR="00F97D54" w:rsidRPr="00551AAF" w:rsidTr="00EB5B97">
        <w:trPr>
          <w:trHeight w:val="360"/>
        </w:trPr>
        <w:tc>
          <w:tcPr>
            <w:tcW w:w="2679" w:type="dxa"/>
          </w:tcPr>
          <w:p w:rsidR="00F97D54" w:rsidRDefault="00F97D54" w:rsidP="00EB5B97">
            <w:pPr>
              <w:rPr>
                <w:sz w:val="16"/>
                <w:szCs w:val="16"/>
              </w:rPr>
            </w:pPr>
            <w:r>
              <w:rPr>
                <w:sz w:val="16"/>
                <w:szCs w:val="16"/>
              </w:rPr>
              <w:t>Geo_DS1</w:t>
            </w:r>
          </w:p>
        </w:tc>
        <w:tc>
          <w:tcPr>
            <w:tcW w:w="3823" w:type="dxa"/>
          </w:tcPr>
          <w:p w:rsidR="00F97D54" w:rsidRPr="000C6F39" w:rsidRDefault="00F97D54" w:rsidP="00EB5B97">
            <w:pPr>
              <w:rPr>
                <w:sz w:val="16"/>
                <w:szCs w:val="16"/>
              </w:rPr>
            </w:pPr>
            <w:r w:rsidRPr="000C6F39">
              <w:rPr>
                <w:sz w:val="16"/>
                <w:szCs w:val="16"/>
              </w:rPr>
              <w:t xml:space="preserve">In what geographic areas do you purchase </w:t>
            </w:r>
            <w:r w:rsidRPr="000C6F39">
              <w:rPr>
                <w:i/>
                <w:sz w:val="16"/>
                <w:szCs w:val="16"/>
              </w:rPr>
              <w:t>DS1s</w:t>
            </w:r>
            <w:r w:rsidRPr="000C6F39">
              <w:rPr>
                <w:sz w:val="16"/>
                <w:szCs w:val="16"/>
              </w:rPr>
              <w:t xml:space="preserve"> under this plan?  </w:t>
            </w:r>
          </w:p>
        </w:tc>
        <w:tc>
          <w:tcPr>
            <w:tcW w:w="991" w:type="dxa"/>
          </w:tcPr>
          <w:p w:rsidR="00F97D54" w:rsidRDefault="00F97D54" w:rsidP="00EB5B97">
            <w:pPr>
              <w:rPr>
                <w:sz w:val="16"/>
                <w:szCs w:val="16"/>
              </w:rPr>
            </w:pPr>
            <w:r>
              <w:rPr>
                <w:sz w:val="16"/>
                <w:szCs w:val="16"/>
              </w:rPr>
              <w:t>Text</w:t>
            </w:r>
          </w:p>
        </w:tc>
        <w:tc>
          <w:tcPr>
            <w:tcW w:w="1345" w:type="dxa"/>
          </w:tcPr>
          <w:p w:rsidR="00F97D54" w:rsidRDefault="00F97D54" w:rsidP="00EB5B97">
            <w:pPr>
              <w:rPr>
                <w:sz w:val="16"/>
                <w:szCs w:val="16"/>
              </w:rPr>
            </w:pPr>
            <w:r>
              <w:rPr>
                <w:sz w:val="16"/>
                <w:szCs w:val="16"/>
              </w:rPr>
              <w:t>California</w:t>
            </w:r>
          </w:p>
        </w:tc>
      </w:tr>
      <w:tr w:rsidR="00F97D54" w:rsidRPr="00551AAF" w:rsidTr="00EB5B97">
        <w:trPr>
          <w:trHeight w:val="360"/>
        </w:trPr>
        <w:tc>
          <w:tcPr>
            <w:tcW w:w="2679" w:type="dxa"/>
          </w:tcPr>
          <w:p w:rsidR="00F97D54" w:rsidRDefault="00F97D54" w:rsidP="00EB5B97">
            <w:pPr>
              <w:rPr>
                <w:sz w:val="16"/>
                <w:szCs w:val="16"/>
              </w:rPr>
            </w:pPr>
            <w:r>
              <w:rPr>
                <w:sz w:val="16"/>
                <w:szCs w:val="16"/>
              </w:rPr>
              <w:t>Geo_DS3</w:t>
            </w:r>
          </w:p>
        </w:tc>
        <w:tc>
          <w:tcPr>
            <w:tcW w:w="3823" w:type="dxa"/>
          </w:tcPr>
          <w:p w:rsidR="00F97D54" w:rsidRPr="000C6F39" w:rsidRDefault="00F97D54" w:rsidP="00EB5B97">
            <w:pPr>
              <w:rPr>
                <w:sz w:val="16"/>
                <w:szCs w:val="16"/>
              </w:rPr>
            </w:pPr>
            <w:r w:rsidRPr="000C6F39">
              <w:rPr>
                <w:sz w:val="16"/>
                <w:szCs w:val="16"/>
              </w:rPr>
              <w:t xml:space="preserve">In what geographic areas do you purchase </w:t>
            </w:r>
            <w:r w:rsidRPr="000C6F39">
              <w:rPr>
                <w:i/>
                <w:sz w:val="16"/>
                <w:szCs w:val="16"/>
              </w:rPr>
              <w:t>DS</w:t>
            </w:r>
            <w:r>
              <w:rPr>
                <w:i/>
                <w:sz w:val="16"/>
                <w:szCs w:val="16"/>
              </w:rPr>
              <w:t>3</w:t>
            </w:r>
            <w:r w:rsidRPr="000C6F39">
              <w:rPr>
                <w:i/>
                <w:sz w:val="16"/>
                <w:szCs w:val="16"/>
              </w:rPr>
              <w:t>s</w:t>
            </w:r>
            <w:r w:rsidRPr="000C6F39">
              <w:rPr>
                <w:sz w:val="16"/>
                <w:szCs w:val="16"/>
              </w:rPr>
              <w:t xml:space="preserve"> under this plan?  </w:t>
            </w:r>
          </w:p>
        </w:tc>
        <w:tc>
          <w:tcPr>
            <w:tcW w:w="991" w:type="dxa"/>
          </w:tcPr>
          <w:p w:rsidR="00F97D54" w:rsidRDefault="00F97D54" w:rsidP="00EB5B97">
            <w:pPr>
              <w:rPr>
                <w:sz w:val="16"/>
                <w:szCs w:val="16"/>
              </w:rPr>
            </w:pPr>
            <w:r>
              <w:rPr>
                <w:sz w:val="16"/>
                <w:szCs w:val="16"/>
              </w:rPr>
              <w:t>Text</w:t>
            </w:r>
          </w:p>
        </w:tc>
        <w:tc>
          <w:tcPr>
            <w:tcW w:w="1345" w:type="dxa"/>
          </w:tcPr>
          <w:p w:rsidR="00F97D54" w:rsidRDefault="00F97D54" w:rsidP="00EB5B97">
            <w:pPr>
              <w:rPr>
                <w:sz w:val="16"/>
                <w:szCs w:val="16"/>
              </w:rPr>
            </w:pPr>
            <w:r>
              <w:rPr>
                <w:sz w:val="16"/>
                <w:szCs w:val="16"/>
              </w:rPr>
              <w:t>Texas</w:t>
            </w:r>
          </w:p>
        </w:tc>
      </w:tr>
      <w:tr w:rsidR="00F97D54" w:rsidRPr="00551AAF" w:rsidTr="00EB5B97">
        <w:trPr>
          <w:trHeight w:val="360"/>
        </w:trPr>
        <w:tc>
          <w:tcPr>
            <w:tcW w:w="2679" w:type="dxa"/>
          </w:tcPr>
          <w:p w:rsidR="00F97D54" w:rsidRDefault="00F97D54" w:rsidP="00EB5B97">
            <w:pPr>
              <w:rPr>
                <w:sz w:val="16"/>
                <w:szCs w:val="16"/>
              </w:rPr>
            </w:pPr>
            <w:r>
              <w:rPr>
                <w:sz w:val="16"/>
                <w:szCs w:val="16"/>
              </w:rPr>
              <w:t>Geo_PBDS</w:t>
            </w:r>
          </w:p>
        </w:tc>
        <w:tc>
          <w:tcPr>
            <w:tcW w:w="3823" w:type="dxa"/>
          </w:tcPr>
          <w:p w:rsidR="00F97D54" w:rsidRPr="000C6F39" w:rsidRDefault="00F97D54" w:rsidP="00EB5B97">
            <w:pPr>
              <w:rPr>
                <w:sz w:val="16"/>
                <w:szCs w:val="16"/>
              </w:rPr>
            </w:pPr>
            <w:r w:rsidRPr="000C6F39">
              <w:rPr>
                <w:sz w:val="16"/>
                <w:szCs w:val="16"/>
              </w:rPr>
              <w:t xml:space="preserve">In what geographic areas do you purchase </w:t>
            </w:r>
            <w:r>
              <w:rPr>
                <w:i/>
                <w:sz w:val="16"/>
                <w:szCs w:val="16"/>
              </w:rPr>
              <w:t>PBDS</w:t>
            </w:r>
            <w:r w:rsidRPr="000C6F39">
              <w:rPr>
                <w:sz w:val="16"/>
                <w:szCs w:val="16"/>
              </w:rPr>
              <w:t xml:space="preserve"> under this plan?  </w:t>
            </w:r>
          </w:p>
        </w:tc>
        <w:tc>
          <w:tcPr>
            <w:tcW w:w="991" w:type="dxa"/>
          </w:tcPr>
          <w:p w:rsidR="00F97D54" w:rsidRDefault="00F97D54" w:rsidP="00EB5B97">
            <w:pPr>
              <w:rPr>
                <w:sz w:val="16"/>
                <w:szCs w:val="16"/>
              </w:rPr>
            </w:pPr>
            <w:r>
              <w:rPr>
                <w:sz w:val="16"/>
                <w:szCs w:val="16"/>
              </w:rPr>
              <w:t>Text</w:t>
            </w:r>
          </w:p>
        </w:tc>
        <w:tc>
          <w:tcPr>
            <w:tcW w:w="1345" w:type="dxa"/>
          </w:tcPr>
          <w:p w:rsidR="00F97D54" w:rsidRDefault="00F97D54" w:rsidP="00EB5B97">
            <w:pPr>
              <w:rPr>
                <w:sz w:val="16"/>
                <w:szCs w:val="16"/>
              </w:rPr>
            </w:pPr>
            <w:r>
              <w:rPr>
                <w:sz w:val="16"/>
                <w:szCs w:val="16"/>
              </w:rPr>
              <w:t>Oklahoma</w:t>
            </w:r>
          </w:p>
        </w:tc>
      </w:tr>
      <w:tr w:rsidR="00F97D54" w:rsidRPr="00551AAF" w:rsidTr="00EB5B97">
        <w:trPr>
          <w:trHeight w:val="360"/>
        </w:trPr>
        <w:tc>
          <w:tcPr>
            <w:tcW w:w="2679" w:type="dxa"/>
          </w:tcPr>
          <w:p w:rsidR="00F97D54" w:rsidRDefault="00F97D54" w:rsidP="00EB5B97">
            <w:pPr>
              <w:rPr>
                <w:sz w:val="16"/>
                <w:szCs w:val="16"/>
              </w:rPr>
            </w:pPr>
            <w:r>
              <w:rPr>
                <w:sz w:val="16"/>
                <w:szCs w:val="16"/>
              </w:rPr>
              <w:t>Geo_Other</w:t>
            </w:r>
          </w:p>
        </w:tc>
        <w:tc>
          <w:tcPr>
            <w:tcW w:w="3823" w:type="dxa"/>
          </w:tcPr>
          <w:p w:rsidR="00F97D54" w:rsidRPr="000C6F39" w:rsidRDefault="00F97D54" w:rsidP="00EB5B97">
            <w:pPr>
              <w:rPr>
                <w:sz w:val="16"/>
                <w:szCs w:val="16"/>
              </w:rPr>
            </w:pPr>
            <w:r w:rsidRPr="000C6F39">
              <w:rPr>
                <w:sz w:val="16"/>
                <w:szCs w:val="16"/>
              </w:rPr>
              <w:t xml:space="preserve">In what geographic areas do you purchase </w:t>
            </w:r>
            <w:r>
              <w:rPr>
                <w:sz w:val="16"/>
                <w:szCs w:val="16"/>
              </w:rPr>
              <w:t>o</w:t>
            </w:r>
            <w:r w:rsidRPr="000C6F39">
              <w:rPr>
                <w:sz w:val="16"/>
                <w:szCs w:val="16"/>
              </w:rPr>
              <w:t xml:space="preserve">ther services under this plan?  </w:t>
            </w:r>
          </w:p>
        </w:tc>
        <w:tc>
          <w:tcPr>
            <w:tcW w:w="991" w:type="dxa"/>
          </w:tcPr>
          <w:p w:rsidR="00F97D54" w:rsidRDefault="00F97D54" w:rsidP="00EB5B97">
            <w:pPr>
              <w:rPr>
                <w:sz w:val="16"/>
                <w:szCs w:val="16"/>
              </w:rPr>
            </w:pPr>
            <w:r>
              <w:rPr>
                <w:sz w:val="16"/>
                <w:szCs w:val="16"/>
              </w:rPr>
              <w:t>Text</w:t>
            </w:r>
          </w:p>
        </w:tc>
        <w:tc>
          <w:tcPr>
            <w:tcW w:w="1345" w:type="dxa"/>
          </w:tcPr>
          <w:p w:rsidR="00F97D54" w:rsidRDefault="00F97D54" w:rsidP="00EB5B97">
            <w:pPr>
              <w:rPr>
                <w:sz w:val="16"/>
                <w:szCs w:val="16"/>
              </w:rPr>
            </w:pPr>
            <w:r>
              <w:rPr>
                <w:sz w:val="16"/>
                <w:szCs w:val="16"/>
              </w:rPr>
              <w:t>Kansas</w:t>
            </w:r>
          </w:p>
        </w:tc>
      </w:tr>
      <w:tr w:rsidR="00F97D54" w:rsidRPr="00551AAF" w:rsidTr="00EB5B97">
        <w:trPr>
          <w:trHeight w:val="360"/>
        </w:trPr>
        <w:tc>
          <w:tcPr>
            <w:tcW w:w="2679" w:type="dxa"/>
          </w:tcPr>
          <w:p w:rsidR="00F97D54" w:rsidRDefault="00F97D54" w:rsidP="00EB5B97">
            <w:pPr>
              <w:rPr>
                <w:sz w:val="16"/>
                <w:szCs w:val="16"/>
              </w:rPr>
            </w:pPr>
            <w:r>
              <w:rPr>
                <w:sz w:val="16"/>
                <w:szCs w:val="16"/>
              </w:rPr>
              <w:t>Prior_P</w:t>
            </w:r>
          </w:p>
        </w:tc>
        <w:tc>
          <w:tcPr>
            <w:tcW w:w="3823" w:type="dxa"/>
          </w:tcPr>
          <w:p w:rsidR="00F97D54" w:rsidRPr="000C6F39" w:rsidRDefault="00F97D54" w:rsidP="00EB5B97">
            <w:pPr>
              <w:rPr>
                <w:sz w:val="16"/>
                <w:szCs w:val="16"/>
              </w:rPr>
            </w:pPr>
            <w:r w:rsidRPr="000C6F39">
              <w:rPr>
                <w:sz w:val="16"/>
                <w:szCs w:val="16"/>
              </w:rPr>
              <w:t xml:space="preserve">To receive a discount or </w:t>
            </w:r>
            <w:r w:rsidRPr="000C6F39">
              <w:rPr>
                <w:i/>
                <w:sz w:val="16"/>
                <w:szCs w:val="16"/>
              </w:rPr>
              <w:t xml:space="preserve">Non-Rate Benefit </w:t>
            </w:r>
            <w:r w:rsidRPr="000C6F39">
              <w:rPr>
                <w:sz w:val="16"/>
                <w:szCs w:val="16"/>
              </w:rPr>
              <w:t xml:space="preserve">under this plan, does your company make a </w:t>
            </w:r>
            <w:r w:rsidRPr="000C6F39">
              <w:rPr>
                <w:i/>
                <w:sz w:val="16"/>
                <w:szCs w:val="16"/>
              </w:rPr>
              <w:t>Prior Purchase-Based Commitment</w:t>
            </w:r>
            <w:r w:rsidRPr="000C6F39">
              <w:rPr>
                <w:sz w:val="16"/>
                <w:szCs w:val="16"/>
              </w:rPr>
              <w:t>?</w:t>
            </w:r>
            <w:r>
              <w:rPr>
                <w:sz w:val="16"/>
                <w:szCs w:val="16"/>
              </w:rPr>
              <w:t xml:space="preserve"> (Y=Yes, N=No) </w:t>
            </w:r>
          </w:p>
        </w:tc>
        <w:tc>
          <w:tcPr>
            <w:tcW w:w="991" w:type="dxa"/>
          </w:tcPr>
          <w:p w:rsidR="00F97D54" w:rsidRDefault="00F97D54" w:rsidP="00EB5B97">
            <w:pPr>
              <w:rPr>
                <w:sz w:val="16"/>
                <w:szCs w:val="16"/>
              </w:rPr>
            </w:pPr>
            <w:r>
              <w:rPr>
                <w:sz w:val="16"/>
                <w:szCs w:val="16"/>
              </w:rPr>
              <w:t>Text</w:t>
            </w:r>
          </w:p>
        </w:tc>
        <w:tc>
          <w:tcPr>
            <w:tcW w:w="1345" w:type="dxa"/>
          </w:tcPr>
          <w:p w:rsidR="00F97D54" w:rsidRDefault="00F97D54" w:rsidP="00EB5B97">
            <w:pPr>
              <w:rPr>
                <w:sz w:val="16"/>
                <w:szCs w:val="16"/>
              </w:rPr>
            </w:pPr>
            <w:r>
              <w:rPr>
                <w:sz w:val="16"/>
                <w:szCs w:val="16"/>
              </w:rPr>
              <w:t>Y</w:t>
            </w:r>
          </w:p>
        </w:tc>
      </w:tr>
      <w:tr w:rsidR="00F97D54" w:rsidRPr="00551AAF" w:rsidTr="00EB5B97">
        <w:trPr>
          <w:trHeight w:val="360"/>
        </w:trPr>
        <w:tc>
          <w:tcPr>
            <w:tcW w:w="2679" w:type="dxa"/>
          </w:tcPr>
          <w:p w:rsidR="00F97D54" w:rsidRDefault="00F97D54" w:rsidP="00EB5B97">
            <w:pPr>
              <w:rPr>
                <w:sz w:val="16"/>
                <w:szCs w:val="16"/>
              </w:rPr>
            </w:pPr>
            <w:r>
              <w:rPr>
                <w:sz w:val="16"/>
                <w:szCs w:val="16"/>
              </w:rPr>
              <w:t>Outside_Area</w:t>
            </w:r>
          </w:p>
        </w:tc>
        <w:tc>
          <w:tcPr>
            <w:tcW w:w="3823" w:type="dxa"/>
          </w:tcPr>
          <w:p w:rsidR="00F97D54" w:rsidRPr="000C6F39" w:rsidRDefault="00F97D54" w:rsidP="00EB5B97">
            <w:pPr>
              <w:rPr>
                <w:sz w:val="16"/>
                <w:szCs w:val="16"/>
              </w:rPr>
            </w:pPr>
            <w:r w:rsidRPr="000C6F39">
              <w:rPr>
                <w:sz w:val="16"/>
                <w:szCs w:val="16"/>
              </w:rPr>
              <w:t xml:space="preserve">If this is an </w:t>
            </w:r>
            <w:r w:rsidRPr="006150ED">
              <w:rPr>
                <w:i/>
                <w:sz w:val="16"/>
                <w:szCs w:val="16"/>
              </w:rPr>
              <w:t>ILEC</w:t>
            </w:r>
            <w:r w:rsidRPr="000C6F39">
              <w:rPr>
                <w:sz w:val="16"/>
                <w:szCs w:val="16"/>
              </w:rPr>
              <w:t xml:space="preserve"> plan, do </w:t>
            </w:r>
            <w:r w:rsidRPr="006150ED">
              <w:rPr>
                <w:i/>
                <w:sz w:val="16"/>
                <w:szCs w:val="16"/>
              </w:rPr>
              <w:t>DS1</w:t>
            </w:r>
            <w:r>
              <w:rPr>
                <w:sz w:val="16"/>
                <w:szCs w:val="16"/>
              </w:rPr>
              <w:t>,</w:t>
            </w:r>
            <w:r w:rsidRPr="000C6F39">
              <w:rPr>
                <w:sz w:val="16"/>
                <w:szCs w:val="16"/>
              </w:rPr>
              <w:t xml:space="preserve"> </w:t>
            </w:r>
            <w:r w:rsidRPr="006150ED">
              <w:rPr>
                <w:i/>
                <w:sz w:val="16"/>
                <w:szCs w:val="16"/>
              </w:rPr>
              <w:t>DS3</w:t>
            </w:r>
            <w:r>
              <w:rPr>
                <w:sz w:val="16"/>
                <w:szCs w:val="16"/>
              </w:rPr>
              <w:t xml:space="preserve">, or tariffed </w:t>
            </w:r>
            <w:r w:rsidRPr="00E528B8">
              <w:rPr>
                <w:i/>
                <w:sz w:val="16"/>
                <w:szCs w:val="16"/>
              </w:rPr>
              <w:t>PBDS</w:t>
            </w:r>
            <w:r w:rsidRPr="000C6F39">
              <w:rPr>
                <w:sz w:val="16"/>
                <w:szCs w:val="16"/>
              </w:rPr>
              <w:t xml:space="preserve"> purchases your company makes outside the study area(s) of the </w:t>
            </w:r>
            <w:r w:rsidRPr="006150ED">
              <w:rPr>
                <w:i/>
                <w:sz w:val="16"/>
                <w:szCs w:val="16"/>
              </w:rPr>
              <w:t>ILEC</w:t>
            </w:r>
            <w:r w:rsidRPr="000C6F39">
              <w:rPr>
                <w:sz w:val="16"/>
                <w:szCs w:val="16"/>
              </w:rPr>
              <w:t xml:space="preserve"> </w:t>
            </w:r>
            <w:r>
              <w:rPr>
                <w:sz w:val="16"/>
                <w:szCs w:val="16"/>
              </w:rPr>
              <w:t xml:space="preserve">count towards </w:t>
            </w:r>
            <w:r w:rsidRPr="000C6F39">
              <w:rPr>
                <w:sz w:val="16"/>
                <w:szCs w:val="16"/>
              </w:rPr>
              <w:t xml:space="preserve">meeting any </w:t>
            </w:r>
            <w:r w:rsidRPr="006150ED">
              <w:rPr>
                <w:i/>
                <w:sz w:val="16"/>
                <w:szCs w:val="16"/>
              </w:rPr>
              <w:t>Volume Commitment</w:t>
            </w:r>
            <w:r w:rsidRPr="000C6F39">
              <w:rPr>
                <w:sz w:val="16"/>
                <w:szCs w:val="16"/>
              </w:rPr>
              <w:t xml:space="preserve"> to receive a discount or </w:t>
            </w:r>
            <w:r w:rsidRPr="006150ED">
              <w:rPr>
                <w:i/>
                <w:sz w:val="16"/>
                <w:szCs w:val="16"/>
              </w:rPr>
              <w:t>Non-Rate Benefit</w:t>
            </w:r>
            <w:r w:rsidRPr="000C6F39">
              <w:rPr>
                <w:sz w:val="16"/>
                <w:szCs w:val="16"/>
              </w:rPr>
              <w:t xml:space="preserve"> under this plan? </w:t>
            </w:r>
            <w:r>
              <w:rPr>
                <w:sz w:val="16"/>
                <w:szCs w:val="16"/>
              </w:rPr>
              <w:t xml:space="preserve">(Y=Yes, N=No, NA=Not Applicable)  </w:t>
            </w:r>
          </w:p>
        </w:tc>
        <w:tc>
          <w:tcPr>
            <w:tcW w:w="991" w:type="dxa"/>
          </w:tcPr>
          <w:p w:rsidR="00F97D54" w:rsidRDefault="00F97D54" w:rsidP="00EB5B97">
            <w:pPr>
              <w:rPr>
                <w:sz w:val="16"/>
                <w:szCs w:val="16"/>
              </w:rPr>
            </w:pPr>
            <w:r>
              <w:rPr>
                <w:sz w:val="16"/>
                <w:szCs w:val="16"/>
              </w:rPr>
              <w:t>Text</w:t>
            </w:r>
          </w:p>
        </w:tc>
        <w:tc>
          <w:tcPr>
            <w:tcW w:w="1345" w:type="dxa"/>
          </w:tcPr>
          <w:p w:rsidR="00F97D54" w:rsidRDefault="00F97D54" w:rsidP="00EB5B97">
            <w:pPr>
              <w:rPr>
                <w:sz w:val="16"/>
                <w:szCs w:val="16"/>
              </w:rPr>
            </w:pPr>
            <w:r>
              <w:rPr>
                <w:sz w:val="16"/>
                <w:szCs w:val="16"/>
              </w:rPr>
              <w:t>Y</w:t>
            </w:r>
          </w:p>
        </w:tc>
      </w:tr>
      <w:tr w:rsidR="00F97D54" w:rsidRPr="00551AAF" w:rsidTr="00EB5B97">
        <w:trPr>
          <w:trHeight w:val="360"/>
        </w:trPr>
        <w:tc>
          <w:tcPr>
            <w:tcW w:w="2679" w:type="dxa"/>
          </w:tcPr>
          <w:p w:rsidR="00F97D54" w:rsidRDefault="00F97D54" w:rsidP="00EB5B97">
            <w:pPr>
              <w:rPr>
                <w:sz w:val="16"/>
                <w:szCs w:val="16"/>
              </w:rPr>
            </w:pPr>
            <w:r>
              <w:rPr>
                <w:sz w:val="16"/>
                <w:szCs w:val="16"/>
              </w:rPr>
              <w:t>Outside_Area_Yes</w:t>
            </w:r>
          </w:p>
        </w:tc>
        <w:tc>
          <w:tcPr>
            <w:tcW w:w="3823" w:type="dxa"/>
          </w:tcPr>
          <w:p w:rsidR="00F97D54" w:rsidRPr="000C6F39" w:rsidRDefault="00F97D54" w:rsidP="00EB5B97">
            <w:pPr>
              <w:rPr>
                <w:sz w:val="16"/>
                <w:szCs w:val="16"/>
              </w:rPr>
            </w:pPr>
            <w:r w:rsidRPr="000C6F39">
              <w:rPr>
                <w:sz w:val="16"/>
                <w:szCs w:val="16"/>
              </w:rPr>
              <w:t xml:space="preserve">If yes, in what geographic areas outside the study area(s) of the </w:t>
            </w:r>
            <w:r w:rsidRPr="000C6F39">
              <w:rPr>
                <w:i/>
                <w:sz w:val="16"/>
                <w:szCs w:val="16"/>
              </w:rPr>
              <w:t>ILEC</w:t>
            </w:r>
            <w:r w:rsidRPr="000C6F39">
              <w:rPr>
                <w:sz w:val="16"/>
                <w:szCs w:val="16"/>
              </w:rPr>
              <w:t xml:space="preserve">, do you purchase these </w:t>
            </w:r>
            <w:r w:rsidRPr="000C6F39">
              <w:rPr>
                <w:i/>
                <w:sz w:val="16"/>
                <w:szCs w:val="16"/>
              </w:rPr>
              <w:t>DS1s</w:t>
            </w:r>
            <w:r>
              <w:rPr>
                <w:sz w:val="16"/>
                <w:szCs w:val="16"/>
              </w:rPr>
              <w:t>,</w:t>
            </w:r>
            <w:r w:rsidRPr="000C6F39">
              <w:rPr>
                <w:sz w:val="16"/>
                <w:szCs w:val="16"/>
              </w:rPr>
              <w:t xml:space="preserve"> </w:t>
            </w:r>
            <w:r w:rsidRPr="000C6F39">
              <w:rPr>
                <w:i/>
                <w:sz w:val="16"/>
                <w:szCs w:val="16"/>
              </w:rPr>
              <w:t>DS3s</w:t>
            </w:r>
            <w:r>
              <w:rPr>
                <w:sz w:val="16"/>
                <w:szCs w:val="16"/>
              </w:rPr>
              <w:t xml:space="preserve">, and/or tariffed </w:t>
            </w:r>
            <w:r w:rsidRPr="00E528B8">
              <w:rPr>
                <w:i/>
                <w:sz w:val="16"/>
                <w:szCs w:val="16"/>
              </w:rPr>
              <w:t>PBDS</w:t>
            </w:r>
            <w:r w:rsidRPr="000C6F39">
              <w:rPr>
                <w:sz w:val="16"/>
                <w:szCs w:val="16"/>
              </w:rPr>
              <w:t>?</w:t>
            </w:r>
            <w:r>
              <w:rPr>
                <w:sz w:val="16"/>
                <w:szCs w:val="16"/>
              </w:rPr>
              <w:t xml:space="preserve"> </w:t>
            </w:r>
          </w:p>
        </w:tc>
        <w:tc>
          <w:tcPr>
            <w:tcW w:w="991" w:type="dxa"/>
          </w:tcPr>
          <w:p w:rsidR="00F97D54" w:rsidRDefault="00F97D54" w:rsidP="00EB5B97">
            <w:pPr>
              <w:rPr>
                <w:sz w:val="16"/>
                <w:szCs w:val="16"/>
              </w:rPr>
            </w:pPr>
            <w:r>
              <w:rPr>
                <w:sz w:val="16"/>
                <w:szCs w:val="16"/>
              </w:rPr>
              <w:t>Text</w:t>
            </w:r>
          </w:p>
        </w:tc>
        <w:tc>
          <w:tcPr>
            <w:tcW w:w="1345" w:type="dxa"/>
          </w:tcPr>
          <w:p w:rsidR="00F97D54" w:rsidRDefault="00F97D54" w:rsidP="00EB5B97">
            <w:pPr>
              <w:rPr>
                <w:sz w:val="16"/>
                <w:szCs w:val="16"/>
              </w:rPr>
            </w:pPr>
            <w:r>
              <w:rPr>
                <w:sz w:val="16"/>
                <w:szCs w:val="16"/>
              </w:rPr>
              <w:t>Southern California</w:t>
            </w:r>
          </w:p>
        </w:tc>
      </w:tr>
      <w:tr w:rsidR="00F97D54" w:rsidRPr="00551AAF" w:rsidTr="00EB5B97">
        <w:trPr>
          <w:trHeight w:val="360"/>
        </w:trPr>
        <w:tc>
          <w:tcPr>
            <w:tcW w:w="2679" w:type="dxa"/>
          </w:tcPr>
          <w:p w:rsidR="00F97D54" w:rsidRDefault="00F97D54" w:rsidP="00EB5B97">
            <w:pPr>
              <w:rPr>
                <w:sz w:val="16"/>
                <w:szCs w:val="16"/>
              </w:rPr>
            </w:pPr>
            <w:r>
              <w:rPr>
                <w:sz w:val="16"/>
                <w:szCs w:val="16"/>
              </w:rPr>
              <w:t>Outside_Area_Yes_Diff</w:t>
            </w:r>
          </w:p>
        </w:tc>
        <w:tc>
          <w:tcPr>
            <w:tcW w:w="3823" w:type="dxa"/>
          </w:tcPr>
          <w:p w:rsidR="00F97D54" w:rsidRPr="000C6F39" w:rsidRDefault="00F97D54" w:rsidP="00EB5B97">
            <w:pPr>
              <w:rPr>
                <w:sz w:val="16"/>
                <w:szCs w:val="16"/>
              </w:rPr>
            </w:pPr>
            <w:r w:rsidRPr="000C6F39">
              <w:rPr>
                <w:sz w:val="16"/>
                <w:szCs w:val="16"/>
              </w:rPr>
              <w:t xml:space="preserve">Of the geographic areas identified, in which of those areas would your company have purchased from a different </w:t>
            </w:r>
            <w:r w:rsidRPr="000C6F39">
              <w:rPr>
                <w:i/>
                <w:sz w:val="16"/>
                <w:szCs w:val="16"/>
              </w:rPr>
              <w:t>Provider</w:t>
            </w:r>
            <w:r w:rsidRPr="000C6F39">
              <w:rPr>
                <w:sz w:val="16"/>
                <w:szCs w:val="16"/>
              </w:rPr>
              <w:t>, if at all,</w:t>
            </w:r>
            <w:r w:rsidRPr="000C6F39">
              <w:rPr>
                <w:i/>
                <w:sz w:val="16"/>
                <w:szCs w:val="16"/>
              </w:rPr>
              <w:t xml:space="preserve"> </w:t>
            </w:r>
            <w:r w:rsidRPr="000C6F39">
              <w:rPr>
                <w:sz w:val="16"/>
                <w:szCs w:val="16"/>
              </w:rPr>
              <w:t xml:space="preserve">had it not been for the discounts or </w:t>
            </w:r>
            <w:r w:rsidRPr="000C6F39">
              <w:rPr>
                <w:i/>
                <w:sz w:val="16"/>
                <w:szCs w:val="16"/>
              </w:rPr>
              <w:t>Non-Rate Benefits</w:t>
            </w:r>
            <w:r w:rsidRPr="000C6F39">
              <w:rPr>
                <w:sz w:val="16"/>
                <w:szCs w:val="16"/>
              </w:rPr>
              <w:t xml:space="preserve"> received under this plan?  </w:t>
            </w:r>
          </w:p>
        </w:tc>
        <w:tc>
          <w:tcPr>
            <w:tcW w:w="991" w:type="dxa"/>
          </w:tcPr>
          <w:p w:rsidR="00F97D54" w:rsidRDefault="00F97D54" w:rsidP="00EB5B97">
            <w:pPr>
              <w:rPr>
                <w:sz w:val="16"/>
                <w:szCs w:val="16"/>
              </w:rPr>
            </w:pPr>
            <w:r>
              <w:rPr>
                <w:sz w:val="16"/>
                <w:szCs w:val="16"/>
              </w:rPr>
              <w:t>Text</w:t>
            </w:r>
          </w:p>
        </w:tc>
        <w:tc>
          <w:tcPr>
            <w:tcW w:w="1345" w:type="dxa"/>
          </w:tcPr>
          <w:p w:rsidR="00F97D54" w:rsidRDefault="00F97D54" w:rsidP="00EB5B97">
            <w:pPr>
              <w:rPr>
                <w:sz w:val="16"/>
                <w:szCs w:val="16"/>
              </w:rPr>
            </w:pPr>
            <w:r>
              <w:rPr>
                <w:sz w:val="16"/>
                <w:szCs w:val="16"/>
              </w:rPr>
              <w:t>Southern California</w:t>
            </w:r>
          </w:p>
        </w:tc>
      </w:tr>
      <w:tr w:rsidR="00F97D54" w:rsidRPr="00551AAF" w:rsidTr="00EB5B97">
        <w:trPr>
          <w:trHeight w:val="360"/>
        </w:trPr>
        <w:tc>
          <w:tcPr>
            <w:tcW w:w="2679" w:type="dxa"/>
          </w:tcPr>
          <w:p w:rsidR="00F97D54" w:rsidRDefault="00F97D54" w:rsidP="00EB5B97">
            <w:pPr>
              <w:rPr>
                <w:sz w:val="16"/>
                <w:szCs w:val="16"/>
              </w:rPr>
            </w:pPr>
            <w:r>
              <w:rPr>
                <w:sz w:val="16"/>
                <w:szCs w:val="16"/>
              </w:rPr>
              <w:t>Outside_Area_Yes_Provider</w:t>
            </w:r>
          </w:p>
        </w:tc>
        <w:tc>
          <w:tcPr>
            <w:tcW w:w="3823" w:type="dxa"/>
          </w:tcPr>
          <w:p w:rsidR="00F97D54" w:rsidRPr="00997F57" w:rsidRDefault="00F97D54" w:rsidP="00EB5B97">
            <w:pPr>
              <w:rPr>
                <w:sz w:val="16"/>
                <w:szCs w:val="16"/>
              </w:rPr>
            </w:pPr>
            <w:r>
              <w:rPr>
                <w:sz w:val="16"/>
                <w:szCs w:val="16"/>
              </w:rPr>
              <w:t xml:space="preserve">Name of </w:t>
            </w:r>
            <w:r w:rsidRPr="002B1D08">
              <w:rPr>
                <w:i/>
                <w:sz w:val="16"/>
                <w:szCs w:val="16"/>
              </w:rPr>
              <w:t>Provider</w:t>
            </w:r>
            <w:r>
              <w:rPr>
                <w:i/>
                <w:sz w:val="16"/>
                <w:szCs w:val="16"/>
              </w:rPr>
              <w:t>(s)</w:t>
            </w:r>
            <w:r>
              <w:rPr>
                <w:sz w:val="16"/>
                <w:szCs w:val="16"/>
              </w:rPr>
              <w:t xml:space="preserve"> in the geographic area identified above you would have purchased from had it not been for the discounts or </w:t>
            </w:r>
            <w:r w:rsidRPr="002B1D08">
              <w:rPr>
                <w:i/>
                <w:sz w:val="16"/>
                <w:szCs w:val="16"/>
              </w:rPr>
              <w:t>Non-Rate Benefits</w:t>
            </w:r>
            <w:r>
              <w:rPr>
                <w:sz w:val="16"/>
                <w:szCs w:val="16"/>
              </w:rPr>
              <w:t xml:space="preserve"> received under this plan.</w:t>
            </w:r>
          </w:p>
        </w:tc>
        <w:tc>
          <w:tcPr>
            <w:tcW w:w="991" w:type="dxa"/>
          </w:tcPr>
          <w:p w:rsidR="00F97D54" w:rsidRDefault="00F97D54" w:rsidP="00EB5B97">
            <w:pPr>
              <w:rPr>
                <w:sz w:val="16"/>
                <w:szCs w:val="16"/>
              </w:rPr>
            </w:pPr>
            <w:r>
              <w:rPr>
                <w:sz w:val="16"/>
                <w:szCs w:val="16"/>
              </w:rPr>
              <w:t>Text</w:t>
            </w:r>
          </w:p>
        </w:tc>
        <w:tc>
          <w:tcPr>
            <w:tcW w:w="1345" w:type="dxa"/>
          </w:tcPr>
          <w:p w:rsidR="00F97D54" w:rsidRDefault="00F97D54" w:rsidP="00EB5B97">
            <w:pPr>
              <w:rPr>
                <w:sz w:val="16"/>
                <w:szCs w:val="16"/>
              </w:rPr>
            </w:pPr>
            <w:r>
              <w:rPr>
                <w:sz w:val="16"/>
                <w:szCs w:val="16"/>
              </w:rPr>
              <w:t>ABC Co.</w:t>
            </w:r>
          </w:p>
        </w:tc>
      </w:tr>
      <w:tr w:rsidR="00F97D54" w:rsidRPr="00551AAF" w:rsidTr="00EB5B97">
        <w:trPr>
          <w:trHeight w:val="360"/>
        </w:trPr>
        <w:tc>
          <w:tcPr>
            <w:tcW w:w="2679" w:type="dxa"/>
          </w:tcPr>
          <w:p w:rsidR="00F97D54" w:rsidRDefault="00F97D54" w:rsidP="00EB5B97">
            <w:pPr>
              <w:rPr>
                <w:sz w:val="16"/>
                <w:szCs w:val="16"/>
              </w:rPr>
            </w:pPr>
            <w:r>
              <w:rPr>
                <w:sz w:val="16"/>
                <w:szCs w:val="16"/>
              </w:rPr>
              <w:t>ILEC_Price_Cap</w:t>
            </w:r>
          </w:p>
        </w:tc>
        <w:tc>
          <w:tcPr>
            <w:tcW w:w="3823" w:type="dxa"/>
          </w:tcPr>
          <w:p w:rsidR="00F97D54" w:rsidRPr="00997F57" w:rsidRDefault="00F97D54" w:rsidP="00EB5B97">
            <w:pPr>
              <w:rPr>
                <w:sz w:val="16"/>
                <w:szCs w:val="16"/>
              </w:rPr>
            </w:pPr>
            <w:r w:rsidRPr="00997F57">
              <w:rPr>
                <w:sz w:val="16"/>
                <w:szCs w:val="16"/>
              </w:rPr>
              <w:t xml:space="preserve">If this is an </w:t>
            </w:r>
            <w:r w:rsidRPr="00997F57">
              <w:rPr>
                <w:i/>
                <w:sz w:val="16"/>
                <w:szCs w:val="16"/>
              </w:rPr>
              <w:t>ILEC</w:t>
            </w:r>
            <w:r w:rsidRPr="00997F57">
              <w:rPr>
                <w:sz w:val="16"/>
                <w:szCs w:val="16"/>
              </w:rPr>
              <w:t xml:space="preserve"> plan, do </w:t>
            </w:r>
            <w:r w:rsidRPr="000C6F39">
              <w:rPr>
                <w:i/>
                <w:sz w:val="16"/>
                <w:szCs w:val="16"/>
              </w:rPr>
              <w:t>DS1s</w:t>
            </w:r>
            <w:r>
              <w:rPr>
                <w:sz w:val="16"/>
                <w:szCs w:val="16"/>
              </w:rPr>
              <w:t>,</w:t>
            </w:r>
            <w:r w:rsidRPr="000C6F39">
              <w:rPr>
                <w:sz w:val="16"/>
                <w:szCs w:val="16"/>
              </w:rPr>
              <w:t xml:space="preserve"> </w:t>
            </w:r>
            <w:r w:rsidRPr="000C6F39">
              <w:rPr>
                <w:i/>
                <w:sz w:val="16"/>
                <w:szCs w:val="16"/>
              </w:rPr>
              <w:t>DS3s</w:t>
            </w:r>
            <w:r>
              <w:rPr>
                <w:sz w:val="16"/>
                <w:szCs w:val="16"/>
              </w:rPr>
              <w:t xml:space="preserve">, and/or tariffed </w:t>
            </w:r>
            <w:r w:rsidRPr="00E528B8">
              <w:rPr>
                <w:i/>
                <w:sz w:val="16"/>
                <w:szCs w:val="16"/>
              </w:rPr>
              <w:t>PBDS</w:t>
            </w:r>
            <w:r w:rsidRPr="00997F57">
              <w:rPr>
                <w:sz w:val="16"/>
                <w:szCs w:val="16"/>
              </w:rPr>
              <w:t xml:space="preserve"> purchases your company makes from the </w:t>
            </w:r>
            <w:r w:rsidRPr="00997F57">
              <w:rPr>
                <w:i/>
                <w:sz w:val="16"/>
                <w:szCs w:val="16"/>
              </w:rPr>
              <w:t>ILEC</w:t>
            </w:r>
            <w:r w:rsidRPr="00997F57">
              <w:rPr>
                <w:sz w:val="16"/>
                <w:szCs w:val="16"/>
              </w:rPr>
              <w:t xml:space="preserve"> in price cap areas where the Commission has not granted the </w:t>
            </w:r>
            <w:r w:rsidRPr="00997F57">
              <w:rPr>
                <w:i/>
                <w:sz w:val="16"/>
                <w:szCs w:val="16"/>
              </w:rPr>
              <w:t>ILEC</w:t>
            </w:r>
            <w:r w:rsidRPr="00997F57">
              <w:rPr>
                <w:sz w:val="16"/>
                <w:szCs w:val="16"/>
              </w:rPr>
              <w:t xml:space="preserve"> pricing flexibility </w:t>
            </w:r>
            <w:r>
              <w:rPr>
                <w:sz w:val="16"/>
                <w:szCs w:val="16"/>
              </w:rPr>
              <w:t xml:space="preserve">count towards </w:t>
            </w:r>
            <w:r w:rsidRPr="00997F57">
              <w:rPr>
                <w:sz w:val="16"/>
                <w:szCs w:val="16"/>
              </w:rPr>
              <w:t xml:space="preserve">meeting any </w:t>
            </w:r>
            <w:r w:rsidRPr="00997F57">
              <w:rPr>
                <w:i/>
                <w:sz w:val="16"/>
                <w:szCs w:val="16"/>
              </w:rPr>
              <w:t>Volume Commitment</w:t>
            </w:r>
            <w:r w:rsidRPr="00997F57">
              <w:rPr>
                <w:sz w:val="16"/>
                <w:szCs w:val="16"/>
              </w:rPr>
              <w:t xml:space="preserve"> to receive a discount or </w:t>
            </w:r>
            <w:r w:rsidRPr="00997F57">
              <w:rPr>
                <w:i/>
                <w:sz w:val="16"/>
                <w:szCs w:val="16"/>
              </w:rPr>
              <w:t>Non-Rate Benefit</w:t>
            </w:r>
            <w:r w:rsidRPr="00997F57">
              <w:rPr>
                <w:sz w:val="16"/>
                <w:szCs w:val="16"/>
              </w:rPr>
              <w:t xml:space="preserve"> under this plan? </w:t>
            </w:r>
            <w:r>
              <w:rPr>
                <w:sz w:val="16"/>
                <w:szCs w:val="16"/>
              </w:rPr>
              <w:t xml:space="preserve">(Y=Yes, N=No, NA=Not Applicable) </w:t>
            </w:r>
          </w:p>
        </w:tc>
        <w:tc>
          <w:tcPr>
            <w:tcW w:w="991" w:type="dxa"/>
          </w:tcPr>
          <w:p w:rsidR="00F97D54" w:rsidRDefault="00F97D54" w:rsidP="00EB5B97">
            <w:pPr>
              <w:rPr>
                <w:sz w:val="16"/>
                <w:szCs w:val="16"/>
              </w:rPr>
            </w:pPr>
            <w:r>
              <w:rPr>
                <w:sz w:val="16"/>
                <w:szCs w:val="16"/>
              </w:rPr>
              <w:t>Text</w:t>
            </w:r>
          </w:p>
        </w:tc>
        <w:tc>
          <w:tcPr>
            <w:tcW w:w="1345" w:type="dxa"/>
          </w:tcPr>
          <w:p w:rsidR="00F97D54" w:rsidRDefault="00F97D54" w:rsidP="00EB5B97">
            <w:pPr>
              <w:rPr>
                <w:sz w:val="16"/>
                <w:szCs w:val="16"/>
              </w:rPr>
            </w:pPr>
            <w:r>
              <w:rPr>
                <w:sz w:val="16"/>
                <w:szCs w:val="16"/>
              </w:rPr>
              <w:t>Y</w:t>
            </w:r>
          </w:p>
        </w:tc>
      </w:tr>
      <w:tr w:rsidR="00F97D54" w:rsidRPr="00551AAF" w:rsidTr="00EB5B97">
        <w:trPr>
          <w:trHeight w:val="360"/>
        </w:trPr>
        <w:tc>
          <w:tcPr>
            <w:tcW w:w="2679" w:type="dxa"/>
          </w:tcPr>
          <w:p w:rsidR="00F97D54" w:rsidRDefault="00F97D54" w:rsidP="00EB5B97">
            <w:pPr>
              <w:rPr>
                <w:sz w:val="16"/>
                <w:szCs w:val="16"/>
              </w:rPr>
            </w:pPr>
            <w:r>
              <w:rPr>
                <w:sz w:val="16"/>
                <w:szCs w:val="16"/>
              </w:rPr>
              <w:t>ILEC_Price_Cap_Vol</w:t>
            </w:r>
          </w:p>
        </w:tc>
        <w:tc>
          <w:tcPr>
            <w:tcW w:w="3823" w:type="dxa"/>
          </w:tcPr>
          <w:p w:rsidR="00F97D54" w:rsidRPr="00F83CE8" w:rsidRDefault="00F97D54" w:rsidP="00EB5B97">
            <w:pPr>
              <w:rPr>
                <w:sz w:val="16"/>
                <w:szCs w:val="16"/>
              </w:rPr>
            </w:pPr>
            <w:r w:rsidRPr="00F83CE8">
              <w:rPr>
                <w:sz w:val="16"/>
                <w:szCs w:val="16"/>
              </w:rPr>
              <w:t xml:space="preserve">If Yes, then identify the price cap areas where you purchase </w:t>
            </w:r>
            <w:r w:rsidRPr="000C6F39">
              <w:rPr>
                <w:i/>
                <w:sz w:val="16"/>
                <w:szCs w:val="16"/>
              </w:rPr>
              <w:t>DS1s</w:t>
            </w:r>
            <w:r>
              <w:rPr>
                <w:sz w:val="16"/>
                <w:szCs w:val="16"/>
              </w:rPr>
              <w:t>,</w:t>
            </w:r>
            <w:r w:rsidRPr="000C6F39">
              <w:rPr>
                <w:sz w:val="16"/>
                <w:szCs w:val="16"/>
              </w:rPr>
              <w:t xml:space="preserve"> </w:t>
            </w:r>
            <w:r w:rsidRPr="000C6F39">
              <w:rPr>
                <w:i/>
                <w:sz w:val="16"/>
                <w:szCs w:val="16"/>
              </w:rPr>
              <w:t>DS3s</w:t>
            </w:r>
            <w:r>
              <w:rPr>
                <w:sz w:val="16"/>
                <w:szCs w:val="16"/>
              </w:rPr>
              <w:t xml:space="preserve">, and/or tariffed </w:t>
            </w:r>
            <w:r w:rsidRPr="00E528B8">
              <w:rPr>
                <w:i/>
                <w:sz w:val="16"/>
                <w:szCs w:val="16"/>
              </w:rPr>
              <w:t>PBDS</w:t>
            </w:r>
            <w:r w:rsidRPr="00F83CE8">
              <w:rPr>
                <w:sz w:val="16"/>
                <w:szCs w:val="16"/>
              </w:rPr>
              <w:t xml:space="preserve"> that count towards meeting any </w:t>
            </w:r>
            <w:r w:rsidRPr="00F83CE8">
              <w:rPr>
                <w:i/>
                <w:sz w:val="16"/>
                <w:szCs w:val="16"/>
              </w:rPr>
              <w:t>Volume Commitment</w:t>
            </w:r>
            <w:r w:rsidRPr="00F83CE8">
              <w:rPr>
                <w:sz w:val="16"/>
                <w:szCs w:val="16"/>
              </w:rPr>
              <w:t xml:space="preserve"> to receive a discount or </w:t>
            </w:r>
            <w:r w:rsidRPr="00F83CE8">
              <w:rPr>
                <w:i/>
                <w:sz w:val="16"/>
                <w:szCs w:val="16"/>
              </w:rPr>
              <w:t>Non-Rate Benefit</w:t>
            </w:r>
            <w:r w:rsidRPr="00F83CE8">
              <w:rPr>
                <w:sz w:val="16"/>
                <w:szCs w:val="16"/>
              </w:rPr>
              <w:t xml:space="preserve"> under this plan</w:t>
            </w:r>
            <w:r>
              <w:rPr>
                <w:sz w:val="16"/>
                <w:szCs w:val="16"/>
              </w:rPr>
              <w:t>.</w:t>
            </w:r>
          </w:p>
        </w:tc>
        <w:tc>
          <w:tcPr>
            <w:tcW w:w="991" w:type="dxa"/>
          </w:tcPr>
          <w:p w:rsidR="00F97D54" w:rsidRDefault="00F97D54" w:rsidP="00EB5B97">
            <w:pPr>
              <w:rPr>
                <w:sz w:val="16"/>
                <w:szCs w:val="16"/>
              </w:rPr>
            </w:pPr>
            <w:r>
              <w:rPr>
                <w:sz w:val="16"/>
                <w:szCs w:val="16"/>
              </w:rPr>
              <w:t>Text</w:t>
            </w:r>
          </w:p>
        </w:tc>
        <w:tc>
          <w:tcPr>
            <w:tcW w:w="1345" w:type="dxa"/>
          </w:tcPr>
          <w:p w:rsidR="00F97D54" w:rsidRDefault="00F97D54" w:rsidP="00EB5B97">
            <w:pPr>
              <w:rPr>
                <w:sz w:val="16"/>
                <w:szCs w:val="16"/>
              </w:rPr>
            </w:pPr>
            <w:r>
              <w:rPr>
                <w:sz w:val="16"/>
                <w:szCs w:val="16"/>
              </w:rPr>
              <w:t>Texas</w:t>
            </w:r>
          </w:p>
        </w:tc>
      </w:tr>
      <w:tr w:rsidR="00F97D54" w:rsidRPr="00551AAF" w:rsidTr="00EB5B97">
        <w:trPr>
          <w:trHeight w:val="360"/>
        </w:trPr>
        <w:tc>
          <w:tcPr>
            <w:tcW w:w="2679" w:type="dxa"/>
          </w:tcPr>
          <w:p w:rsidR="00F97D54" w:rsidRDefault="00F97D54" w:rsidP="00EB5B97">
            <w:pPr>
              <w:rPr>
                <w:sz w:val="16"/>
                <w:szCs w:val="16"/>
              </w:rPr>
            </w:pPr>
            <w:r>
              <w:rPr>
                <w:sz w:val="16"/>
                <w:szCs w:val="16"/>
              </w:rPr>
              <w:t>ILEC_Price_Flex1</w:t>
            </w:r>
          </w:p>
        </w:tc>
        <w:tc>
          <w:tcPr>
            <w:tcW w:w="3823" w:type="dxa"/>
          </w:tcPr>
          <w:p w:rsidR="00F97D54" w:rsidRPr="00F83CE8" w:rsidRDefault="00F97D54" w:rsidP="00EB5B97">
            <w:pPr>
              <w:rPr>
                <w:sz w:val="16"/>
                <w:szCs w:val="16"/>
              </w:rPr>
            </w:pPr>
            <w:r w:rsidRPr="00F83CE8">
              <w:rPr>
                <w:sz w:val="16"/>
                <w:szCs w:val="16"/>
              </w:rPr>
              <w:t xml:space="preserve">If this is an </w:t>
            </w:r>
            <w:r w:rsidRPr="00F83CE8">
              <w:rPr>
                <w:i/>
                <w:sz w:val="16"/>
                <w:szCs w:val="16"/>
              </w:rPr>
              <w:t>ILEC</w:t>
            </w:r>
            <w:r w:rsidRPr="00F83CE8">
              <w:rPr>
                <w:sz w:val="16"/>
                <w:szCs w:val="16"/>
              </w:rPr>
              <w:t xml:space="preserve"> plan, do </w:t>
            </w:r>
            <w:r w:rsidRPr="000C6F39">
              <w:rPr>
                <w:i/>
                <w:sz w:val="16"/>
                <w:szCs w:val="16"/>
              </w:rPr>
              <w:t>DS1s</w:t>
            </w:r>
            <w:r>
              <w:rPr>
                <w:sz w:val="16"/>
                <w:szCs w:val="16"/>
              </w:rPr>
              <w:t>,</w:t>
            </w:r>
            <w:r w:rsidRPr="000C6F39">
              <w:rPr>
                <w:sz w:val="16"/>
                <w:szCs w:val="16"/>
              </w:rPr>
              <w:t xml:space="preserve"> </w:t>
            </w:r>
            <w:r w:rsidRPr="000C6F39">
              <w:rPr>
                <w:i/>
                <w:sz w:val="16"/>
                <w:szCs w:val="16"/>
              </w:rPr>
              <w:t>DS3s</w:t>
            </w:r>
            <w:r>
              <w:rPr>
                <w:sz w:val="16"/>
                <w:szCs w:val="16"/>
              </w:rPr>
              <w:t xml:space="preserve">, and/or tariffed </w:t>
            </w:r>
            <w:r w:rsidRPr="00E528B8">
              <w:rPr>
                <w:i/>
                <w:sz w:val="16"/>
                <w:szCs w:val="16"/>
              </w:rPr>
              <w:t>PBDS</w:t>
            </w:r>
            <w:r w:rsidRPr="00F83CE8">
              <w:rPr>
                <w:sz w:val="16"/>
                <w:szCs w:val="16"/>
              </w:rPr>
              <w:t xml:space="preserve"> purchases your company makes from the </w:t>
            </w:r>
            <w:r w:rsidRPr="00F83CE8">
              <w:rPr>
                <w:i/>
                <w:sz w:val="16"/>
                <w:szCs w:val="16"/>
              </w:rPr>
              <w:t>ILEC</w:t>
            </w:r>
            <w:r w:rsidRPr="00F83CE8">
              <w:rPr>
                <w:sz w:val="16"/>
                <w:szCs w:val="16"/>
              </w:rPr>
              <w:t xml:space="preserve"> in areas where the Commission has granted </w:t>
            </w:r>
            <w:r>
              <w:rPr>
                <w:sz w:val="16"/>
                <w:szCs w:val="16"/>
              </w:rPr>
              <w:t xml:space="preserve">the </w:t>
            </w:r>
            <w:r w:rsidRPr="00ED6F7B">
              <w:rPr>
                <w:i/>
                <w:sz w:val="16"/>
                <w:szCs w:val="16"/>
              </w:rPr>
              <w:t>ILEC</w:t>
            </w:r>
            <w:r>
              <w:rPr>
                <w:sz w:val="16"/>
                <w:szCs w:val="16"/>
              </w:rPr>
              <w:t xml:space="preserve"> </w:t>
            </w:r>
            <w:r w:rsidRPr="00F83CE8">
              <w:rPr>
                <w:i/>
                <w:sz w:val="16"/>
                <w:szCs w:val="16"/>
              </w:rPr>
              <w:t>Phase I</w:t>
            </w:r>
            <w:r w:rsidRPr="00F83CE8">
              <w:rPr>
                <w:sz w:val="16"/>
                <w:szCs w:val="16"/>
              </w:rPr>
              <w:t xml:space="preserve"> </w:t>
            </w:r>
            <w:r w:rsidRPr="00F83CE8">
              <w:rPr>
                <w:i/>
                <w:sz w:val="16"/>
                <w:szCs w:val="16"/>
              </w:rPr>
              <w:t>Pricing Flexibility</w:t>
            </w:r>
            <w:r w:rsidRPr="00F83CE8">
              <w:rPr>
                <w:sz w:val="16"/>
                <w:szCs w:val="16"/>
              </w:rPr>
              <w:t xml:space="preserve"> </w:t>
            </w:r>
            <w:r>
              <w:rPr>
                <w:sz w:val="16"/>
                <w:szCs w:val="16"/>
              </w:rPr>
              <w:t xml:space="preserve">count towards </w:t>
            </w:r>
            <w:r w:rsidRPr="00F83CE8">
              <w:rPr>
                <w:sz w:val="16"/>
                <w:szCs w:val="16"/>
              </w:rPr>
              <w:t xml:space="preserve">meeting any </w:t>
            </w:r>
            <w:r w:rsidRPr="00F83CE8">
              <w:rPr>
                <w:i/>
                <w:sz w:val="16"/>
                <w:szCs w:val="16"/>
              </w:rPr>
              <w:t>Volume Commitment</w:t>
            </w:r>
            <w:r w:rsidRPr="00F83CE8">
              <w:rPr>
                <w:sz w:val="16"/>
                <w:szCs w:val="16"/>
              </w:rPr>
              <w:t xml:space="preserve"> to receive a discount or </w:t>
            </w:r>
            <w:r w:rsidRPr="00F83CE8">
              <w:rPr>
                <w:i/>
                <w:sz w:val="16"/>
                <w:szCs w:val="16"/>
              </w:rPr>
              <w:t>Non-Rate Benefit</w:t>
            </w:r>
            <w:r w:rsidRPr="00F83CE8">
              <w:rPr>
                <w:sz w:val="16"/>
                <w:szCs w:val="16"/>
              </w:rPr>
              <w:t xml:space="preserve"> under this plan? </w:t>
            </w:r>
            <w:r>
              <w:rPr>
                <w:sz w:val="16"/>
                <w:szCs w:val="16"/>
              </w:rPr>
              <w:t xml:space="preserve">(Y=Yes, N=No, NA=Not Applicable) </w:t>
            </w:r>
          </w:p>
        </w:tc>
        <w:tc>
          <w:tcPr>
            <w:tcW w:w="991" w:type="dxa"/>
          </w:tcPr>
          <w:p w:rsidR="00F97D54" w:rsidRDefault="00F97D54" w:rsidP="00EB5B97">
            <w:pPr>
              <w:rPr>
                <w:sz w:val="16"/>
                <w:szCs w:val="16"/>
              </w:rPr>
            </w:pPr>
            <w:r>
              <w:rPr>
                <w:sz w:val="16"/>
                <w:szCs w:val="16"/>
              </w:rPr>
              <w:t>Text</w:t>
            </w:r>
          </w:p>
        </w:tc>
        <w:tc>
          <w:tcPr>
            <w:tcW w:w="1345" w:type="dxa"/>
          </w:tcPr>
          <w:p w:rsidR="00F97D54" w:rsidRDefault="00F97D54" w:rsidP="00EB5B97">
            <w:pPr>
              <w:rPr>
                <w:sz w:val="16"/>
                <w:szCs w:val="16"/>
              </w:rPr>
            </w:pPr>
            <w:r>
              <w:rPr>
                <w:sz w:val="16"/>
                <w:szCs w:val="16"/>
              </w:rPr>
              <w:t>Y</w:t>
            </w:r>
          </w:p>
        </w:tc>
      </w:tr>
      <w:tr w:rsidR="00F97D54" w:rsidRPr="00551AAF" w:rsidTr="00EB5B97">
        <w:trPr>
          <w:trHeight w:val="360"/>
        </w:trPr>
        <w:tc>
          <w:tcPr>
            <w:tcW w:w="2679" w:type="dxa"/>
          </w:tcPr>
          <w:p w:rsidR="00F97D54" w:rsidRDefault="00F97D54" w:rsidP="00EB5B97">
            <w:pPr>
              <w:rPr>
                <w:sz w:val="16"/>
                <w:szCs w:val="16"/>
              </w:rPr>
            </w:pPr>
            <w:r>
              <w:rPr>
                <w:sz w:val="16"/>
                <w:szCs w:val="16"/>
              </w:rPr>
              <w:t>ILEC_Price_Flex1_Vol</w:t>
            </w:r>
          </w:p>
        </w:tc>
        <w:tc>
          <w:tcPr>
            <w:tcW w:w="3823" w:type="dxa"/>
          </w:tcPr>
          <w:p w:rsidR="00F97D54" w:rsidRPr="00F83CE8" w:rsidRDefault="00F97D54" w:rsidP="00EB5B97">
            <w:pPr>
              <w:rPr>
                <w:sz w:val="16"/>
                <w:szCs w:val="16"/>
              </w:rPr>
            </w:pPr>
            <w:r w:rsidRPr="00F83CE8">
              <w:rPr>
                <w:sz w:val="16"/>
                <w:szCs w:val="16"/>
              </w:rPr>
              <w:t xml:space="preserve">If </w:t>
            </w:r>
            <w:r>
              <w:rPr>
                <w:sz w:val="16"/>
                <w:szCs w:val="16"/>
              </w:rPr>
              <w:t>Y</w:t>
            </w:r>
            <w:r w:rsidRPr="00F83CE8">
              <w:rPr>
                <w:sz w:val="16"/>
                <w:szCs w:val="16"/>
              </w:rPr>
              <w:t xml:space="preserve">es, in what geographic areas subject to pricing flexibility do you purchase </w:t>
            </w:r>
            <w:r w:rsidRPr="000C6F39">
              <w:rPr>
                <w:i/>
                <w:sz w:val="16"/>
                <w:szCs w:val="16"/>
              </w:rPr>
              <w:t>DS1s</w:t>
            </w:r>
            <w:r>
              <w:rPr>
                <w:sz w:val="16"/>
                <w:szCs w:val="16"/>
              </w:rPr>
              <w:t>,</w:t>
            </w:r>
            <w:r w:rsidRPr="000C6F39">
              <w:rPr>
                <w:sz w:val="16"/>
                <w:szCs w:val="16"/>
              </w:rPr>
              <w:t xml:space="preserve"> </w:t>
            </w:r>
            <w:r w:rsidRPr="000C6F39">
              <w:rPr>
                <w:i/>
                <w:sz w:val="16"/>
                <w:szCs w:val="16"/>
              </w:rPr>
              <w:t>DS3s</w:t>
            </w:r>
            <w:r>
              <w:rPr>
                <w:sz w:val="16"/>
                <w:szCs w:val="16"/>
              </w:rPr>
              <w:t xml:space="preserve">, and/or tariffed </w:t>
            </w:r>
            <w:r w:rsidRPr="00E528B8">
              <w:rPr>
                <w:i/>
                <w:sz w:val="16"/>
                <w:szCs w:val="16"/>
              </w:rPr>
              <w:t>PBDS</w:t>
            </w:r>
            <w:r w:rsidRPr="00F83CE8">
              <w:rPr>
                <w:sz w:val="16"/>
                <w:szCs w:val="16"/>
              </w:rPr>
              <w:t xml:space="preserve"> that count towards meeting any </w:t>
            </w:r>
            <w:r w:rsidRPr="00F83CE8">
              <w:rPr>
                <w:i/>
                <w:sz w:val="16"/>
                <w:szCs w:val="16"/>
              </w:rPr>
              <w:t>Volume Commitment</w:t>
            </w:r>
            <w:r w:rsidRPr="00F83CE8">
              <w:rPr>
                <w:sz w:val="16"/>
                <w:szCs w:val="16"/>
              </w:rPr>
              <w:t xml:space="preserve"> to receive a discount or </w:t>
            </w:r>
            <w:r w:rsidRPr="00F83CE8">
              <w:rPr>
                <w:i/>
                <w:sz w:val="16"/>
                <w:szCs w:val="16"/>
              </w:rPr>
              <w:t>Non-Rate Benefit</w:t>
            </w:r>
            <w:r w:rsidRPr="00F83CE8">
              <w:rPr>
                <w:sz w:val="16"/>
                <w:szCs w:val="16"/>
              </w:rPr>
              <w:t xml:space="preserve"> under this plan?</w:t>
            </w:r>
            <w:r>
              <w:rPr>
                <w:sz w:val="16"/>
                <w:szCs w:val="16"/>
              </w:rPr>
              <w:t xml:space="preserve"> </w:t>
            </w:r>
          </w:p>
        </w:tc>
        <w:tc>
          <w:tcPr>
            <w:tcW w:w="991" w:type="dxa"/>
          </w:tcPr>
          <w:p w:rsidR="00F97D54" w:rsidRDefault="00F97D54" w:rsidP="00EB5B97">
            <w:pPr>
              <w:rPr>
                <w:sz w:val="16"/>
                <w:szCs w:val="16"/>
              </w:rPr>
            </w:pPr>
            <w:r>
              <w:rPr>
                <w:sz w:val="16"/>
                <w:szCs w:val="16"/>
              </w:rPr>
              <w:t>Text</w:t>
            </w:r>
          </w:p>
        </w:tc>
        <w:tc>
          <w:tcPr>
            <w:tcW w:w="1345" w:type="dxa"/>
          </w:tcPr>
          <w:p w:rsidR="00F97D54" w:rsidRDefault="00F97D54" w:rsidP="00EB5B97">
            <w:pPr>
              <w:rPr>
                <w:sz w:val="16"/>
                <w:szCs w:val="16"/>
              </w:rPr>
            </w:pPr>
            <w:r>
              <w:rPr>
                <w:sz w:val="16"/>
                <w:szCs w:val="16"/>
              </w:rPr>
              <w:t>Dallas MSA</w:t>
            </w:r>
          </w:p>
        </w:tc>
      </w:tr>
      <w:tr w:rsidR="00F97D54" w:rsidRPr="00551AAF" w:rsidTr="00EB5B97">
        <w:trPr>
          <w:trHeight w:val="360"/>
        </w:trPr>
        <w:tc>
          <w:tcPr>
            <w:tcW w:w="2679" w:type="dxa"/>
          </w:tcPr>
          <w:p w:rsidR="00F97D54" w:rsidRDefault="00F97D54" w:rsidP="00EB5B97">
            <w:pPr>
              <w:rPr>
                <w:sz w:val="16"/>
                <w:szCs w:val="16"/>
              </w:rPr>
            </w:pPr>
            <w:r>
              <w:rPr>
                <w:sz w:val="16"/>
                <w:szCs w:val="16"/>
              </w:rPr>
              <w:t>ILEC_Price_Flex1_Diff</w:t>
            </w:r>
          </w:p>
        </w:tc>
        <w:tc>
          <w:tcPr>
            <w:tcW w:w="3823" w:type="dxa"/>
          </w:tcPr>
          <w:p w:rsidR="00F97D54" w:rsidRPr="000C6F39" w:rsidRDefault="00F97D54" w:rsidP="00EB5B97">
            <w:pPr>
              <w:rPr>
                <w:sz w:val="16"/>
                <w:szCs w:val="16"/>
              </w:rPr>
            </w:pPr>
            <w:r w:rsidRPr="000C6F39">
              <w:rPr>
                <w:sz w:val="16"/>
                <w:szCs w:val="16"/>
              </w:rPr>
              <w:t xml:space="preserve">Of the geographic areas identified, in which of those areas would your company have purchased from a different </w:t>
            </w:r>
            <w:r w:rsidRPr="000C6F39">
              <w:rPr>
                <w:i/>
                <w:sz w:val="16"/>
                <w:szCs w:val="16"/>
              </w:rPr>
              <w:t>Provider</w:t>
            </w:r>
            <w:r w:rsidRPr="000C6F39">
              <w:rPr>
                <w:sz w:val="16"/>
                <w:szCs w:val="16"/>
              </w:rPr>
              <w:t>, if at all,</w:t>
            </w:r>
            <w:r w:rsidRPr="000C6F39">
              <w:rPr>
                <w:i/>
                <w:sz w:val="16"/>
                <w:szCs w:val="16"/>
              </w:rPr>
              <w:t xml:space="preserve"> </w:t>
            </w:r>
            <w:r w:rsidRPr="000C6F39">
              <w:rPr>
                <w:sz w:val="16"/>
                <w:szCs w:val="16"/>
              </w:rPr>
              <w:t xml:space="preserve">had it not been for the discounts or </w:t>
            </w:r>
            <w:r w:rsidRPr="000C6F39">
              <w:rPr>
                <w:i/>
                <w:sz w:val="16"/>
                <w:szCs w:val="16"/>
              </w:rPr>
              <w:t>Non-Rate Benefits</w:t>
            </w:r>
            <w:r w:rsidRPr="000C6F39">
              <w:rPr>
                <w:sz w:val="16"/>
                <w:szCs w:val="16"/>
              </w:rPr>
              <w:t xml:space="preserve"> received under this plan?  </w:t>
            </w:r>
          </w:p>
        </w:tc>
        <w:tc>
          <w:tcPr>
            <w:tcW w:w="991" w:type="dxa"/>
          </w:tcPr>
          <w:p w:rsidR="00F97D54" w:rsidRDefault="00F97D54" w:rsidP="00EB5B97">
            <w:pPr>
              <w:rPr>
                <w:sz w:val="16"/>
                <w:szCs w:val="16"/>
              </w:rPr>
            </w:pPr>
            <w:r>
              <w:rPr>
                <w:sz w:val="16"/>
                <w:szCs w:val="16"/>
              </w:rPr>
              <w:t>Text</w:t>
            </w:r>
          </w:p>
        </w:tc>
        <w:tc>
          <w:tcPr>
            <w:tcW w:w="1345" w:type="dxa"/>
          </w:tcPr>
          <w:p w:rsidR="00F97D54" w:rsidRDefault="00F97D54" w:rsidP="00EB5B97">
            <w:pPr>
              <w:rPr>
                <w:sz w:val="16"/>
                <w:szCs w:val="16"/>
              </w:rPr>
            </w:pPr>
            <w:r>
              <w:rPr>
                <w:sz w:val="16"/>
                <w:szCs w:val="16"/>
              </w:rPr>
              <w:t>Southern California</w:t>
            </w:r>
          </w:p>
        </w:tc>
      </w:tr>
      <w:tr w:rsidR="00F97D54" w:rsidRPr="00551AAF" w:rsidTr="00EB5B97">
        <w:trPr>
          <w:trHeight w:val="360"/>
        </w:trPr>
        <w:tc>
          <w:tcPr>
            <w:tcW w:w="2679" w:type="dxa"/>
          </w:tcPr>
          <w:p w:rsidR="00F97D54" w:rsidRDefault="00F97D54" w:rsidP="00EB5B97">
            <w:pPr>
              <w:rPr>
                <w:sz w:val="16"/>
                <w:szCs w:val="16"/>
              </w:rPr>
            </w:pPr>
            <w:r>
              <w:rPr>
                <w:sz w:val="16"/>
                <w:szCs w:val="16"/>
              </w:rPr>
              <w:t>ILEC_Price_Flex1_Provider</w:t>
            </w:r>
          </w:p>
        </w:tc>
        <w:tc>
          <w:tcPr>
            <w:tcW w:w="3823" w:type="dxa"/>
          </w:tcPr>
          <w:p w:rsidR="00F97D54" w:rsidRPr="00997F57" w:rsidRDefault="00F97D54" w:rsidP="00EB5B97">
            <w:pPr>
              <w:rPr>
                <w:sz w:val="16"/>
                <w:szCs w:val="16"/>
              </w:rPr>
            </w:pPr>
            <w:r>
              <w:rPr>
                <w:sz w:val="16"/>
                <w:szCs w:val="16"/>
              </w:rPr>
              <w:t xml:space="preserve">Name of </w:t>
            </w:r>
            <w:r w:rsidRPr="002B1D08">
              <w:rPr>
                <w:i/>
                <w:sz w:val="16"/>
                <w:szCs w:val="16"/>
              </w:rPr>
              <w:t>Provider</w:t>
            </w:r>
            <w:r>
              <w:rPr>
                <w:i/>
                <w:sz w:val="16"/>
                <w:szCs w:val="16"/>
              </w:rPr>
              <w:t>(s)</w:t>
            </w:r>
            <w:r>
              <w:rPr>
                <w:sz w:val="16"/>
                <w:szCs w:val="16"/>
              </w:rPr>
              <w:t xml:space="preserve"> in the geographic areas identified above you would have purchased from had it not been for the discounts or </w:t>
            </w:r>
            <w:r w:rsidRPr="002B1D08">
              <w:rPr>
                <w:i/>
                <w:sz w:val="16"/>
                <w:szCs w:val="16"/>
              </w:rPr>
              <w:t>Non-Rate Benefits</w:t>
            </w:r>
            <w:r>
              <w:rPr>
                <w:sz w:val="16"/>
                <w:szCs w:val="16"/>
              </w:rPr>
              <w:t xml:space="preserve"> received under this plan.</w:t>
            </w:r>
          </w:p>
        </w:tc>
        <w:tc>
          <w:tcPr>
            <w:tcW w:w="991" w:type="dxa"/>
          </w:tcPr>
          <w:p w:rsidR="00F97D54" w:rsidRDefault="00F97D54" w:rsidP="00EB5B97">
            <w:pPr>
              <w:rPr>
                <w:sz w:val="16"/>
                <w:szCs w:val="16"/>
              </w:rPr>
            </w:pPr>
            <w:r>
              <w:rPr>
                <w:sz w:val="16"/>
                <w:szCs w:val="16"/>
              </w:rPr>
              <w:t>Text</w:t>
            </w:r>
          </w:p>
        </w:tc>
        <w:tc>
          <w:tcPr>
            <w:tcW w:w="1345" w:type="dxa"/>
          </w:tcPr>
          <w:p w:rsidR="00F97D54" w:rsidRDefault="00F97D54" w:rsidP="00EB5B97">
            <w:pPr>
              <w:rPr>
                <w:sz w:val="16"/>
                <w:szCs w:val="16"/>
              </w:rPr>
            </w:pPr>
            <w:r>
              <w:rPr>
                <w:sz w:val="16"/>
                <w:szCs w:val="16"/>
              </w:rPr>
              <w:t>ABC Co.</w:t>
            </w:r>
          </w:p>
        </w:tc>
      </w:tr>
      <w:tr w:rsidR="00F97D54" w:rsidRPr="00551AAF" w:rsidTr="00EB5B97">
        <w:trPr>
          <w:trHeight w:val="360"/>
        </w:trPr>
        <w:tc>
          <w:tcPr>
            <w:tcW w:w="2679" w:type="dxa"/>
          </w:tcPr>
          <w:p w:rsidR="00F97D54" w:rsidRDefault="00F97D54" w:rsidP="00EB5B97">
            <w:pPr>
              <w:rPr>
                <w:sz w:val="16"/>
                <w:szCs w:val="16"/>
              </w:rPr>
            </w:pPr>
            <w:r>
              <w:rPr>
                <w:sz w:val="16"/>
                <w:szCs w:val="16"/>
              </w:rPr>
              <w:t>ILEC_Price_Flex2</w:t>
            </w:r>
          </w:p>
        </w:tc>
        <w:tc>
          <w:tcPr>
            <w:tcW w:w="3823" w:type="dxa"/>
          </w:tcPr>
          <w:p w:rsidR="00F97D54" w:rsidRPr="00F83CE8" w:rsidRDefault="00F97D54" w:rsidP="00EB5B97">
            <w:pPr>
              <w:rPr>
                <w:sz w:val="16"/>
                <w:szCs w:val="16"/>
              </w:rPr>
            </w:pPr>
            <w:r w:rsidRPr="00F83CE8">
              <w:rPr>
                <w:sz w:val="16"/>
                <w:szCs w:val="16"/>
              </w:rPr>
              <w:t xml:space="preserve">If this is an </w:t>
            </w:r>
            <w:r w:rsidRPr="00F83CE8">
              <w:rPr>
                <w:i/>
                <w:sz w:val="16"/>
                <w:szCs w:val="16"/>
              </w:rPr>
              <w:t>ILEC</w:t>
            </w:r>
            <w:r w:rsidRPr="00F83CE8">
              <w:rPr>
                <w:sz w:val="16"/>
                <w:szCs w:val="16"/>
              </w:rPr>
              <w:t xml:space="preserve"> plan, do </w:t>
            </w:r>
            <w:r w:rsidRPr="000C6F39">
              <w:rPr>
                <w:i/>
                <w:sz w:val="16"/>
                <w:szCs w:val="16"/>
              </w:rPr>
              <w:t>DS1s</w:t>
            </w:r>
            <w:r>
              <w:rPr>
                <w:sz w:val="16"/>
                <w:szCs w:val="16"/>
              </w:rPr>
              <w:t>,</w:t>
            </w:r>
            <w:r w:rsidRPr="000C6F39">
              <w:rPr>
                <w:sz w:val="16"/>
                <w:szCs w:val="16"/>
              </w:rPr>
              <w:t xml:space="preserve"> </w:t>
            </w:r>
            <w:r w:rsidRPr="000C6F39">
              <w:rPr>
                <w:i/>
                <w:sz w:val="16"/>
                <w:szCs w:val="16"/>
              </w:rPr>
              <w:t>DS3s</w:t>
            </w:r>
            <w:r>
              <w:rPr>
                <w:sz w:val="16"/>
                <w:szCs w:val="16"/>
              </w:rPr>
              <w:t xml:space="preserve">, and/or tariffed </w:t>
            </w:r>
            <w:r w:rsidRPr="00E528B8">
              <w:rPr>
                <w:i/>
                <w:sz w:val="16"/>
                <w:szCs w:val="16"/>
              </w:rPr>
              <w:t>PBDS</w:t>
            </w:r>
            <w:r w:rsidRPr="00F83CE8">
              <w:rPr>
                <w:sz w:val="16"/>
                <w:szCs w:val="16"/>
              </w:rPr>
              <w:t xml:space="preserve"> purchases your company makes from the </w:t>
            </w:r>
            <w:r w:rsidRPr="00F83CE8">
              <w:rPr>
                <w:i/>
                <w:sz w:val="16"/>
                <w:szCs w:val="16"/>
              </w:rPr>
              <w:t>ILEC</w:t>
            </w:r>
            <w:r w:rsidRPr="00F83CE8">
              <w:rPr>
                <w:sz w:val="16"/>
                <w:szCs w:val="16"/>
              </w:rPr>
              <w:t xml:space="preserve"> in areas where the Commission has granted </w:t>
            </w:r>
            <w:r>
              <w:rPr>
                <w:sz w:val="16"/>
                <w:szCs w:val="16"/>
              </w:rPr>
              <w:t xml:space="preserve">the </w:t>
            </w:r>
            <w:r w:rsidRPr="00ED6F7B">
              <w:rPr>
                <w:i/>
                <w:sz w:val="16"/>
                <w:szCs w:val="16"/>
              </w:rPr>
              <w:t>ILEC</w:t>
            </w:r>
            <w:r>
              <w:rPr>
                <w:sz w:val="16"/>
                <w:szCs w:val="16"/>
              </w:rPr>
              <w:t xml:space="preserve"> </w:t>
            </w:r>
            <w:r w:rsidRPr="00F83CE8">
              <w:rPr>
                <w:i/>
                <w:sz w:val="16"/>
                <w:szCs w:val="16"/>
              </w:rPr>
              <w:t>Phase I</w:t>
            </w:r>
            <w:r>
              <w:rPr>
                <w:i/>
                <w:sz w:val="16"/>
                <w:szCs w:val="16"/>
              </w:rPr>
              <w:t>I</w:t>
            </w:r>
            <w:r w:rsidRPr="00F83CE8">
              <w:rPr>
                <w:sz w:val="16"/>
                <w:szCs w:val="16"/>
              </w:rPr>
              <w:t xml:space="preserve"> </w:t>
            </w:r>
            <w:r w:rsidRPr="00F83CE8">
              <w:rPr>
                <w:i/>
                <w:sz w:val="16"/>
                <w:szCs w:val="16"/>
              </w:rPr>
              <w:t>Pricing Flexibility</w:t>
            </w:r>
            <w:r w:rsidRPr="00F83CE8">
              <w:rPr>
                <w:sz w:val="16"/>
                <w:szCs w:val="16"/>
              </w:rPr>
              <w:t xml:space="preserve"> </w:t>
            </w:r>
            <w:r>
              <w:rPr>
                <w:sz w:val="16"/>
                <w:szCs w:val="16"/>
              </w:rPr>
              <w:t xml:space="preserve">count towards </w:t>
            </w:r>
            <w:r w:rsidRPr="00F83CE8">
              <w:rPr>
                <w:sz w:val="16"/>
                <w:szCs w:val="16"/>
              </w:rPr>
              <w:t xml:space="preserve">meeting any </w:t>
            </w:r>
            <w:r w:rsidRPr="00F83CE8">
              <w:rPr>
                <w:i/>
                <w:sz w:val="16"/>
                <w:szCs w:val="16"/>
              </w:rPr>
              <w:t>Volume Commitment</w:t>
            </w:r>
            <w:r w:rsidRPr="00F83CE8">
              <w:rPr>
                <w:sz w:val="16"/>
                <w:szCs w:val="16"/>
              </w:rPr>
              <w:t xml:space="preserve"> to receive a discount or </w:t>
            </w:r>
            <w:r w:rsidRPr="00F83CE8">
              <w:rPr>
                <w:i/>
                <w:sz w:val="16"/>
                <w:szCs w:val="16"/>
              </w:rPr>
              <w:t>Non-Rate Benefit</w:t>
            </w:r>
            <w:r w:rsidRPr="00F83CE8">
              <w:rPr>
                <w:sz w:val="16"/>
                <w:szCs w:val="16"/>
              </w:rPr>
              <w:t xml:space="preserve"> under this plan? </w:t>
            </w:r>
            <w:r>
              <w:rPr>
                <w:sz w:val="16"/>
                <w:szCs w:val="16"/>
              </w:rPr>
              <w:t xml:space="preserve">(Y=Yes, N=No, NA=Not Applicable) </w:t>
            </w:r>
          </w:p>
        </w:tc>
        <w:tc>
          <w:tcPr>
            <w:tcW w:w="991" w:type="dxa"/>
          </w:tcPr>
          <w:p w:rsidR="00F97D54" w:rsidRDefault="00F97D54" w:rsidP="00EB5B97">
            <w:pPr>
              <w:rPr>
                <w:sz w:val="16"/>
                <w:szCs w:val="16"/>
              </w:rPr>
            </w:pPr>
            <w:r>
              <w:rPr>
                <w:sz w:val="16"/>
                <w:szCs w:val="16"/>
              </w:rPr>
              <w:t>Text</w:t>
            </w:r>
          </w:p>
        </w:tc>
        <w:tc>
          <w:tcPr>
            <w:tcW w:w="1345" w:type="dxa"/>
          </w:tcPr>
          <w:p w:rsidR="00F97D54" w:rsidRDefault="00F97D54" w:rsidP="00EB5B97">
            <w:pPr>
              <w:rPr>
                <w:sz w:val="16"/>
                <w:szCs w:val="16"/>
              </w:rPr>
            </w:pPr>
            <w:r>
              <w:rPr>
                <w:sz w:val="16"/>
                <w:szCs w:val="16"/>
              </w:rPr>
              <w:t>Y</w:t>
            </w:r>
          </w:p>
        </w:tc>
      </w:tr>
      <w:tr w:rsidR="00F97D54" w:rsidRPr="00551AAF" w:rsidTr="00EB5B97">
        <w:trPr>
          <w:trHeight w:val="360"/>
        </w:trPr>
        <w:tc>
          <w:tcPr>
            <w:tcW w:w="2679" w:type="dxa"/>
          </w:tcPr>
          <w:p w:rsidR="00F97D54" w:rsidRDefault="00F97D54" w:rsidP="00EB5B97">
            <w:pPr>
              <w:rPr>
                <w:sz w:val="16"/>
                <w:szCs w:val="16"/>
              </w:rPr>
            </w:pPr>
            <w:r>
              <w:rPr>
                <w:sz w:val="16"/>
                <w:szCs w:val="16"/>
              </w:rPr>
              <w:t>ILEC_Price_Flex2_Vol</w:t>
            </w:r>
          </w:p>
        </w:tc>
        <w:tc>
          <w:tcPr>
            <w:tcW w:w="3823" w:type="dxa"/>
          </w:tcPr>
          <w:p w:rsidR="00F97D54" w:rsidRPr="00F83CE8" w:rsidRDefault="00F97D54" w:rsidP="00EB5B97">
            <w:pPr>
              <w:rPr>
                <w:sz w:val="16"/>
                <w:szCs w:val="16"/>
              </w:rPr>
            </w:pPr>
            <w:r w:rsidRPr="00F83CE8">
              <w:rPr>
                <w:sz w:val="16"/>
                <w:szCs w:val="16"/>
              </w:rPr>
              <w:t xml:space="preserve">If </w:t>
            </w:r>
            <w:r>
              <w:rPr>
                <w:sz w:val="16"/>
                <w:szCs w:val="16"/>
              </w:rPr>
              <w:t>Y</w:t>
            </w:r>
            <w:r w:rsidRPr="00F83CE8">
              <w:rPr>
                <w:sz w:val="16"/>
                <w:szCs w:val="16"/>
              </w:rPr>
              <w:t xml:space="preserve">es, in what geographic areas subject to pricing flexibility do you purchase </w:t>
            </w:r>
            <w:r w:rsidRPr="000C6F39">
              <w:rPr>
                <w:i/>
                <w:sz w:val="16"/>
                <w:szCs w:val="16"/>
              </w:rPr>
              <w:t>DS1s</w:t>
            </w:r>
            <w:r>
              <w:rPr>
                <w:sz w:val="16"/>
                <w:szCs w:val="16"/>
              </w:rPr>
              <w:t>,</w:t>
            </w:r>
            <w:r w:rsidRPr="000C6F39">
              <w:rPr>
                <w:sz w:val="16"/>
                <w:szCs w:val="16"/>
              </w:rPr>
              <w:t xml:space="preserve"> </w:t>
            </w:r>
            <w:r w:rsidRPr="000C6F39">
              <w:rPr>
                <w:i/>
                <w:sz w:val="16"/>
                <w:szCs w:val="16"/>
              </w:rPr>
              <w:t>DS3s</w:t>
            </w:r>
            <w:r>
              <w:rPr>
                <w:sz w:val="16"/>
                <w:szCs w:val="16"/>
              </w:rPr>
              <w:t xml:space="preserve">, and/or tariffed </w:t>
            </w:r>
            <w:r w:rsidRPr="00E528B8">
              <w:rPr>
                <w:i/>
                <w:sz w:val="16"/>
                <w:szCs w:val="16"/>
              </w:rPr>
              <w:t>PBDS</w:t>
            </w:r>
            <w:r w:rsidRPr="00F83CE8">
              <w:rPr>
                <w:sz w:val="16"/>
                <w:szCs w:val="16"/>
              </w:rPr>
              <w:t xml:space="preserve"> that count towards meeting any </w:t>
            </w:r>
            <w:r w:rsidRPr="00F83CE8">
              <w:rPr>
                <w:i/>
                <w:sz w:val="16"/>
                <w:szCs w:val="16"/>
              </w:rPr>
              <w:t>Volume Commitment</w:t>
            </w:r>
            <w:r w:rsidRPr="00F83CE8">
              <w:rPr>
                <w:sz w:val="16"/>
                <w:szCs w:val="16"/>
              </w:rPr>
              <w:t xml:space="preserve"> to receive a discount or </w:t>
            </w:r>
            <w:r w:rsidRPr="00F83CE8">
              <w:rPr>
                <w:i/>
                <w:sz w:val="16"/>
                <w:szCs w:val="16"/>
              </w:rPr>
              <w:t>Non-Rate Benefit</w:t>
            </w:r>
            <w:r w:rsidRPr="00F83CE8">
              <w:rPr>
                <w:sz w:val="16"/>
                <w:szCs w:val="16"/>
              </w:rPr>
              <w:t xml:space="preserve"> under this plan?</w:t>
            </w:r>
            <w:r>
              <w:rPr>
                <w:sz w:val="16"/>
                <w:szCs w:val="16"/>
              </w:rPr>
              <w:t xml:space="preserve"> </w:t>
            </w:r>
          </w:p>
        </w:tc>
        <w:tc>
          <w:tcPr>
            <w:tcW w:w="991" w:type="dxa"/>
          </w:tcPr>
          <w:p w:rsidR="00F97D54" w:rsidRDefault="00F97D54" w:rsidP="00EB5B97">
            <w:pPr>
              <w:rPr>
                <w:sz w:val="16"/>
                <w:szCs w:val="16"/>
              </w:rPr>
            </w:pPr>
            <w:r>
              <w:rPr>
                <w:sz w:val="16"/>
                <w:szCs w:val="16"/>
              </w:rPr>
              <w:t>Text</w:t>
            </w:r>
          </w:p>
        </w:tc>
        <w:tc>
          <w:tcPr>
            <w:tcW w:w="1345" w:type="dxa"/>
          </w:tcPr>
          <w:p w:rsidR="00F97D54" w:rsidRDefault="00F97D54" w:rsidP="00EB5B97">
            <w:pPr>
              <w:rPr>
                <w:sz w:val="16"/>
                <w:szCs w:val="16"/>
              </w:rPr>
            </w:pPr>
            <w:r>
              <w:rPr>
                <w:sz w:val="16"/>
                <w:szCs w:val="16"/>
              </w:rPr>
              <w:t>Dallas MSA</w:t>
            </w:r>
          </w:p>
        </w:tc>
      </w:tr>
      <w:tr w:rsidR="00F97D54" w:rsidRPr="00551AAF" w:rsidTr="00EB5B97">
        <w:trPr>
          <w:trHeight w:val="360"/>
        </w:trPr>
        <w:tc>
          <w:tcPr>
            <w:tcW w:w="2679" w:type="dxa"/>
          </w:tcPr>
          <w:p w:rsidR="00F97D54" w:rsidRDefault="00F97D54" w:rsidP="00EB5B97">
            <w:pPr>
              <w:rPr>
                <w:sz w:val="16"/>
                <w:szCs w:val="16"/>
              </w:rPr>
            </w:pPr>
            <w:r>
              <w:rPr>
                <w:sz w:val="16"/>
                <w:szCs w:val="16"/>
              </w:rPr>
              <w:t>ILEC_Price_Flex2_Diff</w:t>
            </w:r>
          </w:p>
        </w:tc>
        <w:tc>
          <w:tcPr>
            <w:tcW w:w="3823" w:type="dxa"/>
          </w:tcPr>
          <w:p w:rsidR="00F97D54" w:rsidRPr="000C6F39" w:rsidRDefault="00F97D54" w:rsidP="00EB5B97">
            <w:pPr>
              <w:rPr>
                <w:sz w:val="16"/>
                <w:szCs w:val="16"/>
              </w:rPr>
            </w:pPr>
            <w:r w:rsidRPr="000C6F39">
              <w:rPr>
                <w:sz w:val="16"/>
                <w:szCs w:val="16"/>
              </w:rPr>
              <w:t xml:space="preserve">Of the geographic areas identified, in which of those areas would your company have purchased from a different </w:t>
            </w:r>
            <w:r w:rsidRPr="000C6F39">
              <w:rPr>
                <w:i/>
                <w:sz w:val="16"/>
                <w:szCs w:val="16"/>
              </w:rPr>
              <w:t>Provider</w:t>
            </w:r>
            <w:r w:rsidRPr="000C6F39">
              <w:rPr>
                <w:sz w:val="16"/>
                <w:szCs w:val="16"/>
              </w:rPr>
              <w:t>, if at all,</w:t>
            </w:r>
            <w:r w:rsidRPr="000C6F39">
              <w:rPr>
                <w:i/>
                <w:sz w:val="16"/>
                <w:szCs w:val="16"/>
              </w:rPr>
              <w:t xml:space="preserve"> </w:t>
            </w:r>
            <w:r w:rsidRPr="000C6F39">
              <w:rPr>
                <w:sz w:val="16"/>
                <w:szCs w:val="16"/>
              </w:rPr>
              <w:t xml:space="preserve">had it not been for the discounts or </w:t>
            </w:r>
            <w:r w:rsidRPr="000C6F39">
              <w:rPr>
                <w:i/>
                <w:sz w:val="16"/>
                <w:szCs w:val="16"/>
              </w:rPr>
              <w:t>Non-Rate Benefits</w:t>
            </w:r>
            <w:r w:rsidRPr="000C6F39">
              <w:rPr>
                <w:sz w:val="16"/>
                <w:szCs w:val="16"/>
              </w:rPr>
              <w:t xml:space="preserve"> received under this plan?  </w:t>
            </w:r>
          </w:p>
        </w:tc>
        <w:tc>
          <w:tcPr>
            <w:tcW w:w="991" w:type="dxa"/>
          </w:tcPr>
          <w:p w:rsidR="00F97D54" w:rsidRDefault="00F97D54" w:rsidP="00EB5B97">
            <w:pPr>
              <w:rPr>
                <w:sz w:val="16"/>
                <w:szCs w:val="16"/>
              </w:rPr>
            </w:pPr>
            <w:r>
              <w:rPr>
                <w:sz w:val="16"/>
                <w:szCs w:val="16"/>
              </w:rPr>
              <w:t>Text</w:t>
            </w:r>
          </w:p>
        </w:tc>
        <w:tc>
          <w:tcPr>
            <w:tcW w:w="1345" w:type="dxa"/>
          </w:tcPr>
          <w:p w:rsidR="00F97D54" w:rsidRDefault="00F97D54" w:rsidP="00EB5B97">
            <w:pPr>
              <w:rPr>
                <w:sz w:val="16"/>
                <w:szCs w:val="16"/>
              </w:rPr>
            </w:pPr>
            <w:r>
              <w:rPr>
                <w:sz w:val="16"/>
                <w:szCs w:val="16"/>
              </w:rPr>
              <w:t>Southern California</w:t>
            </w:r>
          </w:p>
        </w:tc>
      </w:tr>
      <w:tr w:rsidR="00F97D54" w:rsidRPr="00551AAF" w:rsidTr="00EB5B97">
        <w:trPr>
          <w:trHeight w:val="360"/>
        </w:trPr>
        <w:tc>
          <w:tcPr>
            <w:tcW w:w="2679" w:type="dxa"/>
          </w:tcPr>
          <w:p w:rsidR="00F97D54" w:rsidRDefault="00F97D54" w:rsidP="00EB5B97">
            <w:pPr>
              <w:rPr>
                <w:sz w:val="16"/>
                <w:szCs w:val="16"/>
              </w:rPr>
            </w:pPr>
            <w:r>
              <w:rPr>
                <w:sz w:val="16"/>
                <w:szCs w:val="16"/>
              </w:rPr>
              <w:t>ILEC_Price_Flex2_Provider</w:t>
            </w:r>
          </w:p>
        </w:tc>
        <w:tc>
          <w:tcPr>
            <w:tcW w:w="3823" w:type="dxa"/>
          </w:tcPr>
          <w:p w:rsidR="00F97D54" w:rsidRPr="00997F57" w:rsidRDefault="00F97D54" w:rsidP="00EB5B97">
            <w:pPr>
              <w:rPr>
                <w:sz w:val="16"/>
                <w:szCs w:val="16"/>
              </w:rPr>
            </w:pPr>
            <w:r>
              <w:rPr>
                <w:sz w:val="16"/>
                <w:szCs w:val="16"/>
              </w:rPr>
              <w:t xml:space="preserve">Name of </w:t>
            </w:r>
            <w:r w:rsidRPr="002B1D08">
              <w:rPr>
                <w:i/>
                <w:sz w:val="16"/>
                <w:szCs w:val="16"/>
              </w:rPr>
              <w:t>Provider</w:t>
            </w:r>
            <w:r>
              <w:rPr>
                <w:i/>
                <w:sz w:val="16"/>
                <w:szCs w:val="16"/>
              </w:rPr>
              <w:t>(s)</w:t>
            </w:r>
            <w:r>
              <w:rPr>
                <w:sz w:val="16"/>
                <w:szCs w:val="16"/>
              </w:rPr>
              <w:t xml:space="preserve"> in the geographic areas identified above you would have purchased from had it not been for the discounts or </w:t>
            </w:r>
            <w:r w:rsidRPr="002B1D08">
              <w:rPr>
                <w:i/>
                <w:sz w:val="16"/>
                <w:szCs w:val="16"/>
              </w:rPr>
              <w:t>Non-Rate Benefits</w:t>
            </w:r>
            <w:r>
              <w:rPr>
                <w:sz w:val="16"/>
                <w:szCs w:val="16"/>
              </w:rPr>
              <w:t xml:space="preserve"> received under this plan.</w:t>
            </w:r>
          </w:p>
        </w:tc>
        <w:tc>
          <w:tcPr>
            <w:tcW w:w="991" w:type="dxa"/>
          </w:tcPr>
          <w:p w:rsidR="00F97D54" w:rsidRDefault="00F97D54" w:rsidP="00EB5B97">
            <w:pPr>
              <w:rPr>
                <w:sz w:val="16"/>
                <w:szCs w:val="16"/>
              </w:rPr>
            </w:pPr>
            <w:r>
              <w:rPr>
                <w:sz w:val="16"/>
                <w:szCs w:val="16"/>
              </w:rPr>
              <w:t>Text</w:t>
            </w:r>
          </w:p>
        </w:tc>
        <w:tc>
          <w:tcPr>
            <w:tcW w:w="1345" w:type="dxa"/>
          </w:tcPr>
          <w:p w:rsidR="00F97D54" w:rsidRDefault="00F97D54" w:rsidP="00EB5B97">
            <w:pPr>
              <w:rPr>
                <w:sz w:val="16"/>
                <w:szCs w:val="16"/>
              </w:rPr>
            </w:pPr>
            <w:r>
              <w:rPr>
                <w:sz w:val="16"/>
                <w:szCs w:val="16"/>
              </w:rPr>
              <w:t>ABC Co.</w:t>
            </w:r>
          </w:p>
        </w:tc>
      </w:tr>
      <w:tr w:rsidR="00F97D54" w:rsidRPr="00551AAF" w:rsidTr="00EB5B97">
        <w:trPr>
          <w:trHeight w:val="360"/>
        </w:trPr>
        <w:tc>
          <w:tcPr>
            <w:tcW w:w="2679" w:type="dxa"/>
          </w:tcPr>
          <w:p w:rsidR="00F97D54" w:rsidRDefault="00F97D54" w:rsidP="00EB5B97">
            <w:pPr>
              <w:rPr>
                <w:sz w:val="16"/>
                <w:szCs w:val="16"/>
              </w:rPr>
            </w:pPr>
            <w:r>
              <w:rPr>
                <w:sz w:val="16"/>
                <w:szCs w:val="16"/>
              </w:rPr>
              <w:t>ILEC_PBDS</w:t>
            </w:r>
          </w:p>
        </w:tc>
        <w:tc>
          <w:tcPr>
            <w:tcW w:w="3823" w:type="dxa"/>
          </w:tcPr>
          <w:p w:rsidR="00F97D54" w:rsidRPr="00D1576C" w:rsidRDefault="00F97D54" w:rsidP="00EB5B97">
            <w:pPr>
              <w:rPr>
                <w:sz w:val="16"/>
                <w:szCs w:val="16"/>
              </w:rPr>
            </w:pPr>
            <w:r w:rsidRPr="00D1576C">
              <w:rPr>
                <w:sz w:val="16"/>
                <w:szCs w:val="16"/>
              </w:rPr>
              <w:t xml:space="preserve">If an </w:t>
            </w:r>
            <w:r w:rsidRPr="004F3888">
              <w:rPr>
                <w:i/>
                <w:sz w:val="16"/>
                <w:szCs w:val="16"/>
              </w:rPr>
              <w:t>ILEC</w:t>
            </w:r>
            <w:r w:rsidRPr="00D1576C">
              <w:rPr>
                <w:sz w:val="16"/>
                <w:szCs w:val="16"/>
              </w:rPr>
              <w:t xml:space="preserve"> plan, do non-tariffed </w:t>
            </w:r>
            <w:r w:rsidRPr="004F3888">
              <w:rPr>
                <w:i/>
                <w:sz w:val="16"/>
                <w:szCs w:val="16"/>
              </w:rPr>
              <w:t>PBDS</w:t>
            </w:r>
            <w:r w:rsidRPr="00D1576C">
              <w:rPr>
                <w:sz w:val="16"/>
                <w:szCs w:val="16"/>
              </w:rPr>
              <w:t xml:space="preserve"> purchases you make from this </w:t>
            </w:r>
            <w:r w:rsidRPr="004F3888">
              <w:rPr>
                <w:i/>
                <w:sz w:val="16"/>
                <w:szCs w:val="16"/>
              </w:rPr>
              <w:t>ILEC</w:t>
            </w:r>
            <w:r w:rsidRPr="00D1576C">
              <w:rPr>
                <w:sz w:val="16"/>
                <w:szCs w:val="16"/>
              </w:rPr>
              <w:t xml:space="preserve"> </w:t>
            </w:r>
            <w:r>
              <w:rPr>
                <w:sz w:val="16"/>
                <w:szCs w:val="16"/>
              </w:rPr>
              <w:t xml:space="preserve">count towards </w:t>
            </w:r>
            <w:r w:rsidRPr="00D1576C">
              <w:rPr>
                <w:sz w:val="16"/>
                <w:szCs w:val="16"/>
              </w:rPr>
              <w:t xml:space="preserve">meeting any </w:t>
            </w:r>
            <w:r w:rsidRPr="004F3888">
              <w:rPr>
                <w:i/>
                <w:sz w:val="16"/>
                <w:szCs w:val="16"/>
              </w:rPr>
              <w:t>Volume Commitment</w:t>
            </w:r>
            <w:r w:rsidRPr="00D1576C">
              <w:rPr>
                <w:sz w:val="16"/>
                <w:szCs w:val="16"/>
              </w:rPr>
              <w:t xml:space="preserve"> to receive a discount or </w:t>
            </w:r>
            <w:r w:rsidRPr="004F3888">
              <w:rPr>
                <w:i/>
                <w:sz w:val="16"/>
                <w:szCs w:val="16"/>
              </w:rPr>
              <w:t>Non-Rate Benefit</w:t>
            </w:r>
            <w:r w:rsidRPr="00D1576C">
              <w:rPr>
                <w:sz w:val="16"/>
                <w:szCs w:val="16"/>
              </w:rPr>
              <w:t xml:space="preserve"> under this plan? </w:t>
            </w:r>
            <w:r>
              <w:rPr>
                <w:sz w:val="16"/>
                <w:szCs w:val="16"/>
              </w:rPr>
              <w:t xml:space="preserve">(Y=Yes, N=No, NA=Not Applicable) </w:t>
            </w:r>
          </w:p>
        </w:tc>
        <w:tc>
          <w:tcPr>
            <w:tcW w:w="991" w:type="dxa"/>
          </w:tcPr>
          <w:p w:rsidR="00F97D54" w:rsidRPr="00551AAF" w:rsidRDefault="00F97D54" w:rsidP="00EB5B97">
            <w:pPr>
              <w:rPr>
                <w:sz w:val="16"/>
                <w:szCs w:val="16"/>
              </w:rPr>
            </w:pPr>
            <w:r>
              <w:rPr>
                <w:sz w:val="16"/>
                <w:szCs w:val="16"/>
              </w:rPr>
              <w:t>Text</w:t>
            </w:r>
          </w:p>
        </w:tc>
        <w:tc>
          <w:tcPr>
            <w:tcW w:w="1345" w:type="dxa"/>
          </w:tcPr>
          <w:p w:rsidR="00F97D54" w:rsidRPr="00551AAF" w:rsidRDefault="00F97D54" w:rsidP="00EB5B97">
            <w:pPr>
              <w:rPr>
                <w:sz w:val="16"/>
                <w:szCs w:val="16"/>
              </w:rPr>
            </w:pPr>
            <w:r>
              <w:rPr>
                <w:sz w:val="16"/>
                <w:szCs w:val="16"/>
              </w:rPr>
              <w:t>Y</w:t>
            </w:r>
          </w:p>
        </w:tc>
      </w:tr>
      <w:tr w:rsidR="00F97D54" w:rsidRPr="00551AAF" w:rsidTr="00EB5B97">
        <w:trPr>
          <w:trHeight w:val="360"/>
        </w:trPr>
        <w:tc>
          <w:tcPr>
            <w:tcW w:w="2679" w:type="dxa"/>
          </w:tcPr>
          <w:p w:rsidR="00F97D54" w:rsidRDefault="00F97D54" w:rsidP="00EB5B97">
            <w:pPr>
              <w:rPr>
                <w:sz w:val="16"/>
                <w:szCs w:val="16"/>
              </w:rPr>
            </w:pPr>
            <w:r>
              <w:rPr>
                <w:sz w:val="16"/>
                <w:szCs w:val="16"/>
              </w:rPr>
              <w:t>ILEC_PBDS_Vol</w:t>
            </w:r>
          </w:p>
        </w:tc>
        <w:tc>
          <w:tcPr>
            <w:tcW w:w="3823" w:type="dxa"/>
          </w:tcPr>
          <w:p w:rsidR="00F97D54" w:rsidRPr="00D1576C" w:rsidRDefault="00F97D54" w:rsidP="00EB5B97">
            <w:pPr>
              <w:rPr>
                <w:sz w:val="16"/>
                <w:szCs w:val="16"/>
              </w:rPr>
            </w:pPr>
            <w:r w:rsidRPr="00D1576C">
              <w:rPr>
                <w:sz w:val="16"/>
                <w:szCs w:val="16"/>
              </w:rPr>
              <w:t xml:space="preserve">If </w:t>
            </w:r>
            <w:r>
              <w:rPr>
                <w:sz w:val="16"/>
                <w:szCs w:val="16"/>
              </w:rPr>
              <w:t>Y</w:t>
            </w:r>
            <w:r w:rsidRPr="00D1576C">
              <w:rPr>
                <w:sz w:val="16"/>
                <w:szCs w:val="16"/>
              </w:rPr>
              <w:t xml:space="preserve">es, in what geographic areas do you purchase non-tariffed </w:t>
            </w:r>
            <w:r w:rsidRPr="00D1576C">
              <w:rPr>
                <w:i/>
                <w:sz w:val="16"/>
                <w:szCs w:val="16"/>
              </w:rPr>
              <w:t xml:space="preserve">PBDS </w:t>
            </w:r>
            <w:r w:rsidRPr="00D1576C">
              <w:rPr>
                <w:sz w:val="16"/>
                <w:szCs w:val="16"/>
              </w:rPr>
              <w:t xml:space="preserve">that counts towards meeting any </w:t>
            </w:r>
            <w:r w:rsidRPr="00D1576C">
              <w:rPr>
                <w:i/>
                <w:sz w:val="16"/>
                <w:szCs w:val="16"/>
              </w:rPr>
              <w:t>Volume Commitment</w:t>
            </w:r>
            <w:r w:rsidRPr="00D1576C">
              <w:rPr>
                <w:sz w:val="16"/>
                <w:szCs w:val="16"/>
              </w:rPr>
              <w:t xml:space="preserve"> to receive a discount or </w:t>
            </w:r>
            <w:r w:rsidRPr="00D1576C">
              <w:rPr>
                <w:i/>
                <w:sz w:val="16"/>
                <w:szCs w:val="16"/>
              </w:rPr>
              <w:t>Non-Rate Benefit</w:t>
            </w:r>
            <w:r w:rsidRPr="00D1576C">
              <w:rPr>
                <w:sz w:val="16"/>
                <w:szCs w:val="16"/>
              </w:rPr>
              <w:t xml:space="preserve"> under this plan.</w:t>
            </w:r>
            <w:r>
              <w:rPr>
                <w:sz w:val="16"/>
                <w:szCs w:val="16"/>
              </w:rPr>
              <w:t xml:space="preserve"> </w:t>
            </w:r>
          </w:p>
        </w:tc>
        <w:tc>
          <w:tcPr>
            <w:tcW w:w="991" w:type="dxa"/>
          </w:tcPr>
          <w:p w:rsidR="00F97D54" w:rsidRPr="00551AAF" w:rsidRDefault="00F97D54" w:rsidP="00EB5B97">
            <w:pPr>
              <w:rPr>
                <w:sz w:val="16"/>
                <w:szCs w:val="16"/>
              </w:rPr>
            </w:pPr>
            <w:r>
              <w:rPr>
                <w:sz w:val="16"/>
                <w:szCs w:val="16"/>
              </w:rPr>
              <w:t>Text</w:t>
            </w:r>
          </w:p>
        </w:tc>
        <w:tc>
          <w:tcPr>
            <w:tcW w:w="1345" w:type="dxa"/>
          </w:tcPr>
          <w:p w:rsidR="00F97D54" w:rsidRPr="00551AAF" w:rsidRDefault="00F97D54" w:rsidP="00EB5B97">
            <w:pPr>
              <w:rPr>
                <w:sz w:val="16"/>
                <w:szCs w:val="16"/>
              </w:rPr>
            </w:pPr>
            <w:r>
              <w:rPr>
                <w:sz w:val="16"/>
                <w:szCs w:val="16"/>
              </w:rPr>
              <w:t>Oklahoma City, OK</w:t>
            </w:r>
          </w:p>
        </w:tc>
      </w:tr>
      <w:tr w:rsidR="00F97D54" w:rsidRPr="0063769F" w:rsidTr="00EB5B97">
        <w:trPr>
          <w:trHeight w:val="360"/>
        </w:trPr>
        <w:tc>
          <w:tcPr>
            <w:tcW w:w="2679" w:type="dxa"/>
          </w:tcPr>
          <w:p w:rsidR="00F97D54" w:rsidRDefault="00F97D54" w:rsidP="00EB5B97">
            <w:pPr>
              <w:rPr>
                <w:sz w:val="16"/>
                <w:szCs w:val="16"/>
              </w:rPr>
            </w:pPr>
            <w:r>
              <w:rPr>
                <w:sz w:val="16"/>
                <w:szCs w:val="16"/>
              </w:rPr>
              <w:t>ILEC_PBDS_Diff</w:t>
            </w:r>
          </w:p>
        </w:tc>
        <w:tc>
          <w:tcPr>
            <w:tcW w:w="3823" w:type="dxa"/>
          </w:tcPr>
          <w:p w:rsidR="00F97D54" w:rsidRPr="000A4501" w:rsidRDefault="00F97D54" w:rsidP="00EB5B97">
            <w:pPr>
              <w:rPr>
                <w:sz w:val="16"/>
                <w:szCs w:val="16"/>
              </w:rPr>
            </w:pPr>
            <w:r w:rsidRPr="000A4501">
              <w:rPr>
                <w:sz w:val="16"/>
                <w:szCs w:val="16"/>
              </w:rPr>
              <w:t xml:space="preserve">Of the geographic areas identified, in which of those areas would your company have purchased </w:t>
            </w:r>
            <w:r>
              <w:rPr>
                <w:sz w:val="16"/>
                <w:szCs w:val="16"/>
              </w:rPr>
              <w:t xml:space="preserve">non-tariffed </w:t>
            </w:r>
            <w:r w:rsidRPr="000A4501">
              <w:rPr>
                <w:i/>
                <w:sz w:val="16"/>
                <w:szCs w:val="16"/>
              </w:rPr>
              <w:t xml:space="preserve">PBDS </w:t>
            </w:r>
            <w:r w:rsidRPr="000A4501">
              <w:rPr>
                <w:sz w:val="16"/>
                <w:szCs w:val="16"/>
              </w:rPr>
              <w:t xml:space="preserve">from a different </w:t>
            </w:r>
            <w:r w:rsidRPr="000A4501">
              <w:rPr>
                <w:i/>
                <w:sz w:val="16"/>
                <w:szCs w:val="16"/>
              </w:rPr>
              <w:t>Provider</w:t>
            </w:r>
            <w:r w:rsidRPr="000A4501">
              <w:rPr>
                <w:sz w:val="16"/>
                <w:szCs w:val="16"/>
              </w:rPr>
              <w:t xml:space="preserve">, if at all, had it not been for the requirements of the plan?  </w:t>
            </w:r>
          </w:p>
        </w:tc>
        <w:tc>
          <w:tcPr>
            <w:tcW w:w="991" w:type="dxa"/>
          </w:tcPr>
          <w:p w:rsidR="00F97D54" w:rsidRDefault="00F97D54" w:rsidP="00EB5B97">
            <w:pPr>
              <w:rPr>
                <w:sz w:val="16"/>
                <w:szCs w:val="16"/>
              </w:rPr>
            </w:pPr>
            <w:r>
              <w:rPr>
                <w:sz w:val="16"/>
                <w:szCs w:val="16"/>
              </w:rPr>
              <w:t>Text</w:t>
            </w:r>
          </w:p>
        </w:tc>
        <w:tc>
          <w:tcPr>
            <w:tcW w:w="1345" w:type="dxa"/>
          </w:tcPr>
          <w:p w:rsidR="00F97D54" w:rsidRDefault="00F97D54" w:rsidP="00EB5B97">
            <w:pPr>
              <w:rPr>
                <w:sz w:val="16"/>
                <w:szCs w:val="16"/>
              </w:rPr>
            </w:pPr>
            <w:r>
              <w:rPr>
                <w:sz w:val="16"/>
                <w:szCs w:val="16"/>
              </w:rPr>
              <w:t>Oklahoma City, OK</w:t>
            </w:r>
          </w:p>
        </w:tc>
      </w:tr>
      <w:tr w:rsidR="00F97D54" w:rsidRPr="00551AAF" w:rsidTr="00EB5B97">
        <w:trPr>
          <w:trHeight w:val="360"/>
        </w:trPr>
        <w:tc>
          <w:tcPr>
            <w:tcW w:w="2679" w:type="dxa"/>
          </w:tcPr>
          <w:p w:rsidR="00F97D54" w:rsidRDefault="00F97D54" w:rsidP="00EB5B97">
            <w:pPr>
              <w:rPr>
                <w:sz w:val="16"/>
                <w:szCs w:val="16"/>
              </w:rPr>
            </w:pPr>
            <w:r>
              <w:rPr>
                <w:sz w:val="16"/>
                <w:szCs w:val="16"/>
              </w:rPr>
              <w:t>ILEC_PBDS_Provider</w:t>
            </w:r>
          </w:p>
        </w:tc>
        <w:tc>
          <w:tcPr>
            <w:tcW w:w="3823" w:type="dxa"/>
          </w:tcPr>
          <w:p w:rsidR="00F97D54" w:rsidRPr="00997F57" w:rsidRDefault="00F97D54" w:rsidP="00EB5B97">
            <w:pPr>
              <w:rPr>
                <w:sz w:val="16"/>
                <w:szCs w:val="16"/>
              </w:rPr>
            </w:pPr>
            <w:r>
              <w:rPr>
                <w:sz w:val="16"/>
                <w:szCs w:val="16"/>
              </w:rPr>
              <w:t xml:space="preserve">Name of </w:t>
            </w:r>
            <w:r w:rsidRPr="002B1D08">
              <w:rPr>
                <w:i/>
                <w:sz w:val="16"/>
                <w:szCs w:val="16"/>
              </w:rPr>
              <w:t>Provider</w:t>
            </w:r>
            <w:r>
              <w:rPr>
                <w:i/>
                <w:sz w:val="16"/>
                <w:szCs w:val="16"/>
              </w:rPr>
              <w:t>(s)</w:t>
            </w:r>
            <w:r>
              <w:rPr>
                <w:sz w:val="16"/>
                <w:szCs w:val="16"/>
              </w:rPr>
              <w:t xml:space="preserve"> in the geographic areas identified above you would have purchased from had it not been for the discounts or </w:t>
            </w:r>
            <w:r w:rsidRPr="002B1D08">
              <w:rPr>
                <w:i/>
                <w:sz w:val="16"/>
                <w:szCs w:val="16"/>
              </w:rPr>
              <w:t>Non-Rate Benefits</w:t>
            </w:r>
            <w:r>
              <w:rPr>
                <w:sz w:val="16"/>
                <w:szCs w:val="16"/>
              </w:rPr>
              <w:t xml:space="preserve"> received under this plan.</w:t>
            </w:r>
          </w:p>
        </w:tc>
        <w:tc>
          <w:tcPr>
            <w:tcW w:w="991" w:type="dxa"/>
          </w:tcPr>
          <w:p w:rsidR="00F97D54" w:rsidRDefault="00F97D54" w:rsidP="00EB5B97">
            <w:pPr>
              <w:rPr>
                <w:sz w:val="16"/>
                <w:szCs w:val="16"/>
              </w:rPr>
            </w:pPr>
            <w:r>
              <w:rPr>
                <w:sz w:val="16"/>
                <w:szCs w:val="16"/>
              </w:rPr>
              <w:t>Text</w:t>
            </w:r>
          </w:p>
        </w:tc>
        <w:tc>
          <w:tcPr>
            <w:tcW w:w="1345" w:type="dxa"/>
          </w:tcPr>
          <w:p w:rsidR="00F97D54" w:rsidRDefault="00F97D54" w:rsidP="00EB5B97">
            <w:pPr>
              <w:rPr>
                <w:sz w:val="16"/>
                <w:szCs w:val="16"/>
              </w:rPr>
            </w:pPr>
            <w:r>
              <w:rPr>
                <w:sz w:val="16"/>
                <w:szCs w:val="16"/>
              </w:rPr>
              <w:t>ABC Co.</w:t>
            </w:r>
          </w:p>
        </w:tc>
      </w:tr>
      <w:tr w:rsidR="00F97D54" w:rsidRPr="0063769F" w:rsidTr="00EB5B97">
        <w:trPr>
          <w:trHeight w:val="360"/>
        </w:trPr>
        <w:tc>
          <w:tcPr>
            <w:tcW w:w="2679" w:type="dxa"/>
          </w:tcPr>
          <w:p w:rsidR="00F97D54" w:rsidRDefault="00F97D54" w:rsidP="00EB5B97">
            <w:pPr>
              <w:rPr>
                <w:sz w:val="16"/>
                <w:szCs w:val="16"/>
              </w:rPr>
            </w:pPr>
            <w:r>
              <w:rPr>
                <w:sz w:val="16"/>
                <w:szCs w:val="16"/>
              </w:rPr>
              <w:t>ILEC_Other</w:t>
            </w:r>
          </w:p>
        </w:tc>
        <w:tc>
          <w:tcPr>
            <w:tcW w:w="3823" w:type="dxa"/>
          </w:tcPr>
          <w:p w:rsidR="00F97D54" w:rsidRPr="009777E5" w:rsidRDefault="00F97D54" w:rsidP="00EB5B97">
            <w:pPr>
              <w:rPr>
                <w:sz w:val="16"/>
                <w:szCs w:val="16"/>
              </w:rPr>
            </w:pPr>
            <w:r w:rsidRPr="009777E5">
              <w:rPr>
                <w:sz w:val="16"/>
                <w:szCs w:val="16"/>
              </w:rPr>
              <w:t xml:space="preserve">If this is an </w:t>
            </w:r>
            <w:r w:rsidRPr="009777E5">
              <w:rPr>
                <w:i/>
                <w:sz w:val="16"/>
                <w:szCs w:val="16"/>
              </w:rPr>
              <w:t>ILEC</w:t>
            </w:r>
            <w:r w:rsidRPr="009777E5">
              <w:rPr>
                <w:sz w:val="16"/>
                <w:szCs w:val="16"/>
              </w:rPr>
              <w:t xml:space="preserve"> plan, do purchases you make for services other than </w:t>
            </w:r>
            <w:r w:rsidRPr="009777E5">
              <w:rPr>
                <w:i/>
                <w:sz w:val="16"/>
                <w:szCs w:val="16"/>
              </w:rPr>
              <w:t>DS1s, DS3s,</w:t>
            </w:r>
            <w:r w:rsidRPr="009777E5">
              <w:rPr>
                <w:sz w:val="16"/>
                <w:szCs w:val="16"/>
              </w:rPr>
              <w:t xml:space="preserve"> and </w:t>
            </w:r>
            <w:r w:rsidRPr="009777E5">
              <w:rPr>
                <w:i/>
                <w:sz w:val="16"/>
                <w:szCs w:val="16"/>
              </w:rPr>
              <w:t>PBDS</w:t>
            </w:r>
            <w:r w:rsidRPr="009777E5">
              <w:rPr>
                <w:sz w:val="16"/>
                <w:szCs w:val="16"/>
              </w:rPr>
              <w:t xml:space="preserve"> from this </w:t>
            </w:r>
            <w:r w:rsidRPr="009777E5">
              <w:rPr>
                <w:i/>
                <w:sz w:val="16"/>
                <w:szCs w:val="16"/>
              </w:rPr>
              <w:t>ILEC</w:t>
            </w:r>
            <w:r w:rsidRPr="009777E5">
              <w:rPr>
                <w:sz w:val="16"/>
                <w:szCs w:val="16"/>
              </w:rPr>
              <w:t xml:space="preserve"> </w:t>
            </w:r>
            <w:r>
              <w:rPr>
                <w:sz w:val="16"/>
                <w:szCs w:val="16"/>
              </w:rPr>
              <w:t xml:space="preserve">count towards </w:t>
            </w:r>
            <w:r w:rsidRPr="009777E5">
              <w:rPr>
                <w:sz w:val="16"/>
                <w:szCs w:val="16"/>
              </w:rPr>
              <w:t xml:space="preserve">meeting any </w:t>
            </w:r>
            <w:r w:rsidRPr="009777E5">
              <w:rPr>
                <w:i/>
                <w:sz w:val="16"/>
                <w:szCs w:val="16"/>
              </w:rPr>
              <w:t>Volume Commitment</w:t>
            </w:r>
            <w:r w:rsidRPr="009777E5">
              <w:rPr>
                <w:sz w:val="16"/>
                <w:szCs w:val="16"/>
              </w:rPr>
              <w:t xml:space="preserve"> to receive a discount or </w:t>
            </w:r>
            <w:r w:rsidRPr="009777E5">
              <w:rPr>
                <w:i/>
                <w:sz w:val="16"/>
                <w:szCs w:val="16"/>
              </w:rPr>
              <w:t>Non-Rate Benefit</w:t>
            </w:r>
            <w:r w:rsidRPr="009777E5">
              <w:rPr>
                <w:sz w:val="16"/>
                <w:szCs w:val="16"/>
              </w:rPr>
              <w:t xml:space="preserve"> under this plan? </w:t>
            </w:r>
            <w:r>
              <w:rPr>
                <w:sz w:val="16"/>
                <w:szCs w:val="16"/>
              </w:rPr>
              <w:t xml:space="preserve">((Y=Yes, N=No, NA=Not Applicable) </w:t>
            </w:r>
          </w:p>
        </w:tc>
        <w:tc>
          <w:tcPr>
            <w:tcW w:w="991" w:type="dxa"/>
          </w:tcPr>
          <w:p w:rsidR="00F97D54" w:rsidRDefault="00F97D54" w:rsidP="00EB5B97">
            <w:pPr>
              <w:rPr>
                <w:sz w:val="16"/>
                <w:szCs w:val="16"/>
              </w:rPr>
            </w:pPr>
            <w:r>
              <w:rPr>
                <w:sz w:val="16"/>
                <w:szCs w:val="16"/>
              </w:rPr>
              <w:t>Text</w:t>
            </w:r>
          </w:p>
        </w:tc>
        <w:tc>
          <w:tcPr>
            <w:tcW w:w="1345" w:type="dxa"/>
          </w:tcPr>
          <w:p w:rsidR="00F97D54" w:rsidRDefault="00F97D54" w:rsidP="00EB5B97">
            <w:pPr>
              <w:rPr>
                <w:sz w:val="16"/>
                <w:szCs w:val="16"/>
              </w:rPr>
            </w:pPr>
            <w:r>
              <w:rPr>
                <w:sz w:val="16"/>
                <w:szCs w:val="16"/>
              </w:rPr>
              <w:t>Y</w:t>
            </w:r>
          </w:p>
        </w:tc>
      </w:tr>
      <w:tr w:rsidR="00F97D54" w:rsidRPr="0063769F" w:rsidTr="00EB5B97">
        <w:trPr>
          <w:trHeight w:val="360"/>
        </w:trPr>
        <w:tc>
          <w:tcPr>
            <w:tcW w:w="2679" w:type="dxa"/>
          </w:tcPr>
          <w:p w:rsidR="00F97D54" w:rsidRDefault="00F97D54" w:rsidP="00EB5B97">
            <w:pPr>
              <w:rPr>
                <w:sz w:val="16"/>
                <w:szCs w:val="16"/>
              </w:rPr>
            </w:pPr>
            <w:r>
              <w:rPr>
                <w:sz w:val="16"/>
                <w:szCs w:val="16"/>
              </w:rPr>
              <w:t>ILEC_Other_Service</w:t>
            </w:r>
          </w:p>
        </w:tc>
        <w:tc>
          <w:tcPr>
            <w:tcW w:w="3823" w:type="dxa"/>
          </w:tcPr>
          <w:p w:rsidR="00F97D54" w:rsidRPr="009777E5" w:rsidRDefault="00F97D54" w:rsidP="00EB5B97">
            <w:pPr>
              <w:rPr>
                <w:sz w:val="16"/>
                <w:szCs w:val="16"/>
              </w:rPr>
            </w:pPr>
            <w:r w:rsidRPr="009777E5">
              <w:rPr>
                <w:sz w:val="16"/>
                <w:szCs w:val="16"/>
              </w:rPr>
              <w:t xml:space="preserve">If </w:t>
            </w:r>
            <w:r>
              <w:rPr>
                <w:sz w:val="16"/>
                <w:szCs w:val="16"/>
              </w:rPr>
              <w:t>Y</w:t>
            </w:r>
            <w:r w:rsidRPr="009777E5">
              <w:rPr>
                <w:sz w:val="16"/>
                <w:szCs w:val="16"/>
              </w:rPr>
              <w:t>es, identify the other services purchased</w:t>
            </w:r>
            <w:r w:rsidRPr="009777E5">
              <w:rPr>
                <w:i/>
                <w:sz w:val="16"/>
                <w:szCs w:val="16"/>
              </w:rPr>
              <w:t xml:space="preserve"> </w:t>
            </w:r>
            <w:r w:rsidRPr="009777E5">
              <w:rPr>
                <w:sz w:val="16"/>
                <w:szCs w:val="16"/>
              </w:rPr>
              <w:t xml:space="preserve">that count towards meeting any </w:t>
            </w:r>
            <w:r w:rsidRPr="009777E5">
              <w:rPr>
                <w:i/>
                <w:sz w:val="16"/>
                <w:szCs w:val="16"/>
              </w:rPr>
              <w:t>Volume Commitment</w:t>
            </w:r>
            <w:r w:rsidRPr="009777E5">
              <w:rPr>
                <w:sz w:val="16"/>
                <w:szCs w:val="16"/>
              </w:rPr>
              <w:t xml:space="preserve"> to receive a discount or </w:t>
            </w:r>
            <w:r w:rsidRPr="009777E5">
              <w:rPr>
                <w:i/>
                <w:sz w:val="16"/>
                <w:szCs w:val="16"/>
              </w:rPr>
              <w:t>Non-Rate Benefit</w:t>
            </w:r>
            <w:r w:rsidRPr="009777E5">
              <w:rPr>
                <w:sz w:val="16"/>
                <w:szCs w:val="16"/>
              </w:rPr>
              <w:t xml:space="preserve"> under this plan.</w:t>
            </w:r>
            <w:r>
              <w:rPr>
                <w:sz w:val="16"/>
                <w:szCs w:val="16"/>
              </w:rPr>
              <w:t xml:space="preserve"> </w:t>
            </w:r>
          </w:p>
        </w:tc>
        <w:tc>
          <w:tcPr>
            <w:tcW w:w="991" w:type="dxa"/>
          </w:tcPr>
          <w:p w:rsidR="00F97D54" w:rsidRDefault="00F97D54" w:rsidP="00EB5B97">
            <w:pPr>
              <w:rPr>
                <w:sz w:val="16"/>
                <w:szCs w:val="16"/>
              </w:rPr>
            </w:pPr>
            <w:r>
              <w:rPr>
                <w:sz w:val="16"/>
                <w:szCs w:val="16"/>
              </w:rPr>
              <w:t>Text</w:t>
            </w:r>
          </w:p>
        </w:tc>
        <w:tc>
          <w:tcPr>
            <w:tcW w:w="1345" w:type="dxa"/>
          </w:tcPr>
          <w:p w:rsidR="00F97D54" w:rsidRDefault="00F97D54" w:rsidP="00EB5B97">
            <w:pPr>
              <w:rPr>
                <w:sz w:val="16"/>
                <w:szCs w:val="16"/>
              </w:rPr>
            </w:pPr>
            <w:r>
              <w:rPr>
                <w:sz w:val="16"/>
                <w:szCs w:val="16"/>
              </w:rPr>
              <w:t>Cloud computing</w:t>
            </w:r>
          </w:p>
        </w:tc>
      </w:tr>
      <w:tr w:rsidR="00F97D54" w:rsidRPr="0063769F" w:rsidTr="00EB5B97">
        <w:trPr>
          <w:trHeight w:val="360"/>
        </w:trPr>
        <w:tc>
          <w:tcPr>
            <w:tcW w:w="2679" w:type="dxa"/>
          </w:tcPr>
          <w:p w:rsidR="00F97D54" w:rsidRDefault="00F97D54" w:rsidP="00EB5B97">
            <w:pPr>
              <w:rPr>
                <w:sz w:val="16"/>
                <w:szCs w:val="16"/>
              </w:rPr>
            </w:pPr>
            <w:r>
              <w:rPr>
                <w:sz w:val="16"/>
                <w:szCs w:val="16"/>
              </w:rPr>
              <w:t>ILEC_Other_Geo</w:t>
            </w:r>
          </w:p>
        </w:tc>
        <w:tc>
          <w:tcPr>
            <w:tcW w:w="3823" w:type="dxa"/>
          </w:tcPr>
          <w:p w:rsidR="00F97D54" w:rsidRPr="009777E5" w:rsidRDefault="00F97D54" w:rsidP="00EB5B97">
            <w:pPr>
              <w:rPr>
                <w:sz w:val="16"/>
                <w:szCs w:val="16"/>
              </w:rPr>
            </w:pPr>
            <w:r w:rsidRPr="009777E5">
              <w:rPr>
                <w:sz w:val="16"/>
                <w:szCs w:val="16"/>
              </w:rPr>
              <w:t xml:space="preserve">If </w:t>
            </w:r>
            <w:r>
              <w:rPr>
                <w:sz w:val="16"/>
                <w:szCs w:val="16"/>
              </w:rPr>
              <w:t>Y</w:t>
            </w:r>
            <w:r w:rsidRPr="009777E5">
              <w:rPr>
                <w:sz w:val="16"/>
                <w:szCs w:val="16"/>
              </w:rPr>
              <w:t xml:space="preserve">es, identify the </w:t>
            </w:r>
            <w:r>
              <w:rPr>
                <w:sz w:val="16"/>
                <w:szCs w:val="16"/>
              </w:rPr>
              <w:t>g</w:t>
            </w:r>
            <w:r w:rsidRPr="009777E5">
              <w:rPr>
                <w:sz w:val="16"/>
                <w:szCs w:val="16"/>
              </w:rPr>
              <w:t xml:space="preserve">eographic areas where you purchase these </w:t>
            </w:r>
            <w:r>
              <w:rPr>
                <w:sz w:val="16"/>
                <w:szCs w:val="16"/>
              </w:rPr>
              <w:t xml:space="preserve">other </w:t>
            </w:r>
            <w:r w:rsidRPr="009777E5">
              <w:rPr>
                <w:sz w:val="16"/>
                <w:szCs w:val="16"/>
              </w:rPr>
              <w:t>services</w:t>
            </w:r>
            <w:r w:rsidRPr="009777E5">
              <w:rPr>
                <w:i/>
                <w:sz w:val="16"/>
                <w:szCs w:val="16"/>
              </w:rPr>
              <w:t xml:space="preserve"> </w:t>
            </w:r>
            <w:r w:rsidRPr="009777E5">
              <w:rPr>
                <w:sz w:val="16"/>
                <w:szCs w:val="16"/>
              </w:rPr>
              <w:t xml:space="preserve">that count towards meeting any </w:t>
            </w:r>
            <w:r w:rsidRPr="009777E5">
              <w:rPr>
                <w:i/>
                <w:sz w:val="16"/>
                <w:szCs w:val="16"/>
              </w:rPr>
              <w:t>Volume Commitment</w:t>
            </w:r>
            <w:r w:rsidRPr="009777E5">
              <w:rPr>
                <w:sz w:val="16"/>
                <w:szCs w:val="16"/>
              </w:rPr>
              <w:t xml:space="preserve"> to receive a discount or </w:t>
            </w:r>
            <w:r w:rsidRPr="009777E5">
              <w:rPr>
                <w:i/>
                <w:sz w:val="16"/>
                <w:szCs w:val="16"/>
              </w:rPr>
              <w:t>Non-Rate Benefit</w:t>
            </w:r>
            <w:r w:rsidRPr="009777E5">
              <w:rPr>
                <w:sz w:val="16"/>
                <w:szCs w:val="16"/>
              </w:rPr>
              <w:t xml:space="preserve"> under this plan.</w:t>
            </w:r>
            <w:r>
              <w:rPr>
                <w:sz w:val="16"/>
                <w:szCs w:val="16"/>
              </w:rPr>
              <w:t xml:space="preserve"> </w:t>
            </w:r>
          </w:p>
        </w:tc>
        <w:tc>
          <w:tcPr>
            <w:tcW w:w="991" w:type="dxa"/>
          </w:tcPr>
          <w:p w:rsidR="00F97D54" w:rsidRDefault="00F97D54" w:rsidP="00EB5B97">
            <w:pPr>
              <w:rPr>
                <w:sz w:val="16"/>
                <w:szCs w:val="16"/>
              </w:rPr>
            </w:pPr>
            <w:r>
              <w:rPr>
                <w:sz w:val="16"/>
                <w:szCs w:val="16"/>
              </w:rPr>
              <w:t>Text</w:t>
            </w:r>
          </w:p>
        </w:tc>
        <w:tc>
          <w:tcPr>
            <w:tcW w:w="1345" w:type="dxa"/>
          </w:tcPr>
          <w:p w:rsidR="00F97D54" w:rsidRDefault="00F97D54" w:rsidP="00EB5B97">
            <w:pPr>
              <w:rPr>
                <w:sz w:val="16"/>
                <w:szCs w:val="16"/>
              </w:rPr>
            </w:pPr>
            <w:r>
              <w:rPr>
                <w:sz w:val="16"/>
                <w:szCs w:val="16"/>
              </w:rPr>
              <w:t>Little Rock, AR</w:t>
            </w:r>
          </w:p>
        </w:tc>
      </w:tr>
      <w:tr w:rsidR="00F97D54" w:rsidRPr="0063769F" w:rsidTr="00EB5B97">
        <w:trPr>
          <w:trHeight w:val="360"/>
        </w:trPr>
        <w:tc>
          <w:tcPr>
            <w:tcW w:w="2679" w:type="dxa"/>
          </w:tcPr>
          <w:p w:rsidR="00F97D54" w:rsidRDefault="00F97D54" w:rsidP="00EB5B97">
            <w:pPr>
              <w:rPr>
                <w:sz w:val="16"/>
                <w:szCs w:val="16"/>
              </w:rPr>
            </w:pPr>
            <w:r>
              <w:rPr>
                <w:sz w:val="16"/>
                <w:szCs w:val="16"/>
              </w:rPr>
              <w:t>ILEC_Other_Diff</w:t>
            </w:r>
          </w:p>
        </w:tc>
        <w:tc>
          <w:tcPr>
            <w:tcW w:w="3823" w:type="dxa"/>
          </w:tcPr>
          <w:p w:rsidR="00F97D54" w:rsidRPr="009777E5" w:rsidRDefault="00F97D54" w:rsidP="00EB5B97">
            <w:pPr>
              <w:rPr>
                <w:sz w:val="16"/>
                <w:szCs w:val="16"/>
              </w:rPr>
            </w:pPr>
            <w:r w:rsidRPr="009777E5">
              <w:rPr>
                <w:sz w:val="16"/>
                <w:szCs w:val="16"/>
              </w:rPr>
              <w:t>Of the geographic areas identified, in which of those areas would your company have purchased those other services</w:t>
            </w:r>
            <w:r w:rsidRPr="009777E5">
              <w:rPr>
                <w:i/>
                <w:sz w:val="16"/>
                <w:szCs w:val="16"/>
              </w:rPr>
              <w:t xml:space="preserve"> </w:t>
            </w:r>
            <w:r w:rsidRPr="009777E5">
              <w:rPr>
                <w:sz w:val="16"/>
                <w:szCs w:val="16"/>
              </w:rPr>
              <w:t>from a different</w:t>
            </w:r>
            <w:r w:rsidRPr="009777E5">
              <w:rPr>
                <w:i/>
                <w:sz w:val="16"/>
                <w:szCs w:val="16"/>
              </w:rPr>
              <w:t xml:space="preserve"> Provider</w:t>
            </w:r>
            <w:r w:rsidRPr="009777E5">
              <w:rPr>
                <w:sz w:val="16"/>
                <w:szCs w:val="16"/>
              </w:rPr>
              <w:t xml:space="preserve">, had it not been for the requirements of the plan?  In your response, indicate whether the </w:t>
            </w:r>
            <w:r w:rsidRPr="009777E5">
              <w:rPr>
                <w:i/>
                <w:sz w:val="16"/>
                <w:szCs w:val="16"/>
              </w:rPr>
              <w:t>Provider</w:t>
            </w:r>
            <w:r w:rsidRPr="009777E5">
              <w:rPr>
                <w:sz w:val="16"/>
                <w:szCs w:val="16"/>
              </w:rPr>
              <w:t xml:space="preserve"> that you would have purchased from has </w:t>
            </w:r>
            <w:r w:rsidRPr="009777E5">
              <w:rPr>
                <w:i/>
                <w:sz w:val="16"/>
                <w:szCs w:val="16"/>
              </w:rPr>
              <w:t>Connections</w:t>
            </w:r>
            <w:r w:rsidRPr="009777E5">
              <w:rPr>
                <w:sz w:val="16"/>
                <w:szCs w:val="16"/>
              </w:rPr>
              <w:t xml:space="preserve"> serving that geographic area.</w:t>
            </w:r>
            <w:r>
              <w:rPr>
                <w:sz w:val="16"/>
                <w:szCs w:val="16"/>
              </w:rPr>
              <w:t xml:space="preserve"> </w:t>
            </w:r>
          </w:p>
        </w:tc>
        <w:tc>
          <w:tcPr>
            <w:tcW w:w="991" w:type="dxa"/>
          </w:tcPr>
          <w:p w:rsidR="00F97D54" w:rsidRPr="0063769F" w:rsidRDefault="00F97D54" w:rsidP="00EB5B97">
            <w:pPr>
              <w:rPr>
                <w:sz w:val="16"/>
                <w:szCs w:val="16"/>
              </w:rPr>
            </w:pPr>
            <w:r>
              <w:rPr>
                <w:sz w:val="16"/>
                <w:szCs w:val="16"/>
              </w:rPr>
              <w:t>Text</w:t>
            </w:r>
          </w:p>
        </w:tc>
        <w:tc>
          <w:tcPr>
            <w:tcW w:w="1345" w:type="dxa"/>
          </w:tcPr>
          <w:p w:rsidR="00F97D54" w:rsidRPr="0063769F" w:rsidRDefault="00F97D54" w:rsidP="00EB5B97">
            <w:pPr>
              <w:rPr>
                <w:sz w:val="16"/>
                <w:szCs w:val="16"/>
              </w:rPr>
            </w:pPr>
            <w:r>
              <w:rPr>
                <w:sz w:val="16"/>
                <w:szCs w:val="16"/>
              </w:rPr>
              <w:t>Little Rock, AR</w:t>
            </w:r>
          </w:p>
        </w:tc>
      </w:tr>
      <w:tr w:rsidR="00F97D54" w:rsidRPr="00551AAF" w:rsidTr="00EB5B97">
        <w:trPr>
          <w:trHeight w:val="360"/>
        </w:trPr>
        <w:tc>
          <w:tcPr>
            <w:tcW w:w="2679" w:type="dxa"/>
          </w:tcPr>
          <w:p w:rsidR="00F97D54" w:rsidRDefault="00F97D54" w:rsidP="00EB5B97">
            <w:pPr>
              <w:rPr>
                <w:sz w:val="16"/>
                <w:szCs w:val="16"/>
              </w:rPr>
            </w:pPr>
            <w:r>
              <w:rPr>
                <w:sz w:val="16"/>
                <w:szCs w:val="16"/>
              </w:rPr>
              <w:t>ILEC_Other_Provider</w:t>
            </w:r>
          </w:p>
        </w:tc>
        <w:tc>
          <w:tcPr>
            <w:tcW w:w="3823" w:type="dxa"/>
          </w:tcPr>
          <w:p w:rsidR="00F97D54" w:rsidRPr="00997F57" w:rsidRDefault="00F97D54" w:rsidP="00EB5B97">
            <w:pPr>
              <w:rPr>
                <w:sz w:val="16"/>
                <w:szCs w:val="16"/>
              </w:rPr>
            </w:pPr>
            <w:r>
              <w:rPr>
                <w:sz w:val="16"/>
                <w:szCs w:val="16"/>
              </w:rPr>
              <w:t xml:space="preserve">Name of </w:t>
            </w:r>
            <w:r w:rsidRPr="002B1D08">
              <w:rPr>
                <w:i/>
                <w:sz w:val="16"/>
                <w:szCs w:val="16"/>
              </w:rPr>
              <w:t>Provider</w:t>
            </w:r>
            <w:r>
              <w:rPr>
                <w:i/>
                <w:sz w:val="16"/>
                <w:szCs w:val="16"/>
              </w:rPr>
              <w:t>(s)</w:t>
            </w:r>
            <w:r>
              <w:rPr>
                <w:sz w:val="16"/>
                <w:szCs w:val="16"/>
              </w:rPr>
              <w:t xml:space="preserve"> in the geographic areas identified above you would have purchased from had it not been for the discounts or </w:t>
            </w:r>
            <w:r w:rsidRPr="002B1D08">
              <w:rPr>
                <w:i/>
                <w:sz w:val="16"/>
                <w:szCs w:val="16"/>
              </w:rPr>
              <w:t>Non-Rate Benefits</w:t>
            </w:r>
            <w:r>
              <w:rPr>
                <w:sz w:val="16"/>
                <w:szCs w:val="16"/>
              </w:rPr>
              <w:t xml:space="preserve"> received under this plan.</w:t>
            </w:r>
          </w:p>
        </w:tc>
        <w:tc>
          <w:tcPr>
            <w:tcW w:w="991" w:type="dxa"/>
          </w:tcPr>
          <w:p w:rsidR="00F97D54" w:rsidRDefault="00F97D54" w:rsidP="00EB5B97">
            <w:pPr>
              <w:rPr>
                <w:sz w:val="16"/>
                <w:szCs w:val="16"/>
              </w:rPr>
            </w:pPr>
            <w:r>
              <w:rPr>
                <w:sz w:val="16"/>
                <w:szCs w:val="16"/>
              </w:rPr>
              <w:t>Text</w:t>
            </w:r>
          </w:p>
        </w:tc>
        <w:tc>
          <w:tcPr>
            <w:tcW w:w="1345" w:type="dxa"/>
          </w:tcPr>
          <w:p w:rsidR="00F97D54" w:rsidRDefault="00F97D54" w:rsidP="00EB5B97">
            <w:pPr>
              <w:rPr>
                <w:sz w:val="16"/>
                <w:szCs w:val="16"/>
              </w:rPr>
            </w:pPr>
            <w:r>
              <w:rPr>
                <w:sz w:val="16"/>
                <w:szCs w:val="16"/>
              </w:rPr>
              <w:t>ABC Co.</w:t>
            </w:r>
          </w:p>
        </w:tc>
      </w:tr>
      <w:tr w:rsidR="00F97D54" w:rsidRPr="0063769F" w:rsidTr="00EB5B97">
        <w:trPr>
          <w:trHeight w:val="360"/>
        </w:trPr>
        <w:tc>
          <w:tcPr>
            <w:tcW w:w="2679" w:type="dxa"/>
            <w:tcBorders>
              <w:bottom w:val="double" w:sz="4" w:space="0" w:color="auto"/>
            </w:tcBorders>
          </w:tcPr>
          <w:p w:rsidR="00F97D54" w:rsidRDefault="00F97D54" w:rsidP="00EB5B97">
            <w:pPr>
              <w:rPr>
                <w:sz w:val="16"/>
                <w:szCs w:val="16"/>
              </w:rPr>
            </w:pPr>
            <w:r>
              <w:rPr>
                <w:sz w:val="16"/>
                <w:szCs w:val="16"/>
              </w:rPr>
              <w:t>Limiting_Purchase</w:t>
            </w:r>
          </w:p>
        </w:tc>
        <w:tc>
          <w:tcPr>
            <w:tcW w:w="3823" w:type="dxa"/>
            <w:tcBorders>
              <w:bottom w:val="double" w:sz="4" w:space="0" w:color="auto"/>
            </w:tcBorders>
          </w:tcPr>
          <w:p w:rsidR="00F97D54" w:rsidRPr="00F16C64" w:rsidRDefault="00F97D54" w:rsidP="00EB5B97">
            <w:pPr>
              <w:rPr>
                <w:sz w:val="16"/>
                <w:szCs w:val="16"/>
              </w:rPr>
            </w:pPr>
            <w:r w:rsidRPr="00F16C64">
              <w:rPr>
                <w:sz w:val="16"/>
                <w:szCs w:val="16"/>
              </w:rPr>
              <w:t xml:space="preserve">Is the discount or </w:t>
            </w:r>
            <w:r w:rsidRPr="00F16C64">
              <w:rPr>
                <w:i/>
                <w:sz w:val="16"/>
                <w:szCs w:val="16"/>
              </w:rPr>
              <w:t>Non-Rate Benefit</w:t>
            </w:r>
            <w:r w:rsidRPr="00F16C64">
              <w:rPr>
                <w:sz w:val="16"/>
                <w:szCs w:val="16"/>
              </w:rPr>
              <w:t xml:space="preserve"> available under this plan conditioned on the customer limiting its purchase of </w:t>
            </w:r>
            <w:r w:rsidRPr="00F16C64">
              <w:rPr>
                <w:i/>
                <w:sz w:val="16"/>
                <w:szCs w:val="16"/>
              </w:rPr>
              <w:t>UNEs</w:t>
            </w:r>
            <w:r w:rsidRPr="00F16C64">
              <w:rPr>
                <w:sz w:val="16"/>
                <w:szCs w:val="16"/>
              </w:rPr>
              <w:t xml:space="preserve">, </w:t>
            </w:r>
            <w:r w:rsidRPr="00F16C64">
              <w:rPr>
                <w:i/>
                <w:sz w:val="16"/>
                <w:szCs w:val="16"/>
              </w:rPr>
              <w:t>e.g.</w:t>
            </w:r>
            <w:r w:rsidRPr="00F16C64">
              <w:rPr>
                <w:sz w:val="16"/>
                <w:szCs w:val="16"/>
              </w:rPr>
              <w:t xml:space="preserve">, the customer must keep its purchase of </w:t>
            </w:r>
            <w:r w:rsidRPr="00F16C64">
              <w:rPr>
                <w:i/>
                <w:sz w:val="16"/>
                <w:szCs w:val="16"/>
              </w:rPr>
              <w:t>UNEs</w:t>
            </w:r>
            <w:r w:rsidRPr="00F16C64">
              <w:rPr>
                <w:sz w:val="16"/>
                <w:szCs w:val="16"/>
              </w:rPr>
              <w:t xml:space="preserve"> below a certain percentage of the customer’s total spend?  If yes, then provide additional details about the condition.</w:t>
            </w:r>
            <w:r>
              <w:rPr>
                <w:sz w:val="16"/>
                <w:szCs w:val="16"/>
              </w:rPr>
              <w:t xml:space="preserve"> </w:t>
            </w:r>
          </w:p>
        </w:tc>
        <w:tc>
          <w:tcPr>
            <w:tcW w:w="991" w:type="dxa"/>
            <w:tcBorders>
              <w:bottom w:val="double" w:sz="4" w:space="0" w:color="auto"/>
            </w:tcBorders>
          </w:tcPr>
          <w:p w:rsidR="00F97D54" w:rsidRPr="0063769F" w:rsidRDefault="00F97D54" w:rsidP="00EB5B97">
            <w:pPr>
              <w:rPr>
                <w:sz w:val="16"/>
                <w:szCs w:val="16"/>
              </w:rPr>
            </w:pPr>
            <w:r>
              <w:rPr>
                <w:sz w:val="16"/>
                <w:szCs w:val="16"/>
              </w:rPr>
              <w:t>Text</w:t>
            </w:r>
          </w:p>
        </w:tc>
        <w:tc>
          <w:tcPr>
            <w:tcW w:w="1345" w:type="dxa"/>
            <w:tcBorders>
              <w:bottom w:val="double" w:sz="4" w:space="0" w:color="auto"/>
            </w:tcBorders>
          </w:tcPr>
          <w:p w:rsidR="00F97D54" w:rsidRPr="0063769F" w:rsidRDefault="00F97D54" w:rsidP="00EB5B97">
            <w:pPr>
              <w:rPr>
                <w:sz w:val="16"/>
                <w:szCs w:val="16"/>
              </w:rPr>
            </w:pPr>
            <w:r>
              <w:rPr>
                <w:sz w:val="16"/>
                <w:szCs w:val="16"/>
              </w:rPr>
              <w:t>Yes, to obtain the discount our company must . . .</w:t>
            </w:r>
          </w:p>
        </w:tc>
      </w:tr>
    </w:tbl>
    <w:p w:rsidR="00F97D54" w:rsidRDefault="00F97D54" w:rsidP="00EB5B97"/>
    <w:p w:rsidR="00F97D54" w:rsidRPr="001E4D6A" w:rsidRDefault="00F97D54" w:rsidP="001E4D6A">
      <w:pPr>
        <w:pStyle w:val="Heading4"/>
        <w:numPr>
          <w:ilvl w:val="0"/>
          <w:numId w:val="0"/>
        </w:numPr>
        <w:rPr>
          <w:b w:val="0"/>
          <w:i/>
        </w:rPr>
      </w:pPr>
      <w:bookmarkStart w:id="177" w:name="_Toc365972159"/>
      <w:r w:rsidRPr="001E4D6A">
        <w:rPr>
          <w:b w:val="0"/>
          <w:i/>
        </w:rPr>
        <w:t>Question II.F.14:  Non-Tariffed Agreements</w:t>
      </w:r>
      <w:bookmarkEnd w:id="177"/>
      <w:r w:rsidRPr="001E4D6A">
        <w:rPr>
          <w:b w:val="0"/>
          <w:i/>
        </w:rPr>
        <w:t xml:space="preserve"> </w:t>
      </w:r>
    </w:p>
    <w:p w:rsidR="00F97D54" w:rsidRDefault="00F97D54" w:rsidP="00EB5B97">
      <w:r>
        <w:t>If you have a non-tariffed agreement covered by Question II.F.14, then you must identify each agreement in Table II.F.14 within the data container.  If you do not have an agreement covered by Question II.F.14, then type “Not Applicable” in the Agreement field.  You will receive an error message upon validation of the data container if you do not put any information into Table II.F.14.</w:t>
      </w:r>
    </w:p>
    <w:p w:rsidR="00F97D54" w:rsidRPr="0055754E" w:rsidRDefault="00F97D54" w:rsidP="00EB5B97"/>
    <w:tbl>
      <w:tblPr>
        <w:tblW w:w="8838" w:type="dxa"/>
        <w:tblLook w:val="01E0" w:firstRow="1" w:lastRow="1" w:firstColumn="1" w:lastColumn="1" w:noHBand="0" w:noVBand="0"/>
      </w:tblPr>
      <w:tblGrid>
        <w:gridCol w:w="2679"/>
        <w:gridCol w:w="3823"/>
        <w:gridCol w:w="991"/>
        <w:gridCol w:w="1345"/>
      </w:tblGrid>
      <w:tr w:rsidR="00F97D54" w:rsidRPr="0063769F" w:rsidTr="00EB5B97">
        <w:trPr>
          <w:trHeight w:val="432"/>
          <w:tblHeader/>
        </w:trPr>
        <w:tc>
          <w:tcPr>
            <w:tcW w:w="8838" w:type="dxa"/>
            <w:gridSpan w:val="4"/>
            <w:tcBorders>
              <w:top w:val="double" w:sz="4" w:space="0" w:color="auto"/>
              <w:bottom w:val="single" w:sz="4" w:space="0" w:color="auto"/>
            </w:tcBorders>
            <w:vAlign w:val="center"/>
          </w:tcPr>
          <w:p w:rsidR="00F97D54" w:rsidRDefault="00F97D54" w:rsidP="00EB5B97">
            <w:pPr>
              <w:jc w:val="center"/>
              <w:rPr>
                <w:b/>
                <w:bCs/>
              </w:rPr>
            </w:pPr>
            <w:r w:rsidRPr="0063769F">
              <w:rPr>
                <w:b/>
              </w:rPr>
              <w:t xml:space="preserve">Table </w:t>
            </w:r>
            <w:r>
              <w:rPr>
                <w:b/>
                <w:bCs/>
              </w:rPr>
              <w:t>II.F.14</w:t>
            </w:r>
          </w:p>
          <w:p w:rsidR="00F97D54" w:rsidRPr="0063769F" w:rsidRDefault="00F97D54" w:rsidP="00EB5B97">
            <w:pPr>
              <w:jc w:val="center"/>
              <w:rPr>
                <w:b/>
              </w:rPr>
            </w:pPr>
            <w:r>
              <w:rPr>
                <w:b/>
                <w:bCs/>
              </w:rPr>
              <w:t>Record Format for Non-Tariffed Agreements</w:t>
            </w:r>
          </w:p>
        </w:tc>
      </w:tr>
      <w:tr w:rsidR="00F97D54" w:rsidRPr="0063769F" w:rsidTr="00EB5B97">
        <w:trPr>
          <w:trHeight w:val="432"/>
          <w:tblHeader/>
        </w:trPr>
        <w:tc>
          <w:tcPr>
            <w:tcW w:w="2679" w:type="dxa"/>
            <w:tcBorders>
              <w:top w:val="single" w:sz="4" w:space="0" w:color="auto"/>
              <w:bottom w:val="single" w:sz="4" w:space="0" w:color="auto"/>
              <w:right w:val="single" w:sz="4" w:space="0" w:color="auto"/>
            </w:tcBorders>
            <w:vAlign w:val="center"/>
          </w:tcPr>
          <w:p w:rsidR="00F97D54" w:rsidRPr="0063769F" w:rsidRDefault="00F97D54" w:rsidP="00EB5B97">
            <w:pPr>
              <w:rPr>
                <w:b/>
                <w:sz w:val="18"/>
                <w:szCs w:val="18"/>
              </w:rPr>
            </w:pPr>
            <w:r w:rsidRPr="0063769F">
              <w:rPr>
                <w:b/>
                <w:sz w:val="18"/>
                <w:szCs w:val="18"/>
              </w:rPr>
              <w:t>Field Name</w:t>
            </w:r>
          </w:p>
        </w:tc>
        <w:tc>
          <w:tcPr>
            <w:tcW w:w="3823" w:type="dxa"/>
            <w:tcBorders>
              <w:top w:val="single" w:sz="4" w:space="0" w:color="auto"/>
              <w:left w:val="single" w:sz="4" w:space="0" w:color="auto"/>
              <w:bottom w:val="single" w:sz="4" w:space="0" w:color="auto"/>
              <w:right w:val="single" w:sz="4" w:space="0" w:color="auto"/>
            </w:tcBorders>
            <w:vAlign w:val="center"/>
          </w:tcPr>
          <w:p w:rsidR="00F97D54" w:rsidRPr="00512AA0" w:rsidRDefault="00F97D54" w:rsidP="00EB5B97">
            <w:pPr>
              <w:rPr>
                <w:b/>
                <w:sz w:val="18"/>
                <w:szCs w:val="18"/>
              </w:rPr>
            </w:pPr>
            <w:r w:rsidRPr="00512AA0">
              <w:rPr>
                <w:b/>
                <w:sz w:val="18"/>
                <w:szCs w:val="18"/>
              </w:rPr>
              <w:t>Description</w:t>
            </w:r>
          </w:p>
        </w:tc>
        <w:tc>
          <w:tcPr>
            <w:tcW w:w="991" w:type="dxa"/>
            <w:tcBorders>
              <w:top w:val="single" w:sz="4" w:space="0" w:color="auto"/>
              <w:left w:val="single" w:sz="4" w:space="0" w:color="auto"/>
              <w:bottom w:val="single" w:sz="4" w:space="0" w:color="auto"/>
              <w:right w:val="single" w:sz="4" w:space="0" w:color="auto"/>
            </w:tcBorders>
            <w:vAlign w:val="center"/>
          </w:tcPr>
          <w:p w:rsidR="00F97D54" w:rsidRPr="0063769F" w:rsidRDefault="00F97D54" w:rsidP="00EB5B97">
            <w:pPr>
              <w:rPr>
                <w:b/>
                <w:sz w:val="18"/>
                <w:szCs w:val="18"/>
              </w:rPr>
            </w:pPr>
            <w:r w:rsidRPr="0063769F">
              <w:rPr>
                <w:b/>
                <w:sz w:val="18"/>
                <w:szCs w:val="18"/>
              </w:rPr>
              <w:t>Type</w:t>
            </w:r>
          </w:p>
        </w:tc>
        <w:tc>
          <w:tcPr>
            <w:tcW w:w="1345" w:type="dxa"/>
            <w:tcBorders>
              <w:top w:val="single" w:sz="4" w:space="0" w:color="auto"/>
              <w:left w:val="single" w:sz="4" w:space="0" w:color="auto"/>
              <w:bottom w:val="single" w:sz="4" w:space="0" w:color="auto"/>
            </w:tcBorders>
            <w:vAlign w:val="center"/>
          </w:tcPr>
          <w:p w:rsidR="00F97D54" w:rsidRPr="0063769F" w:rsidRDefault="00F97D54" w:rsidP="00EB5B97">
            <w:pPr>
              <w:ind w:right="-108"/>
              <w:rPr>
                <w:b/>
                <w:sz w:val="18"/>
                <w:szCs w:val="18"/>
              </w:rPr>
            </w:pPr>
            <w:r w:rsidRPr="0063769F">
              <w:rPr>
                <w:b/>
                <w:sz w:val="18"/>
                <w:szCs w:val="18"/>
              </w:rPr>
              <w:t>Example</w:t>
            </w:r>
          </w:p>
        </w:tc>
      </w:tr>
      <w:tr w:rsidR="00F97D54" w:rsidRPr="00551AAF" w:rsidTr="00EB5B97">
        <w:trPr>
          <w:trHeight w:val="360"/>
        </w:trPr>
        <w:tc>
          <w:tcPr>
            <w:tcW w:w="2679" w:type="dxa"/>
          </w:tcPr>
          <w:p w:rsidR="00F97D54" w:rsidRPr="00551AAF" w:rsidRDefault="00F97D54" w:rsidP="00EB5B97">
            <w:pPr>
              <w:rPr>
                <w:sz w:val="16"/>
                <w:szCs w:val="16"/>
              </w:rPr>
            </w:pPr>
            <w:r>
              <w:rPr>
                <w:sz w:val="16"/>
                <w:szCs w:val="16"/>
              </w:rPr>
              <w:t>Unique</w:t>
            </w:r>
            <w:r w:rsidRPr="00551AAF">
              <w:rPr>
                <w:sz w:val="16"/>
                <w:szCs w:val="16"/>
              </w:rPr>
              <w:t>_ID</w:t>
            </w:r>
          </w:p>
        </w:tc>
        <w:tc>
          <w:tcPr>
            <w:tcW w:w="3823" w:type="dxa"/>
          </w:tcPr>
          <w:p w:rsidR="00F97D54" w:rsidRPr="00551AAF" w:rsidRDefault="00F97D54" w:rsidP="00EB5B97">
            <w:pPr>
              <w:rPr>
                <w:sz w:val="16"/>
                <w:szCs w:val="16"/>
              </w:rPr>
            </w:pPr>
            <w:r>
              <w:rPr>
                <w:sz w:val="16"/>
                <w:szCs w:val="16"/>
              </w:rPr>
              <w:t>Sequential</w:t>
            </w:r>
            <w:r w:rsidRPr="000A51DF">
              <w:rPr>
                <w:sz w:val="16"/>
                <w:szCs w:val="16"/>
              </w:rPr>
              <w:t xml:space="preserve"> number </w:t>
            </w:r>
          </w:p>
        </w:tc>
        <w:tc>
          <w:tcPr>
            <w:tcW w:w="991" w:type="dxa"/>
          </w:tcPr>
          <w:p w:rsidR="00F97D54" w:rsidRPr="00551AAF" w:rsidRDefault="00F97D54" w:rsidP="00EB5B97">
            <w:pPr>
              <w:rPr>
                <w:sz w:val="16"/>
                <w:szCs w:val="16"/>
              </w:rPr>
            </w:pPr>
            <w:r w:rsidRPr="00551AAF">
              <w:rPr>
                <w:sz w:val="16"/>
                <w:szCs w:val="16"/>
              </w:rPr>
              <w:t>Integer</w:t>
            </w:r>
          </w:p>
        </w:tc>
        <w:tc>
          <w:tcPr>
            <w:tcW w:w="1345" w:type="dxa"/>
          </w:tcPr>
          <w:p w:rsidR="00F97D54" w:rsidRPr="00551AAF" w:rsidRDefault="00F97D54" w:rsidP="00EB5B97">
            <w:pPr>
              <w:rPr>
                <w:sz w:val="16"/>
                <w:szCs w:val="16"/>
              </w:rPr>
            </w:pPr>
            <w:r w:rsidRPr="00551AAF">
              <w:rPr>
                <w:sz w:val="16"/>
                <w:szCs w:val="16"/>
              </w:rPr>
              <w:t>1</w:t>
            </w:r>
          </w:p>
        </w:tc>
      </w:tr>
      <w:tr w:rsidR="00F97D54" w:rsidRPr="00551AAF" w:rsidTr="00EB5B97">
        <w:trPr>
          <w:trHeight w:val="360"/>
        </w:trPr>
        <w:tc>
          <w:tcPr>
            <w:tcW w:w="2679" w:type="dxa"/>
          </w:tcPr>
          <w:p w:rsidR="00F97D54" w:rsidRDefault="00F97D54" w:rsidP="00EB5B97">
            <w:pPr>
              <w:rPr>
                <w:sz w:val="16"/>
                <w:szCs w:val="16"/>
              </w:rPr>
            </w:pPr>
            <w:r>
              <w:rPr>
                <w:sz w:val="16"/>
                <w:szCs w:val="16"/>
              </w:rPr>
              <w:t>Agreement</w:t>
            </w:r>
          </w:p>
        </w:tc>
        <w:tc>
          <w:tcPr>
            <w:tcW w:w="3823" w:type="dxa"/>
          </w:tcPr>
          <w:p w:rsidR="00F97D54" w:rsidRPr="009924C9" w:rsidRDefault="00F97D54" w:rsidP="00EB5B97">
            <w:pPr>
              <w:rPr>
                <w:sz w:val="16"/>
                <w:szCs w:val="16"/>
              </w:rPr>
            </w:pPr>
            <w:r>
              <w:rPr>
                <w:sz w:val="16"/>
                <w:szCs w:val="16"/>
              </w:rPr>
              <w:t>Name of n</w:t>
            </w:r>
            <w:r w:rsidRPr="009924C9">
              <w:rPr>
                <w:sz w:val="16"/>
                <w:szCs w:val="16"/>
              </w:rPr>
              <w:t xml:space="preserve">on-tariffed agreement </w:t>
            </w:r>
          </w:p>
        </w:tc>
        <w:tc>
          <w:tcPr>
            <w:tcW w:w="991" w:type="dxa"/>
          </w:tcPr>
          <w:p w:rsidR="00F97D54" w:rsidRPr="00551AAF" w:rsidRDefault="00F97D54" w:rsidP="00EB5B97">
            <w:pPr>
              <w:rPr>
                <w:sz w:val="16"/>
                <w:szCs w:val="16"/>
              </w:rPr>
            </w:pPr>
            <w:r>
              <w:rPr>
                <w:sz w:val="16"/>
                <w:szCs w:val="16"/>
              </w:rPr>
              <w:t>Text</w:t>
            </w:r>
          </w:p>
        </w:tc>
        <w:tc>
          <w:tcPr>
            <w:tcW w:w="1345" w:type="dxa"/>
          </w:tcPr>
          <w:p w:rsidR="00F97D54" w:rsidRPr="00551AAF" w:rsidRDefault="00F97D54" w:rsidP="00EB5B97">
            <w:pPr>
              <w:rPr>
                <w:sz w:val="16"/>
                <w:szCs w:val="16"/>
              </w:rPr>
            </w:pPr>
            <w:r>
              <w:rPr>
                <w:sz w:val="16"/>
                <w:szCs w:val="16"/>
              </w:rPr>
              <w:t>PBDS Agreement with Local Fiber Incorporated</w:t>
            </w:r>
          </w:p>
        </w:tc>
      </w:tr>
      <w:tr w:rsidR="00F97D54" w:rsidRPr="0063769F" w:rsidTr="00EB5B97">
        <w:trPr>
          <w:trHeight w:val="360"/>
        </w:trPr>
        <w:tc>
          <w:tcPr>
            <w:tcW w:w="2679" w:type="dxa"/>
          </w:tcPr>
          <w:p w:rsidR="00F97D54" w:rsidRDefault="00F97D54" w:rsidP="00EB5B97">
            <w:pPr>
              <w:rPr>
                <w:sz w:val="16"/>
                <w:szCs w:val="16"/>
              </w:rPr>
            </w:pPr>
            <w:r>
              <w:rPr>
                <w:sz w:val="16"/>
                <w:szCs w:val="16"/>
              </w:rPr>
              <w:t>Parties</w:t>
            </w:r>
          </w:p>
        </w:tc>
        <w:tc>
          <w:tcPr>
            <w:tcW w:w="3823" w:type="dxa"/>
          </w:tcPr>
          <w:p w:rsidR="00F97D54" w:rsidRPr="000A51DF" w:rsidRDefault="00F97D54" w:rsidP="00EB5B97">
            <w:pPr>
              <w:rPr>
                <w:sz w:val="16"/>
                <w:szCs w:val="16"/>
              </w:rPr>
            </w:pPr>
            <w:r>
              <w:rPr>
                <w:sz w:val="16"/>
                <w:szCs w:val="16"/>
              </w:rPr>
              <w:t xml:space="preserve">Parties to the agreement </w:t>
            </w:r>
          </w:p>
        </w:tc>
        <w:tc>
          <w:tcPr>
            <w:tcW w:w="991" w:type="dxa"/>
          </w:tcPr>
          <w:p w:rsidR="00F97D54" w:rsidRDefault="00F97D54" w:rsidP="00EB5B97">
            <w:pPr>
              <w:rPr>
                <w:sz w:val="16"/>
                <w:szCs w:val="16"/>
              </w:rPr>
            </w:pPr>
            <w:r>
              <w:rPr>
                <w:sz w:val="16"/>
                <w:szCs w:val="16"/>
              </w:rPr>
              <w:t>Text</w:t>
            </w:r>
          </w:p>
        </w:tc>
        <w:tc>
          <w:tcPr>
            <w:tcW w:w="1345" w:type="dxa"/>
          </w:tcPr>
          <w:p w:rsidR="00F97D54" w:rsidRDefault="00F97D54" w:rsidP="00EB5B97">
            <w:pPr>
              <w:rPr>
                <w:sz w:val="16"/>
                <w:szCs w:val="16"/>
              </w:rPr>
            </w:pPr>
            <w:r>
              <w:rPr>
                <w:sz w:val="16"/>
                <w:szCs w:val="16"/>
              </w:rPr>
              <w:t>ILEC Company and Local Fiber Inc.</w:t>
            </w:r>
          </w:p>
        </w:tc>
      </w:tr>
      <w:tr w:rsidR="00F97D54" w:rsidRPr="0063769F" w:rsidTr="00EB5B97">
        <w:trPr>
          <w:trHeight w:val="360"/>
        </w:trPr>
        <w:tc>
          <w:tcPr>
            <w:tcW w:w="2679" w:type="dxa"/>
          </w:tcPr>
          <w:p w:rsidR="00F97D54" w:rsidRDefault="00F97D54" w:rsidP="00EB5B97">
            <w:pPr>
              <w:rPr>
                <w:sz w:val="16"/>
                <w:szCs w:val="16"/>
              </w:rPr>
            </w:pPr>
            <w:r>
              <w:rPr>
                <w:sz w:val="16"/>
                <w:szCs w:val="16"/>
              </w:rPr>
              <w:t>Begin_Date</w:t>
            </w:r>
          </w:p>
        </w:tc>
        <w:tc>
          <w:tcPr>
            <w:tcW w:w="3823" w:type="dxa"/>
          </w:tcPr>
          <w:p w:rsidR="00F97D54" w:rsidRPr="000A51DF" w:rsidRDefault="00F97D54" w:rsidP="00EB5B97">
            <w:pPr>
              <w:rPr>
                <w:sz w:val="16"/>
                <w:szCs w:val="16"/>
              </w:rPr>
            </w:pPr>
            <w:r w:rsidRPr="000A51DF">
              <w:rPr>
                <w:sz w:val="16"/>
                <w:szCs w:val="16"/>
              </w:rPr>
              <w:t xml:space="preserve">The beginning date of the time period covered by the </w:t>
            </w:r>
            <w:r>
              <w:rPr>
                <w:sz w:val="16"/>
                <w:szCs w:val="16"/>
              </w:rPr>
              <w:t xml:space="preserve">agreement </w:t>
            </w:r>
          </w:p>
        </w:tc>
        <w:tc>
          <w:tcPr>
            <w:tcW w:w="991" w:type="dxa"/>
          </w:tcPr>
          <w:p w:rsidR="00F97D54" w:rsidRDefault="00F97D54" w:rsidP="00EB5B97">
            <w:pPr>
              <w:rPr>
                <w:sz w:val="16"/>
                <w:szCs w:val="16"/>
              </w:rPr>
            </w:pPr>
            <w:r>
              <w:rPr>
                <w:sz w:val="16"/>
                <w:szCs w:val="16"/>
              </w:rPr>
              <w:t>Date</w:t>
            </w:r>
          </w:p>
        </w:tc>
        <w:tc>
          <w:tcPr>
            <w:tcW w:w="1345" w:type="dxa"/>
          </w:tcPr>
          <w:p w:rsidR="00F97D54" w:rsidRDefault="00F97D54" w:rsidP="00EB5B97">
            <w:pPr>
              <w:rPr>
                <w:sz w:val="16"/>
                <w:szCs w:val="16"/>
              </w:rPr>
            </w:pPr>
            <w:r>
              <w:rPr>
                <w:sz w:val="16"/>
                <w:szCs w:val="16"/>
              </w:rPr>
              <w:t>1/15/10</w:t>
            </w:r>
          </w:p>
        </w:tc>
      </w:tr>
      <w:tr w:rsidR="00F97D54" w:rsidRPr="0063769F" w:rsidTr="00EB5B97">
        <w:trPr>
          <w:trHeight w:val="360"/>
        </w:trPr>
        <w:tc>
          <w:tcPr>
            <w:tcW w:w="2679" w:type="dxa"/>
          </w:tcPr>
          <w:p w:rsidR="00F97D54" w:rsidRDefault="00F97D54" w:rsidP="00EB5B97">
            <w:pPr>
              <w:rPr>
                <w:sz w:val="16"/>
                <w:szCs w:val="16"/>
              </w:rPr>
            </w:pPr>
            <w:r>
              <w:rPr>
                <w:sz w:val="16"/>
                <w:szCs w:val="16"/>
              </w:rPr>
              <w:t>End_Date</w:t>
            </w:r>
          </w:p>
        </w:tc>
        <w:tc>
          <w:tcPr>
            <w:tcW w:w="3823" w:type="dxa"/>
          </w:tcPr>
          <w:p w:rsidR="00F97D54" w:rsidRPr="000A51DF" w:rsidRDefault="00F97D54" w:rsidP="00EB5B97">
            <w:pPr>
              <w:rPr>
                <w:sz w:val="16"/>
                <w:szCs w:val="16"/>
              </w:rPr>
            </w:pPr>
            <w:r w:rsidRPr="000A51DF">
              <w:rPr>
                <w:sz w:val="16"/>
                <w:szCs w:val="16"/>
              </w:rPr>
              <w:t xml:space="preserve">The </w:t>
            </w:r>
            <w:r>
              <w:rPr>
                <w:sz w:val="16"/>
                <w:szCs w:val="16"/>
              </w:rPr>
              <w:t>ending</w:t>
            </w:r>
            <w:r w:rsidRPr="000A51DF">
              <w:rPr>
                <w:sz w:val="16"/>
                <w:szCs w:val="16"/>
              </w:rPr>
              <w:t xml:space="preserve"> date of the time period covered by the a</w:t>
            </w:r>
            <w:r>
              <w:rPr>
                <w:sz w:val="16"/>
                <w:szCs w:val="16"/>
              </w:rPr>
              <w:t xml:space="preserve">greement </w:t>
            </w:r>
          </w:p>
        </w:tc>
        <w:tc>
          <w:tcPr>
            <w:tcW w:w="991" w:type="dxa"/>
          </w:tcPr>
          <w:p w:rsidR="00F97D54" w:rsidRDefault="00F97D54" w:rsidP="00EB5B97">
            <w:pPr>
              <w:rPr>
                <w:sz w:val="16"/>
                <w:szCs w:val="16"/>
              </w:rPr>
            </w:pPr>
            <w:r>
              <w:rPr>
                <w:sz w:val="16"/>
                <w:szCs w:val="16"/>
              </w:rPr>
              <w:t>Date</w:t>
            </w:r>
          </w:p>
        </w:tc>
        <w:tc>
          <w:tcPr>
            <w:tcW w:w="1345" w:type="dxa"/>
          </w:tcPr>
          <w:p w:rsidR="00F97D54" w:rsidRDefault="00F97D54" w:rsidP="00EB5B97">
            <w:pPr>
              <w:rPr>
                <w:sz w:val="16"/>
                <w:szCs w:val="16"/>
              </w:rPr>
            </w:pPr>
            <w:r>
              <w:rPr>
                <w:sz w:val="16"/>
                <w:szCs w:val="16"/>
              </w:rPr>
              <w:t>12/31/12</w:t>
            </w:r>
          </w:p>
        </w:tc>
      </w:tr>
      <w:tr w:rsidR="00F97D54" w:rsidRPr="0063769F" w:rsidTr="00EB5B97">
        <w:trPr>
          <w:trHeight w:val="360"/>
        </w:trPr>
        <w:tc>
          <w:tcPr>
            <w:tcW w:w="2679" w:type="dxa"/>
            <w:tcBorders>
              <w:bottom w:val="double" w:sz="4" w:space="0" w:color="auto"/>
            </w:tcBorders>
          </w:tcPr>
          <w:p w:rsidR="00F97D54" w:rsidRDefault="00F97D54" w:rsidP="00EB5B97">
            <w:pPr>
              <w:rPr>
                <w:sz w:val="16"/>
                <w:szCs w:val="16"/>
              </w:rPr>
            </w:pPr>
            <w:r>
              <w:rPr>
                <w:sz w:val="16"/>
                <w:szCs w:val="16"/>
              </w:rPr>
              <w:t>Summary</w:t>
            </w:r>
          </w:p>
        </w:tc>
        <w:tc>
          <w:tcPr>
            <w:tcW w:w="3823" w:type="dxa"/>
            <w:tcBorders>
              <w:bottom w:val="double" w:sz="4" w:space="0" w:color="auto"/>
            </w:tcBorders>
          </w:tcPr>
          <w:p w:rsidR="00F97D54" w:rsidRDefault="00F97D54" w:rsidP="00EB5B97">
            <w:pPr>
              <w:rPr>
                <w:sz w:val="16"/>
                <w:szCs w:val="16"/>
              </w:rPr>
            </w:pPr>
            <w:r>
              <w:rPr>
                <w:sz w:val="16"/>
                <w:szCs w:val="16"/>
              </w:rPr>
              <w:t xml:space="preserve">Summary of relevant provisions </w:t>
            </w:r>
          </w:p>
        </w:tc>
        <w:tc>
          <w:tcPr>
            <w:tcW w:w="991" w:type="dxa"/>
            <w:tcBorders>
              <w:bottom w:val="double" w:sz="4" w:space="0" w:color="auto"/>
            </w:tcBorders>
          </w:tcPr>
          <w:p w:rsidR="00F97D54" w:rsidRDefault="00F97D54" w:rsidP="00EB5B97">
            <w:pPr>
              <w:rPr>
                <w:sz w:val="16"/>
                <w:szCs w:val="16"/>
              </w:rPr>
            </w:pPr>
            <w:r>
              <w:rPr>
                <w:sz w:val="16"/>
                <w:szCs w:val="16"/>
              </w:rPr>
              <w:t>Text</w:t>
            </w:r>
          </w:p>
        </w:tc>
        <w:tc>
          <w:tcPr>
            <w:tcW w:w="1345" w:type="dxa"/>
            <w:tcBorders>
              <w:bottom w:val="double" w:sz="4" w:space="0" w:color="auto"/>
            </w:tcBorders>
          </w:tcPr>
          <w:p w:rsidR="00F97D54" w:rsidRDefault="00F97D54" w:rsidP="00EB5B97">
            <w:pPr>
              <w:rPr>
                <w:sz w:val="16"/>
                <w:szCs w:val="16"/>
              </w:rPr>
            </w:pPr>
            <w:r>
              <w:rPr>
                <w:sz w:val="16"/>
                <w:szCs w:val="16"/>
              </w:rPr>
              <w:t xml:space="preserve">Requires the purchase of . . . </w:t>
            </w:r>
          </w:p>
        </w:tc>
      </w:tr>
    </w:tbl>
    <w:p w:rsidR="00F97D54" w:rsidRDefault="00F97D54" w:rsidP="00EB5B97"/>
    <w:p w:rsidR="00F97D54" w:rsidRDefault="00F97D54" w:rsidP="00EB5B97">
      <w:pPr>
        <w:tabs>
          <w:tab w:val="num" w:pos="1440"/>
        </w:tabs>
        <w:rPr>
          <w:b/>
        </w:rPr>
      </w:pPr>
    </w:p>
    <w:p w:rsidR="00F97D54" w:rsidRPr="001E4D6A" w:rsidRDefault="00F97D54" w:rsidP="001E4D6A">
      <w:pPr>
        <w:pStyle w:val="Heading3"/>
        <w:numPr>
          <w:ilvl w:val="0"/>
          <w:numId w:val="0"/>
        </w:numPr>
        <w:rPr>
          <w:b w:val="0"/>
          <w:u w:val="single"/>
        </w:rPr>
      </w:pPr>
      <w:bookmarkStart w:id="178" w:name="_Toc350777057"/>
      <w:bookmarkStart w:id="179" w:name="_Toc365972160"/>
      <w:r w:rsidRPr="00AB0A6B">
        <w:rPr>
          <w:b w:val="0"/>
          <w:caps/>
          <w:u w:val="single"/>
        </w:rPr>
        <w:t>Question Directed at Non-Providers, Non-Purchasers, and Other Entities Not Covered by the Data Collection</w:t>
      </w:r>
      <w:bookmarkEnd w:id="178"/>
      <w:bookmarkEnd w:id="179"/>
    </w:p>
    <w:p w:rsidR="00F97D54" w:rsidRDefault="00F97D54" w:rsidP="00EB5B97">
      <w:pPr>
        <w:tabs>
          <w:tab w:val="num" w:pos="1440"/>
        </w:tabs>
        <w:rPr>
          <w:caps/>
          <w:u w:val="single"/>
        </w:rPr>
      </w:pPr>
    </w:p>
    <w:p w:rsidR="00F97D54" w:rsidRPr="001E4D6A" w:rsidRDefault="00F97D54" w:rsidP="001E4D6A">
      <w:pPr>
        <w:pStyle w:val="Heading4"/>
        <w:numPr>
          <w:ilvl w:val="0"/>
          <w:numId w:val="0"/>
        </w:numPr>
        <w:rPr>
          <w:b w:val="0"/>
          <w:i/>
          <w:szCs w:val="22"/>
        </w:rPr>
      </w:pPr>
      <w:bookmarkStart w:id="180" w:name="_Toc365972161"/>
      <w:r w:rsidRPr="001E4D6A">
        <w:rPr>
          <w:b w:val="0"/>
          <w:i/>
        </w:rPr>
        <w:t>Question II.G.1:  Not Required to Submit Data</w:t>
      </w:r>
      <w:bookmarkEnd w:id="180"/>
      <w:r w:rsidRPr="001E4D6A">
        <w:rPr>
          <w:b w:val="0"/>
          <w:i/>
        </w:rPr>
        <w:t xml:space="preserve"> </w:t>
      </w:r>
    </w:p>
    <w:p w:rsidR="00F97D54" w:rsidRDefault="00F97D54" w:rsidP="00EB5B97">
      <w:r>
        <w:t xml:space="preserve">Entities that reported broadband connections to end users for 2012 in the FCC Form 477 are required to affirmatively indicate whether or not they are a </w:t>
      </w:r>
      <w:r w:rsidRPr="00F948BF">
        <w:rPr>
          <w:i/>
        </w:rPr>
        <w:t>Provider</w:t>
      </w:r>
      <w:r>
        <w:t xml:space="preserve">, a </w:t>
      </w:r>
      <w:r w:rsidRPr="00F948BF">
        <w:rPr>
          <w:i/>
        </w:rPr>
        <w:t>Purchaser</w:t>
      </w:r>
      <w:r>
        <w:t>, or an entity providing</w:t>
      </w:r>
      <w:r w:rsidRPr="00F948BF">
        <w:t xml:space="preserve"> </w:t>
      </w:r>
      <w:r w:rsidRPr="00F948BF">
        <w:rPr>
          <w:i/>
        </w:rPr>
        <w:t>Best Efforts Business Broadband Internet Access Services</w:t>
      </w:r>
      <w:r w:rsidRPr="00F948BF">
        <w:t xml:space="preserve"> to 15,000 or more customers or 1,500 or more business broadband customers in price cap areas</w:t>
      </w:r>
      <w:r>
        <w:t xml:space="preserve">.  If you are “none of the above,” then you must electronically submit a certification, stating as such, where indicated in the Special Access Web Portal. </w:t>
      </w:r>
    </w:p>
    <w:p w:rsidR="00F97D54" w:rsidRDefault="00F97D54" w:rsidP="00EB5B97">
      <w:pPr>
        <w:tabs>
          <w:tab w:val="num" w:pos="1440"/>
        </w:tabs>
        <w:rPr>
          <w:i/>
        </w:rPr>
        <w:sectPr w:rsidR="00F97D54" w:rsidSect="0083344C">
          <w:footnotePr>
            <w:numRestart w:val="eachSect"/>
          </w:footnotePr>
          <w:endnotePr>
            <w:numFmt w:val="decimal"/>
          </w:endnotePr>
          <w:pgSz w:w="12240" w:h="15840" w:code="1"/>
          <w:pgMar w:top="1440" w:right="1440" w:bottom="720" w:left="1440" w:header="720" w:footer="1008" w:gutter="0"/>
          <w:pgNumType w:start="1"/>
          <w:cols w:space="720"/>
          <w:noEndnote/>
          <w:docGrid w:linePitch="299"/>
        </w:sectPr>
      </w:pPr>
    </w:p>
    <w:p w:rsidR="00F97D54" w:rsidRDefault="00F97D54">
      <w:pPr>
        <w:jc w:val="center"/>
        <w:outlineLvl w:val="0"/>
        <w:rPr>
          <w:b/>
          <w:kern w:val="0"/>
          <w:szCs w:val="22"/>
        </w:rPr>
      </w:pPr>
      <w:r>
        <w:rPr>
          <w:b/>
          <w:kern w:val="0"/>
          <w:szCs w:val="22"/>
        </w:rPr>
        <w:t>APPENDIX B</w:t>
      </w:r>
    </w:p>
    <w:p w:rsidR="00F97D54" w:rsidRDefault="00F97D54">
      <w:pPr>
        <w:jc w:val="center"/>
        <w:outlineLvl w:val="0"/>
        <w:rPr>
          <w:b/>
          <w:kern w:val="0"/>
          <w:szCs w:val="22"/>
        </w:rPr>
      </w:pPr>
    </w:p>
    <w:p w:rsidR="00F97D54" w:rsidRDefault="00F97D54">
      <w:pPr>
        <w:jc w:val="center"/>
        <w:outlineLvl w:val="0"/>
        <w:rPr>
          <w:b/>
          <w:kern w:val="0"/>
          <w:szCs w:val="22"/>
        </w:rPr>
      </w:pPr>
      <w:r>
        <w:rPr>
          <w:b/>
          <w:kern w:val="0"/>
          <w:szCs w:val="22"/>
        </w:rPr>
        <w:t>Mandatory Data Collection</w:t>
      </w:r>
      <w:r>
        <w:rPr>
          <w:rStyle w:val="FootnoteReference"/>
          <w:b/>
          <w:kern w:val="0"/>
          <w:szCs w:val="22"/>
        </w:rPr>
        <w:footnoteReference w:id="208"/>
      </w:r>
    </w:p>
    <w:p w:rsidR="00F97D54" w:rsidRDefault="00F97D54">
      <w:pPr>
        <w:tabs>
          <w:tab w:val="left" w:pos="6066"/>
        </w:tabs>
        <w:outlineLvl w:val="0"/>
        <w:rPr>
          <w:b/>
          <w:kern w:val="0"/>
          <w:szCs w:val="22"/>
        </w:rPr>
      </w:pPr>
    </w:p>
    <w:p w:rsidR="00F97D54" w:rsidRDefault="00F97D54">
      <w:pPr>
        <w:outlineLvl w:val="0"/>
        <w:rPr>
          <w:rFonts w:ascii="Times New Roman Bold" w:hAnsi="Times New Roman Bold"/>
          <w:b/>
          <w:smallCaps/>
          <w:kern w:val="0"/>
          <w:szCs w:val="22"/>
        </w:rPr>
      </w:pPr>
      <w:r>
        <w:rPr>
          <w:b/>
          <w:kern w:val="0"/>
          <w:szCs w:val="22"/>
        </w:rPr>
        <w:t xml:space="preserve">I.  </w:t>
      </w:r>
      <w:r>
        <w:rPr>
          <w:rFonts w:ascii="Times New Roman Bold" w:hAnsi="Times New Roman Bold"/>
          <w:b/>
          <w:smallCaps/>
          <w:kern w:val="0"/>
          <w:szCs w:val="22"/>
        </w:rPr>
        <w:t>Definitions</w:t>
      </w:r>
    </w:p>
    <w:p w:rsidR="00F97D54" w:rsidRDefault="00F97D54">
      <w:pPr>
        <w:outlineLvl w:val="0"/>
        <w:rPr>
          <w:b/>
          <w:kern w:val="0"/>
          <w:szCs w:val="22"/>
        </w:rPr>
      </w:pPr>
    </w:p>
    <w:p w:rsidR="00F97D54" w:rsidRDefault="00F97D54">
      <w:pPr>
        <w:rPr>
          <w:kern w:val="0"/>
          <w:szCs w:val="22"/>
        </w:rPr>
      </w:pPr>
      <w:r>
        <w:rPr>
          <w:kern w:val="0"/>
          <w:szCs w:val="22"/>
        </w:rPr>
        <w:t>The following definitions apply for purposes of this collection only.  They are not intended to set or modify precedent outside the context of this collection.</w:t>
      </w:r>
    </w:p>
    <w:p w:rsidR="00F97D54" w:rsidRDefault="00F97D54">
      <w:pPr>
        <w:rPr>
          <w:kern w:val="0"/>
          <w:szCs w:val="22"/>
        </w:rPr>
      </w:pPr>
    </w:p>
    <w:p w:rsidR="00F97D54" w:rsidRDefault="00F97D54">
      <w:pPr>
        <w:rPr>
          <w:kern w:val="0"/>
          <w:szCs w:val="22"/>
        </w:rPr>
      </w:pPr>
      <w:r>
        <w:rPr>
          <w:i/>
          <w:kern w:val="0"/>
          <w:szCs w:val="22"/>
        </w:rPr>
        <w:t>Affiliated Company</w:t>
      </w:r>
      <w:r>
        <w:rPr>
          <w:kern w:val="0"/>
          <w:szCs w:val="22"/>
        </w:rPr>
        <w:t xml:space="preserve"> means a company, partnership, corporation, limited liability company, or other business entity that is affiliated with an entity that provides and/or purchases </w:t>
      </w:r>
      <w:r w:rsidRPr="00AC1F77">
        <w:rPr>
          <w:i/>
          <w:kern w:val="0"/>
          <w:szCs w:val="22"/>
        </w:rPr>
        <w:t>Dedicated Service</w:t>
      </w:r>
      <w:r>
        <w:rPr>
          <w:kern w:val="0"/>
          <w:szCs w:val="22"/>
        </w:rPr>
        <w:t xml:space="preserve">.  Two entities are affiliated if one of them, or an entity that controls one of them, directly or indirectly holds a greater than 10 percent ownership interest in, or controls, the other one.  </w:t>
      </w:r>
    </w:p>
    <w:p w:rsidR="00F97D54" w:rsidRDefault="00F97D54">
      <w:pPr>
        <w:rPr>
          <w:i/>
          <w:kern w:val="0"/>
          <w:szCs w:val="22"/>
        </w:rPr>
      </w:pPr>
    </w:p>
    <w:p w:rsidR="00F97D54" w:rsidRDefault="00F97D54">
      <w:pPr>
        <w:rPr>
          <w:kern w:val="0"/>
          <w:szCs w:val="22"/>
        </w:rPr>
      </w:pPr>
      <w:r>
        <w:rPr>
          <w:i/>
          <w:kern w:val="0"/>
          <w:szCs w:val="22"/>
        </w:rPr>
        <w:t>Best Efforts Business Broadband Internet Access Service</w:t>
      </w:r>
      <w:r>
        <w:rPr>
          <w:kern w:val="0"/>
          <w:szCs w:val="22"/>
        </w:rPr>
        <w:t xml:space="preserve"> means a best efforts Internet access data service with a minimum advertised bandwidth connection of at least 1.5 megabits per second (Mbps) in both directions (upstream/downstream) that is marketed to enterprise customers (including small, medium, and large businesses).  </w:t>
      </w:r>
      <w:r>
        <w:rPr>
          <w:kern w:val="0"/>
        </w:rPr>
        <w:t xml:space="preserve">For purposes of this data collection, </w:t>
      </w:r>
      <w:r>
        <w:rPr>
          <w:i/>
          <w:kern w:val="0"/>
        </w:rPr>
        <w:t>Best Efforts Business Broadband Internet Access Services</w:t>
      </w:r>
      <w:r>
        <w:rPr>
          <w:kern w:val="0"/>
        </w:rPr>
        <w:t xml:space="preserve"> do not include mobile wireless services, as that term is used in the </w:t>
      </w:r>
      <w:r>
        <w:rPr>
          <w:i/>
          <w:iCs/>
          <w:kern w:val="0"/>
        </w:rPr>
        <w:t>16th Annual Mobile Wireless Competition Report</w:t>
      </w:r>
      <w:r>
        <w:rPr>
          <w:iCs/>
          <w:kern w:val="0"/>
        </w:rPr>
        <w:t>.</w:t>
      </w:r>
      <w:r>
        <w:rPr>
          <w:iCs/>
          <w:kern w:val="0"/>
          <w:vertAlign w:val="superscript"/>
        </w:rPr>
        <w:footnoteReference w:id="209"/>
      </w:r>
      <w:r>
        <w:rPr>
          <w:kern w:val="0"/>
        </w:rPr>
        <w:t xml:space="preserve">  </w:t>
      </w:r>
    </w:p>
    <w:p w:rsidR="00F97D54" w:rsidRDefault="00F97D54">
      <w:pPr>
        <w:rPr>
          <w:i/>
          <w:kern w:val="0"/>
          <w:szCs w:val="22"/>
        </w:rPr>
      </w:pPr>
    </w:p>
    <w:p w:rsidR="00F97D54" w:rsidRDefault="00F97D54">
      <w:pPr>
        <w:rPr>
          <w:kern w:val="0"/>
          <w:szCs w:val="22"/>
        </w:rPr>
      </w:pPr>
      <w:r>
        <w:rPr>
          <w:i/>
          <w:iCs/>
          <w:kern w:val="0"/>
          <w:szCs w:val="22"/>
        </w:rPr>
        <w:t>Circuit-Based Dedicated Service</w:t>
      </w:r>
      <w:r>
        <w:rPr>
          <w:i/>
          <w:kern w:val="0"/>
          <w:szCs w:val="22"/>
        </w:rPr>
        <w:t xml:space="preserve"> (</w:t>
      </w:r>
      <w:r>
        <w:rPr>
          <w:i/>
          <w:iCs/>
          <w:kern w:val="0"/>
          <w:szCs w:val="22"/>
        </w:rPr>
        <w:t>CBDS</w:t>
      </w:r>
      <w:r>
        <w:rPr>
          <w:i/>
          <w:kern w:val="0"/>
          <w:szCs w:val="22"/>
        </w:rPr>
        <w:t>)</w:t>
      </w:r>
      <w:r>
        <w:rPr>
          <w:kern w:val="0"/>
          <w:szCs w:val="22"/>
        </w:rPr>
        <w:t xml:space="preserve"> means a </w:t>
      </w:r>
      <w:r>
        <w:rPr>
          <w:i/>
          <w:iCs/>
          <w:kern w:val="0"/>
          <w:szCs w:val="22"/>
        </w:rPr>
        <w:t>Dedicated Service</w:t>
      </w:r>
      <w:r>
        <w:rPr>
          <w:kern w:val="0"/>
          <w:szCs w:val="22"/>
        </w:rPr>
        <w:t xml:space="preserve"> that is circuit-based.  Examples of </w:t>
      </w:r>
      <w:r>
        <w:rPr>
          <w:i/>
          <w:kern w:val="0"/>
          <w:szCs w:val="22"/>
        </w:rPr>
        <w:t>CBDS</w:t>
      </w:r>
      <w:r>
        <w:rPr>
          <w:kern w:val="0"/>
          <w:szCs w:val="22"/>
        </w:rPr>
        <w:t xml:space="preserve"> include time-division multiplexing-based, </w:t>
      </w:r>
      <w:r>
        <w:rPr>
          <w:i/>
          <w:kern w:val="0"/>
          <w:szCs w:val="22"/>
        </w:rPr>
        <w:t>DS1</w:t>
      </w:r>
      <w:r>
        <w:rPr>
          <w:kern w:val="0"/>
          <w:szCs w:val="22"/>
        </w:rPr>
        <w:t xml:space="preserve"> and </w:t>
      </w:r>
      <w:r>
        <w:rPr>
          <w:i/>
          <w:kern w:val="0"/>
          <w:szCs w:val="22"/>
        </w:rPr>
        <w:t>DS3</w:t>
      </w:r>
      <w:r>
        <w:rPr>
          <w:kern w:val="0"/>
          <w:szCs w:val="22"/>
        </w:rPr>
        <w:t xml:space="preserve"> services. </w:t>
      </w:r>
    </w:p>
    <w:p w:rsidR="00F97D54" w:rsidRDefault="00F97D54">
      <w:pPr>
        <w:rPr>
          <w:i/>
          <w:kern w:val="0"/>
          <w:szCs w:val="22"/>
        </w:rPr>
      </w:pPr>
    </w:p>
    <w:p w:rsidR="00F97D54" w:rsidRDefault="00F97D54">
      <w:pPr>
        <w:rPr>
          <w:i/>
          <w:kern w:val="0"/>
          <w:szCs w:val="22"/>
        </w:rPr>
      </w:pPr>
      <w:r>
        <w:rPr>
          <w:i/>
          <w:kern w:val="0"/>
        </w:rPr>
        <w:t xml:space="preserve">Competitive Provider </w:t>
      </w:r>
      <w:r>
        <w:rPr>
          <w:kern w:val="0"/>
        </w:rPr>
        <w:t xml:space="preserve">means a competitive local exchange carrier (CLEC), interexchange carrier, cable operator, wireless provider or any other entity that is subject to the Commission’s jurisdiction under the Communications Act of 1934, as amended, and either provides a </w:t>
      </w:r>
      <w:r>
        <w:rPr>
          <w:i/>
          <w:kern w:val="0"/>
        </w:rPr>
        <w:t>Dedicated Service</w:t>
      </w:r>
      <w:r>
        <w:rPr>
          <w:kern w:val="0"/>
        </w:rPr>
        <w:t xml:space="preserve"> or provides a </w:t>
      </w:r>
      <w:r>
        <w:rPr>
          <w:i/>
          <w:kern w:val="0"/>
        </w:rPr>
        <w:t>Connection</w:t>
      </w:r>
      <w:r>
        <w:rPr>
          <w:kern w:val="0"/>
        </w:rPr>
        <w:t xml:space="preserve"> over which a </w:t>
      </w:r>
      <w:r>
        <w:rPr>
          <w:i/>
          <w:kern w:val="0"/>
        </w:rPr>
        <w:t>Dedicated Service</w:t>
      </w:r>
      <w:r>
        <w:rPr>
          <w:kern w:val="0"/>
        </w:rPr>
        <w:t xml:space="preserve"> could be provided</w:t>
      </w:r>
      <w:r>
        <w:rPr>
          <w:kern w:val="0"/>
          <w:szCs w:val="22"/>
        </w:rPr>
        <w:t>.</w:t>
      </w:r>
      <w:r>
        <w:rPr>
          <w:kern w:val="0"/>
        </w:rPr>
        <w:t xml:space="preserve">  A </w:t>
      </w:r>
      <w:r>
        <w:rPr>
          <w:i/>
          <w:iCs/>
          <w:kern w:val="0"/>
        </w:rPr>
        <w:t>Competitive Provider</w:t>
      </w:r>
      <w:r>
        <w:rPr>
          <w:kern w:val="0"/>
        </w:rPr>
        <w:t xml:space="preserve"> does not include an </w:t>
      </w:r>
      <w:r>
        <w:rPr>
          <w:i/>
          <w:iCs/>
          <w:kern w:val="0"/>
        </w:rPr>
        <w:t>ILEC</w:t>
      </w:r>
      <w:r>
        <w:rPr>
          <w:iCs/>
          <w:kern w:val="0"/>
        </w:rPr>
        <w:t xml:space="preserve"> </w:t>
      </w:r>
      <w:r>
        <w:rPr>
          <w:kern w:val="0"/>
        </w:rPr>
        <w:t xml:space="preserve">operating within its incumbent service territory.  </w:t>
      </w:r>
    </w:p>
    <w:p w:rsidR="00F97D54" w:rsidRDefault="00F97D54">
      <w:pPr>
        <w:rPr>
          <w:i/>
          <w:kern w:val="0"/>
          <w:szCs w:val="22"/>
        </w:rPr>
      </w:pPr>
    </w:p>
    <w:p w:rsidR="00F97D54" w:rsidRDefault="00F97D54">
      <w:pPr>
        <w:rPr>
          <w:i/>
          <w:kern w:val="0"/>
          <w:szCs w:val="22"/>
        </w:rPr>
      </w:pPr>
      <w:r>
        <w:rPr>
          <w:i/>
          <w:kern w:val="0"/>
          <w:szCs w:val="22"/>
        </w:rPr>
        <w:t xml:space="preserve">Connection </w:t>
      </w:r>
      <w:r>
        <w:rPr>
          <w:kern w:val="0"/>
          <w:szCs w:val="22"/>
        </w:rPr>
        <w:t xml:space="preserve">means </w:t>
      </w:r>
      <w:r>
        <w:rPr>
          <w:kern w:val="0"/>
        </w:rPr>
        <w:t xml:space="preserve">a wired “line” or wireless “channel” that provides a dedicated communication path between a </w:t>
      </w:r>
      <w:r>
        <w:rPr>
          <w:i/>
          <w:kern w:val="0"/>
        </w:rPr>
        <w:t>Location</w:t>
      </w:r>
      <w:r>
        <w:rPr>
          <w:kern w:val="0"/>
        </w:rPr>
        <w:t xml:space="preserve"> and the first </w:t>
      </w:r>
      <w:r>
        <w:rPr>
          <w:i/>
          <w:kern w:val="0"/>
        </w:rPr>
        <w:t>Node</w:t>
      </w:r>
      <w:r>
        <w:rPr>
          <w:kern w:val="0"/>
        </w:rPr>
        <w:t xml:space="preserve"> on a </w:t>
      </w:r>
      <w:r>
        <w:rPr>
          <w:i/>
          <w:kern w:val="0"/>
        </w:rPr>
        <w:t>Provider</w:t>
      </w:r>
      <w:r>
        <w:rPr>
          <w:kern w:val="0"/>
        </w:rPr>
        <w:t xml:space="preserve">’s network.  Multiple dedicated communication paths serving one or more </w:t>
      </w:r>
      <w:r>
        <w:rPr>
          <w:i/>
          <w:kern w:val="0"/>
        </w:rPr>
        <w:t>End Users</w:t>
      </w:r>
      <w:r>
        <w:rPr>
          <w:kern w:val="0"/>
        </w:rPr>
        <w:t xml:space="preserve"> at the same </w:t>
      </w:r>
      <w:r>
        <w:rPr>
          <w:i/>
          <w:kern w:val="0"/>
        </w:rPr>
        <w:t xml:space="preserve">Location </w:t>
      </w:r>
      <w:r>
        <w:rPr>
          <w:kern w:val="0"/>
        </w:rPr>
        <w:t xml:space="preserve">should be counted as a single </w:t>
      </w:r>
      <w:r>
        <w:rPr>
          <w:i/>
          <w:kern w:val="0"/>
        </w:rPr>
        <w:t>Connection</w:t>
      </w:r>
      <w:r>
        <w:rPr>
          <w:kern w:val="0"/>
        </w:rPr>
        <w:t xml:space="preserve">.  A </w:t>
      </w:r>
      <w:r>
        <w:rPr>
          <w:i/>
          <w:kern w:val="0"/>
        </w:rPr>
        <w:t>Connection</w:t>
      </w:r>
      <w:r>
        <w:rPr>
          <w:kern w:val="0"/>
        </w:rPr>
        <w:t xml:space="preserve"> may be a </w:t>
      </w:r>
      <w:r>
        <w:rPr>
          <w:i/>
          <w:kern w:val="0"/>
        </w:rPr>
        <w:t>UNE</w:t>
      </w:r>
      <w:r>
        <w:rPr>
          <w:kern w:val="0"/>
        </w:rPr>
        <w:t xml:space="preserve">, including an </w:t>
      </w:r>
      <w:r>
        <w:rPr>
          <w:i/>
          <w:kern w:val="0"/>
        </w:rPr>
        <w:t xml:space="preserve">Unbundled Copper Loop </w:t>
      </w:r>
      <w:r>
        <w:rPr>
          <w:kern w:val="0"/>
        </w:rPr>
        <w:t xml:space="preserve">if modified to provide a </w:t>
      </w:r>
      <w:r w:rsidRPr="00827F12">
        <w:rPr>
          <w:i/>
          <w:kern w:val="0"/>
        </w:rPr>
        <w:t>Dedicated Service</w:t>
      </w:r>
      <w:r>
        <w:rPr>
          <w:kern w:val="0"/>
        </w:rPr>
        <w:t xml:space="preserve">.  A </w:t>
      </w:r>
      <w:r>
        <w:rPr>
          <w:i/>
          <w:kern w:val="0"/>
        </w:rPr>
        <w:t>Connection</w:t>
      </w:r>
      <w:r>
        <w:rPr>
          <w:kern w:val="0"/>
        </w:rPr>
        <w:t xml:space="preserve"> must have the capability of being used to provide one or more </w:t>
      </w:r>
      <w:r>
        <w:rPr>
          <w:i/>
          <w:kern w:val="0"/>
        </w:rPr>
        <w:t>Dedicated Services</w:t>
      </w:r>
      <w:r>
        <w:rPr>
          <w:kern w:val="0"/>
        </w:rPr>
        <w:t xml:space="preserve">; however, a </w:t>
      </w:r>
      <w:r>
        <w:rPr>
          <w:i/>
          <w:kern w:val="0"/>
        </w:rPr>
        <w:t>Connection</w:t>
      </w:r>
      <w:r>
        <w:rPr>
          <w:kern w:val="0"/>
        </w:rPr>
        <w:t xml:space="preserve"> can be used to provide other services as well.  For example, a dedicated communication path that is currently being used to provide a mass market broadband service but has the capability to provide a </w:t>
      </w:r>
      <w:r>
        <w:rPr>
          <w:i/>
          <w:kern w:val="0"/>
        </w:rPr>
        <w:t>Dedicated Service</w:t>
      </w:r>
      <w:r>
        <w:rPr>
          <w:kern w:val="0"/>
        </w:rPr>
        <w:t xml:space="preserve"> is considered a </w:t>
      </w:r>
      <w:r>
        <w:rPr>
          <w:i/>
          <w:kern w:val="0"/>
        </w:rPr>
        <w:t>Connection</w:t>
      </w:r>
      <w:r>
        <w:rPr>
          <w:kern w:val="0"/>
        </w:rPr>
        <w:t xml:space="preserve"> for the purpose of this data collection.  </w:t>
      </w:r>
    </w:p>
    <w:p w:rsidR="00F97D54" w:rsidRDefault="00F97D54">
      <w:pPr>
        <w:rPr>
          <w:i/>
          <w:kern w:val="0"/>
          <w:szCs w:val="22"/>
        </w:rPr>
      </w:pPr>
    </w:p>
    <w:p w:rsidR="00F97D54" w:rsidRDefault="00F97D54" w:rsidP="0047272E">
      <w:pPr>
        <w:widowControl/>
        <w:rPr>
          <w:kern w:val="0"/>
          <w:szCs w:val="22"/>
        </w:rPr>
      </w:pPr>
      <w:r>
        <w:rPr>
          <w:i/>
          <w:kern w:val="0"/>
          <w:szCs w:val="22"/>
        </w:rPr>
        <w:t>Contract-Based Tariff</w:t>
      </w:r>
      <w:r>
        <w:rPr>
          <w:kern w:val="0"/>
          <w:szCs w:val="22"/>
        </w:rPr>
        <w:t xml:space="preserve"> means a </w:t>
      </w:r>
      <w:r>
        <w:rPr>
          <w:i/>
          <w:kern w:val="0"/>
          <w:szCs w:val="22"/>
        </w:rPr>
        <w:t>Tariff</w:t>
      </w:r>
      <w:r>
        <w:rPr>
          <w:kern w:val="0"/>
          <w:szCs w:val="22"/>
        </w:rPr>
        <w:t xml:space="preserve">, other than a </w:t>
      </w:r>
      <w:r>
        <w:rPr>
          <w:i/>
          <w:kern w:val="0"/>
          <w:szCs w:val="22"/>
        </w:rPr>
        <w:t>Tariff Plan</w:t>
      </w:r>
      <w:r>
        <w:rPr>
          <w:kern w:val="0"/>
          <w:szCs w:val="22"/>
        </w:rPr>
        <w:t xml:space="preserve">, that is based on a service contract entered into between a customer and an </w:t>
      </w:r>
      <w:r>
        <w:rPr>
          <w:i/>
          <w:kern w:val="0"/>
          <w:szCs w:val="22"/>
        </w:rPr>
        <w:t>ILEC</w:t>
      </w:r>
      <w:r>
        <w:rPr>
          <w:kern w:val="0"/>
          <w:szCs w:val="22"/>
        </w:rPr>
        <w:t xml:space="preserve"> which has obtained permission to offer contract-based tariff services pursuant to 47 C.F.R. § 69.701 </w:t>
      </w:r>
      <w:r>
        <w:rPr>
          <w:i/>
          <w:kern w:val="0"/>
          <w:szCs w:val="22"/>
        </w:rPr>
        <w:t>et seq</w:t>
      </w:r>
      <w:r>
        <w:rPr>
          <w:kern w:val="0"/>
          <w:szCs w:val="22"/>
        </w:rPr>
        <w:t xml:space="preserve">. of the Commission’s pricing flexibility rules or a comparable tariffed intrastate service contract between a customer and an </w:t>
      </w:r>
      <w:r>
        <w:rPr>
          <w:i/>
          <w:kern w:val="0"/>
          <w:szCs w:val="22"/>
        </w:rPr>
        <w:t>ILEC</w:t>
      </w:r>
      <w:r>
        <w:rPr>
          <w:kern w:val="0"/>
          <w:szCs w:val="22"/>
        </w:rPr>
        <w:t xml:space="preserve">.  </w:t>
      </w:r>
    </w:p>
    <w:p w:rsidR="00F97D54" w:rsidRDefault="00F97D54">
      <w:pPr>
        <w:rPr>
          <w:kern w:val="0"/>
          <w:szCs w:val="22"/>
        </w:rPr>
      </w:pPr>
    </w:p>
    <w:p w:rsidR="00F97D54" w:rsidRDefault="00F97D54" w:rsidP="00724B61">
      <w:pPr>
        <w:widowControl/>
        <w:rPr>
          <w:kern w:val="0"/>
          <w:szCs w:val="22"/>
        </w:rPr>
      </w:pPr>
      <w:r>
        <w:rPr>
          <w:i/>
          <w:kern w:val="0"/>
          <w:szCs w:val="22"/>
        </w:rPr>
        <w:t xml:space="preserve">Dedicated Service </w:t>
      </w:r>
      <w:r>
        <w:rPr>
          <w:kern w:val="0"/>
          <w:szCs w:val="22"/>
        </w:rPr>
        <w:t xml:space="preserve">transports data between two or more designated points, </w:t>
      </w:r>
      <w:r>
        <w:rPr>
          <w:i/>
          <w:kern w:val="0"/>
          <w:szCs w:val="22"/>
        </w:rPr>
        <w:t>e.g.</w:t>
      </w:r>
      <w:r>
        <w:rPr>
          <w:kern w:val="0"/>
          <w:szCs w:val="22"/>
        </w:rPr>
        <w:t xml:space="preserve">, between an </w:t>
      </w:r>
      <w:r>
        <w:rPr>
          <w:i/>
          <w:kern w:val="0"/>
          <w:szCs w:val="22"/>
        </w:rPr>
        <w:t>End User’s</w:t>
      </w:r>
      <w:r>
        <w:rPr>
          <w:kern w:val="0"/>
          <w:szCs w:val="22"/>
        </w:rPr>
        <w:t xml:space="preserve"> premises and a point-of-presence, between the central office of a local exchange carrier (LEC) and a point-of-presence, or between two </w:t>
      </w:r>
      <w:r>
        <w:rPr>
          <w:i/>
          <w:kern w:val="0"/>
          <w:szCs w:val="22"/>
        </w:rPr>
        <w:t>End User</w:t>
      </w:r>
      <w:r>
        <w:rPr>
          <w:kern w:val="0"/>
          <w:szCs w:val="22"/>
        </w:rPr>
        <w:t xml:space="preserve"> premises, at a rate of at least 1.5 Mbps </w:t>
      </w:r>
      <w:r>
        <w:t xml:space="preserve">in both directions (upstream/downstream) </w:t>
      </w:r>
      <w:r>
        <w:rPr>
          <w:kern w:val="0"/>
          <w:szCs w:val="22"/>
        </w:rPr>
        <w:t xml:space="preserve">with prescribed performance requirements that include bandwidth-, latency-, or error-rate guarantees or other parameters that define delivery under a </w:t>
      </w:r>
      <w:r>
        <w:rPr>
          <w:i/>
          <w:kern w:val="0"/>
          <w:szCs w:val="22"/>
        </w:rPr>
        <w:t>Tariff</w:t>
      </w:r>
      <w:r>
        <w:rPr>
          <w:kern w:val="0"/>
          <w:szCs w:val="22"/>
        </w:rPr>
        <w:t xml:space="preserve"> or in a service-level agreement.  </w:t>
      </w:r>
      <w:r>
        <w:rPr>
          <w:i/>
          <w:kern w:val="0"/>
          <w:szCs w:val="22"/>
        </w:rPr>
        <w:t xml:space="preserve">Dedicated Service </w:t>
      </w:r>
      <w:r>
        <w:rPr>
          <w:iCs/>
          <w:kern w:val="0"/>
        </w:rPr>
        <w:t xml:space="preserve">includes, but is not limited to, </w:t>
      </w:r>
      <w:r>
        <w:rPr>
          <w:i/>
          <w:iCs/>
          <w:kern w:val="0"/>
        </w:rPr>
        <w:t>CBDS</w:t>
      </w:r>
      <w:r>
        <w:rPr>
          <w:iCs/>
          <w:kern w:val="0"/>
        </w:rPr>
        <w:t xml:space="preserve"> and </w:t>
      </w:r>
      <w:r>
        <w:rPr>
          <w:i/>
          <w:iCs/>
          <w:kern w:val="0"/>
        </w:rPr>
        <w:t>PBDS</w:t>
      </w:r>
      <w:r>
        <w:rPr>
          <w:iCs/>
          <w:kern w:val="0"/>
        </w:rPr>
        <w:t xml:space="preserve">.  </w:t>
      </w:r>
      <w:r>
        <w:rPr>
          <w:kern w:val="0"/>
          <w:szCs w:val="22"/>
        </w:rPr>
        <w:t xml:space="preserve">For the purpose of this data collection, </w:t>
      </w:r>
      <w:r>
        <w:rPr>
          <w:i/>
          <w:kern w:val="0"/>
          <w:szCs w:val="22"/>
        </w:rPr>
        <w:t xml:space="preserve">Dedicated Service </w:t>
      </w:r>
      <w:r>
        <w:rPr>
          <w:kern w:val="0"/>
          <w:szCs w:val="22"/>
        </w:rPr>
        <w:t xml:space="preserve">does not include “best effort” services, </w:t>
      </w:r>
      <w:r>
        <w:rPr>
          <w:i/>
          <w:kern w:val="0"/>
          <w:szCs w:val="22"/>
        </w:rPr>
        <w:t>e.g.</w:t>
      </w:r>
      <w:r>
        <w:rPr>
          <w:kern w:val="0"/>
          <w:szCs w:val="22"/>
        </w:rPr>
        <w:t xml:space="preserve">, mass market broadband services such as DSL and cable modem broadband access.  </w:t>
      </w:r>
    </w:p>
    <w:p w:rsidR="00F97D54" w:rsidRDefault="00F97D54">
      <w:pPr>
        <w:rPr>
          <w:kern w:val="0"/>
          <w:szCs w:val="22"/>
        </w:rPr>
      </w:pPr>
    </w:p>
    <w:p w:rsidR="00F97D54" w:rsidRDefault="00F97D54">
      <w:pPr>
        <w:rPr>
          <w:kern w:val="0"/>
        </w:rPr>
      </w:pPr>
      <w:r>
        <w:rPr>
          <w:i/>
          <w:kern w:val="0"/>
        </w:rPr>
        <w:t>Disconnection</w:t>
      </w:r>
      <w:r>
        <w:rPr>
          <w:kern w:val="0"/>
        </w:rPr>
        <w:t xml:space="preserve"> means the process by which a </w:t>
      </w:r>
      <w:r>
        <w:rPr>
          <w:i/>
          <w:kern w:val="0"/>
        </w:rPr>
        <w:t>Provider</w:t>
      </w:r>
      <w:r>
        <w:rPr>
          <w:kern w:val="0"/>
        </w:rPr>
        <w:t xml:space="preserve">, per a customer request, terminates billing on one or more of a customer’s </w:t>
      </w:r>
      <w:r>
        <w:rPr>
          <w:i/>
          <w:kern w:val="0"/>
        </w:rPr>
        <w:t>Dedicated Service</w:t>
      </w:r>
      <w:r>
        <w:rPr>
          <w:kern w:val="0"/>
        </w:rPr>
        <w:t xml:space="preserve"> circuits.</w:t>
      </w:r>
    </w:p>
    <w:p w:rsidR="00F97D54" w:rsidRDefault="00F97D54">
      <w:pPr>
        <w:rPr>
          <w:i/>
          <w:kern w:val="0"/>
          <w:szCs w:val="22"/>
        </w:rPr>
      </w:pPr>
    </w:p>
    <w:p w:rsidR="00F97D54" w:rsidRDefault="00F97D54">
      <w:pPr>
        <w:rPr>
          <w:kern w:val="0"/>
          <w:szCs w:val="22"/>
        </w:rPr>
      </w:pPr>
      <w:r>
        <w:rPr>
          <w:i/>
          <w:kern w:val="0"/>
          <w:szCs w:val="22"/>
        </w:rPr>
        <w:t xml:space="preserve">DS1 </w:t>
      </w:r>
      <w:r>
        <w:rPr>
          <w:kern w:val="0"/>
          <w:szCs w:val="22"/>
        </w:rPr>
        <w:t xml:space="preserve">and </w:t>
      </w:r>
      <w:r>
        <w:rPr>
          <w:i/>
          <w:kern w:val="0"/>
          <w:szCs w:val="22"/>
        </w:rPr>
        <w:t>DS3</w:t>
      </w:r>
      <w:r>
        <w:rPr>
          <w:kern w:val="0"/>
          <w:szCs w:val="22"/>
        </w:rPr>
        <w:t>,</w:t>
      </w:r>
      <w:r>
        <w:rPr>
          <w:i/>
          <w:kern w:val="0"/>
          <w:szCs w:val="22"/>
        </w:rPr>
        <w:t xml:space="preserve"> </w:t>
      </w:r>
      <w:r>
        <w:rPr>
          <w:kern w:val="0"/>
          <w:szCs w:val="22"/>
        </w:rPr>
        <w:t xml:space="preserve">except where specified, refer to DS1s and DS3s that are not </w:t>
      </w:r>
      <w:r>
        <w:rPr>
          <w:i/>
          <w:kern w:val="0"/>
          <w:szCs w:val="22"/>
        </w:rPr>
        <w:t>UNEs</w:t>
      </w:r>
      <w:r>
        <w:rPr>
          <w:kern w:val="0"/>
          <w:szCs w:val="22"/>
        </w:rPr>
        <w:t>.</w:t>
      </w:r>
      <w:r>
        <w:rPr>
          <w:kern w:val="0"/>
          <w:szCs w:val="22"/>
          <w:vertAlign w:val="superscript"/>
        </w:rPr>
        <w:footnoteReference w:id="210"/>
      </w:r>
      <w:r>
        <w:rPr>
          <w:kern w:val="0"/>
          <w:szCs w:val="22"/>
        </w:rPr>
        <w:t xml:space="preserve">  </w:t>
      </w:r>
      <w:r>
        <w:rPr>
          <w:i/>
          <w:kern w:val="0"/>
          <w:szCs w:val="22"/>
        </w:rPr>
        <w:t>DS1s</w:t>
      </w:r>
      <w:r>
        <w:rPr>
          <w:kern w:val="0"/>
          <w:szCs w:val="22"/>
        </w:rPr>
        <w:t xml:space="preserve"> and </w:t>
      </w:r>
      <w:r>
        <w:rPr>
          <w:i/>
          <w:kern w:val="0"/>
          <w:szCs w:val="22"/>
        </w:rPr>
        <w:t>DS3s</w:t>
      </w:r>
      <w:r>
        <w:rPr>
          <w:kern w:val="0"/>
          <w:szCs w:val="22"/>
        </w:rPr>
        <w:t xml:space="preserve"> are </w:t>
      </w:r>
      <w:r>
        <w:rPr>
          <w:i/>
          <w:kern w:val="0"/>
          <w:szCs w:val="22"/>
        </w:rPr>
        <w:t>Dedicated Services</w:t>
      </w:r>
      <w:r>
        <w:rPr>
          <w:kern w:val="0"/>
          <w:szCs w:val="22"/>
        </w:rPr>
        <w:t>.</w:t>
      </w:r>
    </w:p>
    <w:p w:rsidR="00F97D54" w:rsidRDefault="00F97D54">
      <w:pPr>
        <w:rPr>
          <w:i/>
          <w:kern w:val="0"/>
          <w:szCs w:val="22"/>
        </w:rPr>
      </w:pPr>
    </w:p>
    <w:p w:rsidR="00F97D54" w:rsidRDefault="00F97D54">
      <w:pPr>
        <w:autoSpaceDE w:val="0"/>
        <w:autoSpaceDN w:val="0"/>
        <w:adjustRightInd w:val="0"/>
        <w:rPr>
          <w:kern w:val="0"/>
        </w:rPr>
      </w:pPr>
      <w:r>
        <w:rPr>
          <w:i/>
          <w:kern w:val="0"/>
        </w:rPr>
        <w:t>End User</w:t>
      </w:r>
      <w:r>
        <w:rPr>
          <w:kern w:val="0"/>
        </w:rPr>
        <w:t xml:space="preserve"> means a business, institutional, or government entity that purchases a communications service </w:t>
      </w:r>
      <w:r>
        <w:rPr>
          <w:kern w:val="0"/>
          <w:szCs w:val="22"/>
        </w:rPr>
        <w:t>for its own purposes and does not resell such service</w:t>
      </w:r>
      <w:r>
        <w:rPr>
          <w:kern w:val="0"/>
        </w:rPr>
        <w:t xml:space="preserve">.  A mobile wireless service provider is considered an </w:t>
      </w:r>
      <w:r>
        <w:rPr>
          <w:i/>
          <w:kern w:val="0"/>
        </w:rPr>
        <w:t>End User</w:t>
      </w:r>
      <w:r>
        <w:rPr>
          <w:kern w:val="0"/>
        </w:rPr>
        <w:t xml:space="preserve"> when it purchases communications services to make connections within its own network, </w:t>
      </w:r>
      <w:r>
        <w:rPr>
          <w:i/>
          <w:kern w:val="0"/>
        </w:rPr>
        <w:t>e.g.</w:t>
      </w:r>
      <w:r>
        <w:rPr>
          <w:kern w:val="0"/>
        </w:rPr>
        <w:t xml:space="preserve">, backhaul to a cell site.  </w:t>
      </w:r>
    </w:p>
    <w:p w:rsidR="00F97D54" w:rsidRDefault="00F97D54">
      <w:pPr>
        <w:autoSpaceDE w:val="0"/>
        <w:autoSpaceDN w:val="0"/>
        <w:adjustRightInd w:val="0"/>
        <w:rPr>
          <w:kern w:val="0"/>
        </w:rPr>
      </w:pPr>
    </w:p>
    <w:p w:rsidR="00F97D54" w:rsidRDefault="00F97D54">
      <w:pPr>
        <w:autoSpaceDE w:val="0"/>
        <w:autoSpaceDN w:val="0"/>
        <w:adjustRightInd w:val="0"/>
        <w:rPr>
          <w:kern w:val="0"/>
        </w:rPr>
      </w:pPr>
      <w:r>
        <w:rPr>
          <w:i/>
          <w:kern w:val="0"/>
        </w:rPr>
        <w:t xml:space="preserve">End User Channel Termination </w:t>
      </w:r>
      <w:r>
        <w:rPr>
          <w:kern w:val="0"/>
        </w:rPr>
        <w:t xml:space="preserve">means, as defined in </w:t>
      </w:r>
      <w:r>
        <w:rPr>
          <w:kern w:val="0"/>
          <w:szCs w:val="22"/>
        </w:rPr>
        <w:t>47 C.F.R. § 69.703(a)(2),</w:t>
      </w:r>
      <w:r>
        <w:rPr>
          <w:kern w:val="0"/>
        </w:rPr>
        <w:t xml:space="preserve"> a dedicated channel connecting a LEC end office and a customer premises, offered for purposes of carrying special access traffic.  </w:t>
      </w:r>
    </w:p>
    <w:p w:rsidR="00F97D54" w:rsidRDefault="00F97D54">
      <w:pPr>
        <w:autoSpaceDE w:val="0"/>
        <w:autoSpaceDN w:val="0"/>
        <w:adjustRightInd w:val="0"/>
        <w:rPr>
          <w:i/>
          <w:kern w:val="0"/>
          <w:szCs w:val="22"/>
        </w:rPr>
      </w:pPr>
    </w:p>
    <w:p w:rsidR="00F97D54" w:rsidRDefault="00F97D54">
      <w:pPr>
        <w:autoSpaceDE w:val="0"/>
        <w:autoSpaceDN w:val="0"/>
        <w:adjustRightInd w:val="0"/>
        <w:rPr>
          <w:kern w:val="0"/>
          <w:szCs w:val="22"/>
        </w:rPr>
      </w:pPr>
      <w:r>
        <w:rPr>
          <w:i/>
          <w:kern w:val="0"/>
          <w:szCs w:val="22"/>
        </w:rPr>
        <w:t>Incumbent Local Exchange Carrier (ILEC)</w:t>
      </w:r>
      <w:r>
        <w:rPr>
          <w:kern w:val="0"/>
          <w:szCs w:val="22"/>
        </w:rPr>
        <w:t xml:space="preserve"> means, for the purpose of this data collection, a LEC that provides a </w:t>
      </w:r>
      <w:r>
        <w:rPr>
          <w:i/>
          <w:kern w:val="0"/>
          <w:szCs w:val="22"/>
        </w:rPr>
        <w:t>Dedicated Service</w:t>
      </w:r>
      <w:r>
        <w:rPr>
          <w:kern w:val="0"/>
          <w:szCs w:val="22"/>
        </w:rPr>
        <w:t xml:space="preserve"> in study areas where it is subject to price cap regulation under sections 61.41-61.49 of the Commission’s rules, 47 C.F.R. §§ 64.41-61.49.</w:t>
      </w:r>
    </w:p>
    <w:p w:rsidR="00F97D54" w:rsidRDefault="00F97D54">
      <w:pPr>
        <w:autoSpaceDE w:val="0"/>
        <w:autoSpaceDN w:val="0"/>
        <w:adjustRightInd w:val="0"/>
        <w:rPr>
          <w:kern w:val="0"/>
          <w:szCs w:val="22"/>
        </w:rPr>
      </w:pPr>
    </w:p>
    <w:p w:rsidR="00F97D54" w:rsidRPr="00516321" w:rsidRDefault="00F97D54" w:rsidP="0083344C">
      <w:pPr>
        <w:widowControl/>
        <w:rPr>
          <w:kern w:val="0"/>
        </w:rPr>
      </w:pPr>
      <w:r>
        <w:rPr>
          <w:i/>
          <w:kern w:val="0"/>
        </w:rPr>
        <w:t>Indefeasible Right of Use (IRU)</w:t>
      </w:r>
      <w:r>
        <w:rPr>
          <w:kern w:val="0"/>
        </w:rPr>
        <w:t xml:space="preserve"> means an indefeasible l</w:t>
      </w:r>
      <w:r>
        <w:rPr>
          <w:color w:val="000000"/>
          <w:kern w:val="0"/>
        </w:rPr>
        <w:t>ong-term leasehold interest for a minimum total duration of ten years that gives the grantee the right to access and exclusively use specified strands of fiber or allocated bandwidth to provide a service as determined by the grantee.</w:t>
      </w:r>
      <w:r>
        <w:rPr>
          <w:color w:val="000000"/>
          <w:kern w:val="0"/>
          <w:vertAlign w:val="superscript"/>
        </w:rPr>
        <w:footnoteReference w:id="211"/>
      </w:r>
      <w:r>
        <w:rPr>
          <w:color w:val="000000"/>
          <w:kern w:val="0"/>
        </w:rPr>
        <w:t xml:space="preserve">  An </w:t>
      </w:r>
      <w:r>
        <w:rPr>
          <w:i/>
          <w:color w:val="000000"/>
          <w:kern w:val="0"/>
        </w:rPr>
        <w:t>IRU</w:t>
      </w:r>
      <w:r>
        <w:rPr>
          <w:color w:val="000000"/>
          <w:kern w:val="0"/>
        </w:rPr>
        <w:t xml:space="preserve"> confers on the grantee substantially all of the risks and rewards of ownership.  </w:t>
      </w:r>
      <w:r>
        <w:rPr>
          <w:i/>
          <w:color w:val="000000"/>
          <w:kern w:val="0"/>
        </w:rPr>
        <w:t>IRUs</w:t>
      </w:r>
      <w:r>
        <w:rPr>
          <w:color w:val="000000"/>
          <w:kern w:val="0"/>
        </w:rPr>
        <w:t xml:space="preserve"> typically include the following elements:  (i) payment of a substantial fee up front to enter into the </w:t>
      </w:r>
      <w:r>
        <w:rPr>
          <w:i/>
          <w:color w:val="000000"/>
          <w:kern w:val="0"/>
        </w:rPr>
        <w:t>IRU</w:t>
      </w:r>
      <w:r>
        <w:rPr>
          <w:color w:val="000000"/>
          <w:kern w:val="0"/>
        </w:rPr>
        <w:t xml:space="preserve"> contract;</w:t>
      </w:r>
      <w:r>
        <w:rPr>
          <w:color w:val="000000"/>
          <w:kern w:val="0"/>
          <w:vertAlign w:val="superscript"/>
        </w:rPr>
        <w:footnoteReference w:id="212"/>
      </w:r>
      <w:r>
        <w:rPr>
          <w:color w:val="000000"/>
          <w:kern w:val="0"/>
        </w:rPr>
        <w:t xml:space="preserve"> (ii) conveyance of tax obligations commensurate with the risks and rewards of ownership to the grantee (</w:t>
      </w:r>
      <w:r>
        <w:rPr>
          <w:i/>
          <w:color w:val="000000"/>
          <w:kern w:val="0"/>
        </w:rPr>
        <w:t xml:space="preserve">e.g. </w:t>
      </w:r>
      <w:r>
        <w:rPr>
          <w:color w:val="000000"/>
          <w:kern w:val="0"/>
        </w:rPr>
        <w:t xml:space="preserve">as opposed to the lesser tax burdens associated with other forms of leases); (iii) terms for payment to the grantor for ancillary services, such as maintenance fees; (iv) all additional rights and interests necessary to enable the </w:t>
      </w:r>
      <w:r>
        <w:rPr>
          <w:i/>
          <w:color w:val="000000"/>
          <w:kern w:val="0"/>
        </w:rPr>
        <w:t>IRU</w:t>
      </w:r>
      <w:r>
        <w:rPr>
          <w:color w:val="000000"/>
          <w:kern w:val="0"/>
        </w:rPr>
        <w:t xml:space="preserve"> to be used by the grantee in the manner agreed to; and (v) no unreasonable limit on the right of the grantee to use the asset as it wishes (</w:t>
      </w:r>
      <w:r>
        <w:rPr>
          <w:i/>
          <w:color w:val="000000"/>
          <w:kern w:val="0"/>
        </w:rPr>
        <w:t>e.g</w:t>
      </w:r>
      <w:r>
        <w:rPr>
          <w:color w:val="000000"/>
          <w:kern w:val="0"/>
        </w:rPr>
        <w:t xml:space="preserve">., the grantee shall be permitted to splice into the </w:t>
      </w:r>
      <w:r>
        <w:rPr>
          <w:i/>
          <w:color w:val="000000"/>
          <w:kern w:val="0"/>
        </w:rPr>
        <w:t>IRU</w:t>
      </w:r>
      <w:r>
        <w:rPr>
          <w:color w:val="000000"/>
          <w:kern w:val="0"/>
        </w:rPr>
        <w:t xml:space="preserve"> fiber, though such splice points must be mutually agreed upon by grantor and the grantee of the </w:t>
      </w:r>
      <w:r>
        <w:rPr>
          <w:i/>
          <w:color w:val="000000"/>
          <w:kern w:val="0"/>
        </w:rPr>
        <w:t>IRU</w:t>
      </w:r>
      <w:r>
        <w:rPr>
          <w:color w:val="000000"/>
          <w:kern w:val="0"/>
        </w:rPr>
        <w:t xml:space="preserve">). </w:t>
      </w:r>
    </w:p>
    <w:p w:rsidR="00F97D54" w:rsidRDefault="00F97D54">
      <w:pPr>
        <w:rPr>
          <w:i/>
          <w:kern w:val="0"/>
        </w:rPr>
      </w:pPr>
    </w:p>
    <w:p w:rsidR="00F97D54" w:rsidRDefault="00F97D54">
      <w:pPr>
        <w:rPr>
          <w:b/>
          <w:kern w:val="0"/>
        </w:rPr>
      </w:pPr>
      <w:r>
        <w:rPr>
          <w:i/>
          <w:kern w:val="0"/>
        </w:rPr>
        <w:t>Location</w:t>
      </w:r>
      <w:r>
        <w:rPr>
          <w:kern w:val="0"/>
        </w:rPr>
        <w:t xml:space="preserve"> means a building, other man-made structure, a cell site on a building, a free-standing cell site, or a cell site on some other man-made structure where the </w:t>
      </w:r>
      <w:r>
        <w:rPr>
          <w:i/>
          <w:kern w:val="0"/>
        </w:rPr>
        <w:t>End User</w:t>
      </w:r>
      <w:r>
        <w:rPr>
          <w:kern w:val="0"/>
        </w:rPr>
        <w:t xml:space="preserve"> is connected.  A </w:t>
      </w:r>
      <w:r>
        <w:rPr>
          <w:i/>
          <w:kern w:val="0"/>
        </w:rPr>
        <w:t>Node</w:t>
      </w:r>
      <w:r>
        <w:rPr>
          <w:kern w:val="0"/>
        </w:rPr>
        <w:t xml:space="preserve"> is not a </w:t>
      </w:r>
      <w:r>
        <w:rPr>
          <w:i/>
          <w:kern w:val="0"/>
        </w:rPr>
        <w:t>Location</w:t>
      </w:r>
      <w:r>
        <w:rPr>
          <w:kern w:val="0"/>
        </w:rPr>
        <w:t>.</w:t>
      </w:r>
      <w:r>
        <w:rPr>
          <w:b/>
          <w:kern w:val="0"/>
        </w:rPr>
        <w:t xml:space="preserve">  </w:t>
      </w:r>
      <w:r>
        <w:rPr>
          <w:kern w:val="0"/>
        </w:rPr>
        <w:t xml:space="preserve">For the purposes of this data collection, cell sites are to be treated as </w:t>
      </w:r>
      <w:r>
        <w:rPr>
          <w:i/>
          <w:kern w:val="0"/>
        </w:rPr>
        <w:t>Locations</w:t>
      </w:r>
      <w:r>
        <w:rPr>
          <w:kern w:val="0"/>
        </w:rPr>
        <w:t xml:space="preserve"> and not as </w:t>
      </w:r>
      <w:r>
        <w:rPr>
          <w:i/>
          <w:kern w:val="0"/>
        </w:rPr>
        <w:t>Nodes</w:t>
      </w:r>
      <w:r>
        <w:rPr>
          <w:kern w:val="0"/>
        </w:rPr>
        <w:t xml:space="preserve">.  </w:t>
      </w:r>
    </w:p>
    <w:p w:rsidR="00F97D54" w:rsidRDefault="00F97D54">
      <w:pPr>
        <w:rPr>
          <w:kern w:val="0"/>
        </w:rPr>
      </w:pPr>
    </w:p>
    <w:p w:rsidR="00F97D54" w:rsidRDefault="00F97D54">
      <w:pPr>
        <w:rPr>
          <w:kern w:val="0"/>
          <w:szCs w:val="22"/>
        </w:rPr>
      </w:pPr>
      <w:r>
        <w:rPr>
          <w:i/>
          <w:kern w:val="0"/>
          <w:szCs w:val="22"/>
        </w:rPr>
        <w:t xml:space="preserve">Metropolitan Statistical Area (MSA) </w:t>
      </w:r>
      <w:r>
        <w:rPr>
          <w:kern w:val="0"/>
          <w:szCs w:val="22"/>
        </w:rPr>
        <w:t>is a geographic area as defined by 47 C.F.R. §§ 22.909(a), 69.703(b).</w:t>
      </w:r>
      <w:r>
        <w:rPr>
          <w:i/>
          <w:kern w:val="0"/>
          <w:szCs w:val="22"/>
        </w:rPr>
        <w:t xml:space="preserve"> </w:t>
      </w:r>
    </w:p>
    <w:p w:rsidR="00F97D54" w:rsidRDefault="00F97D54">
      <w:pPr>
        <w:rPr>
          <w:kern w:val="0"/>
          <w:szCs w:val="22"/>
        </w:rPr>
      </w:pPr>
    </w:p>
    <w:p w:rsidR="00F97D54" w:rsidRDefault="00F97D54">
      <w:pPr>
        <w:outlineLvl w:val="0"/>
        <w:rPr>
          <w:kern w:val="0"/>
          <w:szCs w:val="22"/>
        </w:rPr>
      </w:pPr>
      <w:r>
        <w:rPr>
          <w:i/>
          <w:kern w:val="0"/>
          <w:szCs w:val="22"/>
        </w:rPr>
        <w:t>N</w:t>
      </w:r>
      <w:r>
        <w:rPr>
          <w:bCs/>
          <w:i/>
          <w:kern w:val="0"/>
          <w:szCs w:val="22"/>
        </w:rPr>
        <w:t>ode</w:t>
      </w:r>
      <w:r>
        <w:rPr>
          <w:kern w:val="0"/>
          <w:szCs w:val="22"/>
        </w:rPr>
        <w:t xml:space="preserve"> </w:t>
      </w:r>
      <w:r>
        <w:rPr>
          <w:color w:val="000000"/>
          <w:kern w:val="0"/>
        </w:rPr>
        <w:t xml:space="preserve">is an aggregation point, a branch point, or a point of interconnection on a </w:t>
      </w:r>
      <w:r>
        <w:rPr>
          <w:i/>
          <w:iCs/>
          <w:color w:val="000000"/>
          <w:kern w:val="0"/>
        </w:rPr>
        <w:t>Provider</w:t>
      </w:r>
      <w:r>
        <w:rPr>
          <w:color w:val="000000"/>
          <w:kern w:val="0"/>
        </w:rPr>
        <w:t xml:space="preserve">’s network, including a point of interconnection to other </w:t>
      </w:r>
      <w:r>
        <w:rPr>
          <w:i/>
          <w:iCs/>
          <w:color w:val="000000"/>
          <w:kern w:val="0"/>
        </w:rPr>
        <w:t>Provider</w:t>
      </w:r>
      <w:r>
        <w:rPr>
          <w:color w:val="000000"/>
          <w:kern w:val="0"/>
        </w:rPr>
        <w:t xml:space="preserve"> networks.  Examples include LEC central offices, remote terminal locations, </w:t>
      </w:r>
      <w:r>
        <w:rPr>
          <w:bCs/>
          <w:color w:val="000000"/>
          <w:kern w:val="0"/>
        </w:rPr>
        <w:t>splice points (including, for example, at manholes),</w:t>
      </w:r>
      <w:r>
        <w:rPr>
          <w:color w:val="000000"/>
          <w:kern w:val="0"/>
        </w:rPr>
        <w:t xml:space="preserve"> controlled environmental vaults, cable system headends, cable modem termination system (CMTS) locations, and facility hubs.</w:t>
      </w:r>
    </w:p>
    <w:p w:rsidR="00F97D54" w:rsidRDefault="00F97D54">
      <w:pPr>
        <w:outlineLvl w:val="0"/>
        <w:rPr>
          <w:i/>
          <w:kern w:val="0"/>
          <w:szCs w:val="22"/>
        </w:rPr>
      </w:pPr>
    </w:p>
    <w:p w:rsidR="00F97D54" w:rsidRDefault="00F97D54">
      <w:pPr>
        <w:outlineLvl w:val="0"/>
        <w:rPr>
          <w:i/>
          <w:kern w:val="0"/>
          <w:szCs w:val="22"/>
        </w:rPr>
      </w:pPr>
      <w:r>
        <w:rPr>
          <w:i/>
          <w:kern w:val="0"/>
          <w:szCs w:val="22"/>
        </w:rPr>
        <w:t xml:space="preserve">Non-MSA </w:t>
      </w:r>
      <w:r>
        <w:rPr>
          <w:kern w:val="0"/>
          <w:szCs w:val="22"/>
        </w:rPr>
        <w:t xml:space="preserve">is the portion of an </w:t>
      </w:r>
      <w:r>
        <w:rPr>
          <w:i/>
          <w:kern w:val="0"/>
          <w:szCs w:val="22"/>
        </w:rPr>
        <w:t>ILEC’s</w:t>
      </w:r>
      <w:r>
        <w:rPr>
          <w:kern w:val="0"/>
          <w:szCs w:val="22"/>
        </w:rPr>
        <w:t xml:space="preserve"> study area that falls outside the boundaries of an </w:t>
      </w:r>
      <w:r>
        <w:rPr>
          <w:i/>
          <w:kern w:val="0"/>
          <w:szCs w:val="22"/>
        </w:rPr>
        <w:t>MSA</w:t>
      </w:r>
      <w:r>
        <w:rPr>
          <w:kern w:val="0"/>
          <w:szCs w:val="22"/>
        </w:rPr>
        <w:t>.</w:t>
      </w:r>
      <w:r>
        <w:rPr>
          <w:kern w:val="0"/>
          <w:szCs w:val="22"/>
          <w:vertAlign w:val="superscript"/>
        </w:rPr>
        <w:footnoteReference w:id="213"/>
      </w:r>
      <w:r>
        <w:rPr>
          <w:kern w:val="0"/>
          <w:szCs w:val="22"/>
        </w:rPr>
        <w:t xml:space="preserve">  </w:t>
      </w:r>
      <w:r>
        <w:rPr>
          <w:i/>
          <w:kern w:val="0"/>
          <w:szCs w:val="22"/>
        </w:rPr>
        <w:t xml:space="preserve"> </w:t>
      </w:r>
    </w:p>
    <w:p w:rsidR="00F97D54" w:rsidRDefault="00F97D54">
      <w:pPr>
        <w:rPr>
          <w:i/>
          <w:kern w:val="0"/>
          <w:szCs w:val="22"/>
        </w:rPr>
      </w:pPr>
    </w:p>
    <w:p w:rsidR="00F97D54" w:rsidRDefault="00F97D54">
      <w:pPr>
        <w:rPr>
          <w:kern w:val="0"/>
          <w:szCs w:val="22"/>
        </w:rPr>
      </w:pPr>
      <w:r>
        <w:rPr>
          <w:i/>
          <w:kern w:val="0"/>
          <w:szCs w:val="22"/>
        </w:rPr>
        <w:t xml:space="preserve">Non-Rate Benefit </w:t>
      </w:r>
      <w:r>
        <w:rPr>
          <w:kern w:val="0"/>
          <w:szCs w:val="22"/>
        </w:rPr>
        <w:t xml:space="preserve">means a benefit to the customer other than a discount on the </w:t>
      </w:r>
      <w:r>
        <w:rPr>
          <w:i/>
          <w:kern w:val="0"/>
          <w:szCs w:val="22"/>
        </w:rPr>
        <w:t>One Month Term Only Rate</w:t>
      </w:r>
      <w:r>
        <w:rPr>
          <w:kern w:val="0"/>
          <w:szCs w:val="22"/>
        </w:rPr>
        <w:t xml:space="preserve">, </w:t>
      </w:r>
      <w:r>
        <w:rPr>
          <w:i/>
          <w:kern w:val="0"/>
          <w:szCs w:val="22"/>
        </w:rPr>
        <w:t>e.g.</w:t>
      </w:r>
      <w:r>
        <w:rPr>
          <w:kern w:val="0"/>
          <w:szCs w:val="22"/>
        </w:rPr>
        <w:t xml:space="preserve">, a credit towards penalties or non-recurring charges or the ability to move circuits without incurring a penalty.  </w:t>
      </w:r>
    </w:p>
    <w:p w:rsidR="00F97D54" w:rsidRDefault="00F97D54">
      <w:pPr>
        <w:rPr>
          <w:kern w:val="0"/>
          <w:szCs w:val="22"/>
        </w:rPr>
      </w:pPr>
    </w:p>
    <w:p w:rsidR="00F97D54" w:rsidRDefault="00F97D54">
      <w:pPr>
        <w:rPr>
          <w:kern w:val="0"/>
          <w:szCs w:val="22"/>
        </w:rPr>
      </w:pPr>
      <w:r>
        <w:rPr>
          <w:i/>
          <w:kern w:val="0"/>
          <w:szCs w:val="22"/>
        </w:rPr>
        <w:t>One Month Term Only Rate</w:t>
      </w:r>
      <w:r>
        <w:rPr>
          <w:kern w:val="0"/>
          <w:szCs w:val="22"/>
        </w:rPr>
        <w:t xml:space="preserve"> means, for purposes of this data collection, the non-discounted monthly recurring tariffed rate for </w:t>
      </w:r>
      <w:r>
        <w:rPr>
          <w:i/>
          <w:kern w:val="0"/>
          <w:szCs w:val="22"/>
        </w:rPr>
        <w:t>DS1</w:t>
      </w:r>
      <w:r>
        <w:rPr>
          <w:kern w:val="0"/>
          <w:szCs w:val="22"/>
        </w:rPr>
        <w:t xml:space="preserve">, </w:t>
      </w:r>
      <w:r>
        <w:rPr>
          <w:i/>
          <w:kern w:val="0"/>
          <w:szCs w:val="22"/>
        </w:rPr>
        <w:t>DS3</w:t>
      </w:r>
      <w:r>
        <w:rPr>
          <w:kern w:val="0"/>
          <w:szCs w:val="22"/>
        </w:rPr>
        <w:t xml:space="preserve"> and/or </w:t>
      </w:r>
      <w:r>
        <w:rPr>
          <w:i/>
          <w:kern w:val="0"/>
          <w:szCs w:val="22"/>
        </w:rPr>
        <w:t>PBDS</w:t>
      </w:r>
      <w:r>
        <w:rPr>
          <w:kern w:val="0"/>
          <w:szCs w:val="22"/>
        </w:rPr>
        <w:t xml:space="preserve"> services.  </w:t>
      </w:r>
    </w:p>
    <w:p w:rsidR="00F97D54" w:rsidRDefault="00F97D54">
      <w:pPr>
        <w:rPr>
          <w:i/>
          <w:kern w:val="0"/>
          <w:szCs w:val="22"/>
        </w:rPr>
      </w:pPr>
    </w:p>
    <w:p w:rsidR="00F97D54" w:rsidRDefault="00F97D54">
      <w:pPr>
        <w:rPr>
          <w:kern w:val="0"/>
          <w:szCs w:val="22"/>
        </w:rPr>
      </w:pPr>
      <w:r>
        <w:rPr>
          <w:i/>
          <w:iCs/>
          <w:kern w:val="0"/>
          <w:szCs w:val="22"/>
        </w:rPr>
        <w:t>Packet-Based Dedicated Service</w:t>
      </w:r>
      <w:r>
        <w:rPr>
          <w:i/>
          <w:kern w:val="0"/>
          <w:szCs w:val="22"/>
        </w:rPr>
        <w:t xml:space="preserve"> (</w:t>
      </w:r>
      <w:r>
        <w:rPr>
          <w:i/>
          <w:iCs/>
          <w:kern w:val="0"/>
          <w:szCs w:val="22"/>
        </w:rPr>
        <w:t>PBDS</w:t>
      </w:r>
      <w:r>
        <w:rPr>
          <w:i/>
          <w:kern w:val="0"/>
          <w:szCs w:val="22"/>
        </w:rPr>
        <w:t>)</w:t>
      </w:r>
      <w:r>
        <w:rPr>
          <w:kern w:val="0"/>
          <w:szCs w:val="22"/>
        </w:rPr>
        <w:t xml:space="preserve"> means a </w:t>
      </w:r>
      <w:r>
        <w:rPr>
          <w:i/>
          <w:iCs/>
          <w:kern w:val="0"/>
          <w:szCs w:val="22"/>
        </w:rPr>
        <w:t>Dedicated Service</w:t>
      </w:r>
      <w:r>
        <w:rPr>
          <w:kern w:val="0"/>
          <w:szCs w:val="22"/>
        </w:rPr>
        <w:t xml:space="preserve"> that is packet-based.  Examples of </w:t>
      </w:r>
      <w:r>
        <w:rPr>
          <w:i/>
          <w:kern w:val="0"/>
          <w:szCs w:val="22"/>
        </w:rPr>
        <w:t>PBDS</w:t>
      </w:r>
      <w:r>
        <w:rPr>
          <w:kern w:val="0"/>
          <w:szCs w:val="22"/>
        </w:rPr>
        <w:t xml:space="preserve"> include Multi-Protocol Label Switched (MPLS) services; permanent virtual circuits, virtual private lines and similar services; ATM and Frame Relay service; (Gigabit) Ethernet Services and Metro Ethernet Virtual Connections; and Virtual Private Networks (VPN).  </w:t>
      </w:r>
      <w:r w:rsidRPr="0011685E">
        <w:rPr>
          <w:i/>
          <w:kern w:val="0"/>
          <w:szCs w:val="22"/>
        </w:rPr>
        <w:t>PBDS</w:t>
      </w:r>
      <w:r>
        <w:rPr>
          <w:kern w:val="0"/>
          <w:szCs w:val="22"/>
        </w:rPr>
        <w:t xml:space="preserve"> includes those categories of packet-based and </w:t>
      </w:r>
      <w:r w:rsidRPr="006A2F18">
        <w:rPr>
          <w:kern w:val="0"/>
          <w:szCs w:val="22"/>
        </w:rPr>
        <w:t>optical transmission services</w:t>
      </w:r>
      <w:r>
        <w:rPr>
          <w:kern w:val="0"/>
          <w:szCs w:val="22"/>
        </w:rPr>
        <w:t xml:space="preserve"> for which the Commission has granted forbearance relief from dominant carrier regulation.</w:t>
      </w:r>
      <w:r>
        <w:rPr>
          <w:rStyle w:val="FootnoteReference"/>
          <w:kern w:val="0"/>
          <w:szCs w:val="22"/>
        </w:rPr>
        <w:footnoteReference w:id="214"/>
      </w:r>
      <w:r>
        <w:rPr>
          <w:kern w:val="0"/>
          <w:szCs w:val="22"/>
        </w:rPr>
        <w:t xml:space="preserve">  </w:t>
      </w:r>
    </w:p>
    <w:p w:rsidR="00F97D54" w:rsidRDefault="00F97D54">
      <w:pPr>
        <w:rPr>
          <w:kern w:val="0"/>
          <w:szCs w:val="22"/>
        </w:rPr>
      </w:pPr>
    </w:p>
    <w:p w:rsidR="00F97D54" w:rsidRDefault="00F97D54">
      <w:pPr>
        <w:rPr>
          <w:kern w:val="0"/>
          <w:szCs w:val="22"/>
        </w:rPr>
      </w:pPr>
      <w:r>
        <w:rPr>
          <w:i/>
          <w:kern w:val="0"/>
          <w:szCs w:val="22"/>
        </w:rPr>
        <w:t>Phase I Pricing Flexibility</w:t>
      </w:r>
      <w:r>
        <w:rPr>
          <w:kern w:val="0"/>
          <w:szCs w:val="22"/>
        </w:rPr>
        <w:t xml:space="preserve"> means regulatory relief for the pricing of </w:t>
      </w:r>
      <w:r>
        <w:rPr>
          <w:i/>
          <w:kern w:val="0"/>
          <w:szCs w:val="22"/>
        </w:rPr>
        <w:t>End User Channel Terminations</w:t>
      </w:r>
      <w:r>
        <w:rPr>
          <w:kern w:val="0"/>
        </w:rPr>
        <w:t xml:space="preserve"> </w:t>
      </w:r>
      <w:r>
        <w:rPr>
          <w:kern w:val="0"/>
          <w:szCs w:val="22"/>
        </w:rPr>
        <w:t xml:space="preserve">pursuant to 47 C.F.R. §§ 69.711(b), 69.727(a) of the Commission’s rules.  </w:t>
      </w:r>
    </w:p>
    <w:p w:rsidR="00F97D54" w:rsidRDefault="00F97D54">
      <w:pPr>
        <w:rPr>
          <w:kern w:val="0"/>
          <w:szCs w:val="22"/>
        </w:rPr>
      </w:pPr>
    </w:p>
    <w:p w:rsidR="00F97D54" w:rsidRDefault="00F97D54" w:rsidP="0083344C">
      <w:pPr>
        <w:widowControl/>
        <w:rPr>
          <w:kern w:val="0"/>
          <w:szCs w:val="22"/>
        </w:rPr>
      </w:pPr>
      <w:r>
        <w:rPr>
          <w:i/>
          <w:kern w:val="0"/>
          <w:szCs w:val="22"/>
        </w:rPr>
        <w:t>Phase II Pricing Flexibility</w:t>
      </w:r>
      <w:r>
        <w:rPr>
          <w:kern w:val="0"/>
          <w:szCs w:val="22"/>
        </w:rPr>
        <w:t xml:space="preserve"> means regulatory relief for the pricing of </w:t>
      </w:r>
      <w:r>
        <w:rPr>
          <w:i/>
          <w:kern w:val="0"/>
          <w:szCs w:val="22"/>
        </w:rPr>
        <w:t>End User Channel Terminations</w:t>
      </w:r>
      <w:r>
        <w:rPr>
          <w:kern w:val="0"/>
        </w:rPr>
        <w:t xml:space="preserve"> </w:t>
      </w:r>
      <w:r>
        <w:rPr>
          <w:kern w:val="0"/>
          <w:szCs w:val="22"/>
        </w:rPr>
        <w:t xml:space="preserve">pursuant to 47 C.F.R. §§ 69.711(c), 69.727(b) of the Commission’s rules.  </w:t>
      </w:r>
    </w:p>
    <w:p w:rsidR="00F97D54" w:rsidRDefault="00F97D54">
      <w:pPr>
        <w:rPr>
          <w:kern w:val="0"/>
          <w:szCs w:val="22"/>
        </w:rPr>
      </w:pPr>
    </w:p>
    <w:p w:rsidR="00F97D54" w:rsidRDefault="00F97D54" w:rsidP="00724B61">
      <w:pPr>
        <w:widowControl/>
        <w:rPr>
          <w:kern w:val="0"/>
        </w:rPr>
      </w:pPr>
      <w:r>
        <w:rPr>
          <w:i/>
          <w:kern w:val="0"/>
        </w:rPr>
        <w:t xml:space="preserve">Prior Purchase-Based Commitment </w:t>
      </w:r>
      <w:r>
        <w:rPr>
          <w:kern w:val="0"/>
        </w:rPr>
        <w:t xml:space="preserve">means a type of </w:t>
      </w:r>
      <w:r>
        <w:rPr>
          <w:i/>
          <w:kern w:val="0"/>
        </w:rPr>
        <w:t>Volume Commitment</w:t>
      </w:r>
      <w:r>
        <w:rPr>
          <w:kern w:val="0"/>
        </w:rPr>
        <w:t xml:space="preserve"> where the commitment is based on either:</w:t>
      </w:r>
    </w:p>
    <w:p w:rsidR="00F97D54" w:rsidRDefault="00F97D54" w:rsidP="00EB5B97">
      <w:pPr>
        <w:numPr>
          <w:ilvl w:val="0"/>
          <w:numId w:val="29"/>
        </w:numPr>
        <w:rPr>
          <w:kern w:val="0"/>
        </w:rPr>
      </w:pPr>
      <w:r>
        <w:rPr>
          <w:kern w:val="0"/>
        </w:rPr>
        <w:t xml:space="preserve">a certain percentage or number of the customer’s purchased in-service circuits or lines as measured at the time of making the </w:t>
      </w:r>
      <w:r>
        <w:rPr>
          <w:i/>
          <w:kern w:val="0"/>
        </w:rPr>
        <w:t>Volume Commitment</w:t>
      </w:r>
      <w:r>
        <w:rPr>
          <w:kern w:val="0"/>
        </w:rPr>
        <w:t xml:space="preserve"> or measured during a period of time prior to making the </w:t>
      </w:r>
      <w:r>
        <w:rPr>
          <w:i/>
          <w:kern w:val="0"/>
        </w:rPr>
        <w:t>Volume Commitment</w:t>
      </w:r>
      <w:r>
        <w:rPr>
          <w:kern w:val="0"/>
        </w:rPr>
        <w:t xml:space="preserve">, </w:t>
      </w:r>
      <w:r>
        <w:rPr>
          <w:i/>
          <w:kern w:val="0"/>
        </w:rPr>
        <w:t>e.g.</w:t>
      </w:r>
      <w:r>
        <w:rPr>
          <w:kern w:val="0"/>
        </w:rPr>
        <w:t>, based on the customer’s billing records for the current month or prior month(s); or</w:t>
      </w:r>
    </w:p>
    <w:p w:rsidR="00F97D54" w:rsidRDefault="00F97D54" w:rsidP="00EB5B97">
      <w:pPr>
        <w:numPr>
          <w:ilvl w:val="0"/>
          <w:numId w:val="29"/>
        </w:numPr>
        <w:rPr>
          <w:kern w:val="0"/>
        </w:rPr>
      </w:pPr>
      <w:r>
        <w:rPr>
          <w:kern w:val="0"/>
        </w:rPr>
        <w:t xml:space="preserve">a certain percentage or dollar amount of </w:t>
      </w:r>
      <w:r>
        <w:rPr>
          <w:i/>
          <w:kern w:val="0"/>
        </w:rPr>
        <w:t>Revenues</w:t>
      </w:r>
      <w:r>
        <w:rPr>
          <w:kern w:val="0"/>
        </w:rPr>
        <w:t xml:space="preserve"> generated by the customer’s purchases as measured at the time of making the </w:t>
      </w:r>
      <w:r>
        <w:rPr>
          <w:i/>
          <w:kern w:val="0"/>
        </w:rPr>
        <w:t>Volume Commitment</w:t>
      </w:r>
      <w:r>
        <w:rPr>
          <w:kern w:val="0"/>
        </w:rPr>
        <w:t xml:space="preserve"> or during a period of time prior to making the </w:t>
      </w:r>
      <w:r>
        <w:rPr>
          <w:i/>
          <w:kern w:val="0"/>
        </w:rPr>
        <w:t>Volume Commitment</w:t>
      </w:r>
      <w:r>
        <w:rPr>
          <w:kern w:val="0"/>
        </w:rPr>
        <w:t>.</w:t>
      </w:r>
    </w:p>
    <w:p w:rsidR="00F97D54" w:rsidRDefault="00F97D54">
      <w:pPr>
        <w:rPr>
          <w:i/>
          <w:kern w:val="0"/>
        </w:rPr>
      </w:pPr>
    </w:p>
    <w:p w:rsidR="00F97D54" w:rsidRDefault="00F97D54">
      <w:pPr>
        <w:rPr>
          <w:kern w:val="0"/>
        </w:rPr>
      </w:pPr>
      <w:r>
        <w:rPr>
          <w:i/>
          <w:kern w:val="0"/>
        </w:rPr>
        <w:t xml:space="preserve">Providers </w:t>
      </w:r>
      <w:r>
        <w:rPr>
          <w:kern w:val="0"/>
        </w:rPr>
        <w:t xml:space="preserve">collectively refers to both </w:t>
      </w:r>
      <w:r>
        <w:rPr>
          <w:i/>
          <w:kern w:val="0"/>
        </w:rPr>
        <w:t>ILECs</w:t>
      </w:r>
      <w:r>
        <w:rPr>
          <w:kern w:val="0"/>
        </w:rPr>
        <w:t xml:space="preserve"> and </w:t>
      </w:r>
      <w:r>
        <w:rPr>
          <w:i/>
          <w:kern w:val="0"/>
        </w:rPr>
        <w:t>Competitive Providers</w:t>
      </w:r>
      <w:r>
        <w:rPr>
          <w:kern w:val="0"/>
        </w:rPr>
        <w:t>.</w:t>
      </w:r>
    </w:p>
    <w:p w:rsidR="00F97D54" w:rsidRDefault="00F97D54">
      <w:pPr>
        <w:rPr>
          <w:i/>
          <w:kern w:val="0"/>
          <w:szCs w:val="22"/>
        </w:rPr>
      </w:pPr>
    </w:p>
    <w:p w:rsidR="00F97D54" w:rsidRDefault="00F97D54">
      <w:pPr>
        <w:rPr>
          <w:kern w:val="0"/>
          <w:szCs w:val="22"/>
        </w:rPr>
      </w:pPr>
      <w:r>
        <w:rPr>
          <w:i/>
          <w:kern w:val="0"/>
          <w:szCs w:val="22"/>
        </w:rPr>
        <w:t xml:space="preserve">Purchasers </w:t>
      </w:r>
      <w:r>
        <w:rPr>
          <w:kern w:val="0"/>
          <w:szCs w:val="22"/>
        </w:rPr>
        <w:t xml:space="preserve">means </w:t>
      </w:r>
      <w:r>
        <w:rPr>
          <w:i/>
          <w:iCs/>
          <w:kern w:val="0"/>
        </w:rPr>
        <w:t>Competitive Providers</w:t>
      </w:r>
      <w:r>
        <w:rPr>
          <w:kern w:val="0"/>
        </w:rPr>
        <w:t xml:space="preserve"> and </w:t>
      </w:r>
      <w:r>
        <w:rPr>
          <w:i/>
          <w:iCs/>
          <w:kern w:val="0"/>
        </w:rPr>
        <w:t xml:space="preserve">End Users </w:t>
      </w:r>
      <w:r>
        <w:rPr>
          <w:kern w:val="0"/>
        </w:rPr>
        <w:t xml:space="preserve">that are subject to the Commission’s jurisdiction under the Communications Act of 1934, as amended, and purchase </w:t>
      </w:r>
      <w:r>
        <w:rPr>
          <w:i/>
          <w:iCs/>
          <w:kern w:val="0"/>
        </w:rPr>
        <w:t>Dedicated Service</w:t>
      </w:r>
      <w:r>
        <w:rPr>
          <w:iCs/>
          <w:kern w:val="0"/>
        </w:rPr>
        <w:t xml:space="preserve">.   </w:t>
      </w:r>
      <w:r>
        <w:rPr>
          <w:i/>
          <w:iCs/>
          <w:kern w:val="0"/>
        </w:rPr>
        <w:t xml:space="preserve"> </w:t>
      </w:r>
      <w:r>
        <w:rPr>
          <w:kern w:val="0"/>
        </w:rPr>
        <w:t xml:space="preserve">  </w:t>
      </w:r>
    </w:p>
    <w:p w:rsidR="00F97D54" w:rsidRDefault="00F97D54">
      <w:pPr>
        <w:rPr>
          <w:i/>
          <w:kern w:val="0"/>
        </w:rPr>
      </w:pPr>
    </w:p>
    <w:p w:rsidR="00F97D54" w:rsidRDefault="00F97D54">
      <w:pPr>
        <w:rPr>
          <w:kern w:val="0"/>
          <w:szCs w:val="22"/>
        </w:rPr>
      </w:pPr>
      <w:r>
        <w:rPr>
          <w:i/>
          <w:kern w:val="0"/>
        </w:rPr>
        <w:t>Revenues</w:t>
      </w:r>
      <w:r>
        <w:rPr>
          <w:kern w:val="0"/>
        </w:rPr>
        <w:t xml:space="preserve"> means intrastate and interstate billed amounts without any allowance for uncollectibles, commissions or settlements.    </w:t>
      </w:r>
      <w:r>
        <w:rPr>
          <w:kern w:val="0"/>
          <w:szCs w:val="22"/>
        </w:rPr>
        <w:t xml:space="preserve">  </w:t>
      </w:r>
    </w:p>
    <w:p w:rsidR="00F97D54" w:rsidRDefault="00F97D54">
      <w:pPr>
        <w:rPr>
          <w:i/>
          <w:kern w:val="0"/>
        </w:rPr>
      </w:pPr>
    </w:p>
    <w:p w:rsidR="00F97D54" w:rsidRDefault="00F97D54">
      <w:pPr>
        <w:rPr>
          <w:kern w:val="0"/>
          <w:szCs w:val="22"/>
        </w:rPr>
      </w:pPr>
      <w:r>
        <w:rPr>
          <w:i/>
          <w:kern w:val="0"/>
          <w:szCs w:val="22"/>
        </w:rPr>
        <w:t>Tariff</w:t>
      </w:r>
      <w:r>
        <w:rPr>
          <w:kern w:val="0"/>
          <w:szCs w:val="22"/>
        </w:rPr>
        <w:t xml:space="preserve"> means an intrastate or interstate schedule of rates and regulations filed by common carriers.  This term includes both </w:t>
      </w:r>
      <w:r w:rsidRPr="00A83E1C">
        <w:rPr>
          <w:i/>
          <w:kern w:val="0"/>
          <w:szCs w:val="22"/>
        </w:rPr>
        <w:t>Tariff Plans</w:t>
      </w:r>
      <w:r>
        <w:rPr>
          <w:kern w:val="0"/>
          <w:szCs w:val="22"/>
        </w:rPr>
        <w:t xml:space="preserve"> and </w:t>
      </w:r>
      <w:r w:rsidRPr="00A83E1C">
        <w:rPr>
          <w:i/>
          <w:kern w:val="0"/>
          <w:szCs w:val="22"/>
        </w:rPr>
        <w:t>Contract-Based Tariffs</w:t>
      </w:r>
      <w:r>
        <w:rPr>
          <w:kern w:val="0"/>
          <w:szCs w:val="22"/>
        </w:rPr>
        <w:t>.</w:t>
      </w:r>
    </w:p>
    <w:p w:rsidR="00F97D54" w:rsidRDefault="00F97D54">
      <w:pPr>
        <w:rPr>
          <w:i/>
          <w:kern w:val="0"/>
          <w:szCs w:val="22"/>
        </w:rPr>
      </w:pPr>
    </w:p>
    <w:p w:rsidR="00F97D54" w:rsidRDefault="00F97D54">
      <w:pPr>
        <w:rPr>
          <w:kern w:val="0"/>
          <w:szCs w:val="22"/>
        </w:rPr>
      </w:pPr>
      <w:r>
        <w:rPr>
          <w:i/>
          <w:kern w:val="0"/>
          <w:szCs w:val="22"/>
        </w:rPr>
        <w:t>Tariff Plan</w:t>
      </w:r>
      <w:r>
        <w:rPr>
          <w:kern w:val="0"/>
          <w:szCs w:val="22"/>
        </w:rPr>
        <w:t xml:space="preserve"> means a </w:t>
      </w:r>
      <w:r>
        <w:rPr>
          <w:i/>
          <w:kern w:val="0"/>
          <w:szCs w:val="22"/>
        </w:rPr>
        <w:t>Tariff</w:t>
      </w:r>
      <w:r>
        <w:rPr>
          <w:kern w:val="0"/>
          <w:szCs w:val="22"/>
        </w:rPr>
        <w:t xml:space="preserve">, other than a </w:t>
      </w:r>
      <w:r>
        <w:rPr>
          <w:i/>
          <w:kern w:val="0"/>
          <w:szCs w:val="22"/>
        </w:rPr>
        <w:t>Contract-Based Tariff</w:t>
      </w:r>
      <w:r>
        <w:rPr>
          <w:kern w:val="0"/>
          <w:szCs w:val="22"/>
        </w:rPr>
        <w:t>,</w:t>
      </w:r>
      <w:r>
        <w:rPr>
          <w:i/>
          <w:kern w:val="0"/>
          <w:szCs w:val="22"/>
        </w:rPr>
        <w:t xml:space="preserve"> </w:t>
      </w:r>
      <w:r>
        <w:rPr>
          <w:kern w:val="0"/>
          <w:szCs w:val="22"/>
        </w:rPr>
        <w:t xml:space="preserve">that provides a customer with either a discount from any </w:t>
      </w:r>
      <w:r>
        <w:rPr>
          <w:i/>
          <w:kern w:val="0"/>
          <w:szCs w:val="22"/>
        </w:rPr>
        <w:t xml:space="preserve">One Month Term Only Rate </w:t>
      </w:r>
      <w:r>
        <w:rPr>
          <w:kern w:val="0"/>
          <w:szCs w:val="22"/>
        </w:rPr>
        <w:t xml:space="preserve">for the purchase of </w:t>
      </w:r>
      <w:r>
        <w:rPr>
          <w:i/>
          <w:kern w:val="0"/>
          <w:szCs w:val="22"/>
        </w:rPr>
        <w:t>DS1</w:t>
      </w:r>
      <w:r>
        <w:rPr>
          <w:kern w:val="0"/>
          <w:szCs w:val="22"/>
        </w:rPr>
        <w:t xml:space="preserve"> and/or </w:t>
      </w:r>
      <w:r>
        <w:rPr>
          <w:i/>
          <w:kern w:val="0"/>
          <w:szCs w:val="22"/>
        </w:rPr>
        <w:t>DS3</w:t>
      </w:r>
      <w:r>
        <w:rPr>
          <w:kern w:val="0"/>
          <w:szCs w:val="22"/>
        </w:rPr>
        <w:t xml:space="preserve"> services or a </w:t>
      </w:r>
      <w:r>
        <w:rPr>
          <w:i/>
          <w:kern w:val="0"/>
          <w:szCs w:val="22"/>
        </w:rPr>
        <w:t>Non-Rate Benefit</w:t>
      </w:r>
      <w:r>
        <w:rPr>
          <w:kern w:val="0"/>
          <w:szCs w:val="22"/>
        </w:rPr>
        <w:t xml:space="preserve"> that could be applied to these services.  </w:t>
      </w:r>
    </w:p>
    <w:p w:rsidR="00F97D54" w:rsidRDefault="00F97D54">
      <w:pPr>
        <w:rPr>
          <w:kern w:val="0"/>
          <w:szCs w:val="22"/>
        </w:rPr>
      </w:pPr>
    </w:p>
    <w:p w:rsidR="00F97D54" w:rsidRDefault="00F97D54">
      <w:pPr>
        <w:rPr>
          <w:kern w:val="0"/>
          <w:szCs w:val="22"/>
        </w:rPr>
      </w:pPr>
      <w:r>
        <w:rPr>
          <w:i/>
          <w:kern w:val="0"/>
          <w:szCs w:val="22"/>
        </w:rPr>
        <w:t>Term Commitment</w:t>
      </w:r>
      <w:r>
        <w:rPr>
          <w:kern w:val="0"/>
          <w:szCs w:val="22"/>
        </w:rPr>
        <w:t xml:space="preserve"> means a commitment to purchase a </w:t>
      </w:r>
      <w:r>
        <w:rPr>
          <w:i/>
          <w:kern w:val="0"/>
          <w:szCs w:val="22"/>
        </w:rPr>
        <w:t>Dedicated Service</w:t>
      </w:r>
      <w:r>
        <w:rPr>
          <w:kern w:val="0"/>
          <w:szCs w:val="22"/>
        </w:rPr>
        <w:t xml:space="preserve"> for a period of time, greater than a month, in exchange for a circuit-specific discount and/or a </w:t>
      </w:r>
      <w:r>
        <w:rPr>
          <w:i/>
          <w:kern w:val="0"/>
          <w:szCs w:val="22"/>
        </w:rPr>
        <w:t>Non-Rate Benefit</w:t>
      </w:r>
      <w:r>
        <w:rPr>
          <w:kern w:val="0"/>
          <w:szCs w:val="22"/>
        </w:rPr>
        <w:t>.</w:t>
      </w:r>
    </w:p>
    <w:p w:rsidR="00F97D54" w:rsidRDefault="00F97D54">
      <w:pPr>
        <w:rPr>
          <w:kern w:val="0"/>
          <w:szCs w:val="22"/>
        </w:rPr>
      </w:pPr>
    </w:p>
    <w:p w:rsidR="00F97D54" w:rsidRDefault="00F97D54">
      <w:pPr>
        <w:autoSpaceDE w:val="0"/>
        <w:autoSpaceDN w:val="0"/>
        <w:adjustRightInd w:val="0"/>
        <w:rPr>
          <w:kern w:val="0"/>
        </w:rPr>
      </w:pPr>
      <w:r>
        <w:rPr>
          <w:i/>
          <w:kern w:val="0"/>
          <w:szCs w:val="22"/>
        </w:rPr>
        <w:t>Transport Service</w:t>
      </w:r>
      <w:r>
        <w:rPr>
          <w:kern w:val="0"/>
          <w:szCs w:val="22"/>
        </w:rPr>
        <w:t xml:space="preserve"> means a dedicated circuit that connects a designated </w:t>
      </w:r>
      <w:r w:rsidRPr="00762AFB">
        <w:rPr>
          <w:i/>
          <w:kern w:val="0"/>
          <w:szCs w:val="22"/>
        </w:rPr>
        <w:t>Competitive Provider’s</w:t>
      </w:r>
      <w:r>
        <w:rPr>
          <w:kern w:val="0"/>
          <w:szCs w:val="22"/>
        </w:rPr>
        <w:t xml:space="preserve"> premises to the wire center that serves the </w:t>
      </w:r>
      <w:r w:rsidRPr="00762AFB">
        <w:rPr>
          <w:i/>
          <w:kern w:val="0"/>
          <w:szCs w:val="22"/>
        </w:rPr>
        <w:t>Competitive Provider’s</w:t>
      </w:r>
      <w:r>
        <w:rPr>
          <w:kern w:val="0"/>
          <w:szCs w:val="22"/>
        </w:rPr>
        <w:t xml:space="preserve"> customer.  Such an arrangement may or may not include channel mileage.  </w:t>
      </w:r>
      <w:r w:rsidRPr="00762AFB">
        <w:rPr>
          <w:i/>
          <w:kern w:val="0"/>
          <w:szCs w:val="22"/>
        </w:rPr>
        <w:t>See</w:t>
      </w:r>
      <w:r>
        <w:rPr>
          <w:kern w:val="0"/>
          <w:szCs w:val="22"/>
        </w:rPr>
        <w:t xml:space="preserve"> 47 C.F.R. § 69.709(a).  </w:t>
      </w:r>
    </w:p>
    <w:p w:rsidR="00F97D54" w:rsidRDefault="00F97D54">
      <w:pPr>
        <w:rPr>
          <w:kern w:val="0"/>
          <w:szCs w:val="22"/>
        </w:rPr>
      </w:pPr>
    </w:p>
    <w:p w:rsidR="00F97D54" w:rsidRDefault="00F97D54">
      <w:pPr>
        <w:autoSpaceDE w:val="0"/>
        <w:autoSpaceDN w:val="0"/>
        <w:adjustRightInd w:val="0"/>
        <w:rPr>
          <w:kern w:val="0"/>
        </w:rPr>
      </w:pPr>
      <w:r>
        <w:rPr>
          <w:i/>
          <w:kern w:val="0"/>
          <w:szCs w:val="22"/>
        </w:rPr>
        <w:t xml:space="preserve">Transport Provider </w:t>
      </w:r>
      <w:r>
        <w:rPr>
          <w:kern w:val="0"/>
          <w:szCs w:val="22"/>
        </w:rPr>
        <w:t xml:space="preserve">means a </w:t>
      </w:r>
      <w:r>
        <w:rPr>
          <w:i/>
          <w:kern w:val="0"/>
          <w:szCs w:val="22"/>
        </w:rPr>
        <w:t>Provider</w:t>
      </w:r>
      <w:r>
        <w:rPr>
          <w:kern w:val="0"/>
          <w:szCs w:val="22"/>
        </w:rPr>
        <w:t xml:space="preserve"> that supplies </w:t>
      </w:r>
      <w:r>
        <w:rPr>
          <w:i/>
          <w:kern w:val="0"/>
          <w:szCs w:val="22"/>
        </w:rPr>
        <w:t>Transport Service</w:t>
      </w:r>
      <w:r>
        <w:rPr>
          <w:kern w:val="0"/>
          <w:szCs w:val="22"/>
        </w:rPr>
        <w:t xml:space="preserve">.  </w:t>
      </w:r>
    </w:p>
    <w:p w:rsidR="00F97D54" w:rsidRDefault="00F97D54">
      <w:pPr>
        <w:rPr>
          <w:kern w:val="0"/>
          <w:szCs w:val="22"/>
        </w:rPr>
      </w:pPr>
    </w:p>
    <w:p w:rsidR="00F97D54" w:rsidRDefault="00F97D54">
      <w:pPr>
        <w:rPr>
          <w:kern w:val="0"/>
        </w:rPr>
      </w:pPr>
      <w:r>
        <w:rPr>
          <w:i/>
          <w:kern w:val="0"/>
        </w:rPr>
        <w:t>Unbundled Copper Loop</w:t>
      </w:r>
      <w:r>
        <w:rPr>
          <w:kern w:val="0"/>
        </w:rPr>
        <w:t xml:space="preserve"> means a copper wire local loop provided by </w:t>
      </w:r>
      <w:r>
        <w:rPr>
          <w:i/>
          <w:kern w:val="0"/>
        </w:rPr>
        <w:t>ILECs</w:t>
      </w:r>
      <w:r>
        <w:rPr>
          <w:kern w:val="0"/>
        </w:rPr>
        <w:t xml:space="preserve"> to requesting telecommunications carriers on a non-discriminatory basis pursuant to 47 C.F.R. § 51.319(a)(1) that can be used by a </w:t>
      </w:r>
      <w:r>
        <w:rPr>
          <w:i/>
          <w:kern w:val="0"/>
        </w:rPr>
        <w:t xml:space="preserve">Competitive Provider </w:t>
      </w:r>
      <w:r>
        <w:rPr>
          <w:kern w:val="0"/>
        </w:rPr>
        <w:t xml:space="preserve">to provide a </w:t>
      </w:r>
      <w:r>
        <w:rPr>
          <w:i/>
          <w:kern w:val="0"/>
        </w:rPr>
        <w:t>Dedicated Service</w:t>
      </w:r>
      <w:r>
        <w:rPr>
          <w:kern w:val="0"/>
        </w:rPr>
        <w:t xml:space="preserve">, </w:t>
      </w:r>
      <w:r>
        <w:rPr>
          <w:i/>
          <w:kern w:val="0"/>
        </w:rPr>
        <w:t>e.g.</w:t>
      </w:r>
      <w:r>
        <w:rPr>
          <w:kern w:val="0"/>
        </w:rPr>
        <w:t xml:space="preserve">, Ethernet over Copper.  An </w:t>
      </w:r>
      <w:r>
        <w:rPr>
          <w:i/>
          <w:kern w:val="0"/>
        </w:rPr>
        <w:t>Unbundled Copper Loop</w:t>
      </w:r>
      <w:r>
        <w:rPr>
          <w:kern w:val="0"/>
        </w:rPr>
        <w:t xml:space="preserve"> is typically a 2- or 4- wire loop that the </w:t>
      </w:r>
      <w:r>
        <w:rPr>
          <w:i/>
          <w:kern w:val="0"/>
        </w:rPr>
        <w:t>ILEC</w:t>
      </w:r>
      <w:r>
        <w:rPr>
          <w:kern w:val="0"/>
        </w:rPr>
        <w:t xml:space="preserve"> has conditioned to remove intervening equipment such as bridge taps, load coils, repeaters, low pass filters, range extenders, etc. between a </w:t>
      </w:r>
      <w:r>
        <w:rPr>
          <w:i/>
          <w:kern w:val="0"/>
        </w:rPr>
        <w:t>Location</w:t>
      </w:r>
      <w:r>
        <w:rPr>
          <w:kern w:val="0"/>
        </w:rPr>
        <w:t xml:space="preserve"> and the serving wire center to allow for the provision of advanced digital services by a </w:t>
      </w:r>
      <w:r>
        <w:rPr>
          <w:i/>
          <w:kern w:val="0"/>
        </w:rPr>
        <w:t>Competitive Provider</w:t>
      </w:r>
      <w:r>
        <w:rPr>
          <w:kern w:val="0"/>
        </w:rPr>
        <w:t xml:space="preserve">.  These loops are commonly referred to as dry copper, bare copper, or xDSL-compatible loops.  An </w:t>
      </w:r>
      <w:r>
        <w:rPr>
          <w:i/>
          <w:kern w:val="0"/>
        </w:rPr>
        <w:t>Unbundled Copper Loop</w:t>
      </w:r>
      <w:r>
        <w:rPr>
          <w:kern w:val="0"/>
        </w:rPr>
        <w:t xml:space="preserve"> is a type of </w:t>
      </w:r>
      <w:r>
        <w:rPr>
          <w:i/>
          <w:kern w:val="0"/>
        </w:rPr>
        <w:t>UNE</w:t>
      </w:r>
      <w:r>
        <w:rPr>
          <w:kern w:val="0"/>
        </w:rPr>
        <w:t xml:space="preserve">.  </w:t>
      </w:r>
    </w:p>
    <w:p w:rsidR="00F97D54" w:rsidRDefault="00F97D54">
      <w:pPr>
        <w:rPr>
          <w:i/>
          <w:kern w:val="0"/>
        </w:rPr>
      </w:pPr>
    </w:p>
    <w:p w:rsidR="00F97D54" w:rsidRDefault="00F97D54">
      <w:pPr>
        <w:rPr>
          <w:kern w:val="0"/>
        </w:rPr>
      </w:pPr>
      <w:r>
        <w:rPr>
          <w:i/>
          <w:kern w:val="0"/>
        </w:rPr>
        <w:t xml:space="preserve">Unbundled Network Element </w:t>
      </w:r>
      <w:r>
        <w:rPr>
          <w:kern w:val="0"/>
        </w:rPr>
        <w:t>(</w:t>
      </w:r>
      <w:r>
        <w:rPr>
          <w:i/>
          <w:kern w:val="0"/>
        </w:rPr>
        <w:t>UNE</w:t>
      </w:r>
      <w:r>
        <w:rPr>
          <w:kern w:val="0"/>
        </w:rPr>
        <w:t xml:space="preserve">) means a local loop provided by an </w:t>
      </w:r>
      <w:r>
        <w:rPr>
          <w:i/>
          <w:kern w:val="0"/>
        </w:rPr>
        <w:t>ILEC</w:t>
      </w:r>
      <w:r>
        <w:rPr>
          <w:kern w:val="0"/>
        </w:rPr>
        <w:t xml:space="preserve"> to a requesting telecommunications carrier on a non-discriminatory basis pursuant to 47 C.F.R. § 51.319(a).</w:t>
      </w:r>
    </w:p>
    <w:p w:rsidR="0083344C" w:rsidRDefault="0083344C">
      <w:pPr>
        <w:widowControl/>
        <w:rPr>
          <w:i/>
          <w:kern w:val="0"/>
        </w:rPr>
      </w:pPr>
      <w:r>
        <w:rPr>
          <w:i/>
          <w:kern w:val="0"/>
        </w:rPr>
        <w:br w:type="page"/>
      </w:r>
    </w:p>
    <w:p w:rsidR="00F97D54" w:rsidRDefault="00F97D54">
      <w:pPr>
        <w:rPr>
          <w:i/>
          <w:kern w:val="0"/>
        </w:rPr>
      </w:pPr>
    </w:p>
    <w:p w:rsidR="00F97D54" w:rsidRDefault="00F97D54">
      <w:pPr>
        <w:rPr>
          <w:i/>
          <w:kern w:val="0"/>
          <w:szCs w:val="22"/>
        </w:rPr>
      </w:pPr>
      <w:r>
        <w:rPr>
          <w:i/>
          <w:kern w:val="0"/>
        </w:rPr>
        <w:t xml:space="preserve">Upgrade </w:t>
      </w:r>
      <w:r>
        <w:rPr>
          <w:kern w:val="0"/>
        </w:rPr>
        <w:t>means that a customer transitions one or more circuits to a higher capacity circuit.</w:t>
      </w:r>
    </w:p>
    <w:p w:rsidR="00F97D54" w:rsidRDefault="00F97D54">
      <w:pPr>
        <w:rPr>
          <w:i/>
          <w:kern w:val="0"/>
          <w:szCs w:val="22"/>
        </w:rPr>
      </w:pPr>
    </w:p>
    <w:p w:rsidR="00F97D54" w:rsidRDefault="00F97D54">
      <w:pPr>
        <w:rPr>
          <w:kern w:val="0"/>
          <w:szCs w:val="22"/>
        </w:rPr>
      </w:pPr>
      <w:r>
        <w:rPr>
          <w:i/>
          <w:kern w:val="0"/>
          <w:szCs w:val="22"/>
        </w:rPr>
        <w:t>Volume Commitment</w:t>
      </w:r>
      <w:r>
        <w:rPr>
          <w:kern w:val="0"/>
          <w:szCs w:val="22"/>
        </w:rPr>
        <w:t xml:space="preserve"> means a commitment to purchase a specified volume, </w:t>
      </w:r>
      <w:r>
        <w:rPr>
          <w:i/>
          <w:kern w:val="0"/>
          <w:szCs w:val="22"/>
        </w:rPr>
        <w:t>e.g.</w:t>
      </w:r>
      <w:r>
        <w:rPr>
          <w:kern w:val="0"/>
          <w:szCs w:val="22"/>
        </w:rPr>
        <w:t xml:space="preserve">, a certain number of circuits or </w:t>
      </w:r>
      <w:r>
        <w:rPr>
          <w:i/>
          <w:kern w:val="0"/>
          <w:szCs w:val="22"/>
        </w:rPr>
        <w:t>Revenues</w:t>
      </w:r>
      <w:r>
        <w:rPr>
          <w:kern w:val="0"/>
          <w:szCs w:val="22"/>
        </w:rPr>
        <w:t>, to receive a</w:t>
      </w:r>
      <w:r>
        <w:rPr>
          <w:i/>
          <w:kern w:val="0"/>
          <w:szCs w:val="22"/>
        </w:rPr>
        <w:t xml:space="preserve"> </w:t>
      </w:r>
      <w:r>
        <w:rPr>
          <w:kern w:val="0"/>
          <w:szCs w:val="22"/>
        </w:rPr>
        <w:t xml:space="preserve">discount on </w:t>
      </w:r>
      <w:r>
        <w:rPr>
          <w:i/>
          <w:kern w:val="0"/>
          <w:szCs w:val="22"/>
        </w:rPr>
        <w:t>Dedicated Services</w:t>
      </w:r>
      <w:r>
        <w:rPr>
          <w:kern w:val="0"/>
          <w:szCs w:val="22"/>
        </w:rPr>
        <w:t xml:space="preserve"> and/or a </w:t>
      </w:r>
      <w:r>
        <w:rPr>
          <w:i/>
          <w:kern w:val="0"/>
          <w:szCs w:val="22"/>
        </w:rPr>
        <w:t>Non-Rate Benefit</w:t>
      </w:r>
      <w:r>
        <w:rPr>
          <w:kern w:val="0"/>
          <w:szCs w:val="22"/>
        </w:rPr>
        <w:t xml:space="preserve">.  </w:t>
      </w:r>
    </w:p>
    <w:p w:rsidR="00F97D54" w:rsidRDefault="00F97D54">
      <w:pPr>
        <w:rPr>
          <w:kern w:val="0"/>
          <w:szCs w:val="22"/>
        </w:rPr>
      </w:pPr>
    </w:p>
    <w:p w:rsidR="00F97D54" w:rsidRDefault="00F97D54">
      <w:pPr>
        <w:rPr>
          <w:kern w:val="0"/>
        </w:rPr>
      </w:pPr>
      <w:r>
        <w:rPr>
          <w:b/>
          <w:kern w:val="0"/>
        </w:rPr>
        <w:br w:type="page"/>
        <w:t>II.</w:t>
      </w:r>
      <w:r>
        <w:rPr>
          <w:kern w:val="0"/>
        </w:rPr>
        <w:t xml:space="preserve">  </w:t>
      </w:r>
      <w:r>
        <w:rPr>
          <w:rFonts w:ascii="Times New Roman Bold" w:hAnsi="Times New Roman Bold"/>
          <w:b/>
          <w:smallCaps/>
          <w:kern w:val="0"/>
        </w:rPr>
        <w:t>Mandatory Data Collection Questions</w:t>
      </w:r>
      <w:r>
        <w:rPr>
          <w:kern w:val="0"/>
        </w:rPr>
        <w:t xml:space="preserve"> </w:t>
      </w:r>
    </w:p>
    <w:p w:rsidR="00F97D54" w:rsidRDefault="00F97D54">
      <w:pPr>
        <w:rPr>
          <w:kern w:val="0"/>
        </w:rPr>
      </w:pPr>
    </w:p>
    <w:p w:rsidR="00F97D54" w:rsidRDefault="00F97D54">
      <w:pPr>
        <w:rPr>
          <w:b/>
          <w:kern w:val="0"/>
        </w:rPr>
      </w:pPr>
      <w:r>
        <w:rPr>
          <w:b/>
          <w:kern w:val="0"/>
        </w:rPr>
        <w:t xml:space="preserve">A.  </w:t>
      </w:r>
      <w:r>
        <w:rPr>
          <w:b/>
          <w:i/>
          <w:kern w:val="0"/>
          <w:u w:val="single"/>
        </w:rPr>
        <w:t xml:space="preserve">Competitive Providers </w:t>
      </w:r>
      <w:r>
        <w:rPr>
          <w:b/>
          <w:kern w:val="0"/>
          <w:u w:val="single"/>
        </w:rPr>
        <w:t>must respond to the following</w:t>
      </w:r>
      <w:r>
        <w:rPr>
          <w:b/>
          <w:kern w:val="0"/>
        </w:rPr>
        <w:t>:</w:t>
      </w:r>
    </w:p>
    <w:p w:rsidR="00F97D54" w:rsidRDefault="00F97D54">
      <w:pPr>
        <w:rPr>
          <w:kern w:val="0"/>
        </w:rPr>
      </w:pPr>
    </w:p>
    <w:p w:rsidR="00F97D54" w:rsidRDefault="00F97D54" w:rsidP="00EB5B97">
      <w:pPr>
        <w:numPr>
          <w:ilvl w:val="0"/>
          <w:numId w:val="62"/>
        </w:numPr>
        <w:tabs>
          <w:tab w:val="clear" w:pos="576"/>
          <w:tab w:val="num" w:pos="720"/>
        </w:tabs>
        <w:rPr>
          <w:kern w:val="0"/>
        </w:rPr>
      </w:pPr>
      <w:r>
        <w:rPr>
          <w:kern w:val="0"/>
        </w:rPr>
        <w:t xml:space="preserve">Indicate whether you are an </w:t>
      </w:r>
      <w:r>
        <w:rPr>
          <w:i/>
          <w:kern w:val="0"/>
        </w:rPr>
        <w:t>Affiliated Company</w:t>
      </w:r>
      <w:r>
        <w:rPr>
          <w:kern w:val="0"/>
        </w:rPr>
        <w:t xml:space="preserve">.  If you are an </w:t>
      </w:r>
      <w:r w:rsidRPr="00D449B3">
        <w:rPr>
          <w:i/>
          <w:kern w:val="0"/>
        </w:rPr>
        <w:t>Affiliated Company</w:t>
      </w:r>
      <w:r>
        <w:rPr>
          <w:kern w:val="0"/>
        </w:rPr>
        <w:t xml:space="preserve">, you must identify the entities </w:t>
      </w:r>
      <w:r>
        <w:rPr>
          <w:kern w:val="0"/>
          <w:szCs w:val="22"/>
        </w:rPr>
        <w:t xml:space="preserve">that provide and/or purchase </w:t>
      </w:r>
      <w:r w:rsidRPr="0069663E">
        <w:rPr>
          <w:i/>
          <w:kern w:val="0"/>
          <w:szCs w:val="22"/>
        </w:rPr>
        <w:t>Dedicated Service</w:t>
      </w:r>
      <w:r>
        <w:rPr>
          <w:i/>
          <w:kern w:val="0"/>
          <w:szCs w:val="22"/>
        </w:rPr>
        <w:t xml:space="preserve"> </w:t>
      </w:r>
      <w:r>
        <w:rPr>
          <w:kern w:val="0"/>
        </w:rPr>
        <w:t xml:space="preserve">with which you have an affiliation (name/FRN).  </w:t>
      </w:r>
    </w:p>
    <w:p w:rsidR="00F97D54" w:rsidRDefault="00F97D54">
      <w:pPr>
        <w:rPr>
          <w:kern w:val="0"/>
        </w:rPr>
      </w:pPr>
    </w:p>
    <w:p w:rsidR="00F97D54" w:rsidRPr="00583478" w:rsidRDefault="00F97D54" w:rsidP="00EB5B97">
      <w:pPr>
        <w:pStyle w:val="ListParagraph"/>
        <w:numPr>
          <w:ilvl w:val="0"/>
          <w:numId w:val="63"/>
        </w:numPr>
        <w:contextualSpacing w:val="0"/>
        <w:rPr>
          <w:rFonts w:eastAsia="Times New Roman"/>
          <w:vanish/>
          <w:sz w:val="22"/>
        </w:rPr>
      </w:pPr>
    </w:p>
    <w:p w:rsidR="00F97D54" w:rsidRDefault="00F97D54" w:rsidP="00EB5B97">
      <w:pPr>
        <w:numPr>
          <w:ilvl w:val="0"/>
          <w:numId w:val="63"/>
        </w:numPr>
        <w:tabs>
          <w:tab w:val="clear" w:pos="576"/>
          <w:tab w:val="num" w:pos="720"/>
        </w:tabs>
        <w:rPr>
          <w:kern w:val="0"/>
        </w:rPr>
      </w:pPr>
      <w:r>
        <w:rPr>
          <w:kern w:val="0"/>
        </w:rPr>
        <w:t xml:space="preserve">Do you </w:t>
      </w:r>
      <w:r>
        <w:rPr>
          <w:kern w:val="0"/>
          <w:szCs w:val="22"/>
        </w:rPr>
        <w:t xml:space="preserve">(i) own a </w:t>
      </w:r>
      <w:r>
        <w:rPr>
          <w:i/>
          <w:kern w:val="0"/>
          <w:szCs w:val="22"/>
        </w:rPr>
        <w:t>Connection</w:t>
      </w:r>
      <w:r>
        <w:rPr>
          <w:kern w:val="0"/>
          <w:szCs w:val="22"/>
        </w:rPr>
        <w:t xml:space="preserve">; (ii) lease a </w:t>
      </w:r>
      <w:r>
        <w:rPr>
          <w:i/>
          <w:kern w:val="0"/>
          <w:szCs w:val="22"/>
        </w:rPr>
        <w:t>Connection</w:t>
      </w:r>
      <w:r>
        <w:rPr>
          <w:kern w:val="0"/>
          <w:szCs w:val="22"/>
        </w:rPr>
        <w:t xml:space="preserve"> from another entity under an </w:t>
      </w:r>
      <w:r>
        <w:rPr>
          <w:i/>
          <w:kern w:val="0"/>
          <w:szCs w:val="22"/>
        </w:rPr>
        <w:t>IRU</w:t>
      </w:r>
      <w:r>
        <w:rPr>
          <w:kern w:val="0"/>
          <w:szCs w:val="22"/>
        </w:rPr>
        <w:t xml:space="preserve"> agreement; or (iii) obtain a </w:t>
      </w:r>
      <w:r>
        <w:rPr>
          <w:i/>
          <w:kern w:val="0"/>
          <w:szCs w:val="22"/>
        </w:rPr>
        <w:t>Connection</w:t>
      </w:r>
      <w:r>
        <w:rPr>
          <w:kern w:val="0"/>
          <w:szCs w:val="22"/>
        </w:rPr>
        <w:t xml:space="preserve"> as a </w:t>
      </w:r>
      <w:r>
        <w:rPr>
          <w:i/>
          <w:kern w:val="0"/>
          <w:szCs w:val="22"/>
        </w:rPr>
        <w:t>UNE</w:t>
      </w:r>
      <w:r>
        <w:rPr>
          <w:kern w:val="0"/>
          <w:szCs w:val="22"/>
        </w:rPr>
        <w:t xml:space="preserve"> from an </w:t>
      </w:r>
      <w:r>
        <w:rPr>
          <w:i/>
          <w:kern w:val="0"/>
          <w:szCs w:val="22"/>
        </w:rPr>
        <w:t>ILEC</w:t>
      </w:r>
      <w:r>
        <w:rPr>
          <w:kern w:val="0"/>
          <w:szCs w:val="22"/>
        </w:rPr>
        <w:t xml:space="preserve"> to provide a </w:t>
      </w:r>
      <w:r>
        <w:rPr>
          <w:i/>
          <w:kern w:val="0"/>
          <w:szCs w:val="22"/>
        </w:rPr>
        <w:t>Dedicated Service</w:t>
      </w:r>
      <w:r>
        <w:rPr>
          <w:kern w:val="0"/>
        </w:rPr>
        <w:t>?</w:t>
      </w:r>
    </w:p>
    <w:p w:rsidR="00F97D54" w:rsidRDefault="00F97D54">
      <w:pPr>
        <w:spacing w:after="120"/>
        <w:ind w:left="720" w:firstLine="720"/>
        <w:rPr>
          <w:kern w:val="0"/>
        </w:rPr>
      </w:pPr>
      <w:r>
        <w:rPr>
          <w:rFonts w:ascii="Times New Roman Bold" w:hAnsi="Times New Roman Bold"/>
          <w:b/>
          <w:kern w:val="0"/>
          <w:sz w:val="28"/>
        </w:rPr>
        <w:t xml:space="preserve">□  </w:t>
      </w:r>
      <w:r>
        <w:rPr>
          <w:kern w:val="0"/>
          <w:szCs w:val="22"/>
        </w:rPr>
        <w:t>Yes</w:t>
      </w:r>
      <w:r>
        <w:rPr>
          <w:kern w:val="0"/>
        </w:rPr>
        <w:t xml:space="preserve">  </w:t>
      </w:r>
      <w:r>
        <w:rPr>
          <w:rFonts w:ascii="Times New Roman Bold" w:hAnsi="Times New Roman Bold"/>
          <w:b/>
          <w:kern w:val="0"/>
          <w:sz w:val="28"/>
        </w:rPr>
        <w:t xml:space="preserve">□  </w:t>
      </w:r>
      <w:r>
        <w:rPr>
          <w:kern w:val="0"/>
          <w:szCs w:val="22"/>
        </w:rPr>
        <w:t xml:space="preserve">No </w:t>
      </w:r>
    </w:p>
    <w:p w:rsidR="00F97D54" w:rsidRDefault="00F97D54" w:rsidP="00EB5B97">
      <w:pPr>
        <w:numPr>
          <w:ilvl w:val="0"/>
          <w:numId w:val="72"/>
        </w:numPr>
        <w:rPr>
          <w:kern w:val="0"/>
        </w:rPr>
      </w:pPr>
      <w:r>
        <w:rPr>
          <w:kern w:val="0"/>
          <w:szCs w:val="22"/>
        </w:rPr>
        <w:t xml:space="preserve">If yes, are any of these </w:t>
      </w:r>
      <w:r>
        <w:rPr>
          <w:i/>
          <w:kern w:val="0"/>
          <w:szCs w:val="22"/>
        </w:rPr>
        <w:t>Connections</w:t>
      </w:r>
      <w:r>
        <w:rPr>
          <w:kern w:val="0"/>
          <w:szCs w:val="22"/>
        </w:rPr>
        <w:t xml:space="preserve"> to a </w:t>
      </w:r>
      <w:r>
        <w:rPr>
          <w:i/>
          <w:kern w:val="0"/>
          <w:szCs w:val="22"/>
        </w:rPr>
        <w:t>Location</w:t>
      </w:r>
      <w:r>
        <w:rPr>
          <w:kern w:val="0"/>
          <w:szCs w:val="22"/>
        </w:rPr>
        <w:t xml:space="preserve"> within an area where the </w:t>
      </w:r>
      <w:r w:rsidRPr="00D870F4">
        <w:rPr>
          <w:i/>
          <w:kern w:val="0"/>
          <w:szCs w:val="22"/>
        </w:rPr>
        <w:t>ILEC</w:t>
      </w:r>
      <w:r>
        <w:rPr>
          <w:kern w:val="0"/>
          <w:szCs w:val="22"/>
        </w:rPr>
        <w:t xml:space="preserve"> is subject to price cap regulation or within an area where the Commission has granted </w:t>
      </w:r>
      <w:r>
        <w:rPr>
          <w:i/>
          <w:kern w:val="0"/>
          <w:szCs w:val="22"/>
        </w:rPr>
        <w:t>Phase I</w:t>
      </w:r>
      <w:r>
        <w:rPr>
          <w:kern w:val="0"/>
          <w:szCs w:val="22"/>
        </w:rPr>
        <w:t xml:space="preserve"> or </w:t>
      </w:r>
      <w:r>
        <w:rPr>
          <w:i/>
          <w:kern w:val="0"/>
          <w:szCs w:val="22"/>
        </w:rPr>
        <w:t>Phase II Pricing Flexibility</w:t>
      </w:r>
      <w:r>
        <w:rPr>
          <w:kern w:val="0"/>
          <w:szCs w:val="22"/>
        </w:rPr>
        <w:t xml:space="preserve">?  </w:t>
      </w:r>
    </w:p>
    <w:p w:rsidR="00F97D54" w:rsidRDefault="00F97D54">
      <w:pPr>
        <w:spacing w:after="120"/>
        <w:ind w:left="720" w:firstLine="720"/>
        <w:rPr>
          <w:kern w:val="0"/>
          <w:sz w:val="24"/>
        </w:rPr>
      </w:pPr>
      <w:r>
        <w:rPr>
          <w:rFonts w:ascii="Times New Roman Bold" w:hAnsi="Times New Roman Bold"/>
          <w:b/>
          <w:kern w:val="0"/>
          <w:sz w:val="28"/>
        </w:rPr>
        <w:t xml:space="preserve">□  </w:t>
      </w:r>
      <w:r>
        <w:rPr>
          <w:kern w:val="0"/>
          <w:szCs w:val="22"/>
        </w:rPr>
        <w:t>Yes</w:t>
      </w:r>
      <w:r>
        <w:rPr>
          <w:kern w:val="0"/>
          <w:sz w:val="24"/>
        </w:rPr>
        <w:t xml:space="preserve">  </w:t>
      </w:r>
      <w:r>
        <w:rPr>
          <w:rFonts w:ascii="Times New Roman Bold" w:hAnsi="Times New Roman Bold"/>
          <w:b/>
          <w:kern w:val="0"/>
          <w:sz w:val="28"/>
        </w:rPr>
        <w:t xml:space="preserve">□  </w:t>
      </w:r>
      <w:r>
        <w:rPr>
          <w:kern w:val="0"/>
          <w:szCs w:val="22"/>
        </w:rPr>
        <w:t xml:space="preserve">No </w:t>
      </w:r>
    </w:p>
    <w:p w:rsidR="00F97D54" w:rsidRDefault="00F97D54">
      <w:pPr>
        <w:rPr>
          <w:kern w:val="0"/>
          <w:szCs w:val="22"/>
        </w:rPr>
      </w:pPr>
      <w:r>
        <w:rPr>
          <w:kern w:val="0"/>
          <w:szCs w:val="22"/>
        </w:rPr>
        <w:t xml:space="preserve">If you answered “no” to question II.A.2 or II.A.2.a, then you are not required to respond to the remaining questions in II.A or the questions in II.D.  </w:t>
      </w:r>
    </w:p>
    <w:p w:rsidR="00F97D54" w:rsidRDefault="00F97D54">
      <w:pPr>
        <w:rPr>
          <w:kern w:val="0"/>
        </w:rPr>
      </w:pPr>
    </w:p>
    <w:p w:rsidR="00F97D54" w:rsidRDefault="00F97D54">
      <w:pPr>
        <w:rPr>
          <w:b/>
          <w:kern w:val="0"/>
        </w:rPr>
      </w:pPr>
      <w:r>
        <w:rPr>
          <w:b/>
          <w:kern w:val="0"/>
        </w:rPr>
        <w:t>Facilities Information</w:t>
      </w:r>
    </w:p>
    <w:p w:rsidR="00F97D54" w:rsidRDefault="00F97D54">
      <w:pPr>
        <w:rPr>
          <w:kern w:val="0"/>
        </w:rPr>
      </w:pPr>
    </w:p>
    <w:p w:rsidR="00F97D54" w:rsidRDefault="00F97D54" w:rsidP="00EB5B97">
      <w:pPr>
        <w:numPr>
          <w:ilvl w:val="0"/>
          <w:numId w:val="63"/>
        </w:numPr>
        <w:tabs>
          <w:tab w:val="clear" w:pos="576"/>
          <w:tab w:val="num" w:pos="720"/>
        </w:tabs>
        <w:autoSpaceDE w:val="0"/>
        <w:autoSpaceDN w:val="0"/>
        <w:adjustRightInd w:val="0"/>
        <w:contextualSpacing/>
        <w:rPr>
          <w:kern w:val="0"/>
        </w:rPr>
      </w:pPr>
      <w:r>
        <w:rPr>
          <w:color w:val="000000"/>
          <w:kern w:val="0"/>
          <w:szCs w:val="22"/>
        </w:rPr>
        <w:t xml:space="preserve">Provide the total number of </w:t>
      </w:r>
      <w:r>
        <w:rPr>
          <w:i/>
          <w:color w:val="000000"/>
          <w:kern w:val="0"/>
          <w:szCs w:val="22"/>
        </w:rPr>
        <w:t>Locations</w:t>
      </w:r>
      <w:r>
        <w:rPr>
          <w:color w:val="000000"/>
          <w:kern w:val="0"/>
          <w:szCs w:val="22"/>
        </w:rPr>
        <w:t xml:space="preserve"> to which you had a </w:t>
      </w:r>
      <w:r>
        <w:rPr>
          <w:i/>
          <w:color w:val="000000"/>
          <w:kern w:val="0"/>
          <w:szCs w:val="22"/>
        </w:rPr>
        <w:t>Connection</w:t>
      </w:r>
      <w:r>
        <w:rPr>
          <w:color w:val="000000"/>
          <w:kern w:val="0"/>
          <w:szCs w:val="22"/>
        </w:rPr>
        <w:t xml:space="preserve"> during 2010 and during 2012 where your company:  (i) </w:t>
      </w:r>
      <w:r w:rsidRPr="008673A2">
        <w:rPr>
          <w:color w:val="000000"/>
          <w:kern w:val="0"/>
          <w:szCs w:val="22"/>
        </w:rPr>
        <w:t>own</w:t>
      </w:r>
      <w:r>
        <w:rPr>
          <w:color w:val="000000"/>
          <w:kern w:val="0"/>
          <w:szCs w:val="22"/>
        </w:rPr>
        <w:t>ed</w:t>
      </w:r>
      <w:r w:rsidRPr="008673A2">
        <w:rPr>
          <w:color w:val="000000"/>
          <w:kern w:val="0"/>
          <w:szCs w:val="22"/>
        </w:rPr>
        <w:t xml:space="preserve"> the </w:t>
      </w:r>
      <w:r w:rsidRPr="008673A2">
        <w:rPr>
          <w:i/>
          <w:color w:val="000000"/>
          <w:kern w:val="0"/>
          <w:szCs w:val="22"/>
        </w:rPr>
        <w:t>Connection</w:t>
      </w:r>
      <w:r w:rsidRPr="003B3B66">
        <w:rPr>
          <w:color w:val="000000"/>
          <w:kern w:val="0"/>
          <w:szCs w:val="22"/>
        </w:rPr>
        <w:t>;</w:t>
      </w:r>
      <w:r>
        <w:rPr>
          <w:color w:val="000000"/>
          <w:kern w:val="0"/>
          <w:szCs w:val="22"/>
        </w:rPr>
        <w:t xml:space="preserve"> (ii) </w:t>
      </w:r>
      <w:r w:rsidRPr="008673A2">
        <w:rPr>
          <w:color w:val="000000"/>
          <w:kern w:val="0"/>
          <w:szCs w:val="22"/>
        </w:rPr>
        <w:t>lease</w:t>
      </w:r>
      <w:r>
        <w:rPr>
          <w:color w:val="000000"/>
          <w:kern w:val="0"/>
          <w:szCs w:val="22"/>
        </w:rPr>
        <w:t>d</w:t>
      </w:r>
      <w:r w:rsidRPr="008673A2">
        <w:rPr>
          <w:color w:val="000000"/>
          <w:kern w:val="0"/>
          <w:szCs w:val="22"/>
        </w:rPr>
        <w:t xml:space="preserve"> the </w:t>
      </w:r>
      <w:r w:rsidRPr="003B3B66">
        <w:rPr>
          <w:i/>
          <w:color w:val="000000"/>
          <w:kern w:val="0"/>
          <w:szCs w:val="22"/>
        </w:rPr>
        <w:t>Connection</w:t>
      </w:r>
      <w:r w:rsidRPr="003B3B66">
        <w:rPr>
          <w:color w:val="000000"/>
          <w:kern w:val="0"/>
          <w:szCs w:val="22"/>
        </w:rPr>
        <w:t xml:space="preserve"> from another entity under an </w:t>
      </w:r>
      <w:r w:rsidRPr="003B3B66">
        <w:rPr>
          <w:i/>
          <w:color w:val="000000"/>
          <w:kern w:val="0"/>
          <w:szCs w:val="22"/>
        </w:rPr>
        <w:t>IRU</w:t>
      </w:r>
      <w:r w:rsidRPr="003B3B66">
        <w:rPr>
          <w:color w:val="000000"/>
          <w:kern w:val="0"/>
          <w:szCs w:val="22"/>
        </w:rPr>
        <w:t xml:space="preserve"> agreement; or</w:t>
      </w:r>
      <w:r>
        <w:rPr>
          <w:color w:val="000000"/>
          <w:kern w:val="0"/>
          <w:szCs w:val="22"/>
        </w:rPr>
        <w:t xml:space="preserve"> (iii) </w:t>
      </w:r>
      <w:r w:rsidRPr="008673A2">
        <w:rPr>
          <w:color w:val="000000"/>
          <w:kern w:val="0"/>
          <w:szCs w:val="22"/>
        </w:rPr>
        <w:t>obtain</w:t>
      </w:r>
      <w:r>
        <w:rPr>
          <w:color w:val="000000"/>
          <w:kern w:val="0"/>
          <w:szCs w:val="22"/>
        </w:rPr>
        <w:t>ed</w:t>
      </w:r>
      <w:r w:rsidRPr="008673A2">
        <w:rPr>
          <w:color w:val="000000"/>
          <w:kern w:val="0"/>
          <w:szCs w:val="22"/>
        </w:rPr>
        <w:t xml:space="preserve"> the </w:t>
      </w:r>
      <w:r w:rsidRPr="003B3B66">
        <w:rPr>
          <w:i/>
          <w:color w:val="000000"/>
          <w:kern w:val="0"/>
          <w:szCs w:val="22"/>
        </w:rPr>
        <w:t>Connection</w:t>
      </w:r>
      <w:r w:rsidRPr="003B3B66">
        <w:rPr>
          <w:color w:val="000000"/>
          <w:kern w:val="0"/>
          <w:szCs w:val="22"/>
        </w:rPr>
        <w:t xml:space="preserve"> as a </w:t>
      </w:r>
      <w:r w:rsidRPr="003B3B66">
        <w:rPr>
          <w:i/>
          <w:color w:val="000000"/>
          <w:kern w:val="0"/>
          <w:szCs w:val="22"/>
        </w:rPr>
        <w:t>UNE</w:t>
      </w:r>
      <w:r w:rsidRPr="003B3B66">
        <w:rPr>
          <w:color w:val="000000"/>
          <w:kern w:val="0"/>
          <w:szCs w:val="22"/>
        </w:rPr>
        <w:t xml:space="preserve"> from an </w:t>
      </w:r>
      <w:r w:rsidRPr="003B3B66">
        <w:rPr>
          <w:i/>
          <w:color w:val="000000"/>
          <w:kern w:val="0"/>
          <w:szCs w:val="22"/>
        </w:rPr>
        <w:t>ILEC</w:t>
      </w:r>
      <w:r w:rsidRPr="003B3B66">
        <w:rPr>
          <w:color w:val="000000"/>
          <w:kern w:val="0"/>
          <w:szCs w:val="22"/>
        </w:rPr>
        <w:t xml:space="preserve"> </w:t>
      </w:r>
      <w:r w:rsidRPr="00517176">
        <w:rPr>
          <w:color w:val="000000"/>
          <w:kern w:val="0"/>
          <w:szCs w:val="22"/>
        </w:rPr>
        <w:t xml:space="preserve">in the form of </w:t>
      </w:r>
      <w:r w:rsidRPr="00517176">
        <w:rPr>
          <w:i/>
          <w:color w:val="000000"/>
          <w:kern w:val="0"/>
          <w:szCs w:val="22"/>
        </w:rPr>
        <w:t>DS1s</w:t>
      </w:r>
      <w:r>
        <w:rPr>
          <w:color w:val="000000"/>
          <w:kern w:val="0"/>
          <w:szCs w:val="22"/>
        </w:rPr>
        <w:t xml:space="preserve">, </w:t>
      </w:r>
      <w:r w:rsidRPr="00517176">
        <w:rPr>
          <w:i/>
          <w:color w:val="000000"/>
          <w:kern w:val="0"/>
          <w:szCs w:val="22"/>
        </w:rPr>
        <w:t>DS3</w:t>
      </w:r>
      <w:r>
        <w:rPr>
          <w:i/>
          <w:color w:val="000000"/>
          <w:kern w:val="0"/>
          <w:szCs w:val="22"/>
        </w:rPr>
        <w:t>s</w:t>
      </w:r>
      <w:r>
        <w:rPr>
          <w:color w:val="000000"/>
          <w:kern w:val="0"/>
          <w:szCs w:val="22"/>
        </w:rPr>
        <w:t>,</w:t>
      </w:r>
      <w:r w:rsidRPr="00517176">
        <w:rPr>
          <w:color w:val="000000"/>
          <w:kern w:val="0"/>
          <w:szCs w:val="22"/>
        </w:rPr>
        <w:t xml:space="preserve"> or</w:t>
      </w:r>
      <w:r>
        <w:rPr>
          <w:color w:val="000000"/>
          <w:kern w:val="0"/>
          <w:szCs w:val="22"/>
        </w:rPr>
        <w:t xml:space="preserve"> </w:t>
      </w:r>
      <w:r w:rsidRPr="00517176">
        <w:rPr>
          <w:i/>
          <w:kern w:val="0"/>
        </w:rPr>
        <w:t>Unbundled Copper Loop</w:t>
      </w:r>
      <w:r>
        <w:rPr>
          <w:i/>
          <w:kern w:val="0"/>
        </w:rPr>
        <w:t>s</w:t>
      </w:r>
      <w:r w:rsidRPr="008673A2">
        <w:rPr>
          <w:color w:val="000000"/>
          <w:kern w:val="0"/>
          <w:szCs w:val="22"/>
        </w:rPr>
        <w:t xml:space="preserve"> to provide a </w:t>
      </w:r>
      <w:r w:rsidRPr="003B3B66">
        <w:rPr>
          <w:i/>
          <w:color w:val="000000"/>
          <w:kern w:val="0"/>
          <w:szCs w:val="22"/>
        </w:rPr>
        <w:t>Dedicated Service</w:t>
      </w:r>
      <w:r>
        <w:rPr>
          <w:kern w:val="0"/>
        </w:rPr>
        <w:t xml:space="preserve">.  </w:t>
      </w:r>
    </w:p>
    <w:p w:rsidR="00F97D54" w:rsidRDefault="00F97D54">
      <w:pPr>
        <w:tabs>
          <w:tab w:val="left" w:pos="900"/>
        </w:tabs>
        <w:rPr>
          <w:kern w:val="0"/>
        </w:rPr>
      </w:pPr>
    </w:p>
    <w:p w:rsidR="00F97D54" w:rsidRDefault="00F97D54" w:rsidP="00EB5B97">
      <w:pPr>
        <w:numPr>
          <w:ilvl w:val="0"/>
          <w:numId w:val="87"/>
        </w:numPr>
        <w:tabs>
          <w:tab w:val="clear" w:pos="576"/>
          <w:tab w:val="num" w:pos="720"/>
        </w:tabs>
        <w:spacing w:after="120"/>
        <w:contextualSpacing/>
        <w:rPr>
          <w:rFonts w:eastAsia="MS Minngs"/>
          <w:kern w:val="0"/>
          <w:szCs w:val="22"/>
        </w:rPr>
      </w:pPr>
      <w:r>
        <w:rPr>
          <w:rFonts w:eastAsia="MS Minngs"/>
          <w:kern w:val="0"/>
          <w:szCs w:val="22"/>
        </w:rPr>
        <w:t xml:space="preserve">Provide the information requested below for each </w:t>
      </w:r>
      <w:r>
        <w:rPr>
          <w:rFonts w:eastAsia="MS Minngs"/>
          <w:i/>
          <w:kern w:val="0"/>
          <w:szCs w:val="22"/>
        </w:rPr>
        <w:t>Location</w:t>
      </w:r>
      <w:r>
        <w:rPr>
          <w:rFonts w:eastAsia="MS Minngs"/>
          <w:kern w:val="0"/>
          <w:szCs w:val="22"/>
        </w:rPr>
        <w:t xml:space="preserve"> to which your company had a </w:t>
      </w:r>
      <w:r>
        <w:rPr>
          <w:rFonts w:eastAsia="MS Minngs"/>
          <w:i/>
          <w:kern w:val="0"/>
          <w:szCs w:val="22"/>
        </w:rPr>
        <w:t>Connection</w:t>
      </w:r>
      <w:r>
        <w:rPr>
          <w:rFonts w:eastAsia="MS Minngs"/>
          <w:kern w:val="0"/>
          <w:szCs w:val="22"/>
        </w:rPr>
        <w:t xml:space="preserve"> during 2010 and during 2012 that you:  (i) owned; (ii) leased from another entity under an </w:t>
      </w:r>
      <w:r>
        <w:rPr>
          <w:rFonts w:eastAsia="MS Minngs"/>
          <w:i/>
          <w:kern w:val="0"/>
          <w:szCs w:val="22"/>
        </w:rPr>
        <w:t>IRU</w:t>
      </w:r>
      <w:r>
        <w:rPr>
          <w:rFonts w:eastAsia="MS Minngs"/>
          <w:kern w:val="0"/>
          <w:szCs w:val="22"/>
        </w:rPr>
        <w:t xml:space="preserve"> agreement; or (iii) obtained as a </w:t>
      </w:r>
      <w:r>
        <w:rPr>
          <w:rFonts w:eastAsia="MS Minngs"/>
          <w:i/>
          <w:kern w:val="0"/>
          <w:szCs w:val="22"/>
        </w:rPr>
        <w:t>UNE</w:t>
      </w:r>
      <w:r>
        <w:rPr>
          <w:rFonts w:eastAsia="MS Minngs"/>
          <w:kern w:val="0"/>
          <w:szCs w:val="22"/>
        </w:rPr>
        <w:t xml:space="preserve"> from an </w:t>
      </w:r>
      <w:r>
        <w:rPr>
          <w:rFonts w:eastAsia="MS Minngs"/>
          <w:i/>
          <w:kern w:val="0"/>
          <w:szCs w:val="22"/>
        </w:rPr>
        <w:t>ILEC</w:t>
      </w:r>
      <w:r>
        <w:rPr>
          <w:rFonts w:eastAsia="MS Minngs"/>
          <w:kern w:val="0"/>
          <w:szCs w:val="22"/>
        </w:rPr>
        <w:t xml:space="preserve"> to provide a </w:t>
      </w:r>
      <w:r>
        <w:rPr>
          <w:rFonts w:eastAsia="MS Minngs"/>
          <w:i/>
          <w:kern w:val="0"/>
          <w:szCs w:val="22"/>
        </w:rPr>
        <w:t>Dedicated Service</w:t>
      </w:r>
      <w:r>
        <w:rPr>
          <w:rFonts w:eastAsia="MS Minngs"/>
          <w:kern w:val="0"/>
          <w:szCs w:val="22"/>
        </w:rPr>
        <w:t xml:space="preserve">. </w:t>
      </w:r>
    </w:p>
    <w:p w:rsidR="00F97D54" w:rsidRDefault="00F97D54" w:rsidP="00EB5B97">
      <w:pPr>
        <w:numPr>
          <w:ilvl w:val="3"/>
          <w:numId w:val="40"/>
        </w:numPr>
        <w:tabs>
          <w:tab w:val="num" w:pos="2880"/>
        </w:tabs>
        <w:rPr>
          <w:b/>
          <w:kern w:val="0"/>
          <w:szCs w:val="22"/>
        </w:rPr>
      </w:pPr>
      <w:r>
        <w:rPr>
          <w:kern w:val="0"/>
          <w:szCs w:val="22"/>
        </w:rPr>
        <w:t xml:space="preserve">A unique ID for the </w:t>
      </w:r>
      <w:r>
        <w:rPr>
          <w:i/>
          <w:kern w:val="0"/>
          <w:szCs w:val="22"/>
        </w:rPr>
        <w:t>Location</w:t>
      </w:r>
      <w:r>
        <w:rPr>
          <w:kern w:val="0"/>
          <w:szCs w:val="22"/>
        </w:rPr>
        <w:t>;</w:t>
      </w:r>
    </w:p>
    <w:p w:rsidR="00F97D54" w:rsidRDefault="00F97D54" w:rsidP="00EB5B97">
      <w:pPr>
        <w:numPr>
          <w:ilvl w:val="3"/>
          <w:numId w:val="40"/>
        </w:numPr>
        <w:tabs>
          <w:tab w:val="num" w:pos="2880"/>
        </w:tabs>
        <w:rPr>
          <w:b/>
          <w:kern w:val="0"/>
          <w:szCs w:val="22"/>
        </w:rPr>
      </w:pPr>
      <w:r>
        <w:rPr>
          <w:kern w:val="0"/>
          <w:szCs w:val="22"/>
        </w:rPr>
        <w:t xml:space="preserve">The actual situs address for the </w:t>
      </w:r>
      <w:r>
        <w:rPr>
          <w:i/>
          <w:kern w:val="0"/>
          <w:szCs w:val="22"/>
        </w:rPr>
        <w:t>Location</w:t>
      </w:r>
      <w:r>
        <w:rPr>
          <w:kern w:val="0"/>
          <w:szCs w:val="22"/>
        </w:rPr>
        <w:t xml:space="preserve"> (</w:t>
      </w:r>
      <w:r>
        <w:rPr>
          <w:i/>
          <w:kern w:val="0"/>
          <w:szCs w:val="22"/>
        </w:rPr>
        <w:t>i.e.</w:t>
      </w:r>
      <w:r>
        <w:rPr>
          <w:kern w:val="0"/>
          <w:szCs w:val="22"/>
        </w:rPr>
        <w:t>, land where the building or cell site is located);</w:t>
      </w:r>
    </w:p>
    <w:p w:rsidR="00F97D54" w:rsidRDefault="00F97D54" w:rsidP="00EB5B97">
      <w:pPr>
        <w:numPr>
          <w:ilvl w:val="3"/>
          <w:numId w:val="40"/>
        </w:numPr>
        <w:tabs>
          <w:tab w:val="num" w:pos="2880"/>
        </w:tabs>
        <w:rPr>
          <w:kern w:val="0"/>
          <w:szCs w:val="22"/>
        </w:rPr>
      </w:pPr>
      <w:r>
        <w:rPr>
          <w:kern w:val="0"/>
          <w:szCs w:val="22"/>
        </w:rPr>
        <w:t xml:space="preserve">The geocode for the </w:t>
      </w:r>
      <w:r>
        <w:rPr>
          <w:i/>
          <w:kern w:val="0"/>
          <w:szCs w:val="22"/>
        </w:rPr>
        <w:t>Location</w:t>
      </w:r>
      <w:r>
        <w:rPr>
          <w:kern w:val="0"/>
          <w:szCs w:val="22"/>
        </w:rPr>
        <w:t xml:space="preserve"> (</w:t>
      </w:r>
      <w:r>
        <w:rPr>
          <w:i/>
          <w:kern w:val="0"/>
          <w:szCs w:val="22"/>
        </w:rPr>
        <w:t>i.e.</w:t>
      </w:r>
      <w:r>
        <w:rPr>
          <w:kern w:val="0"/>
          <w:szCs w:val="22"/>
        </w:rPr>
        <w:t>, latitude and longitude);</w:t>
      </w:r>
    </w:p>
    <w:p w:rsidR="00F97D54" w:rsidRDefault="00F97D54" w:rsidP="00EB5B97">
      <w:pPr>
        <w:numPr>
          <w:ilvl w:val="3"/>
          <w:numId w:val="40"/>
        </w:numPr>
        <w:tabs>
          <w:tab w:val="num" w:pos="2880"/>
        </w:tabs>
        <w:rPr>
          <w:kern w:val="0"/>
          <w:szCs w:val="22"/>
        </w:rPr>
      </w:pPr>
      <w:r>
        <w:rPr>
          <w:kern w:val="0"/>
          <w:szCs w:val="22"/>
        </w:rPr>
        <w:t xml:space="preserve">The </w:t>
      </w:r>
      <w:r>
        <w:rPr>
          <w:i/>
          <w:kern w:val="0"/>
          <w:szCs w:val="22"/>
        </w:rPr>
        <w:t>Location</w:t>
      </w:r>
      <w:r>
        <w:rPr>
          <w:kern w:val="0"/>
          <w:szCs w:val="22"/>
        </w:rPr>
        <w:t xml:space="preserve"> type (</w:t>
      </w:r>
      <w:r>
        <w:rPr>
          <w:i/>
          <w:kern w:val="0"/>
          <w:szCs w:val="22"/>
        </w:rPr>
        <w:t>e.g.</w:t>
      </w:r>
      <w:r>
        <w:rPr>
          <w:kern w:val="0"/>
          <w:szCs w:val="22"/>
        </w:rPr>
        <w:t xml:space="preserve">, </w:t>
      </w:r>
      <w:r>
        <w:rPr>
          <w:kern w:val="0"/>
        </w:rPr>
        <w:t xml:space="preserve">building, other man-made structure, cell site in or on a building, free-standing cell site, or a cell site on some other man-made structure </w:t>
      </w:r>
      <w:r>
        <w:rPr>
          <w:kern w:val="0"/>
          <w:szCs w:val="22"/>
        </w:rPr>
        <w:t>like a water tower, billboard, etc</w:t>
      </w:r>
      <w:r>
        <w:rPr>
          <w:i/>
          <w:kern w:val="0"/>
          <w:szCs w:val="22"/>
        </w:rPr>
        <w:t>.</w:t>
      </w:r>
      <w:r>
        <w:rPr>
          <w:kern w:val="0"/>
          <w:szCs w:val="22"/>
        </w:rPr>
        <w:t>);</w:t>
      </w:r>
    </w:p>
    <w:p w:rsidR="00F97D54" w:rsidRDefault="00F97D54" w:rsidP="00EB5B97">
      <w:pPr>
        <w:numPr>
          <w:ilvl w:val="3"/>
          <w:numId w:val="40"/>
        </w:numPr>
        <w:tabs>
          <w:tab w:val="num" w:pos="2880"/>
        </w:tabs>
        <w:rPr>
          <w:kern w:val="0"/>
          <w:szCs w:val="22"/>
        </w:rPr>
      </w:pPr>
      <w:r>
        <w:rPr>
          <w:kern w:val="0"/>
          <w:szCs w:val="22"/>
        </w:rPr>
        <w:t xml:space="preserve">Whether the </w:t>
      </w:r>
      <w:r>
        <w:rPr>
          <w:i/>
          <w:kern w:val="0"/>
          <w:szCs w:val="22"/>
        </w:rPr>
        <w:t>Connection</w:t>
      </w:r>
      <w:r>
        <w:rPr>
          <w:kern w:val="0"/>
          <w:szCs w:val="22"/>
        </w:rPr>
        <w:t xml:space="preserve"> provided to the location uses facilities leased from another entity under an </w:t>
      </w:r>
      <w:r>
        <w:rPr>
          <w:i/>
          <w:kern w:val="0"/>
          <w:szCs w:val="22"/>
        </w:rPr>
        <w:t xml:space="preserve">IRU </w:t>
      </w:r>
      <w:r>
        <w:rPr>
          <w:kern w:val="0"/>
          <w:szCs w:val="22"/>
        </w:rPr>
        <w:t xml:space="preserve">or obtained as a </w:t>
      </w:r>
      <w:r>
        <w:rPr>
          <w:i/>
          <w:kern w:val="0"/>
          <w:szCs w:val="22"/>
        </w:rPr>
        <w:t>DS1/DS3 UNE</w:t>
      </w:r>
      <w:r>
        <w:rPr>
          <w:kern w:val="0"/>
          <w:szCs w:val="22"/>
        </w:rPr>
        <w:t xml:space="preserve"> or </w:t>
      </w:r>
      <w:r>
        <w:rPr>
          <w:i/>
          <w:kern w:val="0"/>
          <w:szCs w:val="22"/>
        </w:rPr>
        <w:t>Unbundled Copper Loop</w:t>
      </w:r>
      <w:r>
        <w:rPr>
          <w:kern w:val="0"/>
          <w:szCs w:val="22"/>
        </w:rPr>
        <w:t>, and in each case, the name of the lessor of the majority of the fiber strands and/or copper loop;</w:t>
      </w:r>
    </w:p>
    <w:p w:rsidR="00F97D54" w:rsidRDefault="00F97D54" w:rsidP="00EB5B97">
      <w:pPr>
        <w:numPr>
          <w:ilvl w:val="3"/>
          <w:numId w:val="40"/>
        </w:numPr>
        <w:tabs>
          <w:tab w:val="num" w:pos="2880"/>
        </w:tabs>
        <w:rPr>
          <w:kern w:val="0"/>
          <w:szCs w:val="22"/>
        </w:rPr>
      </w:pPr>
      <w:r>
        <w:rPr>
          <w:kern w:val="0"/>
          <w:szCs w:val="22"/>
        </w:rPr>
        <w:t xml:space="preserve">Whether any of the </w:t>
      </w:r>
      <w:r>
        <w:rPr>
          <w:i/>
          <w:kern w:val="0"/>
          <w:szCs w:val="22"/>
        </w:rPr>
        <w:t>Connection</w:t>
      </w:r>
      <w:r>
        <w:rPr>
          <w:kern w:val="0"/>
          <w:szCs w:val="22"/>
        </w:rPr>
        <w:t xml:space="preserve"> to the </w:t>
      </w:r>
      <w:r w:rsidRPr="001A5CF8">
        <w:rPr>
          <w:i/>
          <w:kern w:val="0"/>
          <w:szCs w:val="22"/>
        </w:rPr>
        <w:t>Location</w:t>
      </w:r>
      <w:r>
        <w:rPr>
          <w:kern w:val="0"/>
          <w:szCs w:val="22"/>
        </w:rPr>
        <w:t xml:space="preserve"> was provided using fiber;</w:t>
      </w:r>
    </w:p>
    <w:p w:rsidR="00F97D54" w:rsidRDefault="00F97D54" w:rsidP="00EB5B97">
      <w:pPr>
        <w:numPr>
          <w:ilvl w:val="3"/>
          <w:numId w:val="40"/>
        </w:numPr>
        <w:tabs>
          <w:tab w:val="num" w:pos="2880"/>
        </w:tabs>
        <w:rPr>
          <w:kern w:val="0"/>
          <w:szCs w:val="22"/>
        </w:rPr>
      </w:pPr>
      <w:r>
        <w:rPr>
          <w:kern w:val="0"/>
          <w:szCs w:val="22"/>
        </w:rPr>
        <w:t xml:space="preserve">The total sold bandwidth of the </w:t>
      </w:r>
      <w:r>
        <w:rPr>
          <w:i/>
          <w:kern w:val="0"/>
          <w:szCs w:val="22"/>
        </w:rPr>
        <w:t>Connection</w:t>
      </w:r>
      <w:r>
        <w:rPr>
          <w:kern w:val="0"/>
          <w:szCs w:val="22"/>
        </w:rPr>
        <w:t xml:space="preserve"> provided by you to the </w:t>
      </w:r>
      <w:r>
        <w:rPr>
          <w:i/>
          <w:kern w:val="0"/>
          <w:szCs w:val="22"/>
        </w:rPr>
        <w:t>Location</w:t>
      </w:r>
      <w:r>
        <w:rPr>
          <w:kern w:val="0"/>
          <w:szCs w:val="22"/>
        </w:rPr>
        <w:t xml:space="preserve"> in Mbps; </w:t>
      </w:r>
    </w:p>
    <w:p w:rsidR="00F97D54" w:rsidRDefault="00F97D54" w:rsidP="00EB5B97">
      <w:pPr>
        <w:numPr>
          <w:ilvl w:val="3"/>
          <w:numId w:val="40"/>
        </w:numPr>
        <w:tabs>
          <w:tab w:val="num" w:pos="2880"/>
        </w:tabs>
        <w:rPr>
          <w:kern w:val="0"/>
          <w:szCs w:val="22"/>
        </w:rPr>
      </w:pPr>
      <w:r>
        <w:rPr>
          <w:kern w:val="0"/>
          <w:szCs w:val="22"/>
        </w:rPr>
        <w:t xml:space="preserve">The total bandwidth to the </w:t>
      </w:r>
      <w:r>
        <w:rPr>
          <w:i/>
          <w:kern w:val="0"/>
          <w:szCs w:val="22"/>
        </w:rPr>
        <w:t>Location</w:t>
      </w:r>
      <w:r>
        <w:rPr>
          <w:kern w:val="0"/>
          <w:szCs w:val="22"/>
        </w:rPr>
        <w:t xml:space="preserve"> sold directly by you to an </w:t>
      </w:r>
      <w:r>
        <w:rPr>
          <w:i/>
          <w:kern w:val="0"/>
          <w:szCs w:val="22"/>
        </w:rPr>
        <w:t>End User</w:t>
      </w:r>
      <w:r>
        <w:rPr>
          <w:kern w:val="0"/>
          <w:szCs w:val="22"/>
        </w:rPr>
        <w:t xml:space="preserve">; </w:t>
      </w:r>
    </w:p>
    <w:p w:rsidR="00F97D54" w:rsidRDefault="00F97D54" w:rsidP="00EB5B97">
      <w:pPr>
        <w:numPr>
          <w:ilvl w:val="3"/>
          <w:numId w:val="40"/>
        </w:numPr>
        <w:tabs>
          <w:tab w:val="num" w:pos="2880"/>
        </w:tabs>
        <w:rPr>
          <w:kern w:val="0"/>
          <w:szCs w:val="22"/>
        </w:rPr>
      </w:pPr>
      <w:r>
        <w:rPr>
          <w:kern w:val="0"/>
          <w:szCs w:val="22"/>
        </w:rPr>
        <w:t xml:space="preserve">The total sold fixed wireless bandwidth provided by you to the </w:t>
      </w:r>
      <w:r>
        <w:rPr>
          <w:i/>
          <w:kern w:val="0"/>
          <w:szCs w:val="22"/>
        </w:rPr>
        <w:t>Location</w:t>
      </w:r>
      <w:r>
        <w:rPr>
          <w:kern w:val="0"/>
          <w:szCs w:val="22"/>
        </w:rPr>
        <w:t>; and</w:t>
      </w:r>
    </w:p>
    <w:p w:rsidR="00F97D54" w:rsidRDefault="00F97D54" w:rsidP="00EB5B97">
      <w:pPr>
        <w:numPr>
          <w:ilvl w:val="3"/>
          <w:numId w:val="40"/>
        </w:numPr>
        <w:tabs>
          <w:tab w:val="num" w:pos="2880"/>
        </w:tabs>
        <w:rPr>
          <w:kern w:val="0"/>
          <w:szCs w:val="22"/>
        </w:rPr>
      </w:pPr>
      <w:r>
        <w:rPr>
          <w:kern w:val="0"/>
          <w:szCs w:val="22"/>
        </w:rPr>
        <w:t xml:space="preserve">The total bandwidth sold by you to any cell sites at the </w:t>
      </w:r>
      <w:r>
        <w:rPr>
          <w:i/>
          <w:kern w:val="0"/>
          <w:szCs w:val="22"/>
        </w:rPr>
        <w:t>Location</w:t>
      </w:r>
      <w:r>
        <w:rPr>
          <w:kern w:val="0"/>
          <w:szCs w:val="22"/>
        </w:rPr>
        <w:t>.</w:t>
      </w:r>
    </w:p>
    <w:p w:rsidR="00F97D54" w:rsidRDefault="00F97D54" w:rsidP="00EB5B97">
      <w:pPr>
        <w:numPr>
          <w:ilvl w:val="3"/>
          <w:numId w:val="40"/>
        </w:numPr>
        <w:tabs>
          <w:tab w:val="num" w:pos="2880"/>
        </w:tabs>
        <w:rPr>
          <w:kern w:val="0"/>
          <w:szCs w:val="22"/>
        </w:rPr>
      </w:pPr>
      <w:r>
        <w:rPr>
          <w:kern w:val="0"/>
          <w:szCs w:val="22"/>
        </w:rPr>
        <w:t xml:space="preserve">The total bandwidth provided to you or an </w:t>
      </w:r>
      <w:r w:rsidRPr="00230648">
        <w:rPr>
          <w:i/>
          <w:kern w:val="0"/>
          <w:szCs w:val="22"/>
        </w:rPr>
        <w:t>Affiliated Company</w:t>
      </w:r>
      <w:r>
        <w:rPr>
          <w:kern w:val="0"/>
          <w:szCs w:val="22"/>
        </w:rPr>
        <w:t xml:space="preserve"> for internal use.</w:t>
      </w:r>
    </w:p>
    <w:p w:rsidR="00F97D54" w:rsidRDefault="00F97D54">
      <w:pPr>
        <w:tabs>
          <w:tab w:val="left" w:pos="540"/>
        </w:tabs>
        <w:rPr>
          <w:color w:val="000000"/>
          <w:kern w:val="0"/>
          <w:szCs w:val="22"/>
        </w:rPr>
      </w:pPr>
    </w:p>
    <w:p w:rsidR="00F97D54" w:rsidRDefault="00F97D54" w:rsidP="00BE5996">
      <w:pPr>
        <w:numPr>
          <w:ilvl w:val="0"/>
          <w:numId w:val="88"/>
        </w:numPr>
        <w:tabs>
          <w:tab w:val="clear" w:pos="576"/>
          <w:tab w:val="left" w:pos="720"/>
        </w:tabs>
        <w:rPr>
          <w:kern w:val="0"/>
          <w:szCs w:val="22"/>
        </w:rPr>
      </w:pPr>
      <w:r>
        <w:rPr>
          <w:rFonts w:cs="Tahoma"/>
          <w:kern w:val="0"/>
        </w:rPr>
        <w:t>Provide a map showing the fiber routes that you (a) own or (b) lease pursuant to an</w:t>
      </w:r>
      <w:r>
        <w:rPr>
          <w:rFonts w:cs="Tahoma"/>
          <w:i/>
          <w:kern w:val="0"/>
        </w:rPr>
        <w:t xml:space="preserve"> IRU</w:t>
      </w:r>
      <w:r>
        <w:rPr>
          <w:rFonts w:cs="Tahoma"/>
          <w:kern w:val="0"/>
        </w:rPr>
        <w:t xml:space="preserve"> agreement that constitute your network, including the fiber </w:t>
      </w:r>
      <w:r w:rsidRPr="006C56CA">
        <w:rPr>
          <w:rFonts w:cs="Tahoma"/>
          <w:i/>
          <w:kern w:val="0"/>
        </w:rPr>
        <w:t>Connections</w:t>
      </w:r>
      <w:r>
        <w:rPr>
          <w:rFonts w:cs="Tahoma"/>
          <w:kern w:val="0"/>
        </w:rPr>
        <w:t xml:space="preserve"> to </w:t>
      </w:r>
      <w:r w:rsidRPr="006C56CA">
        <w:rPr>
          <w:rFonts w:cs="Tahoma"/>
          <w:i/>
          <w:kern w:val="0"/>
        </w:rPr>
        <w:t>Locations</w:t>
      </w:r>
      <w:r>
        <w:rPr>
          <w:rFonts w:cs="Tahoma"/>
          <w:kern w:val="0"/>
        </w:rPr>
        <w:t xml:space="preserve">.  In addition, include the locations of all </w:t>
      </w:r>
      <w:r>
        <w:rPr>
          <w:rFonts w:cs="Tahoma"/>
          <w:i/>
          <w:kern w:val="0"/>
        </w:rPr>
        <w:t>Nodes</w:t>
      </w:r>
      <w:r>
        <w:rPr>
          <w:rFonts w:cs="Tahoma"/>
          <w:kern w:val="0"/>
        </w:rPr>
        <w:t xml:space="preserve"> used to interconnect with third party networks, and the year that each </w:t>
      </w:r>
      <w:r>
        <w:rPr>
          <w:rFonts w:cs="Tahoma"/>
          <w:i/>
          <w:kern w:val="0"/>
        </w:rPr>
        <w:t>Node</w:t>
      </w:r>
      <w:r>
        <w:rPr>
          <w:rFonts w:cs="Tahoma"/>
          <w:kern w:val="0"/>
        </w:rPr>
        <w:t xml:space="preserve"> went live.  </w:t>
      </w:r>
      <w:r>
        <w:rPr>
          <w:kern w:val="0"/>
          <w:szCs w:val="22"/>
        </w:rPr>
        <w:t xml:space="preserve">  </w:t>
      </w:r>
    </w:p>
    <w:p w:rsidR="00F97D54" w:rsidRDefault="00F97D54">
      <w:pPr>
        <w:tabs>
          <w:tab w:val="left" w:pos="540"/>
        </w:tabs>
        <w:rPr>
          <w:kern w:val="0"/>
        </w:rPr>
      </w:pPr>
    </w:p>
    <w:p w:rsidR="00F97D54" w:rsidRDefault="00F97D54" w:rsidP="00EB5B97">
      <w:pPr>
        <w:numPr>
          <w:ilvl w:val="0"/>
          <w:numId w:val="88"/>
        </w:numPr>
        <w:tabs>
          <w:tab w:val="clear" w:pos="576"/>
          <w:tab w:val="left" w:pos="720"/>
        </w:tabs>
        <w:rPr>
          <w:color w:val="000000"/>
          <w:kern w:val="0"/>
          <w:szCs w:val="22"/>
        </w:rPr>
      </w:pPr>
      <w:r>
        <w:rPr>
          <w:kern w:val="0"/>
        </w:rPr>
        <w:t xml:space="preserve">We will provide you with a selected list of the </w:t>
      </w:r>
      <w:r>
        <w:rPr>
          <w:i/>
          <w:kern w:val="0"/>
        </w:rPr>
        <w:t>Locations</w:t>
      </w:r>
      <w:r>
        <w:rPr>
          <w:kern w:val="0"/>
        </w:rPr>
        <w:t xml:space="preserve"> you reported in response to question II.A.4.  For each identified </w:t>
      </w:r>
      <w:r>
        <w:rPr>
          <w:i/>
          <w:kern w:val="0"/>
        </w:rPr>
        <w:t>Location</w:t>
      </w:r>
      <w:r>
        <w:rPr>
          <w:kern w:val="0"/>
        </w:rPr>
        <w:t xml:space="preserve">, state the month and year that you first provided a </w:t>
      </w:r>
      <w:r>
        <w:rPr>
          <w:i/>
          <w:kern w:val="0"/>
        </w:rPr>
        <w:t>Connection</w:t>
      </w:r>
      <w:r>
        <w:rPr>
          <w:kern w:val="0"/>
        </w:rPr>
        <w:t xml:space="preserve"> to that </w:t>
      </w:r>
      <w:r>
        <w:rPr>
          <w:i/>
          <w:kern w:val="0"/>
        </w:rPr>
        <w:t>Location</w:t>
      </w:r>
      <w:r>
        <w:rPr>
          <w:kern w:val="0"/>
        </w:rPr>
        <w:t xml:space="preserve">, whether you originally supplied the </w:t>
      </w:r>
      <w:r>
        <w:rPr>
          <w:i/>
          <w:kern w:val="0"/>
        </w:rPr>
        <w:t>Location</w:t>
      </w:r>
      <w:r>
        <w:rPr>
          <w:kern w:val="0"/>
        </w:rPr>
        <w:t xml:space="preserve"> over a </w:t>
      </w:r>
      <w:r>
        <w:rPr>
          <w:i/>
          <w:kern w:val="0"/>
        </w:rPr>
        <w:t>UNE</w:t>
      </w:r>
      <w:r>
        <w:rPr>
          <w:kern w:val="0"/>
        </w:rPr>
        <w:t xml:space="preserve">, and if so, when (if at all) you switched to using a </w:t>
      </w:r>
      <w:r>
        <w:rPr>
          <w:i/>
          <w:kern w:val="0"/>
        </w:rPr>
        <w:t>Connection</w:t>
      </w:r>
      <w:r>
        <w:rPr>
          <w:kern w:val="0"/>
        </w:rPr>
        <w:t xml:space="preserve"> that you own or lease as an </w:t>
      </w:r>
      <w:r>
        <w:rPr>
          <w:i/>
          <w:kern w:val="0"/>
        </w:rPr>
        <w:t>IRU</w:t>
      </w:r>
      <w:r>
        <w:rPr>
          <w:kern w:val="0"/>
        </w:rPr>
        <w:t xml:space="preserve">.  If the </w:t>
      </w:r>
      <w:r>
        <w:rPr>
          <w:i/>
          <w:kern w:val="0"/>
        </w:rPr>
        <w:t>Location</w:t>
      </w:r>
      <w:r>
        <w:rPr>
          <w:kern w:val="0"/>
        </w:rPr>
        <w:t xml:space="preserve"> was first served by your </w:t>
      </w:r>
      <w:r>
        <w:rPr>
          <w:i/>
          <w:kern w:val="0"/>
        </w:rPr>
        <w:t>Connection</w:t>
      </w:r>
      <w:r>
        <w:rPr>
          <w:kern w:val="0"/>
        </w:rPr>
        <w:t xml:space="preserve"> on or before January 2008, and the date the </w:t>
      </w:r>
      <w:r>
        <w:rPr>
          <w:i/>
          <w:kern w:val="0"/>
        </w:rPr>
        <w:t>Location</w:t>
      </w:r>
      <w:r>
        <w:rPr>
          <w:kern w:val="0"/>
        </w:rPr>
        <w:t xml:space="preserve"> was first served is unknown, then enter 00/0000.  </w:t>
      </w:r>
    </w:p>
    <w:p w:rsidR="00F97D54" w:rsidRDefault="00F97D54">
      <w:pPr>
        <w:rPr>
          <w:kern w:val="0"/>
        </w:rPr>
      </w:pPr>
    </w:p>
    <w:p w:rsidR="00F97D54" w:rsidRDefault="00F97D54" w:rsidP="00EB5B97">
      <w:pPr>
        <w:numPr>
          <w:ilvl w:val="0"/>
          <w:numId w:val="88"/>
        </w:numPr>
        <w:tabs>
          <w:tab w:val="clear" w:pos="576"/>
          <w:tab w:val="left" w:pos="720"/>
        </w:tabs>
        <w:rPr>
          <w:color w:val="000000"/>
          <w:kern w:val="0"/>
          <w:szCs w:val="22"/>
        </w:rPr>
      </w:pPr>
      <w:r>
        <w:rPr>
          <w:kern w:val="0"/>
          <w:szCs w:val="22"/>
        </w:rPr>
        <w:t xml:space="preserve">For each </w:t>
      </w:r>
      <w:r>
        <w:rPr>
          <w:i/>
          <w:kern w:val="0"/>
          <w:szCs w:val="22"/>
        </w:rPr>
        <w:t>ILEC</w:t>
      </w:r>
      <w:r>
        <w:rPr>
          <w:kern w:val="0"/>
          <w:szCs w:val="22"/>
        </w:rPr>
        <w:t xml:space="preserve"> wire center where your company is collocated, provide the actual situs address, the geocode, and the CLLI code.  </w:t>
      </w:r>
    </w:p>
    <w:p w:rsidR="00F97D54" w:rsidRDefault="00F97D54">
      <w:pPr>
        <w:rPr>
          <w:kern w:val="0"/>
        </w:rPr>
      </w:pPr>
    </w:p>
    <w:p w:rsidR="00F97D54" w:rsidRDefault="00F97D54" w:rsidP="00EB5B97">
      <w:pPr>
        <w:numPr>
          <w:ilvl w:val="0"/>
          <w:numId w:val="88"/>
        </w:numPr>
        <w:tabs>
          <w:tab w:val="clear" w:pos="576"/>
          <w:tab w:val="left" w:pos="720"/>
        </w:tabs>
        <w:spacing w:after="120"/>
        <w:rPr>
          <w:color w:val="000000"/>
          <w:kern w:val="0"/>
          <w:szCs w:val="22"/>
        </w:rPr>
      </w:pPr>
      <w:r>
        <w:rPr>
          <w:color w:val="000000"/>
          <w:kern w:val="0"/>
          <w:szCs w:val="22"/>
        </w:rPr>
        <w:t xml:space="preserve">Explain your business rule(s) used to determine whether to build a </w:t>
      </w:r>
      <w:r>
        <w:rPr>
          <w:i/>
          <w:color w:val="000000"/>
          <w:kern w:val="0"/>
          <w:szCs w:val="22"/>
        </w:rPr>
        <w:t>Connection</w:t>
      </w:r>
      <w:r>
        <w:rPr>
          <w:color w:val="000000"/>
          <w:kern w:val="0"/>
          <w:szCs w:val="22"/>
        </w:rPr>
        <w:t xml:space="preserve"> to a particular </w:t>
      </w:r>
      <w:r>
        <w:rPr>
          <w:i/>
          <w:color w:val="000000"/>
          <w:kern w:val="0"/>
          <w:szCs w:val="22"/>
        </w:rPr>
        <w:t>Location</w:t>
      </w:r>
      <w:r>
        <w:rPr>
          <w:color w:val="000000"/>
          <w:kern w:val="0"/>
          <w:szCs w:val="22"/>
        </w:rPr>
        <w:t xml:space="preserve">.  Provide underlying assumptions. </w:t>
      </w:r>
    </w:p>
    <w:p w:rsidR="00F97D54" w:rsidRDefault="00F97D54" w:rsidP="00EB5B97">
      <w:pPr>
        <w:numPr>
          <w:ilvl w:val="0"/>
          <w:numId w:val="33"/>
        </w:numPr>
        <w:rPr>
          <w:color w:val="000000"/>
          <w:kern w:val="0"/>
          <w:szCs w:val="22"/>
        </w:rPr>
      </w:pPr>
      <w:r w:rsidRPr="00F32143">
        <w:rPr>
          <w:color w:val="000000"/>
          <w:kern w:val="0"/>
          <w:szCs w:val="22"/>
        </w:rPr>
        <w:t xml:space="preserve">Describe the business rules and other factors that determine where you build your </w:t>
      </w:r>
      <w:r w:rsidRPr="00F32143">
        <w:rPr>
          <w:i/>
          <w:color w:val="000000"/>
          <w:kern w:val="0"/>
          <w:szCs w:val="22"/>
        </w:rPr>
        <w:t>Connections</w:t>
      </w:r>
      <w:r w:rsidRPr="00F32143">
        <w:rPr>
          <w:color w:val="000000"/>
          <w:kern w:val="0"/>
          <w:szCs w:val="22"/>
        </w:rPr>
        <w:t xml:space="preserve">.  Examples of such rules/factors are minimum </w:t>
      </w:r>
      <w:r w:rsidRPr="00F32143">
        <w:rPr>
          <w:i/>
          <w:color w:val="000000"/>
          <w:kern w:val="0"/>
          <w:szCs w:val="22"/>
        </w:rPr>
        <w:t>Term Commitments</w:t>
      </w:r>
      <w:r w:rsidRPr="00F32143">
        <w:rPr>
          <w:color w:val="000000"/>
          <w:kern w:val="0"/>
          <w:szCs w:val="22"/>
        </w:rPr>
        <w:t xml:space="preserve"> or minimum capacity commitments by the buyer; maximum build distances from the building to your core network; and/or number of competitors in the area.  Include, also, any factors that would prevent you from building a </w:t>
      </w:r>
      <w:r w:rsidRPr="00F32143">
        <w:rPr>
          <w:i/>
          <w:color w:val="000000"/>
          <w:kern w:val="0"/>
          <w:szCs w:val="22"/>
        </w:rPr>
        <w:t>Connection</w:t>
      </w:r>
      <w:r w:rsidRPr="00F32143">
        <w:rPr>
          <w:color w:val="000000"/>
          <w:kern w:val="0"/>
          <w:szCs w:val="22"/>
        </w:rPr>
        <w:t xml:space="preserve"> to an otherwise suitable </w:t>
      </w:r>
      <w:r w:rsidRPr="00F32143">
        <w:rPr>
          <w:i/>
          <w:color w:val="000000"/>
          <w:kern w:val="0"/>
          <w:szCs w:val="22"/>
        </w:rPr>
        <w:t>Location</w:t>
      </w:r>
      <w:r w:rsidRPr="00F32143">
        <w:rPr>
          <w:color w:val="000000"/>
          <w:kern w:val="0"/>
          <w:szCs w:val="22"/>
        </w:rPr>
        <w:t>.  These could be factors that are under your control or those that are not.</w:t>
      </w:r>
      <w:r>
        <w:rPr>
          <w:color w:val="000000"/>
          <w:kern w:val="0"/>
          <w:szCs w:val="22"/>
        </w:rPr>
        <w:t xml:space="preserve">  </w:t>
      </w:r>
    </w:p>
    <w:p w:rsidR="00F97D54" w:rsidRPr="00F32143" w:rsidRDefault="00F97D54" w:rsidP="00EB5B97">
      <w:pPr>
        <w:numPr>
          <w:ilvl w:val="0"/>
          <w:numId w:val="33"/>
        </w:numPr>
        <w:rPr>
          <w:kern w:val="0"/>
        </w:rPr>
      </w:pPr>
      <w:r>
        <w:rPr>
          <w:color w:val="000000"/>
          <w:kern w:val="0"/>
          <w:szCs w:val="22"/>
        </w:rPr>
        <w:t>Explain how, if at all, business density is incorporated into your business rule, and if so, how you measure business density.</w:t>
      </w:r>
    </w:p>
    <w:p w:rsidR="00F97D54" w:rsidRDefault="00F97D54" w:rsidP="00EB5B97">
      <w:pPr>
        <w:numPr>
          <w:ilvl w:val="0"/>
          <w:numId w:val="33"/>
        </w:numPr>
        <w:rPr>
          <w:kern w:val="0"/>
        </w:rPr>
      </w:pPr>
      <w:r w:rsidRPr="00F32143">
        <w:rPr>
          <w:kern w:val="0"/>
        </w:rPr>
        <w:t xml:space="preserve">In areas where your business rule has been most successful, explain why. </w:t>
      </w:r>
      <w:r>
        <w:rPr>
          <w:kern w:val="0"/>
        </w:rPr>
        <w:t xml:space="preserve"> </w:t>
      </w:r>
      <w:r w:rsidRPr="00F32143">
        <w:rPr>
          <w:kern w:val="0"/>
        </w:rPr>
        <w:t xml:space="preserve">Provide examples of </w:t>
      </w:r>
      <w:r>
        <w:rPr>
          <w:kern w:val="0"/>
        </w:rPr>
        <w:t xml:space="preserve">geographic </w:t>
      </w:r>
      <w:r w:rsidRPr="00F32143">
        <w:rPr>
          <w:kern w:val="0"/>
        </w:rPr>
        <w:t xml:space="preserve">regions (if any) where you generally were or are able to successfully deploy </w:t>
      </w:r>
      <w:r w:rsidRPr="00F32143">
        <w:rPr>
          <w:i/>
          <w:kern w:val="0"/>
        </w:rPr>
        <w:t>Connections</w:t>
      </w:r>
      <w:r w:rsidRPr="00F32143">
        <w:rPr>
          <w:kern w:val="0"/>
        </w:rPr>
        <w:t xml:space="preserve">, and where you generally have experienced or currently experience serious difficulties in deploying </w:t>
      </w:r>
      <w:r w:rsidRPr="00F32143">
        <w:rPr>
          <w:i/>
          <w:kern w:val="0"/>
        </w:rPr>
        <w:t>Connections</w:t>
      </w:r>
      <w:r w:rsidRPr="00F32143">
        <w:rPr>
          <w:kern w:val="0"/>
        </w:rPr>
        <w:t>, and, if you are able to provide examples of both kind of regions, indicate what distinguishes these different regions.</w:t>
      </w:r>
    </w:p>
    <w:p w:rsidR="00F97D54" w:rsidRDefault="00F97D54">
      <w:pPr>
        <w:rPr>
          <w:kern w:val="0"/>
        </w:rPr>
      </w:pPr>
    </w:p>
    <w:p w:rsidR="00F97D54" w:rsidRDefault="00F97D54" w:rsidP="00EB5B97">
      <w:pPr>
        <w:numPr>
          <w:ilvl w:val="0"/>
          <w:numId w:val="89"/>
        </w:numPr>
        <w:tabs>
          <w:tab w:val="clear" w:pos="576"/>
          <w:tab w:val="num" w:pos="720"/>
        </w:tabs>
        <w:rPr>
          <w:kern w:val="0"/>
        </w:rPr>
      </w:pPr>
      <w:r>
        <w:rPr>
          <w:kern w:val="0"/>
        </w:rPr>
        <w:t xml:space="preserve">Provide the following information:  </w:t>
      </w:r>
    </w:p>
    <w:p w:rsidR="00F97D54" w:rsidRDefault="00F97D54" w:rsidP="00EB5B97">
      <w:pPr>
        <w:numPr>
          <w:ilvl w:val="0"/>
          <w:numId w:val="38"/>
        </w:numPr>
        <w:rPr>
          <w:kern w:val="0"/>
        </w:rPr>
      </w:pPr>
      <w:r>
        <w:rPr>
          <w:kern w:val="0"/>
        </w:rPr>
        <w:t>The current situs address of your U.S. headquarters (</w:t>
      </w:r>
      <w:r>
        <w:rPr>
          <w:i/>
          <w:kern w:val="0"/>
        </w:rPr>
        <w:t>i.e.</w:t>
      </w:r>
      <w:r>
        <w:rPr>
          <w:kern w:val="0"/>
        </w:rPr>
        <w:t>, the address of the land where the headquarters is located);</w:t>
      </w:r>
    </w:p>
    <w:p w:rsidR="00F97D54" w:rsidRDefault="00F97D54" w:rsidP="00EB5B97">
      <w:pPr>
        <w:numPr>
          <w:ilvl w:val="0"/>
          <w:numId w:val="38"/>
        </w:numPr>
        <w:rPr>
          <w:kern w:val="0"/>
        </w:rPr>
      </w:pPr>
      <w:r>
        <w:rPr>
          <w:kern w:val="0"/>
        </w:rPr>
        <w:t>The year that this site became your headquarters;</w:t>
      </w:r>
    </w:p>
    <w:p w:rsidR="00F97D54" w:rsidRDefault="00F97D54" w:rsidP="00EB5B97">
      <w:pPr>
        <w:numPr>
          <w:ilvl w:val="0"/>
          <w:numId w:val="38"/>
        </w:numPr>
        <w:rPr>
          <w:kern w:val="0"/>
        </w:rPr>
      </w:pPr>
      <w:r>
        <w:rPr>
          <w:kern w:val="0"/>
        </w:rPr>
        <w:t xml:space="preserve">Year established and situs address for any prior U.S. headquarters’ location for your company, going as far back as 1995, if different from the headquarters’ location listed in response to question II.A.9.a;  </w:t>
      </w:r>
    </w:p>
    <w:p w:rsidR="00F97D54" w:rsidRDefault="00F97D54" w:rsidP="00EB5B97">
      <w:pPr>
        <w:numPr>
          <w:ilvl w:val="0"/>
          <w:numId w:val="38"/>
        </w:numPr>
        <w:rPr>
          <w:kern w:val="0"/>
        </w:rPr>
      </w:pPr>
      <w:r>
        <w:rPr>
          <w:kern w:val="0"/>
        </w:rPr>
        <w:t xml:space="preserve">Going as far back as 1995, the date of acquisition and the situs address for the U.S. headquarters location of any entity that owned, or leased under an </w:t>
      </w:r>
      <w:r>
        <w:rPr>
          <w:i/>
          <w:kern w:val="0"/>
        </w:rPr>
        <w:t>IRU</w:t>
      </w:r>
      <w:r>
        <w:rPr>
          <w:kern w:val="0"/>
        </w:rPr>
        <w:t xml:space="preserve"> agreement, </w:t>
      </w:r>
      <w:r>
        <w:rPr>
          <w:i/>
          <w:kern w:val="0"/>
        </w:rPr>
        <w:t>Connections</w:t>
      </w:r>
      <w:r>
        <w:rPr>
          <w:kern w:val="0"/>
        </w:rPr>
        <w:t xml:space="preserve"> to five or more </w:t>
      </w:r>
      <w:r>
        <w:rPr>
          <w:i/>
          <w:kern w:val="0"/>
        </w:rPr>
        <w:t>Locations</w:t>
      </w:r>
      <w:r>
        <w:rPr>
          <w:kern w:val="0"/>
        </w:rPr>
        <w:t xml:space="preserve"> in any </w:t>
      </w:r>
      <w:r>
        <w:rPr>
          <w:i/>
          <w:kern w:val="0"/>
        </w:rPr>
        <w:t>MSA</w:t>
      </w:r>
      <w:r>
        <w:rPr>
          <w:kern w:val="0"/>
        </w:rPr>
        <w:t xml:space="preserve"> at the time you acquired the entity in a merger where you or your subsidiary was the surviving entity.    </w:t>
      </w:r>
    </w:p>
    <w:p w:rsidR="00F97D54" w:rsidRDefault="00F97D54" w:rsidP="00EB5B97">
      <w:pPr>
        <w:numPr>
          <w:ilvl w:val="0"/>
          <w:numId w:val="38"/>
        </w:numPr>
        <w:rPr>
          <w:kern w:val="0"/>
        </w:rPr>
      </w:pPr>
      <w:r>
        <w:rPr>
          <w:kern w:val="0"/>
        </w:rPr>
        <w:t xml:space="preserve">The name of any </w:t>
      </w:r>
      <w:r>
        <w:rPr>
          <w:i/>
          <w:kern w:val="0"/>
        </w:rPr>
        <w:t xml:space="preserve">Affiliated Company </w:t>
      </w:r>
      <w:r>
        <w:rPr>
          <w:kern w:val="0"/>
        </w:rPr>
        <w:t xml:space="preserve">that owned, or leased under an </w:t>
      </w:r>
      <w:r>
        <w:rPr>
          <w:i/>
          <w:kern w:val="0"/>
        </w:rPr>
        <w:t>IRU</w:t>
      </w:r>
      <w:r>
        <w:rPr>
          <w:kern w:val="0"/>
        </w:rPr>
        <w:t xml:space="preserve"> agreement, </w:t>
      </w:r>
      <w:r>
        <w:rPr>
          <w:i/>
          <w:kern w:val="0"/>
        </w:rPr>
        <w:t>Connections</w:t>
      </w:r>
      <w:r>
        <w:rPr>
          <w:kern w:val="0"/>
        </w:rPr>
        <w:t xml:space="preserve"> to five or more </w:t>
      </w:r>
      <w:r>
        <w:rPr>
          <w:i/>
          <w:kern w:val="0"/>
        </w:rPr>
        <w:t>Locations</w:t>
      </w:r>
      <w:r>
        <w:rPr>
          <w:kern w:val="0"/>
        </w:rPr>
        <w:t xml:space="preserve"> in any </w:t>
      </w:r>
      <w:r>
        <w:rPr>
          <w:i/>
          <w:kern w:val="0"/>
        </w:rPr>
        <w:t>MSA</w:t>
      </w:r>
      <w:r>
        <w:rPr>
          <w:kern w:val="0"/>
        </w:rPr>
        <w:t xml:space="preserve"> at the time you became affiliated with the </w:t>
      </w:r>
      <w:r>
        <w:rPr>
          <w:i/>
          <w:kern w:val="0"/>
        </w:rPr>
        <w:t>Affiliated Company</w:t>
      </w:r>
      <w:r>
        <w:rPr>
          <w:kern w:val="0"/>
        </w:rPr>
        <w:t>, going as far back as 1995.</w:t>
      </w:r>
    </w:p>
    <w:p w:rsidR="00F97D54" w:rsidRDefault="00F97D54" w:rsidP="00EB5B97">
      <w:pPr>
        <w:numPr>
          <w:ilvl w:val="0"/>
          <w:numId w:val="38"/>
        </w:numPr>
        <w:rPr>
          <w:kern w:val="0"/>
        </w:rPr>
      </w:pPr>
      <w:r>
        <w:rPr>
          <w:kern w:val="0"/>
        </w:rPr>
        <w:t xml:space="preserve">For each </w:t>
      </w:r>
      <w:r>
        <w:rPr>
          <w:i/>
          <w:kern w:val="0"/>
        </w:rPr>
        <w:t>Affiliated Company</w:t>
      </w:r>
      <w:r>
        <w:rPr>
          <w:kern w:val="0"/>
        </w:rPr>
        <w:t xml:space="preserve"> listed in response to question II.A.9.e, provide:</w:t>
      </w:r>
    </w:p>
    <w:p w:rsidR="00F97D54" w:rsidRDefault="00F97D54" w:rsidP="00EB5B97">
      <w:pPr>
        <w:numPr>
          <w:ilvl w:val="1"/>
          <w:numId w:val="38"/>
        </w:numPr>
        <w:rPr>
          <w:kern w:val="0"/>
        </w:rPr>
      </w:pPr>
      <w:r>
        <w:rPr>
          <w:kern w:val="0"/>
        </w:rPr>
        <w:t>The year of affiliation;</w:t>
      </w:r>
    </w:p>
    <w:p w:rsidR="00F97D54" w:rsidRDefault="00F97D54" w:rsidP="00EB5B97">
      <w:pPr>
        <w:numPr>
          <w:ilvl w:val="1"/>
          <w:numId w:val="38"/>
        </w:numPr>
        <w:rPr>
          <w:kern w:val="0"/>
        </w:rPr>
      </w:pPr>
      <w:r>
        <w:rPr>
          <w:kern w:val="0"/>
        </w:rPr>
        <w:t xml:space="preserve">The situs address for each </w:t>
      </w:r>
      <w:r>
        <w:rPr>
          <w:i/>
          <w:kern w:val="0"/>
        </w:rPr>
        <w:t>Affiliated Company’s</w:t>
      </w:r>
      <w:r>
        <w:rPr>
          <w:kern w:val="0"/>
        </w:rPr>
        <w:t xml:space="preserve"> U.S. headquarters at the time of affiliation;</w:t>
      </w:r>
    </w:p>
    <w:p w:rsidR="00F97D54" w:rsidRDefault="00F97D54" w:rsidP="00EB5B97">
      <w:pPr>
        <w:numPr>
          <w:ilvl w:val="1"/>
          <w:numId w:val="38"/>
        </w:numPr>
        <w:rPr>
          <w:kern w:val="0"/>
        </w:rPr>
      </w:pPr>
      <w:r>
        <w:rPr>
          <w:kern w:val="0"/>
        </w:rPr>
        <w:t xml:space="preserve">The year that the </w:t>
      </w:r>
      <w:r>
        <w:rPr>
          <w:i/>
          <w:kern w:val="0"/>
        </w:rPr>
        <w:t>Affiliated Company</w:t>
      </w:r>
      <w:r>
        <w:rPr>
          <w:kern w:val="0"/>
        </w:rPr>
        <w:t xml:space="preserve"> established the situs address listed in response to question II.A.9.f.i for its U.S. headquarters; and </w:t>
      </w:r>
    </w:p>
    <w:p w:rsidR="00F97D54" w:rsidRDefault="00F97D54" w:rsidP="00381F17">
      <w:pPr>
        <w:widowControl/>
        <w:numPr>
          <w:ilvl w:val="1"/>
          <w:numId w:val="38"/>
        </w:numPr>
        <w:rPr>
          <w:kern w:val="0"/>
        </w:rPr>
      </w:pPr>
      <w:r>
        <w:rPr>
          <w:kern w:val="0"/>
        </w:rPr>
        <w:t xml:space="preserve">The year established and situs address for any prior U.S. headquarters’ location designated by the </w:t>
      </w:r>
      <w:r>
        <w:rPr>
          <w:i/>
          <w:kern w:val="0"/>
        </w:rPr>
        <w:t>Affiliated Company</w:t>
      </w:r>
      <w:r>
        <w:rPr>
          <w:kern w:val="0"/>
        </w:rPr>
        <w:t xml:space="preserve">, going as far back as 1995 or the year of affiliation, whichever is most recent, if different from the headquarters’ location listed in response to question II.A.9.f.i.  </w:t>
      </w:r>
    </w:p>
    <w:p w:rsidR="00F97D54" w:rsidRDefault="00F97D54">
      <w:pPr>
        <w:rPr>
          <w:kern w:val="0"/>
        </w:rPr>
      </w:pPr>
    </w:p>
    <w:p w:rsidR="00F97D54" w:rsidRDefault="00F97D54" w:rsidP="00EB5B97">
      <w:pPr>
        <w:numPr>
          <w:ilvl w:val="0"/>
          <w:numId w:val="90"/>
        </w:numPr>
        <w:tabs>
          <w:tab w:val="clear" w:pos="576"/>
          <w:tab w:val="num" w:pos="900"/>
        </w:tabs>
        <w:rPr>
          <w:kern w:val="0"/>
        </w:rPr>
      </w:pPr>
      <w:r>
        <w:rPr>
          <w:kern w:val="0"/>
        </w:rPr>
        <w:t xml:space="preserve">Provide data, maps, information, marketing materials, and/or documents identifying those geographic areas where you, or an </w:t>
      </w:r>
      <w:r>
        <w:rPr>
          <w:i/>
          <w:kern w:val="0"/>
        </w:rPr>
        <w:t>Affiliated Company</w:t>
      </w:r>
      <w:r>
        <w:rPr>
          <w:kern w:val="0"/>
        </w:rPr>
        <w:t xml:space="preserve">, advertised or marketed </w:t>
      </w:r>
      <w:r>
        <w:rPr>
          <w:i/>
          <w:kern w:val="0"/>
        </w:rPr>
        <w:t>Dedicated Service</w:t>
      </w:r>
      <w:r>
        <w:rPr>
          <w:kern w:val="0"/>
        </w:rPr>
        <w:t xml:space="preserve"> over existing facilities, via leased facilities, or by building out new facilities as of December 31, 2010 and as of December 31, 2012, or planned to advertise or market such services within twenty-four months of those dates.</w:t>
      </w:r>
    </w:p>
    <w:p w:rsidR="00F97D54" w:rsidRDefault="00F97D54">
      <w:pPr>
        <w:rPr>
          <w:color w:val="0000FF"/>
          <w:kern w:val="0"/>
          <w:szCs w:val="24"/>
          <w:u w:val="double"/>
        </w:rPr>
      </w:pPr>
    </w:p>
    <w:p w:rsidR="00F97D54" w:rsidRDefault="00F97D54" w:rsidP="00EB5B97">
      <w:pPr>
        <w:numPr>
          <w:ilvl w:val="0"/>
          <w:numId w:val="90"/>
        </w:numPr>
        <w:tabs>
          <w:tab w:val="clear" w:pos="576"/>
          <w:tab w:val="num" w:pos="900"/>
        </w:tabs>
        <w:rPr>
          <w:kern w:val="0"/>
          <w:szCs w:val="24"/>
        </w:rPr>
      </w:pPr>
      <w:r>
        <w:rPr>
          <w:kern w:val="0"/>
          <w:szCs w:val="24"/>
        </w:rPr>
        <w:t xml:space="preserve">Identify the five most recent Requests for Proposals (RFPs) for which you were selected as the winning bidder to provide each of the following:  (a) </w:t>
      </w:r>
      <w:r>
        <w:rPr>
          <w:i/>
          <w:kern w:val="0"/>
          <w:szCs w:val="24"/>
        </w:rPr>
        <w:t>Dedicated Services</w:t>
      </w:r>
      <w:r>
        <w:rPr>
          <w:kern w:val="0"/>
          <w:szCs w:val="24"/>
        </w:rPr>
        <w:t xml:space="preserve">; (b) </w:t>
      </w:r>
      <w:r>
        <w:rPr>
          <w:i/>
          <w:kern w:val="0"/>
          <w:szCs w:val="22"/>
        </w:rPr>
        <w:t>Best Efforts Business Broadband Internet Access Services</w:t>
      </w:r>
      <w:r>
        <w:rPr>
          <w:kern w:val="0"/>
          <w:szCs w:val="24"/>
        </w:rPr>
        <w:t>; and, to the extent different from (a) or (b), (c) some other form of high-capacity data services to business customers.</w:t>
      </w:r>
      <w:r>
        <w:rPr>
          <w:kern w:val="0"/>
          <w:szCs w:val="24"/>
          <w:vertAlign w:val="superscript"/>
        </w:rPr>
        <w:footnoteReference w:id="215"/>
      </w:r>
      <w:r>
        <w:rPr>
          <w:kern w:val="0"/>
          <w:szCs w:val="24"/>
        </w:rPr>
        <w:t xml:space="preserve">  In addition, identify the five largest RFPs (by number of connections) for which you submitted an unsuccessful competitive bid between 2010 and 2012 for each of (a) </w:t>
      </w:r>
      <w:r>
        <w:rPr>
          <w:i/>
          <w:kern w:val="0"/>
          <w:szCs w:val="24"/>
        </w:rPr>
        <w:t>Dedicated Services</w:t>
      </w:r>
      <w:r>
        <w:rPr>
          <w:kern w:val="0"/>
          <w:szCs w:val="24"/>
        </w:rPr>
        <w:t xml:space="preserve">; (b) </w:t>
      </w:r>
      <w:r>
        <w:rPr>
          <w:i/>
          <w:kern w:val="0"/>
          <w:szCs w:val="22"/>
        </w:rPr>
        <w:t>Best Efforts Business Broadband Internet Access Services</w:t>
      </w:r>
      <w:r>
        <w:rPr>
          <w:kern w:val="0"/>
          <w:szCs w:val="24"/>
        </w:rPr>
        <w:t>; and, to the extent different from (a) or (b), (c) some other form of high-capacity data services to business customers.</w:t>
      </w:r>
      <w:r>
        <w:rPr>
          <w:kern w:val="0"/>
          <w:szCs w:val="24"/>
          <w:vertAlign w:val="superscript"/>
        </w:rPr>
        <w:footnoteReference w:id="216"/>
      </w:r>
      <w:r>
        <w:rPr>
          <w:kern w:val="0"/>
          <w:szCs w:val="24"/>
        </w:rPr>
        <w:t xml:space="preserve">  For each RFP identified, provide a description of the RFP, the area covered, the price offered, and other competitively relevant information.  Lastly, identify the business rules you rely upon to determine whether to submit a bid in response to an RFP.  </w:t>
      </w:r>
    </w:p>
    <w:p w:rsidR="00F97D54" w:rsidRDefault="00F97D54">
      <w:pPr>
        <w:rPr>
          <w:kern w:val="0"/>
          <w:szCs w:val="24"/>
        </w:rPr>
      </w:pPr>
    </w:p>
    <w:p w:rsidR="00F97D54" w:rsidRDefault="00F97D54">
      <w:pPr>
        <w:rPr>
          <w:b/>
          <w:kern w:val="0"/>
        </w:rPr>
      </w:pPr>
      <w:r>
        <w:rPr>
          <w:b/>
          <w:kern w:val="0"/>
        </w:rPr>
        <w:t>Billing Information</w:t>
      </w:r>
    </w:p>
    <w:p w:rsidR="00F97D54" w:rsidRDefault="00F97D54">
      <w:pPr>
        <w:rPr>
          <w:kern w:val="0"/>
        </w:rPr>
      </w:pPr>
    </w:p>
    <w:p w:rsidR="00F97D54" w:rsidRDefault="00F97D54" w:rsidP="00EB5B97">
      <w:pPr>
        <w:numPr>
          <w:ilvl w:val="0"/>
          <w:numId w:val="90"/>
        </w:numPr>
        <w:tabs>
          <w:tab w:val="clear" w:pos="576"/>
          <w:tab w:val="num" w:pos="900"/>
        </w:tabs>
        <w:rPr>
          <w:kern w:val="0"/>
        </w:rPr>
      </w:pPr>
      <w:r>
        <w:rPr>
          <w:kern w:val="0"/>
        </w:rPr>
        <w:t xml:space="preserve">For all </w:t>
      </w:r>
      <w:r>
        <w:rPr>
          <w:i/>
          <w:kern w:val="0"/>
        </w:rPr>
        <w:t>Dedicated Services</w:t>
      </w:r>
      <w:r>
        <w:rPr>
          <w:kern w:val="0"/>
        </w:rPr>
        <w:t xml:space="preserve"> provided using transmission paths that you (i) own; (ii) lease from another entity under an </w:t>
      </w:r>
      <w:r>
        <w:rPr>
          <w:i/>
          <w:iCs/>
          <w:color w:val="000000"/>
          <w:kern w:val="0"/>
        </w:rPr>
        <w:t>IRU</w:t>
      </w:r>
      <w:r>
        <w:rPr>
          <w:color w:val="000000"/>
          <w:kern w:val="0"/>
        </w:rPr>
        <w:t xml:space="preserve"> </w:t>
      </w:r>
      <w:r>
        <w:rPr>
          <w:kern w:val="0"/>
        </w:rPr>
        <w:t xml:space="preserve">agreement; or (iii) obtain as a </w:t>
      </w:r>
      <w:r>
        <w:rPr>
          <w:i/>
          <w:kern w:val="0"/>
        </w:rPr>
        <w:t>UNE</w:t>
      </w:r>
      <w:r>
        <w:rPr>
          <w:kern w:val="0"/>
        </w:rPr>
        <w:t xml:space="preserve"> from an </w:t>
      </w:r>
      <w:r>
        <w:rPr>
          <w:i/>
          <w:kern w:val="0"/>
        </w:rPr>
        <w:t>ILEC</w:t>
      </w:r>
      <w:r>
        <w:rPr>
          <w:kern w:val="0"/>
        </w:rPr>
        <w:t xml:space="preserve"> to provide a </w:t>
      </w:r>
      <w:r>
        <w:rPr>
          <w:i/>
          <w:kern w:val="0"/>
        </w:rPr>
        <w:t>Dedicated Service</w:t>
      </w:r>
      <w:r>
        <w:rPr>
          <w:kern w:val="0"/>
        </w:rPr>
        <w:t xml:space="preserve">, submit the following information by circuit element by circuit billed for each month from January 1 to December 31 for the years 2010 and 2012. </w:t>
      </w:r>
    </w:p>
    <w:p w:rsidR="00F97D54" w:rsidRDefault="00F97D54" w:rsidP="00EB5B97">
      <w:pPr>
        <w:numPr>
          <w:ilvl w:val="0"/>
          <w:numId w:val="54"/>
        </w:numPr>
        <w:rPr>
          <w:kern w:val="0"/>
        </w:rPr>
      </w:pPr>
      <w:r>
        <w:rPr>
          <w:kern w:val="0"/>
        </w:rPr>
        <w:t>The closing date of the monthly billing cycle in mm/dd/yyyy format;</w:t>
      </w:r>
    </w:p>
    <w:p w:rsidR="00F97D54" w:rsidRDefault="00F97D54" w:rsidP="00EB5B97">
      <w:pPr>
        <w:numPr>
          <w:ilvl w:val="0"/>
          <w:numId w:val="54"/>
        </w:numPr>
        <w:rPr>
          <w:kern w:val="0"/>
        </w:rPr>
      </w:pPr>
      <w:r>
        <w:rPr>
          <w:kern w:val="0"/>
        </w:rPr>
        <w:t>The name and six-digit 499-A Filer ID of the customer, where applicable, or other unique ID if customer does not have a 499-A Filer ID;</w:t>
      </w:r>
    </w:p>
    <w:p w:rsidR="00F97D54" w:rsidRDefault="00F97D54" w:rsidP="00EB5B97">
      <w:pPr>
        <w:numPr>
          <w:ilvl w:val="0"/>
          <w:numId w:val="54"/>
        </w:numPr>
        <w:rPr>
          <w:kern w:val="0"/>
        </w:rPr>
      </w:pPr>
      <w:r>
        <w:rPr>
          <w:kern w:val="0"/>
        </w:rPr>
        <w:t xml:space="preserve">The </w:t>
      </w:r>
      <w:r>
        <w:rPr>
          <w:i/>
          <w:kern w:val="0"/>
        </w:rPr>
        <w:t>Location</w:t>
      </w:r>
      <w:r>
        <w:rPr>
          <w:kern w:val="0"/>
        </w:rPr>
        <w:t xml:space="preserve"> ID from question II.A.4.a that is used to link the circuit elements to the terminating </w:t>
      </w:r>
      <w:r>
        <w:rPr>
          <w:i/>
          <w:kern w:val="0"/>
        </w:rPr>
        <w:t>Location</w:t>
      </w:r>
      <w:r>
        <w:rPr>
          <w:kern w:val="0"/>
        </w:rPr>
        <w:t xml:space="preserve"> of the circuit (where applicable);</w:t>
      </w:r>
    </w:p>
    <w:p w:rsidR="00F97D54" w:rsidRDefault="00F97D54" w:rsidP="00EB5B97">
      <w:pPr>
        <w:numPr>
          <w:ilvl w:val="0"/>
          <w:numId w:val="54"/>
        </w:numPr>
        <w:rPr>
          <w:kern w:val="0"/>
        </w:rPr>
      </w:pPr>
      <w:r>
        <w:rPr>
          <w:kern w:val="0"/>
        </w:rPr>
        <w:t>The circuit ID common to all elements purchased in common for a particular circuit;</w:t>
      </w:r>
    </w:p>
    <w:p w:rsidR="00F97D54" w:rsidRDefault="00F97D54" w:rsidP="00EB5B97">
      <w:pPr>
        <w:numPr>
          <w:ilvl w:val="0"/>
          <w:numId w:val="54"/>
        </w:numPr>
        <w:rPr>
          <w:kern w:val="0"/>
        </w:rPr>
      </w:pPr>
      <w:r>
        <w:rPr>
          <w:kern w:val="0"/>
        </w:rPr>
        <w:t>The type of circuit (</w:t>
      </w:r>
      <w:r>
        <w:rPr>
          <w:i/>
          <w:kern w:val="0"/>
        </w:rPr>
        <w:t>PBDS</w:t>
      </w:r>
      <w:r>
        <w:rPr>
          <w:kern w:val="0"/>
        </w:rPr>
        <w:t xml:space="preserve">, or </w:t>
      </w:r>
      <w:r>
        <w:rPr>
          <w:i/>
          <w:kern w:val="0"/>
        </w:rPr>
        <w:t xml:space="preserve">DS1 </w:t>
      </w:r>
      <w:r>
        <w:rPr>
          <w:kern w:val="0"/>
        </w:rPr>
        <w:t>or</w:t>
      </w:r>
      <w:r>
        <w:rPr>
          <w:i/>
          <w:kern w:val="0"/>
        </w:rPr>
        <w:t xml:space="preserve"> DS3</w:t>
      </w:r>
      <w:r>
        <w:rPr>
          <w:kern w:val="0"/>
        </w:rPr>
        <w:t>,</w:t>
      </w:r>
      <w:r>
        <w:rPr>
          <w:i/>
          <w:kern w:val="0"/>
        </w:rPr>
        <w:t xml:space="preserve"> </w:t>
      </w:r>
      <w:r>
        <w:rPr>
          <w:kern w:val="0"/>
        </w:rPr>
        <w:t>etc</w:t>
      </w:r>
      <w:r>
        <w:rPr>
          <w:i/>
          <w:kern w:val="0"/>
        </w:rPr>
        <w:t>.</w:t>
      </w:r>
      <w:r>
        <w:rPr>
          <w:kern w:val="0"/>
        </w:rPr>
        <w:t>) and its bandwidth;</w:t>
      </w:r>
    </w:p>
    <w:p w:rsidR="00F97D54" w:rsidRDefault="00F97D54" w:rsidP="00EB5B97">
      <w:pPr>
        <w:numPr>
          <w:ilvl w:val="0"/>
          <w:numId w:val="54"/>
        </w:numPr>
        <w:rPr>
          <w:kern w:val="0"/>
        </w:rPr>
      </w:pPr>
      <w:r>
        <w:rPr>
          <w:kern w:val="0"/>
        </w:rPr>
        <w:t>A unique billing code for the circuit element (</w:t>
      </w:r>
      <w:r>
        <w:rPr>
          <w:i/>
          <w:kern w:val="0"/>
        </w:rPr>
        <w:t>see</w:t>
      </w:r>
      <w:r>
        <w:rPr>
          <w:kern w:val="0"/>
        </w:rPr>
        <w:t xml:space="preserve"> question II.A.14); </w:t>
      </w:r>
    </w:p>
    <w:p w:rsidR="00F97D54" w:rsidRDefault="00F97D54" w:rsidP="00EB5B97">
      <w:pPr>
        <w:numPr>
          <w:ilvl w:val="0"/>
          <w:numId w:val="54"/>
        </w:numPr>
        <w:rPr>
          <w:kern w:val="0"/>
        </w:rPr>
      </w:pPr>
      <w:r>
        <w:rPr>
          <w:kern w:val="0"/>
        </w:rPr>
        <w:t>The number of units billed for this circuit element (note that the bandwidth of the circuit must not be entered here);</w:t>
      </w:r>
    </w:p>
    <w:p w:rsidR="00F97D54" w:rsidRDefault="00F97D54" w:rsidP="00EB5B97">
      <w:pPr>
        <w:numPr>
          <w:ilvl w:val="0"/>
          <w:numId w:val="54"/>
        </w:numPr>
        <w:rPr>
          <w:kern w:val="0"/>
        </w:rPr>
      </w:pPr>
      <w:r>
        <w:rPr>
          <w:kern w:val="0"/>
        </w:rPr>
        <w:t>The dollar amount of non-recurring charges billed for the first unit of this circuit element;</w:t>
      </w:r>
    </w:p>
    <w:p w:rsidR="00F97D54" w:rsidRDefault="00F97D54" w:rsidP="00EB5B97">
      <w:pPr>
        <w:numPr>
          <w:ilvl w:val="0"/>
          <w:numId w:val="54"/>
        </w:numPr>
        <w:rPr>
          <w:kern w:val="0"/>
        </w:rPr>
      </w:pPr>
      <w:r>
        <w:rPr>
          <w:kern w:val="0"/>
        </w:rPr>
        <w:t>The dollar amount of non-recurring charges billed for additional units of this circuit element (if different from the amount billed for the initial unit);</w:t>
      </w:r>
    </w:p>
    <w:p w:rsidR="00F97D54" w:rsidRDefault="00F97D54" w:rsidP="00EB5B97">
      <w:pPr>
        <w:numPr>
          <w:ilvl w:val="0"/>
          <w:numId w:val="54"/>
        </w:numPr>
        <w:rPr>
          <w:kern w:val="0"/>
        </w:rPr>
      </w:pPr>
      <w:r>
        <w:rPr>
          <w:kern w:val="0"/>
        </w:rPr>
        <w:t>The monthly recurring dollar charge for the first unit of the circuit element billed;</w:t>
      </w:r>
    </w:p>
    <w:p w:rsidR="00F97D54" w:rsidRDefault="00F97D54" w:rsidP="00EB5B97">
      <w:pPr>
        <w:numPr>
          <w:ilvl w:val="0"/>
          <w:numId w:val="54"/>
        </w:numPr>
        <w:rPr>
          <w:kern w:val="0"/>
        </w:rPr>
      </w:pPr>
      <w:r>
        <w:rPr>
          <w:kern w:val="0"/>
        </w:rPr>
        <w:t>The monthly recurring dollar charge for additional units (if different from the amount billed for the initial unit);</w:t>
      </w:r>
    </w:p>
    <w:p w:rsidR="00F97D54" w:rsidRDefault="00F97D54" w:rsidP="00EB5B97">
      <w:pPr>
        <w:numPr>
          <w:ilvl w:val="0"/>
          <w:numId w:val="54"/>
        </w:numPr>
        <w:rPr>
          <w:kern w:val="0"/>
        </w:rPr>
      </w:pPr>
      <w:r>
        <w:rPr>
          <w:kern w:val="0"/>
        </w:rPr>
        <w:t>Per unit charge for the circuit element;</w:t>
      </w:r>
    </w:p>
    <w:p w:rsidR="00F97D54" w:rsidRDefault="00F97D54" w:rsidP="00EB5B97">
      <w:pPr>
        <w:numPr>
          <w:ilvl w:val="0"/>
          <w:numId w:val="54"/>
        </w:numPr>
        <w:rPr>
          <w:kern w:val="0"/>
        </w:rPr>
      </w:pPr>
      <w:r>
        <w:rPr>
          <w:kern w:val="0"/>
        </w:rPr>
        <w:t>The total monthly dollar amount billed for the circuit element;</w:t>
      </w:r>
    </w:p>
    <w:p w:rsidR="00F97D54" w:rsidRDefault="00F97D54" w:rsidP="00EB5B97">
      <w:pPr>
        <w:numPr>
          <w:ilvl w:val="0"/>
          <w:numId w:val="54"/>
        </w:numPr>
        <w:rPr>
          <w:kern w:val="0"/>
        </w:rPr>
      </w:pPr>
      <w:r>
        <w:rPr>
          <w:kern w:val="0"/>
        </w:rPr>
        <w:t xml:space="preserve">The </w:t>
      </w:r>
      <w:r>
        <w:rPr>
          <w:i/>
          <w:kern w:val="0"/>
        </w:rPr>
        <w:t>Term Commitment</w:t>
      </w:r>
      <w:r>
        <w:rPr>
          <w:kern w:val="0"/>
        </w:rPr>
        <w:t xml:space="preserve"> associated with this circuit in months;</w:t>
      </w:r>
    </w:p>
    <w:p w:rsidR="00F97D54" w:rsidRPr="00B26845" w:rsidRDefault="00F97D54" w:rsidP="00EB5B97">
      <w:pPr>
        <w:numPr>
          <w:ilvl w:val="0"/>
          <w:numId w:val="54"/>
        </w:numPr>
        <w:rPr>
          <w:kern w:val="0"/>
        </w:rPr>
      </w:pPr>
      <w:r>
        <w:rPr>
          <w:kern w:val="0"/>
        </w:rPr>
        <w:t xml:space="preserve">Indicate whether this circuit element is associated with a circuit that contributes to a </w:t>
      </w:r>
      <w:r>
        <w:rPr>
          <w:i/>
          <w:kern w:val="0"/>
        </w:rPr>
        <w:t>Volume Commitment</w:t>
      </w:r>
      <w:r>
        <w:rPr>
          <w:kern w:val="0"/>
        </w:rPr>
        <w:t>; and</w:t>
      </w:r>
    </w:p>
    <w:p w:rsidR="00F97D54" w:rsidRDefault="00F97D54" w:rsidP="0033195C">
      <w:pPr>
        <w:widowControl/>
        <w:numPr>
          <w:ilvl w:val="0"/>
          <w:numId w:val="54"/>
        </w:numPr>
        <w:rPr>
          <w:kern w:val="0"/>
        </w:rPr>
      </w:pPr>
      <w:r>
        <w:rPr>
          <w:kern w:val="0"/>
        </w:rPr>
        <w:t>The adjustment ID (or multiple adjustment IDs) linking this circuit element to the unique out-of-cycle billing adjustments in question II.A.13.a (below) if applicable.</w:t>
      </w:r>
    </w:p>
    <w:p w:rsidR="00F97D54" w:rsidRDefault="00F97D54">
      <w:pPr>
        <w:ind w:left="1080"/>
        <w:rPr>
          <w:kern w:val="0"/>
        </w:rPr>
      </w:pPr>
    </w:p>
    <w:p w:rsidR="00F97D54" w:rsidRDefault="00F97D54" w:rsidP="00EB5B97">
      <w:pPr>
        <w:numPr>
          <w:ilvl w:val="0"/>
          <w:numId w:val="95"/>
        </w:numPr>
        <w:rPr>
          <w:kern w:val="0"/>
        </w:rPr>
      </w:pPr>
      <w:r>
        <w:rPr>
          <w:kern w:val="0"/>
        </w:rPr>
        <w:t xml:space="preserve">For each adjustment, rebate, or true-up for billed </w:t>
      </w:r>
      <w:r>
        <w:rPr>
          <w:i/>
          <w:kern w:val="0"/>
        </w:rPr>
        <w:t>Dedicated Services</w:t>
      </w:r>
      <w:r>
        <w:rPr>
          <w:kern w:val="0"/>
        </w:rPr>
        <w:t xml:space="preserve">, provide the information requested below.  </w:t>
      </w:r>
    </w:p>
    <w:p w:rsidR="00F97D54" w:rsidRDefault="00F97D54" w:rsidP="00EB5B97">
      <w:pPr>
        <w:numPr>
          <w:ilvl w:val="0"/>
          <w:numId w:val="55"/>
        </w:numPr>
        <w:rPr>
          <w:kern w:val="0"/>
        </w:rPr>
      </w:pPr>
      <w:r>
        <w:rPr>
          <w:kern w:val="0"/>
        </w:rPr>
        <w:t>A unique ID number for the billing adjustment, rebate, or true-up (</w:t>
      </w:r>
      <w:r>
        <w:rPr>
          <w:i/>
          <w:kern w:val="0"/>
        </w:rPr>
        <w:t>see</w:t>
      </w:r>
      <w:r>
        <w:rPr>
          <w:kern w:val="0"/>
        </w:rPr>
        <w:t xml:space="preserve"> question II.A.12.p above) and a unique ID number for the </w:t>
      </w:r>
      <w:r w:rsidRPr="0011685E">
        <w:rPr>
          <w:i/>
          <w:kern w:val="0"/>
        </w:rPr>
        <w:t>Tariff</w:t>
      </w:r>
      <w:r>
        <w:rPr>
          <w:kern w:val="0"/>
        </w:rPr>
        <w:t xml:space="preserve"> or contract </w:t>
      </w:r>
      <w:r>
        <w:t>from which the adjustment originates</w:t>
      </w:r>
      <w:r>
        <w:rPr>
          <w:kern w:val="0"/>
        </w:rPr>
        <w:t>;</w:t>
      </w:r>
    </w:p>
    <w:p w:rsidR="00F97D54" w:rsidRDefault="00F97D54" w:rsidP="00EB5B97">
      <w:pPr>
        <w:numPr>
          <w:ilvl w:val="0"/>
          <w:numId w:val="55"/>
        </w:numPr>
        <w:rPr>
          <w:kern w:val="0"/>
        </w:rPr>
      </w:pPr>
      <w:r>
        <w:rPr>
          <w:kern w:val="0"/>
        </w:rPr>
        <w:t>The beginning date of the time period covered by the adjustment or true-up;</w:t>
      </w:r>
    </w:p>
    <w:p w:rsidR="00F97D54" w:rsidRDefault="00F97D54" w:rsidP="00EB5B97">
      <w:pPr>
        <w:numPr>
          <w:ilvl w:val="0"/>
          <w:numId w:val="55"/>
        </w:numPr>
        <w:rPr>
          <w:kern w:val="0"/>
        </w:rPr>
      </w:pPr>
      <w:r>
        <w:rPr>
          <w:kern w:val="0"/>
        </w:rPr>
        <w:t>The ending date of the time period covered by the adjustment or true-up;</w:t>
      </w:r>
    </w:p>
    <w:p w:rsidR="00F97D54" w:rsidRDefault="00F97D54" w:rsidP="00EB5B97">
      <w:pPr>
        <w:numPr>
          <w:ilvl w:val="0"/>
          <w:numId w:val="55"/>
        </w:numPr>
        <w:rPr>
          <w:kern w:val="0"/>
        </w:rPr>
      </w:pPr>
      <w:r>
        <w:rPr>
          <w:kern w:val="0"/>
        </w:rPr>
        <w:t xml:space="preserve">The scope of the billing adjustment, </w:t>
      </w:r>
      <w:r>
        <w:rPr>
          <w:i/>
          <w:kern w:val="0"/>
        </w:rPr>
        <w:t>i.e.</w:t>
      </w:r>
      <w:r>
        <w:rPr>
          <w:kern w:val="0"/>
        </w:rPr>
        <w:t>, whether the adjustment applies to a single circuit element on a single circuit, more than one circuit element on a single circuit, more than one circuit element across multiple circuits, or an overall adjustment that applies to every circuit element on every circuit purchased by the customer;</w:t>
      </w:r>
    </w:p>
    <w:p w:rsidR="00F97D54" w:rsidRDefault="00F97D54" w:rsidP="00EB5B97">
      <w:pPr>
        <w:numPr>
          <w:ilvl w:val="0"/>
          <w:numId w:val="55"/>
        </w:numPr>
        <w:rPr>
          <w:kern w:val="0"/>
        </w:rPr>
      </w:pPr>
      <w:r>
        <w:rPr>
          <w:kern w:val="0"/>
        </w:rPr>
        <w:t xml:space="preserve">The dollar amount of the adjustment or true-up; and </w:t>
      </w:r>
    </w:p>
    <w:p w:rsidR="00F97D54" w:rsidRDefault="00F97D54" w:rsidP="00EB5B97">
      <w:pPr>
        <w:numPr>
          <w:ilvl w:val="0"/>
          <w:numId w:val="55"/>
        </w:numPr>
        <w:rPr>
          <w:kern w:val="0"/>
        </w:rPr>
      </w:pPr>
      <w:r>
        <w:rPr>
          <w:kern w:val="0"/>
        </w:rPr>
        <w:t xml:space="preserve">A brief description of the billing adjustment, rebate or true-up, </w:t>
      </w:r>
      <w:r>
        <w:rPr>
          <w:i/>
          <w:kern w:val="0"/>
        </w:rPr>
        <w:t>e.g.</w:t>
      </w:r>
      <w:r>
        <w:rPr>
          <w:kern w:val="0"/>
        </w:rPr>
        <w:t>, term discount, revenue target rebate, etc.</w:t>
      </w:r>
    </w:p>
    <w:p w:rsidR="00F97D54" w:rsidRDefault="00F97D54">
      <w:pPr>
        <w:rPr>
          <w:kern w:val="0"/>
        </w:rPr>
      </w:pPr>
    </w:p>
    <w:p w:rsidR="00F97D54" w:rsidRDefault="00F97D54" w:rsidP="00EB5B97">
      <w:pPr>
        <w:numPr>
          <w:ilvl w:val="0"/>
          <w:numId w:val="96"/>
        </w:numPr>
        <w:rPr>
          <w:kern w:val="0"/>
        </w:rPr>
      </w:pPr>
      <w:r>
        <w:rPr>
          <w:kern w:val="0"/>
        </w:rPr>
        <w:t xml:space="preserve">For each unique billing code, please provide the following information below.  </w:t>
      </w:r>
    </w:p>
    <w:p w:rsidR="00F97D54" w:rsidRDefault="00F97D54" w:rsidP="00EB5B97">
      <w:pPr>
        <w:numPr>
          <w:ilvl w:val="0"/>
          <w:numId w:val="56"/>
        </w:numPr>
        <w:rPr>
          <w:kern w:val="0"/>
        </w:rPr>
      </w:pPr>
      <w:r>
        <w:rPr>
          <w:kern w:val="0"/>
        </w:rPr>
        <w:t>The billing code for the circuit element;</w:t>
      </w:r>
    </w:p>
    <w:p w:rsidR="00F97D54" w:rsidRDefault="00F97D54" w:rsidP="00EB5B97">
      <w:pPr>
        <w:numPr>
          <w:ilvl w:val="0"/>
          <w:numId w:val="56"/>
        </w:numPr>
        <w:spacing w:after="120"/>
        <w:rPr>
          <w:kern w:val="0"/>
        </w:rPr>
      </w:pPr>
      <w:r>
        <w:rPr>
          <w:kern w:val="0"/>
        </w:rPr>
        <w:t>Select the phrase that best describes the circuit element from the list.  Names of some common rate elements are shown on the generalized circuit diagram below:</w:t>
      </w:r>
    </w:p>
    <w:p w:rsidR="00F97D54" w:rsidRDefault="003C120F">
      <w:pPr>
        <w:ind w:left="1800"/>
        <w:rPr>
          <w:kern w:val="0"/>
        </w:rPr>
      </w:pPr>
      <w:r>
        <w:rPr>
          <w:noProof/>
          <w:snapToGrid/>
          <w:kern w:val="0"/>
        </w:rPr>
        <mc:AlternateContent>
          <mc:Choice Requires="wpg">
            <w:drawing>
              <wp:inline distT="0" distB="0" distL="0" distR="0" wp14:anchorId="07B6FFCD" wp14:editId="12801EC3">
                <wp:extent cx="3610610" cy="1548130"/>
                <wp:effectExtent l="0" t="635" r="8890" b="3810"/>
                <wp:docPr id="26" name="Group 64"/>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3610610" cy="1548130"/>
                          <a:chOff x="2969" y="3241"/>
                          <a:chExt cx="6318" cy="2812"/>
                        </a:xfrm>
                      </wpg:grpSpPr>
                      <wps:wsp>
                        <wps:cNvPr id="27" name="AutoShape 47"/>
                        <wps:cNvSpPr>
                          <a:spLocks noChangeAspect="1" noChangeArrowheads="1" noTextEdit="1"/>
                        </wps:cNvSpPr>
                        <wps:spPr bwMode="auto">
                          <a:xfrm>
                            <a:off x="2969" y="3241"/>
                            <a:ext cx="6318" cy="2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Oval 48"/>
                        <wps:cNvSpPr>
                          <a:spLocks noChangeArrowheads="1"/>
                        </wps:cNvSpPr>
                        <wps:spPr bwMode="auto">
                          <a:xfrm>
                            <a:off x="2978" y="3704"/>
                            <a:ext cx="1200" cy="123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9" name="Text Box 49"/>
                        <wps:cNvSpPr txBox="1">
                          <a:spLocks noChangeArrowheads="1"/>
                        </wps:cNvSpPr>
                        <wps:spPr bwMode="auto">
                          <a:xfrm>
                            <a:off x="3128" y="4013"/>
                            <a:ext cx="900" cy="7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344C" w:rsidRDefault="0083344C">
                              <w:pPr>
                                <w:jc w:val="center"/>
                                <w:rPr>
                                  <w:rFonts w:ascii="Calibri" w:hAnsi="Calibri"/>
                                  <w:sz w:val="12"/>
                                  <w:szCs w:val="16"/>
                                </w:rPr>
                              </w:pPr>
                              <w:r>
                                <w:rPr>
                                  <w:rFonts w:ascii="Calibri" w:hAnsi="Calibri"/>
                                  <w:sz w:val="12"/>
                                  <w:szCs w:val="16"/>
                                </w:rPr>
                                <w:t>Customer Designated Location</w:t>
                              </w:r>
                            </w:p>
                            <w:p w:rsidR="0083344C" w:rsidRDefault="0083344C">
                              <w:pPr>
                                <w:jc w:val="center"/>
                                <w:rPr>
                                  <w:rFonts w:ascii="Calibri" w:hAnsi="Calibri"/>
                                  <w:sz w:val="12"/>
                                  <w:szCs w:val="16"/>
                                </w:rPr>
                              </w:pPr>
                              <w:r>
                                <w:rPr>
                                  <w:rFonts w:ascii="Calibri" w:hAnsi="Calibri"/>
                                  <w:sz w:val="12"/>
                                  <w:szCs w:val="16"/>
                                </w:rPr>
                                <w:t>A</w:t>
                              </w:r>
                            </w:p>
                          </w:txbxContent>
                        </wps:txbx>
                        <wps:bodyPr rot="0" vert="horz" wrap="square" lIns="69211" tIns="34605" rIns="69211" bIns="34605" anchor="t" anchorCtr="0" upright="1">
                          <a:noAutofit/>
                        </wps:bodyPr>
                      </wps:wsp>
                      <wps:wsp>
                        <wps:cNvPr id="30" name="Text Box 50"/>
                        <wps:cNvSpPr txBox="1">
                          <a:spLocks noChangeArrowheads="1"/>
                        </wps:cNvSpPr>
                        <wps:spPr bwMode="auto">
                          <a:xfrm>
                            <a:off x="8228" y="4013"/>
                            <a:ext cx="900" cy="7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344C" w:rsidRDefault="0083344C">
                              <w:pPr>
                                <w:jc w:val="center"/>
                                <w:rPr>
                                  <w:rFonts w:ascii="Calibri" w:hAnsi="Calibri"/>
                                  <w:sz w:val="12"/>
                                  <w:szCs w:val="16"/>
                                </w:rPr>
                              </w:pPr>
                              <w:r>
                                <w:rPr>
                                  <w:rFonts w:ascii="Calibri" w:hAnsi="Calibri"/>
                                  <w:sz w:val="12"/>
                                  <w:szCs w:val="16"/>
                                </w:rPr>
                                <w:t>Customer Designated Location</w:t>
                              </w:r>
                            </w:p>
                            <w:p w:rsidR="0083344C" w:rsidRDefault="0083344C">
                              <w:pPr>
                                <w:jc w:val="center"/>
                                <w:rPr>
                                  <w:rFonts w:ascii="Calibri" w:hAnsi="Calibri"/>
                                  <w:sz w:val="12"/>
                                  <w:szCs w:val="16"/>
                                </w:rPr>
                              </w:pPr>
                              <w:r>
                                <w:rPr>
                                  <w:rFonts w:ascii="Calibri" w:hAnsi="Calibri"/>
                                  <w:sz w:val="12"/>
                                  <w:szCs w:val="16"/>
                                </w:rPr>
                                <w:t>B</w:t>
                              </w:r>
                            </w:p>
                          </w:txbxContent>
                        </wps:txbx>
                        <wps:bodyPr rot="0" vert="horz" wrap="square" lIns="69211" tIns="34605" rIns="69211" bIns="34605" anchor="t" anchorCtr="0" upright="1">
                          <a:noAutofit/>
                        </wps:bodyPr>
                      </wps:wsp>
                      <wps:wsp>
                        <wps:cNvPr id="31" name="Text Box 51"/>
                        <wps:cNvSpPr txBox="1">
                          <a:spLocks noChangeArrowheads="1"/>
                        </wps:cNvSpPr>
                        <wps:spPr bwMode="auto">
                          <a:xfrm>
                            <a:off x="4928" y="4013"/>
                            <a:ext cx="750" cy="62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3344C" w:rsidRDefault="0083344C">
                              <w:pPr>
                                <w:jc w:val="center"/>
                                <w:rPr>
                                  <w:rFonts w:ascii="Calibri" w:hAnsi="Calibri"/>
                                  <w:sz w:val="12"/>
                                  <w:szCs w:val="16"/>
                                </w:rPr>
                              </w:pPr>
                              <w:r>
                                <w:rPr>
                                  <w:rFonts w:ascii="Calibri" w:hAnsi="Calibri"/>
                                  <w:sz w:val="12"/>
                                  <w:szCs w:val="16"/>
                                </w:rPr>
                                <w:t>Serving Wire Center</w:t>
                              </w:r>
                            </w:p>
                          </w:txbxContent>
                        </wps:txbx>
                        <wps:bodyPr rot="0" vert="horz" wrap="square" lIns="69211" tIns="34605" rIns="69211" bIns="34605" anchor="t" anchorCtr="0" upright="1">
                          <a:noAutofit/>
                        </wps:bodyPr>
                      </wps:wsp>
                      <wps:wsp>
                        <wps:cNvPr id="32" name="Line 52"/>
                        <wps:cNvCnPr/>
                        <wps:spPr bwMode="auto">
                          <a:xfrm>
                            <a:off x="4178" y="4321"/>
                            <a:ext cx="750" cy="1"/>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33" name="Line 53"/>
                        <wps:cNvCnPr/>
                        <wps:spPr bwMode="auto">
                          <a:xfrm>
                            <a:off x="5678" y="4321"/>
                            <a:ext cx="900" cy="1"/>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34" name="Line 54"/>
                        <wps:cNvCnPr/>
                        <wps:spPr bwMode="auto">
                          <a:xfrm>
                            <a:off x="7328" y="4322"/>
                            <a:ext cx="750" cy="1"/>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35" name="Text Box 55"/>
                        <wps:cNvSpPr txBox="1">
                          <a:spLocks noChangeArrowheads="1"/>
                        </wps:cNvSpPr>
                        <wps:spPr bwMode="auto">
                          <a:xfrm>
                            <a:off x="3278" y="5093"/>
                            <a:ext cx="1800" cy="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344C" w:rsidRDefault="0083344C">
                              <w:pPr>
                                <w:jc w:val="center"/>
                                <w:rPr>
                                  <w:rFonts w:ascii="Calibri" w:hAnsi="Calibri"/>
                                  <w:sz w:val="12"/>
                                  <w:szCs w:val="16"/>
                                </w:rPr>
                              </w:pPr>
                              <w:r>
                                <w:rPr>
                                  <w:rFonts w:ascii="Calibri" w:hAnsi="Calibri"/>
                                  <w:sz w:val="12"/>
                                  <w:szCs w:val="16"/>
                                </w:rPr>
                                <w:t>Local distribution channel; Channel termination; Special access line; Customer port connection (Ethernet)</w:t>
                              </w:r>
                            </w:p>
                          </w:txbxContent>
                        </wps:txbx>
                        <wps:bodyPr rot="0" vert="horz" wrap="square" lIns="69211" tIns="34605" rIns="69211" bIns="34605" anchor="t" anchorCtr="0" upright="1">
                          <a:noAutofit/>
                        </wps:bodyPr>
                      </wps:wsp>
                      <wps:wsp>
                        <wps:cNvPr id="36" name="Text Box 56"/>
                        <wps:cNvSpPr txBox="1">
                          <a:spLocks noChangeArrowheads="1"/>
                        </wps:cNvSpPr>
                        <wps:spPr bwMode="auto">
                          <a:xfrm>
                            <a:off x="7178" y="5093"/>
                            <a:ext cx="1800" cy="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344C" w:rsidRDefault="0083344C">
                              <w:pPr>
                                <w:jc w:val="center"/>
                                <w:rPr>
                                  <w:rFonts w:ascii="Calibri" w:hAnsi="Calibri"/>
                                  <w:sz w:val="12"/>
                                  <w:szCs w:val="16"/>
                                </w:rPr>
                              </w:pPr>
                              <w:r>
                                <w:rPr>
                                  <w:rFonts w:ascii="Calibri" w:hAnsi="Calibri"/>
                                  <w:sz w:val="12"/>
                                  <w:szCs w:val="16"/>
                                </w:rPr>
                                <w:t>Local distribution channel; Channel termination; Special access line; Customer port connection (Ethernet)</w:t>
                              </w:r>
                            </w:p>
                          </w:txbxContent>
                        </wps:txbx>
                        <wps:bodyPr rot="0" vert="horz" wrap="square" lIns="69211" tIns="34605" rIns="69211" bIns="34605" anchor="t" anchorCtr="0" upright="1">
                          <a:noAutofit/>
                        </wps:bodyPr>
                      </wps:wsp>
                      <wps:wsp>
                        <wps:cNvPr id="37" name="Text Box 57"/>
                        <wps:cNvSpPr txBox="1">
                          <a:spLocks noChangeArrowheads="1"/>
                        </wps:cNvSpPr>
                        <wps:spPr bwMode="auto">
                          <a:xfrm>
                            <a:off x="5369" y="5093"/>
                            <a:ext cx="1600" cy="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344C" w:rsidRDefault="0083344C">
                              <w:pPr>
                                <w:jc w:val="center"/>
                                <w:rPr>
                                  <w:rFonts w:ascii="Calibri" w:hAnsi="Calibri"/>
                                  <w:sz w:val="12"/>
                                  <w:szCs w:val="16"/>
                                </w:rPr>
                              </w:pPr>
                              <w:r>
                                <w:rPr>
                                  <w:rFonts w:ascii="Calibri" w:hAnsi="Calibri"/>
                                  <w:sz w:val="12"/>
                                  <w:szCs w:val="16"/>
                                </w:rPr>
                                <w:t>Channel mileage;</w:t>
                              </w:r>
                            </w:p>
                            <w:p w:rsidR="0083344C" w:rsidRDefault="0083344C">
                              <w:pPr>
                                <w:jc w:val="center"/>
                                <w:rPr>
                                  <w:rFonts w:ascii="Calibri" w:hAnsi="Calibri"/>
                                  <w:sz w:val="12"/>
                                  <w:szCs w:val="16"/>
                                </w:rPr>
                              </w:pPr>
                              <w:r>
                                <w:rPr>
                                  <w:rFonts w:ascii="Calibri" w:hAnsi="Calibri"/>
                                  <w:sz w:val="12"/>
                                  <w:szCs w:val="16"/>
                                </w:rPr>
                                <w:t>Channel mileage facility;</w:t>
                              </w:r>
                            </w:p>
                            <w:p w:rsidR="0083344C" w:rsidRDefault="0083344C">
                              <w:pPr>
                                <w:jc w:val="center"/>
                                <w:rPr>
                                  <w:rFonts w:ascii="Calibri" w:hAnsi="Calibri"/>
                                  <w:sz w:val="12"/>
                                  <w:szCs w:val="16"/>
                                </w:rPr>
                              </w:pPr>
                              <w:r>
                                <w:rPr>
                                  <w:rFonts w:ascii="Calibri" w:hAnsi="Calibri"/>
                                  <w:sz w:val="12"/>
                                  <w:szCs w:val="16"/>
                                </w:rPr>
                                <w:t xml:space="preserve"> Special transport</w:t>
                              </w:r>
                            </w:p>
                          </w:txbxContent>
                        </wps:txbx>
                        <wps:bodyPr rot="0" vert="horz" wrap="square" lIns="69211" tIns="34605" rIns="69211" bIns="34605" anchor="t" anchorCtr="0" upright="1">
                          <a:noAutofit/>
                        </wps:bodyPr>
                      </wps:wsp>
                      <wps:wsp>
                        <wps:cNvPr id="38" name="Oval 58"/>
                        <wps:cNvSpPr>
                          <a:spLocks noChangeArrowheads="1"/>
                        </wps:cNvSpPr>
                        <wps:spPr bwMode="auto">
                          <a:xfrm>
                            <a:off x="8078" y="3704"/>
                            <a:ext cx="1200" cy="123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Text Box 59"/>
                        <wps:cNvSpPr txBox="1">
                          <a:spLocks noChangeArrowheads="1"/>
                        </wps:cNvSpPr>
                        <wps:spPr bwMode="auto">
                          <a:xfrm>
                            <a:off x="6578" y="4013"/>
                            <a:ext cx="750" cy="61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3344C" w:rsidRDefault="0083344C">
                              <w:pPr>
                                <w:jc w:val="center"/>
                                <w:rPr>
                                  <w:rFonts w:ascii="Calibri" w:hAnsi="Calibri"/>
                                  <w:sz w:val="12"/>
                                  <w:szCs w:val="16"/>
                                </w:rPr>
                              </w:pPr>
                              <w:r>
                                <w:rPr>
                                  <w:rFonts w:ascii="Calibri" w:hAnsi="Calibri"/>
                                  <w:sz w:val="12"/>
                                  <w:szCs w:val="16"/>
                                </w:rPr>
                                <w:t>Serving Wire Center</w:t>
                              </w:r>
                            </w:p>
                          </w:txbxContent>
                        </wps:txbx>
                        <wps:bodyPr rot="0" vert="horz" wrap="square" lIns="69211" tIns="34605" rIns="69211" bIns="34605" anchor="t" anchorCtr="0" upright="1">
                          <a:noAutofit/>
                        </wps:bodyPr>
                      </wps:wsp>
                      <wps:wsp>
                        <wps:cNvPr id="40" name="Line 60"/>
                        <wps:cNvCnPr/>
                        <wps:spPr bwMode="auto">
                          <a:xfrm flipV="1">
                            <a:off x="4178" y="4476"/>
                            <a:ext cx="300" cy="615"/>
                          </a:xfrm>
                          <a:prstGeom prst="line">
                            <a:avLst/>
                          </a:prstGeom>
                          <a:noFill/>
                          <a:ln w="6350">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41" name="Line 61"/>
                        <wps:cNvCnPr/>
                        <wps:spPr bwMode="auto">
                          <a:xfrm flipH="1" flipV="1">
                            <a:off x="7778" y="4476"/>
                            <a:ext cx="300" cy="617"/>
                          </a:xfrm>
                          <a:prstGeom prst="line">
                            <a:avLst/>
                          </a:prstGeom>
                          <a:noFill/>
                          <a:ln w="6350">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42" name="Line 62"/>
                        <wps:cNvCnPr/>
                        <wps:spPr bwMode="auto">
                          <a:xfrm flipV="1">
                            <a:off x="6128" y="4476"/>
                            <a:ext cx="1" cy="615"/>
                          </a:xfrm>
                          <a:prstGeom prst="line">
                            <a:avLst/>
                          </a:prstGeom>
                          <a:noFill/>
                          <a:ln w="6350">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43" name="Line 63"/>
                        <wps:cNvCnPr/>
                        <wps:spPr bwMode="auto">
                          <a:xfrm>
                            <a:off x="5569" y="3652"/>
                            <a:ext cx="150" cy="619"/>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44" name="Line 64"/>
                        <wps:cNvCnPr/>
                        <wps:spPr bwMode="auto">
                          <a:xfrm flipH="1">
                            <a:off x="6569" y="3652"/>
                            <a:ext cx="150" cy="619"/>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45" name="Text Box 65"/>
                        <wps:cNvSpPr txBox="1">
                          <a:spLocks noChangeArrowheads="1"/>
                        </wps:cNvSpPr>
                        <wps:spPr bwMode="auto">
                          <a:xfrm>
                            <a:off x="4969" y="3241"/>
                            <a:ext cx="1200" cy="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344C" w:rsidRDefault="0083344C">
                              <w:pPr>
                                <w:jc w:val="center"/>
                                <w:rPr>
                                  <w:rFonts w:ascii="Calibri" w:hAnsi="Calibri"/>
                                  <w:sz w:val="12"/>
                                  <w:szCs w:val="16"/>
                                </w:rPr>
                              </w:pPr>
                              <w:r>
                                <w:rPr>
                                  <w:rFonts w:ascii="Calibri" w:hAnsi="Calibri"/>
                                  <w:sz w:val="12"/>
                                  <w:szCs w:val="16"/>
                                </w:rPr>
                                <w:t>Channel mileage termination</w:t>
                              </w:r>
                            </w:p>
                          </w:txbxContent>
                        </wps:txbx>
                        <wps:bodyPr rot="0" vert="horz" wrap="square" lIns="69211" tIns="34605" rIns="69211" bIns="34605" anchor="t" anchorCtr="0" upright="1">
                          <a:noAutofit/>
                        </wps:bodyPr>
                      </wps:wsp>
                      <wps:wsp>
                        <wps:cNvPr id="46" name="Text Box 66"/>
                        <wps:cNvSpPr txBox="1">
                          <a:spLocks noChangeArrowheads="1"/>
                        </wps:cNvSpPr>
                        <wps:spPr bwMode="auto">
                          <a:xfrm>
                            <a:off x="6169" y="3241"/>
                            <a:ext cx="1200" cy="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344C" w:rsidRDefault="0083344C">
                              <w:pPr>
                                <w:jc w:val="center"/>
                                <w:rPr>
                                  <w:rFonts w:ascii="Calibri" w:hAnsi="Calibri"/>
                                  <w:sz w:val="12"/>
                                  <w:szCs w:val="16"/>
                                </w:rPr>
                              </w:pPr>
                              <w:r>
                                <w:rPr>
                                  <w:rFonts w:ascii="Calibri" w:hAnsi="Calibri"/>
                                  <w:sz w:val="12"/>
                                  <w:szCs w:val="16"/>
                                </w:rPr>
                                <w:t>Channel mileage termination</w:t>
                              </w:r>
                            </w:p>
                          </w:txbxContent>
                        </wps:txbx>
                        <wps:bodyPr rot="0" vert="horz" wrap="square" lIns="69211" tIns="34605" rIns="69211" bIns="34605" anchor="t" anchorCtr="0" upright="1">
                          <a:noAutofit/>
                        </wps:bodyPr>
                      </wps:wsp>
                    </wpg:wgp>
                  </a:graphicData>
                </a:graphic>
              </wp:inline>
            </w:drawing>
          </mc:Choice>
          <mc:Fallback>
            <w:pict>
              <v:group id="Group 64" o:spid="_x0000_s1026" style="width:284.3pt;height:121.9pt;mso-position-horizontal-relative:char;mso-position-vertical-relative:line" coordorigin="2969,3241" coordsize="6318,2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">
                <o:lock v:ext="edit" aspectratio="t"/>
                <v:rect id="AutoShape 47" o:spid="_x0000_s1027" style="position:absolute;left:2969;top:3241;width:6318;height:2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ml1sQA&#10;AADbAAAADwAAAGRycy9kb3ducmV2LnhtbESPQWvCQBSE74X+h+UVvBTd1ENbYjZShGIQQRqr50f2&#10;mYRm38bsmsR/3xUEj8PMfMMky9E0oqfO1ZYVvM0iEMSF1TWXCn7339NPEM4ja2wsk4IrOVimz08J&#10;xtoO/EN97ksRIOxiVFB538ZSuqIig25mW+LgnWxn0AfZlVJ3OAS4aeQ8it6lwZrDQoUtrSoq/vKL&#10;UTAUu/64367l7vWYWT5n51V+2Cg1eRm/FiA8jf4RvrczrWD+Abcv4QfI9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6JpdbEAAAA2wAAAA8AAAAAAAAAAAAAAAAAmAIAAGRycy9k&#10;b3ducmV2LnhtbFBLBQYAAAAABAAEAPUAAACJAwAAAAA=&#10;" filled="f" stroked="f">
                  <o:lock v:ext="edit" aspectratio="t" text="t"/>
                </v:rect>
                <v:oval id="Oval 48" o:spid="_x0000_s1028" style="position:absolute;left:2978;top:3704;width:1200;height:1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Vq778A&#10;AADbAAAADwAAAGRycy9kb3ducmV2LnhtbERPTYvCMBC9C/6HMII3TbUoUo0iyoJ78LDd9T40Y1ts&#10;JqWZrfXfbw7CHh/ve3cYXKN66kLt2cBinoAiLrytuTTw8/0x24AKgmyx8UwGXhTgsB+PdphZ/+Qv&#10;6nMpVQzhkKGBSqTNtA5FRQ7D3LfEkbv7zqFE2JXadviM4a7RyyRZa4c1x4YKWzpVVDzyX2fgXB7z&#10;da9TWaX380VWj9v1M10YM50Mxy0ooUH+xW/3xRpYxrHxS/wBev8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kpWrvvwAAANsAAAAPAAAAAAAAAAAAAAAAAJgCAABkcnMvZG93bnJl&#10;di54bWxQSwUGAAAAAAQABAD1AAAAhAMAAAAA&#10;"/>
                <v:shapetype id="_x0000_t202" coordsize="21600,21600" o:spt="202" path="m,l,21600r21600,l21600,xe">
                  <v:stroke joinstyle="miter"/>
                  <v:path gradientshapeok="t" o:connecttype="rect"/>
                </v:shapetype>
                <v:shape id="Text Box 49" o:spid="_x0000_s1029" type="#_x0000_t202" style="position:absolute;left:3128;top:4013;width:900;height:7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MG8QA&#10;AADbAAAADwAAAGRycy9kb3ducmV2LnhtbESPQWvCQBSE74X+h+UVeqsbtUgTs5EiSnsqGvX+yD6T&#10;0OzbmF2TtL++Kwg9DjPzDZOuRtOInjpXW1YwnUQgiAuray4VHA/blzcQziNrbCyTgh9ysMoeH1JM&#10;tB14T33uSxEg7BJUUHnfJlK6oiKDbmJb4uCdbWfQB9mVUnc4BLhp5CyKFtJgzWGhwpbWFRXf+dUo&#10;+H3lU1vb6WFfzsfd5jLEH199rNTz0/i+BOFp9P/he/tTK5jFcPsSfoDM/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SjBvEAAAA2wAAAA8AAAAAAAAAAAAAAAAAmAIAAGRycy9k&#10;b3ducmV2LnhtbFBLBQYAAAAABAAEAPUAAACJAwAAAAA=&#10;" filled="f" stroked="f">
                  <v:textbox inset="1.92253mm,.96125mm,1.92253mm,.96125mm">
                    <w:txbxContent>
                      <w:p w:rsidR="0083344C" w:rsidRDefault="0083344C">
                        <w:pPr>
                          <w:jc w:val="center"/>
                          <w:rPr>
                            <w:rFonts w:ascii="Calibri" w:hAnsi="Calibri"/>
                            <w:sz w:val="12"/>
                            <w:szCs w:val="16"/>
                          </w:rPr>
                        </w:pPr>
                        <w:r>
                          <w:rPr>
                            <w:rFonts w:ascii="Calibri" w:hAnsi="Calibri"/>
                            <w:sz w:val="12"/>
                            <w:szCs w:val="16"/>
                          </w:rPr>
                          <w:t>Customer Designated Location</w:t>
                        </w:r>
                      </w:p>
                      <w:p w:rsidR="0083344C" w:rsidRDefault="0083344C">
                        <w:pPr>
                          <w:jc w:val="center"/>
                          <w:rPr>
                            <w:rFonts w:ascii="Calibri" w:hAnsi="Calibri"/>
                            <w:sz w:val="12"/>
                            <w:szCs w:val="16"/>
                          </w:rPr>
                        </w:pPr>
                        <w:r>
                          <w:rPr>
                            <w:rFonts w:ascii="Calibri" w:hAnsi="Calibri"/>
                            <w:sz w:val="12"/>
                            <w:szCs w:val="16"/>
                          </w:rPr>
                          <w:t>A</w:t>
                        </w:r>
                      </w:p>
                    </w:txbxContent>
                  </v:textbox>
                </v:shape>
                <v:shape id="Text Box 50" o:spid="_x0000_s1030" type="#_x0000_t202" style="position:absolute;left:8228;top:4013;width:900;height:7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GzW8EA&#10;AADbAAAADwAAAGRycy9kb3ducmV2LnhtbERPTWvCQBC9F/wPywi91Y2mFBNdg0iLPZVq9D5kxySY&#10;nY3ZbRL767uHgsfH+15no2lET52rLSuYzyIQxIXVNZcKTvnHyxKE88gaG8uk4E4Oss3kaY2ptgMf&#10;qD/6UoQQdikqqLxvUyldUZFBN7MtceAutjPoA+xKqTscQrhp5CKK3qTBmkNDhS3tKiquxx+j4PeV&#10;z21t5/mhjMfv99uQ7L/6RKnn6bhdgfA0+of43/2pFcRhffgSfoDc/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zxs1vBAAAA2wAAAA8AAAAAAAAAAAAAAAAAmAIAAGRycy9kb3du&#10;cmV2LnhtbFBLBQYAAAAABAAEAPUAAACGAwAAAAA=&#10;" filled="f" stroked="f">
                  <v:textbox inset="1.92253mm,.96125mm,1.92253mm,.96125mm">
                    <w:txbxContent>
                      <w:p w:rsidR="0083344C" w:rsidRDefault="0083344C">
                        <w:pPr>
                          <w:jc w:val="center"/>
                          <w:rPr>
                            <w:rFonts w:ascii="Calibri" w:hAnsi="Calibri"/>
                            <w:sz w:val="12"/>
                            <w:szCs w:val="16"/>
                          </w:rPr>
                        </w:pPr>
                        <w:r>
                          <w:rPr>
                            <w:rFonts w:ascii="Calibri" w:hAnsi="Calibri"/>
                            <w:sz w:val="12"/>
                            <w:szCs w:val="16"/>
                          </w:rPr>
                          <w:t>Customer Designated Location</w:t>
                        </w:r>
                      </w:p>
                      <w:p w:rsidR="0083344C" w:rsidRDefault="0083344C">
                        <w:pPr>
                          <w:jc w:val="center"/>
                          <w:rPr>
                            <w:rFonts w:ascii="Calibri" w:hAnsi="Calibri"/>
                            <w:sz w:val="12"/>
                            <w:szCs w:val="16"/>
                          </w:rPr>
                        </w:pPr>
                        <w:r>
                          <w:rPr>
                            <w:rFonts w:ascii="Calibri" w:hAnsi="Calibri"/>
                            <w:sz w:val="12"/>
                            <w:szCs w:val="16"/>
                          </w:rPr>
                          <w:t>B</w:t>
                        </w:r>
                      </w:p>
                    </w:txbxContent>
                  </v:textbox>
                </v:shape>
                <v:shape id="Text Box 51" o:spid="_x0000_s1031" type="#_x0000_t202" style="position:absolute;left:4928;top:4013;width:750;height:6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SVDcQA&#10;AADbAAAADwAAAGRycy9kb3ducmV2LnhtbESPT4vCMBTE7wt+h/AEb2vaFVypRhFhWcHD4h8Qb4/m&#10;mVabl24Ta/fbG2HB4zAzv2Fmi85WoqXGl44VpMMEBHHudMlGwWH/9T4B4QOyxsoxKfgjD4t5722G&#10;mXZ33lK7C0ZECPsMFRQh1JmUPi/Ioh+6mjh6Z9dYDFE2RuoG7xFuK/mRJGNpseS4UGBNq4Ly6+5m&#10;FRxPm0n747vD0vl1Kj9/zfXybZQa9LvlFESgLrzC/+21VjBK4fkl/gA5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klQ3EAAAA2wAAAA8AAAAAAAAAAAAAAAAAmAIAAGRycy9k&#10;b3ducmV2LnhtbFBLBQYAAAAABAAEAPUAAACJAwAAAAA=&#10;" filled="f">
                  <v:textbox inset="1.92253mm,.96125mm,1.92253mm,.96125mm">
                    <w:txbxContent>
                      <w:p w:rsidR="0083344C" w:rsidRDefault="0083344C">
                        <w:pPr>
                          <w:jc w:val="center"/>
                          <w:rPr>
                            <w:rFonts w:ascii="Calibri" w:hAnsi="Calibri"/>
                            <w:sz w:val="12"/>
                            <w:szCs w:val="16"/>
                          </w:rPr>
                        </w:pPr>
                        <w:r>
                          <w:rPr>
                            <w:rFonts w:ascii="Calibri" w:hAnsi="Calibri"/>
                            <w:sz w:val="12"/>
                            <w:szCs w:val="16"/>
                          </w:rPr>
                          <w:t>Serving Wire Center</w:t>
                        </w:r>
                      </w:p>
                    </w:txbxContent>
                  </v:textbox>
                </v:shape>
                <v:line id="Line 52" o:spid="_x0000_s1032" style="position:absolute;visibility:visible;mso-wrap-style:square" from="4178,4321" to="4928,43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dvGFsMAAADbAAAADwAAAGRycy9kb3ducmV2LnhtbESPQWvCQBSE7wX/w/IEb7oxBZHoKqVg&#10;yaWIVnp+zT6TaPZtzG6zaX+9KxR6HGbmG2a9HUwjeupcbVnBfJaAIC6srrlUcPrYTZcgnEfW2Fgm&#10;BT/kYLsZPa0x0zbwgfqjL0WEsMtQQeV9m0npiooMupltiaN3tp1BH2VXSt1hiHDTyDRJFtJgzXGh&#10;wpZeKyqux2+jIAm/b/Ii87rf5++30H6Fz/QWlJqMh5cVCE+D/w//tXOt4DmFx5f4A+Tm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nbxhbDAAAA2wAAAA8AAAAAAAAAAAAA&#10;AAAAoQIAAGRycy9kb3ducmV2LnhtbFBLBQYAAAAABAAEAPkAAACRAwAAAAA=&#10;">
                  <v:stroke startarrow="block" endarrow="block"/>
                </v:line>
                <v:line id="Line 53" o:spid="_x0000_s1033" style="position:absolute;visibility:visible;mso-wrap-style:square" from="5678,4321" to="6578,43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pdjjcMAAADbAAAADwAAAGRycy9kb3ducmV2LnhtbESPQWvCQBSE7wX/w/IEb3WjQinRVURQ&#10;chGpLT0/s88kmn0bs2s27a93hUKPw8x8wyxWvalFR62rLCuYjBMQxLnVFRcKvj63r+8gnEfWWFsm&#10;BT/kYLUcvCww1TbwB3VHX4gIYZeigtL7JpXS5SUZdGPbEEfvbFuDPsq2kLrFEOGmltMkeZMGK44L&#10;JTa0KSm/Hu9GQRJ+d/Iis6o7ZPtbaE7he3oLSo2G/XoOwlPv/8N/7UwrmM3g+SX+ALl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aXY43DAAAA2wAAAA8AAAAAAAAAAAAA&#10;AAAAoQIAAGRycy9kb3ducmV2LnhtbFBLBQYAAAAABAAEAPkAAACRAwAAAAA=&#10;">
                  <v:stroke startarrow="block" endarrow="block"/>
                </v:line>
                <v:line id="Line 54" o:spid="_x0000_s1034" style="position:absolute;visibility:visible;mso-wrap-style:square" from="7328,4322" to="8078,43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77+cQAAADbAAAADwAAAGRycy9kb3ducmV2LnhtbESPQWvCQBSE7wX/w/KE3pqNWkpJXUUE&#10;JZciVen5NftMotm3MbtmY399t1DocZiZb5j5cjCN6KlztWUFkyQFQVxYXXOp4HjYPL2CcB5ZY2OZ&#10;FNzJwXIxephjpm3gD+r3vhQRwi5DBZX3bSalKyoy6BLbEkfvZDuDPsqulLrDEOGmkdM0fZEGa44L&#10;Fba0rqi47G9GQRq+t/Is87rf5e/X0H6Fz+k1KPU4HlZvIDwN/j/81861gtkz/H6JP0Au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5fvv5xAAAANsAAAAPAAAAAAAAAAAA&#10;AAAAAKECAABkcnMvZG93bnJldi54bWxQSwUGAAAAAAQABAD5AAAAkgMAAAAA&#10;">
                  <v:stroke startarrow="block" endarrow="block"/>
                </v:line>
                <v:shape id="Text Box 55" o:spid="_x0000_s1035" type="#_x0000_t202" style="position:absolute;left:3278;top:5093;width:1800;height:9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Qw8QA&#10;AADbAAAADwAAAGRycy9kb3ducmV2LnhtbESPT2vCQBTE74LfYXlCb7rxT4tGV5HSoifRqPdH9jUJ&#10;zb5Ns9sk+uldodDjMDO/YVabzpSiodoVlhWMRxEI4tTqgjMFl/PncA7CeWSNpWVScCMHm3W/t8JY&#10;25ZP1CQ+EwHCLkYFufdVLKVLczLoRrYiDt6XrQ36IOtM6hrbADelnETRmzRYcFjIsaL3nNLv5Nco&#10;uM/4WhV2fD5l0+748dMudodmodTLoNsuQXjq/H/4r73XCqav8PwSfoB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yGEMPEAAAA2wAAAA8AAAAAAAAAAAAAAAAAmAIAAGRycy9k&#10;b3ducmV2LnhtbFBLBQYAAAAABAAEAPUAAACJAwAAAAA=&#10;" filled="f" stroked="f">
                  <v:textbox inset="1.92253mm,.96125mm,1.92253mm,.96125mm">
                    <w:txbxContent>
                      <w:p w:rsidR="0083344C" w:rsidRDefault="0083344C">
                        <w:pPr>
                          <w:jc w:val="center"/>
                          <w:rPr>
                            <w:rFonts w:ascii="Calibri" w:hAnsi="Calibri"/>
                            <w:sz w:val="12"/>
                            <w:szCs w:val="16"/>
                          </w:rPr>
                        </w:pPr>
                        <w:r>
                          <w:rPr>
                            <w:rFonts w:ascii="Calibri" w:hAnsi="Calibri"/>
                            <w:sz w:val="12"/>
                            <w:szCs w:val="16"/>
                          </w:rPr>
                          <w:t>Local distribution channel; Channel termination; Special access line; Customer port connection (Ethernet)</w:t>
                        </w:r>
                      </w:p>
                    </w:txbxContent>
                  </v:textbox>
                </v:shape>
                <v:shape id="Text Box 56" o:spid="_x0000_s1036" type="#_x0000_t202" style="position:absolute;left:7178;top:5093;width:1800;height:9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SOtMMA&#10;AADbAAAADwAAAGRycy9kb3ducmV2LnhtbESPT4vCMBTE74LfITxhb5qqi2g1iojL7knWf/dH82yL&#10;zUttYtv10xthweMwM79hFqvWFKKmyuWWFQwHEQjixOqcUwWn41d/CsJ5ZI2FZVLwRw5Wy25ngbG2&#10;De+pPvhUBAi7GBVk3pexlC7JyKAb2JI4eBdbGfRBVqnUFTYBbgo5iqKJNJhzWMiwpE1GyfVwNwoe&#10;n3wuczs87tNx+7u9NbPvXT1T6qPXrucgPLX+Hf5v/2gF4wm8voQfIJ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FSOtMMAAADbAAAADwAAAAAAAAAAAAAAAACYAgAAZHJzL2Rv&#10;d25yZXYueG1sUEsFBgAAAAAEAAQA9QAAAIgDAAAAAA==&#10;" filled="f" stroked="f">
                  <v:textbox inset="1.92253mm,.96125mm,1.92253mm,.96125mm">
                    <w:txbxContent>
                      <w:p w:rsidR="0083344C" w:rsidRDefault="0083344C">
                        <w:pPr>
                          <w:jc w:val="center"/>
                          <w:rPr>
                            <w:rFonts w:ascii="Calibri" w:hAnsi="Calibri"/>
                            <w:sz w:val="12"/>
                            <w:szCs w:val="16"/>
                          </w:rPr>
                        </w:pPr>
                        <w:r>
                          <w:rPr>
                            <w:rFonts w:ascii="Calibri" w:hAnsi="Calibri"/>
                            <w:sz w:val="12"/>
                            <w:szCs w:val="16"/>
                          </w:rPr>
                          <w:t>Local distribution channel; Channel termination; Special access line; Customer port connection (Ethernet)</w:t>
                        </w:r>
                      </w:p>
                    </w:txbxContent>
                  </v:textbox>
                </v:shape>
                <v:shape id="Text Box 57" o:spid="_x0000_s1037" type="#_x0000_t202" style="position:absolute;left:5369;top:5093;width:1600;height: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grL8QA&#10;AADbAAAADwAAAGRycy9kb3ducmV2LnhtbESPT2vCQBTE74LfYXlCb7rxD61GV5HSoifRqPdH9jUJ&#10;zb5Ns9sk+uldodDjMDO/YVabzpSiodoVlhWMRxEI4tTqgjMFl/PncA7CeWSNpWVScCMHm3W/t8JY&#10;25ZP1CQ+EwHCLkYFufdVLKVLczLoRrYiDt6XrQ36IOtM6hrbADelnETRqzRYcFjIsaL3nNLv5Nco&#10;uM/4WhV2fD5l0+748dMudodmodTLoNsuQXjq/H/4r73XCqZv8PwSfoB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YKy/EAAAA2wAAAA8AAAAAAAAAAAAAAAAAmAIAAGRycy9k&#10;b3ducmV2LnhtbFBLBQYAAAAABAAEAPUAAACJAwAAAAA=&#10;" filled="f" stroked="f">
                  <v:textbox inset="1.92253mm,.96125mm,1.92253mm,.96125mm">
                    <w:txbxContent>
                      <w:p w:rsidR="0083344C" w:rsidRDefault="0083344C">
                        <w:pPr>
                          <w:jc w:val="center"/>
                          <w:rPr>
                            <w:rFonts w:ascii="Calibri" w:hAnsi="Calibri"/>
                            <w:sz w:val="12"/>
                            <w:szCs w:val="16"/>
                          </w:rPr>
                        </w:pPr>
                        <w:r>
                          <w:rPr>
                            <w:rFonts w:ascii="Calibri" w:hAnsi="Calibri"/>
                            <w:sz w:val="12"/>
                            <w:szCs w:val="16"/>
                          </w:rPr>
                          <w:t>Channel mileage;</w:t>
                        </w:r>
                      </w:p>
                      <w:p w:rsidR="0083344C" w:rsidRDefault="0083344C">
                        <w:pPr>
                          <w:jc w:val="center"/>
                          <w:rPr>
                            <w:rFonts w:ascii="Calibri" w:hAnsi="Calibri"/>
                            <w:sz w:val="12"/>
                            <w:szCs w:val="16"/>
                          </w:rPr>
                        </w:pPr>
                        <w:r>
                          <w:rPr>
                            <w:rFonts w:ascii="Calibri" w:hAnsi="Calibri"/>
                            <w:sz w:val="12"/>
                            <w:szCs w:val="16"/>
                          </w:rPr>
                          <w:t>Channel mileage facility;</w:t>
                        </w:r>
                      </w:p>
                      <w:p w:rsidR="0083344C" w:rsidRDefault="0083344C">
                        <w:pPr>
                          <w:jc w:val="center"/>
                          <w:rPr>
                            <w:rFonts w:ascii="Calibri" w:hAnsi="Calibri"/>
                            <w:sz w:val="12"/>
                            <w:szCs w:val="16"/>
                          </w:rPr>
                        </w:pPr>
                        <w:r>
                          <w:rPr>
                            <w:rFonts w:ascii="Calibri" w:hAnsi="Calibri"/>
                            <w:sz w:val="12"/>
                            <w:szCs w:val="16"/>
                          </w:rPr>
                          <w:t xml:space="preserve"> Special transport</w:t>
                        </w:r>
                      </w:p>
                    </w:txbxContent>
                  </v:textbox>
                </v:shape>
                <v:oval id="Oval 58" o:spid="_x0000_s1038" style="position:absolute;left:8078;top:3704;width:1200;height:1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2I1dcAA&#10;AADbAAAADwAAAGRycy9kb3ducmV2LnhtbERPy2oCMRTdF/yHcAU3RTNtRWQ0ihQKXQg+P+A6uWZG&#10;Jzdjkjrj3zcLweXhvOfLztbiTj5UjhV8jDIQxIXTFRsFx8PPcAoiRGSNtWNS8KAAy0XvbY65di3v&#10;6L6PRqQQDjkqKGNscilDUZLFMHINceLOzluMCXojtcc2hdtafmbZRFqsODWU2NB3ScV1/2cVnE5H&#10;18mb32zfzdXj+NI2Zr1VatDvVjMQkbr4Ej/dv1rBVxqbvqQfIB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2I1dcAAAADbAAAADwAAAAAAAAAAAAAAAACYAgAAZHJzL2Rvd25y&#10;ZXYueG1sUEsFBgAAAAAEAAQA9QAAAIUDAAAAAA==&#10;" filled="f"/>
                <v:shape id="Text Box 59" o:spid="_x0000_s1039" type="#_x0000_t202" style="position:absolute;left:6578;top:4013;width:750;height:6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KZC8UA&#10;AADbAAAADwAAAGRycy9kb3ducmV2LnhtbESPQWvCQBSE74X+h+UJ3upGBRujawiFUqGHUisUb4/s&#10;cxPNvo3ZbYz/vlsoeBxm5htmnQ+2ET11vnasYDpJQBCXTtdsFOy/Xp9SED4ga2wck4Ibecg3jw9r&#10;zLS78if1u2BEhLDPUEEVQptJ6cuKLPqJa4mjd3SdxRBlZ6Tu8BrhtpGzJFlIizXHhQpbeqmoPO9+&#10;rILvw3vaf/hhXzi/ncrnizmf3oxS49FQrEAEGsI9/N/eagXzJfx9iT9Ab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EpkLxQAAANsAAAAPAAAAAAAAAAAAAAAAAJgCAABkcnMv&#10;ZG93bnJldi54bWxQSwUGAAAAAAQABAD1AAAAigMAAAAA&#10;" filled="f">
                  <v:textbox inset="1.92253mm,.96125mm,1.92253mm,.96125mm">
                    <w:txbxContent>
                      <w:p w:rsidR="0083344C" w:rsidRDefault="0083344C">
                        <w:pPr>
                          <w:jc w:val="center"/>
                          <w:rPr>
                            <w:rFonts w:ascii="Calibri" w:hAnsi="Calibri"/>
                            <w:sz w:val="12"/>
                            <w:szCs w:val="16"/>
                          </w:rPr>
                        </w:pPr>
                        <w:r>
                          <w:rPr>
                            <w:rFonts w:ascii="Calibri" w:hAnsi="Calibri"/>
                            <w:sz w:val="12"/>
                            <w:szCs w:val="16"/>
                          </w:rPr>
                          <w:t>Serving Wire Center</w:t>
                        </w:r>
                      </w:p>
                    </w:txbxContent>
                  </v:textbox>
                </v:shape>
                <v:line id="Line 60" o:spid="_x0000_s1040" style="position:absolute;flip:y;visibility:visible;mso-wrap-style:square" from="4178,4476" to="4478,50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KmC78AAADbAAAADwAAAGRycy9kb3ducmV2LnhtbERPS0sDMRC+C/6HMIIXsbMVn2vTIkWx&#10;R63tfboZN4ubyZLE7vrvnYPg8eN7L1ZT6M2RU+6iWJjPKjAsTXSdtBZ2Hy+X92ByIXHUR2ELP5xh&#10;tTw9WVDt4ijvfNyW1miI5Jos+FKGGjE3ngPlWRxYlPuMKVBRmFp0iUYNDz1eVdUtBupEGzwNvPbc&#10;fG2/g5b4dBMPaby4Wx8Qnx82e3x9m1t7fjY9PYIpPJV/8Z974yxc63r9oj8Al7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YKmC78AAADbAAAADwAAAAAAAAAAAAAAAACh&#10;AgAAZHJzL2Rvd25yZXYueG1sUEsFBgAAAAAEAAQA+QAAAI0DAAAAAA==&#10;" strokeweight=".5pt">
                  <v:stroke endarrow="block" endarrowwidth="narrow" endarrowlength="short"/>
                </v:line>
                <v:line id="Line 61" o:spid="_x0000_s1041" style="position:absolute;flip:x y;visibility:visible;mso-wrap-style:square" from="7778,4476" to="8078,50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CseLcUAAADbAAAADwAAAGRycy9kb3ducmV2LnhtbESPT0sDMRTE74LfITzBi7RJS7FlbVpE&#10;K3iydPuHenskz83q5mXZxHb99kYQehxm5jfMfNn7Rpyoi3VgDaOhAkFsgq250rDbvgxmIGJCttgE&#10;Jg0/FGG5uL6aY2HDmTd0KlMlMoRjgRpcSm0hZTSOPMZhaImz9xE6jynLrpK2w3OG+0aOlbqXHmvO&#10;Cw5benJkvspvr2F/NM+Tt+nB4OyzNOv1+8rdKaX17U3/+AAiUZ8u4f/2q9UwGcHfl/wD5O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CseLcUAAADbAAAADwAAAAAAAAAA&#10;AAAAAAChAgAAZHJzL2Rvd25yZXYueG1sUEsFBgAAAAAEAAQA+QAAAJMDAAAAAA==&#10;" strokeweight=".5pt">
                  <v:stroke endarrow="block" endarrowwidth="narrow" endarrowlength="short"/>
                </v:line>
                <v:line id="Line 62" o:spid="_x0000_s1042" style="position:absolute;flip:y;visibility:visible;mso-wrap-style:square" from="6128,4476" to="6129,50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yd58MAAADbAAAADwAAAGRycy9kb3ducmV2LnhtbESPW0sDMRCF3wv+hzBCX4qdbbFe1qZF&#10;imIfter7dDNuFjeTJUm76783hUIfD+fycZbrwbXqyCE2XjTMpgUolsqbRmoNX5+vNw+gYiIx1Hph&#10;DX8cYb26Gi2pNL6XDz7uUq3yiMSSNNiUuhIxVpYdxanvWLL344OjlGWo0QTq87hrcV4Ud+iokUyw&#10;1PHGcvW7O7gMsWHh96Gf3G/2iC+P2298e59pPb4enp9AJR7SJXxub42G2zmcvuQfgK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IcnefDAAAA2wAAAA8AAAAAAAAAAAAA&#10;AAAAoQIAAGRycy9kb3ducmV2LnhtbFBLBQYAAAAABAAEAPkAAACRAwAAAAA=&#10;" strokeweight=".5pt">
                  <v:stroke endarrow="block" endarrowwidth="narrow" endarrowlength="short"/>
                </v:line>
                <v:line id="Line 63" o:spid="_x0000_s1043" style="position:absolute;visibility:visible;mso-wrap-style:square" from="5569,3652" to="5719,42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7t+bMYAAADbAAAADwAAAGRycy9kb3ducmV2LnhtbESPQWsCMRSE74X+h/AKXopmW0vV1ShS&#10;tIh60fXg8bl5bpZuXpZN1O2/N0Khx2FmvmEms9ZW4kqNLx0reOslIIhzp0suFByyZXcIwgdkjZVj&#10;UvBLHmbT56cJptrdeEfXfShEhLBPUYEJoU6l9Lkhi77nauLonV1jMUTZFFI3eItwW8n3JPmUFkuO&#10;CwZr+jKU/+wvVsH2cjyZbHPcHTbZfP3dvurBejFSqvPSzscgArXhP/zXXmkFH314fIk/QE7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O7fmzGAAAA2wAAAA8AAAAAAAAA&#10;AAAAAAAAoQIAAGRycy9kb3ducmV2LnhtbFBLBQYAAAAABAAEAPkAAACUAwAAAAA=&#10;">
                  <v:stroke endarrow="block" endarrowwidth="narrow" endarrowlength="short"/>
                </v:line>
                <v:line id="Line 64" o:spid="_x0000_s1044" style="position:absolute;flip:x;visibility:visible;mso-wrap-style:square" from="6569,3652" to="6719,42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WHQkL8AAADbAAAADwAAAGRycy9kb3ducmV2LnhtbESP3arCMBCE7wXfIazgnaaKR6QaRQRB&#10;RME/vF6atS0mm9JErW9vDgheDjPzDTNbNNaIJ9W+dKxg0E9AEGdOl5wruJzXvQkIH5A1Gsek4E0e&#10;FvN2a4apdi8+0vMUchEh7FNUUIRQpVL6rCCLvu8q4ujdXG0xRFnnUtf4inBr5DBJxtJiyXGhwIpW&#10;BWX308MqMHy9H3d/W6LkkL/3g6VujNwr1e00yymIQE34hb/tjVYwGsH/l/gD5Pw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tWHQkL8AAADbAAAADwAAAAAAAAAAAAAAAACh&#10;AgAAZHJzL2Rvd25yZXYueG1sUEsFBgAAAAAEAAQA+QAAAI0DAAAAAA==&#10;">
                  <v:stroke endarrow="block" endarrowwidth="narrow" endarrowlength="short"/>
                </v:line>
                <v:shape id="Text Box 65" o:spid="_x0000_s1045" type="#_x0000_t202" style="position:absolute;left:4969;top:3241;width:1200;height: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BjvsQA&#10;AADbAAAADwAAAGRycy9kb3ducmV2LnhtbESPS2vDMBCE74X8B7GB3BrZedG4kUMIKe2p5NHeF2tj&#10;m1grx1Jst7++KgRyHGbmG2a17k0lWmpcaVlBPI5AEGdWl5wr+Dq9Pb+AcB5ZY2WZFPyQg3U6eFph&#10;om3HB2qPPhcBwi5BBYX3dSKlywoy6Ma2Jg7e2TYGfZBNLnWDXYCbSk6iaCENlhwWCqxpW1B2Od6M&#10;gt8Zf9eljU+HfNrvd9du+f7ZLpUaDfvNKwhPvX+E7+0PrWA2h/8v4QfI9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AY77EAAAA2wAAAA8AAAAAAAAAAAAAAAAAmAIAAGRycy9k&#10;b3ducmV2LnhtbFBLBQYAAAAABAAEAPUAAACJAwAAAAA=&#10;" filled="f" stroked="f">
                  <v:textbox inset="1.92253mm,.96125mm,1.92253mm,.96125mm">
                    <w:txbxContent>
                      <w:p w:rsidR="0083344C" w:rsidRDefault="0083344C">
                        <w:pPr>
                          <w:jc w:val="center"/>
                          <w:rPr>
                            <w:rFonts w:ascii="Calibri" w:hAnsi="Calibri"/>
                            <w:sz w:val="12"/>
                            <w:szCs w:val="16"/>
                          </w:rPr>
                        </w:pPr>
                        <w:r>
                          <w:rPr>
                            <w:rFonts w:ascii="Calibri" w:hAnsi="Calibri"/>
                            <w:sz w:val="12"/>
                            <w:szCs w:val="16"/>
                          </w:rPr>
                          <w:t>Channel mileage termination</w:t>
                        </w:r>
                      </w:p>
                    </w:txbxContent>
                  </v:textbox>
                </v:shape>
                <v:shape id="Text Box 66" o:spid="_x0000_s1046" type="#_x0000_t202" style="position:absolute;left:6169;top:3241;width:1200;height: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L9ycIA&#10;AADbAAAADwAAAGRycy9kb3ducmV2LnhtbESPT4vCMBTE7wt+h/CEva2pq4hWo8iirKfFv/dH82yL&#10;zUttYlv99GZB8DjMzG+Y2aI1haipcrllBf1eBII4sTrnVMHxsP4ag3AeWWNhmRTcycFi3vmYYaxt&#10;wzuq9z4VAcIuRgWZ92UspUsyMuh6tiQO3tlWBn2QVSp1hU2Am0J+R9FIGsw5LGRY0k9GyWV/Mwoe&#10;Qz6Vue0fdumg3a6uzeT3r54o9dltl1MQnlr/Dr/aG61gOIL/L+EHyP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Uv3JwgAAANsAAAAPAAAAAAAAAAAAAAAAAJgCAABkcnMvZG93&#10;bnJldi54bWxQSwUGAAAAAAQABAD1AAAAhwMAAAAA&#10;" filled="f" stroked="f">
                  <v:textbox inset="1.92253mm,.96125mm,1.92253mm,.96125mm">
                    <w:txbxContent>
                      <w:p w:rsidR="0083344C" w:rsidRDefault="0083344C">
                        <w:pPr>
                          <w:jc w:val="center"/>
                          <w:rPr>
                            <w:rFonts w:ascii="Calibri" w:hAnsi="Calibri"/>
                            <w:sz w:val="12"/>
                            <w:szCs w:val="16"/>
                          </w:rPr>
                        </w:pPr>
                        <w:r>
                          <w:rPr>
                            <w:rFonts w:ascii="Calibri" w:hAnsi="Calibri"/>
                            <w:sz w:val="12"/>
                            <w:szCs w:val="16"/>
                          </w:rPr>
                          <w:t>Channel mileage termination</w:t>
                        </w:r>
                      </w:p>
                    </w:txbxContent>
                  </v:textbox>
                </v:shape>
                <w10:anchorlock/>
              </v:group>
            </w:pict>
          </mc:Fallback>
        </mc:AlternateContent>
      </w:r>
    </w:p>
    <w:p w:rsidR="00F97D54" w:rsidRDefault="00F97D54">
      <w:pPr>
        <w:rPr>
          <w:kern w:val="0"/>
        </w:rPr>
      </w:pPr>
    </w:p>
    <w:p w:rsidR="00F97D54" w:rsidRDefault="00F97D54" w:rsidP="00EB5B97">
      <w:pPr>
        <w:numPr>
          <w:ilvl w:val="0"/>
          <w:numId w:val="64"/>
        </w:numPr>
        <w:rPr>
          <w:kern w:val="0"/>
        </w:rPr>
      </w:pPr>
      <w:r>
        <w:rPr>
          <w:kern w:val="0"/>
        </w:rPr>
        <w:t>Channel mileage facility, channel mileage, interoffice channel mileage, special transport (a transmission path between two serving wire centers associated with customer designated locations; a serving wire center and an international or service area boundary point; a serving wire center and a hub, or similar type of connection);</w:t>
      </w:r>
    </w:p>
    <w:p w:rsidR="00F97D54" w:rsidRDefault="00F97D54" w:rsidP="00EB5B97">
      <w:pPr>
        <w:numPr>
          <w:ilvl w:val="0"/>
          <w:numId w:val="64"/>
        </w:numPr>
        <w:rPr>
          <w:kern w:val="0"/>
        </w:rPr>
      </w:pPr>
      <w:r>
        <w:rPr>
          <w:kern w:val="0"/>
        </w:rPr>
        <w:t>Channel mileage termination, special transport termination (the termination of channel mileage facility or similar transmission path);</w:t>
      </w:r>
    </w:p>
    <w:p w:rsidR="00F97D54" w:rsidRDefault="00F97D54" w:rsidP="00EB5B97">
      <w:pPr>
        <w:numPr>
          <w:ilvl w:val="0"/>
          <w:numId w:val="64"/>
        </w:numPr>
        <w:rPr>
          <w:kern w:val="0"/>
        </w:rPr>
      </w:pPr>
      <w:r>
        <w:rPr>
          <w:kern w:val="0"/>
        </w:rPr>
        <w:t>Channel termination, local distribution channel, special access line, customer port connection (Ethernet) (a transmission path between a customer designated location and the associated wire center);</w:t>
      </w:r>
    </w:p>
    <w:p w:rsidR="00F97D54" w:rsidRDefault="00F97D54" w:rsidP="00EB5B97">
      <w:pPr>
        <w:numPr>
          <w:ilvl w:val="0"/>
          <w:numId w:val="64"/>
        </w:numPr>
        <w:rPr>
          <w:kern w:val="0"/>
        </w:rPr>
      </w:pPr>
      <w:r>
        <w:rPr>
          <w:kern w:val="0"/>
        </w:rPr>
        <w:t>Clear channel capability (not shown) (an arrangement which allows a customer to transport, for example, 1.536 Mbps of information on a 1.544 Mbps line rate with no constraint on the quantity or sequence of one and zero bits);</w:t>
      </w:r>
    </w:p>
    <w:p w:rsidR="00F97D54" w:rsidRDefault="00F97D54" w:rsidP="00EB5B97">
      <w:pPr>
        <w:numPr>
          <w:ilvl w:val="0"/>
          <w:numId w:val="64"/>
        </w:numPr>
        <w:rPr>
          <w:kern w:val="0"/>
        </w:rPr>
      </w:pPr>
      <w:r>
        <w:rPr>
          <w:kern w:val="0"/>
        </w:rPr>
        <w:t>Cross-connection (not shown) (semi-permanent switching between facilities, sometimes combined with multiplexing/demultiplexing);</w:t>
      </w:r>
    </w:p>
    <w:p w:rsidR="00F97D54" w:rsidRDefault="00F97D54" w:rsidP="00EB5B97">
      <w:pPr>
        <w:numPr>
          <w:ilvl w:val="0"/>
          <w:numId w:val="64"/>
        </w:numPr>
        <w:rPr>
          <w:kern w:val="0"/>
        </w:rPr>
      </w:pPr>
      <w:r>
        <w:rPr>
          <w:kern w:val="0"/>
        </w:rPr>
        <w:t>Multiplexing (not shown) (channelizing a facility into individual services requiring a lower capacity or bandwidth); and</w:t>
      </w:r>
    </w:p>
    <w:p w:rsidR="00F97D54" w:rsidRDefault="00F97D54" w:rsidP="00724B61">
      <w:pPr>
        <w:widowControl/>
        <w:numPr>
          <w:ilvl w:val="0"/>
          <w:numId w:val="64"/>
        </w:numPr>
        <w:rPr>
          <w:kern w:val="0"/>
        </w:rPr>
      </w:pPr>
      <w:r>
        <w:rPr>
          <w:kern w:val="0"/>
        </w:rPr>
        <w:t>Class of service and/or committed information rate (not shown) (for Ethernet, the performance characteristics of the network and bandwidth available for a customer port connection).</w:t>
      </w:r>
    </w:p>
    <w:p w:rsidR="00F97D54" w:rsidRDefault="00F97D54" w:rsidP="00EB5B97">
      <w:pPr>
        <w:numPr>
          <w:ilvl w:val="1"/>
          <w:numId w:val="64"/>
        </w:numPr>
        <w:rPr>
          <w:kern w:val="0"/>
        </w:rPr>
      </w:pPr>
      <w:r>
        <w:rPr>
          <w:kern w:val="0"/>
        </w:rPr>
        <w:t>If none of the possible entries describes the circuit element, enter a short description.</w:t>
      </w:r>
    </w:p>
    <w:p w:rsidR="00F97D54" w:rsidRDefault="00F97D54">
      <w:pPr>
        <w:rPr>
          <w:kern w:val="0"/>
        </w:rPr>
      </w:pPr>
    </w:p>
    <w:p w:rsidR="00F97D54" w:rsidRDefault="00F97D54">
      <w:pPr>
        <w:rPr>
          <w:b/>
          <w:kern w:val="0"/>
        </w:rPr>
      </w:pPr>
      <w:r>
        <w:rPr>
          <w:b/>
          <w:kern w:val="0"/>
        </w:rPr>
        <w:t>Revenues, Terms and Conditions Information</w:t>
      </w:r>
    </w:p>
    <w:p w:rsidR="00F97D54" w:rsidRDefault="00F97D54">
      <w:pPr>
        <w:rPr>
          <w:kern w:val="0"/>
        </w:rPr>
      </w:pPr>
    </w:p>
    <w:p w:rsidR="00F97D54" w:rsidRDefault="00F97D54" w:rsidP="00EB5B97">
      <w:pPr>
        <w:numPr>
          <w:ilvl w:val="0"/>
          <w:numId w:val="91"/>
        </w:numPr>
        <w:tabs>
          <w:tab w:val="clear" w:pos="576"/>
          <w:tab w:val="left" w:pos="900"/>
        </w:tabs>
        <w:rPr>
          <w:kern w:val="0"/>
        </w:rPr>
      </w:pPr>
      <w:r>
        <w:rPr>
          <w:kern w:val="0"/>
        </w:rPr>
        <w:t xml:space="preserve">What were your </w:t>
      </w:r>
      <w:r>
        <w:rPr>
          <w:i/>
          <w:kern w:val="0"/>
        </w:rPr>
        <w:t>Revenues</w:t>
      </w:r>
      <w:r>
        <w:rPr>
          <w:kern w:val="0"/>
        </w:rPr>
        <w:t xml:space="preserve"> from the sale of </w:t>
      </w:r>
      <w:r>
        <w:rPr>
          <w:i/>
          <w:kern w:val="0"/>
        </w:rPr>
        <w:t>CBDS</w:t>
      </w:r>
      <w:r>
        <w:rPr>
          <w:kern w:val="0"/>
        </w:rPr>
        <w:t xml:space="preserve"> in 2010 and 2012?  For each year, report </w:t>
      </w:r>
      <w:r>
        <w:rPr>
          <w:i/>
          <w:kern w:val="0"/>
        </w:rPr>
        <w:t>Revenues</w:t>
      </w:r>
      <w:r>
        <w:rPr>
          <w:kern w:val="0"/>
        </w:rPr>
        <w:t xml:space="preserve"> in total, separately by </w:t>
      </w:r>
      <w:r>
        <w:rPr>
          <w:i/>
          <w:kern w:val="0"/>
        </w:rPr>
        <w:t>DS1</w:t>
      </w:r>
      <w:r>
        <w:rPr>
          <w:kern w:val="0"/>
        </w:rPr>
        <w:t>,</w:t>
      </w:r>
      <w:r>
        <w:rPr>
          <w:i/>
          <w:kern w:val="0"/>
        </w:rPr>
        <w:t xml:space="preserve"> DS3</w:t>
      </w:r>
      <w:r>
        <w:rPr>
          <w:kern w:val="0"/>
        </w:rPr>
        <w:t xml:space="preserve">, and other </w:t>
      </w:r>
      <w:r>
        <w:rPr>
          <w:i/>
          <w:kern w:val="0"/>
        </w:rPr>
        <w:t>CBDS</w:t>
      </w:r>
      <w:r>
        <w:rPr>
          <w:kern w:val="0"/>
        </w:rPr>
        <w:t xml:space="preserve"> sales, and separately by customer category, </w:t>
      </w:r>
      <w:r>
        <w:rPr>
          <w:i/>
          <w:kern w:val="0"/>
        </w:rPr>
        <w:t>i.e.</w:t>
      </w:r>
      <w:r>
        <w:rPr>
          <w:kern w:val="0"/>
        </w:rPr>
        <w:t xml:space="preserve">, sales to </w:t>
      </w:r>
      <w:r>
        <w:rPr>
          <w:i/>
          <w:kern w:val="0"/>
        </w:rPr>
        <w:t>Providers</w:t>
      </w:r>
      <w:r>
        <w:rPr>
          <w:kern w:val="0"/>
        </w:rPr>
        <w:t xml:space="preserve"> and </w:t>
      </w:r>
      <w:r>
        <w:rPr>
          <w:i/>
          <w:kern w:val="0"/>
        </w:rPr>
        <w:t>End Users</w:t>
      </w:r>
      <w:r>
        <w:rPr>
          <w:kern w:val="0"/>
        </w:rPr>
        <w:t>.</w:t>
      </w:r>
    </w:p>
    <w:p w:rsidR="00F97D54" w:rsidRDefault="00F97D54">
      <w:pPr>
        <w:rPr>
          <w:kern w:val="0"/>
        </w:rPr>
      </w:pPr>
    </w:p>
    <w:p w:rsidR="00F97D54" w:rsidRDefault="00F97D54" w:rsidP="00EB5B97">
      <w:pPr>
        <w:numPr>
          <w:ilvl w:val="0"/>
          <w:numId w:val="91"/>
        </w:numPr>
        <w:tabs>
          <w:tab w:val="clear" w:pos="576"/>
          <w:tab w:val="num" w:pos="900"/>
        </w:tabs>
        <w:rPr>
          <w:kern w:val="0"/>
        </w:rPr>
      </w:pPr>
      <w:r>
        <w:rPr>
          <w:kern w:val="0"/>
        </w:rPr>
        <w:t xml:space="preserve">What were your </w:t>
      </w:r>
      <w:r>
        <w:rPr>
          <w:i/>
          <w:kern w:val="0"/>
        </w:rPr>
        <w:t>Revenues</w:t>
      </w:r>
      <w:r>
        <w:rPr>
          <w:kern w:val="0"/>
        </w:rPr>
        <w:t xml:space="preserve"> from the sale of </w:t>
      </w:r>
      <w:r>
        <w:rPr>
          <w:i/>
          <w:kern w:val="0"/>
        </w:rPr>
        <w:t>PBDS</w:t>
      </w:r>
      <w:r>
        <w:rPr>
          <w:kern w:val="0"/>
        </w:rPr>
        <w:t xml:space="preserve"> in 2010 and 2012?  For each year, report </w:t>
      </w:r>
      <w:r>
        <w:rPr>
          <w:i/>
          <w:kern w:val="0"/>
        </w:rPr>
        <w:t>Revenues</w:t>
      </w:r>
      <w:r>
        <w:rPr>
          <w:kern w:val="0"/>
        </w:rPr>
        <w:t xml:space="preserve"> in total, separately by customer category, </w:t>
      </w:r>
      <w:r>
        <w:rPr>
          <w:i/>
          <w:kern w:val="0"/>
        </w:rPr>
        <w:t>i.e.</w:t>
      </w:r>
      <w:r>
        <w:rPr>
          <w:kern w:val="0"/>
        </w:rPr>
        <w:t xml:space="preserve">, sales to </w:t>
      </w:r>
      <w:r>
        <w:rPr>
          <w:i/>
          <w:kern w:val="0"/>
        </w:rPr>
        <w:t>Providers</w:t>
      </w:r>
      <w:r>
        <w:rPr>
          <w:kern w:val="0"/>
        </w:rPr>
        <w:t xml:space="preserve"> and </w:t>
      </w:r>
      <w:r>
        <w:rPr>
          <w:i/>
          <w:kern w:val="0"/>
        </w:rPr>
        <w:t>End Users</w:t>
      </w:r>
      <w:r>
        <w:rPr>
          <w:kern w:val="0"/>
        </w:rPr>
        <w:t>, and separately by bandwidth for the following categories:</w:t>
      </w:r>
    </w:p>
    <w:p w:rsidR="00F97D54" w:rsidRDefault="00F97D54" w:rsidP="00EB5B97">
      <w:pPr>
        <w:numPr>
          <w:ilvl w:val="0"/>
          <w:numId w:val="30"/>
        </w:numPr>
        <w:rPr>
          <w:kern w:val="0"/>
        </w:rPr>
      </w:pPr>
      <w:r>
        <w:rPr>
          <w:kern w:val="0"/>
        </w:rPr>
        <w:t>less than or equal to 1.5 Mbps;</w:t>
      </w:r>
    </w:p>
    <w:p w:rsidR="00F97D54" w:rsidRDefault="00F97D54" w:rsidP="00EB5B97">
      <w:pPr>
        <w:numPr>
          <w:ilvl w:val="0"/>
          <w:numId w:val="30"/>
        </w:numPr>
        <w:rPr>
          <w:kern w:val="0"/>
        </w:rPr>
      </w:pPr>
      <w:r>
        <w:rPr>
          <w:kern w:val="0"/>
        </w:rPr>
        <w:t>greater than 1.5, but less than or equal to 50 Mbps;</w:t>
      </w:r>
    </w:p>
    <w:p w:rsidR="00F97D54" w:rsidRDefault="00F97D54" w:rsidP="00EB5B97">
      <w:pPr>
        <w:numPr>
          <w:ilvl w:val="0"/>
          <w:numId w:val="30"/>
        </w:numPr>
        <w:rPr>
          <w:kern w:val="0"/>
        </w:rPr>
      </w:pPr>
      <w:r>
        <w:rPr>
          <w:kern w:val="0"/>
        </w:rPr>
        <w:t>greater than 50, but less than or equal to 100 Mbps;</w:t>
      </w:r>
    </w:p>
    <w:p w:rsidR="00F97D54" w:rsidRDefault="00F97D54" w:rsidP="00EB5B97">
      <w:pPr>
        <w:numPr>
          <w:ilvl w:val="0"/>
          <w:numId w:val="30"/>
        </w:numPr>
        <w:rPr>
          <w:kern w:val="0"/>
        </w:rPr>
      </w:pPr>
      <w:r>
        <w:rPr>
          <w:kern w:val="0"/>
        </w:rPr>
        <w:t xml:space="preserve">greater than 100, but less than or equal to 1 Gbps; and </w:t>
      </w:r>
    </w:p>
    <w:p w:rsidR="00F97D54" w:rsidRDefault="00F97D54" w:rsidP="00EB5B97">
      <w:pPr>
        <w:numPr>
          <w:ilvl w:val="0"/>
          <w:numId w:val="30"/>
        </w:numPr>
        <w:rPr>
          <w:kern w:val="0"/>
        </w:rPr>
      </w:pPr>
      <w:r>
        <w:rPr>
          <w:kern w:val="0"/>
        </w:rPr>
        <w:t>greater than 1 Gbps.</w:t>
      </w:r>
    </w:p>
    <w:p w:rsidR="00F97D54" w:rsidRDefault="00F97D54">
      <w:pPr>
        <w:rPr>
          <w:kern w:val="0"/>
        </w:rPr>
      </w:pPr>
    </w:p>
    <w:p w:rsidR="00F97D54" w:rsidRDefault="00F97D54" w:rsidP="00EB5B97">
      <w:pPr>
        <w:numPr>
          <w:ilvl w:val="0"/>
          <w:numId w:val="91"/>
        </w:numPr>
        <w:tabs>
          <w:tab w:val="clear" w:pos="576"/>
          <w:tab w:val="left" w:pos="900"/>
        </w:tabs>
        <w:rPr>
          <w:kern w:val="0"/>
        </w:rPr>
      </w:pPr>
      <w:r>
        <w:rPr>
          <w:kern w:val="0"/>
        </w:rPr>
        <w:t xml:space="preserve">What percentage of your </w:t>
      </w:r>
      <w:r>
        <w:rPr>
          <w:i/>
          <w:kern w:val="0"/>
        </w:rPr>
        <w:t>Revenues</w:t>
      </w:r>
      <w:r>
        <w:rPr>
          <w:kern w:val="0"/>
        </w:rPr>
        <w:t xml:space="preserve"> from the sale of </w:t>
      </w:r>
      <w:r>
        <w:rPr>
          <w:i/>
          <w:kern w:val="0"/>
        </w:rPr>
        <w:t>DS1</w:t>
      </w:r>
      <w:r>
        <w:rPr>
          <w:kern w:val="0"/>
        </w:rPr>
        <w:t xml:space="preserve">, </w:t>
      </w:r>
      <w:r>
        <w:rPr>
          <w:i/>
          <w:kern w:val="0"/>
        </w:rPr>
        <w:t>DS3</w:t>
      </w:r>
      <w:r>
        <w:rPr>
          <w:kern w:val="0"/>
        </w:rPr>
        <w:t xml:space="preserve">, and </w:t>
      </w:r>
      <w:r>
        <w:rPr>
          <w:i/>
          <w:kern w:val="0"/>
        </w:rPr>
        <w:t>PBDS</w:t>
      </w:r>
      <w:r>
        <w:rPr>
          <w:kern w:val="0"/>
        </w:rPr>
        <w:t xml:space="preserve"> services in 2012 were generated from an agreement or </w:t>
      </w:r>
      <w:r>
        <w:rPr>
          <w:i/>
          <w:kern w:val="0"/>
        </w:rPr>
        <w:t>Tariff</w:t>
      </w:r>
      <w:r>
        <w:rPr>
          <w:kern w:val="0"/>
        </w:rPr>
        <w:t xml:space="preserve"> that contains a </w:t>
      </w:r>
      <w:r>
        <w:rPr>
          <w:i/>
          <w:kern w:val="0"/>
        </w:rPr>
        <w:t>Prior Purchase-Based Commitment</w:t>
      </w:r>
      <w:r>
        <w:rPr>
          <w:kern w:val="0"/>
        </w:rPr>
        <w:t xml:space="preserve">?  </w:t>
      </w:r>
    </w:p>
    <w:p w:rsidR="00F97D54" w:rsidRDefault="00F97D54">
      <w:pPr>
        <w:rPr>
          <w:kern w:val="0"/>
        </w:rPr>
      </w:pPr>
    </w:p>
    <w:p w:rsidR="00F97D54" w:rsidRDefault="00F97D54" w:rsidP="00EB5B97">
      <w:pPr>
        <w:numPr>
          <w:ilvl w:val="0"/>
          <w:numId w:val="91"/>
        </w:numPr>
        <w:tabs>
          <w:tab w:val="clear" w:pos="576"/>
          <w:tab w:val="left" w:pos="900"/>
        </w:tabs>
        <w:rPr>
          <w:kern w:val="0"/>
        </w:rPr>
      </w:pPr>
      <w:r>
        <w:rPr>
          <w:kern w:val="0"/>
        </w:rPr>
        <w:t xml:space="preserve">If you offer </w:t>
      </w:r>
      <w:r>
        <w:rPr>
          <w:i/>
          <w:kern w:val="0"/>
        </w:rPr>
        <w:t>Dedicated Services</w:t>
      </w:r>
      <w:r>
        <w:rPr>
          <w:kern w:val="0"/>
        </w:rPr>
        <w:t xml:space="preserve"> pursuant to an agreement or </w:t>
      </w:r>
      <w:r>
        <w:rPr>
          <w:i/>
          <w:kern w:val="0"/>
        </w:rPr>
        <w:t>Tariff</w:t>
      </w:r>
      <w:r>
        <w:rPr>
          <w:kern w:val="0"/>
        </w:rPr>
        <w:t xml:space="preserve"> that contains either a </w:t>
      </w:r>
      <w:r>
        <w:rPr>
          <w:i/>
          <w:kern w:val="0"/>
        </w:rPr>
        <w:t>Prior Purchase-Based Commitment</w:t>
      </w:r>
      <w:r>
        <w:rPr>
          <w:kern w:val="0"/>
        </w:rPr>
        <w:t xml:space="preserve"> or a </w:t>
      </w:r>
      <w:r>
        <w:rPr>
          <w:i/>
          <w:kern w:val="0"/>
        </w:rPr>
        <w:t>Non-Rate Benefit</w:t>
      </w:r>
      <w:r>
        <w:rPr>
          <w:kern w:val="0"/>
        </w:rPr>
        <w:t xml:space="preserve">, then explain how, if at all, those sales are distinguishable from similarly structured </w:t>
      </w:r>
      <w:r>
        <w:rPr>
          <w:i/>
          <w:kern w:val="0"/>
        </w:rPr>
        <w:t>ILEC</w:t>
      </w:r>
      <w:r>
        <w:rPr>
          <w:kern w:val="0"/>
        </w:rPr>
        <w:t xml:space="preserve"> sales of </w:t>
      </w:r>
      <w:r>
        <w:rPr>
          <w:i/>
          <w:kern w:val="0"/>
        </w:rPr>
        <w:t>DS1s</w:t>
      </w:r>
      <w:r>
        <w:rPr>
          <w:kern w:val="0"/>
        </w:rPr>
        <w:t xml:space="preserve">, </w:t>
      </w:r>
      <w:r>
        <w:rPr>
          <w:i/>
          <w:kern w:val="0"/>
        </w:rPr>
        <w:t>DS3s</w:t>
      </w:r>
      <w:r>
        <w:rPr>
          <w:kern w:val="0"/>
        </w:rPr>
        <w:t xml:space="preserve">, and/or </w:t>
      </w:r>
      <w:r>
        <w:rPr>
          <w:i/>
          <w:kern w:val="0"/>
        </w:rPr>
        <w:t>PBDS</w:t>
      </w:r>
      <w:r>
        <w:rPr>
          <w:kern w:val="0"/>
        </w:rPr>
        <w:t xml:space="preserve">.  </w:t>
      </w:r>
    </w:p>
    <w:p w:rsidR="00F97D54" w:rsidRDefault="00F97D54">
      <w:pPr>
        <w:tabs>
          <w:tab w:val="left" w:pos="540"/>
        </w:tabs>
        <w:rPr>
          <w:kern w:val="0"/>
        </w:rPr>
      </w:pPr>
    </w:p>
    <w:p w:rsidR="00F97D54" w:rsidRDefault="00F97D54" w:rsidP="00EB5B97">
      <w:pPr>
        <w:numPr>
          <w:ilvl w:val="0"/>
          <w:numId w:val="91"/>
        </w:numPr>
        <w:tabs>
          <w:tab w:val="clear" w:pos="576"/>
          <w:tab w:val="num" w:pos="900"/>
        </w:tabs>
        <w:rPr>
          <w:kern w:val="0"/>
        </w:rPr>
      </w:pPr>
      <w:r>
        <w:rPr>
          <w:kern w:val="0"/>
        </w:rPr>
        <w:t xml:space="preserve">Provide the business justification for the </w:t>
      </w:r>
      <w:r>
        <w:rPr>
          <w:i/>
          <w:kern w:val="0"/>
        </w:rPr>
        <w:t>Term</w:t>
      </w:r>
      <w:r>
        <w:rPr>
          <w:kern w:val="0"/>
        </w:rPr>
        <w:t xml:space="preserve"> or </w:t>
      </w:r>
      <w:r>
        <w:rPr>
          <w:i/>
          <w:kern w:val="0"/>
        </w:rPr>
        <w:t xml:space="preserve">Volume Commitments </w:t>
      </w:r>
      <w:r>
        <w:rPr>
          <w:kern w:val="0"/>
        </w:rPr>
        <w:t xml:space="preserve">associated with any </w:t>
      </w:r>
      <w:r>
        <w:rPr>
          <w:i/>
          <w:kern w:val="0"/>
        </w:rPr>
        <w:t>Tariff</w:t>
      </w:r>
      <w:r>
        <w:rPr>
          <w:kern w:val="0"/>
        </w:rPr>
        <w:t xml:space="preserve"> or agreement you offer or have in effect with a customer for the sale of </w:t>
      </w:r>
      <w:r>
        <w:rPr>
          <w:i/>
          <w:kern w:val="0"/>
        </w:rPr>
        <w:t>Dedicated Services</w:t>
      </w:r>
      <w:r>
        <w:rPr>
          <w:kern w:val="0"/>
        </w:rPr>
        <w:t xml:space="preserve">.  </w:t>
      </w:r>
    </w:p>
    <w:p w:rsidR="00F97D54" w:rsidRDefault="00F97D54">
      <w:pPr>
        <w:pStyle w:val="ListParagraph"/>
      </w:pPr>
    </w:p>
    <w:p w:rsidR="00F97D54" w:rsidRDefault="00F97D54">
      <w:pPr>
        <w:tabs>
          <w:tab w:val="left" w:pos="540"/>
        </w:tabs>
        <w:rPr>
          <w:kern w:val="0"/>
        </w:rPr>
      </w:pPr>
    </w:p>
    <w:p w:rsidR="00F97D54" w:rsidRDefault="00F97D54">
      <w:pPr>
        <w:rPr>
          <w:b/>
          <w:kern w:val="0"/>
        </w:rPr>
      </w:pPr>
      <w:r>
        <w:rPr>
          <w:b/>
          <w:kern w:val="0"/>
        </w:rPr>
        <w:t xml:space="preserve">B.  </w:t>
      </w:r>
      <w:r>
        <w:rPr>
          <w:b/>
          <w:i/>
          <w:kern w:val="0"/>
          <w:u w:val="single"/>
        </w:rPr>
        <w:t>ILECs</w:t>
      </w:r>
      <w:r>
        <w:rPr>
          <w:b/>
          <w:kern w:val="0"/>
          <w:u w:val="single"/>
        </w:rPr>
        <w:t xml:space="preserve"> must respond to the following</w:t>
      </w:r>
      <w:r>
        <w:rPr>
          <w:b/>
          <w:kern w:val="0"/>
        </w:rPr>
        <w:t xml:space="preserve">:   </w:t>
      </w:r>
    </w:p>
    <w:p w:rsidR="00F97D54" w:rsidRDefault="00F97D54">
      <w:pPr>
        <w:rPr>
          <w:kern w:val="0"/>
        </w:rPr>
      </w:pPr>
    </w:p>
    <w:p w:rsidR="00F97D54" w:rsidRDefault="00F97D54" w:rsidP="00EB5B97">
      <w:pPr>
        <w:numPr>
          <w:ilvl w:val="0"/>
          <w:numId w:val="67"/>
        </w:numPr>
        <w:tabs>
          <w:tab w:val="clear" w:pos="576"/>
          <w:tab w:val="num" w:pos="720"/>
        </w:tabs>
        <w:rPr>
          <w:b/>
          <w:kern w:val="0"/>
        </w:rPr>
      </w:pPr>
      <w:r>
        <w:rPr>
          <w:kern w:val="0"/>
        </w:rPr>
        <w:t xml:space="preserve">Indicate whether you are an </w:t>
      </w:r>
      <w:r>
        <w:rPr>
          <w:i/>
          <w:kern w:val="0"/>
        </w:rPr>
        <w:t>Affiliated Company</w:t>
      </w:r>
      <w:r>
        <w:rPr>
          <w:kern w:val="0"/>
        </w:rPr>
        <w:t xml:space="preserve">.  If you are an </w:t>
      </w:r>
      <w:r w:rsidRPr="00D449B3">
        <w:rPr>
          <w:i/>
          <w:kern w:val="0"/>
        </w:rPr>
        <w:t>Affiliated Company</w:t>
      </w:r>
      <w:r>
        <w:rPr>
          <w:kern w:val="0"/>
        </w:rPr>
        <w:t xml:space="preserve">, you must identify the entities </w:t>
      </w:r>
      <w:r>
        <w:rPr>
          <w:kern w:val="0"/>
          <w:szCs w:val="22"/>
        </w:rPr>
        <w:t xml:space="preserve">that provide and/or purchase </w:t>
      </w:r>
      <w:r w:rsidRPr="0069663E">
        <w:rPr>
          <w:i/>
          <w:kern w:val="0"/>
          <w:szCs w:val="22"/>
        </w:rPr>
        <w:t>Dedicated Service</w:t>
      </w:r>
      <w:r>
        <w:rPr>
          <w:i/>
          <w:kern w:val="0"/>
          <w:szCs w:val="22"/>
        </w:rPr>
        <w:t xml:space="preserve"> </w:t>
      </w:r>
      <w:r>
        <w:rPr>
          <w:kern w:val="0"/>
        </w:rPr>
        <w:t>with which you have an affiliation (name/FRN).</w:t>
      </w:r>
    </w:p>
    <w:p w:rsidR="00F97D54" w:rsidRDefault="00F97D54">
      <w:pPr>
        <w:rPr>
          <w:b/>
          <w:kern w:val="0"/>
        </w:rPr>
      </w:pPr>
    </w:p>
    <w:p w:rsidR="00F97D54" w:rsidRDefault="00F97D54">
      <w:pPr>
        <w:rPr>
          <w:b/>
          <w:kern w:val="0"/>
        </w:rPr>
      </w:pPr>
      <w:r>
        <w:rPr>
          <w:b/>
          <w:kern w:val="0"/>
        </w:rPr>
        <w:t>Facilities Information</w:t>
      </w:r>
    </w:p>
    <w:p w:rsidR="00F97D54" w:rsidRDefault="00F97D54">
      <w:pPr>
        <w:rPr>
          <w:kern w:val="0"/>
        </w:rPr>
      </w:pPr>
    </w:p>
    <w:p w:rsidR="00F97D54" w:rsidRPr="003B3B66" w:rsidRDefault="00F97D54" w:rsidP="00EB5B97">
      <w:pPr>
        <w:numPr>
          <w:ilvl w:val="0"/>
          <w:numId w:val="67"/>
        </w:numPr>
        <w:tabs>
          <w:tab w:val="clear" w:pos="576"/>
          <w:tab w:val="num" w:pos="720"/>
        </w:tabs>
        <w:autoSpaceDE w:val="0"/>
        <w:autoSpaceDN w:val="0"/>
        <w:adjustRightInd w:val="0"/>
        <w:contextualSpacing/>
        <w:rPr>
          <w:color w:val="000000"/>
          <w:kern w:val="0"/>
          <w:szCs w:val="22"/>
        </w:rPr>
      </w:pPr>
      <w:r>
        <w:rPr>
          <w:color w:val="000000"/>
          <w:kern w:val="0"/>
          <w:szCs w:val="22"/>
        </w:rPr>
        <w:t xml:space="preserve">Provide the total number of </w:t>
      </w:r>
      <w:r>
        <w:rPr>
          <w:i/>
          <w:color w:val="000000"/>
          <w:kern w:val="0"/>
          <w:szCs w:val="22"/>
        </w:rPr>
        <w:t>Locations</w:t>
      </w:r>
      <w:r>
        <w:rPr>
          <w:color w:val="000000"/>
          <w:kern w:val="0"/>
          <w:szCs w:val="22"/>
        </w:rPr>
        <w:t xml:space="preserve"> to which you provided a </w:t>
      </w:r>
      <w:r>
        <w:rPr>
          <w:i/>
          <w:color w:val="000000"/>
          <w:kern w:val="0"/>
          <w:szCs w:val="22"/>
        </w:rPr>
        <w:t>Connection</w:t>
      </w:r>
      <w:r>
        <w:rPr>
          <w:color w:val="000000"/>
          <w:kern w:val="0"/>
          <w:szCs w:val="22"/>
        </w:rPr>
        <w:t xml:space="preserve"> in your company’s study areas during 2010 and during 2012 where your company:  (i) </w:t>
      </w:r>
      <w:r w:rsidRPr="008673A2">
        <w:rPr>
          <w:color w:val="000000"/>
          <w:kern w:val="0"/>
          <w:szCs w:val="22"/>
        </w:rPr>
        <w:t>own</w:t>
      </w:r>
      <w:r>
        <w:rPr>
          <w:color w:val="000000"/>
          <w:kern w:val="0"/>
          <w:szCs w:val="22"/>
        </w:rPr>
        <w:t>ed</w:t>
      </w:r>
      <w:r w:rsidRPr="008673A2">
        <w:rPr>
          <w:color w:val="000000"/>
          <w:kern w:val="0"/>
          <w:szCs w:val="22"/>
        </w:rPr>
        <w:t xml:space="preserve"> the </w:t>
      </w:r>
      <w:r w:rsidRPr="003B3B66">
        <w:rPr>
          <w:i/>
          <w:color w:val="000000"/>
          <w:kern w:val="0"/>
          <w:szCs w:val="22"/>
        </w:rPr>
        <w:t>Connection</w:t>
      </w:r>
      <w:r w:rsidRPr="003B3B66">
        <w:rPr>
          <w:color w:val="000000"/>
          <w:kern w:val="0"/>
          <w:szCs w:val="22"/>
        </w:rPr>
        <w:t>;</w:t>
      </w:r>
      <w:r>
        <w:rPr>
          <w:color w:val="000000"/>
          <w:kern w:val="0"/>
          <w:szCs w:val="22"/>
        </w:rPr>
        <w:t xml:space="preserve"> or (ii) </w:t>
      </w:r>
      <w:r w:rsidRPr="003B3B66">
        <w:rPr>
          <w:color w:val="000000"/>
          <w:kern w:val="0"/>
          <w:szCs w:val="22"/>
        </w:rPr>
        <w:t>lease</w:t>
      </w:r>
      <w:r>
        <w:rPr>
          <w:color w:val="000000"/>
          <w:kern w:val="0"/>
          <w:szCs w:val="22"/>
        </w:rPr>
        <w:t>d</w:t>
      </w:r>
      <w:r w:rsidRPr="003B3B66">
        <w:rPr>
          <w:color w:val="000000"/>
          <w:kern w:val="0"/>
          <w:szCs w:val="22"/>
        </w:rPr>
        <w:t xml:space="preserve"> the </w:t>
      </w:r>
      <w:r w:rsidRPr="003B3B66">
        <w:rPr>
          <w:i/>
          <w:color w:val="000000"/>
          <w:kern w:val="0"/>
          <w:szCs w:val="22"/>
        </w:rPr>
        <w:t>Connection</w:t>
      </w:r>
      <w:r w:rsidRPr="003B3B66">
        <w:rPr>
          <w:color w:val="000000"/>
          <w:kern w:val="0"/>
          <w:szCs w:val="22"/>
        </w:rPr>
        <w:t xml:space="preserve"> from another entity under an </w:t>
      </w:r>
      <w:r w:rsidRPr="003B3B66">
        <w:rPr>
          <w:i/>
          <w:color w:val="000000"/>
          <w:kern w:val="0"/>
          <w:szCs w:val="22"/>
        </w:rPr>
        <w:t>IRU</w:t>
      </w:r>
      <w:r w:rsidRPr="003B3B66">
        <w:rPr>
          <w:color w:val="000000"/>
          <w:kern w:val="0"/>
          <w:szCs w:val="22"/>
        </w:rPr>
        <w:t xml:space="preserve"> agreement</w:t>
      </w:r>
      <w:r w:rsidRPr="008673A2">
        <w:rPr>
          <w:color w:val="000000"/>
          <w:kern w:val="0"/>
          <w:szCs w:val="22"/>
        </w:rPr>
        <w:t>.</w:t>
      </w:r>
    </w:p>
    <w:p w:rsidR="00F97D54" w:rsidRDefault="00F97D54">
      <w:pPr>
        <w:tabs>
          <w:tab w:val="left" w:pos="900"/>
        </w:tabs>
        <w:rPr>
          <w:color w:val="000000"/>
          <w:kern w:val="0"/>
          <w:szCs w:val="22"/>
        </w:rPr>
      </w:pPr>
    </w:p>
    <w:p w:rsidR="00F97D54" w:rsidRDefault="00F97D54" w:rsidP="00EB5B97">
      <w:pPr>
        <w:numPr>
          <w:ilvl w:val="0"/>
          <w:numId w:val="67"/>
        </w:numPr>
        <w:tabs>
          <w:tab w:val="clear" w:pos="576"/>
          <w:tab w:val="left" w:pos="720"/>
        </w:tabs>
        <w:spacing w:after="120"/>
        <w:contextualSpacing/>
        <w:rPr>
          <w:rFonts w:eastAsia="MS Minngs"/>
          <w:kern w:val="0"/>
          <w:szCs w:val="22"/>
        </w:rPr>
      </w:pPr>
      <w:r>
        <w:rPr>
          <w:rFonts w:eastAsia="MS Minngs"/>
          <w:kern w:val="0"/>
          <w:szCs w:val="22"/>
        </w:rPr>
        <w:t xml:space="preserve">Provide the information requested below for each </w:t>
      </w:r>
      <w:r>
        <w:rPr>
          <w:rFonts w:eastAsia="MS Minngs"/>
          <w:i/>
          <w:kern w:val="0"/>
          <w:szCs w:val="22"/>
        </w:rPr>
        <w:t>Location</w:t>
      </w:r>
      <w:r>
        <w:rPr>
          <w:rFonts w:eastAsia="MS Minngs"/>
          <w:kern w:val="0"/>
          <w:szCs w:val="22"/>
        </w:rPr>
        <w:t xml:space="preserve"> to which your company had a </w:t>
      </w:r>
      <w:r>
        <w:rPr>
          <w:rFonts w:eastAsia="MS Minngs"/>
          <w:i/>
          <w:kern w:val="0"/>
          <w:szCs w:val="22"/>
        </w:rPr>
        <w:t>Connection</w:t>
      </w:r>
      <w:r>
        <w:rPr>
          <w:rFonts w:eastAsia="MS Minngs"/>
          <w:kern w:val="0"/>
          <w:szCs w:val="22"/>
        </w:rPr>
        <w:t xml:space="preserve"> during 2010 and during 2012 that you (i) owned or (ii) leased from another entity under an </w:t>
      </w:r>
      <w:r>
        <w:rPr>
          <w:rFonts w:eastAsia="MS Minngs"/>
          <w:i/>
          <w:kern w:val="0"/>
          <w:szCs w:val="22"/>
        </w:rPr>
        <w:t>IRU</w:t>
      </w:r>
      <w:r>
        <w:rPr>
          <w:rFonts w:eastAsia="MS Minngs"/>
          <w:kern w:val="0"/>
          <w:szCs w:val="22"/>
        </w:rPr>
        <w:t xml:space="preserve"> agreement: </w:t>
      </w:r>
    </w:p>
    <w:p w:rsidR="00F97D54" w:rsidRDefault="00F97D54" w:rsidP="00EB5B97">
      <w:pPr>
        <w:numPr>
          <w:ilvl w:val="1"/>
          <w:numId w:val="8"/>
        </w:numPr>
        <w:tabs>
          <w:tab w:val="left" w:pos="1440"/>
          <w:tab w:val="num" w:pos="1620"/>
        </w:tabs>
        <w:rPr>
          <w:b/>
          <w:kern w:val="0"/>
          <w:szCs w:val="22"/>
        </w:rPr>
      </w:pPr>
      <w:r>
        <w:rPr>
          <w:kern w:val="0"/>
          <w:szCs w:val="22"/>
        </w:rPr>
        <w:t xml:space="preserve">A unique ID for the </w:t>
      </w:r>
      <w:r>
        <w:rPr>
          <w:i/>
          <w:kern w:val="0"/>
          <w:szCs w:val="22"/>
        </w:rPr>
        <w:t>Location</w:t>
      </w:r>
      <w:r>
        <w:rPr>
          <w:kern w:val="0"/>
          <w:szCs w:val="22"/>
        </w:rPr>
        <w:t>;</w:t>
      </w:r>
    </w:p>
    <w:p w:rsidR="00F97D54" w:rsidRDefault="00F97D54" w:rsidP="0083344C">
      <w:pPr>
        <w:widowControl/>
        <w:numPr>
          <w:ilvl w:val="1"/>
          <w:numId w:val="8"/>
        </w:numPr>
        <w:tabs>
          <w:tab w:val="left" w:pos="1440"/>
          <w:tab w:val="num" w:pos="1620"/>
        </w:tabs>
        <w:rPr>
          <w:b/>
          <w:kern w:val="0"/>
          <w:szCs w:val="22"/>
        </w:rPr>
      </w:pPr>
      <w:r>
        <w:rPr>
          <w:kern w:val="0"/>
          <w:szCs w:val="22"/>
        </w:rPr>
        <w:t xml:space="preserve">The actual situs address for the </w:t>
      </w:r>
      <w:r>
        <w:rPr>
          <w:i/>
          <w:kern w:val="0"/>
          <w:szCs w:val="22"/>
        </w:rPr>
        <w:t>Location</w:t>
      </w:r>
      <w:r>
        <w:rPr>
          <w:kern w:val="0"/>
          <w:szCs w:val="22"/>
        </w:rPr>
        <w:t xml:space="preserve"> (</w:t>
      </w:r>
      <w:r>
        <w:rPr>
          <w:i/>
          <w:kern w:val="0"/>
          <w:szCs w:val="22"/>
        </w:rPr>
        <w:t>i.e.</w:t>
      </w:r>
      <w:r>
        <w:rPr>
          <w:kern w:val="0"/>
          <w:szCs w:val="22"/>
        </w:rPr>
        <w:t xml:space="preserve">, land where the building or cell site is located);    </w:t>
      </w:r>
    </w:p>
    <w:p w:rsidR="00F97D54" w:rsidRDefault="00F97D54" w:rsidP="00EB5B97">
      <w:pPr>
        <w:numPr>
          <w:ilvl w:val="1"/>
          <w:numId w:val="8"/>
        </w:numPr>
        <w:tabs>
          <w:tab w:val="left" w:pos="1440"/>
          <w:tab w:val="num" w:pos="1620"/>
        </w:tabs>
        <w:rPr>
          <w:b/>
          <w:kern w:val="0"/>
          <w:szCs w:val="22"/>
        </w:rPr>
      </w:pPr>
      <w:r>
        <w:rPr>
          <w:kern w:val="0"/>
          <w:szCs w:val="22"/>
        </w:rPr>
        <w:t xml:space="preserve">The geocode for the </w:t>
      </w:r>
      <w:r>
        <w:rPr>
          <w:i/>
          <w:kern w:val="0"/>
          <w:szCs w:val="22"/>
        </w:rPr>
        <w:t>Location</w:t>
      </w:r>
      <w:r>
        <w:rPr>
          <w:kern w:val="0"/>
          <w:szCs w:val="22"/>
        </w:rPr>
        <w:t xml:space="preserve"> (</w:t>
      </w:r>
      <w:r>
        <w:rPr>
          <w:i/>
          <w:kern w:val="0"/>
          <w:szCs w:val="22"/>
        </w:rPr>
        <w:t>i.e.</w:t>
      </w:r>
      <w:r>
        <w:rPr>
          <w:kern w:val="0"/>
          <w:szCs w:val="22"/>
        </w:rPr>
        <w:t xml:space="preserve">, latitude and longitude);  </w:t>
      </w:r>
    </w:p>
    <w:p w:rsidR="00F97D54" w:rsidRDefault="00F97D54" w:rsidP="00724B61">
      <w:pPr>
        <w:widowControl/>
        <w:numPr>
          <w:ilvl w:val="1"/>
          <w:numId w:val="8"/>
        </w:numPr>
        <w:tabs>
          <w:tab w:val="left" w:pos="1440"/>
          <w:tab w:val="num" w:pos="1620"/>
        </w:tabs>
        <w:rPr>
          <w:kern w:val="0"/>
          <w:szCs w:val="22"/>
        </w:rPr>
      </w:pPr>
      <w:r>
        <w:rPr>
          <w:kern w:val="0"/>
          <w:szCs w:val="22"/>
        </w:rPr>
        <w:t xml:space="preserve">The </w:t>
      </w:r>
      <w:r>
        <w:rPr>
          <w:i/>
          <w:kern w:val="0"/>
          <w:szCs w:val="22"/>
        </w:rPr>
        <w:t>Location</w:t>
      </w:r>
      <w:r>
        <w:rPr>
          <w:kern w:val="0"/>
          <w:szCs w:val="22"/>
        </w:rPr>
        <w:t xml:space="preserve"> type (</w:t>
      </w:r>
      <w:r>
        <w:rPr>
          <w:i/>
          <w:kern w:val="0"/>
          <w:szCs w:val="22"/>
        </w:rPr>
        <w:t>e.g.</w:t>
      </w:r>
      <w:r>
        <w:rPr>
          <w:kern w:val="0"/>
          <w:szCs w:val="22"/>
        </w:rPr>
        <w:t xml:space="preserve">, </w:t>
      </w:r>
      <w:r>
        <w:rPr>
          <w:kern w:val="0"/>
        </w:rPr>
        <w:t xml:space="preserve">building, other man-made structure, cell site in or on a building, free-standing cell site, or a cell site on some other man-made structure </w:t>
      </w:r>
      <w:r>
        <w:rPr>
          <w:kern w:val="0"/>
          <w:szCs w:val="22"/>
        </w:rPr>
        <w:t>like a water tower, billboard, etc</w:t>
      </w:r>
      <w:r>
        <w:rPr>
          <w:i/>
          <w:kern w:val="0"/>
          <w:szCs w:val="22"/>
        </w:rPr>
        <w:t>.</w:t>
      </w:r>
      <w:r>
        <w:rPr>
          <w:kern w:val="0"/>
          <w:szCs w:val="22"/>
        </w:rPr>
        <w:t>);</w:t>
      </w:r>
    </w:p>
    <w:p w:rsidR="00F97D54" w:rsidRDefault="00F97D54" w:rsidP="00EB5B97">
      <w:pPr>
        <w:numPr>
          <w:ilvl w:val="1"/>
          <w:numId w:val="8"/>
        </w:numPr>
        <w:tabs>
          <w:tab w:val="left" w:pos="1440"/>
          <w:tab w:val="num" w:pos="1620"/>
        </w:tabs>
        <w:rPr>
          <w:kern w:val="0"/>
          <w:szCs w:val="22"/>
        </w:rPr>
      </w:pPr>
      <w:r>
        <w:rPr>
          <w:kern w:val="0"/>
          <w:szCs w:val="22"/>
        </w:rPr>
        <w:t xml:space="preserve">Whether any of the </w:t>
      </w:r>
      <w:r>
        <w:rPr>
          <w:i/>
          <w:kern w:val="0"/>
          <w:szCs w:val="22"/>
        </w:rPr>
        <w:t>Connection</w:t>
      </w:r>
      <w:r>
        <w:rPr>
          <w:kern w:val="0"/>
          <w:szCs w:val="22"/>
        </w:rPr>
        <w:t xml:space="preserve"> to the </w:t>
      </w:r>
      <w:r>
        <w:rPr>
          <w:i/>
          <w:kern w:val="0"/>
          <w:szCs w:val="22"/>
        </w:rPr>
        <w:t>Location</w:t>
      </w:r>
      <w:r>
        <w:rPr>
          <w:kern w:val="0"/>
          <w:szCs w:val="22"/>
        </w:rPr>
        <w:t xml:space="preserve"> was provided using fiber;</w:t>
      </w:r>
    </w:p>
    <w:p w:rsidR="00F97D54" w:rsidRPr="00045AE0" w:rsidRDefault="00F97D54" w:rsidP="00EB5B97">
      <w:pPr>
        <w:numPr>
          <w:ilvl w:val="1"/>
          <w:numId w:val="8"/>
        </w:numPr>
        <w:tabs>
          <w:tab w:val="left" w:pos="1440"/>
          <w:tab w:val="num" w:pos="1620"/>
        </w:tabs>
        <w:rPr>
          <w:kern w:val="0"/>
          <w:szCs w:val="22"/>
        </w:rPr>
      </w:pPr>
      <w:r w:rsidRPr="00045AE0">
        <w:rPr>
          <w:kern w:val="0"/>
          <w:szCs w:val="22"/>
        </w:rPr>
        <w:t xml:space="preserve">The total sold bandwidth of </w:t>
      </w:r>
      <w:r>
        <w:rPr>
          <w:kern w:val="0"/>
          <w:szCs w:val="22"/>
        </w:rPr>
        <w:t>the</w:t>
      </w:r>
      <w:r w:rsidRPr="00045AE0">
        <w:rPr>
          <w:kern w:val="0"/>
          <w:szCs w:val="22"/>
        </w:rPr>
        <w:t xml:space="preserve"> </w:t>
      </w:r>
      <w:r w:rsidRPr="00045AE0">
        <w:rPr>
          <w:i/>
          <w:kern w:val="0"/>
          <w:szCs w:val="22"/>
        </w:rPr>
        <w:t>Connection</w:t>
      </w:r>
      <w:r w:rsidRPr="00045AE0">
        <w:rPr>
          <w:kern w:val="0"/>
          <w:szCs w:val="22"/>
        </w:rPr>
        <w:t xml:space="preserve"> provided by you to the </w:t>
      </w:r>
      <w:r w:rsidRPr="00045AE0">
        <w:rPr>
          <w:i/>
          <w:kern w:val="0"/>
          <w:szCs w:val="22"/>
        </w:rPr>
        <w:t>Location</w:t>
      </w:r>
      <w:r w:rsidRPr="00045AE0">
        <w:rPr>
          <w:kern w:val="0"/>
          <w:szCs w:val="22"/>
        </w:rPr>
        <w:t xml:space="preserve"> in Mbps</w:t>
      </w:r>
      <w:r w:rsidRPr="002B733E">
        <w:rPr>
          <w:kern w:val="0"/>
          <w:szCs w:val="22"/>
        </w:rPr>
        <w:t xml:space="preserve">; </w:t>
      </w:r>
    </w:p>
    <w:p w:rsidR="00F97D54" w:rsidRDefault="00F97D54" w:rsidP="00EB5B97">
      <w:pPr>
        <w:numPr>
          <w:ilvl w:val="1"/>
          <w:numId w:val="8"/>
        </w:numPr>
        <w:tabs>
          <w:tab w:val="left" w:pos="1080"/>
          <w:tab w:val="left" w:pos="1350"/>
        </w:tabs>
        <w:rPr>
          <w:kern w:val="0"/>
        </w:rPr>
      </w:pPr>
      <w:r>
        <w:rPr>
          <w:kern w:val="0"/>
          <w:szCs w:val="22"/>
        </w:rPr>
        <w:t xml:space="preserve">  The total bandwidth to the </w:t>
      </w:r>
      <w:r>
        <w:rPr>
          <w:i/>
          <w:kern w:val="0"/>
          <w:szCs w:val="22"/>
        </w:rPr>
        <w:t>Location</w:t>
      </w:r>
      <w:r>
        <w:rPr>
          <w:kern w:val="0"/>
          <w:szCs w:val="22"/>
        </w:rPr>
        <w:t xml:space="preserve"> sold by you as </w:t>
      </w:r>
      <w:r>
        <w:rPr>
          <w:i/>
          <w:kern w:val="0"/>
          <w:szCs w:val="22"/>
        </w:rPr>
        <w:t>UNEs</w:t>
      </w:r>
      <w:r>
        <w:rPr>
          <w:kern w:val="0"/>
          <w:szCs w:val="22"/>
        </w:rPr>
        <w:t xml:space="preserve"> in the form of </w:t>
      </w:r>
      <w:r>
        <w:rPr>
          <w:i/>
          <w:kern w:val="0"/>
          <w:szCs w:val="22"/>
        </w:rPr>
        <w:t>DS1</w:t>
      </w:r>
      <w:r>
        <w:rPr>
          <w:kern w:val="0"/>
          <w:szCs w:val="22"/>
        </w:rPr>
        <w:t xml:space="preserve">s and/or </w:t>
      </w:r>
      <w:r>
        <w:rPr>
          <w:i/>
          <w:kern w:val="0"/>
          <w:szCs w:val="22"/>
        </w:rPr>
        <w:t>DS3</w:t>
      </w:r>
      <w:r>
        <w:rPr>
          <w:kern w:val="0"/>
          <w:szCs w:val="22"/>
        </w:rPr>
        <w:t>s;</w:t>
      </w:r>
    </w:p>
    <w:p w:rsidR="00F97D54" w:rsidRDefault="00F97D54" w:rsidP="00EB5B97">
      <w:pPr>
        <w:numPr>
          <w:ilvl w:val="1"/>
          <w:numId w:val="8"/>
        </w:numPr>
        <w:tabs>
          <w:tab w:val="left" w:pos="1080"/>
          <w:tab w:val="left" w:pos="1440"/>
        </w:tabs>
        <w:rPr>
          <w:kern w:val="0"/>
        </w:rPr>
      </w:pPr>
      <w:r>
        <w:rPr>
          <w:kern w:val="0"/>
          <w:szCs w:val="22"/>
        </w:rPr>
        <w:t xml:space="preserve">The total bandwidth to the </w:t>
      </w:r>
      <w:r>
        <w:rPr>
          <w:i/>
          <w:kern w:val="0"/>
          <w:szCs w:val="22"/>
        </w:rPr>
        <w:t>Location</w:t>
      </w:r>
      <w:r>
        <w:rPr>
          <w:kern w:val="0"/>
          <w:szCs w:val="22"/>
        </w:rPr>
        <w:t xml:space="preserve"> sold directly by you to an </w:t>
      </w:r>
      <w:r>
        <w:rPr>
          <w:i/>
          <w:kern w:val="0"/>
          <w:szCs w:val="22"/>
        </w:rPr>
        <w:t>End User</w:t>
      </w:r>
      <w:r>
        <w:rPr>
          <w:kern w:val="0"/>
          <w:szCs w:val="22"/>
        </w:rPr>
        <w:t>;</w:t>
      </w:r>
    </w:p>
    <w:p w:rsidR="00F97D54" w:rsidRDefault="00F97D54" w:rsidP="00EB5B97">
      <w:pPr>
        <w:numPr>
          <w:ilvl w:val="1"/>
          <w:numId w:val="8"/>
        </w:numPr>
        <w:tabs>
          <w:tab w:val="left" w:pos="1440"/>
        </w:tabs>
        <w:rPr>
          <w:kern w:val="0"/>
        </w:rPr>
      </w:pPr>
      <w:r>
        <w:rPr>
          <w:kern w:val="0"/>
          <w:szCs w:val="22"/>
        </w:rPr>
        <w:t xml:space="preserve">The total sold fixed wireless bandwidth provided by you to the </w:t>
      </w:r>
      <w:r>
        <w:rPr>
          <w:i/>
          <w:kern w:val="0"/>
          <w:szCs w:val="22"/>
        </w:rPr>
        <w:t>Location</w:t>
      </w:r>
      <w:r>
        <w:rPr>
          <w:kern w:val="0"/>
          <w:szCs w:val="22"/>
        </w:rPr>
        <w:t>; and</w:t>
      </w:r>
    </w:p>
    <w:p w:rsidR="00F97D54" w:rsidRPr="00230648" w:rsidRDefault="00F97D54" w:rsidP="00EB5B97">
      <w:pPr>
        <w:numPr>
          <w:ilvl w:val="1"/>
          <w:numId w:val="8"/>
        </w:numPr>
        <w:tabs>
          <w:tab w:val="left" w:pos="1440"/>
        </w:tabs>
        <w:ind w:left="1620" w:hanging="540"/>
        <w:rPr>
          <w:kern w:val="0"/>
        </w:rPr>
      </w:pPr>
      <w:r>
        <w:rPr>
          <w:kern w:val="0"/>
          <w:szCs w:val="22"/>
        </w:rPr>
        <w:t xml:space="preserve">The total bandwidth sold by you to any cell sites at the </w:t>
      </w:r>
      <w:r>
        <w:rPr>
          <w:i/>
          <w:kern w:val="0"/>
          <w:szCs w:val="22"/>
        </w:rPr>
        <w:t>Location</w:t>
      </w:r>
      <w:r>
        <w:rPr>
          <w:kern w:val="0"/>
          <w:szCs w:val="22"/>
        </w:rPr>
        <w:t>.</w:t>
      </w:r>
    </w:p>
    <w:p w:rsidR="00F97D54" w:rsidRDefault="00F97D54">
      <w:pPr>
        <w:rPr>
          <w:b/>
          <w:kern w:val="0"/>
        </w:rPr>
      </w:pPr>
    </w:p>
    <w:p w:rsidR="00F97D54" w:rsidRDefault="00F97D54">
      <w:pPr>
        <w:rPr>
          <w:b/>
          <w:kern w:val="0"/>
        </w:rPr>
      </w:pPr>
      <w:r>
        <w:rPr>
          <w:b/>
          <w:kern w:val="0"/>
        </w:rPr>
        <w:t>Billing Information</w:t>
      </w:r>
    </w:p>
    <w:p w:rsidR="00F97D54" w:rsidRDefault="00F97D54">
      <w:pPr>
        <w:rPr>
          <w:kern w:val="0"/>
        </w:rPr>
      </w:pPr>
    </w:p>
    <w:p w:rsidR="00F97D54" w:rsidRDefault="00F97D54" w:rsidP="00EB5B97">
      <w:pPr>
        <w:numPr>
          <w:ilvl w:val="0"/>
          <w:numId w:val="68"/>
        </w:numPr>
        <w:tabs>
          <w:tab w:val="clear" w:pos="576"/>
          <w:tab w:val="num" w:pos="720"/>
        </w:tabs>
        <w:rPr>
          <w:kern w:val="0"/>
        </w:rPr>
      </w:pPr>
      <w:r>
        <w:rPr>
          <w:kern w:val="0"/>
        </w:rPr>
        <w:t xml:space="preserve">For all </w:t>
      </w:r>
      <w:r>
        <w:rPr>
          <w:i/>
          <w:kern w:val="0"/>
        </w:rPr>
        <w:t>Dedicated Services</w:t>
      </w:r>
      <w:r>
        <w:rPr>
          <w:kern w:val="0"/>
        </w:rPr>
        <w:t xml:space="preserve"> provided using transmission paths that you (i) own or (ii) lease from another entity under an </w:t>
      </w:r>
      <w:r>
        <w:rPr>
          <w:i/>
          <w:iCs/>
          <w:color w:val="000000"/>
          <w:kern w:val="0"/>
        </w:rPr>
        <w:t>IRU</w:t>
      </w:r>
      <w:r>
        <w:rPr>
          <w:color w:val="000000"/>
          <w:kern w:val="0"/>
        </w:rPr>
        <w:t xml:space="preserve"> </w:t>
      </w:r>
      <w:r>
        <w:rPr>
          <w:kern w:val="0"/>
        </w:rPr>
        <w:t xml:space="preserve">agreement, submit the following information by circuit element by circuit billed for each month from January 1 to December 31 for the years 2010 and 2012. </w:t>
      </w:r>
    </w:p>
    <w:p w:rsidR="00F97D54" w:rsidRDefault="00F97D54" w:rsidP="00EB5B97">
      <w:pPr>
        <w:numPr>
          <w:ilvl w:val="0"/>
          <w:numId w:val="41"/>
        </w:numPr>
        <w:rPr>
          <w:kern w:val="0"/>
        </w:rPr>
      </w:pPr>
      <w:r>
        <w:rPr>
          <w:kern w:val="0"/>
        </w:rPr>
        <w:t>The closing date of the monthly billing cycle in mm/dd/yyyy format;</w:t>
      </w:r>
    </w:p>
    <w:p w:rsidR="00F97D54" w:rsidRDefault="00F97D54" w:rsidP="00EB5B97">
      <w:pPr>
        <w:numPr>
          <w:ilvl w:val="0"/>
          <w:numId w:val="41"/>
        </w:numPr>
        <w:rPr>
          <w:kern w:val="0"/>
        </w:rPr>
      </w:pPr>
      <w:r>
        <w:rPr>
          <w:kern w:val="0"/>
        </w:rPr>
        <w:t>The name and six-digit 499A Filer ID of the customer, where applicable, or other unique ID if customer does not have a 499A Filer ID;</w:t>
      </w:r>
    </w:p>
    <w:p w:rsidR="00F97D54" w:rsidRDefault="00F97D54" w:rsidP="00EB5B97">
      <w:pPr>
        <w:numPr>
          <w:ilvl w:val="0"/>
          <w:numId w:val="41"/>
        </w:numPr>
        <w:rPr>
          <w:kern w:val="0"/>
        </w:rPr>
      </w:pPr>
      <w:r>
        <w:rPr>
          <w:kern w:val="0"/>
        </w:rPr>
        <w:t xml:space="preserve">The </w:t>
      </w:r>
      <w:r>
        <w:rPr>
          <w:i/>
          <w:kern w:val="0"/>
        </w:rPr>
        <w:t>Location</w:t>
      </w:r>
      <w:r>
        <w:rPr>
          <w:kern w:val="0"/>
        </w:rPr>
        <w:t xml:space="preserve"> ID from question II.B.3.a that is used to link the circuit elements to the terminating </w:t>
      </w:r>
      <w:r>
        <w:rPr>
          <w:i/>
          <w:kern w:val="0"/>
        </w:rPr>
        <w:t>Location</w:t>
      </w:r>
      <w:r>
        <w:rPr>
          <w:kern w:val="0"/>
        </w:rPr>
        <w:t xml:space="preserve"> of the circuit (where applicable);</w:t>
      </w:r>
    </w:p>
    <w:p w:rsidR="00F97D54" w:rsidRDefault="00F97D54" w:rsidP="00EB5B97">
      <w:pPr>
        <w:numPr>
          <w:ilvl w:val="0"/>
          <w:numId w:val="41"/>
        </w:numPr>
        <w:rPr>
          <w:kern w:val="0"/>
        </w:rPr>
      </w:pPr>
      <w:r>
        <w:rPr>
          <w:kern w:val="0"/>
        </w:rPr>
        <w:t>The circuit ID common to all elements purchased in common for a particular circuit;</w:t>
      </w:r>
    </w:p>
    <w:p w:rsidR="00F97D54" w:rsidRDefault="00F97D54" w:rsidP="00EB5B97">
      <w:pPr>
        <w:numPr>
          <w:ilvl w:val="0"/>
          <w:numId w:val="41"/>
        </w:numPr>
        <w:rPr>
          <w:kern w:val="0"/>
        </w:rPr>
      </w:pPr>
      <w:r>
        <w:rPr>
          <w:kern w:val="0"/>
        </w:rPr>
        <w:t>The type of circuit, (</w:t>
      </w:r>
      <w:r>
        <w:rPr>
          <w:i/>
          <w:kern w:val="0"/>
        </w:rPr>
        <w:t>DS1</w:t>
      </w:r>
      <w:r>
        <w:rPr>
          <w:kern w:val="0"/>
        </w:rPr>
        <w:t xml:space="preserve"> sold as a </w:t>
      </w:r>
      <w:r>
        <w:rPr>
          <w:i/>
          <w:kern w:val="0"/>
        </w:rPr>
        <w:t>UNE</w:t>
      </w:r>
      <w:r>
        <w:rPr>
          <w:kern w:val="0"/>
        </w:rPr>
        <w:t xml:space="preserve">, </w:t>
      </w:r>
      <w:r>
        <w:rPr>
          <w:i/>
          <w:kern w:val="0"/>
        </w:rPr>
        <w:t>DS3</w:t>
      </w:r>
      <w:r>
        <w:rPr>
          <w:kern w:val="0"/>
        </w:rPr>
        <w:t xml:space="preserve"> sold as a </w:t>
      </w:r>
      <w:r>
        <w:rPr>
          <w:i/>
          <w:kern w:val="0"/>
        </w:rPr>
        <w:t>UNE</w:t>
      </w:r>
      <w:r>
        <w:rPr>
          <w:kern w:val="0"/>
        </w:rPr>
        <w:t xml:space="preserve">, </w:t>
      </w:r>
      <w:r>
        <w:rPr>
          <w:i/>
          <w:kern w:val="0"/>
        </w:rPr>
        <w:t>PBDS</w:t>
      </w:r>
      <w:r>
        <w:rPr>
          <w:kern w:val="0"/>
        </w:rPr>
        <w:t>, non-</w:t>
      </w:r>
      <w:r>
        <w:rPr>
          <w:i/>
          <w:kern w:val="0"/>
        </w:rPr>
        <w:t>UNE</w:t>
      </w:r>
      <w:r>
        <w:rPr>
          <w:kern w:val="0"/>
        </w:rPr>
        <w:t xml:space="preserve"> </w:t>
      </w:r>
      <w:r>
        <w:rPr>
          <w:i/>
          <w:kern w:val="0"/>
        </w:rPr>
        <w:t>DS1s</w:t>
      </w:r>
      <w:r>
        <w:rPr>
          <w:kern w:val="0"/>
        </w:rPr>
        <w:t xml:space="preserve"> or </w:t>
      </w:r>
      <w:r>
        <w:rPr>
          <w:i/>
          <w:kern w:val="0"/>
        </w:rPr>
        <w:t>DS3s</w:t>
      </w:r>
      <w:r>
        <w:rPr>
          <w:kern w:val="0"/>
        </w:rPr>
        <w:t>, etc</w:t>
      </w:r>
      <w:r>
        <w:rPr>
          <w:i/>
          <w:kern w:val="0"/>
        </w:rPr>
        <w:t>.</w:t>
      </w:r>
      <w:r>
        <w:rPr>
          <w:kern w:val="0"/>
        </w:rPr>
        <w:t>) and the bandwidth of the circuit;</w:t>
      </w:r>
    </w:p>
    <w:p w:rsidR="00F97D54" w:rsidRDefault="00F97D54" w:rsidP="00EB5B97">
      <w:pPr>
        <w:numPr>
          <w:ilvl w:val="0"/>
          <w:numId w:val="41"/>
        </w:numPr>
        <w:rPr>
          <w:kern w:val="0"/>
        </w:rPr>
      </w:pPr>
      <w:r>
        <w:rPr>
          <w:kern w:val="0"/>
        </w:rPr>
        <w:t>The serving wire center / mileage rating point Common Language Location Identification (CLLI) of one end of the circuit (MRP1);</w:t>
      </w:r>
    </w:p>
    <w:p w:rsidR="00F97D54" w:rsidRDefault="00F97D54" w:rsidP="00EB5B97">
      <w:pPr>
        <w:numPr>
          <w:ilvl w:val="0"/>
          <w:numId w:val="41"/>
        </w:numPr>
        <w:rPr>
          <w:kern w:val="0"/>
        </w:rPr>
      </w:pPr>
      <w:r>
        <w:rPr>
          <w:kern w:val="0"/>
        </w:rPr>
        <w:t xml:space="preserve">The serving wire center / mileage rating point CLLI of the other end of the circuit (MRP2); </w:t>
      </w:r>
    </w:p>
    <w:p w:rsidR="00F97D54" w:rsidRDefault="00F97D54" w:rsidP="00EB5B97">
      <w:pPr>
        <w:numPr>
          <w:ilvl w:val="0"/>
          <w:numId w:val="41"/>
        </w:numPr>
        <w:rPr>
          <w:kern w:val="0"/>
        </w:rPr>
      </w:pPr>
      <w:r>
        <w:rPr>
          <w:kern w:val="0"/>
        </w:rPr>
        <w:t>The latitude of MRP1;</w:t>
      </w:r>
    </w:p>
    <w:p w:rsidR="00F97D54" w:rsidRDefault="00F97D54" w:rsidP="00EB5B97">
      <w:pPr>
        <w:numPr>
          <w:ilvl w:val="0"/>
          <w:numId w:val="41"/>
        </w:numPr>
        <w:rPr>
          <w:kern w:val="0"/>
        </w:rPr>
      </w:pPr>
      <w:r>
        <w:rPr>
          <w:kern w:val="0"/>
        </w:rPr>
        <w:t>The longitude of MRP1;</w:t>
      </w:r>
    </w:p>
    <w:p w:rsidR="00F97D54" w:rsidRDefault="00F97D54" w:rsidP="00EB5B97">
      <w:pPr>
        <w:numPr>
          <w:ilvl w:val="0"/>
          <w:numId w:val="41"/>
        </w:numPr>
        <w:rPr>
          <w:kern w:val="0"/>
        </w:rPr>
      </w:pPr>
      <w:r>
        <w:rPr>
          <w:kern w:val="0"/>
        </w:rPr>
        <w:t>The latitude of MRP2;</w:t>
      </w:r>
    </w:p>
    <w:p w:rsidR="00F97D54" w:rsidRDefault="00F97D54" w:rsidP="00EB5B97">
      <w:pPr>
        <w:numPr>
          <w:ilvl w:val="0"/>
          <w:numId w:val="41"/>
        </w:numPr>
        <w:rPr>
          <w:kern w:val="0"/>
        </w:rPr>
      </w:pPr>
      <w:r>
        <w:rPr>
          <w:kern w:val="0"/>
        </w:rPr>
        <w:t>The longitude of MRP2;</w:t>
      </w:r>
    </w:p>
    <w:p w:rsidR="00F97D54" w:rsidRDefault="00F97D54" w:rsidP="00EB5B97">
      <w:pPr>
        <w:numPr>
          <w:ilvl w:val="0"/>
          <w:numId w:val="41"/>
        </w:numPr>
        <w:rPr>
          <w:kern w:val="0"/>
        </w:rPr>
      </w:pPr>
      <w:r>
        <w:rPr>
          <w:kern w:val="0"/>
        </w:rPr>
        <w:t xml:space="preserve">End of the circuit (1=MRP1 or 2=MRP2) associated with this circuit element;  </w:t>
      </w:r>
    </w:p>
    <w:p w:rsidR="00F97D54" w:rsidRDefault="00F97D54" w:rsidP="00EB5B97">
      <w:pPr>
        <w:numPr>
          <w:ilvl w:val="0"/>
          <w:numId w:val="41"/>
        </w:numPr>
        <w:rPr>
          <w:kern w:val="0"/>
        </w:rPr>
      </w:pPr>
      <w:r>
        <w:rPr>
          <w:kern w:val="0"/>
        </w:rPr>
        <w:t>The billing code for the circuit element (</w:t>
      </w:r>
      <w:r>
        <w:rPr>
          <w:i/>
          <w:kern w:val="0"/>
        </w:rPr>
        <w:t>see</w:t>
      </w:r>
      <w:r>
        <w:rPr>
          <w:kern w:val="0"/>
        </w:rPr>
        <w:t xml:space="preserve"> question II.B.6);</w:t>
      </w:r>
    </w:p>
    <w:p w:rsidR="00F97D54" w:rsidRDefault="00F97D54" w:rsidP="00EB5B97">
      <w:pPr>
        <w:numPr>
          <w:ilvl w:val="0"/>
          <w:numId w:val="41"/>
        </w:numPr>
        <w:rPr>
          <w:kern w:val="0"/>
        </w:rPr>
      </w:pPr>
      <w:r>
        <w:rPr>
          <w:kern w:val="0"/>
        </w:rPr>
        <w:t>The density pricing zone for the circuit element;</w:t>
      </w:r>
      <w:r>
        <w:rPr>
          <w:kern w:val="0"/>
          <w:vertAlign w:val="superscript"/>
        </w:rPr>
        <w:footnoteReference w:id="217"/>
      </w:r>
    </w:p>
    <w:p w:rsidR="00F97D54" w:rsidRDefault="00F97D54" w:rsidP="00EB5B97">
      <w:pPr>
        <w:numPr>
          <w:ilvl w:val="0"/>
          <w:numId w:val="41"/>
        </w:numPr>
        <w:rPr>
          <w:kern w:val="0"/>
        </w:rPr>
      </w:pPr>
      <w:r>
        <w:rPr>
          <w:kern w:val="0"/>
        </w:rPr>
        <w:t>The number of units billed for this circuit element (note that the bandwidth of the circuit must not be entered here);</w:t>
      </w:r>
    </w:p>
    <w:p w:rsidR="00F97D54" w:rsidRDefault="00F97D54" w:rsidP="00EB5B97">
      <w:pPr>
        <w:numPr>
          <w:ilvl w:val="0"/>
          <w:numId w:val="41"/>
        </w:numPr>
        <w:rPr>
          <w:kern w:val="0"/>
        </w:rPr>
      </w:pPr>
      <w:r>
        <w:rPr>
          <w:kern w:val="0"/>
        </w:rPr>
        <w:t>The dollar amount of non-recurring charges billed for the first unit of this circuit element;</w:t>
      </w:r>
    </w:p>
    <w:p w:rsidR="00F97D54" w:rsidRDefault="00F97D54" w:rsidP="00EB5B97">
      <w:pPr>
        <w:numPr>
          <w:ilvl w:val="0"/>
          <w:numId w:val="41"/>
        </w:numPr>
        <w:rPr>
          <w:kern w:val="0"/>
        </w:rPr>
      </w:pPr>
      <w:r>
        <w:rPr>
          <w:kern w:val="0"/>
        </w:rPr>
        <w:t>The dollar amount of non-recurring charges billed for additional units of this circuit element (if different from the amount billed for the initial unit);</w:t>
      </w:r>
    </w:p>
    <w:p w:rsidR="00F97D54" w:rsidRDefault="00F97D54" w:rsidP="00EB5B97">
      <w:pPr>
        <w:numPr>
          <w:ilvl w:val="0"/>
          <w:numId w:val="41"/>
        </w:numPr>
        <w:rPr>
          <w:kern w:val="0"/>
        </w:rPr>
      </w:pPr>
      <w:r>
        <w:rPr>
          <w:kern w:val="0"/>
        </w:rPr>
        <w:t>The monthly recurring dollar charge for the first unit of the circuit element billed;</w:t>
      </w:r>
    </w:p>
    <w:p w:rsidR="00F97D54" w:rsidRDefault="00F97D54" w:rsidP="00EB5B97">
      <w:pPr>
        <w:numPr>
          <w:ilvl w:val="0"/>
          <w:numId w:val="41"/>
        </w:numPr>
        <w:rPr>
          <w:kern w:val="0"/>
        </w:rPr>
      </w:pPr>
      <w:r>
        <w:rPr>
          <w:kern w:val="0"/>
        </w:rPr>
        <w:t>The monthly recurring dollar charge for additional units (if different from the amount billed for the initial unit);</w:t>
      </w:r>
    </w:p>
    <w:p w:rsidR="00F97D54" w:rsidRDefault="00F97D54" w:rsidP="00EB5B97">
      <w:pPr>
        <w:numPr>
          <w:ilvl w:val="0"/>
          <w:numId w:val="41"/>
        </w:numPr>
        <w:rPr>
          <w:kern w:val="0"/>
        </w:rPr>
      </w:pPr>
      <w:r>
        <w:rPr>
          <w:kern w:val="0"/>
        </w:rPr>
        <w:t>Per unit charge for the circuit element;</w:t>
      </w:r>
    </w:p>
    <w:p w:rsidR="00F97D54" w:rsidRDefault="00F97D54" w:rsidP="00EB5B97">
      <w:pPr>
        <w:numPr>
          <w:ilvl w:val="0"/>
          <w:numId w:val="41"/>
        </w:numPr>
        <w:rPr>
          <w:kern w:val="0"/>
        </w:rPr>
      </w:pPr>
      <w:r>
        <w:rPr>
          <w:kern w:val="0"/>
        </w:rPr>
        <w:t>The total monthly dollar amount billed for the circuit element;</w:t>
      </w:r>
    </w:p>
    <w:p w:rsidR="00F97D54" w:rsidRDefault="00F97D54" w:rsidP="00EB5B97">
      <w:pPr>
        <w:numPr>
          <w:ilvl w:val="0"/>
          <w:numId w:val="41"/>
        </w:numPr>
        <w:rPr>
          <w:kern w:val="0"/>
        </w:rPr>
      </w:pPr>
      <w:r>
        <w:rPr>
          <w:kern w:val="0"/>
        </w:rPr>
        <w:t xml:space="preserve">The </w:t>
      </w:r>
      <w:r>
        <w:rPr>
          <w:i/>
          <w:kern w:val="0"/>
        </w:rPr>
        <w:t>Term Commitment</w:t>
      </w:r>
      <w:r>
        <w:rPr>
          <w:kern w:val="0"/>
        </w:rPr>
        <w:t xml:space="preserve"> associated with this circuit in months;</w:t>
      </w:r>
    </w:p>
    <w:p w:rsidR="00F97D54" w:rsidRPr="004108A4" w:rsidRDefault="00F97D54" w:rsidP="00EB5B97">
      <w:pPr>
        <w:numPr>
          <w:ilvl w:val="0"/>
          <w:numId w:val="41"/>
        </w:numPr>
        <w:rPr>
          <w:kern w:val="0"/>
        </w:rPr>
      </w:pPr>
      <w:r>
        <w:rPr>
          <w:kern w:val="0"/>
        </w:rPr>
        <w:t xml:space="preserve">Indicate whether this circuit element is associated with a circuit that contributes to a </w:t>
      </w:r>
      <w:r>
        <w:rPr>
          <w:i/>
          <w:kern w:val="0"/>
        </w:rPr>
        <w:t>Volume Commitment</w:t>
      </w:r>
      <w:r>
        <w:rPr>
          <w:kern w:val="0"/>
        </w:rPr>
        <w:t>;</w:t>
      </w:r>
    </w:p>
    <w:p w:rsidR="00F97D54" w:rsidRPr="00B013F8" w:rsidRDefault="00F97D54" w:rsidP="00EB5B97">
      <w:pPr>
        <w:numPr>
          <w:ilvl w:val="0"/>
          <w:numId w:val="41"/>
        </w:numPr>
        <w:rPr>
          <w:kern w:val="0"/>
        </w:rPr>
      </w:pPr>
      <w:r>
        <w:rPr>
          <w:kern w:val="0"/>
        </w:rPr>
        <w:t xml:space="preserve">Indicate whether this circuit element was purchased pursuant to a </w:t>
      </w:r>
      <w:r>
        <w:rPr>
          <w:i/>
          <w:kern w:val="0"/>
        </w:rPr>
        <w:t>Contract-Based Tariff</w:t>
      </w:r>
      <w:r>
        <w:rPr>
          <w:kern w:val="0"/>
        </w:rPr>
        <w:t>; and</w:t>
      </w:r>
      <w:r w:rsidRPr="00B013F8">
        <w:rPr>
          <w:kern w:val="0"/>
        </w:rPr>
        <w:t xml:space="preserve">  </w:t>
      </w:r>
    </w:p>
    <w:p w:rsidR="00F97D54" w:rsidRPr="0056349E" w:rsidRDefault="00F97D54" w:rsidP="00EB5B97">
      <w:pPr>
        <w:numPr>
          <w:ilvl w:val="0"/>
          <w:numId w:val="41"/>
        </w:numPr>
        <w:rPr>
          <w:kern w:val="0"/>
        </w:rPr>
      </w:pPr>
      <w:r>
        <w:rPr>
          <w:kern w:val="0"/>
        </w:rPr>
        <w:t>The adjustment ID (or multiple adjustment IDs) linking this circuit element to the unique out-of-cycle billing adjustments in question II.B.5.a (below) if applicable.</w:t>
      </w:r>
    </w:p>
    <w:p w:rsidR="00F97D54" w:rsidRDefault="00F97D54">
      <w:pPr>
        <w:rPr>
          <w:kern w:val="0"/>
        </w:rPr>
      </w:pPr>
    </w:p>
    <w:p w:rsidR="00F97D54" w:rsidRDefault="00F97D54" w:rsidP="00EB5B97">
      <w:pPr>
        <w:numPr>
          <w:ilvl w:val="0"/>
          <w:numId w:val="69"/>
        </w:numPr>
        <w:tabs>
          <w:tab w:val="clear" w:pos="576"/>
          <w:tab w:val="num" w:pos="720"/>
        </w:tabs>
        <w:rPr>
          <w:kern w:val="0"/>
        </w:rPr>
      </w:pPr>
      <w:r>
        <w:rPr>
          <w:kern w:val="0"/>
        </w:rPr>
        <w:t xml:space="preserve">For each adjustment, rebate, or true-up for billed </w:t>
      </w:r>
      <w:r>
        <w:rPr>
          <w:i/>
          <w:kern w:val="0"/>
        </w:rPr>
        <w:t>Dedicated Services</w:t>
      </w:r>
      <w:r>
        <w:rPr>
          <w:kern w:val="0"/>
        </w:rPr>
        <w:t xml:space="preserve">, provide the information requested below.  </w:t>
      </w:r>
    </w:p>
    <w:p w:rsidR="00F97D54" w:rsidRDefault="00F97D54" w:rsidP="00EB5B97">
      <w:pPr>
        <w:numPr>
          <w:ilvl w:val="0"/>
          <w:numId w:val="42"/>
        </w:numPr>
        <w:rPr>
          <w:kern w:val="0"/>
        </w:rPr>
      </w:pPr>
      <w:r>
        <w:rPr>
          <w:kern w:val="0"/>
        </w:rPr>
        <w:t>A unique ID for the billing adjustment or true-up (</w:t>
      </w:r>
      <w:r>
        <w:rPr>
          <w:i/>
          <w:kern w:val="0"/>
        </w:rPr>
        <w:t>see</w:t>
      </w:r>
      <w:r>
        <w:rPr>
          <w:kern w:val="0"/>
        </w:rPr>
        <w:t xml:space="preserve"> question II.B.4.y above);</w:t>
      </w:r>
    </w:p>
    <w:p w:rsidR="00F97D54" w:rsidRDefault="00F97D54" w:rsidP="00EB5B97">
      <w:pPr>
        <w:numPr>
          <w:ilvl w:val="0"/>
          <w:numId w:val="42"/>
        </w:numPr>
        <w:rPr>
          <w:kern w:val="0"/>
        </w:rPr>
      </w:pPr>
      <w:r>
        <w:rPr>
          <w:kern w:val="0"/>
        </w:rPr>
        <w:t xml:space="preserve">A unique ID number for the contract or </w:t>
      </w:r>
      <w:r>
        <w:rPr>
          <w:i/>
          <w:kern w:val="0"/>
        </w:rPr>
        <w:t>Tariff</w:t>
      </w:r>
      <w:r>
        <w:rPr>
          <w:kern w:val="0"/>
        </w:rPr>
        <w:t xml:space="preserve"> from which the adjustment originates; </w:t>
      </w:r>
    </w:p>
    <w:p w:rsidR="00F97D54" w:rsidRDefault="00F97D54" w:rsidP="00EB5B97">
      <w:pPr>
        <w:numPr>
          <w:ilvl w:val="0"/>
          <w:numId w:val="42"/>
        </w:numPr>
        <w:rPr>
          <w:kern w:val="0"/>
        </w:rPr>
      </w:pPr>
      <w:r>
        <w:rPr>
          <w:kern w:val="0"/>
        </w:rPr>
        <w:t>The beginning date of the time period covered by the adjustment or true-up;</w:t>
      </w:r>
    </w:p>
    <w:p w:rsidR="00F97D54" w:rsidRDefault="00F97D54" w:rsidP="00EB5B97">
      <w:pPr>
        <w:numPr>
          <w:ilvl w:val="0"/>
          <w:numId w:val="42"/>
        </w:numPr>
        <w:rPr>
          <w:kern w:val="0"/>
        </w:rPr>
      </w:pPr>
      <w:r>
        <w:rPr>
          <w:kern w:val="0"/>
        </w:rPr>
        <w:t>The ending date of the time period covered by the adjustment or true-up;</w:t>
      </w:r>
    </w:p>
    <w:p w:rsidR="00F97D54" w:rsidRDefault="00F97D54" w:rsidP="00EB5B97">
      <w:pPr>
        <w:numPr>
          <w:ilvl w:val="0"/>
          <w:numId w:val="42"/>
        </w:numPr>
        <w:rPr>
          <w:kern w:val="0"/>
        </w:rPr>
      </w:pPr>
      <w:r>
        <w:rPr>
          <w:kern w:val="0"/>
        </w:rPr>
        <w:t xml:space="preserve">The scope of the billing adjustment, </w:t>
      </w:r>
      <w:r>
        <w:rPr>
          <w:i/>
          <w:kern w:val="0"/>
        </w:rPr>
        <w:t>i.e.</w:t>
      </w:r>
      <w:r>
        <w:rPr>
          <w:kern w:val="0"/>
        </w:rPr>
        <w:t xml:space="preserve">, whether the adjustment applies to a single circuit element on a single circuit, more than one circuit element on a single circuit, more than one circuit element across multiple circuits, or an overall adjustment that applies to every circuit element on every circuit purchased by the customer; </w:t>
      </w:r>
    </w:p>
    <w:p w:rsidR="00F97D54" w:rsidRDefault="00F97D54" w:rsidP="00EB5B97">
      <w:pPr>
        <w:numPr>
          <w:ilvl w:val="0"/>
          <w:numId w:val="42"/>
        </w:numPr>
        <w:rPr>
          <w:kern w:val="0"/>
        </w:rPr>
      </w:pPr>
      <w:r>
        <w:rPr>
          <w:kern w:val="0"/>
        </w:rPr>
        <w:t xml:space="preserve">The dollar amount of the adjustment or true-up;  </w:t>
      </w:r>
    </w:p>
    <w:p w:rsidR="00F97D54" w:rsidRDefault="00F97D54" w:rsidP="00EB5B97">
      <w:pPr>
        <w:numPr>
          <w:ilvl w:val="0"/>
          <w:numId w:val="42"/>
        </w:numPr>
        <w:rPr>
          <w:kern w:val="0"/>
        </w:rPr>
      </w:pPr>
      <w:r>
        <w:rPr>
          <w:kern w:val="0"/>
        </w:rPr>
        <w:t xml:space="preserve">Whether the adjustment is associated with a </w:t>
      </w:r>
      <w:r>
        <w:rPr>
          <w:i/>
          <w:kern w:val="0"/>
        </w:rPr>
        <w:t>Term Commitment</w:t>
      </w:r>
      <w:r>
        <w:rPr>
          <w:kern w:val="0"/>
        </w:rPr>
        <w:t xml:space="preserve">, and if so, the length of the term specified in the contract or </w:t>
      </w:r>
      <w:r w:rsidRPr="003770E9">
        <w:rPr>
          <w:i/>
          <w:kern w:val="0"/>
        </w:rPr>
        <w:t>Tariff</w:t>
      </w:r>
      <w:r>
        <w:rPr>
          <w:kern w:val="0"/>
        </w:rPr>
        <w:t xml:space="preserve"> necessary to achieve the rebate;</w:t>
      </w:r>
    </w:p>
    <w:p w:rsidR="00F97D54" w:rsidRDefault="00F97D54" w:rsidP="00EB5B97">
      <w:pPr>
        <w:numPr>
          <w:ilvl w:val="0"/>
          <w:numId w:val="42"/>
        </w:numPr>
        <w:rPr>
          <w:kern w:val="0"/>
        </w:rPr>
      </w:pPr>
      <w:r>
        <w:rPr>
          <w:kern w:val="0"/>
        </w:rPr>
        <w:t xml:space="preserve">Whether the adjustment is associated with a </w:t>
      </w:r>
      <w:r>
        <w:rPr>
          <w:i/>
          <w:kern w:val="0"/>
        </w:rPr>
        <w:t>Volume Commitment</w:t>
      </w:r>
      <w:r>
        <w:rPr>
          <w:kern w:val="0"/>
        </w:rPr>
        <w:t xml:space="preserve">, and if so, the number of circuits and/or dollar amount specified in the contract or </w:t>
      </w:r>
      <w:r w:rsidRPr="003770E9">
        <w:rPr>
          <w:i/>
          <w:kern w:val="0"/>
        </w:rPr>
        <w:t>Tariff</w:t>
      </w:r>
      <w:r>
        <w:rPr>
          <w:kern w:val="0"/>
        </w:rPr>
        <w:t xml:space="preserve"> necessary to achieve the rebate; and</w:t>
      </w:r>
    </w:p>
    <w:p w:rsidR="00F97D54" w:rsidRDefault="00F97D54" w:rsidP="00EB5B97">
      <w:pPr>
        <w:numPr>
          <w:ilvl w:val="0"/>
          <w:numId w:val="42"/>
        </w:numPr>
        <w:rPr>
          <w:kern w:val="0"/>
        </w:rPr>
      </w:pPr>
      <w:r>
        <w:rPr>
          <w:kern w:val="0"/>
        </w:rPr>
        <w:t>If the adjustment is for some other reason, a brief description of the reason for the adjustment.</w:t>
      </w:r>
    </w:p>
    <w:p w:rsidR="00F97D54" w:rsidRDefault="00F97D54">
      <w:pPr>
        <w:rPr>
          <w:kern w:val="0"/>
        </w:rPr>
      </w:pPr>
    </w:p>
    <w:p w:rsidR="00F97D54" w:rsidRDefault="00F97D54" w:rsidP="00EB5B97">
      <w:pPr>
        <w:numPr>
          <w:ilvl w:val="0"/>
          <w:numId w:val="70"/>
        </w:numPr>
        <w:tabs>
          <w:tab w:val="clear" w:pos="576"/>
          <w:tab w:val="num" w:pos="720"/>
        </w:tabs>
        <w:rPr>
          <w:kern w:val="0"/>
        </w:rPr>
      </w:pPr>
      <w:r>
        <w:rPr>
          <w:kern w:val="0"/>
        </w:rPr>
        <w:t xml:space="preserve">For each unique billing code, please provide the following information below.  </w:t>
      </w:r>
    </w:p>
    <w:p w:rsidR="00F97D54" w:rsidRDefault="00F97D54" w:rsidP="00EB5B97">
      <w:pPr>
        <w:numPr>
          <w:ilvl w:val="2"/>
          <w:numId w:val="42"/>
        </w:numPr>
        <w:rPr>
          <w:kern w:val="0"/>
        </w:rPr>
      </w:pPr>
      <w:r>
        <w:rPr>
          <w:kern w:val="0"/>
        </w:rPr>
        <w:t>The billing code for the circuit element;</w:t>
      </w:r>
    </w:p>
    <w:p w:rsidR="00F97D54" w:rsidRDefault="00F97D54" w:rsidP="00EB5B97">
      <w:pPr>
        <w:numPr>
          <w:ilvl w:val="2"/>
          <w:numId w:val="42"/>
        </w:numPr>
        <w:spacing w:after="120"/>
        <w:rPr>
          <w:kern w:val="0"/>
        </w:rPr>
      </w:pPr>
      <w:r>
        <w:rPr>
          <w:kern w:val="0"/>
        </w:rPr>
        <w:t>The phrase that best describes the circuit element from the list.  Names of some common rate elements are shown on the generalized circuit diagram below:</w:t>
      </w:r>
    </w:p>
    <w:p w:rsidR="00F97D54" w:rsidRDefault="003C120F">
      <w:pPr>
        <w:ind w:left="1800"/>
        <w:rPr>
          <w:kern w:val="0"/>
        </w:rPr>
      </w:pPr>
      <w:r>
        <w:rPr>
          <w:noProof/>
          <w:snapToGrid/>
          <w:kern w:val="0"/>
        </w:rPr>
        <mc:AlternateContent>
          <mc:Choice Requires="wpg">
            <w:drawing>
              <wp:inline distT="0" distB="0" distL="0" distR="0" wp14:anchorId="5828D6A9" wp14:editId="31BFF799">
                <wp:extent cx="3610610" cy="1548130"/>
                <wp:effectExtent l="0" t="0" r="8890" b="0"/>
                <wp:docPr id="5" name="Group 64"/>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3610610" cy="1548130"/>
                          <a:chOff x="2969" y="3241"/>
                          <a:chExt cx="6318" cy="2812"/>
                        </a:xfrm>
                      </wpg:grpSpPr>
                      <wps:wsp>
                        <wps:cNvPr id="6" name="AutoShape 47"/>
                        <wps:cNvSpPr>
                          <a:spLocks noChangeAspect="1" noChangeArrowheads="1" noTextEdit="1"/>
                        </wps:cNvSpPr>
                        <wps:spPr bwMode="auto">
                          <a:xfrm>
                            <a:off x="2969" y="3241"/>
                            <a:ext cx="6318" cy="2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Oval 48"/>
                        <wps:cNvSpPr>
                          <a:spLocks noChangeArrowheads="1"/>
                        </wps:cNvSpPr>
                        <wps:spPr bwMode="auto">
                          <a:xfrm>
                            <a:off x="2978" y="3704"/>
                            <a:ext cx="1200" cy="123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 name="Text Box 49"/>
                        <wps:cNvSpPr txBox="1">
                          <a:spLocks noChangeArrowheads="1"/>
                        </wps:cNvSpPr>
                        <wps:spPr bwMode="auto">
                          <a:xfrm>
                            <a:off x="3128" y="4013"/>
                            <a:ext cx="900" cy="7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344C" w:rsidRDefault="0083344C">
                              <w:pPr>
                                <w:jc w:val="center"/>
                                <w:rPr>
                                  <w:rFonts w:ascii="Calibri" w:hAnsi="Calibri"/>
                                  <w:sz w:val="12"/>
                                  <w:szCs w:val="16"/>
                                </w:rPr>
                              </w:pPr>
                              <w:r>
                                <w:rPr>
                                  <w:rFonts w:ascii="Calibri" w:hAnsi="Calibri"/>
                                  <w:sz w:val="12"/>
                                  <w:szCs w:val="16"/>
                                </w:rPr>
                                <w:t>Customer Designated Location</w:t>
                              </w:r>
                            </w:p>
                            <w:p w:rsidR="0083344C" w:rsidRDefault="0083344C">
                              <w:pPr>
                                <w:jc w:val="center"/>
                                <w:rPr>
                                  <w:rFonts w:ascii="Calibri" w:hAnsi="Calibri"/>
                                  <w:sz w:val="12"/>
                                  <w:szCs w:val="16"/>
                                </w:rPr>
                              </w:pPr>
                              <w:r>
                                <w:rPr>
                                  <w:rFonts w:ascii="Calibri" w:hAnsi="Calibri"/>
                                  <w:sz w:val="12"/>
                                  <w:szCs w:val="16"/>
                                </w:rPr>
                                <w:t>A</w:t>
                              </w:r>
                            </w:p>
                          </w:txbxContent>
                        </wps:txbx>
                        <wps:bodyPr rot="0" vert="horz" wrap="square" lIns="69211" tIns="34605" rIns="69211" bIns="34605" anchor="t" anchorCtr="0" upright="1">
                          <a:noAutofit/>
                        </wps:bodyPr>
                      </wps:wsp>
                      <wps:wsp>
                        <wps:cNvPr id="9" name="Text Box 50"/>
                        <wps:cNvSpPr txBox="1">
                          <a:spLocks noChangeArrowheads="1"/>
                        </wps:cNvSpPr>
                        <wps:spPr bwMode="auto">
                          <a:xfrm>
                            <a:off x="8228" y="4013"/>
                            <a:ext cx="900" cy="7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344C" w:rsidRDefault="0083344C">
                              <w:pPr>
                                <w:jc w:val="center"/>
                                <w:rPr>
                                  <w:rFonts w:ascii="Calibri" w:hAnsi="Calibri"/>
                                  <w:sz w:val="12"/>
                                  <w:szCs w:val="16"/>
                                </w:rPr>
                              </w:pPr>
                              <w:r>
                                <w:rPr>
                                  <w:rFonts w:ascii="Calibri" w:hAnsi="Calibri"/>
                                  <w:sz w:val="12"/>
                                  <w:szCs w:val="16"/>
                                </w:rPr>
                                <w:t>Customer Designated Location</w:t>
                              </w:r>
                            </w:p>
                            <w:p w:rsidR="0083344C" w:rsidRDefault="0083344C">
                              <w:pPr>
                                <w:jc w:val="center"/>
                                <w:rPr>
                                  <w:rFonts w:ascii="Calibri" w:hAnsi="Calibri"/>
                                  <w:sz w:val="12"/>
                                  <w:szCs w:val="16"/>
                                </w:rPr>
                              </w:pPr>
                              <w:r>
                                <w:rPr>
                                  <w:rFonts w:ascii="Calibri" w:hAnsi="Calibri"/>
                                  <w:sz w:val="12"/>
                                  <w:szCs w:val="16"/>
                                </w:rPr>
                                <w:t>B</w:t>
                              </w:r>
                            </w:p>
                          </w:txbxContent>
                        </wps:txbx>
                        <wps:bodyPr rot="0" vert="horz" wrap="square" lIns="69211" tIns="34605" rIns="69211" bIns="34605" anchor="t" anchorCtr="0" upright="1">
                          <a:noAutofit/>
                        </wps:bodyPr>
                      </wps:wsp>
                      <wps:wsp>
                        <wps:cNvPr id="10" name="Text Box 51"/>
                        <wps:cNvSpPr txBox="1">
                          <a:spLocks noChangeArrowheads="1"/>
                        </wps:cNvSpPr>
                        <wps:spPr bwMode="auto">
                          <a:xfrm>
                            <a:off x="4928" y="4013"/>
                            <a:ext cx="750" cy="62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3344C" w:rsidRDefault="0083344C">
                              <w:pPr>
                                <w:jc w:val="center"/>
                                <w:rPr>
                                  <w:rFonts w:ascii="Calibri" w:hAnsi="Calibri"/>
                                  <w:sz w:val="12"/>
                                  <w:szCs w:val="16"/>
                                </w:rPr>
                              </w:pPr>
                              <w:r>
                                <w:rPr>
                                  <w:rFonts w:ascii="Calibri" w:hAnsi="Calibri"/>
                                  <w:sz w:val="12"/>
                                  <w:szCs w:val="16"/>
                                </w:rPr>
                                <w:t>Serving Wire Center</w:t>
                              </w:r>
                            </w:p>
                          </w:txbxContent>
                        </wps:txbx>
                        <wps:bodyPr rot="0" vert="horz" wrap="square" lIns="69211" tIns="34605" rIns="69211" bIns="34605" anchor="t" anchorCtr="0" upright="1">
                          <a:noAutofit/>
                        </wps:bodyPr>
                      </wps:wsp>
                      <wps:wsp>
                        <wps:cNvPr id="11" name="Line 52"/>
                        <wps:cNvCnPr/>
                        <wps:spPr bwMode="auto">
                          <a:xfrm>
                            <a:off x="4178" y="4321"/>
                            <a:ext cx="750" cy="1"/>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2" name="Line 53"/>
                        <wps:cNvCnPr/>
                        <wps:spPr bwMode="auto">
                          <a:xfrm>
                            <a:off x="5678" y="4321"/>
                            <a:ext cx="900" cy="1"/>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3" name="Line 54"/>
                        <wps:cNvCnPr/>
                        <wps:spPr bwMode="auto">
                          <a:xfrm>
                            <a:off x="7328" y="4322"/>
                            <a:ext cx="750" cy="1"/>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4" name="Text Box 55"/>
                        <wps:cNvSpPr txBox="1">
                          <a:spLocks noChangeArrowheads="1"/>
                        </wps:cNvSpPr>
                        <wps:spPr bwMode="auto">
                          <a:xfrm>
                            <a:off x="3278" y="5093"/>
                            <a:ext cx="1800" cy="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344C" w:rsidRDefault="0083344C">
                              <w:pPr>
                                <w:jc w:val="center"/>
                                <w:rPr>
                                  <w:rFonts w:ascii="Calibri" w:hAnsi="Calibri"/>
                                  <w:sz w:val="12"/>
                                  <w:szCs w:val="16"/>
                                </w:rPr>
                              </w:pPr>
                              <w:r>
                                <w:rPr>
                                  <w:rFonts w:ascii="Calibri" w:hAnsi="Calibri"/>
                                  <w:sz w:val="12"/>
                                  <w:szCs w:val="16"/>
                                </w:rPr>
                                <w:t>Local distribution channel; Channel termination; Special access line; Customer port connection (Ethernet)</w:t>
                              </w:r>
                            </w:p>
                          </w:txbxContent>
                        </wps:txbx>
                        <wps:bodyPr rot="0" vert="horz" wrap="square" lIns="69211" tIns="34605" rIns="69211" bIns="34605" anchor="t" anchorCtr="0" upright="1">
                          <a:noAutofit/>
                        </wps:bodyPr>
                      </wps:wsp>
                      <wps:wsp>
                        <wps:cNvPr id="15" name="Text Box 56"/>
                        <wps:cNvSpPr txBox="1">
                          <a:spLocks noChangeArrowheads="1"/>
                        </wps:cNvSpPr>
                        <wps:spPr bwMode="auto">
                          <a:xfrm>
                            <a:off x="7178" y="5093"/>
                            <a:ext cx="1800" cy="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344C" w:rsidRDefault="0083344C">
                              <w:pPr>
                                <w:jc w:val="center"/>
                                <w:rPr>
                                  <w:rFonts w:ascii="Calibri" w:hAnsi="Calibri"/>
                                  <w:sz w:val="12"/>
                                  <w:szCs w:val="16"/>
                                </w:rPr>
                              </w:pPr>
                              <w:r>
                                <w:rPr>
                                  <w:rFonts w:ascii="Calibri" w:hAnsi="Calibri"/>
                                  <w:sz w:val="12"/>
                                  <w:szCs w:val="16"/>
                                </w:rPr>
                                <w:t>Local distribution channel; Channel termination; Special access line; Customer port connection (Ethernet)</w:t>
                              </w:r>
                            </w:p>
                          </w:txbxContent>
                        </wps:txbx>
                        <wps:bodyPr rot="0" vert="horz" wrap="square" lIns="69211" tIns="34605" rIns="69211" bIns="34605" anchor="t" anchorCtr="0" upright="1">
                          <a:noAutofit/>
                        </wps:bodyPr>
                      </wps:wsp>
                      <wps:wsp>
                        <wps:cNvPr id="16" name="Text Box 57"/>
                        <wps:cNvSpPr txBox="1">
                          <a:spLocks noChangeArrowheads="1"/>
                        </wps:cNvSpPr>
                        <wps:spPr bwMode="auto">
                          <a:xfrm>
                            <a:off x="5369" y="5093"/>
                            <a:ext cx="1600" cy="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344C" w:rsidRDefault="0083344C">
                              <w:pPr>
                                <w:jc w:val="center"/>
                                <w:rPr>
                                  <w:rFonts w:ascii="Calibri" w:hAnsi="Calibri"/>
                                  <w:sz w:val="12"/>
                                  <w:szCs w:val="16"/>
                                </w:rPr>
                              </w:pPr>
                              <w:r>
                                <w:rPr>
                                  <w:rFonts w:ascii="Calibri" w:hAnsi="Calibri"/>
                                  <w:sz w:val="12"/>
                                  <w:szCs w:val="16"/>
                                </w:rPr>
                                <w:t>Channel mileage;</w:t>
                              </w:r>
                            </w:p>
                            <w:p w:rsidR="0083344C" w:rsidRDefault="0083344C">
                              <w:pPr>
                                <w:jc w:val="center"/>
                                <w:rPr>
                                  <w:rFonts w:ascii="Calibri" w:hAnsi="Calibri"/>
                                  <w:sz w:val="12"/>
                                  <w:szCs w:val="16"/>
                                </w:rPr>
                              </w:pPr>
                              <w:r>
                                <w:rPr>
                                  <w:rFonts w:ascii="Calibri" w:hAnsi="Calibri"/>
                                  <w:sz w:val="12"/>
                                  <w:szCs w:val="16"/>
                                </w:rPr>
                                <w:t>Channel mileage facility;</w:t>
                              </w:r>
                            </w:p>
                            <w:p w:rsidR="0083344C" w:rsidRDefault="0083344C">
                              <w:pPr>
                                <w:jc w:val="center"/>
                                <w:rPr>
                                  <w:rFonts w:ascii="Calibri" w:hAnsi="Calibri"/>
                                  <w:sz w:val="12"/>
                                  <w:szCs w:val="16"/>
                                </w:rPr>
                              </w:pPr>
                              <w:r>
                                <w:rPr>
                                  <w:rFonts w:ascii="Calibri" w:hAnsi="Calibri"/>
                                  <w:sz w:val="12"/>
                                  <w:szCs w:val="16"/>
                                </w:rPr>
                                <w:t xml:space="preserve"> Special transport</w:t>
                              </w:r>
                            </w:p>
                          </w:txbxContent>
                        </wps:txbx>
                        <wps:bodyPr rot="0" vert="horz" wrap="square" lIns="69211" tIns="34605" rIns="69211" bIns="34605" anchor="t" anchorCtr="0" upright="1">
                          <a:noAutofit/>
                        </wps:bodyPr>
                      </wps:wsp>
                      <wps:wsp>
                        <wps:cNvPr id="17" name="Oval 58"/>
                        <wps:cNvSpPr>
                          <a:spLocks noChangeArrowheads="1"/>
                        </wps:cNvSpPr>
                        <wps:spPr bwMode="auto">
                          <a:xfrm>
                            <a:off x="8078" y="3704"/>
                            <a:ext cx="1200" cy="123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Text Box 59"/>
                        <wps:cNvSpPr txBox="1">
                          <a:spLocks noChangeArrowheads="1"/>
                        </wps:cNvSpPr>
                        <wps:spPr bwMode="auto">
                          <a:xfrm>
                            <a:off x="6578" y="4013"/>
                            <a:ext cx="750" cy="61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3344C" w:rsidRDefault="0083344C">
                              <w:pPr>
                                <w:jc w:val="center"/>
                                <w:rPr>
                                  <w:rFonts w:ascii="Calibri" w:hAnsi="Calibri"/>
                                  <w:sz w:val="12"/>
                                  <w:szCs w:val="16"/>
                                </w:rPr>
                              </w:pPr>
                              <w:r>
                                <w:rPr>
                                  <w:rFonts w:ascii="Calibri" w:hAnsi="Calibri"/>
                                  <w:sz w:val="12"/>
                                  <w:szCs w:val="16"/>
                                </w:rPr>
                                <w:t>Serving Wire Center</w:t>
                              </w:r>
                            </w:p>
                          </w:txbxContent>
                        </wps:txbx>
                        <wps:bodyPr rot="0" vert="horz" wrap="square" lIns="69211" tIns="34605" rIns="69211" bIns="34605" anchor="t" anchorCtr="0" upright="1">
                          <a:noAutofit/>
                        </wps:bodyPr>
                      </wps:wsp>
                      <wps:wsp>
                        <wps:cNvPr id="19" name="Line 60"/>
                        <wps:cNvCnPr/>
                        <wps:spPr bwMode="auto">
                          <a:xfrm flipV="1">
                            <a:off x="4178" y="4476"/>
                            <a:ext cx="300" cy="615"/>
                          </a:xfrm>
                          <a:prstGeom prst="line">
                            <a:avLst/>
                          </a:prstGeom>
                          <a:noFill/>
                          <a:ln w="6350">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20" name="Line 61"/>
                        <wps:cNvCnPr/>
                        <wps:spPr bwMode="auto">
                          <a:xfrm flipH="1" flipV="1">
                            <a:off x="7778" y="4476"/>
                            <a:ext cx="300" cy="617"/>
                          </a:xfrm>
                          <a:prstGeom prst="line">
                            <a:avLst/>
                          </a:prstGeom>
                          <a:noFill/>
                          <a:ln w="6350">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21" name="Line 62"/>
                        <wps:cNvCnPr/>
                        <wps:spPr bwMode="auto">
                          <a:xfrm flipV="1">
                            <a:off x="6128" y="4476"/>
                            <a:ext cx="1" cy="615"/>
                          </a:xfrm>
                          <a:prstGeom prst="line">
                            <a:avLst/>
                          </a:prstGeom>
                          <a:noFill/>
                          <a:ln w="6350">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22" name="Line 63"/>
                        <wps:cNvCnPr/>
                        <wps:spPr bwMode="auto">
                          <a:xfrm>
                            <a:off x="5569" y="3652"/>
                            <a:ext cx="150" cy="619"/>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23" name="Line 64"/>
                        <wps:cNvCnPr/>
                        <wps:spPr bwMode="auto">
                          <a:xfrm flipH="1">
                            <a:off x="6569" y="3652"/>
                            <a:ext cx="150" cy="619"/>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24" name="Text Box 65"/>
                        <wps:cNvSpPr txBox="1">
                          <a:spLocks noChangeArrowheads="1"/>
                        </wps:cNvSpPr>
                        <wps:spPr bwMode="auto">
                          <a:xfrm>
                            <a:off x="4969" y="3241"/>
                            <a:ext cx="1200" cy="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344C" w:rsidRDefault="0083344C">
                              <w:pPr>
                                <w:jc w:val="center"/>
                                <w:rPr>
                                  <w:rFonts w:ascii="Calibri" w:hAnsi="Calibri"/>
                                  <w:sz w:val="12"/>
                                  <w:szCs w:val="16"/>
                                </w:rPr>
                              </w:pPr>
                              <w:r>
                                <w:rPr>
                                  <w:rFonts w:ascii="Calibri" w:hAnsi="Calibri"/>
                                  <w:sz w:val="12"/>
                                  <w:szCs w:val="16"/>
                                </w:rPr>
                                <w:t>Channel mileage termination</w:t>
                              </w:r>
                            </w:p>
                          </w:txbxContent>
                        </wps:txbx>
                        <wps:bodyPr rot="0" vert="horz" wrap="square" lIns="69211" tIns="34605" rIns="69211" bIns="34605" anchor="t" anchorCtr="0" upright="1">
                          <a:noAutofit/>
                        </wps:bodyPr>
                      </wps:wsp>
                      <wps:wsp>
                        <wps:cNvPr id="25" name="Text Box 66"/>
                        <wps:cNvSpPr txBox="1">
                          <a:spLocks noChangeArrowheads="1"/>
                        </wps:cNvSpPr>
                        <wps:spPr bwMode="auto">
                          <a:xfrm>
                            <a:off x="6169" y="3241"/>
                            <a:ext cx="1200" cy="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344C" w:rsidRDefault="0083344C">
                              <w:pPr>
                                <w:jc w:val="center"/>
                                <w:rPr>
                                  <w:rFonts w:ascii="Calibri" w:hAnsi="Calibri"/>
                                  <w:sz w:val="12"/>
                                  <w:szCs w:val="16"/>
                                </w:rPr>
                              </w:pPr>
                              <w:r>
                                <w:rPr>
                                  <w:rFonts w:ascii="Calibri" w:hAnsi="Calibri"/>
                                  <w:sz w:val="12"/>
                                  <w:szCs w:val="16"/>
                                </w:rPr>
                                <w:t>Channel mileage termination</w:t>
                              </w:r>
                            </w:p>
                          </w:txbxContent>
                        </wps:txbx>
                        <wps:bodyPr rot="0" vert="horz" wrap="square" lIns="69211" tIns="34605" rIns="69211" bIns="34605" anchor="t" anchorCtr="0" upright="1">
                          <a:noAutofit/>
                        </wps:bodyPr>
                      </wps:wsp>
                    </wpg:wgp>
                  </a:graphicData>
                </a:graphic>
              </wp:inline>
            </w:drawing>
          </mc:Choice>
          <mc:Fallback>
            <w:pict>
              <v:group id="_x0000_s1047" style="width:284.3pt;height:121.9pt;mso-position-horizontal-relative:char;mso-position-vertical-relative:line" coordorigin="2969,3241" coordsize="6318,2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">
                <o:lock v:ext="edit" aspectratio="t"/>
                <v:rect id="AutoShape 47" o:spid="_x0000_s1048" style="position:absolute;left:2969;top:3241;width:6318;height:2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p7asMA&#10;AADaAAAADwAAAGRycy9kb3ducmV2LnhtbESPT4vCMBTE7wt+h/AEL4um60GkGkUE2bIsiPXP+dE8&#10;22LzUpts2/32RhA8DjPzG2a57k0lWmpcaVnB1yQCQZxZXXKu4HTcjecgnEfWWFkmBf/kYL0afCwx&#10;1rbjA7Wpz0WAsItRQeF9HUvpsoIMuomtiYN3tY1BH2STS91gF+CmktMomkmDJYeFAmvaFpTd0j+j&#10;oMv27eX4+y33n5fE8j25b9Pzj1KjYb9ZgPDU+3f41U60ghk8r4QbIF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vp7asMAAADaAAAADwAAAAAAAAAAAAAAAACYAgAAZHJzL2Rv&#10;d25yZXYueG1sUEsFBgAAAAAEAAQA9QAAAIgDAAAAAA==&#10;" filled="f" stroked="f">
                  <o:lock v:ext="edit" aspectratio="t" text="t"/>
                </v:rect>
                <v:oval id="Oval 48" o:spid="_x0000_s1049" style="position:absolute;left:2978;top:3704;width:1200;height:1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5rsIA&#10;AADaAAAADwAAAGRycy9kb3ducmV2LnhtbESPQWvCQBSE70L/w/KE3nSjQVuiq0ilYA8eGtv7I/tM&#10;gtm3IfuM8d+7BaHHYWa+YdbbwTWqpy7Ung3Mpgko4sLbmksDP6fPyTuoIMgWG89k4E4BtpuX0Roz&#10;62/8TX0upYoQDhkaqETaTOtQVOQwTH1LHL2z7xxKlF2pbYe3CHeNnifJUjusOS5U2NJHRcUlvzoD&#10;+3KXL3udyiI97w+yuPwev9KZMa/jYbcCJTTIf/jZPlgDb/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rmuwgAAANoAAAAPAAAAAAAAAAAAAAAAAJgCAABkcnMvZG93&#10;bnJldi54bWxQSwUGAAAAAAQABAD1AAAAhwMAAAAA&#10;"/>
                <v:shape id="Text Box 49" o:spid="_x0000_s1050" type="#_x0000_t202" style="position:absolute;left:3128;top:4013;width:900;height:7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ehL78A&#10;AADaAAAADwAAAGRycy9kb3ducmV2LnhtbERPTYvCMBC9C/sfwix409RVRKtRFtlFT6JV70MztmWb&#10;SW2ybfXXm4Pg8fG+l+vOlKKh2hWWFYyGEQji1OqCMwXn0+9gBsJ5ZI2lZVJwJwfr1UdvibG2LR+p&#10;SXwmQgi7GBXk3lexlC7NyaAb2oo4cFdbG/QB1pnUNbYh3JTyK4qm0mDBoSHHijY5pX/Jv1HwmPCl&#10;KuzodMzG3eHn1s63+2auVP+z+16A8NT5t/jl3mkFYWu4Em6AXD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J6EvvwAAANoAAAAPAAAAAAAAAAAAAAAAAJgCAABkcnMvZG93bnJl&#10;di54bWxQSwUGAAAAAAQABAD1AAAAhAMAAAAA&#10;" filled="f" stroked="f">
                  <v:textbox inset="1.92253mm,.96125mm,1.92253mm,.96125mm">
                    <w:txbxContent>
                      <w:p w:rsidR="0083344C" w:rsidRDefault="0083344C">
                        <w:pPr>
                          <w:jc w:val="center"/>
                          <w:rPr>
                            <w:rFonts w:ascii="Calibri" w:hAnsi="Calibri"/>
                            <w:sz w:val="12"/>
                            <w:szCs w:val="16"/>
                          </w:rPr>
                        </w:pPr>
                        <w:r>
                          <w:rPr>
                            <w:rFonts w:ascii="Calibri" w:hAnsi="Calibri"/>
                            <w:sz w:val="12"/>
                            <w:szCs w:val="16"/>
                          </w:rPr>
                          <w:t>Customer Designated Location</w:t>
                        </w:r>
                      </w:p>
                      <w:p w:rsidR="0083344C" w:rsidRDefault="0083344C">
                        <w:pPr>
                          <w:jc w:val="center"/>
                          <w:rPr>
                            <w:rFonts w:ascii="Calibri" w:hAnsi="Calibri"/>
                            <w:sz w:val="12"/>
                            <w:szCs w:val="16"/>
                          </w:rPr>
                        </w:pPr>
                        <w:r>
                          <w:rPr>
                            <w:rFonts w:ascii="Calibri" w:hAnsi="Calibri"/>
                            <w:sz w:val="12"/>
                            <w:szCs w:val="16"/>
                          </w:rPr>
                          <w:t>A</w:t>
                        </w:r>
                      </w:p>
                    </w:txbxContent>
                  </v:textbox>
                </v:shape>
                <v:shape id="Text Box 50" o:spid="_x0000_s1051" type="#_x0000_t202" style="position:absolute;left:8228;top:4013;width:900;height:7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sEtMMA&#10;AADaAAAADwAAAGRycy9kb3ducmV2LnhtbESPQWvCQBSE74L/YXmCN91Yi5g0GymlYk9Fo70/sq9J&#10;aPZtmt0maX99VxA8DjPzDZPuRtOInjpXW1awWkYgiAuray4VXM77xRaE88gaG8uk4Jcc7LLpJMVE&#10;24FP1Oe+FAHCLkEFlfdtIqUrKjLolrYlDt6n7Qz6ILtS6g6HADeNfIiijTRYc1iosKWXioqv/Mco&#10;+Hvkj7a2q/OpXI/H1+8hPrz3sVLz2fj8BMLT6O/hW/tNK4jheiXcAJn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GsEtMMAAADaAAAADwAAAAAAAAAAAAAAAACYAgAAZHJzL2Rv&#10;d25yZXYueG1sUEsFBgAAAAAEAAQA9QAAAIgDAAAAAA==&#10;" filled="f" stroked="f">
                  <v:textbox inset="1.92253mm,.96125mm,1.92253mm,.96125mm">
                    <w:txbxContent>
                      <w:p w:rsidR="0083344C" w:rsidRDefault="0083344C">
                        <w:pPr>
                          <w:jc w:val="center"/>
                          <w:rPr>
                            <w:rFonts w:ascii="Calibri" w:hAnsi="Calibri"/>
                            <w:sz w:val="12"/>
                            <w:szCs w:val="16"/>
                          </w:rPr>
                        </w:pPr>
                        <w:r>
                          <w:rPr>
                            <w:rFonts w:ascii="Calibri" w:hAnsi="Calibri"/>
                            <w:sz w:val="12"/>
                            <w:szCs w:val="16"/>
                          </w:rPr>
                          <w:t>Customer Designated Location</w:t>
                        </w:r>
                      </w:p>
                      <w:p w:rsidR="0083344C" w:rsidRDefault="0083344C">
                        <w:pPr>
                          <w:jc w:val="center"/>
                          <w:rPr>
                            <w:rFonts w:ascii="Calibri" w:hAnsi="Calibri"/>
                            <w:sz w:val="12"/>
                            <w:szCs w:val="16"/>
                          </w:rPr>
                        </w:pPr>
                        <w:r>
                          <w:rPr>
                            <w:rFonts w:ascii="Calibri" w:hAnsi="Calibri"/>
                            <w:sz w:val="12"/>
                            <w:szCs w:val="16"/>
                          </w:rPr>
                          <w:t>B</w:t>
                        </w:r>
                      </w:p>
                    </w:txbxContent>
                  </v:textbox>
                </v:shape>
                <v:shape id="Text Box 51" o:spid="_x0000_s1052" type="#_x0000_t202" style="position:absolute;left:4928;top:4013;width:750;height:6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1s9sUA&#10;AADbAAAADwAAAGRycy9kb3ducmV2LnhtbESPQWvCQBCF74X+h2UK3urGHqykrkEEqeBBaoXS25Cd&#10;bmKyszG7xvjvO4dCbzO8N+99syxG36qB+lgHNjCbZqCIy2BrdgZOn9vnBaiYkC22gcnAnSIUq8eH&#10;JeY23PiDhmNySkI45migSqnLtY5lRR7jNHTEov2E3mOStXfa9niTcN/qlyyba481S0OFHW0qKpvj&#10;1Rv4+t4vhkMcT+sQdzP9enHN+d0ZM3ka12+gEo3p3/x3vbOCL/Tyiwy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Wz2xQAAANsAAAAPAAAAAAAAAAAAAAAAAJgCAABkcnMv&#10;ZG93bnJldi54bWxQSwUGAAAAAAQABAD1AAAAigMAAAAA&#10;" filled="f">
                  <v:textbox inset="1.92253mm,.96125mm,1.92253mm,.96125mm">
                    <w:txbxContent>
                      <w:p w:rsidR="0083344C" w:rsidRDefault="0083344C">
                        <w:pPr>
                          <w:jc w:val="center"/>
                          <w:rPr>
                            <w:rFonts w:ascii="Calibri" w:hAnsi="Calibri"/>
                            <w:sz w:val="12"/>
                            <w:szCs w:val="16"/>
                          </w:rPr>
                        </w:pPr>
                        <w:r>
                          <w:rPr>
                            <w:rFonts w:ascii="Calibri" w:hAnsi="Calibri"/>
                            <w:sz w:val="12"/>
                            <w:szCs w:val="16"/>
                          </w:rPr>
                          <w:t>Serving Wire Center</w:t>
                        </w:r>
                      </w:p>
                    </w:txbxContent>
                  </v:textbox>
                </v:shape>
                <v:line id="Line 52" o:spid="_x0000_s1053" style="position:absolute;visibility:visible;mso-wrap-style:square" from="4178,4321" to="4928,43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rwEAcAAAADbAAAADwAAAGRycy9kb3ducmV2LnhtbERPTYvCMBC9L/gfwgh7W1M9LFKNIoLS&#10;i8jq4nlsxrbaTGoTm+7++o0g7G0e73Pmy97UoqPWVZYVjEcJCOLc6ooLBd/HzccUhPPIGmvLpOCH&#10;HCwXg7c5ptoG/qLu4AsRQ9ilqKD0vkmldHlJBt3INsSRu9jWoI+wLaRuMcRwU8tJknxKgxXHhhIb&#10;WpeU3w4PoyAJv1t5lVnV7bPdPTTncJrcg1Lvw341A+Gp9//ilzvTcf4Ynr/EA+Ti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K8BAHAAAAA2wAAAA8AAAAAAAAAAAAAAAAA&#10;oQIAAGRycy9kb3ducmV2LnhtbFBLBQYAAAAABAAEAPkAAACOAwAAAAA=&#10;">
                  <v:stroke startarrow="block" endarrow="block"/>
                </v:line>
                <v:line id="Line 53" o:spid="_x0000_s1054" style="position:absolute;visibility:visible;mso-wrap-style:square" from="5678,4321" to="6578,43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m6adsEAAADbAAAADwAAAGRycy9kb3ducmV2LnhtbERPTWvCQBC9F/wPywi91Y05FImuIoKS&#10;i0ht8TxmxySanY3ZNZv213eFQm/zeJ+zWA2mET11rrasYDpJQBAXVtdcKvj63L7NQDiPrLGxTAq+&#10;ycFqOXpZYKZt4A/qj74UMYRdhgoq79tMSldUZNBNbEscuYvtDPoIu1LqDkMMN41Mk+RdGqw5NlTY&#10;0qai4nZ8GAVJ+NnJq8zr/pDv76E9h1N6D0q9jof1HISnwf+L/9y5jvNTeP4SD5DL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bpp2wQAAANsAAAAPAAAAAAAAAAAAAAAA&#10;AKECAABkcnMvZG93bnJldi54bWxQSwUGAAAAAAQABAD5AAAAjwMAAAAA&#10;">
                  <v:stroke startarrow="block" endarrow="block"/>
                </v:line>
                <v:line id="Line 54" o:spid="_x0000_s1055" style="position:absolute;visibility:visible;mso-wrap-style:square" from="7328,4322" to="8078,43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SI/7cEAAADbAAAADwAAAGRycy9kb3ducmV2LnhtbERPTWvCQBC9F/wPywi91Y0KUqKriGDJ&#10;RYpWPI/ZMYlmZ2N2m037612h0Ns83ucsVr2pRUetqywrGI8SEMS51RUXCo5f27d3EM4ja6wtk4If&#10;crBaDl4WmGobeE/dwRcihrBLUUHpfZNK6fKSDLqRbYgjd7GtQR9hW0jdYojhppaTJJlJgxXHhhIb&#10;2pSU3w7fRkESfj/kVWZV95nt7qE5h9PkHpR6HfbrOQhPvf8X/7kzHedP4flLPEAu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9Ij/twQAAANsAAAAPAAAAAAAAAAAAAAAA&#10;AKECAABkcnMvZG93bnJldi54bWxQSwUGAAAAAAQABAD5AAAAjwMAAAAA&#10;">
                  <v:stroke startarrow="block" endarrow="block"/>
                </v:line>
                <v:shape id="Text Box 55" o:spid="_x0000_s1056" type="#_x0000_t202" style="position:absolute;left:3278;top:5093;width:1800;height:9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pOMIA&#10;AADbAAAADwAAAGRycy9kb3ducmV2LnhtbERPTWvCQBC9F/wPyxR6q5vYIDW6BhGlPUmj7X3Ijklo&#10;djZm1yTtr3cLQm/zeJ+zykbTiJ46V1tWEE8jEMSF1TWXCj5P++dXEM4ja2wsk4IfcpCtJw8rTLUd&#10;OKf+6EsRQtilqKDyvk2ldEVFBt3UtsSBO9vOoA+wK6XucAjhppGzKJpLgzWHhgpb2lZUfB+vRsFv&#10;wl9tbeNTXr6MH7vLsHg79Aulnh7HzRKEp9H/i+/udx3mJ/D3SzhAr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f+k4wgAAANsAAAAPAAAAAAAAAAAAAAAAAJgCAABkcnMvZG93&#10;bnJldi54bWxQSwUGAAAAAAQABAD1AAAAhwMAAAAA&#10;" filled="f" stroked="f">
                  <v:textbox inset="1.92253mm,.96125mm,1.92253mm,.96125mm">
                    <w:txbxContent>
                      <w:p w:rsidR="0083344C" w:rsidRDefault="0083344C">
                        <w:pPr>
                          <w:jc w:val="center"/>
                          <w:rPr>
                            <w:rFonts w:ascii="Calibri" w:hAnsi="Calibri"/>
                            <w:sz w:val="12"/>
                            <w:szCs w:val="16"/>
                          </w:rPr>
                        </w:pPr>
                        <w:r>
                          <w:rPr>
                            <w:rFonts w:ascii="Calibri" w:hAnsi="Calibri"/>
                            <w:sz w:val="12"/>
                            <w:szCs w:val="16"/>
                          </w:rPr>
                          <w:t>Local distribution channel; Channel termination; Special access line; Customer port connection (Ethernet)</w:t>
                        </w:r>
                      </w:p>
                    </w:txbxContent>
                  </v:textbox>
                </v:shape>
                <v:shape id="Text Box 56" o:spid="_x0000_s1057" type="#_x0000_t202" style="position:absolute;left:7178;top:5093;width:1800;height:9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NMo8EA&#10;AADbAAAADwAAAGRycy9kb3ducmV2LnhtbERPS2vCQBC+F/wPywje6sZaRaOriCjtqfi8D9kxCWZn&#10;0+yaRH99tyB4m4/vOfNlawpRU+VyywoG/QgEcWJ1zqmC03H7PgHhPLLGwjIpuJOD5aLzNsdY24b3&#10;VB98KkIIuxgVZN6XsZQuycig69uSOHAXWxn0AVap1BU2IdwU8iOKxtJgzqEhw5LWGSXXw80oeHzy&#10;uczt4LhPh+1u89tMv37qqVK9bruagfDU+pf46f7WYf4I/n8JB8jF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czTKPBAAAA2wAAAA8AAAAAAAAAAAAAAAAAmAIAAGRycy9kb3du&#10;cmV2LnhtbFBLBQYAAAAABAAEAPUAAACGAwAAAAA=&#10;" filled="f" stroked="f">
                  <v:textbox inset="1.92253mm,.96125mm,1.92253mm,.96125mm">
                    <w:txbxContent>
                      <w:p w:rsidR="0083344C" w:rsidRDefault="0083344C">
                        <w:pPr>
                          <w:jc w:val="center"/>
                          <w:rPr>
                            <w:rFonts w:ascii="Calibri" w:hAnsi="Calibri"/>
                            <w:sz w:val="12"/>
                            <w:szCs w:val="16"/>
                          </w:rPr>
                        </w:pPr>
                        <w:r>
                          <w:rPr>
                            <w:rFonts w:ascii="Calibri" w:hAnsi="Calibri"/>
                            <w:sz w:val="12"/>
                            <w:szCs w:val="16"/>
                          </w:rPr>
                          <w:t>Local distribution channel; Channel termination; Special access line; Customer port connection (Ethernet)</w:t>
                        </w:r>
                      </w:p>
                    </w:txbxContent>
                  </v:textbox>
                </v:shape>
                <v:shape id="Text Box 57" o:spid="_x0000_s1058" type="#_x0000_t202" style="position:absolute;left:5369;top:5093;width:1600;height: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S1MIA&#10;AADbAAAADwAAAGRycy9kb3ducmV2LnhtbERPTWvCQBC9C/6HZQq96Sa2hBpdgxSlPUmj7X3Ijklo&#10;djbNrknqr3eFQm/zeJ+zzkbTiJ46V1tWEM8jEMSF1TWXCj5P+9kLCOeRNTaWScEvOcg208kaU20H&#10;zqk/+lKEEHYpKqi8b1MpXVGRQTe3LXHgzrYz6APsSqk7HEK4aeQiihJpsObQUGFLrxUV38eLUXB9&#10;5q+2tvEpL5/Gj93PsHw79EulHh/G7QqEp9H/i//c7zrMT+D+SzhAbm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4dLUwgAAANsAAAAPAAAAAAAAAAAAAAAAAJgCAABkcnMvZG93&#10;bnJldi54bWxQSwUGAAAAAAQABAD1AAAAhwMAAAAA&#10;" filled="f" stroked="f">
                  <v:textbox inset="1.92253mm,.96125mm,1.92253mm,.96125mm">
                    <w:txbxContent>
                      <w:p w:rsidR="0083344C" w:rsidRDefault="0083344C">
                        <w:pPr>
                          <w:jc w:val="center"/>
                          <w:rPr>
                            <w:rFonts w:ascii="Calibri" w:hAnsi="Calibri"/>
                            <w:sz w:val="12"/>
                            <w:szCs w:val="16"/>
                          </w:rPr>
                        </w:pPr>
                        <w:r>
                          <w:rPr>
                            <w:rFonts w:ascii="Calibri" w:hAnsi="Calibri"/>
                            <w:sz w:val="12"/>
                            <w:szCs w:val="16"/>
                          </w:rPr>
                          <w:t>Channel mileage;</w:t>
                        </w:r>
                      </w:p>
                      <w:p w:rsidR="0083344C" w:rsidRDefault="0083344C">
                        <w:pPr>
                          <w:jc w:val="center"/>
                          <w:rPr>
                            <w:rFonts w:ascii="Calibri" w:hAnsi="Calibri"/>
                            <w:sz w:val="12"/>
                            <w:szCs w:val="16"/>
                          </w:rPr>
                        </w:pPr>
                        <w:r>
                          <w:rPr>
                            <w:rFonts w:ascii="Calibri" w:hAnsi="Calibri"/>
                            <w:sz w:val="12"/>
                            <w:szCs w:val="16"/>
                          </w:rPr>
                          <w:t>Channel mileage facility;</w:t>
                        </w:r>
                      </w:p>
                      <w:p w:rsidR="0083344C" w:rsidRDefault="0083344C">
                        <w:pPr>
                          <w:jc w:val="center"/>
                          <w:rPr>
                            <w:rFonts w:ascii="Calibri" w:hAnsi="Calibri"/>
                            <w:sz w:val="12"/>
                            <w:szCs w:val="16"/>
                          </w:rPr>
                        </w:pPr>
                        <w:r>
                          <w:rPr>
                            <w:rFonts w:ascii="Calibri" w:hAnsi="Calibri"/>
                            <w:sz w:val="12"/>
                            <w:szCs w:val="16"/>
                          </w:rPr>
                          <w:t xml:space="preserve"> Special transport</w:t>
                        </w:r>
                      </w:p>
                    </w:txbxContent>
                  </v:textbox>
                </v:shape>
                <v:oval id="Oval 58" o:spid="_x0000_s1059" style="position:absolute;left:8078;top:3704;width:1200;height:1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j9Z8EA&#10;AADbAAAADwAAAGRycy9kb3ducmV2LnhtbERPzWoCMRC+F3yHMIKXUrMVacvWKFIQPAha6wOMmzG7&#10;upmsSXTXtzeC0Nt8fL8zmXW2FlfyoXKs4H2YgSAunK7YKNj9Ld6+QISIrLF2TApuFGA27b1MMNeu&#10;5V+6bqMRKYRDjgrKGJtcylCUZDEMXUOcuIPzFmOC3kjtsU3htpajLPuQFitODSU29FNScdperIL9&#10;fuc6efbrzas5eRwf28asNkoN+t38G0SkLv6Ln+6lTvM/4fFLOkBO7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I/WfBAAAA2wAAAA8AAAAAAAAAAAAAAAAAmAIAAGRycy9kb3du&#10;cmV2LnhtbFBLBQYAAAAABAAEAPUAAACGAwAAAAA=&#10;" filled="f"/>
                <v:shape id="Text Box 59" o:spid="_x0000_s1060" type="#_x0000_t202" style="position:absolute;left:6578;top:4013;width:750;height:6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tg8MUA&#10;AADbAAAADwAAAGRycy9kb3ducmV2LnhtbESPQWvCQBCF74X+h2UK3urGHqykrkEEqeBBaoXS25Cd&#10;bmKyszG7xvjvO4dCbzO8N+99syxG36qB+lgHNjCbZqCIy2BrdgZOn9vnBaiYkC22gcnAnSIUq8eH&#10;JeY23PiDhmNySkI45migSqnLtY5lRR7jNHTEov2E3mOStXfa9niTcN/qlyyba481S0OFHW0qKpvj&#10;1Rv4+t4vhkMcT+sQdzP9enHN+d0ZM3ka12+gEo3p3/x3vbOCL7Dyiwy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62DwxQAAANsAAAAPAAAAAAAAAAAAAAAAAJgCAABkcnMv&#10;ZG93bnJldi54bWxQSwUGAAAAAAQABAD1AAAAigMAAAAA&#10;" filled="f">
                  <v:textbox inset="1.92253mm,.96125mm,1.92253mm,.96125mm">
                    <w:txbxContent>
                      <w:p w:rsidR="0083344C" w:rsidRDefault="0083344C">
                        <w:pPr>
                          <w:jc w:val="center"/>
                          <w:rPr>
                            <w:rFonts w:ascii="Calibri" w:hAnsi="Calibri"/>
                            <w:sz w:val="12"/>
                            <w:szCs w:val="16"/>
                          </w:rPr>
                        </w:pPr>
                        <w:r>
                          <w:rPr>
                            <w:rFonts w:ascii="Calibri" w:hAnsi="Calibri"/>
                            <w:sz w:val="12"/>
                            <w:szCs w:val="16"/>
                          </w:rPr>
                          <w:t>Serving Wire Center</w:t>
                        </w:r>
                      </w:p>
                    </w:txbxContent>
                  </v:textbox>
                </v:shape>
                <v:line id="Line 60" o:spid="_x0000_s1061" style="position:absolute;flip:y;visibility:visible;mso-wrap-style:square" from="4178,4476" to="4478,50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wsgi8MAAADbAAAADwAAAGRycy9kb3ducmV2LnhtbESPQU8CMRCF7yb8h2ZMvBiYxUSFhUII&#10;0chREO7Ddthu3E43bWXXf29NTLzN5L1535vlenCtunKIjRcN00kBiqXyppFaw/HjdTwDFROJodYL&#10;a/jmCOvV6GZJpfG97Pl6SLXKIRJL0mBT6krEWFl2FCe+Y8naxQdHKa+hRhOoz+GuxYeieEJHjWSC&#10;pY63lqvPw5fLEBse/Tn098/bM+LLfHfCt/ep1ne3w2YBKvGQ/s1/1zuT68/h95c8AK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8LIIvDAAAA2wAAAA8AAAAAAAAAAAAA&#10;AAAAoQIAAGRycy9kb3ducmV2LnhtbFBLBQYAAAAABAAEAPkAAACRAwAAAAA=&#10;" strokeweight=".5pt">
                  <v:stroke endarrow="block" endarrowwidth="narrow" endarrowlength="short"/>
                </v:line>
                <v:line id="Line 61" o:spid="_x0000_s1062" style="position:absolute;flip:x y;visibility:visible;mso-wrap-style:square" from="7778,4476" to="8078,50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heFsIAAADbAAAADwAAAGRycy9kb3ducmV2LnhtbERPy2oCMRTdF/yHcAtuSk0qpcpolFIV&#10;uqo4fVB3l+R2MnZyM0xSHf/eLAouD+c9X/a+EUfqYh1Yw8NIgSA2wdZcafh439xPQcSEbLEJTBrO&#10;FGG5GNzMsbDhxDs6lqkSOYRjgRpcSm0hZTSOPMZRaIkz9xM6jynDrpK2w1MO940cK/UkPdacGxy2&#10;9OLI/JZ/XsPnt1k9vk2+DE4Ppdlu92t3p5TWw9v+eQYiUZ+u4n/3q9Uwzuvzl/wD5OI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rheFsIAAADbAAAADwAAAAAAAAAAAAAA&#10;AAChAgAAZHJzL2Rvd25yZXYueG1sUEsFBgAAAAAEAAQA+QAAAJADAAAAAA==&#10;" strokeweight=".5pt">
                  <v:stroke endarrow="block" endarrowwidth="narrow" endarrowlength="short"/>
                </v:line>
                <v:line id="Line 62" o:spid="_x0000_s1063" style="position:absolute;flip:y;visibility:visible;mso-wrap-style:square" from="6128,4476" to="6129,50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HmMMIAAADbAAAADwAAAGRycy9kb3ducmV2LnhtbESPT0sDMRDF74LfIYzgRdrZLWh1bVpK&#10;UezRtvY+3Yybxc1kSdLu+u2NIHh8vD8/3mI1uk5dOMTWi4ZyWoBiqb1ppdHwcXidPIKKicRQ54U1&#10;fHOE1fL6akGV8YPs+LJPjcojEivSYFPqK8RYW3YUp75nyd6nD45SlqFBE2jI467DWVE8oKNWMsFS&#10;zxvL9df+7DLEhnt/CsPdfHNCfHnaHvHtvdT69mZcP4NKPKb/8F97azTMSvj9kn8AL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xHmMMIAAADbAAAADwAAAAAAAAAAAAAA&#10;AAChAgAAZHJzL2Rvd25yZXYueG1sUEsFBgAAAAAEAAQA+QAAAJADAAAAAA==&#10;" strokeweight=".5pt">
                  <v:stroke endarrow="block" endarrowwidth="narrow" endarrowlength="short"/>
                </v:line>
                <v:line id="Line 63" o:spid="_x0000_s1064" style="position:absolute;visibility:visible;mso-wrap-style:square" from="5569,3652" to="5719,42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Sg+V8UAAADbAAAADwAAAGRycy9kb3ducmV2LnhtbESPQWvCQBSE7wX/w/IEL0U35tDW6Coi&#10;KkV70Xjw+Mw+s8Hs25BdNf333UKhx2FmvmFmi87W4kGtrxwrGI8SEMSF0xWXCk75ZvgBwgdkjbVj&#10;UvBNHhbz3ssMM+2efKDHMZQiQthnqMCE0GRS+sKQRT9yDXH0rq61GKJsS6lbfEa4rWWaJG/SYsVx&#10;wWBDK0PF7Xi3Cr7u54vJ9+fDaZ8vd9vuVb/v1hOlBv1uOQURqAv/4b/2p1aQpvD7Jf4AOf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Sg+V8UAAADbAAAADwAAAAAAAAAA&#10;AAAAAAChAgAAZHJzL2Rvd25yZXYueG1sUEsFBgAAAAAEAAQA+QAAAJMDAAAAAA==&#10;">
                  <v:stroke endarrow="block" endarrowwidth="narrow" endarrowlength="short"/>
                </v:line>
                <v:line id="Line 64" o:spid="_x0000_s1065" style="position:absolute;flip:x;visibility:visible;mso-wrap-style:square" from="6569,3652" to="6719,42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1etRL8AAADbAAAADwAAAGRycy9kb3ducmV2LnhtbESP3arCMBCE7wXfIazgnaYqR6QaRQRB&#10;RME/vF6atS0mm9JErW9vDgheDjPzDTNbNNaIJ9W+dKxg0E9AEGdOl5wruJzXvQkIH5A1Gsek4E0e&#10;FvN2a4apdi8+0vMUchEh7FNUUIRQpVL6rCCLvu8q4ujdXG0xRFnnUtf4inBr5DBJxtJiyXGhwIpW&#10;BWX308MqMHy9H3d/W6LkkL/3g6VujNwr1e00yymIQE34hb/tjVYwHMH/l/gD5Pw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51etRL8AAADbAAAADwAAAAAAAAAAAAAAAACh&#10;AgAAZHJzL2Rvd25yZXYueG1sUEsFBgAAAAAEAAQA+QAAAI0DAAAAAA==&#10;">
                  <v:stroke endarrow="block" endarrowwidth="narrow" endarrowlength="short"/>
                </v:line>
                <v:shape id="Text Box 65" o:spid="_x0000_s1066" type="#_x0000_t202" style="position:absolute;left:4969;top:3241;width:1200;height: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MjhcMA&#10;AADbAAAADwAAAGRycy9kb3ducmV2LnhtbESPS4vCQBCE74L/YWjBm058IJp1FBHFPcn62HuT6U3C&#10;ZnpiZkzi/npnQfBYVNVX1HLdmkLUVLncsoLRMAJBnFidc6rgetkP5iCcR9ZYWCYFD3KwXnU7S4y1&#10;bfhE9dmnIkDYxagg876MpXRJRgbd0JbEwfuxlUEfZJVKXWET4KaQ4yiaSYM5h4UMS9pmlPye70bB&#10;35S/y9yOLqd00n7tbs3icKwXSvV77eYDhKfWv8Ov9qdWMJ7C/5fwA+Tq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hMjhcMAAADbAAAADwAAAAAAAAAAAAAAAACYAgAAZHJzL2Rv&#10;d25yZXYueG1sUEsFBgAAAAAEAAQA9QAAAIgDAAAAAA==&#10;" filled="f" stroked="f">
                  <v:textbox inset="1.92253mm,.96125mm,1.92253mm,.96125mm">
                    <w:txbxContent>
                      <w:p w:rsidR="0083344C" w:rsidRDefault="0083344C">
                        <w:pPr>
                          <w:jc w:val="center"/>
                          <w:rPr>
                            <w:rFonts w:ascii="Calibri" w:hAnsi="Calibri"/>
                            <w:sz w:val="12"/>
                            <w:szCs w:val="16"/>
                          </w:rPr>
                        </w:pPr>
                        <w:r>
                          <w:rPr>
                            <w:rFonts w:ascii="Calibri" w:hAnsi="Calibri"/>
                            <w:sz w:val="12"/>
                            <w:szCs w:val="16"/>
                          </w:rPr>
                          <w:t>Channel mileage termination</w:t>
                        </w:r>
                      </w:p>
                    </w:txbxContent>
                  </v:textbox>
                </v:shape>
                <v:shape id="Text Box 66" o:spid="_x0000_s1067" type="#_x0000_t202" style="position:absolute;left:6169;top:3241;width:1200;height: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GHsQA&#10;AADbAAAADwAAAGRycy9kb3ducmV2LnhtbESPT2vCQBTE74LfYXlCb7rRttKkWUVEaU/in/b+yD6T&#10;YPZtzK5J2k/fFQoeh5n5DZMue1OJlhpXWlYwnUQgiDOrS84VfJ224zcQziNrrCyTgh9ysFwMBykm&#10;2nZ8oPbocxEg7BJUUHhfJ1K6rCCDbmJr4uCdbWPQB9nkUjfYBbip5CyK5tJgyWGhwJrWBWWX480o&#10;+H3h77q009Mhf+73m2sXf+zaWKmnUb96B+Gp94/wf/tTK5i9wv1L+AF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lfhh7EAAAA2wAAAA8AAAAAAAAAAAAAAAAAmAIAAGRycy9k&#10;b3ducmV2LnhtbFBLBQYAAAAABAAEAPUAAACJAwAAAAA=&#10;" filled="f" stroked="f">
                  <v:textbox inset="1.92253mm,.96125mm,1.92253mm,.96125mm">
                    <w:txbxContent>
                      <w:p w:rsidR="0083344C" w:rsidRDefault="0083344C">
                        <w:pPr>
                          <w:jc w:val="center"/>
                          <w:rPr>
                            <w:rFonts w:ascii="Calibri" w:hAnsi="Calibri"/>
                            <w:sz w:val="12"/>
                            <w:szCs w:val="16"/>
                          </w:rPr>
                        </w:pPr>
                        <w:r>
                          <w:rPr>
                            <w:rFonts w:ascii="Calibri" w:hAnsi="Calibri"/>
                            <w:sz w:val="12"/>
                            <w:szCs w:val="16"/>
                          </w:rPr>
                          <w:t>Channel mileage termination</w:t>
                        </w:r>
                      </w:p>
                    </w:txbxContent>
                  </v:textbox>
                </v:shape>
                <w10:anchorlock/>
              </v:group>
            </w:pict>
          </mc:Fallback>
        </mc:AlternateContent>
      </w:r>
    </w:p>
    <w:p w:rsidR="00F97D54" w:rsidRDefault="00F97D54">
      <w:pPr>
        <w:rPr>
          <w:kern w:val="0"/>
        </w:rPr>
      </w:pPr>
    </w:p>
    <w:p w:rsidR="00F97D54" w:rsidRDefault="00F97D54" w:rsidP="00EB5B97">
      <w:pPr>
        <w:numPr>
          <w:ilvl w:val="0"/>
          <w:numId w:val="58"/>
        </w:numPr>
        <w:rPr>
          <w:kern w:val="0"/>
        </w:rPr>
      </w:pPr>
      <w:r>
        <w:rPr>
          <w:kern w:val="0"/>
        </w:rPr>
        <w:t>Channel mileage facility, channel mileage, interoffice channel mileage, special transport (a transmission path between two serving wire centers associated with customer designated locations; a serving wire center and an international or service area boundary point; a serving wire center and a hub, or similar type of connection);</w:t>
      </w:r>
    </w:p>
    <w:p w:rsidR="00F97D54" w:rsidRDefault="00F97D54" w:rsidP="00EB5B97">
      <w:pPr>
        <w:numPr>
          <w:ilvl w:val="0"/>
          <w:numId w:val="58"/>
        </w:numPr>
        <w:rPr>
          <w:kern w:val="0"/>
        </w:rPr>
      </w:pPr>
      <w:r>
        <w:rPr>
          <w:kern w:val="0"/>
        </w:rPr>
        <w:t>Channel mileage termination, special transport termination (the termination of channel mileage facility or similar transmission path);</w:t>
      </w:r>
    </w:p>
    <w:p w:rsidR="00F97D54" w:rsidRDefault="00F97D54" w:rsidP="00EB5B97">
      <w:pPr>
        <w:numPr>
          <w:ilvl w:val="0"/>
          <w:numId w:val="58"/>
        </w:numPr>
        <w:rPr>
          <w:kern w:val="0"/>
        </w:rPr>
      </w:pPr>
      <w:r>
        <w:rPr>
          <w:kern w:val="0"/>
        </w:rPr>
        <w:t>Channel termination, local distribution channel, special access line, customer port connection (Ethernet) (a transmission path between a customer designated location and the associated wire center);</w:t>
      </w:r>
    </w:p>
    <w:p w:rsidR="00F97D54" w:rsidRDefault="00F97D54" w:rsidP="00EB5B97">
      <w:pPr>
        <w:numPr>
          <w:ilvl w:val="0"/>
          <w:numId w:val="58"/>
        </w:numPr>
        <w:rPr>
          <w:kern w:val="0"/>
        </w:rPr>
      </w:pPr>
      <w:r>
        <w:rPr>
          <w:kern w:val="0"/>
        </w:rPr>
        <w:t>Clear channel capability (not shown) (an arrangement which allows a customer to transport, for example, 1.536 Mbps of information on a 1.544 Mbps line rate with no constraint on the quantity or sequence of one and zero bits);</w:t>
      </w:r>
    </w:p>
    <w:p w:rsidR="00F97D54" w:rsidRDefault="00F97D54" w:rsidP="00EB5B97">
      <w:pPr>
        <w:numPr>
          <w:ilvl w:val="0"/>
          <w:numId w:val="58"/>
        </w:numPr>
        <w:rPr>
          <w:kern w:val="0"/>
        </w:rPr>
      </w:pPr>
      <w:r>
        <w:rPr>
          <w:kern w:val="0"/>
        </w:rPr>
        <w:t>Cross-connection (not shown) (semi-permanent switching between facilities, sometimes combined with multiplexing/demultiplexing);</w:t>
      </w:r>
    </w:p>
    <w:p w:rsidR="00F97D54" w:rsidRDefault="00F97D54" w:rsidP="00EB5B97">
      <w:pPr>
        <w:numPr>
          <w:ilvl w:val="0"/>
          <w:numId w:val="58"/>
        </w:numPr>
        <w:rPr>
          <w:kern w:val="0"/>
        </w:rPr>
      </w:pPr>
      <w:r>
        <w:rPr>
          <w:kern w:val="0"/>
        </w:rPr>
        <w:t>Multiplexing (not shown) (channelizing a facility into individual services requiring a lower capacity or bandwidth); and</w:t>
      </w:r>
    </w:p>
    <w:p w:rsidR="00F97D54" w:rsidRDefault="00F97D54" w:rsidP="00EB5B97">
      <w:pPr>
        <w:numPr>
          <w:ilvl w:val="0"/>
          <w:numId w:val="58"/>
        </w:numPr>
        <w:rPr>
          <w:kern w:val="0"/>
        </w:rPr>
      </w:pPr>
      <w:r>
        <w:rPr>
          <w:kern w:val="0"/>
        </w:rPr>
        <w:t>Class of service and/or committed information rate (not shown) (for Ethernet, the performance characteristics of the network and bandwidth available for a customer port connection).</w:t>
      </w:r>
    </w:p>
    <w:p w:rsidR="00F97D54" w:rsidRDefault="00F97D54" w:rsidP="00EB5B97">
      <w:pPr>
        <w:numPr>
          <w:ilvl w:val="1"/>
          <w:numId w:val="58"/>
        </w:numPr>
        <w:rPr>
          <w:kern w:val="0"/>
        </w:rPr>
      </w:pPr>
      <w:r>
        <w:rPr>
          <w:kern w:val="0"/>
        </w:rPr>
        <w:t>If none of the possible entries describes the rate element, enter a short description.</w:t>
      </w:r>
    </w:p>
    <w:p w:rsidR="00F97D54" w:rsidRDefault="00F97D54">
      <w:pPr>
        <w:rPr>
          <w:kern w:val="0"/>
        </w:rPr>
      </w:pPr>
    </w:p>
    <w:p w:rsidR="00F97D54" w:rsidRDefault="00F97D54" w:rsidP="00EB5B97">
      <w:pPr>
        <w:numPr>
          <w:ilvl w:val="0"/>
          <w:numId w:val="92"/>
        </w:numPr>
        <w:tabs>
          <w:tab w:val="left" w:pos="720"/>
        </w:tabs>
        <w:ind w:left="0"/>
        <w:rPr>
          <w:kern w:val="0"/>
        </w:rPr>
      </w:pPr>
      <w:r>
        <w:rPr>
          <w:kern w:val="0"/>
        </w:rPr>
        <w:t xml:space="preserve">List the CLLI code for each one of your wire centers that was subject to price cap regulation as of December 31, 2010 and as of December 31, 2012, </w:t>
      </w:r>
      <w:r>
        <w:rPr>
          <w:i/>
          <w:kern w:val="0"/>
        </w:rPr>
        <w:t>i.e.</w:t>
      </w:r>
      <w:r>
        <w:rPr>
          <w:kern w:val="0"/>
        </w:rPr>
        <w:t xml:space="preserve">, those wire centers in your incumbent territory where the Commission had not granted you pricing flexibility.  For those </w:t>
      </w:r>
      <w:r>
        <w:rPr>
          <w:i/>
          <w:kern w:val="0"/>
        </w:rPr>
        <w:t>MSAs</w:t>
      </w:r>
      <w:r>
        <w:rPr>
          <w:kern w:val="0"/>
        </w:rPr>
        <w:t xml:space="preserve"> and </w:t>
      </w:r>
      <w:r>
        <w:rPr>
          <w:i/>
          <w:kern w:val="0"/>
        </w:rPr>
        <w:t>Non-MSAs</w:t>
      </w:r>
      <w:r>
        <w:rPr>
          <w:kern w:val="0"/>
        </w:rPr>
        <w:t xml:space="preserve"> where the Commission granted you </w:t>
      </w:r>
      <w:r>
        <w:rPr>
          <w:i/>
          <w:kern w:val="0"/>
        </w:rPr>
        <w:t>Phase I</w:t>
      </w:r>
      <w:r>
        <w:rPr>
          <w:kern w:val="0"/>
        </w:rPr>
        <w:t xml:space="preserve"> or </w:t>
      </w:r>
      <w:r>
        <w:rPr>
          <w:i/>
          <w:kern w:val="0"/>
        </w:rPr>
        <w:t>Phase II Pricing Flexibility</w:t>
      </w:r>
      <w:r>
        <w:rPr>
          <w:kern w:val="0"/>
        </w:rPr>
        <w:t xml:space="preserve"> as of December 31, 2010 and as of December 31, 2012, list the CLLI codes for the wire centers associated with each </w:t>
      </w:r>
      <w:r>
        <w:rPr>
          <w:i/>
          <w:kern w:val="0"/>
        </w:rPr>
        <w:t>MSA</w:t>
      </w:r>
      <w:r>
        <w:rPr>
          <w:kern w:val="0"/>
        </w:rPr>
        <w:t xml:space="preserve"> and </w:t>
      </w:r>
      <w:r>
        <w:rPr>
          <w:i/>
          <w:kern w:val="0"/>
        </w:rPr>
        <w:t>Non-MSA</w:t>
      </w:r>
      <w:r>
        <w:rPr>
          <w:kern w:val="0"/>
        </w:rPr>
        <w:t xml:space="preserve"> for each year, the name of the relevant </w:t>
      </w:r>
      <w:r>
        <w:rPr>
          <w:i/>
          <w:kern w:val="0"/>
        </w:rPr>
        <w:t>MSA</w:t>
      </w:r>
      <w:r>
        <w:rPr>
          <w:kern w:val="0"/>
        </w:rPr>
        <w:t xml:space="preserve"> and </w:t>
      </w:r>
      <w:r>
        <w:rPr>
          <w:i/>
          <w:kern w:val="0"/>
        </w:rPr>
        <w:t>Non-MSA</w:t>
      </w:r>
      <w:r>
        <w:rPr>
          <w:kern w:val="0"/>
        </w:rPr>
        <w:t xml:space="preserve"> for each year, and the level of pricing flexibility granted for the </w:t>
      </w:r>
      <w:r>
        <w:rPr>
          <w:i/>
          <w:kern w:val="0"/>
        </w:rPr>
        <w:t>MSA</w:t>
      </w:r>
      <w:r>
        <w:rPr>
          <w:kern w:val="0"/>
        </w:rPr>
        <w:t xml:space="preserve"> and </w:t>
      </w:r>
      <w:r>
        <w:rPr>
          <w:i/>
          <w:kern w:val="0"/>
        </w:rPr>
        <w:t>Non-MSA</w:t>
      </w:r>
      <w:r>
        <w:rPr>
          <w:kern w:val="0"/>
        </w:rPr>
        <w:t xml:space="preserve">, </w:t>
      </w:r>
      <w:r>
        <w:rPr>
          <w:i/>
          <w:kern w:val="0"/>
        </w:rPr>
        <w:t>i.e.</w:t>
      </w:r>
      <w:r>
        <w:rPr>
          <w:kern w:val="0"/>
        </w:rPr>
        <w:t xml:space="preserve">, </w:t>
      </w:r>
      <w:r>
        <w:rPr>
          <w:i/>
          <w:kern w:val="0"/>
        </w:rPr>
        <w:t>Phase I</w:t>
      </w:r>
      <w:r>
        <w:rPr>
          <w:kern w:val="0"/>
        </w:rPr>
        <w:t xml:space="preserve"> and/or </w:t>
      </w:r>
      <w:r>
        <w:rPr>
          <w:i/>
          <w:kern w:val="0"/>
        </w:rPr>
        <w:t>Phase II</w:t>
      </w:r>
      <w:r>
        <w:rPr>
          <w:kern w:val="0"/>
        </w:rPr>
        <w:t xml:space="preserve"> </w:t>
      </w:r>
      <w:r>
        <w:rPr>
          <w:i/>
          <w:kern w:val="0"/>
        </w:rPr>
        <w:t>Pricing Flexibility</w:t>
      </w:r>
      <w:r>
        <w:rPr>
          <w:kern w:val="0"/>
        </w:rPr>
        <w:t>.</w:t>
      </w:r>
    </w:p>
    <w:p w:rsidR="00F97D54" w:rsidRDefault="00F97D54">
      <w:pPr>
        <w:tabs>
          <w:tab w:val="left" w:pos="900"/>
        </w:tabs>
        <w:rPr>
          <w:kern w:val="0"/>
        </w:rPr>
      </w:pPr>
    </w:p>
    <w:p w:rsidR="00F97D54" w:rsidRDefault="00F97D54">
      <w:pPr>
        <w:rPr>
          <w:b/>
          <w:kern w:val="0"/>
        </w:rPr>
      </w:pPr>
      <w:r>
        <w:rPr>
          <w:b/>
          <w:kern w:val="0"/>
        </w:rPr>
        <w:t>Revenues, Terms and Conditions Information</w:t>
      </w:r>
    </w:p>
    <w:p w:rsidR="00F97D54" w:rsidRDefault="00F97D54">
      <w:pPr>
        <w:rPr>
          <w:kern w:val="0"/>
        </w:rPr>
      </w:pPr>
    </w:p>
    <w:p w:rsidR="00F97D54" w:rsidRDefault="00F97D54" w:rsidP="00EB5B97">
      <w:pPr>
        <w:numPr>
          <w:ilvl w:val="0"/>
          <w:numId w:val="93"/>
        </w:numPr>
        <w:rPr>
          <w:kern w:val="0"/>
        </w:rPr>
      </w:pPr>
      <w:r>
        <w:rPr>
          <w:kern w:val="0"/>
        </w:rPr>
        <w:t xml:space="preserve">What were your </w:t>
      </w:r>
      <w:r>
        <w:rPr>
          <w:i/>
          <w:kern w:val="0"/>
        </w:rPr>
        <w:t>Revenues</w:t>
      </w:r>
      <w:r>
        <w:rPr>
          <w:kern w:val="0"/>
        </w:rPr>
        <w:t xml:space="preserve"> from the sale of </w:t>
      </w:r>
      <w:r>
        <w:rPr>
          <w:i/>
          <w:kern w:val="0"/>
        </w:rPr>
        <w:t>CBDS</w:t>
      </w:r>
      <w:r>
        <w:rPr>
          <w:kern w:val="0"/>
        </w:rPr>
        <w:t xml:space="preserve"> services in 2010 and 2012?  For each year, report </w:t>
      </w:r>
      <w:r>
        <w:rPr>
          <w:i/>
          <w:kern w:val="0"/>
        </w:rPr>
        <w:t>Revenues</w:t>
      </w:r>
      <w:r>
        <w:rPr>
          <w:kern w:val="0"/>
        </w:rPr>
        <w:t xml:space="preserve"> in total, separately by </w:t>
      </w:r>
      <w:r>
        <w:rPr>
          <w:i/>
          <w:kern w:val="0"/>
        </w:rPr>
        <w:t>DS1</w:t>
      </w:r>
      <w:r>
        <w:rPr>
          <w:kern w:val="0"/>
        </w:rPr>
        <w:t xml:space="preserve">, </w:t>
      </w:r>
      <w:r>
        <w:rPr>
          <w:i/>
          <w:kern w:val="0"/>
        </w:rPr>
        <w:t>DS3</w:t>
      </w:r>
      <w:r>
        <w:rPr>
          <w:kern w:val="0"/>
        </w:rPr>
        <w:t xml:space="preserve">, and other </w:t>
      </w:r>
      <w:r>
        <w:rPr>
          <w:i/>
          <w:kern w:val="0"/>
        </w:rPr>
        <w:t>CBDS</w:t>
      </w:r>
      <w:r>
        <w:rPr>
          <w:kern w:val="0"/>
        </w:rPr>
        <w:t xml:space="preserve"> sales, and separately by customer category, </w:t>
      </w:r>
      <w:r>
        <w:rPr>
          <w:i/>
          <w:kern w:val="0"/>
        </w:rPr>
        <w:t>i.e.</w:t>
      </w:r>
      <w:r>
        <w:rPr>
          <w:kern w:val="0"/>
        </w:rPr>
        <w:t xml:space="preserve">, sales to </w:t>
      </w:r>
      <w:r>
        <w:rPr>
          <w:i/>
          <w:kern w:val="0"/>
        </w:rPr>
        <w:t>Competitive Providers</w:t>
      </w:r>
      <w:r>
        <w:rPr>
          <w:kern w:val="0"/>
        </w:rPr>
        <w:t xml:space="preserve"> and </w:t>
      </w:r>
      <w:r>
        <w:rPr>
          <w:i/>
          <w:kern w:val="0"/>
        </w:rPr>
        <w:t>End Users</w:t>
      </w:r>
      <w:r>
        <w:rPr>
          <w:kern w:val="0"/>
        </w:rPr>
        <w:t>.</w:t>
      </w:r>
    </w:p>
    <w:p w:rsidR="00F97D54" w:rsidRDefault="00F97D54">
      <w:pPr>
        <w:rPr>
          <w:kern w:val="0"/>
        </w:rPr>
      </w:pPr>
    </w:p>
    <w:p w:rsidR="00F97D54" w:rsidRDefault="00F97D54" w:rsidP="00EB5B97">
      <w:pPr>
        <w:numPr>
          <w:ilvl w:val="0"/>
          <w:numId w:val="93"/>
        </w:numPr>
        <w:rPr>
          <w:kern w:val="0"/>
        </w:rPr>
      </w:pPr>
      <w:r>
        <w:rPr>
          <w:kern w:val="0"/>
        </w:rPr>
        <w:t xml:space="preserve">What were your </w:t>
      </w:r>
      <w:r>
        <w:rPr>
          <w:i/>
          <w:kern w:val="0"/>
        </w:rPr>
        <w:t>Revenues</w:t>
      </w:r>
      <w:r>
        <w:rPr>
          <w:kern w:val="0"/>
        </w:rPr>
        <w:t xml:space="preserve"> from the sale of </w:t>
      </w:r>
      <w:r>
        <w:rPr>
          <w:i/>
          <w:kern w:val="0"/>
        </w:rPr>
        <w:t>PBDS</w:t>
      </w:r>
      <w:r>
        <w:rPr>
          <w:kern w:val="0"/>
        </w:rPr>
        <w:t xml:space="preserve"> services in 2010 and 2012?  For each year, report </w:t>
      </w:r>
      <w:r>
        <w:rPr>
          <w:i/>
          <w:kern w:val="0"/>
        </w:rPr>
        <w:t>Revenues</w:t>
      </w:r>
      <w:r>
        <w:rPr>
          <w:kern w:val="0"/>
        </w:rPr>
        <w:t xml:space="preserve"> in total, separately by customer category, </w:t>
      </w:r>
      <w:r>
        <w:rPr>
          <w:i/>
          <w:kern w:val="0"/>
        </w:rPr>
        <w:t>i.e.</w:t>
      </w:r>
      <w:r>
        <w:rPr>
          <w:kern w:val="0"/>
        </w:rPr>
        <w:t xml:space="preserve">, sales to </w:t>
      </w:r>
      <w:r>
        <w:rPr>
          <w:i/>
          <w:kern w:val="0"/>
        </w:rPr>
        <w:t>Competitive Providers</w:t>
      </w:r>
      <w:r>
        <w:rPr>
          <w:kern w:val="0"/>
        </w:rPr>
        <w:t xml:space="preserve"> and </w:t>
      </w:r>
      <w:r>
        <w:rPr>
          <w:i/>
          <w:kern w:val="0"/>
        </w:rPr>
        <w:t>End Users</w:t>
      </w:r>
      <w:r>
        <w:rPr>
          <w:kern w:val="0"/>
        </w:rPr>
        <w:t>, and separately by bandwidth for the following categories:</w:t>
      </w:r>
    </w:p>
    <w:p w:rsidR="00F97D54" w:rsidRDefault="00F97D54" w:rsidP="00EB5B97">
      <w:pPr>
        <w:numPr>
          <w:ilvl w:val="0"/>
          <w:numId w:val="34"/>
        </w:numPr>
        <w:rPr>
          <w:kern w:val="0"/>
        </w:rPr>
      </w:pPr>
      <w:r>
        <w:rPr>
          <w:kern w:val="0"/>
        </w:rPr>
        <w:t>less than or equal to 1.5 Mbps;</w:t>
      </w:r>
    </w:p>
    <w:p w:rsidR="00F97D54" w:rsidRDefault="00F97D54" w:rsidP="00EB5B97">
      <w:pPr>
        <w:numPr>
          <w:ilvl w:val="0"/>
          <w:numId w:val="34"/>
        </w:numPr>
        <w:rPr>
          <w:kern w:val="0"/>
        </w:rPr>
      </w:pPr>
      <w:r>
        <w:rPr>
          <w:kern w:val="0"/>
        </w:rPr>
        <w:t>greater than 1.5, but less than or equal to 50 Mbps;</w:t>
      </w:r>
    </w:p>
    <w:p w:rsidR="00F97D54" w:rsidRDefault="00F97D54" w:rsidP="00EB5B97">
      <w:pPr>
        <w:numPr>
          <w:ilvl w:val="0"/>
          <w:numId w:val="34"/>
        </w:numPr>
        <w:rPr>
          <w:kern w:val="0"/>
        </w:rPr>
      </w:pPr>
      <w:r>
        <w:rPr>
          <w:kern w:val="0"/>
        </w:rPr>
        <w:t>greater than 50, but less than or equal to 100 Mbps;</w:t>
      </w:r>
    </w:p>
    <w:p w:rsidR="00F97D54" w:rsidRDefault="00F97D54" w:rsidP="00EB5B97">
      <w:pPr>
        <w:numPr>
          <w:ilvl w:val="0"/>
          <w:numId w:val="34"/>
        </w:numPr>
        <w:rPr>
          <w:kern w:val="0"/>
        </w:rPr>
      </w:pPr>
      <w:r>
        <w:rPr>
          <w:kern w:val="0"/>
        </w:rPr>
        <w:t>greater than 100, but less than or equal to 1 gigabyte per second (Gbps); and</w:t>
      </w:r>
    </w:p>
    <w:p w:rsidR="00F97D54" w:rsidRDefault="00F97D54" w:rsidP="00EB5B97">
      <w:pPr>
        <w:numPr>
          <w:ilvl w:val="0"/>
          <w:numId w:val="34"/>
        </w:numPr>
        <w:rPr>
          <w:kern w:val="0"/>
        </w:rPr>
      </w:pPr>
      <w:r>
        <w:rPr>
          <w:kern w:val="0"/>
        </w:rPr>
        <w:t xml:space="preserve">greater than 1 Gbps. </w:t>
      </w:r>
    </w:p>
    <w:p w:rsidR="00F97D54" w:rsidRDefault="00F97D54">
      <w:pPr>
        <w:rPr>
          <w:kern w:val="0"/>
        </w:rPr>
      </w:pPr>
    </w:p>
    <w:p w:rsidR="00F97D54" w:rsidRDefault="00F97D54" w:rsidP="00EB5B97">
      <w:pPr>
        <w:numPr>
          <w:ilvl w:val="0"/>
          <w:numId w:val="93"/>
        </w:numPr>
        <w:tabs>
          <w:tab w:val="clear" w:pos="720"/>
          <w:tab w:val="num" w:pos="900"/>
        </w:tabs>
        <w:rPr>
          <w:kern w:val="0"/>
        </w:rPr>
      </w:pPr>
      <w:r>
        <w:rPr>
          <w:kern w:val="0"/>
        </w:rPr>
        <w:t xml:space="preserve">What were your </w:t>
      </w:r>
      <w:r>
        <w:rPr>
          <w:i/>
          <w:kern w:val="0"/>
        </w:rPr>
        <w:t>Revenues</w:t>
      </w:r>
      <w:r>
        <w:rPr>
          <w:kern w:val="0"/>
        </w:rPr>
        <w:t xml:space="preserve"> from the </w:t>
      </w:r>
      <w:r>
        <w:rPr>
          <w:i/>
          <w:kern w:val="0"/>
        </w:rPr>
        <w:t>One Month Term Only Rat</w:t>
      </w:r>
      <w:r>
        <w:rPr>
          <w:kern w:val="0"/>
        </w:rPr>
        <w:t xml:space="preserve">e charged for </w:t>
      </w:r>
      <w:r>
        <w:rPr>
          <w:i/>
          <w:kern w:val="0"/>
        </w:rPr>
        <w:t>DS1, DS3</w:t>
      </w:r>
      <w:r>
        <w:rPr>
          <w:kern w:val="0"/>
        </w:rPr>
        <w:t xml:space="preserve">, and/or </w:t>
      </w:r>
      <w:r>
        <w:rPr>
          <w:i/>
          <w:kern w:val="0"/>
        </w:rPr>
        <w:t>PBDS</w:t>
      </w:r>
      <w:r>
        <w:rPr>
          <w:kern w:val="0"/>
        </w:rPr>
        <w:t xml:space="preserve"> services in 2010 and 2012?  For each year, report </w:t>
      </w:r>
      <w:r>
        <w:rPr>
          <w:i/>
          <w:kern w:val="0"/>
        </w:rPr>
        <w:t>Revenues</w:t>
      </w:r>
      <w:r>
        <w:rPr>
          <w:kern w:val="0"/>
        </w:rPr>
        <w:t xml:space="preserve"> in total, separately by </w:t>
      </w:r>
      <w:r>
        <w:rPr>
          <w:i/>
          <w:kern w:val="0"/>
        </w:rPr>
        <w:t>DS1</w:t>
      </w:r>
      <w:r>
        <w:rPr>
          <w:kern w:val="0"/>
        </w:rPr>
        <w:t xml:space="preserve">, </w:t>
      </w:r>
      <w:r>
        <w:rPr>
          <w:i/>
          <w:kern w:val="0"/>
        </w:rPr>
        <w:t>DS3</w:t>
      </w:r>
      <w:r>
        <w:rPr>
          <w:kern w:val="0"/>
        </w:rPr>
        <w:t xml:space="preserve">, and </w:t>
      </w:r>
      <w:r>
        <w:rPr>
          <w:i/>
          <w:kern w:val="0"/>
        </w:rPr>
        <w:t>PBDS</w:t>
      </w:r>
      <w:r>
        <w:rPr>
          <w:kern w:val="0"/>
        </w:rPr>
        <w:t xml:space="preserve"> sales as applicable, and separately by customer category, </w:t>
      </w:r>
      <w:r>
        <w:rPr>
          <w:i/>
          <w:kern w:val="0"/>
        </w:rPr>
        <w:t>i.e.</w:t>
      </w:r>
      <w:r>
        <w:rPr>
          <w:kern w:val="0"/>
        </w:rPr>
        <w:t xml:space="preserve">, sales to </w:t>
      </w:r>
      <w:r>
        <w:rPr>
          <w:i/>
          <w:kern w:val="0"/>
        </w:rPr>
        <w:t>Competitive Providers</w:t>
      </w:r>
      <w:r>
        <w:rPr>
          <w:kern w:val="0"/>
        </w:rPr>
        <w:t xml:space="preserve"> and </w:t>
      </w:r>
      <w:r>
        <w:rPr>
          <w:i/>
          <w:kern w:val="0"/>
        </w:rPr>
        <w:t>End Users</w:t>
      </w:r>
      <w:r>
        <w:rPr>
          <w:kern w:val="0"/>
        </w:rPr>
        <w:t>.</w:t>
      </w:r>
    </w:p>
    <w:p w:rsidR="00F97D54" w:rsidRDefault="00F97D54">
      <w:pPr>
        <w:rPr>
          <w:kern w:val="0"/>
        </w:rPr>
      </w:pPr>
    </w:p>
    <w:p w:rsidR="00F97D54" w:rsidRDefault="00F97D54" w:rsidP="00EB5B97">
      <w:pPr>
        <w:numPr>
          <w:ilvl w:val="0"/>
          <w:numId w:val="93"/>
        </w:numPr>
        <w:tabs>
          <w:tab w:val="clear" w:pos="720"/>
          <w:tab w:val="num" w:pos="900"/>
        </w:tabs>
        <w:rPr>
          <w:kern w:val="0"/>
        </w:rPr>
      </w:pPr>
      <w:r>
        <w:rPr>
          <w:kern w:val="0"/>
        </w:rPr>
        <w:t xml:space="preserve">How many customers were purchasing </w:t>
      </w:r>
      <w:r>
        <w:rPr>
          <w:i/>
          <w:kern w:val="0"/>
        </w:rPr>
        <w:t>DS1</w:t>
      </w:r>
      <w:r>
        <w:rPr>
          <w:kern w:val="0"/>
        </w:rPr>
        <w:t xml:space="preserve">, </w:t>
      </w:r>
      <w:r>
        <w:rPr>
          <w:i/>
          <w:kern w:val="0"/>
        </w:rPr>
        <w:t>DS3</w:t>
      </w:r>
      <w:r>
        <w:rPr>
          <w:kern w:val="0"/>
        </w:rPr>
        <w:t xml:space="preserve">, and/or </w:t>
      </w:r>
      <w:r>
        <w:rPr>
          <w:i/>
          <w:kern w:val="0"/>
        </w:rPr>
        <w:t>PBDS</w:t>
      </w:r>
      <w:r>
        <w:rPr>
          <w:kern w:val="0"/>
        </w:rPr>
        <w:t xml:space="preserve"> services pursuant to your </w:t>
      </w:r>
      <w:r>
        <w:rPr>
          <w:i/>
          <w:kern w:val="0"/>
        </w:rPr>
        <w:t>One Month Term Only Rat</w:t>
      </w:r>
      <w:r>
        <w:rPr>
          <w:kern w:val="0"/>
        </w:rPr>
        <w:t>e</w:t>
      </w:r>
      <w:r>
        <w:rPr>
          <w:i/>
          <w:kern w:val="0"/>
        </w:rPr>
        <w:t>s</w:t>
      </w:r>
      <w:r>
        <w:rPr>
          <w:kern w:val="0"/>
        </w:rPr>
        <w:t xml:space="preserve"> as of December 31, 2012?  Report customer numbers in total, separately for </w:t>
      </w:r>
      <w:r>
        <w:rPr>
          <w:i/>
          <w:kern w:val="0"/>
        </w:rPr>
        <w:t>DS1</w:t>
      </w:r>
      <w:r>
        <w:rPr>
          <w:kern w:val="0"/>
        </w:rPr>
        <w:t xml:space="preserve">, </w:t>
      </w:r>
      <w:r>
        <w:rPr>
          <w:i/>
          <w:kern w:val="0"/>
        </w:rPr>
        <w:t>DS3</w:t>
      </w:r>
      <w:r>
        <w:rPr>
          <w:kern w:val="0"/>
        </w:rPr>
        <w:t xml:space="preserve">, and </w:t>
      </w:r>
      <w:r>
        <w:rPr>
          <w:i/>
          <w:kern w:val="0"/>
        </w:rPr>
        <w:t>PBDS</w:t>
      </w:r>
      <w:r>
        <w:rPr>
          <w:kern w:val="0"/>
        </w:rPr>
        <w:t xml:space="preserve"> services as applicable, and separately by customer category, </w:t>
      </w:r>
      <w:r>
        <w:rPr>
          <w:i/>
          <w:kern w:val="0"/>
        </w:rPr>
        <w:t>i.e.</w:t>
      </w:r>
      <w:r>
        <w:rPr>
          <w:kern w:val="0"/>
        </w:rPr>
        <w:t xml:space="preserve">, the number of </w:t>
      </w:r>
      <w:r>
        <w:rPr>
          <w:i/>
          <w:kern w:val="0"/>
        </w:rPr>
        <w:t>DS1</w:t>
      </w:r>
      <w:r>
        <w:rPr>
          <w:kern w:val="0"/>
        </w:rPr>
        <w:t xml:space="preserve">, </w:t>
      </w:r>
      <w:r>
        <w:rPr>
          <w:i/>
          <w:kern w:val="0"/>
        </w:rPr>
        <w:t>DS3</w:t>
      </w:r>
      <w:r>
        <w:rPr>
          <w:kern w:val="0"/>
        </w:rPr>
        <w:t xml:space="preserve">, and </w:t>
      </w:r>
      <w:r>
        <w:rPr>
          <w:i/>
          <w:kern w:val="0"/>
        </w:rPr>
        <w:t>PBDS</w:t>
      </w:r>
      <w:r>
        <w:rPr>
          <w:kern w:val="0"/>
        </w:rPr>
        <w:t xml:space="preserve"> service customers that were </w:t>
      </w:r>
      <w:r>
        <w:rPr>
          <w:i/>
          <w:kern w:val="0"/>
        </w:rPr>
        <w:t>Competitive Providers</w:t>
      </w:r>
      <w:r>
        <w:rPr>
          <w:kern w:val="0"/>
        </w:rPr>
        <w:t xml:space="preserve"> and </w:t>
      </w:r>
      <w:r>
        <w:rPr>
          <w:i/>
          <w:kern w:val="0"/>
        </w:rPr>
        <w:t>End Users</w:t>
      </w:r>
      <w:r>
        <w:rPr>
          <w:kern w:val="0"/>
        </w:rPr>
        <w:t>.</w:t>
      </w:r>
    </w:p>
    <w:p w:rsidR="00F97D54" w:rsidRDefault="00F97D54">
      <w:pPr>
        <w:rPr>
          <w:kern w:val="0"/>
        </w:rPr>
      </w:pPr>
    </w:p>
    <w:p w:rsidR="00F97D54" w:rsidRDefault="00F97D54" w:rsidP="00EB5B97">
      <w:pPr>
        <w:numPr>
          <w:ilvl w:val="0"/>
          <w:numId w:val="93"/>
        </w:numPr>
        <w:tabs>
          <w:tab w:val="clear" w:pos="720"/>
          <w:tab w:val="num" w:pos="900"/>
        </w:tabs>
        <w:spacing w:after="120"/>
        <w:rPr>
          <w:kern w:val="0"/>
        </w:rPr>
      </w:pPr>
      <w:r>
        <w:rPr>
          <w:kern w:val="0"/>
        </w:rPr>
        <w:t xml:space="preserve">Separately list all </w:t>
      </w:r>
      <w:r>
        <w:rPr>
          <w:i/>
          <w:kern w:val="0"/>
        </w:rPr>
        <w:t>Tariff Plans</w:t>
      </w:r>
      <w:r>
        <w:rPr>
          <w:kern w:val="0"/>
        </w:rPr>
        <w:t xml:space="preserve"> and </w:t>
      </w:r>
      <w:r>
        <w:rPr>
          <w:i/>
          <w:kern w:val="0"/>
        </w:rPr>
        <w:t>Contract-Based Tariffs</w:t>
      </w:r>
      <w:r>
        <w:rPr>
          <w:kern w:val="0"/>
        </w:rPr>
        <w:t xml:space="preserve"> that can be applied to the purchase of </w:t>
      </w:r>
      <w:r>
        <w:rPr>
          <w:i/>
          <w:kern w:val="0"/>
        </w:rPr>
        <w:t>DS1</w:t>
      </w:r>
      <w:r>
        <w:rPr>
          <w:kern w:val="0"/>
        </w:rPr>
        <w:t xml:space="preserve">, </w:t>
      </w:r>
      <w:r>
        <w:rPr>
          <w:i/>
          <w:kern w:val="0"/>
        </w:rPr>
        <w:t>DS3</w:t>
      </w:r>
      <w:r>
        <w:rPr>
          <w:kern w:val="0"/>
        </w:rPr>
        <w:t xml:space="preserve"> and/or </w:t>
      </w:r>
      <w:r>
        <w:rPr>
          <w:i/>
          <w:kern w:val="0"/>
        </w:rPr>
        <w:t>PBDS</w:t>
      </w:r>
      <w:r>
        <w:rPr>
          <w:kern w:val="0"/>
        </w:rPr>
        <w:t xml:space="preserve"> services and provide the information requested below for each plan.  </w:t>
      </w:r>
    </w:p>
    <w:p w:rsidR="00F97D54" w:rsidRDefault="00F97D54" w:rsidP="00EB5B97">
      <w:pPr>
        <w:numPr>
          <w:ilvl w:val="0"/>
          <w:numId w:val="31"/>
        </w:numPr>
        <w:tabs>
          <w:tab w:val="num" w:pos="720"/>
        </w:tabs>
        <w:rPr>
          <w:kern w:val="0"/>
        </w:rPr>
      </w:pPr>
      <w:r>
        <w:rPr>
          <w:kern w:val="0"/>
        </w:rPr>
        <w:t>This plan is a:</w:t>
      </w:r>
    </w:p>
    <w:p w:rsidR="00F97D54" w:rsidRDefault="00F97D54" w:rsidP="00EB5B97">
      <w:pPr>
        <w:tabs>
          <w:tab w:val="num" w:pos="720"/>
        </w:tabs>
        <w:spacing w:after="120"/>
        <w:ind w:left="1080" w:firstLine="360"/>
        <w:rPr>
          <w:kern w:val="0"/>
        </w:rPr>
      </w:pPr>
      <w:r>
        <w:rPr>
          <w:rFonts w:ascii="Times New Roman Bold" w:hAnsi="Times New Roman Bold"/>
          <w:b/>
          <w:kern w:val="0"/>
          <w:sz w:val="28"/>
        </w:rPr>
        <w:t xml:space="preserve">□ </w:t>
      </w:r>
      <w:r>
        <w:rPr>
          <w:i/>
          <w:kern w:val="0"/>
          <w:szCs w:val="22"/>
        </w:rPr>
        <w:t>Tariff Plan</w:t>
      </w:r>
      <w:r>
        <w:rPr>
          <w:kern w:val="0"/>
          <w:szCs w:val="22"/>
        </w:rPr>
        <w:t xml:space="preserve">   </w:t>
      </w:r>
      <w:r>
        <w:rPr>
          <w:rFonts w:ascii="Times New Roman Bold" w:hAnsi="Times New Roman Bold"/>
          <w:b/>
          <w:kern w:val="0"/>
          <w:sz w:val="28"/>
        </w:rPr>
        <w:t xml:space="preserve">□ </w:t>
      </w:r>
      <w:r>
        <w:rPr>
          <w:i/>
          <w:kern w:val="0"/>
          <w:szCs w:val="22"/>
        </w:rPr>
        <w:t xml:space="preserve">Contract-Based Tariff </w:t>
      </w:r>
      <w:r>
        <w:rPr>
          <w:kern w:val="0"/>
          <w:szCs w:val="22"/>
        </w:rPr>
        <w:t>(select one)</w:t>
      </w:r>
    </w:p>
    <w:p w:rsidR="00F97D54" w:rsidRDefault="00F97D54" w:rsidP="00EB5B97">
      <w:pPr>
        <w:numPr>
          <w:ilvl w:val="0"/>
          <w:numId w:val="31"/>
        </w:numPr>
        <w:tabs>
          <w:tab w:val="num" w:pos="720"/>
        </w:tabs>
        <w:spacing w:after="120"/>
        <w:rPr>
          <w:kern w:val="0"/>
        </w:rPr>
      </w:pPr>
      <w:r>
        <w:rPr>
          <w:kern w:val="0"/>
        </w:rPr>
        <w:t>Plan name:</w:t>
      </w:r>
    </w:p>
    <w:p w:rsidR="00F97D54" w:rsidRDefault="00F97D54" w:rsidP="00EB5B97">
      <w:pPr>
        <w:numPr>
          <w:ilvl w:val="0"/>
          <w:numId w:val="31"/>
        </w:numPr>
        <w:tabs>
          <w:tab w:val="num" w:pos="720"/>
        </w:tabs>
        <w:spacing w:after="120"/>
        <w:rPr>
          <w:kern w:val="0"/>
        </w:rPr>
      </w:pPr>
      <w:r>
        <w:rPr>
          <w:i/>
          <w:kern w:val="0"/>
        </w:rPr>
        <w:t>Tariff</w:t>
      </w:r>
      <w:r>
        <w:rPr>
          <w:kern w:val="0"/>
        </w:rPr>
        <w:t xml:space="preserve"> and Section Number(s):</w:t>
      </w:r>
    </w:p>
    <w:p w:rsidR="00F97D54" w:rsidRDefault="00F97D54" w:rsidP="00EB5B97">
      <w:pPr>
        <w:numPr>
          <w:ilvl w:val="0"/>
          <w:numId w:val="31"/>
        </w:numPr>
        <w:tabs>
          <w:tab w:val="num" w:pos="720"/>
        </w:tabs>
        <w:rPr>
          <w:kern w:val="0"/>
        </w:rPr>
      </w:pPr>
      <w:r>
        <w:rPr>
          <w:kern w:val="0"/>
        </w:rPr>
        <w:t>This plan contains:</w:t>
      </w:r>
    </w:p>
    <w:p w:rsidR="00F97D54" w:rsidRDefault="00F97D54" w:rsidP="00EB5B97">
      <w:pPr>
        <w:tabs>
          <w:tab w:val="num" w:pos="720"/>
        </w:tabs>
        <w:rPr>
          <w:kern w:val="0"/>
        </w:rPr>
      </w:pPr>
      <w:r>
        <w:rPr>
          <w:b/>
          <w:kern w:val="0"/>
        </w:rPr>
        <w:t>⁯⁫</w:t>
      </w:r>
      <w:dir w:val="ltr">
        <w:r>
          <w:rPr>
            <w:b/>
            <w:kern w:val="0"/>
          </w:rPr>
          <w:tab/>
        </w:r>
        <w:r>
          <w:rPr>
            <w:b/>
            <w:kern w:val="0"/>
          </w:rPr>
          <w:tab/>
        </w:r>
        <w:r>
          <w:rPr>
            <w:rFonts w:ascii="Times New Roman Bold" w:hAnsi="Times New Roman Bold"/>
            <w:b/>
            <w:kern w:val="0"/>
            <w:sz w:val="28"/>
          </w:rPr>
          <w:t>□</w:t>
        </w:r>
        <w:r>
          <w:rPr>
            <w:b/>
            <w:kern w:val="0"/>
          </w:rPr>
          <w:t xml:space="preserve">  </w:t>
        </w:r>
        <w:r>
          <w:rPr>
            <w:i/>
            <w:kern w:val="0"/>
          </w:rPr>
          <w:t>Term Commitment(s)</w:t>
        </w:r>
        <w:r>
          <w:rPr>
            <w:kern w:val="0"/>
          </w:rPr>
          <w:t xml:space="preserve">  </w:t>
        </w:r>
        <w:r>
          <w:rPr>
            <w:rFonts w:ascii="Times New Roman Bold" w:hAnsi="Times New Roman Bold"/>
            <w:b/>
            <w:kern w:val="0"/>
            <w:sz w:val="28"/>
          </w:rPr>
          <w:t>□</w:t>
        </w:r>
        <w:r>
          <w:rPr>
            <w:b/>
            <w:kern w:val="0"/>
          </w:rPr>
          <w:t xml:space="preserve">  </w:t>
        </w:r>
        <w:r>
          <w:rPr>
            <w:i/>
            <w:kern w:val="0"/>
          </w:rPr>
          <w:t>Volume Commitment(s)</w:t>
        </w:r>
        <w:r w:rsidR="000D1B5B">
          <w:t>‬</w:t>
        </w:r>
        <w:r w:rsidR="00877B9F">
          <w:t>‬</w:t>
        </w:r>
        <w:r w:rsidR="00D610B7">
          <w:t>‬</w:t>
        </w:r>
        <w:r w:rsidR="008E5B1D">
          <w:t>‬</w:t>
        </w:r>
        <w:r w:rsidR="0033254D">
          <w:t>‬</w:t>
        </w:r>
        <w:r w:rsidR="00B11E6E">
          <w:t>‬</w:t>
        </w:r>
        <w:r w:rsidR="003C1C85">
          <w:t>‬</w:t>
        </w:r>
        <w:r w:rsidR="007916AE">
          <w:t>‬</w:t>
        </w:r>
        <w:r w:rsidR="005D7275">
          <w:t>‬</w:t>
        </w:r>
        <w:r w:rsidR="0047272E">
          <w:t>‬</w:t>
        </w:r>
        <w:r w:rsidR="008C6C19">
          <w:t>‬</w:t>
        </w:r>
        <w:r w:rsidR="00381F17">
          <w:t>‬</w:t>
        </w:r>
        <w:r w:rsidR="005A5FB6">
          <w:t>‬</w:t>
        </w:r>
        <w:r w:rsidR="007633BC">
          <w:t>‬</w:t>
        </w:r>
        <w:r w:rsidR="00B41778">
          <w:t>‬</w:t>
        </w:r>
        <w:r w:rsidR="00B350DE">
          <w:t>‬</w:t>
        </w:r>
        <w:r w:rsidR="00000E96">
          <w:t>‬</w:t>
        </w:r>
        <w:r w:rsidR="00051C98">
          <w:t>‬</w:t>
        </w:r>
        <w:r w:rsidR="00FD33F9">
          <w:t>‬</w:t>
        </w:r>
        <w:r w:rsidR="00CD5011">
          <w:t>‬</w:t>
        </w:r>
        <w:r w:rsidR="00942104">
          <w:t>‬</w:t>
        </w:r>
        <w:r w:rsidR="001B310A">
          <w:t>‬</w:t>
        </w:r>
        <w:r w:rsidR="0083344C">
          <w:t>‬</w:t>
        </w:r>
        <w:r w:rsidR="00441ED3">
          <w:t>‬</w:t>
        </w:r>
        <w:r w:rsidR="00295162">
          <w:t>‬</w:t>
        </w:r>
        <w:r w:rsidR="00576C5A">
          <w:t>‬</w:t>
        </w:r>
        <w:r w:rsidR="00F1179D">
          <w:t>‬</w:t>
        </w:r>
        <w:r w:rsidR="00356C23">
          <w:t>‬</w:t>
        </w:r>
        <w:r w:rsidR="00F40BB7">
          <w:t>‬</w:t>
        </w:r>
        <w:r w:rsidR="00670412">
          <w:t>‬</w:t>
        </w:r>
        <w:r w:rsidR="00325659">
          <w:t>‬</w:t>
        </w:r>
        <w:r w:rsidR="00FB20A9">
          <w:t>‬</w:t>
        </w:r>
      </w:dir>
    </w:p>
    <w:p w:rsidR="00F97D54" w:rsidRDefault="00F97D54" w:rsidP="00EB5B97">
      <w:pPr>
        <w:tabs>
          <w:tab w:val="num" w:pos="720"/>
        </w:tabs>
        <w:spacing w:after="120"/>
        <w:ind w:left="720" w:firstLine="720"/>
        <w:rPr>
          <w:kern w:val="0"/>
        </w:rPr>
      </w:pPr>
      <w:r>
        <w:rPr>
          <w:rFonts w:ascii="Times New Roman Bold" w:hAnsi="Times New Roman Bold"/>
          <w:b/>
          <w:kern w:val="0"/>
          <w:sz w:val="28"/>
        </w:rPr>
        <w:t>□</w:t>
      </w:r>
      <w:r>
        <w:rPr>
          <w:b/>
          <w:kern w:val="0"/>
        </w:rPr>
        <w:t xml:space="preserve">  </w:t>
      </w:r>
      <w:r>
        <w:rPr>
          <w:i/>
          <w:kern w:val="0"/>
        </w:rPr>
        <w:t xml:space="preserve">Non-Rate Benefit </w:t>
      </w:r>
      <w:r>
        <w:rPr>
          <w:kern w:val="0"/>
        </w:rPr>
        <w:t>option(s) (select all that apply)</w:t>
      </w:r>
    </w:p>
    <w:p w:rsidR="00F97D54" w:rsidRDefault="00F97D54" w:rsidP="00EB5B97">
      <w:pPr>
        <w:numPr>
          <w:ilvl w:val="0"/>
          <w:numId w:val="31"/>
        </w:numPr>
        <w:tabs>
          <w:tab w:val="num" w:pos="720"/>
        </w:tabs>
        <w:spacing w:after="120"/>
        <w:rPr>
          <w:kern w:val="0"/>
        </w:rPr>
      </w:pPr>
      <w:r>
        <w:rPr>
          <w:kern w:val="0"/>
        </w:rPr>
        <w:t xml:space="preserve">If the plan contains options for </w:t>
      </w:r>
      <w:r>
        <w:rPr>
          <w:i/>
          <w:kern w:val="0"/>
        </w:rPr>
        <w:t>Non-Rate Benefit</w:t>
      </w:r>
      <w:r>
        <w:rPr>
          <w:kern w:val="0"/>
        </w:rPr>
        <w:t xml:space="preserve">s, explain the available </w:t>
      </w:r>
      <w:r>
        <w:rPr>
          <w:i/>
          <w:kern w:val="0"/>
        </w:rPr>
        <w:t>Non-Rate Benefits</w:t>
      </w:r>
      <w:r>
        <w:rPr>
          <w:kern w:val="0"/>
        </w:rPr>
        <w:t xml:space="preserve">. </w:t>
      </w:r>
    </w:p>
    <w:p w:rsidR="00F97D54" w:rsidRDefault="00F97D54" w:rsidP="00EB5B97">
      <w:pPr>
        <w:numPr>
          <w:ilvl w:val="0"/>
          <w:numId w:val="31"/>
        </w:numPr>
        <w:tabs>
          <w:tab w:val="num" w:pos="720"/>
        </w:tabs>
        <w:rPr>
          <w:kern w:val="0"/>
        </w:rPr>
      </w:pPr>
      <w:r>
        <w:rPr>
          <w:kern w:val="0"/>
        </w:rPr>
        <w:t>This plan can be applied to the purchase of:</w:t>
      </w:r>
    </w:p>
    <w:p w:rsidR="00F97D54" w:rsidRDefault="00F97D54" w:rsidP="00EB5B97">
      <w:pPr>
        <w:tabs>
          <w:tab w:val="num" w:pos="720"/>
        </w:tabs>
        <w:spacing w:after="120"/>
        <w:ind w:left="720" w:firstLine="720"/>
        <w:rPr>
          <w:kern w:val="0"/>
          <w:szCs w:val="22"/>
        </w:rPr>
      </w:pPr>
      <w:r>
        <w:rPr>
          <w:rFonts w:ascii="Times New Roman Bold" w:hAnsi="Times New Roman Bold"/>
          <w:b/>
          <w:kern w:val="0"/>
          <w:sz w:val="28"/>
        </w:rPr>
        <w:t xml:space="preserve">□ </w:t>
      </w:r>
      <w:r>
        <w:rPr>
          <w:i/>
          <w:kern w:val="0"/>
          <w:szCs w:val="22"/>
        </w:rPr>
        <w:t>DS1</w:t>
      </w:r>
      <w:r>
        <w:rPr>
          <w:kern w:val="0"/>
          <w:szCs w:val="22"/>
        </w:rPr>
        <w:t xml:space="preserve"> services   </w:t>
      </w:r>
      <w:r>
        <w:rPr>
          <w:rFonts w:ascii="Times New Roman Bold" w:hAnsi="Times New Roman Bold"/>
          <w:b/>
          <w:kern w:val="0"/>
          <w:sz w:val="28"/>
        </w:rPr>
        <w:t xml:space="preserve">□ </w:t>
      </w:r>
      <w:r>
        <w:rPr>
          <w:i/>
          <w:kern w:val="0"/>
          <w:szCs w:val="22"/>
        </w:rPr>
        <w:t>DS3</w:t>
      </w:r>
      <w:r>
        <w:rPr>
          <w:kern w:val="0"/>
          <w:szCs w:val="22"/>
        </w:rPr>
        <w:t xml:space="preserve"> services   </w:t>
      </w:r>
      <w:r>
        <w:rPr>
          <w:rFonts w:ascii="Times New Roman Bold" w:hAnsi="Times New Roman Bold"/>
          <w:b/>
          <w:kern w:val="0"/>
          <w:sz w:val="28"/>
        </w:rPr>
        <w:t xml:space="preserve">□ </w:t>
      </w:r>
      <w:r>
        <w:rPr>
          <w:i/>
          <w:kern w:val="0"/>
          <w:szCs w:val="22"/>
        </w:rPr>
        <w:t>PBDS</w:t>
      </w:r>
      <w:r>
        <w:rPr>
          <w:kern w:val="0"/>
          <w:szCs w:val="22"/>
        </w:rPr>
        <w:t xml:space="preserve">   </w:t>
      </w:r>
      <w:r>
        <w:rPr>
          <w:rFonts w:ascii="Times New Roman Bold" w:hAnsi="Times New Roman Bold"/>
          <w:b/>
          <w:kern w:val="0"/>
          <w:sz w:val="28"/>
        </w:rPr>
        <w:t xml:space="preserve">□ </w:t>
      </w:r>
      <w:r>
        <w:rPr>
          <w:kern w:val="0"/>
          <w:szCs w:val="22"/>
        </w:rPr>
        <w:t xml:space="preserve">Other </w:t>
      </w:r>
      <w:r>
        <w:rPr>
          <w:kern w:val="0"/>
        </w:rPr>
        <w:t>(select all that apply)</w:t>
      </w:r>
    </w:p>
    <w:p w:rsidR="00F97D54" w:rsidRDefault="00F97D54" w:rsidP="00EB5B97">
      <w:pPr>
        <w:numPr>
          <w:ilvl w:val="0"/>
          <w:numId w:val="31"/>
        </w:numPr>
        <w:tabs>
          <w:tab w:val="num" w:pos="720"/>
        </w:tabs>
        <w:spacing w:after="120"/>
        <w:rPr>
          <w:kern w:val="0"/>
        </w:rPr>
      </w:pPr>
      <w:r>
        <w:rPr>
          <w:kern w:val="0"/>
        </w:rPr>
        <w:t xml:space="preserve">In what geographic areas is this plan available, </w:t>
      </w:r>
      <w:r>
        <w:rPr>
          <w:i/>
          <w:kern w:val="0"/>
        </w:rPr>
        <w:t>e.g.</w:t>
      </w:r>
      <w:r>
        <w:rPr>
          <w:kern w:val="0"/>
        </w:rPr>
        <w:t xml:space="preserve">, nationwide or certain </w:t>
      </w:r>
      <w:r>
        <w:rPr>
          <w:i/>
          <w:kern w:val="0"/>
        </w:rPr>
        <w:t>MSAs</w:t>
      </w:r>
      <w:r>
        <w:rPr>
          <w:kern w:val="0"/>
        </w:rPr>
        <w:t xml:space="preserve">?    </w:t>
      </w:r>
    </w:p>
    <w:p w:rsidR="00F97D54" w:rsidRDefault="00F97D54" w:rsidP="00EB5B97">
      <w:pPr>
        <w:numPr>
          <w:ilvl w:val="1"/>
          <w:numId w:val="31"/>
        </w:numPr>
        <w:spacing w:after="120"/>
        <w:rPr>
          <w:kern w:val="0"/>
        </w:rPr>
      </w:pPr>
      <w:r>
        <w:rPr>
          <w:kern w:val="0"/>
        </w:rPr>
        <w:t xml:space="preserve">Is plan available in </w:t>
      </w:r>
      <w:r>
        <w:rPr>
          <w:rFonts w:ascii="Times New Roman Bold" w:hAnsi="Times New Roman Bold"/>
          <w:b/>
          <w:kern w:val="0"/>
          <w:sz w:val="28"/>
        </w:rPr>
        <w:t>□</w:t>
      </w:r>
      <w:r w:rsidRPr="0011685E">
        <w:rPr>
          <w:i/>
          <w:kern w:val="0"/>
        </w:rPr>
        <w:t>MSAs</w:t>
      </w:r>
      <w:r>
        <w:rPr>
          <w:kern w:val="0"/>
        </w:rPr>
        <w:t xml:space="preserve">, </w:t>
      </w:r>
      <w:r>
        <w:rPr>
          <w:rFonts w:ascii="Times New Roman Bold" w:hAnsi="Times New Roman Bold"/>
          <w:b/>
          <w:kern w:val="0"/>
          <w:sz w:val="28"/>
        </w:rPr>
        <w:t>□</w:t>
      </w:r>
      <w:r w:rsidRPr="0011685E">
        <w:rPr>
          <w:i/>
          <w:kern w:val="0"/>
        </w:rPr>
        <w:t>Non-MSAs</w:t>
      </w:r>
      <w:r>
        <w:rPr>
          <w:kern w:val="0"/>
        </w:rPr>
        <w:t xml:space="preserve">, or </w:t>
      </w:r>
      <w:r>
        <w:rPr>
          <w:rFonts w:ascii="Times New Roman Bold" w:hAnsi="Times New Roman Bold"/>
          <w:b/>
          <w:kern w:val="0"/>
          <w:sz w:val="28"/>
        </w:rPr>
        <w:t xml:space="preserve">□ </w:t>
      </w:r>
      <w:r>
        <w:rPr>
          <w:kern w:val="0"/>
        </w:rPr>
        <w:t>both types of areas?</w:t>
      </w:r>
    </w:p>
    <w:p w:rsidR="00F97D54" w:rsidRDefault="00F97D54" w:rsidP="00EB5B97">
      <w:pPr>
        <w:numPr>
          <w:ilvl w:val="1"/>
          <w:numId w:val="31"/>
        </w:numPr>
        <w:spacing w:after="120"/>
        <w:rPr>
          <w:kern w:val="0"/>
        </w:rPr>
      </w:pPr>
      <w:r>
        <w:rPr>
          <w:kern w:val="0"/>
        </w:rPr>
        <w:t xml:space="preserve">If plan is available in </w:t>
      </w:r>
      <w:r w:rsidRPr="0011685E">
        <w:rPr>
          <w:i/>
          <w:kern w:val="0"/>
        </w:rPr>
        <w:t>Non-MSAs</w:t>
      </w:r>
      <w:r>
        <w:rPr>
          <w:kern w:val="0"/>
        </w:rPr>
        <w:t xml:space="preserve">, indicate the states where the </w:t>
      </w:r>
      <w:r w:rsidRPr="0011685E">
        <w:rPr>
          <w:i/>
          <w:kern w:val="0"/>
        </w:rPr>
        <w:t>Non-MSA</w:t>
      </w:r>
      <w:r>
        <w:rPr>
          <w:kern w:val="0"/>
        </w:rPr>
        <w:t xml:space="preserve"> areas are located?</w:t>
      </w:r>
    </w:p>
    <w:p w:rsidR="00F97D54" w:rsidRDefault="00F97D54" w:rsidP="00EB5B97">
      <w:pPr>
        <w:numPr>
          <w:ilvl w:val="0"/>
          <w:numId w:val="31"/>
        </w:numPr>
        <w:tabs>
          <w:tab w:val="num" w:pos="720"/>
        </w:tabs>
        <w:rPr>
          <w:kern w:val="0"/>
        </w:rPr>
      </w:pPr>
      <w:r>
        <w:rPr>
          <w:kern w:val="0"/>
        </w:rPr>
        <w:t xml:space="preserve">To receive a discount or </w:t>
      </w:r>
      <w:r>
        <w:rPr>
          <w:i/>
          <w:kern w:val="0"/>
        </w:rPr>
        <w:t xml:space="preserve">Non-Rate Benefit </w:t>
      </w:r>
      <w:r>
        <w:rPr>
          <w:kern w:val="0"/>
        </w:rPr>
        <w:t xml:space="preserve">under this plan, must the customer make a </w:t>
      </w:r>
      <w:r>
        <w:rPr>
          <w:i/>
          <w:kern w:val="0"/>
        </w:rPr>
        <w:t>Prior Purchase-Based Commitment</w:t>
      </w:r>
      <w:r>
        <w:rPr>
          <w:kern w:val="0"/>
        </w:rPr>
        <w:t xml:space="preserve">?  </w:t>
      </w:r>
    </w:p>
    <w:p w:rsidR="00F97D54" w:rsidRDefault="00F97D54" w:rsidP="00EB5B97">
      <w:pPr>
        <w:tabs>
          <w:tab w:val="num" w:pos="720"/>
        </w:tabs>
        <w:spacing w:after="120"/>
        <w:ind w:left="720" w:firstLine="720"/>
        <w:rPr>
          <w:kern w:val="0"/>
          <w:sz w:val="24"/>
        </w:rPr>
      </w:pPr>
      <w:r>
        <w:rPr>
          <w:rFonts w:ascii="Times New Roman Bold" w:hAnsi="Times New Roman Bold"/>
          <w:b/>
          <w:kern w:val="0"/>
          <w:sz w:val="28"/>
        </w:rPr>
        <w:t xml:space="preserve">□  </w:t>
      </w:r>
      <w:r>
        <w:rPr>
          <w:kern w:val="0"/>
          <w:szCs w:val="22"/>
        </w:rPr>
        <w:t>Yes</w:t>
      </w:r>
      <w:r>
        <w:rPr>
          <w:kern w:val="0"/>
          <w:sz w:val="24"/>
        </w:rPr>
        <w:t xml:space="preserve">  </w:t>
      </w:r>
      <w:r>
        <w:rPr>
          <w:rFonts w:ascii="Times New Roman Bold" w:hAnsi="Times New Roman Bold"/>
          <w:b/>
          <w:kern w:val="0"/>
          <w:sz w:val="28"/>
        </w:rPr>
        <w:t xml:space="preserve">□  </w:t>
      </w:r>
      <w:r>
        <w:rPr>
          <w:kern w:val="0"/>
          <w:szCs w:val="22"/>
        </w:rPr>
        <w:t>No</w:t>
      </w:r>
    </w:p>
    <w:p w:rsidR="00F97D54" w:rsidRDefault="00F97D54" w:rsidP="00EB5B97">
      <w:pPr>
        <w:numPr>
          <w:ilvl w:val="0"/>
          <w:numId w:val="57"/>
        </w:numPr>
        <w:rPr>
          <w:kern w:val="0"/>
        </w:rPr>
      </w:pPr>
      <w:r>
        <w:rPr>
          <w:kern w:val="0"/>
        </w:rPr>
        <w:t xml:space="preserve">Do purchases of </w:t>
      </w:r>
      <w:r>
        <w:rPr>
          <w:i/>
          <w:kern w:val="0"/>
        </w:rPr>
        <w:t xml:space="preserve">DS1 </w:t>
      </w:r>
      <w:r>
        <w:rPr>
          <w:kern w:val="0"/>
        </w:rPr>
        <w:t xml:space="preserve">or </w:t>
      </w:r>
      <w:r>
        <w:rPr>
          <w:i/>
          <w:kern w:val="0"/>
        </w:rPr>
        <w:t>DS3</w:t>
      </w:r>
      <w:r>
        <w:rPr>
          <w:kern w:val="0"/>
        </w:rPr>
        <w:t xml:space="preserve"> services in areas outside of the study area(s) where you are subject to price cap regulation (</w:t>
      </w:r>
      <w:r>
        <w:rPr>
          <w:i/>
          <w:kern w:val="0"/>
        </w:rPr>
        <w:t>e.g.</w:t>
      </w:r>
      <w:r>
        <w:rPr>
          <w:kern w:val="0"/>
        </w:rPr>
        <w:t xml:space="preserve">, purchases from an </w:t>
      </w:r>
      <w:r>
        <w:rPr>
          <w:i/>
          <w:kern w:val="0"/>
        </w:rPr>
        <w:t>Affiliated Company</w:t>
      </w:r>
      <w:r>
        <w:rPr>
          <w:kern w:val="0"/>
        </w:rPr>
        <w:t xml:space="preserve"> that is a CLEC) count towards meeting any </w:t>
      </w:r>
      <w:r>
        <w:rPr>
          <w:i/>
          <w:kern w:val="0"/>
        </w:rPr>
        <w:t>Volume Commitment</w:t>
      </w:r>
      <w:r>
        <w:rPr>
          <w:kern w:val="0"/>
        </w:rPr>
        <w:t xml:space="preserve"> to receive a discount or </w:t>
      </w:r>
      <w:r>
        <w:rPr>
          <w:i/>
          <w:kern w:val="0"/>
        </w:rPr>
        <w:t>Non-Rate Benefit</w:t>
      </w:r>
      <w:r>
        <w:rPr>
          <w:kern w:val="0"/>
        </w:rPr>
        <w:t xml:space="preserve"> under this plan?  </w:t>
      </w:r>
    </w:p>
    <w:p w:rsidR="00F97D54" w:rsidRDefault="00F97D54">
      <w:pPr>
        <w:spacing w:after="120"/>
        <w:ind w:left="720" w:firstLine="720"/>
        <w:rPr>
          <w:kern w:val="0"/>
          <w:szCs w:val="22"/>
        </w:rPr>
      </w:pPr>
      <w:r>
        <w:rPr>
          <w:rFonts w:ascii="Times New Roman Bold" w:hAnsi="Times New Roman Bold"/>
          <w:b/>
          <w:kern w:val="0"/>
          <w:sz w:val="28"/>
        </w:rPr>
        <w:t xml:space="preserve">□  </w:t>
      </w:r>
      <w:r>
        <w:rPr>
          <w:kern w:val="0"/>
          <w:szCs w:val="22"/>
        </w:rPr>
        <w:t>Yes</w:t>
      </w:r>
      <w:r>
        <w:rPr>
          <w:kern w:val="0"/>
          <w:sz w:val="24"/>
        </w:rPr>
        <w:t xml:space="preserve">  </w:t>
      </w:r>
      <w:r>
        <w:rPr>
          <w:rFonts w:ascii="Times New Roman Bold" w:hAnsi="Times New Roman Bold"/>
          <w:b/>
          <w:kern w:val="0"/>
          <w:sz w:val="28"/>
        </w:rPr>
        <w:t xml:space="preserve">□  </w:t>
      </w:r>
      <w:r>
        <w:rPr>
          <w:kern w:val="0"/>
          <w:szCs w:val="22"/>
        </w:rPr>
        <w:t xml:space="preserve">No  </w:t>
      </w:r>
      <w:r>
        <w:rPr>
          <w:rFonts w:ascii="Times New Roman Bold" w:hAnsi="Times New Roman Bold"/>
          <w:b/>
          <w:kern w:val="0"/>
          <w:sz w:val="28"/>
        </w:rPr>
        <w:t xml:space="preserve">□  </w:t>
      </w:r>
      <w:r>
        <w:rPr>
          <w:kern w:val="0"/>
          <w:szCs w:val="22"/>
        </w:rPr>
        <w:t xml:space="preserve">N/A (no </w:t>
      </w:r>
      <w:r>
        <w:rPr>
          <w:i/>
          <w:kern w:val="0"/>
          <w:szCs w:val="22"/>
        </w:rPr>
        <w:t>Volume Commitment</w:t>
      </w:r>
      <w:r>
        <w:rPr>
          <w:kern w:val="0"/>
          <w:szCs w:val="22"/>
        </w:rPr>
        <w:t>)</w:t>
      </w:r>
    </w:p>
    <w:p w:rsidR="00F97D54" w:rsidRDefault="00F97D54" w:rsidP="00EB5B97">
      <w:pPr>
        <w:numPr>
          <w:ilvl w:val="0"/>
          <w:numId w:val="77"/>
        </w:numPr>
        <w:rPr>
          <w:kern w:val="0"/>
          <w:szCs w:val="22"/>
        </w:rPr>
      </w:pPr>
      <w:r>
        <w:rPr>
          <w:kern w:val="0"/>
          <w:szCs w:val="22"/>
        </w:rPr>
        <w:t xml:space="preserve">Do </w:t>
      </w:r>
      <w:r>
        <w:rPr>
          <w:i/>
          <w:kern w:val="0"/>
          <w:szCs w:val="22"/>
        </w:rPr>
        <w:t>DS1</w:t>
      </w:r>
      <w:r>
        <w:rPr>
          <w:kern w:val="0"/>
          <w:szCs w:val="22"/>
        </w:rPr>
        <w:t xml:space="preserve"> or </w:t>
      </w:r>
      <w:r>
        <w:rPr>
          <w:i/>
          <w:kern w:val="0"/>
          <w:szCs w:val="22"/>
        </w:rPr>
        <w:t>DS3</w:t>
      </w:r>
      <w:r>
        <w:rPr>
          <w:kern w:val="0"/>
          <w:szCs w:val="22"/>
        </w:rPr>
        <w:t xml:space="preserve"> purchases in areas where you are subject to price cap regulation and where pricing flexibility has not been granted count towards meeting any </w:t>
      </w:r>
      <w:r>
        <w:rPr>
          <w:i/>
          <w:kern w:val="0"/>
          <w:szCs w:val="22"/>
        </w:rPr>
        <w:t>Volume Commitment</w:t>
      </w:r>
      <w:r>
        <w:rPr>
          <w:kern w:val="0"/>
          <w:szCs w:val="22"/>
        </w:rPr>
        <w:t xml:space="preserve"> to receive a discount or </w:t>
      </w:r>
      <w:r>
        <w:rPr>
          <w:i/>
          <w:kern w:val="0"/>
          <w:szCs w:val="22"/>
        </w:rPr>
        <w:t>Non-Rate Benefit</w:t>
      </w:r>
      <w:r>
        <w:rPr>
          <w:kern w:val="0"/>
          <w:szCs w:val="22"/>
        </w:rPr>
        <w:t xml:space="preserve"> under this plan?</w:t>
      </w:r>
    </w:p>
    <w:p w:rsidR="00F97D54" w:rsidRDefault="00F97D54">
      <w:pPr>
        <w:spacing w:after="120"/>
        <w:ind w:left="1440"/>
        <w:rPr>
          <w:kern w:val="0"/>
          <w:szCs w:val="22"/>
        </w:rPr>
      </w:pPr>
      <w:r>
        <w:rPr>
          <w:rFonts w:ascii="Times New Roman Bold" w:hAnsi="Times New Roman Bold"/>
          <w:b/>
          <w:kern w:val="0"/>
          <w:sz w:val="28"/>
        </w:rPr>
        <w:t xml:space="preserve">□  </w:t>
      </w:r>
      <w:r>
        <w:rPr>
          <w:kern w:val="0"/>
          <w:szCs w:val="22"/>
        </w:rPr>
        <w:t>Yes</w:t>
      </w:r>
      <w:r>
        <w:rPr>
          <w:kern w:val="0"/>
          <w:sz w:val="24"/>
        </w:rPr>
        <w:t xml:space="preserve">  </w:t>
      </w:r>
      <w:r>
        <w:rPr>
          <w:rFonts w:ascii="Times New Roman Bold" w:hAnsi="Times New Roman Bold"/>
          <w:b/>
          <w:kern w:val="0"/>
          <w:sz w:val="28"/>
        </w:rPr>
        <w:t xml:space="preserve">□  </w:t>
      </w:r>
      <w:r>
        <w:rPr>
          <w:kern w:val="0"/>
          <w:szCs w:val="22"/>
        </w:rPr>
        <w:t xml:space="preserve">No  </w:t>
      </w:r>
      <w:r>
        <w:rPr>
          <w:rFonts w:ascii="Times New Roman Bold" w:hAnsi="Times New Roman Bold"/>
          <w:b/>
          <w:kern w:val="0"/>
          <w:sz w:val="28"/>
        </w:rPr>
        <w:t xml:space="preserve">□  </w:t>
      </w:r>
      <w:r>
        <w:rPr>
          <w:kern w:val="0"/>
          <w:szCs w:val="22"/>
        </w:rPr>
        <w:t xml:space="preserve">N/A (no </w:t>
      </w:r>
      <w:r>
        <w:rPr>
          <w:i/>
          <w:kern w:val="0"/>
          <w:szCs w:val="22"/>
        </w:rPr>
        <w:t>Volume Commitment</w:t>
      </w:r>
      <w:r>
        <w:rPr>
          <w:kern w:val="0"/>
          <w:szCs w:val="22"/>
        </w:rPr>
        <w:t>)</w:t>
      </w:r>
    </w:p>
    <w:p w:rsidR="00F97D54" w:rsidRDefault="00F97D54" w:rsidP="00EB5B97">
      <w:pPr>
        <w:numPr>
          <w:ilvl w:val="0"/>
          <w:numId w:val="77"/>
        </w:numPr>
        <w:rPr>
          <w:kern w:val="0"/>
          <w:szCs w:val="22"/>
        </w:rPr>
      </w:pPr>
      <w:r>
        <w:rPr>
          <w:kern w:val="0"/>
          <w:szCs w:val="22"/>
        </w:rPr>
        <w:t xml:space="preserve">Do </w:t>
      </w:r>
      <w:r>
        <w:rPr>
          <w:i/>
          <w:kern w:val="0"/>
          <w:szCs w:val="22"/>
        </w:rPr>
        <w:t>DS1</w:t>
      </w:r>
      <w:r>
        <w:rPr>
          <w:kern w:val="0"/>
          <w:szCs w:val="22"/>
        </w:rPr>
        <w:t xml:space="preserve"> or </w:t>
      </w:r>
      <w:r>
        <w:rPr>
          <w:i/>
          <w:kern w:val="0"/>
          <w:szCs w:val="22"/>
        </w:rPr>
        <w:t>DS3</w:t>
      </w:r>
      <w:r>
        <w:rPr>
          <w:kern w:val="0"/>
          <w:szCs w:val="22"/>
        </w:rPr>
        <w:t xml:space="preserve"> purchases in areas where you have been granted </w:t>
      </w:r>
      <w:r w:rsidRPr="00692416">
        <w:rPr>
          <w:i/>
          <w:kern w:val="0"/>
          <w:szCs w:val="22"/>
        </w:rPr>
        <w:t>Phase I Pricing Flexibility</w:t>
      </w:r>
      <w:r>
        <w:rPr>
          <w:kern w:val="0"/>
          <w:szCs w:val="22"/>
        </w:rPr>
        <w:t xml:space="preserve"> count towards meeting any </w:t>
      </w:r>
      <w:r>
        <w:rPr>
          <w:i/>
          <w:kern w:val="0"/>
          <w:szCs w:val="22"/>
        </w:rPr>
        <w:t>Volume Commitment</w:t>
      </w:r>
      <w:r>
        <w:rPr>
          <w:kern w:val="0"/>
          <w:szCs w:val="22"/>
        </w:rPr>
        <w:t xml:space="preserve"> to receive a discount or </w:t>
      </w:r>
      <w:r>
        <w:rPr>
          <w:i/>
          <w:kern w:val="0"/>
          <w:szCs w:val="22"/>
        </w:rPr>
        <w:t>Non-Rate Benefit</w:t>
      </w:r>
      <w:r>
        <w:rPr>
          <w:kern w:val="0"/>
          <w:szCs w:val="22"/>
        </w:rPr>
        <w:t xml:space="preserve"> under this plan?</w:t>
      </w:r>
    </w:p>
    <w:p w:rsidR="00F97D54" w:rsidRDefault="00F97D54" w:rsidP="00EB5B97">
      <w:pPr>
        <w:ind w:left="1440"/>
        <w:rPr>
          <w:kern w:val="0"/>
        </w:rPr>
      </w:pPr>
      <w:r>
        <w:rPr>
          <w:rFonts w:ascii="Times New Roman Bold" w:hAnsi="Times New Roman Bold"/>
          <w:b/>
          <w:kern w:val="0"/>
          <w:sz w:val="28"/>
        </w:rPr>
        <w:t xml:space="preserve">□  </w:t>
      </w:r>
      <w:r>
        <w:rPr>
          <w:kern w:val="0"/>
          <w:szCs w:val="22"/>
        </w:rPr>
        <w:t>Yes</w:t>
      </w:r>
      <w:r>
        <w:rPr>
          <w:kern w:val="0"/>
          <w:sz w:val="24"/>
        </w:rPr>
        <w:t xml:space="preserve">  </w:t>
      </w:r>
      <w:r>
        <w:rPr>
          <w:rFonts w:ascii="Times New Roman Bold" w:hAnsi="Times New Roman Bold"/>
          <w:b/>
          <w:kern w:val="0"/>
          <w:sz w:val="28"/>
        </w:rPr>
        <w:t xml:space="preserve">□  </w:t>
      </w:r>
      <w:r>
        <w:rPr>
          <w:kern w:val="0"/>
          <w:szCs w:val="22"/>
        </w:rPr>
        <w:t xml:space="preserve">No  </w:t>
      </w:r>
      <w:r>
        <w:rPr>
          <w:rFonts w:ascii="Times New Roman Bold" w:hAnsi="Times New Roman Bold"/>
          <w:b/>
          <w:kern w:val="0"/>
          <w:sz w:val="28"/>
        </w:rPr>
        <w:t xml:space="preserve">□  </w:t>
      </w:r>
      <w:r>
        <w:rPr>
          <w:kern w:val="0"/>
          <w:szCs w:val="22"/>
        </w:rPr>
        <w:t xml:space="preserve">N/A (no </w:t>
      </w:r>
      <w:r>
        <w:rPr>
          <w:i/>
          <w:kern w:val="0"/>
          <w:szCs w:val="22"/>
        </w:rPr>
        <w:t>Volume Commitment</w:t>
      </w:r>
      <w:r>
        <w:rPr>
          <w:kern w:val="0"/>
          <w:szCs w:val="22"/>
        </w:rPr>
        <w:t>)</w:t>
      </w:r>
    </w:p>
    <w:p w:rsidR="00F97D54" w:rsidRDefault="00F97D54" w:rsidP="00EB5B97">
      <w:pPr>
        <w:numPr>
          <w:ilvl w:val="0"/>
          <w:numId w:val="77"/>
        </w:numPr>
        <w:rPr>
          <w:kern w:val="0"/>
          <w:szCs w:val="22"/>
        </w:rPr>
      </w:pPr>
      <w:r>
        <w:rPr>
          <w:kern w:val="0"/>
          <w:szCs w:val="22"/>
        </w:rPr>
        <w:t xml:space="preserve">Do </w:t>
      </w:r>
      <w:r>
        <w:rPr>
          <w:i/>
          <w:kern w:val="0"/>
          <w:szCs w:val="22"/>
        </w:rPr>
        <w:t>DS1</w:t>
      </w:r>
      <w:r>
        <w:rPr>
          <w:kern w:val="0"/>
          <w:szCs w:val="22"/>
        </w:rPr>
        <w:t xml:space="preserve"> or </w:t>
      </w:r>
      <w:r>
        <w:rPr>
          <w:i/>
          <w:kern w:val="0"/>
          <w:szCs w:val="22"/>
        </w:rPr>
        <w:t>DS3</w:t>
      </w:r>
      <w:r>
        <w:rPr>
          <w:kern w:val="0"/>
          <w:szCs w:val="22"/>
        </w:rPr>
        <w:t xml:space="preserve"> purchases in areas where you have been granted </w:t>
      </w:r>
      <w:r w:rsidRPr="00692416">
        <w:rPr>
          <w:i/>
          <w:kern w:val="0"/>
          <w:szCs w:val="22"/>
        </w:rPr>
        <w:t>Phase II Pricing Flexibility</w:t>
      </w:r>
      <w:r>
        <w:rPr>
          <w:kern w:val="0"/>
          <w:szCs w:val="22"/>
        </w:rPr>
        <w:t xml:space="preserve"> count towards meeting any </w:t>
      </w:r>
      <w:r>
        <w:rPr>
          <w:i/>
          <w:kern w:val="0"/>
          <w:szCs w:val="22"/>
        </w:rPr>
        <w:t>Volume Commitment</w:t>
      </w:r>
      <w:r>
        <w:rPr>
          <w:kern w:val="0"/>
          <w:szCs w:val="22"/>
        </w:rPr>
        <w:t xml:space="preserve"> to receive a discount or </w:t>
      </w:r>
      <w:r>
        <w:rPr>
          <w:i/>
          <w:kern w:val="0"/>
          <w:szCs w:val="22"/>
        </w:rPr>
        <w:t>Non-Rate Benefit</w:t>
      </w:r>
      <w:r>
        <w:rPr>
          <w:kern w:val="0"/>
          <w:szCs w:val="22"/>
        </w:rPr>
        <w:t xml:space="preserve"> under this plan?</w:t>
      </w:r>
    </w:p>
    <w:p w:rsidR="00F97D54" w:rsidRPr="00692416" w:rsidRDefault="00F97D54" w:rsidP="00EB5B97">
      <w:pPr>
        <w:spacing w:after="120"/>
        <w:ind w:left="1440"/>
        <w:rPr>
          <w:kern w:val="0"/>
        </w:rPr>
      </w:pPr>
      <w:r>
        <w:rPr>
          <w:rFonts w:ascii="Times New Roman Bold" w:hAnsi="Times New Roman Bold"/>
          <w:b/>
          <w:kern w:val="0"/>
          <w:sz w:val="28"/>
        </w:rPr>
        <w:t xml:space="preserve">□  </w:t>
      </w:r>
      <w:r>
        <w:rPr>
          <w:kern w:val="0"/>
          <w:szCs w:val="22"/>
        </w:rPr>
        <w:t>Yes</w:t>
      </w:r>
      <w:r>
        <w:rPr>
          <w:kern w:val="0"/>
          <w:sz w:val="24"/>
        </w:rPr>
        <w:t xml:space="preserve">  </w:t>
      </w:r>
      <w:r>
        <w:rPr>
          <w:rFonts w:ascii="Times New Roman Bold" w:hAnsi="Times New Roman Bold"/>
          <w:b/>
          <w:kern w:val="0"/>
          <w:sz w:val="28"/>
        </w:rPr>
        <w:t xml:space="preserve">□  </w:t>
      </w:r>
      <w:r>
        <w:rPr>
          <w:kern w:val="0"/>
          <w:szCs w:val="22"/>
        </w:rPr>
        <w:t xml:space="preserve">No  </w:t>
      </w:r>
      <w:r>
        <w:rPr>
          <w:rFonts w:ascii="Times New Roman Bold" w:hAnsi="Times New Roman Bold"/>
          <w:b/>
          <w:kern w:val="0"/>
          <w:sz w:val="28"/>
        </w:rPr>
        <w:t xml:space="preserve">□  </w:t>
      </w:r>
      <w:r>
        <w:rPr>
          <w:kern w:val="0"/>
          <w:szCs w:val="22"/>
        </w:rPr>
        <w:t xml:space="preserve">N/A (no </w:t>
      </w:r>
      <w:r>
        <w:rPr>
          <w:i/>
          <w:kern w:val="0"/>
          <w:szCs w:val="22"/>
        </w:rPr>
        <w:t>Volume Commitment</w:t>
      </w:r>
      <w:r>
        <w:rPr>
          <w:kern w:val="0"/>
          <w:szCs w:val="22"/>
        </w:rPr>
        <w:t>)</w:t>
      </w:r>
    </w:p>
    <w:p w:rsidR="00F97D54" w:rsidRDefault="00F97D54" w:rsidP="00EB5B97">
      <w:pPr>
        <w:numPr>
          <w:ilvl w:val="0"/>
          <w:numId w:val="77"/>
        </w:numPr>
        <w:rPr>
          <w:kern w:val="0"/>
        </w:rPr>
      </w:pPr>
      <w:r>
        <w:rPr>
          <w:kern w:val="0"/>
        </w:rPr>
        <w:t xml:space="preserve">Do non-tariffed </w:t>
      </w:r>
      <w:r>
        <w:rPr>
          <w:i/>
          <w:kern w:val="0"/>
        </w:rPr>
        <w:t>PBDS</w:t>
      </w:r>
      <w:r>
        <w:rPr>
          <w:kern w:val="0"/>
        </w:rPr>
        <w:t xml:space="preserve"> purchases by the customer count towards meeting any </w:t>
      </w:r>
      <w:r>
        <w:rPr>
          <w:i/>
          <w:kern w:val="0"/>
        </w:rPr>
        <w:t>Volume Commitment</w:t>
      </w:r>
      <w:r>
        <w:rPr>
          <w:kern w:val="0"/>
        </w:rPr>
        <w:t xml:space="preserve"> to receive a discount or </w:t>
      </w:r>
      <w:r>
        <w:rPr>
          <w:i/>
          <w:kern w:val="0"/>
        </w:rPr>
        <w:t>Non-Rate Benefit</w:t>
      </w:r>
      <w:r>
        <w:rPr>
          <w:kern w:val="0"/>
        </w:rPr>
        <w:t xml:space="preserve"> under this plan?</w:t>
      </w:r>
    </w:p>
    <w:p w:rsidR="00F97D54" w:rsidRDefault="00F97D54">
      <w:pPr>
        <w:spacing w:after="120"/>
        <w:ind w:left="1440"/>
        <w:rPr>
          <w:kern w:val="0"/>
        </w:rPr>
      </w:pPr>
      <w:r>
        <w:rPr>
          <w:rFonts w:ascii="Times New Roman Bold" w:hAnsi="Times New Roman Bold"/>
          <w:b/>
          <w:kern w:val="0"/>
          <w:sz w:val="28"/>
        </w:rPr>
        <w:t xml:space="preserve">□  </w:t>
      </w:r>
      <w:r>
        <w:rPr>
          <w:kern w:val="0"/>
          <w:szCs w:val="22"/>
        </w:rPr>
        <w:t xml:space="preserve">Yes </w:t>
      </w:r>
      <w:r>
        <w:rPr>
          <w:rFonts w:ascii="Times New Roman Bold" w:hAnsi="Times New Roman Bold"/>
          <w:b/>
          <w:kern w:val="0"/>
          <w:sz w:val="28"/>
        </w:rPr>
        <w:t xml:space="preserve">□  </w:t>
      </w:r>
      <w:r>
        <w:rPr>
          <w:kern w:val="0"/>
          <w:szCs w:val="22"/>
        </w:rPr>
        <w:t xml:space="preserve">No </w:t>
      </w:r>
      <w:r>
        <w:rPr>
          <w:rFonts w:ascii="Times New Roman Bold" w:hAnsi="Times New Roman Bold"/>
          <w:b/>
          <w:kern w:val="0"/>
          <w:sz w:val="28"/>
        </w:rPr>
        <w:t xml:space="preserve">□  </w:t>
      </w:r>
      <w:r>
        <w:rPr>
          <w:kern w:val="0"/>
          <w:szCs w:val="22"/>
        </w:rPr>
        <w:t xml:space="preserve">N/A (no </w:t>
      </w:r>
      <w:r>
        <w:rPr>
          <w:i/>
          <w:kern w:val="0"/>
          <w:szCs w:val="22"/>
        </w:rPr>
        <w:t>Volume Commitment</w:t>
      </w:r>
      <w:r>
        <w:rPr>
          <w:kern w:val="0"/>
          <w:szCs w:val="22"/>
        </w:rPr>
        <w:t>)</w:t>
      </w:r>
    </w:p>
    <w:p w:rsidR="00F97D54" w:rsidRDefault="00F97D54" w:rsidP="00EB5B97">
      <w:pPr>
        <w:numPr>
          <w:ilvl w:val="0"/>
          <w:numId w:val="77"/>
        </w:numPr>
        <w:rPr>
          <w:kern w:val="0"/>
        </w:rPr>
      </w:pPr>
      <w:r>
        <w:rPr>
          <w:kern w:val="0"/>
        </w:rPr>
        <w:t xml:space="preserve">Do tariffed </w:t>
      </w:r>
      <w:r>
        <w:rPr>
          <w:i/>
          <w:kern w:val="0"/>
        </w:rPr>
        <w:t>PBDS</w:t>
      </w:r>
      <w:r>
        <w:rPr>
          <w:kern w:val="0"/>
        </w:rPr>
        <w:t xml:space="preserve"> purchases by the customer count towards meeting any </w:t>
      </w:r>
      <w:r>
        <w:rPr>
          <w:i/>
          <w:kern w:val="0"/>
        </w:rPr>
        <w:t>Volume Commitment</w:t>
      </w:r>
      <w:r>
        <w:rPr>
          <w:kern w:val="0"/>
        </w:rPr>
        <w:t xml:space="preserve"> to receive a discount or </w:t>
      </w:r>
      <w:r>
        <w:rPr>
          <w:i/>
          <w:kern w:val="0"/>
        </w:rPr>
        <w:t>Non-Rate Benefit</w:t>
      </w:r>
      <w:r>
        <w:rPr>
          <w:kern w:val="0"/>
        </w:rPr>
        <w:t xml:space="preserve"> under this plan?</w:t>
      </w:r>
    </w:p>
    <w:p w:rsidR="00F97D54" w:rsidRDefault="00F97D54" w:rsidP="00EB5B97">
      <w:pPr>
        <w:spacing w:after="120"/>
        <w:ind w:left="1440"/>
        <w:rPr>
          <w:kern w:val="0"/>
          <w:szCs w:val="22"/>
        </w:rPr>
      </w:pPr>
      <w:r>
        <w:rPr>
          <w:rFonts w:ascii="Times New Roman Bold" w:hAnsi="Times New Roman Bold"/>
          <w:b/>
          <w:kern w:val="0"/>
          <w:sz w:val="28"/>
        </w:rPr>
        <w:t xml:space="preserve">□  </w:t>
      </w:r>
      <w:r>
        <w:rPr>
          <w:kern w:val="0"/>
          <w:szCs w:val="22"/>
        </w:rPr>
        <w:t xml:space="preserve">Yes </w:t>
      </w:r>
      <w:r>
        <w:rPr>
          <w:rFonts w:ascii="Times New Roman Bold" w:hAnsi="Times New Roman Bold"/>
          <w:b/>
          <w:kern w:val="0"/>
          <w:sz w:val="28"/>
        </w:rPr>
        <w:t xml:space="preserve">□  </w:t>
      </w:r>
      <w:r>
        <w:rPr>
          <w:kern w:val="0"/>
          <w:szCs w:val="22"/>
        </w:rPr>
        <w:t xml:space="preserve">No </w:t>
      </w:r>
      <w:r>
        <w:rPr>
          <w:rFonts w:ascii="Times New Roman Bold" w:hAnsi="Times New Roman Bold"/>
          <w:b/>
          <w:kern w:val="0"/>
          <w:sz w:val="28"/>
        </w:rPr>
        <w:t xml:space="preserve">□  </w:t>
      </w:r>
      <w:r>
        <w:rPr>
          <w:kern w:val="0"/>
          <w:szCs w:val="22"/>
        </w:rPr>
        <w:t xml:space="preserve">N/A (no </w:t>
      </w:r>
      <w:r>
        <w:rPr>
          <w:i/>
          <w:kern w:val="0"/>
          <w:szCs w:val="22"/>
        </w:rPr>
        <w:t>Volume Commitment</w:t>
      </w:r>
      <w:r>
        <w:rPr>
          <w:kern w:val="0"/>
          <w:szCs w:val="22"/>
        </w:rPr>
        <w:t>)</w:t>
      </w:r>
    </w:p>
    <w:p w:rsidR="00F97D54" w:rsidRDefault="00F97D54" w:rsidP="00EB5B97">
      <w:pPr>
        <w:numPr>
          <w:ilvl w:val="0"/>
          <w:numId w:val="77"/>
        </w:numPr>
        <w:rPr>
          <w:kern w:val="0"/>
          <w:szCs w:val="22"/>
        </w:rPr>
      </w:pPr>
      <w:r>
        <w:rPr>
          <w:kern w:val="0"/>
        </w:rPr>
        <w:t xml:space="preserve">Do purchases by the customer for services other than </w:t>
      </w:r>
      <w:r>
        <w:rPr>
          <w:i/>
          <w:kern w:val="0"/>
        </w:rPr>
        <w:t>DS1s, DS3s,</w:t>
      </w:r>
      <w:r>
        <w:rPr>
          <w:kern w:val="0"/>
        </w:rPr>
        <w:t xml:space="preserve"> and </w:t>
      </w:r>
      <w:r>
        <w:rPr>
          <w:i/>
          <w:kern w:val="0"/>
        </w:rPr>
        <w:t>PBDS</w:t>
      </w:r>
      <w:r>
        <w:rPr>
          <w:kern w:val="0"/>
        </w:rPr>
        <w:t xml:space="preserve"> count towards meeting any </w:t>
      </w:r>
      <w:r>
        <w:rPr>
          <w:i/>
          <w:kern w:val="0"/>
        </w:rPr>
        <w:t>Volume Commitment</w:t>
      </w:r>
      <w:r>
        <w:rPr>
          <w:kern w:val="0"/>
        </w:rPr>
        <w:t xml:space="preserve"> to receive a discount or </w:t>
      </w:r>
      <w:r>
        <w:rPr>
          <w:i/>
          <w:kern w:val="0"/>
        </w:rPr>
        <w:t>Non-Rate Benefit</w:t>
      </w:r>
      <w:r>
        <w:rPr>
          <w:kern w:val="0"/>
        </w:rPr>
        <w:t xml:space="preserve"> under this plan?</w:t>
      </w:r>
    </w:p>
    <w:p w:rsidR="00F97D54" w:rsidRDefault="00F97D54">
      <w:pPr>
        <w:spacing w:after="120"/>
        <w:ind w:left="1440"/>
        <w:rPr>
          <w:kern w:val="0"/>
          <w:szCs w:val="22"/>
        </w:rPr>
      </w:pPr>
      <w:r>
        <w:rPr>
          <w:rFonts w:ascii="Times New Roman Bold" w:hAnsi="Times New Roman Bold"/>
          <w:b/>
          <w:kern w:val="0"/>
          <w:sz w:val="28"/>
        </w:rPr>
        <w:t xml:space="preserve">□  </w:t>
      </w:r>
      <w:r>
        <w:rPr>
          <w:kern w:val="0"/>
          <w:szCs w:val="22"/>
        </w:rPr>
        <w:t xml:space="preserve">Yes </w:t>
      </w:r>
      <w:r>
        <w:rPr>
          <w:rFonts w:ascii="Times New Roman Bold" w:hAnsi="Times New Roman Bold"/>
          <w:b/>
          <w:kern w:val="0"/>
          <w:sz w:val="28"/>
        </w:rPr>
        <w:t xml:space="preserve">□  </w:t>
      </w:r>
      <w:r>
        <w:rPr>
          <w:kern w:val="0"/>
          <w:szCs w:val="22"/>
        </w:rPr>
        <w:t xml:space="preserve">No </w:t>
      </w:r>
      <w:r>
        <w:rPr>
          <w:rFonts w:ascii="Times New Roman Bold" w:hAnsi="Times New Roman Bold"/>
          <w:b/>
          <w:kern w:val="0"/>
          <w:sz w:val="28"/>
        </w:rPr>
        <w:t xml:space="preserve">□  </w:t>
      </w:r>
      <w:r>
        <w:rPr>
          <w:kern w:val="0"/>
          <w:szCs w:val="22"/>
        </w:rPr>
        <w:t xml:space="preserve">N/A (no </w:t>
      </w:r>
      <w:r>
        <w:rPr>
          <w:i/>
          <w:kern w:val="0"/>
          <w:szCs w:val="22"/>
        </w:rPr>
        <w:t>Volume Commitment</w:t>
      </w:r>
      <w:r>
        <w:rPr>
          <w:kern w:val="0"/>
          <w:szCs w:val="22"/>
        </w:rPr>
        <w:t>)</w:t>
      </w:r>
    </w:p>
    <w:p w:rsidR="00F97D54" w:rsidRDefault="00F97D54" w:rsidP="00724B61">
      <w:pPr>
        <w:widowControl/>
        <w:numPr>
          <w:ilvl w:val="0"/>
          <w:numId w:val="77"/>
        </w:numPr>
        <w:rPr>
          <w:kern w:val="0"/>
          <w:szCs w:val="22"/>
        </w:rPr>
      </w:pPr>
      <w:r>
        <w:rPr>
          <w:kern w:val="0"/>
        </w:rPr>
        <w:t xml:space="preserve">Is the discount or </w:t>
      </w:r>
      <w:r>
        <w:rPr>
          <w:i/>
          <w:kern w:val="0"/>
        </w:rPr>
        <w:t>Non-Rate Benefit</w:t>
      </w:r>
      <w:r>
        <w:rPr>
          <w:kern w:val="0"/>
        </w:rPr>
        <w:t xml:space="preserve"> available under this plan conditioned on the customer limiting its purchase of </w:t>
      </w:r>
      <w:r>
        <w:rPr>
          <w:i/>
          <w:kern w:val="0"/>
        </w:rPr>
        <w:t>UNEs</w:t>
      </w:r>
      <w:r>
        <w:rPr>
          <w:kern w:val="0"/>
        </w:rPr>
        <w:t xml:space="preserve">, </w:t>
      </w:r>
      <w:r>
        <w:rPr>
          <w:i/>
          <w:kern w:val="0"/>
        </w:rPr>
        <w:t>e.g.</w:t>
      </w:r>
      <w:r>
        <w:rPr>
          <w:kern w:val="0"/>
        </w:rPr>
        <w:t xml:space="preserve">, customer must keep its purchase of </w:t>
      </w:r>
      <w:r>
        <w:rPr>
          <w:i/>
          <w:kern w:val="0"/>
        </w:rPr>
        <w:t>UNEs</w:t>
      </w:r>
      <w:r>
        <w:rPr>
          <w:kern w:val="0"/>
        </w:rPr>
        <w:t xml:space="preserve"> below a certain percentage of the customer’s total spend?  </w:t>
      </w:r>
    </w:p>
    <w:p w:rsidR="00F97D54" w:rsidRDefault="00F97D54">
      <w:pPr>
        <w:spacing w:after="120"/>
        <w:ind w:left="1440"/>
        <w:rPr>
          <w:kern w:val="0"/>
          <w:szCs w:val="22"/>
        </w:rPr>
      </w:pPr>
      <w:r>
        <w:rPr>
          <w:rFonts w:ascii="Times New Roman Bold" w:hAnsi="Times New Roman Bold"/>
          <w:b/>
          <w:kern w:val="0"/>
          <w:sz w:val="28"/>
        </w:rPr>
        <w:t xml:space="preserve">□  </w:t>
      </w:r>
      <w:r>
        <w:rPr>
          <w:kern w:val="0"/>
          <w:szCs w:val="22"/>
        </w:rPr>
        <w:t xml:space="preserve">Yes </w:t>
      </w:r>
      <w:r>
        <w:rPr>
          <w:rFonts w:ascii="Times New Roman Bold" w:hAnsi="Times New Roman Bold"/>
          <w:b/>
          <w:kern w:val="0"/>
          <w:sz w:val="28"/>
        </w:rPr>
        <w:t xml:space="preserve">□  </w:t>
      </w:r>
      <w:r>
        <w:rPr>
          <w:kern w:val="0"/>
          <w:szCs w:val="22"/>
        </w:rPr>
        <w:t xml:space="preserve">No </w:t>
      </w:r>
    </w:p>
    <w:p w:rsidR="00F97D54" w:rsidRPr="00577167" w:rsidRDefault="00F97D54" w:rsidP="00EB5B97">
      <w:pPr>
        <w:numPr>
          <w:ilvl w:val="0"/>
          <w:numId w:val="77"/>
        </w:numPr>
        <w:spacing w:after="120"/>
        <w:rPr>
          <w:kern w:val="0"/>
        </w:rPr>
      </w:pPr>
      <w:r>
        <w:rPr>
          <w:kern w:val="0"/>
        </w:rPr>
        <w:t xml:space="preserve">What were your </w:t>
      </w:r>
      <w:r>
        <w:rPr>
          <w:i/>
          <w:kern w:val="0"/>
        </w:rPr>
        <w:t>Revenues</w:t>
      </w:r>
      <w:r>
        <w:rPr>
          <w:kern w:val="0"/>
        </w:rPr>
        <w:t xml:space="preserve"> from the provision of </w:t>
      </w:r>
      <w:r>
        <w:rPr>
          <w:i/>
          <w:kern w:val="0"/>
        </w:rPr>
        <w:t>Dedicated Service</w:t>
      </w:r>
      <w:r>
        <w:rPr>
          <w:kern w:val="0"/>
        </w:rPr>
        <w:t xml:space="preserve"> under this plan in 2010 and in 2012?   </w:t>
      </w:r>
      <w:r w:rsidRPr="00577167">
        <w:rPr>
          <w:kern w:val="0"/>
        </w:rPr>
        <w:t xml:space="preserve">  </w:t>
      </w:r>
    </w:p>
    <w:p w:rsidR="00F97D54" w:rsidRDefault="00F97D54" w:rsidP="00EB5B97">
      <w:pPr>
        <w:numPr>
          <w:ilvl w:val="0"/>
          <w:numId w:val="77"/>
        </w:numPr>
        <w:spacing w:after="120"/>
        <w:rPr>
          <w:kern w:val="0"/>
        </w:rPr>
      </w:pPr>
      <w:r>
        <w:rPr>
          <w:kern w:val="0"/>
        </w:rPr>
        <w:t xml:space="preserve">What is the business justification for any </w:t>
      </w:r>
      <w:r>
        <w:rPr>
          <w:i/>
          <w:kern w:val="0"/>
        </w:rPr>
        <w:t>Term</w:t>
      </w:r>
      <w:r>
        <w:rPr>
          <w:kern w:val="0"/>
        </w:rPr>
        <w:t xml:space="preserve"> or </w:t>
      </w:r>
      <w:r>
        <w:rPr>
          <w:i/>
          <w:kern w:val="0"/>
        </w:rPr>
        <w:t>Volume Commitments</w:t>
      </w:r>
      <w:r>
        <w:rPr>
          <w:kern w:val="0"/>
        </w:rPr>
        <w:t xml:space="preserve"> associated with this plan?  </w:t>
      </w:r>
    </w:p>
    <w:p w:rsidR="00F97D54" w:rsidRDefault="00F97D54" w:rsidP="00EB5B97">
      <w:pPr>
        <w:numPr>
          <w:ilvl w:val="0"/>
          <w:numId w:val="77"/>
        </w:numPr>
        <w:spacing w:after="120"/>
        <w:rPr>
          <w:kern w:val="0"/>
        </w:rPr>
      </w:pPr>
      <w:r>
        <w:rPr>
          <w:kern w:val="0"/>
        </w:rPr>
        <w:t xml:space="preserve">How many customers were subscribed to this plan as of December 31, 2012?  Report customer numbers in total, separately for </w:t>
      </w:r>
      <w:r>
        <w:rPr>
          <w:i/>
          <w:kern w:val="0"/>
        </w:rPr>
        <w:t>DS1</w:t>
      </w:r>
      <w:r>
        <w:rPr>
          <w:kern w:val="0"/>
        </w:rPr>
        <w:t xml:space="preserve">, </w:t>
      </w:r>
      <w:r>
        <w:rPr>
          <w:i/>
          <w:kern w:val="0"/>
        </w:rPr>
        <w:t>DS3</w:t>
      </w:r>
      <w:r>
        <w:rPr>
          <w:kern w:val="0"/>
        </w:rPr>
        <w:t xml:space="preserve">, and </w:t>
      </w:r>
      <w:r>
        <w:rPr>
          <w:i/>
          <w:kern w:val="0"/>
        </w:rPr>
        <w:t>PBDS</w:t>
      </w:r>
      <w:r>
        <w:rPr>
          <w:kern w:val="0"/>
        </w:rPr>
        <w:t xml:space="preserve"> services as applicable, and separately by customer category, </w:t>
      </w:r>
      <w:r>
        <w:rPr>
          <w:i/>
          <w:kern w:val="0"/>
        </w:rPr>
        <w:t>i.e.</w:t>
      </w:r>
      <w:r>
        <w:rPr>
          <w:kern w:val="0"/>
        </w:rPr>
        <w:t xml:space="preserve">, the number of </w:t>
      </w:r>
      <w:r>
        <w:rPr>
          <w:i/>
          <w:kern w:val="0"/>
        </w:rPr>
        <w:t>DS1</w:t>
      </w:r>
      <w:r>
        <w:rPr>
          <w:kern w:val="0"/>
        </w:rPr>
        <w:t xml:space="preserve">, </w:t>
      </w:r>
      <w:r>
        <w:rPr>
          <w:i/>
          <w:kern w:val="0"/>
        </w:rPr>
        <w:t>DS3</w:t>
      </w:r>
      <w:r>
        <w:rPr>
          <w:kern w:val="0"/>
        </w:rPr>
        <w:t xml:space="preserve">, and/or </w:t>
      </w:r>
      <w:r>
        <w:rPr>
          <w:i/>
          <w:kern w:val="0"/>
        </w:rPr>
        <w:t>PBDS</w:t>
      </w:r>
      <w:r>
        <w:rPr>
          <w:kern w:val="0"/>
        </w:rPr>
        <w:t xml:space="preserve"> customers that were </w:t>
      </w:r>
      <w:r>
        <w:rPr>
          <w:i/>
          <w:kern w:val="0"/>
        </w:rPr>
        <w:t>Competitive Providers</w:t>
      </w:r>
      <w:r>
        <w:rPr>
          <w:kern w:val="0"/>
        </w:rPr>
        <w:t xml:space="preserve"> and </w:t>
      </w:r>
      <w:r>
        <w:rPr>
          <w:i/>
          <w:kern w:val="0"/>
        </w:rPr>
        <w:t>End Users</w:t>
      </w:r>
      <w:r>
        <w:rPr>
          <w:kern w:val="0"/>
        </w:rPr>
        <w:t>.</w:t>
      </w:r>
    </w:p>
    <w:p w:rsidR="00F97D54" w:rsidRDefault="00F97D54" w:rsidP="00EB5B97">
      <w:pPr>
        <w:numPr>
          <w:ilvl w:val="0"/>
          <w:numId w:val="85"/>
        </w:numPr>
        <w:spacing w:after="120"/>
        <w:rPr>
          <w:kern w:val="0"/>
        </w:rPr>
      </w:pPr>
      <w:r>
        <w:rPr>
          <w:kern w:val="0"/>
        </w:rPr>
        <w:t xml:space="preserve">If there were five or fewer customers subscribed to this plan as of December 31, 2012, indicate the number of subscribers to this plan that were new customers (as opposed to an existing or prior customer) at the time they subscribed to this plan.  </w:t>
      </w:r>
    </w:p>
    <w:p w:rsidR="00F97D54" w:rsidRDefault="00F97D54" w:rsidP="00EB5B97">
      <w:pPr>
        <w:numPr>
          <w:ilvl w:val="0"/>
          <w:numId w:val="85"/>
        </w:numPr>
        <w:spacing w:after="120"/>
        <w:rPr>
          <w:kern w:val="0"/>
        </w:rPr>
      </w:pPr>
      <w:r>
        <w:rPr>
          <w:kern w:val="0"/>
        </w:rPr>
        <w:t xml:space="preserve">For those subscribers to this plan that were existing or prior customers at the time they committed to purchasing services under this plan, explain how the purchase commitment made under this plan compares to the customer’s previous purchase commitment.  For example, indicate what percentage of the previous purchase commitment, the new purchase commitment equals.  </w:t>
      </w:r>
    </w:p>
    <w:p w:rsidR="00F97D54" w:rsidRDefault="00F97D54" w:rsidP="00EB5B97">
      <w:pPr>
        <w:numPr>
          <w:ilvl w:val="0"/>
          <w:numId w:val="77"/>
        </w:numPr>
        <w:rPr>
          <w:kern w:val="0"/>
        </w:rPr>
      </w:pPr>
      <w:r>
        <w:rPr>
          <w:kern w:val="0"/>
        </w:rPr>
        <w:t xml:space="preserve">Of those customers subscribed as of December 31, 2012, how many in 2012 failed to meet any </w:t>
      </w:r>
      <w:r>
        <w:rPr>
          <w:i/>
          <w:kern w:val="0"/>
        </w:rPr>
        <w:t>Volume Commitment</w:t>
      </w:r>
      <w:r>
        <w:rPr>
          <w:kern w:val="0"/>
        </w:rPr>
        <w:t xml:space="preserve"> or </w:t>
      </w:r>
      <w:r>
        <w:rPr>
          <w:i/>
          <w:kern w:val="0"/>
        </w:rPr>
        <w:t>Term Commitment</w:t>
      </w:r>
      <w:r>
        <w:rPr>
          <w:kern w:val="0"/>
        </w:rPr>
        <w:t xml:space="preserve"> required to retain a discount or </w:t>
      </w:r>
      <w:r>
        <w:rPr>
          <w:i/>
          <w:kern w:val="0"/>
        </w:rPr>
        <w:t>Non-Rate Benefit</w:t>
      </w:r>
      <w:r>
        <w:rPr>
          <w:kern w:val="0"/>
        </w:rPr>
        <w:t xml:space="preserve"> they originally agreed to when entering into this plan?  </w:t>
      </w:r>
    </w:p>
    <w:p w:rsidR="00F97D54" w:rsidRDefault="00F97D54">
      <w:pPr>
        <w:ind w:left="1440"/>
        <w:rPr>
          <w:kern w:val="0"/>
        </w:rPr>
      </w:pPr>
    </w:p>
    <w:p w:rsidR="00F97D54" w:rsidRPr="00456D2B" w:rsidRDefault="00F97D54" w:rsidP="00EB5B97">
      <w:pPr>
        <w:numPr>
          <w:ilvl w:val="0"/>
          <w:numId w:val="94"/>
        </w:numPr>
        <w:rPr>
          <w:kern w:val="0"/>
        </w:rPr>
      </w:pPr>
      <w:r>
        <w:rPr>
          <w:kern w:val="0"/>
        </w:rPr>
        <w:t xml:space="preserve">Indicate whether you have any non-tariffed agreement with an </w:t>
      </w:r>
      <w:r>
        <w:rPr>
          <w:i/>
          <w:kern w:val="0"/>
        </w:rPr>
        <w:t>End User</w:t>
      </w:r>
      <w:r>
        <w:rPr>
          <w:kern w:val="0"/>
        </w:rPr>
        <w:t xml:space="preserve"> or </w:t>
      </w:r>
      <w:r>
        <w:rPr>
          <w:i/>
          <w:kern w:val="0"/>
        </w:rPr>
        <w:t>Competitive Provider</w:t>
      </w:r>
      <w:r>
        <w:rPr>
          <w:kern w:val="0"/>
        </w:rPr>
        <w:t xml:space="preserve"> that, directly or indirectly, provides a discount or a </w:t>
      </w:r>
      <w:r>
        <w:rPr>
          <w:i/>
          <w:kern w:val="0"/>
        </w:rPr>
        <w:t>Non-Rate Benefit</w:t>
      </w:r>
      <w:r>
        <w:rPr>
          <w:kern w:val="0"/>
        </w:rPr>
        <w:t xml:space="preserve"> on the purchase of tariffed </w:t>
      </w:r>
      <w:r>
        <w:rPr>
          <w:i/>
          <w:kern w:val="0"/>
        </w:rPr>
        <w:t>DS1s</w:t>
      </w:r>
      <w:r>
        <w:rPr>
          <w:kern w:val="0"/>
        </w:rPr>
        <w:t xml:space="preserve">, </w:t>
      </w:r>
      <w:r>
        <w:rPr>
          <w:i/>
          <w:kern w:val="0"/>
        </w:rPr>
        <w:t>DS3s</w:t>
      </w:r>
      <w:r>
        <w:rPr>
          <w:kern w:val="0"/>
        </w:rPr>
        <w:t xml:space="preserve">, and/or </w:t>
      </w:r>
      <w:r>
        <w:rPr>
          <w:i/>
          <w:kern w:val="0"/>
        </w:rPr>
        <w:t>PBDS</w:t>
      </w:r>
      <w:r>
        <w:rPr>
          <w:kern w:val="0"/>
        </w:rPr>
        <w:t xml:space="preserve">, restricts the ability of the </w:t>
      </w:r>
      <w:r>
        <w:rPr>
          <w:i/>
          <w:kern w:val="0"/>
        </w:rPr>
        <w:t>End User</w:t>
      </w:r>
      <w:r>
        <w:rPr>
          <w:kern w:val="0"/>
        </w:rPr>
        <w:t xml:space="preserve"> or </w:t>
      </w:r>
      <w:r>
        <w:rPr>
          <w:i/>
          <w:kern w:val="0"/>
        </w:rPr>
        <w:t>Competitive Provider</w:t>
      </w:r>
      <w:r>
        <w:rPr>
          <w:kern w:val="0"/>
        </w:rPr>
        <w:t xml:space="preserve"> to obtain </w:t>
      </w:r>
      <w:r>
        <w:rPr>
          <w:i/>
          <w:kern w:val="0"/>
        </w:rPr>
        <w:t>UNEs</w:t>
      </w:r>
      <w:r>
        <w:rPr>
          <w:kern w:val="0"/>
        </w:rPr>
        <w:t xml:space="preserve">, or negatively affects the ability of the </w:t>
      </w:r>
      <w:r>
        <w:rPr>
          <w:i/>
          <w:kern w:val="0"/>
        </w:rPr>
        <w:t>End User</w:t>
      </w:r>
      <w:r>
        <w:rPr>
          <w:kern w:val="0"/>
        </w:rPr>
        <w:t xml:space="preserve"> or </w:t>
      </w:r>
      <w:r>
        <w:rPr>
          <w:i/>
          <w:kern w:val="0"/>
        </w:rPr>
        <w:t>Competitive Provider</w:t>
      </w:r>
      <w:r>
        <w:rPr>
          <w:kern w:val="0"/>
        </w:rPr>
        <w:t xml:space="preserve"> to purchase</w:t>
      </w:r>
      <w:r>
        <w:rPr>
          <w:i/>
          <w:kern w:val="0"/>
        </w:rPr>
        <w:t xml:space="preserve"> Dedicated Services</w:t>
      </w:r>
      <w:r>
        <w:rPr>
          <w:kern w:val="0"/>
        </w:rPr>
        <w:t xml:space="preserve">.   </w:t>
      </w:r>
      <w:r w:rsidRPr="00456D2B">
        <w:rPr>
          <w:kern w:val="0"/>
        </w:rPr>
        <w:t>If s</w:t>
      </w:r>
      <w:r>
        <w:rPr>
          <w:kern w:val="0"/>
        </w:rPr>
        <w:t>o, identify each agreement</w:t>
      </w:r>
      <w:r w:rsidRPr="00456D2B">
        <w:rPr>
          <w:kern w:val="0"/>
        </w:rPr>
        <w:t xml:space="preserve">, including the parties to the agreements, the effective date, </w:t>
      </w:r>
      <w:r>
        <w:rPr>
          <w:kern w:val="0"/>
        </w:rPr>
        <w:t xml:space="preserve">end date, </w:t>
      </w:r>
      <w:r w:rsidRPr="00456D2B">
        <w:rPr>
          <w:kern w:val="0"/>
        </w:rPr>
        <w:t>and a summary of the relevant provisions.</w:t>
      </w:r>
    </w:p>
    <w:p w:rsidR="00F97D54" w:rsidRDefault="00F97D54">
      <w:pPr>
        <w:tabs>
          <w:tab w:val="left" w:pos="540"/>
        </w:tabs>
        <w:rPr>
          <w:kern w:val="0"/>
        </w:rPr>
      </w:pPr>
    </w:p>
    <w:p w:rsidR="00F97D54" w:rsidRDefault="00F97D54">
      <w:pPr>
        <w:tabs>
          <w:tab w:val="left" w:pos="540"/>
        </w:tabs>
        <w:rPr>
          <w:kern w:val="0"/>
        </w:rPr>
      </w:pPr>
    </w:p>
    <w:p w:rsidR="00F97D54" w:rsidRDefault="00F97D54">
      <w:pPr>
        <w:tabs>
          <w:tab w:val="left" w:pos="360"/>
        </w:tabs>
        <w:ind w:left="360" w:hanging="360"/>
        <w:rPr>
          <w:b/>
          <w:kern w:val="0"/>
        </w:rPr>
      </w:pPr>
      <w:r>
        <w:rPr>
          <w:b/>
          <w:kern w:val="0"/>
        </w:rPr>
        <w:t>C.</w:t>
      </w:r>
      <w:r>
        <w:rPr>
          <w:b/>
          <w:kern w:val="0"/>
        </w:rPr>
        <w:tab/>
      </w:r>
      <w:r w:rsidRPr="0011685E">
        <w:rPr>
          <w:b/>
          <w:kern w:val="0"/>
          <w:u w:val="single"/>
        </w:rPr>
        <w:t xml:space="preserve">Certain </w:t>
      </w:r>
      <w:r>
        <w:rPr>
          <w:b/>
          <w:kern w:val="0"/>
          <w:u w:val="single"/>
        </w:rPr>
        <w:t xml:space="preserve">Entities that provide </w:t>
      </w:r>
      <w:r>
        <w:rPr>
          <w:b/>
          <w:i/>
          <w:kern w:val="0"/>
          <w:szCs w:val="22"/>
          <w:u w:val="single"/>
        </w:rPr>
        <w:t>Best Efforts Business Broadband Internet Access Services</w:t>
      </w:r>
      <w:r>
        <w:rPr>
          <w:b/>
          <w:kern w:val="0"/>
          <w:szCs w:val="22"/>
          <w:u w:val="single"/>
        </w:rPr>
        <w:t xml:space="preserve"> must respond to the following</w:t>
      </w:r>
      <w:r>
        <w:rPr>
          <w:b/>
          <w:kern w:val="0"/>
          <w:szCs w:val="22"/>
        </w:rPr>
        <w:t>:</w:t>
      </w:r>
    </w:p>
    <w:p w:rsidR="00F97D54" w:rsidRDefault="005A5FB6" w:rsidP="005A5FB6">
      <w:pPr>
        <w:tabs>
          <w:tab w:val="left" w:pos="5196"/>
        </w:tabs>
        <w:rPr>
          <w:kern w:val="0"/>
        </w:rPr>
      </w:pPr>
      <w:r>
        <w:rPr>
          <w:kern w:val="0"/>
        </w:rPr>
        <w:tab/>
      </w:r>
    </w:p>
    <w:p w:rsidR="00F97D54" w:rsidRDefault="00F97D54" w:rsidP="00EB5B97">
      <w:pPr>
        <w:numPr>
          <w:ilvl w:val="0"/>
          <w:numId w:val="75"/>
        </w:numPr>
        <w:ind w:right="360"/>
        <w:rPr>
          <w:color w:val="000000"/>
          <w:kern w:val="0"/>
          <w:szCs w:val="22"/>
        </w:rPr>
      </w:pPr>
      <w:r>
        <w:rPr>
          <w:color w:val="000000"/>
          <w:kern w:val="0"/>
          <w:szCs w:val="22"/>
        </w:rPr>
        <w:t xml:space="preserve">If you provide </w:t>
      </w:r>
      <w:r w:rsidRPr="0011685E">
        <w:rPr>
          <w:i/>
          <w:kern w:val="0"/>
          <w:szCs w:val="22"/>
        </w:rPr>
        <w:t>Best Efforts Business Broadband Internet Access Services</w:t>
      </w:r>
      <w:r>
        <w:rPr>
          <w:color w:val="000000"/>
          <w:kern w:val="0"/>
          <w:szCs w:val="22"/>
        </w:rPr>
        <w:t xml:space="preserve"> to 15,000 or more customers or </w:t>
      </w:r>
      <w:r>
        <w:rPr>
          <w:kern w:val="0"/>
          <w:szCs w:val="22"/>
        </w:rPr>
        <w:t xml:space="preserve">1,500 or more business broadband customers in areas where the </w:t>
      </w:r>
      <w:r w:rsidRPr="00D870F4">
        <w:rPr>
          <w:i/>
          <w:kern w:val="0"/>
          <w:szCs w:val="22"/>
        </w:rPr>
        <w:t>ILEC</w:t>
      </w:r>
      <w:r>
        <w:rPr>
          <w:kern w:val="0"/>
          <w:szCs w:val="22"/>
        </w:rPr>
        <w:t xml:space="preserve"> is subject to price cap regulation, then answer the following questions:</w:t>
      </w:r>
      <w:r>
        <w:rPr>
          <w:color w:val="000000"/>
          <w:kern w:val="0"/>
          <w:szCs w:val="22"/>
        </w:rPr>
        <w:t xml:space="preserve"> </w:t>
      </w:r>
    </w:p>
    <w:p w:rsidR="00F97D54" w:rsidRDefault="00F97D54" w:rsidP="00EB5B97">
      <w:pPr>
        <w:numPr>
          <w:ilvl w:val="1"/>
          <w:numId w:val="73"/>
        </w:numPr>
        <w:ind w:right="360"/>
        <w:rPr>
          <w:color w:val="000000"/>
          <w:kern w:val="0"/>
          <w:szCs w:val="22"/>
        </w:rPr>
      </w:pPr>
      <w:r>
        <w:rPr>
          <w:color w:val="000000"/>
          <w:kern w:val="0"/>
          <w:szCs w:val="22"/>
        </w:rPr>
        <w:t xml:space="preserve">Did you submit data in connection with the State Broadband Initiative (SBI) Grant Program for 2010? </w:t>
      </w:r>
    </w:p>
    <w:p w:rsidR="00F97D54" w:rsidRDefault="00F97D54">
      <w:pPr>
        <w:spacing w:after="120"/>
        <w:ind w:left="720" w:firstLine="720"/>
        <w:rPr>
          <w:kern w:val="0"/>
        </w:rPr>
      </w:pPr>
      <w:r>
        <w:rPr>
          <w:rFonts w:ascii="Times New Roman Bold" w:hAnsi="Times New Roman Bold"/>
          <w:b/>
          <w:kern w:val="0"/>
          <w:sz w:val="28"/>
        </w:rPr>
        <w:t xml:space="preserve">□  </w:t>
      </w:r>
      <w:r>
        <w:rPr>
          <w:kern w:val="0"/>
          <w:szCs w:val="22"/>
        </w:rPr>
        <w:t>Yes</w:t>
      </w:r>
      <w:r>
        <w:rPr>
          <w:kern w:val="0"/>
        </w:rPr>
        <w:t xml:space="preserve">  </w:t>
      </w:r>
      <w:r>
        <w:rPr>
          <w:rFonts w:ascii="Times New Roman Bold" w:hAnsi="Times New Roman Bold"/>
          <w:b/>
          <w:kern w:val="0"/>
          <w:sz w:val="28"/>
        </w:rPr>
        <w:t xml:space="preserve">□  </w:t>
      </w:r>
      <w:r>
        <w:rPr>
          <w:kern w:val="0"/>
          <w:szCs w:val="22"/>
        </w:rPr>
        <w:t xml:space="preserve">No </w:t>
      </w:r>
    </w:p>
    <w:p w:rsidR="00F97D54" w:rsidRDefault="00F97D54" w:rsidP="00EB5B97">
      <w:pPr>
        <w:numPr>
          <w:ilvl w:val="1"/>
          <w:numId w:val="73"/>
        </w:numPr>
        <w:ind w:right="360"/>
        <w:rPr>
          <w:color w:val="000000"/>
          <w:kern w:val="0"/>
          <w:szCs w:val="22"/>
        </w:rPr>
      </w:pPr>
      <w:r>
        <w:rPr>
          <w:color w:val="000000"/>
          <w:kern w:val="0"/>
          <w:szCs w:val="22"/>
        </w:rPr>
        <w:t xml:space="preserve">Did you submit data in connection with the SBI Grant Program for 2012? </w:t>
      </w:r>
    </w:p>
    <w:p w:rsidR="00F97D54" w:rsidRDefault="00F97D54">
      <w:pPr>
        <w:spacing w:after="120"/>
        <w:ind w:left="720" w:firstLine="720"/>
        <w:rPr>
          <w:kern w:val="0"/>
        </w:rPr>
      </w:pPr>
      <w:r>
        <w:rPr>
          <w:rFonts w:ascii="Times New Roman Bold" w:hAnsi="Times New Roman Bold"/>
          <w:b/>
          <w:kern w:val="0"/>
          <w:sz w:val="28"/>
        </w:rPr>
        <w:t xml:space="preserve">□  </w:t>
      </w:r>
      <w:r>
        <w:rPr>
          <w:kern w:val="0"/>
          <w:szCs w:val="22"/>
        </w:rPr>
        <w:t>Yes</w:t>
      </w:r>
      <w:r>
        <w:rPr>
          <w:kern w:val="0"/>
        </w:rPr>
        <w:t xml:space="preserve">  </w:t>
      </w:r>
      <w:r>
        <w:rPr>
          <w:rFonts w:ascii="Times New Roman Bold" w:hAnsi="Times New Roman Bold"/>
          <w:b/>
          <w:kern w:val="0"/>
          <w:sz w:val="28"/>
        </w:rPr>
        <w:t xml:space="preserve">□  </w:t>
      </w:r>
      <w:r>
        <w:rPr>
          <w:kern w:val="0"/>
          <w:szCs w:val="22"/>
        </w:rPr>
        <w:t xml:space="preserve">No </w:t>
      </w:r>
    </w:p>
    <w:p w:rsidR="00F97D54" w:rsidRDefault="00F97D54" w:rsidP="00381F17">
      <w:pPr>
        <w:widowControl/>
        <w:spacing w:after="120"/>
        <w:ind w:left="1080" w:right="360"/>
        <w:rPr>
          <w:color w:val="000000"/>
          <w:kern w:val="0"/>
          <w:szCs w:val="22"/>
        </w:rPr>
      </w:pPr>
      <w:r>
        <w:rPr>
          <w:color w:val="000000"/>
          <w:kern w:val="0"/>
          <w:szCs w:val="22"/>
        </w:rPr>
        <w:t>If you answered “no” to questions II.C.1.a and II.C.1.b, then you do not need to answer any further questions in this section.</w:t>
      </w:r>
    </w:p>
    <w:p w:rsidR="00F97D54" w:rsidRDefault="00F97D54" w:rsidP="00724B61">
      <w:pPr>
        <w:widowControl/>
        <w:numPr>
          <w:ilvl w:val="1"/>
          <w:numId w:val="73"/>
        </w:numPr>
        <w:ind w:right="360"/>
        <w:rPr>
          <w:color w:val="000000"/>
          <w:kern w:val="0"/>
          <w:szCs w:val="22"/>
        </w:rPr>
      </w:pPr>
      <w:r>
        <w:rPr>
          <w:color w:val="000000"/>
          <w:kern w:val="0"/>
          <w:szCs w:val="22"/>
        </w:rPr>
        <w:t xml:space="preserve">Did the data you submitted in connection with the SBI Grant Program in 2010 accurately and completely identify the areas in which you offered </w:t>
      </w:r>
      <w:r>
        <w:rPr>
          <w:i/>
          <w:kern w:val="0"/>
          <w:szCs w:val="22"/>
        </w:rPr>
        <w:t>Best Efforts Business Broadband Internet Access Services</w:t>
      </w:r>
      <w:r>
        <w:rPr>
          <w:kern w:val="0"/>
          <w:szCs w:val="22"/>
        </w:rPr>
        <w:t xml:space="preserve"> and exclude those areas where you did not offer such services as of December 31, 2010</w:t>
      </w:r>
      <w:r>
        <w:rPr>
          <w:color w:val="000000"/>
          <w:kern w:val="0"/>
          <w:szCs w:val="22"/>
        </w:rPr>
        <w:t xml:space="preserve">? </w:t>
      </w:r>
    </w:p>
    <w:p w:rsidR="00F97D54" w:rsidRDefault="00F97D54">
      <w:pPr>
        <w:spacing w:after="120"/>
        <w:ind w:left="720" w:firstLine="720"/>
        <w:rPr>
          <w:kern w:val="0"/>
        </w:rPr>
      </w:pPr>
      <w:r>
        <w:rPr>
          <w:rFonts w:ascii="Times New Roman Bold" w:hAnsi="Times New Roman Bold"/>
          <w:b/>
          <w:kern w:val="0"/>
          <w:sz w:val="28"/>
        </w:rPr>
        <w:t xml:space="preserve">□  </w:t>
      </w:r>
      <w:r>
        <w:rPr>
          <w:kern w:val="0"/>
          <w:szCs w:val="22"/>
        </w:rPr>
        <w:t>Yes</w:t>
      </w:r>
      <w:r>
        <w:rPr>
          <w:kern w:val="0"/>
        </w:rPr>
        <w:t xml:space="preserve">  </w:t>
      </w:r>
      <w:r>
        <w:rPr>
          <w:rFonts w:ascii="Times New Roman Bold" w:hAnsi="Times New Roman Bold"/>
          <w:b/>
          <w:kern w:val="0"/>
          <w:sz w:val="28"/>
        </w:rPr>
        <w:t xml:space="preserve">□  </w:t>
      </w:r>
      <w:r>
        <w:rPr>
          <w:kern w:val="0"/>
          <w:szCs w:val="22"/>
        </w:rPr>
        <w:t>No</w:t>
      </w:r>
      <w:r>
        <w:rPr>
          <w:kern w:val="0"/>
          <w:szCs w:val="22"/>
        </w:rPr>
        <w:tab/>
      </w:r>
      <w:r>
        <w:rPr>
          <w:kern w:val="0"/>
          <w:szCs w:val="22"/>
        </w:rPr>
        <w:tab/>
      </w:r>
    </w:p>
    <w:p w:rsidR="00F97D54" w:rsidRDefault="00F97D54" w:rsidP="00EB5B97">
      <w:pPr>
        <w:numPr>
          <w:ilvl w:val="0"/>
          <w:numId w:val="74"/>
        </w:numPr>
        <w:ind w:right="360"/>
        <w:rPr>
          <w:color w:val="000000"/>
          <w:kern w:val="0"/>
          <w:szCs w:val="22"/>
        </w:rPr>
      </w:pPr>
      <w:r>
        <w:rPr>
          <w:color w:val="000000"/>
          <w:kern w:val="0"/>
          <w:szCs w:val="22"/>
        </w:rPr>
        <w:t xml:space="preserve">If yes, then provide the list of prices for those </w:t>
      </w:r>
      <w:r>
        <w:rPr>
          <w:i/>
          <w:kern w:val="0"/>
          <w:szCs w:val="22"/>
        </w:rPr>
        <w:t>Best Efforts Business Broadband Internet Access Services</w:t>
      </w:r>
      <w:r>
        <w:rPr>
          <w:color w:val="000000"/>
          <w:kern w:val="0"/>
          <w:szCs w:val="22"/>
        </w:rPr>
        <w:t xml:space="preserve"> that you were marketing in each census block submitted in connection with the SBI Grant Program as of December 31, 2010.  If there is a price variation within your service footprint, indicate which prices are associated with which census blocks.</w:t>
      </w:r>
    </w:p>
    <w:p w:rsidR="00F97D54" w:rsidRDefault="00F97D54" w:rsidP="00EB5B97">
      <w:pPr>
        <w:numPr>
          <w:ilvl w:val="0"/>
          <w:numId w:val="74"/>
        </w:numPr>
        <w:spacing w:after="120"/>
        <w:ind w:right="360"/>
        <w:rPr>
          <w:color w:val="000000"/>
          <w:kern w:val="0"/>
          <w:szCs w:val="22"/>
        </w:rPr>
      </w:pPr>
      <w:r>
        <w:rPr>
          <w:color w:val="000000"/>
          <w:kern w:val="0"/>
          <w:szCs w:val="22"/>
        </w:rPr>
        <w:t xml:space="preserve">If no, then provide a list of all the census blocks in which you offered </w:t>
      </w:r>
      <w:r>
        <w:rPr>
          <w:i/>
          <w:kern w:val="0"/>
          <w:szCs w:val="22"/>
        </w:rPr>
        <w:t>Best Efforts Business Broadband Internet Access Services</w:t>
      </w:r>
      <w:r>
        <w:rPr>
          <w:kern w:val="0"/>
          <w:szCs w:val="22"/>
        </w:rPr>
        <w:t xml:space="preserve"> </w:t>
      </w:r>
      <w:r>
        <w:rPr>
          <w:color w:val="000000"/>
          <w:kern w:val="0"/>
          <w:szCs w:val="22"/>
        </w:rPr>
        <w:t xml:space="preserve">as of December 31, 2010, and a list of the prices for those </w:t>
      </w:r>
      <w:r>
        <w:rPr>
          <w:i/>
          <w:kern w:val="0"/>
          <w:szCs w:val="22"/>
        </w:rPr>
        <w:t>Best Efforts Business Broadband Internet Access Services</w:t>
      </w:r>
      <w:r>
        <w:rPr>
          <w:color w:val="000000"/>
          <w:kern w:val="0"/>
          <w:szCs w:val="22"/>
        </w:rPr>
        <w:t xml:space="preserve"> that you were marketing in each census block as of December 31, 2010.  If there is a price variation within your service footprint, indicate which prices are associated with which census blocks.</w:t>
      </w:r>
    </w:p>
    <w:p w:rsidR="00F97D54" w:rsidRDefault="00F97D54" w:rsidP="00EB5B97">
      <w:pPr>
        <w:numPr>
          <w:ilvl w:val="1"/>
          <w:numId w:val="73"/>
        </w:numPr>
        <w:ind w:right="360"/>
        <w:rPr>
          <w:color w:val="000000"/>
          <w:kern w:val="0"/>
          <w:szCs w:val="22"/>
        </w:rPr>
      </w:pPr>
      <w:r>
        <w:rPr>
          <w:color w:val="000000"/>
          <w:kern w:val="0"/>
          <w:szCs w:val="22"/>
        </w:rPr>
        <w:t xml:space="preserve">Did the data you submitted in connection with the SBI Grant Program in 2012 accurately and completely identify the areas in which you offered </w:t>
      </w:r>
      <w:r>
        <w:rPr>
          <w:i/>
          <w:kern w:val="0"/>
          <w:szCs w:val="22"/>
        </w:rPr>
        <w:t>Best Efforts Business Broadband Internet Access Services</w:t>
      </w:r>
      <w:r>
        <w:rPr>
          <w:kern w:val="0"/>
          <w:szCs w:val="22"/>
        </w:rPr>
        <w:t xml:space="preserve"> and exclude those areas where you did not offer such services as of December 31, 2012</w:t>
      </w:r>
      <w:r>
        <w:rPr>
          <w:color w:val="000000"/>
          <w:kern w:val="0"/>
          <w:szCs w:val="22"/>
        </w:rPr>
        <w:t xml:space="preserve">? </w:t>
      </w:r>
    </w:p>
    <w:p w:rsidR="00F97D54" w:rsidRDefault="00F97D54">
      <w:pPr>
        <w:spacing w:after="120"/>
        <w:ind w:left="720" w:firstLine="720"/>
        <w:rPr>
          <w:kern w:val="0"/>
        </w:rPr>
      </w:pPr>
      <w:r>
        <w:rPr>
          <w:rFonts w:ascii="Times New Roman Bold" w:hAnsi="Times New Roman Bold"/>
          <w:b/>
          <w:kern w:val="0"/>
          <w:sz w:val="28"/>
        </w:rPr>
        <w:t xml:space="preserve">□  </w:t>
      </w:r>
      <w:r>
        <w:rPr>
          <w:kern w:val="0"/>
          <w:szCs w:val="22"/>
        </w:rPr>
        <w:t>Yes</w:t>
      </w:r>
      <w:r>
        <w:rPr>
          <w:kern w:val="0"/>
        </w:rPr>
        <w:t xml:space="preserve">  </w:t>
      </w:r>
      <w:r>
        <w:rPr>
          <w:rFonts w:ascii="Times New Roman Bold" w:hAnsi="Times New Roman Bold"/>
          <w:b/>
          <w:kern w:val="0"/>
          <w:sz w:val="28"/>
        </w:rPr>
        <w:t xml:space="preserve">□  </w:t>
      </w:r>
      <w:r>
        <w:rPr>
          <w:kern w:val="0"/>
          <w:szCs w:val="22"/>
        </w:rPr>
        <w:t>No</w:t>
      </w:r>
      <w:r>
        <w:rPr>
          <w:kern w:val="0"/>
          <w:szCs w:val="22"/>
        </w:rPr>
        <w:tab/>
      </w:r>
      <w:r>
        <w:rPr>
          <w:kern w:val="0"/>
          <w:szCs w:val="22"/>
        </w:rPr>
        <w:tab/>
      </w:r>
    </w:p>
    <w:p w:rsidR="00F97D54" w:rsidRDefault="00F97D54" w:rsidP="00EB5B97">
      <w:pPr>
        <w:numPr>
          <w:ilvl w:val="0"/>
          <w:numId w:val="83"/>
        </w:numPr>
        <w:ind w:right="360"/>
        <w:rPr>
          <w:color w:val="000000"/>
          <w:kern w:val="0"/>
          <w:szCs w:val="22"/>
        </w:rPr>
      </w:pPr>
      <w:r>
        <w:rPr>
          <w:color w:val="000000"/>
          <w:kern w:val="0"/>
          <w:szCs w:val="22"/>
        </w:rPr>
        <w:t xml:space="preserve">If yes, then provide the list of prices for those </w:t>
      </w:r>
      <w:r>
        <w:rPr>
          <w:i/>
          <w:kern w:val="0"/>
          <w:szCs w:val="22"/>
        </w:rPr>
        <w:t>Best Efforts Business Broadband Internet Access Services</w:t>
      </w:r>
      <w:r>
        <w:rPr>
          <w:color w:val="000000"/>
          <w:kern w:val="0"/>
          <w:szCs w:val="22"/>
        </w:rPr>
        <w:t xml:space="preserve"> that you were marketing in each census block submitted in connection with the SBI Grant Program as of December 31, 2012.  If there is a price variation within your service footprint, indicate which prices are associated with which census blocks.</w:t>
      </w:r>
    </w:p>
    <w:p w:rsidR="00F97D54" w:rsidRDefault="00F97D54" w:rsidP="00EB5B97">
      <w:pPr>
        <w:numPr>
          <w:ilvl w:val="0"/>
          <w:numId w:val="83"/>
        </w:numPr>
        <w:ind w:right="360"/>
        <w:rPr>
          <w:color w:val="000000"/>
          <w:kern w:val="0"/>
          <w:szCs w:val="22"/>
        </w:rPr>
      </w:pPr>
      <w:r>
        <w:rPr>
          <w:color w:val="000000"/>
          <w:kern w:val="0"/>
          <w:szCs w:val="22"/>
        </w:rPr>
        <w:t xml:space="preserve">If no, then provide a list of all the census blocks in which you offered </w:t>
      </w:r>
      <w:r>
        <w:rPr>
          <w:i/>
          <w:kern w:val="0"/>
          <w:szCs w:val="22"/>
        </w:rPr>
        <w:t>Best Efforts Business Broadband Internet Access Services</w:t>
      </w:r>
      <w:r>
        <w:rPr>
          <w:kern w:val="0"/>
          <w:szCs w:val="22"/>
        </w:rPr>
        <w:t xml:space="preserve"> </w:t>
      </w:r>
      <w:r>
        <w:rPr>
          <w:color w:val="000000"/>
          <w:kern w:val="0"/>
          <w:szCs w:val="22"/>
        </w:rPr>
        <w:t xml:space="preserve">as of December 31, 2012, and a list of the prices for those </w:t>
      </w:r>
      <w:r>
        <w:rPr>
          <w:i/>
          <w:kern w:val="0"/>
          <w:szCs w:val="22"/>
        </w:rPr>
        <w:t>Best Efforts Business Broadband Internet Access Services</w:t>
      </w:r>
      <w:r>
        <w:rPr>
          <w:color w:val="000000"/>
          <w:kern w:val="0"/>
          <w:szCs w:val="22"/>
        </w:rPr>
        <w:t xml:space="preserve"> that you were marketing in each census block as of December 31, 2012.  If there is a price variation within your service footprint, indicate which prices are associated with which census blocks.</w:t>
      </w:r>
    </w:p>
    <w:p w:rsidR="00F97D54" w:rsidRDefault="00F97D54">
      <w:pPr>
        <w:rPr>
          <w:b/>
          <w:kern w:val="0"/>
        </w:rPr>
      </w:pPr>
    </w:p>
    <w:p w:rsidR="00F97D54" w:rsidRDefault="00F97D54">
      <w:pPr>
        <w:rPr>
          <w:b/>
          <w:kern w:val="0"/>
        </w:rPr>
      </w:pPr>
    </w:p>
    <w:p w:rsidR="00F97D54" w:rsidRDefault="00F97D54">
      <w:pPr>
        <w:rPr>
          <w:b/>
          <w:kern w:val="0"/>
        </w:rPr>
      </w:pPr>
      <w:r>
        <w:rPr>
          <w:b/>
          <w:kern w:val="0"/>
        </w:rPr>
        <w:t>D.</w:t>
      </w:r>
      <w:r>
        <w:rPr>
          <w:b/>
          <w:i/>
          <w:kern w:val="0"/>
        </w:rPr>
        <w:t xml:space="preserve">  </w:t>
      </w:r>
      <w:r>
        <w:rPr>
          <w:b/>
          <w:kern w:val="0"/>
          <w:u w:val="single"/>
        </w:rPr>
        <w:t xml:space="preserve">All </w:t>
      </w:r>
      <w:r>
        <w:rPr>
          <w:b/>
          <w:i/>
          <w:kern w:val="0"/>
          <w:u w:val="single"/>
        </w:rPr>
        <w:t>Providers</w:t>
      </w:r>
      <w:r>
        <w:rPr>
          <w:b/>
          <w:kern w:val="0"/>
          <w:u w:val="single"/>
        </w:rPr>
        <w:t xml:space="preserve"> must respond to the following</w:t>
      </w:r>
      <w:r>
        <w:rPr>
          <w:b/>
          <w:kern w:val="0"/>
        </w:rPr>
        <w:t>:</w:t>
      </w:r>
    </w:p>
    <w:p w:rsidR="00F97D54" w:rsidRDefault="00F97D54">
      <w:pPr>
        <w:rPr>
          <w:kern w:val="0"/>
          <w:sz w:val="20"/>
        </w:rPr>
      </w:pPr>
    </w:p>
    <w:p w:rsidR="00F97D54" w:rsidRDefault="00F97D54" w:rsidP="00EB5B97">
      <w:pPr>
        <w:numPr>
          <w:ilvl w:val="0"/>
          <w:numId w:val="71"/>
        </w:numPr>
        <w:rPr>
          <w:kern w:val="0"/>
          <w:szCs w:val="22"/>
        </w:rPr>
      </w:pPr>
      <w:r>
        <w:rPr>
          <w:kern w:val="0"/>
        </w:rPr>
        <w:t xml:space="preserve">Describe your company’s short term and long-range promotional and advertising strategies and objectives for winning new </w:t>
      </w:r>
      <w:r>
        <w:t>–</w:t>
      </w:r>
      <w:r>
        <w:rPr>
          <w:kern w:val="0"/>
        </w:rPr>
        <w:t xml:space="preserve"> or retaining current </w:t>
      </w:r>
      <w:r>
        <w:t>–</w:t>
      </w:r>
      <w:r>
        <w:rPr>
          <w:kern w:val="0"/>
        </w:rPr>
        <w:t xml:space="preserve"> customers for </w:t>
      </w:r>
      <w:r>
        <w:rPr>
          <w:i/>
          <w:kern w:val="0"/>
        </w:rPr>
        <w:t xml:space="preserve">Dedicated Services.  </w:t>
      </w:r>
      <w:r>
        <w:rPr>
          <w:kern w:val="0"/>
        </w:rPr>
        <w:t>In your description, please describe the size (</w:t>
      </w:r>
      <w:r>
        <w:rPr>
          <w:i/>
          <w:kern w:val="0"/>
        </w:rPr>
        <w:t xml:space="preserve">e.g., </w:t>
      </w:r>
      <w:r>
        <w:rPr>
          <w:kern w:val="0"/>
        </w:rPr>
        <w:t>companies with 500 employees or less, etc.), geographic scope (</w:t>
      </w:r>
      <w:r>
        <w:rPr>
          <w:i/>
          <w:kern w:val="0"/>
        </w:rPr>
        <w:t>e.g.</w:t>
      </w:r>
      <w:r>
        <w:rPr>
          <w:kern w:val="0"/>
        </w:rPr>
        <w:t>,</w:t>
      </w:r>
      <w:r>
        <w:rPr>
          <w:i/>
          <w:kern w:val="0"/>
        </w:rPr>
        <w:t xml:space="preserve"> </w:t>
      </w:r>
      <w:r>
        <w:rPr>
          <w:kern w:val="0"/>
        </w:rPr>
        <w:t xml:space="preserve">national, southeast, Chicago, etc.), and type of customers your company targets or plans to target through these strategies.  </w:t>
      </w:r>
    </w:p>
    <w:p w:rsidR="00F97D54" w:rsidRDefault="00F97D54">
      <w:pPr>
        <w:rPr>
          <w:kern w:val="0"/>
          <w:sz w:val="20"/>
        </w:rPr>
      </w:pPr>
    </w:p>
    <w:p w:rsidR="00F97D54" w:rsidRDefault="00F97D54" w:rsidP="00EB5B97">
      <w:pPr>
        <w:numPr>
          <w:ilvl w:val="0"/>
          <w:numId w:val="71"/>
        </w:numPr>
        <w:rPr>
          <w:kern w:val="0"/>
        </w:rPr>
      </w:pPr>
      <w:r>
        <w:rPr>
          <w:kern w:val="0"/>
        </w:rPr>
        <w:t xml:space="preserve">Identify where your company’s policies are recorded on the following </w:t>
      </w:r>
      <w:r>
        <w:rPr>
          <w:i/>
          <w:kern w:val="0"/>
        </w:rPr>
        <w:t>Dedicated Service</w:t>
      </w:r>
      <w:r>
        <w:rPr>
          <w:kern w:val="0"/>
        </w:rPr>
        <w:t xml:space="preserve">-related processes:  (a) initiation of service; (b) service </w:t>
      </w:r>
      <w:r>
        <w:rPr>
          <w:i/>
          <w:iCs/>
          <w:kern w:val="0"/>
        </w:rPr>
        <w:t>Upgrades</w:t>
      </w:r>
      <w:r>
        <w:rPr>
          <w:kern w:val="0"/>
        </w:rPr>
        <w:t xml:space="preserve">; and (c) service </w:t>
      </w:r>
      <w:r>
        <w:rPr>
          <w:i/>
          <w:iCs/>
          <w:kern w:val="0"/>
        </w:rPr>
        <w:t>Disconnections</w:t>
      </w:r>
      <w:r>
        <w:rPr>
          <w:kern w:val="0"/>
        </w:rPr>
        <w:t xml:space="preserve">.  For instance, identify where your company records recurring and non-recurring charges associated with the processes listed above.  If recorded in a </w:t>
      </w:r>
      <w:r>
        <w:rPr>
          <w:i/>
          <w:iCs/>
          <w:kern w:val="0"/>
        </w:rPr>
        <w:t>Tariff</w:t>
      </w:r>
      <w:r>
        <w:rPr>
          <w:kern w:val="0"/>
        </w:rPr>
        <w:t xml:space="preserve">, provide the specific </w:t>
      </w:r>
      <w:r>
        <w:rPr>
          <w:i/>
          <w:iCs/>
          <w:kern w:val="0"/>
        </w:rPr>
        <w:t>Tariff</w:t>
      </w:r>
      <w:r>
        <w:rPr>
          <w:kern w:val="0"/>
        </w:rPr>
        <w:t xml:space="preserve"> section(s).  If these policies are recorded in </w:t>
      </w:r>
      <w:r>
        <w:rPr>
          <w:iCs/>
          <w:kern w:val="0"/>
        </w:rPr>
        <w:t>documents</w:t>
      </w:r>
      <w:r>
        <w:rPr>
          <w:kern w:val="0"/>
        </w:rPr>
        <w:t xml:space="preserve"> other than </w:t>
      </w:r>
      <w:r>
        <w:rPr>
          <w:i/>
          <w:iCs/>
          <w:kern w:val="0"/>
        </w:rPr>
        <w:t>Tariffs</w:t>
      </w:r>
      <w:r>
        <w:rPr>
          <w:kern w:val="0"/>
        </w:rPr>
        <w:t xml:space="preserve">, list those </w:t>
      </w:r>
      <w:r>
        <w:rPr>
          <w:iCs/>
          <w:kern w:val="0"/>
        </w:rPr>
        <w:t>documents</w:t>
      </w:r>
      <w:r>
        <w:rPr>
          <w:kern w:val="0"/>
        </w:rPr>
        <w:t xml:space="preserve"> and state whether they are publicly available.  If they are publicly available, explain how to find them.  For </w:t>
      </w:r>
      <w:r>
        <w:rPr>
          <w:iCs/>
          <w:kern w:val="0"/>
        </w:rPr>
        <w:t>documents</w:t>
      </w:r>
      <w:r>
        <w:rPr>
          <w:kern w:val="0"/>
        </w:rPr>
        <w:t xml:space="preserve"> that are not publicly available, state whether they are conveyed to customers orally or in writing.  </w:t>
      </w:r>
    </w:p>
    <w:p w:rsidR="00F97D54" w:rsidRDefault="00F97D54">
      <w:pPr>
        <w:ind w:left="360" w:right="360" w:hanging="360"/>
        <w:rPr>
          <w:b/>
          <w:kern w:val="0"/>
        </w:rPr>
      </w:pPr>
    </w:p>
    <w:p w:rsidR="00F97D54" w:rsidRDefault="00F97D54">
      <w:pPr>
        <w:ind w:left="360" w:right="360" w:hanging="360"/>
        <w:rPr>
          <w:b/>
          <w:kern w:val="0"/>
        </w:rPr>
      </w:pPr>
    </w:p>
    <w:p w:rsidR="00F97D54" w:rsidRDefault="00F97D54">
      <w:pPr>
        <w:ind w:left="360" w:right="360" w:hanging="360"/>
        <w:rPr>
          <w:b/>
          <w:kern w:val="0"/>
        </w:rPr>
      </w:pPr>
      <w:r>
        <w:rPr>
          <w:b/>
          <w:kern w:val="0"/>
        </w:rPr>
        <w:t xml:space="preserve">E.  </w:t>
      </w:r>
      <w:r>
        <w:rPr>
          <w:b/>
          <w:i/>
          <w:kern w:val="0"/>
          <w:u w:val="single"/>
        </w:rPr>
        <w:t>Purchasers</w:t>
      </w:r>
      <w:r>
        <w:rPr>
          <w:b/>
          <w:kern w:val="0"/>
          <w:u w:val="single"/>
        </w:rPr>
        <w:t xml:space="preserve"> that are mobile wireless service providers must respond to the following</w:t>
      </w:r>
      <w:r>
        <w:rPr>
          <w:b/>
          <w:kern w:val="0"/>
        </w:rPr>
        <w:t xml:space="preserve">:  </w:t>
      </w:r>
    </w:p>
    <w:p w:rsidR="00F97D54" w:rsidRDefault="00F97D54">
      <w:pPr>
        <w:rPr>
          <w:kern w:val="0"/>
          <w:u w:val="single"/>
        </w:rPr>
      </w:pPr>
    </w:p>
    <w:p w:rsidR="00F97D54" w:rsidRDefault="00F97D54" w:rsidP="00EB5B97">
      <w:pPr>
        <w:numPr>
          <w:ilvl w:val="0"/>
          <w:numId w:val="35"/>
        </w:numPr>
        <w:tabs>
          <w:tab w:val="left" w:pos="900"/>
        </w:tabs>
        <w:spacing w:after="240"/>
        <w:rPr>
          <w:kern w:val="0"/>
          <w:szCs w:val="22"/>
        </w:rPr>
      </w:pPr>
      <w:r>
        <w:rPr>
          <w:kern w:val="0"/>
          <w:szCs w:val="22"/>
        </w:rPr>
        <w:t>How many cell sites do you have on your network?</w:t>
      </w:r>
    </w:p>
    <w:p w:rsidR="00F97D54" w:rsidRDefault="00F97D54" w:rsidP="00EB5B97">
      <w:pPr>
        <w:numPr>
          <w:ilvl w:val="0"/>
          <w:numId w:val="35"/>
        </w:numPr>
        <w:tabs>
          <w:tab w:val="left" w:pos="900"/>
        </w:tabs>
        <w:spacing w:after="120"/>
        <w:rPr>
          <w:kern w:val="0"/>
          <w:szCs w:val="22"/>
        </w:rPr>
      </w:pPr>
      <w:r>
        <w:rPr>
          <w:kern w:val="0"/>
          <w:szCs w:val="22"/>
        </w:rPr>
        <w:t xml:space="preserve">Provide the information requested below for each cell site on your network as of December 31, 2010 and as of December 31, 2012.  </w:t>
      </w:r>
    </w:p>
    <w:p w:rsidR="00F97D54" w:rsidRDefault="00F97D54" w:rsidP="00EB5B97">
      <w:pPr>
        <w:numPr>
          <w:ilvl w:val="0"/>
          <w:numId w:val="36"/>
        </w:numPr>
        <w:tabs>
          <w:tab w:val="num" w:pos="1800"/>
        </w:tabs>
        <w:rPr>
          <w:kern w:val="0"/>
          <w:szCs w:val="22"/>
        </w:rPr>
      </w:pPr>
      <w:r>
        <w:rPr>
          <w:kern w:val="0"/>
          <w:szCs w:val="22"/>
        </w:rPr>
        <w:t>A unique ID for the cell site;</w:t>
      </w:r>
    </w:p>
    <w:p w:rsidR="00F97D54" w:rsidRDefault="00F97D54" w:rsidP="00EB5B97">
      <w:pPr>
        <w:numPr>
          <w:ilvl w:val="0"/>
          <w:numId w:val="36"/>
        </w:numPr>
        <w:tabs>
          <w:tab w:val="num" w:pos="1800"/>
        </w:tabs>
        <w:rPr>
          <w:kern w:val="0"/>
          <w:szCs w:val="22"/>
        </w:rPr>
      </w:pPr>
      <w:r>
        <w:rPr>
          <w:kern w:val="0"/>
          <w:szCs w:val="22"/>
        </w:rPr>
        <w:t>The actual situs address of the cell site (</w:t>
      </w:r>
      <w:r>
        <w:rPr>
          <w:i/>
          <w:kern w:val="0"/>
          <w:szCs w:val="22"/>
        </w:rPr>
        <w:t>i.e.</w:t>
      </w:r>
      <w:r>
        <w:rPr>
          <w:kern w:val="0"/>
          <w:szCs w:val="22"/>
        </w:rPr>
        <w:t>, land where the cell site is located) if the cell site is located in or on a building;</w:t>
      </w:r>
    </w:p>
    <w:p w:rsidR="00F97D54" w:rsidRDefault="00F97D54" w:rsidP="00EB5B97">
      <w:pPr>
        <w:numPr>
          <w:ilvl w:val="0"/>
          <w:numId w:val="36"/>
        </w:numPr>
        <w:tabs>
          <w:tab w:val="num" w:pos="900"/>
          <w:tab w:val="num" w:pos="1800"/>
        </w:tabs>
        <w:rPr>
          <w:kern w:val="0"/>
          <w:szCs w:val="22"/>
        </w:rPr>
      </w:pPr>
      <w:r>
        <w:rPr>
          <w:kern w:val="0"/>
          <w:szCs w:val="22"/>
        </w:rPr>
        <w:t>The geocode for the cell site (</w:t>
      </w:r>
      <w:r>
        <w:rPr>
          <w:i/>
          <w:kern w:val="0"/>
          <w:szCs w:val="22"/>
        </w:rPr>
        <w:t>i.e.</w:t>
      </w:r>
      <w:r>
        <w:rPr>
          <w:kern w:val="0"/>
          <w:szCs w:val="22"/>
        </w:rPr>
        <w:t>,</w:t>
      </w:r>
      <w:r>
        <w:rPr>
          <w:i/>
          <w:kern w:val="0"/>
          <w:szCs w:val="22"/>
        </w:rPr>
        <w:t xml:space="preserve"> </w:t>
      </w:r>
      <w:r>
        <w:rPr>
          <w:kern w:val="0"/>
          <w:szCs w:val="22"/>
        </w:rPr>
        <w:t>latitude and longitude);</w:t>
      </w:r>
    </w:p>
    <w:p w:rsidR="00F97D54" w:rsidRDefault="00F97D54" w:rsidP="00EB5B97">
      <w:pPr>
        <w:numPr>
          <w:ilvl w:val="0"/>
          <w:numId w:val="36"/>
        </w:numPr>
        <w:tabs>
          <w:tab w:val="num" w:pos="900"/>
          <w:tab w:val="num" w:pos="1800"/>
        </w:tabs>
        <w:rPr>
          <w:kern w:val="0"/>
          <w:szCs w:val="22"/>
        </w:rPr>
      </w:pPr>
      <w:r>
        <w:rPr>
          <w:kern w:val="0"/>
          <w:szCs w:val="22"/>
        </w:rPr>
        <w:t>The CLLI code of the incumbent LEC wire center that serves the cell site, where applicable;</w:t>
      </w:r>
    </w:p>
    <w:p w:rsidR="00F97D54" w:rsidRDefault="00F97D54" w:rsidP="00EB5B97">
      <w:pPr>
        <w:numPr>
          <w:ilvl w:val="0"/>
          <w:numId w:val="36"/>
        </w:numPr>
        <w:tabs>
          <w:tab w:val="num" w:pos="900"/>
          <w:tab w:val="num" w:pos="1800"/>
        </w:tabs>
        <w:rPr>
          <w:kern w:val="0"/>
          <w:szCs w:val="22"/>
        </w:rPr>
      </w:pPr>
      <w:r>
        <w:rPr>
          <w:kern w:val="0"/>
          <w:szCs w:val="22"/>
        </w:rPr>
        <w:t xml:space="preserve">Whether the cell site is in or on a building, is a free-standing cell site, or is on some other type of man-made structure, </w:t>
      </w:r>
      <w:r>
        <w:rPr>
          <w:i/>
          <w:kern w:val="0"/>
          <w:szCs w:val="22"/>
        </w:rPr>
        <w:t>e.g.</w:t>
      </w:r>
      <w:r>
        <w:rPr>
          <w:kern w:val="0"/>
          <w:szCs w:val="22"/>
        </w:rPr>
        <w:t>, a water tower, billboard, etc</w:t>
      </w:r>
      <w:r>
        <w:rPr>
          <w:i/>
          <w:kern w:val="0"/>
          <w:szCs w:val="22"/>
        </w:rPr>
        <w:t>.</w:t>
      </w:r>
      <w:r>
        <w:rPr>
          <w:kern w:val="0"/>
          <w:szCs w:val="22"/>
        </w:rPr>
        <w:t>;</w:t>
      </w:r>
    </w:p>
    <w:p w:rsidR="00F97D54" w:rsidRDefault="00F97D54" w:rsidP="00EB5B97">
      <w:pPr>
        <w:numPr>
          <w:ilvl w:val="0"/>
          <w:numId w:val="36"/>
        </w:numPr>
        <w:tabs>
          <w:tab w:val="num" w:pos="900"/>
          <w:tab w:val="num" w:pos="1800"/>
        </w:tabs>
        <w:rPr>
          <w:kern w:val="0"/>
          <w:szCs w:val="22"/>
        </w:rPr>
      </w:pPr>
      <w:r>
        <w:rPr>
          <w:kern w:val="0"/>
          <w:szCs w:val="22"/>
        </w:rPr>
        <w:t xml:space="preserve">If the cell site is served by a </w:t>
      </w:r>
      <w:r>
        <w:rPr>
          <w:i/>
          <w:kern w:val="0"/>
          <w:szCs w:val="22"/>
        </w:rPr>
        <w:t>CBDS</w:t>
      </w:r>
      <w:r>
        <w:rPr>
          <w:kern w:val="0"/>
          <w:szCs w:val="22"/>
        </w:rPr>
        <w:t xml:space="preserve">, indicate the equivalent number of </w:t>
      </w:r>
      <w:r>
        <w:rPr>
          <w:i/>
          <w:kern w:val="0"/>
          <w:szCs w:val="22"/>
        </w:rPr>
        <w:t>DS1s</w:t>
      </w:r>
      <w:r>
        <w:rPr>
          <w:kern w:val="0"/>
          <w:szCs w:val="22"/>
        </w:rPr>
        <w:t xml:space="preserve"> used;</w:t>
      </w:r>
    </w:p>
    <w:p w:rsidR="00F97D54" w:rsidRDefault="00F97D54" w:rsidP="00EB5B97">
      <w:pPr>
        <w:numPr>
          <w:ilvl w:val="0"/>
          <w:numId w:val="36"/>
        </w:numPr>
        <w:tabs>
          <w:tab w:val="num" w:pos="900"/>
          <w:tab w:val="num" w:pos="1800"/>
        </w:tabs>
        <w:rPr>
          <w:kern w:val="0"/>
          <w:szCs w:val="22"/>
        </w:rPr>
      </w:pPr>
      <w:r>
        <w:rPr>
          <w:kern w:val="0"/>
          <w:szCs w:val="22"/>
        </w:rPr>
        <w:t xml:space="preserve">If the cell site is served by a </w:t>
      </w:r>
      <w:r>
        <w:rPr>
          <w:i/>
          <w:kern w:val="0"/>
          <w:szCs w:val="22"/>
        </w:rPr>
        <w:t>PBDS</w:t>
      </w:r>
      <w:r>
        <w:rPr>
          <w:kern w:val="0"/>
          <w:szCs w:val="22"/>
        </w:rPr>
        <w:t>, indicate the total bandwidth of the circuit or circuits in Mbps;</w:t>
      </w:r>
    </w:p>
    <w:p w:rsidR="00F97D54" w:rsidRDefault="00F97D54" w:rsidP="00EB5B97">
      <w:pPr>
        <w:numPr>
          <w:ilvl w:val="0"/>
          <w:numId w:val="36"/>
        </w:numPr>
        <w:tabs>
          <w:tab w:val="num" w:pos="900"/>
          <w:tab w:val="num" w:pos="1800"/>
        </w:tabs>
        <w:rPr>
          <w:kern w:val="0"/>
          <w:szCs w:val="22"/>
        </w:rPr>
      </w:pPr>
      <w:r>
        <w:rPr>
          <w:kern w:val="0"/>
        </w:rPr>
        <w:t xml:space="preserve">If the cell site is served by a wireless </w:t>
      </w:r>
      <w:r>
        <w:rPr>
          <w:i/>
          <w:kern w:val="0"/>
        </w:rPr>
        <w:t>Connection</w:t>
      </w:r>
      <w:r>
        <w:rPr>
          <w:kern w:val="0"/>
        </w:rPr>
        <w:t>, indicate the total bandwidth of the circuit or circuits in Mbps;</w:t>
      </w:r>
    </w:p>
    <w:p w:rsidR="00F97D54" w:rsidRDefault="00F97D54" w:rsidP="00EB5B97">
      <w:pPr>
        <w:numPr>
          <w:ilvl w:val="0"/>
          <w:numId w:val="36"/>
        </w:numPr>
        <w:tabs>
          <w:tab w:val="num" w:pos="900"/>
          <w:tab w:val="num" w:pos="1800"/>
        </w:tabs>
        <w:rPr>
          <w:kern w:val="0"/>
          <w:szCs w:val="22"/>
        </w:rPr>
      </w:pPr>
      <w:r>
        <w:rPr>
          <w:kern w:val="0"/>
          <w:szCs w:val="22"/>
        </w:rPr>
        <w:t xml:space="preserve">The name of the </w:t>
      </w:r>
      <w:r>
        <w:rPr>
          <w:i/>
          <w:kern w:val="0"/>
          <w:szCs w:val="22"/>
        </w:rPr>
        <w:t>Provider(s)</w:t>
      </w:r>
      <w:r>
        <w:rPr>
          <w:kern w:val="0"/>
          <w:szCs w:val="22"/>
        </w:rPr>
        <w:t xml:space="preserve"> that supplies your </w:t>
      </w:r>
      <w:r>
        <w:rPr>
          <w:i/>
          <w:iCs/>
          <w:kern w:val="0"/>
          <w:szCs w:val="22"/>
        </w:rPr>
        <w:t>Connection</w:t>
      </w:r>
      <w:r>
        <w:rPr>
          <w:kern w:val="0"/>
          <w:szCs w:val="22"/>
        </w:rPr>
        <w:t xml:space="preserve"> to the cell site; and</w:t>
      </w:r>
    </w:p>
    <w:p w:rsidR="00F97D54" w:rsidRDefault="00F97D54" w:rsidP="00EB5B97">
      <w:pPr>
        <w:numPr>
          <w:ilvl w:val="0"/>
          <w:numId w:val="36"/>
        </w:numPr>
        <w:tabs>
          <w:tab w:val="num" w:pos="900"/>
          <w:tab w:val="num" w:pos="1800"/>
        </w:tabs>
        <w:rPr>
          <w:kern w:val="0"/>
          <w:szCs w:val="22"/>
        </w:rPr>
      </w:pPr>
      <w:r>
        <w:rPr>
          <w:kern w:val="0"/>
        </w:rPr>
        <w:t xml:space="preserve">If you self-provide a </w:t>
      </w:r>
      <w:r>
        <w:rPr>
          <w:i/>
          <w:kern w:val="0"/>
        </w:rPr>
        <w:t>Connection</w:t>
      </w:r>
      <w:r>
        <w:rPr>
          <w:kern w:val="0"/>
        </w:rPr>
        <w:t xml:space="preserve"> to the cell site, the provisioned bandwidth of that self-provided </w:t>
      </w:r>
      <w:r>
        <w:rPr>
          <w:i/>
          <w:kern w:val="0"/>
        </w:rPr>
        <w:t>Connection</w:t>
      </w:r>
      <w:r>
        <w:rPr>
          <w:kern w:val="0"/>
        </w:rPr>
        <w:t>.</w:t>
      </w:r>
    </w:p>
    <w:p w:rsidR="00F97D54" w:rsidRDefault="00F97D54">
      <w:pPr>
        <w:tabs>
          <w:tab w:val="num" w:pos="1800"/>
        </w:tabs>
        <w:rPr>
          <w:kern w:val="0"/>
          <w:szCs w:val="22"/>
        </w:rPr>
      </w:pPr>
    </w:p>
    <w:p w:rsidR="00F97D54" w:rsidRDefault="00F97D54" w:rsidP="00EB5B97">
      <w:pPr>
        <w:tabs>
          <w:tab w:val="num" w:pos="1800"/>
        </w:tabs>
        <w:rPr>
          <w:b/>
          <w:kern w:val="0"/>
          <w:szCs w:val="22"/>
        </w:rPr>
      </w:pPr>
      <w:r>
        <w:rPr>
          <w:b/>
          <w:kern w:val="0"/>
          <w:szCs w:val="22"/>
        </w:rPr>
        <w:t xml:space="preserve">Expenditures </w:t>
      </w:r>
      <w:r>
        <w:rPr>
          <w:b/>
          <w:kern w:val="0"/>
        </w:rPr>
        <w:t>Information</w:t>
      </w:r>
    </w:p>
    <w:p w:rsidR="00F97D54" w:rsidRDefault="00F97D54" w:rsidP="00EB5B97">
      <w:pPr>
        <w:tabs>
          <w:tab w:val="num" w:pos="1800"/>
        </w:tabs>
        <w:rPr>
          <w:kern w:val="0"/>
          <w:szCs w:val="22"/>
        </w:rPr>
      </w:pPr>
    </w:p>
    <w:p w:rsidR="00F97D54" w:rsidRDefault="00F97D54" w:rsidP="00EB5B97">
      <w:pPr>
        <w:numPr>
          <w:ilvl w:val="0"/>
          <w:numId w:val="35"/>
        </w:numPr>
        <w:rPr>
          <w:b/>
          <w:kern w:val="0"/>
        </w:rPr>
      </w:pPr>
      <w:r>
        <w:rPr>
          <w:kern w:val="0"/>
        </w:rPr>
        <w:t xml:space="preserve">What were your expenditures, </w:t>
      </w:r>
      <w:r>
        <w:rPr>
          <w:i/>
          <w:kern w:val="0"/>
        </w:rPr>
        <w:t>i.e.</w:t>
      </w:r>
      <w:r>
        <w:rPr>
          <w:kern w:val="0"/>
        </w:rPr>
        <w:t xml:space="preserve">, dollar volume of purchases, on </w:t>
      </w:r>
      <w:r>
        <w:rPr>
          <w:i/>
          <w:kern w:val="0"/>
        </w:rPr>
        <w:t>Dedicated Services</w:t>
      </w:r>
      <w:r>
        <w:rPr>
          <w:kern w:val="0"/>
        </w:rPr>
        <w:t xml:space="preserve"> for 2010 and 2012?  For each year, report expenditures in total, separately for </w:t>
      </w:r>
      <w:r>
        <w:rPr>
          <w:i/>
          <w:kern w:val="0"/>
        </w:rPr>
        <w:t>CBDS</w:t>
      </w:r>
      <w:r>
        <w:rPr>
          <w:kern w:val="0"/>
        </w:rPr>
        <w:t xml:space="preserve"> and </w:t>
      </w:r>
      <w:r>
        <w:rPr>
          <w:i/>
          <w:kern w:val="0"/>
        </w:rPr>
        <w:t>PBDS</w:t>
      </w:r>
      <w:r>
        <w:rPr>
          <w:kern w:val="0"/>
        </w:rPr>
        <w:t xml:space="preserve"> purchases, and separately for purchases from </w:t>
      </w:r>
      <w:r>
        <w:rPr>
          <w:i/>
          <w:kern w:val="0"/>
        </w:rPr>
        <w:t>ILECs</w:t>
      </w:r>
      <w:r>
        <w:rPr>
          <w:kern w:val="0"/>
        </w:rPr>
        <w:t xml:space="preserve"> and </w:t>
      </w:r>
      <w:r>
        <w:rPr>
          <w:i/>
          <w:kern w:val="0"/>
        </w:rPr>
        <w:t>Competitive Providers</w:t>
      </w:r>
      <w:r>
        <w:rPr>
          <w:kern w:val="0"/>
        </w:rPr>
        <w:t xml:space="preserve">.  </w:t>
      </w:r>
    </w:p>
    <w:p w:rsidR="00F97D54" w:rsidRDefault="00F97D54" w:rsidP="00EB5B97">
      <w:pPr>
        <w:rPr>
          <w:b/>
          <w:kern w:val="0"/>
        </w:rPr>
      </w:pPr>
    </w:p>
    <w:p w:rsidR="00F97D54" w:rsidRDefault="00F97D54" w:rsidP="00EB5B97">
      <w:pPr>
        <w:numPr>
          <w:ilvl w:val="0"/>
          <w:numId w:val="35"/>
        </w:numPr>
        <w:rPr>
          <w:b/>
          <w:kern w:val="0"/>
        </w:rPr>
      </w:pPr>
      <w:r>
        <w:rPr>
          <w:kern w:val="0"/>
        </w:rPr>
        <w:t xml:space="preserve">Provide your company’s expenditures, </w:t>
      </w:r>
      <w:r>
        <w:rPr>
          <w:i/>
          <w:kern w:val="0"/>
        </w:rPr>
        <w:t>i.e.</w:t>
      </w:r>
      <w:r>
        <w:rPr>
          <w:kern w:val="0"/>
        </w:rPr>
        <w:t xml:space="preserve">, dollar volume of purchases, for </w:t>
      </w:r>
      <w:r>
        <w:rPr>
          <w:i/>
          <w:kern w:val="0"/>
        </w:rPr>
        <w:t>DS1s</w:t>
      </w:r>
      <w:r>
        <w:rPr>
          <w:kern w:val="0"/>
        </w:rPr>
        <w:t xml:space="preserve">, </w:t>
      </w:r>
      <w:r>
        <w:rPr>
          <w:i/>
          <w:kern w:val="0"/>
        </w:rPr>
        <w:t>DS3s</w:t>
      </w:r>
      <w:r>
        <w:rPr>
          <w:kern w:val="0"/>
        </w:rPr>
        <w:t xml:space="preserve">, and/or </w:t>
      </w:r>
      <w:r>
        <w:rPr>
          <w:i/>
          <w:kern w:val="0"/>
        </w:rPr>
        <w:t>PBDS</w:t>
      </w:r>
      <w:r>
        <w:rPr>
          <w:kern w:val="0"/>
        </w:rPr>
        <w:t xml:space="preserve"> purchased from </w:t>
      </w:r>
      <w:r>
        <w:rPr>
          <w:i/>
          <w:kern w:val="0"/>
        </w:rPr>
        <w:t>ILECs</w:t>
      </w:r>
      <w:r>
        <w:rPr>
          <w:kern w:val="0"/>
        </w:rPr>
        <w:t xml:space="preserve"> pursuant to a </w:t>
      </w:r>
      <w:r>
        <w:rPr>
          <w:i/>
          <w:kern w:val="0"/>
        </w:rPr>
        <w:t>Tariff</w:t>
      </w:r>
      <w:r>
        <w:rPr>
          <w:kern w:val="0"/>
        </w:rPr>
        <w:t xml:space="preserve"> in 2010 and in 2012.  For each of the following categories, report expenditures for each year in total and separately for </w:t>
      </w:r>
      <w:r>
        <w:rPr>
          <w:i/>
          <w:kern w:val="0"/>
        </w:rPr>
        <w:t>DS1s</w:t>
      </w:r>
      <w:r>
        <w:rPr>
          <w:kern w:val="0"/>
        </w:rPr>
        <w:t xml:space="preserve">, </w:t>
      </w:r>
      <w:r>
        <w:rPr>
          <w:i/>
          <w:kern w:val="0"/>
        </w:rPr>
        <w:t>DS3s</w:t>
      </w:r>
      <w:r>
        <w:rPr>
          <w:kern w:val="0"/>
        </w:rPr>
        <w:t xml:space="preserve"> and </w:t>
      </w:r>
      <w:r>
        <w:rPr>
          <w:i/>
          <w:kern w:val="0"/>
        </w:rPr>
        <w:t>PBDS</w:t>
      </w:r>
      <w:r>
        <w:rPr>
          <w:kern w:val="0"/>
        </w:rPr>
        <w:t xml:space="preserve">:  </w:t>
      </w:r>
    </w:p>
    <w:p w:rsidR="00F97D54" w:rsidRDefault="00F97D54" w:rsidP="00EB5B97">
      <w:pPr>
        <w:numPr>
          <w:ilvl w:val="1"/>
          <w:numId w:val="43"/>
        </w:numPr>
        <w:rPr>
          <w:i/>
          <w:kern w:val="0"/>
        </w:rPr>
      </w:pPr>
      <w:r>
        <w:rPr>
          <w:kern w:val="0"/>
        </w:rPr>
        <w:t xml:space="preserve">All </w:t>
      </w:r>
      <w:r>
        <w:rPr>
          <w:i/>
          <w:kern w:val="0"/>
        </w:rPr>
        <w:t>DS1s</w:t>
      </w:r>
      <w:r>
        <w:rPr>
          <w:kern w:val="0"/>
        </w:rPr>
        <w:t xml:space="preserve">, </w:t>
      </w:r>
      <w:r>
        <w:rPr>
          <w:i/>
          <w:kern w:val="0"/>
        </w:rPr>
        <w:t>DS3s</w:t>
      </w:r>
      <w:r>
        <w:rPr>
          <w:kern w:val="0"/>
        </w:rPr>
        <w:t xml:space="preserve">, and </w:t>
      </w:r>
      <w:r>
        <w:rPr>
          <w:i/>
          <w:kern w:val="0"/>
        </w:rPr>
        <w:t>PBDS</w:t>
      </w:r>
      <w:r>
        <w:rPr>
          <w:kern w:val="0"/>
        </w:rPr>
        <w:t>;</w:t>
      </w:r>
    </w:p>
    <w:p w:rsidR="00F97D54" w:rsidRDefault="00F97D54" w:rsidP="00EB5B97">
      <w:pPr>
        <w:numPr>
          <w:ilvl w:val="1"/>
          <w:numId w:val="43"/>
        </w:numPr>
        <w:rPr>
          <w:kern w:val="0"/>
        </w:rPr>
      </w:pPr>
      <w:r>
        <w:rPr>
          <w:i/>
          <w:kern w:val="0"/>
        </w:rPr>
        <w:t>DS1s</w:t>
      </w:r>
      <w:r>
        <w:rPr>
          <w:kern w:val="0"/>
        </w:rPr>
        <w:t xml:space="preserve">, </w:t>
      </w:r>
      <w:r>
        <w:rPr>
          <w:i/>
          <w:kern w:val="0"/>
        </w:rPr>
        <w:t>DS3s</w:t>
      </w:r>
      <w:r>
        <w:rPr>
          <w:kern w:val="0"/>
        </w:rPr>
        <w:t xml:space="preserve">, and </w:t>
      </w:r>
      <w:r>
        <w:rPr>
          <w:i/>
          <w:kern w:val="0"/>
        </w:rPr>
        <w:t>PBDS</w:t>
      </w:r>
      <w:r>
        <w:rPr>
          <w:kern w:val="0"/>
        </w:rPr>
        <w:t xml:space="preserve"> purchased at </w:t>
      </w:r>
      <w:r>
        <w:rPr>
          <w:i/>
          <w:kern w:val="0"/>
        </w:rPr>
        <w:t>One Month Term Only Rates</w:t>
      </w:r>
      <w:r>
        <w:rPr>
          <w:kern w:val="0"/>
        </w:rPr>
        <w:t>;</w:t>
      </w:r>
    </w:p>
    <w:p w:rsidR="00F97D54" w:rsidRDefault="00F97D54" w:rsidP="00EB5B97">
      <w:pPr>
        <w:numPr>
          <w:ilvl w:val="1"/>
          <w:numId w:val="43"/>
        </w:numPr>
        <w:rPr>
          <w:kern w:val="0"/>
        </w:rPr>
      </w:pPr>
      <w:r>
        <w:rPr>
          <w:i/>
          <w:kern w:val="0"/>
        </w:rPr>
        <w:t>DS1s</w:t>
      </w:r>
      <w:r>
        <w:rPr>
          <w:kern w:val="0"/>
        </w:rPr>
        <w:t xml:space="preserve">, </w:t>
      </w:r>
      <w:r>
        <w:rPr>
          <w:i/>
          <w:kern w:val="0"/>
        </w:rPr>
        <w:t>DS3s</w:t>
      </w:r>
      <w:r>
        <w:rPr>
          <w:kern w:val="0"/>
        </w:rPr>
        <w:t xml:space="preserve">, and </w:t>
      </w:r>
      <w:r>
        <w:rPr>
          <w:i/>
          <w:kern w:val="0"/>
        </w:rPr>
        <w:t>PBDS</w:t>
      </w:r>
      <w:r>
        <w:rPr>
          <w:kern w:val="0"/>
        </w:rPr>
        <w:t xml:space="preserve"> purchased under </w:t>
      </w:r>
      <w:r>
        <w:rPr>
          <w:i/>
          <w:kern w:val="0"/>
        </w:rPr>
        <w:t>Tariff Plans</w:t>
      </w:r>
      <w:r>
        <w:rPr>
          <w:kern w:val="0"/>
        </w:rPr>
        <w:t>;</w:t>
      </w:r>
    </w:p>
    <w:p w:rsidR="00F97D54" w:rsidRDefault="00F97D54" w:rsidP="00EB5B97">
      <w:pPr>
        <w:numPr>
          <w:ilvl w:val="0"/>
          <w:numId w:val="45"/>
        </w:numPr>
        <w:rPr>
          <w:kern w:val="0"/>
        </w:rPr>
      </w:pPr>
      <w:r>
        <w:rPr>
          <w:i/>
          <w:kern w:val="0"/>
        </w:rPr>
        <w:t>DS1s</w:t>
      </w:r>
      <w:r>
        <w:rPr>
          <w:kern w:val="0"/>
        </w:rPr>
        <w:t xml:space="preserve">, </w:t>
      </w:r>
      <w:r>
        <w:rPr>
          <w:i/>
          <w:kern w:val="0"/>
        </w:rPr>
        <w:t>DS3s</w:t>
      </w:r>
      <w:r>
        <w:rPr>
          <w:kern w:val="0"/>
        </w:rPr>
        <w:t xml:space="preserve">, and </w:t>
      </w:r>
      <w:r>
        <w:rPr>
          <w:i/>
          <w:kern w:val="0"/>
        </w:rPr>
        <w:t>PBDS</w:t>
      </w:r>
      <w:r>
        <w:rPr>
          <w:kern w:val="0"/>
        </w:rPr>
        <w:t xml:space="preserve"> purchased under </w:t>
      </w:r>
      <w:r>
        <w:rPr>
          <w:i/>
          <w:kern w:val="0"/>
        </w:rPr>
        <w:t>Contract-Based Tariffs</w:t>
      </w:r>
      <w:r>
        <w:rPr>
          <w:kern w:val="0"/>
        </w:rPr>
        <w:t>;</w:t>
      </w:r>
    </w:p>
    <w:p w:rsidR="00F97D54" w:rsidRDefault="00F97D54" w:rsidP="00EB5B97">
      <w:pPr>
        <w:numPr>
          <w:ilvl w:val="0"/>
          <w:numId w:val="59"/>
        </w:numPr>
        <w:rPr>
          <w:kern w:val="0"/>
        </w:rPr>
      </w:pPr>
      <w:r>
        <w:rPr>
          <w:i/>
          <w:kern w:val="0"/>
        </w:rPr>
        <w:t>DS1s</w:t>
      </w:r>
      <w:r>
        <w:rPr>
          <w:kern w:val="0"/>
        </w:rPr>
        <w:t xml:space="preserve">, </w:t>
      </w:r>
      <w:r>
        <w:rPr>
          <w:i/>
          <w:kern w:val="0"/>
        </w:rPr>
        <w:t>DS3s</w:t>
      </w:r>
      <w:r>
        <w:rPr>
          <w:kern w:val="0"/>
        </w:rPr>
        <w:t xml:space="preserve">, and </w:t>
      </w:r>
      <w:r>
        <w:rPr>
          <w:i/>
          <w:kern w:val="0"/>
        </w:rPr>
        <w:t>PBDS</w:t>
      </w:r>
      <w:r>
        <w:rPr>
          <w:kern w:val="0"/>
        </w:rPr>
        <w:t xml:space="preserve"> purchased under </w:t>
      </w:r>
      <w:r>
        <w:rPr>
          <w:i/>
          <w:kern w:val="0"/>
        </w:rPr>
        <w:t xml:space="preserve">Tariff Plans </w:t>
      </w:r>
      <w:r>
        <w:rPr>
          <w:kern w:val="0"/>
        </w:rPr>
        <w:t xml:space="preserve">that contained a </w:t>
      </w:r>
      <w:r>
        <w:rPr>
          <w:i/>
          <w:kern w:val="0"/>
        </w:rPr>
        <w:t>Term Commitment</w:t>
      </w:r>
      <w:r>
        <w:rPr>
          <w:kern w:val="0"/>
        </w:rPr>
        <w:t xml:space="preserve"> but not a </w:t>
      </w:r>
      <w:r>
        <w:rPr>
          <w:i/>
          <w:kern w:val="0"/>
        </w:rPr>
        <w:t>Volume Commitment</w:t>
      </w:r>
      <w:r>
        <w:rPr>
          <w:kern w:val="0"/>
        </w:rPr>
        <w:t>;</w:t>
      </w:r>
    </w:p>
    <w:p w:rsidR="00F97D54" w:rsidRDefault="00F97D54" w:rsidP="00EB5B97">
      <w:pPr>
        <w:numPr>
          <w:ilvl w:val="1"/>
          <w:numId w:val="46"/>
        </w:numPr>
        <w:rPr>
          <w:kern w:val="0"/>
        </w:rPr>
      </w:pPr>
      <w:r>
        <w:rPr>
          <w:i/>
          <w:kern w:val="0"/>
        </w:rPr>
        <w:t>DS1s</w:t>
      </w:r>
      <w:r>
        <w:rPr>
          <w:kern w:val="0"/>
        </w:rPr>
        <w:t xml:space="preserve">, </w:t>
      </w:r>
      <w:r>
        <w:rPr>
          <w:i/>
          <w:kern w:val="0"/>
        </w:rPr>
        <w:t>DS3s</w:t>
      </w:r>
      <w:r>
        <w:rPr>
          <w:kern w:val="0"/>
        </w:rPr>
        <w:t xml:space="preserve">, and </w:t>
      </w:r>
      <w:r>
        <w:rPr>
          <w:i/>
          <w:kern w:val="0"/>
        </w:rPr>
        <w:t>PBDS</w:t>
      </w:r>
      <w:r>
        <w:rPr>
          <w:kern w:val="0"/>
        </w:rPr>
        <w:t xml:space="preserve"> purchased under </w:t>
      </w:r>
      <w:r>
        <w:rPr>
          <w:i/>
          <w:kern w:val="0"/>
        </w:rPr>
        <w:t>Tariff Plans</w:t>
      </w:r>
      <w:r>
        <w:rPr>
          <w:kern w:val="0"/>
        </w:rPr>
        <w:t xml:space="preserve"> that contained a </w:t>
      </w:r>
      <w:r>
        <w:rPr>
          <w:i/>
          <w:kern w:val="0"/>
        </w:rPr>
        <w:t>Prior Purchase-Based Commitment</w:t>
      </w:r>
      <w:r>
        <w:rPr>
          <w:kern w:val="0"/>
        </w:rPr>
        <w:t>;</w:t>
      </w:r>
    </w:p>
    <w:p w:rsidR="00F97D54" w:rsidRDefault="00F97D54" w:rsidP="00EB5B97">
      <w:pPr>
        <w:numPr>
          <w:ilvl w:val="0"/>
          <w:numId w:val="60"/>
        </w:numPr>
        <w:spacing w:after="120"/>
        <w:rPr>
          <w:kern w:val="0"/>
        </w:rPr>
      </w:pPr>
      <w:r>
        <w:rPr>
          <w:kern w:val="0"/>
        </w:rPr>
        <w:t xml:space="preserve">Of the total (and for the separate </w:t>
      </w:r>
      <w:r>
        <w:rPr>
          <w:i/>
          <w:kern w:val="0"/>
        </w:rPr>
        <w:t>DS1</w:t>
      </w:r>
      <w:r>
        <w:rPr>
          <w:kern w:val="0"/>
        </w:rPr>
        <w:t xml:space="preserve">, </w:t>
      </w:r>
      <w:r>
        <w:rPr>
          <w:i/>
          <w:kern w:val="0"/>
        </w:rPr>
        <w:t>DS3</w:t>
      </w:r>
      <w:r>
        <w:rPr>
          <w:kern w:val="0"/>
        </w:rPr>
        <w:t xml:space="preserve">, and </w:t>
      </w:r>
      <w:r>
        <w:rPr>
          <w:i/>
          <w:kern w:val="0"/>
        </w:rPr>
        <w:t>PBDS</w:t>
      </w:r>
      <w:r>
        <w:rPr>
          <w:kern w:val="0"/>
        </w:rPr>
        <w:t xml:space="preserve"> totals where applicable), indicate the average discount from the </w:t>
      </w:r>
      <w:r>
        <w:rPr>
          <w:i/>
          <w:kern w:val="0"/>
        </w:rPr>
        <w:t>One Month Term Only Rate</w:t>
      </w:r>
      <w:r>
        <w:rPr>
          <w:kern w:val="0"/>
        </w:rPr>
        <w:t xml:space="preserve"> incorporated in the expenditures.</w:t>
      </w:r>
    </w:p>
    <w:p w:rsidR="00F97D54" w:rsidRDefault="00F97D54" w:rsidP="00EB5B97">
      <w:pPr>
        <w:spacing w:after="120"/>
        <w:ind w:left="1440"/>
        <w:rPr>
          <w:kern w:val="0"/>
        </w:rPr>
      </w:pPr>
      <w:r>
        <w:rPr>
          <w:kern w:val="0"/>
        </w:rPr>
        <w:t xml:space="preserve">For purposes of calculating the percentages described above, an example would be a </w:t>
      </w:r>
      <w:r>
        <w:rPr>
          <w:i/>
          <w:kern w:val="0"/>
        </w:rPr>
        <w:t>Tariff Plan</w:t>
      </w:r>
      <w:r>
        <w:rPr>
          <w:kern w:val="0"/>
        </w:rPr>
        <w:t xml:space="preserve"> that requires a purchase of 20 </w:t>
      </w:r>
      <w:r>
        <w:rPr>
          <w:i/>
          <w:kern w:val="0"/>
        </w:rPr>
        <w:t>DS1</w:t>
      </w:r>
      <w:r>
        <w:rPr>
          <w:kern w:val="0"/>
        </w:rPr>
        <w:t xml:space="preserve">s and 10 </w:t>
      </w:r>
      <w:r>
        <w:rPr>
          <w:i/>
          <w:kern w:val="0"/>
        </w:rPr>
        <w:t>DS3</w:t>
      </w:r>
      <w:r>
        <w:rPr>
          <w:kern w:val="0"/>
        </w:rPr>
        <w:t xml:space="preserve">s and generates expenditures of $2,000 for calendar-year 2012.  If those same circuits were purchased at </w:t>
      </w:r>
      <w:r>
        <w:rPr>
          <w:i/>
          <w:kern w:val="0"/>
        </w:rPr>
        <w:t xml:space="preserve">One Month Term Only Rates </w:t>
      </w:r>
      <w:r>
        <w:rPr>
          <w:kern w:val="0"/>
        </w:rPr>
        <w:t xml:space="preserve">of $100 per </w:t>
      </w:r>
      <w:r>
        <w:rPr>
          <w:i/>
          <w:kern w:val="0"/>
        </w:rPr>
        <w:t>DS1</w:t>
      </w:r>
      <w:r>
        <w:rPr>
          <w:kern w:val="0"/>
        </w:rPr>
        <w:t xml:space="preserve"> and $200 per </w:t>
      </w:r>
      <w:r>
        <w:rPr>
          <w:i/>
          <w:kern w:val="0"/>
        </w:rPr>
        <w:t>DS3</w:t>
      </w:r>
      <w:r>
        <w:rPr>
          <w:kern w:val="0"/>
        </w:rPr>
        <w:t xml:space="preserve">, then total expenditures would instead be $4,000.  Since the </w:t>
      </w:r>
      <w:r>
        <w:rPr>
          <w:i/>
          <w:kern w:val="0"/>
        </w:rPr>
        <w:t>Tariff Plan</w:t>
      </w:r>
      <w:r>
        <w:rPr>
          <w:kern w:val="0"/>
        </w:rPr>
        <w:t xml:space="preserve"> under this scenario generated 50% of the expenditures that would be generated from </w:t>
      </w:r>
      <w:r>
        <w:rPr>
          <w:i/>
          <w:kern w:val="0"/>
        </w:rPr>
        <w:t>One Month Term Only Rates</w:t>
      </w:r>
      <w:r>
        <w:rPr>
          <w:kern w:val="0"/>
        </w:rPr>
        <w:t>, the discount would be 50%.</w:t>
      </w:r>
    </w:p>
    <w:p w:rsidR="00F97D54" w:rsidRDefault="00F97D54" w:rsidP="00EB5B97">
      <w:pPr>
        <w:numPr>
          <w:ilvl w:val="0"/>
          <w:numId w:val="44"/>
        </w:numPr>
        <w:rPr>
          <w:kern w:val="0"/>
        </w:rPr>
      </w:pPr>
      <w:r>
        <w:rPr>
          <w:i/>
          <w:kern w:val="0"/>
        </w:rPr>
        <w:t>DS1s</w:t>
      </w:r>
      <w:r>
        <w:rPr>
          <w:kern w:val="0"/>
        </w:rPr>
        <w:t xml:space="preserve">, </w:t>
      </w:r>
      <w:r>
        <w:rPr>
          <w:i/>
          <w:kern w:val="0"/>
        </w:rPr>
        <w:t>DS3s</w:t>
      </w:r>
      <w:r>
        <w:rPr>
          <w:kern w:val="0"/>
        </w:rPr>
        <w:t xml:space="preserve">, and </w:t>
      </w:r>
      <w:r>
        <w:rPr>
          <w:i/>
          <w:kern w:val="0"/>
        </w:rPr>
        <w:t>PBDS</w:t>
      </w:r>
      <w:r>
        <w:rPr>
          <w:kern w:val="0"/>
        </w:rPr>
        <w:t xml:space="preserve"> purchased under </w:t>
      </w:r>
      <w:r>
        <w:rPr>
          <w:i/>
          <w:kern w:val="0"/>
        </w:rPr>
        <w:t xml:space="preserve">Contract-Based Tariffs </w:t>
      </w:r>
      <w:r>
        <w:rPr>
          <w:kern w:val="0"/>
        </w:rPr>
        <w:t xml:space="preserve">that contained a </w:t>
      </w:r>
      <w:r>
        <w:rPr>
          <w:i/>
          <w:kern w:val="0"/>
        </w:rPr>
        <w:t>Term Commitment</w:t>
      </w:r>
      <w:r>
        <w:rPr>
          <w:kern w:val="0"/>
        </w:rPr>
        <w:t xml:space="preserve"> but not a </w:t>
      </w:r>
      <w:r>
        <w:rPr>
          <w:i/>
          <w:kern w:val="0"/>
        </w:rPr>
        <w:t>Volume Commitment</w:t>
      </w:r>
      <w:r>
        <w:rPr>
          <w:kern w:val="0"/>
        </w:rPr>
        <w:t>; and</w:t>
      </w:r>
    </w:p>
    <w:p w:rsidR="00F97D54" w:rsidRDefault="00F97D54" w:rsidP="00EB5B97">
      <w:pPr>
        <w:numPr>
          <w:ilvl w:val="0"/>
          <w:numId w:val="44"/>
        </w:numPr>
        <w:outlineLvl w:val="0"/>
        <w:rPr>
          <w:kern w:val="0"/>
        </w:rPr>
      </w:pPr>
      <w:r>
        <w:rPr>
          <w:i/>
          <w:kern w:val="0"/>
        </w:rPr>
        <w:t>DS1s</w:t>
      </w:r>
      <w:r>
        <w:rPr>
          <w:kern w:val="0"/>
        </w:rPr>
        <w:t xml:space="preserve">, </w:t>
      </w:r>
      <w:r>
        <w:rPr>
          <w:i/>
          <w:kern w:val="0"/>
        </w:rPr>
        <w:t>DS3s</w:t>
      </w:r>
      <w:r>
        <w:rPr>
          <w:kern w:val="0"/>
        </w:rPr>
        <w:t xml:space="preserve">, and </w:t>
      </w:r>
      <w:r>
        <w:rPr>
          <w:i/>
          <w:kern w:val="0"/>
        </w:rPr>
        <w:t>PBDS</w:t>
      </w:r>
      <w:r>
        <w:rPr>
          <w:kern w:val="0"/>
        </w:rPr>
        <w:t xml:space="preserve"> purchased under </w:t>
      </w:r>
      <w:r>
        <w:rPr>
          <w:i/>
          <w:kern w:val="0"/>
        </w:rPr>
        <w:t>Contract-Based Tariffs</w:t>
      </w:r>
      <w:r>
        <w:rPr>
          <w:kern w:val="0"/>
        </w:rPr>
        <w:t xml:space="preserve"> that contained a </w:t>
      </w:r>
      <w:r>
        <w:rPr>
          <w:i/>
          <w:kern w:val="0"/>
        </w:rPr>
        <w:t>Prior Purchase-Based Commitment</w:t>
      </w:r>
      <w:r>
        <w:rPr>
          <w:kern w:val="0"/>
        </w:rPr>
        <w:t>;</w:t>
      </w:r>
    </w:p>
    <w:p w:rsidR="00F97D54" w:rsidRDefault="00F97D54" w:rsidP="00EB5B97">
      <w:pPr>
        <w:numPr>
          <w:ilvl w:val="0"/>
          <w:numId w:val="61"/>
        </w:numPr>
        <w:tabs>
          <w:tab w:val="left" w:pos="1920"/>
        </w:tabs>
        <w:spacing w:after="120"/>
        <w:rPr>
          <w:kern w:val="0"/>
        </w:rPr>
      </w:pPr>
      <w:r>
        <w:rPr>
          <w:kern w:val="0"/>
        </w:rPr>
        <w:t xml:space="preserve">Of the total (and for the separate </w:t>
      </w:r>
      <w:r>
        <w:rPr>
          <w:i/>
          <w:kern w:val="0"/>
        </w:rPr>
        <w:t>DS1</w:t>
      </w:r>
      <w:r>
        <w:rPr>
          <w:kern w:val="0"/>
        </w:rPr>
        <w:t xml:space="preserve"> and </w:t>
      </w:r>
      <w:r>
        <w:rPr>
          <w:i/>
          <w:kern w:val="0"/>
        </w:rPr>
        <w:t>DS3</w:t>
      </w:r>
      <w:r>
        <w:rPr>
          <w:kern w:val="0"/>
        </w:rPr>
        <w:t xml:space="preserve"> totals if available), indicate the average discount from the </w:t>
      </w:r>
      <w:r>
        <w:rPr>
          <w:i/>
          <w:kern w:val="0"/>
        </w:rPr>
        <w:t>One Month Term Only Rate</w:t>
      </w:r>
      <w:r>
        <w:rPr>
          <w:kern w:val="0"/>
        </w:rPr>
        <w:t xml:space="preserve"> incorporated in the expenditures.</w:t>
      </w:r>
    </w:p>
    <w:p w:rsidR="00F97D54" w:rsidRDefault="00F97D54" w:rsidP="00EB5B97">
      <w:pPr>
        <w:tabs>
          <w:tab w:val="left" w:pos="1440"/>
          <w:tab w:val="left" w:pos="1680"/>
          <w:tab w:val="left" w:pos="1920"/>
        </w:tabs>
        <w:spacing w:after="120"/>
        <w:ind w:left="1800"/>
        <w:rPr>
          <w:kern w:val="0"/>
        </w:rPr>
      </w:pPr>
      <w:r>
        <w:rPr>
          <w:kern w:val="0"/>
        </w:rPr>
        <w:t>An example of how to calculate this percentage can be found at question II.E.4.f.i.</w:t>
      </w:r>
    </w:p>
    <w:p w:rsidR="00F97D54" w:rsidRDefault="00F97D54" w:rsidP="00EB5B97">
      <w:pPr>
        <w:numPr>
          <w:ilvl w:val="0"/>
          <w:numId w:val="126"/>
        </w:numPr>
        <w:tabs>
          <w:tab w:val="left" w:pos="1440"/>
          <w:tab w:val="left" w:pos="1680"/>
          <w:tab w:val="left" w:pos="1920"/>
        </w:tabs>
        <w:rPr>
          <w:kern w:val="0"/>
        </w:rPr>
      </w:pPr>
      <w:r>
        <w:rPr>
          <w:kern w:val="0"/>
        </w:rPr>
        <w:t xml:space="preserve">What percentage of your expenditures in 2012 were subject to a </w:t>
      </w:r>
      <w:r w:rsidRPr="00734642">
        <w:rPr>
          <w:i/>
          <w:kern w:val="0"/>
        </w:rPr>
        <w:t>Term Commitment</w:t>
      </w:r>
      <w:r>
        <w:rPr>
          <w:kern w:val="0"/>
        </w:rPr>
        <w:t xml:space="preserve"> of five or more years?</w:t>
      </w:r>
    </w:p>
    <w:p w:rsidR="00F97D54" w:rsidRDefault="00F97D54" w:rsidP="00EB5B97">
      <w:pPr>
        <w:tabs>
          <w:tab w:val="left" w:pos="1440"/>
          <w:tab w:val="left" w:pos="1680"/>
          <w:tab w:val="left" w:pos="1920"/>
        </w:tabs>
        <w:ind w:left="1800"/>
        <w:rPr>
          <w:kern w:val="0"/>
        </w:rPr>
      </w:pPr>
    </w:p>
    <w:p w:rsidR="00F97D54" w:rsidRDefault="00F97D54" w:rsidP="00EB5B97">
      <w:pPr>
        <w:numPr>
          <w:ilvl w:val="0"/>
          <w:numId w:val="35"/>
        </w:numPr>
        <w:tabs>
          <w:tab w:val="left" w:pos="1440"/>
          <w:tab w:val="left" w:pos="1680"/>
          <w:tab w:val="left" w:pos="1920"/>
        </w:tabs>
        <w:rPr>
          <w:kern w:val="0"/>
        </w:rPr>
      </w:pPr>
      <w:r>
        <w:rPr>
          <w:kern w:val="0"/>
        </w:rPr>
        <w:t xml:space="preserve">What were your expenditures, </w:t>
      </w:r>
      <w:r>
        <w:rPr>
          <w:i/>
          <w:kern w:val="0"/>
        </w:rPr>
        <w:t>i.e.</w:t>
      </w:r>
      <w:r>
        <w:rPr>
          <w:kern w:val="0"/>
        </w:rPr>
        <w:t xml:space="preserve">, dollar volume of purchases, on </w:t>
      </w:r>
      <w:r>
        <w:rPr>
          <w:i/>
          <w:kern w:val="0"/>
        </w:rPr>
        <w:t>DS1s</w:t>
      </w:r>
      <w:r>
        <w:rPr>
          <w:kern w:val="0"/>
        </w:rPr>
        <w:t xml:space="preserve">, </w:t>
      </w:r>
      <w:r>
        <w:rPr>
          <w:i/>
          <w:kern w:val="0"/>
        </w:rPr>
        <w:t>DS3s</w:t>
      </w:r>
      <w:r>
        <w:rPr>
          <w:kern w:val="0"/>
        </w:rPr>
        <w:t xml:space="preserve">, and/or </w:t>
      </w:r>
      <w:r>
        <w:rPr>
          <w:i/>
          <w:kern w:val="0"/>
        </w:rPr>
        <w:t>PBDS</w:t>
      </w:r>
      <w:r>
        <w:rPr>
          <w:kern w:val="0"/>
        </w:rPr>
        <w:t xml:space="preserve"> purchased from </w:t>
      </w:r>
      <w:r>
        <w:rPr>
          <w:i/>
          <w:kern w:val="0"/>
        </w:rPr>
        <w:t>Competitive Providers</w:t>
      </w:r>
      <w:r>
        <w:rPr>
          <w:kern w:val="0"/>
        </w:rPr>
        <w:t xml:space="preserve"> pursuant to a </w:t>
      </w:r>
      <w:r>
        <w:rPr>
          <w:i/>
          <w:kern w:val="0"/>
        </w:rPr>
        <w:t>Tariff</w:t>
      </w:r>
      <w:r>
        <w:rPr>
          <w:kern w:val="0"/>
        </w:rPr>
        <w:t xml:space="preserve"> in 2010 and in 2012?  Report expenditures in total and separately for </w:t>
      </w:r>
      <w:r>
        <w:rPr>
          <w:i/>
          <w:kern w:val="0"/>
        </w:rPr>
        <w:t>DS1s</w:t>
      </w:r>
      <w:r>
        <w:rPr>
          <w:kern w:val="0"/>
        </w:rPr>
        <w:t xml:space="preserve">, </w:t>
      </w:r>
      <w:r>
        <w:rPr>
          <w:i/>
          <w:kern w:val="0"/>
        </w:rPr>
        <w:t>DS3s</w:t>
      </w:r>
      <w:r>
        <w:rPr>
          <w:kern w:val="0"/>
        </w:rPr>
        <w:t xml:space="preserve"> and </w:t>
      </w:r>
      <w:r>
        <w:rPr>
          <w:i/>
          <w:kern w:val="0"/>
        </w:rPr>
        <w:t>PBDS</w:t>
      </w:r>
      <w:r>
        <w:rPr>
          <w:kern w:val="0"/>
        </w:rPr>
        <w:t>, as applicable, for the following categories for each year:</w:t>
      </w:r>
    </w:p>
    <w:p w:rsidR="00F97D54" w:rsidRDefault="00F97D54" w:rsidP="00EB5B97">
      <w:pPr>
        <w:numPr>
          <w:ilvl w:val="1"/>
          <w:numId w:val="65"/>
        </w:numPr>
        <w:rPr>
          <w:i/>
          <w:kern w:val="0"/>
        </w:rPr>
      </w:pPr>
      <w:r>
        <w:rPr>
          <w:kern w:val="0"/>
        </w:rPr>
        <w:t xml:space="preserve">All </w:t>
      </w:r>
      <w:r>
        <w:rPr>
          <w:i/>
          <w:kern w:val="0"/>
        </w:rPr>
        <w:t>DS1s</w:t>
      </w:r>
      <w:r>
        <w:rPr>
          <w:kern w:val="0"/>
        </w:rPr>
        <w:t xml:space="preserve">, </w:t>
      </w:r>
      <w:r>
        <w:rPr>
          <w:i/>
          <w:kern w:val="0"/>
        </w:rPr>
        <w:t>DS3s</w:t>
      </w:r>
      <w:r>
        <w:rPr>
          <w:kern w:val="0"/>
        </w:rPr>
        <w:t xml:space="preserve">, and </w:t>
      </w:r>
      <w:r>
        <w:rPr>
          <w:i/>
          <w:kern w:val="0"/>
        </w:rPr>
        <w:t>PBDS</w:t>
      </w:r>
      <w:r>
        <w:rPr>
          <w:kern w:val="0"/>
        </w:rPr>
        <w:t>;</w:t>
      </w:r>
    </w:p>
    <w:p w:rsidR="00F97D54" w:rsidRDefault="00F97D54" w:rsidP="00EB5B97">
      <w:pPr>
        <w:numPr>
          <w:ilvl w:val="1"/>
          <w:numId w:val="65"/>
        </w:numPr>
        <w:rPr>
          <w:kern w:val="0"/>
        </w:rPr>
      </w:pPr>
      <w:r>
        <w:rPr>
          <w:i/>
          <w:kern w:val="0"/>
        </w:rPr>
        <w:t>DS1s</w:t>
      </w:r>
      <w:r>
        <w:rPr>
          <w:kern w:val="0"/>
        </w:rPr>
        <w:t xml:space="preserve">, </w:t>
      </w:r>
      <w:r>
        <w:rPr>
          <w:i/>
          <w:kern w:val="0"/>
        </w:rPr>
        <w:t>DS3s</w:t>
      </w:r>
      <w:r>
        <w:rPr>
          <w:kern w:val="0"/>
        </w:rPr>
        <w:t xml:space="preserve">, and </w:t>
      </w:r>
      <w:r>
        <w:rPr>
          <w:i/>
          <w:kern w:val="0"/>
        </w:rPr>
        <w:t>PBDS</w:t>
      </w:r>
      <w:r>
        <w:rPr>
          <w:kern w:val="0"/>
        </w:rPr>
        <w:t xml:space="preserve"> purchased at </w:t>
      </w:r>
      <w:r>
        <w:rPr>
          <w:i/>
          <w:kern w:val="0"/>
        </w:rPr>
        <w:t>One Month Term Only Rates</w:t>
      </w:r>
      <w:r>
        <w:rPr>
          <w:kern w:val="0"/>
        </w:rPr>
        <w:t>;</w:t>
      </w:r>
    </w:p>
    <w:p w:rsidR="00F97D54" w:rsidRDefault="00F97D54" w:rsidP="00EB5B97">
      <w:pPr>
        <w:numPr>
          <w:ilvl w:val="1"/>
          <w:numId w:val="65"/>
        </w:numPr>
        <w:rPr>
          <w:kern w:val="0"/>
        </w:rPr>
      </w:pPr>
      <w:r>
        <w:rPr>
          <w:i/>
          <w:kern w:val="0"/>
        </w:rPr>
        <w:t>DS1s</w:t>
      </w:r>
      <w:r>
        <w:rPr>
          <w:kern w:val="0"/>
        </w:rPr>
        <w:t xml:space="preserve">, </w:t>
      </w:r>
      <w:r>
        <w:rPr>
          <w:i/>
          <w:kern w:val="0"/>
        </w:rPr>
        <w:t>DS3s</w:t>
      </w:r>
      <w:r>
        <w:rPr>
          <w:kern w:val="0"/>
        </w:rPr>
        <w:t xml:space="preserve">, and </w:t>
      </w:r>
      <w:r>
        <w:rPr>
          <w:i/>
          <w:kern w:val="0"/>
        </w:rPr>
        <w:t>PBDS</w:t>
      </w:r>
      <w:r>
        <w:rPr>
          <w:kern w:val="0"/>
        </w:rPr>
        <w:t xml:space="preserve"> purchased under </w:t>
      </w:r>
      <w:r>
        <w:rPr>
          <w:i/>
          <w:kern w:val="0"/>
        </w:rPr>
        <w:t xml:space="preserve">Tariffs </w:t>
      </w:r>
      <w:r>
        <w:rPr>
          <w:kern w:val="0"/>
        </w:rPr>
        <w:t xml:space="preserve">that contained a </w:t>
      </w:r>
      <w:r>
        <w:rPr>
          <w:i/>
          <w:kern w:val="0"/>
        </w:rPr>
        <w:t>Term Commitment</w:t>
      </w:r>
      <w:r>
        <w:rPr>
          <w:kern w:val="0"/>
        </w:rPr>
        <w:t xml:space="preserve"> but not a </w:t>
      </w:r>
      <w:r>
        <w:rPr>
          <w:i/>
          <w:kern w:val="0"/>
        </w:rPr>
        <w:t>Volume Commitment</w:t>
      </w:r>
      <w:r>
        <w:rPr>
          <w:kern w:val="0"/>
        </w:rPr>
        <w:t>;</w:t>
      </w:r>
    </w:p>
    <w:p w:rsidR="00F97D54" w:rsidRDefault="00F97D54" w:rsidP="00EB5B97">
      <w:pPr>
        <w:numPr>
          <w:ilvl w:val="1"/>
          <w:numId w:val="65"/>
        </w:numPr>
        <w:rPr>
          <w:kern w:val="0"/>
        </w:rPr>
      </w:pPr>
      <w:r>
        <w:rPr>
          <w:i/>
          <w:kern w:val="0"/>
        </w:rPr>
        <w:t>DS1s</w:t>
      </w:r>
      <w:r>
        <w:rPr>
          <w:kern w:val="0"/>
        </w:rPr>
        <w:t xml:space="preserve">, </w:t>
      </w:r>
      <w:r>
        <w:rPr>
          <w:i/>
          <w:kern w:val="0"/>
        </w:rPr>
        <w:t>DS3s</w:t>
      </w:r>
      <w:r>
        <w:rPr>
          <w:kern w:val="0"/>
        </w:rPr>
        <w:t xml:space="preserve">, and </w:t>
      </w:r>
      <w:r>
        <w:rPr>
          <w:i/>
          <w:kern w:val="0"/>
        </w:rPr>
        <w:t>PBDS</w:t>
      </w:r>
      <w:r>
        <w:rPr>
          <w:kern w:val="0"/>
        </w:rPr>
        <w:t xml:space="preserve"> purchased under </w:t>
      </w:r>
      <w:r>
        <w:rPr>
          <w:i/>
          <w:kern w:val="0"/>
        </w:rPr>
        <w:t>Tariffs</w:t>
      </w:r>
      <w:r>
        <w:rPr>
          <w:kern w:val="0"/>
        </w:rPr>
        <w:t xml:space="preserve"> that contained a </w:t>
      </w:r>
      <w:r>
        <w:rPr>
          <w:i/>
          <w:kern w:val="0"/>
        </w:rPr>
        <w:t>Prior Purchase-Based Commitment</w:t>
      </w:r>
      <w:r>
        <w:rPr>
          <w:kern w:val="0"/>
        </w:rPr>
        <w:t>;</w:t>
      </w:r>
    </w:p>
    <w:p w:rsidR="00F97D54" w:rsidRDefault="00F97D54" w:rsidP="00EB5B97">
      <w:pPr>
        <w:numPr>
          <w:ilvl w:val="0"/>
          <w:numId w:val="78"/>
        </w:numPr>
        <w:rPr>
          <w:kern w:val="0"/>
        </w:rPr>
      </w:pPr>
      <w:r>
        <w:rPr>
          <w:kern w:val="0"/>
        </w:rPr>
        <w:t xml:space="preserve">Of the total (and for the separate </w:t>
      </w:r>
      <w:r>
        <w:rPr>
          <w:i/>
          <w:kern w:val="0"/>
        </w:rPr>
        <w:t>DS1</w:t>
      </w:r>
      <w:r>
        <w:rPr>
          <w:kern w:val="0"/>
        </w:rPr>
        <w:t xml:space="preserve">, </w:t>
      </w:r>
      <w:r>
        <w:rPr>
          <w:i/>
          <w:kern w:val="0"/>
        </w:rPr>
        <w:t>DS3</w:t>
      </w:r>
      <w:r>
        <w:rPr>
          <w:kern w:val="0"/>
        </w:rPr>
        <w:t xml:space="preserve">, and </w:t>
      </w:r>
      <w:r>
        <w:rPr>
          <w:i/>
          <w:kern w:val="0"/>
        </w:rPr>
        <w:t>PBDS</w:t>
      </w:r>
      <w:r>
        <w:rPr>
          <w:kern w:val="0"/>
        </w:rPr>
        <w:t xml:space="preserve"> totals where applicable), indicate the average discount from the </w:t>
      </w:r>
      <w:r>
        <w:rPr>
          <w:i/>
          <w:kern w:val="0"/>
        </w:rPr>
        <w:t>One Month Term Only Rate</w:t>
      </w:r>
      <w:r>
        <w:rPr>
          <w:kern w:val="0"/>
        </w:rPr>
        <w:t xml:space="preserve"> incorporated in the expenditures.  </w:t>
      </w:r>
    </w:p>
    <w:p w:rsidR="00F97D54" w:rsidRDefault="00F97D54" w:rsidP="00EB5B97">
      <w:pPr>
        <w:ind w:left="1800"/>
        <w:rPr>
          <w:kern w:val="0"/>
        </w:rPr>
      </w:pPr>
    </w:p>
    <w:p w:rsidR="00F97D54" w:rsidRDefault="00F97D54" w:rsidP="00EB5B97">
      <w:pPr>
        <w:spacing w:after="120"/>
        <w:ind w:left="1800"/>
        <w:rPr>
          <w:kern w:val="0"/>
        </w:rPr>
      </w:pPr>
      <w:r>
        <w:rPr>
          <w:kern w:val="0"/>
        </w:rPr>
        <w:t>An example of how to calculate this percentage can be found at question II.E.4.f.i</w:t>
      </w:r>
    </w:p>
    <w:p w:rsidR="00F97D54" w:rsidRDefault="00F97D54" w:rsidP="00EB5B97">
      <w:pPr>
        <w:numPr>
          <w:ilvl w:val="0"/>
          <w:numId w:val="125"/>
        </w:numPr>
        <w:rPr>
          <w:kern w:val="0"/>
        </w:rPr>
      </w:pPr>
      <w:r>
        <w:rPr>
          <w:kern w:val="0"/>
        </w:rPr>
        <w:t xml:space="preserve">What percentage of your expenditures in 2012 were subject to a </w:t>
      </w:r>
      <w:r w:rsidRPr="00734642">
        <w:rPr>
          <w:i/>
          <w:kern w:val="0"/>
        </w:rPr>
        <w:t>Term Commitment</w:t>
      </w:r>
      <w:r>
        <w:rPr>
          <w:kern w:val="0"/>
        </w:rPr>
        <w:t xml:space="preserve"> of five or more years?</w:t>
      </w:r>
    </w:p>
    <w:p w:rsidR="00F97D54" w:rsidRDefault="00F97D54" w:rsidP="00EB5B97">
      <w:pPr>
        <w:ind w:left="1800"/>
        <w:rPr>
          <w:kern w:val="0"/>
        </w:rPr>
      </w:pPr>
    </w:p>
    <w:p w:rsidR="00F97D54" w:rsidRDefault="00F97D54" w:rsidP="00EB5B97">
      <w:pPr>
        <w:numPr>
          <w:ilvl w:val="0"/>
          <w:numId w:val="35"/>
        </w:numPr>
        <w:tabs>
          <w:tab w:val="left" w:pos="1440"/>
          <w:tab w:val="left" w:pos="1680"/>
          <w:tab w:val="left" w:pos="1920"/>
        </w:tabs>
        <w:rPr>
          <w:kern w:val="0"/>
        </w:rPr>
      </w:pPr>
      <w:r>
        <w:rPr>
          <w:kern w:val="0"/>
        </w:rPr>
        <w:t xml:space="preserve">What were your expenditures, </w:t>
      </w:r>
      <w:r>
        <w:rPr>
          <w:i/>
          <w:kern w:val="0"/>
        </w:rPr>
        <w:t>i.e.</w:t>
      </w:r>
      <w:r>
        <w:rPr>
          <w:kern w:val="0"/>
        </w:rPr>
        <w:t xml:space="preserve">, dollar volume of purchases, on </w:t>
      </w:r>
      <w:r>
        <w:rPr>
          <w:i/>
          <w:kern w:val="0"/>
        </w:rPr>
        <w:t>DS1s</w:t>
      </w:r>
      <w:r>
        <w:rPr>
          <w:kern w:val="0"/>
        </w:rPr>
        <w:t xml:space="preserve">, </w:t>
      </w:r>
      <w:r>
        <w:rPr>
          <w:i/>
          <w:kern w:val="0"/>
        </w:rPr>
        <w:t>DS3s</w:t>
      </w:r>
      <w:r>
        <w:rPr>
          <w:kern w:val="0"/>
        </w:rPr>
        <w:t xml:space="preserve">, and/or </w:t>
      </w:r>
      <w:r>
        <w:rPr>
          <w:i/>
          <w:kern w:val="0"/>
        </w:rPr>
        <w:t>PBDS</w:t>
      </w:r>
      <w:r>
        <w:rPr>
          <w:kern w:val="0"/>
        </w:rPr>
        <w:t xml:space="preserve"> purchased from </w:t>
      </w:r>
      <w:r>
        <w:rPr>
          <w:i/>
          <w:kern w:val="0"/>
        </w:rPr>
        <w:t>ILECs</w:t>
      </w:r>
      <w:r>
        <w:rPr>
          <w:kern w:val="0"/>
        </w:rPr>
        <w:t xml:space="preserve"> and </w:t>
      </w:r>
      <w:r>
        <w:rPr>
          <w:i/>
          <w:kern w:val="0"/>
        </w:rPr>
        <w:t>Competitive Providers</w:t>
      </w:r>
      <w:r>
        <w:rPr>
          <w:kern w:val="0"/>
        </w:rPr>
        <w:t xml:space="preserve"> pursuant to an agreement (not a </w:t>
      </w:r>
      <w:r>
        <w:rPr>
          <w:i/>
          <w:kern w:val="0"/>
        </w:rPr>
        <w:t>Tariff</w:t>
      </w:r>
      <w:r>
        <w:rPr>
          <w:kern w:val="0"/>
        </w:rPr>
        <w:t xml:space="preserve">) in 2010 and in 2012?  Report expenditures in total, separately for purchases from </w:t>
      </w:r>
      <w:r>
        <w:rPr>
          <w:i/>
          <w:kern w:val="0"/>
        </w:rPr>
        <w:t>ILECs</w:t>
      </w:r>
      <w:r>
        <w:rPr>
          <w:kern w:val="0"/>
        </w:rPr>
        <w:t xml:space="preserve"> and </w:t>
      </w:r>
      <w:r>
        <w:rPr>
          <w:i/>
          <w:kern w:val="0"/>
        </w:rPr>
        <w:t>Competitive Providers</w:t>
      </w:r>
      <w:r>
        <w:rPr>
          <w:kern w:val="0"/>
        </w:rPr>
        <w:t xml:space="preserve">, and separately for </w:t>
      </w:r>
      <w:r>
        <w:rPr>
          <w:i/>
          <w:kern w:val="0"/>
        </w:rPr>
        <w:t>DS1s</w:t>
      </w:r>
      <w:r>
        <w:rPr>
          <w:kern w:val="0"/>
        </w:rPr>
        <w:t xml:space="preserve">, </w:t>
      </w:r>
      <w:r>
        <w:rPr>
          <w:i/>
          <w:kern w:val="0"/>
        </w:rPr>
        <w:t>DS3s</w:t>
      </w:r>
      <w:r>
        <w:rPr>
          <w:kern w:val="0"/>
        </w:rPr>
        <w:t xml:space="preserve"> and </w:t>
      </w:r>
      <w:r>
        <w:rPr>
          <w:i/>
          <w:kern w:val="0"/>
        </w:rPr>
        <w:t>PBDS</w:t>
      </w:r>
      <w:r>
        <w:rPr>
          <w:kern w:val="0"/>
        </w:rPr>
        <w:t>, as applicable, for the following categories for each year:</w:t>
      </w:r>
    </w:p>
    <w:p w:rsidR="00F97D54" w:rsidRDefault="00F97D54" w:rsidP="00EB5B97">
      <w:pPr>
        <w:numPr>
          <w:ilvl w:val="0"/>
          <w:numId w:val="81"/>
        </w:numPr>
        <w:rPr>
          <w:i/>
          <w:kern w:val="0"/>
        </w:rPr>
      </w:pPr>
      <w:r>
        <w:rPr>
          <w:kern w:val="0"/>
        </w:rPr>
        <w:t xml:space="preserve">All </w:t>
      </w:r>
      <w:r>
        <w:rPr>
          <w:i/>
          <w:kern w:val="0"/>
        </w:rPr>
        <w:t>DS1s</w:t>
      </w:r>
      <w:r>
        <w:rPr>
          <w:kern w:val="0"/>
        </w:rPr>
        <w:t xml:space="preserve">, </w:t>
      </w:r>
      <w:r>
        <w:rPr>
          <w:i/>
          <w:kern w:val="0"/>
        </w:rPr>
        <w:t>DS3s</w:t>
      </w:r>
      <w:r>
        <w:rPr>
          <w:kern w:val="0"/>
        </w:rPr>
        <w:t xml:space="preserve">, and </w:t>
      </w:r>
      <w:r>
        <w:rPr>
          <w:i/>
          <w:kern w:val="0"/>
        </w:rPr>
        <w:t>PBDS</w:t>
      </w:r>
      <w:r>
        <w:rPr>
          <w:kern w:val="0"/>
        </w:rPr>
        <w:t>;</w:t>
      </w:r>
    </w:p>
    <w:p w:rsidR="00F97D54" w:rsidRDefault="00F97D54" w:rsidP="00EB5B97">
      <w:pPr>
        <w:numPr>
          <w:ilvl w:val="0"/>
          <w:numId w:val="81"/>
        </w:numPr>
        <w:rPr>
          <w:kern w:val="0"/>
        </w:rPr>
      </w:pPr>
      <w:r>
        <w:rPr>
          <w:i/>
          <w:kern w:val="0"/>
        </w:rPr>
        <w:t>DS1s</w:t>
      </w:r>
      <w:r>
        <w:rPr>
          <w:kern w:val="0"/>
        </w:rPr>
        <w:t xml:space="preserve">, </w:t>
      </w:r>
      <w:r>
        <w:rPr>
          <w:i/>
          <w:kern w:val="0"/>
        </w:rPr>
        <w:t>DS3s</w:t>
      </w:r>
      <w:r>
        <w:rPr>
          <w:kern w:val="0"/>
        </w:rPr>
        <w:t xml:space="preserve">, and </w:t>
      </w:r>
      <w:r>
        <w:rPr>
          <w:i/>
          <w:kern w:val="0"/>
        </w:rPr>
        <w:t>PBDS</w:t>
      </w:r>
      <w:r>
        <w:rPr>
          <w:kern w:val="0"/>
        </w:rPr>
        <w:t xml:space="preserve"> purchased at a non-discounted rate;</w:t>
      </w:r>
    </w:p>
    <w:p w:rsidR="00F97D54" w:rsidRDefault="00F97D54" w:rsidP="00EB5B97">
      <w:pPr>
        <w:numPr>
          <w:ilvl w:val="0"/>
          <w:numId w:val="81"/>
        </w:numPr>
        <w:rPr>
          <w:kern w:val="0"/>
        </w:rPr>
      </w:pPr>
      <w:r>
        <w:rPr>
          <w:i/>
          <w:kern w:val="0"/>
        </w:rPr>
        <w:t>DS1s</w:t>
      </w:r>
      <w:r>
        <w:rPr>
          <w:kern w:val="0"/>
        </w:rPr>
        <w:t xml:space="preserve">, </w:t>
      </w:r>
      <w:r>
        <w:rPr>
          <w:i/>
          <w:kern w:val="0"/>
        </w:rPr>
        <w:t>DS3s</w:t>
      </w:r>
      <w:r>
        <w:rPr>
          <w:kern w:val="0"/>
        </w:rPr>
        <w:t xml:space="preserve">, and </w:t>
      </w:r>
      <w:r>
        <w:rPr>
          <w:i/>
          <w:kern w:val="0"/>
        </w:rPr>
        <w:t>PBDS</w:t>
      </w:r>
      <w:r>
        <w:rPr>
          <w:kern w:val="0"/>
        </w:rPr>
        <w:t xml:space="preserve"> purchased under a non-tariffed agreement</w:t>
      </w:r>
      <w:r>
        <w:rPr>
          <w:i/>
          <w:kern w:val="0"/>
        </w:rPr>
        <w:t xml:space="preserve"> </w:t>
      </w:r>
      <w:r>
        <w:rPr>
          <w:kern w:val="0"/>
        </w:rPr>
        <w:t xml:space="preserve">that contained a </w:t>
      </w:r>
      <w:r>
        <w:rPr>
          <w:i/>
          <w:kern w:val="0"/>
        </w:rPr>
        <w:t>Term Commitment</w:t>
      </w:r>
      <w:r>
        <w:rPr>
          <w:kern w:val="0"/>
        </w:rPr>
        <w:t xml:space="preserve"> but not a </w:t>
      </w:r>
      <w:r>
        <w:rPr>
          <w:i/>
          <w:kern w:val="0"/>
        </w:rPr>
        <w:t>Volume Commitment</w:t>
      </w:r>
      <w:r>
        <w:rPr>
          <w:kern w:val="0"/>
        </w:rPr>
        <w:t>;</w:t>
      </w:r>
    </w:p>
    <w:p w:rsidR="00F97D54" w:rsidRDefault="00F97D54" w:rsidP="00EB5B97">
      <w:pPr>
        <w:numPr>
          <w:ilvl w:val="0"/>
          <w:numId w:val="81"/>
        </w:numPr>
        <w:rPr>
          <w:kern w:val="0"/>
        </w:rPr>
      </w:pPr>
      <w:r>
        <w:rPr>
          <w:i/>
          <w:kern w:val="0"/>
        </w:rPr>
        <w:t>DS1s</w:t>
      </w:r>
      <w:r>
        <w:rPr>
          <w:kern w:val="0"/>
        </w:rPr>
        <w:t xml:space="preserve">, </w:t>
      </w:r>
      <w:r>
        <w:rPr>
          <w:i/>
          <w:kern w:val="0"/>
        </w:rPr>
        <w:t>DS3s</w:t>
      </w:r>
      <w:r>
        <w:rPr>
          <w:kern w:val="0"/>
        </w:rPr>
        <w:t xml:space="preserve">, and </w:t>
      </w:r>
      <w:r>
        <w:rPr>
          <w:i/>
          <w:kern w:val="0"/>
        </w:rPr>
        <w:t>PBDS</w:t>
      </w:r>
      <w:r>
        <w:rPr>
          <w:kern w:val="0"/>
        </w:rPr>
        <w:t xml:space="preserve"> purchased under a non-tariffed agreement that contained a </w:t>
      </w:r>
      <w:r>
        <w:rPr>
          <w:i/>
          <w:kern w:val="0"/>
        </w:rPr>
        <w:t>Prior Purchase-Based Commitment</w:t>
      </w:r>
      <w:r>
        <w:rPr>
          <w:kern w:val="0"/>
        </w:rPr>
        <w:t>;</w:t>
      </w:r>
    </w:p>
    <w:p w:rsidR="00F97D54" w:rsidRDefault="00F97D54" w:rsidP="00EB5B97">
      <w:pPr>
        <w:numPr>
          <w:ilvl w:val="0"/>
          <w:numId w:val="82"/>
        </w:numPr>
        <w:rPr>
          <w:kern w:val="0"/>
        </w:rPr>
      </w:pPr>
      <w:r>
        <w:rPr>
          <w:kern w:val="0"/>
        </w:rPr>
        <w:t xml:space="preserve">Of the total (and for the separate </w:t>
      </w:r>
      <w:r>
        <w:rPr>
          <w:i/>
          <w:kern w:val="0"/>
        </w:rPr>
        <w:t>DS1</w:t>
      </w:r>
      <w:r>
        <w:rPr>
          <w:kern w:val="0"/>
        </w:rPr>
        <w:t xml:space="preserve">, </w:t>
      </w:r>
      <w:r>
        <w:rPr>
          <w:i/>
          <w:kern w:val="0"/>
        </w:rPr>
        <w:t>DS3</w:t>
      </w:r>
      <w:r>
        <w:rPr>
          <w:kern w:val="0"/>
        </w:rPr>
        <w:t xml:space="preserve">, and </w:t>
      </w:r>
      <w:r>
        <w:rPr>
          <w:i/>
          <w:kern w:val="0"/>
        </w:rPr>
        <w:t>PBDS</w:t>
      </w:r>
      <w:r>
        <w:rPr>
          <w:kern w:val="0"/>
        </w:rPr>
        <w:t xml:space="preserve"> totals where applicable), indicate the average discount from the non-discounted rate incorporated in the expenditures.  </w:t>
      </w:r>
    </w:p>
    <w:p w:rsidR="00F97D54" w:rsidRDefault="00F97D54" w:rsidP="00EB5B97">
      <w:pPr>
        <w:ind w:left="1800"/>
        <w:rPr>
          <w:kern w:val="0"/>
        </w:rPr>
      </w:pPr>
    </w:p>
    <w:p w:rsidR="00F97D54" w:rsidRDefault="00F97D54" w:rsidP="00EB5B97">
      <w:pPr>
        <w:ind w:left="1800"/>
        <w:rPr>
          <w:kern w:val="0"/>
        </w:rPr>
      </w:pPr>
      <w:r>
        <w:rPr>
          <w:kern w:val="0"/>
        </w:rPr>
        <w:t>An example of how to calculate this percentage can be found at question II.E.4.f.i</w:t>
      </w:r>
    </w:p>
    <w:p w:rsidR="00F97D54" w:rsidRDefault="00F97D54" w:rsidP="00EB5B97">
      <w:pPr>
        <w:ind w:left="1800"/>
        <w:rPr>
          <w:kern w:val="0"/>
        </w:rPr>
      </w:pPr>
    </w:p>
    <w:p w:rsidR="00F97D54" w:rsidRDefault="00F97D54" w:rsidP="00EB5B97">
      <w:pPr>
        <w:numPr>
          <w:ilvl w:val="0"/>
          <w:numId w:val="35"/>
        </w:numPr>
        <w:tabs>
          <w:tab w:val="left" w:pos="1440"/>
          <w:tab w:val="left" w:pos="1680"/>
          <w:tab w:val="left" w:pos="1920"/>
        </w:tabs>
        <w:rPr>
          <w:kern w:val="0"/>
        </w:rPr>
      </w:pPr>
      <w:r>
        <w:rPr>
          <w:kern w:val="0"/>
        </w:rPr>
        <w:t xml:space="preserve">  What were your expenditures, </w:t>
      </w:r>
      <w:r>
        <w:rPr>
          <w:i/>
          <w:kern w:val="0"/>
        </w:rPr>
        <w:t>i.e.</w:t>
      </w:r>
      <w:r>
        <w:rPr>
          <w:kern w:val="0"/>
        </w:rPr>
        <w:t xml:space="preserve">, dollar volume of purchases, on </w:t>
      </w:r>
      <w:r>
        <w:rPr>
          <w:i/>
          <w:kern w:val="0"/>
        </w:rPr>
        <w:t>PBDS</w:t>
      </w:r>
      <w:r>
        <w:rPr>
          <w:kern w:val="0"/>
        </w:rPr>
        <w:t xml:space="preserve"> purchased under a </w:t>
      </w:r>
      <w:r>
        <w:rPr>
          <w:i/>
          <w:kern w:val="0"/>
        </w:rPr>
        <w:t>Tariff</w:t>
      </w:r>
      <w:r>
        <w:rPr>
          <w:kern w:val="0"/>
        </w:rPr>
        <w:t xml:space="preserve"> in 2010 and in 2012?</w:t>
      </w:r>
    </w:p>
    <w:p w:rsidR="00F97D54" w:rsidRDefault="00F97D54" w:rsidP="00724B61">
      <w:pPr>
        <w:widowControl/>
        <w:numPr>
          <w:ilvl w:val="0"/>
          <w:numId w:val="47"/>
        </w:numPr>
        <w:rPr>
          <w:kern w:val="0"/>
        </w:rPr>
      </w:pPr>
      <w:r>
        <w:rPr>
          <w:kern w:val="0"/>
        </w:rPr>
        <w:t xml:space="preserve">Separately for purchases from </w:t>
      </w:r>
      <w:r>
        <w:rPr>
          <w:i/>
          <w:kern w:val="0"/>
        </w:rPr>
        <w:t>ILECs</w:t>
      </w:r>
      <w:r>
        <w:rPr>
          <w:kern w:val="0"/>
        </w:rPr>
        <w:t xml:space="preserve"> and </w:t>
      </w:r>
      <w:r>
        <w:rPr>
          <w:i/>
          <w:kern w:val="0"/>
        </w:rPr>
        <w:t>Competitive Providers</w:t>
      </w:r>
      <w:r>
        <w:rPr>
          <w:kern w:val="0"/>
        </w:rPr>
        <w:t xml:space="preserve"> for the following service bandwidth categories:</w:t>
      </w:r>
    </w:p>
    <w:p w:rsidR="00F97D54" w:rsidRDefault="00F97D54" w:rsidP="00EB5B97">
      <w:pPr>
        <w:numPr>
          <w:ilvl w:val="0"/>
          <w:numId w:val="48"/>
        </w:numPr>
        <w:rPr>
          <w:kern w:val="0"/>
        </w:rPr>
      </w:pPr>
      <w:r>
        <w:rPr>
          <w:kern w:val="0"/>
        </w:rPr>
        <w:t>less than or equal to 1.5 Mbps;</w:t>
      </w:r>
    </w:p>
    <w:p w:rsidR="00F97D54" w:rsidRDefault="00F97D54" w:rsidP="00EB5B97">
      <w:pPr>
        <w:numPr>
          <w:ilvl w:val="0"/>
          <w:numId w:val="48"/>
        </w:numPr>
        <w:rPr>
          <w:kern w:val="0"/>
        </w:rPr>
      </w:pPr>
      <w:r>
        <w:rPr>
          <w:kern w:val="0"/>
        </w:rPr>
        <w:t>greater than 1.5, but less than or equal to 50 Mbps;</w:t>
      </w:r>
    </w:p>
    <w:p w:rsidR="00F97D54" w:rsidRDefault="00F97D54" w:rsidP="00EB5B97">
      <w:pPr>
        <w:numPr>
          <w:ilvl w:val="0"/>
          <w:numId w:val="48"/>
        </w:numPr>
        <w:rPr>
          <w:kern w:val="0"/>
        </w:rPr>
      </w:pPr>
      <w:r>
        <w:rPr>
          <w:kern w:val="0"/>
        </w:rPr>
        <w:t>greater than 50, but less than or equal to 100 Mbps;</w:t>
      </w:r>
    </w:p>
    <w:p w:rsidR="00F97D54" w:rsidRDefault="00F97D54" w:rsidP="00EB5B97">
      <w:pPr>
        <w:numPr>
          <w:ilvl w:val="0"/>
          <w:numId w:val="48"/>
        </w:numPr>
        <w:rPr>
          <w:kern w:val="0"/>
        </w:rPr>
      </w:pPr>
      <w:r>
        <w:rPr>
          <w:kern w:val="0"/>
        </w:rPr>
        <w:t>greater than 100, but less than or equal to 1 Gbps; or</w:t>
      </w:r>
    </w:p>
    <w:p w:rsidR="00F97D54" w:rsidRDefault="00F97D54" w:rsidP="00EB5B97">
      <w:pPr>
        <w:numPr>
          <w:ilvl w:val="0"/>
          <w:numId w:val="48"/>
        </w:numPr>
        <w:rPr>
          <w:kern w:val="0"/>
        </w:rPr>
      </w:pPr>
      <w:r>
        <w:rPr>
          <w:kern w:val="0"/>
        </w:rPr>
        <w:t>greater than 1 Gbps.</w:t>
      </w:r>
    </w:p>
    <w:p w:rsidR="00F97D54" w:rsidRDefault="00F97D54" w:rsidP="00EB5B97">
      <w:pPr>
        <w:rPr>
          <w:kern w:val="0"/>
        </w:rPr>
      </w:pPr>
    </w:p>
    <w:p w:rsidR="00F97D54" w:rsidRDefault="00F97D54" w:rsidP="00EB5B97">
      <w:pPr>
        <w:numPr>
          <w:ilvl w:val="0"/>
          <w:numId w:val="35"/>
        </w:numPr>
        <w:rPr>
          <w:kern w:val="0"/>
        </w:rPr>
      </w:pPr>
      <w:r>
        <w:rPr>
          <w:kern w:val="0"/>
        </w:rPr>
        <w:t xml:space="preserve">What were your expenditures, </w:t>
      </w:r>
      <w:r>
        <w:rPr>
          <w:i/>
          <w:kern w:val="0"/>
        </w:rPr>
        <w:t>i.e.</w:t>
      </w:r>
      <w:r>
        <w:rPr>
          <w:kern w:val="0"/>
        </w:rPr>
        <w:t xml:space="preserve">, dollar volume of purchases, on non-tariffed </w:t>
      </w:r>
      <w:r>
        <w:rPr>
          <w:i/>
          <w:kern w:val="0"/>
        </w:rPr>
        <w:t>PBDS</w:t>
      </w:r>
      <w:r>
        <w:rPr>
          <w:kern w:val="0"/>
        </w:rPr>
        <w:t xml:space="preserve"> in 2010 and in 2012?</w:t>
      </w:r>
    </w:p>
    <w:p w:rsidR="00F97D54" w:rsidRDefault="00F97D54" w:rsidP="00EB5B97">
      <w:pPr>
        <w:numPr>
          <w:ilvl w:val="0"/>
          <w:numId w:val="79"/>
        </w:numPr>
        <w:rPr>
          <w:kern w:val="0"/>
        </w:rPr>
      </w:pPr>
      <w:r>
        <w:rPr>
          <w:kern w:val="0"/>
        </w:rPr>
        <w:t xml:space="preserve">Separately for purchases from </w:t>
      </w:r>
      <w:r>
        <w:rPr>
          <w:i/>
          <w:kern w:val="0"/>
        </w:rPr>
        <w:t>ILECs</w:t>
      </w:r>
      <w:r>
        <w:rPr>
          <w:kern w:val="0"/>
        </w:rPr>
        <w:t xml:space="preserve"> and </w:t>
      </w:r>
      <w:r>
        <w:rPr>
          <w:i/>
          <w:kern w:val="0"/>
        </w:rPr>
        <w:t>Competitive Providers</w:t>
      </w:r>
      <w:r>
        <w:rPr>
          <w:kern w:val="0"/>
        </w:rPr>
        <w:t xml:space="preserve"> for the following service bandwidth categories:</w:t>
      </w:r>
    </w:p>
    <w:p w:rsidR="00F97D54" w:rsidRDefault="00F97D54" w:rsidP="00EB5B97">
      <w:pPr>
        <w:numPr>
          <w:ilvl w:val="0"/>
          <w:numId w:val="80"/>
        </w:numPr>
        <w:rPr>
          <w:kern w:val="0"/>
        </w:rPr>
      </w:pPr>
      <w:r>
        <w:rPr>
          <w:kern w:val="0"/>
        </w:rPr>
        <w:t>less than or equal to 1.5 Mbps;</w:t>
      </w:r>
    </w:p>
    <w:p w:rsidR="00F97D54" w:rsidRDefault="00F97D54" w:rsidP="00EB5B97">
      <w:pPr>
        <w:numPr>
          <w:ilvl w:val="0"/>
          <w:numId w:val="80"/>
        </w:numPr>
        <w:rPr>
          <w:kern w:val="0"/>
        </w:rPr>
      </w:pPr>
      <w:r>
        <w:rPr>
          <w:kern w:val="0"/>
        </w:rPr>
        <w:t>greater than 1.5, but less than or equal to 50 Mbps;</w:t>
      </w:r>
    </w:p>
    <w:p w:rsidR="00F97D54" w:rsidRDefault="00F97D54" w:rsidP="00EB5B97">
      <w:pPr>
        <w:numPr>
          <w:ilvl w:val="0"/>
          <w:numId w:val="80"/>
        </w:numPr>
        <w:rPr>
          <w:kern w:val="0"/>
        </w:rPr>
      </w:pPr>
      <w:r>
        <w:rPr>
          <w:kern w:val="0"/>
        </w:rPr>
        <w:t>greater than 50, but less than or equal to 100 Mbps;</w:t>
      </w:r>
    </w:p>
    <w:p w:rsidR="00F97D54" w:rsidRDefault="00F97D54" w:rsidP="00EB5B97">
      <w:pPr>
        <w:numPr>
          <w:ilvl w:val="0"/>
          <w:numId w:val="80"/>
        </w:numPr>
        <w:rPr>
          <w:kern w:val="0"/>
        </w:rPr>
      </w:pPr>
      <w:r>
        <w:rPr>
          <w:kern w:val="0"/>
        </w:rPr>
        <w:t>greater than 100, but less than or equal to 1 Gbps; or</w:t>
      </w:r>
    </w:p>
    <w:p w:rsidR="00F97D54" w:rsidRDefault="00F97D54" w:rsidP="00EB5B97">
      <w:pPr>
        <w:numPr>
          <w:ilvl w:val="0"/>
          <w:numId w:val="80"/>
        </w:numPr>
        <w:rPr>
          <w:kern w:val="0"/>
        </w:rPr>
      </w:pPr>
      <w:r>
        <w:rPr>
          <w:kern w:val="0"/>
        </w:rPr>
        <w:t>greater than 1 Gbps.</w:t>
      </w:r>
    </w:p>
    <w:p w:rsidR="00BD739D" w:rsidRDefault="00BD739D" w:rsidP="00EB5B97">
      <w:pPr>
        <w:tabs>
          <w:tab w:val="num" w:pos="1800"/>
        </w:tabs>
        <w:rPr>
          <w:b/>
          <w:kern w:val="0"/>
          <w:szCs w:val="22"/>
        </w:rPr>
      </w:pPr>
    </w:p>
    <w:p w:rsidR="00F97D54" w:rsidRDefault="00F97D54" w:rsidP="00EB5B97">
      <w:pPr>
        <w:tabs>
          <w:tab w:val="num" w:pos="1800"/>
        </w:tabs>
        <w:rPr>
          <w:b/>
          <w:kern w:val="0"/>
          <w:szCs w:val="22"/>
        </w:rPr>
      </w:pPr>
      <w:r>
        <w:rPr>
          <w:b/>
          <w:kern w:val="0"/>
          <w:szCs w:val="22"/>
        </w:rPr>
        <w:t xml:space="preserve">Terms and Conditions </w:t>
      </w:r>
      <w:r>
        <w:rPr>
          <w:b/>
          <w:kern w:val="0"/>
        </w:rPr>
        <w:t>Information</w:t>
      </w:r>
    </w:p>
    <w:p w:rsidR="00F97D54" w:rsidRDefault="00F97D54" w:rsidP="00EB5B97">
      <w:pPr>
        <w:tabs>
          <w:tab w:val="num" w:pos="1800"/>
        </w:tabs>
        <w:rPr>
          <w:kern w:val="0"/>
          <w:szCs w:val="22"/>
        </w:rPr>
      </w:pPr>
    </w:p>
    <w:p w:rsidR="00F97D54" w:rsidRDefault="00F97D54" w:rsidP="00EB5B97">
      <w:pPr>
        <w:numPr>
          <w:ilvl w:val="0"/>
          <w:numId w:val="35"/>
        </w:numPr>
        <w:tabs>
          <w:tab w:val="left" w:pos="630"/>
        </w:tabs>
        <w:rPr>
          <w:kern w:val="0"/>
        </w:rPr>
      </w:pPr>
      <w:r>
        <w:rPr>
          <w:kern w:val="0"/>
        </w:rPr>
        <w:t xml:space="preserve">Explain whether the terms and conditions of any </w:t>
      </w:r>
      <w:r w:rsidRPr="00A83E1C">
        <w:rPr>
          <w:i/>
          <w:kern w:val="0"/>
        </w:rPr>
        <w:t>Tariff</w:t>
      </w:r>
      <w:r>
        <w:rPr>
          <w:kern w:val="0"/>
        </w:rPr>
        <w:t xml:space="preserve">  or contract to which you are a party for the purchase of </w:t>
      </w:r>
      <w:r>
        <w:rPr>
          <w:i/>
          <w:kern w:val="0"/>
        </w:rPr>
        <w:t>Dedicated Services</w:t>
      </w:r>
      <w:r>
        <w:rPr>
          <w:kern w:val="0"/>
        </w:rPr>
        <w:t xml:space="preserve"> or the policies of any of your </w:t>
      </w:r>
      <w:r>
        <w:rPr>
          <w:i/>
          <w:kern w:val="0"/>
        </w:rPr>
        <w:t>Providers</w:t>
      </w:r>
      <w:r>
        <w:rPr>
          <w:kern w:val="0"/>
        </w:rPr>
        <w:t xml:space="preserve"> constrain your ability to:   </w:t>
      </w:r>
    </w:p>
    <w:p w:rsidR="00F97D54" w:rsidRDefault="00F97D54" w:rsidP="00EB5B97">
      <w:pPr>
        <w:numPr>
          <w:ilvl w:val="1"/>
          <w:numId w:val="39"/>
        </w:numPr>
        <w:rPr>
          <w:kern w:val="0"/>
        </w:rPr>
      </w:pPr>
      <w:r>
        <w:rPr>
          <w:kern w:val="0"/>
        </w:rPr>
        <w:t xml:space="preserve">Decrease your purchases from your current </w:t>
      </w:r>
      <w:r>
        <w:rPr>
          <w:i/>
          <w:kern w:val="0"/>
        </w:rPr>
        <w:t>Provider(s)</w:t>
      </w:r>
      <w:r>
        <w:rPr>
          <w:kern w:val="0"/>
        </w:rPr>
        <w:t xml:space="preserve">; </w:t>
      </w:r>
    </w:p>
    <w:p w:rsidR="00F97D54" w:rsidRDefault="00F97D54" w:rsidP="00EB5B97">
      <w:pPr>
        <w:numPr>
          <w:ilvl w:val="1"/>
          <w:numId w:val="39"/>
        </w:numPr>
        <w:rPr>
          <w:kern w:val="0"/>
        </w:rPr>
      </w:pPr>
      <w:r>
        <w:rPr>
          <w:kern w:val="0"/>
        </w:rPr>
        <w:t xml:space="preserve">Purchase services from another </w:t>
      </w:r>
      <w:r>
        <w:rPr>
          <w:i/>
          <w:kern w:val="0"/>
        </w:rPr>
        <w:t>Provider</w:t>
      </w:r>
      <w:r>
        <w:rPr>
          <w:kern w:val="0"/>
        </w:rPr>
        <w:t xml:space="preserve"> currently operating in the geographic areas in which you purchase services;  </w:t>
      </w:r>
    </w:p>
    <w:p w:rsidR="00F97D54" w:rsidRDefault="00F97D54" w:rsidP="00EB5B97">
      <w:pPr>
        <w:numPr>
          <w:ilvl w:val="1"/>
          <w:numId w:val="39"/>
        </w:numPr>
        <w:rPr>
          <w:kern w:val="0"/>
        </w:rPr>
      </w:pPr>
      <w:r>
        <w:rPr>
          <w:kern w:val="0"/>
        </w:rPr>
        <w:t xml:space="preserve">Purchase non-tariffed services, such as Ethernet services, from your current </w:t>
      </w:r>
      <w:r>
        <w:rPr>
          <w:i/>
          <w:kern w:val="0"/>
        </w:rPr>
        <w:t>Provider</w:t>
      </w:r>
      <w:r>
        <w:rPr>
          <w:kern w:val="0"/>
        </w:rPr>
        <w:t xml:space="preserve"> of tariffed </w:t>
      </w:r>
      <w:r>
        <w:rPr>
          <w:i/>
          <w:kern w:val="0"/>
        </w:rPr>
        <w:t>DS1</w:t>
      </w:r>
      <w:r>
        <w:rPr>
          <w:kern w:val="0"/>
        </w:rPr>
        <w:t xml:space="preserve">, </w:t>
      </w:r>
      <w:r>
        <w:rPr>
          <w:i/>
          <w:kern w:val="0"/>
        </w:rPr>
        <w:t>DS3</w:t>
      </w:r>
      <w:r>
        <w:rPr>
          <w:kern w:val="0"/>
        </w:rPr>
        <w:t xml:space="preserve">, and/or </w:t>
      </w:r>
      <w:r>
        <w:rPr>
          <w:i/>
          <w:kern w:val="0"/>
        </w:rPr>
        <w:t>PBDS</w:t>
      </w:r>
      <w:r>
        <w:rPr>
          <w:kern w:val="0"/>
        </w:rPr>
        <w:t xml:space="preserve"> services or from other </w:t>
      </w:r>
      <w:r>
        <w:rPr>
          <w:i/>
          <w:kern w:val="0"/>
        </w:rPr>
        <w:t>Providers</w:t>
      </w:r>
      <w:r>
        <w:rPr>
          <w:kern w:val="0"/>
        </w:rPr>
        <w:t xml:space="preserve"> operating in the geographic areas in which you purchase</w:t>
      </w:r>
      <w:r>
        <w:rPr>
          <w:i/>
          <w:kern w:val="0"/>
        </w:rPr>
        <w:t xml:space="preserve"> </w:t>
      </w:r>
      <w:r>
        <w:rPr>
          <w:kern w:val="0"/>
        </w:rPr>
        <w:t>tariffed services;</w:t>
      </w:r>
    </w:p>
    <w:p w:rsidR="00F97D54" w:rsidRDefault="00F97D54" w:rsidP="00EB5B97">
      <w:pPr>
        <w:numPr>
          <w:ilvl w:val="1"/>
          <w:numId w:val="39"/>
        </w:numPr>
        <w:rPr>
          <w:kern w:val="0"/>
        </w:rPr>
      </w:pPr>
      <w:r>
        <w:rPr>
          <w:kern w:val="0"/>
        </w:rPr>
        <w:t xml:space="preserve">Contract with </w:t>
      </w:r>
      <w:r w:rsidRPr="0011685E">
        <w:rPr>
          <w:i/>
          <w:kern w:val="0"/>
        </w:rPr>
        <w:t>Providers</w:t>
      </w:r>
      <w:r>
        <w:rPr>
          <w:kern w:val="0"/>
        </w:rPr>
        <w:t xml:space="preserve"> that are considering entering the geographic areas in which you purchase tariffed services; </w:t>
      </w:r>
    </w:p>
    <w:p w:rsidR="00F97D54" w:rsidRDefault="00F97D54" w:rsidP="00EB5B97">
      <w:pPr>
        <w:numPr>
          <w:ilvl w:val="1"/>
          <w:numId w:val="39"/>
        </w:numPr>
        <w:rPr>
          <w:kern w:val="0"/>
        </w:rPr>
      </w:pPr>
      <w:r>
        <w:rPr>
          <w:kern w:val="0"/>
        </w:rPr>
        <w:t xml:space="preserve">Move circuits, for example, moving your </w:t>
      </w:r>
      <w:r>
        <w:rPr>
          <w:i/>
          <w:iCs/>
          <w:kern w:val="0"/>
        </w:rPr>
        <w:t xml:space="preserve">DS1 </w:t>
      </w:r>
      <w:r>
        <w:rPr>
          <w:kern w:val="0"/>
        </w:rPr>
        <w:t xml:space="preserve">and/or </w:t>
      </w:r>
      <w:r>
        <w:rPr>
          <w:i/>
          <w:iCs/>
          <w:kern w:val="0"/>
        </w:rPr>
        <w:t>DS3 End-User Channel Terminations</w:t>
      </w:r>
      <w:r>
        <w:rPr>
          <w:kern w:val="0"/>
        </w:rPr>
        <w:t xml:space="preserve"> to connect to another </w:t>
      </w:r>
      <w:r>
        <w:rPr>
          <w:i/>
          <w:iCs/>
          <w:kern w:val="0"/>
        </w:rPr>
        <w:t>Transport Provider</w:t>
      </w:r>
      <w:r>
        <w:rPr>
          <w:iCs/>
          <w:kern w:val="0"/>
        </w:rPr>
        <w:t>; or</w:t>
      </w:r>
    </w:p>
    <w:p w:rsidR="00F97D54" w:rsidRDefault="00F97D54" w:rsidP="00EB5B97">
      <w:pPr>
        <w:numPr>
          <w:ilvl w:val="1"/>
          <w:numId w:val="39"/>
        </w:numPr>
        <w:rPr>
          <w:kern w:val="0"/>
        </w:rPr>
      </w:pPr>
      <w:r>
        <w:rPr>
          <w:iCs/>
          <w:kern w:val="0"/>
        </w:rPr>
        <w:t xml:space="preserve">Otherwise obtain </w:t>
      </w:r>
      <w:r>
        <w:rPr>
          <w:i/>
          <w:iCs/>
          <w:kern w:val="0"/>
        </w:rPr>
        <w:t>Dedicated Services</w:t>
      </w:r>
      <w:r>
        <w:rPr>
          <w:iCs/>
          <w:kern w:val="0"/>
        </w:rPr>
        <w:t xml:space="preserve"> or change </w:t>
      </w:r>
      <w:r w:rsidRPr="0062226A">
        <w:rPr>
          <w:i/>
          <w:iCs/>
          <w:kern w:val="0"/>
        </w:rPr>
        <w:t>Providers</w:t>
      </w:r>
      <w:r>
        <w:rPr>
          <w:iCs/>
          <w:kern w:val="0"/>
        </w:rPr>
        <w:t>.</w:t>
      </w:r>
    </w:p>
    <w:p w:rsidR="00F97D54" w:rsidRDefault="00F97D54" w:rsidP="00EB5B97">
      <w:pPr>
        <w:rPr>
          <w:kern w:val="0"/>
        </w:rPr>
      </w:pPr>
    </w:p>
    <w:p w:rsidR="00F97D54" w:rsidRDefault="00F97D54" w:rsidP="00EB5B97">
      <w:pPr>
        <w:tabs>
          <w:tab w:val="left" w:pos="1200"/>
        </w:tabs>
        <w:rPr>
          <w:kern w:val="0"/>
        </w:rPr>
      </w:pPr>
      <w:r>
        <w:rPr>
          <w:kern w:val="0"/>
        </w:rPr>
        <w:t xml:space="preserve">Relevant terms and conditions, among others, may include:  (a) early termination penalties; (b) shortfall provisions; (c) overlapping/supplemental discounts plans with different termination dates; (d) requirements to include all services, including new facilities, under a </w:t>
      </w:r>
      <w:r>
        <w:rPr>
          <w:i/>
          <w:kern w:val="0"/>
        </w:rPr>
        <w:t>Tariff Plan</w:t>
      </w:r>
      <w:r>
        <w:rPr>
          <w:kern w:val="0"/>
        </w:rPr>
        <w:t xml:space="preserve"> or </w:t>
      </w:r>
      <w:r>
        <w:rPr>
          <w:i/>
          <w:kern w:val="0"/>
        </w:rPr>
        <w:t>Contract-Based Tariff</w:t>
      </w:r>
      <w:r>
        <w:rPr>
          <w:kern w:val="0"/>
        </w:rPr>
        <w:t xml:space="preserve">; or (e) requiring purchases in multiple geographic areas to obtain maximum discounts.  </w:t>
      </w:r>
    </w:p>
    <w:p w:rsidR="00F97D54" w:rsidRDefault="00F97D54" w:rsidP="00EB5B97">
      <w:pPr>
        <w:rPr>
          <w:kern w:val="0"/>
        </w:rPr>
      </w:pPr>
    </w:p>
    <w:p w:rsidR="00F97D54" w:rsidRDefault="00F97D54" w:rsidP="00697A72">
      <w:pPr>
        <w:widowControl/>
        <w:rPr>
          <w:kern w:val="0"/>
        </w:rPr>
      </w:pPr>
      <w:r>
        <w:rPr>
          <w:kern w:val="0"/>
        </w:rPr>
        <w:t xml:space="preserve">In your answer, highlight contracts where you contend that a term or condition is a particularly onerous constraint by comparison with more typical provisions in other contracts.  Also, at a minimum, list:  (a) the </w:t>
      </w:r>
      <w:r>
        <w:rPr>
          <w:i/>
          <w:kern w:val="0"/>
        </w:rPr>
        <w:t>Provider</w:t>
      </w:r>
      <w:r>
        <w:rPr>
          <w:kern w:val="0"/>
        </w:rPr>
        <w:t xml:space="preserve"> and indicate whether the </w:t>
      </w:r>
      <w:r>
        <w:rPr>
          <w:i/>
          <w:kern w:val="0"/>
        </w:rPr>
        <w:t>Provider</w:t>
      </w:r>
      <w:r>
        <w:rPr>
          <w:kern w:val="0"/>
        </w:rPr>
        <w:t xml:space="preserve"> is an </w:t>
      </w:r>
      <w:r>
        <w:rPr>
          <w:i/>
          <w:kern w:val="0"/>
        </w:rPr>
        <w:t>ILEC</w:t>
      </w:r>
      <w:r>
        <w:rPr>
          <w:kern w:val="0"/>
        </w:rPr>
        <w:t xml:space="preserve"> or a </w:t>
      </w:r>
      <w:r>
        <w:rPr>
          <w:i/>
          <w:kern w:val="0"/>
        </w:rPr>
        <w:t>Competitive Provider</w:t>
      </w:r>
      <w:r>
        <w:rPr>
          <w:kern w:val="0"/>
        </w:rPr>
        <w:t xml:space="preserve">; (b) a description of the term or condition; (c) the geographic area in which the services are provided; (d) the name of the vendor providing the service; and (e) where relevant, the specific </w:t>
      </w:r>
      <w:r>
        <w:rPr>
          <w:i/>
          <w:kern w:val="0"/>
        </w:rPr>
        <w:t xml:space="preserve">Tariff </w:t>
      </w:r>
      <w:r>
        <w:rPr>
          <w:kern w:val="0"/>
        </w:rPr>
        <w:t xml:space="preserve">number(s) and section(s), or if the policy at issue is recorded in </w:t>
      </w:r>
      <w:r>
        <w:rPr>
          <w:iCs/>
          <w:kern w:val="0"/>
        </w:rPr>
        <w:t>documents</w:t>
      </w:r>
      <w:r>
        <w:rPr>
          <w:kern w:val="0"/>
        </w:rPr>
        <w:t xml:space="preserve"> other than </w:t>
      </w:r>
      <w:r>
        <w:rPr>
          <w:i/>
          <w:iCs/>
          <w:kern w:val="0"/>
        </w:rPr>
        <w:t>Tariffs</w:t>
      </w:r>
      <w:r>
        <w:rPr>
          <w:kern w:val="0"/>
        </w:rPr>
        <w:t xml:space="preserve">, list those </w:t>
      </w:r>
      <w:r>
        <w:rPr>
          <w:iCs/>
          <w:kern w:val="0"/>
        </w:rPr>
        <w:t>documents</w:t>
      </w:r>
      <w:r>
        <w:rPr>
          <w:i/>
          <w:iCs/>
          <w:kern w:val="0"/>
        </w:rPr>
        <w:t xml:space="preserve"> </w:t>
      </w:r>
      <w:r>
        <w:rPr>
          <w:iCs/>
          <w:kern w:val="0"/>
        </w:rPr>
        <w:t>and how you obtained them.</w:t>
      </w:r>
    </w:p>
    <w:p w:rsidR="00F97D54" w:rsidRDefault="00F97D54" w:rsidP="00BD739D">
      <w:pPr>
        <w:rPr>
          <w:kern w:val="0"/>
        </w:rPr>
      </w:pPr>
    </w:p>
    <w:p w:rsidR="00F97D54" w:rsidRDefault="00F97D54" w:rsidP="0047272E">
      <w:pPr>
        <w:widowControl/>
        <w:rPr>
          <w:kern w:val="0"/>
        </w:rPr>
      </w:pPr>
      <w:r>
        <w:rPr>
          <w:kern w:val="0"/>
        </w:rPr>
        <w:t xml:space="preserve">If you allege that a term, condition, or </w:t>
      </w:r>
      <w:r>
        <w:rPr>
          <w:i/>
          <w:kern w:val="0"/>
        </w:rPr>
        <w:t>Provider’s</w:t>
      </w:r>
      <w:r>
        <w:rPr>
          <w:kern w:val="0"/>
        </w:rPr>
        <w:t xml:space="preserve"> policy negatively affects your ability to obtain </w:t>
      </w:r>
      <w:r>
        <w:rPr>
          <w:i/>
          <w:kern w:val="0"/>
        </w:rPr>
        <w:t>Dedicated Services</w:t>
      </w:r>
      <w:r>
        <w:rPr>
          <w:kern w:val="0"/>
        </w:rPr>
        <w:t xml:space="preserve">, state whether you have brought a complaint to the Commission, a state commission or court about this issue and the outcome.  If you have not brought a complaint, explain why not. </w:t>
      </w:r>
    </w:p>
    <w:p w:rsidR="00F97D54" w:rsidRDefault="00F97D54" w:rsidP="00EB5B97">
      <w:pPr>
        <w:rPr>
          <w:kern w:val="0"/>
        </w:rPr>
      </w:pPr>
    </w:p>
    <w:p w:rsidR="00F97D54" w:rsidRDefault="00F97D54" w:rsidP="00EB5B97">
      <w:pPr>
        <w:numPr>
          <w:ilvl w:val="0"/>
          <w:numId w:val="35"/>
        </w:numPr>
        <w:tabs>
          <w:tab w:val="left" w:pos="630"/>
        </w:tabs>
        <w:rPr>
          <w:kern w:val="0"/>
        </w:rPr>
      </w:pPr>
      <w:r>
        <w:rPr>
          <w:kern w:val="0"/>
        </w:rPr>
        <w:t xml:space="preserve">If you purchase, or purchased, </w:t>
      </w:r>
      <w:r w:rsidRPr="00261775">
        <w:rPr>
          <w:i/>
          <w:kern w:val="0"/>
        </w:rPr>
        <w:t>Transport Service</w:t>
      </w:r>
      <w:r>
        <w:rPr>
          <w:kern w:val="0"/>
        </w:rPr>
        <w:t xml:space="preserve"> and </w:t>
      </w:r>
      <w:r w:rsidRPr="00261775">
        <w:rPr>
          <w:i/>
          <w:kern w:val="0"/>
        </w:rPr>
        <w:t>End User Channel Terminations</w:t>
      </w:r>
      <w:r>
        <w:rPr>
          <w:kern w:val="0"/>
        </w:rPr>
        <w:t xml:space="preserve"> from the same </w:t>
      </w:r>
      <w:r w:rsidRPr="00261775">
        <w:rPr>
          <w:i/>
          <w:kern w:val="0"/>
        </w:rPr>
        <w:t>Provider</w:t>
      </w:r>
      <w:r>
        <w:rPr>
          <w:kern w:val="0"/>
        </w:rPr>
        <w:t xml:space="preserve">, explain your experience with changing </w:t>
      </w:r>
      <w:r>
        <w:rPr>
          <w:i/>
          <w:kern w:val="0"/>
        </w:rPr>
        <w:t xml:space="preserve">Transport Service </w:t>
      </w:r>
      <w:r>
        <w:rPr>
          <w:kern w:val="0"/>
        </w:rPr>
        <w:t xml:space="preserve">from one </w:t>
      </w:r>
      <w:r w:rsidRPr="00261775">
        <w:rPr>
          <w:i/>
          <w:kern w:val="0"/>
        </w:rPr>
        <w:t>Provider</w:t>
      </w:r>
      <w:r>
        <w:rPr>
          <w:kern w:val="0"/>
        </w:rPr>
        <w:t xml:space="preserve"> to another between January 1, 2010 and December 31, 2012 while keeping your </w:t>
      </w:r>
      <w:r w:rsidRPr="00261775">
        <w:rPr>
          <w:i/>
          <w:kern w:val="0"/>
        </w:rPr>
        <w:t>End User Channel Terminations</w:t>
      </w:r>
      <w:r>
        <w:rPr>
          <w:kern w:val="0"/>
        </w:rPr>
        <w:t xml:space="preserve"> with the original </w:t>
      </w:r>
      <w:r w:rsidRPr="00261775">
        <w:rPr>
          <w:i/>
          <w:kern w:val="0"/>
        </w:rPr>
        <w:t>Provider</w:t>
      </w:r>
      <w:r>
        <w:rPr>
          <w:i/>
          <w:kern w:val="0"/>
        </w:rPr>
        <w:t>.</w:t>
      </w:r>
      <w:r>
        <w:rPr>
          <w:kern w:val="0"/>
        </w:rPr>
        <w:t xml:space="preserve">  Where appropriate, identify the </w:t>
      </w:r>
      <w:r>
        <w:rPr>
          <w:i/>
          <w:kern w:val="0"/>
        </w:rPr>
        <w:t>Provider(s)</w:t>
      </w:r>
      <w:r>
        <w:rPr>
          <w:kern w:val="0"/>
        </w:rPr>
        <w:t xml:space="preserve"> in your responses below and indicate whether they are an </w:t>
      </w:r>
      <w:r w:rsidRPr="00261775">
        <w:rPr>
          <w:i/>
          <w:kern w:val="0"/>
        </w:rPr>
        <w:t>ILEC</w:t>
      </w:r>
      <w:r>
        <w:rPr>
          <w:kern w:val="0"/>
        </w:rPr>
        <w:t xml:space="preserve"> or a </w:t>
      </w:r>
      <w:r w:rsidRPr="00261775">
        <w:rPr>
          <w:i/>
          <w:kern w:val="0"/>
        </w:rPr>
        <w:t>Competitive Provider</w:t>
      </w:r>
      <w:r>
        <w:rPr>
          <w:kern w:val="0"/>
        </w:rPr>
        <w:t xml:space="preserve">.  </w:t>
      </w:r>
    </w:p>
    <w:p w:rsidR="00F97D54" w:rsidRDefault="00F97D54" w:rsidP="00EB5B97">
      <w:pPr>
        <w:numPr>
          <w:ilvl w:val="0"/>
          <w:numId w:val="66"/>
        </w:numPr>
        <w:rPr>
          <w:kern w:val="0"/>
        </w:rPr>
      </w:pPr>
      <w:r>
        <w:rPr>
          <w:kern w:val="0"/>
        </w:rPr>
        <w:t xml:space="preserve">How many times did you change </w:t>
      </w:r>
      <w:r>
        <w:rPr>
          <w:i/>
          <w:kern w:val="0"/>
        </w:rPr>
        <w:t>Transport Service</w:t>
      </w:r>
      <w:r>
        <w:rPr>
          <w:kern w:val="0"/>
        </w:rPr>
        <w:t xml:space="preserve"> while keeping your </w:t>
      </w:r>
      <w:r>
        <w:rPr>
          <w:i/>
          <w:kern w:val="0"/>
        </w:rPr>
        <w:t>End User Channel Terminations</w:t>
      </w:r>
      <w:r>
        <w:rPr>
          <w:kern w:val="0"/>
        </w:rPr>
        <w:t xml:space="preserve"> with the original </w:t>
      </w:r>
      <w:r w:rsidRPr="00261775">
        <w:rPr>
          <w:i/>
          <w:kern w:val="0"/>
        </w:rPr>
        <w:t>Provider</w:t>
      </w:r>
      <w:r>
        <w:rPr>
          <w:kern w:val="0"/>
        </w:rPr>
        <w:t xml:space="preserve">?  An estimate of the number of circuits moved to a new </w:t>
      </w:r>
      <w:r>
        <w:rPr>
          <w:i/>
          <w:kern w:val="0"/>
        </w:rPr>
        <w:t>Transport Provider</w:t>
      </w:r>
      <w:r>
        <w:rPr>
          <w:kern w:val="0"/>
        </w:rPr>
        <w:t>, or the number of such changes requested for each year, is sufficient.</w:t>
      </w:r>
    </w:p>
    <w:p w:rsidR="00F97D54" w:rsidRDefault="00F97D54" w:rsidP="00EB5B97">
      <w:pPr>
        <w:numPr>
          <w:ilvl w:val="0"/>
          <w:numId w:val="66"/>
        </w:numPr>
        <w:rPr>
          <w:kern w:val="0"/>
        </w:rPr>
      </w:pPr>
      <w:r>
        <w:rPr>
          <w:kern w:val="0"/>
        </w:rPr>
        <w:t xml:space="preserve">What was the length of time, on average, it took for the original </w:t>
      </w:r>
      <w:r w:rsidRPr="00261775">
        <w:rPr>
          <w:i/>
          <w:kern w:val="0"/>
        </w:rPr>
        <w:t>Provider</w:t>
      </w:r>
      <w:r>
        <w:rPr>
          <w:i/>
          <w:kern w:val="0"/>
        </w:rPr>
        <w:t xml:space="preserve"> </w:t>
      </w:r>
      <w:r>
        <w:rPr>
          <w:kern w:val="0"/>
        </w:rPr>
        <w:t xml:space="preserve">to complete the process of connecting your last-mile </w:t>
      </w:r>
      <w:r>
        <w:rPr>
          <w:i/>
          <w:kern w:val="0"/>
        </w:rPr>
        <w:t>End-user Channel Terminations</w:t>
      </w:r>
      <w:r>
        <w:rPr>
          <w:kern w:val="0"/>
        </w:rPr>
        <w:t xml:space="preserve"> to another </w:t>
      </w:r>
      <w:r>
        <w:rPr>
          <w:i/>
          <w:kern w:val="0"/>
        </w:rPr>
        <w:t>Transport</w:t>
      </w:r>
      <w:r>
        <w:rPr>
          <w:kern w:val="0"/>
        </w:rPr>
        <w:t xml:space="preserve"> </w:t>
      </w:r>
      <w:r>
        <w:rPr>
          <w:i/>
          <w:kern w:val="0"/>
        </w:rPr>
        <w:t>Provider</w:t>
      </w:r>
      <w:r>
        <w:rPr>
          <w:kern w:val="0"/>
        </w:rPr>
        <w:t>?  An estimate is sufficient.</w:t>
      </w:r>
    </w:p>
    <w:p w:rsidR="00F97D54" w:rsidRDefault="00F97D54" w:rsidP="00EB5B97">
      <w:pPr>
        <w:numPr>
          <w:ilvl w:val="0"/>
          <w:numId w:val="66"/>
        </w:numPr>
        <w:rPr>
          <w:kern w:val="0"/>
        </w:rPr>
      </w:pPr>
      <w:r>
        <w:rPr>
          <w:kern w:val="0"/>
        </w:rPr>
        <w:t xml:space="preserve">Were you given the opportunity to negotiate the amount of time it would take to complete the process of connecting your </w:t>
      </w:r>
      <w:r w:rsidRPr="00473DD0">
        <w:rPr>
          <w:i/>
          <w:kern w:val="0"/>
        </w:rPr>
        <w:t>End User Channel Terminations</w:t>
      </w:r>
      <w:r>
        <w:rPr>
          <w:kern w:val="0"/>
        </w:rPr>
        <w:t xml:space="preserve"> to another Transport Provider on a case-by-case basis?    In answering this question, also describe and provide citations to the </w:t>
      </w:r>
      <w:r w:rsidRPr="00473DD0">
        <w:rPr>
          <w:i/>
          <w:kern w:val="0"/>
        </w:rPr>
        <w:t>ILEC’s</w:t>
      </w:r>
      <w:r>
        <w:rPr>
          <w:kern w:val="0"/>
        </w:rPr>
        <w:t xml:space="preserve"> or </w:t>
      </w:r>
      <w:r w:rsidRPr="00473DD0">
        <w:rPr>
          <w:i/>
          <w:kern w:val="0"/>
        </w:rPr>
        <w:t>Competitive Provider’s</w:t>
      </w:r>
      <w:r>
        <w:rPr>
          <w:kern w:val="0"/>
        </w:rPr>
        <w:t xml:space="preserve"> policies, rules or, where relevant, </w:t>
      </w:r>
      <w:r w:rsidRPr="00473DD0">
        <w:rPr>
          <w:i/>
          <w:kern w:val="0"/>
        </w:rPr>
        <w:t>Tariff</w:t>
      </w:r>
      <w:r>
        <w:rPr>
          <w:kern w:val="0"/>
        </w:rPr>
        <w:t xml:space="preserve"> provisions, if known, explaining the transition process.</w:t>
      </w:r>
    </w:p>
    <w:p w:rsidR="00F97D54" w:rsidRDefault="00F97D54" w:rsidP="00EB5B97">
      <w:pPr>
        <w:numPr>
          <w:ilvl w:val="0"/>
          <w:numId w:val="66"/>
        </w:numPr>
        <w:rPr>
          <w:kern w:val="0"/>
        </w:rPr>
      </w:pPr>
      <w:r>
        <w:rPr>
          <w:kern w:val="0"/>
        </w:rPr>
        <w:t xml:space="preserve">How did connecting to a new </w:t>
      </w:r>
      <w:r>
        <w:rPr>
          <w:i/>
          <w:kern w:val="0"/>
        </w:rPr>
        <w:t>Transport Provider</w:t>
      </w:r>
      <w:r>
        <w:rPr>
          <w:kern w:val="0"/>
        </w:rPr>
        <w:t xml:space="preserve"> impact the rate you paid for the </w:t>
      </w:r>
      <w:r>
        <w:rPr>
          <w:i/>
          <w:kern w:val="0"/>
        </w:rPr>
        <w:t>End User Channel Terminations</w:t>
      </w:r>
      <w:r>
        <w:rPr>
          <w:kern w:val="0"/>
        </w:rPr>
        <w:t xml:space="preserve"> you continued to purchase from the original</w:t>
      </w:r>
      <w:r>
        <w:rPr>
          <w:i/>
          <w:kern w:val="0"/>
        </w:rPr>
        <w:t xml:space="preserve"> Provider</w:t>
      </w:r>
      <w:r>
        <w:rPr>
          <w:kern w:val="0"/>
        </w:rPr>
        <w:t>?</w:t>
      </w:r>
    </w:p>
    <w:p w:rsidR="00F97D54" w:rsidRDefault="00F97D54" w:rsidP="00EB5B97">
      <w:pPr>
        <w:numPr>
          <w:ilvl w:val="0"/>
          <w:numId w:val="66"/>
        </w:numPr>
        <w:rPr>
          <w:kern w:val="0"/>
        </w:rPr>
      </w:pPr>
      <w:r>
        <w:rPr>
          <w:kern w:val="0"/>
        </w:rPr>
        <w:t xml:space="preserve">Did connecting to a new </w:t>
      </w:r>
      <w:r>
        <w:rPr>
          <w:i/>
          <w:iCs/>
          <w:kern w:val="0"/>
        </w:rPr>
        <w:t>Transport Provider</w:t>
      </w:r>
      <w:r>
        <w:rPr>
          <w:kern w:val="0"/>
        </w:rPr>
        <w:t xml:space="preserve"> typically impact the rate you continued to pay for </w:t>
      </w:r>
      <w:r>
        <w:rPr>
          <w:i/>
          <w:iCs/>
          <w:kern w:val="0"/>
        </w:rPr>
        <w:t>Transport Service</w:t>
      </w:r>
      <w:r>
        <w:rPr>
          <w:kern w:val="0"/>
        </w:rPr>
        <w:t xml:space="preserve"> from the original </w:t>
      </w:r>
      <w:r>
        <w:rPr>
          <w:i/>
          <w:iCs/>
          <w:kern w:val="0"/>
        </w:rPr>
        <w:t>Provider</w:t>
      </w:r>
      <w:r>
        <w:rPr>
          <w:kern w:val="0"/>
        </w:rPr>
        <w:t xml:space="preserve"> while the change in </w:t>
      </w:r>
      <w:r>
        <w:rPr>
          <w:i/>
          <w:iCs/>
          <w:kern w:val="0"/>
        </w:rPr>
        <w:t>Transport Providers</w:t>
      </w:r>
      <w:r>
        <w:rPr>
          <w:kern w:val="0"/>
        </w:rPr>
        <w:t xml:space="preserve"> remained pending?  If so, how?  What was the average percentage change in rates?  For example, did you ever pay a </w:t>
      </w:r>
      <w:r>
        <w:rPr>
          <w:i/>
          <w:kern w:val="0"/>
        </w:rPr>
        <w:t>One Month Term Only Rate</w:t>
      </w:r>
      <w:r>
        <w:rPr>
          <w:kern w:val="0"/>
        </w:rPr>
        <w:t xml:space="preserve"> during that time?</w:t>
      </w:r>
    </w:p>
    <w:p w:rsidR="00F97D54" w:rsidRDefault="00F97D54" w:rsidP="00EB5B97">
      <w:pPr>
        <w:rPr>
          <w:kern w:val="0"/>
        </w:rPr>
      </w:pPr>
    </w:p>
    <w:p w:rsidR="00F97D54" w:rsidRDefault="00F97D54" w:rsidP="00EB5B97">
      <w:pPr>
        <w:numPr>
          <w:ilvl w:val="0"/>
          <w:numId w:val="35"/>
        </w:numPr>
        <w:rPr>
          <w:kern w:val="0"/>
        </w:rPr>
      </w:pPr>
      <w:r>
        <w:rPr>
          <w:kern w:val="0"/>
        </w:rPr>
        <w:t xml:space="preserve">Describe any circumstances since January 1, 2010, in which you have purchased circuits pursuant to a </w:t>
      </w:r>
      <w:r>
        <w:rPr>
          <w:i/>
          <w:kern w:val="0"/>
        </w:rPr>
        <w:t>Tariff</w:t>
      </w:r>
      <w:r>
        <w:rPr>
          <w:kern w:val="0"/>
        </w:rPr>
        <w:t xml:space="preserve">, solely for the purpose of meeting a </w:t>
      </w:r>
      <w:r>
        <w:rPr>
          <w:i/>
          <w:kern w:val="0"/>
        </w:rPr>
        <w:t xml:space="preserve">Prior Purchase-Based Commitment </w:t>
      </w:r>
      <w:r>
        <w:rPr>
          <w:kern w:val="0"/>
        </w:rPr>
        <w:t xml:space="preserve">required for a discount or </w:t>
      </w:r>
      <w:r>
        <w:rPr>
          <w:i/>
          <w:kern w:val="0"/>
        </w:rPr>
        <w:t>Non-Rate Benefit</w:t>
      </w:r>
      <w:r>
        <w:rPr>
          <w:kern w:val="0"/>
        </w:rPr>
        <w:t xml:space="preserve"> from your </w:t>
      </w:r>
      <w:r>
        <w:rPr>
          <w:i/>
          <w:kern w:val="0"/>
        </w:rPr>
        <w:t>Provider</w:t>
      </w:r>
      <w:r>
        <w:rPr>
          <w:kern w:val="0"/>
        </w:rPr>
        <w:t xml:space="preserve"> (</w:t>
      </w:r>
      <w:r>
        <w:rPr>
          <w:i/>
          <w:kern w:val="0"/>
        </w:rPr>
        <w:t>i.e.</w:t>
      </w:r>
      <w:r>
        <w:rPr>
          <w:kern w:val="0"/>
        </w:rPr>
        <w:t xml:space="preserve">, </w:t>
      </w:r>
      <w:r>
        <w:t xml:space="preserve">you would not have purchased the circuit but for the requirement that you meet a </w:t>
      </w:r>
      <w:r>
        <w:rPr>
          <w:i/>
          <w:kern w:val="0"/>
        </w:rPr>
        <w:t xml:space="preserve">Volume </w:t>
      </w:r>
      <w:r w:rsidRPr="00454994">
        <w:rPr>
          <w:i/>
        </w:rPr>
        <w:t>Commitment</w:t>
      </w:r>
      <w:r>
        <w:t xml:space="preserve"> required for a discount or </w:t>
      </w:r>
      <w:r w:rsidRPr="00454994">
        <w:rPr>
          <w:i/>
        </w:rPr>
        <w:t>Non-Rate Benefit</w:t>
      </w:r>
      <w:r>
        <w:t xml:space="preserve"> from your </w:t>
      </w:r>
      <w:r w:rsidRPr="00454994">
        <w:rPr>
          <w:i/>
        </w:rPr>
        <w:t>Provider</w:t>
      </w:r>
      <w:r>
        <w:rPr>
          <w:kern w:val="0"/>
        </w:rPr>
        <w:t xml:space="preserve">).  In your description, provide at least one example, which at a minimum, lists:   </w:t>
      </w:r>
    </w:p>
    <w:p w:rsidR="00F97D54" w:rsidRPr="00697915" w:rsidRDefault="00F97D54" w:rsidP="00EB5B97">
      <w:pPr>
        <w:numPr>
          <w:ilvl w:val="2"/>
          <w:numId w:val="37"/>
        </w:numPr>
        <w:rPr>
          <w:kern w:val="0"/>
        </w:rPr>
      </w:pPr>
      <w:r w:rsidRPr="00697915">
        <w:rPr>
          <w:kern w:val="0"/>
        </w:rPr>
        <w:t xml:space="preserve">The name of the </w:t>
      </w:r>
      <w:r w:rsidRPr="00697915">
        <w:rPr>
          <w:i/>
          <w:kern w:val="0"/>
        </w:rPr>
        <w:t>Provider</w:t>
      </w:r>
      <w:r w:rsidRPr="00697915">
        <w:rPr>
          <w:kern w:val="0"/>
        </w:rPr>
        <w:t xml:space="preserve"> providing the circuits at issue; </w:t>
      </w:r>
    </w:p>
    <w:p w:rsidR="00F97D54" w:rsidRDefault="00F97D54" w:rsidP="00EB5B97">
      <w:pPr>
        <w:numPr>
          <w:ilvl w:val="2"/>
          <w:numId w:val="37"/>
        </w:numPr>
        <w:rPr>
          <w:kern w:val="0"/>
        </w:rPr>
      </w:pPr>
      <w:r>
        <w:rPr>
          <w:kern w:val="0"/>
        </w:rPr>
        <w:t xml:space="preserve">A description of the </w:t>
      </w:r>
      <w:r>
        <w:rPr>
          <w:i/>
          <w:kern w:val="0"/>
        </w:rPr>
        <w:t>Prior Purchase-Based Commitment</w:t>
      </w:r>
      <w:r>
        <w:rPr>
          <w:kern w:val="0"/>
        </w:rPr>
        <w:t xml:space="preserve">; </w:t>
      </w:r>
    </w:p>
    <w:p w:rsidR="00F97D54" w:rsidRDefault="00F97D54" w:rsidP="00EB5B97">
      <w:pPr>
        <w:numPr>
          <w:ilvl w:val="2"/>
          <w:numId w:val="37"/>
        </w:numPr>
        <w:rPr>
          <w:kern w:val="0"/>
        </w:rPr>
      </w:pPr>
      <w:r>
        <w:rPr>
          <w:kern w:val="0"/>
        </w:rPr>
        <w:t xml:space="preserve">The </w:t>
      </w:r>
      <w:r>
        <w:rPr>
          <w:i/>
          <w:kern w:val="0"/>
        </w:rPr>
        <w:t>Tariff</w:t>
      </w:r>
      <w:r>
        <w:rPr>
          <w:kern w:val="0"/>
        </w:rPr>
        <w:t xml:space="preserve"> and section number(s) of the specific terms and conditions described;</w:t>
      </w:r>
    </w:p>
    <w:p w:rsidR="00F97D54" w:rsidRDefault="00F97D54" w:rsidP="00EB5B97">
      <w:pPr>
        <w:numPr>
          <w:ilvl w:val="2"/>
          <w:numId w:val="37"/>
        </w:numPr>
        <w:rPr>
          <w:kern w:val="0"/>
        </w:rPr>
      </w:pPr>
      <w:r>
        <w:rPr>
          <w:kern w:val="0"/>
        </w:rPr>
        <w:t xml:space="preserve">The number of circuits you would not have purchased but for the </w:t>
      </w:r>
      <w:r>
        <w:rPr>
          <w:i/>
          <w:kern w:val="0"/>
        </w:rPr>
        <w:t>Prior Purchase-Based</w:t>
      </w:r>
      <w:r w:rsidRPr="00261775">
        <w:rPr>
          <w:i/>
          <w:kern w:val="0"/>
        </w:rPr>
        <w:t xml:space="preserve"> Commitment</w:t>
      </w:r>
      <w:r>
        <w:rPr>
          <w:kern w:val="0"/>
        </w:rPr>
        <w:t xml:space="preserve"> requirement to receive a discount or </w:t>
      </w:r>
      <w:r w:rsidRPr="00261775">
        <w:rPr>
          <w:i/>
          <w:kern w:val="0"/>
        </w:rPr>
        <w:t>Non-Rate Benefit</w:t>
      </w:r>
      <w:r>
        <w:rPr>
          <w:kern w:val="0"/>
        </w:rPr>
        <w:t>;</w:t>
      </w:r>
    </w:p>
    <w:p w:rsidR="00F97D54" w:rsidRDefault="00F97D54" w:rsidP="00EB5B97">
      <w:pPr>
        <w:numPr>
          <w:ilvl w:val="0"/>
          <w:numId w:val="84"/>
        </w:numPr>
        <w:rPr>
          <w:kern w:val="0"/>
        </w:rPr>
      </w:pPr>
      <w:r>
        <w:rPr>
          <w:kern w:val="0"/>
        </w:rPr>
        <w:t xml:space="preserve">Of the circuits reported in II.E.11.d, how many did you not use at all? </w:t>
      </w:r>
    </w:p>
    <w:p w:rsidR="00F97D54" w:rsidRDefault="00F97D54" w:rsidP="00EB5B97">
      <w:pPr>
        <w:numPr>
          <w:ilvl w:val="2"/>
          <w:numId w:val="37"/>
        </w:numPr>
        <w:rPr>
          <w:kern w:val="0"/>
        </w:rPr>
      </w:pPr>
      <w:r>
        <w:rPr>
          <w:kern w:val="0"/>
        </w:rPr>
        <w:t xml:space="preserve">A comparison of the dollar amount of the unnecessary circuit(s) purchased versus the dollar amount of penalties your company would have had to pay under the </w:t>
      </w:r>
      <w:r>
        <w:rPr>
          <w:i/>
          <w:kern w:val="0"/>
        </w:rPr>
        <w:t>Prior Purchase-Based Commitment</w:t>
      </w:r>
      <w:r>
        <w:rPr>
          <w:kern w:val="0"/>
        </w:rPr>
        <w:t xml:space="preserve"> had it not purchased and/or maintained the circuit(s), and a description of how that comparison was calculated.</w:t>
      </w:r>
    </w:p>
    <w:p w:rsidR="00F97D54" w:rsidRDefault="00F97D54" w:rsidP="00697A72">
      <w:pPr>
        <w:widowControl/>
        <w:numPr>
          <w:ilvl w:val="2"/>
          <w:numId w:val="37"/>
        </w:numPr>
        <w:rPr>
          <w:kern w:val="0"/>
        </w:rPr>
      </w:pPr>
      <w:r w:rsidRPr="00326DF5">
        <w:rPr>
          <w:kern w:val="0"/>
        </w:rPr>
        <w:t>How many c</w:t>
      </w:r>
      <w:r>
        <w:rPr>
          <w:kern w:val="0"/>
        </w:rPr>
        <w:t xml:space="preserve">ircuits were activated under the identified </w:t>
      </w:r>
      <w:r w:rsidRPr="00AC1F77">
        <w:rPr>
          <w:i/>
          <w:kern w:val="0"/>
        </w:rPr>
        <w:t>Tariff</w:t>
      </w:r>
      <w:r>
        <w:rPr>
          <w:kern w:val="0"/>
        </w:rPr>
        <w:t xml:space="preserve"> plan and </w:t>
      </w:r>
      <w:r w:rsidRPr="00326DF5">
        <w:rPr>
          <w:kern w:val="0"/>
        </w:rPr>
        <w:t xml:space="preserve">not used when </w:t>
      </w:r>
      <w:r>
        <w:rPr>
          <w:kern w:val="0"/>
        </w:rPr>
        <w:t>you initially entered into the plan?  W</w:t>
      </w:r>
      <w:r w:rsidRPr="00326DF5">
        <w:rPr>
          <w:kern w:val="0"/>
        </w:rPr>
        <w:t xml:space="preserve">hat </w:t>
      </w:r>
      <w:r>
        <w:rPr>
          <w:kern w:val="0"/>
        </w:rPr>
        <w:t>we</w:t>
      </w:r>
      <w:r w:rsidRPr="00326DF5">
        <w:rPr>
          <w:kern w:val="0"/>
        </w:rPr>
        <w:t xml:space="preserve">re these </w:t>
      </w:r>
      <w:r>
        <w:rPr>
          <w:kern w:val="0"/>
        </w:rPr>
        <w:t xml:space="preserve">unused circuits </w:t>
      </w:r>
      <w:r w:rsidRPr="00326DF5">
        <w:rPr>
          <w:kern w:val="0"/>
        </w:rPr>
        <w:t xml:space="preserve">as a percent of the total circuits currently purchased under this </w:t>
      </w:r>
      <w:r w:rsidRPr="00AC1F77">
        <w:rPr>
          <w:i/>
          <w:kern w:val="0"/>
        </w:rPr>
        <w:t>Tariff</w:t>
      </w:r>
      <w:r>
        <w:rPr>
          <w:kern w:val="0"/>
        </w:rPr>
        <w:t xml:space="preserve"> plan?  </w:t>
      </w:r>
      <w:r w:rsidRPr="00326DF5">
        <w:rPr>
          <w:kern w:val="0"/>
        </w:rPr>
        <w:t>Indicate the percent of the total circuits current</w:t>
      </w:r>
      <w:r>
        <w:rPr>
          <w:kern w:val="0"/>
        </w:rPr>
        <w:t xml:space="preserve">ly purchased under this </w:t>
      </w:r>
      <w:r w:rsidRPr="00AC1F77">
        <w:rPr>
          <w:i/>
          <w:kern w:val="0"/>
        </w:rPr>
        <w:t>Tariff</w:t>
      </w:r>
      <w:r w:rsidRPr="00326DF5">
        <w:rPr>
          <w:kern w:val="0"/>
        </w:rPr>
        <w:t xml:space="preserve"> </w:t>
      </w:r>
      <w:r>
        <w:rPr>
          <w:kern w:val="0"/>
        </w:rPr>
        <w:t xml:space="preserve">plan </w:t>
      </w:r>
      <w:r w:rsidRPr="00326DF5">
        <w:rPr>
          <w:kern w:val="0"/>
        </w:rPr>
        <w:t xml:space="preserve">that exceed your </w:t>
      </w:r>
      <w:r>
        <w:rPr>
          <w:i/>
          <w:iCs/>
          <w:kern w:val="0"/>
        </w:rPr>
        <w:t>Prior Purchase-Based</w:t>
      </w:r>
      <w:r w:rsidRPr="00326DF5">
        <w:rPr>
          <w:i/>
          <w:iCs/>
          <w:kern w:val="0"/>
        </w:rPr>
        <w:t xml:space="preserve"> Commitment.</w:t>
      </w:r>
    </w:p>
    <w:p w:rsidR="00F97D54" w:rsidRDefault="00F97D54" w:rsidP="00EB5B97">
      <w:pPr>
        <w:numPr>
          <w:ilvl w:val="2"/>
          <w:numId w:val="37"/>
        </w:numPr>
        <w:rPr>
          <w:kern w:val="0"/>
        </w:rPr>
      </w:pPr>
      <w:r>
        <w:rPr>
          <w:kern w:val="0"/>
        </w:rPr>
        <w:t>F</w:t>
      </w:r>
      <w:r w:rsidRPr="00326DF5">
        <w:rPr>
          <w:kern w:val="0"/>
        </w:rPr>
        <w:t xml:space="preserve">or the </w:t>
      </w:r>
      <w:r>
        <w:rPr>
          <w:i/>
          <w:iCs/>
          <w:kern w:val="0"/>
        </w:rPr>
        <w:t>Prior Purchase-B</w:t>
      </w:r>
      <w:r w:rsidRPr="00326DF5">
        <w:rPr>
          <w:i/>
          <w:iCs/>
          <w:kern w:val="0"/>
        </w:rPr>
        <w:t>ased Commitment</w:t>
      </w:r>
      <w:r w:rsidRPr="00326DF5">
        <w:rPr>
          <w:kern w:val="0"/>
        </w:rPr>
        <w:t xml:space="preserve">, </w:t>
      </w:r>
      <w:r>
        <w:rPr>
          <w:kern w:val="0"/>
        </w:rPr>
        <w:t xml:space="preserve">indicate </w:t>
      </w:r>
      <w:r w:rsidRPr="00326DF5">
        <w:rPr>
          <w:kern w:val="0"/>
        </w:rPr>
        <w:t xml:space="preserve">whether you </w:t>
      </w:r>
      <w:r>
        <w:rPr>
          <w:kern w:val="0"/>
        </w:rPr>
        <w:t xml:space="preserve">are </w:t>
      </w:r>
      <w:r w:rsidRPr="00326DF5">
        <w:rPr>
          <w:kern w:val="0"/>
        </w:rPr>
        <w:t xml:space="preserve">able to buy any </w:t>
      </w:r>
      <w:r w:rsidRPr="00AC1F77">
        <w:rPr>
          <w:i/>
          <w:kern w:val="0"/>
        </w:rPr>
        <w:t>DS1s</w:t>
      </w:r>
      <w:r w:rsidRPr="00326DF5">
        <w:rPr>
          <w:kern w:val="0"/>
        </w:rPr>
        <w:t xml:space="preserve"> or </w:t>
      </w:r>
      <w:r w:rsidRPr="00AC1F77">
        <w:rPr>
          <w:i/>
          <w:kern w:val="0"/>
        </w:rPr>
        <w:t>DS3s</w:t>
      </w:r>
      <w:r w:rsidRPr="00326DF5">
        <w:rPr>
          <w:kern w:val="0"/>
        </w:rPr>
        <w:t xml:space="preserve"> from the </w:t>
      </w:r>
      <w:r w:rsidRPr="00AC1F77">
        <w:rPr>
          <w:i/>
          <w:kern w:val="0"/>
        </w:rPr>
        <w:t>Provider</w:t>
      </w:r>
      <w:r w:rsidRPr="00326DF5">
        <w:rPr>
          <w:kern w:val="0"/>
        </w:rPr>
        <w:t xml:space="preserve"> outside of the </w:t>
      </w:r>
      <w:r>
        <w:rPr>
          <w:kern w:val="0"/>
        </w:rPr>
        <w:t xml:space="preserve">identified </w:t>
      </w:r>
      <w:r w:rsidRPr="00AC1F77">
        <w:rPr>
          <w:i/>
          <w:kern w:val="0"/>
        </w:rPr>
        <w:t>Tariff</w:t>
      </w:r>
      <w:r>
        <w:rPr>
          <w:kern w:val="0"/>
        </w:rPr>
        <w:t xml:space="preserve"> plan</w:t>
      </w:r>
      <w:r w:rsidRPr="00326DF5">
        <w:rPr>
          <w:kern w:val="0"/>
        </w:rPr>
        <w:t xml:space="preserve">, or </w:t>
      </w:r>
      <w:r>
        <w:rPr>
          <w:kern w:val="0"/>
        </w:rPr>
        <w:t>are you required to</w:t>
      </w:r>
      <w:r w:rsidRPr="00326DF5">
        <w:rPr>
          <w:kern w:val="0"/>
        </w:rPr>
        <w:t xml:space="preserve"> make all purchases from the </w:t>
      </w:r>
      <w:r>
        <w:rPr>
          <w:i/>
          <w:kern w:val="0"/>
        </w:rPr>
        <w:t>Provider</w:t>
      </w:r>
      <w:r>
        <w:rPr>
          <w:kern w:val="0"/>
        </w:rPr>
        <w:t xml:space="preserve"> pursuant to the identified </w:t>
      </w:r>
      <w:r w:rsidRPr="00AC1F77">
        <w:rPr>
          <w:i/>
          <w:kern w:val="0"/>
        </w:rPr>
        <w:t>Tariff</w:t>
      </w:r>
      <w:r>
        <w:rPr>
          <w:kern w:val="0"/>
        </w:rPr>
        <w:t xml:space="preserve"> plan</w:t>
      </w:r>
      <w:r w:rsidRPr="00326DF5">
        <w:rPr>
          <w:kern w:val="0"/>
        </w:rPr>
        <w:t>?</w:t>
      </w:r>
    </w:p>
    <w:p w:rsidR="00F97D54" w:rsidRDefault="00F97D54" w:rsidP="00EB5B97">
      <w:pPr>
        <w:rPr>
          <w:kern w:val="0"/>
          <w:u w:val="single"/>
        </w:rPr>
      </w:pPr>
    </w:p>
    <w:p w:rsidR="00F97D54" w:rsidRPr="00261775" w:rsidRDefault="00F97D54" w:rsidP="00EB5B97">
      <w:pPr>
        <w:numPr>
          <w:ilvl w:val="0"/>
          <w:numId w:val="35"/>
        </w:numPr>
      </w:pPr>
      <w:r>
        <w:t xml:space="preserve">For each year for the past five years, state the number of times and in what geographic area(s) you have switched from purchasing </w:t>
      </w:r>
      <w:r>
        <w:rPr>
          <w:i/>
        </w:rPr>
        <w:t xml:space="preserve">End-User Channel Terminations </w:t>
      </w:r>
      <w:r>
        <w:t xml:space="preserve">from one </w:t>
      </w:r>
      <w:r w:rsidRPr="00BD7C22">
        <w:rPr>
          <w:i/>
        </w:rPr>
        <w:t xml:space="preserve">Provider </w:t>
      </w:r>
      <w:r>
        <w:t xml:space="preserve">of </w:t>
      </w:r>
      <w:r w:rsidRPr="00BD7C22">
        <w:rPr>
          <w:i/>
        </w:rPr>
        <w:t>Dedicated Services</w:t>
      </w:r>
      <w:r>
        <w:t xml:space="preserve"> to another.</w:t>
      </w:r>
    </w:p>
    <w:p w:rsidR="00F97D54" w:rsidRDefault="00F97D54" w:rsidP="00EB5B97">
      <w:pPr>
        <w:rPr>
          <w:kern w:val="0"/>
        </w:rPr>
      </w:pPr>
    </w:p>
    <w:p w:rsidR="00F97D54" w:rsidRDefault="00F97D54" w:rsidP="00EB5B97">
      <w:pPr>
        <w:numPr>
          <w:ilvl w:val="0"/>
          <w:numId w:val="35"/>
        </w:numPr>
        <w:tabs>
          <w:tab w:val="left" w:pos="900"/>
        </w:tabs>
        <w:rPr>
          <w:kern w:val="0"/>
        </w:rPr>
      </w:pPr>
      <w:r>
        <w:rPr>
          <w:kern w:val="0"/>
        </w:rPr>
        <w:t xml:space="preserve">Explain the circumstances since January 1, 2010 under which you have paid </w:t>
      </w:r>
      <w:r>
        <w:rPr>
          <w:i/>
          <w:kern w:val="0"/>
        </w:rPr>
        <w:t xml:space="preserve">One Month Term Only Rates </w:t>
      </w:r>
      <w:r>
        <w:rPr>
          <w:kern w:val="0"/>
        </w:rPr>
        <w:t xml:space="preserve">for </w:t>
      </w:r>
      <w:r>
        <w:rPr>
          <w:i/>
          <w:kern w:val="0"/>
        </w:rPr>
        <w:t>DS1</w:t>
      </w:r>
      <w:r>
        <w:rPr>
          <w:kern w:val="0"/>
        </w:rPr>
        <w:t xml:space="preserve">, </w:t>
      </w:r>
      <w:r>
        <w:rPr>
          <w:i/>
          <w:kern w:val="0"/>
        </w:rPr>
        <w:t>DS3</w:t>
      </w:r>
      <w:r>
        <w:rPr>
          <w:kern w:val="0"/>
        </w:rPr>
        <w:t xml:space="preserve">, and/or </w:t>
      </w:r>
      <w:r>
        <w:rPr>
          <w:i/>
          <w:kern w:val="0"/>
        </w:rPr>
        <w:t>PBDS</w:t>
      </w:r>
      <w:r>
        <w:rPr>
          <w:kern w:val="0"/>
        </w:rPr>
        <w:t xml:space="preserve"> services and the impact, if any, it had on your business and your customers.  In your response, indicate any general rules you follow, if any, concerning the maximum number of circuits and maximum amount of time you will pay </w:t>
      </w:r>
      <w:r>
        <w:rPr>
          <w:i/>
          <w:kern w:val="0"/>
        </w:rPr>
        <w:t>One Month Term Only Rates</w:t>
      </w:r>
      <w:r>
        <w:rPr>
          <w:kern w:val="0"/>
        </w:rPr>
        <w:t xml:space="preserve">, and your business rationale for any such rules.  </w:t>
      </w:r>
      <w:r>
        <w:rPr>
          <w:b/>
          <w:kern w:val="0"/>
        </w:rPr>
        <w:t xml:space="preserve"> </w:t>
      </w:r>
    </w:p>
    <w:p w:rsidR="00F97D54" w:rsidRDefault="00F97D54" w:rsidP="00EB5B97">
      <w:pPr>
        <w:pStyle w:val="ListParagraph"/>
      </w:pPr>
    </w:p>
    <w:p w:rsidR="00F97D54" w:rsidRDefault="00F97D54" w:rsidP="006E5097">
      <w:pPr>
        <w:widowControl/>
        <w:numPr>
          <w:ilvl w:val="0"/>
          <w:numId w:val="35"/>
        </w:numPr>
        <w:tabs>
          <w:tab w:val="left" w:pos="900"/>
        </w:tabs>
        <w:spacing w:after="120"/>
        <w:rPr>
          <w:kern w:val="0"/>
        </w:rPr>
      </w:pPr>
      <w:r>
        <w:rPr>
          <w:kern w:val="0"/>
        </w:rPr>
        <w:t xml:space="preserve">Separately list all </w:t>
      </w:r>
      <w:r>
        <w:rPr>
          <w:i/>
          <w:kern w:val="0"/>
        </w:rPr>
        <w:t>Tariffs</w:t>
      </w:r>
      <w:r>
        <w:rPr>
          <w:kern w:val="0"/>
        </w:rPr>
        <w:t xml:space="preserve"> under which your company purchases </w:t>
      </w:r>
      <w:r>
        <w:rPr>
          <w:i/>
          <w:kern w:val="0"/>
        </w:rPr>
        <w:t>DS1s</w:t>
      </w:r>
      <w:r>
        <w:rPr>
          <w:kern w:val="0"/>
        </w:rPr>
        <w:t xml:space="preserve">, </w:t>
      </w:r>
      <w:r>
        <w:rPr>
          <w:i/>
          <w:kern w:val="0"/>
        </w:rPr>
        <w:t>DS3s</w:t>
      </w:r>
      <w:r>
        <w:rPr>
          <w:kern w:val="0"/>
        </w:rPr>
        <w:t xml:space="preserve">, and/or </w:t>
      </w:r>
      <w:r>
        <w:rPr>
          <w:i/>
          <w:kern w:val="0"/>
        </w:rPr>
        <w:t>PBDS</w:t>
      </w:r>
      <w:r>
        <w:rPr>
          <w:kern w:val="0"/>
        </w:rPr>
        <w:t xml:space="preserve"> and provide the information requested below for each plan.  </w:t>
      </w:r>
    </w:p>
    <w:p w:rsidR="00F97D54" w:rsidRDefault="00F97D54" w:rsidP="00EB5B97">
      <w:pPr>
        <w:numPr>
          <w:ilvl w:val="0"/>
          <w:numId w:val="49"/>
        </w:numPr>
        <w:rPr>
          <w:kern w:val="0"/>
        </w:rPr>
      </w:pPr>
      <w:r>
        <w:rPr>
          <w:kern w:val="0"/>
        </w:rPr>
        <w:t>This plan is a:</w:t>
      </w:r>
    </w:p>
    <w:p w:rsidR="00F97D54" w:rsidRDefault="00F97D54" w:rsidP="00EB5B97">
      <w:pPr>
        <w:spacing w:after="120"/>
        <w:ind w:left="1080" w:firstLine="360"/>
        <w:rPr>
          <w:kern w:val="0"/>
        </w:rPr>
      </w:pPr>
      <w:r>
        <w:rPr>
          <w:rFonts w:ascii="Times New Roman Bold" w:hAnsi="Times New Roman Bold"/>
          <w:b/>
          <w:kern w:val="0"/>
          <w:sz w:val="28"/>
        </w:rPr>
        <w:t xml:space="preserve">□  </w:t>
      </w:r>
      <w:r>
        <w:rPr>
          <w:i/>
          <w:kern w:val="0"/>
          <w:szCs w:val="22"/>
        </w:rPr>
        <w:t>Tariff Plan</w:t>
      </w:r>
      <w:r>
        <w:rPr>
          <w:kern w:val="0"/>
          <w:szCs w:val="22"/>
        </w:rPr>
        <w:t xml:space="preserve">  </w:t>
      </w:r>
      <w:r>
        <w:rPr>
          <w:rFonts w:ascii="Times New Roman Bold" w:hAnsi="Times New Roman Bold"/>
          <w:b/>
          <w:kern w:val="0"/>
          <w:sz w:val="28"/>
        </w:rPr>
        <w:t xml:space="preserve">□  </w:t>
      </w:r>
      <w:r>
        <w:rPr>
          <w:i/>
          <w:kern w:val="0"/>
          <w:szCs w:val="22"/>
        </w:rPr>
        <w:t xml:space="preserve">Contract-Based Tariff </w:t>
      </w:r>
      <w:r>
        <w:rPr>
          <w:kern w:val="0"/>
          <w:szCs w:val="22"/>
        </w:rPr>
        <w:t>(select one)</w:t>
      </w:r>
    </w:p>
    <w:p w:rsidR="00F97D54" w:rsidRDefault="00F97D54" w:rsidP="00EB5B97">
      <w:pPr>
        <w:numPr>
          <w:ilvl w:val="0"/>
          <w:numId w:val="49"/>
        </w:numPr>
        <w:spacing w:after="120"/>
        <w:rPr>
          <w:kern w:val="0"/>
        </w:rPr>
      </w:pPr>
      <w:r>
        <w:rPr>
          <w:kern w:val="0"/>
        </w:rPr>
        <w:t>Plan name:</w:t>
      </w:r>
    </w:p>
    <w:p w:rsidR="00F97D54" w:rsidRDefault="00F97D54" w:rsidP="00EB5B97">
      <w:pPr>
        <w:numPr>
          <w:ilvl w:val="0"/>
          <w:numId w:val="49"/>
        </w:numPr>
        <w:spacing w:after="120"/>
        <w:rPr>
          <w:kern w:val="0"/>
        </w:rPr>
      </w:pPr>
      <w:r>
        <w:rPr>
          <w:i/>
          <w:kern w:val="0"/>
        </w:rPr>
        <w:t>Provider</w:t>
      </w:r>
      <w:r>
        <w:rPr>
          <w:kern w:val="0"/>
        </w:rPr>
        <w:t xml:space="preserve"> name:</w:t>
      </w:r>
    </w:p>
    <w:p w:rsidR="00F97D54" w:rsidRDefault="00F97D54" w:rsidP="00EB5B97">
      <w:pPr>
        <w:numPr>
          <w:ilvl w:val="0"/>
          <w:numId w:val="49"/>
        </w:numPr>
        <w:spacing w:after="120"/>
        <w:rPr>
          <w:kern w:val="0"/>
        </w:rPr>
      </w:pPr>
      <w:r>
        <w:rPr>
          <w:i/>
          <w:kern w:val="0"/>
        </w:rPr>
        <w:t>Tariff</w:t>
      </w:r>
      <w:r>
        <w:rPr>
          <w:kern w:val="0"/>
        </w:rPr>
        <w:t xml:space="preserve"> and Section Number(s):</w:t>
      </w:r>
    </w:p>
    <w:p w:rsidR="00F97D54" w:rsidRDefault="00F97D54" w:rsidP="00EB5B97">
      <w:pPr>
        <w:numPr>
          <w:ilvl w:val="0"/>
          <w:numId w:val="49"/>
        </w:numPr>
        <w:rPr>
          <w:kern w:val="0"/>
        </w:rPr>
      </w:pPr>
      <w:r>
        <w:rPr>
          <w:i/>
          <w:kern w:val="0"/>
        </w:rPr>
        <w:t>Tariff</w:t>
      </w:r>
      <w:r>
        <w:rPr>
          <w:kern w:val="0"/>
        </w:rPr>
        <w:t xml:space="preserve"> type:</w:t>
      </w:r>
    </w:p>
    <w:p w:rsidR="00F97D54" w:rsidRDefault="00F97D54" w:rsidP="00EB5B97">
      <w:pPr>
        <w:spacing w:after="120"/>
        <w:ind w:left="1440"/>
        <w:rPr>
          <w:kern w:val="0"/>
        </w:rPr>
      </w:pPr>
      <w:r>
        <w:rPr>
          <w:rFonts w:ascii="Times New Roman Bold" w:hAnsi="Times New Roman Bold"/>
          <w:b/>
          <w:kern w:val="0"/>
          <w:sz w:val="28"/>
        </w:rPr>
        <w:t xml:space="preserve">□  </w:t>
      </w:r>
      <w:r>
        <w:rPr>
          <w:kern w:val="0"/>
          <w:szCs w:val="22"/>
        </w:rPr>
        <w:t xml:space="preserve">Interstate  </w:t>
      </w:r>
      <w:r>
        <w:rPr>
          <w:rFonts w:ascii="Times New Roman Bold" w:hAnsi="Times New Roman Bold"/>
          <w:b/>
          <w:kern w:val="0"/>
          <w:sz w:val="28"/>
        </w:rPr>
        <w:t xml:space="preserve">□  </w:t>
      </w:r>
      <w:r>
        <w:rPr>
          <w:kern w:val="0"/>
          <w:szCs w:val="22"/>
        </w:rPr>
        <w:t>Intrastate</w:t>
      </w:r>
    </w:p>
    <w:p w:rsidR="00F97D54" w:rsidRDefault="00F97D54" w:rsidP="00EB5B97">
      <w:pPr>
        <w:numPr>
          <w:ilvl w:val="0"/>
          <w:numId w:val="49"/>
        </w:numPr>
        <w:rPr>
          <w:kern w:val="0"/>
        </w:rPr>
      </w:pPr>
      <w:r>
        <w:rPr>
          <w:kern w:val="0"/>
        </w:rPr>
        <w:t>This plan contains:</w:t>
      </w:r>
    </w:p>
    <w:p w:rsidR="00F97D54" w:rsidRDefault="00F97D54" w:rsidP="00EB5B97">
      <w:pPr>
        <w:rPr>
          <w:kern w:val="0"/>
        </w:rPr>
      </w:pPr>
      <w:r>
        <w:rPr>
          <w:b/>
          <w:kern w:val="0"/>
        </w:rPr>
        <w:t>⁯⁫</w:t>
      </w:r>
      <w:dir w:val="ltr">
        <w:r>
          <w:rPr>
            <w:b/>
            <w:kern w:val="0"/>
          </w:rPr>
          <w:tab/>
        </w:r>
        <w:r>
          <w:rPr>
            <w:b/>
            <w:kern w:val="0"/>
          </w:rPr>
          <w:tab/>
        </w:r>
        <w:r>
          <w:rPr>
            <w:rFonts w:ascii="Times New Roman Bold" w:hAnsi="Times New Roman Bold"/>
            <w:b/>
            <w:kern w:val="0"/>
            <w:sz w:val="28"/>
          </w:rPr>
          <w:t>□</w:t>
        </w:r>
        <w:r>
          <w:rPr>
            <w:b/>
            <w:kern w:val="0"/>
          </w:rPr>
          <w:t xml:space="preserve">  </w:t>
        </w:r>
        <w:r>
          <w:rPr>
            <w:i/>
            <w:kern w:val="0"/>
          </w:rPr>
          <w:t>Term Commitment(s)</w:t>
        </w:r>
        <w:r>
          <w:rPr>
            <w:kern w:val="0"/>
          </w:rPr>
          <w:t xml:space="preserve">  </w:t>
        </w:r>
        <w:r>
          <w:rPr>
            <w:rFonts w:ascii="Times New Roman Bold" w:hAnsi="Times New Roman Bold"/>
            <w:b/>
            <w:kern w:val="0"/>
            <w:sz w:val="28"/>
          </w:rPr>
          <w:t>□</w:t>
        </w:r>
        <w:r>
          <w:rPr>
            <w:b/>
            <w:kern w:val="0"/>
          </w:rPr>
          <w:t xml:space="preserve">  </w:t>
        </w:r>
        <w:r>
          <w:rPr>
            <w:i/>
            <w:kern w:val="0"/>
          </w:rPr>
          <w:t>Volume Commitment(s)</w:t>
        </w:r>
        <w:r w:rsidR="000D1B5B">
          <w:t>‬</w:t>
        </w:r>
        <w:r w:rsidR="00877B9F">
          <w:t>‬</w:t>
        </w:r>
        <w:r w:rsidR="00D610B7">
          <w:t>‬</w:t>
        </w:r>
        <w:r w:rsidR="008E5B1D">
          <w:t>‬</w:t>
        </w:r>
        <w:r w:rsidR="0033254D">
          <w:t>‬</w:t>
        </w:r>
        <w:r w:rsidR="00B11E6E">
          <w:t>‬</w:t>
        </w:r>
        <w:r w:rsidR="003C1C85">
          <w:t>‬</w:t>
        </w:r>
        <w:r w:rsidR="007916AE">
          <w:t>‬</w:t>
        </w:r>
        <w:r w:rsidR="005D7275">
          <w:t>‬</w:t>
        </w:r>
        <w:r w:rsidR="0047272E">
          <w:t>‬</w:t>
        </w:r>
        <w:r w:rsidR="008C6C19">
          <w:t>‬</w:t>
        </w:r>
        <w:r w:rsidR="00381F17">
          <w:t>‬</w:t>
        </w:r>
        <w:r w:rsidR="005A5FB6">
          <w:t>‬</w:t>
        </w:r>
        <w:r w:rsidR="007633BC">
          <w:t>‬</w:t>
        </w:r>
        <w:r w:rsidR="00B41778">
          <w:t>‬</w:t>
        </w:r>
        <w:r w:rsidR="00B350DE">
          <w:t>‬</w:t>
        </w:r>
        <w:r w:rsidR="00000E96">
          <w:t>‬</w:t>
        </w:r>
        <w:r w:rsidR="00051C98">
          <w:t>‬</w:t>
        </w:r>
        <w:r w:rsidR="00FD33F9">
          <w:t>‬</w:t>
        </w:r>
        <w:r w:rsidR="00CD5011">
          <w:t>‬</w:t>
        </w:r>
        <w:r w:rsidR="00942104">
          <w:t>‬</w:t>
        </w:r>
        <w:r w:rsidR="001B310A">
          <w:t>‬</w:t>
        </w:r>
        <w:r w:rsidR="0083344C">
          <w:t>‬</w:t>
        </w:r>
        <w:r w:rsidR="00441ED3">
          <w:t>‬</w:t>
        </w:r>
        <w:r w:rsidR="00295162">
          <w:t>‬</w:t>
        </w:r>
        <w:r w:rsidR="00576C5A">
          <w:t>‬</w:t>
        </w:r>
        <w:r w:rsidR="00F1179D">
          <w:t>‬</w:t>
        </w:r>
        <w:r w:rsidR="00356C23">
          <w:t>‬</w:t>
        </w:r>
        <w:r w:rsidR="00F40BB7">
          <w:t>‬</w:t>
        </w:r>
        <w:r w:rsidR="00670412">
          <w:t>‬</w:t>
        </w:r>
        <w:r w:rsidR="00325659">
          <w:t>‬</w:t>
        </w:r>
        <w:r w:rsidR="00FB20A9">
          <w:t>‬</w:t>
        </w:r>
      </w:dir>
    </w:p>
    <w:p w:rsidR="00F97D54" w:rsidRDefault="00F97D54" w:rsidP="00EB5B97">
      <w:pPr>
        <w:spacing w:after="120"/>
        <w:ind w:left="720" w:firstLine="720"/>
        <w:rPr>
          <w:kern w:val="0"/>
        </w:rPr>
      </w:pPr>
      <w:r>
        <w:rPr>
          <w:rFonts w:ascii="Times New Roman Bold" w:hAnsi="Times New Roman Bold"/>
          <w:b/>
          <w:kern w:val="0"/>
          <w:sz w:val="28"/>
        </w:rPr>
        <w:t>□</w:t>
      </w:r>
      <w:r>
        <w:rPr>
          <w:b/>
          <w:kern w:val="0"/>
        </w:rPr>
        <w:t xml:space="preserve">  </w:t>
      </w:r>
      <w:r>
        <w:rPr>
          <w:i/>
          <w:kern w:val="0"/>
        </w:rPr>
        <w:t xml:space="preserve">Non-Rate Benefit </w:t>
      </w:r>
      <w:r>
        <w:rPr>
          <w:kern w:val="0"/>
        </w:rPr>
        <w:t>option(s) (select all that apply)</w:t>
      </w:r>
    </w:p>
    <w:p w:rsidR="00F97D54" w:rsidRDefault="00F97D54" w:rsidP="00EB5B97">
      <w:pPr>
        <w:numPr>
          <w:ilvl w:val="0"/>
          <w:numId w:val="49"/>
        </w:numPr>
        <w:spacing w:after="120"/>
        <w:rPr>
          <w:kern w:val="0"/>
        </w:rPr>
      </w:pPr>
      <w:r>
        <w:rPr>
          <w:kern w:val="0"/>
        </w:rPr>
        <w:t xml:space="preserve">If the plan contains </w:t>
      </w:r>
      <w:r>
        <w:rPr>
          <w:i/>
          <w:kern w:val="0"/>
        </w:rPr>
        <w:t>Non-Rate Benefits</w:t>
      </w:r>
      <w:r>
        <w:rPr>
          <w:kern w:val="0"/>
        </w:rPr>
        <w:t xml:space="preserve">, identify the </w:t>
      </w:r>
      <w:r>
        <w:rPr>
          <w:i/>
          <w:kern w:val="0"/>
        </w:rPr>
        <w:t>Non-Rate Benefits</w:t>
      </w:r>
      <w:r>
        <w:rPr>
          <w:kern w:val="0"/>
        </w:rPr>
        <w:t xml:space="preserve"> that were relevant to your decision to purchase services under this plan.  </w:t>
      </w:r>
    </w:p>
    <w:p w:rsidR="00F97D54" w:rsidRDefault="00F97D54" w:rsidP="00EB5B97">
      <w:pPr>
        <w:numPr>
          <w:ilvl w:val="0"/>
          <w:numId w:val="49"/>
        </w:numPr>
        <w:rPr>
          <w:kern w:val="0"/>
        </w:rPr>
      </w:pPr>
      <w:r>
        <w:rPr>
          <w:kern w:val="0"/>
        </w:rPr>
        <w:t>This plan can be applied to the purchase of:</w:t>
      </w:r>
    </w:p>
    <w:p w:rsidR="00F97D54" w:rsidRDefault="00F97D54" w:rsidP="00EB5B97">
      <w:pPr>
        <w:spacing w:after="120"/>
        <w:ind w:left="720" w:firstLine="720"/>
        <w:rPr>
          <w:kern w:val="0"/>
          <w:szCs w:val="22"/>
        </w:rPr>
      </w:pPr>
      <w:r>
        <w:rPr>
          <w:rFonts w:ascii="Times New Roman Bold" w:hAnsi="Times New Roman Bold"/>
          <w:b/>
          <w:kern w:val="0"/>
          <w:sz w:val="28"/>
        </w:rPr>
        <w:t xml:space="preserve">□ </w:t>
      </w:r>
      <w:r>
        <w:rPr>
          <w:i/>
          <w:kern w:val="0"/>
          <w:szCs w:val="22"/>
        </w:rPr>
        <w:t>DS1</w:t>
      </w:r>
      <w:r>
        <w:rPr>
          <w:kern w:val="0"/>
          <w:szCs w:val="22"/>
        </w:rPr>
        <w:t xml:space="preserve"> services   </w:t>
      </w:r>
      <w:r>
        <w:rPr>
          <w:rFonts w:ascii="Times New Roman Bold" w:hAnsi="Times New Roman Bold"/>
          <w:b/>
          <w:kern w:val="0"/>
          <w:sz w:val="28"/>
        </w:rPr>
        <w:t xml:space="preserve">□ </w:t>
      </w:r>
      <w:r>
        <w:rPr>
          <w:i/>
          <w:kern w:val="0"/>
          <w:szCs w:val="22"/>
        </w:rPr>
        <w:t>DS3</w:t>
      </w:r>
      <w:r>
        <w:rPr>
          <w:kern w:val="0"/>
          <w:szCs w:val="22"/>
        </w:rPr>
        <w:t xml:space="preserve"> services   </w:t>
      </w:r>
      <w:r>
        <w:rPr>
          <w:rFonts w:ascii="Times New Roman Bold" w:hAnsi="Times New Roman Bold"/>
          <w:b/>
          <w:kern w:val="0"/>
          <w:sz w:val="28"/>
        </w:rPr>
        <w:t xml:space="preserve">□ </w:t>
      </w:r>
      <w:r>
        <w:rPr>
          <w:i/>
          <w:kern w:val="0"/>
          <w:szCs w:val="22"/>
        </w:rPr>
        <w:t>PBDS</w:t>
      </w:r>
      <w:r>
        <w:rPr>
          <w:rFonts w:ascii="Times New Roman Bold" w:hAnsi="Times New Roman Bold"/>
          <w:b/>
          <w:kern w:val="0"/>
          <w:sz w:val="28"/>
        </w:rPr>
        <w:t xml:space="preserve">  □ </w:t>
      </w:r>
      <w:r>
        <w:rPr>
          <w:kern w:val="0"/>
          <w:szCs w:val="22"/>
        </w:rPr>
        <w:t xml:space="preserve">Other </w:t>
      </w:r>
      <w:r>
        <w:rPr>
          <w:kern w:val="0"/>
        </w:rPr>
        <w:t>(select all that apply)</w:t>
      </w:r>
    </w:p>
    <w:p w:rsidR="00F97D54" w:rsidRDefault="00F97D54" w:rsidP="00EB5B97">
      <w:pPr>
        <w:numPr>
          <w:ilvl w:val="0"/>
          <w:numId w:val="31"/>
        </w:numPr>
        <w:tabs>
          <w:tab w:val="num" w:pos="720"/>
        </w:tabs>
        <w:spacing w:after="120"/>
        <w:rPr>
          <w:kern w:val="0"/>
        </w:rPr>
      </w:pPr>
      <w:r>
        <w:rPr>
          <w:kern w:val="0"/>
        </w:rPr>
        <w:t xml:space="preserve">In what geographic areas do you purchase </w:t>
      </w:r>
      <w:r>
        <w:rPr>
          <w:i/>
          <w:kern w:val="0"/>
        </w:rPr>
        <w:t>DS1s</w:t>
      </w:r>
      <w:r>
        <w:rPr>
          <w:kern w:val="0"/>
        </w:rPr>
        <w:t xml:space="preserve">, </w:t>
      </w:r>
      <w:r>
        <w:rPr>
          <w:i/>
          <w:kern w:val="0"/>
        </w:rPr>
        <w:t>DS3s</w:t>
      </w:r>
      <w:r>
        <w:rPr>
          <w:kern w:val="0"/>
        </w:rPr>
        <w:t xml:space="preserve">, and/or </w:t>
      </w:r>
      <w:r>
        <w:rPr>
          <w:i/>
          <w:kern w:val="0"/>
        </w:rPr>
        <w:t>PBDS</w:t>
      </w:r>
      <w:r>
        <w:rPr>
          <w:kern w:val="0"/>
        </w:rPr>
        <w:t xml:space="preserve"> under this plan, </w:t>
      </w:r>
      <w:r>
        <w:rPr>
          <w:i/>
          <w:kern w:val="0"/>
        </w:rPr>
        <w:t>e.g.</w:t>
      </w:r>
      <w:r>
        <w:rPr>
          <w:kern w:val="0"/>
        </w:rPr>
        <w:t xml:space="preserve">, nationwide, certain states, or certain </w:t>
      </w:r>
      <w:r>
        <w:rPr>
          <w:i/>
          <w:kern w:val="0"/>
        </w:rPr>
        <w:t>MSAs</w:t>
      </w:r>
      <w:r>
        <w:rPr>
          <w:kern w:val="0"/>
        </w:rPr>
        <w:t xml:space="preserve">?    </w:t>
      </w:r>
    </w:p>
    <w:p w:rsidR="00F97D54" w:rsidRDefault="00F97D54" w:rsidP="00EB5B97">
      <w:pPr>
        <w:numPr>
          <w:ilvl w:val="0"/>
          <w:numId w:val="86"/>
        </w:numPr>
        <w:rPr>
          <w:kern w:val="0"/>
        </w:rPr>
      </w:pPr>
      <w:r>
        <w:rPr>
          <w:kern w:val="0"/>
        </w:rPr>
        <w:t xml:space="preserve">To receive a discount or </w:t>
      </w:r>
      <w:r>
        <w:rPr>
          <w:i/>
          <w:kern w:val="0"/>
        </w:rPr>
        <w:t xml:space="preserve">Non-Rate Benefit </w:t>
      </w:r>
      <w:r>
        <w:rPr>
          <w:kern w:val="0"/>
        </w:rPr>
        <w:t xml:space="preserve">under this plan, does your company make a </w:t>
      </w:r>
      <w:r>
        <w:rPr>
          <w:i/>
          <w:kern w:val="0"/>
        </w:rPr>
        <w:t>Prior Purchase-Based Commitment</w:t>
      </w:r>
      <w:r>
        <w:rPr>
          <w:kern w:val="0"/>
        </w:rPr>
        <w:t xml:space="preserve">?  </w:t>
      </w:r>
    </w:p>
    <w:p w:rsidR="00F97D54" w:rsidRDefault="00F97D54" w:rsidP="00EB5B97">
      <w:pPr>
        <w:spacing w:after="120"/>
        <w:ind w:left="720" w:firstLine="720"/>
        <w:rPr>
          <w:kern w:val="0"/>
          <w:szCs w:val="22"/>
        </w:rPr>
      </w:pPr>
      <w:r>
        <w:rPr>
          <w:rFonts w:ascii="Times New Roman Bold" w:hAnsi="Times New Roman Bold"/>
          <w:b/>
          <w:kern w:val="0"/>
          <w:sz w:val="28"/>
        </w:rPr>
        <w:t xml:space="preserve">□  </w:t>
      </w:r>
      <w:r>
        <w:rPr>
          <w:kern w:val="0"/>
          <w:szCs w:val="22"/>
        </w:rPr>
        <w:t xml:space="preserve">Yes  </w:t>
      </w:r>
      <w:r>
        <w:rPr>
          <w:rFonts w:ascii="Times New Roman Bold" w:hAnsi="Times New Roman Bold"/>
          <w:b/>
          <w:kern w:val="0"/>
          <w:sz w:val="28"/>
        </w:rPr>
        <w:t xml:space="preserve">□  </w:t>
      </w:r>
      <w:r>
        <w:rPr>
          <w:kern w:val="0"/>
          <w:szCs w:val="22"/>
        </w:rPr>
        <w:t>No</w:t>
      </w:r>
    </w:p>
    <w:p w:rsidR="00F97D54" w:rsidRDefault="00F97D54" w:rsidP="00EB5B97">
      <w:pPr>
        <w:numPr>
          <w:ilvl w:val="0"/>
          <w:numId w:val="86"/>
        </w:numPr>
        <w:rPr>
          <w:kern w:val="0"/>
        </w:rPr>
      </w:pPr>
      <w:r>
        <w:rPr>
          <w:kern w:val="0"/>
        </w:rPr>
        <w:t xml:space="preserve">If this is an </w:t>
      </w:r>
      <w:r>
        <w:rPr>
          <w:i/>
          <w:kern w:val="0"/>
        </w:rPr>
        <w:t>ILEC</w:t>
      </w:r>
      <w:r>
        <w:rPr>
          <w:kern w:val="0"/>
        </w:rPr>
        <w:t xml:space="preserve"> plan, do </w:t>
      </w:r>
      <w:r>
        <w:rPr>
          <w:i/>
          <w:kern w:val="0"/>
        </w:rPr>
        <w:t>DS1</w:t>
      </w:r>
      <w:r w:rsidRPr="00473DD0">
        <w:rPr>
          <w:kern w:val="0"/>
        </w:rPr>
        <w:t>,</w:t>
      </w:r>
      <w:r>
        <w:rPr>
          <w:i/>
          <w:kern w:val="0"/>
        </w:rPr>
        <w:t xml:space="preserve"> DS3</w:t>
      </w:r>
      <w:r>
        <w:rPr>
          <w:kern w:val="0"/>
        </w:rPr>
        <w:t xml:space="preserve">, or tariffed </w:t>
      </w:r>
      <w:r w:rsidRPr="00473DD0">
        <w:rPr>
          <w:i/>
          <w:kern w:val="0"/>
        </w:rPr>
        <w:t>PBDS</w:t>
      </w:r>
      <w:r>
        <w:rPr>
          <w:kern w:val="0"/>
        </w:rPr>
        <w:t xml:space="preserve"> purchases your company makes outside the study area(s) of the </w:t>
      </w:r>
      <w:r>
        <w:rPr>
          <w:i/>
          <w:kern w:val="0"/>
        </w:rPr>
        <w:t>ILEC</w:t>
      </w:r>
      <w:r>
        <w:rPr>
          <w:kern w:val="0"/>
        </w:rPr>
        <w:t xml:space="preserve"> (</w:t>
      </w:r>
      <w:r>
        <w:rPr>
          <w:i/>
          <w:kern w:val="0"/>
        </w:rPr>
        <w:t>e.g.</w:t>
      </w:r>
      <w:r>
        <w:rPr>
          <w:kern w:val="0"/>
        </w:rPr>
        <w:t xml:space="preserve">, purchases from an </w:t>
      </w:r>
      <w:r>
        <w:rPr>
          <w:i/>
          <w:kern w:val="0"/>
        </w:rPr>
        <w:t>Affiliated Company</w:t>
      </w:r>
      <w:r>
        <w:rPr>
          <w:kern w:val="0"/>
        </w:rPr>
        <w:t xml:space="preserve"> of the </w:t>
      </w:r>
      <w:r>
        <w:rPr>
          <w:i/>
          <w:kern w:val="0"/>
        </w:rPr>
        <w:t>ILEC</w:t>
      </w:r>
      <w:r>
        <w:rPr>
          <w:kern w:val="0"/>
        </w:rPr>
        <w:t xml:space="preserve"> that is providing out-of-region service as a CLEC) count towards meeting any </w:t>
      </w:r>
      <w:r>
        <w:rPr>
          <w:i/>
          <w:kern w:val="0"/>
        </w:rPr>
        <w:t>Volume Commitment</w:t>
      </w:r>
      <w:r>
        <w:rPr>
          <w:kern w:val="0"/>
        </w:rPr>
        <w:t xml:space="preserve"> to receive a discount or </w:t>
      </w:r>
      <w:r>
        <w:rPr>
          <w:i/>
          <w:kern w:val="0"/>
        </w:rPr>
        <w:t>Non-Rate Benefit</w:t>
      </w:r>
      <w:r>
        <w:rPr>
          <w:kern w:val="0"/>
        </w:rPr>
        <w:t xml:space="preserve"> under this plan?  </w:t>
      </w:r>
    </w:p>
    <w:p w:rsidR="00F97D54" w:rsidRDefault="00F97D54" w:rsidP="00EB5B97">
      <w:pPr>
        <w:spacing w:after="120"/>
        <w:ind w:left="720" w:firstLine="720"/>
        <w:rPr>
          <w:kern w:val="0"/>
          <w:szCs w:val="22"/>
        </w:rPr>
      </w:pPr>
      <w:r>
        <w:rPr>
          <w:rFonts w:ascii="Times New Roman Bold" w:hAnsi="Times New Roman Bold"/>
          <w:b/>
          <w:kern w:val="0"/>
          <w:sz w:val="28"/>
        </w:rPr>
        <w:t xml:space="preserve">□  </w:t>
      </w:r>
      <w:r>
        <w:rPr>
          <w:kern w:val="0"/>
          <w:szCs w:val="22"/>
        </w:rPr>
        <w:t>Yes</w:t>
      </w:r>
      <w:r>
        <w:rPr>
          <w:kern w:val="0"/>
          <w:sz w:val="24"/>
        </w:rPr>
        <w:t xml:space="preserve">  </w:t>
      </w:r>
      <w:r>
        <w:rPr>
          <w:rFonts w:ascii="Times New Roman Bold" w:hAnsi="Times New Roman Bold"/>
          <w:b/>
          <w:kern w:val="0"/>
          <w:sz w:val="28"/>
        </w:rPr>
        <w:t xml:space="preserve">□  </w:t>
      </w:r>
      <w:r>
        <w:rPr>
          <w:kern w:val="0"/>
          <w:szCs w:val="22"/>
        </w:rPr>
        <w:t xml:space="preserve">No  </w:t>
      </w:r>
      <w:r>
        <w:rPr>
          <w:rFonts w:ascii="Times New Roman Bold" w:hAnsi="Times New Roman Bold"/>
          <w:b/>
          <w:kern w:val="0"/>
          <w:sz w:val="28"/>
        </w:rPr>
        <w:t xml:space="preserve">□  </w:t>
      </w:r>
      <w:r>
        <w:rPr>
          <w:kern w:val="0"/>
          <w:szCs w:val="22"/>
        </w:rPr>
        <w:t xml:space="preserve">N/A (no </w:t>
      </w:r>
      <w:r>
        <w:rPr>
          <w:i/>
          <w:kern w:val="0"/>
          <w:szCs w:val="22"/>
        </w:rPr>
        <w:t>Volume Commitment</w:t>
      </w:r>
      <w:r>
        <w:rPr>
          <w:kern w:val="0"/>
          <w:szCs w:val="22"/>
        </w:rPr>
        <w:t xml:space="preserve">, not an </w:t>
      </w:r>
      <w:r>
        <w:rPr>
          <w:i/>
          <w:kern w:val="0"/>
          <w:szCs w:val="22"/>
        </w:rPr>
        <w:t>ILEC</w:t>
      </w:r>
      <w:r>
        <w:rPr>
          <w:kern w:val="0"/>
          <w:szCs w:val="22"/>
        </w:rPr>
        <w:t xml:space="preserve"> plan)</w:t>
      </w:r>
    </w:p>
    <w:p w:rsidR="00F97D54" w:rsidRDefault="00F97D54" w:rsidP="00697A72">
      <w:pPr>
        <w:widowControl/>
        <w:numPr>
          <w:ilvl w:val="1"/>
          <w:numId w:val="32"/>
        </w:numPr>
        <w:spacing w:after="120"/>
        <w:rPr>
          <w:kern w:val="0"/>
          <w:szCs w:val="22"/>
        </w:rPr>
      </w:pPr>
      <w:r>
        <w:rPr>
          <w:kern w:val="0"/>
          <w:szCs w:val="22"/>
        </w:rPr>
        <w:t xml:space="preserve">If you answered yes, in what geographic areas outside the study area(s) of the </w:t>
      </w:r>
      <w:r>
        <w:rPr>
          <w:i/>
          <w:kern w:val="0"/>
          <w:szCs w:val="22"/>
        </w:rPr>
        <w:t>ILEC</w:t>
      </w:r>
      <w:r>
        <w:rPr>
          <w:kern w:val="0"/>
          <w:szCs w:val="22"/>
        </w:rPr>
        <w:t xml:space="preserve">, do you purchase these </w:t>
      </w:r>
      <w:r>
        <w:rPr>
          <w:i/>
          <w:kern w:val="0"/>
          <w:szCs w:val="22"/>
        </w:rPr>
        <w:t>DS1s</w:t>
      </w:r>
      <w:r>
        <w:rPr>
          <w:kern w:val="0"/>
          <w:szCs w:val="22"/>
        </w:rPr>
        <w:t xml:space="preserve">, </w:t>
      </w:r>
      <w:r>
        <w:rPr>
          <w:i/>
          <w:kern w:val="0"/>
          <w:szCs w:val="22"/>
        </w:rPr>
        <w:t>DS3s</w:t>
      </w:r>
      <w:r>
        <w:rPr>
          <w:kern w:val="0"/>
          <w:szCs w:val="22"/>
        </w:rPr>
        <w:t xml:space="preserve"> and/or tariffed </w:t>
      </w:r>
      <w:r w:rsidRPr="00473DD0">
        <w:rPr>
          <w:i/>
          <w:kern w:val="0"/>
          <w:szCs w:val="22"/>
        </w:rPr>
        <w:t>PBDS</w:t>
      </w:r>
      <w:r>
        <w:rPr>
          <w:kern w:val="0"/>
        </w:rPr>
        <w:t xml:space="preserve">?      </w:t>
      </w:r>
    </w:p>
    <w:p w:rsidR="00F97D54" w:rsidRDefault="00F97D54" w:rsidP="00EB5B97">
      <w:pPr>
        <w:numPr>
          <w:ilvl w:val="1"/>
          <w:numId w:val="32"/>
        </w:numPr>
        <w:spacing w:after="120"/>
        <w:rPr>
          <w:kern w:val="0"/>
        </w:rPr>
      </w:pPr>
      <w:r>
        <w:rPr>
          <w:kern w:val="0"/>
        </w:rPr>
        <w:t xml:space="preserve">For each geographic area identified, state whether your company would have purchased from a different </w:t>
      </w:r>
      <w:r>
        <w:rPr>
          <w:i/>
          <w:kern w:val="0"/>
        </w:rPr>
        <w:t>Provider</w:t>
      </w:r>
      <w:r>
        <w:rPr>
          <w:kern w:val="0"/>
        </w:rPr>
        <w:t>, if at all,</w:t>
      </w:r>
      <w:r>
        <w:rPr>
          <w:i/>
          <w:kern w:val="0"/>
        </w:rPr>
        <w:t xml:space="preserve"> </w:t>
      </w:r>
      <w:r>
        <w:rPr>
          <w:kern w:val="0"/>
        </w:rPr>
        <w:t xml:space="preserve">had it not been for the discounts or </w:t>
      </w:r>
      <w:r>
        <w:rPr>
          <w:i/>
          <w:kern w:val="0"/>
        </w:rPr>
        <w:t>Non-Rate Benefits</w:t>
      </w:r>
      <w:r>
        <w:rPr>
          <w:kern w:val="0"/>
        </w:rPr>
        <w:t xml:space="preserve"> received under this plan?  In your response, indicate whether the </w:t>
      </w:r>
      <w:r>
        <w:rPr>
          <w:i/>
          <w:kern w:val="0"/>
        </w:rPr>
        <w:t>Provider</w:t>
      </w:r>
      <w:r>
        <w:rPr>
          <w:kern w:val="0"/>
        </w:rPr>
        <w:t xml:space="preserve"> that you would have purchased from has </w:t>
      </w:r>
      <w:r>
        <w:rPr>
          <w:i/>
          <w:kern w:val="0"/>
        </w:rPr>
        <w:t>Connections</w:t>
      </w:r>
      <w:r>
        <w:rPr>
          <w:kern w:val="0"/>
        </w:rPr>
        <w:t xml:space="preserve"> serving that geographic area and the </w:t>
      </w:r>
      <w:r w:rsidRPr="00D215AC">
        <w:rPr>
          <w:i/>
          <w:kern w:val="0"/>
        </w:rPr>
        <w:t>Provider’s</w:t>
      </w:r>
      <w:r>
        <w:rPr>
          <w:kern w:val="0"/>
        </w:rPr>
        <w:t xml:space="preserve"> name.  </w:t>
      </w:r>
    </w:p>
    <w:p w:rsidR="00F97D54" w:rsidRDefault="00F97D54" w:rsidP="00724B61">
      <w:pPr>
        <w:widowControl/>
        <w:numPr>
          <w:ilvl w:val="0"/>
          <w:numId w:val="86"/>
        </w:numPr>
        <w:rPr>
          <w:kern w:val="0"/>
          <w:szCs w:val="22"/>
        </w:rPr>
      </w:pPr>
      <w:r>
        <w:rPr>
          <w:kern w:val="0"/>
          <w:szCs w:val="22"/>
        </w:rPr>
        <w:t xml:space="preserve">If this is an </w:t>
      </w:r>
      <w:r>
        <w:rPr>
          <w:i/>
          <w:kern w:val="0"/>
          <w:szCs w:val="22"/>
        </w:rPr>
        <w:t>ILEC</w:t>
      </w:r>
      <w:r>
        <w:rPr>
          <w:kern w:val="0"/>
          <w:szCs w:val="22"/>
        </w:rPr>
        <w:t xml:space="preserve"> plan, do </w:t>
      </w:r>
      <w:r>
        <w:rPr>
          <w:i/>
          <w:kern w:val="0"/>
          <w:szCs w:val="22"/>
        </w:rPr>
        <w:t>DS1</w:t>
      </w:r>
      <w:r w:rsidRPr="005F4858">
        <w:rPr>
          <w:kern w:val="0"/>
          <w:szCs w:val="22"/>
        </w:rPr>
        <w:t>,</w:t>
      </w:r>
      <w:r>
        <w:rPr>
          <w:kern w:val="0"/>
          <w:szCs w:val="22"/>
        </w:rPr>
        <w:t xml:space="preserve"> </w:t>
      </w:r>
      <w:r>
        <w:rPr>
          <w:i/>
          <w:kern w:val="0"/>
          <w:szCs w:val="22"/>
        </w:rPr>
        <w:t>DS3</w:t>
      </w:r>
      <w:r w:rsidRPr="005F4858">
        <w:rPr>
          <w:kern w:val="0"/>
          <w:szCs w:val="22"/>
        </w:rPr>
        <w:t>,</w:t>
      </w:r>
      <w:r>
        <w:rPr>
          <w:kern w:val="0"/>
          <w:szCs w:val="22"/>
        </w:rPr>
        <w:t xml:space="preserve"> and/or tariffed </w:t>
      </w:r>
      <w:r w:rsidRPr="005F4858">
        <w:rPr>
          <w:i/>
          <w:kern w:val="0"/>
          <w:szCs w:val="22"/>
        </w:rPr>
        <w:t>PBDS</w:t>
      </w:r>
      <w:r>
        <w:rPr>
          <w:kern w:val="0"/>
          <w:szCs w:val="22"/>
        </w:rPr>
        <w:t xml:space="preserve"> purchases your company makes from the </w:t>
      </w:r>
      <w:r>
        <w:rPr>
          <w:i/>
          <w:kern w:val="0"/>
          <w:szCs w:val="22"/>
        </w:rPr>
        <w:t>ILEC</w:t>
      </w:r>
      <w:r>
        <w:rPr>
          <w:kern w:val="0"/>
          <w:szCs w:val="22"/>
        </w:rPr>
        <w:t xml:space="preserve"> in price cap areas where the Commission has not granted the </w:t>
      </w:r>
      <w:r>
        <w:rPr>
          <w:i/>
          <w:kern w:val="0"/>
          <w:szCs w:val="22"/>
        </w:rPr>
        <w:t>ILEC</w:t>
      </w:r>
      <w:r>
        <w:rPr>
          <w:kern w:val="0"/>
          <w:szCs w:val="22"/>
        </w:rPr>
        <w:t xml:space="preserve"> pricing flexibility count towards meeting any </w:t>
      </w:r>
      <w:r>
        <w:rPr>
          <w:i/>
          <w:kern w:val="0"/>
          <w:szCs w:val="22"/>
        </w:rPr>
        <w:t>Volume Commitment</w:t>
      </w:r>
      <w:r>
        <w:rPr>
          <w:kern w:val="0"/>
          <w:szCs w:val="22"/>
        </w:rPr>
        <w:t xml:space="preserve"> to receive a discount or </w:t>
      </w:r>
      <w:r>
        <w:rPr>
          <w:i/>
          <w:kern w:val="0"/>
          <w:szCs w:val="22"/>
        </w:rPr>
        <w:t>Non-Rate Benefit</w:t>
      </w:r>
      <w:r>
        <w:rPr>
          <w:kern w:val="0"/>
          <w:szCs w:val="22"/>
        </w:rPr>
        <w:t xml:space="preserve"> under this plan?</w:t>
      </w:r>
    </w:p>
    <w:p w:rsidR="00F97D54" w:rsidRDefault="00F97D54" w:rsidP="00EB5B97">
      <w:pPr>
        <w:spacing w:after="120"/>
        <w:ind w:left="1987" w:firstLine="187"/>
        <w:rPr>
          <w:kern w:val="0"/>
          <w:szCs w:val="22"/>
        </w:rPr>
      </w:pPr>
      <w:r>
        <w:rPr>
          <w:rFonts w:ascii="Times New Roman Bold" w:hAnsi="Times New Roman Bold"/>
          <w:b/>
          <w:kern w:val="0"/>
          <w:sz w:val="28"/>
        </w:rPr>
        <w:t xml:space="preserve">□  </w:t>
      </w:r>
      <w:r>
        <w:rPr>
          <w:kern w:val="0"/>
          <w:szCs w:val="22"/>
        </w:rPr>
        <w:t>Yes</w:t>
      </w:r>
      <w:r>
        <w:rPr>
          <w:kern w:val="0"/>
          <w:sz w:val="24"/>
        </w:rPr>
        <w:t xml:space="preserve">  </w:t>
      </w:r>
      <w:r>
        <w:rPr>
          <w:rFonts w:ascii="Times New Roman Bold" w:hAnsi="Times New Roman Bold"/>
          <w:b/>
          <w:kern w:val="0"/>
          <w:sz w:val="28"/>
        </w:rPr>
        <w:t xml:space="preserve">□  </w:t>
      </w:r>
      <w:r>
        <w:rPr>
          <w:kern w:val="0"/>
          <w:szCs w:val="22"/>
        </w:rPr>
        <w:t xml:space="preserve">No  </w:t>
      </w:r>
      <w:r>
        <w:rPr>
          <w:rFonts w:ascii="Times New Roman Bold" w:hAnsi="Times New Roman Bold"/>
          <w:b/>
          <w:kern w:val="0"/>
          <w:sz w:val="28"/>
        </w:rPr>
        <w:t xml:space="preserve">□  </w:t>
      </w:r>
      <w:r>
        <w:rPr>
          <w:kern w:val="0"/>
          <w:szCs w:val="22"/>
        </w:rPr>
        <w:t xml:space="preserve">N/A (no </w:t>
      </w:r>
      <w:r>
        <w:rPr>
          <w:i/>
          <w:kern w:val="0"/>
          <w:szCs w:val="22"/>
        </w:rPr>
        <w:t>Volume Commitment</w:t>
      </w:r>
      <w:r>
        <w:rPr>
          <w:kern w:val="0"/>
          <w:szCs w:val="22"/>
        </w:rPr>
        <w:t xml:space="preserve">, not an </w:t>
      </w:r>
      <w:r>
        <w:rPr>
          <w:i/>
          <w:kern w:val="0"/>
          <w:szCs w:val="22"/>
        </w:rPr>
        <w:t>ILEC</w:t>
      </w:r>
      <w:r>
        <w:rPr>
          <w:kern w:val="0"/>
          <w:szCs w:val="22"/>
        </w:rPr>
        <w:t xml:space="preserve"> plan)</w:t>
      </w:r>
    </w:p>
    <w:p w:rsidR="00F97D54" w:rsidRDefault="00F97D54" w:rsidP="00EB5B97">
      <w:pPr>
        <w:numPr>
          <w:ilvl w:val="1"/>
          <w:numId w:val="50"/>
        </w:numPr>
        <w:spacing w:after="120"/>
        <w:rPr>
          <w:kern w:val="0"/>
          <w:szCs w:val="22"/>
        </w:rPr>
      </w:pPr>
      <w:r>
        <w:rPr>
          <w:kern w:val="0"/>
          <w:szCs w:val="22"/>
        </w:rPr>
        <w:t xml:space="preserve">If you answered yes, then identify the </w:t>
      </w:r>
      <w:r>
        <w:rPr>
          <w:kern w:val="0"/>
        </w:rPr>
        <w:t xml:space="preserve">price cap areas where you purchase </w:t>
      </w:r>
      <w:r>
        <w:rPr>
          <w:i/>
          <w:kern w:val="0"/>
        </w:rPr>
        <w:t>DS1s</w:t>
      </w:r>
      <w:r>
        <w:rPr>
          <w:kern w:val="0"/>
        </w:rPr>
        <w:t xml:space="preserve">, </w:t>
      </w:r>
      <w:r>
        <w:rPr>
          <w:i/>
          <w:kern w:val="0"/>
        </w:rPr>
        <w:t>DS3s</w:t>
      </w:r>
      <w:r>
        <w:rPr>
          <w:kern w:val="0"/>
        </w:rPr>
        <w:t xml:space="preserve">, and/or tariffed </w:t>
      </w:r>
      <w:r w:rsidRPr="005F4858">
        <w:rPr>
          <w:i/>
          <w:kern w:val="0"/>
        </w:rPr>
        <w:t>PBDS</w:t>
      </w:r>
      <w:r>
        <w:rPr>
          <w:kern w:val="0"/>
        </w:rPr>
        <w:t xml:space="preserve"> that count towards meeting any </w:t>
      </w:r>
      <w:r>
        <w:rPr>
          <w:i/>
          <w:kern w:val="0"/>
        </w:rPr>
        <w:t>Volume Commitment</w:t>
      </w:r>
      <w:r>
        <w:rPr>
          <w:kern w:val="0"/>
        </w:rPr>
        <w:t xml:space="preserve"> to receive a discount or </w:t>
      </w:r>
      <w:r>
        <w:rPr>
          <w:i/>
          <w:kern w:val="0"/>
        </w:rPr>
        <w:t>Non-Rate Benefit</w:t>
      </w:r>
      <w:r>
        <w:rPr>
          <w:kern w:val="0"/>
        </w:rPr>
        <w:t xml:space="preserve"> under this plan?        </w:t>
      </w:r>
    </w:p>
    <w:p w:rsidR="00F97D54" w:rsidRDefault="00F97D54" w:rsidP="00BC5602">
      <w:pPr>
        <w:widowControl/>
        <w:numPr>
          <w:ilvl w:val="0"/>
          <w:numId w:val="86"/>
        </w:numPr>
        <w:rPr>
          <w:kern w:val="0"/>
          <w:szCs w:val="22"/>
        </w:rPr>
      </w:pPr>
      <w:r>
        <w:rPr>
          <w:kern w:val="0"/>
          <w:szCs w:val="22"/>
        </w:rPr>
        <w:t xml:space="preserve">If this is an </w:t>
      </w:r>
      <w:r>
        <w:rPr>
          <w:i/>
          <w:kern w:val="0"/>
          <w:szCs w:val="22"/>
        </w:rPr>
        <w:t>ILEC</w:t>
      </w:r>
      <w:r>
        <w:rPr>
          <w:kern w:val="0"/>
          <w:szCs w:val="22"/>
        </w:rPr>
        <w:t xml:space="preserve"> plan, do </w:t>
      </w:r>
      <w:r>
        <w:rPr>
          <w:i/>
          <w:kern w:val="0"/>
          <w:szCs w:val="22"/>
        </w:rPr>
        <w:t>DS1</w:t>
      </w:r>
      <w:r>
        <w:rPr>
          <w:kern w:val="0"/>
          <w:szCs w:val="22"/>
        </w:rPr>
        <w:t xml:space="preserve">, </w:t>
      </w:r>
      <w:r>
        <w:rPr>
          <w:i/>
          <w:kern w:val="0"/>
          <w:szCs w:val="22"/>
        </w:rPr>
        <w:t>DS3</w:t>
      </w:r>
      <w:r>
        <w:rPr>
          <w:kern w:val="0"/>
          <w:szCs w:val="22"/>
        </w:rPr>
        <w:t xml:space="preserve"> and/or tariffed </w:t>
      </w:r>
      <w:r w:rsidRPr="00815899">
        <w:rPr>
          <w:i/>
          <w:kern w:val="0"/>
          <w:szCs w:val="22"/>
        </w:rPr>
        <w:t>PBDS</w:t>
      </w:r>
      <w:r>
        <w:rPr>
          <w:kern w:val="0"/>
          <w:szCs w:val="22"/>
        </w:rPr>
        <w:t xml:space="preserve"> purchases your company makes from the </w:t>
      </w:r>
      <w:r>
        <w:rPr>
          <w:i/>
          <w:kern w:val="0"/>
          <w:szCs w:val="22"/>
        </w:rPr>
        <w:t>ILEC</w:t>
      </w:r>
      <w:r>
        <w:rPr>
          <w:kern w:val="0"/>
          <w:szCs w:val="22"/>
        </w:rPr>
        <w:t xml:space="preserve"> in areas where the Commission has granted </w:t>
      </w:r>
      <w:r>
        <w:rPr>
          <w:i/>
          <w:kern w:val="0"/>
          <w:szCs w:val="22"/>
        </w:rPr>
        <w:t>Phase I</w:t>
      </w:r>
      <w:r>
        <w:rPr>
          <w:kern w:val="0"/>
          <w:szCs w:val="22"/>
        </w:rPr>
        <w:t xml:space="preserve"> </w:t>
      </w:r>
      <w:r>
        <w:rPr>
          <w:i/>
          <w:kern w:val="0"/>
          <w:szCs w:val="22"/>
        </w:rPr>
        <w:t>Pricing Flexibility</w:t>
      </w:r>
      <w:r>
        <w:rPr>
          <w:kern w:val="0"/>
          <w:szCs w:val="22"/>
        </w:rPr>
        <w:t xml:space="preserve"> count towards meeting any </w:t>
      </w:r>
      <w:r>
        <w:rPr>
          <w:i/>
          <w:kern w:val="0"/>
          <w:szCs w:val="22"/>
        </w:rPr>
        <w:t>Volume Commitment</w:t>
      </w:r>
      <w:r>
        <w:rPr>
          <w:kern w:val="0"/>
          <w:szCs w:val="22"/>
        </w:rPr>
        <w:t xml:space="preserve"> to receive a discount or </w:t>
      </w:r>
      <w:r>
        <w:rPr>
          <w:i/>
          <w:kern w:val="0"/>
          <w:szCs w:val="22"/>
        </w:rPr>
        <w:t>Non-Rate Benefit</w:t>
      </w:r>
      <w:r>
        <w:rPr>
          <w:kern w:val="0"/>
          <w:szCs w:val="22"/>
        </w:rPr>
        <w:t xml:space="preserve"> under this plan?</w:t>
      </w:r>
    </w:p>
    <w:p w:rsidR="00F97D54" w:rsidRDefault="00F97D54" w:rsidP="00EB5B97">
      <w:pPr>
        <w:spacing w:after="120"/>
        <w:ind w:left="1987" w:firstLine="187"/>
        <w:rPr>
          <w:kern w:val="0"/>
          <w:szCs w:val="22"/>
        </w:rPr>
      </w:pPr>
      <w:r>
        <w:rPr>
          <w:rFonts w:ascii="Times New Roman Bold" w:hAnsi="Times New Roman Bold"/>
          <w:b/>
          <w:kern w:val="0"/>
          <w:sz w:val="28"/>
        </w:rPr>
        <w:t xml:space="preserve">□  </w:t>
      </w:r>
      <w:r>
        <w:rPr>
          <w:kern w:val="0"/>
          <w:szCs w:val="22"/>
        </w:rPr>
        <w:t>Yes</w:t>
      </w:r>
      <w:r>
        <w:rPr>
          <w:kern w:val="0"/>
          <w:sz w:val="24"/>
        </w:rPr>
        <w:t xml:space="preserve">  </w:t>
      </w:r>
      <w:r>
        <w:rPr>
          <w:rFonts w:ascii="Times New Roman Bold" w:hAnsi="Times New Roman Bold"/>
          <w:b/>
          <w:kern w:val="0"/>
          <w:sz w:val="28"/>
        </w:rPr>
        <w:t xml:space="preserve">□  </w:t>
      </w:r>
      <w:r>
        <w:rPr>
          <w:kern w:val="0"/>
          <w:szCs w:val="22"/>
        </w:rPr>
        <w:t xml:space="preserve">No  </w:t>
      </w:r>
      <w:r>
        <w:rPr>
          <w:rFonts w:ascii="Times New Roman Bold" w:hAnsi="Times New Roman Bold"/>
          <w:b/>
          <w:kern w:val="0"/>
          <w:sz w:val="28"/>
        </w:rPr>
        <w:t xml:space="preserve">□  </w:t>
      </w:r>
      <w:r>
        <w:rPr>
          <w:kern w:val="0"/>
          <w:szCs w:val="22"/>
        </w:rPr>
        <w:t xml:space="preserve">N/A (no </w:t>
      </w:r>
      <w:r>
        <w:rPr>
          <w:i/>
          <w:kern w:val="0"/>
          <w:szCs w:val="22"/>
        </w:rPr>
        <w:t>Volume Commitment</w:t>
      </w:r>
      <w:r>
        <w:rPr>
          <w:kern w:val="0"/>
          <w:szCs w:val="22"/>
        </w:rPr>
        <w:t xml:space="preserve">, not an </w:t>
      </w:r>
      <w:r>
        <w:rPr>
          <w:i/>
          <w:kern w:val="0"/>
          <w:szCs w:val="22"/>
        </w:rPr>
        <w:t>ILEC</w:t>
      </w:r>
      <w:r>
        <w:rPr>
          <w:kern w:val="0"/>
          <w:szCs w:val="22"/>
        </w:rPr>
        <w:t xml:space="preserve"> plan)</w:t>
      </w:r>
    </w:p>
    <w:p w:rsidR="00F97D54" w:rsidRDefault="00F97D54" w:rsidP="00EB5B97">
      <w:pPr>
        <w:numPr>
          <w:ilvl w:val="0"/>
          <w:numId w:val="51"/>
        </w:numPr>
        <w:spacing w:after="120"/>
        <w:rPr>
          <w:kern w:val="0"/>
        </w:rPr>
      </w:pPr>
      <w:r>
        <w:rPr>
          <w:kern w:val="0"/>
          <w:szCs w:val="22"/>
        </w:rPr>
        <w:t>If you answered yes, in</w:t>
      </w:r>
      <w:r>
        <w:rPr>
          <w:kern w:val="0"/>
        </w:rPr>
        <w:t xml:space="preserve"> what geographic areas subject to pricing flexibility do you purchase </w:t>
      </w:r>
      <w:r>
        <w:rPr>
          <w:i/>
          <w:kern w:val="0"/>
        </w:rPr>
        <w:t>DS1s</w:t>
      </w:r>
      <w:r>
        <w:rPr>
          <w:kern w:val="0"/>
        </w:rPr>
        <w:t xml:space="preserve">, </w:t>
      </w:r>
      <w:r>
        <w:rPr>
          <w:i/>
          <w:kern w:val="0"/>
        </w:rPr>
        <w:t>DS3s</w:t>
      </w:r>
      <w:r>
        <w:rPr>
          <w:kern w:val="0"/>
        </w:rPr>
        <w:t xml:space="preserve">, and/or tariffed </w:t>
      </w:r>
      <w:r w:rsidRPr="00815899">
        <w:rPr>
          <w:i/>
          <w:kern w:val="0"/>
        </w:rPr>
        <w:t>PBDS</w:t>
      </w:r>
      <w:r>
        <w:rPr>
          <w:kern w:val="0"/>
        </w:rPr>
        <w:t xml:space="preserve"> that count towards meeting any </w:t>
      </w:r>
      <w:r>
        <w:rPr>
          <w:i/>
          <w:kern w:val="0"/>
        </w:rPr>
        <w:t>Volume Commitment</w:t>
      </w:r>
      <w:r>
        <w:rPr>
          <w:kern w:val="0"/>
        </w:rPr>
        <w:t xml:space="preserve"> to receive a discount or </w:t>
      </w:r>
      <w:r>
        <w:rPr>
          <w:i/>
          <w:kern w:val="0"/>
        </w:rPr>
        <w:t>Non-Rate Benefit</w:t>
      </w:r>
      <w:r>
        <w:rPr>
          <w:kern w:val="0"/>
        </w:rPr>
        <w:t xml:space="preserve"> under this plan?     </w:t>
      </w:r>
    </w:p>
    <w:p w:rsidR="00F97D54" w:rsidRDefault="00F97D54" w:rsidP="00EB5B97">
      <w:pPr>
        <w:numPr>
          <w:ilvl w:val="0"/>
          <w:numId w:val="51"/>
        </w:numPr>
        <w:spacing w:after="120"/>
        <w:rPr>
          <w:kern w:val="0"/>
        </w:rPr>
      </w:pPr>
      <w:r>
        <w:rPr>
          <w:kern w:val="0"/>
        </w:rPr>
        <w:t>For each geographic area identified, state whether your company would have</w:t>
      </w:r>
      <w:r w:rsidDel="001C7E04">
        <w:rPr>
          <w:kern w:val="0"/>
        </w:rPr>
        <w:t xml:space="preserve"> </w:t>
      </w:r>
      <w:r>
        <w:rPr>
          <w:kern w:val="0"/>
        </w:rPr>
        <w:t xml:space="preserve"> purchased from a different</w:t>
      </w:r>
      <w:r>
        <w:rPr>
          <w:i/>
          <w:kern w:val="0"/>
        </w:rPr>
        <w:t xml:space="preserve"> Provider</w:t>
      </w:r>
      <w:r>
        <w:rPr>
          <w:kern w:val="0"/>
        </w:rPr>
        <w:t xml:space="preserve">, if at all, had it not been for the requirements of the </w:t>
      </w:r>
      <w:r>
        <w:rPr>
          <w:i/>
          <w:kern w:val="0"/>
        </w:rPr>
        <w:t>Tariff Plan</w:t>
      </w:r>
      <w:r>
        <w:rPr>
          <w:kern w:val="0"/>
        </w:rPr>
        <w:t xml:space="preserve">?  In your response, indicate whether the </w:t>
      </w:r>
      <w:r>
        <w:rPr>
          <w:i/>
          <w:kern w:val="0"/>
        </w:rPr>
        <w:t>Provider</w:t>
      </w:r>
      <w:r>
        <w:rPr>
          <w:kern w:val="0"/>
        </w:rPr>
        <w:t xml:space="preserve"> that you would have purchased from has </w:t>
      </w:r>
      <w:r>
        <w:rPr>
          <w:i/>
          <w:kern w:val="0"/>
        </w:rPr>
        <w:t>Connections</w:t>
      </w:r>
      <w:r>
        <w:rPr>
          <w:kern w:val="0"/>
        </w:rPr>
        <w:t xml:space="preserve"> serving that geographic area and the </w:t>
      </w:r>
      <w:r w:rsidRPr="00D215AC">
        <w:rPr>
          <w:i/>
          <w:kern w:val="0"/>
        </w:rPr>
        <w:t>Provider’s</w:t>
      </w:r>
      <w:r>
        <w:rPr>
          <w:kern w:val="0"/>
        </w:rPr>
        <w:t xml:space="preserve"> name.   </w:t>
      </w:r>
    </w:p>
    <w:p w:rsidR="00F97D54" w:rsidRDefault="00F97D54" w:rsidP="00EB5B97">
      <w:pPr>
        <w:numPr>
          <w:ilvl w:val="0"/>
          <w:numId w:val="86"/>
        </w:numPr>
        <w:rPr>
          <w:kern w:val="0"/>
          <w:szCs w:val="22"/>
        </w:rPr>
      </w:pPr>
      <w:r>
        <w:rPr>
          <w:kern w:val="0"/>
          <w:szCs w:val="22"/>
        </w:rPr>
        <w:t xml:space="preserve">If this is an </w:t>
      </w:r>
      <w:r>
        <w:rPr>
          <w:i/>
          <w:kern w:val="0"/>
          <w:szCs w:val="22"/>
        </w:rPr>
        <w:t>ILEC</w:t>
      </w:r>
      <w:r>
        <w:rPr>
          <w:kern w:val="0"/>
          <w:szCs w:val="22"/>
        </w:rPr>
        <w:t xml:space="preserve"> plan, do </w:t>
      </w:r>
      <w:r>
        <w:rPr>
          <w:i/>
          <w:kern w:val="0"/>
          <w:szCs w:val="22"/>
        </w:rPr>
        <w:t>DS1</w:t>
      </w:r>
      <w:r>
        <w:rPr>
          <w:kern w:val="0"/>
          <w:szCs w:val="22"/>
        </w:rPr>
        <w:t xml:space="preserve">, </w:t>
      </w:r>
      <w:r>
        <w:rPr>
          <w:i/>
          <w:kern w:val="0"/>
          <w:szCs w:val="22"/>
        </w:rPr>
        <w:t>DS3</w:t>
      </w:r>
      <w:r>
        <w:rPr>
          <w:kern w:val="0"/>
          <w:szCs w:val="22"/>
        </w:rPr>
        <w:t xml:space="preserve"> and/or tariffed </w:t>
      </w:r>
      <w:r w:rsidRPr="00815899">
        <w:rPr>
          <w:i/>
          <w:kern w:val="0"/>
          <w:szCs w:val="22"/>
        </w:rPr>
        <w:t>PBDS</w:t>
      </w:r>
      <w:r>
        <w:rPr>
          <w:kern w:val="0"/>
          <w:szCs w:val="22"/>
        </w:rPr>
        <w:t xml:space="preserve"> purchases your company makes from the </w:t>
      </w:r>
      <w:r>
        <w:rPr>
          <w:i/>
          <w:kern w:val="0"/>
          <w:szCs w:val="22"/>
        </w:rPr>
        <w:t>ILEC</w:t>
      </w:r>
      <w:r>
        <w:rPr>
          <w:kern w:val="0"/>
          <w:szCs w:val="22"/>
        </w:rPr>
        <w:t xml:space="preserve"> in areas where the Commission has granted </w:t>
      </w:r>
      <w:r>
        <w:rPr>
          <w:i/>
          <w:kern w:val="0"/>
          <w:szCs w:val="22"/>
        </w:rPr>
        <w:t>Phase II</w:t>
      </w:r>
      <w:r>
        <w:rPr>
          <w:kern w:val="0"/>
          <w:szCs w:val="22"/>
        </w:rPr>
        <w:t xml:space="preserve"> </w:t>
      </w:r>
      <w:r>
        <w:rPr>
          <w:i/>
          <w:kern w:val="0"/>
          <w:szCs w:val="22"/>
        </w:rPr>
        <w:t>Pricing Flexibility</w:t>
      </w:r>
      <w:r>
        <w:rPr>
          <w:kern w:val="0"/>
          <w:szCs w:val="22"/>
        </w:rPr>
        <w:t xml:space="preserve"> count towards meeting any </w:t>
      </w:r>
      <w:r>
        <w:rPr>
          <w:i/>
          <w:kern w:val="0"/>
          <w:szCs w:val="22"/>
        </w:rPr>
        <w:t>Volume Commitment</w:t>
      </w:r>
      <w:r>
        <w:rPr>
          <w:kern w:val="0"/>
          <w:szCs w:val="22"/>
        </w:rPr>
        <w:t xml:space="preserve"> to receive a discount or </w:t>
      </w:r>
      <w:r>
        <w:rPr>
          <w:i/>
          <w:kern w:val="0"/>
          <w:szCs w:val="22"/>
        </w:rPr>
        <w:t>Non-Rate Benefit</w:t>
      </w:r>
      <w:r>
        <w:rPr>
          <w:kern w:val="0"/>
          <w:szCs w:val="22"/>
        </w:rPr>
        <w:t xml:space="preserve"> under this plan?</w:t>
      </w:r>
    </w:p>
    <w:p w:rsidR="00F97D54" w:rsidRDefault="00F97D54" w:rsidP="00EB5B97">
      <w:pPr>
        <w:spacing w:after="120"/>
        <w:ind w:left="1987" w:firstLine="187"/>
        <w:rPr>
          <w:kern w:val="0"/>
          <w:szCs w:val="22"/>
        </w:rPr>
      </w:pPr>
      <w:r>
        <w:rPr>
          <w:rFonts w:ascii="Times New Roman Bold" w:hAnsi="Times New Roman Bold"/>
          <w:b/>
          <w:kern w:val="0"/>
          <w:sz w:val="28"/>
        </w:rPr>
        <w:t xml:space="preserve">□  </w:t>
      </w:r>
      <w:r>
        <w:rPr>
          <w:kern w:val="0"/>
          <w:szCs w:val="22"/>
        </w:rPr>
        <w:t>Yes</w:t>
      </w:r>
      <w:r>
        <w:rPr>
          <w:kern w:val="0"/>
          <w:sz w:val="24"/>
        </w:rPr>
        <w:t xml:space="preserve">  </w:t>
      </w:r>
      <w:r>
        <w:rPr>
          <w:rFonts w:ascii="Times New Roman Bold" w:hAnsi="Times New Roman Bold"/>
          <w:b/>
          <w:kern w:val="0"/>
          <w:sz w:val="28"/>
        </w:rPr>
        <w:t xml:space="preserve">□  </w:t>
      </w:r>
      <w:r>
        <w:rPr>
          <w:kern w:val="0"/>
          <w:szCs w:val="22"/>
        </w:rPr>
        <w:t xml:space="preserve">No  </w:t>
      </w:r>
      <w:r>
        <w:rPr>
          <w:rFonts w:ascii="Times New Roman Bold" w:hAnsi="Times New Roman Bold"/>
          <w:b/>
          <w:kern w:val="0"/>
          <w:sz w:val="28"/>
        </w:rPr>
        <w:t xml:space="preserve">□  </w:t>
      </w:r>
      <w:r>
        <w:rPr>
          <w:kern w:val="0"/>
          <w:szCs w:val="22"/>
        </w:rPr>
        <w:t xml:space="preserve">N/A (no </w:t>
      </w:r>
      <w:r>
        <w:rPr>
          <w:i/>
          <w:kern w:val="0"/>
          <w:szCs w:val="22"/>
        </w:rPr>
        <w:t>Volume Commitment</w:t>
      </w:r>
      <w:r>
        <w:rPr>
          <w:kern w:val="0"/>
          <w:szCs w:val="22"/>
        </w:rPr>
        <w:t xml:space="preserve">, not an </w:t>
      </w:r>
      <w:r>
        <w:rPr>
          <w:i/>
          <w:kern w:val="0"/>
          <w:szCs w:val="22"/>
        </w:rPr>
        <w:t>ILEC</w:t>
      </w:r>
      <w:r>
        <w:rPr>
          <w:kern w:val="0"/>
          <w:szCs w:val="22"/>
        </w:rPr>
        <w:t xml:space="preserve"> plan)</w:t>
      </w:r>
    </w:p>
    <w:p w:rsidR="00F97D54" w:rsidRDefault="00F97D54" w:rsidP="00EB5B97">
      <w:pPr>
        <w:numPr>
          <w:ilvl w:val="0"/>
          <w:numId w:val="129"/>
        </w:numPr>
        <w:spacing w:after="120"/>
        <w:rPr>
          <w:kern w:val="0"/>
        </w:rPr>
      </w:pPr>
      <w:r>
        <w:rPr>
          <w:kern w:val="0"/>
          <w:szCs w:val="22"/>
        </w:rPr>
        <w:t>If you answered yes, in</w:t>
      </w:r>
      <w:r>
        <w:rPr>
          <w:kern w:val="0"/>
        </w:rPr>
        <w:t xml:space="preserve"> what geographic areas subject to pricing flexibility do you purchase </w:t>
      </w:r>
      <w:r>
        <w:rPr>
          <w:i/>
          <w:kern w:val="0"/>
        </w:rPr>
        <w:t>DS1s</w:t>
      </w:r>
      <w:r>
        <w:rPr>
          <w:kern w:val="0"/>
        </w:rPr>
        <w:t xml:space="preserve">, </w:t>
      </w:r>
      <w:r>
        <w:rPr>
          <w:i/>
          <w:kern w:val="0"/>
        </w:rPr>
        <w:t>DS3s</w:t>
      </w:r>
      <w:r>
        <w:rPr>
          <w:kern w:val="0"/>
        </w:rPr>
        <w:t xml:space="preserve">, and/or tariffed </w:t>
      </w:r>
      <w:r w:rsidRPr="00815899">
        <w:rPr>
          <w:i/>
          <w:kern w:val="0"/>
        </w:rPr>
        <w:t>PBDS</w:t>
      </w:r>
      <w:r>
        <w:rPr>
          <w:kern w:val="0"/>
        </w:rPr>
        <w:t xml:space="preserve"> that count towards meeting any </w:t>
      </w:r>
      <w:r>
        <w:rPr>
          <w:i/>
          <w:kern w:val="0"/>
        </w:rPr>
        <w:t>Volume Commitment</w:t>
      </w:r>
      <w:r>
        <w:rPr>
          <w:kern w:val="0"/>
        </w:rPr>
        <w:t xml:space="preserve"> to receive a discount or </w:t>
      </w:r>
      <w:r>
        <w:rPr>
          <w:i/>
          <w:kern w:val="0"/>
        </w:rPr>
        <w:t>Non-Rate Benefit</w:t>
      </w:r>
      <w:r>
        <w:rPr>
          <w:kern w:val="0"/>
        </w:rPr>
        <w:t xml:space="preserve"> under this plan?</w:t>
      </w:r>
    </w:p>
    <w:p w:rsidR="00F97D54" w:rsidRPr="00815899" w:rsidRDefault="00F97D54" w:rsidP="00EB5B97">
      <w:pPr>
        <w:numPr>
          <w:ilvl w:val="0"/>
          <w:numId w:val="129"/>
        </w:numPr>
        <w:spacing w:after="120"/>
        <w:rPr>
          <w:kern w:val="0"/>
        </w:rPr>
      </w:pPr>
      <w:r>
        <w:rPr>
          <w:kern w:val="0"/>
        </w:rPr>
        <w:t>For each geographic area identified, state whether your company would have</w:t>
      </w:r>
      <w:r w:rsidDel="001C7E04">
        <w:rPr>
          <w:kern w:val="0"/>
        </w:rPr>
        <w:t xml:space="preserve"> </w:t>
      </w:r>
      <w:r>
        <w:rPr>
          <w:kern w:val="0"/>
        </w:rPr>
        <w:t xml:space="preserve"> purchased from a different</w:t>
      </w:r>
      <w:r>
        <w:rPr>
          <w:i/>
          <w:kern w:val="0"/>
        </w:rPr>
        <w:t xml:space="preserve"> Provider</w:t>
      </w:r>
      <w:r>
        <w:rPr>
          <w:kern w:val="0"/>
        </w:rPr>
        <w:t xml:space="preserve">, if at all, had it not been for the requirements of the </w:t>
      </w:r>
      <w:r>
        <w:rPr>
          <w:i/>
          <w:kern w:val="0"/>
        </w:rPr>
        <w:t>Tariff Plan</w:t>
      </w:r>
      <w:r>
        <w:rPr>
          <w:kern w:val="0"/>
        </w:rPr>
        <w:t xml:space="preserve">?  In your response, indicate whether the </w:t>
      </w:r>
      <w:r>
        <w:rPr>
          <w:i/>
          <w:kern w:val="0"/>
        </w:rPr>
        <w:t>Provider</w:t>
      </w:r>
      <w:r>
        <w:rPr>
          <w:kern w:val="0"/>
        </w:rPr>
        <w:t xml:space="preserve"> that you would have purchased from has </w:t>
      </w:r>
      <w:r>
        <w:rPr>
          <w:i/>
          <w:kern w:val="0"/>
        </w:rPr>
        <w:t>Connections</w:t>
      </w:r>
      <w:r>
        <w:rPr>
          <w:kern w:val="0"/>
        </w:rPr>
        <w:t xml:space="preserve"> serving that geographic area</w:t>
      </w:r>
      <w:r w:rsidRPr="00D215AC">
        <w:rPr>
          <w:kern w:val="0"/>
        </w:rPr>
        <w:t xml:space="preserve"> </w:t>
      </w:r>
      <w:r>
        <w:rPr>
          <w:kern w:val="0"/>
        </w:rPr>
        <w:t xml:space="preserve">and the </w:t>
      </w:r>
      <w:r w:rsidRPr="00D215AC">
        <w:rPr>
          <w:i/>
          <w:kern w:val="0"/>
        </w:rPr>
        <w:t>Provider’s</w:t>
      </w:r>
      <w:r>
        <w:rPr>
          <w:kern w:val="0"/>
        </w:rPr>
        <w:t xml:space="preserve"> name.</w:t>
      </w:r>
    </w:p>
    <w:p w:rsidR="00F97D54" w:rsidRDefault="00F97D54" w:rsidP="00EB5B97">
      <w:pPr>
        <w:numPr>
          <w:ilvl w:val="0"/>
          <w:numId w:val="86"/>
        </w:numPr>
        <w:rPr>
          <w:kern w:val="0"/>
        </w:rPr>
      </w:pPr>
      <w:r>
        <w:rPr>
          <w:kern w:val="0"/>
        </w:rPr>
        <w:t xml:space="preserve">If this is an </w:t>
      </w:r>
      <w:r>
        <w:rPr>
          <w:i/>
          <w:kern w:val="0"/>
        </w:rPr>
        <w:t>ILEC</w:t>
      </w:r>
      <w:r>
        <w:rPr>
          <w:kern w:val="0"/>
        </w:rPr>
        <w:t xml:space="preserve"> plan, do non-tariffed </w:t>
      </w:r>
      <w:r>
        <w:rPr>
          <w:i/>
          <w:kern w:val="0"/>
        </w:rPr>
        <w:t>PBDS</w:t>
      </w:r>
      <w:r>
        <w:rPr>
          <w:kern w:val="0"/>
        </w:rPr>
        <w:t xml:space="preserve"> purchases your company makes from this </w:t>
      </w:r>
      <w:r>
        <w:rPr>
          <w:i/>
          <w:kern w:val="0"/>
        </w:rPr>
        <w:t>ILEC</w:t>
      </w:r>
      <w:r>
        <w:rPr>
          <w:kern w:val="0"/>
        </w:rPr>
        <w:t xml:space="preserve"> count towards meeting any </w:t>
      </w:r>
      <w:r>
        <w:rPr>
          <w:i/>
          <w:kern w:val="0"/>
        </w:rPr>
        <w:t>Volume Commitment</w:t>
      </w:r>
      <w:r>
        <w:rPr>
          <w:kern w:val="0"/>
        </w:rPr>
        <w:t xml:space="preserve"> to receive a discount or </w:t>
      </w:r>
      <w:r>
        <w:rPr>
          <w:i/>
          <w:kern w:val="0"/>
        </w:rPr>
        <w:t>Non-Rate Benefit</w:t>
      </w:r>
      <w:r>
        <w:rPr>
          <w:kern w:val="0"/>
        </w:rPr>
        <w:t xml:space="preserve"> under this plan?</w:t>
      </w:r>
    </w:p>
    <w:p w:rsidR="00F97D54" w:rsidRDefault="00F97D54" w:rsidP="00EB5B97">
      <w:pPr>
        <w:spacing w:after="120"/>
        <w:ind w:left="720" w:firstLine="720"/>
        <w:rPr>
          <w:kern w:val="0"/>
          <w:szCs w:val="22"/>
        </w:rPr>
      </w:pPr>
      <w:r>
        <w:rPr>
          <w:rFonts w:ascii="Times New Roman Bold" w:hAnsi="Times New Roman Bold"/>
          <w:b/>
          <w:kern w:val="0"/>
          <w:sz w:val="28"/>
        </w:rPr>
        <w:t xml:space="preserve">□  </w:t>
      </w:r>
      <w:r>
        <w:rPr>
          <w:kern w:val="0"/>
          <w:szCs w:val="22"/>
        </w:rPr>
        <w:t xml:space="preserve">Yes </w:t>
      </w:r>
      <w:r>
        <w:rPr>
          <w:rFonts w:ascii="Times New Roman Bold" w:hAnsi="Times New Roman Bold"/>
          <w:b/>
          <w:kern w:val="0"/>
          <w:sz w:val="28"/>
        </w:rPr>
        <w:t xml:space="preserve">□  </w:t>
      </w:r>
      <w:r>
        <w:rPr>
          <w:kern w:val="0"/>
          <w:szCs w:val="22"/>
        </w:rPr>
        <w:t xml:space="preserve">No </w:t>
      </w:r>
      <w:r>
        <w:rPr>
          <w:rFonts w:ascii="Times New Roman Bold" w:hAnsi="Times New Roman Bold"/>
          <w:b/>
          <w:kern w:val="0"/>
          <w:sz w:val="28"/>
        </w:rPr>
        <w:t xml:space="preserve">□  </w:t>
      </w:r>
      <w:r>
        <w:rPr>
          <w:kern w:val="0"/>
          <w:szCs w:val="22"/>
        </w:rPr>
        <w:t xml:space="preserve">N/A (no </w:t>
      </w:r>
      <w:r>
        <w:rPr>
          <w:i/>
          <w:kern w:val="0"/>
          <w:szCs w:val="22"/>
        </w:rPr>
        <w:t>Volume Commitment</w:t>
      </w:r>
      <w:r>
        <w:rPr>
          <w:kern w:val="0"/>
          <w:szCs w:val="22"/>
        </w:rPr>
        <w:t xml:space="preserve">, not an </w:t>
      </w:r>
      <w:r>
        <w:rPr>
          <w:i/>
          <w:kern w:val="0"/>
          <w:szCs w:val="22"/>
        </w:rPr>
        <w:t>ILEC</w:t>
      </w:r>
      <w:r>
        <w:rPr>
          <w:kern w:val="0"/>
          <w:szCs w:val="22"/>
        </w:rPr>
        <w:t xml:space="preserve"> plan)</w:t>
      </w:r>
    </w:p>
    <w:p w:rsidR="00F97D54" w:rsidRDefault="00F97D54" w:rsidP="00EB5B97">
      <w:pPr>
        <w:numPr>
          <w:ilvl w:val="0"/>
          <w:numId w:val="52"/>
        </w:numPr>
        <w:spacing w:after="120"/>
        <w:rPr>
          <w:kern w:val="0"/>
        </w:rPr>
      </w:pPr>
      <w:r>
        <w:rPr>
          <w:kern w:val="0"/>
          <w:szCs w:val="22"/>
        </w:rPr>
        <w:t>If you answered yes, in</w:t>
      </w:r>
      <w:r>
        <w:rPr>
          <w:kern w:val="0"/>
        </w:rPr>
        <w:t xml:space="preserve"> what geographic areas do you purchase non-tariffed </w:t>
      </w:r>
      <w:r>
        <w:rPr>
          <w:i/>
          <w:kern w:val="0"/>
        </w:rPr>
        <w:t xml:space="preserve">PBDS </w:t>
      </w:r>
      <w:r>
        <w:rPr>
          <w:kern w:val="0"/>
        </w:rPr>
        <w:t xml:space="preserve">that counts towards meeting any </w:t>
      </w:r>
      <w:r>
        <w:rPr>
          <w:i/>
          <w:kern w:val="0"/>
        </w:rPr>
        <w:t>Volume Commitment</w:t>
      </w:r>
      <w:r>
        <w:rPr>
          <w:kern w:val="0"/>
        </w:rPr>
        <w:t xml:space="preserve"> to receive a discount or </w:t>
      </w:r>
      <w:r>
        <w:rPr>
          <w:i/>
          <w:kern w:val="0"/>
        </w:rPr>
        <w:t>Non-Rate Benefit</w:t>
      </w:r>
      <w:r>
        <w:rPr>
          <w:kern w:val="0"/>
        </w:rPr>
        <w:t xml:space="preserve"> under this plan.     </w:t>
      </w:r>
    </w:p>
    <w:p w:rsidR="00F97D54" w:rsidRDefault="00F97D54" w:rsidP="00EB5B97">
      <w:pPr>
        <w:numPr>
          <w:ilvl w:val="0"/>
          <w:numId w:val="52"/>
        </w:numPr>
        <w:spacing w:after="120"/>
        <w:rPr>
          <w:kern w:val="0"/>
        </w:rPr>
      </w:pPr>
      <w:r>
        <w:rPr>
          <w:kern w:val="0"/>
        </w:rPr>
        <w:t xml:space="preserve">For each geographic area identified, state whether your company would have purchased non-tariffed </w:t>
      </w:r>
      <w:r>
        <w:rPr>
          <w:i/>
          <w:kern w:val="0"/>
        </w:rPr>
        <w:t xml:space="preserve">PBDS </w:t>
      </w:r>
      <w:r>
        <w:rPr>
          <w:kern w:val="0"/>
        </w:rPr>
        <w:t xml:space="preserve">from a different </w:t>
      </w:r>
      <w:r>
        <w:rPr>
          <w:i/>
          <w:kern w:val="0"/>
        </w:rPr>
        <w:t>Provider</w:t>
      </w:r>
      <w:r>
        <w:rPr>
          <w:kern w:val="0"/>
        </w:rPr>
        <w:t xml:space="preserve">, if at all, had it not been for the requirements of the plan?  In your response, indicate whether the </w:t>
      </w:r>
      <w:r>
        <w:rPr>
          <w:i/>
          <w:kern w:val="0"/>
        </w:rPr>
        <w:t>Provider</w:t>
      </w:r>
      <w:r>
        <w:rPr>
          <w:kern w:val="0"/>
        </w:rPr>
        <w:t xml:space="preserve"> that you would have purchased from has </w:t>
      </w:r>
      <w:r>
        <w:rPr>
          <w:i/>
          <w:kern w:val="0"/>
        </w:rPr>
        <w:t>Connections</w:t>
      </w:r>
      <w:r>
        <w:rPr>
          <w:kern w:val="0"/>
        </w:rPr>
        <w:t xml:space="preserve"> serving that geographic area</w:t>
      </w:r>
      <w:r w:rsidRPr="00E73082">
        <w:rPr>
          <w:kern w:val="0"/>
        </w:rPr>
        <w:t xml:space="preserve"> </w:t>
      </w:r>
      <w:r>
        <w:rPr>
          <w:kern w:val="0"/>
        </w:rPr>
        <w:t xml:space="preserve">and the </w:t>
      </w:r>
      <w:r w:rsidRPr="00D215AC">
        <w:rPr>
          <w:i/>
          <w:kern w:val="0"/>
        </w:rPr>
        <w:t>Provider’s</w:t>
      </w:r>
      <w:r>
        <w:rPr>
          <w:kern w:val="0"/>
        </w:rPr>
        <w:t xml:space="preserve"> name.  </w:t>
      </w:r>
    </w:p>
    <w:p w:rsidR="00F97D54" w:rsidRDefault="00F97D54" w:rsidP="00724B61">
      <w:pPr>
        <w:widowControl/>
        <w:numPr>
          <w:ilvl w:val="0"/>
          <w:numId w:val="86"/>
        </w:numPr>
        <w:rPr>
          <w:kern w:val="0"/>
        </w:rPr>
      </w:pPr>
      <w:r>
        <w:rPr>
          <w:kern w:val="0"/>
        </w:rPr>
        <w:t xml:space="preserve">If this is an </w:t>
      </w:r>
      <w:r>
        <w:rPr>
          <w:i/>
          <w:kern w:val="0"/>
        </w:rPr>
        <w:t>ILEC</w:t>
      </w:r>
      <w:r>
        <w:rPr>
          <w:kern w:val="0"/>
        </w:rPr>
        <w:t xml:space="preserve"> plan, do purchases you make for services other than </w:t>
      </w:r>
      <w:r>
        <w:rPr>
          <w:i/>
          <w:kern w:val="0"/>
        </w:rPr>
        <w:t>DS1s, DS3s,</w:t>
      </w:r>
      <w:r>
        <w:rPr>
          <w:kern w:val="0"/>
        </w:rPr>
        <w:t xml:space="preserve"> and </w:t>
      </w:r>
      <w:r>
        <w:rPr>
          <w:i/>
          <w:kern w:val="0"/>
        </w:rPr>
        <w:t>PBDS</w:t>
      </w:r>
      <w:r>
        <w:rPr>
          <w:kern w:val="0"/>
        </w:rPr>
        <w:t xml:space="preserve"> from this </w:t>
      </w:r>
      <w:r>
        <w:rPr>
          <w:i/>
          <w:kern w:val="0"/>
        </w:rPr>
        <w:t>ILEC</w:t>
      </w:r>
      <w:r>
        <w:rPr>
          <w:kern w:val="0"/>
        </w:rPr>
        <w:t xml:space="preserve"> count towards meeting any </w:t>
      </w:r>
      <w:r>
        <w:rPr>
          <w:i/>
          <w:kern w:val="0"/>
        </w:rPr>
        <w:t>Volume Commitment</w:t>
      </w:r>
      <w:r>
        <w:rPr>
          <w:kern w:val="0"/>
        </w:rPr>
        <w:t xml:space="preserve"> to receive a discount or </w:t>
      </w:r>
      <w:r>
        <w:rPr>
          <w:i/>
          <w:kern w:val="0"/>
        </w:rPr>
        <w:t>Non-Rate Benefit</w:t>
      </w:r>
      <w:r>
        <w:rPr>
          <w:kern w:val="0"/>
        </w:rPr>
        <w:t xml:space="preserve"> under this plan?</w:t>
      </w:r>
    </w:p>
    <w:p w:rsidR="00F97D54" w:rsidRDefault="00F97D54" w:rsidP="00EB5B97">
      <w:pPr>
        <w:spacing w:after="120"/>
        <w:ind w:left="720" w:firstLine="720"/>
        <w:rPr>
          <w:kern w:val="0"/>
          <w:szCs w:val="22"/>
        </w:rPr>
      </w:pPr>
      <w:r>
        <w:rPr>
          <w:rFonts w:ascii="Times New Roman Bold" w:hAnsi="Times New Roman Bold"/>
          <w:b/>
          <w:kern w:val="0"/>
          <w:sz w:val="28"/>
        </w:rPr>
        <w:t xml:space="preserve">□  </w:t>
      </w:r>
      <w:r>
        <w:rPr>
          <w:kern w:val="0"/>
          <w:szCs w:val="22"/>
        </w:rPr>
        <w:t xml:space="preserve">Yes </w:t>
      </w:r>
      <w:r>
        <w:rPr>
          <w:rFonts w:ascii="Times New Roman Bold" w:hAnsi="Times New Roman Bold"/>
          <w:b/>
          <w:kern w:val="0"/>
          <w:sz w:val="28"/>
        </w:rPr>
        <w:t xml:space="preserve">□  </w:t>
      </w:r>
      <w:r>
        <w:rPr>
          <w:kern w:val="0"/>
          <w:szCs w:val="22"/>
        </w:rPr>
        <w:t xml:space="preserve">No </w:t>
      </w:r>
      <w:r>
        <w:rPr>
          <w:rFonts w:ascii="Times New Roman Bold" w:hAnsi="Times New Roman Bold"/>
          <w:b/>
          <w:kern w:val="0"/>
          <w:sz w:val="28"/>
        </w:rPr>
        <w:t xml:space="preserve">□  </w:t>
      </w:r>
      <w:r>
        <w:rPr>
          <w:kern w:val="0"/>
          <w:szCs w:val="22"/>
        </w:rPr>
        <w:t xml:space="preserve">N/A (no </w:t>
      </w:r>
      <w:r>
        <w:rPr>
          <w:i/>
          <w:kern w:val="0"/>
          <w:szCs w:val="22"/>
        </w:rPr>
        <w:t>Volume Commitment</w:t>
      </w:r>
      <w:r>
        <w:rPr>
          <w:kern w:val="0"/>
          <w:szCs w:val="22"/>
        </w:rPr>
        <w:t xml:space="preserve">, not an </w:t>
      </w:r>
      <w:r>
        <w:rPr>
          <w:i/>
          <w:kern w:val="0"/>
          <w:szCs w:val="22"/>
        </w:rPr>
        <w:t>ILEC</w:t>
      </w:r>
      <w:r>
        <w:rPr>
          <w:kern w:val="0"/>
          <w:szCs w:val="22"/>
        </w:rPr>
        <w:t xml:space="preserve"> plan)</w:t>
      </w:r>
    </w:p>
    <w:p w:rsidR="00F97D54" w:rsidRDefault="00F97D54" w:rsidP="00EB5B97">
      <w:pPr>
        <w:numPr>
          <w:ilvl w:val="0"/>
          <w:numId w:val="53"/>
        </w:numPr>
        <w:spacing w:after="120"/>
        <w:rPr>
          <w:kern w:val="0"/>
        </w:rPr>
      </w:pPr>
      <w:r>
        <w:rPr>
          <w:kern w:val="0"/>
          <w:szCs w:val="22"/>
        </w:rPr>
        <w:t>If you answered yes, identify the other services purchased and the</w:t>
      </w:r>
      <w:r>
        <w:rPr>
          <w:kern w:val="0"/>
        </w:rPr>
        <w:t xml:space="preserve"> geographic areas where you purchase these services</w:t>
      </w:r>
      <w:r>
        <w:rPr>
          <w:i/>
          <w:kern w:val="0"/>
        </w:rPr>
        <w:t xml:space="preserve"> </w:t>
      </w:r>
      <w:r>
        <w:rPr>
          <w:kern w:val="0"/>
        </w:rPr>
        <w:t xml:space="preserve">that count towards meeting any </w:t>
      </w:r>
      <w:r>
        <w:rPr>
          <w:i/>
          <w:kern w:val="0"/>
        </w:rPr>
        <w:t>Volume Commitment</w:t>
      </w:r>
      <w:r>
        <w:rPr>
          <w:kern w:val="0"/>
        </w:rPr>
        <w:t xml:space="preserve"> to receive a discount or </w:t>
      </w:r>
      <w:r>
        <w:rPr>
          <w:i/>
          <w:kern w:val="0"/>
        </w:rPr>
        <w:t>Non-Rate Benefit</w:t>
      </w:r>
      <w:r>
        <w:rPr>
          <w:kern w:val="0"/>
        </w:rPr>
        <w:t xml:space="preserve"> under this plan.     </w:t>
      </w:r>
    </w:p>
    <w:p w:rsidR="00F97D54" w:rsidRDefault="00F97D54" w:rsidP="00EB5B97">
      <w:pPr>
        <w:numPr>
          <w:ilvl w:val="0"/>
          <w:numId w:val="53"/>
        </w:numPr>
        <w:spacing w:after="120"/>
        <w:rPr>
          <w:kern w:val="0"/>
        </w:rPr>
      </w:pPr>
      <w:r>
        <w:rPr>
          <w:kern w:val="0"/>
        </w:rPr>
        <w:t>For each geographic area identified, state whether your company would have purchased those other services</w:t>
      </w:r>
      <w:r>
        <w:rPr>
          <w:i/>
          <w:kern w:val="0"/>
        </w:rPr>
        <w:t xml:space="preserve"> </w:t>
      </w:r>
      <w:r>
        <w:rPr>
          <w:kern w:val="0"/>
        </w:rPr>
        <w:t>from a different</w:t>
      </w:r>
      <w:r>
        <w:rPr>
          <w:i/>
          <w:kern w:val="0"/>
        </w:rPr>
        <w:t xml:space="preserve"> Provider</w:t>
      </w:r>
      <w:r>
        <w:rPr>
          <w:kern w:val="0"/>
        </w:rPr>
        <w:t xml:space="preserve">, had it not been for the requirements of the plan?  In your response, indicate whether the </w:t>
      </w:r>
      <w:r>
        <w:rPr>
          <w:i/>
          <w:kern w:val="0"/>
        </w:rPr>
        <w:t>Provider</w:t>
      </w:r>
      <w:r>
        <w:rPr>
          <w:kern w:val="0"/>
        </w:rPr>
        <w:t xml:space="preserve"> that you would have purchased from has </w:t>
      </w:r>
      <w:r>
        <w:rPr>
          <w:i/>
          <w:kern w:val="0"/>
        </w:rPr>
        <w:t>Connections</w:t>
      </w:r>
      <w:r>
        <w:rPr>
          <w:kern w:val="0"/>
        </w:rPr>
        <w:t xml:space="preserve"> serving that geographic area and the </w:t>
      </w:r>
      <w:r w:rsidRPr="00D215AC">
        <w:rPr>
          <w:i/>
          <w:kern w:val="0"/>
        </w:rPr>
        <w:t>Provider’s</w:t>
      </w:r>
      <w:r>
        <w:rPr>
          <w:kern w:val="0"/>
        </w:rPr>
        <w:t xml:space="preserve"> name.  </w:t>
      </w:r>
    </w:p>
    <w:p w:rsidR="00F97D54" w:rsidRPr="00817E53" w:rsidRDefault="00F97D54" w:rsidP="00EB5B97">
      <w:pPr>
        <w:numPr>
          <w:ilvl w:val="0"/>
          <w:numId w:val="132"/>
        </w:numPr>
        <w:tabs>
          <w:tab w:val="clear" w:pos="1800"/>
        </w:tabs>
        <w:spacing w:after="120"/>
        <w:ind w:left="1440"/>
        <w:rPr>
          <w:kern w:val="0"/>
        </w:rPr>
      </w:pPr>
      <w:r>
        <w:rPr>
          <w:kern w:val="0"/>
        </w:rPr>
        <w:t xml:space="preserve">Is the discount or </w:t>
      </w:r>
      <w:r>
        <w:rPr>
          <w:i/>
          <w:kern w:val="0"/>
        </w:rPr>
        <w:t>Non-Rate Benefit</w:t>
      </w:r>
      <w:r>
        <w:rPr>
          <w:kern w:val="0"/>
        </w:rPr>
        <w:t xml:space="preserve"> available under this plan conditioned on the customer limiting its purchase of </w:t>
      </w:r>
      <w:r>
        <w:rPr>
          <w:i/>
          <w:kern w:val="0"/>
        </w:rPr>
        <w:t>UNEs</w:t>
      </w:r>
      <w:r>
        <w:rPr>
          <w:kern w:val="0"/>
        </w:rPr>
        <w:t xml:space="preserve">, </w:t>
      </w:r>
      <w:r>
        <w:rPr>
          <w:i/>
          <w:kern w:val="0"/>
        </w:rPr>
        <w:t>e.g.</w:t>
      </w:r>
      <w:r>
        <w:rPr>
          <w:kern w:val="0"/>
        </w:rPr>
        <w:t xml:space="preserve">, the customer must keep its purchase of </w:t>
      </w:r>
      <w:r>
        <w:rPr>
          <w:i/>
          <w:kern w:val="0"/>
        </w:rPr>
        <w:t>UNEs</w:t>
      </w:r>
      <w:r>
        <w:rPr>
          <w:kern w:val="0"/>
        </w:rPr>
        <w:t xml:space="preserve"> below a certain percentage of the customer’s total spend?  If yes, then provide additional details about the condition. </w:t>
      </w:r>
    </w:p>
    <w:p w:rsidR="00F97D54" w:rsidRDefault="00F97D54" w:rsidP="00EB5B97">
      <w:pPr>
        <w:rPr>
          <w:kern w:val="0"/>
        </w:rPr>
      </w:pPr>
    </w:p>
    <w:p w:rsidR="00F97D54" w:rsidRDefault="00F97D54" w:rsidP="00EB5B97">
      <w:pPr>
        <w:numPr>
          <w:ilvl w:val="0"/>
          <w:numId w:val="97"/>
        </w:numPr>
        <w:tabs>
          <w:tab w:val="left" w:pos="900"/>
        </w:tabs>
        <w:rPr>
          <w:kern w:val="0"/>
        </w:rPr>
      </w:pPr>
      <w:r>
        <w:rPr>
          <w:kern w:val="0"/>
        </w:rPr>
        <w:t xml:space="preserve">Indicate whether you have any non-tariffed agreement with an </w:t>
      </w:r>
      <w:r>
        <w:rPr>
          <w:i/>
          <w:kern w:val="0"/>
        </w:rPr>
        <w:t>ILEC</w:t>
      </w:r>
      <w:r>
        <w:rPr>
          <w:kern w:val="0"/>
        </w:rPr>
        <w:t xml:space="preserve"> that, directly or indirectly, provides a discount or a </w:t>
      </w:r>
      <w:r>
        <w:rPr>
          <w:i/>
          <w:kern w:val="0"/>
        </w:rPr>
        <w:t>Non-Rate Benefit</w:t>
      </w:r>
      <w:r>
        <w:rPr>
          <w:kern w:val="0"/>
        </w:rPr>
        <w:t xml:space="preserve"> on the purchase of tariffed </w:t>
      </w:r>
      <w:r>
        <w:rPr>
          <w:i/>
          <w:kern w:val="0"/>
        </w:rPr>
        <w:t>DS1</w:t>
      </w:r>
      <w:r>
        <w:rPr>
          <w:kern w:val="0"/>
        </w:rPr>
        <w:t xml:space="preserve">, </w:t>
      </w:r>
      <w:r>
        <w:rPr>
          <w:i/>
          <w:kern w:val="0"/>
        </w:rPr>
        <w:t>DS3</w:t>
      </w:r>
      <w:r>
        <w:rPr>
          <w:kern w:val="0"/>
        </w:rPr>
        <w:t xml:space="preserve">, and/or </w:t>
      </w:r>
      <w:r>
        <w:rPr>
          <w:i/>
          <w:kern w:val="0"/>
        </w:rPr>
        <w:t>PBDS</w:t>
      </w:r>
      <w:r>
        <w:rPr>
          <w:kern w:val="0"/>
        </w:rPr>
        <w:t xml:space="preserve"> services, restricts your ability to obtain </w:t>
      </w:r>
      <w:r>
        <w:rPr>
          <w:i/>
          <w:kern w:val="0"/>
        </w:rPr>
        <w:t>UNEs</w:t>
      </w:r>
      <w:r>
        <w:rPr>
          <w:kern w:val="0"/>
        </w:rPr>
        <w:t>, or negatively affects your ability to purchase</w:t>
      </w:r>
      <w:r>
        <w:rPr>
          <w:i/>
          <w:kern w:val="0"/>
        </w:rPr>
        <w:t xml:space="preserve"> Dedicated Services</w:t>
      </w:r>
      <w:r>
        <w:rPr>
          <w:kern w:val="0"/>
        </w:rPr>
        <w:t>.  If so, identify each agreement, including the parties to the agreement, the effective date, end date, and a summary of the relevant provisions.</w:t>
      </w:r>
    </w:p>
    <w:p w:rsidR="00F97D54" w:rsidRDefault="00F97D54">
      <w:pPr>
        <w:rPr>
          <w:kern w:val="0"/>
        </w:rPr>
      </w:pPr>
    </w:p>
    <w:p w:rsidR="005B5BA8" w:rsidRDefault="005B5BA8">
      <w:pPr>
        <w:rPr>
          <w:kern w:val="0"/>
        </w:rPr>
      </w:pPr>
    </w:p>
    <w:p w:rsidR="00F97D54" w:rsidRDefault="00F97D54" w:rsidP="00EB5B97">
      <w:pPr>
        <w:tabs>
          <w:tab w:val="left" w:pos="360"/>
        </w:tabs>
        <w:ind w:left="360" w:hanging="360"/>
        <w:rPr>
          <w:b/>
          <w:kern w:val="0"/>
        </w:rPr>
      </w:pPr>
      <w:r>
        <w:rPr>
          <w:b/>
          <w:kern w:val="0"/>
        </w:rPr>
        <w:t>F.</w:t>
      </w:r>
      <w:r>
        <w:rPr>
          <w:b/>
          <w:i/>
          <w:kern w:val="0"/>
        </w:rPr>
        <w:t xml:space="preserve">  </w:t>
      </w:r>
      <w:r>
        <w:rPr>
          <w:b/>
          <w:i/>
          <w:kern w:val="0"/>
          <w:u w:val="single"/>
        </w:rPr>
        <w:t>Purchasers</w:t>
      </w:r>
      <w:r>
        <w:rPr>
          <w:b/>
          <w:kern w:val="0"/>
          <w:u w:val="single"/>
        </w:rPr>
        <w:t xml:space="preserve"> that are not mobile wireless service providers must respond to the following</w:t>
      </w:r>
      <w:r>
        <w:rPr>
          <w:b/>
          <w:kern w:val="0"/>
        </w:rPr>
        <w:t xml:space="preserve">:  </w:t>
      </w:r>
    </w:p>
    <w:p w:rsidR="00F97D54" w:rsidRDefault="00F97D54">
      <w:pPr>
        <w:tabs>
          <w:tab w:val="num" w:pos="1800"/>
        </w:tabs>
        <w:rPr>
          <w:kern w:val="0"/>
          <w:szCs w:val="22"/>
        </w:rPr>
      </w:pPr>
    </w:p>
    <w:p w:rsidR="00F97D54" w:rsidRDefault="00F97D54" w:rsidP="00EB5B97">
      <w:pPr>
        <w:numPr>
          <w:ilvl w:val="0"/>
          <w:numId w:val="100"/>
        </w:numPr>
        <w:rPr>
          <w:kern w:val="0"/>
          <w:szCs w:val="22"/>
          <w:u w:val="single"/>
        </w:rPr>
      </w:pPr>
      <w:r>
        <w:rPr>
          <w:kern w:val="0"/>
          <w:szCs w:val="22"/>
        </w:rPr>
        <w:t xml:space="preserve">What is the principal nature of your business, </w:t>
      </w:r>
      <w:r>
        <w:rPr>
          <w:i/>
          <w:kern w:val="0"/>
          <w:szCs w:val="22"/>
        </w:rPr>
        <w:t>e.g.</w:t>
      </w:r>
      <w:r>
        <w:rPr>
          <w:kern w:val="0"/>
          <w:szCs w:val="22"/>
        </w:rPr>
        <w:t xml:space="preserve">, are you a CLEC, cable system operator, fixed wireless service provider, wireless Internet service provider, interconnected VoIP service provider, etc.?  </w:t>
      </w:r>
    </w:p>
    <w:p w:rsidR="00F97D54" w:rsidRDefault="00F97D54">
      <w:pPr>
        <w:tabs>
          <w:tab w:val="num" w:pos="1800"/>
        </w:tabs>
        <w:rPr>
          <w:kern w:val="0"/>
          <w:szCs w:val="22"/>
          <w:u w:val="single"/>
        </w:rPr>
      </w:pPr>
    </w:p>
    <w:p w:rsidR="00F97D54" w:rsidRDefault="00F97D54" w:rsidP="00EB5B97">
      <w:pPr>
        <w:tabs>
          <w:tab w:val="num" w:pos="1800"/>
        </w:tabs>
        <w:rPr>
          <w:b/>
          <w:kern w:val="0"/>
          <w:szCs w:val="22"/>
        </w:rPr>
      </w:pPr>
      <w:r>
        <w:rPr>
          <w:b/>
          <w:kern w:val="0"/>
          <w:szCs w:val="22"/>
        </w:rPr>
        <w:t xml:space="preserve">Expenditures </w:t>
      </w:r>
      <w:r>
        <w:rPr>
          <w:b/>
          <w:kern w:val="0"/>
        </w:rPr>
        <w:t>Information</w:t>
      </w:r>
    </w:p>
    <w:p w:rsidR="00F97D54" w:rsidRDefault="00F97D54" w:rsidP="00EB5B97">
      <w:pPr>
        <w:tabs>
          <w:tab w:val="num" w:pos="1800"/>
        </w:tabs>
        <w:rPr>
          <w:kern w:val="0"/>
          <w:szCs w:val="22"/>
        </w:rPr>
      </w:pPr>
    </w:p>
    <w:p w:rsidR="00F97D54" w:rsidRDefault="00F97D54" w:rsidP="00EB5B97">
      <w:pPr>
        <w:numPr>
          <w:ilvl w:val="0"/>
          <w:numId w:val="100"/>
        </w:numPr>
        <w:rPr>
          <w:b/>
          <w:kern w:val="0"/>
        </w:rPr>
      </w:pPr>
      <w:r>
        <w:rPr>
          <w:kern w:val="0"/>
        </w:rPr>
        <w:t xml:space="preserve">What were your expenditures, </w:t>
      </w:r>
      <w:r>
        <w:rPr>
          <w:i/>
          <w:kern w:val="0"/>
        </w:rPr>
        <w:t>i.e.</w:t>
      </w:r>
      <w:r>
        <w:rPr>
          <w:kern w:val="0"/>
        </w:rPr>
        <w:t xml:space="preserve">, dollar volume of purchases, on </w:t>
      </w:r>
      <w:r>
        <w:rPr>
          <w:i/>
          <w:kern w:val="0"/>
        </w:rPr>
        <w:t>Dedicated Services</w:t>
      </w:r>
      <w:r>
        <w:rPr>
          <w:kern w:val="0"/>
        </w:rPr>
        <w:t xml:space="preserve"> for 2010 and 2012?  For each year, report expenditures in total, separately for </w:t>
      </w:r>
      <w:r>
        <w:rPr>
          <w:i/>
          <w:kern w:val="0"/>
        </w:rPr>
        <w:t>CBDS</w:t>
      </w:r>
      <w:r>
        <w:rPr>
          <w:kern w:val="0"/>
        </w:rPr>
        <w:t xml:space="preserve"> and </w:t>
      </w:r>
      <w:r>
        <w:rPr>
          <w:i/>
          <w:kern w:val="0"/>
        </w:rPr>
        <w:t>PBDS</w:t>
      </w:r>
      <w:r>
        <w:rPr>
          <w:kern w:val="0"/>
        </w:rPr>
        <w:t xml:space="preserve"> purchases, and separately for purchases from </w:t>
      </w:r>
      <w:r>
        <w:rPr>
          <w:i/>
          <w:kern w:val="0"/>
        </w:rPr>
        <w:t>ILECs</w:t>
      </w:r>
      <w:r>
        <w:rPr>
          <w:kern w:val="0"/>
        </w:rPr>
        <w:t xml:space="preserve"> and </w:t>
      </w:r>
      <w:r>
        <w:rPr>
          <w:i/>
          <w:kern w:val="0"/>
        </w:rPr>
        <w:t>Competitive Providers</w:t>
      </w:r>
      <w:r>
        <w:rPr>
          <w:kern w:val="0"/>
        </w:rPr>
        <w:t xml:space="preserve">.  </w:t>
      </w:r>
    </w:p>
    <w:p w:rsidR="00F97D54" w:rsidRDefault="00F97D54">
      <w:pPr>
        <w:rPr>
          <w:b/>
          <w:kern w:val="0"/>
        </w:rPr>
      </w:pPr>
    </w:p>
    <w:p w:rsidR="00F97D54" w:rsidRDefault="00F97D54" w:rsidP="00697A72">
      <w:pPr>
        <w:widowControl/>
        <w:numPr>
          <w:ilvl w:val="0"/>
          <w:numId w:val="99"/>
        </w:numPr>
        <w:rPr>
          <w:b/>
          <w:kern w:val="0"/>
        </w:rPr>
      </w:pPr>
      <w:r>
        <w:rPr>
          <w:kern w:val="0"/>
        </w:rPr>
        <w:t xml:space="preserve">Provide your company’s expenditures, </w:t>
      </w:r>
      <w:r>
        <w:rPr>
          <w:i/>
          <w:kern w:val="0"/>
        </w:rPr>
        <w:t>i.e.</w:t>
      </w:r>
      <w:r>
        <w:rPr>
          <w:kern w:val="0"/>
        </w:rPr>
        <w:t xml:space="preserve">, dollar volume of purchases, for </w:t>
      </w:r>
      <w:r>
        <w:rPr>
          <w:i/>
          <w:kern w:val="0"/>
        </w:rPr>
        <w:t>DS1s</w:t>
      </w:r>
      <w:r>
        <w:rPr>
          <w:kern w:val="0"/>
        </w:rPr>
        <w:t xml:space="preserve">, </w:t>
      </w:r>
      <w:r>
        <w:rPr>
          <w:i/>
          <w:kern w:val="0"/>
        </w:rPr>
        <w:t>DS3s</w:t>
      </w:r>
      <w:r>
        <w:rPr>
          <w:kern w:val="0"/>
        </w:rPr>
        <w:t xml:space="preserve">, and/or </w:t>
      </w:r>
      <w:r>
        <w:rPr>
          <w:i/>
          <w:kern w:val="0"/>
        </w:rPr>
        <w:t>PBDS</w:t>
      </w:r>
      <w:r>
        <w:rPr>
          <w:kern w:val="0"/>
        </w:rPr>
        <w:t xml:space="preserve"> purchased from </w:t>
      </w:r>
      <w:r>
        <w:rPr>
          <w:i/>
          <w:kern w:val="0"/>
        </w:rPr>
        <w:t>ILECs</w:t>
      </w:r>
      <w:r>
        <w:rPr>
          <w:kern w:val="0"/>
        </w:rPr>
        <w:t xml:space="preserve"> pursuant to a </w:t>
      </w:r>
      <w:r>
        <w:rPr>
          <w:i/>
          <w:kern w:val="0"/>
        </w:rPr>
        <w:t>Tariff</w:t>
      </w:r>
      <w:r>
        <w:rPr>
          <w:kern w:val="0"/>
        </w:rPr>
        <w:t xml:space="preserve"> in 2010 and in 2012.  For each of the following categories, report expenditures for each year in total and separately for </w:t>
      </w:r>
      <w:r>
        <w:rPr>
          <w:i/>
          <w:kern w:val="0"/>
        </w:rPr>
        <w:t>DS1s</w:t>
      </w:r>
      <w:r>
        <w:rPr>
          <w:kern w:val="0"/>
        </w:rPr>
        <w:t xml:space="preserve">, </w:t>
      </w:r>
      <w:r>
        <w:rPr>
          <w:i/>
          <w:kern w:val="0"/>
        </w:rPr>
        <w:t>DS3s</w:t>
      </w:r>
      <w:r>
        <w:rPr>
          <w:kern w:val="0"/>
        </w:rPr>
        <w:t xml:space="preserve"> and </w:t>
      </w:r>
      <w:r>
        <w:rPr>
          <w:i/>
          <w:kern w:val="0"/>
        </w:rPr>
        <w:t>PBDS</w:t>
      </w:r>
      <w:r>
        <w:rPr>
          <w:kern w:val="0"/>
        </w:rPr>
        <w:t xml:space="preserve">:  </w:t>
      </w:r>
    </w:p>
    <w:p w:rsidR="00F97D54" w:rsidRDefault="00F97D54" w:rsidP="00EB5B97">
      <w:pPr>
        <w:numPr>
          <w:ilvl w:val="0"/>
          <w:numId w:val="101"/>
        </w:numPr>
        <w:rPr>
          <w:i/>
          <w:kern w:val="0"/>
        </w:rPr>
      </w:pPr>
      <w:r>
        <w:rPr>
          <w:kern w:val="0"/>
        </w:rPr>
        <w:t xml:space="preserve">All </w:t>
      </w:r>
      <w:r>
        <w:rPr>
          <w:i/>
          <w:kern w:val="0"/>
        </w:rPr>
        <w:t>DS1s</w:t>
      </w:r>
      <w:r>
        <w:rPr>
          <w:kern w:val="0"/>
        </w:rPr>
        <w:t xml:space="preserve">, </w:t>
      </w:r>
      <w:r>
        <w:rPr>
          <w:i/>
          <w:kern w:val="0"/>
        </w:rPr>
        <w:t>DS3s</w:t>
      </w:r>
      <w:r>
        <w:rPr>
          <w:kern w:val="0"/>
        </w:rPr>
        <w:t xml:space="preserve">, and </w:t>
      </w:r>
      <w:r>
        <w:rPr>
          <w:i/>
          <w:kern w:val="0"/>
        </w:rPr>
        <w:t>PBDS</w:t>
      </w:r>
      <w:r>
        <w:rPr>
          <w:kern w:val="0"/>
        </w:rPr>
        <w:t>;</w:t>
      </w:r>
    </w:p>
    <w:p w:rsidR="00F97D54" w:rsidRDefault="00F97D54" w:rsidP="00EB5B97">
      <w:pPr>
        <w:numPr>
          <w:ilvl w:val="0"/>
          <w:numId w:val="101"/>
        </w:numPr>
        <w:rPr>
          <w:kern w:val="0"/>
        </w:rPr>
      </w:pPr>
      <w:r>
        <w:rPr>
          <w:i/>
          <w:kern w:val="0"/>
        </w:rPr>
        <w:t>DS1s</w:t>
      </w:r>
      <w:r>
        <w:rPr>
          <w:kern w:val="0"/>
        </w:rPr>
        <w:t xml:space="preserve">, </w:t>
      </w:r>
      <w:r>
        <w:rPr>
          <w:i/>
          <w:kern w:val="0"/>
        </w:rPr>
        <w:t>DS3s</w:t>
      </w:r>
      <w:r>
        <w:rPr>
          <w:kern w:val="0"/>
        </w:rPr>
        <w:t xml:space="preserve">, and </w:t>
      </w:r>
      <w:r>
        <w:rPr>
          <w:i/>
          <w:kern w:val="0"/>
        </w:rPr>
        <w:t>PBDS</w:t>
      </w:r>
      <w:r>
        <w:rPr>
          <w:kern w:val="0"/>
        </w:rPr>
        <w:t xml:space="preserve"> purchased at </w:t>
      </w:r>
      <w:r>
        <w:rPr>
          <w:i/>
          <w:kern w:val="0"/>
        </w:rPr>
        <w:t>One Month Term Only Rates</w:t>
      </w:r>
      <w:r>
        <w:rPr>
          <w:kern w:val="0"/>
        </w:rPr>
        <w:t>;</w:t>
      </w:r>
    </w:p>
    <w:p w:rsidR="00F97D54" w:rsidRDefault="00F97D54" w:rsidP="00EB5B97">
      <w:pPr>
        <w:numPr>
          <w:ilvl w:val="0"/>
          <w:numId w:val="101"/>
        </w:numPr>
        <w:rPr>
          <w:kern w:val="0"/>
        </w:rPr>
      </w:pPr>
      <w:r>
        <w:rPr>
          <w:i/>
          <w:kern w:val="0"/>
        </w:rPr>
        <w:t>DS1s</w:t>
      </w:r>
      <w:r>
        <w:rPr>
          <w:kern w:val="0"/>
        </w:rPr>
        <w:t xml:space="preserve">, </w:t>
      </w:r>
      <w:r>
        <w:rPr>
          <w:i/>
          <w:kern w:val="0"/>
        </w:rPr>
        <w:t>DS3s</w:t>
      </w:r>
      <w:r>
        <w:rPr>
          <w:kern w:val="0"/>
        </w:rPr>
        <w:t xml:space="preserve">, and </w:t>
      </w:r>
      <w:r>
        <w:rPr>
          <w:i/>
          <w:kern w:val="0"/>
        </w:rPr>
        <w:t>PBDS</w:t>
      </w:r>
      <w:r>
        <w:rPr>
          <w:kern w:val="0"/>
        </w:rPr>
        <w:t xml:space="preserve"> purchased under </w:t>
      </w:r>
      <w:r>
        <w:rPr>
          <w:i/>
          <w:kern w:val="0"/>
        </w:rPr>
        <w:t>Tariff Plans</w:t>
      </w:r>
      <w:r>
        <w:rPr>
          <w:kern w:val="0"/>
        </w:rPr>
        <w:t>;</w:t>
      </w:r>
    </w:p>
    <w:p w:rsidR="00F97D54" w:rsidRDefault="00F97D54" w:rsidP="00EB5B97">
      <w:pPr>
        <w:numPr>
          <w:ilvl w:val="0"/>
          <w:numId w:val="121"/>
        </w:numPr>
        <w:rPr>
          <w:kern w:val="0"/>
        </w:rPr>
      </w:pPr>
      <w:r>
        <w:rPr>
          <w:i/>
          <w:kern w:val="0"/>
        </w:rPr>
        <w:t>DS1s</w:t>
      </w:r>
      <w:r>
        <w:rPr>
          <w:kern w:val="0"/>
        </w:rPr>
        <w:t xml:space="preserve">, </w:t>
      </w:r>
      <w:r>
        <w:rPr>
          <w:i/>
          <w:kern w:val="0"/>
        </w:rPr>
        <w:t>DS3s</w:t>
      </w:r>
      <w:r>
        <w:rPr>
          <w:kern w:val="0"/>
        </w:rPr>
        <w:t xml:space="preserve">, and </w:t>
      </w:r>
      <w:r>
        <w:rPr>
          <w:i/>
          <w:kern w:val="0"/>
        </w:rPr>
        <w:t>PBDS</w:t>
      </w:r>
      <w:r>
        <w:rPr>
          <w:kern w:val="0"/>
        </w:rPr>
        <w:t xml:space="preserve"> purchased under </w:t>
      </w:r>
      <w:r>
        <w:rPr>
          <w:i/>
          <w:kern w:val="0"/>
        </w:rPr>
        <w:t>Contract-Based Tariffs</w:t>
      </w:r>
      <w:r>
        <w:rPr>
          <w:kern w:val="0"/>
        </w:rPr>
        <w:t>;</w:t>
      </w:r>
    </w:p>
    <w:p w:rsidR="00F97D54" w:rsidRDefault="00F97D54" w:rsidP="00EB5B97">
      <w:pPr>
        <w:numPr>
          <w:ilvl w:val="0"/>
          <w:numId w:val="122"/>
        </w:numPr>
        <w:rPr>
          <w:kern w:val="0"/>
        </w:rPr>
      </w:pPr>
      <w:r>
        <w:rPr>
          <w:i/>
          <w:kern w:val="0"/>
        </w:rPr>
        <w:t>DS1s</w:t>
      </w:r>
      <w:r>
        <w:rPr>
          <w:kern w:val="0"/>
        </w:rPr>
        <w:t xml:space="preserve">, </w:t>
      </w:r>
      <w:r>
        <w:rPr>
          <w:i/>
          <w:kern w:val="0"/>
        </w:rPr>
        <w:t>DS3s</w:t>
      </w:r>
      <w:r>
        <w:rPr>
          <w:kern w:val="0"/>
        </w:rPr>
        <w:t xml:space="preserve">, and </w:t>
      </w:r>
      <w:r>
        <w:rPr>
          <w:i/>
          <w:kern w:val="0"/>
        </w:rPr>
        <w:t>PBDS</w:t>
      </w:r>
      <w:r>
        <w:rPr>
          <w:kern w:val="0"/>
        </w:rPr>
        <w:t xml:space="preserve"> purchased under </w:t>
      </w:r>
      <w:r>
        <w:rPr>
          <w:i/>
          <w:kern w:val="0"/>
        </w:rPr>
        <w:t xml:space="preserve">Tariff Plans </w:t>
      </w:r>
      <w:r>
        <w:rPr>
          <w:kern w:val="0"/>
        </w:rPr>
        <w:t xml:space="preserve">that contained a </w:t>
      </w:r>
      <w:r>
        <w:rPr>
          <w:i/>
          <w:kern w:val="0"/>
        </w:rPr>
        <w:t>Term Commitment</w:t>
      </w:r>
      <w:r>
        <w:rPr>
          <w:kern w:val="0"/>
        </w:rPr>
        <w:t xml:space="preserve"> but not a </w:t>
      </w:r>
      <w:r>
        <w:rPr>
          <w:i/>
          <w:kern w:val="0"/>
        </w:rPr>
        <w:t>Volume Commitment</w:t>
      </w:r>
      <w:r>
        <w:rPr>
          <w:kern w:val="0"/>
        </w:rPr>
        <w:t>;</w:t>
      </w:r>
    </w:p>
    <w:p w:rsidR="00F97D54" w:rsidRPr="00577167" w:rsidRDefault="00F97D54" w:rsidP="0047272E">
      <w:pPr>
        <w:widowControl/>
        <w:numPr>
          <w:ilvl w:val="0"/>
          <w:numId w:val="122"/>
        </w:numPr>
        <w:rPr>
          <w:kern w:val="0"/>
        </w:rPr>
      </w:pPr>
      <w:r w:rsidRPr="00577167">
        <w:rPr>
          <w:i/>
          <w:kern w:val="0"/>
        </w:rPr>
        <w:t>DS1s</w:t>
      </w:r>
      <w:r w:rsidRPr="00577167">
        <w:rPr>
          <w:kern w:val="0"/>
        </w:rPr>
        <w:t xml:space="preserve">, </w:t>
      </w:r>
      <w:r w:rsidRPr="00577167">
        <w:rPr>
          <w:i/>
          <w:kern w:val="0"/>
        </w:rPr>
        <w:t>DS3s</w:t>
      </w:r>
      <w:r w:rsidRPr="00577167">
        <w:rPr>
          <w:kern w:val="0"/>
        </w:rPr>
        <w:t xml:space="preserve">, and </w:t>
      </w:r>
      <w:r w:rsidRPr="00577167">
        <w:rPr>
          <w:i/>
          <w:kern w:val="0"/>
        </w:rPr>
        <w:t>PBDS</w:t>
      </w:r>
      <w:r w:rsidRPr="00577167">
        <w:rPr>
          <w:kern w:val="0"/>
        </w:rPr>
        <w:t xml:space="preserve"> purchased under </w:t>
      </w:r>
      <w:r w:rsidRPr="00577167">
        <w:rPr>
          <w:i/>
          <w:kern w:val="0"/>
        </w:rPr>
        <w:t>Tariff Plans</w:t>
      </w:r>
      <w:r w:rsidRPr="00577167">
        <w:rPr>
          <w:kern w:val="0"/>
        </w:rPr>
        <w:t xml:space="preserve"> that contained a </w:t>
      </w:r>
      <w:r w:rsidRPr="00577167">
        <w:rPr>
          <w:i/>
          <w:kern w:val="0"/>
        </w:rPr>
        <w:t>Prior Purchase-Based Commitment</w:t>
      </w:r>
      <w:r w:rsidRPr="00577167">
        <w:rPr>
          <w:kern w:val="0"/>
        </w:rPr>
        <w:t>;</w:t>
      </w:r>
    </w:p>
    <w:p w:rsidR="00F97D54" w:rsidRDefault="00F97D54" w:rsidP="00EB5B97">
      <w:pPr>
        <w:numPr>
          <w:ilvl w:val="0"/>
          <w:numId w:val="102"/>
        </w:numPr>
        <w:spacing w:after="120"/>
        <w:rPr>
          <w:kern w:val="0"/>
        </w:rPr>
      </w:pPr>
      <w:r>
        <w:rPr>
          <w:kern w:val="0"/>
        </w:rPr>
        <w:t xml:space="preserve">Of the total (and for the separate </w:t>
      </w:r>
      <w:r>
        <w:rPr>
          <w:i/>
          <w:kern w:val="0"/>
        </w:rPr>
        <w:t>DS1</w:t>
      </w:r>
      <w:r>
        <w:rPr>
          <w:kern w:val="0"/>
        </w:rPr>
        <w:t xml:space="preserve">, </w:t>
      </w:r>
      <w:r>
        <w:rPr>
          <w:i/>
          <w:kern w:val="0"/>
        </w:rPr>
        <w:t>DS3</w:t>
      </w:r>
      <w:r>
        <w:rPr>
          <w:kern w:val="0"/>
        </w:rPr>
        <w:t xml:space="preserve">, and </w:t>
      </w:r>
      <w:r>
        <w:rPr>
          <w:i/>
          <w:kern w:val="0"/>
        </w:rPr>
        <w:t>PBDS</w:t>
      </w:r>
      <w:r>
        <w:rPr>
          <w:kern w:val="0"/>
        </w:rPr>
        <w:t xml:space="preserve"> totals where applicable), indicate the average discount from the </w:t>
      </w:r>
      <w:r>
        <w:rPr>
          <w:i/>
          <w:kern w:val="0"/>
        </w:rPr>
        <w:t>One Month Term Only Rate</w:t>
      </w:r>
      <w:r>
        <w:rPr>
          <w:kern w:val="0"/>
        </w:rPr>
        <w:t xml:space="preserve"> incorporated in the expenditures.</w:t>
      </w:r>
    </w:p>
    <w:p w:rsidR="00F97D54" w:rsidRDefault="00F97D54">
      <w:pPr>
        <w:spacing w:after="120"/>
        <w:ind w:left="1440"/>
        <w:rPr>
          <w:kern w:val="0"/>
        </w:rPr>
      </w:pPr>
      <w:r>
        <w:rPr>
          <w:kern w:val="0"/>
        </w:rPr>
        <w:t xml:space="preserve">For purposes of calculating the percentages described above, an example would be a </w:t>
      </w:r>
      <w:r>
        <w:rPr>
          <w:i/>
          <w:kern w:val="0"/>
        </w:rPr>
        <w:t>Tariff Plan</w:t>
      </w:r>
      <w:r>
        <w:rPr>
          <w:kern w:val="0"/>
        </w:rPr>
        <w:t xml:space="preserve"> that requires a purchase of 20 </w:t>
      </w:r>
      <w:r>
        <w:rPr>
          <w:i/>
          <w:kern w:val="0"/>
        </w:rPr>
        <w:t>DS1</w:t>
      </w:r>
      <w:r>
        <w:rPr>
          <w:kern w:val="0"/>
        </w:rPr>
        <w:t xml:space="preserve">s and 10 </w:t>
      </w:r>
      <w:r>
        <w:rPr>
          <w:i/>
          <w:kern w:val="0"/>
        </w:rPr>
        <w:t>DS3</w:t>
      </w:r>
      <w:r>
        <w:rPr>
          <w:kern w:val="0"/>
        </w:rPr>
        <w:t xml:space="preserve">s and generates expenditures of $2,000 for calendar-year 2012.  If those same circuits were purchased at </w:t>
      </w:r>
      <w:r>
        <w:rPr>
          <w:i/>
          <w:kern w:val="0"/>
        </w:rPr>
        <w:t xml:space="preserve">One Month Term Only Rates </w:t>
      </w:r>
      <w:r>
        <w:rPr>
          <w:kern w:val="0"/>
        </w:rPr>
        <w:t xml:space="preserve">of $100 per </w:t>
      </w:r>
      <w:r>
        <w:rPr>
          <w:i/>
          <w:kern w:val="0"/>
        </w:rPr>
        <w:t>DS1</w:t>
      </w:r>
      <w:r>
        <w:rPr>
          <w:kern w:val="0"/>
        </w:rPr>
        <w:t xml:space="preserve"> and $200 per </w:t>
      </w:r>
      <w:r>
        <w:rPr>
          <w:i/>
          <w:kern w:val="0"/>
        </w:rPr>
        <w:t>DS3</w:t>
      </w:r>
      <w:r>
        <w:rPr>
          <w:kern w:val="0"/>
        </w:rPr>
        <w:t xml:space="preserve">, then total expenditures would instead be $4,000.  Since the </w:t>
      </w:r>
      <w:r>
        <w:rPr>
          <w:i/>
          <w:kern w:val="0"/>
        </w:rPr>
        <w:t>Tariff Plan</w:t>
      </w:r>
      <w:r>
        <w:rPr>
          <w:kern w:val="0"/>
        </w:rPr>
        <w:t xml:space="preserve"> under this scenario generated 50% of the expenditures that would be generated from </w:t>
      </w:r>
      <w:r>
        <w:rPr>
          <w:i/>
          <w:kern w:val="0"/>
        </w:rPr>
        <w:t>One Month Term Only Rates</w:t>
      </w:r>
      <w:r>
        <w:rPr>
          <w:kern w:val="0"/>
        </w:rPr>
        <w:t>, the discount would be 50%.</w:t>
      </w:r>
    </w:p>
    <w:p w:rsidR="00F97D54" w:rsidRDefault="00F97D54" w:rsidP="00EB5B97">
      <w:pPr>
        <w:numPr>
          <w:ilvl w:val="0"/>
          <w:numId w:val="123"/>
        </w:numPr>
        <w:tabs>
          <w:tab w:val="clear" w:pos="1800"/>
          <w:tab w:val="num" w:pos="1440"/>
        </w:tabs>
        <w:ind w:left="1440"/>
        <w:rPr>
          <w:kern w:val="0"/>
        </w:rPr>
      </w:pPr>
      <w:r>
        <w:rPr>
          <w:i/>
          <w:kern w:val="0"/>
        </w:rPr>
        <w:t>DS1s</w:t>
      </w:r>
      <w:r>
        <w:rPr>
          <w:kern w:val="0"/>
        </w:rPr>
        <w:t xml:space="preserve">, </w:t>
      </w:r>
      <w:r>
        <w:rPr>
          <w:i/>
          <w:kern w:val="0"/>
        </w:rPr>
        <w:t>DS3s</w:t>
      </w:r>
      <w:r>
        <w:rPr>
          <w:kern w:val="0"/>
        </w:rPr>
        <w:t xml:space="preserve">, and </w:t>
      </w:r>
      <w:r>
        <w:rPr>
          <w:i/>
          <w:kern w:val="0"/>
        </w:rPr>
        <w:t>PBDS</w:t>
      </w:r>
      <w:r>
        <w:rPr>
          <w:kern w:val="0"/>
        </w:rPr>
        <w:t xml:space="preserve"> purchased under </w:t>
      </w:r>
      <w:r>
        <w:rPr>
          <w:i/>
          <w:kern w:val="0"/>
        </w:rPr>
        <w:t xml:space="preserve">Contract-Based Tariffs </w:t>
      </w:r>
      <w:r>
        <w:rPr>
          <w:kern w:val="0"/>
        </w:rPr>
        <w:t xml:space="preserve">that contained a </w:t>
      </w:r>
      <w:r>
        <w:rPr>
          <w:i/>
          <w:kern w:val="0"/>
        </w:rPr>
        <w:t>Term Commitment</w:t>
      </w:r>
      <w:r>
        <w:rPr>
          <w:kern w:val="0"/>
        </w:rPr>
        <w:t xml:space="preserve"> but not a </w:t>
      </w:r>
      <w:r>
        <w:rPr>
          <w:i/>
          <w:kern w:val="0"/>
        </w:rPr>
        <w:t>Volume Commitment</w:t>
      </w:r>
      <w:r>
        <w:rPr>
          <w:kern w:val="0"/>
        </w:rPr>
        <w:t>; and</w:t>
      </w:r>
    </w:p>
    <w:p w:rsidR="00F97D54" w:rsidRPr="00577167" w:rsidRDefault="00F97D54" w:rsidP="00EB5B97">
      <w:pPr>
        <w:numPr>
          <w:ilvl w:val="0"/>
          <w:numId w:val="123"/>
        </w:numPr>
        <w:tabs>
          <w:tab w:val="clear" w:pos="1800"/>
          <w:tab w:val="num" w:pos="1440"/>
        </w:tabs>
        <w:ind w:left="1440"/>
        <w:rPr>
          <w:kern w:val="0"/>
        </w:rPr>
      </w:pPr>
      <w:r w:rsidRPr="00577167">
        <w:rPr>
          <w:i/>
          <w:kern w:val="0"/>
        </w:rPr>
        <w:t>DS1s</w:t>
      </w:r>
      <w:r w:rsidRPr="00577167">
        <w:rPr>
          <w:kern w:val="0"/>
        </w:rPr>
        <w:t xml:space="preserve">, </w:t>
      </w:r>
      <w:r w:rsidRPr="00577167">
        <w:rPr>
          <w:i/>
          <w:kern w:val="0"/>
        </w:rPr>
        <w:t>DS3s</w:t>
      </w:r>
      <w:r w:rsidRPr="00577167">
        <w:rPr>
          <w:kern w:val="0"/>
        </w:rPr>
        <w:t xml:space="preserve">, and </w:t>
      </w:r>
      <w:r w:rsidRPr="00577167">
        <w:rPr>
          <w:i/>
          <w:kern w:val="0"/>
        </w:rPr>
        <w:t>PBDS</w:t>
      </w:r>
      <w:r w:rsidRPr="00577167">
        <w:rPr>
          <w:kern w:val="0"/>
        </w:rPr>
        <w:t xml:space="preserve"> purchased under </w:t>
      </w:r>
      <w:r w:rsidRPr="00577167">
        <w:rPr>
          <w:i/>
          <w:kern w:val="0"/>
        </w:rPr>
        <w:t>Contract-Based Tariffs</w:t>
      </w:r>
      <w:r w:rsidRPr="00577167">
        <w:rPr>
          <w:kern w:val="0"/>
        </w:rPr>
        <w:t xml:space="preserve"> that contained a </w:t>
      </w:r>
      <w:r w:rsidRPr="00577167">
        <w:rPr>
          <w:i/>
          <w:kern w:val="0"/>
        </w:rPr>
        <w:t>Prior Purchase-Based Commitment</w:t>
      </w:r>
      <w:r w:rsidRPr="00577167">
        <w:rPr>
          <w:kern w:val="0"/>
        </w:rPr>
        <w:t>;</w:t>
      </w:r>
    </w:p>
    <w:p w:rsidR="00F97D54" w:rsidRDefault="00F97D54" w:rsidP="00EB5B97">
      <w:pPr>
        <w:numPr>
          <w:ilvl w:val="0"/>
          <w:numId w:val="103"/>
        </w:numPr>
        <w:tabs>
          <w:tab w:val="left" w:pos="1920"/>
        </w:tabs>
        <w:spacing w:after="120"/>
        <w:rPr>
          <w:kern w:val="0"/>
        </w:rPr>
      </w:pPr>
      <w:r>
        <w:rPr>
          <w:kern w:val="0"/>
        </w:rPr>
        <w:t xml:space="preserve">Of the total (and for the separate </w:t>
      </w:r>
      <w:r>
        <w:rPr>
          <w:i/>
          <w:kern w:val="0"/>
        </w:rPr>
        <w:t>DS1</w:t>
      </w:r>
      <w:r>
        <w:rPr>
          <w:kern w:val="0"/>
        </w:rPr>
        <w:t xml:space="preserve"> and </w:t>
      </w:r>
      <w:r>
        <w:rPr>
          <w:i/>
          <w:kern w:val="0"/>
        </w:rPr>
        <w:t>DS3</w:t>
      </w:r>
      <w:r>
        <w:rPr>
          <w:kern w:val="0"/>
        </w:rPr>
        <w:t xml:space="preserve"> totals if available), indicate the average discount from the </w:t>
      </w:r>
      <w:r>
        <w:rPr>
          <w:i/>
          <w:kern w:val="0"/>
        </w:rPr>
        <w:t>One Month Term Only Rate</w:t>
      </w:r>
      <w:r>
        <w:rPr>
          <w:kern w:val="0"/>
        </w:rPr>
        <w:t xml:space="preserve"> incorporated in the expenditures.</w:t>
      </w:r>
    </w:p>
    <w:p w:rsidR="00F97D54" w:rsidRDefault="00F97D54" w:rsidP="00EB5B97">
      <w:pPr>
        <w:tabs>
          <w:tab w:val="left" w:pos="1440"/>
          <w:tab w:val="left" w:pos="1680"/>
          <w:tab w:val="left" w:pos="1920"/>
        </w:tabs>
        <w:spacing w:after="120"/>
        <w:ind w:left="1800"/>
        <w:rPr>
          <w:kern w:val="0"/>
        </w:rPr>
      </w:pPr>
      <w:r>
        <w:rPr>
          <w:kern w:val="0"/>
        </w:rPr>
        <w:t>An example of how to calculate this percentage can be found at question II.F.3.f.i.</w:t>
      </w:r>
    </w:p>
    <w:p w:rsidR="00F97D54" w:rsidRDefault="00F97D54" w:rsidP="00EB5B97">
      <w:pPr>
        <w:numPr>
          <w:ilvl w:val="0"/>
          <w:numId w:val="127"/>
        </w:numPr>
        <w:tabs>
          <w:tab w:val="left" w:pos="1440"/>
          <w:tab w:val="left" w:pos="1680"/>
          <w:tab w:val="left" w:pos="1920"/>
        </w:tabs>
        <w:rPr>
          <w:kern w:val="0"/>
        </w:rPr>
      </w:pPr>
      <w:r>
        <w:rPr>
          <w:kern w:val="0"/>
        </w:rPr>
        <w:t xml:space="preserve">What percentage of your expenditures in 2012 were subject to a </w:t>
      </w:r>
      <w:r w:rsidRPr="00734642">
        <w:rPr>
          <w:i/>
          <w:kern w:val="0"/>
        </w:rPr>
        <w:t>Term Commitment</w:t>
      </w:r>
      <w:r>
        <w:rPr>
          <w:kern w:val="0"/>
        </w:rPr>
        <w:t xml:space="preserve"> of five or more years?</w:t>
      </w:r>
    </w:p>
    <w:p w:rsidR="00F97D54" w:rsidRDefault="00F97D54">
      <w:pPr>
        <w:tabs>
          <w:tab w:val="left" w:pos="1440"/>
          <w:tab w:val="left" w:pos="1680"/>
          <w:tab w:val="left" w:pos="1920"/>
        </w:tabs>
        <w:ind w:left="1800"/>
        <w:rPr>
          <w:kern w:val="0"/>
        </w:rPr>
      </w:pPr>
    </w:p>
    <w:p w:rsidR="00F97D54" w:rsidRDefault="00F97D54" w:rsidP="00EB5B97">
      <w:pPr>
        <w:numPr>
          <w:ilvl w:val="0"/>
          <w:numId w:val="99"/>
        </w:numPr>
        <w:tabs>
          <w:tab w:val="left" w:pos="1440"/>
          <w:tab w:val="left" w:pos="1680"/>
          <w:tab w:val="left" w:pos="1920"/>
        </w:tabs>
        <w:rPr>
          <w:kern w:val="0"/>
        </w:rPr>
      </w:pPr>
      <w:r>
        <w:rPr>
          <w:kern w:val="0"/>
        </w:rPr>
        <w:t xml:space="preserve">What were your expenditures, </w:t>
      </w:r>
      <w:r>
        <w:rPr>
          <w:i/>
          <w:kern w:val="0"/>
        </w:rPr>
        <w:t>i.e.</w:t>
      </w:r>
      <w:r>
        <w:rPr>
          <w:kern w:val="0"/>
        </w:rPr>
        <w:t xml:space="preserve">, dollar volume of purchases, on </w:t>
      </w:r>
      <w:r>
        <w:rPr>
          <w:i/>
          <w:kern w:val="0"/>
        </w:rPr>
        <w:t>DS1s</w:t>
      </w:r>
      <w:r>
        <w:rPr>
          <w:kern w:val="0"/>
        </w:rPr>
        <w:t xml:space="preserve">, </w:t>
      </w:r>
      <w:r>
        <w:rPr>
          <w:i/>
          <w:kern w:val="0"/>
        </w:rPr>
        <w:t>DS3s</w:t>
      </w:r>
      <w:r>
        <w:rPr>
          <w:kern w:val="0"/>
        </w:rPr>
        <w:t xml:space="preserve">, and/or </w:t>
      </w:r>
      <w:r>
        <w:rPr>
          <w:i/>
          <w:kern w:val="0"/>
        </w:rPr>
        <w:t>PBDS</w:t>
      </w:r>
      <w:r>
        <w:rPr>
          <w:kern w:val="0"/>
        </w:rPr>
        <w:t xml:space="preserve"> purchased from </w:t>
      </w:r>
      <w:r>
        <w:rPr>
          <w:i/>
          <w:kern w:val="0"/>
        </w:rPr>
        <w:t>Competitive Providers</w:t>
      </w:r>
      <w:r>
        <w:rPr>
          <w:kern w:val="0"/>
        </w:rPr>
        <w:t xml:space="preserve"> pursuant to a </w:t>
      </w:r>
      <w:r>
        <w:rPr>
          <w:i/>
          <w:kern w:val="0"/>
        </w:rPr>
        <w:t>Tariff</w:t>
      </w:r>
      <w:r>
        <w:rPr>
          <w:kern w:val="0"/>
        </w:rPr>
        <w:t xml:space="preserve"> in 2010 and in 2012?  Report expenditures in total and separately for </w:t>
      </w:r>
      <w:r>
        <w:rPr>
          <w:i/>
          <w:kern w:val="0"/>
        </w:rPr>
        <w:t>DS1s</w:t>
      </w:r>
      <w:r>
        <w:rPr>
          <w:kern w:val="0"/>
        </w:rPr>
        <w:t xml:space="preserve">, </w:t>
      </w:r>
      <w:r>
        <w:rPr>
          <w:i/>
          <w:kern w:val="0"/>
        </w:rPr>
        <w:t>DS3s</w:t>
      </w:r>
      <w:r>
        <w:rPr>
          <w:kern w:val="0"/>
        </w:rPr>
        <w:t xml:space="preserve"> and </w:t>
      </w:r>
      <w:r>
        <w:rPr>
          <w:i/>
          <w:kern w:val="0"/>
        </w:rPr>
        <w:t>PBDS</w:t>
      </w:r>
      <w:r>
        <w:rPr>
          <w:kern w:val="0"/>
        </w:rPr>
        <w:t>, as applicable, for the following categories for each year:</w:t>
      </w:r>
    </w:p>
    <w:p w:rsidR="00F97D54" w:rsidRDefault="00F97D54" w:rsidP="00EB5B97">
      <w:pPr>
        <w:numPr>
          <w:ilvl w:val="1"/>
          <w:numId w:val="104"/>
        </w:numPr>
        <w:rPr>
          <w:i/>
          <w:kern w:val="0"/>
        </w:rPr>
      </w:pPr>
      <w:r>
        <w:rPr>
          <w:kern w:val="0"/>
        </w:rPr>
        <w:t xml:space="preserve">All </w:t>
      </w:r>
      <w:r>
        <w:rPr>
          <w:i/>
          <w:kern w:val="0"/>
        </w:rPr>
        <w:t>DS1s</w:t>
      </w:r>
      <w:r>
        <w:rPr>
          <w:kern w:val="0"/>
        </w:rPr>
        <w:t xml:space="preserve">, </w:t>
      </w:r>
      <w:r>
        <w:rPr>
          <w:i/>
          <w:kern w:val="0"/>
        </w:rPr>
        <w:t>DS3s</w:t>
      </w:r>
      <w:r>
        <w:rPr>
          <w:kern w:val="0"/>
        </w:rPr>
        <w:t xml:space="preserve">, and </w:t>
      </w:r>
      <w:r>
        <w:rPr>
          <w:i/>
          <w:kern w:val="0"/>
        </w:rPr>
        <w:t>PBDS</w:t>
      </w:r>
      <w:r>
        <w:rPr>
          <w:kern w:val="0"/>
        </w:rPr>
        <w:t>;</w:t>
      </w:r>
    </w:p>
    <w:p w:rsidR="00F97D54" w:rsidRDefault="00F97D54" w:rsidP="00EB5B97">
      <w:pPr>
        <w:numPr>
          <w:ilvl w:val="1"/>
          <w:numId w:val="104"/>
        </w:numPr>
        <w:rPr>
          <w:kern w:val="0"/>
        </w:rPr>
      </w:pPr>
      <w:r>
        <w:rPr>
          <w:i/>
          <w:kern w:val="0"/>
        </w:rPr>
        <w:t>DS1s</w:t>
      </w:r>
      <w:r>
        <w:rPr>
          <w:kern w:val="0"/>
        </w:rPr>
        <w:t xml:space="preserve">, </w:t>
      </w:r>
      <w:r>
        <w:rPr>
          <w:i/>
          <w:kern w:val="0"/>
        </w:rPr>
        <w:t>DS3s</w:t>
      </w:r>
      <w:r>
        <w:rPr>
          <w:kern w:val="0"/>
        </w:rPr>
        <w:t xml:space="preserve">, and </w:t>
      </w:r>
      <w:r>
        <w:rPr>
          <w:i/>
          <w:kern w:val="0"/>
        </w:rPr>
        <w:t>PBDS</w:t>
      </w:r>
      <w:r>
        <w:rPr>
          <w:kern w:val="0"/>
        </w:rPr>
        <w:t xml:space="preserve"> purchased at </w:t>
      </w:r>
      <w:r>
        <w:rPr>
          <w:i/>
          <w:kern w:val="0"/>
        </w:rPr>
        <w:t>One Month Term Only Rates</w:t>
      </w:r>
      <w:r>
        <w:rPr>
          <w:kern w:val="0"/>
        </w:rPr>
        <w:t>;</w:t>
      </w:r>
    </w:p>
    <w:p w:rsidR="00F97D54" w:rsidRDefault="00F97D54" w:rsidP="00EB5B97">
      <w:pPr>
        <w:numPr>
          <w:ilvl w:val="1"/>
          <w:numId w:val="104"/>
        </w:numPr>
        <w:rPr>
          <w:kern w:val="0"/>
        </w:rPr>
      </w:pPr>
      <w:r>
        <w:rPr>
          <w:i/>
          <w:kern w:val="0"/>
        </w:rPr>
        <w:t>DS1s</w:t>
      </w:r>
      <w:r>
        <w:rPr>
          <w:kern w:val="0"/>
        </w:rPr>
        <w:t xml:space="preserve">, </w:t>
      </w:r>
      <w:r>
        <w:rPr>
          <w:i/>
          <w:kern w:val="0"/>
        </w:rPr>
        <w:t>DS3s</w:t>
      </w:r>
      <w:r>
        <w:rPr>
          <w:kern w:val="0"/>
        </w:rPr>
        <w:t xml:space="preserve">, and </w:t>
      </w:r>
      <w:r>
        <w:rPr>
          <w:i/>
          <w:kern w:val="0"/>
        </w:rPr>
        <w:t>PBDS</w:t>
      </w:r>
      <w:r>
        <w:rPr>
          <w:kern w:val="0"/>
        </w:rPr>
        <w:t xml:space="preserve"> purchased under </w:t>
      </w:r>
      <w:r>
        <w:rPr>
          <w:i/>
          <w:kern w:val="0"/>
        </w:rPr>
        <w:t xml:space="preserve">Tariffs </w:t>
      </w:r>
      <w:r>
        <w:rPr>
          <w:kern w:val="0"/>
        </w:rPr>
        <w:t xml:space="preserve">that contained a </w:t>
      </w:r>
      <w:r>
        <w:rPr>
          <w:i/>
          <w:kern w:val="0"/>
        </w:rPr>
        <w:t>Term Commitment</w:t>
      </w:r>
      <w:r>
        <w:rPr>
          <w:kern w:val="0"/>
        </w:rPr>
        <w:t xml:space="preserve"> but not a </w:t>
      </w:r>
      <w:r>
        <w:rPr>
          <w:i/>
          <w:kern w:val="0"/>
        </w:rPr>
        <w:t>Volume Commitment</w:t>
      </w:r>
      <w:r>
        <w:rPr>
          <w:kern w:val="0"/>
        </w:rPr>
        <w:t>;</w:t>
      </w:r>
    </w:p>
    <w:p w:rsidR="00F97D54" w:rsidRDefault="00F97D54" w:rsidP="00EB5B97">
      <w:pPr>
        <w:numPr>
          <w:ilvl w:val="1"/>
          <w:numId w:val="104"/>
        </w:numPr>
        <w:rPr>
          <w:kern w:val="0"/>
        </w:rPr>
      </w:pPr>
      <w:r>
        <w:rPr>
          <w:i/>
          <w:kern w:val="0"/>
        </w:rPr>
        <w:t>DS1s</w:t>
      </w:r>
      <w:r>
        <w:rPr>
          <w:kern w:val="0"/>
        </w:rPr>
        <w:t xml:space="preserve">, </w:t>
      </w:r>
      <w:r>
        <w:rPr>
          <w:i/>
          <w:kern w:val="0"/>
        </w:rPr>
        <w:t>DS3s</w:t>
      </w:r>
      <w:r>
        <w:rPr>
          <w:kern w:val="0"/>
        </w:rPr>
        <w:t xml:space="preserve">, and </w:t>
      </w:r>
      <w:r>
        <w:rPr>
          <w:i/>
          <w:kern w:val="0"/>
        </w:rPr>
        <w:t>PBDS</w:t>
      </w:r>
      <w:r>
        <w:rPr>
          <w:kern w:val="0"/>
        </w:rPr>
        <w:t xml:space="preserve"> purchased under </w:t>
      </w:r>
      <w:r>
        <w:rPr>
          <w:i/>
          <w:kern w:val="0"/>
        </w:rPr>
        <w:t>Tariffs</w:t>
      </w:r>
      <w:r>
        <w:rPr>
          <w:kern w:val="0"/>
        </w:rPr>
        <w:t xml:space="preserve"> that contained a </w:t>
      </w:r>
      <w:r>
        <w:rPr>
          <w:i/>
          <w:kern w:val="0"/>
        </w:rPr>
        <w:t>Prior Purchase-Based Commitment</w:t>
      </w:r>
      <w:r>
        <w:rPr>
          <w:kern w:val="0"/>
        </w:rPr>
        <w:t>;</w:t>
      </w:r>
    </w:p>
    <w:p w:rsidR="00F97D54" w:rsidRDefault="00F97D54" w:rsidP="006A3BAC">
      <w:pPr>
        <w:numPr>
          <w:ilvl w:val="0"/>
          <w:numId w:val="105"/>
        </w:numPr>
        <w:tabs>
          <w:tab w:val="left" w:pos="1800"/>
        </w:tabs>
        <w:rPr>
          <w:kern w:val="0"/>
        </w:rPr>
      </w:pPr>
      <w:r>
        <w:rPr>
          <w:kern w:val="0"/>
        </w:rPr>
        <w:t xml:space="preserve">Of the total (and for the separate </w:t>
      </w:r>
      <w:r>
        <w:rPr>
          <w:i/>
          <w:kern w:val="0"/>
        </w:rPr>
        <w:t>DS1</w:t>
      </w:r>
      <w:r>
        <w:rPr>
          <w:kern w:val="0"/>
        </w:rPr>
        <w:t xml:space="preserve">, </w:t>
      </w:r>
      <w:r>
        <w:rPr>
          <w:i/>
          <w:kern w:val="0"/>
        </w:rPr>
        <w:t>DS3</w:t>
      </w:r>
      <w:r>
        <w:rPr>
          <w:kern w:val="0"/>
        </w:rPr>
        <w:t xml:space="preserve">, and </w:t>
      </w:r>
      <w:r>
        <w:rPr>
          <w:i/>
          <w:kern w:val="0"/>
        </w:rPr>
        <w:t>PBDS</w:t>
      </w:r>
      <w:r>
        <w:rPr>
          <w:kern w:val="0"/>
        </w:rPr>
        <w:t xml:space="preserve"> totals where applicable), indicate the average discount from the </w:t>
      </w:r>
      <w:r>
        <w:rPr>
          <w:i/>
          <w:kern w:val="0"/>
        </w:rPr>
        <w:t>One Month Term Only Rate</w:t>
      </w:r>
      <w:r>
        <w:rPr>
          <w:kern w:val="0"/>
        </w:rPr>
        <w:t xml:space="preserve"> incorporated in the expenditures.  </w:t>
      </w:r>
    </w:p>
    <w:p w:rsidR="00F97D54" w:rsidRDefault="00F97D54">
      <w:pPr>
        <w:ind w:left="1800"/>
        <w:rPr>
          <w:kern w:val="0"/>
        </w:rPr>
      </w:pPr>
    </w:p>
    <w:p w:rsidR="00F97D54" w:rsidRDefault="00F97D54" w:rsidP="00EB5B97">
      <w:pPr>
        <w:spacing w:after="120"/>
        <w:ind w:left="1800"/>
        <w:rPr>
          <w:kern w:val="0"/>
        </w:rPr>
      </w:pPr>
      <w:r>
        <w:rPr>
          <w:kern w:val="0"/>
        </w:rPr>
        <w:t>An example of how to calculate this percentage can be found at question II.F.3.f.i</w:t>
      </w:r>
    </w:p>
    <w:p w:rsidR="00F97D54" w:rsidRDefault="00F97D54" w:rsidP="00EB5B97">
      <w:pPr>
        <w:numPr>
          <w:ilvl w:val="0"/>
          <w:numId w:val="128"/>
        </w:numPr>
        <w:rPr>
          <w:kern w:val="0"/>
        </w:rPr>
      </w:pPr>
      <w:r>
        <w:rPr>
          <w:kern w:val="0"/>
        </w:rPr>
        <w:t xml:space="preserve">What percentage of your expenditures in 2012 were subject to a </w:t>
      </w:r>
      <w:r w:rsidRPr="00734642">
        <w:rPr>
          <w:i/>
          <w:kern w:val="0"/>
        </w:rPr>
        <w:t>Term Commitment</w:t>
      </w:r>
      <w:r>
        <w:rPr>
          <w:kern w:val="0"/>
        </w:rPr>
        <w:t xml:space="preserve"> of five or more years?</w:t>
      </w:r>
    </w:p>
    <w:p w:rsidR="00F97D54" w:rsidRDefault="00F97D54" w:rsidP="00EB5B97">
      <w:pPr>
        <w:ind w:left="2520"/>
        <w:rPr>
          <w:kern w:val="0"/>
        </w:rPr>
      </w:pPr>
    </w:p>
    <w:p w:rsidR="00F97D54" w:rsidRDefault="00F97D54" w:rsidP="00EB5B97">
      <w:pPr>
        <w:numPr>
          <w:ilvl w:val="0"/>
          <w:numId w:val="99"/>
        </w:numPr>
        <w:tabs>
          <w:tab w:val="left" w:pos="1440"/>
          <w:tab w:val="left" w:pos="1680"/>
          <w:tab w:val="left" w:pos="1920"/>
        </w:tabs>
        <w:rPr>
          <w:kern w:val="0"/>
        </w:rPr>
      </w:pPr>
      <w:r>
        <w:rPr>
          <w:kern w:val="0"/>
        </w:rPr>
        <w:t xml:space="preserve">What were your expenditures, </w:t>
      </w:r>
      <w:r>
        <w:rPr>
          <w:i/>
          <w:kern w:val="0"/>
        </w:rPr>
        <w:t>i.e.</w:t>
      </w:r>
      <w:r>
        <w:rPr>
          <w:kern w:val="0"/>
        </w:rPr>
        <w:t xml:space="preserve">, dollar volume of purchases, on </w:t>
      </w:r>
      <w:r>
        <w:rPr>
          <w:i/>
          <w:kern w:val="0"/>
        </w:rPr>
        <w:t>DS1s</w:t>
      </w:r>
      <w:r>
        <w:rPr>
          <w:kern w:val="0"/>
        </w:rPr>
        <w:t xml:space="preserve">, </w:t>
      </w:r>
      <w:r>
        <w:rPr>
          <w:i/>
          <w:kern w:val="0"/>
        </w:rPr>
        <w:t>DS3s</w:t>
      </w:r>
      <w:r>
        <w:rPr>
          <w:kern w:val="0"/>
        </w:rPr>
        <w:t xml:space="preserve">, and/or </w:t>
      </w:r>
      <w:r>
        <w:rPr>
          <w:i/>
          <w:kern w:val="0"/>
        </w:rPr>
        <w:t>PBDS</w:t>
      </w:r>
      <w:r>
        <w:rPr>
          <w:kern w:val="0"/>
        </w:rPr>
        <w:t xml:space="preserve"> purchased from </w:t>
      </w:r>
      <w:r>
        <w:rPr>
          <w:i/>
          <w:kern w:val="0"/>
        </w:rPr>
        <w:t>ILECs</w:t>
      </w:r>
      <w:r>
        <w:rPr>
          <w:kern w:val="0"/>
        </w:rPr>
        <w:t xml:space="preserve"> and </w:t>
      </w:r>
      <w:r>
        <w:rPr>
          <w:i/>
          <w:kern w:val="0"/>
        </w:rPr>
        <w:t>Competitive Providers</w:t>
      </w:r>
      <w:r>
        <w:rPr>
          <w:kern w:val="0"/>
        </w:rPr>
        <w:t xml:space="preserve"> pursuant to an agreement (not a </w:t>
      </w:r>
      <w:r>
        <w:rPr>
          <w:i/>
          <w:kern w:val="0"/>
        </w:rPr>
        <w:t>Tariff</w:t>
      </w:r>
      <w:r>
        <w:rPr>
          <w:kern w:val="0"/>
        </w:rPr>
        <w:t xml:space="preserve">) in 2010 and in 2012?  Report expenditures in total, separately for purchases from </w:t>
      </w:r>
      <w:r>
        <w:rPr>
          <w:i/>
          <w:kern w:val="0"/>
        </w:rPr>
        <w:t>ILECs</w:t>
      </w:r>
      <w:r>
        <w:rPr>
          <w:kern w:val="0"/>
        </w:rPr>
        <w:t xml:space="preserve"> and </w:t>
      </w:r>
      <w:r>
        <w:rPr>
          <w:i/>
          <w:kern w:val="0"/>
        </w:rPr>
        <w:t>Competitive Providers</w:t>
      </w:r>
      <w:r>
        <w:rPr>
          <w:kern w:val="0"/>
        </w:rPr>
        <w:t xml:space="preserve">, and separately for </w:t>
      </w:r>
      <w:r>
        <w:rPr>
          <w:i/>
          <w:kern w:val="0"/>
        </w:rPr>
        <w:t>DS1s</w:t>
      </w:r>
      <w:r>
        <w:rPr>
          <w:kern w:val="0"/>
        </w:rPr>
        <w:t xml:space="preserve">, </w:t>
      </w:r>
      <w:r>
        <w:rPr>
          <w:i/>
          <w:kern w:val="0"/>
        </w:rPr>
        <w:t>DS3s</w:t>
      </w:r>
      <w:r>
        <w:rPr>
          <w:kern w:val="0"/>
        </w:rPr>
        <w:t xml:space="preserve"> and </w:t>
      </w:r>
      <w:r>
        <w:rPr>
          <w:i/>
          <w:kern w:val="0"/>
        </w:rPr>
        <w:t>PBDS</w:t>
      </w:r>
      <w:r>
        <w:rPr>
          <w:kern w:val="0"/>
        </w:rPr>
        <w:t>, as applicable, for the following categories for each year:</w:t>
      </w:r>
    </w:p>
    <w:p w:rsidR="00F97D54" w:rsidRDefault="00F97D54" w:rsidP="00EB5B97">
      <w:pPr>
        <w:numPr>
          <w:ilvl w:val="0"/>
          <w:numId w:val="106"/>
        </w:numPr>
        <w:rPr>
          <w:i/>
          <w:kern w:val="0"/>
        </w:rPr>
      </w:pPr>
      <w:r>
        <w:rPr>
          <w:kern w:val="0"/>
        </w:rPr>
        <w:t xml:space="preserve">All </w:t>
      </w:r>
      <w:r>
        <w:rPr>
          <w:i/>
          <w:kern w:val="0"/>
        </w:rPr>
        <w:t>DS1s</w:t>
      </w:r>
      <w:r>
        <w:rPr>
          <w:kern w:val="0"/>
        </w:rPr>
        <w:t xml:space="preserve">, </w:t>
      </w:r>
      <w:r>
        <w:rPr>
          <w:i/>
          <w:kern w:val="0"/>
        </w:rPr>
        <w:t>DS3s</w:t>
      </w:r>
      <w:r>
        <w:rPr>
          <w:kern w:val="0"/>
        </w:rPr>
        <w:t xml:space="preserve">, and </w:t>
      </w:r>
      <w:r>
        <w:rPr>
          <w:i/>
          <w:kern w:val="0"/>
        </w:rPr>
        <w:t>PBDS</w:t>
      </w:r>
      <w:r>
        <w:rPr>
          <w:kern w:val="0"/>
        </w:rPr>
        <w:t>;</w:t>
      </w:r>
    </w:p>
    <w:p w:rsidR="00F97D54" w:rsidRDefault="00F97D54" w:rsidP="00EB5B97">
      <w:pPr>
        <w:numPr>
          <w:ilvl w:val="0"/>
          <w:numId w:val="106"/>
        </w:numPr>
        <w:rPr>
          <w:kern w:val="0"/>
        </w:rPr>
      </w:pPr>
      <w:r>
        <w:rPr>
          <w:i/>
          <w:kern w:val="0"/>
        </w:rPr>
        <w:t>DS1s</w:t>
      </w:r>
      <w:r>
        <w:rPr>
          <w:kern w:val="0"/>
        </w:rPr>
        <w:t xml:space="preserve">, </w:t>
      </w:r>
      <w:r>
        <w:rPr>
          <w:i/>
          <w:kern w:val="0"/>
        </w:rPr>
        <w:t>DS3s</w:t>
      </w:r>
      <w:r>
        <w:rPr>
          <w:kern w:val="0"/>
        </w:rPr>
        <w:t xml:space="preserve">, and </w:t>
      </w:r>
      <w:r>
        <w:rPr>
          <w:i/>
          <w:kern w:val="0"/>
        </w:rPr>
        <w:t>PBDS</w:t>
      </w:r>
      <w:r>
        <w:rPr>
          <w:kern w:val="0"/>
        </w:rPr>
        <w:t xml:space="preserve"> purchased at a non-discounted rate;</w:t>
      </w:r>
    </w:p>
    <w:p w:rsidR="00F97D54" w:rsidRDefault="00F97D54" w:rsidP="00EB5B97">
      <w:pPr>
        <w:numPr>
          <w:ilvl w:val="0"/>
          <w:numId w:val="106"/>
        </w:numPr>
        <w:rPr>
          <w:kern w:val="0"/>
        </w:rPr>
      </w:pPr>
      <w:r>
        <w:rPr>
          <w:i/>
          <w:kern w:val="0"/>
        </w:rPr>
        <w:t>DS1s</w:t>
      </w:r>
      <w:r>
        <w:rPr>
          <w:kern w:val="0"/>
        </w:rPr>
        <w:t xml:space="preserve">, </w:t>
      </w:r>
      <w:r>
        <w:rPr>
          <w:i/>
          <w:kern w:val="0"/>
        </w:rPr>
        <w:t>DS3s</w:t>
      </w:r>
      <w:r>
        <w:rPr>
          <w:kern w:val="0"/>
        </w:rPr>
        <w:t xml:space="preserve">, and </w:t>
      </w:r>
      <w:r>
        <w:rPr>
          <w:i/>
          <w:kern w:val="0"/>
        </w:rPr>
        <w:t>PBDS</w:t>
      </w:r>
      <w:r>
        <w:rPr>
          <w:kern w:val="0"/>
        </w:rPr>
        <w:t xml:space="preserve"> purchased under a non-tariffed agreement</w:t>
      </w:r>
      <w:r>
        <w:rPr>
          <w:i/>
          <w:kern w:val="0"/>
        </w:rPr>
        <w:t xml:space="preserve"> </w:t>
      </w:r>
      <w:r>
        <w:rPr>
          <w:kern w:val="0"/>
        </w:rPr>
        <w:t xml:space="preserve">that contained a </w:t>
      </w:r>
      <w:r>
        <w:rPr>
          <w:i/>
          <w:kern w:val="0"/>
        </w:rPr>
        <w:t>Term Commitment</w:t>
      </w:r>
      <w:r>
        <w:rPr>
          <w:kern w:val="0"/>
        </w:rPr>
        <w:t xml:space="preserve"> but not a </w:t>
      </w:r>
      <w:r>
        <w:rPr>
          <w:i/>
          <w:kern w:val="0"/>
        </w:rPr>
        <w:t>Volume Commitment</w:t>
      </w:r>
      <w:r>
        <w:rPr>
          <w:kern w:val="0"/>
        </w:rPr>
        <w:t>;</w:t>
      </w:r>
    </w:p>
    <w:p w:rsidR="00F97D54" w:rsidRDefault="00F97D54" w:rsidP="00EB5B97">
      <w:pPr>
        <w:numPr>
          <w:ilvl w:val="0"/>
          <w:numId w:val="106"/>
        </w:numPr>
        <w:rPr>
          <w:kern w:val="0"/>
        </w:rPr>
      </w:pPr>
      <w:r>
        <w:rPr>
          <w:i/>
          <w:kern w:val="0"/>
        </w:rPr>
        <w:t>DS1s</w:t>
      </w:r>
      <w:r>
        <w:rPr>
          <w:kern w:val="0"/>
        </w:rPr>
        <w:t xml:space="preserve">, </w:t>
      </w:r>
      <w:r>
        <w:rPr>
          <w:i/>
          <w:kern w:val="0"/>
        </w:rPr>
        <w:t>DS3s</w:t>
      </w:r>
      <w:r>
        <w:rPr>
          <w:kern w:val="0"/>
        </w:rPr>
        <w:t xml:space="preserve">, and </w:t>
      </w:r>
      <w:r>
        <w:rPr>
          <w:i/>
          <w:kern w:val="0"/>
        </w:rPr>
        <w:t>PBDS</w:t>
      </w:r>
      <w:r>
        <w:rPr>
          <w:kern w:val="0"/>
        </w:rPr>
        <w:t xml:space="preserve"> purchased under a non-tariffed agreement that contained a </w:t>
      </w:r>
      <w:r>
        <w:rPr>
          <w:i/>
          <w:kern w:val="0"/>
        </w:rPr>
        <w:t>Prior Purchase-Based Commitment</w:t>
      </w:r>
      <w:r>
        <w:rPr>
          <w:kern w:val="0"/>
        </w:rPr>
        <w:t>;</w:t>
      </w:r>
    </w:p>
    <w:p w:rsidR="00F97D54" w:rsidRDefault="00F97D54" w:rsidP="006A3BAC">
      <w:pPr>
        <w:numPr>
          <w:ilvl w:val="0"/>
          <w:numId w:val="107"/>
        </w:numPr>
        <w:tabs>
          <w:tab w:val="left" w:pos="1800"/>
        </w:tabs>
        <w:rPr>
          <w:kern w:val="0"/>
        </w:rPr>
      </w:pPr>
      <w:r>
        <w:rPr>
          <w:kern w:val="0"/>
        </w:rPr>
        <w:t xml:space="preserve">Of the total (and for the separate </w:t>
      </w:r>
      <w:r>
        <w:rPr>
          <w:i/>
          <w:kern w:val="0"/>
        </w:rPr>
        <w:t>DS1</w:t>
      </w:r>
      <w:r>
        <w:rPr>
          <w:kern w:val="0"/>
        </w:rPr>
        <w:t xml:space="preserve">, </w:t>
      </w:r>
      <w:r>
        <w:rPr>
          <w:i/>
          <w:kern w:val="0"/>
        </w:rPr>
        <w:t>DS3</w:t>
      </w:r>
      <w:r>
        <w:rPr>
          <w:kern w:val="0"/>
        </w:rPr>
        <w:t xml:space="preserve">, and </w:t>
      </w:r>
      <w:r>
        <w:rPr>
          <w:i/>
          <w:kern w:val="0"/>
        </w:rPr>
        <w:t>PBDS</w:t>
      </w:r>
      <w:r>
        <w:rPr>
          <w:kern w:val="0"/>
        </w:rPr>
        <w:t xml:space="preserve"> totals where applicable), indicate the average discount from the non-discounted rate incorporated in the expenditures.  </w:t>
      </w:r>
    </w:p>
    <w:p w:rsidR="00F97D54" w:rsidRDefault="00F97D54">
      <w:pPr>
        <w:ind w:left="1800"/>
        <w:rPr>
          <w:kern w:val="0"/>
        </w:rPr>
      </w:pPr>
      <w:r>
        <w:rPr>
          <w:kern w:val="0"/>
        </w:rPr>
        <w:t>An example of how to calculate this percentage can be found at question II.F.3.f.i</w:t>
      </w:r>
    </w:p>
    <w:p w:rsidR="00F97D54" w:rsidRDefault="00F97D54">
      <w:pPr>
        <w:ind w:left="1800"/>
        <w:rPr>
          <w:kern w:val="0"/>
        </w:rPr>
      </w:pPr>
    </w:p>
    <w:p w:rsidR="00F97D54" w:rsidRDefault="00F97D54" w:rsidP="00EB5B97">
      <w:pPr>
        <w:numPr>
          <w:ilvl w:val="0"/>
          <w:numId w:val="99"/>
        </w:numPr>
        <w:tabs>
          <w:tab w:val="left" w:pos="1440"/>
          <w:tab w:val="left" w:pos="1680"/>
          <w:tab w:val="left" w:pos="1920"/>
        </w:tabs>
        <w:rPr>
          <w:kern w:val="0"/>
        </w:rPr>
      </w:pPr>
      <w:r>
        <w:rPr>
          <w:kern w:val="0"/>
        </w:rPr>
        <w:t xml:space="preserve">  What were your expenditures, </w:t>
      </w:r>
      <w:r>
        <w:rPr>
          <w:i/>
          <w:kern w:val="0"/>
        </w:rPr>
        <w:t>i.e.</w:t>
      </w:r>
      <w:r>
        <w:rPr>
          <w:kern w:val="0"/>
        </w:rPr>
        <w:t xml:space="preserve">, dollar volume of purchases, on </w:t>
      </w:r>
      <w:r>
        <w:rPr>
          <w:i/>
          <w:kern w:val="0"/>
        </w:rPr>
        <w:t>PBDS</w:t>
      </w:r>
      <w:r>
        <w:rPr>
          <w:kern w:val="0"/>
        </w:rPr>
        <w:t xml:space="preserve"> purchased under a </w:t>
      </w:r>
      <w:r>
        <w:rPr>
          <w:i/>
          <w:kern w:val="0"/>
        </w:rPr>
        <w:t>Tariff</w:t>
      </w:r>
      <w:r>
        <w:rPr>
          <w:kern w:val="0"/>
        </w:rPr>
        <w:t xml:space="preserve"> in 2010 and in 2012?</w:t>
      </w:r>
    </w:p>
    <w:p w:rsidR="00F97D54" w:rsidRDefault="00F97D54" w:rsidP="00EB5B97">
      <w:pPr>
        <w:numPr>
          <w:ilvl w:val="0"/>
          <w:numId w:val="108"/>
        </w:numPr>
        <w:rPr>
          <w:kern w:val="0"/>
        </w:rPr>
      </w:pPr>
      <w:r>
        <w:rPr>
          <w:kern w:val="0"/>
        </w:rPr>
        <w:t xml:space="preserve">Separately for purchases from </w:t>
      </w:r>
      <w:r>
        <w:rPr>
          <w:i/>
          <w:kern w:val="0"/>
        </w:rPr>
        <w:t>ILECs</w:t>
      </w:r>
      <w:r>
        <w:rPr>
          <w:kern w:val="0"/>
        </w:rPr>
        <w:t xml:space="preserve"> and </w:t>
      </w:r>
      <w:r>
        <w:rPr>
          <w:i/>
          <w:kern w:val="0"/>
        </w:rPr>
        <w:t>Competitive Providers</w:t>
      </w:r>
      <w:r>
        <w:rPr>
          <w:kern w:val="0"/>
        </w:rPr>
        <w:t xml:space="preserve"> for the following service bandwidth categories:</w:t>
      </w:r>
    </w:p>
    <w:p w:rsidR="00F97D54" w:rsidRDefault="00F97D54" w:rsidP="00EB5B97">
      <w:pPr>
        <w:numPr>
          <w:ilvl w:val="0"/>
          <w:numId w:val="109"/>
        </w:numPr>
        <w:rPr>
          <w:kern w:val="0"/>
        </w:rPr>
      </w:pPr>
      <w:r>
        <w:rPr>
          <w:kern w:val="0"/>
        </w:rPr>
        <w:t>less than or equal to 1.5 Mbps;</w:t>
      </w:r>
    </w:p>
    <w:p w:rsidR="00F97D54" w:rsidRDefault="00F97D54" w:rsidP="00EB5B97">
      <w:pPr>
        <w:numPr>
          <w:ilvl w:val="0"/>
          <w:numId w:val="109"/>
        </w:numPr>
        <w:rPr>
          <w:kern w:val="0"/>
        </w:rPr>
      </w:pPr>
      <w:r>
        <w:rPr>
          <w:kern w:val="0"/>
        </w:rPr>
        <w:t>greater than 1.5, but less than or equal to 50 Mbps;</w:t>
      </w:r>
    </w:p>
    <w:p w:rsidR="00F97D54" w:rsidRDefault="00F97D54" w:rsidP="00EB5B97">
      <w:pPr>
        <w:numPr>
          <w:ilvl w:val="0"/>
          <w:numId w:val="109"/>
        </w:numPr>
        <w:rPr>
          <w:kern w:val="0"/>
        </w:rPr>
      </w:pPr>
      <w:r>
        <w:rPr>
          <w:kern w:val="0"/>
        </w:rPr>
        <w:t>greater than 50, but less than or equal to 100 Mbps;</w:t>
      </w:r>
    </w:p>
    <w:p w:rsidR="00F97D54" w:rsidRDefault="00F97D54" w:rsidP="00EB5B97">
      <w:pPr>
        <w:numPr>
          <w:ilvl w:val="0"/>
          <w:numId w:val="109"/>
        </w:numPr>
        <w:rPr>
          <w:kern w:val="0"/>
        </w:rPr>
      </w:pPr>
      <w:r>
        <w:rPr>
          <w:kern w:val="0"/>
        </w:rPr>
        <w:t>greater than 100, but less than or equal to 1 Gbps; or</w:t>
      </w:r>
    </w:p>
    <w:p w:rsidR="00F97D54" w:rsidRDefault="00F97D54" w:rsidP="00EB5B97">
      <w:pPr>
        <w:numPr>
          <w:ilvl w:val="0"/>
          <w:numId w:val="109"/>
        </w:numPr>
        <w:rPr>
          <w:kern w:val="0"/>
        </w:rPr>
      </w:pPr>
      <w:r>
        <w:rPr>
          <w:kern w:val="0"/>
        </w:rPr>
        <w:t>greater than 1 Gbps.</w:t>
      </w:r>
    </w:p>
    <w:p w:rsidR="00F97D54" w:rsidRDefault="00F97D54">
      <w:pPr>
        <w:rPr>
          <w:kern w:val="0"/>
        </w:rPr>
      </w:pPr>
    </w:p>
    <w:p w:rsidR="00F97D54" w:rsidRDefault="00F97D54" w:rsidP="00EB5B97">
      <w:pPr>
        <w:numPr>
          <w:ilvl w:val="0"/>
          <w:numId w:val="99"/>
        </w:numPr>
        <w:rPr>
          <w:kern w:val="0"/>
        </w:rPr>
      </w:pPr>
      <w:r>
        <w:rPr>
          <w:kern w:val="0"/>
        </w:rPr>
        <w:t xml:space="preserve">What were your expenditures, </w:t>
      </w:r>
      <w:r>
        <w:rPr>
          <w:i/>
          <w:kern w:val="0"/>
        </w:rPr>
        <w:t>i.e.</w:t>
      </w:r>
      <w:r>
        <w:rPr>
          <w:kern w:val="0"/>
        </w:rPr>
        <w:t xml:space="preserve">, dollar volume of purchases, on non-tariffed </w:t>
      </w:r>
      <w:r>
        <w:rPr>
          <w:i/>
          <w:kern w:val="0"/>
        </w:rPr>
        <w:t>PBDS</w:t>
      </w:r>
      <w:r>
        <w:rPr>
          <w:kern w:val="0"/>
        </w:rPr>
        <w:t xml:space="preserve"> in 2010 and in 2012?</w:t>
      </w:r>
    </w:p>
    <w:p w:rsidR="00F97D54" w:rsidRDefault="00F97D54" w:rsidP="00EB5B97">
      <w:pPr>
        <w:numPr>
          <w:ilvl w:val="0"/>
          <w:numId w:val="110"/>
        </w:numPr>
        <w:rPr>
          <w:kern w:val="0"/>
        </w:rPr>
      </w:pPr>
      <w:r>
        <w:rPr>
          <w:kern w:val="0"/>
        </w:rPr>
        <w:t xml:space="preserve">Separately for purchases from </w:t>
      </w:r>
      <w:r>
        <w:rPr>
          <w:i/>
          <w:kern w:val="0"/>
        </w:rPr>
        <w:t>ILECs</w:t>
      </w:r>
      <w:r>
        <w:rPr>
          <w:kern w:val="0"/>
        </w:rPr>
        <w:t xml:space="preserve"> and </w:t>
      </w:r>
      <w:r>
        <w:rPr>
          <w:i/>
          <w:kern w:val="0"/>
        </w:rPr>
        <w:t>Competitive Providers</w:t>
      </w:r>
      <w:r>
        <w:rPr>
          <w:kern w:val="0"/>
        </w:rPr>
        <w:t xml:space="preserve"> for the following service bandwidth categories:</w:t>
      </w:r>
    </w:p>
    <w:p w:rsidR="00F97D54" w:rsidRDefault="00F97D54" w:rsidP="00EB5B97">
      <w:pPr>
        <w:numPr>
          <w:ilvl w:val="0"/>
          <w:numId w:val="111"/>
        </w:numPr>
        <w:rPr>
          <w:kern w:val="0"/>
        </w:rPr>
      </w:pPr>
      <w:r>
        <w:rPr>
          <w:kern w:val="0"/>
        </w:rPr>
        <w:t>less than or equal to 1.5 Mbps;</w:t>
      </w:r>
    </w:p>
    <w:p w:rsidR="00F97D54" w:rsidRDefault="00F97D54" w:rsidP="00EB5B97">
      <w:pPr>
        <w:numPr>
          <w:ilvl w:val="0"/>
          <w:numId w:val="111"/>
        </w:numPr>
        <w:rPr>
          <w:kern w:val="0"/>
        </w:rPr>
      </w:pPr>
      <w:r>
        <w:rPr>
          <w:kern w:val="0"/>
        </w:rPr>
        <w:t>greater than 1.5, but less than or equal to 50 Mbps;</w:t>
      </w:r>
    </w:p>
    <w:p w:rsidR="00F97D54" w:rsidRDefault="00F97D54" w:rsidP="00EB5B97">
      <w:pPr>
        <w:numPr>
          <w:ilvl w:val="0"/>
          <w:numId w:val="111"/>
        </w:numPr>
        <w:rPr>
          <w:kern w:val="0"/>
        </w:rPr>
      </w:pPr>
      <w:r>
        <w:rPr>
          <w:kern w:val="0"/>
        </w:rPr>
        <w:t>greater than 50, but less than or equal to 100 Mbps;</w:t>
      </w:r>
    </w:p>
    <w:p w:rsidR="00F97D54" w:rsidRDefault="00F97D54" w:rsidP="00EB5B97">
      <w:pPr>
        <w:numPr>
          <w:ilvl w:val="0"/>
          <w:numId w:val="111"/>
        </w:numPr>
        <w:rPr>
          <w:kern w:val="0"/>
        </w:rPr>
      </w:pPr>
      <w:r>
        <w:rPr>
          <w:kern w:val="0"/>
        </w:rPr>
        <w:t>greater than 100, but less than or equal to 1 Gbps; or</w:t>
      </w:r>
    </w:p>
    <w:p w:rsidR="00F97D54" w:rsidRDefault="00F97D54" w:rsidP="00EB5B97">
      <w:pPr>
        <w:numPr>
          <w:ilvl w:val="0"/>
          <w:numId w:val="111"/>
        </w:numPr>
        <w:rPr>
          <w:kern w:val="0"/>
        </w:rPr>
      </w:pPr>
      <w:r>
        <w:rPr>
          <w:kern w:val="0"/>
        </w:rPr>
        <w:t>greater than 1 Gbps.</w:t>
      </w:r>
    </w:p>
    <w:p w:rsidR="00F97D54" w:rsidRDefault="00F97D54">
      <w:pPr>
        <w:rPr>
          <w:kern w:val="0"/>
        </w:rPr>
      </w:pPr>
    </w:p>
    <w:p w:rsidR="00697A72" w:rsidRDefault="00697A72">
      <w:pPr>
        <w:widowControl/>
        <w:rPr>
          <w:b/>
          <w:kern w:val="0"/>
          <w:szCs w:val="22"/>
        </w:rPr>
      </w:pPr>
      <w:r>
        <w:rPr>
          <w:b/>
          <w:kern w:val="0"/>
          <w:szCs w:val="22"/>
        </w:rPr>
        <w:br w:type="page"/>
      </w:r>
    </w:p>
    <w:p w:rsidR="00F97D54" w:rsidRDefault="00F97D54">
      <w:pPr>
        <w:tabs>
          <w:tab w:val="num" w:pos="1800"/>
        </w:tabs>
        <w:rPr>
          <w:b/>
          <w:kern w:val="0"/>
          <w:szCs w:val="22"/>
        </w:rPr>
      </w:pPr>
      <w:r>
        <w:rPr>
          <w:b/>
          <w:kern w:val="0"/>
          <w:szCs w:val="22"/>
        </w:rPr>
        <w:t xml:space="preserve">Terms and Conditions </w:t>
      </w:r>
      <w:r>
        <w:rPr>
          <w:b/>
          <w:kern w:val="0"/>
        </w:rPr>
        <w:t>Information</w:t>
      </w:r>
    </w:p>
    <w:p w:rsidR="00F97D54" w:rsidRDefault="00F97D54">
      <w:pPr>
        <w:tabs>
          <w:tab w:val="num" w:pos="1800"/>
        </w:tabs>
        <w:rPr>
          <w:kern w:val="0"/>
          <w:szCs w:val="22"/>
        </w:rPr>
      </w:pPr>
    </w:p>
    <w:p w:rsidR="00F97D54" w:rsidRDefault="00F97D54" w:rsidP="00EB5B97">
      <w:pPr>
        <w:numPr>
          <w:ilvl w:val="0"/>
          <w:numId w:val="99"/>
        </w:numPr>
        <w:tabs>
          <w:tab w:val="left" w:pos="630"/>
        </w:tabs>
        <w:rPr>
          <w:kern w:val="0"/>
        </w:rPr>
      </w:pPr>
      <w:r>
        <w:rPr>
          <w:kern w:val="0"/>
        </w:rPr>
        <w:t xml:space="preserve">Explain whether the terms and conditions of any </w:t>
      </w:r>
      <w:r w:rsidRPr="00780D6E">
        <w:rPr>
          <w:i/>
          <w:kern w:val="0"/>
        </w:rPr>
        <w:t>Tariff</w:t>
      </w:r>
      <w:r>
        <w:rPr>
          <w:kern w:val="0"/>
        </w:rPr>
        <w:t xml:space="preserve"> or contract to which you are a party for the purchase of </w:t>
      </w:r>
      <w:r>
        <w:rPr>
          <w:i/>
          <w:kern w:val="0"/>
        </w:rPr>
        <w:t>Dedicated Services</w:t>
      </w:r>
      <w:r>
        <w:rPr>
          <w:kern w:val="0"/>
        </w:rPr>
        <w:t xml:space="preserve"> or the policies of any of your </w:t>
      </w:r>
      <w:r>
        <w:rPr>
          <w:i/>
          <w:kern w:val="0"/>
        </w:rPr>
        <w:t>Providers</w:t>
      </w:r>
      <w:r>
        <w:rPr>
          <w:kern w:val="0"/>
        </w:rPr>
        <w:t xml:space="preserve"> constrain your ability to:   </w:t>
      </w:r>
    </w:p>
    <w:p w:rsidR="00F97D54" w:rsidRDefault="00F97D54" w:rsidP="00EB5B97">
      <w:pPr>
        <w:numPr>
          <w:ilvl w:val="0"/>
          <w:numId w:val="112"/>
        </w:numPr>
        <w:rPr>
          <w:kern w:val="0"/>
        </w:rPr>
      </w:pPr>
      <w:r>
        <w:rPr>
          <w:kern w:val="0"/>
        </w:rPr>
        <w:t xml:space="preserve">Decrease your purchases from your current </w:t>
      </w:r>
      <w:r>
        <w:rPr>
          <w:i/>
          <w:kern w:val="0"/>
        </w:rPr>
        <w:t>Provider(s)</w:t>
      </w:r>
      <w:r>
        <w:rPr>
          <w:kern w:val="0"/>
        </w:rPr>
        <w:t xml:space="preserve">; </w:t>
      </w:r>
    </w:p>
    <w:p w:rsidR="00F97D54" w:rsidRDefault="00F97D54" w:rsidP="00EB5B97">
      <w:pPr>
        <w:numPr>
          <w:ilvl w:val="0"/>
          <w:numId w:val="112"/>
        </w:numPr>
        <w:rPr>
          <w:kern w:val="0"/>
        </w:rPr>
      </w:pPr>
      <w:r>
        <w:rPr>
          <w:kern w:val="0"/>
        </w:rPr>
        <w:t xml:space="preserve">Purchase services from another </w:t>
      </w:r>
      <w:r>
        <w:rPr>
          <w:i/>
          <w:kern w:val="0"/>
        </w:rPr>
        <w:t>Provider</w:t>
      </w:r>
      <w:r>
        <w:rPr>
          <w:kern w:val="0"/>
        </w:rPr>
        <w:t xml:space="preserve"> currently operating in the geographic areas in which you purchase services;  </w:t>
      </w:r>
    </w:p>
    <w:p w:rsidR="00F97D54" w:rsidRDefault="00F97D54" w:rsidP="00EB5B97">
      <w:pPr>
        <w:numPr>
          <w:ilvl w:val="0"/>
          <w:numId w:val="112"/>
        </w:numPr>
        <w:rPr>
          <w:kern w:val="0"/>
        </w:rPr>
      </w:pPr>
      <w:r>
        <w:rPr>
          <w:kern w:val="0"/>
        </w:rPr>
        <w:t xml:space="preserve">Purchase non-tariffed services, such as Ethernet services, from your current </w:t>
      </w:r>
      <w:r>
        <w:rPr>
          <w:i/>
          <w:kern w:val="0"/>
        </w:rPr>
        <w:t>Provider</w:t>
      </w:r>
      <w:r>
        <w:rPr>
          <w:kern w:val="0"/>
        </w:rPr>
        <w:t xml:space="preserve"> of tariffed </w:t>
      </w:r>
      <w:r>
        <w:rPr>
          <w:i/>
          <w:kern w:val="0"/>
        </w:rPr>
        <w:t>DS1</w:t>
      </w:r>
      <w:r>
        <w:rPr>
          <w:kern w:val="0"/>
        </w:rPr>
        <w:t xml:space="preserve">, </w:t>
      </w:r>
      <w:r>
        <w:rPr>
          <w:i/>
          <w:kern w:val="0"/>
        </w:rPr>
        <w:t>DS3</w:t>
      </w:r>
      <w:r>
        <w:rPr>
          <w:kern w:val="0"/>
        </w:rPr>
        <w:t xml:space="preserve">, and/or </w:t>
      </w:r>
      <w:r>
        <w:rPr>
          <w:i/>
          <w:kern w:val="0"/>
        </w:rPr>
        <w:t>PBDS</w:t>
      </w:r>
      <w:r>
        <w:rPr>
          <w:kern w:val="0"/>
        </w:rPr>
        <w:t xml:space="preserve"> services or from other </w:t>
      </w:r>
      <w:r>
        <w:rPr>
          <w:i/>
          <w:kern w:val="0"/>
        </w:rPr>
        <w:t>Providers</w:t>
      </w:r>
      <w:r>
        <w:rPr>
          <w:kern w:val="0"/>
        </w:rPr>
        <w:t xml:space="preserve"> operating in the geographic areas in which you purchase</w:t>
      </w:r>
      <w:r>
        <w:rPr>
          <w:i/>
          <w:kern w:val="0"/>
        </w:rPr>
        <w:t xml:space="preserve"> </w:t>
      </w:r>
      <w:r>
        <w:rPr>
          <w:kern w:val="0"/>
        </w:rPr>
        <w:t>tariffed services;</w:t>
      </w:r>
    </w:p>
    <w:p w:rsidR="00F97D54" w:rsidRDefault="00F97D54" w:rsidP="00EB5B97">
      <w:pPr>
        <w:numPr>
          <w:ilvl w:val="0"/>
          <w:numId w:val="112"/>
        </w:numPr>
        <w:rPr>
          <w:kern w:val="0"/>
        </w:rPr>
      </w:pPr>
      <w:r>
        <w:rPr>
          <w:kern w:val="0"/>
        </w:rPr>
        <w:t xml:space="preserve">Contract with </w:t>
      </w:r>
      <w:r w:rsidRPr="0011685E">
        <w:rPr>
          <w:i/>
          <w:kern w:val="0"/>
        </w:rPr>
        <w:t>Providers</w:t>
      </w:r>
      <w:r>
        <w:rPr>
          <w:kern w:val="0"/>
        </w:rPr>
        <w:t xml:space="preserve"> that are considering entering the geographic areas in which you purchase tariffed services; </w:t>
      </w:r>
    </w:p>
    <w:p w:rsidR="00F97D54" w:rsidRDefault="00F97D54" w:rsidP="00EB5B97">
      <w:pPr>
        <w:numPr>
          <w:ilvl w:val="0"/>
          <w:numId w:val="112"/>
        </w:numPr>
        <w:rPr>
          <w:kern w:val="0"/>
        </w:rPr>
      </w:pPr>
      <w:r>
        <w:rPr>
          <w:kern w:val="0"/>
        </w:rPr>
        <w:t xml:space="preserve">Move circuits, for example, moving your </w:t>
      </w:r>
      <w:r>
        <w:rPr>
          <w:i/>
          <w:iCs/>
          <w:kern w:val="0"/>
        </w:rPr>
        <w:t xml:space="preserve">DS1 </w:t>
      </w:r>
      <w:r>
        <w:rPr>
          <w:kern w:val="0"/>
        </w:rPr>
        <w:t xml:space="preserve">and/or </w:t>
      </w:r>
      <w:r>
        <w:rPr>
          <w:i/>
          <w:iCs/>
          <w:kern w:val="0"/>
        </w:rPr>
        <w:t>DS3 End-User Channel Terminations</w:t>
      </w:r>
      <w:r>
        <w:rPr>
          <w:kern w:val="0"/>
        </w:rPr>
        <w:t xml:space="preserve"> to connect to another </w:t>
      </w:r>
      <w:r>
        <w:rPr>
          <w:i/>
          <w:iCs/>
          <w:kern w:val="0"/>
        </w:rPr>
        <w:t>Transport Provider</w:t>
      </w:r>
      <w:r>
        <w:rPr>
          <w:iCs/>
          <w:kern w:val="0"/>
        </w:rPr>
        <w:t>; or</w:t>
      </w:r>
    </w:p>
    <w:p w:rsidR="00F97D54" w:rsidRDefault="00F97D54" w:rsidP="00EB5B97">
      <w:pPr>
        <w:numPr>
          <w:ilvl w:val="0"/>
          <w:numId w:val="112"/>
        </w:numPr>
        <w:rPr>
          <w:kern w:val="0"/>
        </w:rPr>
      </w:pPr>
      <w:r>
        <w:rPr>
          <w:iCs/>
          <w:kern w:val="0"/>
        </w:rPr>
        <w:t xml:space="preserve">Otherwise obtain </w:t>
      </w:r>
      <w:r>
        <w:rPr>
          <w:i/>
          <w:iCs/>
          <w:kern w:val="0"/>
        </w:rPr>
        <w:t>Dedicated Services</w:t>
      </w:r>
      <w:r>
        <w:rPr>
          <w:iCs/>
          <w:kern w:val="0"/>
        </w:rPr>
        <w:t xml:space="preserve"> or change </w:t>
      </w:r>
      <w:r w:rsidRPr="0062226A">
        <w:rPr>
          <w:i/>
          <w:iCs/>
          <w:kern w:val="0"/>
        </w:rPr>
        <w:t>Providers</w:t>
      </w:r>
      <w:r>
        <w:rPr>
          <w:iCs/>
          <w:kern w:val="0"/>
        </w:rPr>
        <w:t>.</w:t>
      </w:r>
    </w:p>
    <w:p w:rsidR="00F97D54" w:rsidRDefault="00F97D54">
      <w:pPr>
        <w:rPr>
          <w:kern w:val="0"/>
        </w:rPr>
      </w:pPr>
    </w:p>
    <w:p w:rsidR="00F97D54" w:rsidRDefault="00F97D54">
      <w:pPr>
        <w:tabs>
          <w:tab w:val="left" w:pos="1200"/>
        </w:tabs>
        <w:rPr>
          <w:kern w:val="0"/>
        </w:rPr>
      </w:pPr>
      <w:r>
        <w:rPr>
          <w:kern w:val="0"/>
        </w:rPr>
        <w:t xml:space="preserve">Relevant terms and conditions, among others, may include:  (a) early termination penalties; (b) shortfall provisions; (c) overlapping/supplemental discounts plans with different termination dates; (d) requirements to include all services, including new facilities, under a </w:t>
      </w:r>
      <w:r>
        <w:rPr>
          <w:i/>
          <w:kern w:val="0"/>
        </w:rPr>
        <w:t>Tariff Plan</w:t>
      </w:r>
      <w:r>
        <w:rPr>
          <w:kern w:val="0"/>
        </w:rPr>
        <w:t xml:space="preserve"> or </w:t>
      </w:r>
      <w:r>
        <w:rPr>
          <w:i/>
          <w:kern w:val="0"/>
        </w:rPr>
        <w:t>Contract-Based Tariff</w:t>
      </w:r>
      <w:r>
        <w:rPr>
          <w:kern w:val="0"/>
        </w:rPr>
        <w:t xml:space="preserve">; or (e) requiring purchases in multiple geographic areas to obtain maximum discounts.  </w:t>
      </w:r>
    </w:p>
    <w:p w:rsidR="00F97D54" w:rsidRDefault="00F97D54">
      <w:pPr>
        <w:rPr>
          <w:kern w:val="0"/>
        </w:rPr>
      </w:pPr>
    </w:p>
    <w:p w:rsidR="00F97D54" w:rsidRDefault="00F97D54" w:rsidP="006A3BAC">
      <w:pPr>
        <w:rPr>
          <w:kern w:val="0"/>
        </w:rPr>
      </w:pPr>
      <w:r>
        <w:rPr>
          <w:kern w:val="0"/>
        </w:rPr>
        <w:t xml:space="preserve">In your answer, highlight contracts where you contend that a term or condition is a particularly onerous constraint by comparison with more typical provisions in other contracts.  Also, at a minimum, list:  (a) the </w:t>
      </w:r>
      <w:r>
        <w:rPr>
          <w:i/>
          <w:kern w:val="0"/>
        </w:rPr>
        <w:t>Provider</w:t>
      </w:r>
      <w:r>
        <w:rPr>
          <w:kern w:val="0"/>
        </w:rPr>
        <w:t xml:space="preserve"> and indicate whether the </w:t>
      </w:r>
      <w:r>
        <w:rPr>
          <w:i/>
          <w:kern w:val="0"/>
        </w:rPr>
        <w:t>Provider</w:t>
      </w:r>
      <w:r>
        <w:rPr>
          <w:kern w:val="0"/>
        </w:rPr>
        <w:t xml:space="preserve"> is an </w:t>
      </w:r>
      <w:r>
        <w:rPr>
          <w:i/>
          <w:kern w:val="0"/>
        </w:rPr>
        <w:t>ILEC</w:t>
      </w:r>
      <w:r>
        <w:rPr>
          <w:kern w:val="0"/>
        </w:rPr>
        <w:t xml:space="preserve"> or a </w:t>
      </w:r>
      <w:r>
        <w:rPr>
          <w:i/>
          <w:kern w:val="0"/>
        </w:rPr>
        <w:t>Competitive Provider</w:t>
      </w:r>
      <w:r>
        <w:rPr>
          <w:kern w:val="0"/>
        </w:rPr>
        <w:t xml:space="preserve">; (b) a description of the term or condition; (c) the geographic area in which the services are provided; (d) the name of the vendor providing the service; and (e) where relevant, the specific </w:t>
      </w:r>
      <w:r>
        <w:rPr>
          <w:i/>
          <w:kern w:val="0"/>
        </w:rPr>
        <w:t xml:space="preserve">Tariff </w:t>
      </w:r>
      <w:r>
        <w:rPr>
          <w:kern w:val="0"/>
        </w:rPr>
        <w:t xml:space="preserve">number(s) and section(s), or if the policy at issue is recorded in </w:t>
      </w:r>
      <w:r>
        <w:rPr>
          <w:iCs/>
          <w:kern w:val="0"/>
        </w:rPr>
        <w:t>documents</w:t>
      </w:r>
      <w:r>
        <w:rPr>
          <w:kern w:val="0"/>
        </w:rPr>
        <w:t xml:space="preserve"> other than </w:t>
      </w:r>
      <w:r>
        <w:rPr>
          <w:i/>
          <w:iCs/>
          <w:kern w:val="0"/>
        </w:rPr>
        <w:t>Tariffs</w:t>
      </w:r>
      <w:r>
        <w:rPr>
          <w:kern w:val="0"/>
        </w:rPr>
        <w:t xml:space="preserve">, list those </w:t>
      </w:r>
      <w:r>
        <w:rPr>
          <w:iCs/>
          <w:kern w:val="0"/>
        </w:rPr>
        <w:t>documents</w:t>
      </w:r>
      <w:r>
        <w:rPr>
          <w:i/>
          <w:iCs/>
          <w:kern w:val="0"/>
        </w:rPr>
        <w:t xml:space="preserve"> </w:t>
      </w:r>
      <w:r>
        <w:rPr>
          <w:iCs/>
          <w:kern w:val="0"/>
        </w:rPr>
        <w:t>and how you obtained them.</w:t>
      </w:r>
    </w:p>
    <w:p w:rsidR="00F97D54" w:rsidRDefault="00F97D54">
      <w:pPr>
        <w:rPr>
          <w:kern w:val="0"/>
        </w:rPr>
      </w:pPr>
    </w:p>
    <w:p w:rsidR="00F97D54" w:rsidRDefault="00F97D54" w:rsidP="00CD6895">
      <w:pPr>
        <w:widowControl/>
        <w:rPr>
          <w:kern w:val="0"/>
        </w:rPr>
      </w:pPr>
      <w:r>
        <w:rPr>
          <w:kern w:val="0"/>
        </w:rPr>
        <w:t xml:space="preserve">If you allege that a term, condition, or </w:t>
      </w:r>
      <w:r>
        <w:rPr>
          <w:i/>
          <w:kern w:val="0"/>
        </w:rPr>
        <w:t>Provider’s</w:t>
      </w:r>
      <w:r>
        <w:rPr>
          <w:kern w:val="0"/>
        </w:rPr>
        <w:t xml:space="preserve"> policy negatively affects your ability to obtain </w:t>
      </w:r>
      <w:r>
        <w:rPr>
          <w:i/>
          <w:kern w:val="0"/>
        </w:rPr>
        <w:t>Dedicated Services</w:t>
      </w:r>
      <w:r>
        <w:rPr>
          <w:kern w:val="0"/>
        </w:rPr>
        <w:t xml:space="preserve">, state whether you have brought a complaint to the Commission, a state commission or court about this issue and the outcome.  If you have not brought a complaint, explain why not. </w:t>
      </w:r>
    </w:p>
    <w:p w:rsidR="00F97D54" w:rsidRDefault="00F97D54">
      <w:pPr>
        <w:rPr>
          <w:kern w:val="0"/>
        </w:rPr>
      </w:pPr>
    </w:p>
    <w:p w:rsidR="00F97D54" w:rsidRDefault="00F97D54" w:rsidP="00EB5B97">
      <w:pPr>
        <w:numPr>
          <w:ilvl w:val="0"/>
          <w:numId w:val="99"/>
        </w:numPr>
        <w:tabs>
          <w:tab w:val="left" w:pos="630"/>
        </w:tabs>
        <w:rPr>
          <w:kern w:val="0"/>
        </w:rPr>
      </w:pPr>
      <w:r>
        <w:rPr>
          <w:kern w:val="0"/>
        </w:rPr>
        <w:t xml:space="preserve">If you purchase, or purchased, </w:t>
      </w:r>
      <w:r w:rsidRPr="0011685E">
        <w:rPr>
          <w:i/>
          <w:kern w:val="0"/>
        </w:rPr>
        <w:t>Transport Service</w:t>
      </w:r>
      <w:r>
        <w:rPr>
          <w:kern w:val="0"/>
        </w:rPr>
        <w:t xml:space="preserve"> and </w:t>
      </w:r>
      <w:r w:rsidRPr="0011685E">
        <w:rPr>
          <w:i/>
          <w:kern w:val="0"/>
        </w:rPr>
        <w:t>End User Channel Terminations</w:t>
      </w:r>
      <w:r>
        <w:rPr>
          <w:kern w:val="0"/>
        </w:rPr>
        <w:t xml:space="preserve"> from the same </w:t>
      </w:r>
      <w:r w:rsidRPr="0011685E">
        <w:rPr>
          <w:i/>
          <w:kern w:val="0"/>
        </w:rPr>
        <w:t>Provider</w:t>
      </w:r>
      <w:r>
        <w:rPr>
          <w:kern w:val="0"/>
        </w:rPr>
        <w:t xml:space="preserve">, explain your experience with changing </w:t>
      </w:r>
      <w:r>
        <w:rPr>
          <w:i/>
          <w:kern w:val="0"/>
        </w:rPr>
        <w:t xml:space="preserve">Transport Service </w:t>
      </w:r>
      <w:r>
        <w:rPr>
          <w:kern w:val="0"/>
        </w:rPr>
        <w:t xml:space="preserve">from one </w:t>
      </w:r>
      <w:r w:rsidRPr="0011685E">
        <w:rPr>
          <w:i/>
          <w:kern w:val="0"/>
        </w:rPr>
        <w:t>Provider</w:t>
      </w:r>
      <w:r>
        <w:rPr>
          <w:kern w:val="0"/>
        </w:rPr>
        <w:t xml:space="preserve"> to another between January 1, 2010 and December 31, 2012 while keeping your </w:t>
      </w:r>
      <w:r w:rsidRPr="0011685E">
        <w:rPr>
          <w:i/>
          <w:kern w:val="0"/>
        </w:rPr>
        <w:t>End User Channel Terminations</w:t>
      </w:r>
      <w:r>
        <w:rPr>
          <w:kern w:val="0"/>
        </w:rPr>
        <w:t xml:space="preserve"> with the original </w:t>
      </w:r>
      <w:r w:rsidRPr="0011685E">
        <w:rPr>
          <w:i/>
          <w:kern w:val="0"/>
        </w:rPr>
        <w:t>Provider</w:t>
      </w:r>
      <w:r>
        <w:rPr>
          <w:i/>
          <w:kern w:val="0"/>
        </w:rPr>
        <w:t>.</w:t>
      </w:r>
      <w:r>
        <w:rPr>
          <w:kern w:val="0"/>
        </w:rPr>
        <w:t xml:space="preserve">  Where appropriate, identify the </w:t>
      </w:r>
      <w:r>
        <w:rPr>
          <w:i/>
          <w:kern w:val="0"/>
        </w:rPr>
        <w:t>Provider(s)</w:t>
      </w:r>
      <w:r>
        <w:rPr>
          <w:kern w:val="0"/>
        </w:rPr>
        <w:t xml:space="preserve"> in your responses below and indicate whether they are an </w:t>
      </w:r>
      <w:r w:rsidRPr="0011685E">
        <w:rPr>
          <w:i/>
          <w:kern w:val="0"/>
        </w:rPr>
        <w:t>ILEC</w:t>
      </w:r>
      <w:r>
        <w:rPr>
          <w:kern w:val="0"/>
        </w:rPr>
        <w:t xml:space="preserve"> or a </w:t>
      </w:r>
      <w:r w:rsidRPr="0011685E">
        <w:rPr>
          <w:i/>
          <w:kern w:val="0"/>
        </w:rPr>
        <w:t>Competitive Provider</w:t>
      </w:r>
      <w:r>
        <w:rPr>
          <w:kern w:val="0"/>
        </w:rPr>
        <w:t xml:space="preserve">.  </w:t>
      </w:r>
    </w:p>
    <w:p w:rsidR="00F97D54" w:rsidRDefault="00F97D54" w:rsidP="00EB5B97">
      <w:pPr>
        <w:numPr>
          <w:ilvl w:val="0"/>
          <w:numId w:val="113"/>
        </w:numPr>
        <w:rPr>
          <w:kern w:val="0"/>
        </w:rPr>
      </w:pPr>
      <w:r>
        <w:rPr>
          <w:kern w:val="0"/>
        </w:rPr>
        <w:t xml:space="preserve">How many times did you change </w:t>
      </w:r>
      <w:r>
        <w:rPr>
          <w:i/>
          <w:kern w:val="0"/>
        </w:rPr>
        <w:t>Transport Service</w:t>
      </w:r>
      <w:r>
        <w:rPr>
          <w:kern w:val="0"/>
        </w:rPr>
        <w:t xml:space="preserve"> while keeping your </w:t>
      </w:r>
      <w:r>
        <w:rPr>
          <w:i/>
          <w:kern w:val="0"/>
        </w:rPr>
        <w:t>End User Channel Terminations</w:t>
      </w:r>
      <w:r>
        <w:rPr>
          <w:kern w:val="0"/>
        </w:rPr>
        <w:t xml:space="preserve"> with the original </w:t>
      </w:r>
      <w:r w:rsidRPr="0011685E">
        <w:rPr>
          <w:i/>
          <w:kern w:val="0"/>
        </w:rPr>
        <w:t>Provider</w:t>
      </w:r>
      <w:r>
        <w:rPr>
          <w:kern w:val="0"/>
        </w:rPr>
        <w:t xml:space="preserve">?  An estimate of the number of circuits moved to a new </w:t>
      </w:r>
      <w:r>
        <w:rPr>
          <w:i/>
          <w:kern w:val="0"/>
        </w:rPr>
        <w:t>Transport Provider</w:t>
      </w:r>
      <w:r>
        <w:rPr>
          <w:kern w:val="0"/>
        </w:rPr>
        <w:t>, or the number of such changes requested for each year, is sufficient.</w:t>
      </w:r>
    </w:p>
    <w:p w:rsidR="00F97D54" w:rsidRDefault="00F97D54" w:rsidP="00EB5B97">
      <w:pPr>
        <w:numPr>
          <w:ilvl w:val="0"/>
          <w:numId w:val="113"/>
        </w:numPr>
        <w:rPr>
          <w:kern w:val="0"/>
        </w:rPr>
      </w:pPr>
      <w:r>
        <w:rPr>
          <w:kern w:val="0"/>
        </w:rPr>
        <w:t xml:space="preserve">What was the length of time, on average, it took for the original </w:t>
      </w:r>
      <w:r w:rsidRPr="0011685E">
        <w:rPr>
          <w:i/>
          <w:kern w:val="0"/>
        </w:rPr>
        <w:t>Provider</w:t>
      </w:r>
      <w:r>
        <w:rPr>
          <w:i/>
          <w:kern w:val="0"/>
        </w:rPr>
        <w:t xml:space="preserve"> </w:t>
      </w:r>
      <w:r>
        <w:rPr>
          <w:kern w:val="0"/>
        </w:rPr>
        <w:t xml:space="preserve">to complete the process of connecting your last-mile </w:t>
      </w:r>
      <w:r>
        <w:rPr>
          <w:i/>
          <w:kern w:val="0"/>
        </w:rPr>
        <w:t>End-user Channel Terminations</w:t>
      </w:r>
      <w:r>
        <w:rPr>
          <w:kern w:val="0"/>
        </w:rPr>
        <w:t xml:space="preserve"> to another </w:t>
      </w:r>
      <w:r>
        <w:rPr>
          <w:i/>
          <w:kern w:val="0"/>
        </w:rPr>
        <w:t>Transport</w:t>
      </w:r>
      <w:r>
        <w:rPr>
          <w:kern w:val="0"/>
        </w:rPr>
        <w:t xml:space="preserve"> </w:t>
      </w:r>
      <w:r>
        <w:rPr>
          <w:i/>
          <w:kern w:val="0"/>
        </w:rPr>
        <w:t>Provider</w:t>
      </w:r>
      <w:r>
        <w:rPr>
          <w:kern w:val="0"/>
        </w:rPr>
        <w:t>?  An estimate is sufficient.</w:t>
      </w:r>
    </w:p>
    <w:p w:rsidR="00F97D54" w:rsidRDefault="00F97D54" w:rsidP="00EB5B97">
      <w:pPr>
        <w:numPr>
          <w:ilvl w:val="0"/>
          <w:numId w:val="113"/>
        </w:numPr>
        <w:rPr>
          <w:kern w:val="0"/>
        </w:rPr>
      </w:pPr>
      <w:r>
        <w:rPr>
          <w:kern w:val="0"/>
        </w:rPr>
        <w:t xml:space="preserve">Were you given the opportunity to negotiate the amount of time it would take to complete the process of connecting your </w:t>
      </w:r>
      <w:r w:rsidRPr="00473DD0">
        <w:rPr>
          <w:i/>
          <w:kern w:val="0"/>
        </w:rPr>
        <w:t>End User Channel Terminations</w:t>
      </w:r>
      <w:r>
        <w:rPr>
          <w:kern w:val="0"/>
        </w:rPr>
        <w:t xml:space="preserve"> to another Transport Provider on a case-by-case basis?    In answering this question, also describe and provide citations to the </w:t>
      </w:r>
      <w:r w:rsidRPr="00473DD0">
        <w:rPr>
          <w:i/>
          <w:kern w:val="0"/>
        </w:rPr>
        <w:t>ILEC’s</w:t>
      </w:r>
      <w:r>
        <w:rPr>
          <w:kern w:val="0"/>
        </w:rPr>
        <w:t xml:space="preserve"> or </w:t>
      </w:r>
      <w:r w:rsidRPr="00473DD0">
        <w:rPr>
          <w:i/>
          <w:kern w:val="0"/>
        </w:rPr>
        <w:t>Competitive Provider’s</w:t>
      </w:r>
      <w:r>
        <w:rPr>
          <w:kern w:val="0"/>
        </w:rPr>
        <w:t xml:space="preserve"> policies, rules or, where relevant, </w:t>
      </w:r>
      <w:r w:rsidRPr="00473DD0">
        <w:rPr>
          <w:i/>
          <w:kern w:val="0"/>
        </w:rPr>
        <w:t>Tariff</w:t>
      </w:r>
      <w:r>
        <w:rPr>
          <w:kern w:val="0"/>
        </w:rPr>
        <w:t xml:space="preserve"> provisions, if known, explaining the transition process.</w:t>
      </w:r>
    </w:p>
    <w:p w:rsidR="00F97D54" w:rsidRDefault="00F97D54" w:rsidP="00EB5B97">
      <w:pPr>
        <w:numPr>
          <w:ilvl w:val="0"/>
          <w:numId w:val="113"/>
        </w:numPr>
        <w:rPr>
          <w:kern w:val="0"/>
        </w:rPr>
      </w:pPr>
      <w:r>
        <w:rPr>
          <w:kern w:val="0"/>
        </w:rPr>
        <w:t xml:space="preserve">How did connecting to a new </w:t>
      </w:r>
      <w:r>
        <w:rPr>
          <w:i/>
          <w:kern w:val="0"/>
        </w:rPr>
        <w:t>Transport Provider</w:t>
      </w:r>
      <w:r>
        <w:rPr>
          <w:kern w:val="0"/>
        </w:rPr>
        <w:t xml:space="preserve"> impact the rate you paid for the </w:t>
      </w:r>
      <w:r>
        <w:rPr>
          <w:i/>
          <w:kern w:val="0"/>
        </w:rPr>
        <w:t>End User Channel Terminations</w:t>
      </w:r>
      <w:r>
        <w:rPr>
          <w:kern w:val="0"/>
        </w:rPr>
        <w:t xml:space="preserve"> you continued to purchase from the original</w:t>
      </w:r>
      <w:r>
        <w:rPr>
          <w:i/>
          <w:kern w:val="0"/>
        </w:rPr>
        <w:t xml:space="preserve"> Provider</w:t>
      </w:r>
      <w:r>
        <w:rPr>
          <w:kern w:val="0"/>
        </w:rPr>
        <w:t>?</w:t>
      </w:r>
    </w:p>
    <w:p w:rsidR="00F97D54" w:rsidRDefault="00F97D54" w:rsidP="00EB5B97">
      <w:pPr>
        <w:numPr>
          <w:ilvl w:val="0"/>
          <w:numId w:val="113"/>
        </w:numPr>
        <w:rPr>
          <w:kern w:val="0"/>
        </w:rPr>
      </w:pPr>
      <w:r>
        <w:rPr>
          <w:kern w:val="0"/>
        </w:rPr>
        <w:t xml:space="preserve">Did connecting to a new </w:t>
      </w:r>
      <w:r>
        <w:rPr>
          <w:i/>
          <w:iCs/>
          <w:kern w:val="0"/>
        </w:rPr>
        <w:t>Transport Provider</w:t>
      </w:r>
      <w:r>
        <w:rPr>
          <w:kern w:val="0"/>
        </w:rPr>
        <w:t xml:space="preserve"> typically impact the rate you continued to pay for </w:t>
      </w:r>
      <w:r>
        <w:rPr>
          <w:i/>
          <w:iCs/>
          <w:kern w:val="0"/>
        </w:rPr>
        <w:t>Transport Service</w:t>
      </w:r>
      <w:r>
        <w:rPr>
          <w:kern w:val="0"/>
        </w:rPr>
        <w:t xml:space="preserve"> from the original </w:t>
      </w:r>
      <w:r>
        <w:rPr>
          <w:i/>
          <w:iCs/>
          <w:kern w:val="0"/>
        </w:rPr>
        <w:t>Provider</w:t>
      </w:r>
      <w:r>
        <w:rPr>
          <w:kern w:val="0"/>
        </w:rPr>
        <w:t xml:space="preserve"> while the change in </w:t>
      </w:r>
      <w:r>
        <w:rPr>
          <w:i/>
          <w:iCs/>
          <w:kern w:val="0"/>
        </w:rPr>
        <w:t>Transport Providers</w:t>
      </w:r>
      <w:r>
        <w:rPr>
          <w:kern w:val="0"/>
        </w:rPr>
        <w:t xml:space="preserve"> remained pending?  If so, how?  What was the average percentage change in rates?  For example, did you ever pay a </w:t>
      </w:r>
      <w:r>
        <w:rPr>
          <w:i/>
          <w:kern w:val="0"/>
        </w:rPr>
        <w:t>One Month Term Only Rate</w:t>
      </w:r>
      <w:r>
        <w:rPr>
          <w:kern w:val="0"/>
        </w:rPr>
        <w:t xml:space="preserve"> during that time?</w:t>
      </w:r>
    </w:p>
    <w:p w:rsidR="00F97D54" w:rsidRDefault="00F97D54">
      <w:pPr>
        <w:rPr>
          <w:kern w:val="0"/>
        </w:rPr>
      </w:pPr>
    </w:p>
    <w:p w:rsidR="00F97D54" w:rsidRDefault="00F97D54" w:rsidP="00EB5B97">
      <w:pPr>
        <w:numPr>
          <w:ilvl w:val="0"/>
          <w:numId w:val="99"/>
        </w:numPr>
        <w:rPr>
          <w:kern w:val="0"/>
        </w:rPr>
      </w:pPr>
      <w:r>
        <w:rPr>
          <w:kern w:val="0"/>
        </w:rPr>
        <w:t xml:space="preserve">Describe any circumstances since January 1, 2010, in which you have purchased circuits pursuant to a </w:t>
      </w:r>
      <w:r>
        <w:rPr>
          <w:i/>
          <w:kern w:val="0"/>
        </w:rPr>
        <w:t>Tariff</w:t>
      </w:r>
      <w:r>
        <w:rPr>
          <w:kern w:val="0"/>
        </w:rPr>
        <w:t xml:space="preserve">, solely for the purpose of meeting a </w:t>
      </w:r>
      <w:r>
        <w:rPr>
          <w:i/>
          <w:kern w:val="0"/>
        </w:rPr>
        <w:t xml:space="preserve">Prior Purchase-Based Commitment </w:t>
      </w:r>
      <w:r>
        <w:rPr>
          <w:kern w:val="0"/>
        </w:rPr>
        <w:t xml:space="preserve">required for a discount or </w:t>
      </w:r>
      <w:r>
        <w:rPr>
          <w:i/>
          <w:kern w:val="0"/>
        </w:rPr>
        <w:t>Non-Rate Benefit</w:t>
      </w:r>
      <w:r>
        <w:rPr>
          <w:kern w:val="0"/>
        </w:rPr>
        <w:t xml:space="preserve"> from your </w:t>
      </w:r>
      <w:r>
        <w:rPr>
          <w:i/>
          <w:kern w:val="0"/>
        </w:rPr>
        <w:t>Provider</w:t>
      </w:r>
      <w:r>
        <w:rPr>
          <w:kern w:val="0"/>
        </w:rPr>
        <w:t xml:space="preserve"> (</w:t>
      </w:r>
      <w:r>
        <w:rPr>
          <w:i/>
          <w:kern w:val="0"/>
        </w:rPr>
        <w:t>i.e.</w:t>
      </w:r>
      <w:r>
        <w:rPr>
          <w:kern w:val="0"/>
        </w:rPr>
        <w:t xml:space="preserve">, </w:t>
      </w:r>
      <w:r>
        <w:t xml:space="preserve">you would not have purchased the circuit but for the requirement that you meet a </w:t>
      </w:r>
      <w:r w:rsidRPr="0011685E">
        <w:rPr>
          <w:i/>
        </w:rPr>
        <w:t>Volume Commitment</w:t>
      </w:r>
      <w:r>
        <w:t xml:space="preserve"> required for a discount or </w:t>
      </w:r>
      <w:r w:rsidRPr="0011685E">
        <w:rPr>
          <w:i/>
        </w:rPr>
        <w:t>Non-Rate Benefit</w:t>
      </w:r>
      <w:r>
        <w:t xml:space="preserve"> from your </w:t>
      </w:r>
      <w:r w:rsidRPr="0011685E">
        <w:rPr>
          <w:i/>
        </w:rPr>
        <w:t>Provider</w:t>
      </w:r>
      <w:r>
        <w:rPr>
          <w:kern w:val="0"/>
        </w:rPr>
        <w:t xml:space="preserve">).  In your description, provide at least one example, which at a minimum, lists:   </w:t>
      </w:r>
    </w:p>
    <w:p w:rsidR="00F97D54" w:rsidRDefault="00F97D54" w:rsidP="00EB5B97">
      <w:pPr>
        <w:numPr>
          <w:ilvl w:val="0"/>
          <w:numId w:val="114"/>
        </w:numPr>
        <w:rPr>
          <w:kern w:val="0"/>
        </w:rPr>
      </w:pPr>
      <w:r>
        <w:rPr>
          <w:kern w:val="0"/>
        </w:rPr>
        <w:t xml:space="preserve">The name of the </w:t>
      </w:r>
      <w:r>
        <w:rPr>
          <w:i/>
          <w:kern w:val="0"/>
        </w:rPr>
        <w:t>Provider</w:t>
      </w:r>
      <w:r>
        <w:rPr>
          <w:kern w:val="0"/>
        </w:rPr>
        <w:t xml:space="preserve"> providing the circuits at issue; </w:t>
      </w:r>
    </w:p>
    <w:p w:rsidR="00F97D54" w:rsidRDefault="00F97D54" w:rsidP="00EB5B97">
      <w:pPr>
        <w:numPr>
          <w:ilvl w:val="0"/>
          <w:numId w:val="114"/>
        </w:numPr>
        <w:rPr>
          <w:kern w:val="0"/>
        </w:rPr>
      </w:pPr>
      <w:r>
        <w:rPr>
          <w:kern w:val="0"/>
        </w:rPr>
        <w:t xml:space="preserve">A description of the </w:t>
      </w:r>
      <w:r>
        <w:rPr>
          <w:i/>
          <w:kern w:val="0"/>
        </w:rPr>
        <w:t>Prior Purchase-Based Commitment</w:t>
      </w:r>
      <w:r>
        <w:rPr>
          <w:kern w:val="0"/>
        </w:rPr>
        <w:t xml:space="preserve">; </w:t>
      </w:r>
    </w:p>
    <w:p w:rsidR="00F97D54" w:rsidRDefault="00F97D54" w:rsidP="00EB5B97">
      <w:pPr>
        <w:numPr>
          <w:ilvl w:val="0"/>
          <w:numId w:val="114"/>
        </w:numPr>
        <w:rPr>
          <w:kern w:val="0"/>
        </w:rPr>
      </w:pPr>
      <w:r>
        <w:rPr>
          <w:kern w:val="0"/>
        </w:rPr>
        <w:t xml:space="preserve">The </w:t>
      </w:r>
      <w:r>
        <w:rPr>
          <w:i/>
          <w:kern w:val="0"/>
        </w:rPr>
        <w:t>Tariff</w:t>
      </w:r>
      <w:r>
        <w:rPr>
          <w:kern w:val="0"/>
        </w:rPr>
        <w:t xml:space="preserve"> and section number(s) of the specific terms and conditions described;</w:t>
      </w:r>
    </w:p>
    <w:p w:rsidR="00F97D54" w:rsidRDefault="00F97D54" w:rsidP="00EB5B97">
      <w:pPr>
        <w:numPr>
          <w:ilvl w:val="0"/>
          <w:numId w:val="114"/>
        </w:numPr>
        <w:rPr>
          <w:kern w:val="0"/>
        </w:rPr>
      </w:pPr>
      <w:r>
        <w:rPr>
          <w:kern w:val="0"/>
        </w:rPr>
        <w:t xml:space="preserve">The number of circuits you would not have purchased but for the </w:t>
      </w:r>
      <w:r>
        <w:rPr>
          <w:i/>
          <w:kern w:val="0"/>
        </w:rPr>
        <w:t>Prior Purchase-Based</w:t>
      </w:r>
      <w:r w:rsidRPr="0011685E">
        <w:rPr>
          <w:i/>
          <w:kern w:val="0"/>
        </w:rPr>
        <w:t xml:space="preserve"> Commitment</w:t>
      </w:r>
      <w:r>
        <w:rPr>
          <w:kern w:val="0"/>
        </w:rPr>
        <w:t xml:space="preserve"> requirement to receive a discount or </w:t>
      </w:r>
      <w:r w:rsidRPr="0011685E">
        <w:rPr>
          <w:i/>
          <w:kern w:val="0"/>
        </w:rPr>
        <w:t>Non-Rate Benefit</w:t>
      </w:r>
      <w:r>
        <w:rPr>
          <w:kern w:val="0"/>
        </w:rPr>
        <w:t>;</w:t>
      </w:r>
    </w:p>
    <w:p w:rsidR="00F97D54" w:rsidRDefault="00F97D54" w:rsidP="00EB5B97">
      <w:pPr>
        <w:numPr>
          <w:ilvl w:val="0"/>
          <w:numId w:val="98"/>
        </w:numPr>
        <w:rPr>
          <w:kern w:val="0"/>
        </w:rPr>
      </w:pPr>
      <w:r>
        <w:rPr>
          <w:kern w:val="0"/>
        </w:rPr>
        <w:t xml:space="preserve">Of the circuits reported in II.F.10.d, how many did you not use at all? </w:t>
      </w:r>
    </w:p>
    <w:p w:rsidR="00F97D54" w:rsidRDefault="00F97D54" w:rsidP="00EB5B97">
      <w:pPr>
        <w:numPr>
          <w:ilvl w:val="0"/>
          <w:numId w:val="114"/>
        </w:numPr>
        <w:rPr>
          <w:kern w:val="0"/>
        </w:rPr>
      </w:pPr>
      <w:r>
        <w:rPr>
          <w:kern w:val="0"/>
        </w:rPr>
        <w:t xml:space="preserve">A comparison of the dollar amount of the unnecessary circuit(s) purchased versus the dollar amount of penalties your company would have had to pay under the </w:t>
      </w:r>
      <w:r>
        <w:rPr>
          <w:i/>
          <w:kern w:val="0"/>
        </w:rPr>
        <w:t>Prior Purchase-Based Commitment</w:t>
      </w:r>
      <w:r>
        <w:rPr>
          <w:kern w:val="0"/>
        </w:rPr>
        <w:t xml:space="preserve"> had it not purchased and/or maintained the circuit(s), and a description of how that comparison was calculated.</w:t>
      </w:r>
      <w:r w:rsidRPr="00905C7C">
        <w:rPr>
          <w:kern w:val="0"/>
        </w:rPr>
        <w:t xml:space="preserve"> </w:t>
      </w:r>
    </w:p>
    <w:p w:rsidR="00F97D54" w:rsidRDefault="00F97D54" w:rsidP="00EB5B97">
      <w:pPr>
        <w:numPr>
          <w:ilvl w:val="0"/>
          <w:numId w:val="114"/>
        </w:numPr>
        <w:rPr>
          <w:kern w:val="0"/>
        </w:rPr>
      </w:pPr>
      <w:r w:rsidRPr="00326DF5">
        <w:rPr>
          <w:kern w:val="0"/>
        </w:rPr>
        <w:t>How many c</w:t>
      </w:r>
      <w:r>
        <w:rPr>
          <w:kern w:val="0"/>
        </w:rPr>
        <w:t xml:space="preserve">ircuits were activated under the identified </w:t>
      </w:r>
      <w:r w:rsidRPr="00B613C9">
        <w:rPr>
          <w:i/>
          <w:kern w:val="0"/>
        </w:rPr>
        <w:t>Tariff</w:t>
      </w:r>
      <w:r>
        <w:rPr>
          <w:kern w:val="0"/>
        </w:rPr>
        <w:t xml:space="preserve"> plan and </w:t>
      </w:r>
      <w:r w:rsidRPr="00326DF5">
        <w:rPr>
          <w:kern w:val="0"/>
        </w:rPr>
        <w:t xml:space="preserve">not used when </w:t>
      </w:r>
      <w:r>
        <w:rPr>
          <w:kern w:val="0"/>
        </w:rPr>
        <w:t>you initially entered into the plan?  W</w:t>
      </w:r>
      <w:r w:rsidRPr="00326DF5">
        <w:rPr>
          <w:kern w:val="0"/>
        </w:rPr>
        <w:t xml:space="preserve">hat </w:t>
      </w:r>
      <w:r>
        <w:rPr>
          <w:kern w:val="0"/>
        </w:rPr>
        <w:t>we</w:t>
      </w:r>
      <w:r w:rsidRPr="00326DF5">
        <w:rPr>
          <w:kern w:val="0"/>
        </w:rPr>
        <w:t xml:space="preserve">re these </w:t>
      </w:r>
      <w:r>
        <w:rPr>
          <w:kern w:val="0"/>
        </w:rPr>
        <w:t xml:space="preserve">unused circuits </w:t>
      </w:r>
      <w:r w:rsidRPr="00326DF5">
        <w:rPr>
          <w:kern w:val="0"/>
        </w:rPr>
        <w:t xml:space="preserve">as a percent of the total circuits currently purchased under this </w:t>
      </w:r>
      <w:r w:rsidRPr="00B613C9">
        <w:rPr>
          <w:i/>
          <w:kern w:val="0"/>
        </w:rPr>
        <w:t>Tariff</w:t>
      </w:r>
      <w:r>
        <w:rPr>
          <w:kern w:val="0"/>
        </w:rPr>
        <w:t xml:space="preserve"> plan?  </w:t>
      </w:r>
      <w:r w:rsidRPr="00326DF5">
        <w:rPr>
          <w:kern w:val="0"/>
        </w:rPr>
        <w:t>Indicate the percent of the total circuits current</w:t>
      </w:r>
      <w:r>
        <w:rPr>
          <w:kern w:val="0"/>
        </w:rPr>
        <w:t xml:space="preserve">ly purchased under this </w:t>
      </w:r>
      <w:r w:rsidRPr="00B613C9">
        <w:rPr>
          <w:i/>
          <w:kern w:val="0"/>
        </w:rPr>
        <w:t>Tariff</w:t>
      </w:r>
      <w:r w:rsidRPr="00326DF5">
        <w:rPr>
          <w:kern w:val="0"/>
        </w:rPr>
        <w:t xml:space="preserve"> </w:t>
      </w:r>
      <w:r>
        <w:rPr>
          <w:kern w:val="0"/>
        </w:rPr>
        <w:t xml:space="preserve">plan </w:t>
      </w:r>
      <w:r w:rsidRPr="00326DF5">
        <w:rPr>
          <w:kern w:val="0"/>
        </w:rPr>
        <w:t xml:space="preserve">that exceed your </w:t>
      </w:r>
      <w:r>
        <w:rPr>
          <w:i/>
          <w:iCs/>
          <w:kern w:val="0"/>
        </w:rPr>
        <w:t>Prior Purchase-Based</w:t>
      </w:r>
      <w:r w:rsidRPr="00326DF5">
        <w:rPr>
          <w:i/>
          <w:iCs/>
          <w:kern w:val="0"/>
        </w:rPr>
        <w:t xml:space="preserve"> Commitment.</w:t>
      </w:r>
    </w:p>
    <w:p w:rsidR="00F97D54" w:rsidRDefault="00F97D54" w:rsidP="00EB5B97">
      <w:pPr>
        <w:numPr>
          <w:ilvl w:val="0"/>
          <w:numId w:val="114"/>
        </w:numPr>
        <w:rPr>
          <w:kern w:val="0"/>
        </w:rPr>
      </w:pPr>
      <w:r>
        <w:rPr>
          <w:kern w:val="0"/>
        </w:rPr>
        <w:t>F</w:t>
      </w:r>
      <w:r w:rsidRPr="00326DF5">
        <w:rPr>
          <w:kern w:val="0"/>
        </w:rPr>
        <w:t xml:space="preserve">or the </w:t>
      </w:r>
      <w:r>
        <w:rPr>
          <w:i/>
          <w:iCs/>
          <w:kern w:val="0"/>
        </w:rPr>
        <w:t>Prior Purchase-B</w:t>
      </w:r>
      <w:r w:rsidRPr="00326DF5">
        <w:rPr>
          <w:i/>
          <w:iCs/>
          <w:kern w:val="0"/>
        </w:rPr>
        <w:t>ased Commitment</w:t>
      </w:r>
      <w:r w:rsidRPr="00326DF5">
        <w:rPr>
          <w:kern w:val="0"/>
        </w:rPr>
        <w:t xml:space="preserve">, </w:t>
      </w:r>
      <w:r>
        <w:rPr>
          <w:kern w:val="0"/>
        </w:rPr>
        <w:t xml:space="preserve">indicate </w:t>
      </w:r>
      <w:r w:rsidRPr="00326DF5">
        <w:rPr>
          <w:kern w:val="0"/>
        </w:rPr>
        <w:t xml:space="preserve">whether you </w:t>
      </w:r>
      <w:r>
        <w:rPr>
          <w:kern w:val="0"/>
        </w:rPr>
        <w:t xml:space="preserve">are </w:t>
      </w:r>
      <w:r w:rsidRPr="00326DF5">
        <w:rPr>
          <w:kern w:val="0"/>
        </w:rPr>
        <w:t xml:space="preserve">able to buy any </w:t>
      </w:r>
      <w:r w:rsidRPr="00B613C9">
        <w:rPr>
          <w:i/>
          <w:kern w:val="0"/>
        </w:rPr>
        <w:t>DS1s</w:t>
      </w:r>
      <w:r w:rsidRPr="00326DF5">
        <w:rPr>
          <w:kern w:val="0"/>
        </w:rPr>
        <w:t xml:space="preserve"> or </w:t>
      </w:r>
      <w:r w:rsidRPr="00B613C9">
        <w:rPr>
          <w:i/>
          <w:kern w:val="0"/>
        </w:rPr>
        <w:t>DS3s</w:t>
      </w:r>
      <w:r w:rsidRPr="00326DF5">
        <w:rPr>
          <w:kern w:val="0"/>
        </w:rPr>
        <w:t xml:space="preserve"> from the </w:t>
      </w:r>
      <w:r w:rsidRPr="00B613C9">
        <w:rPr>
          <w:i/>
          <w:kern w:val="0"/>
        </w:rPr>
        <w:t>Provider</w:t>
      </w:r>
      <w:r w:rsidRPr="00326DF5">
        <w:rPr>
          <w:kern w:val="0"/>
        </w:rPr>
        <w:t xml:space="preserve"> outside of the </w:t>
      </w:r>
      <w:r>
        <w:rPr>
          <w:kern w:val="0"/>
        </w:rPr>
        <w:t xml:space="preserve">identified </w:t>
      </w:r>
      <w:r w:rsidRPr="00B613C9">
        <w:rPr>
          <w:i/>
          <w:kern w:val="0"/>
        </w:rPr>
        <w:t>Tariff</w:t>
      </w:r>
      <w:r>
        <w:rPr>
          <w:kern w:val="0"/>
        </w:rPr>
        <w:t xml:space="preserve"> plan</w:t>
      </w:r>
      <w:r w:rsidRPr="00326DF5">
        <w:rPr>
          <w:kern w:val="0"/>
        </w:rPr>
        <w:t xml:space="preserve">, or </w:t>
      </w:r>
      <w:r>
        <w:rPr>
          <w:kern w:val="0"/>
        </w:rPr>
        <w:t>are you required to</w:t>
      </w:r>
      <w:r w:rsidRPr="00326DF5">
        <w:rPr>
          <w:kern w:val="0"/>
        </w:rPr>
        <w:t xml:space="preserve"> make all purchases from the </w:t>
      </w:r>
      <w:r>
        <w:rPr>
          <w:i/>
          <w:kern w:val="0"/>
        </w:rPr>
        <w:t>Provider</w:t>
      </w:r>
      <w:r>
        <w:rPr>
          <w:kern w:val="0"/>
        </w:rPr>
        <w:t xml:space="preserve"> pursuant to the identified </w:t>
      </w:r>
      <w:r w:rsidRPr="00B613C9">
        <w:rPr>
          <w:i/>
          <w:kern w:val="0"/>
        </w:rPr>
        <w:t>Tariff</w:t>
      </w:r>
      <w:r>
        <w:rPr>
          <w:kern w:val="0"/>
        </w:rPr>
        <w:t xml:space="preserve"> plan</w:t>
      </w:r>
      <w:r w:rsidRPr="00326DF5">
        <w:rPr>
          <w:kern w:val="0"/>
        </w:rPr>
        <w:t>?</w:t>
      </w:r>
    </w:p>
    <w:p w:rsidR="00F97D54" w:rsidRDefault="00F97D54">
      <w:pPr>
        <w:rPr>
          <w:kern w:val="0"/>
          <w:u w:val="single"/>
        </w:rPr>
      </w:pPr>
    </w:p>
    <w:p w:rsidR="00F97D54" w:rsidRPr="0011685E" w:rsidRDefault="00F97D54" w:rsidP="00EB5B97">
      <w:pPr>
        <w:numPr>
          <w:ilvl w:val="0"/>
          <w:numId w:val="99"/>
        </w:numPr>
      </w:pPr>
      <w:r>
        <w:t xml:space="preserve">For each year for the past five years, state the number of times and in what geographic area(s) you have switched from purchasing </w:t>
      </w:r>
      <w:r>
        <w:rPr>
          <w:i/>
        </w:rPr>
        <w:t xml:space="preserve">End-User Channel Terminations </w:t>
      </w:r>
      <w:r>
        <w:t xml:space="preserve">from one </w:t>
      </w:r>
      <w:r w:rsidRPr="00BD7C22">
        <w:rPr>
          <w:i/>
        </w:rPr>
        <w:t xml:space="preserve">Provider </w:t>
      </w:r>
      <w:r>
        <w:t xml:space="preserve">of </w:t>
      </w:r>
      <w:r w:rsidRPr="00BD7C22">
        <w:rPr>
          <w:i/>
        </w:rPr>
        <w:t>Dedicated Services</w:t>
      </w:r>
      <w:r>
        <w:t xml:space="preserve"> to another.</w:t>
      </w:r>
    </w:p>
    <w:p w:rsidR="00F97D54" w:rsidRDefault="00F97D54">
      <w:pPr>
        <w:rPr>
          <w:kern w:val="0"/>
        </w:rPr>
      </w:pPr>
    </w:p>
    <w:p w:rsidR="00F97D54" w:rsidRDefault="00F97D54" w:rsidP="00EB5B97">
      <w:pPr>
        <w:numPr>
          <w:ilvl w:val="0"/>
          <w:numId w:val="99"/>
        </w:numPr>
        <w:tabs>
          <w:tab w:val="left" w:pos="900"/>
        </w:tabs>
        <w:rPr>
          <w:kern w:val="0"/>
        </w:rPr>
      </w:pPr>
      <w:r>
        <w:rPr>
          <w:kern w:val="0"/>
        </w:rPr>
        <w:t xml:space="preserve">Explain the circumstances since January 1, 2010 under which you have paid </w:t>
      </w:r>
      <w:r>
        <w:rPr>
          <w:i/>
          <w:kern w:val="0"/>
        </w:rPr>
        <w:t xml:space="preserve">One Month Term Only Rates </w:t>
      </w:r>
      <w:r>
        <w:rPr>
          <w:kern w:val="0"/>
        </w:rPr>
        <w:t xml:space="preserve">for </w:t>
      </w:r>
      <w:r>
        <w:rPr>
          <w:i/>
          <w:kern w:val="0"/>
        </w:rPr>
        <w:t>DS1</w:t>
      </w:r>
      <w:r>
        <w:rPr>
          <w:kern w:val="0"/>
        </w:rPr>
        <w:t xml:space="preserve">, </w:t>
      </w:r>
      <w:r>
        <w:rPr>
          <w:i/>
          <w:kern w:val="0"/>
        </w:rPr>
        <w:t>DS3</w:t>
      </w:r>
      <w:r>
        <w:rPr>
          <w:kern w:val="0"/>
        </w:rPr>
        <w:t xml:space="preserve">, and/or </w:t>
      </w:r>
      <w:r>
        <w:rPr>
          <w:i/>
          <w:kern w:val="0"/>
        </w:rPr>
        <w:t>PBDS</w:t>
      </w:r>
      <w:r>
        <w:rPr>
          <w:kern w:val="0"/>
        </w:rPr>
        <w:t xml:space="preserve"> services and the impact, if any, it had on your business and your customers.  In your response, indicate any general rules you follow, if any, concerning the maximum number of circuits and maximum amount of time you will pay </w:t>
      </w:r>
      <w:r>
        <w:rPr>
          <w:i/>
          <w:kern w:val="0"/>
        </w:rPr>
        <w:t>One Month Term Only Rates</w:t>
      </w:r>
      <w:r>
        <w:rPr>
          <w:kern w:val="0"/>
        </w:rPr>
        <w:t xml:space="preserve">, and your business rationale for any such rules.  </w:t>
      </w:r>
      <w:r>
        <w:rPr>
          <w:b/>
          <w:kern w:val="0"/>
        </w:rPr>
        <w:t xml:space="preserve"> </w:t>
      </w:r>
    </w:p>
    <w:p w:rsidR="00F97D54" w:rsidRDefault="00F97D54">
      <w:pPr>
        <w:pStyle w:val="ListParagraph"/>
      </w:pPr>
    </w:p>
    <w:p w:rsidR="00F97D54" w:rsidRDefault="00F97D54" w:rsidP="00EB5B97">
      <w:pPr>
        <w:numPr>
          <w:ilvl w:val="0"/>
          <w:numId w:val="99"/>
        </w:numPr>
        <w:tabs>
          <w:tab w:val="left" w:pos="900"/>
        </w:tabs>
        <w:spacing w:after="120"/>
        <w:rPr>
          <w:kern w:val="0"/>
        </w:rPr>
      </w:pPr>
      <w:r>
        <w:rPr>
          <w:kern w:val="0"/>
        </w:rPr>
        <w:t xml:space="preserve">Separately list all </w:t>
      </w:r>
      <w:r>
        <w:rPr>
          <w:i/>
          <w:kern w:val="0"/>
        </w:rPr>
        <w:t>Tariffs</w:t>
      </w:r>
      <w:r>
        <w:rPr>
          <w:kern w:val="0"/>
        </w:rPr>
        <w:t xml:space="preserve"> under which your company purchases </w:t>
      </w:r>
      <w:r>
        <w:rPr>
          <w:i/>
          <w:kern w:val="0"/>
        </w:rPr>
        <w:t>DS1s</w:t>
      </w:r>
      <w:r>
        <w:rPr>
          <w:kern w:val="0"/>
        </w:rPr>
        <w:t xml:space="preserve">, </w:t>
      </w:r>
      <w:r>
        <w:rPr>
          <w:i/>
          <w:kern w:val="0"/>
        </w:rPr>
        <w:t>DS3s</w:t>
      </w:r>
      <w:r>
        <w:rPr>
          <w:kern w:val="0"/>
        </w:rPr>
        <w:t xml:space="preserve">, and/or </w:t>
      </w:r>
      <w:r>
        <w:rPr>
          <w:i/>
          <w:kern w:val="0"/>
        </w:rPr>
        <w:t>PBDS</w:t>
      </w:r>
      <w:r>
        <w:rPr>
          <w:kern w:val="0"/>
        </w:rPr>
        <w:t xml:space="preserve"> and provide the information requested below for each plan.  </w:t>
      </w:r>
    </w:p>
    <w:p w:rsidR="00F97D54" w:rsidRDefault="00F97D54" w:rsidP="00EB5B97">
      <w:pPr>
        <w:numPr>
          <w:ilvl w:val="0"/>
          <w:numId w:val="115"/>
        </w:numPr>
        <w:rPr>
          <w:kern w:val="0"/>
        </w:rPr>
      </w:pPr>
      <w:r>
        <w:rPr>
          <w:kern w:val="0"/>
        </w:rPr>
        <w:t>This plan is a:</w:t>
      </w:r>
    </w:p>
    <w:p w:rsidR="00F97D54" w:rsidRDefault="00F97D54">
      <w:pPr>
        <w:spacing w:after="120"/>
        <w:ind w:left="1080" w:firstLine="360"/>
        <w:rPr>
          <w:kern w:val="0"/>
        </w:rPr>
      </w:pPr>
      <w:r>
        <w:rPr>
          <w:rFonts w:ascii="Times New Roman Bold" w:hAnsi="Times New Roman Bold"/>
          <w:b/>
          <w:kern w:val="0"/>
          <w:sz w:val="28"/>
        </w:rPr>
        <w:t xml:space="preserve">□  </w:t>
      </w:r>
      <w:r>
        <w:rPr>
          <w:i/>
          <w:kern w:val="0"/>
          <w:szCs w:val="22"/>
        </w:rPr>
        <w:t>Tariff Plan</w:t>
      </w:r>
      <w:r>
        <w:rPr>
          <w:kern w:val="0"/>
          <w:szCs w:val="22"/>
        </w:rPr>
        <w:t xml:space="preserve">  </w:t>
      </w:r>
      <w:r>
        <w:rPr>
          <w:rFonts w:ascii="Times New Roman Bold" w:hAnsi="Times New Roman Bold"/>
          <w:b/>
          <w:kern w:val="0"/>
          <w:sz w:val="28"/>
        </w:rPr>
        <w:t xml:space="preserve">□  </w:t>
      </w:r>
      <w:r>
        <w:rPr>
          <w:i/>
          <w:kern w:val="0"/>
          <w:szCs w:val="22"/>
        </w:rPr>
        <w:t xml:space="preserve">Contract-Based Tariff </w:t>
      </w:r>
      <w:r>
        <w:rPr>
          <w:kern w:val="0"/>
          <w:szCs w:val="22"/>
        </w:rPr>
        <w:t>(select one)</w:t>
      </w:r>
    </w:p>
    <w:p w:rsidR="00F97D54" w:rsidRDefault="00F97D54" w:rsidP="00EB5B97">
      <w:pPr>
        <w:numPr>
          <w:ilvl w:val="0"/>
          <w:numId w:val="115"/>
        </w:numPr>
        <w:spacing w:after="120"/>
        <w:rPr>
          <w:kern w:val="0"/>
        </w:rPr>
      </w:pPr>
      <w:r>
        <w:rPr>
          <w:kern w:val="0"/>
        </w:rPr>
        <w:t>Plan name:</w:t>
      </w:r>
    </w:p>
    <w:p w:rsidR="00F97D54" w:rsidRDefault="00F97D54" w:rsidP="00EB5B97">
      <w:pPr>
        <w:numPr>
          <w:ilvl w:val="0"/>
          <w:numId w:val="115"/>
        </w:numPr>
        <w:spacing w:after="120"/>
        <w:rPr>
          <w:kern w:val="0"/>
        </w:rPr>
      </w:pPr>
      <w:r>
        <w:rPr>
          <w:i/>
          <w:kern w:val="0"/>
        </w:rPr>
        <w:t>Provider</w:t>
      </w:r>
      <w:r>
        <w:rPr>
          <w:kern w:val="0"/>
        </w:rPr>
        <w:t xml:space="preserve"> name:</w:t>
      </w:r>
    </w:p>
    <w:p w:rsidR="00F97D54" w:rsidRDefault="00F97D54" w:rsidP="00EB5B97">
      <w:pPr>
        <w:numPr>
          <w:ilvl w:val="0"/>
          <w:numId w:val="115"/>
        </w:numPr>
        <w:spacing w:after="120"/>
        <w:rPr>
          <w:kern w:val="0"/>
        </w:rPr>
      </w:pPr>
      <w:r>
        <w:rPr>
          <w:i/>
          <w:kern w:val="0"/>
        </w:rPr>
        <w:t>Tariff</w:t>
      </w:r>
      <w:r>
        <w:rPr>
          <w:kern w:val="0"/>
        </w:rPr>
        <w:t xml:space="preserve"> and Section Number(s):</w:t>
      </w:r>
    </w:p>
    <w:p w:rsidR="00F97D54" w:rsidRDefault="00F97D54" w:rsidP="00EB5B97">
      <w:pPr>
        <w:numPr>
          <w:ilvl w:val="0"/>
          <w:numId w:val="115"/>
        </w:numPr>
        <w:rPr>
          <w:kern w:val="0"/>
        </w:rPr>
      </w:pPr>
      <w:r>
        <w:rPr>
          <w:i/>
          <w:kern w:val="0"/>
        </w:rPr>
        <w:t>Tariff</w:t>
      </w:r>
      <w:r>
        <w:rPr>
          <w:kern w:val="0"/>
        </w:rPr>
        <w:t xml:space="preserve"> type:</w:t>
      </w:r>
    </w:p>
    <w:p w:rsidR="00F97D54" w:rsidRDefault="00F97D54">
      <w:pPr>
        <w:spacing w:after="120"/>
        <w:ind w:left="1440"/>
        <w:rPr>
          <w:kern w:val="0"/>
        </w:rPr>
      </w:pPr>
      <w:r>
        <w:rPr>
          <w:rFonts w:ascii="Times New Roman Bold" w:hAnsi="Times New Roman Bold"/>
          <w:b/>
          <w:kern w:val="0"/>
          <w:sz w:val="28"/>
        </w:rPr>
        <w:t xml:space="preserve">□  </w:t>
      </w:r>
      <w:r>
        <w:rPr>
          <w:kern w:val="0"/>
          <w:szCs w:val="22"/>
        </w:rPr>
        <w:t xml:space="preserve">Interstate  </w:t>
      </w:r>
      <w:r>
        <w:rPr>
          <w:rFonts w:ascii="Times New Roman Bold" w:hAnsi="Times New Roman Bold"/>
          <w:b/>
          <w:kern w:val="0"/>
          <w:sz w:val="28"/>
        </w:rPr>
        <w:t xml:space="preserve">□  </w:t>
      </w:r>
      <w:r>
        <w:rPr>
          <w:kern w:val="0"/>
          <w:szCs w:val="22"/>
        </w:rPr>
        <w:t>Intrastate</w:t>
      </w:r>
    </w:p>
    <w:p w:rsidR="00F97D54" w:rsidRDefault="00F97D54" w:rsidP="00EB5B97">
      <w:pPr>
        <w:numPr>
          <w:ilvl w:val="0"/>
          <w:numId w:val="115"/>
        </w:numPr>
        <w:rPr>
          <w:kern w:val="0"/>
        </w:rPr>
      </w:pPr>
      <w:r>
        <w:rPr>
          <w:kern w:val="0"/>
        </w:rPr>
        <w:t>This plan contains:</w:t>
      </w:r>
    </w:p>
    <w:p w:rsidR="00F97D54" w:rsidRDefault="00F97D54">
      <w:pPr>
        <w:rPr>
          <w:kern w:val="0"/>
        </w:rPr>
      </w:pPr>
      <w:r>
        <w:rPr>
          <w:b/>
          <w:kern w:val="0"/>
        </w:rPr>
        <w:t>⁯⁫</w:t>
      </w:r>
      <w:dir w:val="ltr">
        <w:r>
          <w:rPr>
            <w:b/>
            <w:kern w:val="0"/>
          </w:rPr>
          <w:tab/>
        </w:r>
        <w:r>
          <w:rPr>
            <w:b/>
            <w:kern w:val="0"/>
          </w:rPr>
          <w:tab/>
        </w:r>
        <w:r>
          <w:rPr>
            <w:rFonts w:ascii="Times New Roman Bold" w:hAnsi="Times New Roman Bold"/>
            <w:b/>
            <w:kern w:val="0"/>
            <w:sz w:val="28"/>
          </w:rPr>
          <w:t>□</w:t>
        </w:r>
        <w:r>
          <w:rPr>
            <w:b/>
            <w:kern w:val="0"/>
          </w:rPr>
          <w:t xml:space="preserve">  </w:t>
        </w:r>
        <w:r>
          <w:rPr>
            <w:i/>
            <w:kern w:val="0"/>
          </w:rPr>
          <w:t>Term Commitment(s)</w:t>
        </w:r>
        <w:r>
          <w:rPr>
            <w:kern w:val="0"/>
          </w:rPr>
          <w:t xml:space="preserve">  </w:t>
        </w:r>
        <w:r>
          <w:rPr>
            <w:rFonts w:ascii="Times New Roman Bold" w:hAnsi="Times New Roman Bold"/>
            <w:b/>
            <w:kern w:val="0"/>
            <w:sz w:val="28"/>
          </w:rPr>
          <w:t>□</w:t>
        </w:r>
        <w:r>
          <w:rPr>
            <w:b/>
            <w:kern w:val="0"/>
          </w:rPr>
          <w:t xml:space="preserve">  </w:t>
        </w:r>
        <w:r>
          <w:rPr>
            <w:i/>
            <w:kern w:val="0"/>
          </w:rPr>
          <w:t>Volume Commitment(s)</w:t>
        </w:r>
        <w:r w:rsidR="000D1B5B">
          <w:t>‬</w:t>
        </w:r>
        <w:r w:rsidR="00877B9F">
          <w:t>‬</w:t>
        </w:r>
        <w:r w:rsidR="00D610B7">
          <w:t>‬</w:t>
        </w:r>
        <w:r w:rsidR="008E5B1D">
          <w:t>‬</w:t>
        </w:r>
        <w:r w:rsidR="0033254D">
          <w:t>‬</w:t>
        </w:r>
        <w:r w:rsidR="00B11E6E">
          <w:t>‬</w:t>
        </w:r>
        <w:r w:rsidR="003C1C85">
          <w:t>‬</w:t>
        </w:r>
        <w:r w:rsidR="007916AE">
          <w:t>‬</w:t>
        </w:r>
        <w:r w:rsidR="005D7275">
          <w:t>‬</w:t>
        </w:r>
        <w:r w:rsidR="0047272E">
          <w:t>‬</w:t>
        </w:r>
        <w:r w:rsidR="008C6C19">
          <w:t>‬</w:t>
        </w:r>
        <w:r w:rsidR="00381F17">
          <w:t>‬</w:t>
        </w:r>
        <w:r w:rsidR="005A5FB6">
          <w:t>‬</w:t>
        </w:r>
        <w:r w:rsidR="007633BC">
          <w:t>‬</w:t>
        </w:r>
        <w:r w:rsidR="00B41778">
          <w:t>‬</w:t>
        </w:r>
        <w:r w:rsidR="00B350DE">
          <w:t>‬</w:t>
        </w:r>
        <w:r w:rsidR="00000E96">
          <w:t>‬</w:t>
        </w:r>
        <w:r w:rsidR="00051C98">
          <w:t>‬</w:t>
        </w:r>
        <w:r w:rsidR="00FD33F9">
          <w:t>‬</w:t>
        </w:r>
        <w:r w:rsidR="00CD5011">
          <w:t>‬</w:t>
        </w:r>
        <w:r w:rsidR="00942104">
          <w:t>‬</w:t>
        </w:r>
        <w:r w:rsidR="001B310A">
          <w:t>‬</w:t>
        </w:r>
        <w:r w:rsidR="0083344C">
          <w:t>‬</w:t>
        </w:r>
        <w:r w:rsidR="00441ED3">
          <w:t>‬</w:t>
        </w:r>
        <w:r w:rsidR="00295162">
          <w:t>‬</w:t>
        </w:r>
        <w:r w:rsidR="00576C5A">
          <w:t>‬</w:t>
        </w:r>
        <w:r w:rsidR="00F1179D">
          <w:t>‬</w:t>
        </w:r>
        <w:r w:rsidR="00356C23">
          <w:t>‬</w:t>
        </w:r>
        <w:r w:rsidR="00F40BB7">
          <w:t>‬</w:t>
        </w:r>
        <w:r w:rsidR="00670412">
          <w:t>‬</w:t>
        </w:r>
        <w:r w:rsidR="00325659">
          <w:t>‬</w:t>
        </w:r>
        <w:r w:rsidR="00FB20A9">
          <w:t>‬</w:t>
        </w:r>
      </w:dir>
    </w:p>
    <w:p w:rsidR="00F97D54" w:rsidRDefault="00F97D54">
      <w:pPr>
        <w:spacing w:after="120"/>
        <w:ind w:left="720" w:firstLine="720"/>
        <w:rPr>
          <w:kern w:val="0"/>
        </w:rPr>
      </w:pPr>
      <w:r>
        <w:rPr>
          <w:rFonts w:ascii="Times New Roman Bold" w:hAnsi="Times New Roman Bold"/>
          <w:b/>
          <w:kern w:val="0"/>
          <w:sz w:val="28"/>
        </w:rPr>
        <w:t>□</w:t>
      </w:r>
      <w:r>
        <w:rPr>
          <w:b/>
          <w:kern w:val="0"/>
        </w:rPr>
        <w:t xml:space="preserve">  </w:t>
      </w:r>
      <w:r>
        <w:rPr>
          <w:i/>
          <w:kern w:val="0"/>
        </w:rPr>
        <w:t xml:space="preserve">Non-Rate Benefit </w:t>
      </w:r>
      <w:r>
        <w:rPr>
          <w:kern w:val="0"/>
        </w:rPr>
        <w:t>option(s) (select all that apply)</w:t>
      </w:r>
    </w:p>
    <w:p w:rsidR="00F97D54" w:rsidRDefault="00F97D54" w:rsidP="00EB5B97">
      <w:pPr>
        <w:numPr>
          <w:ilvl w:val="0"/>
          <w:numId w:val="115"/>
        </w:numPr>
        <w:spacing w:after="120"/>
        <w:rPr>
          <w:kern w:val="0"/>
        </w:rPr>
      </w:pPr>
      <w:r>
        <w:rPr>
          <w:kern w:val="0"/>
        </w:rPr>
        <w:t xml:space="preserve">If the plan contains </w:t>
      </w:r>
      <w:r>
        <w:rPr>
          <w:i/>
          <w:kern w:val="0"/>
        </w:rPr>
        <w:t>Non-Rate Benefits</w:t>
      </w:r>
      <w:r>
        <w:rPr>
          <w:kern w:val="0"/>
        </w:rPr>
        <w:t xml:space="preserve">, identify the </w:t>
      </w:r>
      <w:r>
        <w:rPr>
          <w:i/>
          <w:kern w:val="0"/>
        </w:rPr>
        <w:t>Non-Rate Benefits</w:t>
      </w:r>
      <w:r>
        <w:rPr>
          <w:kern w:val="0"/>
        </w:rPr>
        <w:t xml:space="preserve"> that were relevant to your decision to purchase services under this plan.  </w:t>
      </w:r>
    </w:p>
    <w:p w:rsidR="00F97D54" w:rsidRDefault="00F97D54" w:rsidP="00EB5B97">
      <w:pPr>
        <w:numPr>
          <w:ilvl w:val="0"/>
          <w:numId w:val="115"/>
        </w:numPr>
        <w:rPr>
          <w:kern w:val="0"/>
        </w:rPr>
      </w:pPr>
      <w:r>
        <w:rPr>
          <w:kern w:val="0"/>
        </w:rPr>
        <w:t>This plan can be applied to the purchase of:</w:t>
      </w:r>
    </w:p>
    <w:p w:rsidR="00F97D54" w:rsidRDefault="00F97D54">
      <w:pPr>
        <w:spacing w:after="120"/>
        <w:ind w:left="720" w:firstLine="720"/>
        <w:rPr>
          <w:kern w:val="0"/>
          <w:szCs w:val="22"/>
        </w:rPr>
      </w:pPr>
      <w:r>
        <w:rPr>
          <w:rFonts w:ascii="Times New Roman Bold" w:hAnsi="Times New Roman Bold"/>
          <w:b/>
          <w:kern w:val="0"/>
          <w:sz w:val="28"/>
        </w:rPr>
        <w:t xml:space="preserve">□ </w:t>
      </w:r>
      <w:r>
        <w:rPr>
          <w:i/>
          <w:kern w:val="0"/>
          <w:szCs w:val="22"/>
        </w:rPr>
        <w:t>DS1</w:t>
      </w:r>
      <w:r>
        <w:rPr>
          <w:kern w:val="0"/>
          <w:szCs w:val="22"/>
        </w:rPr>
        <w:t xml:space="preserve"> services   </w:t>
      </w:r>
      <w:r>
        <w:rPr>
          <w:rFonts w:ascii="Times New Roman Bold" w:hAnsi="Times New Roman Bold"/>
          <w:b/>
          <w:kern w:val="0"/>
          <w:sz w:val="28"/>
        </w:rPr>
        <w:t xml:space="preserve">□ </w:t>
      </w:r>
      <w:r>
        <w:rPr>
          <w:i/>
          <w:kern w:val="0"/>
          <w:szCs w:val="22"/>
        </w:rPr>
        <w:t>DS3</w:t>
      </w:r>
      <w:r>
        <w:rPr>
          <w:kern w:val="0"/>
          <w:szCs w:val="22"/>
        </w:rPr>
        <w:t xml:space="preserve"> services   </w:t>
      </w:r>
      <w:r>
        <w:rPr>
          <w:rFonts w:ascii="Times New Roman Bold" w:hAnsi="Times New Roman Bold"/>
          <w:b/>
          <w:kern w:val="0"/>
          <w:sz w:val="28"/>
        </w:rPr>
        <w:t xml:space="preserve">□ </w:t>
      </w:r>
      <w:r>
        <w:rPr>
          <w:i/>
          <w:kern w:val="0"/>
          <w:szCs w:val="22"/>
        </w:rPr>
        <w:t>PBDS</w:t>
      </w:r>
      <w:r>
        <w:rPr>
          <w:rFonts w:ascii="Times New Roman Bold" w:hAnsi="Times New Roman Bold"/>
          <w:b/>
          <w:kern w:val="0"/>
          <w:sz w:val="28"/>
        </w:rPr>
        <w:t xml:space="preserve">  □ </w:t>
      </w:r>
      <w:r>
        <w:rPr>
          <w:kern w:val="0"/>
          <w:szCs w:val="22"/>
        </w:rPr>
        <w:t xml:space="preserve">Other </w:t>
      </w:r>
      <w:r>
        <w:rPr>
          <w:kern w:val="0"/>
        </w:rPr>
        <w:t>(select all that apply)</w:t>
      </w:r>
    </w:p>
    <w:p w:rsidR="00F97D54" w:rsidRPr="009E68BE" w:rsidRDefault="00F97D54" w:rsidP="00EB5B97">
      <w:pPr>
        <w:numPr>
          <w:ilvl w:val="0"/>
          <w:numId w:val="124"/>
        </w:numPr>
        <w:spacing w:after="120"/>
        <w:rPr>
          <w:kern w:val="0"/>
        </w:rPr>
      </w:pPr>
      <w:r>
        <w:rPr>
          <w:kern w:val="0"/>
        </w:rPr>
        <w:t xml:space="preserve">In what geographic areas do you purchase </w:t>
      </w:r>
      <w:r>
        <w:rPr>
          <w:i/>
          <w:kern w:val="0"/>
        </w:rPr>
        <w:t>DS1s</w:t>
      </w:r>
      <w:r>
        <w:rPr>
          <w:kern w:val="0"/>
        </w:rPr>
        <w:t xml:space="preserve">, </w:t>
      </w:r>
      <w:r>
        <w:rPr>
          <w:i/>
          <w:kern w:val="0"/>
        </w:rPr>
        <w:t>DS3s</w:t>
      </w:r>
      <w:r>
        <w:rPr>
          <w:kern w:val="0"/>
        </w:rPr>
        <w:t xml:space="preserve">, and/or </w:t>
      </w:r>
      <w:r>
        <w:rPr>
          <w:i/>
          <w:kern w:val="0"/>
        </w:rPr>
        <w:t>PBDS</w:t>
      </w:r>
      <w:r>
        <w:rPr>
          <w:kern w:val="0"/>
        </w:rPr>
        <w:t xml:space="preserve"> under this plan, </w:t>
      </w:r>
      <w:r>
        <w:rPr>
          <w:i/>
          <w:kern w:val="0"/>
        </w:rPr>
        <w:t>e.g.</w:t>
      </w:r>
      <w:r>
        <w:rPr>
          <w:kern w:val="0"/>
        </w:rPr>
        <w:t xml:space="preserve">, nationwide, certain states, or certain </w:t>
      </w:r>
      <w:r>
        <w:rPr>
          <w:i/>
          <w:kern w:val="0"/>
        </w:rPr>
        <w:t>MSAs</w:t>
      </w:r>
      <w:r>
        <w:rPr>
          <w:kern w:val="0"/>
        </w:rPr>
        <w:t xml:space="preserve">?    </w:t>
      </w:r>
      <w:r w:rsidRPr="009E68BE">
        <w:rPr>
          <w:kern w:val="0"/>
        </w:rPr>
        <w:t xml:space="preserve">  </w:t>
      </w:r>
    </w:p>
    <w:p w:rsidR="00F97D54" w:rsidRDefault="00F97D54" w:rsidP="00EB5B97">
      <w:pPr>
        <w:numPr>
          <w:ilvl w:val="0"/>
          <w:numId w:val="124"/>
        </w:numPr>
        <w:rPr>
          <w:kern w:val="0"/>
        </w:rPr>
      </w:pPr>
      <w:r>
        <w:rPr>
          <w:kern w:val="0"/>
        </w:rPr>
        <w:t xml:space="preserve">To receive a discount or </w:t>
      </w:r>
      <w:r>
        <w:rPr>
          <w:i/>
          <w:kern w:val="0"/>
        </w:rPr>
        <w:t xml:space="preserve">Non-Rate Benefit </w:t>
      </w:r>
      <w:r>
        <w:rPr>
          <w:kern w:val="0"/>
        </w:rPr>
        <w:t xml:space="preserve">under this plan, does your company make a </w:t>
      </w:r>
      <w:r>
        <w:rPr>
          <w:i/>
          <w:kern w:val="0"/>
        </w:rPr>
        <w:t>Prior Purchase-Based Commitment</w:t>
      </w:r>
      <w:r>
        <w:rPr>
          <w:kern w:val="0"/>
        </w:rPr>
        <w:t xml:space="preserve">?  </w:t>
      </w:r>
    </w:p>
    <w:p w:rsidR="00F97D54" w:rsidRDefault="00F97D54">
      <w:pPr>
        <w:spacing w:after="120"/>
        <w:ind w:left="720" w:firstLine="720"/>
        <w:rPr>
          <w:kern w:val="0"/>
          <w:szCs w:val="22"/>
        </w:rPr>
      </w:pPr>
      <w:r>
        <w:rPr>
          <w:rFonts w:ascii="Times New Roman Bold" w:hAnsi="Times New Roman Bold"/>
          <w:b/>
          <w:kern w:val="0"/>
          <w:sz w:val="28"/>
        </w:rPr>
        <w:t xml:space="preserve">□  </w:t>
      </w:r>
      <w:r>
        <w:rPr>
          <w:kern w:val="0"/>
          <w:szCs w:val="22"/>
        </w:rPr>
        <w:t xml:space="preserve">Yes  </w:t>
      </w:r>
      <w:r>
        <w:rPr>
          <w:rFonts w:ascii="Times New Roman Bold" w:hAnsi="Times New Roman Bold"/>
          <w:b/>
          <w:kern w:val="0"/>
          <w:sz w:val="28"/>
        </w:rPr>
        <w:t xml:space="preserve">□  </w:t>
      </w:r>
      <w:r>
        <w:rPr>
          <w:kern w:val="0"/>
          <w:szCs w:val="22"/>
        </w:rPr>
        <w:t>No</w:t>
      </w:r>
    </w:p>
    <w:p w:rsidR="00F97D54" w:rsidRDefault="00F97D54" w:rsidP="00EB5B97">
      <w:pPr>
        <w:numPr>
          <w:ilvl w:val="0"/>
          <w:numId w:val="124"/>
        </w:numPr>
        <w:rPr>
          <w:kern w:val="0"/>
        </w:rPr>
      </w:pPr>
      <w:r>
        <w:rPr>
          <w:kern w:val="0"/>
        </w:rPr>
        <w:t xml:space="preserve">If this is an </w:t>
      </w:r>
      <w:r>
        <w:rPr>
          <w:i/>
          <w:kern w:val="0"/>
        </w:rPr>
        <w:t>ILEC</w:t>
      </w:r>
      <w:r>
        <w:rPr>
          <w:kern w:val="0"/>
        </w:rPr>
        <w:t xml:space="preserve"> plan, do </w:t>
      </w:r>
      <w:r w:rsidRPr="0028595A">
        <w:rPr>
          <w:i/>
          <w:kern w:val="0"/>
        </w:rPr>
        <w:t>DS1</w:t>
      </w:r>
      <w:r>
        <w:rPr>
          <w:kern w:val="0"/>
        </w:rPr>
        <w:t xml:space="preserve">, </w:t>
      </w:r>
      <w:r>
        <w:rPr>
          <w:i/>
          <w:kern w:val="0"/>
        </w:rPr>
        <w:t>DS3</w:t>
      </w:r>
      <w:r>
        <w:rPr>
          <w:kern w:val="0"/>
        </w:rPr>
        <w:t xml:space="preserve"> or tariffed </w:t>
      </w:r>
      <w:r w:rsidRPr="0028595A">
        <w:rPr>
          <w:i/>
          <w:kern w:val="0"/>
        </w:rPr>
        <w:t>PBDS</w:t>
      </w:r>
      <w:r>
        <w:rPr>
          <w:kern w:val="0"/>
        </w:rPr>
        <w:t xml:space="preserve"> purchases your company makes outside the study area(s) of the </w:t>
      </w:r>
      <w:r>
        <w:rPr>
          <w:i/>
          <w:kern w:val="0"/>
        </w:rPr>
        <w:t>ILEC</w:t>
      </w:r>
      <w:r>
        <w:rPr>
          <w:kern w:val="0"/>
        </w:rPr>
        <w:t xml:space="preserve"> (</w:t>
      </w:r>
      <w:r>
        <w:rPr>
          <w:i/>
          <w:kern w:val="0"/>
        </w:rPr>
        <w:t>e.g.</w:t>
      </w:r>
      <w:r>
        <w:rPr>
          <w:kern w:val="0"/>
        </w:rPr>
        <w:t xml:space="preserve">, purchases from an </w:t>
      </w:r>
      <w:r>
        <w:rPr>
          <w:i/>
          <w:kern w:val="0"/>
        </w:rPr>
        <w:t>Affiliated Company</w:t>
      </w:r>
      <w:r>
        <w:rPr>
          <w:kern w:val="0"/>
        </w:rPr>
        <w:t xml:space="preserve"> of the </w:t>
      </w:r>
      <w:r>
        <w:rPr>
          <w:i/>
          <w:kern w:val="0"/>
        </w:rPr>
        <w:t>ILEC</w:t>
      </w:r>
      <w:r>
        <w:rPr>
          <w:kern w:val="0"/>
        </w:rPr>
        <w:t xml:space="preserve"> that is providing out-of-region service as a CLEC) count towards meeting any </w:t>
      </w:r>
      <w:r>
        <w:rPr>
          <w:i/>
          <w:kern w:val="0"/>
        </w:rPr>
        <w:t>Volume Commitment</w:t>
      </w:r>
      <w:r>
        <w:rPr>
          <w:kern w:val="0"/>
        </w:rPr>
        <w:t xml:space="preserve"> to receive a discount or </w:t>
      </w:r>
      <w:r>
        <w:rPr>
          <w:i/>
          <w:kern w:val="0"/>
        </w:rPr>
        <w:t>Non-Rate Benefit</w:t>
      </w:r>
      <w:r>
        <w:rPr>
          <w:kern w:val="0"/>
        </w:rPr>
        <w:t xml:space="preserve"> under this plan?  </w:t>
      </w:r>
    </w:p>
    <w:p w:rsidR="00F97D54" w:rsidRDefault="00F97D54">
      <w:pPr>
        <w:spacing w:after="120"/>
        <w:ind w:left="720" w:firstLine="720"/>
        <w:rPr>
          <w:kern w:val="0"/>
          <w:szCs w:val="22"/>
        </w:rPr>
      </w:pPr>
      <w:r>
        <w:rPr>
          <w:rFonts w:ascii="Times New Roman Bold" w:hAnsi="Times New Roman Bold"/>
          <w:b/>
          <w:kern w:val="0"/>
          <w:sz w:val="28"/>
        </w:rPr>
        <w:t xml:space="preserve">□  </w:t>
      </w:r>
      <w:r>
        <w:rPr>
          <w:kern w:val="0"/>
          <w:szCs w:val="22"/>
        </w:rPr>
        <w:t>Yes</w:t>
      </w:r>
      <w:r>
        <w:rPr>
          <w:kern w:val="0"/>
          <w:sz w:val="24"/>
        </w:rPr>
        <w:t xml:space="preserve">  </w:t>
      </w:r>
      <w:r>
        <w:rPr>
          <w:rFonts w:ascii="Times New Roman Bold" w:hAnsi="Times New Roman Bold"/>
          <w:b/>
          <w:kern w:val="0"/>
          <w:sz w:val="28"/>
        </w:rPr>
        <w:t xml:space="preserve">□  </w:t>
      </w:r>
      <w:r>
        <w:rPr>
          <w:kern w:val="0"/>
          <w:szCs w:val="22"/>
        </w:rPr>
        <w:t xml:space="preserve">No  </w:t>
      </w:r>
      <w:r>
        <w:rPr>
          <w:rFonts w:ascii="Times New Roman Bold" w:hAnsi="Times New Roman Bold"/>
          <w:b/>
          <w:kern w:val="0"/>
          <w:sz w:val="28"/>
        </w:rPr>
        <w:t xml:space="preserve">□  </w:t>
      </w:r>
      <w:r>
        <w:rPr>
          <w:kern w:val="0"/>
          <w:szCs w:val="22"/>
        </w:rPr>
        <w:t xml:space="preserve">N/A (no </w:t>
      </w:r>
      <w:r>
        <w:rPr>
          <w:i/>
          <w:kern w:val="0"/>
          <w:szCs w:val="22"/>
        </w:rPr>
        <w:t>Volume Commitment</w:t>
      </w:r>
      <w:r>
        <w:rPr>
          <w:kern w:val="0"/>
          <w:szCs w:val="22"/>
        </w:rPr>
        <w:t xml:space="preserve">, not an </w:t>
      </w:r>
      <w:r>
        <w:rPr>
          <w:i/>
          <w:kern w:val="0"/>
          <w:szCs w:val="22"/>
        </w:rPr>
        <w:t>ILEC</w:t>
      </w:r>
      <w:r>
        <w:rPr>
          <w:kern w:val="0"/>
          <w:szCs w:val="22"/>
        </w:rPr>
        <w:t xml:space="preserve"> plan)</w:t>
      </w:r>
    </w:p>
    <w:p w:rsidR="00F97D54" w:rsidRDefault="00F97D54" w:rsidP="00EB5B97">
      <w:pPr>
        <w:numPr>
          <w:ilvl w:val="0"/>
          <w:numId w:val="116"/>
        </w:numPr>
        <w:spacing w:after="120"/>
        <w:rPr>
          <w:kern w:val="0"/>
          <w:szCs w:val="22"/>
        </w:rPr>
      </w:pPr>
      <w:r>
        <w:rPr>
          <w:kern w:val="0"/>
          <w:szCs w:val="22"/>
        </w:rPr>
        <w:t xml:space="preserve">If you answered yes, in what geographic areas outside the study area(s) of the </w:t>
      </w:r>
      <w:r>
        <w:rPr>
          <w:i/>
          <w:kern w:val="0"/>
          <w:szCs w:val="22"/>
        </w:rPr>
        <w:t>ILEC</w:t>
      </w:r>
      <w:r>
        <w:rPr>
          <w:kern w:val="0"/>
          <w:szCs w:val="22"/>
        </w:rPr>
        <w:t xml:space="preserve">, do you purchase these </w:t>
      </w:r>
      <w:r>
        <w:rPr>
          <w:i/>
          <w:kern w:val="0"/>
          <w:szCs w:val="22"/>
        </w:rPr>
        <w:t>DS1s</w:t>
      </w:r>
      <w:r>
        <w:rPr>
          <w:kern w:val="0"/>
          <w:szCs w:val="22"/>
        </w:rPr>
        <w:t xml:space="preserve">, </w:t>
      </w:r>
      <w:r>
        <w:rPr>
          <w:i/>
          <w:kern w:val="0"/>
          <w:szCs w:val="22"/>
        </w:rPr>
        <w:t>DS3s</w:t>
      </w:r>
      <w:r>
        <w:rPr>
          <w:kern w:val="0"/>
          <w:szCs w:val="22"/>
        </w:rPr>
        <w:t xml:space="preserve">, and/or tariffed </w:t>
      </w:r>
      <w:r w:rsidRPr="0028595A">
        <w:rPr>
          <w:i/>
          <w:kern w:val="0"/>
          <w:szCs w:val="22"/>
        </w:rPr>
        <w:t>PBDS</w:t>
      </w:r>
      <w:r>
        <w:rPr>
          <w:kern w:val="0"/>
        </w:rPr>
        <w:t xml:space="preserve">?      </w:t>
      </w:r>
    </w:p>
    <w:p w:rsidR="00F97D54" w:rsidRDefault="00F97D54" w:rsidP="00724B61">
      <w:pPr>
        <w:widowControl/>
        <w:numPr>
          <w:ilvl w:val="0"/>
          <w:numId w:val="116"/>
        </w:numPr>
        <w:spacing w:after="120"/>
        <w:rPr>
          <w:kern w:val="0"/>
        </w:rPr>
      </w:pPr>
      <w:r>
        <w:rPr>
          <w:kern w:val="0"/>
        </w:rPr>
        <w:t xml:space="preserve">For each geographic area identified, state whether your company would have purchased from a different </w:t>
      </w:r>
      <w:r>
        <w:rPr>
          <w:i/>
          <w:kern w:val="0"/>
        </w:rPr>
        <w:t>Provider</w:t>
      </w:r>
      <w:r>
        <w:rPr>
          <w:kern w:val="0"/>
        </w:rPr>
        <w:t>, if at all,</w:t>
      </w:r>
      <w:r>
        <w:rPr>
          <w:i/>
          <w:kern w:val="0"/>
        </w:rPr>
        <w:t xml:space="preserve"> </w:t>
      </w:r>
      <w:r>
        <w:rPr>
          <w:kern w:val="0"/>
        </w:rPr>
        <w:t xml:space="preserve">had it not been for the discounts or </w:t>
      </w:r>
      <w:r>
        <w:rPr>
          <w:i/>
          <w:kern w:val="0"/>
        </w:rPr>
        <w:t>Non-Rate Benefits</w:t>
      </w:r>
      <w:r>
        <w:rPr>
          <w:kern w:val="0"/>
        </w:rPr>
        <w:t xml:space="preserve"> received under this plan?  In your response, indicate whether the </w:t>
      </w:r>
      <w:r>
        <w:rPr>
          <w:i/>
          <w:kern w:val="0"/>
        </w:rPr>
        <w:t>Provider</w:t>
      </w:r>
      <w:r>
        <w:rPr>
          <w:kern w:val="0"/>
        </w:rPr>
        <w:t xml:space="preserve"> that you would have purchased from has </w:t>
      </w:r>
      <w:r>
        <w:rPr>
          <w:i/>
          <w:kern w:val="0"/>
        </w:rPr>
        <w:t>Connections</w:t>
      </w:r>
      <w:r>
        <w:rPr>
          <w:kern w:val="0"/>
        </w:rPr>
        <w:t xml:space="preserve"> serving that geographic area</w:t>
      </w:r>
      <w:r w:rsidRPr="00E73082">
        <w:rPr>
          <w:kern w:val="0"/>
        </w:rPr>
        <w:t xml:space="preserve"> </w:t>
      </w:r>
      <w:r>
        <w:rPr>
          <w:kern w:val="0"/>
        </w:rPr>
        <w:t xml:space="preserve">and the </w:t>
      </w:r>
      <w:r w:rsidRPr="00D215AC">
        <w:rPr>
          <w:i/>
          <w:kern w:val="0"/>
        </w:rPr>
        <w:t>Provider’s</w:t>
      </w:r>
      <w:r>
        <w:rPr>
          <w:kern w:val="0"/>
        </w:rPr>
        <w:t xml:space="preserve"> name.  </w:t>
      </w:r>
    </w:p>
    <w:p w:rsidR="00F97D54" w:rsidRDefault="00F97D54" w:rsidP="00EB5B97">
      <w:pPr>
        <w:numPr>
          <w:ilvl w:val="0"/>
          <w:numId w:val="124"/>
        </w:numPr>
        <w:rPr>
          <w:kern w:val="0"/>
          <w:szCs w:val="22"/>
        </w:rPr>
      </w:pPr>
      <w:r>
        <w:rPr>
          <w:kern w:val="0"/>
          <w:szCs w:val="22"/>
        </w:rPr>
        <w:t xml:space="preserve">If this is an </w:t>
      </w:r>
      <w:r>
        <w:rPr>
          <w:i/>
          <w:kern w:val="0"/>
          <w:szCs w:val="22"/>
        </w:rPr>
        <w:t>ILEC</w:t>
      </w:r>
      <w:r>
        <w:rPr>
          <w:kern w:val="0"/>
          <w:szCs w:val="22"/>
        </w:rPr>
        <w:t xml:space="preserve"> plan, do </w:t>
      </w:r>
      <w:r>
        <w:rPr>
          <w:i/>
          <w:kern w:val="0"/>
          <w:szCs w:val="22"/>
        </w:rPr>
        <w:t>DS1</w:t>
      </w:r>
      <w:r>
        <w:rPr>
          <w:kern w:val="0"/>
          <w:szCs w:val="22"/>
        </w:rPr>
        <w:t xml:space="preserve">, </w:t>
      </w:r>
      <w:r>
        <w:rPr>
          <w:i/>
          <w:kern w:val="0"/>
          <w:szCs w:val="22"/>
        </w:rPr>
        <w:t>DS3</w:t>
      </w:r>
      <w:r>
        <w:rPr>
          <w:kern w:val="0"/>
          <w:szCs w:val="22"/>
        </w:rPr>
        <w:t xml:space="preserve">, and/or tariffed </w:t>
      </w:r>
      <w:r w:rsidRPr="001075B6">
        <w:rPr>
          <w:i/>
          <w:kern w:val="0"/>
          <w:szCs w:val="22"/>
        </w:rPr>
        <w:t>PBDS</w:t>
      </w:r>
      <w:r>
        <w:rPr>
          <w:kern w:val="0"/>
          <w:szCs w:val="22"/>
        </w:rPr>
        <w:t xml:space="preserve"> purchases your company makes from the </w:t>
      </w:r>
      <w:r>
        <w:rPr>
          <w:i/>
          <w:kern w:val="0"/>
          <w:szCs w:val="22"/>
        </w:rPr>
        <w:t>ILEC</w:t>
      </w:r>
      <w:r>
        <w:rPr>
          <w:kern w:val="0"/>
          <w:szCs w:val="22"/>
        </w:rPr>
        <w:t xml:space="preserve"> in price cap areas where the Commission has not granted the </w:t>
      </w:r>
      <w:r>
        <w:rPr>
          <w:i/>
          <w:kern w:val="0"/>
          <w:szCs w:val="22"/>
        </w:rPr>
        <w:t>ILEC</w:t>
      </w:r>
      <w:r>
        <w:rPr>
          <w:kern w:val="0"/>
          <w:szCs w:val="22"/>
        </w:rPr>
        <w:t xml:space="preserve"> pricing flexibility count towards meeting any </w:t>
      </w:r>
      <w:r>
        <w:rPr>
          <w:i/>
          <w:kern w:val="0"/>
          <w:szCs w:val="22"/>
        </w:rPr>
        <w:t>Volume Commitment</w:t>
      </w:r>
      <w:r>
        <w:rPr>
          <w:kern w:val="0"/>
          <w:szCs w:val="22"/>
        </w:rPr>
        <w:t xml:space="preserve"> to receive a discount or </w:t>
      </w:r>
      <w:r>
        <w:rPr>
          <w:i/>
          <w:kern w:val="0"/>
          <w:szCs w:val="22"/>
        </w:rPr>
        <w:t>Non-Rate Benefit</w:t>
      </w:r>
      <w:r>
        <w:rPr>
          <w:kern w:val="0"/>
          <w:szCs w:val="22"/>
        </w:rPr>
        <w:t xml:space="preserve"> under this plan?</w:t>
      </w:r>
    </w:p>
    <w:p w:rsidR="00F97D54" w:rsidRDefault="00F97D54">
      <w:pPr>
        <w:spacing w:after="120"/>
        <w:ind w:left="1987" w:firstLine="187"/>
        <w:rPr>
          <w:kern w:val="0"/>
          <w:szCs w:val="22"/>
        </w:rPr>
      </w:pPr>
      <w:r>
        <w:rPr>
          <w:rFonts w:ascii="Times New Roman Bold" w:hAnsi="Times New Roman Bold"/>
          <w:b/>
          <w:kern w:val="0"/>
          <w:sz w:val="28"/>
        </w:rPr>
        <w:t xml:space="preserve">□  </w:t>
      </w:r>
      <w:r>
        <w:rPr>
          <w:kern w:val="0"/>
          <w:szCs w:val="22"/>
        </w:rPr>
        <w:t>Yes</w:t>
      </w:r>
      <w:r>
        <w:rPr>
          <w:kern w:val="0"/>
          <w:sz w:val="24"/>
        </w:rPr>
        <w:t xml:space="preserve">  </w:t>
      </w:r>
      <w:r>
        <w:rPr>
          <w:rFonts w:ascii="Times New Roman Bold" w:hAnsi="Times New Roman Bold"/>
          <w:b/>
          <w:kern w:val="0"/>
          <w:sz w:val="28"/>
        </w:rPr>
        <w:t xml:space="preserve">□  </w:t>
      </w:r>
      <w:r>
        <w:rPr>
          <w:kern w:val="0"/>
          <w:szCs w:val="22"/>
        </w:rPr>
        <w:t xml:space="preserve">No  </w:t>
      </w:r>
      <w:r>
        <w:rPr>
          <w:rFonts w:ascii="Times New Roman Bold" w:hAnsi="Times New Roman Bold"/>
          <w:b/>
          <w:kern w:val="0"/>
          <w:sz w:val="28"/>
        </w:rPr>
        <w:t xml:space="preserve">□  </w:t>
      </w:r>
      <w:r>
        <w:rPr>
          <w:kern w:val="0"/>
          <w:szCs w:val="22"/>
        </w:rPr>
        <w:t xml:space="preserve">N/A (no </w:t>
      </w:r>
      <w:r>
        <w:rPr>
          <w:i/>
          <w:kern w:val="0"/>
          <w:szCs w:val="22"/>
        </w:rPr>
        <w:t>Volume Commitment</w:t>
      </w:r>
      <w:r>
        <w:rPr>
          <w:kern w:val="0"/>
          <w:szCs w:val="22"/>
        </w:rPr>
        <w:t xml:space="preserve">, not an </w:t>
      </w:r>
      <w:r>
        <w:rPr>
          <w:i/>
          <w:kern w:val="0"/>
          <w:szCs w:val="22"/>
        </w:rPr>
        <w:t>ILEC</w:t>
      </w:r>
      <w:r>
        <w:rPr>
          <w:kern w:val="0"/>
          <w:szCs w:val="22"/>
        </w:rPr>
        <w:t xml:space="preserve"> plan)</w:t>
      </w:r>
    </w:p>
    <w:p w:rsidR="00F97D54" w:rsidRDefault="00F97D54" w:rsidP="00BC5602">
      <w:pPr>
        <w:widowControl/>
        <w:numPr>
          <w:ilvl w:val="0"/>
          <w:numId w:val="118"/>
        </w:numPr>
        <w:spacing w:after="120"/>
        <w:rPr>
          <w:kern w:val="0"/>
          <w:szCs w:val="22"/>
        </w:rPr>
      </w:pPr>
      <w:r>
        <w:rPr>
          <w:kern w:val="0"/>
          <w:szCs w:val="22"/>
        </w:rPr>
        <w:t xml:space="preserve">If you answered yes, then identify the </w:t>
      </w:r>
      <w:r>
        <w:rPr>
          <w:kern w:val="0"/>
        </w:rPr>
        <w:t xml:space="preserve">price cap areas where you purchase </w:t>
      </w:r>
      <w:r>
        <w:rPr>
          <w:i/>
          <w:kern w:val="0"/>
        </w:rPr>
        <w:t>DS1s</w:t>
      </w:r>
      <w:r>
        <w:rPr>
          <w:kern w:val="0"/>
        </w:rPr>
        <w:t xml:space="preserve">, </w:t>
      </w:r>
      <w:r>
        <w:rPr>
          <w:i/>
          <w:kern w:val="0"/>
        </w:rPr>
        <w:t>DS3s</w:t>
      </w:r>
      <w:r>
        <w:rPr>
          <w:kern w:val="0"/>
        </w:rPr>
        <w:t xml:space="preserve">, and/or tariffed </w:t>
      </w:r>
      <w:r w:rsidRPr="0028595A">
        <w:rPr>
          <w:i/>
          <w:kern w:val="0"/>
        </w:rPr>
        <w:t>PBDS</w:t>
      </w:r>
      <w:r>
        <w:rPr>
          <w:kern w:val="0"/>
        </w:rPr>
        <w:t xml:space="preserve"> that count towards meeting any </w:t>
      </w:r>
      <w:r>
        <w:rPr>
          <w:i/>
          <w:kern w:val="0"/>
        </w:rPr>
        <w:t>Volume Commitment</w:t>
      </w:r>
      <w:r>
        <w:rPr>
          <w:kern w:val="0"/>
        </w:rPr>
        <w:t xml:space="preserve"> to receive a discount or </w:t>
      </w:r>
      <w:r>
        <w:rPr>
          <w:i/>
          <w:kern w:val="0"/>
        </w:rPr>
        <w:t>Non-Rate Benefit</w:t>
      </w:r>
      <w:r>
        <w:rPr>
          <w:kern w:val="0"/>
        </w:rPr>
        <w:t xml:space="preserve"> under this plan?        </w:t>
      </w:r>
    </w:p>
    <w:p w:rsidR="00F97D54" w:rsidRDefault="00F97D54" w:rsidP="00EB5B97">
      <w:pPr>
        <w:numPr>
          <w:ilvl w:val="0"/>
          <w:numId w:val="124"/>
        </w:numPr>
        <w:rPr>
          <w:kern w:val="0"/>
          <w:szCs w:val="22"/>
        </w:rPr>
      </w:pPr>
      <w:r>
        <w:rPr>
          <w:kern w:val="0"/>
          <w:szCs w:val="22"/>
        </w:rPr>
        <w:t xml:space="preserve">If this is an </w:t>
      </w:r>
      <w:r>
        <w:rPr>
          <w:i/>
          <w:kern w:val="0"/>
          <w:szCs w:val="22"/>
        </w:rPr>
        <w:t>ILEC</w:t>
      </w:r>
      <w:r>
        <w:rPr>
          <w:kern w:val="0"/>
          <w:szCs w:val="22"/>
        </w:rPr>
        <w:t xml:space="preserve"> plan, do </w:t>
      </w:r>
      <w:r w:rsidRPr="0028595A">
        <w:rPr>
          <w:i/>
          <w:kern w:val="0"/>
          <w:szCs w:val="22"/>
        </w:rPr>
        <w:t>DS1</w:t>
      </w:r>
      <w:r>
        <w:rPr>
          <w:kern w:val="0"/>
          <w:szCs w:val="22"/>
        </w:rPr>
        <w:t xml:space="preserve">, </w:t>
      </w:r>
      <w:r w:rsidRPr="0028595A">
        <w:rPr>
          <w:i/>
          <w:kern w:val="0"/>
          <w:szCs w:val="22"/>
        </w:rPr>
        <w:t>DS3</w:t>
      </w:r>
      <w:r>
        <w:rPr>
          <w:kern w:val="0"/>
          <w:szCs w:val="22"/>
        </w:rPr>
        <w:t xml:space="preserve">, and/or tariffed </w:t>
      </w:r>
      <w:r w:rsidRPr="0028595A">
        <w:rPr>
          <w:i/>
          <w:kern w:val="0"/>
          <w:szCs w:val="22"/>
        </w:rPr>
        <w:t>PBDS</w:t>
      </w:r>
      <w:r>
        <w:rPr>
          <w:kern w:val="0"/>
          <w:szCs w:val="22"/>
        </w:rPr>
        <w:t xml:space="preserve"> purchases your company makes from the </w:t>
      </w:r>
      <w:r>
        <w:rPr>
          <w:i/>
          <w:kern w:val="0"/>
          <w:szCs w:val="22"/>
        </w:rPr>
        <w:t>ILEC</w:t>
      </w:r>
      <w:r>
        <w:rPr>
          <w:kern w:val="0"/>
          <w:szCs w:val="22"/>
        </w:rPr>
        <w:t xml:space="preserve"> in areas where the Commission has granted </w:t>
      </w:r>
      <w:r>
        <w:rPr>
          <w:i/>
          <w:kern w:val="0"/>
          <w:szCs w:val="22"/>
        </w:rPr>
        <w:t>Phase I</w:t>
      </w:r>
      <w:r>
        <w:rPr>
          <w:kern w:val="0"/>
          <w:szCs w:val="22"/>
        </w:rPr>
        <w:t xml:space="preserve"> </w:t>
      </w:r>
      <w:r>
        <w:rPr>
          <w:i/>
          <w:kern w:val="0"/>
          <w:szCs w:val="22"/>
        </w:rPr>
        <w:t>Pricing Flexibility</w:t>
      </w:r>
      <w:r>
        <w:rPr>
          <w:kern w:val="0"/>
          <w:szCs w:val="22"/>
        </w:rPr>
        <w:t xml:space="preserve"> count towards meeting any </w:t>
      </w:r>
      <w:r>
        <w:rPr>
          <w:i/>
          <w:kern w:val="0"/>
          <w:szCs w:val="22"/>
        </w:rPr>
        <w:t>Volume Commitment</w:t>
      </w:r>
      <w:r>
        <w:rPr>
          <w:kern w:val="0"/>
          <w:szCs w:val="22"/>
        </w:rPr>
        <w:t xml:space="preserve"> to receive a discount or </w:t>
      </w:r>
      <w:r>
        <w:rPr>
          <w:i/>
          <w:kern w:val="0"/>
          <w:szCs w:val="22"/>
        </w:rPr>
        <w:t>Non-Rate Benefit</w:t>
      </w:r>
      <w:r>
        <w:rPr>
          <w:kern w:val="0"/>
          <w:szCs w:val="22"/>
        </w:rPr>
        <w:t xml:space="preserve"> under this plan?</w:t>
      </w:r>
    </w:p>
    <w:p w:rsidR="00F97D54" w:rsidRDefault="00F97D54">
      <w:pPr>
        <w:spacing w:after="120"/>
        <w:ind w:left="1987" w:firstLine="187"/>
        <w:rPr>
          <w:kern w:val="0"/>
          <w:szCs w:val="22"/>
        </w:rPr>
      </w:pPr>
      <w:r>
        <w:rPr>
          <w:rFonts w:ascii="Times New Roman Bold" w:hAnsi="Times New Roman Bold"/>
          <w:b/>
          <w:kern w:val="0"/>
          <w:sz w:val="28"/>
        </w:rPr>
        <w:t xml:space="preserve">□  </w:t>
      </w:r>
      <w:r>
        <w:rPr>
          <w:kern w:val="0"/>
          <w:szCs w:val="22"/>
        </w:rPr>
        <w:t>Yes</w:t>
      </w:r>
      <w:r>
        <w:rPr>
          <w:kern w:val="0"/>
          <w:sz w:val="24"/>
        </w:rPr>
        <w:t xml:space="preserve">  </w:t>
      </w:r>
      <w:r>
        <w:rPr>
          <w:rFonts w:ascii="Times New Roman Bold" w:hAnsi="Times New Roman Bold"/>
          <w:b/>
          <w:kern w:val="0"/>
          <w:sz w:val="28"/>
        </w:rPr>
        <w:t xml:space="preserve">□  </w:t>
      </w:r>
      <w:r>
        <w:rPr>
          <w:kern w:val="0"/>
          <w:szCs w:val="22"/>
        </w:rPr>
        <w:t xml:space="preserve">No  </w:t>
      </w:r>
      <w:r>
        <w:rPr>
          <w:rFonts w:ascii="Times New Roman Bold" w:hAnsi="Times New Roman Bold"/>
          <w:b/>
          <w:kern w:val="0"/>
          <w:sz w:val="28"/>
        </w:rPr>
        <w:t xml:space="preserve">□  </w:t>
      </w:r>
      <w:r>
        <w:rPr>
          <w:kern w:val="0"/>
          <w:szCs w:val="22"/>
        </w:rPr>
        <w:t xml:space="preserve">N/A (no </w:t>
      </w:r>
      <w:r>
        <w:rPr>
          <w:i/>
          <w:kern w:val="0"/>
          <w:szCs w:val="22"/>
        </w:rPr>
        <w:t>Volume Commitment</w:t>
      </w:r>
      <w:r>
        <w:rPr>
          <w:kern w:val="0"/>
          <w:szCs w:val="22"/>
        </w:rPr>
        <w:t xml:space="preserve">, not an </w:t>
      </w:r>
      <w:r>
        <w:rPr>
          <w:i/>
          <w:kern w:val="0"/>
          <w:szCs w:val="22"/>
        </w:rPr>
        <w:t>ILEC</w:t>
      </w:r>
      <w:r>
        <w:rPr>
          <w:kern w:val="0"/>
          <w:szCs w:val="22"/>
        </w:rPr>
        <w:t xml:space="preserve"> plan)</w:t>
      </w:r>
    </w:p>
    <w:p w:rsidR="00F97D54" w:rsidRDefault="00F97D54" w:rsidP="00EB5B97">
      <w:pPr>
        <w:numPr>
          <w:ilvl w:val="0"/>
          <w:numId w:val="117"/>
        </w:numPr>
        <w:spacing w:after="120"/>
        <w:rPr>
          <w:kern w:val="0"/>
        </w:rPr>
      </w:pPr>
      <w:r>
        <w:rPr>
          <w:kern w:val="0"/>
          <w:szCs w:val="22"/>
        </w:rPr>
        <w:t>If you answered yes, in</w:t>
      </w:r>
      <w:r>
        <w:rPr>
          <w:kern w:val="0"/>
        </w:rPr>
        <w:t xml:space="preserve"> what geographic areas subject to pricing flexibility do you purchase </w:t>
      </w:r>
      <w:r>
        <w:rPr>
          <w:i/>
          <w:kern w:val="0"/>
        </w:rPr>
        <w:t>DS1s</w:t>
      </w:r>
      <w:r>
        <w:rPr>
          <w:kern w:val="0"/>
        </w:rPr>
        <w:t xml:space="preserve">, </w:t>
      </w:r>
      <w:r>
        <w:rPr>
          <w:i/>
          <w:kern w:val="0"/>
        </w:rPr>
        <w:t>DS3s</w:t>
      </w:r>
      <w:r>
        <w:rPr>
          <w:kern w:val="0"/>
        </w:rPr>
        <w:t xml:space="preserve">, and/or tariffed </w:t>
      </w:r>
      <w:r w:rsidRPr="0028595A">
        <w:rPr>
          <w:i/>
          <w:kern w:val="0"/>
        </w:rPr>
        <w:t>PBDS</w:t>
      </w:r>
      <w:r>
        <w:rPr>
          <w:kern w:val="0"/>
        </w:rPr>
        <w:t xml:space="preserve"> that count towards meeting any </w:t>
      </w:r>
      <w:r>
        <w:rPr>
          <w:i/>
          <w:kern w:val="0"/>
        </w:rPr>
        <w:t>Volume Commitment</w:t>
      </w:r>
      <w:r>
        <w:rPr>
          <w:kern w:val="0"/>
        </w:rPr>
        <w:t xml:space="preserve"> to receive a discount or </w:t>
      </w:r>
      <w:r>
        <w:rPr>
          <w:i/>
          <w:kern w:val="0"/>
        </w:rPr>
        <w:t>Non-Rate Benefit</w:t>
      </w:r>
      <w:r>
        <w:rPr>
          <w:kern w:val="0"/>
        </w:rPr>
        <w:t xml:space="preserve"> under this plan?     </w:t>
      </w:r>
    </w:p>
    <w:p w:rsidR="00F97D54" w:rsidRDefault="00F97D54" w:rsidP="00EB5B97">
      <w:pPr>
        <w:numPr>
          <w:ilvl w:val="0"/>
          <w:numId w:val="117"/>
        </w:numPr>
        <w:spacing w:after="120"/>
        <w:rPr>
          <w:kern w:val="0"/>
        </w:rPr>
      </w:pPr>
      <w:r>
        <w:rPr>
          <w:kern w:val="0"/>
        </w:rPr>
        <w:t>For each geographic area identified, state whether your company would have purchased from a different</w:t>
      </w:r>
      <w:r>
        <w:rPr>
          <w:i/>
          <w:kern w:val="0"/>
        </w:rPr>
        <w:t xml:space="preserve"> Provider</w:t>
      </w:r>
      <w:r>
        <w:rPr>
          <w:kern w:val="0"/>
        </w:rPr>
        <w:t xml:space="preserve">, if at all, had it not been for the requirements of the </w:t>
      </w:r>
      <w:r>
        <w:rPr>
          <w:i/>
          <w:kern w:val="0"/>
        </w:rPr>
        <w:t>Tariff Plan</w:t>
      </w:r>
      <w:r>
        <w:rPr>
          <w:kern w:val="0"/>
        </w:rPr>
        <w:t xml:space="preserve">?  In your response, indicate whether the </w:t>
      </w:r>
      <w:r>
        <w:rPr>
          <w:i/>
          <w:kern w:val="0"/>
        </w:rPr>
        <w:t>Provider</w:t>
      </w:r>
      <w:r>
        <w:rPr>
          <w:kern w:val="0"/>
        </w:rPr>
        <w:t xml:space="preserve"> that you would have purchased from has </w:t>
      </w:r>
      <w:r>
        <w:rPr>
          <w:i/>
          <w:kern w:val="0"/>
        </w:rPr>
        <w:t>Connections</w:t>
      </w:r>
      <w:r>
        <w:rPr>
          <w:kern w:val="0"/>
        </w:rPr>
        <w:t xml:space="preserve"> serving that geographic area</w:t>
      </w:r>
      <w:r w:rsidRPr="00E73082">
        <w:rPr>
          <w:kern w:val="0"/>
        </w:rPr>
        <w:t xml:space="preserve"> </w:t>
      </w:r>
      <w:r>
        <w:rPr>
          <w:kern w:val="0"/>
        </w:rPr>
        <w:t xml:space="preserve">and the </w:t>
      </w:r>
      <w:r w:rsidRPr="00D215AC">
        <w:rPr>
          <w:i/>
          <w:kern w:val="0"/>
        </w:rPr>
        <w:t>Provider’s</w:t>
      </w:r>
      <w:r>
        <w:rPr>
          <w:kern w:val="0"/>
        </w:rPr>
        <w:t xml:space="preserve"> name.   </w:t>
      </w:r>
    </w:p>
    <w:p w:rsidR="00F97D54" w:rsidRDefault="00F97D54" w:rsidP="00EB5B97">
      <w:pPr>
        <w:numPr>
          <w:ilvl w:val="0"/>
          <w:numId w:val="124"/>
        </w:numPr>
        <w:rPr>
          <w:kern w:val="0"/>
          <w:szCs w:val="22"/>
        </w:rPr>
      </w:pPr>
      <w:r>
        <w:rPr>
          <w:kern w:val="0"/>
          <w:szCs w:val="22"/>
        </w:rPr>
        <w:t xml:space="preserve">If this is an </w:t>
      </w:r>
      <w:r>
        <w:rPr>
          <w:i/>
          <w:kern w:val="0"/>
          <w:szCs w:val="22"/>
        </w:rPr>
        <w:t>ILEC</w:t>
      </w:r>
      <w:r>
        <w:rPr>
          <w:kern w:val="0"/>
          <w:szCs w:val="22"/>
        </w:rPr>
        <w:t xml:space="preserve"> plan, do </w:t>
      </w:r>
      <w:r w:rsidRPr="0028595A">
        <w:rPr>
          <w:i/>
          <w:kern w:val="0"/>
          <w:szCs w:val="22"/>
        </w:rPr>
        <w:t>DS1</w:t>
      </w:r>
      <w:r>
        <w:rPr>
          <w:kern w:val="0"/>
          <w:szCs w:val="22"/>
        </w:rPr>
        <w:t xml:space="preserve">, </w:t>
      </w:r>
      <w:r w:rsidRPr="0028595A">
        <w:rPr>
          <w:i/>
          <w:kern w:val="0"/>
          <w:szCs w:val="22"/>
        </w:rPr>
        <w:t>DS3</w:t>
      </w:r>
      <w:r>
        <w:rPr>
          <w:kern w:val="0"/>
          <w:szCs w:val="22"/>
        </w:rPr>
        <w:t xml:space="preserve">, and/or tariffed </w:t>
      </w:r>
      <w:r w:rsidRPr="0028595A">
        <w:rPr>
          <w:i/>
          <w:kern w:val="0"/>
          <w:szCs w:val="22"/>
        </w:rPr>
        <w:t>PBDS</w:t>
      </w:r>
      <w:r>
        <w:rPr>
          <w:kern w:val="0"/>
          <w:szCs w:val="22"/>
        </w:rPr>
        <w:t xml:space="preserve"> purchases your company makes from the </w:t>
      </w:r>
      <w:r>
        <w:rPr>
          <w:i/>
          <w:kern w:val="0"/>
          <w:szCs w:val="22"/>
        </w:rPr>
        <w:t>ILEC</w:t>
      </w:r>
      <w:r>
        <w:rPr>
          <w:kern w:val="0"/>
          <w:szCs w:val="22"/>
        </w:rPr>
        <w:t xml:space="preserve"> in areas where the Commission has granted </w:t>
      </w:r>
      <w:r>
        <w:rPr>
          <w:i/>
          <w:kern w:val="0"/>
          <w:szCs w:val="22"/>
        </w:rPr>
        <w:t>Phase II</w:t>
      </w:r>
      <w:r>
        <w:rPr>
          <w:kern w:val="0"/>
          <w:szCs w:val="22"/>
        </w:rPr>
        <w:t xml:space="preserve"> </w:t>
      </w:r>
      <w:r>
        <w:rPr>
          <w:i/>
          <w:kern w:val="0"/>
          <w:szCs w:val="22"/>
        </w:rPr>
        <w:t>Pricing Flexibility</w:t>
      </w:r>
      <w:r>
        <w:rPr>
          <w:kern w:val="0"/>
          <w:szCs w:val="22"/>
        </w:rPr>
        <w:t xml:space="preserve"> count towards meeting any </w:t>
      </w:r>
      <w:r>
        <w:rPr>
          <w:i/>
          <w:kern w:val="0"/>
          <w:szCs w:val="22"/>
        </w:rPr>
        <w:t>Volume Commitment</w:t>
      </w:r>
      <w:r>
        <w:rPr>
          <w:kern w:val="0"/>
          <w:szCs w:val="22"/>
        </w:rPr>
        <w:t xml:space="preserve"> to receive a discount or </w:t>
      </w:r>
      <w:r>
        <w:rPr>
          <w:i/>
          <w:kern w:val="0"/>
          <w:szCs w:val="22"/>
        </w:rPr>
        <w:t>Non-Rate Benefit</w:t>
      </w:r>
      <w:r>
        <w:rPr>
          <w:kern w:val="0"/>
          <w:szCs w:val="22"/>
        </w:rPr>
        <w:t xml:space="preserve"> under this plan?</w:t>
      </w:r>
    </w:p>
    <w:p w:rsidR="00F97D54" w:rsidRDefault="00F97D54" w:rsidP="00EB5B97">
      <w:pPr>
        <w:spacing w:after="120"/>
        <w:ind w:left="1987" w:firstLine="187"/>
        <w:rPr>
          <w:kern w:val="0"/>
          <w:szCs w:val="22"/>
        </w:rPr>
      </w:pPr>
      <w:r>
        <w:rPr>
          <w:rFonts w:ascii="Times New Roman Bold" w:hAnsi="Times New Roman Bold"/>
          <w:b/>
          <w:kern w:val="0"/>
          <w:sz w:val="28"/>
        </w:rPr>
        <w:t xml:space="preserve">□  </w:t>
      </w:r>
      <w:r>
        <w:rPr>
          <w:kern w:val="0"/>
          <w:szCs w:val="22"/>
        </w:rPr>
        <w:t>Yes</w:t>
      </w:r>
      <w:r>
        <w:rPr>
          <w:kern w:val="0"/>
          <w:sz w:val="24"/>
        </w:rPr>
        <w:t xml:space="preserve">  </w:t>
      </w:r>
      <w:r>
        <w:rPr>
          <w:rFonts w:ascii="Times New Roman Bold" w:hAnsi="Times New Roman Bold"/>
          <w:b/>
          <w:kern w:val="0"/>
          <w:sz w:val="28"/>
        </w:rPr>
        <w:t xml:space="preserve">□  </w:t>
      </w:r>
      <w:r>
        <w:rPr>
          <w:kern w:val="0"/>
          <w:szCs w:val="22"/>
        </w:rPr>
        <w:t xml:space="preserve">No  </w:t>
      </w:r>
      <w:r>
        <w:rPr>
          <w:rFonts w:ascii="Times New Roman Bold" w:hAnsi="Times New Roman Bold"/>
          <w:b/>
          <w:kern w:val="0"/>
          <w:sz w:val="28"/>
        </w:rPr>
        <w:t xml:space="preserve">□  </w:t>
      </w:r>
      <w:r>
        <w:rPr>
          <w:kern w:val="0"/>
          <w:szCs w:val="22"/>
        </w:rPr>
        <w:t xml:space="preserve">N/A (no </w:t>
      </w:r>
      <w:r>
        <w:rPr>
          <w:i/>
          <w:kern w:val="0"/>
          <w:szCs w:val="22"/>
        </w:rPr>
        <w:t>Volume Commitment</w:t>
      </w:r>
      <w:r>
        <w:rPr>
          <w:kern w:val="0"/>
          <w:szCs w:val="22"/>
        </w:rPr>
        <w:t xml:space="preserve">, not an </w:t>
      </w:r>
      <w:r>
        <w:rPr>
          <w:i/>
          <w:kern w:val="0"/>
          <w:szCs w:val="22"/>
        </w:rPr>
        <w:t>ILEC</w:t>
      </w:r>
      <w:r>
        <w:rPr>
          <w:kern w:val="0"/>
          <w:szCs w:val="22"/>
        </w:rPr>
        <w:t xml:space="preserve"> plan)</w:t>
      </w:r>
    </w:p>
    <w:p w:rsidR="00F97D54" w:rsidRDefault="00F97D54" w:rsidP="00EB5B97">
      <w:pPr>
        <w:numPr>
          <w:ilvl w:val="0"/>
          <w:numId w:val="130"/>
        </w:numPr>
        <w:spacing w:after="120"/>
        <w:rPr>
          <w:kern w:val="0"/>
        </w:rPr>
      </w:pPr>
      <w:r>
        <w:rPr>
          <w:kern w:val="0"/>
          <w:szCs w:val="22"/>
        </w:rPr>
        <w:t>If you answered yes, in</w:t>
      </w:r>
      <w:r>
        <w:rPr>
          <w:kern w:val="0"/>
        </w:rPr>
        <w:t xml:space="preserve"> what geographic areas subject to pricing flexibility do you purchase </w:t>
      </w:r>
      <w:r>
        <w:rPr>
          <w:i/>
          <w:kern w:val="0"/>
        </w:rPr>
        <w:t>DS1s</w:t>
      </w:r>
      <w:r>
        <w:rPr>
          <w:kern w:val="0"/>
        </w:rPr>
        <w:t xml:space="preserve">, </w:t>
      </w:r>
      <w:r>
        <w:rPr>
          <w:i/>
          <w:kern w:val="0"/>
        </w:rPr>
        <w:t>DS3s</w:t>
      </w:r>
      <w:r>
        <w:rPr>
          <w:kern w:val="0"/>
        </w:rPr>
        <w:t xml:space="preserve">, and/or tariffed </w:t>
      </w:r>
      <w:r w:rsidRPr="0028595A">
        <w:rPr>
          <w:i/>
          <w:kern w:val="0"/>
        </w:rPr>
        <w:t>PBDS</w:t>
      </w:r>
      <w:r>
        <w:rPr>
          <w:kern w:val="0"/>
        </w:rPr>
        <w:t xml:space="preserve"> that count towards meeting any </w:t>
      </w:r>
      <w:r>
        <w:rPr>
          <w:i/>
          <w:kern w:val="0"/>
        </w:rPr>
        <w:t>Volume Commitment</w:t>
      </w:r>
      <w:r>
        <w:rPr>
          <w:kern w:val="0"/>
        </w:rPr>
        <w:t xml:space="preserve"> to receive a discount or </w:t>
      </w:r>
      <w:r>
        <w:rPr>
          <w:i/>
          <w:kern w:val="0"/>
        </w:rPr>
        <w:t>Non-Rate Benefit</w:t>
      </w:r>
      <w:r>
        <w:rPr>
          <w:kern w:val="0"/>
        </w:rPr>
        <w:t xml:space="preserve"> under this plan?   </w:t>
      </w:r>
    </w:p>
    <w:p w:rsidR="00F97D54" w:rsidRPr="0028595A" w:rsidRDefault="00F97D54" w:rsidP="00EB5B97">
      <w:pPr>
        <w:numPr>
          <w:ilvl w:val="0"/>
          <w:numId w:val="130"/>
        </w:numPr>
        <w:spacing w:after="120"/>
        <w:rPr>
          <w:kern w:val="0"/>
        </w:rPr>
      </w:pPr>
      <w:r>
        <w:rPr>
          <w:kern w:val="0"/>
        </w:rPr>
        <w:t>For each geographic area identified, state whether your company would have purchased from a different</w:t>
      </w:r>
      <w:r>
        <w:rPr>
          <w:i/>
          <w:kern w:val="0"/>
        </w:rPr>
        <w:t xml:space="preserve"> Provider</w:t>
      </w:r>
      <w:r>
        <w:rPr>
          <w:kern w:val="0"/>
        </w:rPr>
        <w:t xml:space="preserve">, if at all, had it not been for the requirements of the </w:t>
      </w:r>
      <w:r>
        <w:rPr>
          <w:i/>
          <w:kern w:val="0"/>
        </w:rPr>
        <w:t>Tariff Plan</w:t>
      </w:r>
      <w:r>
        <w:rPr>
          <w:kern w:val="0"/>
        </w:rPr>
        <w:t xml:space="preserve">?  In your response, indicate whether the </w:t>
      </w:r>
      <w:r>
        <w:rPr>
          <w:i/>
          <w:kern w:val="0"/>
        </w:rPr>
        <w:t>Provider</w:t>
      </w:r>
      <w:r>
        <w:rPr>
          <w:kern w:val="0"/>
        </w:rPr>
        <w:t xml:space="preserve"> that you would have purchased from has </w:t>
      </w:r>
      <w:r>
        <w:rPr>
          <w:i/>
          <w:kern w:val="0"/>
        </w:rPr>
        <w:t>Connections</w:t>
      </w:r>
      <w:r>
        <w:rPr>
          <w:kern w:val="0"/>
        </w:rPr>
        <w:t xml:space="preserve"> serving that geographic area</w:t>
      </w:r>
      <w:r w:rsidRPr="00E73082">
        <w:rPr>
          <w:kern w:val="0"/>
        </w:rPr>
        <w:t xml:space="preserve"> </w:t>
      </w:r>
      <w:r>
        <w:rPr>
          <w:kern w:val="0"/>
        </w:rPr>
        <w:t xml:space="preserve">and the </w:t>
      </w:r>
      <w:r w:rsidRPr="00D215AC">
        <w:rPr>
          <w:i/>
          <w:kern w:val="0"/>
        </w:rPr>
        <w:t>Provider’s</w:t>
      </w:r>
      <w:r>
        <w:rPr>
          <w:kern w:val="0"/>
        </w:rPr>
        <w:t xml:space="preserve"> name.  </w:t>
      </w:r>
    </w:p>
    <w:p w:rsidR="00F97D54" w:rsidRDefault="00F97D54" w:rsidP="00EB5B97">
      <w:pPr>
        <w:numPr>
          <w:ilvl w:val="0"/>
          <w:numId w:val="124"/>
        </w:numPr>
        <w:rPr>
          <w:kern w:val="0"/>
        </w:rPr>
      </w:pPr>
      <w:r>
        <w:rPr>
          <w:kern w:val="0"/>
        </w:rPr>
        <w:t xml:space="preserve">If this is an </w:t>
      </w:r>
      <w:r>
        <w:rPr>
          <w:i/>
          <w:kern w:val="0"/>
        </w:rPr>
        <w:t>ILEC</w:t>
      </w:r>
      <w:r>
        <w:rPr>
          <w:kern w:val="0"/>
        </w:rPr>
        <w:t xml:space="preserve"> plan, do non-tariffed </w:t>
      </w:r>
      <w:r>
        <w:rPr>
          <w:i/>
          <w:kern w:val="0"/>
        </w:rPr>
        <w:t>PBDS</w:t>
      </w:r>
      <w:r>
        <w:rPr>
          <w:kern w:val="0"/>
        </w:rPr>
        <w:t xml:space="preserve"> purchases your company makes from this </w:t>
      </w:r>
      <w:r>
        <w:rPr>
          <w:i/>
          <w:kern w:val="0"/>
        </w:rPr>
        <w:t>ILEC</w:t>
      </w:r>
      <w:r>
        <w:rPr>
          <w:kern w:val="0"/>
        </w:rPr>
        <w:t xml:space="preserve"> count towards meeting any </w:t>
      </w:r>
      <w:r>
        <w:rPr>
          <w:i/>
          <w:kern w:val="0"/>
        </w:rPr>
        <w:t>Volume Commitment</w:t>
      </w:r>
      <w:r>
        <w:rPr>
          <w:kern w:val="0"/>
        </w:rPr>
        <w:t xml:space="preserve"> to receive a discount or </w:t>
      </w:r>
      <w:r>
        <w:rPr>
          <w:i/>
          <w:kern w:val="0"/>
        </w:rPr>
        <w:t>Non-Rate Benefit</w:t>
      </w:r>
      <w:r>
        <w:rPr>
          <w:kern w:val="0"/>
        </w:rPr>
        <w:t xml:space="preserve"> under this plan?</w:t>
      </w:r>
    </w:p>
    <w:p w:rsidR="00F97D54" w:rsidRDefault="00F97D54">
      <w:pPr>
        <w:spacing w:after="120"/>
        <w:ind w:left="720" w:firstLine="720"/>
        <w:rPr>
          <w:kern w:val="0"/>
          <w:szCs w:val="22"/>
        </w:rPr>
      </w:pPr>
      <w:r>
        <w:rPr>
          <w:rFonts w:ascii="Times New Roman Bold" w:hAnsi="Times New Roman Bold"/>
          <w:b/>
          <w:kern w:val="0"/>
          <w:sz w:val="28"/>
        </w:rPr>
        <w:t xml:space="preserve">□  </w:t>
      </w:r>
      <w:r>
        <w:rPr>
          <w:kern w:val="0"/>
          <w:szCs w:val="22"/>
        </w:rPr>
        <w:t xml:space="preserve">Yes </w:t>
      </w:r>
      <w:r>
        <w:rPr>
          <w:rFonts w:ascii="Times New Roman Bold" w:hAnsi="Times New Roman Bold"/>
          <w:b/>
          <w:kern w:val="0"/>
          <w:sz w:val="28"/>
        </w:rPr>
        <w:t xml:space="preserve">□  </w:t>
      </w:r>
      <w:r>
        <w:rPr>
          <w:kern w:val="0"/>
          <w:szCs w:val="22"/>
        </w:rPr>
        <w:t xml:space="preserve">No </w:t>
      </w:r>
      <w:r>
        <w:rPr>
          <w:rFonts w:ascii="Times New Roman Bold" w:hAnsi="Times New Roman Bold"/>
          <w:b/>
          <w:kern w:val="0"/>
          <w:sz w:val="28"/>
        </w:rPr>
        <w:t xml:space="preserve">□  </w:t>
      </w:r>
      <w:r>
        <w:rPr>
          <w:kern w:val="0"/>
          <w:szCs w:val="22"/>
        </w:rPr>
        <w:t xml:space="preserve">N/A (no </w:t>
      </w:r>
      <w:r>
        <w:rPr>
          <w:i/>
          <w:kern w:val="0"/>
          <w:szCs w:val="22"/>
        </w:rPr>
        <w:t>Volume Commitment</w:t>
      </w:r>
      <w:r>
        <w:rPr>
          <w:kern w:val="0"/>
          <w:szCs w:val="22"/>
        </w:rPr>
        <w:t xml:space="preserve">, not an </w:t>
      </w:r>
      <w:r>
        <w:rPr>
          <w:i/>
          <w:kern w:val="0"/>
          <w:szCs w:val="22"/>
        </w:rPr>
        <w:t>ILEC</w:t>
      </w:r>
      <w:r>
        <w:rPr>
          <w:kern w:val="0"/>
          <w:szCs w:val="22"/>
        </w:rPr>
        <w:t xml:space="preserve"> plan)</w:t>
      </w:r>
    </w:p>
    <w:p w:rsidR="00F97D54" w:rsidRDefault="00F97D54" w:rsidP="00EB5B97">
      <w:pPr>
        <w:numPr>
          <w:ilvl w:val="0"/>
          <w:numId w:val="119"/>
        </w:numPr>
        <w:spacing w:after="120"/>
        <w:rPr>
          <w:kern w:val="0"/>
        </w:rPr>
      </w:pPr>
      <w:r>
        <w:rPr>
          <w:kern w:val="0"/>
          <w:szCs w:val="22"/>
        </w:rPr>
        <w:t>If you answered yes, in</w:t>
      </w:r>
      <w:r>
        <w:rPr>
          <w:kern w:val="0"/>
        </w:rPr>
        <w:t xml:space="preserve"> what geographic areas do you purchase non-tariffed </w:t>
      </w:r>
      <w:r>
        <w:rPr>
          <w:i/>
          <w:kern w:val="0"/>
        </w:rPr>
        <w:t xml:space="preserve">PBDS </w:t>
      </w:r>
      <w:r>
        <w:rPr>
          <w:kern w:val="0"/>
        </w:rPr>
        <w:t xml:space="preserve">that counts towards meeting any </w:t>
      </w:r>
      <w:r>
        <w:rPr>
          <w:i/>
          <w:kern w:val="0"/>
        </w:rPr>
        <w:t>Volume Commitment</w:t>
      </w:r>
      <w:r>
        <w:rPr>
          <w:kern w:val="0"/>
        </w:rPr>
        <w:t xml:space="preserve"> to receive a discount or </w:t>
      </w:r>
      <w:r>
        <w:rPr>
          <w:i/>
          <w:kern w:val="0"/>
        </w:rPr>
        <w:t>Non-Rate Benefit</w:t>
      </w:r>
      <w:r>
        <w:rPr>
          <w:kern w:val="0"/>
        </w:rPr>
        <w:t xml:space="preserve"> under this plan.     </w:t>
      </w:r>
    </w:p>
    <w:p w:rsidR="00F97D54" w:rsidRDefault="00F97D54" w:rsidP="00EB5B97">
      <w:pPr>
        <w:numPr>
          <w:ilvl w:val="0"/>
          <w:numId w:val="119"/>
        </w:numPr>
        <w:spacing w:after="120"/>
        <w:rPr>
          <w:kern w:val="0"/>
        </w:rPr>
      </w:pPr>
      <w:r>
        <w:rPr>
          <w:kern w:val="0"/>
        </w:rPr>
        <w:t xml:space="preserve">For each geographic area identified, state whether your company would have  purchased non-tariffed </w:t>
      </w:r>
      <w:r>
        <w:rPr>
          <w:i/>
          <w:kern w:val="0"/>
        </w:rPr>
        <w:t xml:space="preserve">PBDS </w:t>
      </w:r>
      <w:r>
        <w:rPr>
          <w:kern w:val="0"/>
        </w:rPr>
        <w:t xml:space="preserve">from a different </w:t>
      </w:r>
      <w:r>
        <w:rPr>
          <w:i/>
          <w:kern w:val="0"/>
        </w:rPr>
        <w:t>Provider</w:t>
      </w:r>
      <w:r>
        <w:rPr>
          <w:kern w:val="0"/>
        </w:rPr>
        <w:t xml:space="preserve">, if at all, had it not been for the requirements of the plan?  In your response, indicate whether the </w:t>
      </w:r>
      <w:r>
        <w:rPr>
          <w:i/>
          <w:kern w:val="0"/>
        </w:rPr>
        <w:t>Provider</w:t>
      </w:r>
      <w:r>
        <w:rPr>
          <w:kern w:val="0"/>
        </w:rPr>
        <w:t xml:space="preserve"> that you would have purchased from has </w:t>
      </w:r>
      <w:r>
        <w:rPr>
          <w:i/>
          <w:kern w:val="0"/>
        </w:rPr>
        <w:t>Connections</w:t>
      </w:r>
      <w:r>
        <w:rPr>
          <w:kern w:val="0"/>
        </w:rPr>
        <w:t xml:space="preserve"> serving that geographic area</w:t>
      </w:r>
      <w:r w:rsidRPr="00E73082">
        <w:rPr>
          <w:kern w:val="0"/>
        </w:rPr>
        <w:t xml:space="preserve"> </w:t>
      </w:r>
      <w:r>
        <w:rPr>
          <w:kern w:val="0"/>
        </w:rPr>
        <w:t xml:space="preserve">and the </w:t>
      </w:r>
      <w:r w:rsidRPr="00D215AC">
        <w:rPr>
          <w:i/>
          <w:kern w:val="0"/>
        </w:rPr>
        <w:t>Provider’s</w:t>
      </w:r>
      <w:r>
        <w:rPr>
          <w:kern w:val="0"/>
        </w:rPr>
        <w:t xml:space="preserve"> name.  </w:t>
      </w:r>
    </w:p>
    <w:p w:rsidR="00F97D54" w:rsidRDefault="00F97D54" w:rsidP="00EB5B97">
      <w:pPr>
        <w:numPr>
          <w:ilvl w:val="0"/>
          <w:numId w:val="124"/>
        </w:numPr>
        <w:rPr>
          <w:kern w:val="0"/>
        </w:rPr>
      </w:pPr>
      <w:r>
        <w:rPr>
          <w:kern w:val="0"/>
        </w:rPr>
        <w:t xml:space="preserve">If this is an </w:t>
      </w:r>
      <w:r>
        <w:rPr>
          <w:i/>
          <w:kern w:val="0"/>
        </w:rPr>
        <w:t>ILEC</w:t>
      </w:r>
      <w:r>
        <w:rPr>
          <w:kern w:val="0"/>
        </w:rPr>
        <w:t xml:space="preserve"> plan, do purchases you make for services other than </w:t>
      </w:r>
      <w:r>
        <w:rPr>
          <w:i/>
          <w:kern w:val="0"/>
        </w:rPr>
        <w:t>DS1s, DS3s,</w:t>
      </w:r>
      <w:r>
        <w:rPr>
          <w:kern w:val="0"/>
        </w:rPr>
        <w:t xml:space="preserve"> and </w:t>
      </w:r>
      <w:r>
        <w:rPr>
          <w:i/>
          <w:kern w:val="0"/>
        </w:rPr>
        <w:t>PBDS</w:t>
      </w:r>
      <w:r>
        <w:rPr>
          <w:kern w:val="0"/>
        </w:rPr>
        <w:t xml:space="preserve"> from this </w:t>
      </w:r>
      <w:r>
        <w:rPr>
          <w:i/>
          <w:kern w:val="0"/>
        </w:rPr>
        <w:t>ILEC</w:t>
      </w:r>
      <w:r>
        <w:rPr>
          <w:kern w:val="0"/>
        </w:rPr>
        <w:t xml:space="preserve"> count towards meeting any </w:t>
      </w:r>
      <w:r>
        <w:rPr>
          <w:i/>
          <w:kern w:val="0"/>
        </w:rPr>
        <w:t>Volume Commitment</w:t>
      </w:r>
      <w:r>
        <w:rPr>
          <w:kern w:val="0"/>
        </w:rPr>
        <w:t xml:space="preserve"> to receive a discount or </w:t>
      </w:r>
      <w:r>
        <w:rPr>
          <w:i/>
          <w:kern w:val="0"/>
        </w:rPr>
        <w:t>Non-Rate Benefit</w:t>
      </w:r>
      <w:r>
        <w:rPr>
          <w:kern w:val="0"/>
        </w:rPr>
        <w:t xml:space="preserve"> under this plan?</w:t>
      </w:r>
    </w:p>
    <w:p w:rsidR="00F97D54" w:rsidRDefault="00F97D54">
      <w:pPr>
        <w:spacing w:after="120"/>
        <w:ind w:left="720" w:firstLine="720"/>
        <w:rPr>
          <w:kern w:val="0"/>
          <w:szCs w:val="22"/>
        </w:rPr>
      </w:pPr>
      <w:r>
        <w:rPr>
          <w:rFonts w:ascii="Times New Roman Bold" w:hAnsi="Times New Roman Bold"/>
          <w:b/>
          <w:kern w:val="0"/>
          <w:sz w:val="28"/>
        </w:rPr>
        <w:t xml:space="preserve">□  </w:t>
      </w:r>
      <w:r>
        <w:rPr>
          <w:kern w:val="0"/>
          <w:szCs w:val="22"/>
        </w:rPr>
        <w:t xml:space="preserve">Yes </w:t>
      </w:r>
      <w:r>
        <w:rPr>
          <w:rFonts w:ascii="Times New Roman Bold" w:hAnsi="Times New Roman Bold"/>
          <w:b/>
          <w:kern w:val="0"/>
          <w:sz w:val="28"/>
        </w:rPr>
        <w:t xml:space="preserve">□  </w:t>
      </w:r>
      <w:r>
        <w:rPr>
          <w:kern w:val="0"/>
          <w:szCs w:val="22"/>
        </w:rPr>
        <w:t xml:space="preserve">No </w:t>
      </w:r>
      <w:r>
        <w:rPr>
          <w:rFonts w:ascii="Times New Roman Bold" w:hAnsi="Times New Roman Bold"/>
          <w:b/>
          <w:kern w:val="0"/>
          <w:sz w:val="28"/>
        </w:rPr>
        <w:t xml:space="preserve">□  </w:t>
      </w:r>
      <w:r>
        <w:rPr>
          <w:kern w:val="0"/>
          <w:szCs w:val="22"/>
        </w:rPr>
        <w:t xml:space="preserve">N/A (no </w:t>
      </w:r>
      <w:r>
        <w:rPr>
          <w:i/>
          <w:kern w:val="0"/>
          <w:szCs w:val="22"/>
        </w:rPr>
        <w:t>Volume Commitment</w:t>
      </w:r>
      <w:r>
        <w:rPr>
          <w:kern w:val="0"/>
          <w:szCs w:val="22"/>
        </w:rPr>
        <w:t xml:space="preserve">, not an </w:t>
      </w:r>
      <w:r>
        <w:rPr>
          <w:i/>
          <w:kern w:val="0"/>
          <w:szCs w:val="22"/>
        </w:rPr>
        <w:t>ILEC</w:t>
      </w:r>
      <w:r>
        <w:rPr>
          <w:kern w:val="0"/>
          <w:szCs w:val="22"/>
        </w:rPr>
        <w:t xml:space="preserve"> plan)</w:t>
      </w:r>
    </w:p>
    <w:p w:rsidR="00F97D54" w:rsidRDefault="00F97D54" w:rsidP="00EB5B97">
      <w:pPr>
        <w:numPr>
          <w:ilvl w:val="0"/>
          <w:numId w:val="120"/>
        </w:numPr>
        <w:spacing w:after="120"/>
        <w:rPr>
          <w:kern w:val="0"/>
        </w:rPr>
      </w:pPr>
      <w:r>
        <w:rPr>
          <w:kern w:val="0"/>
          <w:szCs w:val="22"/>
        </w:rPr>
        <w:t>If you answered yes, identify the other services purchased and the</w:t>
      </w:r>
      <w:r>
        <w:rPr>
          <w:kern w:val="0"/>
        </w:rPr>
        <w:t xml:space="preserve"> geographic areas where you purchase these services</w:t>
      </w:r>
      <w:r>
        <w:rPr>
          <w:i/>
          <w:kern w:val="0"/>
        </w:rPr>
        <w:t xml:space="preserve"> </w:t>
      </w:r>
      <w:r>
        <w:rPr>
          <w:kern w:val="0"/>
        </w:rPr>
        <w:t xml:space="preserve">that count towards meeting any </w:t>
      </w:r>
      <w:r>
        <w:rPr>
          <w:i/>
          <w:kern w:val="0"/>
        </w:rPr>
        <w:t>Volume Commitment</w:t>
      </w:r>
      <w:r>
        <w:rPr>
          <w:kern w:val="0"/>
        </w:rPr>
        <w:t xml:space="preserve"> to receive a discount or </w:t>
      </w:r>
      <w:r>
        <w:rPr>
          <w:i/>
          <w:kern w:val="0"/>
        </w:rPr>
        <w:t>Non-Rate Benefit</w:t>
      </w:r>
      <w:r>
        <w:rPr>
          <w:kern w:val="0"/>
        </w:rPr>
        <w:t xml:space="preserve"> under this plan.     </w:t>
      </w:r>
    </w:p>
    <w:p w:rsidR="00F97D54" w:rsidRDefault="00F97D54" w:rsidP="00EB5B97">
      <w:pPr>
        <w:numPr>
          <w:ilvl w:val="0"/>
          <w:numId w:val="120"/>
        </w:numPr>
        <w:spacing w:after="120"/>
        <w:rPr>
          <w:kern w:val="0"/>
        </w:rPr>
      </w:pPr>
      <w:r>
        <w:rPr>
          <w:kern w:val="0"/>
        </w:rPr>
        <w:t>For each geographic area identified, state whether your company would have  purchased those other services</w:t>
      </w:r>
      <w:r>
        <w:rPr>
          <w:i/>
          <w:kern w:val="0"/>
        </w:rPr>
        <w:t xml:space="preserve"> </w:t>
      </w:r>
      <w:r>
        <w:rPr>
          <w:kern w:val="0"/>
        </w:rPr>
        <w:t>from a different</w:t>
      </w:r>
      <w:r>
        <w:rPr>
          <w:i/>
          <w:kern w:val="0"/>
        </w:rPr>
        <w:t xml:space="preserve"> Provider</w:t>
      </w:r>
      <w:r>
        <w:rPr>
          <w:kern w:val="0"/>
        </w:rPr>
        <w:t xml:space="preserve">, had it not been for the requirements of the plan?  In your response, indicate whether the </w:t>
      </w:r>
      <w:r>
        <w:rPr>
          <w:i/>
          <w:kern w:val="0"/>
        </w:rPr>
        <w:t>Provider</w:t>
      </w:r>
      <w:r>
        <w:rPr>
          <w:kern w:val="0"/>
        </w:rPr>
        <w:t xml:space="preserve"> that you would have purchased from has </w:t>
      </w:r>
      <w:r>
        <w:rPr>
          <w:i/>
          <w:kern w:val="0"/>
        </w:rPr>
        <w:t>Connections</w:t>
      </w:r>
      <w:r>
        <w:rPr>
          <w:kern w:val="0"/>
        </w:rPr>
        <w:t xml:space="preserve"> serving that geographic area</w:t>
      </w:r>
      <w:r w:rsidRPr="00E73082">
        <w:rPr>
          <w:kern w:val="0"/>
        </w:rPr>
        <w:t xml:space="preserve"> </w:t>
      </w:r>
      <w:r>
        <w:rPr>
          <w:kern w:val="0"/>
        </w:rPr>
        <w:t xml:space="preserve">and the </w:t>
      </w:r>
      <w:r w:rsidRPr="00D215AC">
        <w:rPr>
          <w:i/>
          <w:kern w:val="0"/>
        </w:rPr>
        <w:t>Provider’s</w:t>
      </w:r>
      <w:r>
        <w:rPr>
          <w:kern w:val="0"/>
        </w:rPr>
        <w:t xml:space="preserve"> name.  </w:t>
      </w:r>
    </w:p>
    <w:p w:rsidR="00F97D54" w:rsidRPr="00817E53" w:rsidRDefault="00F97D54" w:rsidP="00CE58BD">
      <w:pPr>
        <w:widowControl/>
        <w:numPr>
          <w:ilvl w:val="0"/>
          <w:numId w:val="131"/>
        </w:numPr>
        <w:tabs>
          <w:tab w:val="clear" w:pos="1800"/>
        </w:tabs>
        <w:spacing w:after="120"/>
        <w:ind w:left="1440"/>
        <w:rPr>
          <w:kern w:val="0"/>
        </w:rPr>
      </w:pPr>
      <w:r>
        <w:rPr>
          <w:kern w:val="0"/>
        </w:rPr>
        <w:t xml:space="preserve">Is the discount or </w:t>
      </w:r>
      <w:r>
        <w:rPr>
          <w:i/>
          <w:kern w:val="0"/>
        </w:rPr>
        <w:t>Non-Rate Benefit</w:t>
      </w:r>
      <w:r>
        <w:rPr>
          <w:kern w:val="0"/>
        </w:rPr>
        <w:t xml:space="preserve"> available under this plan conditioned on the customer limiting its purchase of </w:t>
      </w:r>
      <w:r>
        <w:rPr>
          <w:i/>
          <w:kern w:val="0"/>
        </w:rPr>
        <w:t>UNEs</w:t>
      </w:r>
      <w:r>
        <w:rPr>
          <w:kern w:val="0"/>
        </w:rPr>
        <w:t xml:space="preserve">, </w:t>
      </w:r>
      <w:r>
        <w:rPr>
          <w:i/>
          <w:kern w:val="0"/>
        </w:rPr>
        <w:t>e.g.</w:t>
      </w:r>
      <w:r>
        <w:rPr>
          <w:kern w:val="0"/>
        </w:rPr>
        <w:t xml:space="preserve">, the customer must keep its purchase of </w:t>
      </w:r>
      <w:r>
        <w:rPr>
          <w:i/>
          <w:kern w:val="0"/>
        </w:rPr>
        <w:t>UNEs</w:t>
      </w:r>
      <w:r>
        <w:rPr>
          <w:kern w:val="0"/>
        </w:rPr>
        <w:t xml:space="preserve"> below a certain percentage of the customer’s total spend?  If yes, then provide additional details about the condition.  </w:t>
      </w:r>
    </w:p>
    <w:p w:rsidR="00F97D54" w:rsidRDefault="00F97D54" w:rsidP="00EB5B97">
      <w:pPr>
        <w:tabs>
          <w:tab w:val="left" w:pos="900"/>
        </w:tabs>
        <w:rPr>
          <w:kern w:val="0"/>
        </w:rPr>
      </w:pPr>
      <w:r>
        <w:rPr>
          <w:kern w:val="0"/>
        </w:rPr>
        <w:t>II.F.14.</w:t>
      </w:r>
      <w:r>
        <w:rPr>
          <w:kern w:val="0"/>
        </w:rPr>
        <w:tab/>
        <w:t xml:space="preserve">Indicate whether you have any non-tariffed agreement with an </w:t>
      </w:r>
      <w:r>
        <w:rPr>
          <w:i/>
          <w:kern w:val="0"/>
        </w:rPr>
        <w:t>ILEC</w:t>
      </w:r>
      <w:r>
        <w:rPr>
          <w:kern w:val="0"/>
        </w:rPr>
        <w:t xml:space="preserve"> that, directly or indirectly, provides a discount or a </w:t>
      </w:r>
      <w:r>
        <w:rPr>
          <w:i/>
          <w:kern w:val="0"/>
        </w:rPr>
        <w:t>Non-Rate Benefit</w:t>
      </w:r>
      <w:r>
        <w:rPr>
          <w:kern w:val="0"/>
        </w:rPr>
        <w:t xml:space="preserve"> on the purchase of tariffed </w:t>
      </w:r>
      <w:r>
        <w:rPr>
          <w:i/>
          <w:kern w:val="0"/>
        </w:rPr>
        <w:t>DS1</w:t>
      </w:r>
      <w:r>
        <w:rPr>
          <w:kern w:val="0"/>
        </w:rPr>
        <w:t xml:space="preserve">, </w:t>
      </w:r>
      <w:r>
        <w:rPr>
          <w:i/>
          <w:kern w:val="0"/>
        </w:rPr>
        <w:t>DS3</w:t>
      </w:r>
      <w:r>
        <w:rPr>
          <w:kern w:val="0"/>
        </w:rPr>
        <w:t xml:space="preserve">, and/or </w:t>
      </w:r>
      <w:r>
        <w:rPr>
          <w:i/>
          <w:kern w:val="0"/>
        </w:rPr>
        <w:t>PBDS</w:t>
      </w:r>
      <w:r>
        <w:rPr>
          <w:kern w:val="0"/>
        </w:rPr>
        <w:t xml:space="preserve"> services, restricts your ability to obtain </w:t>
      </w:r>
      <w:r>
        <w:rPr>
          <w:i/>
          <w:kern w:val="0"/>
        </w:rPr>
        <w:t>UNEs</w:t>
      </w:r>
      <w:r>
        <w:rPr>
          <w:kern w:val="0"/>
        </w:rPr>
        <w:t>, or negatively affects your ability to purchase</w:t>
      </w:r>
      <w:r>
        <w:rPr>
          <w:i/>
          <w:kern w:val="0"/>
        </w:rPr>
        <w:t xml:space="preserve"> Dedicated Services</w:t>
      </w:r>
      <w:r>
        <w:rPr>
          <w:kern w:val="0"/>
        </w:rPr>
        <w:t>.  If so, identify each agreement, including the parties to the agreement, the effective date, end date, and a summary of the relevant provisions.</w:t>
      </w:r>
    </w:p>
    <w:p w:rsidR="00F97D54" w:rsidRDefault="00F97D54">
      <w:pPr>
        <w:rPr>
          <w:b/>
          <w:kern w:val="0"/>
        </w:rPr>
      </w:pPr>
    </w:p>
    <w:p w:rsidR="00F97D54" w:rsidRDefault="00F97D54">
      <w:pPr>
        <w:tabs>
          <w:tab w:val="left" w:pos="360"/>
        </w:tabs>
        <w:ind w:left="360" w:hanging="360"/>
        <w:rPr>
          <w:b/>
          <w:kern w:val="0"/>
        </w:rPr>
      </w:pPr>
    </w:p>
    <w:p w:rsidR="00F97D54" w:rsidRDefault="00F97D54" w:rsidP="00EB5B97">
      <w:pPr>
        <w:ind w:left="360" w:hanging="360"/>
        <w:rPr>
          <w:b/>
          <w:kern w:val="0"/>
        </w:rPr>
      </w:pPr>
      <w:r>
        <w:rPr>
          <w:b/>
          <w:kern w:val="0"/>
        </w:rPr>
        <w:t xml:space="preserve">G.   </w:t>
      </w:r>
      <w:r>
        <w:rPr>
          <w:b/>
          <w:kern w:val="0"/>
          <w:u w:val="single"/>
        </w:rPr>
        <w:t>Non-</w:t>
      </w:r>
      <w:r>
        <w:rPr>
          <w:b/>
          <w:i/>
          <w:kern w:val="0"/>
          <w:u w:val="single"/>
        </w:rPr>
        <w:t>Providers</w:t>
      </w:r>
      <w:r>
        <w:rPr>
          <w:b/>
          <w:kern w:val="0"/>
          <w:u w:val="single"/>
        </w:rPr>
        <w:t>, Non-</w:t>
      </w:r>
      <w:r>
        <w:rPr>
          <w:b/>
          <w:i/>
          <w:kern w:val="0"/>
          <w:u w:val="single"/>
        </w:rPr>
        <w:t>Purchasers</w:t>
      </w:r>
      <w:r>
        <w:rPr>
          <w:b/>
          <w:kern w:val="0"/>
          <w:u w:val="single"/>
        </w:rPr>
        <w:t>, and other entities not covered by the scope of this inquiry but that were instructed to respond to this data collection must respond to the following</w:t>
      </w:r>
      <w:r>
        <w:rPr>
          <w:b/>
          <w:kern w:val="0"/>
        </w:rPr>
        <w:t>:</w:t>
      </w:r>
    </w:p>
    <w:p w:rsidR="00F97D54" w:rsidRDefault="00F97D54">
      <w:pPr>
        <w:rPr>
          <w:kern w:val="0"/>
        </w:rPr>
      </w:pPr>
    </w:p>
    <w:p w:rsidR="00F97D54" w:rsidRDefault="00F97D54" w:rsidP="00EB5B97">
      <w:pPr>
        <w:numPr>
          <w:ilvl w:val="0"/>
          <w:numId w:val="76"/>
        </w:numPr>
        <w:tabs>
          <w:tab w:val="clear" w:pos="576"/>
          <w:tab w:val="num" w:pos="720"/>
        </w:tabs>
        <w:rPr>
          <w:kern w:val="0"/>
        </w:rPr>
      </w:pPr>
      <w:r>
        <w:rPr>
          <w:kern w:val="0"/>
        </w:rPr>
        <w:t xml:space="preserve">If you must respond to this data collection because you were required to file the FCC Form 477 to report the provision of “broadband connections to end user locations” for Year 2012 but are not (a) a </w:t>
      </w:r>
      <w:r>
        <w:rPr>
          <w:i/>
          <w:kern w:val="0"/>
        </w:rPr>
        <w:t>Provider</w:t>
      </w:r>
      <w:r>
        <w:rPr>
          <w:kern w:val="0"/>
        </w:rPr>
        <w:t xml:space="preserve"> or a </w:t>
      </w:r>
      <w:r>
        <w:rPr>
          <w:i/>
          <w:kern w:val="0"/>
        </w:rPr>
        <w:t>Purchaser</w:t>
      </w:r>
      <w:r>
        <w:rPr>
          <w:kern w:val="0"/>
        </w:rPr>
        <w:t xml:space="preserve"> as defined in this data collection or (b) an entity that provides </w:t>
      </w:r>
      <w:r>
        <w:rPr>
          <w:i/>
          <w:kern w:val="0"/>
          <w:szCs w:val="22"/>
        </w:rPr>
        <w:t>Best Efforts Business Broadband Internet Access Services</w:t>
      </w:r>
      <w:r>
        <w:rPr>
          <w:kern w:val="0"/>
          <w:szCs w:val="22"/>
        </w:rPr>
        <w:t xml:space="preserve"> to15,000 or more customers or 1,500 or more business broadband customers in areas where the </w:t>
      </w:r>
      <w:r w:rsidRPr="00842D24">
        <w:rPr>
          <w:i/>
          <w:kern w:val="0"/>
          <w:szCs w:val="22"/>
        </w:rPr>
        <w:t>ILEC</w:t>
      </w:r>
      <w:r>
        <w:rPr>
          <w:kern w:val="0"/>
          <w:szCs w:val="22"/>
        </w:rPr>
        <w:t xml:space="preserve"> is subject to price cap regulation</w:t>
      </w:r>
      <w:r>
        <w:rPr>
          <w:kern w:val="0"/>
        </w:rPr>
        <w:t>, then indicate as such below and complete the certification accompanying this data collection.</w:t>
      </w:r>
    </w:p>
    <w:p w:rsidR="00F97D54" w:rsidRDefault="00F97D54">
      <w:pPr>
        <w:tabs>
          <w:tab w:val="left" w:pos="1080"/>
        </w:tabs>
        <w:spacing w:after="120"/>
        <w:rPr>
          <w:kern w:val="0"/>
        </w:rPr>
      </w:pPr>
      <w:r>
        <w:rPr>
          <w:rFonts w:ascii="Times New Roman Bold" w:hAnsi="Times New Roman Bold"/>
          <w:b/>
          <w:kern w:val="0"/>
          <w:sz w:val="28"/>
        </w:rPr>
        <w:tab/>
        <w:t xml:space="preserve">□  </w:t>
      </w:r>
      <w:r>
        <w:rPr>
          <w:kern w:val="0"/>
        </w:rPr>
        <w:t xml:space="preserve">I am not a </w:t>
      </w:r>
      <w:r>
        <w:rPr>
          <w:i/>
          <w:kern w:val="0"/>
        </w:rPr>
        <w:t>Provider</w:t>
      </w:r>
      <w:r>
        <w:rPr>
          <w:kern w:val="0"/>
        </w:rPr>
        <w:t xml:space="preserve">. </w:t>
      </w:r>
    </w:p>
    <w:p w:rsidR="00F97D54" w:rsidRDefault="00F97D54">
      <w:pPr>
        <w:tabs>
          <w:tab w:val="left" w:pos="1080"/>
        </w:tabs>
        <w:spacing w:after="120"/>
        <w:rPr>
          <w:kern w:val="0"/>
        </w:rPr>
      </w:pPr>
      <w:r>
        <w:rPr>
          <w:rFonts w:ascii="Times New Roman Bold" w:hAnsi="Times New Roman Bold"/>
          <w:b/>
          <w:kern w:val="0"/>
          <w:sz w:val="28"/>
        </w:rPr>
        <w:tab/>
        <w:t xml:space="preserve">□  </w:t>
      </w:r>
      <w:r>
        <w:rPr>
          <w:kern w:val="0"/>
        </w:rPr>
        <w:t xml:space="preserve">I am not a </w:t>
      </w:r>
      <w:r>
        <w:rPr>
          <w:i/>
          <w:kern w:val="0"/>
        </w:rPr>
        <w:t>Purchaser</w:t>
      </w:r>
      <w:r>
        <w:rPr>
          <w:kern w:val="0"/>
        </w:rPr>
        <w:t xml:space="preserve">. </w:t>
      </w:r>
    </w:p>
    <w:p w:rsidR="00F97D54" w:rsidRDefault="00F97D54" w:rsidP="00EB5B97">
      <w:pPr>
        <w:tabs>
          <w:tab w:val="left" w:pos="1080"/>
        </w:tabs>
        <w:spacing w:after="120"/>
        <w:rPr>
          <w:kern w:val="0"/>
        </w:rPr>
      </w:pPr>
      <w:r>
        <w:rPr>
          <w:rFonts w:ascii="Times New Roman Bold" w:hAnsi="Times New Roman Bold"/>
          <w:b/>
          <w:kern w:val="0"/>
          <w:sz w:val="28"/>
        </w:rPr>
        <w:tab/>
        <w:t xml:space="preserve">□  </w:t>
      </w:r>
      <w:r>
        <w:rPr>
          <w:kern w:val="0"/>
        </w:rPr>
        <w:t xml:space="preserve">I do not provide </w:t>
      </w:r>
      <w:r>
        <w:rPr>
          <w:i/>
          <w:kern w:val="0"/>
          <w:szCs w:val="22"/>
        </w:rPr>
        <w:t>Best Efforts Business Broadband Internet Access Services</w:t>
      </w:r>
      <w:r>
        <w:rPr>
          <w:kern w:val="0"/>
          <w:szCs w:val="22"/>
        </w:rPr>
        <w:t xml:space="preserve"> to15,000 or more customers or 1,500 or more business broadband customers in areas where the </w:t>
      </w:r>
      <w:r w:rsidRPr="00842D24">
        <w:rPr>
          <w:i/>
          <w:kern w:val="0"/>
          <w:szCs w:val="22"/>
        </w:rPr>
        <w:t>ILEC</w:t>
      </w:r>
      <w:r>
        <w:rPr>
          <w:kern w:val="0"/>
          <w:szCs w:val="22"/>
        </w:rPr>
        <w:t xml:space="preserve"> is subject to price cap regulation. </w:t>
      </w:r>
    </w:p>
    <w:p w:rsidR="00F97D54" w:rsidRDefault="00F97D54" w:rsidP="00EB5B97">
      <w:pPr>
        <w:tabs>
          <w:tab w:val="left" w:pos="1260"/>
        </w:tabs>
        <w:spacing w:after="120"/>
        <w:ind w:left="1080" w:hanging="1080"/>
        <w:rPr>
          <w:kern w:val="0"/>
        </w:rPr>
      </w:pPr>
    </w:p>
    <w:p w:rsidR="00F97D54" w:rsidRDefault="00F97D54">
      <w:pPr>
        <w:tabs>
          <w:tab w:val="left" w:pos="1080"/>
        </w:tabs>
        <w:spacing w:after="120"/>
        <w:rPr>
          <w:kern w:val="0"/>
        </w:rPr>
      </w:pPr>
      <w:r>
        <w:rPr>
          <w:kern w:val="0"/>
        </w:rPr>
        <w:tab/>
        <w:t>(select all that apply)</w:t>
      </w:r>
    </w:p>
    <w:p w:rsidR="00F97D54" w:rsidRDefault="00F97D54">
      <w:pPr>
        <w:tabs>
          <w:tab w:val="left" w:pos="1080"/>
        </w:tabs>
        <w:spacing w:after="120"/>
        <w:rPr>
          <w:kern w:val="0"/>
        </w:rPr>
      </w:pPr>
    </w:p>
    <w:p w:rsidR="00F97D54" w:rsidRDefault="00F97D54">
      <w:pPr>
        <w:spacing w:after="120"/>
        <w:rPr>
          <w:kern w:val="0"/>
        </w:rPr>
      </w:pPr>
    </w:p>
    <w:p w:rsidR="00F97D54" w:rsidRDefault="00F97D54">
      <w:pPr>
        <w:spacing w:after="120"/>
        <w:jc w:val="center"/>
        <w:rPr>
          <w:kern w:val="0"/>
        </w:rPr>
      </w:pPr>
      <w:r>
        <w:rPr>
          <w:kern w:val="0"/>
        </w:rPr>
        <w:br w:type="page"/>
        <w:t>CERTIFICATION</w:t>
      </w:r>
    </w:p>
    <w:p w:rsidR="00F97D54" w:rsidRDefault="00F97D54">
      <w:pPr>
        <w:spacing w:after="120"/>
        <w:rPr>
          <w:kern w:val="0"/>
        </w:rPr>
      </w:pPr>
    </w:p>
    <w:p w:rsidR="00F97D54" w:rsidRDefault="00F97D54">
      <w:pPr>
        <w:spacing w:after="120"/>
        <w:ind w:firstLine="720"/>
        <w:rPr>
          <w:kern w:val="0"/>
        </w:rPr>
      </w:pPr>
      <w:r>
        <w:rPr>
          <w:kern w:val="0"/>
        </w:rPr>
        <w:t>I have examined the response and certify that, to the best of my knowledge, all statements of fact, data, and information contained therein are true and correct.</w:t>
      </w:r>
    </w:p>
    <w:p w:rsidR="00F97D54" w:rsidRDefault="00F97D54">
      <w:pPr>
        <w:spacing w:after="120"/>
        <w:rPr>
          <w:kern w:val="0"/>
        </w:rPr>
      </w:pPr>
    </w:p>
    <w:p w:rsidR="00F97D54" w:rsidRDefault="00F97D54">
      <w:pPr>
        <w:spacing w:after="120"/>
        <w:rPr>
          <w:kern w:val="0"/>
        </w:rPr>
      </w:pPr>
      <w:r>
        <w:rPr>
          <w:kern w:val="0"/>
        </w:rPr>
        <w:t>Signature:  _________________________</w:t>
      </w:r>
    </w:p>
    <w:p w:rsidR="00F97D54" w:rsidRDefault="00F97D54">
      <w:pPr>
        <w:spacing w:after="120"/>
        <w:rPr>
          <w:kern w:val="0"/>
        </w:rPr>
      </w:pPr>
      <w:r>
        <w:rPr>
          <w:kern w:val="0"/>
        </w:rPr>
        <w:t>Printed Name: ______________________</w:t>
      </w:r>
    </w:p>
    <w:p w:rsidR="00F97D54" w:rsidRDefault="00F97D54">
      <w:pPr>
        <w:spacing w:after="120"/>
        <w:rPr>
          <w:kern w:val="0"/>
        </w:rPr>
      </w:pPr>
      <w:r>
        <w:rPr>
          <w:kern w:val="0"/>
        </w:rPr>
        <w:t>Title:  _____________________________</w:t>
      </w:r>
    </w:p>
    <w:p w:rsidR="00F97D54" w:rsidRDefault="00F97D54">
      <w:pPr>
        <w:spacing w:after="120"/>
        <w:rPr>
          <w:kern w:val="0"/>
        </w:rPr>
      </w:pPr>
      <w:r>
        <w:rPr>
          <w:kern w:val="0"/>
        </w:rPr>
        <w:t>Date: ____________</w:t>
      </w:r>
    </w:p>
    <w:p w:rsidR="00F97D54" w:rsidRDefault="00F97D54">
      <w:pPr>
        <w:spacing w:after="120"/>
        <w:rPr>
          <w:kern w:val="0"/>
        </w:rPr>
      </w:pPr>
    </w:p>
    <w:p w:rsidR="00F97D54" w:rsidRDefault="00F97D54">
      <w:pPr>
        <w:spacing w:after="120"/>
        <w:rPr>
          <w:kern w:val="0"/>
        </w:rPr>
      </w:pPr>
      <w:r>
        <w:rPr>
          <w:kern w:val="0"/>
        </w:rPr>
        <w:t>*</w:t>
      </w:r>
      <w:r>
        <w:rPr>
          <w:kern w:val="0"/>
          <w:szCs w:val="22"/>
          <w:lang w:eastAsia="x-none"/>
        </w:rPr>
        <w:t xml:space="preserve"> </w:t>
      </w:r>
      <w:r>
        <w:rPr>
          <w:kern w:val="0"/>
        </w:rPr>
        <w:t>Respondents are reminded that failure to comply with these data reporting requirements may subject them to monetary forfeitures of up to $150,000 for each violation or each day of a continuing violation, up to a maximum of $1,500,000 for any single act or failure to act that is a continuing violation.</w:t>
      </w:r>
      <w:r>
        <w:rPr>
          <w:kern w:val="0"/>
          <w:vertAlign w:val="superscript"/>
        </w:rPr>
        <w:footnoteReference w:id="218"/>
      </w:r>
      <w:r>
        <w:rPr>
          <w:kern w:val="0"/>
        </w:rPr>
        <w:t xml:space="preserve">  False statements or misrepresentations to the Commission may be punishable by fine or imprisonment under Title 18 of the U.S. Code.</w:t>
      </w:r>
    </w:p>
    <w:p w:rsidR="00F97D54" w:rsidRPr="00AA0D0C" w:rsidRDefault="00F97D54" w:rsidP="00EB5B97">
      <w:pPr>
        <w:tabs>
          <w:tab w:val="num" w:pos="1440"/>
        </w:tabs>
        <w:rPr>
          <w:i/>
        </w:rPr>
      </w:pPr>
    </w:p>
    <w:p w:rsidR="002B3ABD" w:rsidRPr="00832583" w:rsidRDefault="002B3ABD" w:rsidP="007B77C1">
      <w:pPr>
        <w:jc w:val="center"/>
        <w:rPr>
          <w:b/>
        </w:rPr>
      </w:pPr>
    </w:p>
    <w:sectPr w:rsidR="002B3ABD" w:rsidRPr="00832583" w:rsidSect="001650DD">
      <w:headerReference w:type="default" r:id="rId18"/>
      <w:footerReference w:type="even" r:id="rId19"/>
      <w:footerReference w:type="default" r:id="rId20"/>
      <w:headerReference w:type="first" r:id="rId21"/>
      <w:footnotePr>
        <w:numRestart w:val="eachSect"/>
      </w:footnotePr>
      <w:endnotePr>
        <w:numFmt w:val="decimal"/>
      </w:endnotePr>
      <w:pgSz w:w="12240" w:h="15840"/>
      <w:pgMar w:top="1440" w:right="1440" w:bottom="720" w:left="1440" w:header="720" w:footer="1008" w:gutter="0"/>
      <w:pgNumType w:start="1"/>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0412" w:rsidRDefault="00670412">
      <w:pPr>
        <w:spacing w:line="20" w:lineRule="exact"/>
      </w:pPr>
    </w:p>
  </w:endnote>
  <w:endnote w:type="continuationSeparator" w:id="0">
    <w:p w:rsidR="00670412" w:rsidRDefault="00670412">
      <w:r>
        <w:t xml:space="preserve"> </w:t>
      </w:r>
    </w:p>
  </w:endnote>
  <w:endnote w:type="continuationNotice" w:id="1">
    <w:p w:rsidR="00670412" w:rsidRDefault="0067041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ngs">
    <w:altName w:val="MS Mincho"/>
    <w:panose1 w:val="00000000000000000000"/>
    <w:charset w:val="80"/>
    <w:family w:val="roma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TimesNewRoman,Italic">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44C" w:rsidRDefault="0083344C" w:rsidP="002B3AB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3344C" w:rsidRDefault="008334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44C" w:rsidRDefault="0083344C" w:rsidP="002B3ABD">
    <w:pPr>
      <w:pStyle w:val="Footer"/>
      <w:framePr w:w="835" w:wrap="around" w:vAnchor="text" w:hAnchor="margin" w:xAlign="center" w:yAlign="top"/>
      <w:jc w:val="center"/>
    </w:pPr>
    <w:r>
      <w:fldChar w:fldCharType="begin"/>
    </w:r>
    <w:r>
      <w:instrText xml:space="preserve">PAGE  </w:instrText>
    </w:r>
    <w:r>
      <w:fldChar w:fldCharType="separate"/>
    </w:r>
    <w:r w:rsidR="00427585">
      <w:rPr>
        <w:noProof/>
      </w:rPr>
      <w:t>30</w:t>
    </w:r>
    <w:r>
      <w:fldChar w:fldCharType="end"/>
    </w:r>
  </w:p>
  <w:p w:rsidR="0083344C" w:rsidRDefault="0083344C">
    <w:pPr>
      <w:spacing w:before="140" w:line="100" w:lineRule="exact"/>
      <w:rPr>
        <w:sz w:val="10"/>
      </w:rPr>
    </w:pPr>
  </w:p>
  <w:p w:rsidR="0083344C" w:rsidRDefault="0083344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659" w:rsidRDefault="0032565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44C" w:rsidRDefault="0083344C" w:rsidP="00EB5B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3344C" w:rsidRDefault="0083344C">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44C" w:rsidRDefault="0083344C" w:rsidP="008C6C19">
    <w:pPr>
      <w:pStyle w:val="Footer"/>
      <w:jc w:val="center"/>
    </w:pPr>
  </w:p>
  <w:p w:rsidR="0083344C" w:rsidRDefault="0083344C" w:rsidP="008C6C19">
    <w:pPr>
      <w:pStyle w:val="Footer"/>
      <w:jc w:val="center"/>
    </w:pPr>
    <w:r>
      <w:t xml:space="preserve">Instructions – Page </w:t>
    </w:r>
    <w:r>
      <w:fldChar w:fldCharType="begin"/>
    </w:r>
    <w:r>
      <w:instrText xml:space="preserve"> PAGE   \* MERGEFORMAT </w:instrText>
    </w:r>
    <w:r>
      <w:fldChar w:fldCharType="separate"/>
    </w:r>
    <w:r w:rsidR="00427585">
      <w:rPr>
        <w:noProof/>
      </w:rPr>
      <w:t>1</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44C" w:rsidRDefault="0083344C">
    <w:pPr>
      <w:pStyle w:val="Footer"/>
      <w:framePr w:wrap="around" w:vAnchor="text" w:hAnchor="margin" w:xAlign="center" w:y="1"/>
    </w:pPr>
    <w:r>
      <w:fldChar w:fldCharType="begin"/>
    </w:r>
    <w:r>
      <w:instrText xml:space="preserve">PAGE  </w:instrText>
    </w:r>
    <w:r>
      <w:fldChar w:fldCharType="end"/>
    </w:r>
  </w:p>
  <w:p w:rsidR="0083344C" w:rsidRDefault="0083344C">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44C" w:rsidRDefault="0083344C" w:rsidP="00E92421">
    <w:pPr>
      <w:jc w:val="center"/>
      <w:rPr>
        <w:szCs w:val="22"/>
      </w:rPr>
    </w:pPr>
  </w:p>
  <w:p w:rsidR="0083344C" w:rsidRDefault="0083344C" w:rsidP="00E92421">
    <w:pPr>
      <w:jc w:val="center"/>
    </w:pPr>
    <w:r>
      <w:rPr>
        <w:szCs w:val="22"/>
      </w:rPr>
      <w:t xml:space="preserve">Data Collection – Page </w:t>
    </w:r>
    <w:r w:rsidRPr="008C6C19">
      <w:rPr>
        <w:szCs w:val="22"/>
      </w:rPr>
      <w:fldChar w:fldCharType="begin"/>
    </w:r>
    <w:r w:rsidRPr="008C6C19">
      <w:rPr>
        <w:szCs w:val="22"/>
      </w:rPr>
      <w:instrText xml:space="preserve"> PAGE   \* MERGEFORMAT </w:instrText>
    </w:r>
    <w:r w:rsidRPr="008C6C19">
      <w:rPr>
        <w:szCs w:val="22"/>
      </w:rPr>
      <w:fldChar w:fldCharType="separate"/>
    </w:r>
    <w:r w:rsidR="00356C23">
      <w:rPr>
        <w:noProof/>
        <w:szCs w:val="22"/>
      </w:rPr>
      <w:t>31</w:t>
    </w:r>
    <w:r w:rsidRPr="008C6C19">
      <w:rPr>
        <w:noProof/>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0412" w:rsidRDefault="00670412">
      <w:r>
        <w:separator/>
      </w:r>
    </w:p>
  </w:footnote>
  <w:footnote w:type="continuationSeparator" w:id="0">
    <w:p w:rsidR="00670412" w:rsidRDefault="00670412">
      <w:pPr>
        <w:rPr>
          <w:sz w:val="20"/>
        </w:rPr>
      </w:pPr>
      <w:r>
        <w:rPr>
          <w:sz w:val="20"/>
        </w:rPr>
        <w:t xml:space="preserve">(Continued from previous page)  </w:t>
      </w:r>
      <w:r>
        <w:rPr>
          <w:sz w:val="20"/>
        </w:rPr>
        <w:separator/>
      </w:r>
    </w:p>
  </w:footnote>
  <w:footnote w:type="continuationNotice" w:id="1">
    <w:p w:rsidR="00670412" w:rsidRDefault="00670412">
      <w:pPr>
        <w:rPr>
          <w:sz w:val="20"/>
        </w:rPr>
      </w:pPr>
      <w:r>
        <w:rPr>
          <w:sz w:val="20"/>
        </w:rPr>
        <w:t>(continued….)</w:t>
      </w:r>
    </w:p>
  </w:footnote>
  <w:footnote w:id="2">
    <w:p w:rsidR="0083344C" w:rsidRPr="00832583" w:rsidRDefault="0083344C" w:rsidP="0042502C">
      <w:pPr>
        <w:pStyle w:val="FootnoteText"/>
        <w:rPr>
          <w:b/>
        </w:rPr>
      </w:pPr>
      <w:r>
        <w:rPr>
          <w:rStyle w:val="FootnoteReference"/>
        </w:rPr>
        <w:footnoteRef/>
      </w:r>
      <w:r>
        <w:t xml:space="preserve"> </w:t>
      </w:r>
      <w:r w:rsidRPr="0046243D">
        <w:rPr>
          <w:i/>
        </w:rPr>
        <w:t>See</w:t>
      </w:r>
      <w:r>
        <w:t xml:space="preserve"> </w:t>
      </w:r>
      <w:r>
        <w:rPr>
          <w:i/>
        </w:rPr>
        <w:t>Special Access for Price Cap Local Exchange Carriers; AT&amp;T Corporation Petition for Rulemaking to Reform Regulation of Incumbent Local Exchange Carrier Rates for Interstate Special Access Services</w:t>
      </w:r>
      <w:r>
        <w:t xml:space="preserve">, WC Docket No. 05-25, RM-10593, Report and Order and Further Notice of Proposed Rulemaking, 27 FCC Rcd 16318 (2012) (referred to herein as either </w:t>
      </w:r>
      <w:r>
        <w:rPr>
          <w:i/>
        </w:rPr>
        <w:t xml:space="preserve">Special Access Data Collection Order </w:t>
      </w:r>
      <w:r w:rsidRPr="00850783">
        <w:t>or</w:t>
      </w:r>
      <w:r>
        <w:rPr>
          <w:i/>
        </w:rPr>
        <w:t xml:space="preserve"> Special Access Data Collection FNPRM</w:t>
      </w:r>
      <w:r>
        <w:t xml:space="preserve">); </w:t>
      </w:r>
      <w:r>
        <w:rPr>
          <w:i/>
        </w:rPr>
        <w:t>AT&amp;T Inc. and BellSouth Corporation Application for Transfer of Control</w:t>
      </w:r>
      <w:r>
        <w:t>, WC Docket No. 06-74, Memorandum Opinion and Order, 22 FCC Rcd 5662, 5677, para. 28 (2007) (</w:t>
      </w:r>
      <w:r>
        <w:rPr>
          <w:i/>
        </w:rPr>
        <w:t>AT&amp;T/BellSouth Order</w:t>
      </w:r>
      <w:r>
        <w:t xml:space="preserve">) (“[S]pecial access is a dedicated transmission link between two locations, most often provisioned via high-capacity circuits.”).  The data collection uses the term </w:t>
      </w:r>
      <w:r w:rsidRPr="00850783">
        <w:rPr>
          <w:i/>
        </w:rPr>
        <w:t>Dedicated Service</w:t>
      </w:r>
      <w:r>
        <w:t>, which is defined as a service that “</w:t>
      </w:r>
      <w:r>
        <w:rPr>
          <w:szCs w:val="22"/>
        </w:rPr>
        <w:t xml:space="preserve">transports data between two or more designated points, </w:t>
      </w:r>
      <w:r>
        <w:rPr>
          <w:i/>
          <w:szCs w:val="22"/>
        </w:rPr>
        <w:t>e.g.</w:t>
      </w:r>
      <w:r>
        <w:rPr>
          <w:szCs w:val="22"/>
        </w:rPr>
        <w:t xml:space="preserve">, between an </w:t>
      </w:r>
      <w:r>
        <w:rPr>
          <w:i/>
          <w:szCs w:val="22"/>
        </w:rPr>
        <w:t>End User</w:t>
      </w:r>
      <w:r w:rsidRPr="00E96590">
        <w:rPr>
          <w:szCs w:val="22"/>
        </w:rPr>
        <w:t>’s</w:t>
      </w:r>
      <w:r>
        <w:rPr>
          <w:szCs w:val="22"/>
        </w:rPr>
        <w:t xml:space="preserve"> premises and a point-of-presence, between the central office of a local exchange carrier (LEC) and a point-of-presence, or between two </w:t>
      </w:r>
      <w:r>
        <w:rPr>
          <w:i/>
          <w:szCs w:val="22"/>
        </w:rPr>
        <w:t>End User</w:t>
      </w:r>
      <w:r>
        <w:rPr>
          <w:szCs w:val="22"/>
        </w:rPr>
        <w:t xml:space="preserve"> premises, at a rate of at least 1.5 Mbps in both directions (upstream/downstream) with prescribed performance requirements that include bandwidth-, latency-, or error-rate guarantees or other parameters that define delivery under a </w:t>
      </w:r>
      <w:r>
        <w:rPr>
          <w:i/>
          <w:szCs w:val="22"/>
        </w:rPr>
        <w:t>Tariff</w:t>
      </w:r>
      <w:r>
        <w:rPr>
          <w:szCs w:val="22"/>
        </w:rPr>
        <w:t xml:space="preserve"> or in a service-level agreement.”  </w:t>
      </w:r>
      <w:r w:rsidRPr="004B027E">
        <w:rPr>
          <w:i/>
          <w:szCs w:val="22"/>
        </w:rPr>
        <w:t>See</w:t>
      </w:r>
      <w:r>
        <w:rPr>
          <w:szCs w:val="22"/>
        </w:rPr>
        <w:t xml:space="preserve"> Appendix B, Definition of </w:t>
      </w:r>
      <w:r w:rsidRPr="00850783">
        <w:rPr>
          <w:i/>
          <w:szCs w:val="22"/>
        </w:rPr>
        <w:t>Dedicated Service</w:t>
      </w:r>
      <w:r>
        <w:rPr>
          <w:szCs w:val="22"/>
        </w:rPr>
        <w:t>.</w:t>
      </w:r>
      <w:r>
        <w:t xml:space="preserve">  </w:t>
      </w:r>
      <w:r w:rsidRPr="00850783">
        <w:rPr>
          <w:i/>
        </w:rPr>
        <w:t>Dedicated Service</w:t>
      </w:r>
      <w:r>
        <w:t xml:space="preserve"> includes regulated and unregulated “special access” service and its functional equivalents.  </w:t>
      </w:r>
      <w:r w:rsidRPr="00850783">
        <w:rPr>
          <w:i/>
        </w:rPr>
        <w:t>See Special Access Data Collection Order</w:t>
      </w:r>
      <w:r>
        <w:t xml:space="preserve">, 27 FCC Rcd at 16319, para. 1 n.1 (defining special access).  </w:t>
      </w:r>
      <w:r w:rsidRPr="00850783">
        <w:rPr>
          <w:i/>
        </w:rPr>
        <w:t>Dedicated Service</w:t>
      </w:r>
      <w:r>
        <w:t xml:space="preserve"> does not include “best efforts” services, which are handled separately in the data collection.  </w:t>
      </w:r>
      <w:r w:rsidRPr="004B027E">
        <w:rPr>
          <w:i/>
          <w:szCs w:val="22"/>
        </w:rPr>
        <w:t>See</w:t>
      </w:r>
      <w:r>
        <w:rPr>
          <w:szCs w:val="22"/>
        </w:rPr>
        <w:t xml:space="preserve"> Appendix B, Definitions for </w:t>
      </w:r>
      <w:r w:rsidRPr="00850783">
        <w:rPr>
          <w:i/>
          <w:szCs w:val="22"/>
        </w:rPr>
        <w:t>Dedicated Service</w:t>
      </w:r>
      <w:r>
        <w:rPr>
          <w:szCs w:val="22"/>
        </w:rPr>
        <w:t xml:space="preserve"> and </w:t>
      </w:r>
      <w:r w:rsidRPr="00850783">
        <w:rPr>
          <w:i/>
          <w:szCs w:val="22"/>
        </w:rPr>
        <w:t>Best Efforts Business Broadband Internet Access Service</w:t>
      </w:r>
      <w:r>
        <w:rPr>
          <w:szCs w:val="22"/>
        </w:rPr>
        <w:t xml:space="preserve">.  Unless stated otherwise, capitalized and italicized terms used in this Report and Order refer to the defined terms in the data collection attached hereto.  </w:t>
      </w:r>
      <w:r w:rsidRPr="00850783">
        <w:rPr>
          <w:i/>
          <w:szCs w:val="22"/>
        </w:rPr>
        <w:t>See id</w:t>
      </w:r>
      <w:r>
        <w:rPr>
          <w:szCs w:val="22"/>
        </w:rPr>
        <w:t xml:space="preserve">. </w:t>
      </w:r>
      <w:r>
        <w:t xml:space="preserve">     </w:t>
      </w:r>
    </w:p>
  </w:footnote>
  <w:footnote w:id="3">
    <w:p w:rsidR="0083344C" w:rsidRDefault="0083344C">
      <w:pPr>
        <w:pStyle w:val="FootnoteText"/>
      </w:pPr>
      <w:r>
        <w:rPr>
          <w:rStyle w:val="FootnoteReference"/>
        </w:rPr>
        <w:footnoteRef/>
      </w:r>
      <w:r>
        <w:t xml:space="preserve"> Public Law 104-13 (codified at </w:t>
      </w:r>
      <w:r w:rsidRPr="00913487">
        <w:t xml:space="preserve">44 U.S.C. </w:t>
      </w:r>
      <w:r>
        <w:t xml:space="preserve">§§ </w:t>
      </w:r>
      <w:r w:rsidRPr="00913487">
        <w:t>3501-3520)</w:t>
      </w:r>
      <w:r>
        <w:t>.</w:t>
      </w:r>
    </w:p>
  </w:footnote>
  <w:footnote w:id="4">
    <w:p w:rsidR="0083344C" w:rsidRDefault="0083344C">
      <w:pPr>
        <w:pStyle w:val="FootnoteText"/>
      </w:pPr>
      <w:r>
        <w:rPr>
          <w:rStyle w:val="FootnoteReference"/>
        </w:rPr>
        <w:footnoteRef/>
      </w:r>
      <w:r>
        <w:t xml:space="preserve"> </w:t>
      </w:r>
      <w:r>
        <w:rPr>
          <w:i/>
        </w:rPr>
        <w:t>Special Access for Price Cap Local Exchange Carriers; AT&amp;T Corporation Petition for Rulemaking to Reform Regulation of Incumbent Local Exchange Carrier Rates for Interstate Special Access Services</w:t>
      </w:r>
      <w:r>
        <w:t>, WC Docket No. 05-25, RM-10593, Report and Order, 27 F</w:t>
      </w:r>
      <w:r w:rsidRPr="00D7472C">
        <w:t>CC</w:t>
      </w:r>
      <w:r>
        <w:t xml:space="preserve"> </w:t>
      </w:r>
      <w:r w:rsidRPr="00D7472C">
        <w:t>R</w:t>
      </w:r>
      <w:r>
        <w:t>cd</w:t>
      </w:r>
      <w:r w:rsidRPr="00D7472C">
        <w:t xml:space="preserve"> 10557</w:t>
      </w:r>
      <w:r>
        <w:t xml:space="preserve"> (2012) (</w:t>
      </w:r>
      <w:r w:rsidRPr="00850783">
        <w:rPr>
          <w:i/>
        </w:rPr>
        <w:t>Pricing Flexibility Suspension Order</w:t>
      </w:r>
      <w:r>
        <w:t>).</w:t>
      </w:r>
    </w:p>
  </w:footnote>
  <w:footnote w:id="5">
    <w:p w:rsidR="0083344C" w:rsidRDefault="0083344C">
      <w:pPr>
        <w:pStyle w:val="FootnoteText"/>
      </w:pPr>
      <w:r>
        <w:rPr>
          <w:rStyle w:val="FootnoteReference"/>
        </w:rPr>
        <w:footnoteRef/>
      </w:r>
      <w:r>
        <w:t xml:space="preserve"> </w:t>
      </w:r>
      <w:r w:rsidRPr="00F40820">
        <w:rPr>
          <w:i/>
        </w:rPr>
        <w:t>Id</w:t>
      </w:r>
      <w:r>
        <w:t>. at 10558, para. 1.</w:t>
      </w:r>
    </w:p>
  </w:footnote>
  <w:footnote w:id="6">
    <w:p w:rsidR="0083344C" w:rsidRPr="003F67F3" w:rsidRDefault="0083344C">
      <w:pPr>
        <w:pStyle w:val="FootnoteText"/>
      </w:pPr>
      <w:r>
        <w:rPr>
          <w:rStyle w:val="FootnoteReference"/>
        </w:rPr>
        <w:footnoteRef/>
      </w:r>
      <w:r>
        <w:t xml:space="preserve"> </w:t>
      </w:r>
      <w:r w:rsidRPr="003F67F3">
        <w:rPr>
          <w:i/>
        </w:rPr>
        <w:t>See</w:t>
      </w:r>
      <w:r>
        <w:t xml:space="preserve"> </w:t>
      </w:r>
      <w:r>
        <w:rPr>
          <w:i/>
        </w:rPr>
        <w:t>id.</w:t>
      </w:r>
      <w:r>
        <w:t xml:space="preserve"> at 10605, para. 85.</w:t>
      </w:r>
    </w:p>
  </w:footnote>
  <w:footnote w:id="7">
    <w:p w:rsidR="0083344C" w:rsidRDefault="0083344C" w:rsidP="006D4FF3">
      <w:pPr>
        <w:pStyle w:val="FootnoteText"/>
      </w:pPr>
      <w:r>
        <w:rPr>
          <w:rStyle w:val="FootnoteReference"/>
        </w:rPr>
        <w:footnoteRef/>
      </w:r>
      <w:r>
        <w:t xml:space="preserve"> </w:t>
      </w:r>
      <w:r>
        <w:rPr>
          <w:i/>
        </w:rPr>
        <w:t>See Special Access Data Collection Order</w:t>
      </w:r>
      <w:r>
        <w:t>, 27 FCC Rcd at 16360, App. A.</w:t>
      </w:r>
    </w:p>
  </w:footnote>
  <w:footnote w:id="8">
    <w:p w:rsidR="0083344C" w:rsidRDefault="0083344C">
      <w:pPr>
        <w:pStyle w:val="FootnoteText"/>
      </w:pPr>
      <w:r>
        <w:rPr>
          <w:rStyle w:val="FootnoteReference"/>
        </w:rPr>
        <w:footnoteRef/>
      </w:r>
      <w:r>
        <w:t xml:space="preserve"> </w:t>
      </w:r>
      <w:r w:rsidRPr="008C4AE0">
        <w:rPr>
          <w:i/>
        </w:rPr>
        <w:t>Id</w:t>
      </w:r>
      <w:r>
        <w:t>. at 16326-27, paras. 16-19.</w:t>
      </w:r>
    </w:p>
  </w:footnote>
  <w:footnote w:id="9">
    <w:p w:rsidR="0083344C" w:rsidRDefault="0083344C">
      <w:pPr>
        <w:pStyle w:val="FootnoteText"/>
      </w:pPr>
      <w:r>
        <w:rPr>
          <w:rStyle w:val="FootnoteReference"/>
        </w:rPr>
        <w:footnoteRef/>
      </w:r>
      <w:r>
        <w:t xml:space="preserve"> The Commission </w:t>
      </w:r>
      <w:r>
        <w:rPr>
          <w:szCs w:val="22"/>
        </w:rPr>
        <w:t xml:space="preserve">found “it necessary to obtain data from special access providers and purchasers of all sizes.”  </w:t>
      </w:r>
      <w:r w:rsidRPr="008C4AE0">
        <w:rPr>
          <w:i/>
        </w:rPr>
        <w:t>Id</w:t>
      </w:r>
      <w:r>
        <w:t xml:space="preserve">. at 16327-28, para. 22.  </w:t>
      </w:r>
      <w:r>
        <w:rPr>
          <w:szCs w:val="22"/>
        </w:rPr>
        <w:t xml:space="preserve">In reaching this conclusion, the Commission focused on how small providers could be a “significant competitor in smaller areas,” citing filings by AT&amp;T Inc. (AT&amp;T) and Verizon in the proceeding.  </w:t>
      </w:r>
      <w:r w:rsidRPr="008C4AE0">
        <w:rPr>
          <w:i/>
        </w:rPr>
        <w:t>Id</w:t>
      </w:r>
      <w:r>
        <w:t xml:space="preserve">. at 16328, para. 22 n.51.  </w:t>
      </w:r>
      <w:r>
        <w:rPr>
          <w:szCs w:val="22"/>
        </w:rPr>
        <w:t>The Commission said that “[c]ompetition in the provision of special access appears to occur at a very granular level</w:t>
      </w:r>
      <w:r>
        <w:t>—</w:t>
      </w:r>
      <w:r>
        <w:rPr>
          <w:szCs w:val="22"/>
        </w:rPr>
        <w:t>perhaps as low as the building/tower” and so even a provider with at least fifty channel terminations to end users could be significant.</w:t>
      </w:r>
      <w:r>
        <w:t xml:space="preserve">  </w:t>
      </w:r>
      <w:r w:rsidRPr="004D697E">
        <w:rPr>
          <w:i/>
        </w:rPr>
        <w:t>Id</w:t>
      </w:r>
      <w:r>
        <w:t xml:space="preserve">. at 16327-28, para. 22.  </w:t>
      </w:r>
      <w:r>
        <w:rPr>
          <w:szCs w:val="22"/>
        </w:rPr>
        <w:t xml:space="preserve">Accordingly, the Commission declined to exempt smaller providers of </w:t>
      </w:r>
      <w:r w:rsidRPr="00B8258F">
        <w:rPr>
          <w:i/>
          <w:szCs w:val="22"/>
        </w:rPr>
        <w:t>Dedicated Service</w:t>
      </w:r>
      <w:r>
        <w:rPr>
          <w:szCs w:val="22"/>
        </w:rPr>
        <w:t xml:space="preserve"> from the collection.</w:t>
      </w:r>
    </w:p>
  </w:footnote>
  <w:footnote w:id="10">
    <w:p w:rsidR="0083344C" w:rsidRDefault="0083344C">
      <w:pPr>
        <w:pStyle w:val="FootnoteText"/>
      </w:pPr>
      <w:r>
        <w:rPr>
          <w:rStyle w:val="FootnoteReference"/>
        </w:rPr>
        <w:footnoteRef/>
      </w:r>
      <w:r>
        <w:t xml:space="preserve"> </w:t>
      </w:r>
      <w:r w:rsidRPr="008C4AE0">
        <w:rPr>
          <w:i/>
        </w:rPr>
        <w:t>Id</w:t>
      </w:r>
      <w:r>
        <w:t xml:space="preserve">. at 16327-28, para. 22 (exempting those entities with </w:t>
      </w:r>
      <w:r>
        <w:rPr>
          <w:szCs w:val="22"/>
        </w:rPr>
        <w:t>fewer than 15,000 customers and fewer than 1,500 business broadband customers)</w:t>
      </w:r>
      <w:r>
        <w:t>.</w:t>
      </w:r>
    </w:p>
  </w:footnote>
  <w:footnote w:id="11">
    <w:p w:rsidR="0083344C" w:rsidRDefault="0083344C" w:rsidP="008F50C3">
      <w:pPr>
        <w:pStyle w:val="FootnoteText"/>
      </w:pPr>
      <w:r>
        <w:rPr>
          <w:rStyle w:val="FootnoteReference"/>
        </w:rPr>
        <w:footnoteRef/>
      </w:r>
      <w:r>
        <w:t xml:space="preserve"> </w:t>
      </w:r>
      <w:r w:rsidRPr="008C4AE0">
        <w:rPr>
          <w:i/>
        </w:rPr>
        <w:t>Id</w:t>
      </w:r>
      <w:r>
        <w:t>. at 16328-31, paras. 23-29.</w:t>
      </w:r>
    </w:p>
  </w:footnote>
  <w:footnote w:id="12">
    <w:p w:rsidR="0083344C" w:rsidRDefault="0083344C" w:rsidP="004A3655">
      <w:pPr>
        <w:pStyle w:val="FootnoteText"/>
      </w:pPr>
      <w:r>
        <w:rPr>
          <w:rStyle w:val="FootnoteReference"/>
        </w:rPr>
        <w:footnoteRef/>
      </w:r>
      <w:r>
        <w:t xml:space="preserve"> </w:t>
      </w:r>
      <w:r w:rsidRPr="004D035A">
        <w:rPr>
          <w:i/>
        </w:rPr>
        <w:t>Id</w:t>
      </w:r>
      <w:r>
        <w:t>. at 16331, para. 30.</w:t>
      </w:r>
    </w:p>
  </w:footnote>
  <w:footnote w:id="13">
    <w:p w:rsidR="0083344C" w:rsidRDefault="0083344C">
      <w:pPr>
        <w:pStyle w:val="FootnoteText"/>
      </w:pPr>
      <w:r>
        <w:rPr>
          <w:rStyle w:val="FootnoteReference"/>
        </w:rPr>
        <w:footnoteRef/>
      </w:r>
      <w:r>
        <w:t xml:space="preserve"> </w:t>
      </w:r>
      <w:r w:rsidRPr="004D035A">
        <w:rPr>
          <w:i/>
        </w:rPr>
        <w:t>Id</w:t>
      </w:r>
      <w:r>
        <w:t>. at 16331-33, paras. 31-35.</w:t>
      </w:r>
    </w:p>
  </w:footnote>
  <w:footnote w:id="14">
    <w:p w:rsidR="0083344C" w:rsidRDefault="0083344C">
      <w:pPr>
        <w:pStyle w:val="FootnoteText"/>
      </w:pPr>
      <w:r>
        <w:rPr>
          <w:rStyle w:val="FootnoteReference"/>
        </w:rPr>
        <w:footnoteRef/>
      </w:r>
      <w:r>
        <w:t xml:space="preserve"> </w:t>
      </w:r>
      <w:r w:rsidRPr="004D035A">
        <w:rPr>
          <w:i/>
        </w:rPr>
        <w:t>Id</w:t>
      </w:r>
      <w:r>
        <w:t>. at 16333, paras. 36-37.</w:t>
      </w:r>
    </w:p>
  </w:footnote>
  <w:footnote w:id="15">
    <w:p w:rsidR="0083344C" w:rsidRDefault="0083344C">
      <w:pPr>
        <w:pStyle w:val="FootnoteText"/>
      </w:pPr>
      <w:r>
        <w:rPr>
          <w:rStyle w:val="FootnoteReference"/>
        </w:rPr>
        <w:footnoteRef/>
      </w:r>
      <w:r>
        <w:t xml:space="preserve"> </w:t>
      </w:r>
      <w:r w:rsidRPr="004D035A">
        <w:rPr>
          <w:i/>
        </w:rPr>
        <w:t>Id</w:t>
      </w:r>
      <w:r>
        <w:t>. at 16333-34, para. 38.</w:t>
      </w:r>
    </w:p>
  </w:footnote>
  <w:footnote w:id="16">
    <w:p w:rsidR="0083344C" w:rsidRDefault="0083344C">
      <w:pPr>
        <w:pStyle w:val="FootnoteText"/>
      </w:pPr>
      <w:r>
        <w:rPr>
          <w:rStyle w:val="FootnoteReference"/>
        </w:rPr>
        <w:footnoteRef/>
      </w:r>
      <w:r>
        <w:t xml:space="preserve"> </w:t>
      </w:r>
      <w:r w:rsidRPr="004D035A">
        <w:rPr>
          <w:i/>
        </w:rPr>
        <w:t>Id</w:t>
      </w:r>
      <w:r>
        <w:t>. at 16334, para. 39.</w:t>
      </w:r>
    </w:p>
  </w:footnote>
  <w:footnote w:id="17">
    <w:p w:rsidR="0083344C" w:rsidRDefault="0083344C">
      <w:pPr>
        <w:pStyle w:val="FootnoteText"/>
      </w:pPr>
      <w:r>
        <w:rPr>
          <w:rStyle w:val="FootnoteReference"/>
        </w:rPr>
        <w:footnoteRef/>
      </w:r>
      <w:r>
        <w:t xml:space="preserve"> </w:t>
      </w:r>
      <w:r w:rsidRPr="004D035A">
        <w:rPr>
          <w:i/>
        </w:rPr>
        <w:t>Id</w:t>
      </w:r>
      <w:r>
        <w:t>. at 16335-37, paras. 40-46.</w:t>
      </w:r>
    </w:p>
  </w:footnote>
  <w:footnote w:id="18">
    <w:p w:rsidR="0083344C" w:rsidRDefault="0083344C" w:rsidP="004A3655">
      <w:pPr>
        <w:pStyle w:val="FootnoteText"/>
      </w:pPr>
      <w:r>
        <w:rPr>
          <w:rStyle w:val="FootnoteReference"/>
        </w:rPr>
        <w:footnoteRef/>
      </w:r>
      <w:r>
        <w:t xml:space="preserve"> </w:t>
      </w:r>
      <w:r w:rsidRPr="004D035A">
        <w:rPr>
          <w:i/>
        </w:rPr>
        <w:t>Id</w:t>
      </w:r>
      <w:r>
        <w:t>. at 16331, para. 30.</w:t>
      </w:r>
    </w:p>
  </w:footnote>
  <w:footnote w:id="19">
    <w:p w:rsidR="0083344C" w:rsidRPr="00D75A08" w:rsidRDefault="0083344C" w:rsidP="008D3D87">
      <w:pPr>
        <w:pStyle w:val="FootnoteText"/>
      </w:pPr>
      <w:r>
        <w:rPr>
          <w:rStyle w:val="FootnoteReference"/>
        </w:rPr>
        <w:footnoteRef/>
      </w:r>
      <w:r>
        <w:t xml:space="preserve"> </w:t>
      </w:r>
      <w:r w:rsidRPr="00D75A08">
        <w:rPr>
          <w:i/>
        </w:rPr>
        <w:t>Special Access Data Collection FNPRM</w:t>
      </w:r>
      <w:r>
        <w:t>, 27 FCC Rcd at 16343-49, paras. 66-71.</w:t>
      </w:r>
    </w:p>
  </w:footnote>
  <w:footnote w:id="20">
    <w:p w:rsidR="0083344C" w:rsidRDefault="0083344C" w:rsidP="00625733">
      <w:pPr>
        <w:pStyle w:val="FootnoteText"/>
      </w:pPr>
      <w:r>
        <w:rPr>
          <w:rStyle w:val="FootnoteReference"/>
        </w:rPr>
        <w:footnoteRef/>
      </w:r>
      <w:r>
        <w:t xml:space="preserve"> </w:t>
      </w:r>
      <w:r w:rsidRPr="00B924D3">
        <w:rPr>
          <w:i/>
        </w:rPr>
        <w:t>Id</w:t>
      </w:r>
      <w:r>
        <w:t>. at 16346-47, paras. 68-69.</w:t>
      </w:r>
    </w:p>
  </w:footnote>
  <w:footnote w:id="21">
    <w:p w:rsidR="0083344C" w:rsidRDefault="0083344C">
      <w:pPr>
        <w:pStyle w:val="FootnoteText"/>
      </w:pPr>
      <w:r>
        <w:rPr>
          <w:rStyle w:val="FootnoteReference"/>
        </w:rPr>
        <w:footnoteRef/>
      </w:r>
      <w:r>
        <w:t xml:space="preserve"> </w:t>
      </w:r>
      <w:r w:rsidRPr="00B924D3">
        <w:rPr>
          <w:i/>
        </w:rPr>
        <w:t>Id</w:t>
      </w:r>
      <w:r>
        <w:t>. at 16346, para. 68.</w:t>
      </w:r>
    </w:p>
  </w:footnote>
  <w:footnote w:id="22">
    <w:p w:rsidR="0083344C" w:rsidRDefault="0083344C">
      <w:pPr>
        <w:pStyle w:val="FootnoteText"/>
      </w:pPr>
      <w:r>
        <w:rPr>
          <w:rStyle w:val="FootnoteReference"/>
        </w:rPr>
        <w:footnoteRef/>
      </w:r>
      <w:r>
        <w:t xml:space="preserve"> </w:t>
      </w:r>
      <w:r w:rsidRPr="00B924D3">
        <w:rPr>
          <w:i/>
        </w:rPr>
        <w:t>Id</w:t>
      </w:r>
      <w:r>
        <w:t>. at 16354-56, paras. 91-93.</w:t>
      </w:r>
    </w:p>
  </w:footnote>
  <w:footnote w:id="23">
    <w:p w:rsidR="0083344C" w:rsidRDefault="0083344C">
      <w:pPr>
        <w:pStyle w:val="FootnoteText"/>
      </w:pPr>
      <w:r>
        <w:rPr>
          <w:rStyle w:val="FootnoteReference"/>
        </w:rPr>
        <w:footnoteRef/>
      </w:r>
      <w:r>
        <w:t xml:space="preserve"> </w:t>
      </w:r>
      <w:r w:rsidRPr="00B924D3">
        <w:rPr>
          <w:i/>
        </w:rPr>
        <w:t>Id</w:t>
      </w:r>
      <w:r>
        <w:t>. at 16352-56, paras. 80-93.</w:t>
      </w:r>
    </w:p>
  </w:footnote>
  <w:footnote w:id="24">
    <w:p w:rsidR="0083344C" w:rsidRDefault="0083344C" w:rsidP="00F54F97">
      <w:pPr>
        <w:pStyle w:val="FootnoteText"/>
      </w:pPr>
      <w:r>
        <w:rPr>
          <w:rStyle w:val="FootnoteReference"/>
        </w:rPr>
        <w:footnoteRef/>
      </w:r>
      <w:r>
        <w:t xml:space="preserve"> </w:t>
      </w:r>
      <w:r w:rsidRPr="00D75A08">
        <w:rPr>
          <w:i/>
        </w:rPr>
        <w:t xml:space="preserve">Special Access Data Collection </w:t>
      </w:r>
      <w:r w:rsidRPr="00C13C2E">
        <w:rPr>
          <w:i/>
        </w:rPr>
        <w:t>Order</w:t>
      </w:r>
      <w:r>
        <w:t xml:space="preserve">, 27 FCC Rcd at 16340, para. 52.  </w:t>
      </w:r>
    </w:p>
  </w:footnote>
  <w:footnote w:id="25">
    <w:p w:rsidR="0083344C" w:rsidRDefault="0083344C" w:rsidP="00F11A76">
      <w:pPr>
        <w:pStyle w:val="FootnoteText"/>
      </w:pPr>
      <w:r>
        <w:rPr>
          <w:rStyle w:val="FootnoteReference"/>
        </w:rPr>
        <w:footnoteRef/>
      </w:r>
      <w:r>
        <w:t xml:space="preserve"> </w:t>
      </w:r>
      <w:r w:rsidRPr="00C96F03">
        <w:rPr>
          <w:i/>
        </w:rPr>
        <w:t>See</w:t>
      </w:r>
      <w:r>
        <w:t xml:space="preserve"> </w:t>
      </w:r>
      <w:r w:rsidRPr="008F3D4A">
        <w:rPr>
          <w:i/>
        </w:rPr>
        <w:t>Information Collection(s) Being Reviewed by the Federal Communications Commission, Comments Requested</w:t>
      </w:r>
      <w:r w:rsidRPr="008F3D4A">
        <w:t>,</w:t>
      </w:r>
      <w:r>
        <w:t xml:space="preserve"> 78 Fed. Reg. 9911 (Feb. 12, 2013) (announcing a 60-day period for to comment on the collection as part of the PRA process).  A list of the filings received is available in the Commission’s Electronic Comment Filing System (ECFS) in WC Docket No. 05-25 and RM-10593.  Consistent with our delegated authority, we reference the PRA comments in making modifications, amendments, and clarifications to the data collection in this Report and Order.   </w:t>
      </w:r>
      <w:r>
        <w:rPr>
          <w:i/>
        </w:rPr>
        <w:t>See Special Access Data Collection Order</w:t>
      </w:r>
      <w:r>
        <w:t>, 27 FCC Rcd at 16340, para. 52.  Allegations as to whether the collection complies with the PRA are not addressed here however.  We will address those allegations as part of the PRA approval process.</w:t>
      </w:r>
    </w:p>
  </w:footnote>
  <w:footnote w:id="26">
    <w:p w:rsidR="0083344C" w:rsidRDefault="0083344C">
      <w:pPr>
        <w:pStyle w:val="FootnoteText"/>
      </w:pPr>
      <w:r>
        <w:rPr>
          <w:rStyle w:val="FootnoteReference"/>
        </w:rPr>
        <w:footnoteRef/>
      </w:r>
      <w:r>
        <w:t xml:space="preserve"> </w:t>
      </w:r>
      <w:r w:rsidRPr="00850783">
        <w:rPr>
          <w:i/>
        </w:rPr>
        <w:t>See Special Access Data Collection FNPRM</w:t>
      </w:r>
      <w:r>
        <w:t>, 27 FCC Rcd at 16345-49, paras. 66-71.</w:t>
      </w:r>
    </w:p>
  </w:footnote>
  <w:footnote w:id="27">
    <w:p w:rsidR="0083344C" w:rsidRDefault="0083344C">
      <w:pPr>
        <w:pStyle w:val="FootnoteText"/>
      </w:pPr>
      <w:r>
        <w:rPr>
          <w:rStyle w:val="FootnoteReference"/>
        </w:rPr>
        <w:footnoteRef/>
      </w:r>
      <w:r>
        <w:t xml:space="preserve"> </w:t>
      </w:r>
      <w:r w:rsidRPr="00850783">
        <w:rPr>
          <w:i/>
        </w:rPr>
        <w:t>See</w:t>
      </w:r>
      <w:r>
        <w:t xml:space="preserve"> Appendices A (Instructions) and B (Revised Data Collection).    </w:t>
      </w:r>
    </w:p>
  </w:footnote>
  <w:footnote w:id="28">
    <w:p w:rsidR="0083344C" w:rsidRDefault="0083344C" w:rsidP="00D1456C">
      <w:pPr>
        <w:pStyle w:val="FootnoteText"/>
      </w:pPr>
      <w:r>
        <w:rPr>
          <w:rStyle w:val="FootnoteReference"/>
        </w:rPr>
        <w:footnoteRef/>
      </w:r>
      <w:r>
        <w:t xml:space="preserve"> </w:t>
      </w:r>
      <w:r>
        <w:rPr>
          <w:i/>
        </w:rPr>
        <w:t>See Special Access Data Collection Order</w:t>
      </w:r>
      <w:r>
        <w:t>, 27 FCC Rcd at 16327, para. 20.</w:t>
      </w:r>
    </w:p>
  </w:footnote>
  <w:footnote w:id="29">
    <w:p w:rsidR="0083344C" w:rsidRDefault="0083344C" w:rsidP="00F72870">
      <w:pPr>
        <w:pStyle w:val="FootnoteText"/>
      </w:pPr>
      <w:r>
        <w:rPr>
          <w:rStyle w:val="FootnoteReference"/>
        </w:rPr>
        <w:footnoteRef/>
      </w:r>
      <w:r>
        <w:t xml:space="preserve"> </w:t>
      </w:r>
      <w:r w:rsidRPr="001232E0">
        <w:rPr>
          <w:i/>
        </w:rPr>
        <w:t>Id</w:t>
      </w:r>
      <w:r>
        <w:t>. at 16327, para. 22.</w:t>
      </w:r>
    </w:p>
  </w:footnote>
  <w:footnote w:id="30">
    <w:p w:rsidR="0083344C" w:rsidRDefault="0083344C">
      <w:pPr>
        <w:pStyle w:val="FootnoteText"/>
      </w:pPr>
      <w:r>
        <w:rPr>
          <w:rStyle w:val="FootnoteReference"/>
        </w:rPr>
        <w:footnoteRef/>
      </w:r>
      <w:r>
        <w:t xml:space="preserve"> </w:t>
      </w:r>
      <w:r w:rsidRPr="001232E0">
        <w:rPr>
          <w:i/>
        </w:rPr>
        <w:t>Id</w:t>
      </w:r>
      <w:r>
        <w:t>. at 16328, para. 23 (“If, however, a provider or purchaser prefers to provide data for all areas without distinguishing between areas served by price cap LECs and rate-of-return LECs, it may do so.”).</w:t>
      </w:r>
    </w:p>
  </w:footnote>
  <w:footnote w:id="31">
    <w:p w:rsidR="0083344C" w:rsidRDefault="0083344C">
      <w:pPr>
        <w:pStyle w:val="FootnoteText"/>
      </w:pPr>
      <w:r>
        <w:rPr>
          <w:rStyle w:val="FootnoteReference"/>
        </w:rPr>
        <w:footnoteRef/>
      </w:r>
      <w:r>
        <w:t xml:space="preserve"> Section II.G of the data collection adopted by the Commission states that if an entity is required to respond because it reported broadband connections to end user locations in the Form 477 but is outside the scope of the collection, then the entity must certify as such.  </w:t>
      </w:r>
      <w:r>
        <w:rPr>
          <w:i/>
        </w:rPr>
        <w:t>See i</w:t>
      </w:r>
      <w:r w:rsidRPr="00C76112">
        <w:rPr>
          <w:i/>
        </w:rPr>
        <w:t>d</w:t>
      </w:r>
      <w:r>
        <w:t xml:space="preserve">. at App. A § II.G.  </w:t>
      </w:r>
    </w:p>
  </w:footnote>
  <w:footnote w:id="32">
    <w:p w:rsidR="0083344C" w:rsidRDefault="0083344C">
      <w:pPr>
        <w:pStyle w:val="FootnoteText"/>
      </w:pPr>
      <w:r>
        <w:rPr>
          <w:rStyle w:val="FootnoteReference"/>
        </w:rPr>
        <w:footnoteRef/>
      </w:r>
      <w:r>
        <w:t xml:space="preserve"> </w:t>
      </w:r>
      <w:r w:rsidRPr="00937ADD">
        <w:rPr>
          <w:i/>
        </w:rPr>
        <w:t>Special Access Data Collection Order</w:t>
      </w:r>
      <w:r>
        <w:t xml:space="preserve">, 27 FCC Rcd at 16327, para. 20.  </w:t>
      </w:r>
    </w:p>
  </w:footnote>
  <w:footnote w:id="33">
    <w:p w:rsidR="0083344C" w:rsidRDefault="0083344C">
      <w:pPr>
        <w:pStyle w:val="FootnoteText"/>
      </w:pPr>
      <w:r>
        <w:rPr>
          <w:rStyle w:val="FootnoteReference"/>
        </w:rPr>
        <w:footnoteRef/>
      </w:r>
      <w:r>
        <w:t xml:space="preserve"> </w:t>
      </w:r>
      <w:r w:rsidRPr="00F95077">
        <w:rPr>
          <w:i/>
        </w:rPr>
        <w:t>See</w:t>
      </w:r>
      <w:r>
        <w:t xml:space="preserve"> Appendix B, § I Definitions.</w:t>
      </w:r>
    </w:p>
  </w:footnote>
  <w:footnote w:id="34">
    <w:p w:rsidR="0083344C" w:rsidRDefault="0083344C">
      <w:pPr>
        <w:pStyle w:val="FootnoteText"/>
      </w:pPr>
      <w:r>
        <w:rPr>
          <w:rStyle w:val="FootnoteReference"/>
        </w:rPr>
        <w:footnoteRef/>
      </w:r>
      <w:r>
        <w:t xml:space="preserve"> </w:t>
      </w:r>
      <w:r w:rsidRPr="00F95077">
        <w:rPr>
          <w:i/>
        </w:rPr>
        <w:t>See id</w:t>
      </w:r>
      <w:r>
        <w:t xml:space="preserve">. § II.F.  </w:t>
      </w:r>
      <w:r w:rsidRPr="00C75D21">
        <w:rPr>
          <w:i/>
        </w:rPr>
        <w:t>Purchasers</w:t>
      </w:r>
      <w:r>
        <w:t xml:space="preserve"> that are mobile wireless service providers will provide additional information on their cell site locations.  </w:t>
      </w:r>
      <w:r w:rsidRPr="00C75D21">
        <w:rPr>
          <w:i/>
        </w:rPr>
        <w:t>Id</w:t>
      </w:r>
      <w:r>
        <w:t>. § II.E.1-2.</w:t>
      </w:r>
    </w:p>
  </w:footnote>
  <w:footnote w:id="35">
    <w:p w:rsidR="0083344C" w:rsidRDefault="0083344C">
      <w:pPr>
        <w:pStyle w:val="FootnoteText"/>
      </w:pPr>
      <w:r>
        <w:rPr>
          <w:rStyle w:val="FootnoteReference"/>
        </w:rPr>
        <w:footnoteRef/>
      </w:r>
      <w:r>
        <w:t xml:space="preserve"> </w:t>
      </w:r>
      <w:r w:rsidRPr="00E62258">
        <w:rPr>
          <w:i/>
        </w:rPr>
        <w:t>See</w:t>
      </w:r>
      <w:r>
        <w:t xml:space="preserve"> </w:t>
      </w:r>
      <w:r w:rsidRPr="00937ADD">
        <w:rPr>
          <w:i/>
        </w:rPr>
        <w:t xml:space="preserve">Special Access Data Collection </w:t>
      </w:r>
      <w:r>
        <w:rPr>
          <w:i/>
        </w:rPr>
        <w:t>FNPRM</w:t>
      </w:r>
      <w:r>
        <w:t>, 27 FCC Rcd at 16355-56, paras. 92-93.</w:t>
      </w:r>
    </w:p>
  </w:footnote>
  <w:footnote w:id="36">
    <w:p w:rsidR="0083344C" w:rsidRDefault="0083344C">
      <w:pPr>
        <w:pStyle w:val="FootnoteText"/>
      </w:pPr>
      <w:r>
        <w:rPr>
          <w:rStyle w:val="FootnoteReference"/>
        </w:rPr>
        <w:footnoteRef/>
      </w:r>
      <w:r>
        <w:t xml:space="preserve"> </w:t>
      </w:r>
      <w:r w:rsidRPr="00937ADD">
        <w:rPr>
          <w:i/>
        </w:rPr>
        <w:t>Special Access Data Collection Order</w:t>
      </w:r>
      <w:r>
        <w:t xml:space="preserve">, 27 FCC Rcd at 16327, para. 20.    </w:t>
      </w:r>
    </w:p>
  </w:footnote>
  <w:footnote w:id="37">
    <w:p w:rsidR="0083344C" w:rsidRDefault="0083344C">
      <w:pPr>
        <w:pStyle w:val="FootnoteText"/>
      </w:pPr>
      <w:r>
        <w:rPr>
          <w:rStyle w:val="FootnoteReference"/>
        </w:rPr>
        <w:footnoteRef/>
      </w:r>
      <w:r>
        <w:t xml:space="preserve"> </w:t>
      </w:r>
      <w:r w:rsidRPr="00E6679D">
        <w:rPr>
          <w:i/>
        </w:rPr>
        <w:t>Id</w:t>
      </w:r>
      <w:r>
        <w:t>. at 16408-09, App. B, para. 70.</w:t>
      </w:r>
    </w:p>
  </w:footnote>
  <w:footnote w:id="38">
    <w:p w:rsidR="0083344C" w:rsidRDefault="0083344C">
      <w:pPr>
        <w:pStyle w:val="FootnoteText"/>
      </w:pPr>
      <w:r>
        <w:rPr>
          <w:rStyle w:val="FootnoteReference"/>
        </w:rPr>
        <w:footnoteRef/>
      </w:r>
      <w:r>
        <w:t xml:space="preserve"> </w:t>
      </w:r>
      <w:r>
        <w:rPr>
          <w:i/>
        </w:rPr>
        <w:t>See Information Collection(s) Being Reviewed by the Federal Communications Commission, Comments Requested</w:t>
      </w:r>
      <w:r>
        <w:t>, 78 Fed. Reg. 9911 (Feb. 12, 2013) (providing an initial estimate of 6,386 respondents).</w:t>
      </w:r>
    </w:p>
  </w:footnote>
  <w:footnote w:id="39">
    <w:p w:rsidR="0083344C" w:rsidRDefault="0083344C" w:rsidP="00644B76">
      <w:pPr>
        <w:pStyle w:val="FootnoteText"/>
      </w:pPr>
      <w:r>
        <w:rPr>
          <w:rStyle w:val="FootnoteReference"/>
        </w:rPr>
        <w:footnoteRef/>
      </w:r>
      <w:r>
        <w:t xml:space="preserve"> </w:t>
      </w:r>
      <w:r w:rsidRPr="008E6A92">
        <w:rPr>
          <w:i/>
        </w:rPr>
        <w:t>See</w:t>
      </w:r>
      <w:r>
        <w:rPr>
          <w:i/>
        </w:rPr>
        <w:t>, e.g.</w:t>
      </w:r>
      <w:r>
        <w:t xml:space="preserve">, </w:t>
      </w:r>
      <w:r w:rsidRPr="00D35F09">
        <w:rPr>
          <w:i/>
        </w:rPr>
        <w:t xml:space="preserve">Special Access Data Collection </w:t>
      </w:r>
      <w:r>
        <w:rPr>
          <w:i/>
        </w:rPr>
        <w:t>FNPRM</w:t>
      </w:r>
      <w:r>
        <w:t xml:space="preserve">, 27 FCC Rcd at 16346, para. 68 (proposing to undertake econometric modeling to develop panel regressions on special access prices by taking into account, among other things, the </w:t>
      </w:r>
      <w:r w:rsidRPr="00644B76">
        <w:t>number of facilities-based competitors</w:t>
      </w:r>
      <w:r>
        <w:t xml:space="preserve"> and</w:t>
      </w:r>
      <w:r w:rsidRPr="00644B76">
        <w:t xml:space="preserve"> </w:t>
      </w:r>
      <w:r>
        <w:t xml:space="preserve">the characteristics of purchased service).   </w:t>
      </w:r>
    </w:p>
  </w:footnote>
  <w:footnote w:id="40">
    <w:p w:rsidR="0083344C" w:rsidRDefault="0083344C">
      <w:pPr>
        <w:pStyle w:val="FootnoteText"/>
      </w:pPr>
      <w:r>
        <w:rPr>
          <w:rStyle w:val="FootnoteReference"/>
        </w:rPr>
        <w:footnoteRef/>
      </w:r>
      <w:r>
        <w:t xml:space="preserve"> </w:t>
      </w:r>
      <w:r w:rsidRPr="00EC5B40">
        <w:rPr>
          <w:i/>
        </w:rPr>
        <w:t>See</w:t>
      </w:r>
      <w:r>
        <w:t xml:space="preserve"> </w:t>
      </w:r>
      <w:r>
        <w:rPr>
          <w:i/>
        </w:rPr>
        <w:t>id.</w:t>
      </w:r>
      <w:r>
        <w:t xml:space="preserve"> at 16355-56, paras. 92-93.  Even though the mandatory collection does not comprehensively cover all purchasers of special access, purchasers not subject to the collection will have an opportunity to provide data and information, on a voluntary basis, to highlight for the Commission’s consideration any harmful, anticompetitive conduct experienced in their purchase and use of special access services.</w:t>
      </w:r>
    </w:p>
  </w:footnote>
  <w:footnote w:id="41">
    <w:p w:rsidR="0083344C" w:rsidRDefault="0083344C">
      <w:pPr>
        <w:pStyle w:val="FootnoteText"/>
      </w:pPr>
      <w:r>
        <w:rPr>
          <w:rStyle w:val="FootnoteReference"/>
        </w:rPr>
        <w:footnoteRef/>
      </w:r>
      <w:r>
        <w:t xml:space="preserve"> We note the Commission similarly excluded those “best efforts” providers with a small number of subscribers from the collection because the excluded data “would not diminish the rigor of [the Commission’s] analysis.”  </w:t>
      </w:r>
      <w:r w:rsidRPr="00D35F09">
        <w:rPr>
          <w:i/>
        </w:rPr>
        <w:t>See</w:t>
      </w:r>
      <w:r>
        <w:t xml:space="preserve"> </w:t>
      </w:r>
      <w:r w:rsidRPr="00D35F09">
        <w:rPr>
          <w:i/>
        </w:rPr>
        <w:t>Special Access Data Collection Order</w:t>
      </w:r>
      <w:r>
        <w:t xml:space="preserve">, 27 FCC Rcd at 16335-36, para. 44.  </w:t>
      </w:r>
    </w:p>
  </w:footnote>
  <w:footnote w:id="42">
    <w:p w:rsidR="0083344C" w:rsidRDefault="0083344C">
      <w:pPr>
        <w:pStyle w:val="FootnoteText"/>
      </w:pPr>
      <w:r>
        <w:rPr>
          <w:rStyle w:val="FootnoteReference"/>
        </w:rPr>
        <w:footnoteRef/>
      </w:r>
      <w:r>
        <w:t xml:space="preserve"> While we clarify the narrower scope of </w:t>
      </w:r>
      <w:r w:rsidRPr="00171253">
        <w:rPr>
          <w:i/>
        </w:rPr>
        <w:t>Purchasers</w:t>
      </w:r>
      <w:r>
        <w:t xml:space="preserve">, we decline to adopt the suggestions of Smith Bagley </w:t>
      </w:r>
      <w:r w:rsidRPr="0090433D">
        <w:rPr>
          <w:i/>
        </w:rPr>
        <w:t>et al</w:t>
      </w:r>
      <w:r>
        <w:t xml:space="preserve">. and NTCA—The Rural Broadband Association (NTCA) to exempt all small carriers, over which the Commission’s jurisdiction extends completely, from the collection if they spend less than $5 million annually on special access or purchase fewer than 50 special access connections in a relevant geographic area.  </w:t>
      </w:r>
      <w:r w:rsidRPr="00E62258">
        <w:rPr>
          <w:i/>
        </w:rPr>
        <w:t>See</w:t>
      </w:r>
      <w:r>
        <w:t xml:space="preserve"> Smith Bagley PRA Comments of Smith Bagley, Inc. </w:t>
      </w:r>
      <w:r w:rsidRPr="002A3DA6">
        <w:rPr>
          <w:i/>
        </w:rPr>
        <w:t>et al</w:t>
      </w:r>
      <w:r>
        <w:t xml:space="preserve">, WC Docket No. 05-25, at 7 (filed Apr. 15, 2013) (Smith Bagley PRA Comments); NTCA PRA Comments, WC Docket No. 05-25, at 12 (filed Apr. 15, 2013) (NTCA PRA Comments).  The Commission has already included </w:t>
      </w:r>
      <w:r w:rsidRPr="002A4A24">
        <w:rPr>
          <w:i/>
        </w:rPr>
        <w:t>Providers</w:t>
      </w:r>
      <w:r>
        <w:t xml:space="preserve"> and </w:t>
      </w:r>
      <w:r w:rsidRPr="002A4A24">
        <w:rPr>
          <w:i/>
        </w:rPr>
        <w:t>Purchasers</w:t>
      </w:r>
      <w:r>
        <w:t xml:space="preserve"> of “all sizes” in the collection.  </w:t>
      </w:r>
      <w:r w:rsidRPr="002A4A24">
        <w:rPr>
          <w:i/>
        </w:rPr>
        <w:t>Special Access Data Collection Order</w:t>
      </w:r>
      <w:r>
        <w:t xml:space="preserve">, 27 FCC Rcd </w:t>
      </w:r>
      <w:r w:rsidRPr="002A4A24">
        <w:t>at</w:t>
      </w:r>
      <w:r>
        <w:t xml:space="preserve"> 16327-28, para. 22.  The Bureau cannot therefore create a </w:t>
      </w:r>
      <w:r w:rsidRPr="002A4A24">
        <w:rPr>
          <w:i/>
        </w:rPr>
        <w:t>de minimis</w:t>
      </w:r>
      <w:r>
        <w:t xml:space="preserve"> exception for smaller </w:t>
      </w:r>
      <w:r w:rsidRPr="002A4A24">
        <w:rPr>
          <w:i/>
        </w:rPr>
        <w:t>Purchasers</w:t>
      </w:r>
      <w:r>
        <w:t xml:space="preserve"> that is clearly inconsistent with the terms of the Commission’s order. </w:t>
      </w:r>
    </w:p>
  </w:footnote>
  <w:footnote w:id="43">
    <w:p w:rsidR="0083344C" w:rsidRDefault="0083344C">
      <w:pPr>
        <w:pStyle w:val="FootnoteText"/>
      </w:pPr>
      <w:r>
        <w:rPr>
          <w:rStyle w:val="FootnoteReference"/>
        </w:rPr>
        <w:footnoteRef/>
      </w:r>
      <w:r>
        <w:t xml:space="preserve"> For example, an entity holding an earth station license issued under Part 25 of the Commission’s rules that also has an experimental license issued under Part 15 (a listed exclusion category), is not excluded from the collection if it purchased </w:t>
      </w:r>
      <w:r w:rsidRPr="002B5628">
        <w:rPr>
          <w:i/>
        </w:rPr>
        <w:t>Dedicated Service</w:t>
      </w:r>
      <w:r>
        <w:t xml:space="preserve"> in a price cap area during the relevant reporting periods.  Likewise, an entity holding an antenna structure registration under Part 17 (a listed exclusion category) is not excluded from the collection if it provided a covered </w:t>
      </w:r>
      <w:r w:rsidRPr="000C3080">
        <w:rPr>
          <w:i/>
          <w:szCs w:val="22"/>
        </w:rPr>
        <w:t>Best Efforts Business Broadband Internet Access Service</w:t>
      </w:r>
      <w:r>
        <w:rPr>
          <w:i/>
          <w:szCs w:val="22"/>
        </w:rPr>
        <w:t xml:space="preserve"> </w:t>
      </w:r>
      <w:r>
        <w:rPr>
          <w:szCs w:val="22"/>
        </w:rPr>
        <w:t xml:space="preserve">in a price cap area. </w:t>
      </w:r>
      <w:r>
        <w:rPr>
          <w:i/>
          <w:szCs w:val="22"/>
        </w:rPr>
        <w:t xml:space="preserve"> </w:t>
      </w:r>
      <w:r>
        <w:t xml:space="preserve">      </w:t>
      </w:r>
    </w:p>
  </w:footnote>
  <w:footnote w:id="44">
    <w:p w:rsidR="0083344C" w:rsidRDefault="0083344C">
      <w:pPr>
        <w:pStyle w:val="FootnoteText"/>
      </w:pPr>
      <w:r>
        <w:rPr>
          <w:rStyle w:val="FootnoteReference"/>
        </w:rPr>
        <w:footnoteRef/>
      </w:r>
      <w:r>
        <w:t xml:space="preserve"> </w:t>
      </w:r>
      <w:r w:rsidRPr="00CF7044">
        <w:rPr>
          <w:i/>
        </w:rPr>
        <w:t xml:space="preserve">See </w:t>
      </w:r>
      <w:r>
        <w:rPr>
          <w:i/>
        </w:rPr>
        <w:t>Special Access Data Collection Order</w:t>
      </w:r>
      <w:r>
        <w:t>, 27 FCC Rcd at 16328, para. 23 (discussing the geographic scope of the collection).  Carriers currently subject to price cap regulation are the ACS Companies; the Ameritech Operating Companies; BellSouth Telecommunications, Inc.; CenturyTel Operating Companies; Cincinnati Bell Telephone; Consolidated Communications; Embarq Local Telephone Companies; Frontier Telephone Companies; Hawaiian Telecom, Inc.; Illinois Consolidated Telephone Company;  Micronesian Telecommunications, Corp.; Nevada Bell Telephone Company; Pacific Bell Telephone Company; Puerto Rico Telephone Company; Qwest Corporation; Southern New England Telephone; Southwestern Bell Telephone; SureWest Telephone; The Fairpoint Telephone Companies; The Verizon Telephone Companies; Virgin Islands Telephone Company and Windstream Telephone System.</w:t>
      </w:r>
    </w:p>
  </w:footnote>
  <w:footnote w:id="45">
    <w:p w:rsidR="0083344C" w:rsidRDefault="0083344C">
      <w:pPr>
        <w:pStyle w:val="FootnoteText"/>
      </w:pPr>
      <w:r>
        <w:rPr>
          <w:rStyle w:val="FootnoteReference"/>
        </w:rPr>
        <w:footnoteRef/>
      </w:r>
      <w:r>
        <w:t xml:space="preserve"> If an entity provides or purchases </w:t>
      </w:r>
      <w:r w:rsidRPr="00850783">
        <w:rPr>
          <w:i/>
        </w:rPr>
        <w:t>Dedicated Service</w:t>
      </w:r>
      <w:r>
        <w:t xml:space="preserve"> in both price cap and rate-of return areas, then it must only report data and information relevant to the areas where the </w:t>
      </w:r>
      <w:r w:rsidRPr="00C36B27">
        <w:rPr>
          <w:i/>
        </w:rPr>
        <w:t>ILEC</w:t>
      </w:r>
      <w:r>
        <w:t xml:space="preserve"> is subject to price cap regulation.  However, for administrative ease, </w:t>
      </w:r>
      <w:r w:rsidRPr="00850783">
        <w:rPr>
          <w:i/>
        </w:rPr>
        <w:t>Providers</w:t>
      </w:r>
      <w:r w:rsidRPr="00B05344">
        <w:t xml:space="preserve"> </w:t>
      </w:r>
      <w:r>
        <w:t xml:space="preserve">and </w:t>
      </w:r>
      <w:r w:rsidRPr="00850783">
        <w:rPr>
          <w:i/>
        </w:rPr>
        <w:t>Purchasers</w:t>
      </w:r>
      <w:r w:rsidRPr="00B05344">
        <w:t xml:space="preserve"> </w:t>
      </w:r>
      <w:r>
        <w:t xml:space="preserve">may submit data that include both price cap and non-price cap areas if they prefer.  </w:t>
      </w:r>
      <w:r w:rsidRPr="00850783">
        <w:rPr>
          <w:i/>
        </w:rPr>
        <w:t>See Special Access Data Collection Order</w:t>
      </w:r>
      <w:r>
        <w:t xml:space="preserve">, 27 FCC Rcd at 16328, para. 23. </w:t>
      </w:r>
    </w:p>
  </w:footnote>
  <w:footnote w:id="46">
    <w:p w:rsidR="0083344C" w:rsidRPr="007B77C1" w:rsidRDefault="0083344C">
      <w:pPr>
        <w:pStyle w:val="FootnoteText"/>
        <w:rPr>
          <w:b/>
        </w:rPr>
      </w:pPr>
      <w:r>
        <w:rPr>
          <w:rStyle w:val="FootnoteReference"/>
        </w:rPr>
        <w:footnoteRef/>
      </w:r>
      <w:r>
        <w:t xml:space="preserve"> </w:t>
      </w:r>
      <w:r w:rsidRPr="00AE5C78">
        <w:rPr>
          <w:i/>
        </w:rPr>
        <w:t>See</w:t>
      </w:r>
      <w:r>
        <w:t xml:space="preserve"> </w:t>
      </w:r>
      <w:r w:rsidRPr="00590E7A">
        <w:t>Map: Regulatory Type at the Holding Company Level by Study Area</w:t>
      </w:r>
      <w:r>
        <w:t xml:space="preserve">, FCC, </w:t>
      </w:r>
      <w:r w:rsidRPr="00CA38C2">
        <w:t>http://www.fcc.gov/maps/regulatory-type-holding-company-level-study-area</w:t>
      </w:r>
      <w:r>
        <w:t xml:space="preserve"> (last visited Sept. 9, 2013).  We note that we are currently updating this map based on a collection of study area boundaries.  If the new study area boundary data are not available to respondents in time for them to take into account in formulating responses to the special access data collection, we will consider reliance on the currently available study area boundary data to be reasonable.  </w:t>
      </w:r>
    </w:p>
  </w:footnote>
  <w:footnote w:id="47">
    <w:p w:rsidR="0083344C" w:rsidRDefault="0083344C">
      <w:pPr>
        <w:pStyle w:val="FootnoteText"/>
      </w:pPr>
      <w:r>
        <w:rPr>
          <w:rStyle w:val="FootnoteReference"/>
        </w:rPr>
        <w:footnoteRef/>
      </w:r>
      <w:r>
        <w:t xml:space="preserve"> A </w:t>
      </w:r>
      <w:r w:rsidRPr="00D64F2C">
        <w:rPr>
          <w:i/>
        </w:rPr>
        <w:t>Provider</w:t>
      </w:r>
      <w:r>
        <w:t xml:space="preserve"> must report data on its operations for the entire year for both 2010 and 2012 if the </w:t>
      </w:r>
      <w:r w:rsidRPr="00044492">
        <w:rPr>
          <w:i/>
        </w:rPr>
        <w:t>ILEC</w:t>
      </w:r>
      <w:r>
        <w:t xml:space="preserve"> was subject to price cap regulation at any point during 2010 or 2012.  </w:t>
      </w:r>
    </w:p>
  </w:footnote>
  <w:footnote w:id="48">
    <w:p w:rsidR="0083344C" w:rsidRDefault="0083344C" w:rsidP="00494D4B">
      <w:pPr>
        <w:pStyle w:val="FootnoteText"/>
      </w:pPr>
      <w:r>
        <w:rPr>
          <w:rStyle w:val="FootnoteReference"/>
        </w:rPr>
        <w:footnoteRef/>
      </w:r>
      <w:r>
        <w:t xml:space="preserve"> </w:t>
      </w:r>
      <w:r w:rsidRPr="00850783">
        <w:rPr>
          <w:i/>
        </w:rPr>
        <w:t>See Special Access Data Collection Order</w:t>
      </w:r>
      <w:r>
        <w:t>, 27 FCC Rcd at 16381-82, para. 52 n.111.</w:t>
      </w:r>
    </w:p>
  </w:footnote>
  <w:footnote w:id="49">
    <w:p w:rsidR="0083344C" w:rsidRDefault="0083344C">
      <w:pPr>
        <w:pStyle w:val="FootnoteText"/>
      </w:pPr>
      <w:r>
        <w:rPr>
          <w:rStyle w:val="FootnoteReference"/>
        </w:rPr>
        <w:footnoteRef/>
      </w:r>
      <w:r>
        <w:t xml:space="preserve"> </w:t>
      </w:r>
      <w:r w:rsidRPr="00850783">
        <w:rPr>
          <w:i/>
        </w:rPr>
        <w:t xml:space="preserve">See </w:t>
      </w:r>
      <w:r>
        <w:rPr>
          <w:i/>
        </w:rPr>
        <w:t>id.</w:t>
      </w:r>
      <w:r>
        <w:t xml:space="preserve"> at 16381-82, App. A § II.G.  In this Report and Order, we are further modifying this language so that more specifically, filers who were required to report broadband connections to end user locations on the Form 477 due on</w:t>
      </w:r>
      <w:r>
        <w:rPr>
          <w:szCs w:val="22"/>
        </w:rPr>
        <w:t xml:space="preserve"> March 1, 2013, must, at a minimum, file a certification in response to the data collection</w:t>
      </w:r>
      <w:r>
        <w:t xml:space="preserve">.  </w:t>
      </w:r>
      <w:r w:rsidRPr="00850783">
        <w:rPr>
          <w:i/>
        </w:rPr>
        <w:t xml:space="preserve">See </w:t>
      </w:r>
      <w:r>
        <w:rPr>
          <w:i/>
        </w:rPr>
        <w:t xml:space="preserve">infra </w:t>
      </w:r>
      <w:r>
        <w:t>Section III.C; Appendix B § II.G.</w:t>
      </w:r>
    </w:p>
  </w:footnote>
  <w:footnote w:id="50">
    <w:p w:rsidR="0083344C" w:rsidRDefault="0083344C">
      <w:pPr>
        <w:pStyle w:val="FootnoteText"/>
      </w:pPr>
      <w:r>
        <w:rPr>
          <w:rStyle w:val="FootnoteReference"/>
        </w:rPr>
        <w:footnoteRef/>
      </w:r>
      <w:r>
        <w:t xml:space="preserve"> </w:t>
      </w:r>
      <w:r w:rsidRPr="00A638A6">
        <w:rPr>
          <w:i/>
        </w:rPr>
        <w:t>See</w:t>
      </w:r>
      <w:r>
        <w:t xml:space="preserve"> Smith Bagley PRA Comments at 12-13.  </w:t>
      </w:r>
    </w:p>
  </w:footnote>
  <w:footnote w:id="51">
    <w:p w:rsidR="0083344C" w:rsidRDefault="0083344C">
      <w:pPr>
        <w:pStyle w:val="FootnoteText"/>
      </w:pPr>
      <w:r>
        <w:rPr>
          <w:rStyle w:val="FootnoteReference"/>
        </w:rPr>
        <w:footnoteRef/>
      </w:r>
      <w:r>
        <w:t xml:space="preserve"> </w:t>
      </w:r>
      <w:r>
        <w:rPr>
          <w:szCs w:val="22"/>
        </w:rPr>
        <w:t>This</w:t>
      </w:r>
      <w:r w:rsidRPr="00C91125">
        <w:rPr>
          <w:szCs w:val="22"/>
        </w:rPr>
        <w:t xml:space="preserve"> </w:t>
      </w:r>
      <w:r>
        <w:rPr>
          <w:szCs w:val="22"/>
        </w:rPr>
        <w:t>clarification</w:t>
      </w:r>
      <w:r w:rsidRPr="00C91125">
        <w:rPr>
          <w:szCs w:val="22"/>
        </w:rPr>
        <w:t xml:space="preserve"> merely implements the process provided in the data collection adopted by the Commission</w:t>
      </w:r>
      <w:r>
        <w:rPr>
          <w:szCs w:val="22"/>
        </w:rPr>
        <w:t xml:space="preserve"> and </w:t>
      </w:r>
      <w:r w:rsidRPr="00C91125">
        <w:rPr>
          <w:szCs w:val="22"/>
        </w:rPr>
        <w:t xml:space="preserve">is </w:t>
      </w:r>
      <w:r>
        <w:rPr>
          <w:szCs w:val="22"/>
        </w:rPr>
        <w:t xml:space="preserve">otherwise </w:t>
      </w:r>
      <w:r w:rsidRPr="00C91125">
        <w:rPr>
          <w:szCs w:val="22"/>
        </w:rPr>
        <w:t>consistent with the Bure</w:t>
      </w:r>
      <w:r>
        <w:rPr>
          <w:szCs w:val="22"/>
        </w:rPr>
        <w:t>au’s delegation of authority.</w:t>
      </w:r>
      <w:r w:rsidRPr="00526002">
        <w:rPr>
          <w:i/>
        </w:rPr>
        <w:t xml:space="preserve"> </w:t>
      </w:r>
      <w:r>
        <w:rPr>
          <w:i/>
        </w:rPr>
        <w:t xml:space="preserve"> See Special Access Data Collection Order</w:t>
      </w:r>
      <w:r>
        <w:t xml:space="preserve">, 27 FCC Rcd at 16318, para. 52 n.111.  </w:t>
      </w:r>
    </w:p>
  </w:footnote>
  <w:footnote w:id="52">
    <w:p w:rsidR="0083344C" w:rsidRDefault="0083344C" w:rsidP="008246FC">
      <w:pPr>
        <w:pStyle w:val="FootnoteText"/>
      </w:pPr>
      <w:r>
        <w:rPr>
          <w:rStyle w:val="FootnoteReference"/>
        </w:rPr>
        <w:footnoteRef/>
      </w:r>
      <w:r>
        <w:t xml:space="preserve"> More details on the electronic certification process are provided in the attached instructions.  </w:t>
      </w:r>
      <w:r w:rsidRPr="00AE5C78">
        <w:rPr>
          <w:i/>
        </w:rPr>
        <w:t>See</w:t>
      </w:r>
      <w:r>
        <w:t xml:space="preserve"> Appendix A. </w:t>
      </w:r>
    </w:p>
  </w:footnote>
  <w:footnote w:id="53">
    <w:p w:rsidR="0083344C" w:rsidRDefault="0083344C">
      <w:pPr>
        <w:pStyle w:val="FootnoteText"/>
      </w:pPr>
      <w:r>
        <w:rPr>
          <w:rStyle w:val="FootnoteReference"/>
        </w:rPr>
        <w:footnoteRef/>
      </w:r>
      <w:r>
        <w:t xml:space="preserve"> </w:t>
      </w:r>
      <w:r w:rsidRPr="008223E7">
        <w:rPr>
          <w:i/>
        </w:rPr>
        <w:t>See Special Access Data Collection FNPRM</w:t>
      </w:r>
      <w:r>
        <w:t>, 27 FCC Rcd at 16345-49, paras. 66-71 (proposing a one-time, multi-faceted market analysis of the collected data).</w:t>
      </w:r>
    </w:p>
  </w:footnote>
  <w:footnote w:id="54">
    <w:p w:rsidR="0083344C" w:rsidRPr="000D4040" w:rsidRDefault="0083344C" w:rsidP="000D4040">
      <w:pPr>
        <w:pStyle w:val="FootnoteText"/>
        <w:rPr>
          <w:bCs/>
        </w:rPr>
      </w:pPr>
      <w:r>
        <w:rPr>
          <w:rStyle w:val="FootnoteReference"/>
        </w:rPr>
        <w:footnoteRef/>
      </w:r>
      <w:r>
        <w:t xml:space="preserve"> For example, entities reporting broadband connections on the Form 477 are “</w:t>
      </w:r>
      <w:r w:rsidRPr="008246FC">
        <w:rPr>
          <w:szCs w:val="22"/>
        </w:rPr>
        <w:t>incumbent and competitive local exchange carriers (LECs), cable system operators, fixed wireless service providers (including “wireless ISPs”), terrestrial and satellite mobile wireless service providers, BRS providers, electric utilities, municipalities, and other entities.”</w:t>
      </w:r>
      <w:r>
        <w:rPr>
          <w:szCs w:val="22"/>
        </w:rPr>
        <w:t xml:space="preserve">  The </w:t>
      </w:r>
      <w:r>
        <w:t xml:space="preserve">Form 477 filers include providers of broadband connections to non-residential locations.  The transfer rate covered by the Form 477, exceeding 200 kbps in at least one direction, captures the minimum bandwidth connections at issue in this collection, </w:t>
      </w:r>
      <w:r w:rsidRPr="00BE059D">
        <w:rPr>
          <w:i/>
        </w:rPr>
        <w:t>i.e.</w:t>
      </w:r>
      <w:r>
        <w:t xml:space="preserve">, at least 1.5 megabits per second (Mbps) in both directions.  The Form 477 filers also include providers using the same types of connections sought in the collection, </w:t>
      </w:r>
      <w:r w:rsidRPr="0050304F">
        <w:rPr>
          <w:i/>
        </w:rPr>
        <w:t>e.g.</w:t>
      </w:r>
      <w:r>
        <w:t xml:space="preserve">, connections to end user locations that are owned, </w:t>
      </w:r>
      <w:r w:rsidRPr="008246FC">
        <w:rPr>
          <w:szCs w:val="22"/>
        </w:rPr>
        <w:t xml:space="preserve">obtained as </w:t>
      </w:r>
      <w:r>
        <w:rPr>
          <w:szCs w:val="22"/>
        </w:rPr>
        <w:t>UNEs</w:t>
      </w:r>
      <w:r w:rsidRPr="008246FC">
        <w:rPr>
          <w:szCs w:val="22"/>
        </w:rPr>
        <w:t>, or leased as special access lines.</w:t>
      </w:r>
      <w:r>
        <w:rPr>
          <w:szCs w:val="22"/>
        </w:rPr>
        <w:t xml:space="preserve">  </w:t>
      </w:r>
      <w:r w:rsidRPr="000D4040">
        <w:rPr>
          <w:i/>
        </w:rPr>
        <w:t>See</w:t>
      </w:r>
      <w:r>
        <w:t xml:space="preserve"> </w:t>
      </w:r>
      <w:r w:rsidRPr="000D4040">
        <w:rPr>
          <w:bCs/>
        </w:rPr>
        <w:t>Instructions for Local Telephone Competition and Broadband Reporting (FCC Form 477)</w:t>
      </w:r>
      <w:r>
        <w:rPr>
          <w:bCs/>
        </w:rPr>
        <w:t>, Filing due 9</w:t>
      </w:r>
      <w:r w:rsidRPr="000D4040">
        <w:rPr>
          <w:bCs/>
        </w:rPr>
        <w:t xml:space="preserve">/1/2013 (reporting data as of </w:t>
      </w:r>
      <w:r>
        <w:rPr>
          <w:bCs/>
        </w:rPr>
        <w:t>06</w:t>
      </w:r>
      <w:r w:rsidRPr="000D4040">
        <w:rPr>
          <w:bCs/>
        </w:rPr>
        <w:t>/3</w:t>
      </w:r>
      <w:r>
        <w:rPr>
          <w:bCs/>
        </w:rPr>
        <w:t>0</w:t>
      </w:r>
      <w:r w:rsidRPr="000D4040">
        <w:rPr>
          <w:bCs/>
        </w:rPr>
        <w:t>/201</w:t>
      </w:r>
      <w:r>
        <w:rPr>
          <w:bCs/>
        </w:rPr>
        <w:t>3</w:t>
      </w:r>
      <w:r w:rsidRPr="000D4040">
        <w:rPr>
          <w:bCs/>
        </w:rPr>
        <w:t>)</w:t>
      </w:r>
      <w:r>
        <w:rPr>
          <w:bCs/>
        </w:rPr>
        <w:t xml:space="preserve"> at 2 (Form 477 Instructions); </w:t>
      </w:r>
      <w:r w:rsidRPr="001302C8">
        <w:rPr>
          <w:i/>
        </w:rPr>
        <w:t>Special Access Data Collection Order</w:t>
      </w:r>
      <w:r>
        <w:t>, 27 FCC Rcd at 16318, App. A., § I Definitions, Questions II.A.3-4; II.B.2-3.</w:t>
      </w:r>
    </w:p>
  </w:footnote>
  <w:footnote w:id="55">
    <w:p w:rsidR="0083344C" w:rsidRDefault="0083344C" w:rsidP="008E6B13">
      <w:pPr>
        <w:pStyle w:val="FootnoteText"/>
      </w:pPr>
      <w:r>
        <w:rPr>
          <w:rStyle w:val="FootnoteReference"/>
        </w:rPr>
        <w:footnoteRef/>
      </w:r>
      <w:r>
        <w:t xml:space="preserve"> The Commission included the potential burden associated with this certification for Form 477 filers in its published estimate for the proposed information collection.  </w:t>
      </w:r>
      <w:r w:rsidRPr="00C96F03">
        <w:rPr>
          <w:i/>
        </w:rPr>
        <w:t>See</w:t>
      </w:r>
      <w:r>
        <w:t xml:space="preserve"> </w:t>
      </w:r>
      <w:r w:rsidRPr="008F3D4A">
        <w:rPr>
          <w:i/>
        </w:rPr>
        <w:t>Information Collection(s) Being Reviewed by the Federal Communications Commission, Comments Requested</w:t>
      </w:r>
      <w:r w:rsidRPr="008F3D4A">
        <w:t>,</w:t>
      </w:r>
      <w:r>
        <w:t xml:space="preserve"> 78 Fed. Reg. 9911 (Feb. 12, 2013).</w:t>
      </w:r>
    </w:p>
  </w:footnote>
  <w:footnote w:id="56">
    <w:p w:rsidR="0083344C" w:rsidRDefault="0083344C">
      <w:pPr>
        <w:pStyle w:val="FootnoteText"/>
      </w:pPr>
      <w:r>
        <w:rPr>
          <w:rStyle w:val="FootnoteReference"/>
        </w:rPr>
        <w:footnoteRef/>
      </w:r>
      <w:r>
        <w:t xml:space="preserve"> </w:t>
      </w:r>
      <w:r w:rsidRPr="00E742BB">
        <w:rPr>
          <w:i/>
        </w:rPr>
        <w:t>See</w:t>
      </w:r>
      <w:r>
        <w:t xml:space="preserve"> Appendix A.  While the attached instructions are largely in final form, we may make further adjustments, as necessary, to implement the data collection.  We will make the final version of the instructions available on the Commission’s website well in advance of the deadline for responding to the collection.</w:t>
      </w:r>
    </w:p>
  </w:footnote>
  <w:footnote w:id="57">
    <w:p w:rsidR="0083344C" w:rsidRDefault="0083344C" w:rsidP="00D01C41">
      <w:pPr>
        <w:pStyle w:val="FootnoteText"/>
      </w:pPr>
      <w:r>
        <w:rPr>
          <w:rStyle w:val="FootnoteReference"/>
        </w:rPr>
        <w:footnoteRef/>
      </w:r>
      <w:r>
        <w:t xml:space="preserve"> </w:t>
      </w:r>
      <w:r w:rsidRPr="00697BB0">
        <w:rPr>
          <w:i/>
        </w:rPr>
        <w:t>See</w:t>
      </w:r>
      <w:r>
        <w:t xml:space="preserve"> Appendix B. Questions II.A.3-4, II.B.2-3.</w:t>
      </w:r>
    </w:p>
  </w:footnote>
  <w:footnote w:id="58">
    <w:p w:rsidR="0083344C" w:rsidRPr="002C2218" w:rsidRDefault="0083344C">
      <w:pPr>
        <w:pStyle w:val="FootnoteText"/>
      </w:pPr>
      <w:r>
        <w:rPr>
          <w:rStyle w:val="FootnoteReference"/>
        </w:rPr>
        <w:footnoteRef/>
      </w:r>
      <w:r>
        <w:t xml:space="preserve"> </w:t>
      </w:r>
      <w:r>
        <w:rPr>
          <w:i/>
        </w:rPr>
        <w:t>See Special Access Data Collection FNPRM</w:t>
      </w:r>
      <w:r w:rsidRPr="006F00A6">
        <w:t>,</w:t>
      </w:r>
      <w:r>
        <w:rPr>
          <w:i/>
        </w:rPr>
        <w:t xml:space="preserve"> </w:t>
      </w:r>
      <w:r>
        <w:t>27 FCC Rcd at 16345-51, paras. 66-79 (proposing a one-time, multi-faceted market analysis using the data collected).</w:t>
      </w:r>
    </w:p>
  </w:footnote>
  <w:footnote w:id="59">
    <w:p w:rsidR="0083344C" w:rsidRDefault="0083344C" w:rsidP="002E0D98">
      <w:pPr>
        <w:pStyle w:val="FootnoteText"/>
      </w:pPr>
      <w:r>
        <w:rPr>
          <w:rStyle w:val="FootnoteReference"/>
        </w:rPr>
        <w:footnoteRef/>
      </w:r>
      <w:r>
        <w:t xml:space="preserve"> </w:t>
      </w:r>
      <w:r w:rsidRPr="00A42F1D">
        <w:rPr>
          <w:i/>
        </w:rPr>
        <w:t>See</w:t>
      </w:r>
      <w:r>
        <w:t xml:space="preserve"> Appendix B (“</w:t>
      </w:r>
      <w:r w:rsidRPr="005C40E3">
        <w:rPr>
          <w:i/>
        </w:rPr>
        <w:t>Connection</w:t>
      </w:r>
      <w:r>
        <w:t xml:space="preserve"> means a wired ‘line’ or wireless ‘channel’ that provides a dedicated communication path between a </w:t>
      </w:r>
      <w:r w:rsidRPr="005C40E3">
        <w:rPr>
          <w:i/>
        </w:rPr>
        <w:t>Location</w:t>
      </w:r>
      <w:r>
        <w:t xml:space="preserve"> and the first </w:t>
      </w:r>
      <w:r w:rsidRPr="005C40E3">
        <w:rPr>
          <w:i/>
        </w:rPr>
        <w:t>Node</w:t>
      </w:r>
      <w:r>
        <w:t xml:space="preserve"> on a </w:t>
      </w:r>
      <w:r w:rsidRPr="005C40E3">
        <w:rPr>
          <w:i/>
        </w:rPr>
        <w:t>Provider</w:t>
      </w:r>
      <w:r w:rsidRPr="00E96590">
        <w:t>’s</w:t>
      </w:r>
      <w:r>
        <w:t xml:space="preserve"> network. . . . A </w:t>
      </w:r>
      <w:r w:rsidRPr="005C40E3">
        <w:rPr>
          <w:i/>
        </w:rPr>
        <w:t>Connection</w:t>
      </w:r>
      <w:r>
        <w:t xml:space="preserve"> must have the capability of being used to provide one or more </w:t>
      </w:r>
      <w:r w:rsidRPr="005C40E3">
        <w:rPr>
          <w:i/>
        </w:rPr>
        <w:t>Dedicated Services</w:t>
      </w:r>
      <w:r>
        <w:t xml:space="preserve">; however a </w:t>
      </w:r>
      <w:r w:rsidRPr="005C40E3">
        <w:rPr>
          <w:i/>
        </w:rPr>
        <w:t>Connection</w:t>
      </w:r>
      <w:r>
        <w:t xml:space="preserve"> can be used to provide other services as well.  For example, a dedicated communication path that is currently being used to provide a mass market broadband service but has the capability to provide a </w:t>
      </w:r>
      <w:r w:rsidRPr="005C40E3">
        <w:rPr>
          <w:i/>
        </w:rPr>
        <w:t>Dedicated Service</w:t>
      </w:r>
      <w:r>
        <w:t xml:space="preserve"> is considered a </w:t>
      </w:r>
      <w:r w:rsidRPr="005C40E3">
        <w:rPr>
          <w:i/>
        </w:rPr>
        <w:t>Connection</w:t>
      </w:r>
      <w:r>
        <w:t xml:space="preserve"> for the purpose of this data collection.”).  </w:t>
      </w:r>
    </w:p>
  </w:footnote>
  <w:footnote w:id="60">
    <w:p w:rsidR="0083344C" w:rsidRDefault="0083344C" w:rsidP="00A30E79">
      <w:pPr>
        <w:pStyle w:val="FootnoteText"/>
      </w:pPr>
      <w:r>
        <w:rPr>
          <w:rStyle w:val="FootnoteReference"/>
        </w:rPr>
        <w:footnoteRef/>
      </w:r>
      <w:r>
        <w:t xml:space="preserve"> A </w:t>
      </w:r>
      <w:r w:rsidRPr="00331E31">
        <w:rPr>
          <w:i/>
        </w:rPr>
        <w:t>Location</w:t>
      </w:r>
      <w:r>
        <w:t xml:space="preserve"> is where an </w:t>
      </w:r>
      <w:r w:rsidRPr="00331E31">
        <w:rPr>
          <w:i/>
        </w:rPr>
        <w:t>End User</w:t>
      </w:r>
      <w:r>
        <w:t xml:space="preserve"> is connected; an </w:t>
      </w:r>
      <w:r w:rsidRPr="00331E31">
        <w:rPr>
          <w:i/>
        </w:rPr>
        <w:t>End User</w:t>
      </w:r>
      <w:r>
        <w:t xml:space="preserve"> means a business, institutional, or government entity that purchases service for its own use, not for resale.  </w:t>
      </w:r>
      <w:r w:rsidRPr="00A42F1D">
        <w:rPr>
          <w:i/>
        </w:rPr>
        <w:t>See</w:t>
      </w:r>
      <w:r>
        <w:t xml:space="preserve"> Appendix B, § I Definitions.  </w:t>
      </w:r>
    </w:p>
  </w:footnote>
  <w:footnote w:id="61">
    <w:p w:rsidR="0083344C" w:rsidRDefault="0083344C" w:rsidP="00A30E79">
      <w:pPr>
        <w:pStyle w:val="FootnoteText"/>
      </w:pPr>
      <w:r>
        <w:rPr>
          <w:rStyle w:val="FootnoteReference"/>
        </w:rPr>
        <w:footnoteRef/>
      </w:r>
      <w:r>
        <w:t xml:space="preserve"> </w:t>
      </w:r>
      <w:r w:rsidRPr="00F07623">
        <w:rPr>
          <w:i/>
        </w:rPr>
        <w:t>See Pricing Flexibility Suspension Order</w:t>
      </w:r>
      <w:r>
        <w:t>, 27 FCC Rcd at 10559, para. 3.</w:t>
      </w:r>
    </w:p>
  </w:footnote>
  <w:footnote w:id="62">
    <w:p w:rsidR="0083344C" w:rsidRDefault="0083344C" w:rsidP="00214260">
      <w:pPr>
        <w:pStyle w:val="FootnoteText"/>
      </w:pPr>
      <w:r>
        <w:rPr>
          <w:rStyle w:val="FootnoteReference"/>
        </w:rPr>
        <w:footnoteRef/>
      </w:r>
      <w:r>
        <w:t xml:space="preserve"> </w:t>
      </w:r>
      <w:r w:rsidRPr="0008742A">
        <w:rPr>
          <w:i/>
        </w:rPr>
        <w:t>See</w:t>
      </w:r>
      <w:r>
        <w:t xml:space="preserve"> Letter from Jay Bennett, AT&amp;T, to Marlene H. Dortch, Secretary, FCC, WC Docket No. 05-25, at 1 (filed Jan. 15, 2013) (AT&amp;T Letter); Letter from Paul Margie, Counsel for Sprint Nextel Corporation (Sprint), to Marlene H. Dortch, Secretary, FCC, WC Docket No. 05-25, at 1 (filed Jan. 9, 2013) (Sprint Letter); Letter from Maggie McCready, Verizon, to Marlene H. Dortch, Secretary, FCC, WC Docket No. 05-25, at 1 (filed Jan. 15, 2013) (Verizon Letter).</w:t>
      </w:r>
    </w:p>
  </w:footnote>
  <w:footnote w:id="63">
    <w:p w:rsidR="0083344C" w:rsidRDefault="0083344C">
      <w:pPr>
        <w:pStyle w:val="FootnoteText"/>
      </w:pPr>
      <w:r>
        <w:rPr>
          <w:rStyle w:val="FootnoteReference"/>
        </w:rPr>
        <w:footnoteRef/>
      </w:r>
      <w:r>
        <w:t xml:space="preserve"> This clarification addresses the concerns raised by AT&amp;T and Verizon on the need to collect data on both idle and in-service </w:t>
      </w:r>
      <w:r w:rsidRPr="001C0608">
        <w:rPr>
          <w:i/>
        </w:rPr>
        <w:t>Connections</w:t>
      </w:r>
      <w:r>
        <w:t xml:space="preserve"> from </w:t>
      </w:r>
      <w:r w:rsidRPr="001C0608">
        <w:rPr>
          <w:i/>
        </w:rPr>
        <w:t>Competitive Providers</w:t>
      </w:r>
      <w:r>
        <w:t xml:space="preserve"> to evaluate potential competition.  </w:t>
      </w:r>
      <w:r w:rsidRPr="001C0608">
        <w:rPr>
          <w:i/>
        </w:rPr>
        <w:t>See</w:t>
      </w:r>
      <w:r>
        <w:t xml:space="preserve"> AT&amp;T Letter at 1; Verizon Letter at 1.  In addition, we also revise the questions directed at </w:t>
      </w:r>
      <w:r w:rsidRPr="001C0608">
        <w:rPr>
          <w:i/>
        </w:rPr>
        <w:t>Competitive Provider</w:t>
      </w:r>
      <w:r>
        <w:rPr>
          <w:i/>
        </w:rPr>
        <w:t>s</w:t>
      </w:r>
      <w:r>
        <w:t xml:space="preserve"> on </w:t>
      </w:r>
      <w:r w:rsidRPr="001C0608">
        <w:rPr>
          <w:i/>
        </w:rPr>
        <w:t>Locations</w:t>
      </w:r>
      <w:r>
        <w:t xml:space="preserve"> with </w:t>
      </w:r>
      <w:r w:rsidRPr="001C0608">
        <w:rPr>
          <w:i/>
        </w:rPr>
        <w:t>Connections</w:t>
      </w:r>
      <w:r>
        <w:t xml:space="preserve">, Questions II.A.3-4, to include </w:t>
      </w:r>
      <w:r w:rsidRPr="008A760E">
        <w:rPr>
          <w:i/>
        </w:rPr>
        <w:t>Locations</w:t>
      </w:r>
      <w:r>
        <w:t xml:space="preserve"> with </w:t>
      </w:r>
      <w:r w:rsidRPr="001C0608">
        <w:rPr>
          <w:i/>
        </w:rPr>
        <w:t>Connections</w:t>
      </w:r>
      <w:r>
        <w:t xml:space="preserve"> during 2010 or 2012 instead of </w:t>
      </w:r>
      <w:r w:rsidRPr="001C0608">
        <w:rPr>
          <w:i/>
        </w:rPr>
        <w:t>Locations</w:t>
      </w:r>
      <w:r>
        <w:t xml:space="preserve"> with provisioned </w:t>
      </w:r>
      <w:r w:rsidRPr="001C0608">
        <w:rPr>
          <w:i/>
        </w:rPr>
        <w:t>Connections</w:t>
      </w:r>
      <w:r>
        <w:t xml:space="preserve"> to further effectuate this clarification.  </w:t>
      </w:r>
      <w:r w:rsidRPr="001C0608">
        <w:rPr>
          <w:i/>
        </w:rPr>
        <w:t>See infra</w:t>
      </w:r>
      <w:r>
        <w:t xml:space="preserve"> Section III.C.  Lastly, while a cable system operator may technically operate as a competitive local exchange carrier (CLEC), for the purposes of this order and the data collection, we refer to cable system operators as a category separate and apart from other CLECs that are </w:t>
      </w:r>
      <w:r w:rsidRPr="003B6A63">
        <w:rPr>
          <w:i/>
        </w:rPr>
        <w:t>Competitive Providers</w:t>
      </w:r>
      <w:r>
        <w:t xml:space="preserve">.  </w:t>
      </w:r>
    </w:p>
  </w:footnote>
  <w:footnote w:id="64">
    <w:p w:rsidR="0083344C" w:rsidRDefault="0083344C" w:rsidP="002C2218">
      <w:pPr>
        <w:pStyle w:val="FootnoteText"/>
      </w:pPr>
      <w:r>
        <w:rPr>
          <w:rStyle w:val="FootnoteReference"/>
        </w:rPr>
        <w:footnoteRef/>
      </w:r>
      <w:r>
        <w:t xml:space="preserve"> </w:t>
      </w:r>
      <w:r>
        <w:rPr>
          <w:i/>
        </w:rPr>
        <w:t>S</w:t>
      </w:r>
      <w:r w:rsidRPr="00476F27">
        <w:rPr>
          <w:i/>
        </w:rPr>
        <w:t xml:space="preserve">ee </w:t>
      </w:r>
      <w:r>
        <w:rPr>
          <w:i/>
        </w:rPr>
        <w:t>Pricing Flexibility Suspension Order</w:t>
      </w:r>
      <w:r>
        <w:t xml:space="preserve">, 27 FCC Rcd at 10587-88, para. 54 (citing comments filed by CLECs) (“[I]t is not economical for competitors to deploy their own facilities to serve all special access demand . . . . [Costs] are typically too large to justify provisioning a building with relatively low levels of demand”); </w:t>
      </w:r>
      <w:r w:rsidRPr="00476F27">
        <w:rPr>
          <w:i/>
        </w:rPr>
        <w:t>see also</w:t>
      </w:r>
      <w:r>
        <w:t xml:space="preserve"> XO Holdings Inc., Annual Report (Form 10-K) at 2, 6 (Mar. 31, 2011) (touting itself as a leading alternative for businesses and large enterprises with 42 metropolitan fiber networks with</w:t>
      </w:r>
      <w:r w:rsidRPr="00EC0146">
        <w:t xml:space="preserve"> approximately 3,000 on-network buildings</w:t>
      </w:r>
      <w:r>
        <w:t>,</w:t>
      </w:r>
      <w:r w:rsidRPr="00EC0146">
        <w:rPr>
          <w:i/>
        </w:rPr>
        <w:t xml:space="preserve"> </w:t>
      </w:r>
      <w:r w:rsidRPr="006574DE">
        <w:rPr>
          <w:i/>
        </w:rPr>
        <w:t>i.e.</w:t>
      </w:r>
      <w:r>
        <w:t xml:space="preserve">, an average of about 71 connected buildings per metropolitan network); TW Telecom, Inc. (TW Telecom), Annual Report (Form 10-K) at 4 (Feb. 15, 2013) (providing service to “enterprise organizations” and serving 75 metropolitan markets with about 18,000 buildings connected by its local fiber facilities, </w:t>
      </w:r>
      <w:r w:rsidRPr="006574DE">
        <w:rPr>
          <w:i/>
        </w:rPr>
        <w:t>i.e.</w:t>
      </w:r>
      <w:r>
        <w:t>, an average of about 240 connected buildings per metropolitan market).</w:t>
      </w:r>
    </w:p>
  </w:footnote>
  <w:footnote w:id="65">
    <w:p w:rsidR="0083344C" w:rsidRDefault="0083344C" w:rsidP="002C2218">
      <w:pPr>
        <w:pStyle w:val="FootnoteText"/>
      </w:pPr>
      <w:r>
        <w:rPr>
          <w:rStyle w:val="FootnoteReference"/>
        </w:rPr>
        <w:footnoteRef/>
      </w:r>
      <w:r>
        <w:t xml:space="preserve"> This guidance also responds to the clarifications sought by AT&amp;T and Verizon.  </w:t>
      </w:r>
      <w:r w:rsidRPr="00697BB0">
        <w:rPr>
          <w:i/>
        </w:rPr>
        <w:t>See</w:t>
      </w:r>
      <w:r>
        <w:t xml:space="preserve"> AT&amp;T Letter at 1 (urging the Commission “to make clear that the definition of </w:t>
      </w:r>
      <w:r w:rsidRPr="00697BB0">
        <w:rPr>
          <w:i/>
        </w:rPr>
        <w:t>Connections</w:t>
      </w:r>
      <w:r>
        <w:t xml:space="preserve"> include both facilities that are in-service and facilities that are in-place but not in-service, so as to capture data on potential competition.”); Verizon Letter at 1 (asking for clarification that </w:t>
      </w:r>
      <w:r w:rsidRPr="00697BB0">
        <w:rPr>
          <w:i/>
        </w:rPr>
        <w:t>Connection</w:t>
      </w:r>
      <w:r>
        <w:t xml:space="preserve"> includes connections capable of providing a </w:t>
      </w:r>
      <w:r w:rsidRPr="00697BB0">
        <w:rPr>
          <w:i/>
        </w:rPr>
        <w:t>Dedicated Service</w:t>
      </w:r>
      <w:r>
        <w:rPr>
          <w:i/>
        </w:rPr>
        <w:t xml:space="preserve"> </w:t>
      </w:r>
      <w:r>
        <w:t>“and is not limited to paths on which there actually is a Dedicated Service being sold”).</w:t>
      </w:r>
    </w:p>
  </w:footnote>
  <w:footnote w:id="66">
    <w:p w:rsidR="0083344C" w:rsidRDefault="0083344C">
      <w:pPr>
        <w:pStyle w:val="FootnoteText"/>
      </w:pPr>
      <w:r>
        <w:rPr>
          <w:rStyle w:val="FootnoteReference"/>
        </w:rPr>
        <w:footnoteRef/>
      </w:r>
      <w:r>
        <w:t xml:space="preserve"> </w:t>
      </w:r>
      <w:r w:rsidRPr="003B6A63">
        <w:rPr>
          <w:i/>
        </w:rPr>
        <w:t>See</w:t>
      </w:r>
      <w:r>
        <w:t xml:space="preserve"> Appendix B, Questions II.A.2-3.</w:t>
      </w:r>
    </w:p>
  </w:footnote>
  <w:footnote w:id="67">
    <w:p w:rsidR="0083344C" w:rsidRDefault="0083344C" w:rsidP="008632E4">
      <w:pPr>
        <w:pStyle w:val="FootnoteText"/>
      </w:pPr>
      <w:r>
        <w:rPr>
          <w:rStyle w:val="FootnoteReference"/>
        </w:rPr>
        <w:footnoteRef/>
      </w:r>
      <w:r>
        <w:t xml:space="preserve"> </w:t>
      </w:r>
      <w:r w:rsidRPr="00E57491">
        <w:rPr>
          <w:i/>
        </w:rPr>
        <w:t xml:space="preserve">See </w:t>
      </w:r>
      <w:r>
        <w:t xml:space="preserve">Converged Business Network, Level 3, </w:t>
      </w:r>
      <w:r w:rsidRPr="00CA38C2">
        <w:t>http://www.level3.com/en/products-and-services/data-and-internet/converged-business-network/</w:t>
      </w:r>
      <w:r>
        <w:t xml:space="preserve"> (discussing Level 3’s Converged Business Network offering that combines Internet, data and voice services over a single access circuit) (last visited Sept. 9, 2013); Dedicated Internet Access, XO, </w:t>
      </w:r>
      <w:r w:rsidRPr="00CA38C2">
        <w:t>http://www.xo.com/services/network/dia/Pages/overview.aspx</w:t>
      </w:r>
      <w:r>
        <w:t xml:space="preserve"> (discussing dedicated Internet access) (last visited Sept. 9, 2013); Business Ethernet, TW Telecom, </w:t>
      </w:r>
      <w:r w:rsidRPr="00CA38C2">
        <w:t>http://www.twtelecom.com/telecom-solutions/voice-solutions/business-ethernet-services/</w:t>
      </w:r>
      <w:r>
        <w:t xml:space="preserve"> (discussing business Ethernet services) (last visited Sept. 10, 2013).</w:t>
      </w:r>
    </w:p>
  </w:footnote>
  <w:footnote w:id="68">
    <w:p w:rsidR="0083344C" w:rsidRDefault="0083344C">
      <w:pPr>
        <w:pStyle w:val="FootnoteText"/>
      </w:pPr>
      <w:r>
        <w:rPr>
          <w:rStyle w:val="FootnoteReference"/>
        </w:rPr>
        <w:footnoteRef/>
      </w:r>
      <w:r>
        <w:t xml:space="preserve"> </w:t>
      </w:r>
      <w:r w:rsidRPr="00C00F0D">
        <w:rPr>
          <w:i/>
        </w:rPr>
        <w:t xml:space="preserve">See </w:t>
      </w:r>
      <w:r w:rsidRPr="000B52A0">
        <w:rPr>
          <w:bCs/>
          <w:i/>
        </w:rPr>
        <w:t>Implementation of Sections of the Cable Television Consumer Protection and Competition Act of 1992 Rate Regulation</w:t>
      </w:r>
      <w:r>
        <w:rPr>
          <w:bCs/>
        </w:rPr>
        <w:t xml:space="preserve">, MM Docket No. 92-266, </w:t>
      </w:r>
      <w:r>
        <w:t>First Order on Reconsideration</w:t>
      </w:r>
      <w:r>
        <w:rPr>
          <w:bCs/>
        </w:rPr>
        <w:t xml:space="preserve">, </w:t>
      </w:r>
      <w:r w:rsidRPr="000B52A0">
        <w:rPr>
          <w:bCs/>
        </w:rPr>
        <w:t>29 FCC</w:t>
      </w:r>
      <w:r>
        <w:rPr>
          <w:bCs/>
        </w:rPr>
        <w:t xml:space="preserve"> </w:t>
      </w:r>
      <w:r w:rsidRPr="000B52A0">
        <w:rPr>
          <w:bCs/>
        </w:rPr>
        <w:t>R</w:t>
      </w:r>
      <w:r>
        <w:rPr>
          <w:bCs/>
        </w:rPr>
        <w:t>cd</w:t>
      </w:r>
      <w:r w:rsidRPr="000B52A0">
        <w:rPr>
          <w:bCs/>
        </w:rPr>
        <w:t xml:space="preserve"> 1164</w:t>
      </w:r>
      <w:r>
        <w:rPr>
          <w:bCs/>
        </w:rPr>
        <w:t xml:space="preserve">, </w:t>
      </w:r>
      <w:r>
        <w:t>1180, para. 24 (1993) (“</w:t>
      </w:r>
      <w:r w:rsidRPr="000B52A0">
        <w:t>A franchise area is the area a system operator is granted authority to serve in its franchise.</w:t>
      </w:r>
      <w:r>
        <w:t>”).</w:t>
      </w:r>
    </w:p>
  </w:footnote>
  <w:footnote w:id="69">
    <w:p w:rsidR="0083344C" w:rsidRDefault="0083344C">
      <w:pPr>
        <w:pStyle w:val="FootnoteText"/>
      </w:pPr>
      <w:r>
        <w:rPr>
          <w:rStyle w:val="FootnoteReference"/>
        </w:rPr>
        <w:footnoteRef/>
      </w:r>
      <w:r>
        <w:t xml:space="preserve"> Within their FAs, cable system operators will also report </w:t>
      </w:r>
      <w:r w:rsidRPr="007D76F5">
        <w:rPr>
          <w:i/>
        </w:rPr>
        <w:t>Locations</w:t>
      </w:r>
      <w:r>
        <w:t xml:space="preserve"> with </w:t>
      </w:r>
      <w:r w:rsidRPr="007D76F5">
        <w:rPr>
          <w:i/>
        </w:rPr>
        <w:t>Connections</w:t>
      </w:r>
      <w:r>
        <w:t xml:space="preserve"> obtained as a </w:t>
      </w:r>
      <w:r w:rsidRPr="007D76F5">
        <w:rPr>
          <w:i/>
        </w:rPr>
        <w:t>UNE</w:t>
      </w:r>
      <w:r>
        <w:t xml:space="preserve"> to provide a </w:t>
      </w:r>
      <w:r w:rsidRPr="007D76F5">
        <w:rPr>
          <w:i/>
        </w:rPr>
        <w:t>Dedicated Service</w:t>
      </w:r>
      <w:r>
        <w:t xml:space="preserve"> in the same manner as other </w:t>
      </w:r>
      <w:r w:rsidRPr="007D76F5">
        <w:rPr>
          <w:i/>
        </w:rPr>
        <w:t>Competitive Providers</w:t>
      </w:r>
      <w:r>
        <w:t>.</w:t>
      </w:r>
    </w:p>
  </w:footnote>
  <w:footnote w:id="70">
    <w:p w:rsidR="0083344C" w:rsidRDefault="0083344C" w:rsidP="00AD06E0">
      <w:pPr>
        <w:pStyle w:val="FootnoteText"/>
      </w:pPr>
      <w:r>
        <w:rPr>
          <w:rStyle w:val="FootnoteReference"/>
        </w:rPr>
        <w:footnoteRef/>
      </w:r>
      <w:r>
        <w:t xml:space="preserve"> Metro Ethernet is an Ethernet metropolitan area network service offering that involves centrally positioning one or more gigabit Ethernet (GbE) or 10 gigabit Ethernet (10 GbE) switches in a metro area.  It offers the advantage of carrying all traffic in native Ethernet format, with no requirement for introducing SDH/SONET, frame relay, ATM or other Physical Layer or Data Link Layer protocols that can increase both complexity and cost, while adding overhead.  </w:t>
      </w:r>
      <w:r w:rsidRPr="008B5649">
        <w:rPr>
          <w:i/>
        </w:rPr>
        <w:t>See</w:t>
      </w:r>
      <w:r>
        <w:t xml:space="preserve"> </w:t>
      </w:r>
      <w:r>
        <w:rPr>
          <w:i/>
        </w:rPr>
        <w:t>Webster’s New World Telecom Dictionary</w:t>
      </w:r>
      <w:r>
        <w:t xml:space="preserve"> (2010); </w:t>
      </w:r>
      <w:r w:rsidRPr="008B5649">
        <w:rPr>
          <w:i/>
        </w:rPr>
        <w:t>s</w:t>
      </w:r>
      <w:r>
        <w:rPr>
          <w:i/>
        </w:rPr>
        <w:t>ee also</w:t>
      </w:r>
      <w:r>
        <w:t xml:space="preserve"> Ralph Santitoro, Metro Ethernet Forum White Paper, </w:t>
      </w:r>
      <w:r>
        <w:rPr>
          <w:i/>
        </w:rPr>
        <w:t>Metro Ethernet Services – A Technical Overview</w:t>
      </w:r>
      <w:r>
        <w:t xml:space="preserve"> (2006), </w:t>
      </w:r>
      <w:r w:rsidRPr="00254EC0">
        <w:rPr>
          <w:i/>
        </w:rPr>
        <w:t>available at</w:t>
      </w:r>
      <w:r>
        <w:t xml:space="preserve"> </w:t>
      </w:r>
      <w:r w:rsidRPr="00CA38C2">
        <w:t>http://metroethernetforum.org/</w:t>
      </w:r>
      <w:r>
        <w:t>Assets/White_Papers /Metro-Ethernet-Services.pdf (providing a comprehensive technical overview of Ethernet services) (last visited Sept. 9, 2013).</w:t>
      </w:r>
    </w:p>
  </w:footnote>
  <w:footnote w:id="71">
    <w:p w:rsidR="0083344C" w:rsidRPr="00A55266" w:rsidRDefault="0083344C" w:rsidP="00FE2948">
      <w:pPr>
        <w:pStyle w:val="FootnoteText"/>
      </w:pPr>
      <w:r>
        <w:rPr>
          <w:rStyle w:val="FootnoteReference"/>
        </w:rPr>
        <w:footnoteRef/>
      </w:r>
      <w:r>
        <w:t xml:space="preserve"> Cable companies typically must obtain a franchise from the local franchising authority to provide cable service in order to operate in that area.  In many instances, franchising authorities imposed build-out requirements as a condition to granting the franchise to the cable system operator.  As a result, cable system operators are subject to outside factors in decisions to deploy, in contrast to their non-cable </w:t>
      </w:r>
      <w:r>
        <w:rPr>
          <w:i/>
        </w:rPr>
        <w:t>Competitive Providers.  See, e.g.</w:t>
      </w:r>
      <w:r>
        <w:t>,</w:t>
      </w:r>
      <w:r>
        <w:rPr>
          <w:i/>
        </w:rPr>
        <w:t xml:space="preserve"> </w:t>
      </w:r>
      <w:r>
        <w:t xml:space="preserve">47 U.S.C. § 541(a)(4)(A) (“In awarding a franchise, the franchising authority shall allow the applicant’s cable system a reasonable period of time to become capable of providing cable service to all households in the franchise area. . . .”); </w:t>
      </w:r>
      <w:r>
        <w:rPr>
          <w:i/>
        </w:rPr>
        <w:t>Comcast Cable Communications</w:t>
      </w:r>
      <w:r>
        <w:t>, 23 FCC Rcd 10073, 10075, para. 6 (Media Bur. Pol. Div. 2008) (noting that franchisee is obligated to build-out its service to “‘substantially all residential households’ served by the town’s ‘aerial plant . . . within twelve (12) months’ and ‘to all residential areas of the Service Area, within four (4) years’”).</w:t>
      </w:r>
    </w:p>
  </w:footnote>
  <w:footnote w:id="72">
    <w:p w:rsidR="0083344C" w:rsidRDefault="0083344C" w:rsidP="00FE2948">
      <w:pPr>
        <w:pStyle w:val="FootnoteText"/>
      </w:pPr>
      <w:r>
        <w:rPr>
          <w:rStyle w:val="FootnoteReference"/>
        </w:rPr>
        <w:footnoteRef/>
      </w:r>
      <w:r>
        <w:t xml:space="preserve"> </w:t>
      </w:r>
      <w:r w:rsidRPr="00FA3FF0">
        <w:rPr>
          <w:i/>
        </w:rPr>
        <w:t>See</w:t>
      </w:r>
      <w:r>
        <w:t xml:space="preserve"> Comcast Corp. (Comcast), Press Release, </w:t>
      </w:r>
      <w:r w:rsidRPr="00FA3FF0">
        <w:rPr>
          <w:bCs/>
        </w:rPr>
        <w:t>Comcast Introduces Metro Ethernet Services to Address Bandwidth, Application and Reliability Requirements of Mid-Sized Businesses</w:t>
      </w:r>
      <w:r>
        <w:rPr>
          <w:bCs/>
        </w:rPr>
        <w:t xml:space="preserve"> (rel. May 16, 2011) (Comcast May 2011 Press Release), </w:t>
      </w:r>
      <w:r w:rsidRPr="00850783">
        <w:rPr>
          <w:bCs/>
          <w:i/>
        </w:rPr>
        <w:t>available at</w:t>
      </w:r>
      <w:r>
        <w:rPr>
          <w:bCs/>
        </w:rPr>
        <w:t xml:space="preserve"> </w:t>
      </w:r>
      <w:r w:rsidRPr="00CA38C2">
        <w:rPr>
          <w:bCs/>
        </w:rPr>
        <w:t>http://business.comcast.com/enterprise/about-us/pressroom/PressReleaseDetails?NewsItemID=24ce4591-e857-40af-8b5e-7ebec7d80fc4&amp;IsPremium=False</w:t>
      </w:r>
      <w:r>
        <w:rPr>
          <w:bCs/>
        </w:rPr>
        <w:t xml:space="preserve"> (last visited Sept. 9, 2013); Letter from Glenn Reynolds, USTelecom—The Broadband Assoc. (USTelecom), to Marlene H. Dortch, Secretary, FCC, WC Docket No. 05-25, Exhibit – Cable Companies Continue to Grow their Competitive Presence (filed Aug. 21, 2013). </w:t>
      </w:r>
    </w:p>
  </w:footnote>
  <w:footnote w:id="73">
    <w:p w:rsidR="0083344C" w:rsidRDefault="0083344C">
      <w:pPr>
        <w:pStyle w:val="FootnoteText"/>
      </w:pPr>
      <w:r>
        <w:rPr>
          <w:rStyle w:val="FootnoteReference"/>
        </w:rPr>
        <w:footnoteRef/>
      </w:r>
      <w:r>
        <w:t xml:space="preserve"> </w:t>
      </w:r>
      <w:r w:rsidRPr="00E62258">
        <w:rPr>
          <w:i/>
        </w:rPr>
        <w:t>See, e.g.</w:t>
      </w:r>
      <w:r>
        <w:t xml:space="preserve">, </w:t>
      </w:r>
      <w:r>
        <w:rPr>
          <w:bCs/>
        </w:rPr>
        <w:t>Comcast May 20111 Press Release</w:t>
      </w:r>
      <w:r>
        <w:t xml:space="preserve"> (announcing “Metro Ethernet services as part of an ongoing strategy to expand its portfolio of business services to meet the requirements of larger customers”).</w:t>
      </w:r>
    </w:p>
  </w:footnote>
  <w:footnote w:id="74">
    <w:p w:rsidR="0083344C" w:rsidRDefault="0083344C" w:rsidP="002103BD">
      <w:pPr>
        <w:pStyle w:val="FootnoteText"/>
      </w:pPr>
      <w:r>
        <w:rPr>
          <w:rStyle w:val="FootnoteReference"/>
        </w:rPr>
        <w:footnoteRef/>
      </w:r>
      <w:r>
        <w:t xml:space="preserve"> </w:t>
      </w:r>
      <w:r>
        <w:rPr>
          <w:i/>
        </w:rPr>
        <w:t>S</w:t>
      </w:r>
      <w:r w:rsidRPr="007D76F5">
        <w:rPr>
          <w:i/>
          <w:color w:val="000000"/>
        </w:rPr>
        <w:t>ee supra</w:t>
      </w:r>
      <w:r>
        <w:rPr>
          <w:color w:val="000000"/>
        </w:rPr>
        <w:t xml:space="preserve"> para. 24, note 66 (providing </w:t>
      </w:r>
      <w:r>
        <w:t xml:space="preserve">examples of a service that could incorporate a </w:t>
      </w:r>
      <w:r w:rsidRPr="007D76F5">
        <w:rPr>
          <w:i/>
        </w:rPr>
        <w:t>Dedicated Service</w:t>
      </w:r>
      <w:r w:rsidRPr="007D76F5">
        <w:t>)</w:t>
      </w:r>
      <w:r>
        <w:t xml:space="preserve">. </w:t>
      </w:r>
    </w:p>
  </w:footnote>
  <w:footnote w:id="75">
    <w:p w:rsidR="0083344C" w:rsidRDefault="0083344C" w:rsidP="002103BD">
      <w:pPr>
        <w:pStyle w:val="FootnoteText"/>
      </w:pPr>
      <w:r>
        <w:rPr>
          <w:rStyle w:val="FootnoteReference"/>
        </w:rPr>
        <w:footnoteRef/>
      </w:r>
      <w:r>
        <w:t xml:space="preserve"> Examples of a service that is substantially similar to the services provided to residential customers could include the following: Business Internet + Voice, Comcast, </w:t>
      </w:r>
      <w:r w:rsidRPr="00CA38C2">
        <w:t>http://business.comcast.com/smb/bundle</w:t>
      </w:r>
      <w:r>
        <w:t xml:space="preserve"> (discussing a Comcast Business Class bundled service offering that includes business voice, web hosting, email, and Internet access at monthly rates) (last visited Sept. 9, 2013) or similar offerings from Cox Business Internet, Cox Communications, Inc. (Cox), </w:t>
      </w:r>
      <w:r w:rsidRPr="00CA38C2">
        <w:t>http://ww2.cox.com/business/oklahomacity/data/business-internet.cox?campcode=gntile_b_data_internet</w:t>
      </w:r>
      <w:r>
        <w:t xml:space="preserve"> (last visited Sept. 9, 2013); Business Internet, Bright House Networks, </w:t>
      </w:r>
      <w:r w:rsidRPr="00CA38C2">
        <w:t>http://business.brighthouse.com/products-and-services/data-and-internet/broadband-internet.html</w:t>
      </w:r>
      <w:r>
        <w:t xml:space="preserve"> (last visited Sept. 9, 2013); and Optimum: TV, Phone and Internet Services for your Business, Cablevision Systems Corp., </w:t>
      </w:r>
      <w:r w:rsidRPr="00CA38C2">
        <w:t>http://www.optimumbusiness.com/</w:t>
      </w:r>
      <w:r>
        <w:t xml:space="preserve"> (last visited Sept. 9, 2013).</w:t>
      </w:r>
    </w:p>
  </w:footnote>
  <w:footnote w:id="76">
    <w:p w:rsidR="0083344C" w:rsidRDefault="0083344C">
      <w:pPr>
        <w:pStyle w:val="FootnoteText"/>
      </w:pPr>
      <w:r>
        <w:rPr>
          <w:rStyle w:val="FootnoteReference"/>
        </w:rPr>
        <w:footnoteRef/>
      </w:r>
      <w:r>
        <w:t xml:space="preserve"> </w:t>
      </w:r>
      <w:r w:rsidRPr="00E62258">
        <w:rPr>
          <w:i/>
        </w:rPr>
        <w:t>See supra</w:t>
      </w:r>
      <w:r>
        <w:t xml:space="preserve"> note 70.</w:t>
      </w:r>
    </w:p>
  </w:footnote>
  <w:footnote w:id="77">
    <w:p w:rsidR="0083344C" w:rsidRDefault="0083344C" w:rsidP="00CF020B">
      <w:pPr>
        <w:pStyle w:val="FootnoteText"/>
      </w:pPr>
      <w:r>
        <w:rPr>
          <w:rStyle w:val="FootnoteReference"/>
        </w:rPr>
        <w:footnoteRef/>
      </w:r>
      <w:r>
        <w:t xml:space="preserve"> </w:t>
      </w:r>
      <w:r w:rsidRPr="00064577">
        <w:rPr>
          <w:i/>
        </w:rPr>
        <w:t xml:space="preserve">See </w:t>
      </w:r>
      <w:r>
        <w:t xml:space="preserve">Appendix B, Question II.C.1. </w:t>
      </w:r>
    </w:p>
  </w:footnote>
  <w:footnote w:id="78">
    <w:p w:rsidR="0083344C" w:rsidRDefault="0083344C">
      <w:pPr>
        <w:pStyle w:val="FootnoteText"/>
      </w:pPr>
      <w:r>
        <w:rPr>
          <w:rStyle w:val="FootnoteReference"/>
        </w:rPr>
        <w:footnoteRef/>
      </w:r>
      <w:r>
        <w:t xml:space="preserve"> </w:t>
      </w:r>
      <w:r w:rsidRPr="00E62258">
        <w:rPr>
          <w:i/>
        </w:rPr>
        <w:t>See</w:t>
      </w:r>
      <w:r>
        <w:t xml:space="preserve"> Letter from Frederick Moacdieh, Verizon, to Marlene H. Dortch, Secretary, FCC, WC Docket No. 05-25, at 1 (filed Oct. 25, 2012).</w:t>
      </w:r>
    </w:p>
  </w:footnote>
  <w:footnote w:id="79">
    <w:p w:rsidR="0083344C" w:rsidRPr="0011685E" w:rsidRDefault="0083344C" w:rsidP="00064577">
      <w:pPr>
        <w:pStyle w:val="FootnoteText"/>
        <w:rPr>
          <w:i/>
          <w:iCs/>
        </w:rPr>
      </w:pPr>
      <w:r>
        <w:rPr>
          <w:rStyle w:val="FootnoteReference"/>
        </w:rPr>
        <w:footnoteRef/>
      </w:r>
      <w:r>
        <w:t xml:space="preserve"> The Commission has granted forbearance from dominant carrier regulation of certain packet-based and optical transmission services to the largest ILECs.  </w:t>
      </w:r>
      <w:r w:rsidRPr="0011685E">
        <w:rPr>
          <w:i/>
        </w:rPr>
        <w:t>See</w:t>
      </w:r>
      <w:r>
        <w:t xml:space="preserve"> Petition of the Verizon Telephone Companies for Forbearance under 47 U.S.C. § 160(c) from Title II and Computer Inquiry Rules with Respect to Their Broadband Services, WC Docket No. 04-440 (filed Dec. 20, 2004); </w:t>
      </w:r>
      <w:r w:rsidRPr="00A13AD6">
        <w:t>Letter from Edward Shakin</w:t>
      </w:r>
      <w:r>
        <w:t xml:space="preserve">, </w:t>
      </w:r>
      <w:r w:rsidRPr="00A13AD6">
        <w:t>Vice President and Associate General Counsel, Verizon, to</w:t>
      </w:r>
      <w:r>
        <w:t xml:space="preserve"> </w:t>
      </w:r>
      <w:r w:rsidRPr="00A13AD6">
        <w:t>Marlene H. Dortch, Secretary, FCC, WC D</w:t>
      </w:r>
      <w:r>
        <w:t>ocke</w:t>
      </w:r>
      <w:r w:rsidRPr="00A13AD6">
        <w:t>t. No. 04-440, at 2-</w:t>
      </w:r>
      <w:r>
        <w:t xml:space="preserve">3 (filed Feb. 7, 2006); </w:t>
      </w:r>
      <w:r w:rsidRPr="00A13AD6">
        <w:t xml:space="preserve">FCC News Release, </w:t>
      </w:r>
      <w:r w:rsidRPr="00A13AD6">
        <w:rPr>
          <w:i/>
          <w:iCs/>
        </w:rPr>
        <w:t>Verizon Telephone Companies’ Petition for Forbearance from Title II</w:t>
      </w:r>
      <w:r>
        <w:rPr>
          <w:i/>
          <w:iCs/>
        </w:rPr>
        <w:t xml:space="preserve"> </w:t>
      </w:r>
      <w:r w:rsidRPr="00A13AD6">
        <w:rPr>
          <w:i/>
          <w:iCs/>
        </w:rPr>
        <w:t>and Computer Inquiry Rules with Respect to their Broadband Services Is Granted by Operation</w:t>
      </w:r>
      <w:r>
        <w:rPr>
          <w:i/>
          <w:iCs/>
        </w:rPr>
        <w:t xml:space="preserve"> </w:t>
      </w:r>
      <w:r w:rsidRPr="00A13AD6">
        <w:rPr>
          <w:i/>
          <w:iCs/>
        </w:rPr>
        <w:t xml:space="preserve">of Law </w:t>
      </w:r>
      <w:r w:rsidRPr="00A13AD6">
        <w:t>(rel. Mar. 20, 2006)</w:t>
      </w:r>
      <w:r>
        <w:t xml:space="preserve">; </w:t>
      </w:r>
      <w:r w:rsidRPr="00C82689">
        <w:rPr>
          <w:i/>
        </w:rPr>
        <w:t>Petition of AT&amp;T Inc. for Forbearance Under 47 U.S.C. § 160(c) from Title II and Computer Inquiry Rules with Respect to Its Broadband Services</w:t>
      </w:r>
      <w:r>
        <w:t xml:space="preserve">, </w:t>
      </w:r>
      <w:r w:rsidRPr="0011685E">
        <w:rPr>
          <w:i/>
        </w:rPr>
        <w:t>Petition of BellSouth Corporation for Forbearance Under Section 47 U.S.C. § 160(c) from Title II and Computer Inquiry Rules with Respect to Its Broadband Services</w:t>
      </w:r>
      <w:r>
        <w:t xml:space="preserve">, Memorandum Opinion and Order, 22 FCC Rcd 18705 (2007); </w:t>
      </w:r>
      <w:r w:rsidRPr="0011685E">
        <w:rPr>
          <w:i/>
        </w:rPr>
        <w:t>Petition of the Embarq Local Operating Companies for Forbearance Under 47 U.S.C. § 160(c) from Application of Computer Inquiry and Certain Title II Common-Carriage Requirements, et al.</w:t>
      </w:r>
      <w:r>
        <w:t xml:space="preserve">, Memorandum Opinion and Order, 22 FCC Rcd 19478 (2007); </w:t>
      </w:r>
      <w:r w:rsidRPr="0011685E">
        <w:rPr>
          <w:i/>
        </w:rPr>
        <w:t>Qwest Petition for Forbearance Under 47 U.S.C. § 160(c) from Title II and Computer Inquiry Rules with Respect to Broadband Services, Memorandum Opinion and Order</w:t>
      </w:r>
      <w:r w:rsidRPr="00E856A9">
        <w:rPr>
          <w:i/>
        </w:rPr>
        <w:t>,</w:t>
      </w:r>
      <w:r>
        <w:t xml:space="preserve"> 23 FCC Rcd 12260 (2008).</w:t>
      </w:r>
    </w:p>
  </w:footnote>
  <w:footnote w:id="80">
    <w:p w:rsidR="0083344C" w:rsidRDefault="0083344C" w:rsidP="00064577">
      <w:pPr>
        <w:pStyle w:val="FootnoteText"/>
      </w:pPr>
      <w:r>
        <w:rPr>
          <w:rStyle w:val="FootnoteReference"/>
        </w:rPr>
        <w:footnoteRef/>
      </w:r>
      <w:r>
        <w:t xml:space="preserve"> For this reason, we are revising Questions II.B.2-3 to no longer require </w:t>
      </w:r>
      <w:r w:rsidRPr="001A032D">
        <w:rPr>
          <w:i/>
        </w:rPr>
        <w:t>ILECs</w:t>
      </w:r>
      <w:r>
        <w:t xml:space="preserve"> to report </w:t>
      </w:r>
      <w:r w:rsidRPr="001A032D">
        <w:rPr>
          <w:i/>
        </w:rPr>
        <w:t>U</w:t>
      </w:r>
      <w:r>
        <w:rPr>
          <w:i/>
        </w:rPr>
        <w:t xml:space="preserve">nbundled </w:t>
      </w:r>
      <w:r w:rsidRPr="001A032D">
        <w:rPr>
          <w:i/>
        </w:rPr>
        <w:t>C</w:t>
      </w:r>
      <w:r>
        <w:rPr>
          <w:i/>
        </w:rPr>
        <w:t xml:space="preserve">opper </w:t>
      </w:r>
      <w:r w:rsidRPr="001A032D">
        <w:rPr>
          <w:i/>
        </w:rPr>
        <w:t>L</w:t>
      </w:r>
      <w:r>
        <w:rPr>
          <w:i/>
        </w:rPr>
        <w:t>oop</w:t>
      </w:r>
      <w:r w:rsidRPr="001A032D">
        <w:rPr>
          <w:i/>
        </w:rPr>
        <w:t>s</w:t>
      </w:r>
      <w:r>
        <w:t xml:space="preserve">.  </w:t>
      </w:r>
      <w:r w:rsidRPr="002E44B2">
        <w:rPr>
          <w:i/>
        </w:rPr>
        <w:t>See</w:t>
      </w:r>
      <w:r>
        <w:t xml:space="preserve"> </w:t>
      </w:r>
      <w:r w:rsidRPr="001A032D">
        <w:rPr>
          <w:i/>
        </w:rPr>
        <w:t>infra</w:t>
      </w:r>
      <w:r>
        <w:t xml:space="preserve"> Section III.C (discussing changes to questions).  </w:t>
      </w:r>
    </w:p>
  </w:footnote>
  <w:footnote w:id="81">
    <w:p w:rsidR="0083344C" w:rsidRDefault="0083344C" w:rsidP="00B37631">
      <w:pPr>
        <w:pStyle w:val="FootnoteText"/>
      </w:pPr>
      <w:r>
        <w:rPr>
          <w:rStyle w:val="FootnoteReference"/>
        </w:rPr>
        <w:footnoteRef/>
      </w:r>
      <w:r>
        <w:t xml:space="preserve"> </w:t>
      </w:r>
      <w:r w:rsidRPr="00E75CAE">
        <w:rPr>
          <w:i/>
        </w:rPr>
        <w:t>See</w:t>
      </w:r>
      <w:r>
        <w:t xml:space="preserve"> Appendix B, Questions II.A.3-4 (requiring the reporting of </w:t>
      </w:r>
      <w:r w:rsidRPr="00E75CAE">
        <w:rPr>
          <w:i/>
        </w:rPr>
        <w:t>Locations</w:t>
      </w:r>
      <w:r>
        <w:t xml:space="preserve"> with </w:t>
      </w:r>
      <w:r w:rsidRPr="00E75CAE">
        <w:rPr>
          <w:i/>
        </w:rPr>
        <w:t>Connections</w:t>
      </w:r>
      <w:r>
        <w:t xml:space="preserve"> obtained as a </w:t>
      </w:r>
      <w:r w:rsidRPr="00E75CAE">
        <w:rPr>
          <w:i/>
        </w:rPr>
        <w:t>UNE</w:t>
      </w:r>
      <w:r>
        <w:t xml:space="preserve">, which includes </w:t>
      </w:r>
      <w:r w:rsidRPr="00E75CAE">
        <w:rPr>
          <w:i/>
        </w:rPr>
        <w:t>Unbundled Copper Loops</w:t>
      </w:r>
      <w:r>
        <w:t xml:space="preserve"> used to p</w:t>
      </w:r>
      <w:r w:rsidRPr="009B46BC">
        <w:t>rovide</w:t>
      </w:r>
      <w:r>
        <w:t xml:space="preserve"> a </w:t>
      </w:r>
      <w:r w:rsidRPr="00E75CAE">
        <w:rPr>
          <w:i/>
        </w:rPr>
        <w:t>Dedicated Service</w:t>
      </w:r>
      <w:r>
        <w:t>).</w:t>
      </w:r>
    </w:p>
  </w:footnote>
  <w:footnote w:id="82">
    <w:p w:rsidR="0083344C" w:rsidRDefault="0083344C">
      <w:pPr>
        <w:pStyle w:val="FootnoteText"/>
      </w:pPr>
      <w:r>
        <w:rPr>
          <w:rStyle w:val="FootnoteReference"/>
        </w:rPr>
        <w:footnoteRef/>
      </w:r>
      <w:r>
        <w:t xml:space="preserve"> </w:t>
      </w:r>
      <w:r w:rsidRPr="0024520C">
        <w:rPr>
          <w:i/>
        </w:rPr>
        <w:t>See also supra</w:t>
      </w:r>
      <w:r>
        <w:t xml:space="preserve"> note 74 (providing additional examples of a service that is substantially similar to the services provided to residential customers).</w:t>
      </w:r>
    </w:p>
  </w:footnote>
  <w:footnote w:id="83">
    <w:p w:rsidR="0083344C" w:rsidRDefault="0083344C" w:rsidP="00C91AC2">
      <w:pPr>
        <w:pStyle w:val="FootnoteText"/>
      </w:pPr>
      <w:r>
        <w:rPr>
          <w:rStyle w:val="FootnoteReference"/>
        </w:rPr>
        <w:footnoteRef/>
      </w:r>
      <w:r>
        <w:t xml:space="preserve"> While we do not discuss the rationale behind each and every instruction in this Report and Order, the instructions do contain additional clarifications on how to calculate sold bandwidth and the accuracy level for location data.  </w:t>
      </w:r>
      <w:r w:rsidRPr="0031136B">
        <w:rPr>
          <w:i/>
        </w:rPr>
        <w:t>See</w:t>
      </w:r>
      <w:r>
        <w:t xml:space="preserve"> Appendix A, Instructions at 1</w:t>
      </w:r>
      <w:r w:rsidR="00262C24">
        <w:t>3</w:t>
      </w:r>
      <w:r>
        <w:t>-1</w:t>
      </w:r>
      <w:r w:rsidR="00262C24">
        <w:t>4</w:t>
      </w:r>
      <w:r>
        <w:t xml:space="preserve">, </w:t>
      </w:r>
      <w:r w:rsidR="00262C24">
        <w:t>38</w:t>
      </w:r>
      <w:r>
        <w:t>-</w:t>
      </w:r>
      <w:r w:rsidR="00262C24">
        <w:t>39</w:t>
      </w:r>
      <w:r>
        <w:t xml:space="preserve">. </w:t>
      </w:r>
    </w:p>
  </w:footnote>
  <w:footnote w:id="84">
    <w:p w:rsidR="0083344C" w:rsidRDefault="0083344C" w:rsidP="00C91AC2">
      <w:pPr>
        <w:pStyle w:val="FootnoteText"/>
      </w:pPr>
      <w:r>
        <w:rPr>
          <w:rStyle w:val="FootnoteReference"/>
        </w:rPr>
        <w:footnoteRef/>
      </w:r>
      <w:r>
        <w:t xml:space="preserve"> </w:t>
      </w:r>
      <w:r w:rsidRPr="00F16C51">
        <w:rPr>
          <w:i/>
        </w:rPr>
        <w:t>See</w:t>
      </w:r>
      <w:r>
        <w:t xml:space="preserve"> Letter from Steven F. Morris, National Cable and Telecommunications Assoc. (NCTA), to Marlene H. Dortch, Secretary, FCC, WC Docket No. 05-25, at 3 (filed Feb. 28, 2013) (NCTA Feb. 28 Letter).</w:t>
      </w:r>
    </w:p>
  </w:footnote>
  <w:footnote w:id="85">
    <w:p w:rsidR="0083344C" w:rsidRDefault="0083344C" w:rsidP="00C91AC2">
      <w:pPr>
        <w:pStyle w:val="FootnoteText"/>
      </w:pPr>
      <w:r>
        <w:rPr>
          <w:rStyle w:val="FootnoteReference"/>
        </w:rPr>
        <w:footnoteRef/>
      </w:r>
      <w:r>
        <w:t xml:space="preserve"> </w:t>
      </w:r>
      <w:r w:rsidRPr="00530984">
        <w:rPr>
          <w:i/>
        </w:rPr>
        <w:t>See</w:t>
      </w:r>
      <w:r>
        <w:t xml:space="preserve"> ACS, PRA Comments, WC Docket No. 05-25, at 5 (filed Apr. 15, 2013) (ACS PRA Comments) (“ACS does not keep records of the geocode for each location where special access services are deployed, nor does the company maintain records on the location type.”); Cincinnati Bell, PRA Comments, WC Docket No. 05-25, at 4 (filed Apr. 15, 2013) (“Existing records do not contain this information, so a site visit may be required to each location to ascertain the Location type. . . . The cost and burden of complying with the geocoding requirements are excessive and should be eliminated.”); ACA, PRA Comments, WC Docket No. 05-25, at 11-12 (filed Apr. 15, 2013) (“Of the ACA members surveyed, all maintain information about their customers’ addresses, but, with one exception, none had geocode (longitude/latitude) information for these locations.”) (ACA PRA Comments). </w:t>
      </w:r>
    </w:p>
  </w:footnote>
  <w:footnote w:id="86">
    <w:p w:rsidR="0083344C" w:rsidRDefault="0083344C">
      <w:pPr>
        <w:pStyle w:val="FootnoteText"/>
      </w:pPr>
      <w:r>
        <w:rPr>
          <w:rStyle w:val="FootnoteReference"/>
        </w:rPr>
        <w:footnoteRef/>
      </w:r>
      <w:r>
        <w:t xml:space="preserve"> </w:t>
      </w:r>
      <w:r w:rsidRPr="003C6E40">
        <w:rPr>
          <w:i/>
        </w:rPr>
        <w:t>See</w:t>
      </w:r>
      <w:r>
        <w:t xml:space="preserve"> Appendix A, Instructions at Tables II.A.4 and II.B.3.</w:t>
      </w:r>
    </w:p>
  </w:footnote>
  <w:footnote w:id="87">
    <w:p w:rsidR="0083344C" w:rsidRDefault="0083344C" w:rsidP="003C6E40">
      <w:pPr>
        <w:pStyle w:val="FootnoteText"/>
      </w:pPr>
      <w:r>
        <w:rPr>
          <w:rStyle w:val="FootnoteReference"/>
        </w:rPr>
        <w:footnoteRef/>
      </w:r>
      <w:r>
        <w:t xml:space="preserve"> For example, mobile wireless service providers are required to report the connections to their cell sites and the providers supplying those connections.  </w:t>
      </w:r>
      <w:r w:rsidRPr="003F3052">
        <w:rPr>
          <w:i/>
        </w:rPr>
        <w:t>See</w:t>
      </w:r>
      <w:r>
        <w:t xml:space="preserve"> Appendix B, Question II.E.2.  This will help the Commission evaluate the demand for cell site backhaul.</w:t>
      </w:r>
    </w:p>
  </w:footnote>
  <w:footnote w:id="88">
    <w:p w:rsidR="0083344C" w:rsidRDefault="0083344C" w:rsidP="00C91AC2">
      <w:pPr>
        <w:pStyle w:val="FootnoteText"/>
      </w:pPr>
      <w:r>
        <w:rPr>
          <w:rStyle w:val="FootnoteReference"/>
        </w:rPr>
        <w:footnoteRef/>
      </w:r>
      <w:r>
        <w:t xml:space="preserve"> </w:t>
      </w:r>
      <w:r w:rsidRPr="00E856A9">
        <w:rPr>
          <w:i/>
        </w:rPr>
        <w:t>See</w:t>
      </w:r>
      <w:r>
        <w:t xml:space="preserve"> ACA PRA Comments at 12; </w:t>
      </w:r>
      <w:r w:rsidRPr="001A17A3">
        <w:rPr>
          <w:i/>
        </w:rPr>
        <w:t>see also</w:t>
      </w:r>
      <w:r>
        <w:t xml:space="preserve"> Cincinnati Bell PRA Comments at 3 (“[T]he location of individual buildings is easily captured by using service addresses that are readily available.”).</w:t>
      </w:r>
    </w:p>
  </w:footnote>
  <w:footnote w:id="89">
    <w:p w:rsidR="0083344C" w:rsidRDefault="0083344C" w:rsidP="00C91AC2">
      <w:pPr>
        <w:pStyle w:val="FootnoteText"/>
      </w:pPr>
      <w:r>
        <w:rPr>
          <w:rStyle w:val="FootnoteReference"/>
        </w:rPr>
        <w:footnoteRef/>
      </w:r>
      <w:r>
        <w:t xml:space="preserve"> We will allow parties to </w:t>
      </w:r>
      <w:r w:rsidRPr="00DA6AF5">
        <w:rPr>
          <w:szCs w:val="22"/>
        </w:rPr>
        <w:t xml:space="preserve">derive the </w:t>
      </w:r>
      <w:r>
        <w:rPr>
          <w:szCs w:val="22"/>
        </w:rPr>
        <w:t>coordinate</w:t>
      </w:r>
      <w:r w:rsidRPr="00DA6AF5">
        <w:rPr>
          <w:szCs w:val="22"/>
        </w:rPr>
        <w:t xml:space="preserve"> fields for the</w:t>
      </w:r>
      <w:r>
        <w:rPr>
          <w:szCs w:val="22"/>
        </w:rPr>
        <w:t xml:space="preserve"> location address</w:t>
      </w:r>
      <w:r w:rsidRPr="00DA6AF5">
        <w:rPr>
          <w:szCs w:val="22"/>
        </w:rPr>
        <w:t xml:space="preserve"> from a known geocoding platform </w:t>
      </w:r>
      <w:r>
        <w:rPr>
          <w:szCs w:val="22"/>
        </w:rPr>
        <w:t>such as</w:t>
      </w:r>
      <w:r w:rsidRPr="00DA6AF5">
        <w:rPr>
          <w:szCs w:val="22"/>
        </w:rPr>
        <w:t xml:space="preserve"> Bing maps, Google, Yahoo, batchgeo.com, </w:t>
      </w:r>
      <w:r>
        <w:rPr>
          <w:szCs w:val="22"/>
        </w:rPr>
        <w:t xml:space="preserve">Texas A&amp;M Geoservices </w:t>
      </w:r>
      <w:r w:rsidRPr="00DA6AF5">
        <w:rPr>
          <w:szCs w:val="22"/>
        </w:rPr>
        <w:t>or other geocoding solution.</w:t>
      </w:r>
      <w:r>
        <w:rPr>
          <w:szCs w:val="22"/>
        </w:rPr>
        <w:t xml:space="preserve">  </w:t>
      </w:r>
      <w:r w:rsidRPr="0031136B">
        <w:rPr>
          <w:i/>
          <w:szCs w:val="22"/>
        </w:rPr>
        <w:t>See, e.g.</w:t>
      </w:r>
      <w:r>
        <w:rPr>
          <w:szCs w:val="22"/>
        </w:rPr>
        <w:t xml:space="preserve">, Texas A&amp;M Geoservices, </w:t>
      </w:r>
      <w:r w:rsidRPr="00CA38C2">
        <w:rPr>
          <w:szCs w:val="22"/>
        </w:rPr>
        <w:t>http://geoservices.tamu.edu/Services/Geocode/</w:t>
      </w:r>
      <w:r>
        <w:rPr>
          <w:szCs w:val="22"/>
        </w:rPr>
        <w:t xml:space="preserve"> (last visited May 2, 2013) (providing a free platform for the conversion of postal addresses into geographic coordinates).</w:t>
      </w:r>
    </w:p>
  </w:footnote>
  <w:footnote w:id="90">
    <w:p w:rsidR="0083344C" w:rsidRDefault="0083344C" w:rsidP="00C91AC2">
      <w:pPr>
        <w:pStyle w:val="FootnoteText"/>
      </w:pPr>
      <w:r>
        <w:rPr>
          <w:rStyle w:val="FootnoteReference"/>
        </w:rPr>
        <w:footnoteRef/>
      </w:r>
      <w:r>
        <w:t xml:space="preserve"> </w:t>
      </w:r>
      <w:r w:rsidRPr="00720CD7">
        <w:rPr>
          <w:i/>
        </w:rPr>
        <w:t>See</w:t>
      </w:r>
      <w:r>
        <w:t xml:space="preserve"> </w:t>
      </w:r>
      <w:r w:rsidRPr="00720CD7">
        <w:rPr>
          <w:i/>
        </w:rPr>
        <w:t>Special Access Data Collection Order</w:t>
      </w:r>
      <w:r>
        <w:t xml:space="preserve">, 27 FCC Rcd at 16360, App. A, Question II.A.5.  The question originally required the submission of two separate maps – one for the transport network and one just showing the fiber routes to </w:t>
      </w:r>
      <w:r w:rsidRPr="00850783">
        <w:rPr>
          <w:i/>
        </w:rPr>
        <w:t>Locations</w:t>
      </w:r>
      <w:r>
        <w:t xml:space="preserve">.  As discussed in Section III.C of this Report and Order, we have revised the question to require only one map.  </w:t>
      </w:r>
      <w:r>
        <w:rPr>
          <w:i/>
        </w:rPr>
        <w:t xml:space="preserve">See </w:t>
      </w:r>
      <w:r>
        <w:t xml:space="preserve">Appendix B, Question II.A.5.  </w:t>
      </w:r>
    </w:p>
  </w:footnote>
  <w:footnote w:id="91">
    <w:p w:rsidR="0083344C" w:rsidRDefault="0083344C" w:rsidP="00C84DA5">
      <w:pPr>
        <w:pStyle w:val="FootnoteText"/>
      </w:pPr>
      <w:r>
        <w:rPr>
          <w:rStyle w:val="FootnoteReference"/>
        </w:rPr>
        <w:footnoteRef/>
      </w:r>
      <w:r>
        <w:t xml:space="preserve"> The collection defines a </w:t>
      </w:r>
      <w:r w:rsidRPr="00850783">
        <w:rPr>
          <w:i/>
        </w:rPr>
        <w:t>Node</w:t>
      </w:r>
      <w:r>
        <w:t xml:space="preserve"> as “an aggregation point, a branch point, or a point of interconnection on a </w:t>
      </w:r>
      <w:r w:rsidRPr="002432B6">
        <w:rPr>
          <w:i/>
        </w:rPr>
        <w:t>Provider</w:t>
      </w:r>
      <w:r w:rsidRPr="00E96590">
        <w:t>’s</w:t>
      </w:r>
      <w:r>
        <w:t xml:space="preserve"> network, including a point of interconnection to other </w:t>
      </w:r>
      <w:r w:rsidRPr="002432B6">
        <w:rPr>
          <w:i/>
        </w:rPr>
        <w:t>Provider</w:t>
      </w:r>
      <w:r>
        <w:t xml:space="preserve"> networks.  Examples include LEC central offices, remote terminal locations, splice points (including, for example, at manholes), controlled environmental vaults, cable system headends, cable modem termination system (CMTS) locations, and facility hubs.”  </w:t>
      </w:r>
      <w:r w:rsidRPr="00020FED">
        <w:rPr>
          <w:i/>
        </w:rPr>
        <w:t>See</w:t>
      </w:r>
      <w:r>
        <w:t xml:space="preserve"> Appendix B, Definitions.  As further clarified in the instructions, we do not expect filers to provide the “went live” date if it occurred prior to 1995; the filer can instead simply answer “1000.”  </w:t>
      </w:r>
      <w:r w:rsidRPr="007957BA">
        <w:rPr>
          <w:i/>
        </w:rPr>
        <w:t>See</w:t>
      </w:r>
      <w:r>
        <w:t xml:space="preserve"> Appendix A, Instructions at 1</w:t>
      </w:r>
      <w:r w:rsidR="00262C24">
        <w:t>6</w:t>
      </w:r>
      <w:r>
        <w:t>.</w:t>
      </w:r>
    </w:p>
  </w:footnote>
  <w:footnote w:id="92">
    <w:p w:rsidR="0083344C" w:rsidRDefault="0083344C" w:rsidP="002432B6">
      <w:pPr>
        <w:pStyle w:val="FootnoteText"/>
      </w:pPr>
      <w:r>
        <w:rPr>
          <w:rStyle w:val="FootnoteReference"/>
        </w:rPr>
        <w:footnoteRef/>
      </w:r>
      <w:r>
        <w:t xml:space="preserve"> </w:t>
      </w:r>
      <w:r w:rsidRPr="007563EC">
        <w:rPr>
          <w:i/>
        </w:rPr>
        <w:t>See Special Access Data Collection Order</w:t>
      </w:r>
      <w:r>
        <w:t xml:space="preserve">, 27 FCC Rcd at 16333, para. 35 (“These maps will indicate where competitive providers can provide, or could potentially provide, special access services.”).    </w:t>
      </w:r>
    </w:p>
  </w:footnote>
  <w:footnote w:id="93">
    <w:p w:rsidR="0083344C" w:rsidRPr="001501AE" w:rsidRDefault="0083344C">
      <w:pPr>
        <w:pStyle w:val="FootnoteText"/>
      </w:pPr>
      <w:r>
        <w:rPr>
          <w:rStyle w:val="FootnoteReference"/>
        </w:rPr>
        <w:footnoteRef/>
      </w:r>
      <w:r>
        <w:t xml:space="preserve"> </w:t>
      </w:r>
      <w:r>
        <w:rPr>
          <w:i/>
        </w:rPr>
        <w:t xml:space="preserve">See id. </w:t>
      </w:r>
      <w:r>
        <w:t>at 16332, para. 33.</w:t>
      </w:r>
    </w:p>
  </w:footnote>
  <w:footnote w:id="94">
    <w:p w:rsidR="0083344C" w:rsidRDefault="0083344C" w:rsidP="00AD1420">
      <w:pPr>
        <w:pStyle w:val="FootnoteText"/>
      </w:pPr>
      <w:r>
        <w:rPr>
          <w:rStyle w:val="FootnoteReference"/>
        </w:rPr>
        <w:footnoteRef/>
      </w:r>
      <w:r>
        <w:t xml:space="preserve"> </w:t>
      </w:r>
      <w:r w:rsidRPr="00580875">
        <w:rPr>
          <w:i/>
        </w:rPr>
        <w:t>See</w:t>
      </w:r>
      <w:r>
        <w:t xml:space="preserve"> NCTA Feb. 28 Letter at 3; NCTA, PRA Comments, WC Docket No. 05-25, at 7 (filed Apr. 15, 2013) (NCTA PRA Comments); ACA PRA Comments at 11; Chariton Valley, PRA Comments, WC Docket No. 05-25, at 1 (filed Apr. 15, 2013).  One cable company estimated a cost of $4 million to produce a map for one large city and at least $50 million for all its FAs.  </w:t>
      </w:r>
      <w:r w:rsidRPr="00580875">
        <w:rPr>
          <w:i/>
        </w:rPr>
        <w:t>See</w:t>
      </w:r>
      <w:r>
        <w:t xml:space="preserve"> NCTA Feb. 28 Letter at 3; NCTA PRA Comments at 7.  </w:t>
      </w:r>
    </w:p>
  </w:footnote>
  <w:footnote w:id="95">
    <w:p w:rsidR="0083344C" w:rsidRDefault="0083344C">
      <w:pPr>
        <w:pStyle w:val="FootnoteText"/>
      </w:pPr>
      <w:r>
        <w:rPr>
          <w:rStyle w:val="FootnoteReference"/>
        </w:rPr>
        <w:footnoteRef/>
      </w:r>
      <w:r>
        <w:t xml:space="preserve"> </w:t>
      </w:r>
      <w:r w:rsidRPr="00D11243">
        <w:rPr>
          <w:i/>
        </w:rPr>
        <w:t>See</w:t>
      </w:r>
      <w:r>
        <w:t xml:space="preserve"> Letter from Michael R. Romano, NTCA, to Marlene H. Dortch, Secretary, FCC, WC Docket No. 05-25, at 2</w:t>
      </w:r>
      <w:r w:rsidRPr="0091386A">
        <w:t xml:space="preserve"> </w:t>
      </w:r>
      <w:r>
        <w:t>(filed May 13, 2013) (NTCA Letter).</w:t>
      </w:r>
    </w:p>
  </w:footnote>
  <w:footnote w:id="96">
    <w:p w:rsidR="0083344C" w:rsidRDefault="0083344C" w:rsidP="00C91AC2">
      <w:pPr>
        <w:pStyle w:val="FootnoteText"/>
      </w:pPr>
      <w:r>
        <w:rPr>
          <w:rStyle w:val="FootnoteReference"/>
        </w:rPr>
        <w:footnoteRef/>
      </w:r>
      <w:r>
        <w:t xml:space="preserve"> </w:t>
      </w:r>
      <w:r w:rsidRPr="003E3287">
        <w:rPr>
          <w:i/>
        </w:rPr>
        <w:t>See</w:t>
      </w:r>
      <w:r>
        <w:t xml:space="preserve"> Letter from Steven F. Morris, NCTA, to Marlene H. Dortch, Secretary, FCC, WC Docket No. 05-25, at 2,</w:t>
      </w:r>
      <w:r w:rsidRPr="0091386A">
        <w:t xml:space="preserve"> </w:t>
      </w:r>
      <w:r>
        <w:t>Attachment, at 1 (filed Mar. 22, 2013) (NCTA Mar. 22 Letter); ACA PRA Comments at 6.</w:t>
      </w:r>
    </w:p>
  </w:footnote>
  <w:footnote w:id="97">
    <w:p w:rsidR="0083344C" w:rsidRDefault="0083344C">
      <w:pPr>
        <w:pStyle w:val="FootnoteText"/>
      </w:pPr>
      <w:r>
        <w:rPr>
          <w:rStyle w:val="FootnoteReference"/>
        </w:rPr>
        <w:footnoteRef/>
      </w:r>
      <w:r>
        <w:t xml:space="preserve"> </w:t>
      </w:r>
      <w:r w:rsidRPr="00D11243">
        <w:rPr>
          <w:i/>
        </w:rPr>
        <w:t>See</w:t>
      </w:r>
      <w:r>
        <w:t xml:space="preserve"> Letter from Glenn Reynolds, USTelecom, to Marlene Dortch, Secretary, FCC, WC Docket No. 05-25, at 2</w:t>
      </w:r>
      <w:r w:rsidRPr="0091386A">
        <w:t xml:space="preserve"> </w:t>
      </w:r>
      <w:r>
        <w:t>(filed Apr. 11, 2013).</w:t>
      </w:r>
    </w:p>
  </w:footnote>
  <w:footnote w:id="98">
    <w:p w:rsidR="0083344C" w:rsidRDefault="0083344C">
      <w:pPr>
        <w:pStyle w:val="FootnoteText"/>
      </w:pPr>
      <w:r>
        <w:rPr>
          <w:rStyle w:val="FootnoteReference"/>
        </w:rPr>
        <w:footnoteRef/>
      </w:r>
      <w:r>
        <w:t xml:space="preserve"> In addition, as part of the </w:t>
      </w:r>
      <w:r w:rsidRPr="007563EC">
        <w:rPr>
          <w:i/>
        </w:rPr>
        <w:t xml:space="preserve">Special Access Data Collection </w:t>
      </w:r>
      <w:r w:rsidRPr="00B20375">
        <w:rPr>
          <w:i/>
        </w:rPr>
        <w:t>FNPRM</w:t>
      </w:r>
      <w:r>
        <w:t xml:space="preserve">, the Commission is considering whether it can use distances to fiber and demand </w:t>
      </w:r>
      <w:r w:rsidRPr="001E0F76">
        <w:rPr>
          <w:szCs w:val="22"/>
        </w:rPr>
        <w:t>for evaluating petitions for pricing flexibility</w:t>
      </w:r>
      <w:r>
        <w:t xml:space="preserve">.  </w:t>
      </w:r>
      <w:r w:rsidRPr="00C11D1E">
        <w:rPr>
          <w:i/>
        </w:rPr>
        <w:t>See</w:t>
      </w:r>
      <w:r>
        <w:t xml:space="preserve"> 27 FCC Rcd at 16351 para. 78 n.173.</w:t>
      </w:r>
    </w:p>
  </w:footnote>
  <w:footnote w:id="99">
    <w:p w:rsidR="0083344C" w:rsidRDefault="0083344C" w:rsidP="00FD0F83">
      <w:pPr>
        <w:pStyle w:val="FootnoteText"/>
      </w:pPr>
      <w:r>
        <w:rPr>
          <w:rStyle w:val="FootnoteReference"/>
        </w:rPr>
        <w:footnoteRef/>
      </w:r>
      <w:r>
        <w:t xml:space="preserve"> </w:t>
      </w:r>
      <w:r w:rsidRPr="00C11D1E">
        <w:rPr>
          <w:i/>
        </w:rPr>
        <w:t>See</w:t>
      </w:r>
      <w:r>
        <w:t xml:space="preserve"> </w:t>
      </w:r>
      <w:r w:rsidRPr="007563EC">
        <w:rPr>
          <w:i/>
        </w:rPr>
        <w:t>Special Access Data Collection Order</w:t>
      </w:r>
      <w:r>
        <w:t xml:space="preserve">, 27 FCC Rcd at 16327-28, para. 22.  </w:t>
      </w:r>
    </w:p>
  </w:footnote>
  <w:footnote w:id="100">
    <w:p w:rsidR="0083344C" w:rsidRDefault="0083344C" w:rsidP="00671609">
      <w:pPr>
        <w:pStyle w:val="FootnoteText"/>
      </w:pPr>
      <w:r>
        <w:rPr>
          <w:rStyle w:val="FootnoteReference"/>
        </w:rPr>
        <w:footnoteRef/>
      </w:r>
      <w:r>
        <w:t xml:space="preserve"> The </w:t>
      </w:r>
      <w:r w:rsidRPr="002C64B1">
        <w:t>D</w:t>
      </w:r>
      <w:r>
        <w:t xml:space="preserve">epartment of </w:t>
      </w:r>
      <w:r w:rsidRPr="002C64B1">
        <w:t>J</w:t>
      </w:r>
      <w:r>
        <w:t xml:space="preserve">ustice has also used distances to fiber when evaluating the effect of transactions on competition.  </w:t>
      </w:r>
      <w:r w:rsidRPr="00C11D1E">
        <w:rPr>
          <w:i/>
        </w:rPr>
        <w:t>See</w:t>
      </w:r>
      <w:r>
        <w:t xml:space="preserve"> </w:t>
      </w:r>
      <w:r w:rsidRPr="007563EC">
        <w:rPr>
          <w:i/>
        </w:rPr>
        <w:t xml:space="preserve">Special Access Data Collection </w:t>
      </w:r>
      <w:r w:rsidRPr="00B20375">
        <w:rPr>
          <w:i/>
        </w:rPr>
        <w:t>FNPRM</w:t>
      </w:r>
      <w:r>
        <w:t xml:space="preserve">, 27 FCC Rcd at 16351 para. 78 n.173 (citing </w:t>
      </w:r>
      <w:r w:rsidRPr="00671609">
        <w:rPr>
          <w:i/>
          <w:iCs/>
        </w:rPr>
        <w:t>AT&amp;T Inc. and BellSouth Corporation Application for Transfer</w:t>
      </w:r>
      <w:r>
        <w:rPr>
          <w:i/>
          <w:iCs/>
        </w:rPr>
        <w:t xml:space="preserve"> </w:t>
      </w:r>
      <w:r w:rsidRPr="00671609">
        <w:rPr>
          <w:i/>
          <w:iCs/>
        </w:rPr>
        <w:t>of Control</w:t>
      </w:r>
      <w:r w:rsidRPr="00671609">
        <w:t xml:space="preserve">, WC Docket No. 06-74, Memorandum Opinion and Order, 22 FCC Rcd 5662, </w:t>
      </w:r>
      <w:r>
        <w:t>5682</w:t>
      </w:r>
      <w:r w:rsidRPr="00671609">
        <w:t>, para.</w:t>
      </w:r>
      <w:r>
        <w:t>42</w:t>
      </w:r>
      <w:r w:rsidRPr="00671609">
        <w:t xml:space="preserve"> (2007)</w:t>
      </w:r>
      <w:r>
        <w:t xml:space="preserve">.  </w:t>
      </w:r>
    </w:p>
  </w:footnote>
  <w:footnote w:id="101">
    <w:p w:rsidR="0083344C" w:rsidRDefault="0083344C">
      <w:pPr>
        <w:pStyle w:val="FootnoteText"/>
      </w:pPr>
      <w:r>
        <w:rPr>
          <w:rStyle w:val="FootnoteReference"/>
        </w:rPr>
        <w:footnoteRef/>
      </w:r>
      <w:r>
        <w:t xml:space="preserve"> </w:t>
      </w:r>
      <w:r w:rsidRPr="00E62258">
        <w:rPr>
          <w:i/>
        </w:rPr>
        <w:t>See Connect America Fund; High-Cost Universal Service Support</w:t>
      </w:r>
      <w:r>
        <w:t>, WC Docket Nos. 10-90, 05-337, Report and Order, 27 FCC Rcd 13528, 13532, para. 14 (Wireline Comp. Bur. 2012); Order on Reconsideration, 28 FCC Rcd 1489 (Wireline Comp. Bur. 2013); Appendix A, Instructions at 1</w:t>
      </w:r>
      <w:r w:rsidR="00262C24">
        <w:t>5</w:t>
      </w:r>
      <w:r>
        <w:t xml:space="preserve">.      </w:t>
      </w:r>
    </w:p>
  </w:footnote>
  <w:footnote w:id="102">
    <w:p w:rsidR="0083344C" w:rsidRDefault="0083344C" w:rsidP="00263CCF">
      <w:pPr>
        <w:pStyle w:val="FootnoteText"/>
      </w:pPr>
      <w:r>
        <w:rPr>
          <w:rStyle w:val="FootnoteReference"/>
        </w:rPr>
        <w:footnoteRef/>
      </w:r>
      <w:r>
        <w:t xml:space="preserve"> </w:t>
      </w:r>
      <w:r>
        <w:rPr>
          <w:i/>
        </w:rPr>
        <w:t>S</w:t>
      </w:r>
      <w:r w:rsidRPr="00E62258">
        <w:rPr>
          <w:i/>
        </w:rPr>
        <w:t>ee, e.g.</w:t>
      </w:r>
      <w:r>
        <w:t xml:space="preserve">, NCTA PRA Comments at 7 (“As Cox explains, it maintains fiber maps that show both backbone fiber routes as well as lateral connections.”).  We do not intend to penalize filers who undertake reasonable, good faith efforts to identify the routes and paths traversed by fiber.  </w:t>
      </w:r>
      <w:r w:rsidRPr="00646104">
        <w:rPr>
          <w:i/>
        </w:rPr>
        <w:t xml:space="preserve">See </w:t>
      </w:r>
      <w:r>
        <w:t>Order on Reconsideration, 28 FCC Rcd at 1493, para. 13.</w:t>
      </w:r>
    </w:p>
  </w:footnote>
  <w:footnote w:id="103">
    <w:p w:rsidR="0083344C" w:rsidRDefault="0083344C">
      <w:pPr>
        <w:pStyle w:val="FootnoteText"/>
      </w:pPr>
      <w:r>
        <w:rPr>
          <w:rStyle w:val="FootnoteReference"/>
        </w:rPr>
        <w:footnoteRef/>
      </w:r>
      <w:r>
        <w:t xml:space="preserve"> </w:t>
      </w:r>
      <w:r w:rsidRPr="003E3287">
        <w:rPr>
          <w:i/>
        </w:rPr>
        <w:t>See</w:t>
      </w:r>
      <w:r>
        <w:t xml:space="preserve"> NCTA PRA Comments at 7; ACA PRA Comments at 6.</w:t>
      </w:r>
    </w:p>
  </w:footnote>
  <w:footnote w:id="104">
    <w:p w:rsidR="0083344C" w:rsidRDefault="0083344C" w:rsidP="00E62258">
      <w:pPr>
        <w:pStyle w:val="FootnoteText"/>
        <w:tabs>
          <w:tab w:val="left" w:pos="1090"/>
        </w:tabs>
      </w:pPr>
      <w:r>
        <w:rPr>
          <w:rStyle w:val="FootnoteReference"/>
        </w:rPr>
        <w:footnoteRef/>
      </w:r>
      <w:r>
        <w:t xml:space="preserve"> </w:t>
      </w:r>
      <w:r w:rsidRPr="00F363BA">
        <w:rPr>
          <w:i/>
        </w:rPr>
        <w:t>See</w:t>
      </w:r>
      <w:r>
        <w:t xml:space="preserve"> NCTA PRA Comments, Exh. A, Decl. of Robert Hattori, Cox, at 5.</w:t>
      </w:r>
      <w:r>
        <w:tab/>
      </w:r>
    </w:p>
  </w:footnote>
  <w:footnote w:id="105">
    <w:p w:rsidR="0083344C" w:rsidRDefault="0083344C">
      <w:pPr>
        <w:pStyle w:val="FootnoteText"/>
      </w:pPr>
      <w:r>
        <w:rPr>
          <w:rStyle w:val="FootnoteReference"/>
        </w:rPr>
        <w:footnoteRef/>
      </w:r>
      <w:r>
        <w:t xml:space="preserve"> ACA PRA Comments at 10.</w:t>
      </w:r>
    </w:p>
  </w:footnote>
  <w:footnote w:id="106">
    <w:p w:rsidR="0083344C" w:rsidRDefault="0083344C" w:rsidP="00CD5011">
      <w:pPr>
        <w:pStyle w:val="FootnoteText"/>
      </w:pPr>
      <w:r>
        <w:rPr>
          <w:rStyle w:val="FootnoteReference"/>
        </w:rPr>
        <w:footnoteRef/>
      </w:r>
      <w:r>
        <w:t xml:space="preserve"> The CLONES database is managed by </w:t>
      </w:r>
      <w:r w:rsidRPr="00343DFD">
        <w:t>Telcordia Technologies, Inc.</w:t>
      </w:r>
      <w:r>
        <w:t xml:space="preserve"> d/b/a Iconectiv</w:t>
      </w:r>
      <w:r w:rsidRPr="00343DFD">
        <w:t>, a wholly owned subsidiary of Ericsson</w:t>
      </w:r>
      <w:r w:rsidRPr="00595362">
        <w:rPr>
          <w:bCs/>
        </w:rPr>
        <w:t>.</w:t>
      </w:r>
      <w:r>
        <w:rPr>
          <w:bCs/>
        </w:rPr>
        <w:t xml:space="preserve">  </w:t>
      </w:r>
      <w:r w:rsidRPr="0031458B">
        <w:rPr>
          <w:i/>
        </w:rPr>
        <w:t>See</w:t>
      </w:r>
      <w:r>
        <w:t xml:space="preserve"> Systems and Tools, Iconectiv, </w:t>
      </w:r>
      <w:r w:rsidRPr="00CA38C2">
        <w:t>https://codecenter.commonlanguage.com/systems.asp?#clones</w:t>
      </w:r>
      <w:r>
        <w:t xml:space="preserve"> (providing information about CLONES) (last visited Sept. 9, 2013).      </w:t>
      </w:r>
    </w:p>
  </w:footnote>
  <w:footnote w:id="107">
    <w:p w:rsidR="0083344C" w:rsidRDefault="0083344C">
      <w:pPr>
        <w:pStyle w:val="FootnoteText"/>
      </w:pPr>
      <w:r>
        <w:rPr>
          <w:rStyle w:val="FootnoteReference"/>
        </w:rPr>
        <w:footnoteRef/>
      </w:r>
      <w:r>
        <w:t xml:space="preserve"> </w:t>
      </w:r>
      <w:r w:rsidRPr="007A7EC7">
        <w:rPr>
          <w:i/>
        </w:rPr>
        <w:t>See</w:t>
      </w:r>
      <w:r>
        <w:t xml:space="preserve"> Appendix A, Instructions at 1</w:t>
      </w:r>
      <w:r w:rsidR="00262C24">
        <w:t>4</w:t>
      </w:r>
      <w:r>
        <w:t>.</w:t>
      </w:r>
    </w:p>
  </w:footnote>
  <w:footnote w:id="108">
    <w:p w:rsidR="0083344C" w:rsidRDefault="0083344C">
      <w:pPr>
        <w:pStyle w:val="FootnoteText"/>
      </w:pPr>
      <w:r>
        <w:rPr>
          <w:rStyle w:val="FootnoteReference"/>
        </w:rPr>
        <w:footnoteRef/>
      </w:r>
      <w:r>
        <w:t xml:space="preserve"> </w:t>
      </w:r>
      <w:r w:rsidRPr="00E62258">
        <w:rPr>
          <w:i/>
        </w:rPr>
        <w:t>See</w:t>
      </w:r>
      <w:r>
        <w:t xml:space="preserve"> </w:t>
      </w:r>
      <w:r w:rsidRPr="006B7864">
        <w:rPr>
          <w:i/>
        </w:rPr>
        <w:t>id</w:t>
      </w:r>
      <w:r>
        <w:t>. at 17.</w:t>
      </w:r>
    </w:p>
  </w:footnote>
  <w:footnote w:id="109">
    <w:p w:rsidR="0083344C" w:rsidRDefault="0083344C" w:rsidP="006C7B48">
      <w:pPr>
        <w:pStyle w:val="FootnoteText"/>
      </w:pPr>
      <w:r>
        <w:rPr>
          <w:rStyle w:val="FootnoteReference"/>
        </w:rPr>
        <w:footnoteRef/>
      </w:r>
      <w:r>
        <w:t xml:space="preserve"> </w:t>
      </w:r>
      <w:r>
        <w:rPr>
          <w:i/>
        </w:rPr>
        <w:t xml:space="preserve">See </w:t>
      </w:r>
      <w:r w:rsidRPr="00E62258">
        <w:rPr>
          <w:i/>
        </w:rPr>
        <w:t>Data Requested in Special Access NPRM</w:t>
      </w:r>
      <w:r>
        <w:t>, WC Docket No. 05-25, RM-10593, Public Notice, 25 FCC Rcd 15146 (Wireline Comp. Bur. 2010).</w:t>
      </w:r>
    </w:p>
  </w:footnote>
  <w:footnote w:id="110">
    <w:p w:rsidR="0083344C" w:rsidRPr="007B7670" w:rsidRDefault="0083344C" w:rsidP="006C7B48">
      <w:pPr>
        <w:pStyle w:val="FootnoteText"/>
      </w:pPr>
      <w:r>
        <w:rPr>
          <w:rStyle w:val="FootnoteReference"/>
        </w:rPr>
        <w:footnoteRef/>
      </w:r>
      <w:r>
        <w:t xml:space="preserve"> In contrast, a cable system operator’s incentives for deploying and interconnecting its facilities, unlike those of non-cable </w:t>
      </w:r>
      <w:r>
        <w:rPr>
          <w:i/>
        </w:rPr>
        <w:t xml:space="preserve">Competitive Providers, </w:t>
      </w:r>
      <w:r>
        <w:t xml:space="preserve">were historically driven by the demand for residential services.  </w:t>
      </w:r>
      <w:r>
        <w:rPr>
          <w:i/>
        </w:rPr>
        <w:t xml:space="preserve">Cf. infra </w:t>
      </w:r>
      <w:r>
        <w:t xml:space="preserve">note 112.  </w:t>
      </w:r>
      <w:r w:rsidRPr="00875E6B">
        <w:t xml:space="preserve">Given these unique incentives, the Bureau considered only requiring cable firms to submit those </w:t>
      </w:r>
      <w:r w:rsidRPr="00875E6B">
        <w:rPr>
          <w:i/>
        </w:rPr>
        <w:t xml:space="preserve">Nodes </w:t>
      </w:r>
      <w:r w:rsidRPr="00875E6B">
        <w:t>that had been upgraded to Metro Ethernet (or its equivalent)</w:t>
      </w:r>
      <w:r>
        <w:t xml:space="preserve"> service</w:t>
      </w:r>
      <w:r w:rsidRPr="00875E6B">
        <w:rPr>
          <w:i/>
        </w:rPr>
        <w:t xml:space="preserve">. </w:t>
      </w:r>
      <w:r w:rsidRPr="00875E6B">
        <w:t xml:space="preserve"> </w:t>
      </w:r>
      <w:r w:rsidRPr="00942104">
        <w:t xml:space="preserve">However, given concerns </w:t>
      </w:r>
      <w:r>
        <w:t>about the Bureau’</w:t>
      </w:r>
      <w:r w:rsidRPr="00942104">
        <w:t>s delegated authority, we do not deviate from</w:t>
      </w:r>
      <w:r>
        <w:t xml:space="preserve"> the approach in the Commission’</w:t>
      </w:r>
      <w:r w:rsidRPr="00942104">
        <w:t xml:space="preserve">s </w:t>
      </w:r>
      <w:r>
        <w:t>o</w:t>
      </w:r>
      <w:r w:rsidRPr="00942104">
        <w:t>rder</w:t>
      </w:r>
      <w:r>
        <w:t>.</w:t>
      </w:r>
      <w:r w:rsidRPr="00875E6B">
        <w:t xml:space="preserve">  </w:t>
      </w:r>
      <w:r w:rsidRPr="00875E6B">
        <w:rPr>
          <w:i/>
        </w:rPr>
        <w:t xml:space="preserve">See Special Access Data Collection Order, </w:t>
      </w:r>
      <w:r w:rsidRPr="00875E6B">
        <w:t xml:space="preserve">27 FCC Rcd at 16340, para. 52 and note </w:t>
      </w:r>
      <w:r>
        <w:t>1</w:t>
      </w:r>
      <w:r w:rsidRPr="00875E6B">
        <w:t>12.</w:t>
      </w:r>
    </w:p>
  </w:footnote>
  <w:footnote w:id="111">
    <w:p w:rsidR="0083344C" w:rsidRDefault="0083344C" w:rsidP="00777A1B">
      <w:pPr>
        <w:pStyle w:val="FootnoteText"/>
      </w:pPr>
      <w:r>
        <w:rPr>
          <w:rStyle w:val="FootnoteReference"/>
        </w:rPr>
        <w:footnoteRef/>
      </w:r>
      <w:r>
        <w:t xml:space="preserve"> </w:t>
      </w:r>
      <w:r w:rsidRPr="007A7EC7">
        <w:rPr>
          <w:i/>
        </w:rPr>
        <w:t>See</w:t>
      </w:r>
      <w:r>
        <w:t xml:space="preserve"> Appendix A, Instructions at 1</w:t>
      </w:r>
      <w:r w:rsidR="00262C24">
        <w:t>4</w:t>
      </w:r>
      <w:r>
        <w:t>.</w:t>
      </w:r>
    </w:p>
  </w:footnote>
  <w:footnote w:id="112">
    <w:p w:rsidR="0083344C" w:rsidRPr="00110C74" w:rsidRDefault="0083344C" w:rsidP="00FC6725">
      <w:pPr>
        <w:pStyle w:val="FootnoteText"/>
      </w:pPr>
      <w:r w:rsidRPr="00E05765">
        <w:rPr>
          <w:rStyle w:val="FootnoteReference"/>
          <w:sz w:val="18"/>
          <w:szCs w:val="18"/>
        </w:rPr>
        <w:footnoteRef/>
      </w:r>
      <w:r w:rsidRPr="00E05765">
        <w:t xml:space="preserve"> </w:t>
      </w:r>
      <w:r>
        <w:t xml:space="preserve">The number of reported Competitive Access Providers/CLECs increased substantially from 20 in 1993 to 109 in 1996 with an annual average growth rate of 76 percent during that timeframe.  </w:t>
      </w:r>
      <w:r w:rsidRPr="00850783">
        <w:rPr>
          <w:i/>
        </w:rPr>
        <w:t>See</w:t>
      </w:r>
      <w:r>
        <w:t xml:space="preserve"> </w:t>
      </w:r>
      <w:r w:rsidRPr="00FA2DBC">
        <w:rPr>
          <w:i/>
          <w:iCs/>
        </w:rPr>
        <w:t>Trends in Telephone Service</w:t>
      </w:r>
      <w:r>
        <w:t>, F</w:t>
      </w:r>
      <w:r w:rsidRPr="00FA2DBC">
        <w:t>CC, Common Carrier Bur</w:t>
      </w:r>
      <w:r>
        <w:t>.</w:t>
      </w:r>
      <w:r w:rsidRPr="00FA2DBC">
        <w:t>, Industry Analysis Div</w:t>
      </w:r>
      <w:r>
        <w:t>. at</w:t>
      </w:r>
      <w:r w:rsidRPr="00FA2DBC">
        <w:t xml:space="preserve"> Table </w:t>
      </w:r>
      <w:r>
        <w:t>8</w:t>
      </w:r>
      <w:r w:rsidRPr="00FA2DBC">
        <w:t>.</w:t>
      </w:r>
      <w:r>
        <w:t>1</w:t>
      </w:r>
      <w:r w:rsidRPr="00FA2DBC">
        <w:t xml:space="preserve"> (</w:t>
      </w:r>
      <w:r>
        <w:t>July 1998</w:t>
      </w:r>
      <w:r w:rsidRPr="00FA2DBC">
        <w:t>)</w:t>
      </w:r>
      <w:r>
        <w:t>.  In addition, f</w:t>
      </w:r>
      <w:r w:rsidRPr="00E05765">
        <w:t xml:space="preserve">rom 1995-1999, the number of telecom mergers filed for governmental approval increased almost 50 percent.  </w:t>
      </w:r>
      <w:r w:rsidRPr="00E05765">
        <w:rPr>
          <w:i/>
          <w:iCs/>
        </w:rPr>
        <w:t xml:space="preserve">Mergers in the Telecomm. Indus.: Hearing before the </w:t>
      </w:r>
      <w:r>
        <w:rPr>
          <w:i/>
          <w:iCs/>
        </w:rPr>
        <w:t xml:space="preserve">Senate </w:t>
      </w:r>
      <w:r w:rsidRPr="00E05765">
        <w:rPr>
          <w:i/>
          <w:iCs/>
        </w:rPr>
        <w:t>Comm. on Commerce, Science, and Transp.</w:t>
      </w:r>
      <w:r w:rsidRPr="00E05765">
        <w:t xml:space="preserve">, 106th Cong. 2 (1999) (opening statement of John McCain, U.S. Senator from Arizona).  Further, between 1996 and 2001, 42 mergers between telecom providers were consummated, 33 of which occurred in 1997 and 1998 alone.  </w:t>
      </w:r>
      <w:r w:rsidRPr="00E05765">
        <w:rPr>
          <w:i/>
          <w:iCs/>
        </w:rPr>
        <w:t>See</w:t>
      </w:r>
      <w:r w:rsidRPr="00E05765">
        <w:t xml:space="preserve"> Mark N. Cooper </w:t>
      </w:r>
      <w:r w:rsidRPr="00E96590">
        <w:rPr>
          <w:i/>
        </w:rPr>
        <w:t>et al</w:t>
      </w:r>
      <w:r w:rsidRPr="00E05765">
        <w:t xml:space="preserve">., </w:t>
      </w:r>
      <w:r w:rsidRPr="00E05765">
        <w:rPr>
          <w:i/>
          <w:iCs/>
        </w:rPr>
        <w:t>Successes and Failures of the 1996 Telecommunications Act: Telecom Mergers (1996-2001</w:t>
      </w:r>
      <w:r w:rsidRPr="00110C74">
        <w:rPr>
          <w:i/>
          <w:iCs/>
        </w:rPr>
        <w:t>)</w:t>
      </w:r>
      <w:r w:rsidRPr="00110C74">
        <w:t xml:space="preserve">, </w:t>
      </w:r>
      <w:r w:rsidRPr="00110C74">
        <w:rPr>
          <w:i/>
        </w:rPr>
        <w:t>available at</w:t>
      </w:r>
      <w:r>
        <w:t xml:space="preserve"> </w:t>
      </w:r>
      <w:r w:rsidRPr="00110C74">
        <w:t>http://www.civilrights.org/publications/1996_telecommunications/telecom-mergers.html</w:t>
      </w:r>
      <w:r>
        <w:t xml:space="preserve"> (last visited Sept. 9, 2013)</w:t>
      </w:r>
      <w:r w:rsidRPr="00110C74">
        <w:t>.</w:t>
      </w:r>
    </w:p>
  </w:footnote>
  <w:footnote w:id="113">
    <w:p w:rsidR="0083344C" w:rsidRDefault="0083344C">
      <w:pPr>
        <w:pStyle w:val="FootnoteText"/>
      </w:pPr>
      <w:r>
        <w:rPr>
          <w:rStyle w:val="FootnoteReference"/>
        </w:rPr>
        <w:footnoteRef/>
      </w:r>
      <w:r>
        <w:t xml:space="preserve"> </w:t>
      </w:r>
      <w:r w:rsidRPr="00E62258">
        <w:rPr>
          <w:i/>
        </w:rPr>
        <w:t>See supra</w:t>
      </w:r>
      <w:r>
        <w:t xml:space="preserve"> note 71 (listing press releases from cable firms that have expanded their service offerings to customers that are likely to buy </w:t>
      </w:r>
      <w:r>
        <w:rPr>
          <w:i/>
        </w:rPr>
        <w:t>Dedicated Services</w:t>
      </w:r>
      <w:r>
        <w:t xml:space="preserve">).  A cable company’s decision to upgrade headends to provide Metro Ethernet (or its equivalent) service is relevant to the demand for </w:t>
      </w:r>
      <w:r>
        <w:rPr>
          <w:i/>
        </w:rPr>
        <w:t xml:space="preserve">Dedicated Services </w:t>
      </w:r>
      <w:r>
        <w:t xml:space="preserve">because these upgrades reflect areas in which the cable system operator anticipated that sufficient demand was likely to exist for </w:t>
      </w:r>
      <w:r>
        <w:rPr>
          <w:i/>
        </w:rPr>
        <w:t>Dedicated Services.</w:t>
      </w:r>
      <w:r>
        <w:t xml:space="preserve">  We therefore also clarify in the instructions that cable system operators must separately indicate those </w:t>
      </w:r>
      <w:r>
        <w:rPr>
          <w:i/>
          <w:iCs/>
        </w:rPr>
        <w:t>Nodes</w:t>
      </w:r>
      <w:r>
        <w:t xml:space="preserve"> that have been upgraded to provide a Metro Ethernet (or its equivalent) service.  </w:t>
      </w:r>
      <w:r>
        <w:rPr>
          <w:i/>
          <w:iCs/>
          <w:snapToGrid w:val="0"/>
        </w:rPr>
        <w:t>See</w:t>
      </w:r>
      <w:r>
        <w:rPr>
          <w:snapToGrid w:val="0"/>
        </w:rPr>
        <w:t xml:space="preserve"> Appendix A, Instructions at 15.</w:t>
      </w:r>
    </w:p>
  </w:footnote>
  <w:footnote w:id="114">
    <w:p w:rsidR="0083344C" w:rsidRDefault="0083344C" w:rsidP="00C91AC2">
      <w:pPr>
        <w:pStyle w:val="FootnoteText"/>
      </w:pPr>
      <w:r>
        <w:rPr>
          <w:rStyle w:val="FootnoteReference"/>
        </w:rPr>
        <w:footnoteRef/>
      </w:r>
      <w:r>
        <w:t xml:space="preserve"> The billing data are only for </w:t>
      </w:r>
      <w:r w:rsidRPr="00850783">
        <w:rPr>
          <w:i/>
        </w:rPr>
        <w:t>Dedicated Services</w:t>
      </w:r>
      <w:r>
        <w:t xml:space="preserve"> provided using facilities that are owned or leased as an </w:t>
      </w:r>
      <w:r w:rsidRPr="00850783">
        <w:rPr>
          <w:i/>
        </w:rPr>
        <w:t>IRU</w:t>
      </w:r>
      <w:r>
        <w:t xml:space="preserve"> and, in the context of a </w:t>
      </w:r>
      <w:r w:rsidRPr="00850783">
        <w:rPr>
          <w:i/>
        </w:rPr>
        <w:t>Competitive Provider</w:t>
      </w:r>
      <w:r>
        <w:t xml:space="preserve">, facilities obtained as a </w:t>
      </w:r>
      <w:r w:rsidRPr="00850783">
        <w:rPr>
          <w:i/>
        </w:rPr>
        <w:t>UNE</w:t>
      </w:r>
      <w:r>
        <w:t xml:space="preserve"> to provide a </w:t>
      </w:r>
      <w:r w:rsidRPr="00850783">
        <w:rPr>
          <w:i/>
        </w:rPr>
        <w:t>Dedicated Service</w:t>
      </w:r>
      <w:r>
        <w:t xml:space="preserve">.  </w:t>
      </w:r>
      <w:r w:rsidRPr="0056790A">
        <w:rPr>
          <w:i/>
        </w:rPr>
        <w:t>See</w:t>
      </w:r>
      <w:r>
        <w:t xml:space="preserve"> Appendix B, Questions II.A.12, II.B.4.</w:t>
      </w:r>
    </w:p>
  </w:footnote>
  <w:footnote w:id="115">
    <w:p w:rsidR="0083344C" w:rsidRDefault="0083344C">
      <w:pPr>
        <w:pStyle w:val="FootnoteText"/>
      </w:pPr>
      <w:r>
        <w:rPr>
          <w:rStyle w:val="FootnoteReference"/>
        </w:rPr>
        <w:footnoteRef/>
      </w:r>
      <w:r>
        <w:t xml:space="preserve"> In the data collection questions on billing, the term “circuit element” is used, which is intended to capture </w:t>
      </w:r>
      <w:r w:rsidRPr="009462EA">
        <w:t>billing information at whatever level of granularity bill</w:t>
      </w:r>
      <w:r>
        <w:t>ed</w:t>
      </w:r>
      <w:r w:rsidRPr="009462EA">
        <w:t xml:space="preserve"> </w:t>
      </w:r>
      <w:r>
        <w:t>to customers</w:t>
      </w:r>
      <w:r w:rsidRPr="009462EA">
        <w:t xml:space="preserve">, </w:t>
      </w:r>
      <w:r w:rsidRPr="009462EA">
        <w:rPr>
          <w:i/>
        </w:rPr>
        <w:t>e.g.</w:t>
      </w:r>
      <w:r>
        <w:t xml:space="preserve">, </w:t>
      </w:r>
      <w:r w:rsidRPr="009462EA">
        <w:t>rate elements, circuit elements</w:t>
      </w:r>
      <w:r>
        <w:t>,</w:t>
      </w:r>
      <w:r w:rsidRPr="009462EA">
        <w:t xml:space="preserve"> billed elements</w:t>
      </w:r>
      <w:r>
        <w:t xml:space="preserve">, </w:t>
      </w:r>
      <w:r w:rsidRPr="009462EA">
        <w:t>circuit components</w:t>
      </w:r>
      <w:r>
        <w:t>, etc.</w:t>
      </w:r>
    </w:p>
  </w:footnote>
  <w:footnote w:id="116">
    <w:p w:rsidR="0083344C" w:rsidRDefault="0083344C" w:rsidP="00C91AC2">
      <w:pPr>
        <w:pStyle w:val="FootnoteText"/>
      </w:pPr>
      <w:r>
        <w:rPr>
          <w:rStyle w:val="FootnoteReference"/>
        </w:rPr>
        <w:footnoteRef/>
      </w:r>
      <w:r>
        <w:t xml:space="preserve"> </w:t>
      </w:r>
      <w:r w:rsidRPr="0056790A">
        <w:rPr>
          <w:i/>
        </w:rPr>
        <w:t>See</w:t>
      </w:r>
      <w:r>
        <w:t xml:space="preserve"> Appendix B, Questions II.A.12-14, II.B.4-6.  The monthly billing information question, </w:t>
      </w:r>
      <w:r w:rsidRPr="007957BA">
        <w:rPr>
          <w:i/>
        </w:rPr>
        <w:t>inter alia</w:t>
      </w:r>
      <w:r>
        <w:t>, requires the filer to reference adjustment codes, where applicable, and billing codes.</w:t>
      </w:r>
    </w:p>
  </w:footnote>
  <w:footnote w:id="117">
    <w:p w:rsidR="0083344C" w:rsidRDefault="0083344C" w:rsidP="00C91AC2">
      <w:pPr>
        <w:pStyle w:val="FootnoteText"/>
      </w:pPr>
      <w:r>
        <w:rPr>
          <w:rStyle w:val="FootnoteReference"/>
        </w:rPr>
        <w:footnoteRef/>
      </w:r>
      <w:r>
        <w:t xml:space="preserve"> </w:t>
      </w:r>
      <w:r w:rsidRPr="00F363BA">
        <w:rPr>
          <w:i/>
        </w:rPr>
        <w:t>See</w:t>
      </w:r>
      <w:r>
        <w:t xml:space="preserve"> NCTA PRA Comments, Exh. A, Hattori Decl. at 8 (“The data request would appear to require Cox to attempt to match Cox’s unique billing codes with a long list of rate elements that incumbent local exchange carriers use but Cox does not.”); Letter from Thomas Jones, Counsel to tw telecom inc. (TW Telecom), to Marlene H. Dortch, Secretary, FCC, WC Docket No. 05-25, at 1 (filed Jan. 10, 2013) (“[T]he Commission should account for the fact that competitive providers do not bill separately for the same special access rate elements as incumbent LEC providers.”) (TW Telecom Letter).</w:t>
      </w:r>
    </w:p>
  </w:footnote>
  <w:footnote w:id="118">
    <w:p w:rsidR="0083344C" w:rsidRDefault="0083344C">
      <w:pPr>
        <w:pStyle w:val="FootnoteText"/>
      </w:pPr>
      <w:r>
        <w:rPr>
          <w:rStyle w:val="FootnoteReference"/>
        </w:rPr>
        <w:footnoteRef/>
      </w:r>
      <w:r>
        <w:t xml:space="preserve"> </w:t>
      </w:r>
      <w:r w:rsidRPr="00315FB5">
        <w:rPr>
          <w:i/>
        </w:rPr>
        <w:t>See</w:t>
      </w:r>
      <w:r>
        <w:t xml:space="preserve"> Appendix A, Instructions at 3</w:t>
      </w:r>
      <w:r w:rsidR="00262C24">
        <w:t>4</w:t>
      </w:r>
      <w:r>
        <w:t>, 5</w:t>
      </w:r>
      <w:r w:rsidR="00262C24">
        <w:t>2</w:t>
      </w:r>
      <w:r>
        <w:t>-5</w:t>
      </w:r>
      <w:r w:rsidR="00262C24">
        <w:t>3</w:t>
      </w:r>
      <w:r>
        <w:t>; Appendix B, Questions II.A.14.c, II.B.6.c.</w:t>
      </w:r>
    </w:p>
  </w:footnote>
  <w:footnote w:id="119">
    <w:p w:rsidR="0083344C" w:rsidRDefault="0083344C" w:rsidP="00C91AC2">
      <w:pPr>
        <w:pStyle w:val="FootnoteText"/>
      </w:pPr>
      <w:r>
        <w:rPr>
          <w:rStyle w:val="FootnoteReference"/>
        </w:rPr>
        <w:footnoteRef/>
      </w:r>
      <w:r>
        <w:t xml:space="preserve"> </w:t>
      </w:r>
      <w:r w:rsidRPr="00B13C66">
        <w:rPr>
          <w:i/>
        </w:rPr>
        <w:t>See</w:t>
      </w:r>
      <w:r>
        <w:t xml:space="preserve"> Cincinnati Bell PRA Comments at 7.</w:t>
      </w:r>
    </w:p>
  </w:footnote>
  <w:footnote w:id="120">
    <w:p w:rsidR="0083344C" w:rsidRDefault="0083344C" w:rsidP="00C91AC2">
      <w:pPr>
        <w:pStyle w:val="FootnoteText"/>
      </w:pPr>
      <w:r>
        <w:rPr>
          <w:rStyle w:val="FootnoteReference"/>
        </w:rPr>
        <w:footnoteRef/>
      </w:r>
      <w:r>
        <w:t xml:space="preserve"> </w:t>
      </w:r>
      <w:r w:rsidRPr="00B13C66">
        <w:rPr>
          <w:i/>
        </w:rPr>
        <w:t>See</w:t>
      </w:r>
      <w:r>
        <w:t xml:space="preserve"> Appendix A, Instructions at 3</w:t>
      </w:r>
      <w:r w:rsidR="00262C24">
        <w:t>4</w:t>
      </w:r>
      <w:r>
        <w:t>, 5</w:t>
      </w:r>
      <w:r w:rsidR="00262C24">
        <w:t>2</w:t>
      </w:r>
      <w:r>
        <w:t>-5</w:t>
      </w:r>
      <w:r w:rsidR="00262C24">
        <w:t>3</w:t>
      </w:r>
      <w:r>
        <w:t>.</w:t>
      </w:r>
    </w:p>
  </w:footnote>
  <w:footnote w:id="121">
    <w:p w:rsidR="0083344C" w:rsidRDefault="0083344C">
      <w:pPr>
        <w:pStyle w:val="FootnoteText"/>
      </w:pPr>
      <w:r>
        <w:rPr>
          <w:rStyle w:val="FootnoteReference"/>
        </w:rPr>
        <w:footnoteRef/>
      </w:r>
      <w:r>
        <w:t xml:space="preserve"> </w:t>
      </w:r>
      <w:r w:rsidRPr="00BC07C3">
        <w:rPr>
          <w:i/>
        </w:rPr>
        <w:t>See</w:t>
      </w:r>
      <w:r>
        <w:t xml:space="preserve"> Appendix B, Question II.A.9.  In addition, as discussed in Section III.C of this Report and Order, we have revised the question to include the reporting of headquarters for acquired entities at the time of acquisition.  </w:t>
      </w:r>
    </w:p>
  </w:footnote>
  <w:footnote w:id="122">
    <w:p w:rsidR="0083344C" w:rsidRDefault="0083344C">
      <w:pPr>
        <w:pStyle w:val="FootnoteText"/>
      </w:pPr>
      <w:r>
        <w:rPr>
          <w:rStyle w:val="FootnoteReference"/>
        </w:rPr>
        <w:footnoteRef/>
      </w:r>
      <w:r>
        <w:t xml:space="preserve"> </w:t>
      </w:r>
      <w:r w:rsidRPr="00375333">
        <w:rPr>
          <w:i/>
        </w:rPr>
        <w:t>See</w:t>
      </w:r>
      <w:r>
        <w:t xml:space="preserve"> NCTA Mar. 22 Letter, Attach. at 3.</w:t>
      </w:r>
    </w:p>
  </w:footnote>
  <w:footnote w:id="123">
    <w:p w:rsidR="0083344C" w:rsidRDefault="0083344C">
      <w:pPr>
        <w:pStyle w:val="FootnoteText"/>
      </w:pPr>
      <w:r>
        <w:rPr>
          <w:rStyle w:val="FootnoteReference"/>
        </w:rPr>
        <w:footnoteRef/>
      </w:r>
      <w:r>
        <w:t xml:space="preserve"> </w:t>
      </w:r>
      <w:r w:rsidRPr="007563EC">
        <w:rPr>
          <w:i/>
        </w:rPr>
        <w:t>See Special Access Data Collection Order</w:t>
      </w:r>
      <w:r>
        <w:t>, 27 FCC Rcd at 16332, para. 33.</w:t>
      </w:r>
    </w:p>
  </w:footnote>
  <w:footnote w:id="124">
    <w:p w:rsidR="0083344C" w:rsidRPr="00E05765" w:rsidRDefault="0083344C" w:rsidP="00FA2DBC">
      <w:pPr>
        <w:pStyle w:val="FootnoteText"/>
      </w:pPr>
      <w:r>
        <w:rPr>
          <w:rStyle w:val="FootnoteReference"/>
        </w:rPr>
        <w:footnoteRef/>
      </w:r>
      <w:r>
        <w:t xml:space="preserve"> As discussed in Section III.C of this Report and Order, we have revised t</w:t>
      </w:r>
      <w:r w:rsidRPr="00E05765">
        <w:t xml:space="preserve">he question </w:t>
      </w:r>
      <w:r>
        <w:t xml:space="preserve">to </w:t>
      </w:r>
      <w:r w:rsidRPr="00E05765">
        <w:t xml:space="preserve">ask for headquarters location information in those instances when the entity is </w:t>
      </w:r>
      <w:r>
        <w:t xml:space="preserve">acquired and </w:t>
      </w:r>
      <w:r w:rsidRPr="00E05765">
        <w:t xml:space="preserve">merged out of existence – </w:t>
      </w:r>
      <w:r w:rsidRPr="00E05765">
        <w:rPr>
          <w:i/>
        </w:rPr>
        <w:t>i.e.</w:t>
      </w:r>
      <w:r>
        <w:t xml:space="preserve">, when the </w:t>
      </w:r>
      <w:r w:rsidRPr="00850783">
        <w:rPr>
          <w:i/>
        </w:rPr>
        <w:t>Competitive Provider</w:t>
      </w:r>
      <w:r w:rsidRPr="00E05765">
        <w:t xml:space="preserve"> (or its subsidiary) responding to the data request was the surviving entity.</w:t>
      </w:r>
    </w:p>
  </w:footnote>
  <w:footnote w:id="125">
    <w:p w:rsidR="0083344C" w:rsidRPr="00E05765" w:rsidRDefault="0083344C" w:rsidP="00FA2DBC">
      <w:pPr>
        <w:pStyle w:val="FootnoteText"/>
      </w:pPr>
      <w:r w:rsidRPr="00E05765">
        <w:rPr>
          <w:rStyle w:val="FootnoteReference"/>
          <w:sz w:val="18"/>
          <w:szCs w:val="18"/>
        </w:rPr>
        <w:footnoteRef/>
      </w:r>
      <w:r w:rsidRPr="00E05765">
        <w:t xml:space="preserve"> </w:t>
      </w:r>
      <w:r w:rsidRPr="00850783">
        <w:rPr>
          <w:i/>
        </w:rPr>
        <w:t>See</w:t>
      </w:r>
      <w:r w:rsidRPr="00E05765">
        <w:t xml:space="preserve"> Appendix B, Question II.A.9 and the Instructions for further information.</w:t>
      </w:r>
    </w:p>
  </w:footnote>
  <w:footnote w:id="126">
    <w:p w:rsidR="0083344C" w:rsidRDefault="0083344C" w:rsidP="000A78FA">
      <w:pPr>
        <w:pStyle w:val="FootnoteText"/>
      </w:pPr>
      <w:r w:rsidRPr="00E05765">
        <w:rPr>
          <w:rStyle w:val="FootnoteReference"/>
          <w:sz w:val="18"/>
          <w:szCs w:val="18"/>
        </w:rPr>
        <w:footnoteRef/>
      </w:r>
      <w:r w:rsidRPr="00E05765">
        <w:t xml:space="preserve"> </w:t>
      </w:r>
      <w:r w:rsidRPr="00E62258">
        <w:rPr>
          <w:i/>
        </w:rPr>
        <w:t>See supra</w:t>
      </w:r>
      <w:r>
        <w:t xml:space="preserve"> note 111</w:t>
      </w:r>
      <w:r w:rsidRPr="00E05765">
        <w:t>.</w:t>
      </w:r>
    </w:p>
  </w:footnote>
  <w:footnote w:id="127">
    <w:p w:rsidR="0083344C" w:rsidRDefault="0083344C">
      <w:pPr>
        <w:pStyle w:val="FootnoteText"/>
      </w:pPr>
      <w:r>
        <w:rPr>
          <w:rStyle w:val="FootnoteReference"/>
        </w:rPr>
        <w:footnoteRef/>
      </w:r>
      <w:r>
        <w:t xml:space="preserve"> </w:t>
      </w:r>
      <w:r w:rsidRPr="006F749B">
        <w:rPr>
          <w:i/>
        </w:rPr>
        <w:t>See</w:t>
      </w:r>
      <w:r>
        <w:t xml:space="preserve"> Our Story, Cox, </w:t>
      </w:r>
      <w:r w:rsidRPr="006F21FC">
        <w:t>http://ww2.cox.com/aboutus/our-story.cox?campcode=gnf_r_aboutus_ourstory</w:t>
      </w:r>
      <w:r>
        <w:t xml:space="preserve"> (last visited Sept. 9, 2013), Atlanta Headquarters, Cox, </w:t>
      </w:r>
      <w:r w:rsidRPr="006F21FC">
        <w:t>http://ww2.cox.com/aboutus/our-story/headquarters.cox</w:t>
      </w:r>
      <w:r>
        <w:t xml:space="preserve"> (last visited Sept. 9, 2013).</w:t>
      </w:r>
    </w:p>
  </w:footnote>
  <w:footnote w:id="128">
    <w:p w:rsidR="0083344C" w:rsidRDefault="0083344C">
      <w:pPr>
        <w:pStyle w:val="FootnoteText"/>
      </w:pPr>
      <w:r>
        <w:rPr>
          <w:rStyle w:val="FootnoteReference"/>
        </w:rPr>
        <w:footnoteRef/>
      </w:r>
      <w:r>
        <w:t xml:space="preserve"> </w:t>
      </w:r>
      <w:r w:rsidRPr="002359A4">
        <w:rPr>
          <w:i/>
        </w:rPr>
        <w:t>See</w:t>
      </w:r>
      <w:r>
        <w:t xml:space="preserve"> Appendix A, Instructions at </w:t>
      </w:r>
      <w:r w:rsidR="00262C24">
        <w:t>18-19</w:t>
      </w:r>
      <w:r>
        <w:t>.</w:t>
      </w:r>
    </w:p>
  </w:footnote>
  <w:footnote w:id="129">
    <w:p w:rsidR="0083344C" w:rsidRPr="00F03D96" w:rsidRDefault="0083344C">
      <w:pPr>
        <w:pStyle w:val="FootnoteText"/>
      </w:pPr>
      <w:r>
        <w:rPr>
          <w:rStyle w:val="FootnoteReference"/>
        </w:rPr>
        <w:footnoteRef/>
      </w:r>
      <w:r>
        <w:t xml:space="preserve"> </w:t>
      </w:r>
      <w:r>
        <w:rPr>
          <w:i/>
        </w:rPr>
        <w:t xml:space="preserve">See supra, </w:t>
      </w:r>
      <w:r>
        <w:t xml:space="preserve">para. 23 (discussing incentives for deployment for non-cable </w:t>
      </w:r>
      <w:r>
        <w:rPr>
          <w:i/>
        </w:rPr>
        <w:t>Competitive Providers</w:t>
      </w:r>
      <w:r>
        <w:t>).</w:t>
      </w:r>
    </w:p>
  </w:footnote>
  <w:footnote w:id="130">
    <w:p w:rsidR="0083344C" w:rsidRDefault="0083344C">
      <w:pPr>
        <w:pStyle w:val="FootnoteText"/>
      </w:pPr>
      <w:r>
        <w:rPr>
          <w:rStyle w:val="FootnoteReference"/>
        </w:rPr>
        <w:footnoteRef/>
      </w:r>
      <w:r>
        <w:t xml:space="preserve"> As discussed in Section III.C of this Report and Order, these identical questions also now appear in Section II.E of the data collection for </w:t>
      </w:r>
      <w:r w:rsidRPr="00850783">
        <w:rPr>
          <w:i/>
        </w:rPr>
        <w:t>Purchasers</w:t>
      </w:r>
      <w:r>
        <w:t xml:space="preserve"> who are mobile wireless services providers.  </w:t>
      </w:r>
      <w:r w:rsidRPr="00850783">
        <w:rPr>
          <w:i/>
        </w:rPr>
        <w:t>See</w:t>
      </w:r>
      <w:r>
        <w:t xml:space="preserve"> Appendix B, Questions II.E.9-11, 13. </w:t>
      </w:r>
    </w:p>
  </w:footnote>
  <w:footnote w:id="131">
    <w:p w:rsidR="0083344C" w:rsidRDefault="0083344C">
      <w:pPr>
        <w:pStyle w:val="FootnoteText"/>
      </w:pPr>
      <w:r>
        <w:rPr>
          <w:rStyle w:val="FootnoteReference"/>
        </w:rPr>
        <w:footnoteRef/>
      </w:r>
      <w:r>
        <w:t xml:space="preserve"> </w:t>
      </w:r>
      <w:r>
        <w:rPr>
          <w:i/>
        </w:rPr>
        <w:t>S</w:t>
      </w:r>
      <w:r w:rsidRPr="00177729">
        <w:rPr>
          <w:i/>
        </w:rPr>
        <w:t xml:space="preserve">ee </w:t>
      </w:r>
      <w:r>
        <w:t>Smith Bagley PRA Comments at 11-12; NCTA Mar. 22 Letter at 5.</w:t>
      </w:r>
    </w:p>
  </w:footnote>
  <w:footnote w:id="132">
    <w:p w:rsidR="0083344C" w:rsidRDefault="0083344C">
      <w:pPr>
        <w:pStyle w:val="FootnoteText"/>
      </w:pPr>
      <w:r>
        <w:rPr>
          <w:rStyle w:val="FootnoteReference"/>
        </w:rPr>
        <w:footnoteRef/>
      </w:r>
      <w:r>
        <w:t xml:space="preserve"> The same clarification is in the instructions for the identical questions directed at </w:t>
      </w:r>
      <w:r w:rsidRPr="00850783">
        <w:rPr>
          <w:i/>
        </w:rPr>
        <w:t>Purchasers</w:t>
      </w:r>
      <w:r>
        <w:t xml:space="preserve"> who are mobile wireless service providers, </w:t>
      </w:r>
      <w:r w:rsidRPr="00850783">
        <w:rPr>
          <w:i/>
        </w:rPr>
        <w:t>i.e.</w:t>
      </w:r>
      <w:r>
        <w:t xml:space="preserve">, Questions II.E.9-11, 13.  </w:t>
      </w:r>
      <w:r w:rsidRPr="00850783">
        <w:rPr>
          <w:i/>
        </w:rPr>
        <w:t>See</w:t>
      </w:r>
      <w:r>
        <w:t xml:space="preserve"> Appendix A, Instructions at 6</w:t>
      </w:r>
      <w:r w:rsidR="00262C24">
        <w:t>6</w:t>
      </w:r>
      <w:r>
        <w:t>-6</w:t>
      </w:r>
      <w:r w:rsidR="00262C24">
        <w:t>7</w:t>
      </w:r>
      <w:r>
        <w:t>.</w:t>
      </w:r>
    </w:p>
  </w:footnote>
  <w:footnote w:id="133">
    <w:p w:rsidR="0083344C" w:rsidRDefault="0083344C">
      <w:pPr>
        <w:pStyle w:val="FootnoteText"/>
      </w:pPr>
      <w:r>
        <w:rPr>
          <w:rStyle w:val="FootnoteReference"/>
        </w:rPr>
        <w:footnoteRef/>
      </w:r>
      <w:r>
        <w:t xml:space="preserve"> The revised data collection is attached in Appendix B.  Many of the clarifications sought by parties that are not reflected in the revised data collection are addressed separately in the instructions included in Appendix A as discussed in Section III.B herein.</w:t>
      </w:r>
    </w:p>
  </w:footnote>
  <w:footnote w:id="134">
    <w:p w:rsidR="0083344C" w:rsidRDefault="0083344C">
      <w:pPr>
        <w:pStyle w:val="FootnoteText"/>
      </w:pPr>
      <w:r>
        <w:rPr>
          <w:rStyle w:val="FootnoteReference"/>
        </w:rPr>
        <w:footnoteRef/>
      </w:r>
      <w:r>
        <w:t xml:space="preserve"> </w:t>
      </w:r>
      <w:r w:rsidRPr="00F80040">
        <w:rPr>
          <w:i/>
        </w:rPr>
        <w:t>See</w:t>
      </w:r>
      <w:r>
        <w:t xml:space="preserve"> 27 FCC Rcd at 16340, para. 52 (delegating authority to the Bureau to “modify the data collection based on public feedback;…amend the data collection based on feedback;…make corrections to the data collection;… and…take other such actions as are necessary to implement this Report and Order…consistent with the terms of this Report and Order”).</w:t>
      </w:r>
    </w:p>
  </w:footnote>
  <w:footnote w:id="135">
    <w:p w:rsidR="0083344C" w:rsidRPr="007431F2" w:rsidRDefault="0083344C" w:rsidP="007431F2">
      <w:pPr>
        <w:pStyle w:val="FootnoteText"/>
      </w:pPr>
      <w:r>
        <w:rPr>
          <w:rStyle w:val="FootnoteReference"/>
        </w:rPr>
        <w:footnoteRef/>
      </w:r>
      <w:r>
        <w:t xml:space="preserve"> </w:t>
      </w:r>
      <w:r w:rsidRPr="00850783">
        <w:rPr>
          <w:i/>
        </w:rPr>
        <w:t>See</w:t>
      </w:r>
      <w:r>
        <w:t xml:space="preserve"> Instructions to the </w:t>
      </w:r>
      <w:r w:rsidRPr="00850783">
        <w:rPr>
          <w:bCs/>
        </w:rPr>
        <w:t xml:space="preserve">2013 Telecommunications Reporting Worksheet </w:t>
      </w:r>
      <w:r>
        <w:rPr>
          <w:bCs/>
        </w:rPr>
        <w:t xml:space="preserve">(Form 499-A) at 10 (citing 47 U.S.C. § 153(2)), </w:t>
      </w:r>
      <w:r w:rsidRPr="00850783">
        <w:rPr>
          <w:bCs/>
          <w:i/>
        </w:rPr>
        <w:t>available at</w:t>
      </w:r>
      <w:r>
        <w:rPr>
          <w:bCs/>
        </w:rPr>
        <w:t xml:space="preserve"> </w:t>
      </w:r>
      <w:r w:rsidRPr="00CA38C2">
        <w:rPr>
          <w:bCs/>
        </w:rPr>
        <w:t>http://hraunfoss.fcc.gov/edocs_public/attachmatch/DOC-319222A1.pdf</w:t>
      </w:r>
      <w:r>
        <w:rPr>
          <w:bCs/>
        </w:rPr>
        <w:t>.</w:t>
      </w:r>
    </w:p>
  </w:footnote>
  <w:footnote w:id="136">
    <w:p w:rsidR="0083344C" w:rsidRDefault="0083344C">
      <w:pPr>
        <w:pStyle w:val="FootnoteText"/>
      </w:pPr>
      <w:r>
        <w:rPr>
          <w:rStyle w:val="FootnoteReference"/>
        </w:rPr>
        <w:footnoteRef/>
      </w:r>
      <w:r>
        <w:t xml:space="preserve"> </w:t>
      </w:r>
      <w:r w:rsidRPr="00A34C52">
        <w:rPr>
          <w:i/>
        </w:rPr>
        <w:t>See</w:t>
      </w:r>
      <w:r>
        <w:t xml:space="preserve"> Verizon Letter at 1; </w:t>
      </w:r>
      <w:r w:rsidRPr="00547ED4">
        <w:rPr>
          <w:i/>
        </w:rPr>
        <w:t>see also</w:t>
      </w:r>
      <w:r>
        <w:t xml:space="preserve"> FCC, Office of Engineering Technology and </w:t>
      </w:r>
      <w:r w:rsidRPr="00547ED4">
        <w:rPr>
          <w:bCs/>
        </w:rPr>
        <w:t>Consumer and Governmental Affairs Bureau,</w:t>
      </w:r>
      <w:r>
        <w:rPr>
          <w:bCs/>
        </w:rPr>
        <w:t xml:space="preserve"> </w:t>
      </w:r>
      <w:r w:rsidRPr="00547ED4">
        <w:rPr>
          <w:bCs/>
        </w:rPr>
        <w:t>A Report on Consumer Wireline Broadband Performance in the U.S.</w:t>
      </w:r>
      <w:r>
        <w:rPr>
          <w:bCs/>
        </w:rPr>
        <w:t xml:space="preserve"> – February 2013 (“O</w:t>
      </w:r>
      <w:r w:rsidRPr="00547ED4">
        <w:rPr>
          <w:bCs/>
        </w:rPr>
        <w:t>n average, during peak periods DSL-based services delivered download speeds that were 85 percent of advertised speeds, cable-based services delivered 99 percent of advertised speeds, fiber-to-the-home services delivered 115 percent of advertised speeds, and satellite delivered 137% of advertised speeds</w:t>
      </w:r>
      <w:r>
        <w:rPr>
          <w:bCs/>
        </w:rPr>
        <w:t>.”),</w:t>
      </w:r>
      <w:r>
        <w:rPr>
          <w:b/>
          <w:bCs/>
        </w:rPr>
        <w:t xml:space="preserve"> </w:t>
      </w:r>
      <w:r w:rsidRPr="00547ED4">
        <w:rPr>
          <w:bCs/>
          <w:i/>
        </w:rPr>
        <w:t>available at</w:t>
      </w:r>
      <w:r>
        <w:rPr>
          <w:bCs/>
        </w:rPr>
        <w:t xml:space="preserve"> </w:t>
      </w:r>
      <w:r w:rsidRPr="00CA38C2">
        <w:t>http://www.fcc.gov/measuring-broadband-america/2013/February</w:t>
      </w:r>
      <w:r>
        <w:t xml:space="preserve"> (last visited Sept. 9, 2013).</w:t>
      </w:r>
    </w:p>
  </w:footnote>
  <w:footnote w:id="137">
    <w:p w:rsidR="0083344C" w:rsidRDefault="0083344C">
      <w:pPr>
        <w:pStyle w:val="FootnoteText"/>
      </w:pPr>
      <w:r>
        <w:rPr>
          <w:rStyle w:val="FootnoteReference"/>
        </w:rPr>
        <w:footnoteRef/>
      </w:r>
      <w:r>
        <w:t xml:space="preserve"> </w:t>
      </w:r>
      <w:r w:rsidRPr="00D42F32">
        <w:rPr>
          <w:i/>
        </w:rPr>
        <w:t>See</w:t>
      </w:r>
      <w:r>
        <w:t xml:space="preserve"> AT&amp;T Letter at 1 (noting a potential issue with the placement of SONET and OCN in the definition of </w:t>
      </w:r>
      <w:r w:rsidRPr="00697BB0">
        <w:rPr>
          <w:i/>
        </w:rPr>
        <w:t>CBDS</w:t>
      </w:r>
      <w:r>
        <w:t>).</w:t>
      </w:r>
    </w:p>
  </w:footnote>
  <w:footnote w:id="138">
    <w:p w:rsidR="0083344C" w:rsidRPr="002A3F6E" w:rsidRDefault="0083344C">
      <w:pPr>
        <w:pStyle w:val="FootnoteText"/>
      </w:pPr>
      <w:r>
        <w:rPr>
          <w:rStyle w:val="FootnoteReference"/>
        </w:rPr>
        <w:footnoteRef/>
      </w:r>
      <w:r>
        <w:t xml:space="preserve"> </w:t>
      </w:r>
      <w:r w:rsidRPr="002A3F6E">
        <w:rPr>
          <w:i/>
        </w:rPr>
        <w:t>See</w:t>
      </w:r>
      <w:r>
        <w:t xml:space="preserve"> Verizon Letter at 1 (noting the Connection definition includes the undefined term “End User’s Location” and requesting that the Bureau define the term to avoid confusion).</w:t>
      </w:r>
    </w:p>
  </w:footnote>
  <w:footnote w:id="139">
    <w:p w:rsidR="0083344C" w:rsidRDefault="0083344C">
      <w:pPr>
        <w:pStyle w:val="FootnoteText"/>
      </w:pPr>
      <w:r>
        <w:rPr>
          <w:rStyle w:val="FootnoteReference"/>
        </w:rPr>
        <w:footnoteRef/>
      </w:r>
      <w:r>
        <w:t xml:space="preserve"> </w:t>
      </w:r>
      <w:r w:rsidRPr="001274A8">
        <w:rPr>
          <w:i/>
        </w:rPr>
        <w:t>See supra</w:t>
      </w:r>
      <w:r>
        <w:t xml:space="preserve"> Section III.B.1; Appendix B § Definitions.</w:t>
      </w:r>
    </w:p>
  </w:footnote>
  <w:footnote w:id="140">
    <w:p w:rsidR="0083344C" w:rsidRDefault="0083344C" w:rsidP="00814083">
      <w:pPr>
        <w:pStyle w:val="FootnoteText"/>
      </w:pPr>
      <w:r>
        <w:rPr>
          <w:rStyle w:val="FootnoteReference"/>
        </w:rPr>
        <w:footnoteRef/>
      </w:r>
      <w:r>
        <w:t xml:space="preserve"> </w:t>
      </w:r>
      <w:r w:rsidRPr="00814083">
        <w:rPr>
          <w:i/>
        </w:rPr>
        <w:t>See</w:t>
      </w:r>
      <w:r>
        <w:t xml:space="preserve"> Sprint Letter at 1.</w:t>
      </w:r>
    </w:p>
  </w:footnote>
  <w:footnote w:id="141">
    <w:p w:rsidR="0083344C" w:rsidRDefault="0083344C" w:rsidP="00814083">
      <w:pPr>
        <w:pStyle w:val="FootnoteText"/>
      </w:pPr>
      <w:r>
        <w:rPr>
          <w:rStyle w:val="FootnoteReference"/>
        </w:rPr>
        <w:footnoteRef/>
      </w:r>
      <w:r>
        <w:t xml:space="preserve"> </w:t>
      </w:r>
      <w:r w:rsidRPr="00814083">
        <w:rPr>
          <w:i/>
        </w:rPr>
        <w:t>See</w:t>
      </w:r>
      <w:r>
        <w:t xml:space="preserve"> AT&amp;T Letter at 1.</w:t>
      </w:r>
    </w:p>
  </w:footnote>
  <w:footnote w:id="142">
    <w:p w:rsidR="0083344C" w:rsidRPr="003F508E" w:rsidRDefault="0083344C" w:rsidP="003F508E">
      <w:pPr>
        <w:pStyle w:val="FootnoteText"/>
        <w:rPr>
          <w:szCs w:val="22"/>
        </w:rPr>
      </w:pPr>
      <w:r>
        <w:rPr>
          <w:rStyle w:val="FootnoteReference"/>
        </w:rPr>
        <w:footnoteRef/>
      </w:r>
      <w:r>
        <w:t xml:space="preserve"> This approach is consistent with the Commission’s prior treatment of IRUs.  </w:t>
      </w:r>
      <w:r w:rsidRPr="00A3089B">
        <w:rPr>
          <w:i/>
        </w:rPr>
        <w:t>See</w:t>
      </w:r>
      <w:r>
        <w:rPr>
          <w:i/>
        </w:rPr>
        <w:t>, e.g.</w:t>
      </w:r>
      <w:r w:rsidRPr="00547ED4">
        <w:t>,</w:t>
      </w:r>
      <w:r>
        <w:rPr>
          <w:i/>
        </w:rPr>
        <w:t xml:space="preserve"> </w:t>
      </w:r>
      <w:r w:rsidRPr="003F508E">
        <w:rPr>
          <w:i/>
        </w:rPr>
        <w:t>SBC Communications Inc. and AT&amp;T Corp. Applications for Approval of Transfer of Control</w:t>
      </w:r>
      <w:r>
        <w:t xml:space="preserve">, 20 FCC </w:t>
      </w:r>
      <w:r w:rsidRPr="003F508E">
        <w:t>R</w:t>
      </w:r>
      <w:r>
        <w:t>cd</w:t>
      </w:r>
      <w:r w:rsidRPr="003F508E">
        <w:t xml:space="preserve"> 18290</w:t>
      </w:r>
      <w:r>
        <w:t xml:space="preserve">, 18305, para. 24 (2005) (noting that the consent decree with the Dept. of Justice, calling for certain divestitures </w:t>
      </w:r>
      <w:r>
        <w:rPr>
          <w:szCs w:val="22"/>
        </w:rPr>
        <w:t xml:space="preserve">in the form of IRUs with a minimum term of 10 years for loops and transport, should remedy any likely anticompetitive effects on </w:t>
      </w:r>
      <w:r w:rsidRPr="003F508E">
        <w:rPr>
          <w:szCs w:val="22"/>
        </w:rPr>
        <w:t>the provisioning and</w:t>
      </w:r>
      <w:r>
        <w:rPr>
          <w:szCs w:val="22"/>
        </w:rPr>
        <w:t xml:space="preserve"> </w:t>
      </w:r>
      <w:r w:rsidRPr="003F508E">
        <w:rPr>
          <w:szCs w:val="22"/>
        </w:rPr>
        <w:t>pricing of wholesale special access services</w:t>
      </w:r>
      <w:r>
        <w:rPr>
          <w:szCs w:val="22"/>
        </w:rPr>
        <w:t>)</w:t>
      </w:r>
      <w:r>
        <w:t>.</w:t>
      </w:r>
    </w:p>
  </w:footnote>
  <w:footnote w:id="143">
    <w:p w:rsidR="0083344C" w:rsidRDefault="0083344C">
      <w:pPr>
        <w:pStyle w:val="FootnoteText"/>
      </w:pPr>
      <w:r>
        <w:rPr>
          <w:rStyle w:val="FootnoteReference"/>
        </w:rPr>
        <w:footnoteRef/>
      </w:r>
      <w:r>
        <w:t xml:space="preserve"> </w:t>
      </w:r>
      <w:r w:rsidRPr="00814083">
        <w:rPr>
          <w:i/>
        </w:rPr>
        <w:t>See</w:t>
      </w:r>
      <w:r>
        <w:t xml:space="preserve"> AT&amp;T Letter at 1.</w:t>
      </w:r>
    </w:p>
  </w:footnote>
  <w:footnote w:id="144">
    <w:p w:rsidR="0083344C" w:rsidRDefault="0083344C">
      <w:pPr>
        <w:pStyle w:val="FootnoteText"/>
      </w:pPr>
      <w:r>
        <w:rPr>
          <w:rStyle w:val="FootnoteReference"/>
        </w:rPr>
        <w:footnoteRef/>
      </w:r>
      <w:r>
        <w:t xml:space="preserve"> </w:t>
      </w:r>
      <w:r w:rsidRPr="00BB6625">
        <w:rPr>
          <w:i/>
        </w:rPr>
        <w:t>See</w:t>
      </w:r>
      <w:r>
        <w:t xml:space="preserve"> </w:t>
      </w:r>
      <w:r w:rsidRPr="003F508E">
        <w:rPr>
          <w:i/>
        </w:rPr>
        <w:t>id</w:t>
      </w:r>
      <w:r>
        <w:t>.</w:t>
      </w:r>
    </w:p>
  </w:footnote>
  <w:footnote w:id="145">
    <w:p w:rsidR="0083344C" w:rsidRDefault="0083344C">
      <w:pPr>
        <w:pStyle w:val="FootnoteText"/>
      </w:pPr>
      <w:r>
        <w:rPr>
          <w:rStyle w:val="FootnoteReference"/>
        </w:rPr>
        <w:footnoteRef/>
      </w:r>
      <w:r>
        <w:t xml:space="preserve"> </w:t>
      </w:r>
      <w:r w:rsidRPr="00814083">
        <w:rPr>
          <w:i/>
        </w:rPr>
        <w:t>See</w:t>
      </w:r>
      <w:r>
        <w:t xml:space="preserve"> Letter from Eric Branfman, Counsel to Level 3, to Marlene H. Dortch, Secretary, FCC, WC Docket No. 05-25, at 1-2 (filed Jan. 9, 2013) (Level 3 Letter).</w:t>
      </w:r>
    </w:p>
  </w:footnote>
  <w:footnote w:id="146">
    <w:p w:rsidR="0083344C" w:rsidRDefault="0083344C">
      <w:pPr>
        <w:pStyle w:val="FootnoteText"/>
      </w:pPr>
      <w:r>
        <w:rPr>
          <w:rStyle w:val="FootnoteReference"/>
        </w:rPr>
        <w:footnoteRef/>
      </w:r>
      <w:r>
        <w:t xml:space="preserve"> </w:t>
      </w:r>
      <w:r w:rsidRPr="003D7099">
        <w:rPr>
          <w:i/>
        </w:rPr>
        <w:t>See</w:t>
      </w:r>
      <w:r>
        <w:t xml:space="preserve"> Cincinnati Bell PRA Comments at 7 (noting confusion over billed amounts that are subsequently discounted).</w:t>
      </w:r>
    </w:p>
  </w:footnote>
  <w:footnote w:id="147">
    <w:p w:rsidR="0083344C" w:rsidRDefault="0083344C">
      <w:pPr>
        <w:pStyle w:val="FootnoteText"/>
      </w:pPr>
      <w:r>
        <w:rPr>
          <w:rStyle w:val="FootnoteReference"/>
        </w:rPr>
        <w:footnoteRef/>
      </w:r>
      <w:r>
        <w:t xml:space="preserve"> </w:t>
      </w:r>
      <w:r w:rsidRPr="00046158">
        <w:rPr>
          <w:i/>
        </w:rPr>
        <w:t>See</w:t>
      </w:r>
      <w:r>
        <w:t xml:space="preserve"> Sprint Letter at 1.</w:t>
      </w:r>
    </w:p>
  </w:footnote>
  <w:footnote w:id="148">
    <w:p w:rsidR="0083344C" w:rsidRDefault="0083344C">
      <w:pPr>
        <w:pStyle w:val="FootnoteText"/>
      </w:pPr>
      <w:r>
        <w:rPr>
          <w:rStyle w:val="FootnoteReference"/>
        </w:rPr>
        <w:footnoteRef/>
      </w:r>
      <w:r>
        <w:t xml:space="preserve"> </w:t>
      </w:r>
      <w:r w:rsidRPr="00747C7D">
        <w:rPr>
          <w:i/>
        </w:rPr>
        <w:t>See</w:t>
      </w:r>
      <w:r>
        <w:t xml:space="preserve"> </w:t>
      </w:r>
      <w:r w:rsidRPr="009E1F4C">
        <w:rPr>
          <w:i/>
        </w:rPr>
        <w:t>supra</w:t>
      </w:r>
      <w:r>
        <w:t xml:space="preserve"> Section III.B.1.a.  </w:t>
      </w:r>
    </w:p>
  </w:footnote>
  <w:footnote w:id="149">
    <w:p w:rsidR="0083344C" w:rsidRDefault="0083344C">
      <w:pPr>
        <w:pStyle w:val="FootnoteText"/>
      </w:pPr>
      <w:r>
        <w:rPr>
          <w:rStyle w:val="FootnoteReference"/>
        </w:rPr>
        <w:footnoteRef/>
      </w:r>
      <w:r>
        <w:t xml:space="preserve"> The clarification addresses the concerns of Cox and TW Telecom about differentiating between </w:t>
      </w:r>
      <w:r w:rsidRPr="00850783">
        <w:rPr>
          <w:i/>
        </w:rPr>
        <w:t>Locations</w:t>
      </w:r>
      <w:r>
        <w:t xml:space="preserve"> connected by owned facilities and </w:t>
      </w:r>
      <w:r w:rsidRPr="00850783">
        <w:rPr>
          <w:i/>
        </w:rPr>
        <w:t>Locations</w:t>
      </w:r>
      <w:r>
        <w:t xml:space="preserve"> connected by leased </w:t>
      </w:r>
      <w:r w:rsidRPr="000E6210">
        <w:rPr>
          <w:i/>
        </w:rPr>
        <w:t>IRU</w:t>
      </w:r>
      <w:r>
        <w:t xml:space="preserve"> facilities.  </w:t>
      </w:r>
      <w:r w:rsidRPr="00A33502">
        <w:rPr>
          <w:i/>
        </w:rPr>
        <w:t>See</w:t>
      </w:r>
      <w:r>
        <w:t xml:space="preserve"> NCTA PRA Comments, Exh. A, Hattori Decl. at 4, para. 13 (“The most time-consuming aspect of this specific data collection for Cox, however, is identifying and separately counting </w:t>
      </w:r>
      <w:r w:rsidRPr="00A33502">
        <w:rPr>
          <w:i/>
        </w:rPr>
        <w:t>locations</w:t>
      </w:r>
      <w:r>
        <w:t xml:space="preserve"> that Cox serves using circuits leased under IRU agreements.”); TW Telecom Letter at 1 (“[T]he Commission should not require respondents to report separately special access connections utilizing facilities owned by the provider and facilities obtained via indefeasible rights of use.”).  A clarification in the instructions for Question II.A.4 addresses this concern as well by allowing filers to alternatively report </w:t>
      </w:r>
      <w:r>
        <w:rPr>
          <w:szCs w:val="22"/>
        </w:rPr>
        <w:t xml:space="preserve">the general percentage of </w:t>
      </w:r>
      <w:r w:rsidRPr="00850783">
        <w:rPr>
          <w:i/>
          <w:szCs w:val="22"/>
        </w:rPr>
        <w:t>IRU</w:t>
      </w:r>
      <w:r>
        <w:rPr>
          <w:szCs w:val="22"/>
        </w:rPr>
        <w:t xml:space="preserve"> leasing arrangements with particular lessor types in total.</w:t>
      </w:r>
    </w:p>
  </w:footnote>
  <w:footnote w:id="150">
    <w:p w:rsidR="0083344C" w:rsidRDefault="0083344C">
      <w:pPr>
        <w:pStyle w:val="FootnoteText"/>
      </w:pPr>
      <w:r>
        <w:rPr>
          <w:rStyle w:val="FootnoteReference"/>
        </w:rPr>
        <w:footnoteRef/>
      </w:r>
      <w:r>
        <w:t xml:space="preserve"> </w:t>
      </w:r>
      <w:r w:rsidRPr="00953719">
        <w:rPr>
          <w:i/>
        </w:rPr>
        <w:t>See also supra</w:t>
      </w:r>
      <w:r>
        <w:t xml:space="preserve"> Section III.B.3 (providing additional clarifications on the information reported in response to this question).    </w:t>
      </w:r>
    </w:p>
  </w:footnote>
  <w:footnote w:id="151">
    <w:p w:rsidR="0083344C" w:rsidRDefault="0083344C">
      <w:pPr>
        <w:pStyle w:val="FootnoteText"/>
      </w:pPr>
      <w:r>
        <w:rPr>
          <w:rStyle w:val="FootnoteReference"/>
        </w:rPr>
        <w:footnoteRef/>
      </w:r>
      <w:r>
        <w:t xml:space="preserve"> </w:t>
      </w:r>
      <w:r w:rsidRPr="00D65376">
        <w:rPr>
          <w:i/>
        </w:rPr>
        <w:t>See</w:t>
      </w:r>
      <w:r>
        <w:t xml:space="preserve"> Level 3 Letter at 3 (noting confusion between information reported in Questions II.A.12 and 14).  As further explained in the instructions, Questions II.A.12-14 are interrelated and link billing information to locations identified elsewhere in the collection, adjustment IDs, and billing codes.  </w:t>
      </w:r>
      <w:r w:rsidRPr="00850783">
        <w:rPr>
          <w:i/>
        </w:rPr>
        <w:t>See also supra</w:t>
      </w:r>
      <w:r>
        <w:t xml:space="preserve"> note 114 (discussing the reference to “circuit element”).    </w:t>
      </w:r>
    </w:p>
  </w:footnote>
  <w:footnote w:id="152">
    <w:p w:rsidR="0083344C" w:rsidRDefault="0083344C">
      <w:pPr>
        <w:pStyle w:val="FootnoteText"/>
      </w:pPr>
      <w:r>
        <w:rPr>
          <w:rStyle w:val="FootnoteReference"/>
        </w:rPr>
        <w:footnoteRef/>
      </w:r>
      <w:r>
        <w:t xml:space="preserve"> </w:t>
      </w:r>
      <w:r w:rsidRPr="00D92A76">
        <w:rPr>
          <w:i/>
        </w:rPr>
        <w:t>See</w:t>
      </w:r>
      <w:r>
        <w:t xml:space="preserve"> Level 3 Letter at 3 (“[I]f the agreement is in effect at the current time, it has an effect on the market whether or not the Provider is currently offering the arrangement to new customers.”).</w:t>
      </w:r>
    </w:p>
  </w:footnote>
  <w:footnote w:id="153">
    <w:p w:rsidR="0083344C" w:rsidRDefault="0083344C">
      <w:pPr>
        <w:pStyle w:val="FootnoteText"/>
      </w:pPr>
      <w:r>
        <w:rPr>
          <w:rStyle w:val="FootnoteReference"/>
        </w:rPr>
        <w:footnoteRef/>
      </w:r>
      <w:r>
        <w:t xml:space="preserve"> We also eliminated the reference to </w:t>
      </w:r>
      <w:r w:rsidRPr="00850783">
        <w:rPr>
          <w:i/>
        </w:rPr>
        <w:t>UNEs</w:t>
      </w:r>
      <w:r>
        <w:t xml:space="preserve"> sold as it was already included by the reporting of provisioned </w:t>
      </w:r>
      <w:r w:rsidRPr="00850783">
        <w:rPr>
          <w:i/>
        </w:rPr>
        <w:t>Connections</w:t>
      </w:r>
      <w:r>
        <w:t xml:space="preserve"> to </w:t>
      </w:r>
      <w:r w:rsidRPr="00850783">
        <w:rPr>
          <w:i/>
        </w:rPr>
        <w:t>Locations</w:t>
      </w:r>
      <w:r>
        <w:t xml:space="preserve"> that are owned.  The </w:t>
      </w:r>
      <w:r w:rsidRPr="00850783">
        <w:rPr>
          <w:i/>
        </w:rPr>
        <w:t>ILEC</w:t>
      </w:r>
      <w:r>
        <w:t xml:space="preserve"> will still indicate the bandwidth sold on the </w:t>
      </w:r>
      <w:r w:rsidRPr="00850783">
        <w:rPr>
          <w:i/>
        </w:rPr>
        <w:t>Connection</w:t>
      </w:r>
      <w:r>
        <w:t xml:space="preserve"> to the </w:t>
      </w:r>
      <w:r w:rsidRPr="00850783">
        <w:rPr>
          <w:i/>
        </w:rPr>
        <w:t>Location</w:t>
      </w:r>
      <w:r>
        <w:t xml:space="preserve"> as a </w:t>
      </w:r>
      <w:r w:rsidRPr="00850783">
        <w:rPr>
          <w:i/>
        </w:rPr>
        <w:t>UNE</w:t>
      </w:r>
      <w:r>
        <w:t xml:space="preserve"> in the form of a </w:t>
      </w:r>
      <w:r w:rsidRPr="00850783">
        <w:rPr>
          <w:i/>
        </w:rPr>
        <w:t>DS1</w:t>
      </w:r>
      <w:r>
        <w:t xml:space="preserve"> or </w:t>
      </w:r>
      <w:r w:rsidRPr="00850783">
        <w:rPr>
          <w:i/>
        </w:rPr>
        <w:t>DS3</w:t>
      </w:r>
      <w:r>
        <w:t xml:space="preserve"> in response to Question II.B.3.  </w:t>
      </w:r>
    </w:p>
  </w:footnote>
  <w:footnote w:id="154">
    <w:p w:rsidR="0083344C" w:rsidRDefault="0083344C">
      <w:pPr>
        <w:pStyle w:val="FootnoteText"/>
      </w:pPr>
      <w:r>
        <w:rPr>
          <w:rStyle w:val="FootnoteReference"/>
        </w:rPr>
        <w:footnoteRef/>
      </w:r>
      <w:r>
        <w:t xml:space="preserve"> We will separately address accuracy levels in the instructions consistent with the reporting of </w:t>
      </w:r>
      <w:r w:rsidRPr="00850783">
        <w:rPr>
          <w:i/>
        </w:rPr>
        <w:t>Locations</w:t>
      </w:r>
      <w:r>
        <w:t xml:space="preserve">, </w:t>
      </w:r>
      <w:r w:rsidRPr="009A0DBE">
        <w:rPr>
          <w:i/>
        </w:rPr>
        <w:t>i.e.</w:t>
      </w:r>
      <w:r>
        <w:t xml:space="preserve">, </w:t>
      </w:r>
      <w:r w:rsidRPr="00F34994">
        <w:rPr>
          <w:szCs w:val="22"/>
        </w:rPr>
        <w:t>values in decimal degrees to the nearest ±0.0005</w:t>
      </w:r>
      <w:r>
        <w:rPr>
          <w:szCs w:val="22"/>
        </w:rPr>
        <w:t xml:space="preserve"> decimal degrees</w:t>
      </w:r>
      <w:r>
        <w:t xml:space="preserve">.  This change is in response to the concerns raised by Cincinnati Bell.  </w:t>
      </w:r>
      <w:r w:rsidRPr="009A0DBE">
        <w:rPr>
          <w:i/>
        </w:rPr>
        <w:t>See</w:t>
      </w:r>
      <w:r>
        <w:t xml:space="preserve"> Cincinnati Bell PRA Comments at 3.</w:t>
      </w:r>
    </w:p>
  </w:footnote>
  <w:footnote w:id="155">
    <w:p w:rsidR="0083344C" w:rsidRDefault="0083344C">
      <w:pPr>
        <w:pStyle w:val="FootnoteText"/>
      </w:pPr>
      <w:r>
        <w:rPr>
          <w:rStyle w:val="FootnoteReference"/>
        </w:rPr>
        <w:footnoteRef/>
      </w:r>
      <w:r>
        <w:t xml:space="preserve"> This particular change addresses concerns raised by parties on the burden of differentiating between owned and leased facilities.  </w:t>
      </w:r>
      <w:r w:rsidRPr="00917C70">
        <w:rPr>
          <w:i/>
        </w:rPr>
        <w:t>See supra</w:t>
      </w:r>
      <w:r>
        <w:t xml:space="preserve"> note 148.</w:t>
      </w:r>
    </w:p>
  </w:footnote>
  <w:footnote w:id="156">
    <w:p w:rsidR="0083344C" w:rsidRDefault="0083344C">
      <w:pPr>
        <w:pStyle w:val="FootnoteText"/>
      </w:pPr>
      <w:r>
        <w:rPr>
          <w:rStyle w:val="FootnoteReference"/>
        </w:rPr>
        <w:footnoteRef/>
      </w:r>
      <w:r>
        <w:t xml:space="preserve"> </w:t>
      </w:r>
      <w:r w:rsidRPr="00917C70">
        <w:rPr>
          <w:i/>
        </w:rPr>
        <w:t>See</w:t>
      </w:r>
      <w:r>
        <w:t xml:space="preserve"> Level 3 at 1-2.</w:t>
      </w:r>
    </w:p>
  </w:footnote>
  <w:footnote w:id="157">
    <w:p w:rsidR="0083344C" w:rsidRDefault="0083344C">
      <w:pPr>
        <w:pStyle w:val="FootnoteText"/>
      </w:pPr>
      <w:r>
        <w:rPr>
          <w:rStyle w:val="FootnoteReference"/>
        </w:rPr>
        <w:footnoteRef/>
      </w:r>
      <w:r>
        <w:t xml:space="preserve"> </w:t>
      </w:r>
      <w:r w:rsidRPr="007F72A1">
        <w:rPr>
          <w:i/>
        </w:rPr>
        <w:t>See</w:t>
      </w:r>
      <w:r>
        <w:t xml:space="preserve"> Verizon Letter at 2.</w:t>
      </w:r>
    </w:p>
  </w:footnote>
  <w:footnote w:id="158">
    <w:p w:rsidR="0083344C" w:rsidRDefault="0083344C">
      <w:pPr>
        <w:pStyle w:val="FootnoteText"/>
      </w:pPr>
      <w:r>
        <w:rPr>
          <w:rStyle w:val="FootnoteReference"/>
        </w:rPr>
        <w:footnoteRef/>
      </w:r>
      <w:r>
        <w:t xml:space="preserve"> </w:t>
      </w:r>
      <w:r w:rsidRPr="00060185">
        <w:rPr>
          <w:i/>
        </w:rPr>
        <w:t>See</w:t>
      </w:r>
      <w:r>
        <w:rPr>
          <w:i/>
        </w:rPr>
        <w:t xml:space="preserve"> </w:t>
      </w:r>
      <w:r>
        <w:t xml:space="preserve">American </w:t>
      </w:r>
      <w:r w:rsidRPr="00956779">
        <w:t xml:space="preserve">Recovery </w:t>
      </w:r>
      <w:r>
        <w:t xml:space="preserve">and Reinvestment </w:t>
      </w:r>
      <w:r w:rsidRPr="00956779">
        <w:t xml:space="preserve">Act </w:t>
      </w:r>
      <w:r>
        <w:t xml:space="preserve">of 2009 </w:t>
      </w:r>
      <w:r w:rsidRPr="00956779">
        <w:t xml:space="preserve">§ 6001(l), 123 Stat. </w:t>
      </w:r>
      <w:r>
        <w:t>115,</w:t>
      </w:r>
      <w:r w:rsidRPr="00956779">
        <w:t xml:space="preserve"> 118, 128</w:t>
      </w:r>
      <w:r>
        <w:t xml:space="preserve"> (2009).  The data filed as part of the SBI program either includes a list of all addresses at which broadband service is available to end users in the facilities-based provider’s service area or “a list of all census blocks of no greater than two square miles in area in which broadband service is available.”  </w:t>
      </w:r>
      <w:r w:rsidRPr="00F058E8">
        <w:rPr>
          <w:i/>
        </w:rPr>
        <w:t>See</w:t>
      </w:r>
      <w:r>
        <w:t xml:space="preserve"> NTIA, State Broadband Data and Development Program, Notice of Funds Availability, 72 Fed. Reg. 3545, App. F (July 8, 2009) (Technical Appendix); NTIA, State Broadband Data and Development Grant Program, Notice of Funds Availability Clarification, 74 Fed. Reg. 40569, Technical Appendix Clarification (Aug. 12, 2009).  A broadband service is considered available “at an address if the provider does, or could, within a typical service interval (7 to 10 business days) without an extraordinary commitment of resources, provision two-way data transmission to and from the Internet with advertised speeds of at least 768 kbps downstream and greater than 200 kbps upstream to end users at that address.”  </w:t>
      </w:r>
      <w:r>
        <w:rPr>
          <w:i/>
        </w:rPr>
        <w:t xml:space="preserve">See </w:t>
      </w:r>
      <w:r>
        <w:t xml:space="preserve">Technical Appendix.  The SBI data also includes information on the available speed tiers (downstream/upstream).  </w:t>
      </w:r>
      <w:r w:rsidRPr="00AE384C">
        <w:rPr>
          <w:i/>
        </w:rPr>
        <w:t>Id</w:t>
      </w:r>
      <w:r>
        <w:t xml:space="preserve">.  The SBI program is nearing its scheduled end; sometime in 2014, broadband providers will be required to file data on broadband deployment as part of the Commission’s Form 477 program.  However, providers will continue to participate in the SBI program through 2014 and nothing in the transition from SBI to Form 477 should affect this data collection.  </w:t>
      </w:r>
      <w:r w:rsidRPr="00BD3D5F">
        <w:rPr>
          <w:i/>
        </w:rPr>
        <w:t>See Modernizing the FCC Form 477 Data Program</w:t>
      </w:r>
      <w:r>
        <w:t>, WC Docket No. 11-10, Report and Order, FCC 13-87, para. 25 (rel. June 27, 2013).</w:t>
      </w:r>
    </w:p>
  </w:footnote>
  <w:footnote w:id="159">
    <w:p w:rsidR="0083344C" w:rsidRDefault="0083344C">
      <w:pPr>
        <w:pStyle w:val="FootnoteText"/>
      </w:pPr>
      <w:r>
        <w:rPr>
          <w:rStyle w:val="FootnoteReference"/>
        </w:rPr>
        <w:footnoteRef/>
      </w:r>
      <w:r>
        <w:t xml:space="preserve"> </w:t>
      </w:r>
      <w:r w:rsidRPr="00850783">
        <w:rPr>
          <w:i/>
        </w:rPr>
        <w:t>See</w:t>
      </w:r>
      <w:r>
        <w:t xml:space="preserve"> Appendix B, Questions II.E.10 and II.F.9.</w:t>
      </w:r>
    </w:p>
  </w:footnote>
  <w:footnote w:id="160">
    <w:p w:rsidR="0083344C" w:rsidRDefault="0083344C">
      <w:pPr>
        <w:pStyle w:val="FootnoteText"/>
      </w:pPr>
      <w:r>
        <w:rPr>
          <w:rStyle w:val="FootnoteReference"/>
        </w:rPr>
        <w:footnoteRef/>
      </w:r>
      <w:r>
        <w:t xml:space="preserve"> </w:t>
      </w:r>
      <w:r w:rsidRPr="007F72A1">
        <w:rPr>
          <w:i/>
        </w:rPr>
        <w:t>See</w:t>
      </w:r>
      <w:r>
        <w:t xml:space="preserve"> AT&amp;T Letter at 1; Level 3 Letter at 3.  </w:t>
      </w:r>
    </w:p>
  </w:footnote>
  <w:footnote w:id="161">
    <w:p w:rsidR="0083344C" w:rsidRDefault="0083344C">
      <w:pPr>
        <w:pStyle w:val="FootnoteText"/>
      </w:pPr>
      <w:r>
        <w:rPr>
          <w:rStyle w:val="FootnoteReference"/>
        </w:rPr>
        <w:footnoteRef/>
      </w:r>
      <w:r>
        <w:t xml:space="preserve"> Clarification addresses issues raised by Sprint.  </w:t>
      </w:r>
      <w:r w:rsidRPr="001A273E">
        <w:rPr>
          <w:i/>
        </w:rPr>
        <w:t>See</w:t>
      </w:r>
      <w:r>
        <w:t xml:space="preserve"> Sprint Letter at 1.</w:t>
      </w:r>
    </w:p>
  </w:footnote>
  <w:footnote w:id="162">
    <w:p w:rsidR="0083344C" w:rsidRDefault="0083344C">
      <w:pPr>
        <w:pStyle w:val="FootnoteText"/>
      </w:pPr>
      <w:r>
        <w:rPr>
          <w:rStyle w:val="FootnoteReference"/>
        </w:rPr>
        <w:footnoteRef/>
      </w:r>
      <w:r>
        <w:t xml:space="preserve"> Level 3 at 3.</w:t>
      </w:r>
    </w:p>
  </w:footnote>
  <w:footnote w:id="163">
    <w:p w:rsidR="0083344C" w:rsidRDefault="0083344C">
      <w:pPr>
        <w:pStyle w:val="FootnoteText"/>
      </w:pPr>
      <w:r>
        <w:rPr>
          <w:rStyle w:val="FootnoteReference"/>
        </w:rPr>
        <w:footnoteRef/>
      </w:r>
      <w:r>
        <w:t xml:space="preserve"> </w:t>
      </w:r>
      <w:r w:rsidRPr="00E25583">
        <w:rPr>
          <w:i/>
        </w:rPr>
        <w:t>See</w:t>
      </w:r>
      <w:r>
        <w:t xml:space="preserve"> Level 3 at 3; Sprint Letter at 1; TW Telecom Letter at 1.</w:t>
      </w:r>
    </w:p>
  </w:footnote>
  <w:footnote w:id="164">
    <w:p w:rsidR="0083344C" w:rsidRDefault="0083344C" w:rsidP="004D543E">
      <w:pPr>
        <w:pStyle w:val="FootnoteText"/>
      </w:pPr>
      <w:r>
        <w:rPr>
          <w:rStyle w:val="FootnoteReference"/>
        </w:rPr>
        <w:footnoteRef/>
      </w:r>
      <w:r>
        <w:t xml:space="preserve"> </w:t>
      </w:r>
      <w:r>
        <w:rPr>
          <w:i/>
        </w:rPr>
        <w:t>Compare</w:t>
      </w:r>
      <w:r>
        <w:t xml:space="preserve"> </w:t>
      </w:r>
      <w:r w:rsidRPr="00E003B9">
        <w:rPr>
          <w:i/>
        </w:rPr>
        <w:t>Special Access Data Collection Order</w:t>
      </w:r>
      <w:r>
        <w:t xml:space="preserve">, 27 FCC Rcd at 16327-28, para. 22 (declining to exempt small special access providers and purchasers from the data collection) </w:t>
      </w:r>
      <w:r w:rsidRPr="004D543E">
        <w:rPr>
          <w:i/>
        </w:rPr>
        <w:t>with</w:t>
      </w:r>
      <w:r>
        <w:t xml:space="preserve"> Smith Bagley PRA Comments at 5-6 (seeking a </w:t>
      </w:r>
      <w:r w:rsidRPr="004F0D05">
        <w:rPr>
          <w:i/>
        </w:rPr>
        <w:t>de minimis</w:t>
      </w:r>
      <w:r>
        <w:t xml:space="preserve"> exemption for small purchasers and providers); NTCA PRA Comments at 12 (requesting a </w:t>
      </w:r>
      <w:r w:rsidRPr="004D543E">
        <w:rPr>
          <w:i/>
        </w:rPr>
        <w:t>de minimis</w:t>
      </w:r>
      <w:r>
        <w:t xml:space="preserve"> exception for providers and purchasers of less than fifty special access connections in a relevant geographic area); </w:t>
      </w:r>
      <w:r w:rsidRPr="004D543E">
        <w:rPr>
          <w:i/>
        </w:rPr>
        <w:t>see also</w:t>
      </w:r>
      <w:r>
        <w:t xml:space="preserve"> Level 3 Letter at 2 (asking the FCC to require ILECs to report data on their rate of return on the sale of special access circuits).  </w:t>
      </w:r>
    </w:p>
  </w:footnote>
  <w:footnote w:id="165">
    <w:p w:rsidR="0083344C" w:rsidRDefault="0083344C" w:rsidP="002C5A77">
      <w:pPr>
        <w:pStyle w:val="FootnoteText"/>
      </w:pPr>
      <w:r>
        <w:rPr>
          <w:rStyle w:val="FootnoteReference"/>
        </w:rPr>
        <w:footnoteRef/>
      </w:r>
      <w:r>
        <w:t xml:space="preserve"> Responses must conform to the specifications provided in the templates.  We will submit the instructions and data format specifications to OMB as part of the application package seeking PRA approval for the information collection.</w:t>
      </w:r>
    </w:p>
  </w:footnote>
  <w:footnote w:id="166">
    <w:p w:rsidR="0083344C" w:rsidRDefault="0083344C" w:rsidP="00F97044">
      <w:pPr>
        <w:pStyle w:val="FootnoteText"/>
      </w:pPr>
      <w:r>
        <w:rPr>
          <w:rStyle w:val="FootnoteReference"/>
        </w:rPr>
        <w:footnoteRef/>
      </w:r>
      <w:r>
        <w:t xml:space="preserve"> </w:t>
      </w:r>
      <w:r w:rsidRPr="00800EBA">
        <w:rPr>
          <w:i/>
        </w:rPr>
        <w:t>See Wireline Competition Bureau Seeks Comment on Protective Order for Special Access Data Collection</w:t>
      </w:r>
      <w:r>
        <w:t xml:space="preserve">, </w:t>
      </w:r>
      <w:r w:rsidRPr="003C3C19">
        <w:t>WC Docket No. 05-25, RM-10593,</w:t>
      </w:r>
      <w:r>
        <w:t xml:space="preserve"> Public Notice, DA 13-1470 (Wireline Comp. Bur. rel. June 28, 2013).</w:t>
      </w:r>
    </w:p>
  </w:footnote>
  <w:footnote w:id="167">
    <w:p w:rsidR="0083344C" w:rsidRDefault="0083344C">
      <w:pPr>
        <w:pStyle w:val="FootnoteText"/>
      </w:pPr>
      <w:r>
        <w:rPr>
          <w:rStyle w:val="FootnoteReference"/>
        </w:rPr>
        <w:footnoteRef/>
      </w:r>
      <w:r>
        <w:t xml:space="preserve"> </w:t>
      </w:r>
      <w:r>
        <w:rPr>
          <w:i/>
        </w:rPr>
        <w:t xml:space="preserve">See </w:t>
      </w:r>
      <w:r>
        <w:t xml:space="preserve">5 C.F.R. § 1320.8(d)(1); </w:t>
      </w:r>
      <w:r>
        <w:rPr>
          <w:i/>
        </w:rPr>
        <w:t>Information Collection(s) Being Reviewed by the Federal Communications Commission, Comments Requested</w:t>
      </w:r>
      <w:r>
        <w:t>, 78 Fed. Reg. 9911 (Feb. 12, 2013).</w:t>
      </w:r>
    </w:p>
  </w:footnote>
  <w:footnote w:id="168">
    <w:p w:rsidR="0083344C" w:rsidRDefault="0083344C">
      <w:pPr>
        <w:pStyle w:val="FootnoteText"/>
      </w:pPr>
      <w:r>
        <w:rPr>
          <w:rStyle w:val="FootnoteReference"/>
        </w:rPr>
        <w:footnoteRef/>
      </w:r>
      <w:r>
        <w:t xml:space="preserve"> 5 U.S.C. § 605(b).</w:t>
      </w:r>
    </w:p>
  </w:footnote>
  <w:footnote w:id="169">
    <w:p w:rsidR="0083344C" w:rsidRDefault="0083344C">
      <w:pPr>
        <w:pStyle w:val="FootnoteText"/>
      </w:pPr>
      <w:r>
        <w:rPr>
          <w:rStyle w:val="FootnoteReference"/>
        </w:rPr>
        <w:footnoteRef/>
      </w:r>
      <w:r>
        <w:t xml:space="preserve"> 5 U.S.C. § 601(6).</w:t>
      </w:r>
    </w:p>
  </w:footnote>
  <w:footnote w:id="170">
    <w:p w:rsidR="0083344C" w:rsidRDefault="0083344C" w:rsidP="00A9092C">
      <w:pPr>
        <w:pStyle w:val="FootnoteText"/>
      </w:pPr>
      <w:r>
        <w:rPr>
          <w:rStyle w:val="FootnoteReference"/>
        </w:rPr>
        <w:footnoteRef/>
      </w:r>
      <w:r>
        <w:t xml:space="preserve"> 5 U.S.C. § 601(3) </w:t>
      </w:r>
      <w:r w:rsidRPr="00A9092C">
        <w:t>(incorporating by reference the definition of “small business concern” in the Small Business</w:t>
      </w:r>
      <w:r>
        <w:t xml:space="preserve"> </w:t>
      </w:r>
      <w:r w:rsidRPr="00A9092C">
        <w:t>Act, 15 U.S.C. § 632). Pursuant to 5 U.S.C. § 601(3), the statutory definition of a small business applies “unless an</w:t>
      </w:r>
      <w:r>
        <w:t xml:space="preserve"> </w:t>
      </w:r>
      <w:r w:rsidRPr="00A9092C">
        <w:t>agency, after consultation with the Office of Advocacy of the Small Business Administration and after opportunity</w:t>
      </w:r>
      <w:r>
        <w:t xml:space="preserve"> </w:t>
      </w:r>
      <w:r w:rsidRPr="00A9092C">
        <w:t>for public comment, establishes one or more definitions of such term which are appropriate to the activities of the</w:t>
      </w:r>
      <w:r>
        <w:t xml:space="preserve"> </w:t>
      </w:r>
      <w:r w:rsidRPr="00A9092C">
        <w:t>agency and publishes such definition(s) in the Federal Register.”</w:t>
      </w:r>
    </w:p>
  </w:footnote>
  <w:footnote w:id="171">
    <w:p w:rsidR="0083344C" w:rsidRDefault="0083344C">
      <w:pPr>
        <w:pStyle w:val="FootnoteText"/>
      </w:pPr>
      <w:r>
        <w:rPr>
          <w:rStyle w:val="FootnoteReference"/>
        </w:rPr>
        <w:footnoteRef/>
      </w:r>
      <w:r>
        <w:t xml:space="preserve"> Small Business Act, 15 U.S.C. § 632.</w:t>
      </w:r>
    </w:p>
  </w:footnote>
  <w:footnote w:id="172">
    <w:p w:rsidR="0083344C" w:rsidRDefault="0083344C">
      <w:pPr>
        <w:pStyle w:val="FootnoteText"/>
      </w:pPr>
      <w:r>
        <w:rPr>
          <w:rStyle w:val="FootnoteReference"/>
        </w:rPr>
        <w:footnoteRef/>
      </w:r>
      <w:r>
        <w:t xml:space="preserve"> </w:t>
      </w:r>
      <w:r w:rsidRPr="00F55004">
        <w:rPr>
          <w:i/>
          <w:iCs/>
        </w:rPr>
        <w:t xml:space="preserve">See </w:t>
      </w:r>
      <w:r w:rsidRPr="00F55004">
        <w:t>5 U.S.C. § 801(a)(1)(A).</w:t>
      </w:r>
    </w:p>
  </w:footnote>
  <w:footnote w:id="173">
    <w:p w:rsidR="0083344C" w:rsidRDefault="0083344C" w:rsidP="002B3ABD">
      <w:pPr>
        <w:pStyle w:val="FootnoteText"/>
      </w:pPr>
      <w:r>
        <w:rPr>
          <w:rStyle w:val="FootnoteReference"/>
        </w:rPr>
        <w:footnoteRef/>
      </w:r>
      <w:r>
        <w:t xml:space="preserve">  47 C.F.R. § 1.1206(b).</w:t>
      </w:r>
    </w:p>
  </w:footnote>
  <w:footnote w:id="174">
    <w:p w:rsidR="0083344C" w:rsidRDefault="0083344C" w:rsidP="002B3ABD">
      <w:pPr>
        <w:pStyle w:val="FootnoteText"/>
      </w:pPr>
      <w:r>
        <w:rPr>
          <w:rStyle w:val="FootnoteReference"/>
        </w:rPr>
        <w:footnoteRef/>
      </w:r>
      <w:r>
        <w:t xml:space="preserve">  </w:t>
      </w:r>
      <w:r>
        <w:rPr>
          <w:i/>
        </w:rPr>
        <w:t>Id.</w:t>
      </w:r>
    </w:p>
  </w:footnote>
  <w:footnote w:id="175">
    <w:p w:rsidR="0083344C" w:rsidRDefault="0083344C" w:rsidP="00EB5B97">
      <w:pPr>
        <w:pStyle w:val="FootnoteText"/>
      </w:pPr>
      <w:r>
        <w:rPr>
          <w:rStyle w:val="FootnoteReference"/>
        </w:rPr>
        <w:footnoteRef/>
      </w:r>
      <w:r>
        <w:t xml:space="preserve"> </w:t>
      </w:r>
      <w:r w:rsidRPr="000764C2">
        <w:rPr>
          <w:i/>
        </w:rPr>
        <w:t>See</w:t>
      </w:r>
      <w:r>
        <w:t xml:space="preserve"> </w:t>
      </w:r>
      <w:r w:rsidRPr="000764C2">
        <w:rPr>
          <w:i/>
        </w:rPr>
        <w:t>Special Access for Price Cap Local Exchange Carriers</w:t>
      </w:r>
      <w:r>
        <w:t xml:space="preserve">, WC Docket No. 05-25; </w:t>
      </w:r>
      <w:r w:rsidRPr="000764C2">
        <w:rPr>
          <w:i/>
        </w:rPr>
        <w:t>AT&amp;T Corporation Petition for Rulemaking to Reform Regulation of Incumbent Local Exchange Carrier Rates for Interstate Special Access Services</w:t>
      </w:r>
      <w:r>
        <w:t>, WC Docket No. 05-25, RM-10593, Report and Order and Further Notice of Proposed Rulemaking, 27 FCC Rcd 16318 (2012) (</w:t>
      </w:r>
      <w:r>
        <w:rPr>
          <w:i/>
        </w:rPr>
        <w:t xml:space="preserve">Special Access </w:t>
      </w:r>
      <w:r w:rsidRPr="00A95535">
        <w:rPr>
          <w:i/>
        </w:rPr>
        <w:t>Data Collection Order</w:t>
      </w:r>
      <w:r>
        <w:t>).  For purposes of these Instructions, our use of the term “data” includes data and information.</w:t>
      </w:r>
    </w:p>
  </w:footnote>
  <w:footnote w:id="176">
    <w:p w:rsidR="0083344C" w:rsidRDefault="0083344C">
      <w:pPr>
        <w:pStyle w:val="FootnoteText"/>
      </w:pPr>
      <w:r>
        <w:rPr>
          <w:rStyle w:val="FootnoteReference"/>
        </w:rPr>
        <w:footnoteRef/>
      </w:r>
      <w:r>
        <w:t xml:space="preserve"> </w:t>
      </w:r>
      <w:r w:rsidRPr="000764C2">
        <w:rPr>
          <w:i/>
        </w:rPr>
        <w:t>See</w:t>
      </w:r>
      <w:r>
        <w:t xml:space="preserve"> </w:t>
      </w:r>
      <w:r w:rsidRPr="000764C2">
        <w:rPr>
          <w:i/>
        </w:rPr>
        <w:t>Special Access for Price Cap Local Exchange Carriers</w:t>
      </w:r>
      <w:r>
        <w:t xml:space="preserve">, WC Docket No. 05-25; </w:t>
      </w:r>
      <w:r w:rsidRPr="000764C2">
        <w:rPr>
          <w:i/>
        </w:rPr>
        <w:t>AT&amp;T Corporation Petition for Rulemaking to Reform Regulation of Incumbent Local Exchange Carrier Rates for Interstate Special Access Services</w:t>
      </w:r>
      <w:r>
        <w:t>, WC Docket No. 05-25, RM-10593, Order, DA 13-1909, App. B (WCB rel. Sept. 1</w:t>
      </w:r>
      <w:r w:rsidR="00A63DA0">
        <w:t>8</w:t>
      </w:r>
      <w:r>
        <w:t>, 2013) (</w:t>
      </w:r>
      <w:r w:rsidRPr="00144BEC">
        <w:rPr>
          <w:i/>
        </w:rPr>
        <w:t>Data Collection Implementation Order</w:t>
      </w:r>
      <w:r>
        <w:t>).</w:t>
      </w:r>
    </w:p>
  </w:footnote>
  <w:footnote w:id="177">
    <w:p w:rsidR="0083344C" w:rsidRDefault="0083344C">
      <w:pPr>
        <w:pStyle w:val="FootnoteText"/>
      </w:pPr>
      <w:r>
        <w:rPr>
          <w:rStyle w:val="FootnoteReference"/>
        </w:rPr>
        <w:footnoteRef/>
      </w:r>
      <w:r>
        <w:t xml:space="preserve"> </w:t>
      </w:r>
      <w:r>
        <w:rPr>
          <w:i/>
          <w:szCs w:val="22"/>
        </w:rPr>
        <w:t xml:space="preserve">See </w:t>
      </w:r>
      <w:r>
        <w:rPr>
          <w:i/>
        </w:rPr>
        <w:t xml:space="preserve">Special Access </w:t>
      </w:r>
      <w:r w:rsidRPr="00A95535">
        <w:rPr>
          <w:i/>
        </w:rPr>
        <w:t>Data Collection Order</w:t>
      </w:r>
      <w:r>
        <w:t>,</w:t>
      </w:r>
      <w:r w:rsidRPr="00ED49EE">
        <w:rPr>
          <w:szCs w:val="22"/>
        </w:rPr>
        <w:t xml:space="preserve"> </w:t>
      </w:r>
      <w:r>
        <w:t>27 FCC Rcd at 16341, para. 56</w:t>
      </w:r>
      <w:r>
        <w:rPr>
          <w:szCs w:val="22"/>
        </w:rPr>
        <w:t>.</w:t>
      </w:r>
    </w:p>
  </w:footnote>
  <w:footnote w:id="178">
    <w:p w:rsidR="0083344C" w:rsidRDefault="0083344C">
      <w:pPr>
        <w:pStyle w:val="FootnoteText"/>
      </w:pPr>
      <w:r>
        <w:rPr>
          <w:rStyle w:val="FootnoteReference"/>
        </w:rPr>
        <w:footnoteRef/>
      </w:r>
      <w:r>
        <w:t xml:space="preserve"> A map depicting the study areas where an incumbent local exchange carrier (ILEC) subject to price cap regulation is located is available on the FCC’s website.  </w:t>
      </w:r>
      <w:r>
        <w:rPr>
          <w:i/>
        </w:rPr>
        <w:t>S</w:t>
      </w:r>
      <w:r w:rsidRPr="00364DAB">
        <w:rPr>
          <w:i/>
        </w:rPr>
        <w:t>ee</w:t>
      </w:r>
      <w:r>
        <w:t xml:space="preserve"> Map: Regulatory Type at the Holding Company Level by Study Area, FCC, </w:t>
      </w:r>
      <w:r w:rsidRPr="00AF7735">
        <w:t>http://www.fcc.gov/maps/regulatory-type-holding-company-level-study-area</w:t>
      </w:r>
      <w:r>
        <w:t xml:space="preserve"> (last visited Sept. 9, 2013).  The Commission is currently updating this map based on a collection of study area boundaries.  If the new study area boundary data are not available to respondents in time for them to take into account in formulating responses to the special access data collection, we will consider reliance on the currently available study area boundary data to be reasonable. </w:t>
      </w:r>
      <w:r w:rsidRPr="007F4D44">
        <w:rPr>
          <w:i/>
        </w:rPr>
        <w:t xml:space="preserve"> </w:t>
      </w:r>
    </w:p>
  </w:footnote>
  <w:footnote w:id="179">
    <w:p w:rsidR="0083344C" w:rsidRDefault="0083344C" w:rsidP="00EB5B97">
      <w:pPr>
        <w:pStyle w:val="FootnoteText"/>
      </w:pPr>
      <w:r>
        <w:rPr>
          <w:rStyle w:val="FootnoteReference"/>
        </w:rPr>
        <w:footnoteRef/>
      </w:r>
      <w:r>
        <w:t xml:space="preserve"> </w:t>
      </w:r>
      <w:r>
        <w:rPr>
          <w:i/>
        </w:rPr>
        <w:t xml:space="preserve">Special Access </w:t>
      </w:r>
      <w:r w:rsidRPr="00A95535">
        <w:rPr>
          <w:i/>
        </w:rPr>
        <w:t>Data Collection Order</w:t>
      </w:r>
      <w:r>
        <w:t xml:space="preserve">, 27 FCC Rcd at 16327, para. 20; </w:t>
      </w:r>
      <w:r>
        <w:rPr>
          <w:i/>
        </w:rPr>
        <w:t>s</w:t>
      </w:r>
      <w:r w:rsidRPr="007F4D44">
        <w:rPr>
          <w:i/>
        </w:rPr>
        <w:t>ee also</w:t>
      </w:r>
      <w:r>
        <w:t xml:space="preserve"> Instructions at 3-4 (</w:t>
      </w:r>
      <w:r>
        <w:rPr>
          <w:szCs w:val="22"/>
        </w:rPr>
        <w:t>discussing “Entities Specifically Excluded from the Data Collection”).</w:t>
      </w:r>
    </w:p>
  </w:footnote>
  <w:footnote w:id="180">
    <w:p w:rsidR="0083344C" w:rsidRDefault="0083344C" w:rsidP="00EB5B97">
      <w:pPr>
        <w:pStyle w:val="FootnoteText"/>
      </w:pPr>
      <w:r>
        <w:rPr>
          <w:rStyle w:val="FootnoteReference"/>
        </w:rPr>
        <w:footnoteRef/>
      </w:r>
      <w:r>
        <w:t xml:space="preserve"> </w:t>
      </w:r>
      <w:r>
        <w:rPr>
          <w:i/>
        </w:rPr>
        <w:t xml:space="preserve">Special Access </w:t>
      </w:r>
      <w:r w:rsidRPr="00A95535">
        <w:rPr>
          <w:i/>
        </w:rPr>
        <w:t>Data Collection Order</w:t>
      </w:r>
      <w:r>
        <w:t xml:space="preserve">, 27 FCC Rcd at 16327-28, para. 22 n.52 (“For purposes of this </w:t>
      </w:r>
      <w:r w:rsidRPr="0074671D">
        <w:t>exemption, the number of customers and business broadband customers shall be determined as of the date of release of this Report</w:t>
      </w:r>
      <w:r>
        <w:t xml:space="preserve"> </w:t>
      </w:r>
      <w:r w:rsidRPr="0074671D">
        <w:t>and Order</w:t>
      </w:r>
      <w:r>
        <w:t>.”).</w:t>
      </w:r>
    </w:p>
  </w:footnote>
  <w:footnote w:id="181">
    <w:p w:rsidR="0083344C" w:rsidRDefault="0083344C" w:rsidP="00EB5B97">
      <w:pPr>
        <w:pStyle w:val="FootnoteText"/>
      </w:pPr>
      <w:r>
        <w:rPr>
          <w:rStyle w:val="FootnoteReference"/>
        </w:rPr>
        <w:footnoteRef/>
      </w:r>
      <w:r>
        <w:t xml:space="preserve"> </w:t>
      </w:r>
      <w:r w:rsidRPr="00201D40">
        <w:rPr>
          <w:szCs w:val="22"/>
        </w:rPr>
        <w:t xml:space="preserve">47 U.S.C. § 503(b)(2); 47 C.F.R. § 1.80(b); </w:t>
      </w:r>
      <w:r w:rsidRPr="00201D40">
        <w:rPr>
          <w:i/>
          <w:szCs w:val="22"/>
        </w:rPr>
        <w:t>Amendment of Section 1.80(b) of the Commission’s Rules, Adjustment of Forfeiture Maxima to Reflect Inflation</w:t>
      </w:r>
      <w:r w:rsidRPr="00201D40">
        <w:rPr>
          <w:szCs w:val="22"/>
        </w:rPr>
        <w:t>, Order, 23 FCC Rcd 9845 (2008)</w:t>
      </w:r>
      <w:r w:rsidRPr="00201D40">
        <w:rPr>
          <w:color w:val="000000"/>
          <w:szCs w:val="22"/>
        </w:rPr>
        <w:t>.</w:t>
      </w:r>
    </w:p>
  </w:footnote>
  <w:footnote w:id="182">
    <w:p w:rsidR="0083344C" w:rsidRDefault="0083344C" w:rsidP="00EB5B97">
      <w:pPr>
        <w:pStyle w:val="FootnoteText"/>
      </w:pPr>
      <w:r>
        <w:rPr>
          <w:rStyle w:val="FootnoteReference"/>
        </w:rPr>
        <w:footnoteRef/>
      </w:r>
      <w:r>
        <w:t xml:space="preserve"> For example, an entity holding an earth station license issued under Part 25 of the Commission’s rules that also has an experimental license issued under Part 15 (a listed exclusion category), is not excluded from the collection if it purchased </w:t>
      </w:r>
      <w:r w:rsidRPr="002B5628">
        <w:rPr>
          <w:i/>
        </w:rPr>
        <w:t>Dedicated Service</w:t>
      </w:r>
      <w:r>
        <w:t xml:space="preserve"> in a price cap area during the relevant reporting periods.  Likewise, an entity holding an antenna structure registration under Part 17 (a listed exclusion category) is not excluded from the collection if it provided a covered </w:t>
      </w:r>
      <w:r w:rsidRPr="000C3080">
        <w:rPr>
          <w:i/>
          <w:szCs w:val="22"/>
        </w:rPr>
        <w:t>Best Efforts Business Broadband Internet Access Service</w:t>
      </w:r>
      <w:r>
        <w:rPr>
          <w:i/>
          <w:szCs w:val="22"/>
        </w:rPr>
        <w:t xml:space="preserve"> </w:t>
      </w:r>
      <w:r>
        <w:rPr>
          <w:szCs w:val="22"/>
        </w:rPr>
        <w:t xml:space="preserve">in a price cap area. </w:t>
      </w:r>
      <w:r>
        <w:rPr>
          <w:i/>
          <w:szCs w:val="22"/>
        </w:rPr>
        <w:t xml:space="preserve"> </w:t>
      </w:r>
      <w:r>
        <w:t xml:space="preserve">      </w:t>
      </w:r>
    </w:p>
  </w:footnote>
  <w:footnote w:id="183">
    <w:p w:rsidR="0083344C" w:rsidRDefault="0083344C" w:rsidP="00EB5B97">
      <w:pPr>
        <w:pStyle w:val="FootnoteText"/>
      </w:pPr>
      <w:r>
        <w:rPr>
          <w:rStyle w:val="FootnoteReference"/>
        </w:rPr>
        <w:footnoteRef/>
      </w:r>
      <w:r>
        <w:t xml:space="preserve"> </w:t>
      </w:r>
      <w:r w:rsidRPr="00B04434">
        <w:t xml:space="preserve">Alternatively, </w:t>
      </w:r>
      <w:r>
        <w:t xml:space="preserve">for submissions containing too much data to reliably upload, </w:t>
      </w:r>
      <w:r w:rsidRPr="00B04434">
        <w:t>respondents can make arrangements with the Bureau for the manual submission of hard drives or other data storage devices containing their responses.</w:t>
      </w:r>
      <w:r>
        <w:t xml:space="preserve">  </w:t>
      </w:r>
      <w:r w:rsidRPr="00B04434">
        <w:t xml:space="preserve">  </w:t>
      </w:r>
    </w:p>
  </w:footnote>
  <w:footnote w:id="184">
    <w:p w:rsidR="0083344C" w:rsidRDefault="0083344C" w:rsidP="00EB5B97">
      <w:pPr>
        <w:pStyle w:val="FootnoteText"/>
      </w:pPr>
      <w:r>
        <w:rPr>
          <w:rStyle w:val="FootnoteReference"/>
        </w:rPr>
        <w:footnoteRef/>
      </w:r>
      <w:r>
        <w:t xml:space="preserve"> Responses must conform to the specifications provided in the data container.  We intend to submit the instructions and record format specifications to OMB as part of the application package seeking approval for the information collection.</w:t>
      </w:r>
    </w:p>
  </w:footnote>
  <w:footnote w:id="185">
    <w:p w:rsidR="0083344C" w:rsidRDefault="0083344C">
      <w:pPr>
        <w:pStyle w:val="FootnoteText"/>
      </w:pPr>
      <w:r>
        <w:rPr>
          <w:rStyle w:val="FootnoteReference"/>
        </w:rPr>
        <w:footnoteRef/>
      </w:r>
      <w:r>
        <w:t xml:space="preserve"> </w:t>
      </w:r>
      <w:r w:rsidRPr="00A95535">
        <w:rPr>
          <w:i/>
        </w:rPr>
        <w:t>See</w:t>
      </w:r>
      <w:r>
        <w:t xml:space="preserve"> </w:t>
      </w:r>
      <w:r w:rsidRPr="00144BEC">
        <w:rPr>
          <w:i/>
        </w:rPr>
        <w:t>Data Collection Implementation Order</w:t>
      </w:r>
      <w:r>
        <w:t>, App. B.</w:t>
      </w:r>
    </w:p>
  </w:footnote>
  <w:footnote w:id="186">
    <w:p w:rsidR="0083344C" w:rsidRDefault="0083344C">
      <w:pPr>
        <w:pStyle w:val="FootnoteText"/>
      </w:pPr>
      <w:r>
        <w:rPr>
          <w:rStyle w:val="FootnoteReference"/>
        </w:rPr>
        <w:footnoteRef/>
      </w:r>
      <w:r>
        <w:t xml:space="preserve"> </w:t>
      </w:r>
      <w:r w:rsidRPr="00800EBA">
        <w:rPr>
          <w:i/>
        </w:rPr>
        <w:t>See Wireline Competition Bureau Seeks Comment on Protective Order for Special Access Data Collection</w:t>
      </w:r>
      <w:r>
        <w:t xml:space="preserve">, </w:t>
      </w:r>
      <w:r w:rsidRPr="003C3C19">
        <w:t>WC Docket No. 05-25, RM-10593,</w:t>
      </w:r>
      <w:r>
        <w:t xml:space="preserve"> Public Notice, DA 13-1470 (WCB rel. June 28, 2013).</w:t>
      </w:r>
    </w:p>
  </w:footnote>
  <w:footnote w:id="187">
    <w:p w:rsidR="0083344C" w:rsidRDefault="0083344C">
      <w:pPr>
        <w:pStyle w:val="FootnoteText"/>
      </w:pPr>
      <w:r>
        <w:rPr>
          <w:rStyle w:val="FootnoteReference"/>
        </w:rPr>
        <w:footnoteRef/>
      </w:r>
      <w:r>
        <w:t xml:space="preserve"> </w:t>
      </w:r>
      <w:r w:rsidRPr="00A95535">
        <w:rPr>
          <w:i/>
        </w:rPr>
        <w:t>See</w:t>
      </w:r>
      <w:r>
        <w:t xml:space="preserve"> </w:t>
      </w:r>
      <w:r>
        <w:rPr>
          <w:i/>
        </w:rPr>
        <w:t xml:space="preserve">Special Access </w:t>
      </w:r>
      <w:r w:rsidRPr="00A95535">
        <w:rPr>
          <w:i/>
        </w:rPr>
        <w:t>Data Collection Order</w:t>
      </w:r>
      <w:r>
        <w:t>, 27 FCC Rcd at 16340, para. 54.</w:t>
      </w:r>
    </w:p>
  </w:footnote>
  <w:footnote w:id="188">
    <w:p w:rsidR="0083344C" w:rsidRDefault="0083344C" w:rsidP="00EB5B97">
      <w:pPr>
        <w:pStyle w:val="FootnoteText"/>
      </w:pPr>
      <w:r>
        <w:rPr>
          <w:rStyle w:val="FootnoteReference"/>
        </w:rPr>
        <w:footnoteRef/>
      </w:r>
      <w:r>
        <w:t xml:space="preserve"> For </w:t>
      </w:r>
      <w:r>
        <w:rPr>
          <w:color w:val="000000"/>
          <w:szCs w:val="22"/>
        </w:rPr>
        <w:t>i</w:t>
      </w:r>
      <w:r w:rsidRPr="00A544AC">
        <w:rPr>
          <w:color w:val="000000"/>
          <w:szCs w:val="22"/>
        </w:rPr>
        <w:t xml:space="preserve">nstructions </w:t>
      </w:r>
      <w:r>
        <w:rPr>
          <w:color w:val="000000"/>
          <w:szCs w:val="22"/>
        </w:rPr>
        <w:t>on how to</w:t>
      </w:r>
      <w:r w:rsidRPr="00A544AC">
        <w:rPr>
          <w:color w:val="000000"/>
          <w:szCs w:val="22"/>
        </w:rPr>
        <w:t xml:space="preserve"> obtain a</w:t>
      </w:r>
      <w:r>
        <w:rPr>
          <w:color w:val="000000"/>
          <w:szCs w:val="22"/>
        </w:rPr>
        <w:t>n</w:t>
      </w:r>
      <w:r w:rsidRPr="00A544AC">
        <w:rPr>
          <w:color w:val="000000"/>
          <w:szCs w:val="22"/>
        </w:rPr>
        <w:t xml:space="preserve"> FRN</w:t>
      </w:r>
      <w:r>
        <w:rPr>
          <w:color w:val="000000"/>
          <w:szCs w:val="22"/>
        </w:rPr>
        <w:t xml:space="preserve">, </w:t>
      </w:r>
      <w:r w:rsidRPr="00E33B54">
        <w:rPr>
          <w:i/>
          <w:color w:val="000000"/>
          <w:szCs w:val="22"/>
        </w:rPr>
        <w:t>see</w:t>
      </w:r>
      <w:r w:rsidRPr="00A544AC">
        <w:rPr>
          <w:color w:val="000000"/>
          <w:szCs w:val="22"/>
        </w:rPr>
        <w:t xml:space="preserve"> </w:t>
      </w:r>
      <w:r w:rsidRPr="00E33B54">
        <w:rPr>
          <w:szCs w:val="22"/>
        </w:rPr>
        <w:t>https://fjallfoss.fcc.gov/coresWeb/publicHome.do</w:t>
      </w:r>
      <w:r w:rsidRPr="00A544AC">
        <w:rPr>
          <w:color w:val="000000"/>
          <w:szCs w:val="22"/>
        </w:rPr>
        <w:t>.</w:t>
      </w:r>
    </w:p>
  </w:footnote>
  <w:footnote w:id="189">
    <w:p w:rsidR="0083344C" w:rsidRDefault="0083344C" w:rsidP="00EB5B97">
      <w:pPr>
        <w:pStyle w:val="FootnoteText"/>
      </w:pPr>
      <w:r>
        <w:rPr>
          <w:rStyle w:val="FootnoteReference"/>
        </w:rPr>
        <w:footnoteRef/>
      </w:r>
      <w:r>
        <w:t xml:space="preserve"> </w:t>
      </w:r>
      <w:r w:rsidRPr="00295162">
        <w:t xml:space="preserve">Contact [FCC Contact] to discuss the manual submission of your database container file on hard drive(s) if it is excessively large and cannot reasonably be submitted electronically to the FCC using the </w:t>
      </w:r>
      <w:r w:rsidRPr="00295162">
        <w:rPr>
          <w:iCs/>
        </w:rPr>
        <w:t xml:space="preserve">SSH File Transfer Protocol, </w:t>
      </w:r>
      <w:r w:rsidRPr="00295162">
        <w:rPr>
          <w:i/>
          <w:iCs/>
        </w:rPr>
        <w:t>i.e.</w:t>
      </w:r>
      <w:r w:rsidRPr="00295162">
        <w:rPr>
          <w:iCs/>
        </w:rPr>
        <w:t xml:space="preserve">, if the file is more than 11 </w:t>
      </w:r>
      <w:r w:rsidRPr="00295162">
        <w:t>gigabytes in size.  The Filer Identification Information and Certification is required even for manual submissions.</w:t>
      </w:r>
    </w:p>
  </w:footnote>
  <w:footnote w:id="190">
    <w:p w:rsidR="0083344C" w:rsidRDefault="0083344C">
      <w:pPr>
        <w:pStyle w:val="FootnoteText"/>
      </w:pPr>
      <w:r>
        <w:rPr>
          <w:rStyle w:val="FootnoteReference"/>
        </w:rPr>
        <w:footnoteRef/>
      </w:r>
      <w:r>
        <w:t xml:space="preserve"> </w:t>
      </w:r>
      <w:r w:rsidRPr="0089304F">
        <w:rPr>
          <w:i/>
        </w:rPr>
        <w:t>See</w:t>
      </w:r>
      <w:r>
        <w:t xml:space="preserve"> Instructions at </w:t>
      </w:r>
      <w:r w:rsidR="00262C24">
        <w:t>9</w:t>
      </w:r>
      <w:r>
        <w:t xml:space="preserve">.  </w:t>
      </w:r>
    </w:p>
  </w:footnote>
  <w:footnote w:id="191">
    <w:p w:rsidR="0083344C" w:rsidRDefault="0083344C">
      <w:pPr>
        <w:pStyle w:val="FootnoteText"/>
      </w:pPr>
      <w:r>
        <w:rPr>
          <w:rStyle w:val="FootnoteReference"/>
        </w:rPr>
        <w:footnoteRef/>
      </w:r>
      <w:r>
        <w:t xml:space="preserve"> </w:t>
      </w:r>
      <w:r w:rsidRPr="006D297D">
        <w:rPr>
          <w:i/>
        </w:rPr>
        <w:t>See, e.g.</w:t>
      </w:r>
      <w:r>
        <w:t xml:space="preserve">, </w:t>
      </w:r>
      <w:r w:rsidRPr="00AD1E5A">
        <w:rPr>
          <w:i/>
        </w:rPr>
        <w:t>Data Collection Implementation Order</w:t>
      </w:r>
      <w:r>
        <w:t xml:space="preserve">, App. B, Questions II.A.4 (asking for information on </w:t>
      </w:r>
      <w:r w:rsidRPr="006D297D">
        <w:rPr>
          <w:i/>
        </w:rPr>
        <w:t>Locations</w:t>
      </w:r>
      <w:r>
        <w:t>) and II.A.12 (asking for billing information).</w:t>
      </w:r>
    </w:p>
  </w:footnote>
  <w:footnote w:id="192">
    <w:p w:rsidR="0083344C" w:rsidRDefault="0083344C">
      <w:pPr>
        <w:pStyle w:val="FootnoteText"/>
      </w:pPr>
      <w:r>
        <w:rPr>
          <w:rStyle w:val="FootnoteReference"/>
        </w:rPr>
        <w:footnoteRef/>
      </w:r>
      <w:r>
        <w:t xml:space="preserve"> Metro Ethernet is an Ethernet metropolitan area network service offering that involves centrally positioning one or more gigabit Ethernet (GbE) or 10 gigabit Ethernet (10 GbE) switches in a metro area.  It offers the advantage of carrying all traffic in native Ethernet format, with no requirement for introducing SDH/SONET, frame relay, ATM or other Physical Layer or Data Link Layer protocols that can increase both complexity and cost, while adding overhead.  </w:t>
      </w:r>
      <w:r w:rsidRPr="008B5649">
        <w:rPr>
          <w:i/>
        </w:rPr>
        <w:t>See</w:t>
      </w:r>
      <w:r>
        <w:t xml:space="preserve"> </w:t>
      </w:r>
      <w:r>
        <w:rPr>
          <w:i/>
        </w:rPr>
        <w:t>Webster’s New World Telecom Dictionary</w:t>
      </w:r>
      <w:r>
        <w:t xml:space="preserve"> (2010); </w:t>
      </w:r>
      <w:r w:rsidRPr="008B5649">
        <w:rPr>
          <w:i/>
        </w:rPr>
        <w:t>s</w:t>
      </w:r>
      <w:r>
        <w:rPr>
          <w:i/>
        </w:rPr>
        <w:t xml:space="preserve">ee also </w:t>
      </w:r>
      <w:r>
        <w:t xml:space="preserve">Ralph Santitoro, Metro Ethernet Forum White Paper, </w:t>
      </w:r>
      <w:r>
        <w:rPr>
          <w:i/>
        </w:rPr>
        <w:t>Metro Ethernet Services – A Technical Overview</w:t>
      </w:r>
      <w:r>
        <w:t xml:space="preserve"> (2006), </w:t>
      </w:r>
      <w:r>
        <w:rPr>
          <w:i/>
        </w:rPr>
        <w:t xml:space="preserve">available at </w:t>
      </w:r>
      <w:r w:rsidRPr="00E33B54">
        <w:t>http://metroethernetforum.org/</w:t>
      </w:r>
      <w:r>
        <w:t>White_Papers/</w:t>
      </w:r>
      <w:r w:rsidRPr="00E33B54">
        <w:t>metro-ethernet-services.pdf</w:t>
      </w:r>
      <w:r>
        <w:rPr>
          <w:b/>
        </w:rPr>
        <w:t xml:space="preserve"> </w:t>
      </w:r>
      <w:r>
        <w:t>(providing a comprehensive technical overview of Ethernet services) (last visited Sept. 9, 2013).</w:t>
      </w:r>
    </w:p>
  </w:footnote>
  <w:footnote w:id="193">
    <w:p w:rsidR="0083344C" w:rsidRDefault="0083344C" w:rsidP="00EB5B97">
      <w:pPr>
        <w:pStyle w:val="FootnoteText"/>
      </w:pPr>
      <w:r>
        <w:rPr>
          <w:rStyle w:val="FootnoteReference"/>
        </w:rPr>
        <w:footnoteRef/>
      </w:r>
      <w:r>
        <w:t xml:space="preserve"> </w:t>
      </w:r>
      <w:r>
        <w:rPr>
          <w:color w:val="000000"/>
        </w:rPr>
        <w:t xml:space="preserve">Examples of services incorporating a </w:t>
      </w:r>
      <w:r w:rsidRPr="005B5654">
        <w:rPr>
          <w:i/>
          <w:color w:val="000000"/>
        </w:rPr>
        <w:t>Dedicated Service</w:t>
      </w:r>
      <w:r>
        <w:rPr>
          <w:color w:val="000000"/>
        </w:rPr>
        <w:t xml:space="preserve"> could include:  the Converged Business Network solution offered by Level 3; High-Speed Dedicated Internet Access from XO or a business Ethernet solution from TW Telecom.  </w:t>
      </w:r>
      <w:r w:rsidRPr="00920350">
        <w:rPr>
          <w:i/>
        </w:rPr>
        <w:t>See</w:t>
      </w:r>
      <w:r>
        <w:t xml:space="preserve"> Converged Business Network, Level 3 Communications Inc. (Level 3), </w:t>
      </w:r>
      <w:r w:rsidRPr="00E33B54">
        <w:t>http://www.level3.com/en/products-and-services/data-and-internet/converged-business-network/</w:t>
      </w:r>
      <w:r>
        <w:t xml:space="preserve"> (discussing Level 3’s Converged Business Network offering that combines Internet, data and voice services over a single access circuit) (last visited Sept. 9, 2013); Dedicated Internet Access, XO Communications, LLC, </w:t>
      </w:r>
      <w:r w:rsidRPr="00E33B54">
        <w:t>http://www.xo.com/services/network/dia/Pages/overview.aspx</w:t>
      </w:r>
      <w:r>
        <w:t xml:space="preserve"> (discussing dedicated Internet access) (last visited Sept. 9, 2013); Business Ethernet, tw telecom, Inc., </w:t>
      </w:r>
      <w:r w:rsidRPr="00E33B54">
        <w:t>http://www.twtelecom.com/telecom-solutions/voice-solutions/business-ethernet-services/</w:t>
      </w:r>
      <w:r>
        <w:t xml:space="preserve"> (discussing business Ethernet services) (last visited Sept. 9, 2013). </w:t>
      </w:r>
    </w:p>
  </w:footnote>
  <w:footnote w:id="194">
    <w:p w:rsidR="0083344C" w:rsidRDefault="0083344C" w:rsidP="00EB5B97">
      <w:pPr>
        <w:pStyle w:val="FootnoteText"/>
      </w:pPr>
      <w:r>
        <w:rPr>
          <w:rStyle w:val="FootnoteReference"/>
        </w:rPr>
        <w:footnoteRef/>
      </w:r>
      <w:r>
        <w:t xml:space="preserve"> </w:t>
      </w:r>
      <w:r w:rsidRPr="00D92BDA">
        <w:rPr>
          <w:i/>
        </w:rPr>
        <w:t>See, e.g.</w:t>
      </w:r>
      <w:r>
        <w:t xml:space="preserve">, Business Internet + Voice, Comcast Corp. (Comcast), </w:t>
      </w:r>
      <w:r w:rsidRPr="00E33B54">
        <w:t>http://business.comcast.com/smb/bundle</w:t>
      </w:r>
      <w:r>
        <w:t xml:space="preserve"> (discussing a Comcast Business Class bundled service offering that includes business voice, web hosting, email, and Internet access at monthly rates) (last visited Sept. 9, 2013); Cox Business Internet, Cox Communications, Inc., </w:t>
      </w:r>
      <w:r w:rsidRPr="00E33B54">
        <w:t>http://ww2.cox.com/business/oklahomacity/data/business-internet.cox?campcode=gntile_b_data_internet</w:t>
      </w:r>
      <w:r>
        <w:t xml:space="preserve"> (last visited Sept. 9, 2013); Business Internet, Bright House Networks, </w:t>
      </w:r>
      <w:r w:rsidRPr="00E33B54">
        <w:t>http://business.brighthouse.com/products-and-services/data-and-internet/broadband-internet.html</w:t>
      </w:r>
      <w:r>
        <w:t xml:space="preserve"> (last visited Sept. 9, 2013); Optimum: TV, Phone and Internet Services for your Business, Cablevision Systems Corp., </w:t>
      </w:r>
      <w:r w:rsidRPr="00E33B54">
        <w:t>http://www.optimumbusiness.com/</w:t>
      </w:r>
      <w:r>
        <w:t xml:space="preserve"> (last visited Sept. 9, 2013).</w:t>
      </w:r>
    </w:p>
  </w:footnote>
  <w:footnote w:id="195">
    <w:p w:rsidR="0083344C" w:rsidRDefault="0083344C">
      <w:pPr>
        <w:pStyle w:val="FootnoteText"/>
      </w:pPr>
      <w:r>
        <w:rPr>
          <w:rStyle w:val="FootnoteReference"/>
        </w:rPr>
        <w:footnoteRef/>
      </w:r>
      <w:r>
        <w:t xml:space="preserve"> </w:t>
      </w:r>
      <w:r w:rsidRPr="00E57491">
        <w:rPr>
          <w:i/>
        </w:rPr>
        <w:t>See supra</w:t>
      </w:r>
      <w:r>
        <w:t xml:space="preserve"> note 19 (providing example of </w:t>
      </w:r>
      <w:r>
        <w:rPr>
          <w:color w:val="000000"/>
        </w:rPr>
        <w:t xml:space="preserve">services incorporating a </w:t>
      </w:r>
      <w:r w:rsidRPr="005B5654">
        <w:rPr>
          <w:i/>
          <w:color w:val="000000"/>
        </w:rPr>
        <w:t>Dedicated Service</w:t>
      </w:r>
      <w:r w:rsidRPr="00E57491">
        <w:rPr>
          <w:color w:val="000000"/>
        </w:rPr>
        <w:t>)</w:t>
      </w:r>
      <w:r>
        <w:t>.</w:t>
      </w:r>
    </w:p>
  </w:footnote>
  <w:footnote w:id="196">
    <w:p w:rsidR="0083344C" w:rsidRDefault="0083344C" w:rsidP="00EB5B97">
      <w:pPr>
        <w:pStyle w:val="FootnoteText"/>
      </w:pPr>
      <w:r>
        <w:rPr>
          <w:rStyle w:val="FootnoteReference"/>
        </w:rPr>
        <w:footnoteRef/>
      </w:r>
      <w:r>
        <w:t xml:space="preserve"> </w:t>
      </w:r>
      <w:r w:rsidRPr="0031458B">
        <w:rPr>
          <w:i/>
        </w:rPr>
        <w:t>See</w:t>
      </w:r>
      <w:r>
        <w:t xml:space="preserve"> System and Tools, Iconectiv, </w:t>
      </w:r>
      <w:r w:rsidRPr="00E33B54">
        <w:t>https://codecenter.commonlanguage.com/systems.asp?#clones</w:t>
      </w:r>
      <w:r>
        <w:t xml:space="preserve"> (providing information about CLONES) (last visited Sept. 9, 2013).</w:t>
      </w:r>
    </w:p>
  </w:footnote>
  <w:footnote w:id="197">
    <w:p w:rsidR="0083344C" w:rsidRDefault="0083344C" w:rsidP="00EB5B97">
      <w:pPr>
        <w:pStyle w:val="FootnoteText"/>
      </w:pPr>
      <w:r>
        <w:rPr>
          <w:rStyle w:val="FootnoteReference"/>
        </w:rPr>
        <w:footnoteRef/>
      </w:r>
      <w:r>
        <w:t xml:space="preserve"> Forcing a minimum of two sampling units per </w:t>
      </w:r>
      <w:r w:rsidRPr="008175FE">
        <w:rPr>
          <w:i/>
        </w:rPr>
        <w:t>Competitive Provider</w:t>
      </w:r>
      <w:r>
        <w:t xml:space="preserve"> allows for unambiguous estimates of the stratified sample’s standard deviation.</w:t>
      </w:r>
    </w:p>
  </w:footnote>
  <w:footnote w:id="198">
    <w:p w:rsidR="0083344C" w:rsidRDefault="0083344C">
      <w:pPr>
        <w:pStyle w:val="FootnoteText"/>
      </w:pPr>
      <w:r>
        <w:rPr>
          <w:rStyle w:val="FootnoteReference"/>
        </w:rPr>
        <w:footnoteRef/>
      </w:r>
      <w:r>
        <w:t xml:space="preserve"> High level officers could include the president, chief executive officer, chief financial officer, vice president, general counsel, etc.</w:t>
      </w:r>
    </w:p>
  </w:footnote>
  <w:footnote w:id="199">
    <w:p w:rsidR="0083344C" w:rsidRDefault="0083344C">
      <w:pPr>
        <w:pStyle w:val="FootnoteText"/>
      </w:pPr>
      <w:r>
        <w:rPr>
          <w:rStyle w:val="FootnoteReference"/>
        </w:rPr>
        <w:footnoteRef/>
      </w:r>
      <w:r>
        <w:t xml:space="preserve"> Subparts listed herein refer to supbarts in Question II.A.12.</w:t>
      </w:r>
    </w:p>
  </w:footnote>
  <w:footnote w:id="200">
    <w:p w:rsidR="0083344C" w:rsidRDefault="0083344C">
      <w:pPr>
        <w:pStyle w:val="FootnoteText"/>
      </w:pPr>
      <w:r>
        <w:rPr>
          <w:rStyle w:val="FootnoteReference"/>
        </w:rPr>
        <w:footnoteRef/>
      </w:r>
      <w:r>
        <w:t xml:space="preserve"> </w:t>
      </w:r>
      <w:r w:rsidRPr="00422710">
        <w:rPr>
          <w:i/>
        </w:rPr>
        <w:t>See Data Collection Implementation Order</w:t>
      </w:r>
      <w:r>
        <w:t xml:space="preserve"> § III.C (discussing changes to Questions II.A.12-14).</w:t>
      </w:r>
    </w:p>
  </w:footnote>
  <w:footnote w:id="201">
    <w:p w:rsidR="0083344C" w:rsidRDefault="0083344C">
      <w:pPr>
        <w:pStyle w:val="FootnoteText"/>
      </w:pPr>
      <w:r>
        <w:rPr>
          <w:rStyle w:val="FootnoteReference"/>
        </w:rPr>
        <w:footnoteRef/>
      </w:r>
      <w:r>
        <w:t xml:space="preserve"> </w:t>
      </w:r>
      <w:r w:rsidRPr="00937906">
        <w:t xml:space="preserve">We note that </w:t>
      </w:r>
      <w:r w:rsidRPr="00937906">
        <w:rPr>
          <w:i/>
        </w:rPr>
        <w:t>Competitive Providers</w:t>
      </w:r>
      <w:r>
        <w:t xml:space="preserve"> may report </w:t>
      </w:r>
      <w:r w:rsidRPr="00937906">
        <w:t xml:space="preserve">more unique Location IDs in response to Question II.A.4 than are referenced in response to Question II.A.12 because </w:t>
      </w:r>
      <w:r w:rsidRPr="00937906">
        <w:rPr>
          <w:i/>
        </w:rPr>
        <w:t>Competitive Providers</w:t>
      </w:r>
      <w:r w:rsidRPr="00937906">
        <w:t xml:space="preserve"> report </w:t>
      </w:r>
      <w:r w:rsidRPr="00937906">
        <w:rPr>
          <w:i/>
        </w:rPr>
        <w:t>Locations</w:t>
      </w:r>
      <w:r w:rsidRPr="00937906">
        <w:t xml:space="preserve"> with </w:t>
      </w:r>
      <w:r w:rsidRPr="00937906">
        <w:rPr>
          <w:i/>
        </w:rPr>
        <w:t>Connections</w:t>
      </w:r>
      <w:r w:rsidRPr="00937906">
        <w:t xml:space="preserve"> that are both idle and in-service.  </w:t>
      </w:r>
      <w:r w:rsidRPr="00937906">
        <w:rPr>
          <w:i/>
        </w:rPr>
        <w:t>Competitive Providers</w:t>
      </w:r>
      <w:r w:rsidRPr="00937906">
        <w:t xml:space="preserve"> will </w:t>
      </w:r>
      <w:r>
        <w:t xml:space="preserve">only report </w:t>
      </w:r>
      <w:r w:rsidRPr="00937906">
        <w:t xml:space="preserve">billing information for </w:t>
      </w:r>
      <w:r>
        <w:t xml:space="preserve">those </w:t>
      </w:r>
      <w:r w:rsidRPr="00937906">
        <w:rPr>
          <w:i/>
        </w:rPr>
        <w:t>Locations</w:t>
      </w:r>
      <w:r w:rsidRPr="00937906">
        <w:t xml:space="preserve"> with </w:t>
      </w:r>
      <w:r>
        <w:t>in-service</w:t>
      </w:r>
      <w:r w:rsidRPr="00937906">
        <w:t xml:space="preserve"> </w:t>
      </w:r>
      <w:r w:rsidRPr="00937906">
        <w:rPr>
          <w:i/>
        </w:rPr>
        <w:t>Connections</w:t>
      </w:r>
      <w:r w:rsidRPr="00937906">
        <w:t>.</w:t>
      </w:r>
      <w:r>
        <w:rPr>
          <w:sz w:val="22"/>
          <w:szCs w:val="22"/>
        </w:rPr>
        <w:t xml:space="preserve">  </w:t>
      </w:r>
    </w:p>
  </w:footnote>
  <w:footnote w:id="202">
    <w:p w:rsidR="0083344C" w:rsidRDefault="0083344C">
      <w:pPr>
        <w:pStyle w:val="FootnoteText"/>
      </w:pPr>
      <w:r>
        <w:rPr>
          <w:rStyle w:val="FootnoteReference"/>
        </w:rPr>
        <w:footnoteRef/>
      </w:r>
      <w:r>
        <w:t xml:space="preserve"> </w:t>
      </w:r>
      <w:r w:rsidRPr="002A2CC3">
        <w:rPr>
          <w:i/>
        </w:rPr>
        <w:t>ILECs</w:t>
      </w:r>
      <w:r>
        <w:t xml:space="preserve"> are not required to separately report </w:t>
      </w:r>
      <w:r w:rsidRPr="002A2CC3">
        <w:rPr>
          <w:i/>
        </w:rPr>
        <w:t>Locations</w:t>
      </w:r>
      <w:r>
        <w:t xml:space="preserve"> with </w:t>
      </w:r>
      <w:r>
        <w:rPr>
          <w:i/>
        </w:rPr>
        <w:t xml:space="preserve">Connections </w:t>
      </w:r>
      <w:r>
        <w:t xml:space="preserve">sold as </w:t>
      </w:r>
      <w:r w:rsidRPr="002A2CC3">
        <w:rPr>
          <w:i/>
        </w:rPr>
        <w:t>UNEs</w:t>
      </w:r>
      <w:r>
        <w:t xml:space="preserve">; these </w:t>
      </w:r>
      <w:r w:rsidRPr="002A2CC3">
        <w:rPr>
          <w:i/>
        </w:rPr>
        <w:t>Connections</w:t>
      </w:r>
      <w:r>
        <w:t xml:space="preserve"> are instead included in the </w:t>
      </w:r>
      <w:r w:rsidRPr="002A2CC3">
        <w:rPr>
          <w:i/>
        </w:rPr>
        <w:t>Locations</w:t>
      </w:r>
      <w:r>
        <w:t xml:space="preserve"> reported with owned </w:t>
      </w:r>
      <w:r w:rsidRPr="002A2CC3">
        <w:rPr>
          <w:i/>
        </w:rPr>
        <w:t>Connections</w:t>
      </w:r>
      <w:r>
        <w:t xml:space="preserve">.  </w:t>
      </w:r>
      <w:r w:rsidRPr="002A2CC3">
        <w:rPr>
          <w:i/>
        </w:rPr>
        <w:t>See Data Collection Implementation Order</w:t>
      </w:r>
      <w:r>
        <w:t xml:space="preserve"> § III.C.</w:t>
      </w:r>
    </w:p>
  </w:footnote>
  <w:footnote w:id="203">
    <w:p w:rsidR="0083344C" w:rsidRDefault="0083344C" w:rsidP="00EB5B97">
      <w:pPr>
        <w:pStyle w:val="FootnoteText"/>
      </w:pPr>
      <w:r>
        <w:rPr>
          <w:rStyle w:val="FootnoteReference"/>
        </w:rPr>
        <w:footnoteRef/>
      </w:r>
      <w:r>
        <w:t xml:space="preserve"> </w:t>
      </w:r>
      <w:r>
        <w:rPr>
          <w:color w:val="000000"/>
        </w:rPr>
        <w:t xml:space="preserve">Examples of services incorporating a </w:t>
      </w:r>
      <w:r w:rsidRPr="005B5654">
        <w:rPr>
          <w:i/>
          <w:color w:val="000000"/>
        </w:rPr>
        <w:t>Dedicated Service</w:t>
      </w:r>
      <w:r>
        <w:rPr>
          <w:color w:val="000000"/>
        </w:rPr>
        <w:t xml:space="preserve"> could include:  </w:t>
      </w:r>
      <w:r w:rsidRPr="00E25481">
        <w:rPr>
          <w:color w:val="000000"/>
        </w:rPr>
        <w:t>AT&amp;T’s Managed Internet Access service</w:t>
      </w:r>
      <w:r>
        <w:rPr>
          <w:color w:val="000000"/>
        </w:rPr>
        <w:t>,</w:t>
      </w:r>
      <w:r w:rsidRPr="00E25481">
        <w:rPr>
          <w:color w:val="000000"/>
        </w:rPr>
        <w:t xml:space="preserve"> Verizon’s Private IP service</w:t>
      </w:r>
      <w:r>
        <w:rPr>
          <w:color w:val="000000"/>
        </w:rPr>
        <w:t>,</w:t>
      </w:r>
      <w:r w:rsidRPr="00E25481">
        <w:rPr>
          <w:color w:val="000000"/>
        </w:rPr>
        <w:t xml:space="preserve"> and Frontier’s Ethernet Internet Access service.  </w:t>
      </w:r>
      <w:r w:rsidRPr="00E25481">
        <w:rPr>
          <w:i/>
          <w:iCs/>
          <w:color w:val="000000"/>
        </w:rPr>
        <w:t>See</w:t>
      </w:r>
      <w:r w:rsidRPr="00E25481">
        <w:rPr>
          <w:color w:val="000000"/>
        </w:rPr>
        <w:t xml:space="preserve"> </w:t>
      </w:r>
      <w:r w:rsidRPr="00967EE5">
        <w:rPr>
          <w:color w:val="000000"/>
        </w:rPr>
        <w:t>http://www.business.att.com/enterprise/Service/network-services/internet-connectivity/managed-internet-service/</w:t>
      </w:r>
      <w:r w:rsidRPr="00E25481">
        <w:rPr>
          <w:color w:val="000000"/>
        </w:rPr>
        <w:t xml:space="preserve"> (discussing AT&amp;T’s Managed Internet Access service that provides dedicated access to the Internet or a VPN) (last visited June 24, 2013); </w:t>
      </w:r>
      <w:r w:rsidRPr="00967EE5">
        <w:rPr>
          <w:color w:val="000000"/>
        </w:rPr>
        <w:t>http://www.verizonenterprise.com/us/products/networking/private-ip/</w:t>
      </w:r>
      <w:r w:rsidRPr="00E25481">
        <w:rPr>
          <w:color w:val="000000"/>
        </w:rPr>
        <w:t xml:space="preserve"> (discussing Verizon’s Private IP service which provides a managed VPN / intranet) (last visited June 24, 2013); </w:t>
      </w:r>
      <w:r w:rsidRPr="00967EE5">
        <w:rPr>
          <w:color w:val="000000"/>
        </w:rPr>
        <w:t>http://www.frontier.com/enterprise/internet/internet-services/ethernet</w:t>
      </w:r>
      <w:r>
        <w:rPr>
          <w:color w:val="000000"/>
        </w:rPr>
        <w:t xml:space="preserve"> (discussi</w:t>
      </w:r>
      <w:r w:rsidRPr="00E25481">
        <w:rPr>
          <w:color w:val="000000"/>
        </w:rPr>
        <w:t>n</w:t>
      </w:r>
      <w:r>
        <w:rPr>
          <w:color w:val="000000"/>
        </w:rPr>
        <w:t>g</w:t>
      </w:r>
      <w:r w:rsidRPr="00E25481">
        <w:rPr>
          <w:color w:val="000000"/>
        </w:rPr>
        <w:t xml:space="preserve"> Frontier’s Ethernet Internet Access service which provides dedicated access to the Internet) (last visited June 24, 2013).</w:t>
      </w:r>
      <w:r>
        <w:t xml:space="preserve"> </w:t>
      </w:r>
    </w:p>
  </w:footnote>
  <w:footnote w:id="204">
    <w:p w:rsidR="0083344C" w:rsidRDefault="0083344C">
      <w:pPr>
        <w:pStyle w:val="FootnoteText"/>
      </w:pPr>
      <w:r>
        <w:rPr>
          <w:rStyle w:val="FootnoteReference"/>
        </w:rPr>
        <w:footnoteRef/>
      </w:r>
      <w:r>
        <w:t xml:space="preserve"> </w:t>
      </w:r>
      <w:r w:rsidRPr="00A018D2">
        <w:rPr>
          <w:i/>
        </w:rPr>
        <w:t>See</w:t>
      </w:r>
      <w:r>
        <w:t xml:space="preserve"> AT&amp;T, </w:t>
      </w:r>
      <w:r w:rsidRPr="00967EE5">
        <w:t>http://www.att.com/u-verse/shop/index.jsp#fbid=axqyY_KT2cT</w:t>
      </w:r>
      <w:r>
        <w:t xml:space="preserve"> (last visited Mar. 20, 2013); Verizon, </w:t>
      </w:r>
      <w:r w:rsidRPr="00967EE5">
        <w:t>http://www.verizonfios.com/</w:t>
      </w:r>
      <w:r>
        <w:t xml:space="preserve"> (last visited Mar. 20, 2013).</w:t>
      </w:r>
    </w:p>
  </w:footnote>
  <w:footnote w:id="205">
    <w:p w:rsidR="0083344C" w:rsidRDefault="0083344C" w:rsidP="00EB5B97">
      <w:pPr>
        <w:pStyle w:val="FootnoteText"/>
      </w:pPr>
      <w:r>
        <w:rPr>
          <w:rStyle w:val="FootnoteReference"/>
        </w:rPr>
        <w:footnoteRef/>
      </w:r>
      <w:r>
        <w:t xml:space="preserve"> Subparts listed herein refer to supbarts in Question II.B.4.</w:t>
      </w:r>
    </w:p>
  </w:footnote>
  <w:footnote w:id="206">
    <w:p w:rsidR="0083344C" w:rsidRDefault="0083344C" w:rsidP="00EB5B97">
      <w:pPr>
        <w:pStyle w:val="FootnoteText"/>
      </w:pPr>
      <w:r>
        <w:rPr>
          <w:rStyle w:val="FootnoteReference"/>
        </w:rPr>
        <w:footnoteRef/>
      </w:r>
      <w:r>
        <w:t xml:space="preserve"> </w:t>
      </w:r>
      <w:r w:rsidRPr="00422710">
        <w:rPr>
          <w:i/>
        </w:rPr>
        <w:t>See Data Collection Implementation Order</w:t>
      </w:r>
      <w:r>
        <w:t xml:space="preserve"> § III.C (discussing changes to Questions II.B.4-6).</w:t>
      </w:r>
    </w:p>
  </w:footnote>
  <w:footnote w:id="207">
    <w:p w:rsidR="0083344C" w:rsidRDefault="0083344C">
      <w:pPr>
        <w:pStyle w:val="FootnoteText"/>
      </w:pPr>
      <w:r>
        <w:rPr>
          <w:rStyle w:val="FootnoteReference"/>
        </w:rPr>
        <w:footnoteRef/>
      </w:r>
      <w:r>
        <w:t xml:space="preserve"> </w:t>
      </w:r>
      <w:r w:rsidRPr="0009244F">
        <w:rPr>
          <w:i/>
        </w:rPr>
        <w:t>See</w:t>
      </w:r>
      <w:r>
        <w:t xml:space="preserve"> Instructions at </w:t>
      </w:r>
      <w:r w:rsidR="00262C24">
        <w:t>9</w:t>
      </w:r>
      <w:r>
        <w:t>.</w:t>
      </w:r>
    </w:p>
  </w:footnote>
  <w:footnote w:id="208">
    <w:p w:rsidR="0083344C" w:rsidRDefault="0083344C">
      <w:pPr>
        <w:pStyle w:val="FootnoteText"/>
      </w:pPr>
      <w:r>
        <w:rPr>
          <w:rStyle w:val="FootnoteReference"/>
        </w:rPr>
        <w:footnoteRef/>
      </w:r>
      <w:r>
        <w:t xml:space="preserve"> The instructions included in Appendix A and the accompanying Report and Order (DA 13-1909) provide additional information on how to respond to these questions.   </w:t>
      </w:r>
    </w:p>
  </w:footnote>
  <w:footnote w:id="209">
    <w:p w:rsidR="0083344C" w:rsidRDefault="0083344C">
      <w:pPr>
        <w:pStyle w:val="FootnoteText"/>
      </w:pPr>
      <w:r>
        <w:rPr>
          <w:rStyle w:val="FootnoteReference"/>
        </w:rPr>
        <w:footnoteRef/>
      </w:r>
      <w:r>
        <w:t xml:space="preserve"> </w:t>
      </w:r>
      <w:r>
        <w:rPr>
          <w:i/>
          <w:iCs/>
          <w:snapToGrid w:val="0"/>
        </w:rPr>
        <w:t>See</w:t>
      </w:r>
      <w:r>
        <w:rPr>
          <w:snapToGrid w:val="0"/>
        </w:rPr>
        <w:t xml:space="preserve"> </w:t>
      </w:r>
      <w:r>
        <w:rPr>
          <w:i/>
          <w:snapToGrid w:val="0"/>
        </w:rPr>
        <w:t>Implementation of Section 6002(b) of the Omnibus Budget Reconciliation Act of 1993, Annual Report and Analysis of Competitive Market Conditions with Respect to Mobile Wireless, Including Commercial Mobile Services</w:t>
      </w:r>
      <w:r>
        <w:rPr>
          <w:snapToGrid w:val="0"/>
        </w:rPr>
        <w:t>, WT Docket No. 11-186, Sixteenth Report, 28 FCC Rcd 3700, 3729-30, paras. 3-5 (2013).</w:t>
      </w:r>
    </w:p>
  </w:footnote>
  <w:footnote w:id="210">
    <w:p w:rsidR="0083344C" w:rsidRDefault="0083344C">
      <w:pPr>
        <w:pStyle w:val="FootnoteText"/>
      </w:pPr>
      <w:r>
        <w:rPr>
          <w:rStyle w:val="FootnoteReference"/>
        </w:rPr>
        <w:footnoteRef/>
      </w:r>
      <w:r>
        <w:t xml:space="preserve"> </w:t>
      </w:r>
      <w:r>
        <w:rPr>
          <w:i/>
        </w:rPr>
        <w:t>See</w:t>
      </w:r>
      <w:r>
        <w:t xml:space="preserve"> 47 U.S.C. § 251; </w:t>
      </w:r>
      <w:r>
        <w:rPr>
          <w:i/>
        </w:rPr>
        <w:t>see also</w:t>
      </w:r>
      <w:r>
        <w:t xml:space="preserve"> 47 C.F.R. §§ 51.5 (defining network element), 51.319 (outlining specific unbundling requirements).</w:t>
      </w:r>
    </w:p>
  </w:footnote>
  <w:footnote w:id="211">
    <w:p w:rsidR="0083344C" w:rsidRDefault="0083344C" w:rsidP="00EB5B97">
      <w:pPr>
        <w:pStyle w:val="FootnoteText"/>
      </w:pPr>
      <w:r>
        <w:rPr>
          <w:rStyle w:val="FootnoteReference"/>
        </w:rPr>
        <w:footnoteRef/>
      </w:r>
      <w:r>
        <w:t xml:space="preserve"> The ten year duration is measured at the time a grantee entered into the </w:t>
      </w:r>
      <w:r>
        <w:rPr>
          <w:i/>
        </w:rPr>
        <w:t>IRU</w:t>
      </w:r>
      <w:r>
        <w:t xml:space="preserve"> agreement.</w:t>
      </w:r>
    </w:p>
  </w:footnote>
  <w:footnote w:id="212">
    <w:p w:rsidR="0083344C" w:rsidRDefault="0083344C" w:rsidP="00EB5B97">
      <w:pPr>
        <w:autoSpaceDE w:val="0"/>
        <w:autoSpaceDN w:val="0"/>
        <w:adjustRightInd w:val="0"/>
        <w:rPr>
          <w:rFonts w:cs="TimesNewRoman"/>
          <w:color w:val="010101"/>
          <w:sz w:val="20"/>
        </w:rPr>
      </w:pPr>
      <w:r>
        <w:rPr>
          <w:rStyle w:val="FootnoteReference"/>
        </w:rPr>
        <w:footnoteRef/>
      </w:r>
      <w:r>
        <w:t xml:space="preserve"> </w:t>
      </w:r>
      <w:r>
        <w:rPr>
          <w:sz w:val="20"/>
        </w:rPr>
        <w:t xml:space="preserve">To enter into an </w:t>
      </w:r>
      <w:r>
        <w:rPr>
          <w:i/>
          <w:sz w:val="20"/>
        </w:rPr>
        <w:t>IRU</w:t>
      </w:r>
      <w:r>
        <w:rPr>
          <w:sz w:val="20"/>
        </w:rPr>
        <w:t xml:space="preserve"> contract, grantees are usually required to pay the total amount due under the terms of that contract.  However, some </w:t>
      </w:r>
      <w:r>
        <w:rPr>
          <w:i/>
          <w:sz w:val="20"/>
        </w:rPr>
        <w:t>IRU</w:t>
      </w:r>
      <w:r>
        <w:rPr>
          <w:sz w:val="20"/>
        </w:rPr>
        <w:t xml:space="preserve"> contracts require a smaller initial payment, with installment payments throughout the duration of the contract.  At a minimum, a grantee typically pays at least 25 percent of the total amount due under the </w:t>
      </w:r>
      <w:r>
        <w:rPr>
          <w:i/>
          <w:sz w:val="20"/>
        </w:rPr>
        <w:t>IRU</w:t>
      </w:r>
      <w:r>
        <w:rPr>
          <w:sz w:val="20"/>
        </w:rPr>
        <w:t xml:space="preserve"> contract upfront (excluding operations and maintenance fees), with commitments to make regularly scheduled installment payments, to qualify as an </w:t>
      </w:r>
      <w:r>
        <w:rPr>
          <w:i/>
          <w:sz w:val="20"/>
        </w:rPr>
        <w:t>IRU</w:t>
      </w:r>
      <w:r>
        <w:rPr>
          <w:sz w:val="20"/>
        </w:rPr>
        <w:t xml:space="preserve">.  </w:t>
      </w:r>
      <w:r>
        <w:rPr>
          <w:rFonts w:cs="TimesNewRoman,Italic"/>
          <w:i/>
          <w:iCs/>
          <w:color w:val="010101"/>
          <w:sz w:val="20"/>
        </w:rPr>
        <w:t>See</w:t>
      </w:r>
      <w:r>
        <w:rPr>
          <w:rFonts w:cs="TimesNewRoman,Italic"/>
          <w:iCs/>
          <w:color w:val="010101"/>
          <w:sz w:val="20"/>
        </w:rPr>
        <w:t xml:space="preserve"> </w:t>
      </w:r>
      <w:r>
        <w:rPr>
          <w:rFonts w:cs="TimesNewRoman"/>
          <w:color w:val="010101"/>
          <w:sz w:val="20"/>
        </w:rPr>
        <w:t xml:space="preserve">Michael J. Lichtenstein &amp; Charles A. Rohe, </w:t>
      </w:r>
      <w:r>
        <w:rPr>
          <w:rFonts w:cs="TimesNewRoman,Italic"/>
          <w:i/>
          <w:iCs/>
          <w:color w:val="010101"/>
          <w:sz w:val="20"/>
        </w:rPr>
        <w:t>The Treatment of IRUs in Bankruptcy Proceedings</w:t>
      </w:r>
      <w:r>
        <w:rPr>
          <w:rFonts w:cs="TimesNewRoman"/>
          <w:color w:val="010101"/>
          <w:sz w:val="20"/>
        </w:rPr>
        <w:t xml:space="preserve">, 11 J. Bankr. </w:t>
      </w:r>
      <w:r>
        <w:rPr>
          <w:sz w:val="20"/>
        </w:rPr>
        <w:t>L. &amp; Prac. 83, 86 (2001).</w:t>
      </w:r>
    </w:p>
  </w:footnote>
  <w:footnote w:id="213">
    <w:p w:rsidR="0083344C" w:rsidRDefault="0083344C">
      <w:pPr>
        <w:pStyle w:val="FootnoteText"/>
      </w:pPr>
      <w:r>
        <w:rPr>
          <w:rStyle w:val="FootnoteReference"/>
        </w:rPr>
        <w:footnoteRef/>
      </w:r>
      <w:r>
        <w:t xml:space="preserve"> </w:t>
      </w:r>
      <w:r>
        <w:rPr>
          <w:i/>
        </w:rPr>
        <w:t>See</w:t>
      </w:r>
      <w:r>
        <w:t xml:space="preserve"> </w:t>
      </w:r>
      <w:r>
        <w:rPr>
          <w:szCs w:val="22"/>
        </w:rPr>
        <w:t>47 C.F.R. § 69.707(b).</w:t>
      </w:r>
    </w:p>
  </w:footnote>
  <w:footnote w:id="214">
    <w:p w:rsidR="0083344C" w:rsidRPr="0011685E" w:rsidRDefault="0083344C" w:rsidP="00EB5B97">
      <w:pPr>
        <w:pStyle w:val="FootnoteText"/>
        <w:rPr>
          <w:i/>
          <w:iCs/>
        </w:rPr>
      </w:pPr>
      <w:r>
        <w:rPr>
          <w:rStyle w:val="FootnoteReference"/>
        </w:rPr>
        <w:footnoteRef/>
      </w:r>
      <w:r>
        <w:t xml:space="preserve"> </w:t>
      </w:r>
      <w:r w:rsidRPr="0011685E">
        <w:rPr>
          <w:i/>
        </w:rPr>
        <w:t>See</w:t>
      </w:r>
      <w:r>
        <w:t xml:space="preserve"> Petition of the Verizon Telephone Companies for Forbearance under 47 U.S.C. § 160(c) from Title II and Computer Inquiry Rules with Respect to Their Broadband Services, WC Docket No. 04-440 (filed Dec. 20, 2004); </w:t>
      </w:r>
      <w:r w:rsidRPr="00A13AD6">
        <w:t>Letter from Edward Shakin</w:t>
      </w:r>
      <w:r>
        <w:t xml:space="preserve">, </w:t>
      </w:r>
      <w:r w:rsidRPr="00A13AD6">
        <w:t>Vice President and Associate General Counsel, Verizon, to</w:t>
      </w:r>
      <w:r>
        <w:t xml:space="preserve"> </w:t>
      </w:r>
      <w:r w:rsidRPr="00A13AD6">
        <w:t>Marlene H. Dortch, Secretary, FCC, WC D</w:t>
      </w:r>
      <w:r>
        <w:t>ocke</w:t>
      </w:r>
      <w:r w:rsidRPr="00A13AD6">
        <w:t>t. No. 04-440, at 2-</w:t>
      </w:r>
      <w:r>
        <w:t xml:space="preserve">3 (filed Feb. 7, 2006); </w:t>
      </w:r>
      <w:r w:rsidRPr="00A13AD6">
        <w:t xml:space="preserve">FCC News Release, </w:t>
      </w:r>
      <w:r w:rsidRPr="00A13AD6">
        <w:rPr>
          <w:i/>
          <w:iCs/>
        </w:rPr>
        <w:t>Verizon Telephone Companies’ Petition for Forbearance from Title II</w:t>
      </w:r>
      <w:r>
        <w:rPr>
          <w:i/>
          <w:iCs/>
        </w:rPr>
        <w:t xml:space="preserve"> </w:t>
      </w:r>
      <w:r w:rsidRPr="00A13AD6">
        <w:rPr>
          <w:i/>
          <w:iCs/>
        </w:rPr>
        <w:t>and Computer Inquiry Rules with Respect to their Broadband Services Is Granted by Operation</w:t>
      </w:r>
      <w:r>
        <w:rPr>
          <w:i/>
          <w:iCs/>
        </w:rPr>
        <w:t xml:space="preserve"> </w:t>
      </w:r>
      <w:r w:rsidRPr="00A13AD6">
        <w:rPr>
          <w:i/>
          <w:iCs/>
        </w:rPr>
        <w:t xml:space="preserve">of Law </w:t>
      </w:r>
      <w:r w:rsidRPr="00A13AD6">
        <w:t>(rel. Mar. 20, 2006)</w:t>
      </w:r>
      <w:r>
        <w:t xml:space="preserve">; </w:t>
      </w:r>
      <w:r w:rsidRPr="0068186A">
        <w:rPr>
          <w:i/>
        </w:rPr>
        <w:t>Petition of AT&amp;T Inc. for Forbearance Under 47 U.S.C. § 160(c) from Title II and Computer Inquiry Rules with Respect to Its Broadband Services</w:t>
      </w:r>
      <w:r>
        <w:rPr>
          <w:i/>
        </w:rPr>
        <w:t xml:space="preserve">, </w:t>
      </w:r>
      <w:r w:rsidRPr="0011685E">
        <w:rPr>
          <w:i/>
        </w:rPr>
        <w:t>Petition of BellSouth Corporation for Forbearance Under Section 47 U.S.C. § 160(c) from Title II and Computer Inquiry Rules with Respect to Its Broadband Services</w:t>
      </w:r>
      <w:r>
        <w:t xml:space="preserve">, Memorandum Opinion and Order, 22 FCC Rcd 18705 (2007); </w:t>
      </w:r>
      <w:r w:rsidRPr="0011685E">
        <w:rPr>
          <w:i/>
        </w:rPr>
        <w:t>Petition of the Embarq Local Operating Companies for Forbearance Under 47 U.S.C. § 160(c) from Application of Computer Inquiry and Certain Title II Common-Carriage Requirements, et al.</w:t>
      </w:r>
      <w:r>
        <w:t xml:space="preserve">, Memorandum Opinion and Order, 22 FCC Rcd 19478 (2007); </w:t>
      </w:r>
      <w:r w:rsidRPr="0011685E">
        <w:rPr>
          <w:i/>
        </w:rPr>
        <w:t>Qwest Petition for Forbearance Under 47 U.S.C. § 160(c) from Title II and Computer Inquiry Rules with Respect to Broadband Services, Memorandum Opinion and Order</w:t>
      </w:r>
      <w:r>
        <w:t>, 23 FCC Rcd 12260 (2008).</w:t>
      </w:r>
    </w:p>
  </w:footnote>
  <w:footnote w:id="215">
    <w:p w:rsidR="0083344C" w:rsidRPr="001E4D6A" w:rsidRDefault="0083344C">
      <w:pPr>
        <w:pStyle w:val="FootnoteText"/>
      </w:pPr>
      <w:r w:rsidRPr="001E4D6A">
        <w:rPr>
          <w:rStyle w:val="FootnoteReference"/>
        </w:rPr>
        <w:footnoteRef/>
      </w:r>
      <w:r w:rsidRPr="001E4D6A">
        <w:t xml:space="preserve"> </w:t>
      </w:r>
      <w:r w:rsidRPr="001E4D6A">
        <w:rPr>
          <w:rStyle w:val="DeltaViewInsertion"/>
          <w:color w:val="auto"/>
          <w:szCs w:val="24"/>
          <w:u w:val="none"/>
        </w:rPr>
        <w:t xml:space="preserve">To be clear, we expect </w:t>
      </w:r>
      <w:r w:rsidRPr="001E4D6A">
        <w:rPr>
          <w:rStyle w:val="DeltaViewInsertion"/>
          <w:i/>
          <w:color w:val="auto"/>
          <w:szCs w:val="24"/>
          <w:u w:val="none"/>
        </w:rPr>
        <w:t>Competitive Providers</w:t>
      </w:r>
      <w:r w:rsidRPr="001E4D6A">
        <w:rPr>
          <w:rStyle w:val="DeltaViewInsertion"/>
          <w:color w:val="auto"/>
          <w:szCs w:val="24"/>
          <w:u w:val="none"/>
        </w:rPr>
        <w:t xml:space="preserve"> that have won RFPs in each service category to identify up to five RFPs in each category, not a total of five RFPs across the three categories.</w:t>
      </w:r>
    </w:p>
  </w:footnote>
  <w:footnote w:id="216">
    <w:p w:rsidR="0083344C" w:rsidRPr="001E4D6A" w:rsidRDefault="0083344C">
      <w:pPr>
        <w:pStyle w:val="FootnoteText"/>
      </w:pPr>
      <w:r w:rsidRPr="001E4D6A">
        <w:rPr>
          <w:rStyle w:val="FootnoteReference"/>
        </w:rPr>
        <w:footnoteRef/>
      </w:r>
      <w:r w:rsidRPr="001E4D6A">
        <w:t xml:space="preserve"> </w:t>
      </w:r>
      <w:r w:rsidRPr="001E4D6A">
        <w:rPr>
          <w:rStyle w:val="DeltaViewInsertion"/>
          <w:color w:val="auto"/>
          <w:szCs w:val="24"/>
          <w:u w:val="none"/>
        </w:rPr>
        <w:t xml:space="preserve">To be clear, we expect </w:t>
      </w:r>
      <w:r w:rsidRPr="001E4D6A">
        <w:rPr>
          <w:rStyle w:val="DeltaViewInsertion"/>
          <w:i/>
          <w:color w:val="auto"/>
          <w:szCs w:val="24"/>
          <w:u w:val="none"/>
        </w:rPr>
        <w:t>Competitive Providers</w:t>
      </w:r>
      <w:r w:rsidRPr="001E4D6A">
        <w:rPr>
          <w:rStyle w:val="DeltaViewInsertion"/>
          <w:color w:val="auto"/>
          <w:szCs w:val="24"/>
          <w:u w:val="none"/>
        </w:rPr>
        <w:t xml:space="preserve"> that have submitted unsuccessful competitive bids for RFPs in each service category to identify up to five RFPs in each category, not a total of five RFPs across the three categories.</w:t>
      </w:r>
    </w:p>
  </w:footnote>
  <w:footnote w:id="217">
    <w:p w:rsidR="0083344C" w:rsidRDefault="0083344C">
      <w:pPr>
        <w:pStyle w:val="FootnoteText"/>
      </w:pPr>
      <w:r>
        <w:rPr>
          <w:rStyle w:val="FootnoteReference"/>
        </w:rPr>
        <w:footnoteRef/>
      </w:r>
      <w:r>
        <w:t xml:space="preserve"> </w:t>
      </w:r>
      <w:r>
        <w:rPr>
          <w:i/>
        </w:rPr>
        <w:t xml:space="preserve">See </w:t>
      </w:r>
      <w:r>
        <w:t>47 C.F.R. § 69.123 (density pricing zones for special access and switched transport).</w:t>
      </w:r>
    </w:p>
  </w:footnote>
  <w:footnote w:id="218">
    <w:p w:rsidR="0083344C" w:rsidRDefault="0083344C">
      <w:pPr>
        <w:pStyle w:val="FootnoteText"/>
      </w:pPr>
      <w:r>
        <w:rPr>
          <w:rStyle w:val="FootnoteReference"/>
        </w:rPr>
        <w:footnoteRef/>
      </w:r>
      <w:r>
        <w:t xml:space="preserve"> 47 U.S.C. § 503(b)(2); 47 C.F.R. § 1.80(b); </w:t>
      </w:r>
      <w:r>
        <w:rPr>
          <w:i/>
        </w:rPr>
        <w:t>Amendment of Section 1.80(b) of the Commission’s Rules, Adjustment of Forfeiture Maxima to Reflect Inflation</w:t>
      </w:r>
      <w:r>
        <w:t>, Order, 23 FCC Rcd 9845 (2008)</w:t>
      </w:r>
      <w:r>
        <w:rPr>
          <w:color w:val="00000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659" w:rsidRDefault="003256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44C" w:rsidRPr="007C62D1" w:rsidRDefault="0083344C" w:rsidP="001650DD">
    <w:pPr>
      <w:pStyle w:val="Header"/>
    </w:pPr>
    <w:r>
      <w:rPr>
        <w:noProof/>
        <w:snapToGrid/>
      </w:rPr>
      <mc:AlternateContent>
        <mc:Choice Requires="wps">
          <w:drawing>
            <wp:anchor distT="0" distB="0" distL="114300" distR="114300" simplePos="0" relativeHeight="251657216" behindDoc="0" locked="0" layoutInCell="1" allowOverlap="1" wp14:anchorId="4F90187A" wp14:editId="6607EB3E">
              <wp:simplePos x="0" y="0"/>
              <wp:positionH relativeFrom="column">
                <wp:posOffset>-20955</wp:posOffset>
              </wp:positionH>
              <wp:positionV relativeFrom="paragraph">
                <wp:posOffset>172085</wp:posOffset>
              </wp:positionV>
              <wp:extent cx="5977890" cy="635"/>
              <wp:effectExtent l="0" t="0" r="0" b="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7890"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1.65pt;margin-top:13.55pt;width:470.7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" strokeweight="1.5pt"/>
          </w:pict>
        </mc:Fallback>
      </mc:AlternateContent>
    </w:r>
    <w:r>
      <w:tab/>
    </w:r>
    <w:r w:rsidRPr="007C62D1">
      <w:t>Federal Communications Commission</w:t>
    </w:r>
    <w:r w:rsidRPr="007C62D1">
      <w:tab/>
      <w:t xml:space="preserve">DA </w:t>
    </w:r>
    <w:r>
      <w:t>13</w:t>
    </w:r>
    <w:r w:rsidRPr="007C62D1">
      <w:t>-</w:t>
    </w:r>
    <w:r>
      <w:t>1909</w:t>
    </w:r>
    <w:r w:rsidRPr="007C62D1">
      <w:t xml:space="preserve"> </w:t>
    </w:r>
  </w:p>
  <w:p w:rsidR="0083344C" w:rsidRDefault="0083344C" w:rsidP="001650D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44C" w:rsidRPr="007C62D1" w:rsidRDefault="0083344C" w:rsidP="001650DD">
    <w:pPr>
      <w:pStyle w:val="Header"/>
    </w:pPr>
    <w:r>
      <w:rPr>
        <w:noProof/>
        <w:snapToGrid/>
      </w:rPr>
      <mc:AlternateContent>
        <mc:Choice Requires="wps">
          <w:drawing>
            <wp:anchor distT="0" distB="0" distL="114300" distR="114300" simplePos="0" relativeHeight="251669504" behindDoc="0" locked="0" layoutInCell="1" allowOverlap="1" wp14:anchorId="58D88B14" wp14:editId="065C6B24">
              <wp:simplePos x="0" y="0"/>
              <wp:positionH relativeFrom="column">
                <wp:posOffset>-20955</wp:posOffset>
              </wp:positionH>
              <wp:positionV relativeFrom="paragraph">
                <wp:posOffset>172085</wp:posOffset>
              </wp:positionV>
              <wp:extent cx="5977890" cy="635"/>
              <wp:effectExtent l="0" t="0" r="0" b="0"/>
              <wp:wrapNone/>
              <wp:docPr id="5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7890"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1.65pt;margin-top:13.55pt;width:470.7pt;height:.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" strokeweight="1.5pt"/>
          </w:pict>
        </mc:Fallback>
      </mc:AlternateContent>
    </w:r>
    <w:r>
      <w:tab/>
    </w:r>
    <w:r w:rsidRPr="007C62D1">
      <w:t>Federal Communications Commission</w:t>
    </w:r>
    <w:r w:rsidRPr="007C62D1">
      <w:tab/>
      <w:t xml:space="preserve">DA </w:t>
    </w:r>
    <w:r>
      <w:t>13</w:t>
    </w:r>
    <w:r w:rsidRPr="007C62D1">
      <w:t>-</w:t>
    </w:r>
    <w:r>
      <w:t>1909</w:t>
    </w:r>
    <w:r w:rsidRPr="007C62D1">
      <w:t xml:space="preserve"> </w:t>
    </w:r>
  </w:p>
  <w:p w:rsidR="0083344C" w:rsidRDefault="0083344C" w:rsidP="001650DD">
    <w:pPr>
      <w:pStyle w:val="Header"/>
    </w:pPr>
  </w:p>
  <w:p w:rsidR="0083344C" w:rsidRDefault="0083344C" w:rsidP="001650D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44C" w:rsidRPr="007C62D1" w:rsidRDefault="0083344C" w:rsidP="001650DD">
    <w:pPr>
      <w:pStyle w:val="Header"/>
    </w:pPr>
    <w:r>
      <w:tab/>
    </w:r>
    <w:r w:rsidRPr="007C62D1">
      <w:t>Federal Communications Commission</w:t>
    </w:r>
    <w:r w:rsidRPr="007C62D1">
      <w:tab/>
      <w:t xml:space="preserve">DA </w:t>
    </w:r>
    <w:r>
      <w:t>13</w:t>
    </w:r>
    <w:r w:rsidRPr="007C62D1">
      <w:t>-</w:t>
    </w:r>
    <w:r>
      <w:t>1909</w:t>
    </w:r>
    <w:r w:rsidRPr="007C62D1">
      <w:t xml:space="preserve"> </w:t>
    </w:r>
  </w:p>
  <w:p w:rsidR="0083344C" w:rsidRDefault="0083344C" w:rsidP="001650DD">
    <w:pPr>
      <w:pStyle w:val="Header"/>
    </w:pPr>
    <w:r>
      <w:rPr>
        <w:noProof/>
        <w:snapToGrid/>
      </w:rPr>
      <mc:AlternateContent>
        <mc:Choice Requires="wps">
          <w:drawing>
            <wp:anchor distT="0" distB="0" distL="114300" distR="114300" simplePos="0" relativeHeight="251659264" behindDoc="0" locked="0" layoutInCell="1" allowOverlap="1" wp14:anchorId="2286F4A2" wp14:editId="2E63B94E">
              <wp:simplePos x="0" y="0"/>
              <wp:positionH relativeFrom="column">
                <wp:posOffset>-21946</wp:posOffset>
              </wp:positionH>
              <wp:positionV relativeFrom="paragraph">
                <wp:posOffset>11252</wp:posOffset>
              </wp:positionV>
              <wp:extent cx="5954573" cy="0"/>
              <wp:effectExtent l="0" t="0" r="27305"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4573"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1.75pt;margin-top:.9pt;width:468.8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" strokeweight="1.5pt"/>
          </w:pict>
        </mc:Fallback>
      </mc:AlternateContent>
    </w:r>
  </w:p>
  <w:p w:rsidR="0083344C" w:rsidRPr="001650DD" w:rsidRDefault="0083344C" w:rsidP="001650DD">
    <w:pPr>
      <w:pStyle w:val="Header"/>
      <w:rPr>
        <w:b w:val="0"/>
      </w:rPr>
    </w:pPr>
    <w:r>
      <w:tab/>
    </w:r>
    <w:r>
      <w:tab/>
    </w:r>
    <w:r w:rsidRPr="001650DD">
      <w:rPr>
        <w:b w:val="0"/>
      </w:rPr>
      <w:t>September 2013</w:t>
    </w:r>
  </w:p>
  <w:p w:rsidR="0083344C" w:rsidRPr="001650DD" w:rsidRDefault="0083344C" w:rsidP="001650DD">
    <w:pPr>
      <w:pStyle w:val="Header"/>
      <w:rPr>
        <w:b w:val="0"/>
      </w:rPr>
    </w:pPr>
    <w:r w:rsidRPr="001650DD">
      <w:rPr>
        <w:b w:val="0"/>
      </w:rPr>
      <w:tab/>
    </w:r>
    <w:r w:rsidRPr="001650DD">
      <w:rPr>
        <w:b w:val="0"/>
      </w:rPr>
      <w:tab/>
      <w:t>Pending OMB Approval</w:t>
    </w:r>
  </w:p>
  <w:p w:rsidR="0083344C" w:rsidRPr="001650DD" w:rsidRDefault="0083344C" w:rsidP="001650DD">
    <w:pPr>
      <w:pStyle w:val="Header"/>
      <w:rPr>
        <w:b w:val="0"/>
      </w:rPr>
    </w:pPr>
    <w:r w:rsidRPr="001650DD">
      <w:rPr>
        <w:b w:val="0"/>
      </w:rPr>
      <w:tab/>
    </w:r>
    <w:r w:rsidRPr="001650DD">
      <w:rPr>
        <w:b w:val="0"/>
      </w:rPr>
      <w:tab/>
      <w:t>3060-XXXX</w:t>
    </w:r>
  </w:p>
  <w:p w:rsidR="0083344C" w:rsidRPr="001650DD" w:rsidRDefault="0083344C" w:rsidP="001650DD">
    <w:pPr>
      <w:pStyle w:val="Header"/>
      <w:rPr>
        <w:b w:val="0"/>
      </w:rPr>
    </w:pPr>
    <w:r w:rsidRPr="001650DD">
      <w:rPr>
        <w:b w:val="0"/>
      </w:rPr>
      <w:tab/>
    </w:r>
    <w:r w:rsidRPr="001650DD">
      <w:rPr>
        <w:b w:val="0"/>
      </w:rPr>
      <w:tab/>
      <w:t>Estimated</w:t>
    </w:r>
    <w:r>
      <w:t xml:space="preserve"> </w:t>
    </w:r>
    <w:r w:rsidR="00576C5A">
      <w:rPr>
        <w:b w:val="0"/>
      </w:rPr>
      <w:t>Burden Hours Per Response: XX</w:t>
    </w:r>
    <w:r>
      <w:rPr>
        <w:b w:val="0"/>
      </w:rPr>
      <w:t xml:space="preserve"> hours</w:t>
    </w:r>
  </w:p>
  <w:p w:rsidR="0083344C" w:rsidRDefault="0083344C" w:rsidP="001650DD">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44C" w:rsidRPr="007C62D1" w:rsidRDefault="0083344C" w:rsidP="001650DD">
    <w:pPr>
      <w:pStyle w:val="Header"/>
    </w:pPr>
    <w:r>
      <w:tab/>
    </w:r>
    <w:r w:rsidRPr="007C62D1">
      <w:t>Federal Communications Commission</w:t>
    </w:r>
    <w:r w:rsidRPr="007C62D1">
      <w:tab/>
      <w:t xml:space="preserve">DA </w:t>
    </w:r>
    <w:r>
      <w:t>13</w:t>
    </w:r>
    <w:r w:rsidRPr="007C62D1">
      <w:t>-</w:t>
    </w:r>
    <w:r>
      <w:t>1909</w:t>
    </w:r>
    <w:r w:rsidRPr="007C62D1">
      <w:t xml:space="preserve"> </w:t>
    </w:r>
  </w:p>
  <w:p w:rsidR="0083344C" w:rsidRDefault="0083344C" w:rsidP="001650DD">
    <w:pPr>
      <w:pStyle w:val="Header"/>
    </w:pPr>
    <w:r>
      <w:rPr>
        <w:noProof/>
        <w:snapToGrid/>
      </w:rPr>
      <mc:AlternateContent>
        <mc:Choice Requires="wps">
          <w:drawing>
            <wp:anchor distT="0" distB="0" distL="114300" distR="114300" simplePos="0" relativeHeight="251663360" behindDoc="0" locked="0" layoutInCell="1" allowOverlap="1" wp14:anchorId="42C89FA1" wp14:editId="25A0C978">
              <wp:simplePos x="0" y="0"/>
              <wp:positionH relativeFrom="column">
                <wp:posOffset>-21946</wp:posOffset>
              </wp:positionH>
              <wp:positionV relativeFrom="paragraph">
                <wp:posOffset>11252</wp:posOffset>
              </wp:positionV>
              <wp:extent cx="5954573" cy="0"/>
              <wp:effectExtent l="0" t="0" r="27305" b="19050"/>
              <wp:wrapNone/>
              <wp:docPr id="50"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4573"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1.75pt;margin-top:.9pt;width:468.8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" strokeweight="1.5pt"/>
          </w:pict>
        </mc:Fallback>
      </mc:AlternateContent>
    </w:r>
  </w:p>
  <w:p w:rsidR="0083344C" w:rsidRPr="001650DD" w:rsidRDefault="0083344C" w:rsidP="001650DD">
    <w:pPr>
      <w:pStyle w:val="Header"/>
      <w:rPr>
        <w:b w:val="0"/>
      </w:rPr>
    </w:pPr>
    <w:r>
      <w:tab/>
    </w:r>
    <w:r>
      <w:tab/>
    </w:r>
    <w:r w:rsidRPr="001650DD">
      <w:rPr>
        <w:b w:val="0"/>
      </w:rPr>
      <w:t>September 2013</w:t>
    </w:r>
  </w:p>
  <w:p w:rsidR="0083344C" w:rsidRPr="001650DD" w:rsidRDefault="0083344C" w:rsidP="001650DD">
    <w:pPr>
      <w:pStyle w:val="Header"/>
      <w:rPr>
        <w:b w:val="0"/>
      </w:rPr>
    </w:pPr>
    <w:r w:rsidRPr="001650DD">
      <w:rPr>
        <w:b w:val="0"/>
      </w:rPr>
      <w:tab/>
    </w:r>
    <w:r w:rsidRPr="001650DD">
      <w:rPr>
        <w:b w:val="0"/>
      </w:rPr>
      <w:tab/>
      <w:t>Pending OMB Approval</w:t>
    </w:r>
  </w:p>
  <w:p w:rsidR="0083344C" w:rsidRPr="001650DD" w:rsidRDefault="0083344C" w:rsidP="001650DD">
    <w:pPr>
      <w:pStyle w:val="Header"/>
      <w:rPr>
        <w:b w:val="0"/>
      </w:rPr>
    </w:pPr>
    <w:r w:rsidRPr="001650DD">
      <w:rPr>
        <w:b w:val="0"/>
      </w:rPr>
      <w:tab/>
    </w:r>
    <w:r w:rsidRPr="001650DD">
      <w:rPr>
        <w:b w:val="0"/>
      </w:rPr>
      <w:tab/>
      <w:t>3060-XXXX</w:t>
    </w:r>
  </w:p>
  <w:p w:rsidR="0083344C" w:rsidRPr="001650DD" w:rsidRDefault="0083344C" w:rsidP="001650DD">
    <w:pPr>
      <w:pStyle w:val="Header"/>
      <w:rPr>
        <w:b w:val="0"/>
      </w:rPr>
    </w:pPr>
    <w:r w:rsidRPr="001650DD">
      <w:rPr>
        <w:b w:val="0"/>
      </w:rPr>
      <w:tab/>
    </w:r>
    <w:r>
      <w:rPr>
        <w:b w:val="0"/>
      </w:rPr>
      <w:tab/>
      <w:t xml:space="preserve">Estimated Burden Hours Per Response: </w:t>
    </w:r>
    <w:r w:rsidR="00576C5A">
      <w:rPr>
        <w:b w:val="0"/>
      </w:rPr>
      <w:t>XX</w:t>
    </w:r>
    <w:r>
      <w:rPr>
        <w:b w:val="0"/>
      </w:rPr>
      <w:t xml:space="preserve"> hours</w:t>
    </w:r>
  </w:p>
  <w:p w:rsidR="0083344C" w:rsidRDefault="0083344C" w:rsidP="001650DD">
    <w:pPr>
      <w:pStyle w:val="Header"/>
    </w:pPr>
  </w:p>
  <w:p w:rsidR="0083344C" w:rsidRPr="005F0DE3" w:rsidRDefault="0083344C" w:rsidP="001650DD">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44C" w:rsidRDefault="0083344C" w:rsidP="001650DD">
    <w:pPr>
      <w:pStyle w:val="Header"/>
    </w:pPr>
    <w:r>
      <w:tab/>
      <w:t xml:space="preserve">         Federal Communications Commission</w:t>
    </w:r>
    <w:r>
      <w:tab/>
      <w:t>DA 13-1909</w:t>
    </w:r>
  </w:p>
  <w:p w:rsidR="0083344C" w:rsidRDefault="0083344C" w:rsidP="00D1030C">
    <w:pPr>
      <w:tabs>
        <w:tab w:val="left" w:pos="-720"/>
      </w:tabs>
      <w:suppressAutoHyphens/>
      <w:spacing w:line="19" w:lineRule="exact"/>
      <w:rPr>
        <w:spacing w:val="-2"/>
      </w:rPr>
    </w:pPr>
  </w:p>
  <w:p w:rsidR="0083344C" w:rsidRDefault="0083344C" w:rsidP="00D1030C">
    <w:pPr>
      <w:spacing w:after="389" w:line="100" w:lineRule="exact"/>
      <w:rPr>
        <w:sz w:val="10"/>
      </w:rPr>
    </w:pPr>
    <w:r>
      <w:rPr>
        <w:noProof/>
        <w:snapToGrid/>
      </w:rPr>
      <mc:AlternateContent>
        <mc:Choice Requires="wps">
          <w:drawing>
            <wp:anchor distT="0" distB="0" distL="114300" distR="114300" simplePos="0" relativeHeight="251667456" behindDoc="0" locked="0" layoutInCell="1" allowOverlap="1" wp14:anchorId="630713A7" wp14:editId="2189DCF0">
              <wp:simplePos x="0" y="0"/>
              <wp:positionH relativeFrom="column">
                <wp:posOffset>7315</wp:posOffset>
              </wp:positionH>
              <wp:positionV relativeFrom="paragraph">
                <wp:posOffset>13818</wp:posOffset>
              </wp:positionV>
              <wp:extent cx="5917997" cy="0"/>
              <wp:effectExtent l="0" t="0" r="26035" b="19050"/>
              <wp:wrapNone/>
              <wp:docPr id="5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7997"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6pt;margin-top:1.1pt;width:466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" strokeweight="1.5pt"/>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44C" w:rsidRDefault="0083344C" w:rsidP="001650DD">
    <w:pPr>
      <w:pStyle w:val="Header"/>
    </w:pPr>
    <w:r>
      <w:tab/>
      <w:t xml:space="preserve">           Federal Communications Commission</w:t>
    </w:r>
    <w:r>
      <w:tab/>
      <w:t>DA 13-1909</w:t>
    </w:r>
  </w:p>
  <w:p w:rsidR="0083344C" w:rsidRDefault="0083344C" w:rsidP="006E5097">
    <w:pPr>
      <w:tabs>
        <w:tab w:val="left" w:pos="-720"/>
      </w:tabs>
      <w:suppressAutoHyphens/>
      <w:spacing w:line="19" w:lineRule="exact"/>
      <w:rPr>
        <w:spacing w:val="-2"/>
      </w:rPr>
    </w:pPr>
  </w:p>
  <w:p w:rsidR="0083344C" w:rsidRDefault="0083344C" w:rsidP="006E5097">
    <w:pPr>
      <w:spacing w:after="389" w:line="100" w:lineRule="exact"/>
      <w:rPr>
        <w:sz w:val="10"/>
      </w:rPr>
    </w:pPr>
    <w:r>
      <w:rPr>
        <w:noProof/>
        <w:snapToGrid/>
      </w:rPr>
      <mc:AlternateContent>
        <mc:Choice Requires="wps">
          <w:drawing>
            <wp:anchor distT="0" distB="0" distL="114300" distR="114300" simplePos="0" relativeHeight="251665408" behindDoc="0" locked="0" layoutInCell="1" allowOverlap="1" wp14:anchorId="40EDB2E9" wp14:editId="79F578AC">
              <wp:simplePos x="0" y="0"/>
              <wp:positionH relativeFrom="column">
                <wp:posOffset>7315</wp:posOffset>
              </wp:positionH>
              <wp:positionV relativeFrom="paragraph">
                <wp:posOffset>13818</wp:posOffset>
              </wp:positionV>
              <wp:extent cx="5925312" cy="0"/>
              <wp:effectExtent l="0" t="0" r="18415" b="19050"/>
              <wp:wrapNone/>
              <wp:docPr id="5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5312"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6pt;margin-top:1.1pt;width:466.5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"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F4760"/>
    <w:multiLevelType w:val="hybridMultilevel"/>
    <w:tmpl w:val="49CA6044"/>
    <w:lvl w:ilvl="0" w:tplc="103407AE">
      <w:start w:val="1"/>
      <w:numFmt w:val="lowerRoman"/>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0782E1B"/>
    <w:multiLevelType w:val="hybridMultilevel"/>
    <w:tmpl w:val="1FCE73D2"/>
    <w:lvl w:ilvl="0" w:tplc="D48A5C94">
      <w:start w:val="4"/>
      <w:numFmt w:val="decimal"/>
      <w:lvlText w:val="II.A.%1."/>
      <w:lvlJc w:val="left"/>
      <w:pPr>
        <w:tabs>
          <w:tab w:val="num" w:pos="576"/>
        </w:tabs>
        <w:ind w:left="0" w:firstLine="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A72689"/>
    <w:multiLevelType w:val="hybridMultilevel"/>
    <w:tmpl w:val="017E8798"/>
    <w:lvl w:ilvl="0" w:tplc="4B904330">
      <w:start w:val="9"/>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1DC1003"/>
    <w:multiLevelType w:val="hybridMultilevel"/>
    <w:tmpl w:val="F0127EFE"/>
    <w:lvl w:ilvl="0" w:tplc="2102A480">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2EC39E6"/>
    <w:multiLevelType w:val="hybridMultilevel"/>
    <w:tmpl w:val="DA94E2F4"/>
    <w:lvl w:ilvl="0" w:tplc="8AAEC4E4">
      <w:start w:val="1"/>
      <w:numFmt w:val="lowerRoman"/>
      <w:lvlText w:val="%1."/>
      <w:lvlJc w:val="left"/>
      <w:pPr>
        <w:tabs>
          <w:tab w:val="num" w:pos="1800"/>
        </w:tabs>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3FE4541"/>
    <w:multiLevelType w:val="hybridMultilevel"/>
    <w:tmpl w:val="298C2280"/>
    <w:lvl w:ilvl="0" w:tplc="6610CD00">
      <w:start w:val="8"/>
      <w:numFmt w:val="decimal"/>
      <w:lvlText w:val="II.B.%1."/>
      <w:lvlJc w:val="left"/>
      <w:pPr>
        <w:tabs>
          <w:tab w:val="num" w:pos="720"/>
        </w:tabs>
        <w:ind w:left="0" w:firstLine="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40B5480"/>
    <w:multiLevelType w:val="hybridMultilevel"/>
    <w:tmpl w:val="710672C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042E7F45"/>
    <w:multiLevelType w:val="hybridMultilevel"/>
    <w:tmpl w:val="3B082FCE"/>
    <w:lvl w:ilvl="0" w:tplc="631ED0F8">
      <w:start w:val="15"/>
      <w:numFmt w:val="decimal"/>
      <w:lvlText w:val="II.E.%1."/>
      <w:lvlJc w:val="left"/>
      <w:pPr>
        <w:tabs>
          <w:tab w:val="num" w:pos="864"/>
        </w:tabs>
        <w:ind w:left="0" w:firstLine="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46A0CF2"/>
    <w:multiLevelType w:val="hybridMultilevel"/>
    <w:tmpl w:val="B3DA231E"/>
    <w:lvl w:ilvl="0" w:tplc="0492D1C4">
      <w:start w:val="1"/>
      <w:numFmt w:val="decimal"/>
      <w:lvlText w:val="II.F.%1."/>
      <w:lvlJc w:val="left"/>
      <w:pPr>
        <w:tabs>
          <w:tab w:val="num" w:pos="720"/>
        </w:tabs>
        <w:ind w:left="0" w:firstLine="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53912D2"/>
    <w:multiLevelType w:val="hybridMultilevel"/>
    <w:tmpl w:val="0622B546"/>
    <w:lvl w:ilvl="0" w:tplc="E5BE483A">
      <w:start w:val="1"/>
      <w:numFmt w:val="decimal"/>
      <w:lvlText w:val="II.E.%1."/>
      <w:lvlJc w:val="left"/>
      <w:pPr>
        <w:tabs>
          <w:tab w:val="num" w:pos="720"/>
        </w:tabs>
        <w:ind w:left="0" w:firstLine="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5BF2D86"/>
    <w:multiLevelType w:val="hybridMultilevel"/>
    <w:tmpl w:val="B01EDE22"/>
    <w:lvl w:ilvl="0" w:tplc="F9722B04">
      <w:start w:val="1"/>
      <w:numFmt w:val="decimal"/>
      <w:lvlText w:val="II.G.%1."/>
      <w:lvlJc w:val="left"/>
      <w:pPr>
        <w:tabs>
          <w:tab w:val="num" w:pos="576"/>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5CF7CD7"/>
    <w:multiLevelType w:val="hybridMultilevel"/>
    <w:tmpl w:val="1318BF8C"/>
    <w:lvl w:ilvl="0" w:tplc="A4D04406">
      <w:start w:val="1"/>
      <w:numFmt w:val="lowerRoman"/>
      <w:lvlText w:val="%1."/>
      <w:lvlJc w:val="left"/>
      <w:pPr>
        <w:tabs>
          <w:tab w:val="num" w:pos="1800"/>
        </w:tabs>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62C6682"/>
    <w:multiLevelType w:val="hybridMultilevel"/>
    <w:tmpl w:val="A5040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73C2FE7"/>
    <w:multiLevelType w:val="hybridMultilevel"/>
    <w:tmpl w:val="F2D0DF90"/>
    <w:lvl w:ilvl="0" w:tplc="59EAFA1A">
      <w:start w:val="1"/>
      <w:numFmt w:val="lowerRoman"/>
      <w:lvlText w:val="%1."/>
      <w:lvlJc w:val="left"/>
      <w:pPr>
        <w:tabs>
          <w:tab w:val="num" w:pos="1800"/>
        </w:tabs>
        <w:ind w:left="1800" w:hanging="360"/>
      </w:pPr>
      <w:rPr>
        <w:rFonts w:hint="default"/>
      </w:rPr>
    </w:lvl>
    <w:lvl w:ilvl="1" w:tplc="4EA45496">
      <w:start w:val="3"/>
      <w:numFmt w:val="lowerLetter"/>
      <w:lvlText w:val="%2."/>
      <w:lvlJc w:val="left"/>
      <w:pPr>
        <w:tabs>
          <w:tab w:val="num" w:pos="1440"/>
        </w:tabs>
        <w:ind w:left="1440" w:hanging="360"/>
      </w:pPr>
      <w:rPr>
        <w:rFonts w:hint="default"/>
      </w:rPr>
    </w:lvl>
    <w:lvl w:ilvl="2" w:tplc="D10C6B42">
      <w:start w:val="1"/>
      <w:numFmt w:val="decimal"/>
      <w:lvlText w:val="II.B.%3."/>
      <w:lvlJc w:val="left"/>
      <w:pPr>
        <w:tabs>
          <w:tab w:val="num" w:pos="576"/>
        </w:tabs>
        <w:ind w:left="0" w:firstLine="0"/>
      </w:pPr>
      <w:rPr>
        <w:rFonts w:hint="default"/>
        <w:b w:val="0"/>
      </w:rPr>
    </w:lvl>
    <w:lvl w:ilvl="3" w:tplc="04090019">
      <w:start w:val="1"/>
      <w:numFmt w:val="lowerLetter"/>
      <w:lvlText w:val="%4."/>
      <w:lvlJc w:val="left"/>
      <w:pPr>
        <w:tabs>
          <w:tab w:val="num" w:pos="1440"/>
        </w:tabs>
        <w:ind w:left="144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84B453C"/>
    <w:multiLevelType w:val="singleLevel"/>
    <w:tmpl w:val="40A8E97A"/>
    <w:lvl w:ilvl="0">
      <w:start w:val="1"/>
      <w:numFmt w:val="decimal"/>
      <w:lvlText w:val="%1."/>
      <w:lvlJc w:val="left"/>
      <w:pPr>
        <w:tabs>
          <w:tab w:val="num" w:pos="1080"/>
        </w:tabs>
        <w:ind w:left="0" w:firstLine="720"/>
      </w:pPr>
    </w:lvl>
  </w:abstractNum>
  <w:abstractNum w:abstractNumId="15">
    <w:nsid w:val="0B2B1233"/>
    <w:multiLevelType w:val="hybridMultilevel"/>
    <w:tmpl w:val="D4B250DE"/>
    <w:lvl w:ilvl="0" w:tplc="032606B2">
      <w:start w:val="15"/>
      <w:numFmt w:val="decimal"/>
      <w:lvlText w:val="II.A.%1."/>
      <w:lvlJc w:val="left"/>
      <w:pPr>
        <w:tabs>
          <w:tab w:val="num" w:pos="576"/>
        </w:tabs>
        <w:ind w:left="0" w:firstLine="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ED407B4"/>
    <w:multiLevelType w:val="hybridMultilevel"/>
    <w:tmpl w:val="49CA6044"/>
    <w:lvl w:ilvl="0" w:tplc="103407AE">
      <w:start w:val="1"/>
      <w:numFmt w:val="lowerRoman"/>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0F991C04"/>
    <w:multiLevelType w:val="hybridMultilevel"/>
    <w:tmpl w:val="91E21426"/>
    <w:lvl w:ilvl="0" w:tplc="E1A4DC54">
      <w:start w:val="1"/>
      <w:numFmt w:val="lowerLetter"/>
      <w:lvlText w:val="%1."/>
      <w:lvlJc w:val="left"/>
      <w:pPr>
        <w:tabs>
          <w:tab w:val="num" w:pos="1440"/>
        </w:tabs>
        <w:ind w:left="1440" w:hanging="360"/>
      </w:pPr>
      <w:rPr>
        <w:rFonts w:hint="default"/>
        <w:i w:val="0"/>
      </w:rPr>
    </w:lvl>
    <w:lvl w:ilvl="1" w:tplc="6A48B75E">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1495C0F"/>
    <w:multiLevelType w:val="hybridMultilevel"/>
    <w:tmpl w:val="E9C6D278"/>
    <w:lvl w:ilvl="0" w:tplc="2A3E0A94">
      <w:start w:val="1"/>
      <w:numFmt w:val="lowerRoman"/>
      <w:lvlText w:val="%1."/>
      <w:lvlJc w:val="left"/>
      <w:pPr>
        <w:tabs>
          <w:tab w:val="num" w:pos="1800"/>
        </w:tabs>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38F00AE"/>
    <w:multiLevelType w:val="hybridMultilevel"/>
    <w:tmpl w:val="A10E3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4263D0E"/>
    <w:multiLevelType w:val="hybridMultilevel"/>
    <w:tmpl w:val="F552D8EA"/>
    <w:lvl w:ilvl="0" w:tplc="95D6E0DE">
      <w:start w:val="1"/>
      <w:numFmt w:val="lowerRoman"/>
      <w:lvlText w:val="%1."/>
      <w:lvlJc w:val="left"/>
      <w:pPr>
        <w:tabs>
          <w:tab w:val="num" w:pos="1800"/>
        </w:tabs>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4D304F3"/>
    <w:multiLevelType w:val="hybridMultilevel"/>
    <w:tmpl w:val="3CFCF340"/>
    <w:lvl w:ilvl="0" w:tplc="465C82E0">
      <w:start w:val="1"/>
      <w:numFmt w:val="lowerLetter"/>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5755B85"/>
    <w:multiLevelType w:val="hybridMultilevel"/>
    <w:tmpl w:val="D3D65F0A"/>
    <w:lvl w:ilvl="0" w:tplc="A2CC1774">
      <w:start w:val="9"/>
      <w:numFmt w:val="lowerLetter"/>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63534B8"/>
    <w:multiLevelType w:val="hybridMultilevel"/>
    <w:tmpl w:val="8DF0B272"/>
    <w:lvl w:ilvl="0" w:tplc="70B8AD08">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16D3457C"/>
    <w:multiLevelType w:val="hybridMultilevel"/>
    <w:tmpl w:val="CCB0252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5">
    <w:nsid w:val="170556F4"/>
    <w:multiLevelType w:val="hybridMultilevel"/>
    <w:tmpl w:val="161EC0E6"/>
    <w:lvl w:ilvl="0" w:tplc="CEDA2D3E">
      <w:start w:val="1"/>
      <w:numFmt w:val="lowerRoman"/>
      <w:lvlText w:val="%1."/>
      <w:lvlJc w:val="left"/>
      <w:pPr>
        <w:tabs>
          <w:tab w:val="num" w:pos="1800"/>
        </w:tabs>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7B357B8"/>
    <w:multiLevelType w:val="hybridMultilevel"/>
    <w:tmpl w:val="94ECCE02"/>
    <w:lvl w:ilvl="0" w:tplc="C804F278">
      <w:start w:val="1"/>
      <w:numFmt w:val="lowerRoman"/>
      <w:lvlText w:val="%1."/>
      <w:lvlJc w:val="left"/>
      <w:pPr>
        <w:tabs>
          <w:tab w:val="num" w:pos="1800"/>
        </w:tabs>
        <w:ind w:left="1800" w:hanging="360"/>
      </w:pPr>
      <w:rPr>
        <w:rFonts w:hint="default"/>
      </w:rPr>
    </w:lvl>
    <w:lvl w:ilvl="1" w:tplc="CE566334">
      <w:start w:val="3"/>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18C16A8F"/>
    <w:multiLevelType w:val="hybridMultilevel"/>
    <w:tmpl w:val="F886DE6C"/>
    <w:lvl w:ilvl="0" w:tplc="435EEAEC">
      <w:start w:val="1"/>
      <w:numFmt w:val="lowerRoman"/>
      <w:lvlText w:val="%1."/>
      <w:lvlJc w:val="left"/>
      <w:pPr>
        <w:tabs>
          <w:tab w:val="num" w:pos="1800"/>
        </w:tabs>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196F5CE9"/>
    <w:multiLevelType w:val="hybridMultilevel"/>
    <w:tmpl w:val="05D05042"/>
    <w:lvl w:ilvl="0" w:tplc="C64C0604">
      <w:start w:val="1"/>
      <w:numFmt w:val="decimal"/>
      <w:lvlText w:val="II.A.%1."/>
      <w:lvlJc w:val="left"/>
      <w:pPr>
        <w:tabs>
          <w:tab w:val="num" w:pos="576"/>
        </w:tabs>
        <w:ind w:left="0" w:firstLine="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1B663EC6"/>
    <w:multiLevelType w:val="hybridMultilevel"/>
    <w:tmpl w:val="92A680B2"/>
    <w:lvl w:ilvl="0" w:tplc="8DB618E0">
      <w:start w:val="1"/>
      <w:numFmt w:val="lowerRoman"/>
      <w:lvlText w:val="%1."/>
      <w:lvlJc w:val="left"/>
      <w:pPr>
        <w:tabs>
          <w:tab w:val="num" w:pos="1800"/>
        </w:tabs>
        <w:ind w:left="180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1BD43F7C"/>
    <w:multiLevelType w:val="hybridMultilevel"/>
    <w:tmpl w:val="00D076F8"/>
    <w:lvl w:ilvl="0" w:tplc="6948717C">
      <w:start w:val="10"/>
      <w:numFmt w:val="decimal"/>
      <w:lvlText w:val="II.A.%1."/>
      <w:lvlJc w:val="left"/>
      <w:pPr>
        <w:tabs>
          <w:tab w:val="num" w:pos="576"/>
        </w:tabs>
        <w:ind w:left="0" w:firstLine="0"/>
      </w:pPr>
      <w:rPr>
        <w:rFonts w:hint="default"/>
        <w:b w:val="0"/>
      </w:rPr>
    </w:lvl>
    <w:lvl w:ilvl="1" w:tplc="3E5808E8">
      <w:start w:val="1"/>
      <w:numFmt w:val="decimal"/>
      <w:lvlText w:val="II.A.%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1C1D2B7A"/>
    <w:multiLevelType w:val="hybridMultilevel"/>
    <w:tmpl w:val="56268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1C7D2025"/>
    <w:multiLevelType w:val="hybridMultilevel"/>
    <w:tmpl w:val="CC3A6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1EFB4643"/>
    <w:multiLevelType w:val="hybridMultilevel"/>
    <w:tmpl w:val="AC303090"/>
    <w:lvl w:ilvl="0" w:tplc="E708A54A">
      <w:start w:val="1"/>
      <w:numFmt w:val="lowerLetter"/>
      <w:lvlText w:val="%1."/>
      <w:lvlJc w:val="left"/>
      <w:pPr>
        <w:tabs>
          <w:tab w:val="num" w:pos="360"/>
        </w:tabs>
        <w:ind w:left="36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1F175F94"/>
    <w:multiLevelType w:val="hybridMultilevel"/>
    <w:tmpl w:val="0D3C0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1F41421D"/>
    <w:multiLevelType w:val="hybridMultilevel"/>
    <w:tmpl w:val="23443C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1F605A2F"/>
    <w:multiLevelType w:val="hybridMultilevel"/>
    <w:tmpl w:val="1702E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1F650C8E"/>
    <w:multiLevelType w:val="hybridMultilevel"/>
    <w:tmpl w:val="EFECB918"/>
    <w:lvl w:ilvl="0" w:tplc="101A3392">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8">
    <w:nsid w:val="21282383"/>
    <w:multiLevelType w:val="hybridMultilevel"/>
    <w:tmpl w:val="266A1854"/>
    <w:lvl w:ilvl="0" w:tplc="103407AE">
      <w:start w:val="1"/>
      <w:numFmt w:val="lowerRoman"/>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22A8471B"/>
    <w:multiLevelType w:val="hybridMultilevel"/>
    <w:tmpl w:val="FA985F10"/>
    <w:lvl w:ilvl="0" w:tplc="120214C0">
      <w:start w:val="7"/>
      <w:numFmt w:val="lowerRoman"/>
      <w:lvlText w:val="%1."/>
      <w:lvlJc w:val="left"/>
      <w:pPr>
        <w:tabs>
          <w:tab w:val="num" w:pos="1440"/>
        </w:tabs>
        <w:ind w:left="1440" w:hanging="360"/>
      </w:pPr>
      <w:rPr>
        <w:rFonts w:hint="default"/>
      </w:rPr>
    </w:lvl>
    <w:lvl w:ilvl="1" w:tplc="C5DAB63A">
      <w:start w:val="1"/>
      <w:numFmt w:val="lowerRoman"/>
      <w:lvlText w:val="%2."/>
      <w:lvlJc w:val="left"/>
      <w:pPr>
        <w:tabs>
          <w:tab w:val="num" w:pos="1800"/>
        </w:tabs>
        <w:ind w:left="180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1">
    <w:nsid w:val="240E6308"/>
    <w:multiLevelType w:val="hybridMultilevel"/>
    <w:tmpl w:val="D9D6703E"/>
    <w:lvl w:ilvl="0" w:tplc="7B0289CE">
      <w:start w:val="9"/>
      <w:numFmt w:val="decimal"/>
      <w:lvlText w:val="II.A.%1."/>
      <w:lvlJc w:val="left"/>
      <w:pPr>
        <w:tabs>
          <w:tab w:val="num" w:pos="576"/>
        </w:tabs>
        <w:ind w:left="0" w:firstLine="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248246F3"/>
    <w:multiLevelType w:val="singleLevel"/>
    <w:tmpl w:val="B1F45678"/>
    <w:lvl w:ilvl="0">
      <w:start w:val="1"/>
      <w:numFmt w:val="decimal"/>
      <w:lvlText w:val="%1."/>
      <w:lvlJc w:val="left"/>
      <w:pPr>
        <w:tabs>
          <w:tab w:val="num" w:pos="1080"/>
        </w:tabs>
        <w:ind w:left="0" w:firstLine="720"/>
      </w:pPr>
    </w:lvl>
  </w:abstractNum>
  <w:abstractNum w:abstractNumId="43">
    <w:nsid w:val="24870E15"/>
    <w:multiLevelType w:val="hybridMultilevel"/>
    <w:tmpl w:val="F4A4E3C6"/>
    <w:lvl w:ilvl="0" w:tplc="D966D1DA">
      <w:start w:val="1"/>
      <w:numFmt w:val="lowerRoman"/>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27690E2A"/>
    <w:multiLevelType w:val="hybridMultilevel"/>
    <w:tmpl w:val="23A0F63C"/>
    <w:lvl w:ilvl="0" w:tplc="A2AAEFBA">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6">
    <w:nsid w:val="28AE580A"/>
    <w:multiLevelType w:val="hybridMultilevel"/>
    <w:tmpl w:val="6DEEB6DA"/>
    <w:lvl w:ilvl="0" w:tplc="44944584">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28CC4EB5"/>
    <w:multiLevelType w:val="hybridMultilevel"/>
    <w:tmpl w:val="487E7232"/>
    <w:lvl w:ilvl="0" w:tplc="7AE65498">
      <w:start w:val="1"/>
      <w:numFmt w:val="lowerRoman"/>
      <w:lvlText w:val="%1."/>
      <w:lvlJc w:val="left"/>
      <w:pPr>
        <w:tabs>
          <w:tab w:val="num" w:pos="1800"/>
        </w:tabs>
        <w:ind w:left="1800" w:hanging="360"/>
      </w:pPr>
      <w:rPr>
        <w:rFonts w:hint="default"/>
      </w:rPr>
    </w:lvl>
    <w:lvl w:ilvl="1" w:tplc="A5C61C48">
      <w:start w:val="7"/>
      <w:numFmt w:val="decimal"/>
      <w:lvlText w:val="%2."/>
      <w:lvlJc w:val="left"/>
      <w:pPr>
        <w:tabs>
          <w:tab w:val="num" w:pos="576"/>
        </w:tabs>
        <w:ind w:left="0" w:firstLine="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29025E8D"/>
    <w:multiLevelType w:val="hybridMultilevel"/>
    <w:tmpl w:val="179E8378"/>
    <w:lvl w:ilvl="0" w:tplc="1F4CEE8E">
      <w:start w:val="7"/>
      <w:numFmt w:val="lowerLetter"/>
      <w:lvlText w:val="%1."/>
      <w:lvlJc w:val="left"/>
      <w:pPr>
        <w:tabs>
          <w:tab w:val="num" w:pos="1440"/>
        </w:tabs>
        <w:ind w:left="1440" w:hanging="360"/>
      </w:pPr>
      <w:rPr>
        <w:rFonts w:hint="default"/>
        <w:b w:val="0"/>
      </w:rPr>
    </w:lvl>
    <w:lvl w:ilvl="1" w:tplc="F6908E82">
      <w:start w:val="1"/>
      <w:numFmt w:val="lowerRoman"/>
      <w:lvlText w:val="%2."/>
      <w:lvlJc w:val="left"/>
      <w:pPr>
        <w:tabs>
          <w:tab w:val="num" w:pos="1800"/>
        </w:tabs>
        <w:ind w:left="1800" w:hanging="360"/>
      </w:pPr>
      <w:rPr>
        <w:rFonts w:cs="Times New Roman" w:hint="default"/>
      </w:rPr>
    </w:lvl>
    <w:lvl w:ilvl="2" w:tplc="49D04268">
      <w:start w:val="1"/>
      <w:numFmt w:val="lowerLetter"/>
      <w:lvlText w:val="%3."/>
      <w:lvlJc w:val="left"/>
      <w:pPr>
        <w:tabs>
          <w:tab w:val="num" w:pos="2160"/>
        </w:tabs>
        <w:ind w:left="2160" w:hanging="360"/>
      </w:pPr>
      <w:rPr>
        <w:rFonts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2A2D2C96"/>
    <w:multiLevelType w:val="hybridMultilevel"/>
    <w:tmpl w:val="487E7232"/>
    <w:lvl w:ilvl="0" w:tplc="7AE65498">
      <w:start w:val="1"/>
      <w:numFmt w:val="lowerRoman"/>
      <w:lvlText w:val="%1."/>
      <w:lvlJc w:val="left"/>
      <w:pPr>
        <w:tabs>
          <w:tab w:val="num" w:pos="1800"/>
        </w:tabs>
        <w:ind w:left="1800" w:hanging="360"/>
      </w:pPr>
      <w:rPr>
        <w:rFonts w:hint="default"/>
      </w:rPr>
    </w:lvl>
    <w:lvl w:ilvl="1" w:tplc="A5C61C48">
      <w:start w:val="7"/>
      <w:numFmt w:val="decimal"/>
      <w:lvlText w:val="%2."/>
      <w:lvlJc w:val="left"/>
      <w:pPr>
        <w:tabs>
          <w:tab w:val="num" w:pos="576"/>
        </w:tabs>
        <w:ind w:left="0" w:firstLine="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2AAF261A"/>
    <w:multiLevelType w:val="hybridMultilevel"/>
    <w:tmpl w:val="FB98BAD8"/>
    <w:lvl w:ilvl="0" w:tplc="512A45E4">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2AC621CA"/>
    <w:multiLevelType w:val="hybridMultilevel"/>
    <w:tmpl w:val="062E788E"/>
    <w:lvl w:ilvl="0" w:tplc="89F4DC76">
      <w:start w:val="1"/>
      <w:numFmt w:val="lowerLetter"/>
      <w:lvlText w:val="%1."/>
      <w:lvlJc w:val="left"/>
      <w:pPr>
        <w:tabs>
          <w:tab w:val="num" w:pos="1440"/>
        </w:tabs>
        <w:ind w:left="144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2D8513C0"/>
    <w:multiLevelType w:val="hybridMultilevel"/>
    <w:tmpl w:val="E07C8242"/>
    <w:lvl w:ilvl="0" w:tplc="D5886536">
      <w:start w:val="3"/>
      <w:numFmt w:val="decimal"/>
      <w:lvlText w:val="II.F.%1."/>
      <w:lvlJc w:val="left"/>
      <w:pPr>
        <w:tabs>
          <w:tab w:val="num" w:pos="720"/>
        </w:tabs>
        <w:ind w:left="0" w:firstLine="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2EAD4D21"/>
    <w:multiLevelType w:val="hybridMultilevel"/>
    <w:tmpl w:val="6AD4D838"/>
    <w:lvl w:ilvl="0" w:tplc="6D9A41CA">
      <w:start w:val="1"/>
      <w:numFmt w:val="lowerLetter"/>
      <w:lvlText w:val="%1."/>
      <w:lvlJc w:val="left"/>
      <w:pPr>
        <w:tabs>
          <w:tab w:val="num" w:pos="1440"/>
        </w:tabs>
        <w:ind w:left="1440" w:hanging="360"/>
      </w:pPr>
      <w:rPr>
        <w:rFonts w:hint="default"/>
      </w:rPr>
    </w:lvl>
    <w:lvl w:ilvl="1" w:tplc="0F383CB6">
      <w:start w:val="1"/>
      <w:numFmt w:val="lowerRoman"/>
      <w:lvlText w:val="%2."/>
      <w:lvlJc w:val="left"/>
      <w:pPr>
        <w:tabs>
          <w:tab w:val="num" w:pos="1800"/>
        </w:tabs>
        <w:ind w:left="1800" w:hanging="360"/>
      </w:pPr>
      <w:rPr>
        <w:rFonts w:cs="Times New Roman"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2F2E28CD"/>
    <w:multiLevelType w:val="hybridMultilevel"/>
    <w:tmpl w:val="D6669A82"/>
    <w:lvl w:ilvl="0" w:tplc="E4147E94">
      <w:start w:val="4"/>
      <w:numFmt w:val="lowerLetter"/>
      <w:lvlText w:val="%1."/>
      <w:lvlJc w:val="left"/>
      <w:pPr>
        <w:tabs>
          <w:tab w:val="num" w:pos="1440"/>
        </w:tabs>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2F2F59FB"/>
    <w:multiLevelType w:val="hybridMultilevel"/>
    <w:tmpl w:val="23A6DDEA"/>
    <w:lvl w:ilvl="0" w:tplc="1876E378">
      <w:start w:val="14"/>
      <w:numFmt w:val="decimal"/>
      <w:lvlText w:val="II.A.%1."/>
      <w:lvlJc w:val="left"/>
      <w:pPr>
        <w:tabs>
          <w:tab w:val="num" w:pos="864"/>
        </w:tabs>
        <w:ind w:left="0" w:firstLine="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2F3672FA"/>
    <w:multiLevelType w:val="hybridMultilevel"/>
    <w:tmpl w:val="3D08C0EA"/>
    <w:lvl w:ilvl="0" w:tplc="526665E4">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3122356B"/>
    <w:multiLevelType w:val="hybridMultilevel"/>
    <w:tmpl w:val="30FA5CEE"/>
    <w:lvl w:ilvl="0" w:tplc="D3F64452">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313C76FA"/>
    <w:multiLevelType w:val="hybridMultilevel"/>
    <w:tmpl w:val="FB1C251C"/>
    <w:lvl w:ilvl="0" w:tplc="AA3E7C9E">
      <w:start w:val="1"/>
      <w:numFmt w:val="lowerLetter"/>
      <w:lvlText w:val="%1."/>
      <w:lvlJc w:val="left"/>
      <w:pPr>
        <w:tabs>
          <w:tab w:val="num" w:pos="1440"/>
        </w:tabs>
        <w:ind w:left="1440" w:hanging="360"/>
      </w:pPr>
      <w:rPr>
        <w:rFonts w:hint="default"/>
      </w:rPr>
    </w:lvl>
    <w:lvl w:ilvl="1" w:tplc="B4F83152">
      <w:start w:val="4"/>
      <w:numFmt w:val="decimal"/>
      <w:lvlText w:val="%2."/>
      <w:lvlJc w:val="left"/>
      <w:pPr>
        <w:tabs>
          <w:tab w:val="num" w:pos="576"/>
        </w:tabs>
        <w:ind w:left="0" w:firstLine="0"/>
      </w:pPr>
      <w:rPr>
        <w:rFonts w:hint="default"/>
      </w:rPr>
    </w:lvl>
    <w:lvl w:ilvl="2" w:tplc="F0D83852">
      <w:start w:val="1"/>
      <w:numFmt w:val="lowerLetter"/>
      <w:lvlText w:val="%3."/>
      <w:lvlJc w:val="left"/>
      <w:pPr>
        <w:tabs>
          <w:tab w:val="num" w:pos="1440"/>
        </w:tabs>
        <w:ind w:left="1440" w:hanging="360"/>
      </w:pPr>
      <w:rPr>
        <w:rFonts w:hint="default"/>
        <w:i w:val="0"/>
      </w:rPr>
    </w:lvl>
    <w:lvl w:ilvl="3" w:tplc="6EB20704">
      <w:start w:val="1"/>
      <w:numFmt w:val="lowerRoman"/>
      <w:lvlText w:val="%4."/>
      <w:lvlJc w:val="right"/>
      <w:pPr>
        <w:tabs>
          <w:tab w:val="num" w:pos="1800"/>
        </w:tabs>
        <w:ind w:left="1800" w:hanging="360"/>
      </w:pPr>
      <w:rPr>
        <w:rFonts w:hint="default"/>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32C56D9F"/>
    <w:multiLevelType w:val="hybridMultilevel"/>
    <w:tmpl w:val="883CD5DC"/>
    <w:lvl w:ilvl="0" w:tplc="87265BE8">
      <w:start w:val="17"/>
      <w:numFmt w:val="lowerLetter"/>
      <w:lvlText w:val="%1."/>
      <w:lvlJc w:val="left"/>
      <w:pPr>
        <w:tabs>
          <w:tab w:val="num" w:pos="1800"/>
        </w:tabs>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347E1357"/>
    <w:multiLevelType w:val="hybridMultilevel"/>
    <w:tmpl w:val="1E1EAC5A"/>
    <w:lvl w:ilvl="0" w:tplc="ECE8FE14">
      <w:start w:val="1"/>
      <w:numFmt w:val="lowerRoman"/>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351826A9"/>
    <w:multiLevelType w:val="hybridMultilevel"/>
    <w:tmpl w:val="70B2BCEA"/>
    <w:lvl w:ilvl="0" w:tplc="F73C45EA">
      <w:start w:val="1"/>
      <w:numFmt w:val="decimal"/>
      <w:lvlText w:val="II.C.%1."/>
      <w:lvlJc w:val="left"/>
      <w:pPr>
        <w:tabs>
          <w:tab w:val="num" w:pos="720"/>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358E4E95"/>
    <w:multiLevelType w:val="hybridMultilevel"/>
    <w:tmpl w:val="D1D2E168"/>
    <w:lvl w:ilvl="0" w:tplc="9E42B732">
      <w:start w:val="1"/>
      <w:numFmt w:val="lowerRoman"/>
      <w:lvlText w:val="%1."/>
      <w:lvlJc w:val="left"/>
      <w:pPr>
        <w:tabs>
          <w:tab w:val="num" w:pos="1800"/>
        </w:tabs>
        <w:ind w:left="18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363138D3"/>
    <w:multiLevelType w:val="hybridMultilevel"/>
    <w:tmpl w:val="7E2E0DC0"/>
    <w:lvl w:ilvl="0" w:tplc="FB5234A0">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376853B3"/>
    <w:multiLevelType w:val="hybridMultilevel"/>
    <w:tmpl w:val="82023028"/>
    <w:lvl w:ilvl="0" w:tplc="483CA4D8">
      <w:start w:val="17"/>
      <w:numFmt w:val="lowerLetter"/>
      <w:lvlText w:val="%1."/>
      <w:lvlJc w:val="left"/>
      <w:pPr>
        <w:tabs>
          <w:tab w:val="num" w:pos="1800"/>
        </w:tabs>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39B93C5C"/>
    <w:multiLevelType w:val="hybridMultilevel"/>
    <w:tmpl w:val="97AC09C6"/>
    <w:lvl w:ilvl="0" w:tplc="CF1C0768">
      <w:start w:val="1"/>
      <w:numFmt w:val="decimal"/>
      <w:lvlText w:val="II.B.%1."/>
      <w:lvlJc w:val="left"/>
      <w:pPr>
        <w:tabs>
          <w:tab w:val="num" w:pos="576"/>
        </w:tabs>
        <w:ind w:left="0" w:firstLine="0"/>
      </w:pPr>
      <w:rPr>
        <w:rFonts w:hint="default"/>
        <w:b w:val="0"/>
      </w:rPr>
    </w:lvl>
    <w:lvl w:ilvl="1" w:tplc="A2F0521E">
      <w:start w:val="1"/>
      <w:numFmt w:val="lowerLetter"/>
      <w:lvlText w:val="%2."/>
      <w:lvlJc w:val="left"/>
      <w:pPr>
        <w:tabs>
          <w:tab w:val="num" w:pos="1440"/>
        </w:tabs>
        <w:ind w:left="1080" w:firstLine="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nsid w:val="39E54D6D"/>
    <w:multiLevelType w:val="hybridMultilevel"/>
    <w:tmpl w:val="0F602D94"/>
    <w:lvl w:ilvl="0" w:tplc="4BD003FA">
      <w:start w:val="1"/>
      <w:numFmt w:val="decimal"/>
      <w:lvlText w:val="II.D.%1."/>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nsid w:val="3C8E420F"/>
    <w:multiLevelType w:val="hybridMultilevel"/>
    <w:tmpl w:val="C3F2C2B8"/>
    <w:lvl w:ilvl="0" w:tplc="3CE81616">
      <w:start w:val="13"/>
      <w:numFmt w:val="decimal"/>
      <w:lvlText w:val="II.A.%1."/>
      <w:lvlJc w:val="left"/>
      <w:pPr>
        <w:tabs>
          <w:tab w:val="num" w:pos="864"/>
        </w:tabs>
        <w:ind w:left="0" w:firstLine="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41AF1D12"/>
    <w:multiLevelType w:val="hybridMultilevel"/>
    <w:tmpl w:val="794E32E4"/>
    <w:lvl w:ilvl="0" w:tplc="40102B40">
      <w:start w:val="1"/>
      <w:numFmt w:val="decimal"/>
      <w:lvlText w:val="%1."/>
      <w:lvlJc w:val="left"/>
      <w:pPr>
        <w:tabs>
          <w:tab w:val="num" w:pos="900"/>
        </w:tabs>
        <w:ind w:left="900" w:hanging="360"/>
      </w:pPr>
      <w:rPr>
        <w:rFonts w:cs="Times New Roman" w:hint="default"/>
        <w:b w:val="0"/>
      </w:rPr>
    </w:lvl>
    <w:lvl w:ilvl="1" w:tplc="CB1A57A4">
      <w:start w:val="1"/>
      <w:numFmt w:val="lowerRoman"/>
      <w:lvlText w:val="%2."/>
      <w:lvlJc w:val="left"/>
      <w:pPr>
        <w:tabs>
          <w:tab w:val="num" w:pos="1800"/>
        </w:tabs>
        <w:ind w:left="1800" w:hanging="360"/>
      </w:pPr>
      <w:rPr>
        <w:rFonts w:cs="Times New Roman" w:hint="default"/>
        <w:b w:val="0"/>
      </w:rPr>
    </w:lvl>
    <w:lvl w:ilvl="2" w:tplc="1CA0AA40">
      <w:start w:val="5"/>
      <w:numFmt w:val="decimal"/>
      <w:lvlText w:val="%3."/>
      <w:lvlJc w:val="left"/>
      <w:pPr>
        <w:tabs>
          <w:tab w:val="num" w:pos="576"/>
        </w:tabs>
        <w:ind w:left="0" w:firstLine="0"/>
      </w:pPr>
      <w:rPr>
        <w:rFonts w:hint="default"/>
        <w:b w:val="0"/>
      </w:rPr>
    </w:lvl>
    <w:lvl w:ilvl="3" w:tplc="DE9C9DB8">
      <w:start w:val="1"/>
      <w:numFmt w:val="lowerLetter"/>
      <w:lvlText w:val="%4."/>
      <w:lvlJc w:val="left"/>
      <w:pPr>
        <w:tabs>
          <w:tab w:val="num" w:pos="1440"/>
        </w:tabs>
        <w:ind w:left="1440" w:hanging="360"/>
      </w:pPr>
      <w:rPr>
        <w:rFonts w:hint="default"/>
        <w:b w:val="0"/>
      </w:rPr>
    </w:lvl>
    <w:lvl w:ilvl="4" w:tplc="04090019" w:tentative="1">
      <w:start w:val="1"/>
      <w:numFmt w:val="lowerLetter"/>
      <w:lvlText w:val="%5."/>
      <w:lvlJc w:val="left"/>
      <w:pPr>
        <w:ind w:left="3510" w:hanging="360"/>
      </w:pPr>
      <w:rPr>
        <w:rFonts w:cs="Times New Roman"/>
      </w:rPr>
    </w:lvl>
    <w:lvl w:ilvl="5" w:tplc="0409001B" w:tentative="1">
      <w:start w:val="1"/>
      <w:numFmt w:val="lowerRoman"/>
      <w:lvlText w:val="%6."/>
      <w:lvlJc w:val="right"/>
      <w:pPr>
        <w:ind w:left="4230" w:hanging="180"/>
      </w:pPr>
      <w:rPr>
        <w:rFonts w:cs="Times New Roman"/>
      </w:rPr>
    </w:lvl>
    <w:lvl w:ilvl="6" w:tplc="0409000F" w:tentative="1">
      <w:start w:val="1"/>
      <w:numFmt w:val="decimal"/>
      <w:lvlText w:val="%7."/>
      <w:lvlJc w:val="left"/>
      <w:pPr>
        <w:ind w:left="4950" w:hanging="360"/>
      </w:pPr>
      <w:rPr>
        <w:rFonts w:cs="Times New Roman"/>
      </w:rPr>
    </w:lvl>
    <w:lvl w:ilvl="7" w:tplc="04090019" w:tentative="1">
      <w:start w:val="1"/>
      <w:numFmt w:val="lowerLetter"/>
      <w:lvlText w:val="%8."/>
      <w:lvlJc w:val="left"/>
      <w:pPr>
        <w:ind w:left="5670" w:hanging="360"/>
      </w:pPr>
      <w:rPr>
        <w:rFonts w:cs="Times New Roman"/>
      </w:rPr>
    </w:lvl>
    <w:lvl w:ilvl="8" w:tplc="0409001B" w:tentative="1">
      <w:start w:val="1"/>
      <w:numFmt w:val="lowerRoman"/>
      <w:lvlText w:val="%9."/>
      <w:lvlJc w:val="right"/>
      <w:pPr>
        <w:ind w:left="6390" w:hanging="180"/>
      </w:pPr>
      <w:rPr>
        <w:rFonts w:cs="Times New Roman"/>
      </w:rPr>
    </w:lvl>
  </w:abstractNum>
  <w:abstractNum w:abstractNumId="69">
    <w:nsid w:val="439E3B2A"/>
    <w:multiLevelType w:val="hybridMultilevel"/>
    <w:tmpl w:val="ED72B4E2"/>
    <w:lvl w:ilvl="0" w:tplc="27BA559A">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43C93B7F"/>
    <w:multiLevelType w:val="hybridMultilevel"/>
    <w:tmpl w:val="49F6C4B6"/>
    <w:lvl w:ilvl="0" w:tplc="9CC00E1A">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1">
    <w:nsid w:val="454100B3"/>
    <w:multiLevelType w:val="hybridMultilevel"/>
    <w:tmpl w:val="E8D83D14"/>
    <w:lvl w:ilvl="0" w:tplc="CF822966">
      <w:start w:val="5"/>
      <w:numFmt w:val="decimal"/>
      <w:lvlText w:val="II.A.%1."/>
      <w:lvlJc w:val="left"/>
      <w:pPr>
        <w:tabs>
          <w:tab w:val="num" w:pos="576"/>
        </w:tabs>
        <w:ind w:left="0" w:firstLine="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455871F0"/>
    <w:multiLevelType w:val="hybridMultilevel"/>
    <w:tmpl w:val="5A36434E"/>
    <w:lvl w:ilvl="0" w:tplc="70B8AD08">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nsid w:val="45C5522B"/>
    <w:multiLevelType w:val="hybridMultilevel"/>
    <w:tmpl w:val="C024C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460D14BC"/>
    <w:multiLevelType w:val="hybridMultilevel"/>
    <w:tmpl w:val="3D427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4684706D"/>
    <w:multiLevelType w:val="hybridMultilevel"/>
    <w:tmpl w:val="93A6BFE0"/>
    <w:lvl w:ilvl="0" w:tplc="70B8AD08">
      <w:start w:val="1"/>
      <w:numFmt w:val="lowerLetter"/>
      <w:lvlText w:val="%1."/>
      <w:lvlJc w:val="left"/>
      <w:pPr>
        <w:tabs>
          <w:tab w:val="num" w:pos="1440"/>
        </w:tabs>
        <w:ind w:left="1440" w:hanging="360"/>
      </w:pPr>
      <w:rPr>
        <w:rFonts w:hint="default"/>
      </w:rPr>
    </w:lvl>
    <w:lvl w:ilvl="1" w:tplc="B5A03C92">
      <w:start w:val="7"/>
      <w:numFmt w:val="decimal"/>
      <w:lvlText w:val="%2."/>
      <w:lvlJc w:val="left"/>
      <w:pPr>
        <w:tabs>
          <w:tab w:val="num" w:pos="576"/>
        </w:tabs>
        <w:ind w:left="0" w:firstLine="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nsid w:val="48F06485"/>
    <w:multiLevelType w:val="hybridMultilevel"/>
    <w:tmpl w:val="FFAE43A8"/>
    <w:lvl w:ilvl="0" w:tplc="A6885E18">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nsid w:val="49200D35"/>
    <w:multiLevelType w:val="hybridMultilevel"/>
    <w:tmpl w:val="A332540E"/>
    <w:lvl w:ilvl="0" w:tplc="927E9332">
      <w:start w:val="1"/>
      <w:numFmt w:val="lowerRoman"/>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nsid w:val="492021A9"/>
    <w:multiLevelType w:val="hybridMultilevel"/>
    <w:tmpl w:val="ED325BA0"/>
    <w:lvl w:ilvl="0" w:tplc="2102A480">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nsid w:val="49225EDB"/>
    <w:multiLevelType w:val="hybridMultilevel"/>
    <w:tmpl w:val="82625E8A"/>
    <w:lvl w:ilvl="0" w:tplc="303A6DCC">
      <w:start w:val="1"/>
      <w:numFmt w:val="lowerRoman"/>
      <w:lvlText w:val="%1."/>
      <w:lvlJc w:val="left"/>
      <w:pPr>
        <w:tabs>
          <w:tab w:val="num" w:pos="1800"/>
        </w:tabs>
        <w:ind w:left="180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nsid w:val="496D10BD"/>
    <w:multiLevelType w:val="hybridMultilevel"/>
    <w:tmpl w:val="AF7497B0"/>
    <w:lvl w:ilvl="0" w:tplc="2BC6C510">
      <w:start w:val="9"/>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nsid w:val="4C0475E3"/>
    <w:multiLevelType w:val="hybridMultilevel"/>
    <w:tmpl w:val="AF283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4D5D239D"/>
    <w:multiLevelType w:val="hybridMultilevel"/>
    <w:tmpl w:val="005C266C"/>
    <w:lvl w:ilvl="0" w:tplc="A83A47BE">
      <w:start w:val="1"/>
      <w:numFmt w:val="lowerLetter"/>
      <w:lvlText w:val="%1."/>
      <w:lvlJc w:val="left"/>
      <w:pPr>
        <w:tabs>
          <w:tab w:val="num" w:pos="1440"/>
        </w:tabs>
        <w:ind w:left="144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4D7E1668"/>
    <w:multiLevelType w:val="hybridMultilevel"/>
    <w:tmpl w:val="F0127EFE"/>
    <w:lvl w:ilvl="0" w:tplc="2102A480">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5">
    <w:nsid w:val="4E0274BB"/>
    <w:multiLevelType w:val="hybridMultilevel"/>
    <w:tmpl w:val="E3DAAADE"/>
    <w:lvl w:ilvl="0" w:tplc="72440BE0">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4EBC41F4"/>
    <w:multiLevelType w:val="hybridMultilevel"/>
    <w:tmpl w:val="16841D2C"/>
    <w:lvl w:ilvl="0" w:tplc="04090019">
      <w:start w:val="1"/>
      <w:numFmt w:val="lowerLetter"/>
      <w:lvlText w:val="%1."/>
      <w:lvlJc w:val="left"/>
      <w:pPr>
        <w:tabs>
          <w:tab w:val="num" w:pos="1440"/>
        </w:tabs>
        <w:ind w:left="1440" w:hanging="360"/>
      </w:pPr>
    </w:lvl>
    <w:lvl w:ilvl="1" w:tplc="D994C600">
      <w:start w:val="4"/>
      <w:numFmt w:val="decimal"/>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7">
    <w:nsid w:val="4F8431F0"/>
    <w:multiLevelType w:val="hybridMultilevel"/>
    <w:tmpl w:val="2A461F3C"/>
    <w:lvl w:ilvl="0" w:tplc="E5BE483A">
      <w:start w:val="1"/>
      <w:numFmt w:val="decimal"/>
      <w:lvlText w:val="II.E.%1."/>
      <w:lvlJc w:val="left"/>
      <w:pPr>
        <w:tabs>
          <w:tab w:val="num" w:pos="720"/>
        </w:tabs>
        <w:ind w:left="0" w:firstLine="0"/>
      </w:pPr>
      <w:rPr>
        <w:rFonts w:hint="default"/>
        <w:b w:val="0"/>
        <w:i w:val="0"/>
      </w:rPr>
    </w:lvl>
    <w:lvl w:ilvl="1" w:tplc="A83A47BE">
      <w:start w:val="1"/>
      <w:numFmt w:val="lowerLetter"/>
      <w:lvlText w:val="%2."/>
      <w:lvlJc w:val="left"/>
      <w:pPr>
        <w:tabs>
          <w:tab w:val="num" w:pos="1440"/>
        </w:tabs>
        <w:ind w:left="1440" w:hanging="360"/>
      </w:pPr>
      <w:rPr>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nsid w:val="4F861500"/>
    <w:multiLevelType w:val="hybridMultilevel"/>
    <w:tmpl w:val="C0540B88"/>
    <w:lvl w:ilvl="0" w:tplc="9D60F2F8">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4F9E1659"/>
    <w:multiLevelType w:val="hybridMultilevel"/>
    <w:tmpl w:val="1DBAA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532918D8"/>
    <w:multiLevelType w:val="hybridMultilevel"/>
    <w:tmpl w:val="F886DE6C"/>
    <w:lvl w:ilvl="0" w:tplc="435EEAEC">
      <w:start w:val="1"/>
      <w:numFmt w:val="lowerRoman"/>
      <w:lvlText w:val="%1."/>
      <w:lvlJc w:val="left"/>
      <w:pPr>
        <w:tabs>
          <w:tab w:val="num" w:pos="1800"/>
        </w:tabs>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53593254"/>
    <w:multiLevelType w:val="hybridMultilevel"/>
    <w:tmpl w:val="E97496F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2">
    <w:nsid w:val="544A7039"/>
    <w:multiLevelType w:val="hybridMultilevel"/>
    <w:tmpl w:val="74E4BE00"/>
    <w:lvl w:ilvl="0" w:tplc="7B7CBDD6">
      <w:start w:val="13"/>
      <w:numFmt w:val="decimal"/>
      <w:lvlText w:val="II.B.%1."/>
      <w:lvlJc w:val="left"/>
      <w:pPr>
        <w:tabs>
          <w:tab w:val="num" w:pos="864"/>
        </w:tabs>
        <w:ind w:left="0" w:firstLine="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56F12077"/>
    <w:multiLevelType w:val="hybridMultilevel"/>
    <w:tmpl w:val="72D0F39C"/>
    <w:lvl w:ilvl="0" w:tplc="103407AE">
      <w:start w:val="1"/>
      <w:numFmt w:val="lowerRoman"/>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nsid w:val="57632D34"/>
    <w:multiLevelType w:val="hybridMultilevel"/>
    <w:tmpl w:val="B8B6C600"/>
    <w:lvl w:ilvl="0" w:tplc="564405F2">
      <w:start w:val="1"/>
      <w:numFmt w:val="lowerLetter"/>
      <w:lvlText w:val="%1."/>
      <w:lvlJc w:val="left"/>
      <w:pPr>
        <w:tabs>
          <w:tab w:val="num" w:pos="1440"/>
        </w:tabs>
        <w:ind w:left="108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nsid w:val="576B601F"/>
    <w:multiLevelType w:val="hybridMultilevel"/>
    <w:tmpl w:val="B570400A"/>
    <w:lvl w:ilvl="0" w:tplc="B85AE018">
      <w:start w:val="2"/>
      <w:numFmt w:val="decimal"/>
      <w:lvlText w:val="%1."/>
      <w:lvlJc w:val="left"/>
      <w:pPr>
        <w:tabs>
          <w:tab w:val="num" w:pos="576"/>
        </w:tabs>
        <w:ind w:left="0" w:firstLine="0"/>
      </w:pPr>
      <w:rPr>
        <w:rFonts w:hint="default"/>
        <w:b w:val="0"/>
      </w:rPr>
    </w:lvl>
    <w:lvl w:ilvl="1" w:tplc="EB86FEFC">
      <w:start w:val="1"/>
      <w:numFmt w:val="lowerLetter"/>
      <w:lvlText w:val="%2."/>
      <w:lvlJc w:val="left"/>
      <w:pPr>
        <w:tabs>
          <w:tab w:val="num" w:pos="1440"/>
        </w:tabs>
        <w:ind w:left="1440" w:hanging="360"/>
      </w:pPr>
      <w:rPr>
        <w:rFonts w:hint="default"/>
        <w:b w:val="0"/>
        <w:i w:val="0"/>
      </w:rPr>
    </w:lvl>
    <w:lvl w:ilvl="2" w:tplc="31FE2BC8">
      <w:start w:val="1"/>
      <w:numFmt w:val="lowerRoman"/>
      <w:lvlText w:val="%3."/>
      <w:lvlJc w:val="left"/>
      <w:pPr>
        <w:tabs>
          <w:tab w:val="num" w:pos="1800"/>
        </w:tabs>
        <w:ind w:left="1800" w:hanging="360"/>
      </w:pPr>
      <w:rPr>
        <w:rFonts w:cs="Times New Roman" w:hint="default"/>
        <w:b w:val="0"/>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nsid w:val="5A1927D0"/>
    <w:multiLevelType w:val="hybridMultilevel"/>
    <w:tmpl w:val="59CC45F4"/>
    <w:lvl w:ilvl="0" w:tplc="03C4CDF8">
      <w:start w:val="1"/>
      <w:numFmt w:val="decimal"/>
      <w:lvlText w:val="II.A.%1."/>
      <w:lvlJc w:val="left"/>
      <w:pPr>
        <w:tabs>
          <w:tab w:val="num" w:pos="576"/>
        </w:tabs>
        <w:ind w:left="0" w:firstLine="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
    <w:nsid w:val="5B63359B"/>
    <w:multiLevelType w:val="hybridMultilevel"/>
    <w:tmpl w:val="5FF8323A"/>
    <w:lvl w:ilvl="0" w:tplc="5442DC66">
      <w:start w:val="7"/>
      <w:numFmt w:val="lowerLetter"/>
      <w:lvlText w:val="%1."/>
      <w:lvlJc w:val="left"/>
      <w:pPr>
        <w:tabs>
          <w:tab w:val="num" w:pos="1800"/>
        </w:tabs>
        <w:ind w:left="18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5BB20897"/>
    <w:multiLevelType w:val="hybridMultilevel"/>
    <w:tmpl w:val="647EB57A"/>
    <w:lvl w:ilvl="0" w:tplc="79B0DE1E">
      <w:start w:val="7"/>
      <w:numFmt w:val="decimal"/>
      <w:lvlText w:val="II.B.%1."/>
      <w:lvlJc w:val="left"/>
      <w:pPr>
        <w:tabs>
          <w:tab w:val="num" w:pos="1656"/>
        </w:tabs>
        <w:ind w:left="1080" w:firstLine="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5C1140C5"/>
    <w:multiLevelType w:val="hybridMultilevel"/>
    <w:tmpl w:val="CBA27BDC"/>
    <w:lvl w:ilvl="0" w:tplc="278EDB24">
      <w:start w:val="1"/>
      <w:numFmt w:val="lowerRoman"/>
      <w:lvlText w:val="%1."/>
      <w:lvlJc w:val="left"/>
      <w:pPr>
        <w:tabs>
          <w:tab w:val="num" w:pos="1800"/>
        </w:tabs>
        <w:ind w:left="1800" w:hanging="360"/>
      </w:pPr>
      <w:rPr>
        <w:rFonts w:hint="default"/>
      </w:rPr>
    </w:lvl>
    <w:lvl w:ilvl="1" w:tplc="BDAAB0C2">
      <w:start w:val="6"/>
      <w:numFmt w:val="lowerLetter"/>
      <w:lvlText w:val="%2."/>
      <w:lvlJc w:val="left"/>
      <w:pPr>
        <w:tabs>
          <w:tab w:val="num" w:pos="1440"/>
        </w:tabs>
        <w:ind w:left="144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0">
    <w:nsid w:val="5CB3036C"/>
    <w:multiLevelType w:val="hybridMultilevel"/>
    <w:tmpl w:val="D8409248"/>
    <w:lvl w:ilvl="0" w:tplc="971454D2">
      <w:start w:val="1"/>
      <w:numFmt w:val="lowerLetter"/>
      <w:lvlText w:val="%1."/>
      <w:lvlJc w:val="left"/>
      <w:pPr>
        <w:tabs>
          <w:tab w:val="num" w:pos="1440"/>
        </w:tabs>
        <w:ind w:left="1440" w:hanging="360"/>
      </w:pPr>
      <w:rPr>
        <w:rFonts w:hint="default"/>
        <w:b w:val="0"/>
      </w:rPr>
    </w:lvl>
    <w:lvl w:ilvl="1" w:tplc="CB1A57A4">
      <w:start w:val="1"/>
      <w:numFmt w:val="lowerRoman"/>
      <w:lvlText w:val="%2."/>
      <w:lvlJc w:val="left"/>
      <w:pPr>
        <w:tabs>
          <w:tab w:val="num" w:pos="1440"/>
        </w:tabs>
        <w:ind w:left="1440" w:hanging="360"/>
      </w:pPr>
      <w:rPr>
        <w:rFonts w:cs="Times New Roman" w:hint="default"/>
        <w:b w:val="0"/>
      </w:rPr>
    </w:lvl>
    <w:lvl w:ilvl="2" w:tplc="268E94E6">
      <w:start w:val="1"/>
      <w:numFmt w:val="lowerRoman"/>
      <w:lvlText w:val="%3."/>
      <w:lvlJc w:val="left"/>
      <w:pPr>
        <w:tabs>
          <w:tab w:val="num" w:pos="1800"/>
        </w:tabs>
        <w:ind w:left="180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1">
    <w:nsid w:val="5D4E469C"/>
    <w:multiLevelType w:val="hybridMultilevel"/>
    <w:tmpl w:val="0DCE0B8E"/>
    <w:lvl w:ilvl="0" w:tplc="DFDA4600">
      <w:start w:val="1"/>
      <w:numFmt w:val="lowerRoman"/>
      <w:lvlText w:val="%1."/>
      <w:lvlJc w:val="left"/>
      <w:pPr>
        <w:tabs>
          <w:tab w:val="num" w:pos="1800"/>
        </w:tabs>
        <w:ind w:left="18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5D961296"/>
    <w:multiLevelType w:val="hybridMultilevel"/>
    <w:tmpl w:val="AFB09F68"/>
    <w:lvl w:ilvl="0" w:tplc="E82A419C">
      <w:start w:val="10"/>
      <w:numFmt w:val="lowerLetter"/>
      <w:lvlText w:val="%1."/>
      <w:lvlJc w:val="left"/>
      <w:pPr>
        <w:tabs>
          <w:tab w:val="num" w:pos="1440"/>
        </w:tabs>
        <w:ind w:left="1440" w:hanging="360"/>
      </w:pPr>
      <w:rPr>
        <w:rFonts w:hint="default"/>
      </w:rPr>
    </w:lvl>
    <w:lvl w:ilvl="1" w:tplc="D6D8AF68">
      <w:start w:val="10"/>
      <w:numFmt w:val="lowerRoman"/>
      <w:lvlText w:val="%2."/>
      <w:lvlJc w:val="left"/>
      <w:pPr>
        <w:tabs>
          <w:tab w:val="num" w:pos="1800"/>
        </w:tabs>
        <w:ind w:left="180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5E221AFF"/>
    <w:multiLevelType w:val="multilevel"/>
    <w:tmpl w:val="AA865B40"/>
    <w:lvl w:ilvl="0">
      <w:start w:val="1"/>
      <w:numFmt w:val="decimal"/>
      <w:pStyle w:val="specnumber"/>
      <w:lvlText w:val="%1)"/>
      <w:lvlJc w:val="left"/>
      <w:pPr>
        <w:tabs>
          <w:tab w:val="num" w:pos="360"/>
        </w:tabs>
        <w:ind w:left="360" w:hanging="360"/>
      </w:pPr>
      <w:rPr>
        <w:rFonts w:cs="Times New Roman" w:hint="default"/>
        <w:b w:val="0"/>
        <w:i w:val="0"/>
        <w:vertAlign w:val="baseline"/>
      </w:rPr>
    </w:lvl>
    <w:lvl w:ilvl="1">
      <w:start w:val="1"/>
      <w:numFmt w:val="lowerLetter"/>
      <w:lvlText w:val="%2."/>
      <w:lvlJc w:val="left"/>
      <w:pPr>
        <w:tabs>
          <w:tab w:val="num" w:pos="1440"/>
        </w:tabs>
        <w:ind w:left="1440" w:hanging="360"/>
      </w:pPr>
      <w:rPr>
        <w:rFonts w:hint="default"/>
        <w:b w:val="0"/>
        <w:i w:val="0"/>
        <w:vertAlign w:val="baseline"/>
      </w:rPr>
    </w:lvl>
    <w:lvl w:ilvl="2">
      <w:start w:val="1"/>
      <w:numFmt w:val="decimal"/>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360"/>
        </w:tabs>
        <w:ind w:left="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04">
    <w:nsid w:val="5E6F0D5E"/>
    <w:multiLevelType w:val="hybridMultilevel"/>
    <w:tmpl w:val="0A246C74"/>
    <w:lvl w:ilvl="0" w:tplc="937213C0">
      <w:start w:val="5"/>
      <w:numFmt w:val="decimal"/>
      <w:lvlText w:val="II.B.%1."/>
      <w:lvlJc w:val="left"/>
      <w:pPr>
        <w:tabs>
          <w:tab w:val="num" w:pos="576"/>
        </w:tabs>
        <w:ind w:left="0" w:firstLine="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5">
    <w:nsid w:val="5F272190"/>
    <w:multiLevelType w:val="hybridMultilevel"/>
    <w:tmpl w:val="AEB6F05A"/>
    <w:lvl w:ilvl="0" w:tplc="035A027C">
      <w:start w:val="10"/>
      <w:numFmt w:val="lowerLetter"/>
      <w:lvlText w:val="%1."/>
      <w:lvlJc w:val="left"/>
      <w:pPr>
        <w:tabs>
          <w:tab w:val="num" w:pos="1440"/>
        </w:tabs>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5F6A2AB5"/>
    <w:multiLevelType w:val="hybridMultilevel"/>
    <w:tmpl w:val="B9742E64"/>
    <w:lvl w:ilvl="0" w:tplc="F5F66FE2">
      <w:start w:val="6"/>
      <w:numFmt w:val="decimal"/>
      <w:lvlText w:val="II.B.%1."/>
      <w:lvlJc w:val="left"/>
      <w:pPr>
        <w:tabs>
          <w:tab w:val="num" w:pos="576"/>
        </w:tabs>
        <w:ind w:left="0" w:firstLine="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7">
    <w:nsid w:val="60B70E78"/>
    <w:multiLevelType w:val="hybridMultilevel"/>
    <w:tmpl w:val="6EAC2542"/>
    <w:lvl w:ilvl="0" w:tplc="BEDA2EE0">
      <w:start w:val="5"/>
      <w:numFmt w:val="lowerLetter"/>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60FE4C65"/>
    <w:multiLevelType w:val="hybridMultilevel"/>
    <w:tmpl w:val="F11ED594"/>
    <w:lvl w:ilvl="0" w:tplc="7C2AC5CA">
      <w:start w:val="1"/>
      <w:numFmt w:val="lowerLetter"/>
      <w:lvlText w:val="%1."/>
      <w:lvlJc w:val="left"/>
      <w:pPr>
        <w:tabs>
          <w:tab w:val="num" w:pos="1440"/>
        </w:tabs>
        <w:ind w:left="1440" w:hanging="360"/>
      </w:pPr>
      <w:rPr>
        <w:rFonts w:hint="default"/>
      </w:rPr>
    </w:lvl>
    <w:lvl w:ilvl="1" w:tplc="7C6E1C36">
      <w:start w:val="8"/>
      <w:numFmt w:val="decimal"/>
      <w:lvlText w:val="%2."/>
      <w:lvlJc w:val="left"/>
      <w:pPr>
        <w:tabs>
          <w:tab w:val="num" w:pos="1656"/>
        </w:tabs>
        <w:ind w:left="1080" w:firstLine="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9">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10">
    <w:nsid w:val="650D5F4B"/>
    <w:multiLevelType w:val="hybridMultilevel"/>
    <w:tmpl w:val="AA889E10"/>
    <w:lvl w:ilvl="0" w:tplc="BE101848">
      <w:start w:val="2"/>
      <w:numFmt w:val="decimal"/>
      <w:lvlText w:val="%1."/>
      <w:lvlJc w:val="left"/>
      <w:pPr>
        <w:tabs>
          <w:tab w:val="num" w:pos="576"/>
        </w:tabs>
        <w:ind w:left="0" w:firstLine="0"/>
      </w:pPr>
      <w:rPr>
        <w:rFonts w:hint="default"/>
      </w:rPr>
    </w:lvl>
    <w:lvl w:ilvl="1" w:tplc="1454412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1">
    <w:nsid w:val="65484634"/>
    <w:multiLevelType w:val="hybridMultilevel"/>
    <w:tmpl w:val="673619D4"/>
    <w:lvl w:ilvl="0" w:tplc="BD84132E">
      <w:start w:val="1"/>
      <w:numFmt w:val="lowerLetter"/>
      <w:lvlText w:val="%1."/>
      <w:lvlJc w:val="left"/>
      <w:pPr>
        <w:tabs>
          <w:tab w:val="num" w:pos="1440"/>
        </w:tabs>
        <w:ind w:left="1440" w:hanging="360"/>
      </w:pPr>
      <w:rPr>
        <w:rFonts w:hint="default"/>
      </w:rPr>
    </w:lvl>
    <w:lvl w:ilvl="1" w:tplc="73ECAF10">
      <w:start w:val="6"/>
      <w:numFmt w:val="decimal"/>
      <w:lvlText w:val="%2."/>
      <w:lvlJc w:val="left"/>
      <w:pPr>
        <w:tabs>
          <w:tab w:val="num" w:pos="576"/>
        </w:tabs>
        <w:ind w:left="0" w:firstLine="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2">
    <w:nsid w:val="67DD5ADE"/>
    <w:multiLevelType w:val="hybridMultilevel"/>
    <w:tmpl w:val="83249704"/>
    <w:lvl w:ilvl="0" w:tplc="C83636E2">
      <w:start w:val="5"/>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nsid w:val="682770B7"/>
    <w:multiLevelType w:val="hybridMultilevel"/>
    <w:tmpl w:val="D9DA42A8"/>
    <w:lvl w:ilvl="0" w:tplc="F446CBFA">
      <w:start w:val="1"/>
      <w:numFmt w:val="lowerRoman"/>
      <w:lvlText w:val="%1."/>
      <w:lvlJc w:val="left"/>
      <w:pPr>
        <w:tabs>
          <w:tab w:val="num" w:pos="1800"/>
        </w:tabs>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nsid w:val="690A6459"/>
    <w:multiLevelType w:val="hybridMultilevel"/>
    <w:tmpl w:val="DCE6F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nsid w:val="69D443E4"/>
    <w:multiLevelType w:val="hybridMultilevel"/>
    <w:tmpl w:val="6F1E3666"/>
    <w:lvl w:ilvl="0" w:tplc="95C413EE">
      <w:start w:val="1"/>
      <w:numFmt w:val="lowerLetter"/>
      <w:lvlText w:val="%1."/>
      <w:lvlJc w:val="left"/>
      <w:pPr>
        <w:tabs>
          <w:tab w:val="num" w:pos="1440"/>
        </w:tabs>
        <w:ind w:left="144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nsid w:val="6A7F4637"/>
    <w:multiLevelType w:val="hybridMultilevel"/>
    <w:tmpl w:val="61D0EDFA"/>
    <w:lvl w:ilvl="0" w:tplc="E746005C">
      <w:start w:val="8"/>
      <w:numFmt w:val="lowerLetter"/>
      <w:lvlText w:val="%1."/>
      <w:lvlJc w:val="left"/>
      <w:pPr>
        <w:tabs>
          <w:tab w:val="num" w:pos="1440"/>
        </w:tabs>
        <w:ind w:left="1440" w:hanging="360"/>
      </w:pPr>
      <w:rPr>
        <w:rFonts w:hint="default"/>
      </w:rPr>
    </w:lvl>
    <w:lvl w:ilvl="1" w:tplc="103407AE">
      <w:start w:val="1"/>
      <w:numFmt w:val="lowerRoman"/>
      <w:lvlText w:val="%2."/>
      <w:lvlJc w:val="left"/>
      <w:pPr>
        <w:tabs>
          <w:tab w:val="num" w:pos="1800"/>
        </w:tabs>
        <w:ind w:left="180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7">
    <w:nsid w:val="6AA8101E"/>
    <w:multiLevelType w:val="hybridMultilevel"/>
    <w:tmpl w:val="07FA3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nsid w:val="6AF17985"/>
    <w:multiLevelType w:val="hybridMultilevel"/>
    <w:tmpl w:val="933E1F8C"/>
    <w:lvl w:ilvl="0" w:tplc="D02006E4">
      <w:start w:val="1"/>
      <w:numFmt w:val="lowerLetter"/>
      <w:lvlText w:val="%1."/>
      <w:lvlJc w:val="left"/>
      <w:pPr>
        <w:tabs>
          <w:tab w:val="num" w:pos="1440"/>
        </w:tabs>
        <w:ind w:left="144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nsid w:val="6D2B6BD6"/>
    <w:multiLevelType w:val="hybridMultilevel"/>
    <w:tmpl w:val="F4CCC858"/>
    <w:lvl w:ilvl="0" w:tplc="A52C14DA">
      <w:start w:val="4"/>
      <w:numFmt w:val="lowerLetter"/>
      <w:lvlText w:val="%1."/>
      <w:lvlJc w:val="left"/>
      <w:pPr>
        <w:tabs>
          <w:tab w:val="num" w:pos="1440"/>
        </w:tabs>
        <w:ind w:left="1440" w:hanging="360"/>
      </w:pPr>
      <w:rPr>
        <w:rFonts w:hint="default"/>
        <w:b w:val="0"/>
      </w:rPr>
    </w:lvl>
    <w:lvl w:ilvl="1" w:tplc="278EDB24">
      <w:start w:val="1"/>
      <w:numFmt w:val="lowerRoman"/>
      <w:lvlText w:val="%2."/>
      <w:lvlJc w:val="left"/>
      <w:pPr>
        <w:tabs>
          <w:tab w:val="num" w:pos="1800"/>
        </w:tabs>
        <w:ind w:left="1800" w:hanging="360"/>
      </w:pPr>
      <w:rPr>
        <w:rFonts w:hint="default"/>
        <w:b w:val="0"/>
      </w:rPr>
    </w:lvl>
    <w:lvl w:ilvl="2" w:tplc="B09281EA">
      <w:start w:val="5"/>
      <w:numFmt w:val="lowerLetter"/>
      <w:lvlText w:val="%3."/>
      <w:lvlJc w:val="left"/>
      <w:pPr>
        <w:tabs>
          <w:tab w:val="num" w:pos="1440"/>
        </w:tabs>
        <w:ind w:left="1440" w:hanging="360"/>
      </w:pPr>
      <w:rPr>
        <w:rFonts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0">
    <w:nsid w:val="6EB0140F"/>
    <w:multiLevelType w:val="hybridMultilevel"/>
    <w:tmpl w:val="87F8C688"/>
    <w:lvl w:ilvl="0" w:tplc="1C72B358">
      <w:start w:val="9"/>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nsid w:val="7095410A"/>
    <w:multiLevelType w:val="hybridMultilevel"/>
    <w:tmpl w:val="7CC86ABE"/>
    <w:lvl w:ilvl="0" w:tplc="70B8AD08">
      <w:start w:val="1"/>
      <w:numFmt w:val="lowerLetter"/>
      <w:lvlText w:val="%1."/>
      <w:lvlJc w:val="left"/>
      <w:pPr>
        <w:tabs>
          <w:tab w:val="num" w:pos="1440"/>
        </w:tabs>
        <w:ind w:left="1440" w:hanging="360"/>
      </w:pPr>
      <w:rPr>
        <w:rFonts w:hint="default"/>
      </w:rPr>
    </w:lvl>
    <w:lvl w:ilvl="1" w:tplc="C9848410">
      <w:start w:val="8"/>
      <w:numFmt w:val="decimal"/>
      <w:lvlText w:val="%2."/>
      <w:lvlJc w:val="left"/>
      <w:pPr>
        <w:tabs>
          <w:tab w:val="num" w:pos="576"/>
        </w:tabs>
        <w:ind w:left="0" w:firstLine="0"/>
      </w:pPr>
      <w:rPr>
        <w:rFonts w:hint="default"/>
        <w:b w:val="0"/>
      </w:rPr>
    </w:lvl>
    <w:lvl w:ilvl="2" w:tplc="A6885E18">
      <w:start w:val="1"/>
      <w:numFmt w:val="lowerLetter"/>
      <w:lvlText w:val="%3."/>
      <w:lvlJc w:val="left"/>
      <w:pPr>
        <w:tabs>
          <w:tab w:val="num" w:pos="1440"/>
        </w:tabs>
        <w:ind w:left="14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2">
    <w:nsid w:val="721D200D"/>
    <w:multiLevelType w:val="hybridMultilevel"/>
    <w:tmpl w:val="6FD6DBC4"/>
    <w:lvl w:ilvl="0" w:tplc="7F406024">
      <w:start w:val="1"/>
      <w:numFmt w:val="lowerRoman"/>
      <w:lvlText w:val="%1."/>
      <w:lvlJc w:val="left"/>
      <w:pPr>
        <w:tabs>
          <w:tab w:val="num" w:pos="1800"/>
        </w:tabs>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nsid w:val="7272621A"/>
    <w:multiLevelType w:val="hybridMultilevel"/>
    <w:tmpl w:val="8C343CC4"/>
    <w:lvl w:ilvl="0" w:tplc="973A17A8">
      <w:start w:val="5"/>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4">
    <w:nsid w:val="737355C1"/>
    <w:multiLevelType w:val="hybridMultilevel"/>
    <w:tmpl w:val="D7CEA910"/>
    <w:lvl w:ilvl="0" w:tplc="43F2EBF2">
      <w:start w:val="1"/>
      <w:numFmt w:val="lowerLetter"/>
      <w:lvlText w:val="%1."/>
      <w:lvlJc w:val="left"/>
      <w:pPr>
        <w:tabs>
          <w:tab w:val="num" w:pos="1440"/>
        </w:tabs>
        <w:ind w:left="1440" w:hanging="360"/>
      </w:pPr>
      <w:rPr>
        <w:rFonts w:hint="default"/>
      </w:rPr>
    </w:lvl>
    <w:lvl w:ilvl="1" w:tplc="F6280F74">
      <w:start w:val="1"/>
      <w:numFmt w:val="lowerRoman"/>
      <w:lvlText w:val="%2."/>
      <w:lvlJc w:val="left"/>
      <w:pPr>
        <w:tabs>
          <w:tab w:val="num" w:pos="1800"/>
        </w:tabs>
        <w:ind w:left="1800" w:hanging="360"/>
      </w:pPr>
      <w:rPr>
        <w:rFonts w:hint="default"/>
      </w:r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5">
    <w:nsid w:val="759F23C9"/>
    <w:multiLevelType w:val="hybridMultilevel"/>
    <w:tmpl w:val="A332540E"/>
    <w:lvl w:ilvl="0" w:tplc="927E9332">
      <w:start w:val="1"/>
      <w:numFmt w:val="lowerRoman"/>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6">
    <w:nsid w:val="782D284F"/>
    <w:multiLevelType w:val="hybridMultilevel"/>
    <w:tmpl w:val="CFBA88DA"/>
    <w:lvl w:ilvl="0" w:tplc="EFBEECD2">
      <w:start w:val="1"/>
      <w:numFmt w:val="lowerRoman"/>
      <w:lvlText w:val="%1."/>
      <w:lvlJc w:val="left"/>
      <w:pPr>
        <w:tabs>
          <w:tab w:val="num" w:pos="1800"/>
        </w:tabs>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nsid w:val="78540534"/>
    <w:multiLevelType w:val="multilevel"/>
    <w:tmpl w:val="DC72A1F2"/>
    <w:lvl w:ilvl="0">
      <w:start w:val="1"/>
      <w:numFmt w:val="upperRoman"/>
      <w:lvlText w:val="%1."/>
      <w:lvlJc w:val="left"/>
      <w:pPr>
        <w:tabs>
          <w:tab w:val="num" w:pos="720"/>
        </w:tabs>
        <w:ind w:left="720" w:hanging="720"/>
      </w:pPr>
      <w:rPr>
        <w:rFonts w:ascii="Times New Roman" w:hAnsi="Times New Roman" w:cs="Times New Roman" w:hint="default"/>
        <w:b/>
        <w:sz w:val="22"/>
        <w:szCs w:val="22"/>
      </w:rPr>
    </w:lvl>
    <w:lvl w:ilvl="1">
      <w:start w:val="1"/>
      <w:numFmt w:val="upperLetter"/>
      <w:lvlText w:val="%2."/>
      <w:lvlJc w:val="left"/>
      <w:pPr>
        <w:tabs>
          <w:tab w:val="num" w:pos="1080"/>
        </w:tabs>
        <w:ind w:left="1080" w:hanging="360"/>
      </w:pPr>
      <w:rPr>
        <w:rFonts w:ascii="Times New Roman" w:hAnsi="Times New Roman" w:cs="Times New Roman" w:hint="default"/>
        <w:b/>
        <w:i w:val="0"/>
        <w:sz w:val="22"/>
        <w:szCs w:val="22"/>
      </w:rPr>
    </w:lvl>
    <w:lvl w:ilvl="2">
      <w:start w:val="1"/>
      <w:numFmt w:val="decimal"/>
      <w:lvlText w:val="%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lowerRoman"/>
      <w:lvlText w:val="(%7)"/>
      <w:lvlJc w:val="left"/>
      <w:pPr>
        <w:tabs>
          <w:tab w:val="num" w:pos="504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28">
    <w:nsid w:val="787D28F2"/>
    <w:multiLevelType w:val="hybridMultilevel"/>
    <w:tmpl w:val="FC1EBEF6"/>
    <w:lvl w:ilvl="0" w:tplc="872C0332">
      <w:start w:val="1"/>
      <w:numFmt w:val="lowerLetter"/>
      <w:lvlText w:val="%1."/>
      <w:lvlJc w:val="left"/>
      <w:pPr>
        <w:tabs>
          <w:tab w:val="num" w:pos="1440"/>
        </w:tabs>
        <w:ind w:left="144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nsid w:val="7C286CDF"/>
    <w:multiLevelType w:val="hybridMultilevel"/>
    <w:tmpl w:val="F86836F2"/>
    <w:lvl w:ilvl="0" w:tplc="0234F2D8">
      <w:start w:val="1"/>
      <w:numFmt w:val="lowerRoman"/>
      <w:lvlText w:val="%1."/>
      <w:lvlJc w:val="left"/>
      <w:pPr>
        <w:tabs>
          <w:tab w:val="num" w:pos="1800"/>
        </w:tabs>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nsid w:val="7C324DB2"/>
    <w:multiLevelType w:val="hybridMultilevel"/>
    <w:tmpl w:val="479C7E86"/>
    <w:lvl w:ilvl="0" w:tplc="CC3CA556">
      <w:start w:val="4"/>
      <w:numFmt w:val="decimal"/>
      <w:lvlText w:val="II.B.%1."/>
      <w:lvlJc w:val="left"/>
      <w:pPr>
        <w:tabs>
          <w:tab w:val="num" w:pos="576"/>
        </w:tabs>
        <w:ind w:left="0" w:firstLine="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1">
    <w:nsid w:val="7D260101"/>
    <w:multiLevelType w:val="hybridMultilevel"/>
    <w:tmpl w:val="50F8BA00"/>
    <w:lvl w:ilvl="0" w:tplc="B6686214">
      <w:start w:val="1"/>
      <w:numFmt w:val="lowerRoman"/>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nsid w:val="7D6B3FA7"/>
    <w:multiLevelType w:val="hybridMultilevel"/>
    <w:tmpl w:val="4C4ED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nsid w:val="7EA310B1"/>
    <w:multiLevelType w:val="hybridMultilevel"/>
    <w:tmpl w:val="1E1EAC5A"/>
    <w:lvl w:ilvl="0" w:tplc="ECE8FE14">
      <w:start w:val="1"/>
      <w:numFmt w:val="lowerRoman"/>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nsid w:val="7FE0183A"/>
    <w:multiLevelType w:val="hybridMultilevel"/>
    <w:tmpl w:val="1A4058EC"/>
    <w:lvl w:ilvl="0" w:tplc="603AE46E">
      <w:start w:val="5"/>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5"/>
  </w:num>
  <w:num w:numId="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3"/>
  </w:num>
  <w:num w:numId="4">
    <w:abstractNumId w:val="91"/>
  </w:num>
  <w:num w:numId="5">
    <w:abstractNumId w:val="24"/>
  </w:num>
  <w:num w:numId="6">
    <w:abstractNumId w:val="109"/>
  </w:num>
  <w:num w:numId="7">
    <w:abstractNumId w:val="6"/>
  </w:num>
  <w:num w:numId="8">
    <w:abstractNumId w:val="103"/>
  </w:num>
  <w:num w:numId="9">
    <w:abstractNumId w:val="127"/>
  </w:num>
  <w:num w:numId="10">
    <w:abstractNumId w:val="35"/>
  </w:num>
  <w:num w:numId="11">
    <w:abstractNumId w:val="114"/>
  </w:num>
  <w:num w:numId="12">
    <w:abstractNumId w:val="117"/>
  </w:num>
  <w:num w:numId="13">
    <w:abstractNumId w:val="31"/>
  </w:num>
  <w:num w:numId="14">
    <w:abstractNumId w:val="33"/>
  </w:num>
  <w:num w:numId="15">
    <w:abstractNumId w:val="89"/>
  </w:num>
  <w:num w:numId="16">
    <w:abstractNumId w:val="81"/>
  </w:num>
  <w:num w:numId="17">
    <w:abstractNumId w:val="19"/>
  </w:num>
  <w:num w:numId="18">
    <w:abstractNumId w:val="85"/>
  </w:num>
  <w:num w:numId="19">
    <w:abstractNumId w:val="21"/>
  </w:num>
  <w:num w:numId="20">
    <w:abstractNumId w:val="36"/>
  </w:num>
  <w:num w:numId="21">
    <w:abstractNumId w:val="34"/>
  </w:num>
  <w:num w:numId="22">
    <w:abstractNumId w:val="57"/>
  </w:num>
  <w:num w:numId="23">
    <w:abstractNumId w:val="69"/>
  </w:num>
  <w:num w:numId="24">
    <w:abstractNumId w:val="12"/>
  </w:num>
  <w:num w:numId="25">
    <w:abstractNumId w:val="56"/>
  </w:num>
  <w:num w:numId="26">
    <w:abstractNumId w:val="74"/>
  </w:num>
  <w:num w:numId="27">
    <w:abstractNumId w:val="32"/>
  </w:num>
  <w:num w:numId="28">
    <w:abstractNumId w:val="132"/>
  </w:num>
  <w:num w:numId="29">
    <w:abstractNumId w:val="70"/>
  </w:num>
  <w:num w:numId="30">
    <w:abstractNumId w:val="86"/>
  </w:num>
  <w:num w:numId="31">
    <w:abstractNumId w:val="53"/>
  </w:num>
  <w:num w:numId="32">
    <w:abstractNumId w:val="39"/>
  </w:num>
  <w:num w:numId="33">
    <w:abstractNumId w:val="111"/>
  </w:num>
  <w:num w:numId="34">
    <w:abstractNumId w:val="78"/>
  </w:num>
  <w:num w:numId="35">
    <w:abstractNumId w:val="9"/>
  </w:num>
  <w:num w:numId="36">
    <w:abstractNumId w:val="108"/>
  </w:num>
  <w:num w:numId="37">
    <w:abstractNumId w:val="58"/>
  </w:num>
  <w:num w:numId="38">
    <w:abstractNumId w:val="124"/>
  </w:num>
  <w:num w:numId="39">
    <w:abstractNumId w:val="110"/>
  </w:num>
  <w:num w:numId="40">
    <w:abstractNumId w:val="68"/>
  </w:num>
  <w:num w:numId="41">
    <w:abstractNumId w:val="75"/>
  </w:num>
  <w:num w:numId="42">
    <w:abstractNumId w:val="121"/>
  </w:num>
  <w:num w:numId="43">
    <w:abstractNumId w:val="95"/>
  </w:num>
  <w:num w:numId="44">
    <w:abstractNumId w:val="48"/>
  </w:num>
  <w:num w:numId="45">
    <w:abstractNumId w:val="119"/>
  </w:num>
  <w:num w:numId="46">
    <w:abstractNumId w:val="99"/>
  </w:num>
  <w:num w:numId="47">
    <w:abstractNumId w:val="3"/>
  </w:num>
  <w:num w:numId="48">
    <w:abstractNumId w:val="47"/>
  </w:num>
  <w:num w:numId="49">
    <w:abstractNumId w:val="100"/>
  </w:num>
  <w:num w:numId="50">
    <w:abstractNumId w:val="116"/>
  </w:num>
  <w:num w:numId="51">
    <w:abstractNumId w:val="16"/>
  </w:num>
  <w:num w:numId="52">
    <w:abstractNumId w:val="93"/>
  </w:num>
  <w:num w:numId="53">
    <w:abstractNumId w:val="38"/>
  </w:num>
  <w:num w:numId="54">
    <w:abstractNumId w:val="23"/>
  </w:num>
  <w:num w:numId="55">
    <w:abstractNumId w:val="72"/>
  </w:num>
  <w:num w:numId="56">
    <w:abstractNumId w:val="76"/>
  </w:num>
  <w:num w:numId="57">
    <w:abstractNumId w:val="80"/>
  </w:num>
  <w:num w:numId="58">
    <w:abstractNumId w:val="13"/>
  </w:num>
  <w:num w:numId="59">
    <w:abstractNumId w:val="123"/>
  </w:num>
  <w:num w:numId="60">
    <w:abstractNumId w:val="29"/>
  </w:num>
  <w:num w:numId="61">
    <w:abstractNumId w:val="79"/>
  </w:num>
  <w:num w:numId="62">
    <w:abstractNumId w:val="28"/>
  </w:num>
  <w:num w:numId="63">
    <w:abstractNumId w:val="96"/>
  </w:num>
  <w:num w:numId="64">
    <w:abstractNumId w:val="26"/>
  </w:num>
  <w:num w:numId="65">
    <w:abstractNumId w:val="87"/>
  </w:num>
  <w:num w:numId="66">
    <w:abstractNumId w:val="50"/>
  </w:num>
  <w:num w:numId="67">
    <w:abstractNumId w:val="65"/>
  </w:num>
  <w:num w:numId="68">
    <w:abstractNumId w:val="130"/>
  </w:num>
  <w:num w:numId="69">
    <w:abstractNumId w:val="104"/>
  </w:num>
  <w:num w:numId="70">
    <w:abstractNumId w:val="106"/>
  </w:num>
  <w:num w:numId="71">
    <w:abstractNumId w:val="66"/>
  </w:num>
  <w:num w:numId="72">
    <w:abstractNumId w:val="94"/>
  </w:num>
  <w:num w:numId="7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77"/>
  </w:num>
  <w:num w:numId="75">
    <w:abstractNumId w:val="61"/>
  </w:num>
  <w:num w:numId="76">
    <w:abstractNumId w:val="10"/>
  </w:num>
  <w:num w:numId="77">
    <w:abstractNumId w:val="102"/>
  </w:num>
  <w:num w:numId="78">
    <w:abstractNumId w:val="133"/>
  </w:num>
  <w:num w:numId="79">
    <w:abstractNumId w:val="83"/>
  </w:num>
  <w:num w:numId="80">
    <w:abstractNumId w:val="49"/>
  </w:num>
  <w:num w:numId="81">
    <w:abstractNumId w:val="82"/>
  </w:num>
  <w:num w:numId="82">
    <w:abstractNumId w:val="60"/>
  </w:num>
  <w:num w:numId="83">
    <w:abstractNumId w:val="125"/>
  </w:num>
  <w:num w:numId="84">
    <w:abstractNumId w:val="129"/>
  </w:num>
  <w:num w:numId="85">
    <w:abstractNumId w:val="11"/>
  </w:num>
  <w:num w:numId="86">
    <w:abstractNumId w:val="105"/>
  </w:num>
  <w:num w:numId="87">
    <w:abstractNumId w:val="1"/>
  </w:num>
  <w:num w:numId="88">
    <w:abstractNumId w:val="71"/>
  </w:num>
  <w:num w:numId="89">
    <w:abstractNumId w:val="41"/>
  </w:num>
  <w:num w:numId="90">
    <w:abstractNumId w:val="30"/>
  </w:num>
  <w:num w:numId="91">
    <w:abstractNumId w:val="15"/>
  </w:num>
  <w:num w:numId="92">
    <w:abstractNumId w:val="98"/>
  </w:num>
  <w:num w:numId="93">
    <w:abstractNumId w:val="5"/>
  </w:num>
  <w:num w:numId="94">
    <w:abstractNumId w:val="92"/>
  </w:num>
  <w:num w:numId="95">
    <w:abstractNumId w:val="67"/>
  </w:num>
  <w:num w:numId="96">
    <w:abstractNumId w:val="55"/>
  </w:num>
  <w:num w:numId="97">
    <w:abstractNumId w:val="7"/>
  </w:num>
  <w:num w:numId="98">
    <w:abstractNumId w:val="126"/>
  </w:num>
  <w:num w:numId="99">
    <w:abstractNumId w:val="52"/>
  </w:num>
  <w:num w:numId="100">
    <w:abstractNumId w:val="8"/>
  </w:num>
  <w:num w:numId="101">
    <w:abstractNumId w:val="115"/>
  </w:num>
  <w:num w:numId="102">
    <w:abstractNumId w:val="101"/>
  </w:num>
  <w:num w:numId="103">
    <w:abstractNumId w:val="62"/>
  </w:num>
  <w:num w:numId="104">
    <w:abstractNumId w:val="17"/>
  </w:num>
  <w:num w:numId="105">
    <w:abstractNumId w:val="43"/>
  </w:num>
  <w:num w:numId="106">
    <w:abstractNumId w:val="128"/>
  </w:num>
  <w:num w:numId="107">
    <w:abstractNumId w:val="131"/>
  </w:num>
  <w:num w:numId="108">
    <w:abstractNumId w:val="46"/>
  </w:num>
  <w:num w:numId="109">
    <w:abstractNumId w:val="4"/>
  </w:num>
  <w:num w:numId="110">
    <w:abstractNumId w:val="44"/>
  </w:num>
  <w:num w:numId="111">
    <w:abstractNumId w:val="122"/>
  </w:num>
  <w:num w:numId="112">
    <w:abstractNumId w:val="88"/>
  </w:num>
  <w:num w:numId="113">
    <w:abstractNumId w:val="63"/>
  </w:num>
  <w:num w:numId="114">
    <w:abstractNumId w:val="118"/>
  </w:num>
  <w:num w:numId="115">
    <w:abstractNumId w:val="51"/>
  </w:num>
  <w:num w:numId="116">
    <w:abstractNumId w:val="20"/>
  </w:num>
  <w:num w:numId="117">
    <w:abstractNumId w:val="90"/>
  </w:num>
  <w:num w:numId="118">
    <w:abstractNumId w:val="25"/>
  </w:num>
  <w:num w:numId="119">
    <w:abstractNumId w:val="113"/>
  </w:num>
  <w:num w:numId="120">
    <w:abstractNumId w:val="18"/>
  </w:num>
  <w:num w:numId="121">
    <w:abstractNumId w:val="54"/>
  </w:num>
  <w:num w:numId="122">
    <w:abstractNumId w:val="107"/>
  </w:num>
  <w:num w:numId="123">
    <w:abstractNumId w:val="97"/>
  </w:num>
  <w:num w:numId="124">
    <w:abstractNumId w:val="22"/>
  </w:num>
  <w:num w:numId="125">
    <w:abstractNumId w:val="134"/>
  </w:num>
  <w:num w:numId="126">
    <w:abstractNumId w:val="120"/>
  </w:num>
  <w:num w:numId="127">
    <w:abstractNumId w:val="2"/>
  </w:num>
  <w:num w:numId="128">
    <w:abstractNumId w:val="112"/>
  </w:num>
  <w:num w:numId="129">
    <w:abstractNumId w:val="0"/>
  </w:num>
  <w:num w:numId="130">
    <w:abstractNumId w:val="27"/>
  </w:num>
  <w:num w:numId="131">
    <w:abstractNumId w:val="64"/>
  </w:num>
  <w:num w:numId="132">
    <w:abstractNumId w:val="59"/>
  </w:num>
  <w:num w:numId="133">
    <w:abstractNumId w:val="40"/>
  </w:num>
  <w:num w:numId="134">
    <w:abstractNumId w:val="84"/>
  </w:num>
  <w:num w:numId="135">
    <w:abstractNumId w:val="42"/>
  </w:num>
  <w:num w:numId="136">
    <w:abstractNumId w:val="14"/>
  </w:num>
  <w:numIdMacAtCleanup w:val="1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5"/>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4E2"/>
    <w:rsid w:val="00000E96"/>
    <w:rsid w:val="000027AF"/>
    <w:rsid w:val="000044A4"/>
    <w:rsid w:val="000067F4"/>
    <w:rsid w:val="0000793F"/>
    <w:rsid w:val="00014F96"/>
    <w:rsid w:val="00015FBE"/>
    <w:rsid w:val="00020FED"/>
    <w:rsid w:val="00024C7E"/>
    <w:rsid w:val="00027FAD"/>
    <w:rsid w:val="00030F95"/>
    <w:rsid w:val="00033018"/>
    <w:rsid w:val="0003381B"/>
    <w:rsid w:val="00034C03"/>
    <w:rsid w:val="000350FC"/>
    <w:rsid w:val="00036F49"/>
    <w:rsid w:val="000379AA"/>
    <w:rsid w:val="0004058B"/>
    <w:rsid w:val="00041052"/>
    <w:rsid w:val="00041ADA"/>
    <w:rsid w:val="00041C25"/>
    <w:rsid w:val="000443D0"/>
    <w:rsid w:val="00044492"/>
    <w:rsid w:val="00044C64"/>
    <w:rsid w:val="00046158"/>
    <w:rsid w:val="00050DD9"/>
    <w:rsid w:val="00051C98"/>
    <w:rsid w:val="000533CA"/>
    <w:rsid w:val="000540C5"/>
    <w:rsid w:val="00056C0F"/>
    <w:rsid w:val="00060185"/>
    <w:rsid w:val="000601C6"/>
    <w:rsid w:val="0006328F"/>
    <w:rsid w:val="00064577"/>
    <w:rsid w:val="00065397"/>
    <w:rsid w:val="00065A19"/>
    <w:rsid w:val="00065C5F"/>
    <w:rsid w:val="000665D6"/>
    <w:rsid w:val="00066D53"/>
    <w:rsid w:val="00067638"/>
    <w:rsid w:val="00071D27"/>
    <w:rsid w:val="00074896"/>
    <w:rsid w:val="00076580"/>
    <w:rsid w:val="0007737D"/>
    <w:rsid w:val="00085C4E"/>
    <w:rsid w:val="00086D23"/>
    <w:rsid w:val="0008742A"/>
    <w:rsid w:val="00091A4B"/>
    <w:rsid w:val="00093AA9"/>
    <w:rsid w:val="000969D5"/>
    <w:rsid w:val="000A04EE"/>
    <w:rsid w:val="000A13DE"/>
    <w:rsid w:val="000A146D"/>
    <w:rsid w:val="000A1771"/>
    <w:rsid w:val="000A205D"/>
    <w:rsid w:val="000A3858"/>
    <w:rsid w:val="000A52E6"/>
    <w:rsid w:val="000A78FA"/>
    <w:rsid w:val="000B1568"/>
    <w:rsid w:val="000B238F"/>
    <w:rsid w:val="000B24EB"/>
    <w:rsid w:val="000B2C5C"/>
    <w:rsid w:val="000B2D74"/>
    <w:rsid w:val="000B52A0"/>
    <w:rsid w:val="000B60A3"/>
    <w:rsid w:val="000B635F"/>
    <w:rsid w:val="000B684D"/>
    <w:rsid w:val="000B73FF"/>
    <w:rsid w:val="000C1CB0"/>
    <w:rsid w:val="000C28FB"/>
    <w:rsid w:val="000C3080"/>
    <w:rsid w:val="000C569A"/>
    <w:rsid w:val="000D1B5B"/>
    <w:rsid w:val="000D2457"/>
    <w:rsid w:val="000D2657"/>
    <w:rsid w:val="000D2E2C"/>
    <w:rsid w:val="000D4040"/>
    <w:rsid w:val="000D4432"/>
    <w:rsid w:val="000D4F32"/>
    <w:rsid w:val="000D5932"/>
    <w:rsid w:val="000D6945"/>
    <w:rsid w:val="000D74AC"/>
    <w:rsid w:val="000D7ADC"/>
    <w:rsid w:val="000E250C"/>
    <w:rsid w:val="000E438D"/>
    <w:rsid w:val="000E5A56"/>
    <w:rsid w:val="000E5FEC"/>
    <w:rsid w:val="000E6210"/>
    <w:rsid w:val="000E622F"/>
    <w:rsid w:val="000E7224"/>
    <w:rsid w:val="000F01C8"/>
    <w:rsid w:val="000F4EC3"/>
    <w:rsid w:val="000F6395"/>
    <w:rsid w:val="0010249D"/>
    <w:rsid w:val="00103853"/>
    <w:rsid w:val="00103CC6"/>
    <w:rsid w:val="001040A2"/>
    <w:rsid w:val="001045E6"/>
    <w:rsid w:val="0010736B"/>
    <w:rsid w:val="0011023B"/>
    <w:rsid w:val="00110C74"/>
    <w:rsid w:val="00111AF4"/>
    <w:rsid w:val="00115BAC"/>
    <w:rsid w:val="0011648C"/>
    <w:rsid w:val="001173BD"/>
    <w:rsid w:val="0011791B"/>
    <w:rsid w:val="001243B4"/>
    <w:rsid w:val="001274A8"/>
    <w:rsid w:val="001275A8"/>
    <w:rsid w:val="00127F8E"/>
    <w:rsid w:val="001302C8"/>
    <w:rsid w:val="00131925"/>
    <w:rsid w:val="00132A94"/>
    <w:rsid w:val="00134632"/>
    <w:rsid w:val="0013559E"/>
    <w:rsid w:val="0014029E"/>
    <w:rsid w:val="00141655"/>
    <w:rsid w:val="001419DD"/>
    <w:rsid w:val="00143250"/>
    <w:rsid w:val="001440F8"/>
    <w:rsid w:val="00147C2C"/>
    <w:rsid w:val="001501AE"/>
    <w:rsid w:val="00153B2A"/>
    <w:rsid w:val="0015417B"/>
    <w:rsid w:val="0015510B"/>
    <w:rsid w:val="00157555"/>
    <w:rsid w:val="00157664"/>
    <w:rsid w:val="00160951"/>
    <w:rsid w:val="00161531"/>
    <w:rsid w:val="00162BEB"/>
    <w:rsid w:val="0016425B"/>
    <w:rsid w:val="001650DD"/>
    <w:rsid w:val="00166E2D"/>
    <w:rsid w:val="00170481"/>
    <w:rsid w:val="00170D00"/>
    <w:rsid w:val="00171253"/>
    <w:rsid w:val="00173440"/>
    <w:rsid w:val="001737E1"/>
    <w:rsid w:val="00176EE8"/>
    <w:rsid w:val="0017736A"/>
    <w:rsid w:val="00177729"/>
    <w:rsid w:val="001801FF"/>
    <w:rsid w:val="001828CA"/>
    <w:rsid w:val="00183ABC"/>
    <w:rsid w:val="001841F1"/>
    <w:rsid w:val="001845F8"/>
    <w:rsid w:val="00185716"/>
    <w:rsid w:val="00185C73"/>
    <w:rsid w:val="00190E44"/>
    <w:rsid w:val="00191775"/>
    <w:rsid w:val="001A032D"/>
    <w:rsid w:val="001A108F"/>
    <w:rsid w:val="001A17A3"/>
    <w:rsid w:val="001A273E"/>
    <w:rsid w:val="001A50FF"/>
    <w:rsid w:val="001A633A"/>
    <w:rsid w:val="001A68C6"/>
    <w:rsid w:val="001B06E9"/>
    <w:rsid w:val="001B310A"/>
    <w:rsid w:val="001B3FA0"/>
    <w:rsid w:val="001B5255"/>
    <w:rsid w:val="001B5736"/>
    <w:rsid w:val="001B5806"/>
    <w:rsid w:val="001B6F67"/>
    <w:rsid w:val="001B788D"/>
    <w:rsid w:val="001C1FC5"/>
    <w:rsid w:val="001C5D24"/>
    <w:rsid w:val="001C6B31"/>
    <w:rsid w:val="001D08B5"/>
    <w:rsid w:val="001D17AF"/>
    <w:rsid w:val="001D2AF7"/>
    <w:rsid w:val="001D3F58"/>
    <w:rsid w:val="001D5040"/>
    <w:rsid w:val="001D75CC"/>
    <w:rsid w:val="001D7CFF"/>
    <w:rsid w:val="001E0F76"/>
    <w:rsid w:val="001E1A56"/>
    <w:rsid w:val="001E4C32"/>
    <w:rsid w:val="001E4D6A"/>
    <w:rsid w:val="001E6642"/>
    <w:rsid w:val="001F1C92"/>
    <w:rsid w:val="001F395A"/>
    <w:rsid w:val="001F711B"/>
    <w:rsid w:val="002014C6"/>
    <w:rsid w:val="00202255"/>
    <w:rsid w:val="00202CD0"/>
    <w:rsid w:val="0020344D"/>
    <w:rsid w:val="00205E5E"/>
    <w:rsid w:val="00207DEE"/>
    <w:rsid w:val="002103BD"/>
    <w:rsid w:val="002113BE"/>
    <w:rsid w:val="00212027"/>
    <w:rsid w:val="00212F64"/>
    <w:rsid w:val="00213F68"/>
    <w:rsid w:val="00214260"/>
    <w:rsid w:val="002170DD"/>
    <w:rsid w:val="0022189E"/>
    <w:rsid w:val="0022301E"/>
    <w:rsid w:val="00224228"/>
    <w:rsid w:val="00224DCB"/>
    <w:rsid w:val="00226155"/>
    <w:rsid w:val="00227CAB"/>
    <w:rsid w:val="002319AE"/>
    <w:rsid w:val="002359A4"/>
    <w:rsid w:val="002427B9"/>
    <w:rsid w:val="002432B6"/>
    <w:rsid w:val="0024520C"/>
    <w:rsid w:val="0024753A"/>
    <w:rsid w:val="0025135E"/>
    <w:rsid w:val="00252C5A"/>
    <w:rsid w:val="00252D0D"/>
    <w:rsid w:val="00254EC0"/>
    <w:rsid w:val="00255A43"/>
    <w:rsid w:val="00256209"/>
    <w:rsid w:val="00260187"/>
    <w:rsid w:val="00260778"/>
    <w:rsid w:val="002612CB"/>
    <w:rsid w:val="00262C24"/>
    <w:rsid w:val="00263681"/>
    <w:rsid w:val="00263CCF"/>
    <w:rsid w:val="00264D1E"/>
    <w:rsid w:val="00264E8C"/>
    <w:rsid w:val="002654BA"/>
    <w:rsid w:val="00265FDA"/>
    <w:rsid w:val="00267C93"/>
    <w:rsid w:val="0027087D"/>
    <w:rsid w:val="00272611"/>
    <w:rsid w:val="002730C3"/>
    <w:rsid w:val="00273675"/>
    <w:rsid w:val="00275953"/>
    <w:rsid w:val="0028156A"/>
    <w:rsid w:val="00285033"/>
    <w:rsid w:val="00286A69"/>
    <w:rsid w:val="002878B8"/>
    <w:rsid w:val="00294A9E"/>
    <w:rsid w:val="00295162"/>
    <w:rsid w:val="00295471"/>
    <w:rsid w:val="002A0E45"/>
    <w:rsid w:val="002A3DA6"/>
    <w:rsid w:val="002A3F6E"/>
    <w:rsid w:val="002A4A24"/>
    <w:rsid w:val="002B1575"/>
    <w:rsid w:val="002B3ABD"/>
    <w:rsid w:val="002B411F"/>
    <w:rsid w:val="002B4F7A"/>
    <w:rsid w:val="002B50F3"/>
    <w:rsid w:val="002B522E"/>
    <w:rsid w:val="002B5628"/>
    <w:rsid w:val="002B705E"/>
    <w:rsid w:val="002C0091"/>
    <w:rsid w:val="002C1344"/>
    <w:rsid w:val="002C2218"/>
    <w:rsid w:val="002C3FC0"/>
    <w:rsid w:val="002C46D7"/>
    <w:rsid w:val="002C5699"/>
    <w:rsid w:val="002C5A77"/>
    <w:rsid w:val="002C5C66"/>
    <w:rsid w:val="002C634A"/>
    <w:rsid w:val="002C64B1"/>
    <w:rsid w:val="002C689C"/>
    <w:rsid w:val="002D1B36"/>
    <w:rsid w:val="002D1B40"/>
    <w:rsid w:val="002D2CD1"/>
    <w:rsid w:val="002D345E"/>
    <w:rsid w:val="002D36ED"/>
    <w:rsid w:val="002D4457"/>
    <w:rsid w:val="002D70D2"/>
    <w:rsid w:val="002D7D30"/>
    <w:rsid w:val="002E037C"/>
    <w:rsid w:val="002E0D98"/>
    <w:rsid w:val="002E3E2F"/>
    <w:rsid w:val="002E44B2"/>
    <w:rsid w:val="002E462E"/>
    <w:rsid w:val="002E4693"/>
    <w:rsid w:val="002E4F85"/>
    <w:rsid w:val="002E578B"/>
    <w:rsid w:val="002E5EFC"/>
    <w:rsid w:val="002F0C09"/>
    <w:rsid w:val="002F3BA1"/>
    <w:rsid w:val="002F5988"/>
    <w:rsid w:val="002F7B88"/>
    <w:rsid w:val="00300E4D"/>
    <w:rsid w:val="003069CD"/>
    <w:rsid w:val="003110B3"/>
    <w:rsid w:val="0031136B"/>
    <w:rsid w:val="0031458B"/>
    <w:rsid w:val="00315FB5"/>
    <w:rsid w:val="00316DB1"/>
    <w:rsid w:val="00317B38"/>
    <w:rsid w:val="00320FF4"/>
    <w:rsid w:val="00325659"/>
    <w:rsid w:val="00326BE5"/>
    <w:rsid w:val="00330CFA"/>
    <w:rsid w:val="0033195C"/>
    <w:rsid w:val="00331CD5"/>
    <w:rsid w:val="003321FA"/>
    <w:rsid w:val="0033254D"/>
    <w:rsid w:val="00333CBB"/>
    <w:rsid w:val="00336198"/>
    <w:rsid w:val="0033669C"/>
    <w:rsid w:val="00337201"/>
    <w:rsid w:val="00343481"/>
    <w:rsid w:val="00343DFD"/>
    <w:rsid w:val="00344265"/>
    <w:rsid w:val="00350308"/>
    <w:rsid w:val="0035434C"/>
    <w:rsid w:val="00354A9E"/>
    <w:rsid w:val="00356C23"/>
    <w:rsid w:val="00362F74"/>
    <w:rsid w:val="00363F6E"/>
    <w:rsid w:val="00365C30"/>
    <w:rsid w:val="0036759E"/>
    <w:rsid w:val="00370A16"/>
    <w:rsid w:val="00371C26"/>
    <w:rsid w:val="00375333"/>
    <w:rsid w:val="003778FA"/>
    <w:rsid w:val="00380FE0"/>
    <w:rsid w:val="00381F17"/>
    <w:rsid w:val="00383AE5"/>
    <w:rsid w:val="003856D4"/>
    <w:rsid w:val="0039087E"/>
    <w:rsid w:val="00390D30"/>
    <w:rsid w:val="0039332D"/>
    <w:rsid w:val="00393F24"/>
    <w:rsid w:val="003A2FC9"/>
    <w:rsid w:val="003A35D6"/>
    <w:rsid w:val="003A3636"/>
    <w:rsid w:val="003B1AC4"/>
    <w:rsid w:val="003B32D7"/>
    <w:rsid w:val="003B4541"/>
    <w:rsid w:val="003B6A63"/>
    <w:rsid w:val="003B73C1"/>
    <w:rsid w:val="003C1116"/>
    <w:rsid w:val="003C120F"/>
    <w:rsid w:val="003C1C85"/>
    <w:rsid w:val="003C2E83"/>
    <w:rsid w:val="003C5428"/>
    <w:rsid w:val="003C698C"/>
    <w:rsid w:val="003C6E40"/>
    <w:rsid w:val="003C76CB"/>
    <w:rsid w:val="003D0B25"/>
    <w:rsid w:val="003D2D65"/>
    <w:rsid w:val="003D7099"/>
    <w:rsid w:val="003D7481"/>
    <w:rsid w:val="003E1783"/>
    <w:rsid w:val="003E263B"/>
    <w:rsid w:val="003E3287"/>
    <w:rsid w:val="003E49B8"/>
    <w:rsid w:val="003F0CCB"/>
    <w:rsid w:val="003F3052"/>
    <w:rsid w:val="003F46EA"/>
    <w:rsid w:val="003F508E"/>
    <w:rsid w:val="003F67F3"/>
    <w:rsid w:val="00401ECA"/>
    <w:rsid w:val="00410815"/>
    <w:rsid w:val="0041084F"/>
    <w:rsid w:val="0041244E"/>
    <w:rsid w:val="00412CB0"/>
    <w:rsid w:val="0041596F"/>
    <w:rsid w:val="00415E79"/>
    <w:rsid w:val="004161E1"/>
    <w:rsid w:val="00417636"/>
    <w:rsid w:val="00417EA9"/>
    <w:rsid w:val="0042068C"/>
    <w:rsid w:val="0042095B"/>
    <w:rsid w:val="00424064"/>
    <w:rsid w:val="00424D91"/>
    <w:rsid w:val="0042502C"/>
    <w:rsid w:val="0042594D"/>
    <w:rsid w:val="00427585"/>
    <w:rsid w:val="004315F9"/>
    <w:rsid w:val="00431A57"/>
    <w:rsid w:val="00433236"/>
    <w:rsid w:val="00433F23"/>
    <w:rsid w:val="004346AB"/>
    <w:rsid w:val="004379AB"/>
    <w:rsid w:val="00437E90"/>
    <w:rsid w:val="00441ED3"/>
    <w:rsid w:val="00441F73"/>
    <w:rsid w:val="00442248"/>
    <w:rsid w:val="00442F09"/>
    <w:rsid w:val="00445FEF"/>
    <w:rsid w:val="00450E20"/>
    <w:rsid w:val="00451FEB"/>
    <w:rsid w:val="00452291"/>
    <w:rsid w:val="00453B76"/>
    <w:rsid w:val="004546A8"/>
    <w:rsid w:val="00456C1E"/>
    <w:rsid w:val="00456C31"/>
    <w:rsid w:val="0046214B"/>
    <w:rsid w:val="00462B06"/>
    <w:rsid w:val="00467E33"/>
    <w:rsid w:val="0047048A"/>
    <w:rsid w:val="00472531"/>
    <w:rsid w:val="0047272E"/>
    <w:rsid w:val="00473659"/>
    <w:rsid w:val="00476F27"/>
    <w:rsid w:val="00480611"/>
    <w:rsid w:val="00480D20"/>
    <w:rsid w:val="00481884"/>
    <w:rsid w:val="004820FF"/>
    <w:rsid w:val="00482EB3"/>
    <w:rsid w:val="004846E1"/>
    <w:rsid w:val="00484F58"/>
    <w:rsid w:val="004851CC"/>
    <w:rsid w:val="00494D4B"/>
    <w:rsid w:val="0049657A"/>
    <w:rsid w:val="0049698D"/>
    <w:rsid w:val="004A081E"/>
    <w:rsid w:val="004A0AA7"/>
    <w:rsid w:val="004A3655"/>
    <w:rsid w:val="004A3765"/>
    <w:rsid w:val="004A3887"/>
    <w:rsid w:val="004A3EA7"/>
    <w:rsid w:val="004A6BFD"/>
    <w:rsid w:val="004A7C04"/>
    <w:rsid w:val="004B027E"/>
    <w:rsid w:val="004B030E"/>
    <w:rsid w:val="004B1AA8"/>
    <w:rsid w:val="004B48F3"/>
    <w:rsid w:val="004B4B34"/>
    <w:rsid w:val="004B4DE5"/>
    <w:rsid w:val="004B6B03"/>
    <w:rsid w:val="004B7C50"/>
    <w:rsid w:val="004C2F8B"/>
    <w:rsid w:val="004C745F"/>
    <w:rsid w:val="004D035A"/>
    <w:rsid w:val="004D3366"/>
    <w:rsid w:val="004D376F"/>
    <w:rsid w:val="004D543E"/>
    <w:rsid w:val="004D6836"/>
    <w:rsid w:val="004D697E"/>
    <w:rsid w:val="004E2533"/>
    <w:rsid w:val="004E3D3C"/>
    <w:rsid w:val="004E4643"/>
    <w:rsid w:val="004E479B"/>
    <w:rsid w:val="004E4F02"/>
    <w:rsid w:val="004E51BE"/>
    <w:rsid w:val="004E60F6"/>
    <w:rsid w:val="004E7384"/>
    <w:rsid w:val="004E7C3B"/>
    <w:rsid w:val="004F0D05"/>
    <w:rsid w:val="004F0D59"/>
    <w:rsid w:val="004F3420"/>
    <w:rsid w:val="004F3D52"/>
    <w:rsid w:val="004F4BDB"/>
    <w:rsid w:val="004F5596"/>
    <w:rsid w:val="004F67C5"/>
    <w:rsid w:val="004F68F0"/>
    <w:rsid w:val="004F6E79"/>
    <w:rsid w:val="00502120"/>
    <w:rsid w:val="00502FFA"/>
    <w:rsid w:val="0050304F"/>
    <w:rsid w:val="00504701"/>
    <w:rsid w:val="00507789"/>
    <w:rsid w:val="00511544"/>
    <w:rsid w:val="00511E93"/>
    <w:rsid w:val="005122F8"/>
    <w:rsid w:val="005141A6"/>
    <w:rsid w:val="00514BE6"/>
    <w:rsid w:val="005200C6"/>
    <w:rsid w:val="00521717"/>
    <w:rsid w:val="00526002"/>
    <w:rsid w:val="0053037B"/>
    <w:rsid w:val="00530984"/>
    <w:rsid w:val="00531EFA"/>
    <w:rsid w:val="00532DF1"/>
    <w:rsid w:val="00540012"/>
    <w:rsid w:val="00541006"/>
    <w:rsid w:val="00541338"/>
    <w:rsid w:val="00542205"/>
    <w:rsid w:val="00547ED4"/>
    <w:rsid w:val="0055052E"/>
    <w:rsid w:val="0055257C"/>
    <w:rsid w:val="0055289E"/>
    <w:rsid w:val="0055616A"/>
    <w:rsid w:val="00561522"/>
    <w:rsid w:val="00563D5E"/>
    <w:rsid w:val="00564126"/>
    <w:rsid w:val="00565F75"/>
    <w:rsid w:val="00566E89"/>
    <w:rsid w:val="0056770D"/>
    <w:rsid w:val="005678E0"/>
    <w:rsid w:val="0056790A"/>
    <w:rsid w:val="00570AE5"/>
    <w:rsid w:val="00573160"/>
    <w:rsid w:val="005738C5"/>
    <w:rsid w:val="00575565"/>
    <w:rsid w:val="005755E2"/>
    <w:rsid w:val="00576C5A"/>
    <w:rsid w:val="00576CE8"/>
    <w:rsid w:val="00580875"/>
    <w:rsid w:val="0058468C"/>
    <w:rsid w:val="005876AC"/>
    <w:rsid w:val="00587EB9"/>
    <w:rsid w:val="00591F00"/>
    <w:rsid w:val="005929E1"/>
    <w:rsid w:val="00595362"/>
    <w:rsid w:val="005957EF"/>
    <w:rsid w:val="0059679D"/>
    <w:rsid w:val="005A46B8"/>
    <w:rsid w:val="005A51CB"/>
    <w:rsid w:val="005A58E9"/>
    <w:rsid w:val="005A5FB6"/>
    <w:rsid w:val="005A6B33"/>
    <w:rsid w:val="005A74DA"/>
    <w:rsid w:val="005B0909"/>
    <w:rsid w:val="005B4E89"/>
    <w:rsid w:val="005B5766"/>
    <w:rsid w:val="005B5BA8"/>
    <w:rsid w:val="005B644D"/>
    <w:rsid w:val="005C0EFF"/>
    <w:rsid w:val="005C11D0"/>
    <w:rsid w:val="005C1E2F"/>
    <w:rsid w:val="005C25A1"/>
    <w:rsid w:val="005C2CB2"/>
    <w:rsid w:val="005C4010"/>
    <w:rsid w:val="005C40E3"/>
    <w:rsid w:val="005C410B"/>
    <w:rsid w:val="005C42EF"/>
    <w:rsid w:val="005C44D9"/>
    <w:rsid w:val="005C507D"/>
    <w:rsid w:val="005C59E6"/>
    <w:rsid w:val="005C7BF2"/>
    <w:rsid w:val="005C7CEE"/>
    <w:rsid w:val="005C7DA8"/>
    <w:rsid w:val="005D1890"/>
    <w:rsid w:val="005D245A"/>
    <w:rsid w:val="005D3898"/>
    <w:rsid w:val="005D4624"/>
    <w:rsid w:val="005D7148"/>
    <w:rsid w:val="005D7275"/>
    <w:rsid w:val="005E109C"/>
    <w:rsid w:val="005E1112"/>
    <w:rsid w:val="005E2515"/>
    <w:rsid w:val="005F03A3"/>
    <w:rsid w:val="005F075C"/>
    <w:rsid w:val="005F0DE3"/>
    <w:rsid w:val="005F1A03"/>
    <w:rsid w:val="005F3270"/>
    <w:rsid w:val="00602AE4"/>
    <w:rsid w:val="00602D44"/>
    <w:rsid w:val="00602DD0"/>
    <w:rsid w:val="00604CAC"/>
    <w:rsid w:val="00605F61"/>
    <w:rsid w:val="00610200"/>
    <w:rsid w:val="006104C9"/>
    <w:rsid w:val="00611208"/>
    <w:rsid w:val="006121A7"/>
    <w:rsid w:val="00612719"/>
    <w:rsid w:val="00613277"/>
    <w:rsid w:val="00614813"/>
    <w:rsid w:val="00614A7E"/>
    <w:rsid w:val="00615479"/>
    <w:rsid w:val="00616916"/>
    <w:rsid w:val="006175DA"/>
    <w:rsid w:val="006176D4"/>
    <w:rsid w:val="00622ABC"/>
    <w:rsid w:val="00624F37"/>
    <w:rsid w:val="00625733"/>
    <w:rsid w:val="00627BEE"/>
    <w:rsid w:val="0063164B"/>
    <w:rsid w:val="006332AF"/>
    <w:rsid w:val="006359F9"/>
    <w:rsid w:val="00636A96"/>
    <w:rsid w:val="00637EF8"/>
    <w:rsid w:val="00640903"/>
    <w:rsid w:val="00640BD9"/>
    <w:rsid w:val="00641ADF"/>
    <w:rsid w:val="006432F0"/>
    <w:rsid w:val="00643F78"/>
    <w:rsid w:val="00644B76"/>
    <w:rsid w:val="00645526"/>
    <w:rsid w:val="00651DD6"/>
    <w:rsid w:val="00654849"/>
    <w:rsid w:val="00655014"/>
    <w:rsid w:val="00655AA4"/>
    <w:rsid w:val="006574DE"/>
    <w:rsid w:val="006578C7"/>
    <w:rsid w:val="006606C5"/>
    <w:rsid w:val="006653AE"/>
    <w:rsid w:val="00665C0F"/>
    <w:rsid w:val="00666BA1"/>
    <w:rsid w:val="00670323"/>
    <w:rsid w:val="00670412"/>
    <w:rsid w:val="00671609"/>
    <w:rsid w:val="0067181D"/>
    <w:rsid w:val="00672E78"/>
    <w:rsid w:val="00672FF0"/>
    <w:rsid w:val="0067318C"/>
    <w:rsid w:val="0067391E"/>
    <w:rsid w:val="006740D5"/>
    <w:rsid w:val="006756B2"/>
    <w:rsid w:val="00676132"/>
    <w:rsid w:val="0067798E"/>
    <w:rsid w:val="00677A19"/>
    <w:rsid w:val="0068053C"/>
    <w:rsid w:val="006813C8"/>
    <w:rsid w:val="0068761D"/>
    <w:rsid w:val="0069309E"/>
    <w:rsid w:val="00694753"/>
    <w:rsid w:val="00695415"/>
    <w:rsid w:val="006955A5"/>
    <w:rsid w:val="00697A72"/>
    <w:rsid w:val="00697BB0"/>
    <w:rsid w:val="00697D00"/>
    <w:rsid w:val="006A1DF9"/>
    <w:rsid w:val="006A21EE"/>
    <w:rsid w:val="006A2762"/>
    <w:rsid w:val="006A3387"/>
    <w:rsid w:val="006A3BAC"/>
    <w:rsid w:val="006A4553"/>
    <w:rsid w:val="006B5F24"/>
    <w:rsid w:val="006B7864"/>
    <w:rsid w:val="006C09F3"/>
    <w:rsid w:val="006C0E81"/>
    <w:rsid w:val="006C7B48"/>
    <w:rsid w:val="006D1FFB"/>
    <w:rsid w:val="006D4CEB"/>
    <w:rsid w:val="006D4FF3"/>
    <w:rsid w:val="006D5ACD"/>
    <w:rsid w:val="006D7A64"/>
    <w:rsid w:val="006E0517"/>
    <w:rsid w:val="006E0872"/>
    <w:rsid w:val="006E207D"/>
    <w:rsid w:val="006E5097"/>
    <w:rsid w:val="006E5482"/>
    <w:rsid w:val="006F00A6"/>
    <w:rsid w:val="006F16A4"/>
    <w:rsid w:val="006F21FC"/>
    <w:rsid w:val="006F2312"/>
    <w:rsid w:val="006F749B"/>
    <w:rsid w:val="006F74CF"/>
    <w:rsid w:val="00701FBB"/>
    <w:rsid w:val="00702015"/>
    <w:rsid w:val="0070237E"/>
    <w:rsid w:val="00703336"/>
    <w:rsid w:val="00705EEE"/>
    <w:rsid w:val="00714805"/>
    <w:rsid w:val="00715BFE"/>
    <w:rsid w:val="00716704"/>
    <w:rsid w:val="00720CD7"/>
    <w:rsid w:val="00721EB4"/>
    <w:rsid w:val="007235F5"/>
    <w:rsid w:val="00724B61"/>
    <w:rsid w:val="00726D74"/>
    <w:rsid w:val="00727946"/>
    <w:rsid w:val="00730940"/>
    <w:rsid w:val="00730F11"/>
    <w:rsid w:val="00735807"/>
    <w:rsid w:val="00736844"/>
    <w:rsid w:val="007431F2"/>
    <w:rsid w:val="00744145"/>
    <w:rsid w:val="007442C3"/>
    <w:rsid w:val="007445D6"/>
    <w:rsid w:val="00747C7D"/>
    <w:rsid w:val="00750961"/>
    <w:rsid w:val="00750F55"/>
    <w:rsid w:val="007530BD"/>
    <w:rsid w:val="007530F5"/>
    <w:rsid w:val="007535CE"/>
    <w:rsid w:val="007563EC"/>
    <w:rsid w:val="00756400"/>
    <w:rsid w:val="00760017"/>
    <w:rsid w:val="00760A09"/>
    <w:rsid w:val="00761F0E"/>
    <w:rsid w:val="00763397"/>
    <w:rsid w:val="007633BC"/>
    <w:rsid w:val="007661D9"/>
    <w:rsid w:val="007723DF"/>
    <w:rsid w:val="00773956"/>
    <w:rsid w:val="0077447D"/>
    <w:rsid w:val="00775045"/>
    <w:rsid w:val="00776EFB"/>
    <w:rsid w:val="00777885"/>
    <w:rsid w:val="00777A1B"/>
    <w:rsid w:val="00780D44"/>
    <w:rsid w:val="00781884"/>
    <w:rsid w:val="00783C98"/>
    <w:rsid w:val="0078534E"/>
    <w:rsid w:val="00786449"/>
    <w:rsid w:val="00787801"/>
    <w:rsid w:val="007916AE"/>
    <w:rsid w:val="00791FF7"/>
    <w:rsid w:val="00792753"/>
    <w:rsid w:val="00793181"/>
    <w:rsid w:val="0079405C"/>
    <w:rsid w:val="007957BA"/>
    <w:rsid w:val="00796C35"/>
    <w:rsid w:val="007A1277"/>
    <w:rsid w:val="007A16D5"/>
    <w:rsid w:val="007A2CD5"/>
    <w:rsid w:val="007A3410"/>
    <w:rsid w:val="007A7EC7"/>
    <w:rsid w:val="007B0E08"/>
    <w:rsid w:val="007B1B6D"/>
    <w:rsid w:val="007B1E59"/>
    <w:rsid w:val="007B22CC"/>
    <w:rsid w:val="007B3027"/>
    <w:rsid w:val="007B3ADE"/>
    <w:rsid w:val="007B55BD"/>
    <w:rsid w:val="007B7670"/>
    <w:rsid w:val="007B77C1"/>
    <w:rsid w:val="007C3771"/>
    <w:rsid w:val="007C4052"/>
    <w:rsid w:val="007C7DA1"/>
    <w:rsid w:val="007D719C"/>
    <w:rsid w:val="007D76F5"/>
    <w:rsid w:val="007D776A"/>
    <w:rsid w:val="007E1EEB"/>
    <w:rsid w:val="007E2A09"/>
    <w:rsid w:val="007E300C"/>
    <w:rsid w:val="007E60D4"/>
    <w:rsid w:val="007E6E09"/>
    <w:rsid w:val="007E702A"/>
    <w:rsid w:val="007F0C57"/>
    <w:rsid w:val="007F15B3"/>
    <w:rsid w:val="007F22FE"/>
    <w:rsid w:val="007F4BE2"/>
    <w:rsid w:val="007F72A1"/>
    <w:rsid w:val="00800E15"/>
    <w:rsid w:val="00800EBA"/>
    <w:rsid w:val="00801928"/>
    <w:rsid w:val="00804034"/>
    <w:rsid w:val="008042FE"/>
    <w:rsid w:val="00806C06"/>
    <w:rsid w:val="008109F0"/>
    <w:rsid w:val="00812C37"/>
    <w:rsid w:val="00813A8F"/>
    <w:rsid w:val="00813D40"/>
    <w:rsid w:val="00814083"/>
    <w:rsid w:val="0081449B"/>
    <w:rsid w:val="00815151"/>
    <w:rsid w:val="008173EE"/>
    <w:rsid w:val="008205BC"/>
    <w:rsid w:val="00821E26"/>
    <w:rsid w:val="008223E7"/>
    <w:rsid w:val="0082424D"/>
    <w:rsid w:val="008246FC"/>
    <w:rsid w:val="00830102"/>
    <w:rsid w:val="0083172C"/>
    <w:rsid w:val="00832A72"/>
    <w:rsid w:val="00832B03"/>
    <w:rsid w:val="0083344C"/>
    <w:rsid w:val="00833959"/>
    <w:rsid w:val="008349E9"/>
    <w:rsid w:val="0083615B"/>
    <w:rsid w:val="0083676C"/>
    <w:rsid w:val="00841194"/>
    <w:rsid w:val="0084161E"/>
    <w:rsid w:val="00842A6F"/>
    <w:rsid w:val="00843E00"/>
    <w:rsid w:val="00844C1E"/>
    <w:rsid w:val="00846540"/>
    <w:rsid w:val="008504F9"/>
    <w:rsid w:val="00850783"/>
    <w:rsid w:val="00850AEE"/>
    <w:rsid w:val="00850D5B"/>
    <w:rsid w:val="00852029"/>
    <w:rsid w:val="008539CE"/>
    <w:rsid w:val="008561A8"/>
    <w:rsid w:val="00856C67"/>
    <w:rsid w:val="008604B7"/>
    <w:rsid w:val="008632E4"/>
    <w:rsid w:val="0086347F"/>
    <w:rsid w:val="008638C4"/>
    <w:rsid w:val="00867F4D"/>
    <w:rsid w:val="00874B0F"/>
    <w:rsid w:val="00875E6B"/>
    <w:rsid w:val="0087649E"/>
    <w:rsid w:val="00876BDA"/>
    <w:rsid w:val="0087756E"/>
    <w:rsid w:val="00877706"/>
    <w:rsid w:val="00877B9F"/>
    <w:rsid w:val="008800BC"/>
    <w:rsid w:val="00882BB1"/>
    <w:rsid w:val="00882CD7"/>
    <w:rsid w:val="00882ED8"/>
    <w:rsid w:val="008871FF"/>
    <w:rsid w:val="00887EEB"/>
    <w:rsid w:val="0089514A"/>
    <w:rsid w:val="008A5B3F"/>
    <w:rsid w:val="008A655A"/>
    <w:rsid w:val="008A6B51"/>
    <w:rsid w:val="008A7091"/>
    <w:rsid w:val="008A760E"/>
    <w:rsid w:val="008A77B2"/>
    <w:rsid w:val="008A7AE9"/>
    <w:rsid w:val="008C279E"/>
    <w:rsid w:val="008C2918"/>
    <w:rsid w:val="008C3EA0"/>
    <w:rsid w:val="008C4AE0"/>
    <w:rsid w:val="008C51AD"/>
    <w:rsid w:val="008C6C19"/>
    <w:rsid w:val="008C6DB7"/>
    <w:rsid w:val="008C71AB"/>
    <w:rsid w:val="008D0B7B"/>
    <w:rsid w:val="008D37EA"/>
    <w:rsid w:val="008D3D87"/>
    <w:rsid w:val="008D41CC"/>
    <w:rsid w:val="008D536F"/>
    <w:rsid w:val="008D64FE"/>
    <w:rsid w:val="008D6AE3"/>
    <w:rsid w:val="008D6CDC"/>
    <w:rsid w:val="008E1623"/>
    <w:rsid w:val="008E17D2"/>
    <w:rsid w:val="008E56CA"/>
    <w:rsid w:val="008E5B1D"/>
    <w:rsid w:val="008E6A4A"/>
    <w:rsid w:val="008E6A92"/>
    <w:rsid w:val="008E6B13"/>
    <w:rsid w:val="008F0554"/>
    <w:rsid w:val="008F28F4"/>
    <w:rsid w:val="008F50C3"/>
    <w:rsid w:val="008F681B"/>
    <w:rsid w:val="008F70BA"/>
    <w:rsid w:val="00901AE9"/>
    <w:rsid w:val="00902605"/>
    <w:rsid w:val="00903F1C"/>
    <w:rsid w:val="0090433D"/>
    <w:rsid w:val="0091103C"/>
    <w:rsid w:val="00913483"/>
    <w:rsid w:val="00913487"/>
    <w:rsid w:val="0091386A"/>
    <w:rsid w:val="00914332"/>
    <w:rsid w:val="00915464"/>
    <w:rsid w:val="00915A48"/>
    <w:rsid w:val="00917362"/>
    <w:rsid w:val="00917C70"/>
    <w:rsid w:val="00920276"/>
    <w:rsid w:val="0092030D"/>
    <w:rsid w:val="0092213D"/>
    <w:rsid w:val="009274D3"/>
    <w:rsid w:val="00935227"/>
    <w:rsid w:val="00936228"/>
    <w:rsid w:val="00937ADD"/>
    <w:rsid w:val="009407A0"/>
    <w:rsid w:val="00940B83"/>
    <w:rsid w:val="00942104"/>
    <w:rsid w:val="0094223C"/>
    <w:rsid w:val="00943635"/>
    <w:rsid w:val="0094478D"/>
    <w:rsid w:val="009462EA"/>
    <w:rsid w:val="009463F0"/>
    <w:rsid w:val="00946BDA"/>
    <w:rsid w:val="00947F64"/>
    <w:rsid w:val="00950A5C"/>
    <w:rsid w:val="00953719"/>
    <w:rsid w:val="0095508C"/>
    <w:rsid w:val="009551CF"/>
    <w:rsid w:val="009553C8"/>
    <w:rsid w:val="0095643A"/>
    <w:rsid w:val="00956779"/>
    <w:rsid w:val="00956B51"/>
    <w:rsid w:val="009606D3"/>
    <w:rsid w:val="00961B5F"/>
    <w:rsid w:val="00962434"/>
    <w:rsid w:val="009649E0"/>
    <w:rsid w:val="009701ED"/>
    <w:rsid w:val="00973D9B"/>
    <w:rsid w:val="0097458C"/>
    <w:rsid w:val="009765B4"/>
    <w:rsid w:val="00976955"/>
    <w:rsid w:val="00976A02"/>
    <w:rsid w:val="009814E2"/>
    <w:rsid w:val="0098463F"/>
    <w:rsid w:val="00984C1F"/>
    <w:rsid w:val="00985BC0"/>
    <w:rsid w:val="00990A86"/>
    <w:rsid w:val="0099545F"/>
    <w:rsid w:val="00996FED"/>
    <w:rsid w:val="009A0B71"/>
    <w:rsid w:val="009A0DBE"/>
    <w:rsid w:val="009A1CD8"/>
    <w:rsid w:val="009A1CDA"/>
    <w:rsid w:val="009A63DE"/>
    <w:rsid w:val="009A6899"/>
    <w:rsid w:val="009B044A"/>
    <w:rsid w:val="009B213F"/>
    <w:rsid w:val="009B46BC"/>
    <w:rsid w:val="009B4B7E"/>
    <w:rsid w:val="009B6C52"/>
    <w:rsid w:val="009B7165"/>
    <w:rsid w:val="009C074E"/>
    <w:rsid w:val="009C13F9"/>
    <w:rsid w:val="009C2343"/>
    <w:rsid w:val="009C299E"/>
    <w:rsid w:val="009C308E"/>
    <w:rsid w:val="009C3878"/>
    <w:rsid w:val="009C3ABB"/>
    <w:rsid w:val="009C3CF6"/>
    <w:rsid w:val="009C5849"/>
    <w:rsid w:val="009C5C24"/>
    <w:rsid w:val="009C6A29"/>
    <w:rsid w:val="009D0AD1"/>
    <w:rsid w:val="009D122E"/>
    <w:rsid w:val="009D1CEA"/>
    <w:rsid w:val="009E0283"/>
    <w:rsid w:val="009E0DB0"/>
    <w:rsid w:val="009E1F4C"/>
    <w:rsid w:val="009E40AB"/>
    <w:rsid w:val="009E6ACC"/>
    <w:rsid w:val="009E77D3"/>
    <w:rsid w:val="009F2B22"/>
    <w:rsid w:val="009F2C7A"/>
    <w:rsid w:val="009F64C0"/>
    <w:rsid w:val="00A10AC5"/>
    <w:rsid w:val="00A128F6"/>
    <w:rsid w:val="00A12E5E"/>
    <w:rsid w:val="00A131AC"/>
    <w:rsid w:val="00A138D2"/>
    <w:rsid w:val="00A13E50"/>
    <w:rsid w:val="00A1499E"/>
    <w:rsid w:val="00A15852"/>
    <w:rsid w:val="00A16F66"/>
    <w:rsid w:val="00A22122"/>
    <w:rsid w:val="00A24F92"/>
    <w:rsid w:val="00A2642A"/>
    <w:rsid w:val="00A27C2A"/>
    <w:rsid w:val="00A27FFE"/>
    <w:rsid w:val="00A3089B"/>
    <w:rsid w:val="00A30E79"/>
    <w:rsid w:val="00A314CE"/>
    <w:rsid w:val="00A31F0A"/>
    <w:rsid w:val="00A332D0"/>
    <w:rsid w:val="00A33502"/>
    <w:rsid w:val="00A33D87"/>
    <w:rsid w:val="00A34C52"/>
    <w:rsid w:val="00A4042A"/>
    <w:rsid w:val="00A42CF2"/>
    <w:rsid w:val="00A42F1D"/>
    <w:rsid w:val="00A438FF"/>
    <w:rsid w:val="00A43DE1"/>
    <w:rsid w:val="00A451C6"/>
    <w:rsid w:val="00A51640"/>
    <w:rsid w:val="00A5331B"/>
    <w:rsid w:val="00A54BEC"/>
    <w:rsid w:val="00A55266"/>
    <w:rsid w:val="00A604A3"/>
    <w:rsid w:val="00A60969"/>
    <w:rsid w:val="00A61440"/>
    <w:rsid w:val="00A638A6"/>
    <w:rsid w:val="00A63C74"/>
    <w:rsid w:val="00A63D2D"/>
    <w:rsid w:val="00A63DA0"/>
    <w:rsid w:val="00A72940"/>
    <w:rsid w:val="00A734FA"/>
    <w:rsid w:val="00A74003"/>
    <w:rsid w:val="00A746C7"/>
    <w:rsid w:val="00A74813"/>
    <w:rsid w:val="00A77F15"/>
    <w:rsid w:val="00A8018F"/>
    <w:rsid w:val="00A804F1"/>
    <w:rsid w:val="00A8362F"/>
    <w:rsid w:val="00A8371F"/>
    <w:rsid w:val="00A8456B"/>
    <w:rsid w:val="00A847A7"/>
    <w:rsid w:val="00A86279"/>
    <w:rsid w:val="00A87415"/>
    <w:rsid w:val="00A9092C"/>
    <w:rsid w:val="00A91260"/>
    <w:rsid w:val="00A914EF"/>
    <w:rsid w:val="00A9151A"/>
    <w:rsid w:val="00A94C50"/>
    <w:rsid w:val="00A95B69"/>
    <w:rsid w:val="00A96008"/>
    <w:rsid w:val="00A96042"/>
    <w:rsid w:val="00A9773A"/>
    <w:rsid w:val="00A97831"/>
    <w:rsid w:val="00A97B95"/>
    <w:rsid w:val="00A97FE7"/>
    <w:rsid w:val="00AA2E90"/>
    <w:rsid w:val="00AA415A"/>
    <w:rsid w:val="00AA4E30"/>
    <w:rsid w:val="00AA4EC1"/>
    <w:rsid w:val="00AA7D0D"/>
    <w:rsid w:val="00AB07DC"/>
    <w:rsid w:val="00AB0A6B"/>
    <w:rsid w:val="00AB1C1D"/>
    <w:rsid w:val="00AB52C6"/>
    <w:rsid w:val="00AB5715"/>
    <w:rsid w:val="00AB5B63"/>
    <w:rsid w:val="00AB65D0"/>
    <w:rsid w:val="00AC0126"/>
    <w:rsid w:val="00AC0197"/>
    <w:rsid w:val="00AC2107"/>
    <w:rsid w:val="00AC3B3F"/>
    <w:rsid w:val="00AC5284"/>
    <w:rsid w:val="00AC673C"/>
    <w:rsid w:val="00AD06E0"/>
    <w:rsid w:val="00AD1420"/>
    <w:rsid w:val="00AD4DB2"/>
    <w:rsid w:val="00AE384C"/>
    <w:rsid w:val="00AE4644"/>
    <w:rsid w:val="00AE4D5D"/>
    <w:rsid w:val="00AE567B"/>
    <w:rsid w:val="00AE5895"/>
    <w:rsid w:val="00AE5B26"/>
    <w:rsid w:val="00AE5C78"/>
    <w:rsid w:val="00AF39E7"/>
    <w:rsid w:val="00AF4F12"/>
    <w:rsid w:val="00AF7913"/>
    <w:rsid w:val="00B00A9A"/>
    <w:rsid w:val="00B039BA"/>
    <w:rsid w:val="00B049EB"/>
    <w:rsid w:val="00B117C3"/>
    <w:rsid w:val="00B11E6E"/>
    <w:rsid w:val="00B13C66"/>
    <w:rsid w:val="00B20375"/>
    <w:rsid w:val="00B2173F"/>
    <w:rsid w:val="00B246C2"/>
    <w:rsid w:val="00B2480E"/>
    <w:rsid w:val="00B2645A"/>
    <w:rsid w:val="00B26BA4"/>
    <w:rsid w:val="00B27DA5"/>
    <w:rsid w:val="00B33B47"/>
    <w:rsid w:val="00B350DE"/>
    <w:rsid w:val="00B3512D"/>
    <w:rsid w:val="00B37631"/>
    <w:rsid w:val="00B40354"/>
    <w:rsid w:val="00B40908"/>
    <w:rsid w:val="00B409FE"/>
    <w:rsid w:val="00B41778"/>
    <w:rsid w:val="00B419C4"/>
    <w:rsid w:val="00B41C9E"/>
    <w:rsid w:val="00B4377A"/>
    <w:rsid w:val="00B43A53"/>
    <w:rsid w:val="00B514F0"/>
    <w:rsid w:val="00B51DAC"/>
    <w:rsid w:val="00B5229E"/>
    <w:rsid w:val="00B525D8"/>
    <w:rsid w:val="00B53010"/>
    <w:rsid w:val="00B533C4"/>
    <w:rsid w:val="00B538CE"/>
    <w:rsid w:val="00B5461D"/>
    <w:rsid w:val="00B5573A"/>
    <w:rsid w:val="00B65B88"/>
    <w:rsid w:val="00B66668"/>
    <w:rsid w:val="00B7466C"/>
    <w:rsid w:val="00B74DA2"/>
    <w:rsid w:val="00B768B9"/>
    <w:rsid w:val="00B76D59"/>
    <w:rsid w:val="00B8258F"/>
    <w:rsid w:val="00B85851"/>
    <w:rsid w:val="00B86E64"/>
    <w:rsid w:val="00B87060"/>
    <w:rsid w:val="00B90969"/>
    <w:rsid w:val="00B90BCC"/>
    <w:rsid w:val="00B9122A"/>
    <w:rsid w:val="00B924D3"/>
    <w:rsid w:val="00B92930"/>
    <w:rsid w:val="00B94BDC"/>
    <w:rsid w:val="00B97DE8"/>
    <w:rsid w:val="00B97E2B"/>
    <w:rsid w:val="00BA4272"/>
    <w:rsid w:val="00BA54CB"/>
    <w:rsid w:val="00BB05C3"/>
    <w:rsid w:val="00BB0B3A"/>
    <w:rsid w:val="00BB3C8A"/>
    <w:rsid w:val="00BB3F77"/>
    <w:rsid w:val="00BB6625"/>
    <w:rsid w:val="00BC040A"/>
    <w:rsid w:val="00BC05D0"/>
    <w:rsid w:val="00BC07C3"/>
    <w:rsid w:val="00BC2685"/>
    <w:rsid w:val="00BC2F83"/>
    <w:rsid w:val="00BC360C"/>
    <w:rsid w:val="00BC5602"/>
    <w:rsid w:val="00BC572B"/>
    <w:rsid w:val="00BC5771"/>
    <w:rsid w:val="00BC5D07"/>
    <w:rsid w:val="00BD287A"/>
    <w:rsid w:val="00BD2A78"/>
    <w:rsid w:val="00BD3D5F"/>
    <w:rsid w:val="00BD5ED2"/>
    <w:rsid w:val="00BD6056"/>
    <w:rsid w:val="00BD6C08"/>
    <w:rsid w:val="00BD739D"/>
    <w:rsid w:val="00BE0180"/>
    <w:rsid w:val="00BE059D"/>
    <w:rsid w:val="00BE15AE"/>
    <w:rsid w:val="00BE3EE3"/>
    <w:rsid w:val="00BE47C2"/>
    <w:rsid w:val="00BE5996"/>
    <w:rsid w:val="00BE66B1"/>
    <w:rsid w:val="00BF1629"/>
    <w:rsid w:val="00BF18D5"/>
    <w:rsid w:val="00BF3A5B"/>
    <w:rsid w:val="00BF495F"/>
    <w:rsid w:val="00BF722C"/>
    <w:rsid w:val="00C00F0D"/>
    <w:rsid w:val="00C04618"/>
    <w:rsid w:val="00C05C40"/>
    <w:rsid w:val="00C0785B"/>
    <w:rsid w:val="00C11D1E"/>
    <w:rsid w:val="00C13C2E"/>
    <w:rsid w:val="00C140F2"/>
    <w:rsid w:val="00C145B0"/>
    <w:rsid w:val="00C21274"/>
    <w:rsid w:val="00C2292B"/>
    <w:rsid w:val="00C2374A"/>
    <w:rsid w:val="00C237AD"/>
    <w:rsid w:val="00C25052"/>
    <w:rsid w:val="00C26CF0"/>
    <w:rsid w:val="00C30125"/>
    <w:rsid w:val="00C3108C"/>
    <w:rsid w:val="00C31F01"/>
    <w:rsid w:val="00C3524B"/>
    <w:rsid w:val="00C361A0"/>
    <w:rsid w:val="00C36AC5"/>
    <w:rsid w:val="00C36B27"/>
    <w:rsid w:val="00C374C5"/>
    <w:rsid w:val="00C4275A"/>
    <w:rsid w:val="00C4363D"/>
    <w:rsid w:val="00C44E79"/>
    <w:rsid w:val="00C454F1"/>
    <w:rsid w:val="00C47A3A"/>
    <w:rsid w:val="00C501D6"/>
    <w:rsid w:val="00C5610D"/>
    <w:rsid w:val="00C60C41"/>
    <w:rsid w:val="00C618F6"/>
    <w:rsid w:val="00C624B2"/>
    <w:rsid w:val="00C62610"/>
    <w:rsid w:val="00C63420"/>
    <w:rsid w:val="00C6342D"/>
    <w:rsid w:val="00C63E51"/>
    <w:rsid w:val="00C63F5E"/>
    <w:rsid w:val="00C65111"/>
    <w:rsid w:val="00C65A18"/>
    <w:rsid w:val="00C662AD"/>
    <w:rsid w:val="00C664C9"/>
    <w:rsid w:val="00C667B8"/>
    <w:rsid w:val="00C73A2C"/>
    <w:rsid w:val="00C74A28"/>
    <w:rsid w:val="00C75D21"/>
    <w:rsid w:val="00C76112"/>
    <w:rsid w:val="00C7645E"/>
    <w:rsid w:val="00C76BBE"/>
    <w:rsid w:val="00C800AC"/>
    <w:rsid w:val="00C81FA7"/>
    <w:rsid w:val="00C82689"/>
    <w:rsid w:val="00C84DA5"/>
    <w:rsid w:val="00C861AF"/>
    <w:rsid w:val="00C90D79"/>
    <w:rsid w:val="00C91125"/>
    <w:rsid w:val="00C91AC2"/>
    <w:rsid w:val="00C91E80"/>
    <w:rsid w:val="00C930AD"/>
    <w:rsid w:val="00C96B06"/>
    <w:rsid w:val="00C96F03"/>
    <w:rsid w:val="00C973CC"/>
    <w:rsid w:val="00C97FF4"/>
    <w:rsid w:val="00CA0561"/>
    <w:rsid w:val="00CA189F"/>
    <w:rsid w:val="00CA38C2"/>
    <w:rsid w:val="00CA4A8E"/>
    <w:rsid w:val="00CA51DC"/>
    <w:rsid w:val="00CA5208"/>
    <w:rsid w:val="00CA5D1C"/>
    <w:rsid w:val="00CA6F48"/>
    <w:rsid w:val="00CB0985"/>
    <w:rsid w:val="00CB1653"/>
    <w:rsid w:val="00CB23CA"/>
    <w:rsid w:val="00CB376D"/>
    <w:rsid w:val="00CB4719"/>
    <w:rsid w:val="00CB5927"/>
    <w:rsid w:val="00CB6AC3"/>
    <w:rsid w:val="00CB7918"/>
    <w:rsid w:val="00CC1B6D"/>
    <w:rsid w:val="00CC2CAD"/>
    <w:rsid w:val="00CC362B"/>
    <w:rsid w:val="00CC3861"/>
    <w:rsid w:val="00CC5BF7"/>
    <w:rsid w:val="00CC7D6E"/>
    <w:rsid w:val="00CD0233"/>
    <w:rsid w:val="00CD27C8"/>
    <w:rsid w:val="00CD3392"/>
    <w:rsid w:val="00CD5011"/>
    <w:rsid w:val="00CD531E"/>
    <w:rsid w:val="00CD640C"/>
    <w:rsid w:val="00CD6895"/>
    <w:rsid w:val="00CD7162"/>
    <w:rsid w:val="00CE07CE"/>
    <w:rsid w:val="00CE3155"/>
    <w:rsid w:val="00CE58BD"/>
    <w:rsid w:val="00CE742A"/>
    <w:rsid w:val="00CE7A85"/>
    <w:rsid w:val="00CE7D02"/>
    <w:rsid w:val="00CF020B"/>
    <w:rsid w:val="00CF1CD3"/>
    <w:rsid w:val="00CF2A2A"/>
    <w:rsid w:val="00CF2A53"/>
    <w:rsid w:val="00CF32C2"/>
    <w:rsid w:val="00CF35DA"/>
    <w:rsid w:val="00CF4682"/>
    <w:rsid w:val="00CF7044"/>
    <w:rsid w:val="00CF7FBE"/>
    <w:rsid w:val="00D01C41"/>
    <w:rsid w:val="00D0212F"/>
    <w:rsid w:val="00D05223"/>
    <w:rsid w:val="00D05BCE"/>
    <w:rsid w:val="00D07EE8"/>
    <w:rsid w:val="00D1030C"/>
    <w:rsid w:val="00D11243"/>
    <w:rsid w:val="00D13497"/>
    <w:rsid w:val="00D144C3"/>
    <w:rsid w:val="00D1456C"/>
    <w:rsid w:val="00D20AB7"/>
    <w:rsid w:val="00D25A27"/>
    <w:rsid w:val="00D26D9E"/>
    <w:rsid w:val="00D272C0"/>
    <w:rsid w:val="00D305DE"/>
    <w:rsid w:val="00D30A0D"/>
    <w:rsid w:val="00D31386"/>
    <w:rsid w:val="00D32BA6"/>
    <w:rsid w:val="00D33AAD"/>
    <w:rsid w:val="00D35F09"/>
    <w:rsid w:val="00D40A84"/>
    <w:rsid w:val="00D40C33"/>
    <w:rsid w:val="00D41F58"/>
    <w:rsid w:val="00D42DD2"/>
    <w:rsid w:val="00D42F32"/>
    <w:rsid w:val="00D4782A"/>
    <w:rsid w:val="00D51901"/>
    <w:rsid w:val="00D520BD"/>
    <w:rsid w:val="00D5221C"/>
    <w:rsid w:val="00D569BB"/>
    <w:rsid w:val="00D610B7"/>
    <w:rsid w:val="00D645C3"/>
    <w:rsid w:val="00D64F2C"/>
    <w:rsid w:val="00D65376"/>
    <w:rsid w:val="00D6589A"/>
    <w:rsid w:val="00D6605D"/>
    <w:rsid w:val="00D6675B"/>
    <w:rsid w:val="00D67229"/>
    <w:rsid w:val="00D67EDB"/>
    <w:rsid w:val="00D7067B"/>
    <w:rsid w:val="00D7472C"/>
    <w:rsid w:val="00D754CE"/>
    <w:rsid w:val="00D75A08"/>
    <w:rsid w:val="00D75DEB"/>
    <w:rsid w:val="00D76E18"/>
    <w:rsid w:val="00D7718E"/>
    <w:rsid w:val="00D8061D"/>
    <w:rsid w:val="00D81914"/>
    <w:rsid w:val="00D84E68"/>
    <w:rsid w:val="00D86FB6"/>
    <w:rsid w:val="00D92A76"/>
    <w:rsid w:val="00D934BF"/>
    <w:rsid w:val="00D94406"/>
    <w:rsid w:val="00D9462B"/>
    <w:rsid w:val="00D96191"/>
    <w:rsid w:val="00D96B6C"/>
    <w:rsid w:val="00DA2419"/>
    <w:rsid w:val="00DA25C3"/>
    <w:rsid w:val="00DA300B"/>
    <w:rsid w:val="00DA449A"/>
    <w:rsid w:val="00DA532A"/>
    <w:rsid w:val="00DA6051"/>
    <w:rsid w:val="00DA6ED2"/>
    <w:rsid w:val="00DB305F"/>
    <w:rsid w:val="00DB4558"/>
    <w:rsid w:val="00DB5DF0"/>
    <w:rsid w:val="00DB65F4"/>
    <w:rsid w:val="00DB6788"/>
    <w:rsid w:val="00DB76DF"/>
    <w:rsid w:val="00DC03DB"/>
    <w:rsid w:val="00DC0426"/>
    <w:rsid w:val="00DC073F"/>
    <w:rsid w:val="00DC194C"/>
    <w:rsid w:val="00DC1A5A"/>
    <w:rsid w:val="00DC2177"/>
    <w:rsid w:val="00DC2E07"/>
    <w:rsid w:val="00DC2EC0"/>
    <w:rsid w:val="00DC386A"/>
    <w:rsid w:val="00DC4C2B"/>
    <w:rsid w:val="00DD03F7"/>
    <w:rsid w:val="00DD112A"/>
    <w:rsid w:val="00DD2D2E"/>
    <w:rsid w:val="00DD3430"/>
    <w:rsid w:val="00DE069B"/>
    <w:rsid w:val="00DE14F5"/>
    <w:rsid w:val="00DE1EE1"/>
    <w:rsid w:val="00DE30C2"/>
    <w:rsid w:val="00DE5333"/>
    <w:rsid w:val="00DE5357"/>
    <w:rsid w:val="00DE5CB2"/>
    <w:rsid w:val="00DF0244"/>
    <w:rsid w:val="00DF2AA1"/>
    <w:rsid w:val="00DF7FA0"/>
    <w:rsid w:val="00E003B9"/>
    <w:rsid w:val="00E00718"/>
    <w:rsid w:val="00E05864"/>
    <w:rsid w:val="00E0639C"/>
    <w:rsid w:val="00E12513"/>
    <w:rsid w:val="00E1674C"/>
    <w:rsid w:val="00E178E2"/>
    <w:rsid w:val="00E2172A"/>
    <w:rsid w:val="00E232F0"/>
    <w:rsid w:val="00E242D9"/>
    <w:rsid w:val="00E247BB"/>
    <w:rsid w:val="00E24817"/>
    <w:rsid w:val="00E251DB"/>
    <w:rsid w:val="00E25583"/>
    <w:rsid w:val="00E25F7D"/>
    <w:rsid w:val="00E27388"/>
    <w:rsid w:val="00E27ACF"/>
    <w:rsid w:val="00E30964"/>
    <w:rsid w:val="00E3167E"/>
    <w:rsid w:val="00E33BF7"/>
    <w:rsid w:val="00E35EA2"/>
    <w:rsid w:val="00E369D9"/>
    <w:rsid w:val="00E36B67"/>
    <w:rsid w:val="00E42AA2"/>
    <w:rsid w:val="00E478E3"/>
    <w:rsid w:val="00E50E8A"/>
    <w:rsid w:val="00E520A8"/>
    <w:rsid w:val="00E55451"/>
    <w:rsid w:val="00E57D05"/>
    <w:rsid w:val="00E62258"/>
    <w:rsid w:val="00E62450"/>
    <w:rsid w:val="00E624E7"/>
    <w:rsid w:val="00E63AB4"/>
    <w:rsid w:val="00E6679D"/>
    <w:rsid w:val="00E66CB4"/>
    <w:rsid w:val="00E67E7F"/>
    <w:rsid w:val="00E7064E"/>
    <w:rsid w:val="00E729DB"/>
    <w:rsid w:val="00E72B7C"/>
    <w:rsid w:val="00E742BB"/>
    <w:rsid w:val="00E75CAE"/>
    <w:rsid w:val="00E761A8"/>
    <w:rsid w:val="00E8156C"/>
    <w:rsid w:val="00E82E21"/>
    <w:rsid w:val="00E84141"/>
    <w:rsid w:val="00E856A9"/>
    <w:rsid w:val="00E9084B"/>
    <w:rsid w:val="00E9126E"/>
    <w:rsid w:val="00E92421"/>
    <w:rsid w:val="00E925B2"/>
    <w:rsid w:val="00E95468"/>
    <w:rsid w:val="00E96590"/>
    <w:rsid w:val="00EA0B5B"/>
    <w:rsid w:val="00EA30D1"/>
    <w:rsid w:val="00EA35B4"/>
    <w:rsid w:val="00EA6AEC"/>
    <w:rsid w:val="00EA705B"/>
    <w:rsid w:val="00EB063F"/>
    <w:rsid w:val="00EB0ABE"/>
    <w:rsid w:val="00EB0D9E"/>
    <w:rsid w:val="00EB3C44"/>
    <w:rsid w:val="00EB5B97"/>
    <w:rsid w:val="00EB67A0"/>
    <w:rsid w:val="00EB72B0"/>
    <w:rsid w:val="00EB7677"/>
    <w:rsid w:val="00EC0146"/>
    <w:rsid w:val="00EC4317"/>
    <w:rsid w:val="00EC459F"/>
    <w:rsid w:val="00EC7AE8"/>
    <w:rsid w:val="00ED20AC"/>
    <w:rsid w:val="00ED2CA2"/>
    <w:rsid w:val="00ED2E87"/>
    <w:rsid w:val="00ED41A2"/>
    <w:rsid w:val="00ED4B57"/>
    <w:rsid w:val="00ED4FE9"/>
    <w:rsid w:val="00ED70E6"/>
    <w:rsid w:val="00EE2109"/>
    <w:rsid w:val="00EE25E4"/>
    <w:rsid w:val="00EE6021"/>
    <w:rsid w:val="00EF394B"/>
    <w:rsid w:val="00EF4F0F"/>
    <w:rsid w:val="00EF589F"/>
    <w:rsid w:val="00EF68E3"/>
    <w:rsid w:val="00EF7CFF"/>
    <w:rsid w:val="00F00D8E"/>
    <w:rsid w:val="00F00E11"/>
    <w:rsid w:val="00F013A5"/>
    <w:rsid w:val="00F02772"/>
    <w:rsid w:val="00F0364C"/>
    <w:rsid w:val="00F0386D"/>
    <w:rsid w:val="00F03D96"/>
    <w:rsid w:val="00F04676"/>
    <w:rsid w:val="00F058E8"/>
    <w:rsid w:val="00F05E02"/>
    <w:rsid w:val="00F06750"/>
    <w:rsid w:val="00F06F8F"/>
    <w:rsid w:val="00F07607"/>
    <w:rsid w:val="00F07623"/>
    <w:rsid w:val="00F1062F"/>
    <w:rsid w:val="00F1179D"/>
    <w:rsid w:val="00F11A76"/>
    <w:rsid w:val="00F13A4F"/>
    <w:rsid w:val="00F13E97"/>
    <w:rsid w:val="00F13FD4"/>
    <w:rsid w:val="00F15D5D"/>
    <w:rsid w:val="00F15FE6"/>
    <w:rsid w:val="00F165DC"/>
    <w:rsid w:val="00F16C51"/>
    <w:rsid w:val="00F209E3"/>
    <w:rsid w:val="00F21C3E"/>
    <w:rsid w:val="00F24448"/>
    <w:rsid w:val="00F24D4A"/>
    <w:rsid w:val="00F255F2"/>
    <w:rsid w:val="00F25674"/>
    <w:rsid w:val="00F269EC"/>
    <w:rsid w:val="00F2761B"/>
    <w:rsid w:val="00F319A2"/>
    <w:rsid w:val="00F32374"/>
    <w:rsid w:val="00F3319E"/>
    <w:rsid w:val="00F363BA"/>
    <w:rsid w:val="00F36BE6"/>
    <w:rsid w:val="00F37E2A"/>
    <w:rsid w:val="00F40820"/>
    <w:rsid w:val="00F40BB7"/>
    <w:rsid w:val="00F40BF5"/>
    <w:rsid w:val="00F40C79"/>
    <w:rsid w:val="00F415C5"/>
    <w:rsid w:val="00F418AC"/>
    <w:rsid w:val="00F42FE2"/>
    <w:rsid w:val="00F45299"/>
    <w:rsid w:val="00F469FF"/>
    <w:rsid w:val="00F478DF"/>
    <w:rsid w:val="00F53138"/>
    <w:rsid w:val="00F54F97"/>
    <w:rsid w:val="00F55004"/>
    <w:rsid w:val="00F56FFF"/>
    <w:rsid w:val="00F5786D"/>
    <w:rsid w:val="00F6000D"/>
    <w:rsid w:val="00F600E2"/>
    <w:rsid w:val="00F61989"/>
    <w:rsid w:val="00F627D4"/>
    <w:rsid w:val="00F6299F"/>
    <w:rsid w:val="00F6419B"/>
    <w:rsid w:val="00F65978"/>
    <w:rsid w:val="00F70DFE"/>
    <w:rsid w:val="00F72870"/>
    <w:rsid w:val="00F73A40"/>
    <w:rsid w:val="00F74455"/>
    <w:rsid w:val="00F74758"/>
    <w:rsid w:val="00F747C3"/>
    <w:rsid w:val="00F74953"/>
    <w:rsid w:val="00F74DD3"/>
    <w:rsid w:val="00F7711E"/>
    <w:rsid w:val="00F80040"/>
    <w:rsid w:val="00F81141"/>
    <w:rsid w:val="00F8232D"/>
    <w:rsid w:val="00F84B14"/>
    <w:rsid w:val="00F85000"/>
    <w:rsid w:val="00F85A06"/>
    <w:rsid w:val="00F85E8A"/>
    <w:rsid w:val="00F86EA6"/>
    <w:rsid w:val="00F902AD"/>
    <w:rsid w:val="00F903B8"/>
    <w:rsid w:val="00F92A62"/>
    <w:rsid w:val="00F93417"/>
    <w:rsid w:val="00F95077"/>
    <w:rsid w:val="00F96C4D"/>
    <w:rsid w:val="00F97044"/>
    <w:rsid w:val="00F97D54"/>
    <w:rsid w:val="00FA022C"/>
    <w:rsid w:val="00FA0D71"/>
    <w:rsid w:val="00FA17DF"/>
    <w:rsid w:val="00FA2DBC"/>
    <w:rsid w:val="00FA348B"/>
    <w:rsid w:val="00FA3642"/>
    <w:rsid w:val="00FA3774"/>
    <w:rsid w:val="00FA3FF0"/>
    <w:rsid w:val="00FA5E53"/>
    <w:rsid w:val="00FB0943"/>
    <w:rsid w:val="00FB2010"/>
    <w:rsid w:val="00FB20A9"/>
    <w:rsid w:val="00FB2BFC"/>
    <w:rsid w:val="00FB4066"/>
    <w:rsid w:val="00FB5121"/>
    <w:rsid w:val="00FB6059"/>
    <w:rsid w:val="00FC04CA"/>
    <w:rsid w:val="00FC39A5"/>
    <w:rsid w:val="00FC45A7"/>
    <w:rsid w:val="00FC4E34"/>
    <w:rsid w:val="00FC6725"/>
    <w:rsid w:val="00FC7D49"/>
    <w:rsid w:val="00FD0F83"/>
    <w:rsid w:val="00FD33A5"/>
    <w:rsid w:val="00FD33F9"/>
    <w:rsid w:val="00FD773C"/>
    <w:rsid w:val="00FE1F64"/>
    <w:rsid w:val="00FE27C6"/>
    <w:rsid w:val="00FE2948"/>
    <w:rsid w:val="00FE42CE"/>
    <w:rsid w:val="00FE4B96"/>
    <w:rsid w:val="00FE5FC3"/>
    <w:rsid w:val="00FE6EC2"/>
    <w:rsid w:val="00FE7E49"/>
    <w:rsid w:val="00FF0174"/>
    <w:rsid w:val="00FF2FC5"/>
    <w:rsid w:val="00FF3563"/>
    <w:rsid w:val="00FF408A"/>
    <w:rsid w:val="00FF6462"/>
    <w:rsid w:val="00FF6D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qFormat="1"/>
    <w:lsdException w:name="toc 2" w:qFormat="1"/>
    <w:lsdException w:name="toc 3" w:qFormat="1"/>
    <w:lsdException w:name="toc 4" w:qFormat="1"/>
    <w:lsdException w:name="footnote text" w:qFormat="1"/>
    <w:lsdException w:name="caption" w:semiHidden="1" w:unhideWhenUsed="1" w:qFormat="1"/>
    <w:lsdException w:name="Title" w:qFormat="1"/>
    <w:lsdException w:name="Default Paragraph Font" w:uiPriority="1"/>
    <w:lsdException w:name="Subtitle" w:qFormat="1"/>
    <w:lsdException w:name="Strong"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FB20A9"/>
    <w:pPr>
      <w:widowControl w:val="0"/>
    </w:pPr>
    <w:rPr>
      <w:snapToGrid w:val="0"/>
      <w:kern w:val="28"/>
      <w:sz w:val="22"/>
    </w:rPr>
  </w:style>
  <w:style w:type="paragraph" w:styleId="Heading1">
    <w:name w:val="heading 1"/>
    <w:aliases w:val="Heading 1 Char2,Heading 1 Char1 Char,Heading 1 Char Char Char,Heading 1 Char Char1,Heading 1 Char Char1 Char,Heading 1 Char2 Char Char1 Char,Heading 1 Char1 Char Char Char2 Char,Heading 1 Char Char Char Char Char Char,Heading 1 Char Char2"/>
    <w:basedOn w:val="Normal"/>
    <w:next w:val="ParaNum"/>
    <w:link w:val="Heading1Char"/>
    <w:qFormat/>
    <w:rsid w:val="00FB20A9"/>
    <w:pPr>
      <w:keepNext/>
      <w:numPr>
        <w:numId w:val="1"/>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FB20A9"/>
    <w:pPr>
      <w:keepNext/>
      <w:numPr>
        <w:ilvl w:val="1"/>
        <w:numId w:val="1"/>
      </w:numPr>
      <w:spacing w:after="120"/>
      <w:outlineLvl w:val="1"/>
    </w:pPr>
    <w:rPr>
      <w:b/>
    </w:rPr>
  </w:style>
  <w:style w:type="paragraph" w:styleId="Heading3">
    <w:name w:val="heading 3"/>
    <w:aliases w:val="Heading 3 Char1 Char,Heading 3 Char Char Char,Heading 3 Char1,Heading 3 Char Char,Heading 3 Char1 Char Char,Heading 3 Char Char Char Char,Heading 3 Char2 Char1 Char Char,Heading 3 Char Char Char Char Char,Heading 3 Char Char1 C"/>
    <w:basedOn w:val="Normal"/>
    <w:next w:val="ParaNum"/>
    <w:link w:val="Heading3Char"/>
    <w:qFormat/>
    <w:rsid w:val="00FB20A9"/>
    <w:pPr>
      <w:keepNext/>
      <w:numPr>
        <w:ilvl w:val="2"/>
        <w:numId w:val="1"/>
      </w:numPr>
      <w:tabs>
        <w:tab w:val="left" w:pos="2160"/>
      </w:tabs>
      <w:spacing w:after="120"/>
      <w:outlineLvl w:val="2"/>
    </w:pPr>
    <w:rPr>
      <w:b/>
    </w:rPr>
  </w:style>
  <w:style w:type="paragraph" w:styleId="Heading4">
    <w:name w:val="heading 4"/>
    <w:aliases w:val="Heading 4 Char2,Heading 4 Char1 Char,Heading 4 Char Char Char,Heading 4 Char Char1,Heading 4 Char1,Heading 4 Char Char,Heading 4 Char1 Char1,Heading 4 Char2 Char Char,Heading 4 Char1 Char1 Char Char,Heading 4 Char Char1 Char Ch"/>
    <w:basedOn w:val="Normal"/>
    <w:next w:val="ParaNum"/>
    <w:link w:val="Heading4Char"/>
    <w:qFormat/>
    <w:rsid w:val="00FB20A9"/>
    <w:pPr>
      <w:keepNext/>
      <w:numPr>
        <w:ilvl w:val="3"/>
        <w:numId w:val="1"/>
      </w:numPr>
      <w:tabs>
        <w:tab w:val="left" w:pos="2880"/>
      </w:tabs>
      <w:spacing w:after="120"/>
      <w:outlineLvl w:val="3"/>
    </w:pPr>
    <w:rPr>
      <w:b/>
    </w:rPr>
  </w:style>
  <w:style w:type="paragraph" w:styleId="Heading5">
    <w:name w:val="heading 5"/>
    <w:basedOn w:val="Normal"/>
    <w:next w:val="ParaNum"/>
    <w:link w:val="Heading5Char"/>
    <w:qFormat/>
    <w:rsid w:val="00FB20A9"/>
    <w:pPr>
      <w:keepNext/>
      <w:numPr>
        <w:ilvl w:val="4"/>
        <w:numId w:val="1"/>
      </w:numPr>
      <w:tabs>
        <w:tab w:val="left" w:pos="3600"/>
      </w:tabs>
      <w:suppressAutoHyphens/>
      <w:spacing w:after="120"/>
      <w:outlineLvl w:val="4"/>
    </w:pPr>
    <w:rPr>
      <w:b/>
    </w:rPr>
  </w:style>
  <w:style w:type="paragraph" w:styleId="Heading6">
    <w:name w:val="heading 6"/>
    <w:aliases w:val="h6"/>
    <w:basedOn w:val="Normal"/>
    <w:next w:val="ParaNum"/>
    <w:link w:val="Heading6Char"/>
    <w:qFormat/>
    <w:rsid w:val="00FB20A9"/>
    <w:pPr>
      <w:numPr>
        <w:ilvl w:val="5"/>
        <w:numId w:val="1"/>
      </w:numPr>
      <w:tabs>
        <w:tab w:val="left" w:pos="4320"/>
      </w:tabs>
      <w:spacing w:after="120"/>
      <w:outlineLvl w:val="5"/>
    </w:pPr>
    <w:rPr>
      <w:b/>
    </w:rPr>
  </w:style>
  <w:style w:type="paragraph" w:styleId="Heading7">
    <w:name w:val="heading 7"/>
    <w:basedOn w:val="Normal"/>
    <w:next w:val="ParaNum"/>
    <w:link w:val="Heading7Char"/>
    <w:qFormat/>
    <w:rsid w:val="00FB20A9"/>
    <w:pPr>
      <w:numPr>
        <w:ilvl w:val="6"/>
        <w:numId w:val="1"/>
      </w:numPr>
      <w:tabs>
        <w:tab w:val="left" w:pos="5040"/>
      </w:tabs>
      <w:spacing w:after="120"/>
      <w:ind w:left="5040" w:hanging="720"/>
      <w:outlineLvl w:val="6"/>
    </w:pPr>
    <w:rPr>
      <w:b/>
    </w:rPr>
  </w:style>
  <w:style w:type="paragraph" w:styleId="Heading8">
    <w:name w:val="heading 8"/>
    <w:basedOn w:val="Normal"/>
    <w:next w:val="ParaNum"/>
    <w:link w:val="Heading8Char"/>
    <w:qFormat/>
    <w:rsid w:val="00FB20A9"/>
    <w:pPr>
      <w:numPr>
        <w:ilvl w:val="7"/>
        <w:numId w:val="1"/>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FB20A9"/>
    <w:pPr>
      <w:numPr>
        <w:ilvl w:val="8"/>
        <w:numId w:val="1"/>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FB20A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B20A9"/>
  </w:style>
  <w:style w:type="paragraph" w:customStyle="1" w:styleId="ParaNum">
    <w:name w:val="ParaNum"/>
    <w:basedOn w:val="Normal"/>
    <w:link w:val="ParaNumCharChar1"/>
    <w:rsid w:val="00FB20A9"/>
    <w:pPr>
      <w:numPr>
        <w:numId w:val="6"/>
      </w:numPr>
      <w:tabs>
        <w:tab w:val="clear" w:pos="1080"/>
        <w:tab w:val="num" w:pos="1440"/>
      </w:tabs>
      <w:spacing w:after="120"/>
    </w:pPr>
  </w:style>
  <w:style w:type="paragraph" w:styleId="EndnoteText">
    <w:name w:val="endnote text"/>
    <w:basedOn w:val="Normal"/>
    <w:link w:val="EndnoteTextChar"/>
    <w:semiHidden/>
    <w:rsid w:val="00FB20A9"/>
    <w:rPr>
      <w:sz w:val="20"/>
    </w:rPr>
  </w:style>
  <w:style w:type="character" w:styleId="EndnoteReference">
    <w:name w:val="endnote reference"/>
    <w:semiHidden/>
    <w:rsid w:val="00FB20A9"/>
    <w:rPr>
      <w:vertAlign w:val="superscript"/>
    </w:rPr>
  </w:style>
  <w:style w:type="paragraph" w:styleId="FootnoteText">
    <w:name w:val="footnote text"/>
    <w:aliases w:val="Footnote Text Char1,Footnote Text Char Char,ALTS FOOTNOTE Char Char,fn Char Char,Footnote Text Char1 Char Char,Footnote Text Char Char Char Char,ALTS FOOTNOTE Char Char Char Char,fn Char Char Char Char,fn Char1,Footnote Text Char,fn Char,f"/>
    <w:link w:val="FootnoteTextChar2"/>
    <w:rsid w:val="00FB20A9"/>
    <w:pPr>
      <w:spacing w:after="120"/>
    </w:pPr>
  </w:style>
  <w:style w:type="character" w:styleId="FootnoteReference">
    <w:name w:val="footnote reference"/>
    <w:aliases w:val="Style 12,(NECG) Footnote Reference,Style 13,Appel note de bas de p,Style 124,fr,o,Style 3,FR,Style 17,Footnote Reference/,Style 6"/>
    <w:rsid w:val="00FB20A9"/>
    <w:rPr>
      <w:rFonts w:ascii="Times New Roman" w:hAnsi="Times New Roman"/>
      <w:dstrike w:val="0"/>
      <w:color w:val="auto"/>
      <w:sz w:val="20"/>
      <w:vertAlign w:val="superscript"/>
    </w:rPr>
  </w:style>
  <w:style w:type="paragraph" w:styleId="TOC1">
    <w:name w:val="toc 1"/>
    <w:basedOn w:val="Normal"/>
    <w:next w:val="Normal"/>
    <w:rsid w:val="00FB20A9"/>
    <w:pPr>
      <w:tabs>
        <w:tab w:val="left" w:pos="360"/>
        <w:tab w:val="right" w:leader="dot" w:pos="9360"/>
      </w:tabs>
      <w:suppressAutoHyphens/>
      <w:ind w:left="360" w:right="720" w:hanging="360"/>
    </w:pPr>
    <w:rPr>
      <w:caps/>
      <w:noProof/>
    </w:rPr>
  </w:style>
  <w:style w:type="paragraph" w:styleId="TOC2">
    <w:name w:val="toc 2"/>
    <w:basedOn w:val="Normal"/>
    <w:next w:val="Normal"/>
    <w:rsid w:val="00FB20A9"/>
    <w:pPr>
      <w:tabs>
        <w:tab w:val="left" w:pos="720"/>
        <w:tab w:val="right" w:leader="dot" w:pos="9360"/>
      </w:tabs>
      <w:suppressAutoHyphens/>
      <w:ind w:left="720" w:right="720" w:hanging="360"/>
    </w:pPr>
    <w:rPr>
      <w:noProof/>
    </w:rPr>
  </w:style>
  <w:style w:type="paragraph" w:styleId="TOC3">
    <w:name w:val="toc 3"/>
    <w:basedOn w:val="Normal"/>
    <w:next w:val="Normal"/>
    <w:rsid w:val="00FB20A9"/>
    <w:pPr>
      <w:tabs>
        <w:tab w:val="left" w:pos="1080"/>
        <w:tab w:val="right" w:leader="dot" w:pos="9360"/>
      </w:tabs>
      <w:suppressAutoHyphens/>
      <w:ind w:left="1080" w:right="720" w:hanging="360"/>
    </w:pPr>
    <w:rPr>
      <w:noProof/>
    </w:rPr>
  </w:style>
  <w:style w:type="paragraph" w:styleId="TOC4">
    <w:name w:val="toc 4"/>
    <w:basedOn w:val="Normal"/>
    <w:next w:val="Normal"/>
    <w:autoRedefine/>
    <w:rsid w:val="00FB20A9"/>
    <w:pPr>
      <w:tabs>
        <w:tab w:val="left" w:pos="1440"/>
        <w:tab w:val="right" w:leader="dot" w:pos="9360"/>
      </w:tabs>
      <w:suppressAutoHyphens/>
      <w:ind w:left="1440" w:right="720" w:hanging="360"/>
    </w:pPr>
    <w:rPr>
      <w:noProof/>
    </w:rPr>
  </w:style>
  <w:style w:type="paragraph" w:styleId="TOC5">
    <w:name w:val="toc 5"/>
    <w:basedOn w:val="Normal"/>
    <w:next w:val="Normal"/>
    <w:autoRedefine/>
    <w:rsid w:val="00FB20A9"/>
    <w:pPr>
      <w:tabs>
        <w:tab w:val="left" w:pos="1800"/>
        <w:tab w:val="right" w:leader="dot" w:pos="9360"/>
      </w:tabs>
      <w:suppressAutoHyphens/>
      <w:ind w:left="1800" w:right="720" w:hanging="360"/>
    </w:pPr>
    <w:rPr>
      <w:noProof/>
    </w:rPr>
  </w:style>
  <w:style w:type="paragraph" w:styleId="TOC6">
    <w:name w:val="toc 6"/>
    <w:basedOn w:val="Normal"/>
    <w:next w:val="Normal"/>
    <w:autoRedefine/>
    <w:rsid w:val="00FB20A9"/>
    <w:pPr>
      <w:tabs>
        <w:tab w:val="left" w:pos="2160"/>
        <w:tab w:val="right" w:leader="dot" w:pos="9360"/>
      </w:tabs>
      <w:suppressAutoHyphens/>
      <w:ind w:left="2160" w:hanging="360"/>
    </w:pPr>
    <w:rPr>
      <w:noProof/>
    </w:rPr>
  </w:style>
  <w:style w:type="paragraph" w:styleId="TOC7">
    <w:name w:val="toc 7"/>
    <w:basedOn w:val="Normal"/>
    <w:next w:val="Normal"/>
    <w:autoRedefine/>
    <w:rsid w:val="00FB20A9"/>
    <w:pPr>
      <w:tabs>
        <w:tab w:val="left" w:pos="2520"/>
        <w:tab w:val="right" w:leader="dot" w:pos="9360"/>
      </w:tabs>
      <w:suppressAutoHyphens/>
      <w:ind w:left="2520" w:hanging="360"/>
    </w:pPr>
    <w:rPr>
      <w:noProof/>
    </w:rPr>
  </w:style>
  <w:style w:type="paragraph" w:styleId="TOC8">
    <w:name w:val="toc 8"/>
    <w:basedOn w:val="Normal"/>
    <w:next w:val="Normal"/>
    <w:autoRedefine/>
    <w:rsid w:val="00FB20A9"/>
    <w:pPr>
      <w:tabs>
        <w:tab w:val="left" w:pos="2880"/>
        <w:tab w:val="right" w:leader="dot" w:pos="9360"/>
      </w:tabs>
      <w:suppressAutoHyphens/>
      <w:ind w:left="2880" w:hanging="360"/>
    </w:pPr>
    <w:rPr>
      <w:noProof/>
    </w:rPr>
  </w:style>
  <w:style w:type="paragraph" w:styleId="TOC9">
    <w:name w:val="toc 9"/>
    <w:basedOn w:val="Normal"/>
    <w:next w:val="Normal"/>
    <w:autoRedefine/>
    <w:rsid w:val="00FB20A9"/>
    <w:pPr>
      <w:tabs>
        <w:tab w:val="left" w:pos="3240"/>
        <w:tab w:val="right" w:leader="dot" w:pos="9360"/>
      </w:tabs>
      <w:suppressAutoHyphens/>
      <w:ind w:left="3240" w:hanging="360"/>
    </w:pPr>
    <w:rPr>
      <w:noProof/>
    </w:rPr>
  </w:style>
  <w:style w:type="paragraph" w:styleId="TOAHeading">
    <w:name w:val="toa heading"/>
    <w:basedOn w:val="Normal"/>
    <w:next w:val="Normal"/>
    <w:semiHidden/>
    <w:rsid w:val="00FB20A9"/>
    <w:pPr>
      <w:tabs>
        <w:tab w:val="right" w:pos="9360"/>
      </w:tabs>
      <w:suppressAutoHyphens/>
    </w:pPr>
  </w:style>
  <w:style w:type="character" w:customStyle="1" w:styleId="EquationCaption">
    <w:name w:val="_Equation Caption"/>
    <w:rsid w:val="00FB20A9"/>
  </w:style>
  <w:style w:type="paragraph" w:styleId="Header">
    <w:name w:val="header"/>
    <w:basedOn w:val="Normal"/>
    <w:link w:val="HeaderChar"/>
    <w:autoRedefine/>
    <w:rsid w:val="00FB20A9"/>
    <w:pPr>
      <w:tabs>
        <w:tab w:val="center" w:pos="4680"/>
        <w:tab w:val="right" w:pos="9360"/>
      </w:tabs>
    </w:pPr>
    <w:rPr>
      <w:b/>
    </w:rPr>
  </w:style>
  <w:style w:type="paragraph" w:styleId="Footer">
    <w:name w:val="footer"/>
    <w:basedOn w:val="Normal"/>
    <w:link w:val="FooterChar"/>
    <w:rsid w:val="00FB20A9"/>
    <w:pPr>
      <w:tabs>
        <w:tab w:val="center" w:pos="4320"/>
        <w:tab w:val="right" w:pos="8640"/>
      </w:tabs>
    </w:pPr>
  </w:style>
  <w:style w:type="character" w:styleId="PageNumber">
    <w:name w:val="page number"/>
    <w:basedOn w:val="DefaultParagraphFont"/>
    <w:rsid w:val="00FB20A9"/>
  </w:style>
  <w:style w:type="paragraph" w:styleId="BlockText">
    <w:name w:val="Block Text"/>
    <w:basedOn w:val="Normal"/>
    <w:rsid w:val="00FB20A9"/>
    <w:pPr>
      <w:spacing w:after="240"/>
      <w:ind w:left="1440" w:right="1440"/>
    </w:pPr>
  </w:style>
  <w:style w:type="paragraph" w:styleId="BodyText">
    <w:name w:val="Body Text"/>
    <w:basedOn w:val="Normal"/>
    <w:rPr>
      <w:kern w:val="0"/>
      <w:sz w:val="24"/>
    </w:rPr>
  </w:style>
  <w:style w:type="paragraph" w:customStyle="1" w:styleId="Bullet">
    <w:name w:val="Bullet"/>
    <w:basedOn w:val="Normal"/>
    <w:rsid w:val="00FB20A9"/>
    <w:pPr>
      <w:tabs>
        <w:tab w:val="left" w:pos="2160"/>
      </w:tabs>
      <w:spacing w:after="220"/>
      <w:ind w:left="2160" w:hanging="720"/>
    </w:pPr>
  </w:style>
  <w:style w:type="paragraph" w:customStyle="1" w:styleId="TableFormat">
    <w:name w:val="TableFormat"/>
    <w:basedOn w:val="Bullet"/>
    <w:rsid w:val="00FB20A9"/>
    <w:pPr>
      <w:tabs>
        <w:tab w:val="clear" w:pos="2160"/>
        <w:tab w:val="left" w:pos="5040"/>
      </w:tabs>
      <w:ind w:left="5040" w:hanging="3600"/>
    </w:pPr>
  </w:style>
  <w:style w:type="paragraph" w:styleId="DocumentMap">
    <w:name w:val="Document Map"/>
    <w:basedOn w:val="Normal"/>
    <w:link w:val="DocumentMapChar"/>
    <w:semiHidden/>
    <w:pPr>
      <w:shd w:val="clear" w:color="auto" w:fill="000080"/>
    </w:pPr>
    <w:rPr>
      <w:rFonts w:ascii="Tahoma" w:hAnsi="Tahoma"/>
    </w:rPr>
  </w:style>
  <w:style w:type="paragraph" w:styleId="Title">
    <w:name w:val="Title"/>
    <w:basedOn w:val="Normal"/>
    <w:qFormat/>
    <w:pPr>
      <w:jc w:val="center"/>
    </w:pPr>
    <w:rPr>
      <w:b/>
    </w:rPr>
  </w:style>
  <w:style w:type="paragraph" w:styleId="Subtitle">
    <w:name w:val="Subtitle"/>
    <w:basedOn w:val="Normal"/>
    <w:qFormat/>
    <w:pPr>
      <w:jc w:val="center"/>
    </w:pPr>
    <w:rPr>
      <w:b/>
      <w:sz w:val="24"/>
    </w:rPr>
  </w:style>
  <w:style w:type="paragraph" w:styleId="BodyText2">
    <w:name w:val="Body Text 2"/>
    <w:basedOn w:val="Normal"/>
    <w:pPr>
      <w:jc w:val="center"/>
    </w:pPr>
    <w:rPr>
      <w:b/>
    </w:rPr>
  </w:style>
  <w:style w:type="paragraph" w:customStyle="1" w:styleId="Style0">
    <w:name w:val="Style0"/>
    <w:rPr>
      <w:rFonts w:ascii="Arial" w:hAnsi="Arial"/>
      <w:snapToGrid w:val="0"/>
      <w:sz w:val="24"/>
    </w:rPr>
  </w:style>
  <w:style w:type="character" w:styleId="CommentReference">
    <w:name w:val="annotation reference"/>
    <w:rsid w:val="006B1478"/>
    <w:rPr>
      <w:sz w:val="16"/>
      <w:szCs w:val="16"/>
    </w:rPr>
  </w:style>
  <w:style w:type="paragraph" w:styleId="CommentText">
    <w:name w:val="annotation text"/>
    <w:basedOn w:val="Normal"/>
    <w:link w:val="CommentTextChar"/>
    <w:rsid w:val="006B1478"/>
    <w:rPr>
      <w:sz w:val="20"/>
    </w:rPr>
  </w:style>
  <w:style w:type="paragraph" w:styleId="CommentSubject">
    <w:name w:val="annotation subject"/>
    <w:basedOn w:val="CommentText"/>
    <w:next w:val="CommentText"/>
    <w:link w:val="CommentSubjectChar"/>
    <w:semiHidden/>
    <w:rsid w:val="006B1478"/>
    <w:rPr>
      <w:b/>
      <w:bCs/>
    </w:rPr>
  </w:style>
  <w:style w:type="paragraph" w:styleId="BalloonText">
    <w:name w:val="Balloon Text"/>
    <w:basedOn w:val="Normal"/>
    <w:link w:val="BalloonTextChar"/>
    <w:semiHidden/>
    <w:rsid w:val="006B1478"/>
    <w:rPr>
      <w:rFonts w:ascii="Tahoma" w:hAnsi="Tahoma" w:cs="Tahoma"/>
      <w:sz w:val="16"/>
      <w:szCs w:val="16"/>
    </w:rPr>
  </w:style>
  <w:style w:type="character" w:customStyle="1" w:styleId="FootnoteTextChar2">
    <w:name w:val="Footnote Text Char2"/>
    <w:aliases w:val="Footnote Text Char1 Char,Footnote Text Char Char Char,ALTS FOOTNOTE Char Char Char,fn Char Char Char,Footnote Text Char1 Char Char Char,Footnote Text Char Char Char Char Char,ALTS FOOTNOTE Char Char Char Char Char,fn Char1 Char"/>
    <w:link w:val="FootnoteText"/>
    <w:locked/>
    <w:rsid w:val="00F54F97"/>
  </w:style>
  <w:style w:type="character" w:customStyle="1" w:styleId="FootnoteTextChar2CharChar">
    <w:name w:val="Footnote Text Char2 Char Char"/>
    <w:aliases w:val="Footnote Text Char3 Char1 Char Char,Footnote Text Char2 Char1 Char1 Char Char,Footnote Text Char3 Char1 Char Char Char Char,Footnote Text Char2 Char1 Char1 Char Char Char Char,fn Char2,ALTS FOOTNOTE Char,Footnote text Char"/>
    <w:uiPriority w:val="99"/>
    <w:locked/>
    <w:rsid w:val="00BE4E74"/>
    <w:rPr>
      <w:lang w:val="en-US" w:eastAsia="en-US" w:bidi="ar-SA"/>
    </w:rPr>
  </w:style>
  <w:style w:type="paragraph" w:customStyle="1" w:styleId="ColorfulShading-Accent11">
    <w:name w:val="Colorful Shading - Accent 11"/>
    <w:hidden/>
    <w:uiPriority w:val="71"/>
    <w:rsid w:val="003C4C4A"/>
    <w:rPr>
      <w:snapToGrid w:val="0"/>
      <w:kern w:val="28"/>
      <w:sz w:val="24"/>
    </w:rPr>
  </w:style>
  <w:style w:type="paragraph" w:customStyle="1" w:styleId="StyleParaNum11pt">
    <w:name w:val="Style ParaNum + 11 pt"/>
    <w:basedOn w:val="Normal"/>
    <w:link w:val="StyleParaNum11ptChar"/>
    <w:rsid w:val="00F97044"/>
  </w:style>
  <w:style w:type="character" w:customStyle="1" w:styleId="ParaNumChar">
    <w:name w:val="ParaNum Char"/>
    <w:rsid w:val="0083676C"/>
    <w:rPr>
      <w:snapToGrid w:val="0"/>
      <w:kern w:val="28"/>
      <w:sz w:val="22"/>
    </w:rPr>
  </w:style>
  <w:style w:type="character" w:customStyle="1" w:styleId="StyleParaNum11ptChar">
    <w:name w:val="Style ParaNum + 11 pt Char"/>
    <w:basedOn w:val="ParaNumChar"/>
    <w:link w:val="StyleParaNum11pt"/>
    <w:rsid w:val="00F97044"/>
    <w:rPr>
      <w:snapToGrid w:val="0"/>
      <w:kern w:val="28"/>
      <w:sz w:val="22"/>
    </w:rPr>
  </w:style>
  <w:style w:type="paragraph" w:customStyle="1" w:styleId="StyleParaNumItalic">
    <w:name w:val="Style ParaNum + Italic"/>
    <w:basedOn w:val="Normal"/>
    <w:link w:val="StyleParaNumItalicChar"/>
    <w:rsid w:val="009E40AB"/>
    <w:rPr>
      <w:i/>
      <w:iCs/>
    </w:rPr>
  </w:style>
  <w:style w:type="character" w:customStyle="1" w:styleId="StyleParaNumItalicChar">
    <w:name w:val="Style ParaNum + Italic Char"/>
    <w:link w:val="StyleParaNumItalic"/>
    <w:rsid w:val="009E40AB"/>
    <w:rPr>
      <w:i/>
      <w:iCs/>
      <w:snapToGrid w:val="0"/>
      <w:kern w:val="28"/>
      <w:sz w:val="22"/>
      <w:lang w:val="en-US" w:eastAsia="en-US" w:bidi="ar-SA"/>
    </w:rPr>
  </w:style>
  <w:style w:type="paragraph" w:customStyle="1" w:styleId="StyleParaNum12pt">
    <w:name w:val="Style ParaNum + 12 pt"/>
    <w:basedOn w:val="Normal"/>
    <w:link w:val="StyleParaNum12ptChar"/>
    <w:rsid w:val="009E40AB"/>
  </w:style>
  <w:style w:type="character" w:customStyle="1" w:styleId="StyleParaNum12ptChar">
    <w:name w:val="Style ParaNum + 12 pt Char"/>
    <w:basedOn w:val="ParaNumChar"/>
    <w:link w:val="StyleParaNum12pt"/>
    <w:rsid w:val="009E40AB"/>
    <w:rPr>
      <w:snapToGrid w:val="0"/>
      <w:kern w:val="28"/>
      <w:sz w:val="22"/>
    </w:rPr>
  </w:style>
  <w:style w:type="character" w:customStyle="1" w:styleId="FootnoteTextChar1Char1Char1">
    <w:name w:val="Footnote Text Char1 Char1 Char1"/>
    <w:aliases w:val="Footnote Text Char Char1 Char Char1,Footnote Text Char1 Char1 Char Char Char1,Footnote Text Char Char1 Char Char Char Char1,Footnote Text Char2 Char Char1 Char Char Char Char1,ALTS FOOTNOTE Char1,fn Ch Char1"/>
    <w:semiHidden/>
    <w:locked/>
    <w:rsid w:val="00E3167E"/>
    <w:rPr>
      <w:lang w:val="en-US" w:eastAsia="en-US" w:bidi="ar-SA"/>
    </w:rPr>
  </w:style>
  <w:style w:type="paragraph" w:customStyle="1" w:styleId="StyleParaNumAfter6pt">
    <w:name w:val="Style ParaNum + After:  6 pt"/>
    <w:basedOn w:val="Normal"/>
    <w:rsid w:val="00BB3F77"/>
    <w:pPr>
      <w:tabs>
        <w:tab w:val="left" w:pos="720"/>
        <w:tab w:val="left" w:pos="1166"/>
      </w:tabs>
    </w:pPr>
  </w:style>
  <w:style w:type="paragraph" w:customStyle="1" w:styleId="StyleStyleParaNumAfter6pt">
    <w:name w:val="Style Style ParaNum + After:  6 pt +"/>
    <w:basedOn w:val="StyleParaNumAfter6pt"/>
    <w:rsid w:val="00BB3F77"/>
    <w:rPr>
      <w:kern w:val="0"/>
    </w:rPr>
  </w:style>
  <w:style w:type="paragraph" w:customStyle="1" w:styleId="StyleStyleParaNumAfter6ptItalic">
    <w:name w:val="Style Style ParaNum + After:  6 pt + Italic"/>
    <w:basedOn w:val="StyleParaNumAfter6pt"/>
    <w:rsid w:val="00BB3F77"/>
    <w:rPr>
      <w:iCs/>
    </w:rPr>
  </w:style>
  <w:style w:type="character" w:styleId="Hyperlink">
    <w:name w:val="Hyperlink"/>
    <w:rsid w:val="00FB20A9"/>
    <w:rPr>
      <w:color w:val="0000FF"/>
      <w:u w:val="single"/>
    </w:rPr>
  </w:style>
  <w:style w:type="character" w:customStyle="1" w:styleId="CommentTextChar">
    <w:name w:val="Comment Text Char"/>
    <w:link w:val="CommentText"/>
    <w:locked/>
    <w:rsid w:val="000E250C"/>
    <w:rPr>
      <w:snapToGrid w:val="0"/>
      <w:kern w:val="28"/>
    </w:rPr>
  </w:style>
  <w:style w:type="character" w:customStyle="1" w:styleId="cosearchterm">
    <w:name w:val="co_searchterm"/>
    <w:rsid w:val="000B52A0"/>
  </w:style>
  <w:style w:type="character" w:styleId="Emphasis">
    <w:name w:val="Emphasis"/>
    <w:uiPriority w:val="20"/>
    <w:qFormat/>
    <w:rsid w:val="000B52A0"/>
    <w:rPr>
      <w:i/>
      <w:iCs/>
    </w:rPr>
  </w:style>
  <w:style w:type="paragraph" w:styleId="Revision">
    <w:name w:val="Revision"/>
    <w:hidden/>
    <w:uiPriority w:val="99"/>
    <w:semiHidden/>
    <w:rsid w:val="001173BD"/>
    <w:rPr>
      <w:snapToGrid w:val="0"/>
      <w:kern w:val="28"/>
      <w:sz w:val="22"/>
    </w:rPr>
  </w:style>
  <w:style w:type="character" w:customStyle="1" w:styleId="Heading8Char">
    <w:name w:val="Heading 8 Char"/>
    <w:link w:val="Heading8"/>
    <w:rsid w:val="002C2218"/>
    <w:rPr>
      <w:b/>
      <w:snapToGrid w:val="0"/>
      <w:kern w:val="28"/>
      <w:sz w:val="22"/>
    </w:rPr>
  </w:style>
  <w:style w:type="paragraph" w:styleId="TOCHeading">
    <w:name w:val="TOC Heading"/>
    <w:basedOn w:val="Heading1"/>
    <w:next w:val="Normal"/>
    <w:uiPriority w:val="39"/>
    <w:qFormat/>
    <w:rsid w:val="00DB76DF"/>
    <w:pPr>
      <w:keepLines/>
      <w:numPr>
        <w:numId w:val="0"/>
      </w:numPr>
      <w:tabs>
        <w:tab w:val="left" w:pos="720"/>
      </w:tabs>
      <w:suppressAutoHyphens w:val="0"/>
      <w:spacing w:before="480" w:after="0" w:line="276" w:lineRule="auto"/>
      <w:outlineLvl w:val="9"/>
    </w:pPr>
    <w:rPr>
      <w:rFonts w:ascii="Cambria" w:eastAsia="MS Gothic" w:hAnsi="Cambria"/>
      <w:bCs/>
      <w:caps w:val="0"/>
      <w:snapToGrid/>
      <w:color w:val="365F91"/>
      <w:kern w:val="0"/>
      <w:sz w:val="28"/>
      <w:szCs w:val="28"/>
      <w:lang w:eastAsia="ja-JP"/>
    </w:rPr>
  </w:style>
  <w:style w:type="paragraph" w:customStyle="1" w:styleId="Paratitle">
    <w:name w:val="Para title"/>
    <w:basedOn w:val="Normal"/>
    <w:rsid w:val="00FB20A9"/>
    <w:pPr>
      <w:tabs>
        <w:tab w:val="center" w:pos="9270"/>
      </w:tabs>
      <w:spacing w:after="240"/>
    </w:pPr>
    <w:rPr>
      <w:spacing w:val="-2"/>
    </w:rPr>
  </w:style>
  <w:style w:type="paragraph" w:customStyle="1" w:styleId="TOCTitle">
    <w:name w:val="TOC Title"/>
    <w:basedOn w:val="Normal"/>
    <w:rsid w:val="00FB20A9"/>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FB20A9"/>
    <w:pPr>
      <w:jc w:val="center"/>
    </w:pPr>
    <w:rPr>
      <w:rFonts w:ascii="Times New Roman Bold" w:hAnsi="Times New Roman Bold"/>
      <w:b/>
      <w:bCs/>
      <w:caps/>
      <w:szCs w:val="22"/>
    </w:rPr>
  </w:style>
  <w:style w:type="character" w:customStyle="1" w:styleId="HeaderChar">
    <w:name w:val="Header Char"/>
    <w:link w:val="Header"/>
    <w:rsid w:val="001650DD"/>
    <w:rPr>
      <w:b/>
      <w:snapToGrid w:val="0"/>
      <w:kern w:val="28"/>
      <w:sz w:val="22"/>
    </w:rPr>
  </w:style>
  <w:style w:type="character" w:customStyle="1" w:styleId="StyleFootnoteReferenceStyle12NECGFootnoteReferenceStyle1">
    <w:name w:val="Style Footnote ReferenceStyle 12(NECG) Footnote ReferenceStyle 1..."/>
    <w:rsid w:val="00CA4A8E"/>
    <w:rPr>
      <w:rFonts w:ascii="Times New Roman" w:hAnsi="Times New Roman"/>
      <w:b w:val="0"/>
      <w:bCs/>
      <w:dstrike w:val="0"/>
      <w:color w:val="auto"/>
      <w:kern w:val="0"/>
      <w:sz w:val="22"/>
      <w:vertAlign w:val="superscript"/>
    </w:rPr>
  </w:style>
  <w:style w:type="character" w:customStyle="1" w:styleId="StyleFootnoteReferenceStyle12NECGFootnoteReferenceStyle11">
    <w:name w:val="Style Footnote ReferenceStyle 12(NECG) Footnote ReferenceStyle 1...1"/>
    <w:rsid w:val="00CA4A8E"/>
    <w:rPr>
      <w:rFonts w:ascii="Times New Roman" w:hAnsi="Times New Roman"/>
      <w:b w:val="0"/>
      <w:bCs/>
      <w:dstrike w:val="0"/>
      <w:color w:val="auto"/>
      <w:sz w:val="22"/>
      <w:vertAlign w:val="superscript"/>
    </w:rPr>
  </w:style>
  <w:style w:type="paragraph" w:customStyle="1" w:styleId="StyleParaNumItalic1">
    <w:name w:val="Style ParaNum + Italic1"/>
    <w:basedOn w:val="Normal"/>
    <w:rsid w:val="00F97044"/>
    <w:rPr>
      <w:i/>
      <w:iCs/>
    </w:rPr>
  </w:style>
  <w:style w:type="paragraph" w:customStyle="1" w:styleId="StyleParaNumItalic2">
    <w:name w:val="Style ParaNum + Italic2"/>
    <w:basedOn w:val="Normal"/>
    <w:autoRedefine/>
    <w:rsid w:val="00F97044"/>
    <w:rPr>
      <w:iCs/>
    </w:rPr>
  </w:style>
  <w:style w:type="table" w:styleId="TableGrid">
    <w:name w:val="Table Grid"/>
    <w:basedOn w:val="TableNormal"/>
    <w:rsid w:val="00F97D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nCharCharCharCharChar">
    <w:name w:val="fn Char Char Char Char Char"/>
    <w:aliases w:val="Footnote Text Char1 Char1 Char,Footnote Text Char Char1 Char Char,Footnote Text Char1 Char1 Char Char Char,Footnote Text Char Char1 Char Char Char Char,Footnote Text Char2 Char Char1 Char Char Char Char"/>
    <w:locked/>
    <w:rsid w:val="00F97D54"/>
    <w:rPr>
      <w:rFonts w:cs="Times New Roman"/>
    </w:rPr>
  </w:style>
  <w:style w:type="paragraph" w:customStyle="1" w:styleId="specnumber">
    <w:name w:val="spec number"/>
    <w:basedOn w:val="Normal"/>
    <w:rsid w:val="00F97D54"/>
    <w:pPr>
      <w:numPr>
        <w:numId w:val="8"/>
      </w:numPr>
    </w:pPr>
    <w:rPr>
      <w:rFonts w:eastAsia="MS Minngs"/>
      <w:snapToGrid/>
      <w:kern w:val="0"/>
      <w:sz w:val="20"/>
    </w:rPr>
  </w:style>
  <w:style w:type="paragraph" w:styleId="ListParagraph">
    <w:name w:val="List Paragraph"/>
    <w:basedOn w:val="Normal"/>
    <w:qFormat/>
    <w:rsid w:val="00F97D54"/>
    <w:pPr>
      <w:ind w:left="720"/>
      <w:contextualSpacing/>
    </w:pPr>
    <w:rPr>
      <w:rFonts w:eastAsia="MS Minngs"/>
      <w:snapToGrid/>
      <w:kern w:val="0"/>
      <w:sz w:val="20"/>
    </w:rPr>
  </w:style>
  <w:style w:type="character" w:customStyle="1" w:styleId="WilliamLayton">
    <w:name w:val="William Layton"/>
    <w:semiHidden/>
    <w:rsid w:val="00F97D54"/>
    <w:rPr>
      <w:rFonts w:ascii="Arial" w:hAnsi="Arial" w:cs="Arial"/>
      <w:color w:val="000080"/>
      <w:sz w:val="20"/>
      <w:szCs w:val="20"/>
    </w:rPr>
  </w:style>
  <w:style w:type="character" w:customStyle="1" w:styleId="CharChar">
    <w:name w:val="Char Char"/>
    <w:semiHidden/>
    <w:locked/>
    <w:rsid w:val="00F97D54"/>
    <w:rPr>
      <w:lang w:val="en-US" w:eastAsia="en-US" w:bidi="ar-SA"/>
    </w:rPr>
  </w:style>
  <w:style w:type="paragraph" w:customStyle="1" w:styleId="Default">
    <w:name w:val="Default"/>
    <w:rsid w:val="00F97D54"/>
    <w:pPr>
      <w:autoSpaceDE w:val="0"/>
      <w:autoSpaceDN w:val="0"/>
      <w:adjustRightInd w:val="0"/>
    </w:pPr>
    <w:rPr>
      <w:rFonts w:ascii="Arial" w:hAnsi="Arial" w:cs="Arial"/>
      <w:color w:val="000000"/>
      <w:sz w:val="24"/>
      <w:szCs w:val="24"/>
    </w:rPr>
  </w:style>
  <w:style w:type="paragraph" w:customStyle="1" w:styleId="ColorfulList-Accent11">
    <w:name w:val="Colorful List - Accent 11"/>
    <w:basedOn w:val="Normal"/>
    <w:uiPriority w:val="34"/>
    <w:qFormat/>
    <w:rsid w:val="00F97D54"/>
    <w:pPr>
      <w:ind w:left="720"/>
    </w:pPr>
    <w:rPr>
      <w:snapToGrid/>
      <w:kern w:val="0"/>
      <w:sz w:val="24"/>
      <w:szCs w:val="24"/>
    </w:rPr>
  </w:style>
  <w:style w:type="character" w:customStyle="1" w:styleId="Heading1Char">
    <w:name w:val="Heading 1 Char"/>
    <w:aliases w:val="Heading 1 Char2 Char,Heading 1 Char1 Char Char,Heading 1 Char Char Char Char,Heading 1 Char Char1 Char1,Heading 1 Char Char1 Char Char,Heading 1 Char2 Char Char1 Char Char,Heading 1 Char1 Char Char Char2 Char Char"/>
    <w:link w:val="Heading1"/>
    <w:rsid w:val="00F97D54"/>
    <w:rPr>
      <w:rFonts w:ascii="Times New Roman Bold" w:hAnsi="Times New Roman Bold"/>
      <w:b/>
      <w:caps/>
      <w:snapToGrid w:val="0"/>
      <w:kern w:val="28"/>
      <w:sz w:val="22"/>
    </w:rPr>
  </w:style>
  <w:style w:type="character" w:customStyle="1" w:styleId="Heading2Char">
    <w:name w:val="Heading 2 Char"/>
    <w:link w:val="Heading2"/>
    <w:rsid w:val="00F97D54"/>
    <w:rPr>
      <w:b/>
      <w:snapToGrid w:val="0"/>
      <w:kern w:val="28"/>
      <w:sz w:val="22"/>
    </w:rPr>
  </w:style>
  <w:style w:type="character" w:customStyle="1" w:styleId="Heading3Char">
    <w:name w:val="Heading 3 Char"/>
    <w:aliases w:val="Heading 3 Char1 Char Char2,Heading 3 Char Char Char Char2,Heading 3 Char1 Char2,Heading 3 Char Char Char2,Heading 3 Char1 Char Char Char1,Heading 3 Char Char Char Char Char2,Heading 3 Char2 Char1 Char Char Char1"/>
    <w:link w:val="Heading3"/>
    <w:rsid w:val="00F97D54"/>
    <w:rPr>
      <w:b/>
      <w:snapToGrid w:val="0"/>
      <w:kern w:val="28"/>
      <w:sz w:val="22"/>
    </w:rPr>
  </w:style>
  <w:style w:type="character" w:customStyle="1" w:styleId="Heading4Char">
    <w:name w:val="Heading 4 Char"/>
    <w:aliases w:val="Heading 4 Char2 Char1,Heading 4 Char1 Char Char1,Heading 4 Char Char Char Char1,Heading 4 Char Char1 Char1,Heading 4 Char1 Char3,Heading 4 Char Char Char2,Heading 4 Char1 Char1 Char1,Heading 4 Char2 Char Char Char1"/>
    <w:link w:val="Heading4"/>
    <w:rsid w:val="00F97D54"/>
    <w:rPr>
      <w:b/>
      <w:snapToGrid w:val="0"/>
      <w:kern w:val="28"/>
      <w:sz w:val="22"/>
    </w:rPr>
  </w:style>
  <w:style w:type="character" w:customStyle="1" w:styleId="Heading5Char">
    <w:name w:val="Heading 5 Char"/>
    <w:link w:val="Heading5"/>
    <w:rsid w:val="00F97D54"/>
    <w:rPr>
      <w:b/>
      <w:snapToGrid w:val="0"/>
      <w:kern w:val="28"/>
      <w:sz w:val="22"/>
    </w:rPr>
  </w:style>
  <w:style w:type="character" w:customStyle="1" w:styleId="Heading6Char">
    <w:name w:val="Heading 6 Char"/>
    <w:aliases w:val="h6 Char"/>
    <w:link w:val="Heading6"/>
    <w:rsid w:val="00F97D54"/>
    <w:rPr>
      <w:b/>
      <w:snapToGrid w:val="0"/>
      <w:kern w:val="28"/>
      <w:sz w:val="22"/>
    </w:rPr>
  </w:style>
  <w:style w:type="character" w:customStyle="1" w:styleId="Heading7Char">
    <w:name w:val="Heading 7 Char"/>
    <w:link w:val="Heading7"/>
    <w:rsid w:val="00F97D54"/>
    <w:rPr>
      <w:b/>
      <w:snapToGrid w:val="0"/>
      <w:kern w:val="28"/>
      <w:sz w:val="22"/>
    </w:rPr>
  </w:style>
  <w:style w:type="character" w:customStyle="1" w:styleId="Heading9Char">
    <w:name w:val="Heading 9 Char"/>
    <w:link w:val="Heading9"/>
    <w:rsid w:val="00F97D54"/>
    <w:rPr>
      <w:b/>
      <w:snapToGrid w:val="0"/>
      <w:kern w:val="28"/>
      <w:sz w:val="22"/>
    </w:rPr>
  </w:style>
  <w:style w:type="character" w:customStyle="1" w:styleId="Heading3Char2">
    <w:name w:val="Heading 3 Char2"/>
    <w:aliases w:val="Heading 3 Char Char1,Heading 3 Char1 Char Char1,Heading 3 Char Char Char Char1,Heading 3 Char1 Char1,Heading 3 Char Char Char1,Heading 3 Char1 Char Char Char,Heading 3 Char Char Char Char Char1,Heading 3 Char2 Char1 Char Char Char"/>
    <w:locked/>
    <w:rsid w:val="00F97D54"/>
    <w:rPr>
      <w:b/>
      <w:bCs/>
      <w:kern w:val="28"/>
      <w:sz w:val="22"/>
      <w:szCs w:val="22"/>
    </w:rPr>
  </w:style>
  <w:style w:type="character" w:customStyle="1" w:styleId="Heading4Char3">
    <w:name w:val="Heading 4 Char3"/>
    <w:aliases w:val="Heading 4 Char2 Char,Heading 4 Char1 Char Char,Heading 4 Char Char Char Char,Heading 4 Char Char1 Char,Heading 4 Char1 Char2,Heading 4 Char Char Char1,Heading 4 Char Char2,Heading 4 Char1 Char1 Char,Heading 4 Char2 Char Char Char"/>
    <w:locked/>
    <w:rsid w:val="00F97D54"/>
    <w:rPr>
      <w:rFonts w:ascii="Calibri" w:hAnsi="Calibri"/>
      <w:b/>
      <w:kern w:val="28"/>
      <w:sz w:val="28"/>
    </w:rPr>
  </w:style>
  <w:style w:type="character" w:customStyle="1" w:styleId="Heading5Char1">
    <w:name w:val="Heading 5 Char1"/>
    <w:aliases w:val="Heading 5 Char Char"/>
    <w:locked/>
    <w:rsid w:val="00F97D54"/>
    <w:rPr>
      <w:rFonts w:ascii="Calibri" w:hAnsi="Calibri"/>
      <w:b/>
      <w:i/>
      <w:kern w:val="28"/>
      <w:sz w:val="26"/>
    </w:rPr>
  </w:style>
  <w:style w:type="character" w:customStyle="1" w:styleId="Heading7Char1">
    <w:name w:val="Heading 7 Char1"/>
    <w:aliases w:val="Heading 7 Char Char"/>
    <w:locked/>
    <w:rsid w:val="00F97D54"/>
    <w:rPr>
      <w:rFonts w:ascii="Calibri" w:hAnsi="Calibri"/>
      <w:kern w:val="28"/>
      <w:sz w:val="24"/>
    </w:rPr>
  </w:style>
  <w:style w:type="character" w:customStyle="1" w:styleId="Heading9Char1">
    <w:name w:val="Heading 9 Char1"/>
    <w:aliases w:val="Heading 9 Char Char"/>
    <w:locked/>
    <w:rsid w:val="00F97D54"/>
    <w:rPr>
      <w:rFonts w:ascii="Cambria" w:hAnsi="Cambria"/>
      <w:kern w:val="28"/>
    </w:rPr>
  </w:style>
  <w:style w:type="character" w:customStyle="1" w:styleId="BalloonTextChar">
    <w:name w:val="Balloon Text Char"/>
    <w:link w:val="BalloonText"/>
    <w:semiHidden/>
    <w:locked/>
    <w:rsid w:val="00F97D54"/>
    <w:rPr>
      <w:rFonts w:ascii="Tahoma" w:hAnsi="Tahoma" w:cs="Tahoma"/>
      <w:snapToGrid w:val="0"/>
      <w:kern w:val="28"/>
      <w:sz w:val="16"/>
      <w:szCs w:val="16"/>
    </w:rPr>
  </w:style>
  <w:style w:type="character" w:customStyle="1" w:styleId="EndnoteTextChar">
    <w:name w:val="Endnote Text Char"/>
    <w:link w:val="EndnoteText"/>
    <w:semiHidden/>
    <w:locked/>
    <w:rsid w:val="00F97D54"/>
    <w:rPr>
      <w:snapToGrid w:val="0"/>
      <w:kern w:val="28"/>
    </w:rPr>
  </w:style>
  <w:style w:type="character" w:customStyle="1" w:styleId="FooterChar">
    <w:name w:val="Footer Char"/>
    <w:link w:val="Footer"/>
    <w:locked/>
    <w:rsid w:val="00F97D54"/>
    <w:rPr>
      <w:snapToGrid w:val="0"/>
      <w:kern w:val="28"/>
      <w:sz w:val="22"/>
    </w:rPr>
  </w:style>
  <w:style w:type="character" w:customStyle="1" w:styleId="ParaNumCharChar1">
    <w:name w:val="ParaNum Char Char1"/>
    <w:link w:val="ParaNum"/>
    <w:locked/>
    <w:rsid w:val="00877B9F"/>
    <w:rPr>
      <w:snapToGrid w:val="0"/>
      <w:kern w:val="28"/>
      <w:sz w:val="22"/>
    </w:rPr>
  </w:style>
  <w:style w:type="character" w:customStyle="1" w:styleId="26aCharChar1">
    <w:name w:val="26a Char Char1"/>
    <w:rsid w:val="00F97D54"/>
    <w:rPr>
      <w:snapToGrid w:val="0"/>
      <w:sz w:val="24"/>
      <w:lang w:val="en-US" w:eastAsia="en-US"/>
    </w:rPr>
  </w:style>
  <w:style w:type="paragraph" w:customStyle="1" w:styleId="Para">
    <w:name w:val="Para#"/>
    <w:basedOn w:val="Normal"/>
    <w:rsid w:val="00F97D54"/>
    <w:pPr>
      <w:tabs>
        <w:tab w:val="num" w:pos="1440"/>
      </w:tabs>
      <w:ind w:firstLine="720"/>
    </w:pPr>
    <w:rPr>
      <w:snapToGrid/>
    </w:rPr>
  </w:style>
  <w:style w:type="character" w:customStyle="1" w:styleId="apple-converted-space">
    <w:name w:val="apple-converted-space"/>
    <w:rsid w:val="00F97D54"/>
  </w:style>
  <w:style w:type="character" w:customStyle="1" w:styleId="FootnoteTextCharCharCharChar3CharCharChar1">
    <w:name w:val="Footnote Text Char Char Char Char3 Char Char Char1"/>
    <w:aliases w:val="Footnote Text Char3 Char1,Footnote Text Char Char3 Char,Footnote Text Char1 Char Char3 Char,Footnote Text Char Char Char Char3 Char,Footnote Text Char1 Char Char3 Char Char Char"/>
    <w:rsid w:val="00F97D54"/>
    <w:rPr>
      <w:lang w:val="en-US" w:eastAsia="en-US"/>
    </w:rPr>
  </w:style>
  <w:style w:type="paragraph" w:customStyle="1" w:styleId="FootnoteTex">
    <w:name w:val="Footnote Tex"/>
    <w:basedOn w:val="Normal"/>
    <w:rsid w:val="00F97D54"/>
    <w:rPr>
      <w:rFonts w:eastAsia="SimSun"/>
      <w:snapToGrid/>
      <w:kern w:val="0"/>
      <w:sz w:val="24"/>
      <w:szCs w:val="24"/>
    </w:rPr>
  </w:style>
  <w:style w:type="character" w:customStyle="1" w:styleId="Footnote">
    <w:name w:val="Footnote"/>
    <w:rsid w:val="00F97D54"/>
  </w:style>
  <w:style w:type="paragraph" w:styleId="NormalWeb">
    <w:name w:val="Normal (Web)"/>
    <w:basedOn w:val="Normal"/>
    <w:rsid w:val="00F97D54"/>
    <w:rPr>
      <w:snapToGrid/>
      <w:sz w:val="24"/>
      <w:szCs w:val="24"/>
    </w:rPr>
  </w:style>
  <w:style w:type="character" w:customStyle="1" w:styleId="StyleFootnoteReferenceStyle13Style12NECGFootnoteReferenc">
    <w:name w:val="Style Footnote ReferenceStyle 13Style 12(NECG) Footnote Referenc..."/>
    <w:rsid w:val="00F97D54"/>
    <w:rPr>
      <w:rFonts w:ascii="Times New Roman" w:hAnsi="Times New Roman"/>
      <w:color w:val="auto"/>
      <w:sz w:val="20"/>
      <w:vertAlign w:val="superscript"/>
    </w:rPr>
  </w:style>
  <w:style w:type="character" w:customStyle="1" w:styleId="StyleNumberedparagraphs11ptChar">
    <w:name w:val="Style Numbered paragraphs + 11 pt Char"/>
    <w:rsid w:val="00F97D54"/>
    <w:rPr>
      <w:sz w:val="22"/>
      <w:lang w:val="en-US" w:eastAsia="en-US"/>
    </w:rPr>
  </w:style>
  <w:style w:type="character" w:customStyle="1" w:styleId="DocumentMapChar">
    <w:name w:val="Document Map Char"/>
    <w:link w:val="DocumentMap"/>
    <w:semiHidden/>
    <w:locked/>
    <w:rsid w:val="00F97D54"/>
    <w:rPr>
      <w:rFonts w:ascii="Tahoma" w:hAnsi="Tahoma"/>
      <w:snapToGrid w:val="0"/>
      <w:kern w:val="28"/>
      <w:sz w:val="22"/>
      <w:shd w:val="clear" w:color="auto" w:fill="000080"/>
    </w:rPr>
  </w:style>
  <w:style w:type="character" w:customStyle="1" w:styleId="CommentSubjectChar">
    <w:name w:val="Comment Subject Char"/>
    <w:link w:val="CommentSubject"/>
    <w:semiHidden/>
    <w:locked/>
    <w:rsid w:val="00F97D54"/>
    <w:rPr>
      <w:b/>
      <w:bCs/>
      <w:snapToGrid w:val="0"/>
      <w:kern w:val="28"/>
    </w:rPr>
  </w:style>
  <w:style w:type="character" w:customStyle="1" w:styleId="DeltaViewInsertion">
    <w:name w:val="DeltaView Insertion"/>
    <w:uiPriority w:val="99"/>
    <w:rsid w:val="00F97D54"/>
    <w:rPr>
      <w:color w:val="0000FF"/>
      <w:spacing w:val="0"/>
      <w:u w:val="double"/>
    </w:rPr>
  </w:style>
  <w:style w:type="paragraph" w:customStyle="1" w:styleId="Char1CharCharCharCharCharCharCharChar">
    <w:name w:val="Char1 Char Char Char Char Char Char Char Char"/>
    <w:basedOn w:val="Normal"/>
    <w:rsid w:val="00F97D54"/>
    <w:pPr>
      <w:spacing w:after="160" w:line="240" w:lineRule="exact"/>
      <w:jc w:val="both"/>
    </w:pPr>
    <w:rPr>
      <w:rFonts w:ascii="Verdana" w:hAnsi="Verdana"/>
      <w:snapToGrid/>
      <w:spacing w:val="-5"/>
      <w:kern w:val="0"/>
      <w:sz w:val="20"/>
      <w:szCs w:val="22"/>
    </w:rPr>
  </w:style>
  <w:style w:type="character" w:customStyle="1" w:styleId="DeltaViewDeletion">
    <w:name w:val="DeltaView Deletion"/>
    <w:rsid w:val="00F97D54"/>
    <w:rPr>
      <w:strike/>
      <w:color w:val="FF0000"/>
      <w:spacing w:val="0"/>
    </w:rPr>
  </w:style>
  <w:style w:type="character" w:customStyle="1" w:styleId="DeltaViewMoveDestination">
    <w:name w:val="DeltaView Move Destination"/>
    <w:rsid w:val="00F97D54"/>
    <w:rPr>
      <w:color w:val="00C000"/>
      <w:spacing w:val="0"/>
      <w:u w:val="double"/>
    </w:rPr>
  </w:style>
  <w:style w:type="numbering" w:customStyle="1" w:styleId="NoList1">
    <w:name w:val="No List1"/>
    <w:next w:val="NoList"/>
    <w:semiHidden/>
    <w:rsid w:val="00F97D54"/>
  </w:style>
  <w:style w:type="character" w:customStyle="1" w:styleId="PlainTextChar">
    <w:name w:val="Plain Text Char"/>
    <w:link w:val="PlainText"/>
    <w:locked/>
    <w:rsid w:val="00F97D54"/>
  </w:style>
  <w:style w:type="paragraph" w:customStyle="1" w:styleId="msolistparagraph0">
    <w:name w:val="msolistparagraph"/>
    <w:basedOn w:val="Normal"/>
    <w:rsid w:val="00F97D54"/>
    <w:pPr>
      <w:ind w:left="720"/>
    </w:pPr>
    <w:rPr>
      <w:snapToGrid/>
      <w:kern w:val="0"/>
      <w:sz w:val="24"/>
      <w:szCs w:val="24"/>
    </w:rPr>
  </w:style>
  <w:style w:type="numbering" w:customStyle="1" w:styleId="NoList2">
    <w:name w:val="No List2"/>
    <w:next w:val="NoList"/>
    <w:semiHidden/>
    <w:unhideWhenUsed/>
    <w:rsid w:val="00F97D54"/>
  </w:style>
  <w:style w:type="paragraph" w:customStyle="1" w:styleId="Char1CharCharCharCharCharCharCharChar0">
    <w:name w:val="Char1 Char Char Char Char Char Char Char Char"/>
    <w:basedOn w:val="Normal"/>
    <w:rsid w:val="00F97D54"/>
    <w:pPr>
      <w:spacing w:after="160" w:line="240" w:lineRule="exact"/>
      <w:jc w:val="both"/>
    </w:pPr>
    <w:rPr>
      <w:rFonts w:ascii="Verdana" w:eastAsia="Calibri" w:hAnsi="Verdana"/>
      <w:snapToGrid/>
      <w:spacing w:val="-5"/>
      <w:kern w:val="0"/>
      <w:sz w:val="20"/>
      <w:szCs w:val="22"/>
    </w:rPr>
  </w:style>
  <w:style w:type="paragraph" w:styleId="PlainText">
    <w:name w:val="Plain Text"/>
    <w:basedOn w:val="Normal"/>
    <w:link w:val="PlainTextChar"/>
    <w:unhideWhenUsed/>
    <w:rsid w:val="00F97D54"/>
    <w:rPr>
      <w:snapToGrid/>
      <w:kern w:val="0"/>
      <w:sz w:val="20"/>
    </w:rPr>
  </w:style>
  <w:style w:type="character" w:customStyle="1" w:styleId="PlainTextChar1">
    <w:name w:val="Plain Text Char1"/>
    <w:rsid w:val="00F97D54"/>
    <w:rPr>
      <w:rFonts w:ascii="Courier New" w:hAnsi="Courier New" w:cs="Courier New"/>
      <w:snapToGrid w:val="0"/>
      <w:kern w:val="28"/>
    </w:rPr>
  </w:style>
  <w:style w:type="character" w:customStyle="1" w:styleId="HeaderChar1">
    <w:name w:val="Header Char1"/>
    <w:rsid w:val="00F97D54"/>
    <w:rPr>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qFormat="1"/>
    <w:lsdException w:name="toc 2" w:qFormat="1"/>
    <w:lsdException w:name="toc 3" w:qFormat="1"/>
    <w:lsdException w:name="toc 4" w:qFormat="1"/>
    <w:lsdException w:name="footnote text" w:qFormat="1"/>
    <w:lsdException w:name="caption" w:semiHidden="1" w:unhideWhenUsed="1" w:qFormat="1"/>
    <w:lsdException w:name="Title" w:qFormat="1"/>
    <w:lsdException w:name="Default Paragraph Font" w:uiPriority="1"/>
    <w:lsdException w:name="Subtitle" w:qFormat="1"/>
    <w:lsdException w:name="Strong"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FB20A9"/>
    <w:pPr>
      <w:widowControl w:val="0"/>
    </w:pPr>
    <w:rPr>
      <w:snapToGrid w:val="0"/>
      <w:kern w:val="28"/>
      <w:sz w:val="22"/>
    </w:rPr>
  </w:style>
  <w:style w:type="paragraph" w:styleId="Heading1">
    <w:name w:val="heading 1"/>
    <w:aliases w:val="Heading 1 Char2,Heading 1 Char1 Char,Heading 1 Char Char Char,Heading 1 Char Char1,Heading 1 Char Char1 Char,Heading 1 Char2 Char Char1 Char,Heading 1 Char1 Char Char Char2 Char,Heading 1 Char Char Char Char Char Char,Heading 1 Char Char2"/>
    <w:basedOn w:val="Normal"/>
    <w:next w:val="ParaNum"/>
    <w:link w:val="Heading1Char"/>
    <w:qFormat/>
    <w:rsid w:val="00FB20A9"/>
    <w:pPr>
      <w:keepNext/>
      <w:numPr>
        <w:numId w:val="1"/>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FB20A9"/>
    <w:pPr>
      <w:keepNext/>
      <w:numPr>
        <w:ilvl w:val="1"/>
        <w:numId w:val="1"/>
      </w:numPr>
      <w:spacing w:after="120"/>
      <w:outlineLvl w:val="1"/>
    </w:pPr>
    <w:rPr>
      <w:b/>
    </w:rPr>
  </w:style>
  <w:style w:type="paragraph" w:styleId="Heading3">
    <w:name w:val="heading 3"/>
    <w:aliases w:val="Heading 3 Char1 Char,Heading 3 Char Char Char,Heading 3 Char1,Heading 3 Char Char,Heading 3 Char1 Char Char,Heading 3 Char Char Char Char,Heading 3 Char2 Char1 Char Char,Heading 3 Char Char Char Char Char,Heading 3 Char Char1 C"/>
    <w:basedOn w:val="Normal"/>
    <w:next w:val="ParaNum"/>
    <w:link w:val="Heading3Char"/>
    <w:qFormat/>
    <w:rsid w:val="00FB20A9"/>
    <w:pPr>
      <w:keepNext/>
      <w:numPr>
        <w:ilvl w:val="2"/>
        <w:numId w:val="1"/>
      </w:numPr>
      <w:tabs>
        <w:tab w:val="left" w:pos="2160"/>
      </w:tabs>
      <w:spacing w:after="120"/>
      <w:outlineLvl w:val="2"/>
    </w:pPr>
    <w:rPr>
      <w:b/>
    </w:rPr>
  </w:style>
  <w:style w:type="paragraph" w:styleId="Heading4">
    <w:name w:val="heading 4"/>
    <w:aliases w:val="Heading 4 Char2,Heading 4 Char1 Char,Heading 4 Char Char Char,Heading 4 Char Char1,Heading 4 Char1,Heading 4 Char Char,Heading 4 Char1 Char1,Heading 4 Char2 Char Char,Heading 4 Char1 Char1 Char Char,Heading 4 Char Char1 Char Ch"/>
    <w:basedOn w:val="Normal"/>
    <w:next w:val="ParaNum"/>
    <w:link w:val="Heading4Char"/>
    <w:qFormat/>
    <w:rsid w:val="00FB20A9"/>
    <w:pPr>
      <w:keepNext/>
      <w:numPr>
        <w:ilvl w:val="3"/>
        <w:numId w:val="1"/>
      </w:numPr>
      <w:tabs>
        <w:tab w:val="left" w:pos="2880"/>
      </w:tabs>
      <w:spacing w:after="120"/>
      <w:outlineLvl w:val="3"/>
    </w:pPr>
    <w:rPr>
      <w:b/>
    </w:rPr>
  </w:style>
  <w:style w:type="paragraph" w:styleId="Heading5">
    <w:name w:val="heading 5"/>
    <w:basedOn w:val="Normal"/>
    <w:next w:val="ParaNum"/>
    <w:link w:val="Heading5Char"/>
    <w:qFormat/>
    <w:rsid w:val="00FB20A9"/>
    <w:pPr>
      <w:keepNext/>
      <w:numPr>
        <w:ilvl w:val="4"/>
        <w:numId w:val="1"/>
      </w:numPr>
      <w:tabs>
        <w:tab w:val="left" w:pos="3600"/>
      </w:tabs>
      <w:suppressAutoHyphens/>
      <w:spacing w:after="120"/>
      <w:outlineLvl w:val="4"/>
    </w:pPr>
    <w:rPr>
      <w:b/>
    </w:rPr>
  </w:style>
  <w:style w:type="paragraph" w:styleId="Heading6">
    <w:name w:val="heading 6"/>
    <w:aliases w:val="h6"/>
    <w:basedOn w:val="Normal"/>
    <w:next w:val="ParaNum"/>
    <w:link w:val="Heading6Char"/>
    <w:qFormat/>
    <w:rsid w:val="00FB20A9"/>
    <w:pPr>
      <w:numPr>
        <w:ilvl w:val="5"/>
        <w:numId w:val="1"/>
      </w:numPr>
      <w:tabs>
        <w:tab w:val="left" w:pos="4320"/>
      </w:tabs>
      <w:spacing w:after="120"/>
      <w:outlineLvl w:val="5"/>
    </w:pPr>
    <w:rPr>
      <w:b/>
    </w:rPr>
  </w:style>
  <w:style w:type="paragraph" w:styleId="Heading7">
    <w:name w:val="heading 7"/>
    <w:basedOn w:val="Normal"/>
    <w:next w:val="ParaNum"/>
    <w:link w:val="Heading7Char"/>
    <w:qFormat/>
    <w:rsid w:val="00FB20A9"/>
    <w:pPr>
      <w:numPr>
        <w:ilvl w:val="6"/>
        <w:numId w:val="1"/>
      </w:numPr>
      <w:tabs>
        <w:tab w:val="left" w:pos="5040"/>
      </w:tabs>
      <w:spacing w:after="120"/>
      <w:ind w:left="5040" w:hanging="720"/>
      <w:outlineLvl w:val="6"/>
    </w:pPr>
    <w:rPr>
      <w:b/>
    </w:rPr>
  </w:style>
  <w:style w:type="paragraph" w:styleId="Heading8">
    <w:name w:val="heading 8"/>
    <w:basedOn w:val="Normal"/>
    <w:next w:val="ParaNum"/>
    <w:link w:val="Heading8Char"/>
    <w:qFormat/>
    <w:rsid w:val="00FB20A9"/>
    <w:pPr>
      <w:numPr>
        <w:ilvl w:val="7"/>
        <w:numId w:val="1"/>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FB20A9"/>
    <w:pPr>
      <w:numPr>
        <w:ilvl w:val="8"/>
        <w:numId w:val="1"/>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FB20A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B20A9"/>
  </w:style>
  <w:style w:type="paragraph" w:customStyle="1" w:styleId="ParaNum">
    <w:name w:val="ParaNum"/>
    <w:basedOn w:val="Normal"/>
    <w:link w:val="ParaNumCharChar1"/>
    <w:rsid w:val="00FB20A9"/>
    <w:pPr>
      <w:numPr>
        <w:numId w:val="6"/>
      </w:numPr>
      <w:tabs>
        <w:tab w:val="clear" w:pos="1080"/>
        <w:tab w:val="num" w:pos="1440"/>
      </w:tabs>
      <w:spacing w:after="120"/>
    </w:pPr>
  </w:style>
  <w:style w:type="paragraph" w:styleId="EndnoteText">
    <w:name w:val="endnote text"/>
    <w:basedOn w:val="Normal"/>
    <w:link w:val="EndnoteTextChar"/>
    <w:semiHidden/>
    <w:rsid w:val="00FB20A9"/>
    <w:rPr>
      <w:sz w:val="20"/>
    </w:rPr>
  </w:style>
  <w:style w:type="character" w:styleId="EndnoteReference">
    <w:name w:val="endnote reference"/>
    <w:semiHidden/>
    <w:rsid w:val="00FB20A9"/>
    <w:rPr>
      <w:vertAlign w:val="superscript"/>
    </w:rPr>
  </w:style>
  <w:style w:type="paragraph" w:styleId="FootnoteText">
    <w:name w:val="footnote text"/>
    <w:aliases w:val="Footnote Text Char1,Footnote Text Char Char,ALTS FOOTNOTE Char Char,fn Char Char,Footnote Text Char1 Char Char,Footnote Text Char Char Char Char,ALTS FOOTNOTE Char Char Char Char,fn Char Char Char Char,fn Char1,Footnote Text Char,fn Char,f"/>
    <w:link w:val="FootnoteTextChar2"/>
    <w:rsid w:val="00FB20A9"/>
    <w:pPr>
      <w:spacing w:after="120"/>
    </w:pPr>
  </w:style>
  <w:style w:type="character" w:styleId="FootnoteReference">
    <w:name w:val="footnote reference"/>
    <w:aliases w:val="Style 12,(NECG) Footnote Reference,Style 13,Appel note de bas de p,Style 124,fr,o,Style 3,FR,Style 17,Footnote Reference/,Style 6"/>
    <w:rsid w:val="00FB20A9"/>
    <w:rPr>
      <w:rFonts w:ascii="Times New Roman" w:hAnsi="Times New Roman"/>
      <w:dstrike w:val="0"/>
      <w:color w:val="auto"/>
      <w:sz w:val="20"/>
      <w:vertAlign w:val="superscript"/>
    </w:rPr>
  </w:style>
  <w:style w:type="paragraph" w:styleId="TOC1">
    <w:name w:val="toc 1"/>
    <w:basedOn w:val="Normal"/>
    <w:next w:val="Normal"/>
    <w:rsid w:val="00FB20A9"/>
    <w:pPr>
      <w:tabs>
        <w:tab w:val="left" w:pos="360"/>
        <w:tab w:val="right" w:leader="dot" w:pos="9360"/>
      </w:tabs>
      <w:suppressAutoHyphens/>
      <w:ind w:left="360" w:right="720" w:hanging="360"/>
    </w:pPr>
    <w:rPr>
      <w:caps/>
      <w:noProof/>
    </w:rPr>
  </w:style>
  <w:style w:type="paragraph" w:styleId="TOC2">
    <w:name w:val="toc 2"/>
    <w:basedOn w:val="Normal"/>
    <w:next w:val="Normal"/>
    <w:rsid w:val="00FB20A9"/>
    <w:pPr>
      <w:tabs>
        <w:tab w:val="left" w:pos="720"/>
        <w:tab w:val="right" w:leader="dot" w:pos="9360"/>
      </w:tabs>
      <w:suppressAutoHyphens/>
      <w:ind w:left="720" w:right="720" w:hanging="360"/>
    </w:pPr>
    <w:rPr>
      <w:noProof/>
    </w:rPr>
  </w:style>
  <w:style w:type="paragraph" w:styleId="TOC3">
    <w:name w:val="toc 3"/>
    <w:basedOn w:val="Normal"/>
    <w:next w:val="Normal"/>
    <w:rsid w:val="00FB20A9"/>
    <w:pPr>
      <w:tabs>
        <w:tab w:val="left" w:pos="1080"/>
        <w:tab w:val="right" w:leader="dot" w:pos="9360"/>
      </w:tabs>
      <w:suppressAutoHyphens/>
      <w:ind w:left="1080" w:right="720" w:hanging="360"/>
    </w:pPr>
    <w:rPr>
      <w:noProof/>
    </w:rPr>
  </w:style>
  <w:style w:type="paragraph" w:styleId="TOC4">
    <w:name w:val="toc 4"/>
    <w:basedOn w:val="Normal"/>
    <w:next w:val="Normal"/>
    <w:autoRedefine/>
    <w:rsid w:val="00FB20A9"/>
    <w:pPr>
      <w:tabs>
        <w:tab w:val="left" w:pos="1440"/>
        <w:tab w:val="right" w:leader="dot" w:pos="9360"/>
      </w:tabs>
      <w:suppressAutoHyphens/>
      <w:ind w:left="1440" w:right="720" w:hanging="360"/>
    </w:pPr>
    <w:rPr>
      <w:noProof/>
    </w:rPr>
  </w:style>
  <w:style w:type="paragraph" w:styleId="TOC5">
    <w:name w:val="toc 5"/>
    <w:basedOn w:val="Normal"/>
    <w:next w:val="Normal"/>
    <w:autoRedefine/>
    <w:rsid w:val="00FB20A9"/>
    <w:pPr>
      <w:tabs>
        <w:tab w:val="left" w:pos="1800"/>
        <w:tab w:val="right" w:leader="dot" w:pos="9360"/>
      </w:tabs>
      <w:suppressAutoHyphens/>
      <w:ind w:left="1800" w:right="720" w:hanging="360"/>
    </w:pPr>
    <w:rPr>
      <w:noProof/>
    </w:rPr>
  </w:style>
  <w:style w:type="paragraph" w:styleId="TOC6">
    <w:name w:val="toc 6"/>
    <w:basedOn w:val="Normal"/>
    <w:next w:val="Normal"/>
    <w:autoRedefine/>
    <w:rsid w:val="00FB20A9"/>
    <w:pPr>
      <w:tabs>
        <w:tab w:val="left" w:pos="2160"/>
        <w:tab w:val="right" w:leader="dot" w:pos="9360"/>
      </w:tabs>
      <w:suppressAutoHyphens/>
      <w:ind w:left="2160" w:hanging="360"/>
    </w:pPr>
    <w:rPr>
      <w:noProof/>
    </w:rPr>
  </w:style>
  <w:style w:type="paragraph" w:styleId="TOC7">
    <w:name w:val="toc 7"/>
    <w:basedOn w:val="Normal"/>
    <w:next w:val="Normal"/>
    <w:autoRedefine/>
    <w:rsid w:val="00FB20A9"/>
    <w:pPr>
      <w:tabs>
        <w:tab w:val="left" w:pos="2520"/>
        <w:tab w:val="right" w:leader="dot" w:pos="9360"/>
      </w:tabs>
      <w:suppressAutoHyphens/>
      <w:ind w:left="2520" w:hanging="360"/>
    </w:pPr>
    <w:rPr>
      <w:noProof/>
    </w:rPr>
  </w:style>
  <w:style w:type="paragraph" w:styleId="TOC8">
    <w:name w:val="toc 8"/>
    <w:basedOn w:val="Normal"/>
    <w:next w:val="Normal"/>
    <w:autoRedefine/>
    <w:rsid w:val="00FB20A9"/>
    <w:pPr>
      <w:tabs>
        <w:tab w:val="left" w:pos="2880"/>
        <w:tab w:val="right" w:leader="dot" w:pos="9360"/>
      </w:tabs>
      <w:suppressAutoHyphens/>
      <w:ind w:left="2880" w:hanging="360"/>
    </w:pPr>
    <w:rPr>
      <w:noProof/>
    </w:rPr>
  </w:style>
  <w:style w:type="paragraph" w:styleId="TOC9">
    <w:name w:val="toc 9"/>
    <w:basedOn w:val="Normal"/>
    <w:next w:val="Normal"/>
    <w:autoRedefine/>
    <w:rsid w:val="00FB20A9"/>
    <w:pPr>
      <w:tabs>
        <w:tab w:val="left" w:pos="3240"/>
        <w:tab w:val="right" w:leader="dot" w:pos="9360"/>
      </w:tabs>
      <w:suppressAutoHyphens/>
      <w:ind w:left="3240" w:hanging="360"/>
    </w:pPr>
    <w:rPr>
      <w:noProof/>
    </w:rPr>
  </w:style>
  <w:style w:type="paragraph" w:styleId="TOAHeading">
    <w:name w:val="toa heading"/>
    <w:basedOn w:val="Normal"/>
    <w:next w:val="Normal"/>
    <w:semiHidden/>
    <w:rsid w:val="00FB20A9"/>
    <w:pPr>
      <w:tabs>
        <w:tab w:val="right" w:pos="9360"/>
      </w:tabs>
      <w:suppressAutoHyphens/>
    </w:pPr>
  </w:style>
  <w:style w:type="character" w:customStyle="1" w:styleId="EquationCaption">
    <w:name w:val="_Equation Caption"/>
    <w:rsid w:val="00FB20A9"/>
  </w:style>
  <w:style w:type="paragraph" w:styleId="Header">
    <w:name w:val="header"/>
    <w:basedOn w:val="Normal"/>
    <w:link w:val="HeaderChar"/>
    <w:autoRedefine/>
    <w:rsid w:val="00FB20A9"/>
    <w:pPr>
      <w:tabs>
        <w:tab w:val="center" w:pos="4680"/>
        <w:tab w:val="right" w:pos="9360"/>
      </w:tabs>
    </w:pPr>
    <w:rPr>
      <w:b/>
    </w:rPr>
  </w:style>
  <w:style w:type="paragraph" w:styleId="Footer">
    <w:name w:val="footer"/>
    <w:basedOn w:val="Normal"/>
    <w:link w:val="FooterChar"/>
    <w:rsid w:val="00FB20A9"/>
    <w:pPr>
      <w:tabs>
        <w:tab w:val="center" w:pos="4320"/>
        <w:tab w:val="right" w:pos="8640"/>
      </w:tabs>
    </w:pPr>
  </w:style>
  <w:style w:type="character" w:styleId="PageNumber">
    <w:name w:val="page number"/>
    <w:basedOn w:val="DefaultParagraphFont"/>
    <w:rsid w:val="00FB20A9"/>
  </w:style>
  <w:style w:type="paragraph" w:styleId="BlockText">
    <w:name w:val="Block Text"/>
    <w:basedOn w:val="Normal"/>
    <w:rsid w:val="00FB20A9"/>
    <w:pPr>
      <w:spacing w:after="240"/>
      <w:ind w:left="1440" w:right="1440"/>
    </w:pPr>
  </w:style>
  <w:style w:type="paragraph" w:styleId="BodyText">
    <w:name w:val="Body Text"/>
    <w:basedOn w:val="Normal"/>
    <w:rPr>
      <w:kern w:val="0"/>
      <w:sz w:val="24"/>
    </w:rPr>
  </w:style>
  <w:style w:type="paragraph" w:customStyle="1" w:styleId="Bullet">
    <w:name w:val="Bullet"/>
    <w:basedOn w:val="Normal"/>
    <w:rsid w:val="00FB20A9"/>
    <w:pPr>
      <w:tabs>
        <w:tab w:val="left" w:pos="2160"/>
      </w:tabs>
      <w:spacing w:after="220"/>
      <w:ind w:left="2160" w:hanging="720"/>
    </w:pPr>
  </w:style>
  <w:style w:type="paragraph" w:customStyle="1" w:styleId="TableFormat">
    <w:name w:val="TableFormat"/>
    <w:basedOn w:val="Bullet"/>
    <w:rsid w:val="00FB20A9"/>
    <w:pPr>
      <w:tabs>
        <w:tab w:val="clear" w:pos="2160"/>
        <w:tab w:val="left" w:pos="5040"/>
      </w:tabs>
      <w:ind w:left="5040" w:hanging="3600"/>
    </w:pPr>
  </w:style>
  <w:style w:type="paragraph" w:styleId="DocumentMap">
    <w:name w:val="Document Map"/>
    <w:basedOn w:val="Normal"/>
    <w:link w:val="DocumentMapChar"/>
    <w:semiHidden/>
    <w:pPr>
      <w:shd w:val="clear" w:color="auto" w:fill="000080"/>
    </w:pPr>
    <w:rPr>
      <w:rFonts w:ascii="Tahoma" w:hAnsi="Tahoma"/>
    </w:rPr>
  </w:style>
  <w:style w:type="paragraph" w:styleId="Title">
    <w:name w:val="Title"/>
    <w:basedOn w:val="Normal"/>
    <w:qFormat/>
    <w:pPr>
      <w:jc w:val="center"/>
    </w:pPr>
    <w:rPr>
      <w:b/>
    </w:rPr>
  </w:style>
  <w:style w:type="paragraph" w:styleId="Subtitle">
    <w:name w:val="Subtitle"/>
    <w:basedOn w:val="Normal"/>
    <w:qFormat/>
    <w:pPr>
      <w:jc w:val="center"/>
    </w:pPr>
    <w:rPr>
      <w:b/>
      <w:sz w:val="24"/>
    </w:rPr>
  </w:style>
  <w:style w:type="paragraph" w:styleId="BodyText2">
    <w:name w:val="Body Text 2"/>
    <w:basedOn w:val="Normal"/>
    <w:pPr>
      <w:jc w:val="center"/>
    </w:pPr>
    <w:rPr>
      <w:b/>
    </w:rPr>
  </w:style>
  <w:style w:type="paragraph" w:customStyle="1" w:styleId="Style0">
    <w:name w:val="Style0"/>
    <w:rPr>
      <w:rFonts w:ascii="Arial" w:hAnsi="Arial"/>
      <w:snapToGrid w:val="0"/>
      <w:sz w:val="24"/>
    </w:rPr>
  </w:style>
  <w:style w:type="character" w:styleId="CommentReference">
    <w:name w:val="annotation reference"/>
    <w:rsid w:val="006B1478"/>
    <w:rPr>
      <w:sz w:val="16"/>
      <w:szCs w:val="16"/>
    </w:rPr>
  </w:style>
  <w:style w:type="paragraph" w:styleId="CommentText">
    <w:name w:val="annotation text"/>
    <w:basedOn w:val="Normal"/>
    <w:link w:val="CommentTextChar"/>
    <w:rsid w:val="006B1478"/>
    <w:rPr>
      <w:sz w:val="20"/>
    </w:rPr>
  </w:style>
  <w:style w:type="paragraph" w:styleId="CommentSubject">
    <w:name w:val="annotation subject"/>
    <w:basedOn w:val="CommentText"/>
    <w:next w:val="CommentText"/>
    <w:link w:val="CommentSubjectChar"/>
    <w:semiHidden/>
    <w:rsid w:val="006B1478"/>
    <w:rPr>
      <w:b/>
      <w:bCs/>
    </w:rPr>
  </w:style>
  <w:style w:type="paragraph" w:styleId="BalloonText">
    <w:name w:val="Balloon Text"/>
    <w:basedOn w:val="Normal"/>
    <w:link w:val="BalloonTextChar"/>
    <w:semiHidden/>
    <w:rsid w:val="006B1478"/>
    <w:rPr>
      <w:rFonts w:ascii="Tahoma" w:hAnsi="Tahoma" w:cs="Tahoma"/>
      <w:sz w:val="16"/>
      <w:szCs w:val="16"/>
    </w:rPr>
  </w:style>
  <w:style w:type="character" w:customStyle="1" w:styleId="FootnoteTextChar2">
    <w:name w:val="Footnote Text Char2"/>
    <w:aliases w:val="Footnote Text Char1 Char,Footnote Text Char Char Char,ALTS FOOTNOTE Char Char Char,fn Char Char Char,Footnote Text Char1 Char Char Char,Footnote Text Char Char Char Char Char,ALTS FOOTNOTE Char Char Char Char Char,fn Char1 Char"/>
    <w:link w:val="FootnoteText"/>
    <w:locked/>
    <w:rsid w:val="00F54F97"/>
  </w:style>
  <w:style w:type="character" w:customStyle="1" w:styleId="FootnoteTextChar2CharChar">
    <w:name w:val="Footnote Text Char2 Char Char"/>
    <w:aliases w:val="Footnote Text Char3 Char1 Char Char,Footnote Text Char2 Char1 Char1 Char Char,Footnote Text Char3 Char1 Char Char Char Char,Footnote Text Char2 Char1 Char1 Char Char Char Char,fn Char2,ALTS FOOTNOTE Char,Footnote text Char"/>
    <w:uiPriority w:val="99"/>
    <w:locked/>
    <w:rsid w:val="00BE4E74"/>
    <w:rPr>
      <w:lang w:val="en-US" w:eastAsia="en-US" w:bidi="ar-SA"/>
    </w:rPr>
  </w:style>
  <w:style w:type="paragraph" w:customStyle="1" w:styleId="ColorfulShading-Accent11">
    <w:name w:val="Colorful Shading - Accent 11"/>
    <w:hidden/>
    <w:uiPriority w:val="71"/>
    <w:rsid w:val="003C4C4A"/>
    <w:rPr>
      <w:snapToGrid w:val="0"/>
      <w:kern w:val="28"/>
      <w:sz w:val="24"/>
    </w:rPr>
  </w:style>
  <w:style w:type="paragraph" w:customStyle="1" w:styleId="StyleParaNum11pt">
    <w:name w:val="Style ParaNum + 11 pt"/>
    <w:basedOn w:val="Normal"/>
    <w:link w:val="StyleParaNum11ptChar"/>
    <w:rsid w:val="00F97044"/>
  </w:style>
  <w:style w:type="character" w:customStyle="1" w:styleId="ParaNumChar">
    <w:name w:val="ParaNum Char"/>
    <w:rsid w:val="0083676C"/>
    <w:rPr>
      <w:snapToGrid w:val="0"/>
      <w:kern w:val="28"/>
      <w:sz w:val="22"/>
    </w:rPr>
  </w:style>
  <w:style w:type="character" w:customStyle="1" w:styleId="StyleParaNum11ptChar">
    <w:name w:val="Style ParaNum + 11 pt Char"/>
    <w:basedOn w:val="ParaNumChar"/>
    <w:link w:val="StyleParaNum11pt"/>
    <w:rsid w:val="00F97044"/>
    <w:rPr>
      <w:snapToGrid w:val="0"/>
      <w:kern w:val="28"/>
      <w:sz w:val="22"/>
    </w:rPr>
  </w:style>
  <w:style w:type="paragraph" w:customStyle="1" w:styleId="StyleParaNumItalic">
    <w:name w:val="Style ParaNum + Italic"/>
    <w:basedOn w:val="Normal"/>
    <w:link w:val="StyleParaNumItalicChar"/>
    <w:rsid w:val="009E40AB"/>
    <w:rPr>
      <w:i/>
      <w:iCs/>
    </w:rPr>
  </w:style>
  <w:style w:type="character" w:customStyle="1" w:styleId="StyleParaNumItalicChar">
    <w:name w:val="Style ParaNum + Italic Char"/>
    <w:link w:val="StyleParaNumItalic"/>
    <w:rsid w:val="009E40AB"/>
    <w:rPr>
      <w:i/>
      <w:iCs/>
      <w:snapToGrid w:val="0"/>
      <w:kern w:val="28"/>
      <w:sz w:val="22"/>
      <w:lang w:val="en-US" w:eastAsia="en-US" w:bidi="ar-SA"/>
    </w:rPr>
  </w:style>
  <w:style w:type="paragraph" w:customStyle="1" w:styleId="StyleParaNum12pt">
    <w:name w:val="Style ParaNum + 12 pt"/>
    <w:basedOn w:val="Normal"/>
    <w:link w:val="StyleParaNum12ptChar"/>
    <w:rsid w:val="009E40AB"/>
  </w:style>
  <w:style w:type="character" w:customStyle="1" w:styleId="StyleParaNum12ptChar">
    <w:name w:val="Style ParaNum + 12 pt Char"/>
    <w:basedOn w:val="ParaNumChar"/>
    <w:link w:val="StyleParaNum12pt"/>
    <w:rsid w:val="009E40AB"/>
    <w:rPr>
      <w:snapToGrid w:val="0"/>
      <w:kern w:val="28"/>
      <w:sz w:val="22"/>
    </w:rPr>
  </w:style>
  <w:style w:type="character" w:customStyle="1" w:styleId="FootnoteTextChar1Char1Char1">
    <w:name w:val="Footnote Text Char1 Char1 Char1"/>
    <w:aliases w:val="Footnote Text Char Char1 Char Char1,Footnote Text Char1 Char1 Char Char Char1,Footnote Text Char Char1 Char Char Char Char1,Footnote Text Char2 Char Char1 Char Char Char Char1,ALTS FOOTNOTE Char1,fn Ch Char1"/>
    <w:semiHidden/>
    <w:locked/>
    <w:rsid w:val="00E3167E"/>
    <w:rPr>
      <w:lang w:val="en-US" w:eastAsia="en-US" w:bidi="ar-SA"/>
    </w:rPr>
  </w:style>
  <w:style w:type="paragraph" w:customStyle="1" w:styleId="StyleParaNumAfter6pt">
    <w:name w:val="Style ParaNum + After:  6 pt"/>
    <w:basedOn w:val="Normal"/>
    <w:rsid w:val="00BB3F77"/>
    <w:pPr>
      <w:tabs>
        <w:tab w:val="left" w:pos="720"/>
        <w:tab w:val="left" w:pos="1166"/>
      </w:tabs>
    </w:pPr>
  </w:style>
  <w:style w:type="paragraph" w:customStyle="1" w:styleId="StyleStyleParaNumAfter6pt">
    <w:name w:val="Style Style ParaNum + After:  6 pt +"/>
    <w:basedOn w:val="StyleParaNumAfter6pt"/>
    <w:rsid w:val="00BB3F77"/>
    <w:rPr>
      <w:kern w:val="0"/>
    </w:rPr>
  </w:style>
  <w:style w:type="paragraph" w:customStyle="1" w:styleId="StyleStyleParaNumAfter6ptItalic">
    <w:name w:val="Style Style ParaNum + After:  6 pt + Italic"/>
    <w:basedOn w:val="StyleParaNumAfter6pt"/>
    <w:rsid w:val="00BB3F77"/>
    <w:rPr>
      <w:iCs/>
    </w:rPr>
  </w:style>
  <w:style w:type="character" w:styleId="Hyperlink">
    <w:name w:val="Hyperlink"/>
    <w:rsid w:val="00FB20A9"/>
    <w:rPr>
      <w:color w:val="0000FF"/>
      <w:u w:val="single"/>
    </w:rPr>
  </w:style>
  <w:style w:type="character" w:customStyle="1" w:styleId="CommentTextChar">
    <w:name w:val="Comment Text Char"/>
    <w:link w:val="CommentText"/>
    <w:locked/>
    <w:rsid w:val="000E250C"/>
    <w:rPr>
      <w:snapToGrid w:val="0"/>
      <w:kern w:val="28"/>
    </w:rPr>
  </w:style>
  <w:style w:type="character" w:customStyle="1" w:styleId="cosearchterm">
    <w:name w:val="co_searchterm"/>
    <w:rsid w:val="000B52A0"/>
  </w:style>
  <w:style w:type="character" w:styleId="Emphasis">
    <w:name w:val="Emphasis"/>
    <w:uiPriority w:val="20"/>
    <w:qFormat/>
    <w:rsid w:val="000B52A0"/>
    <w:rPr>
      <w:i/>
      <w:iCs/>
    </w:rPr>
  </w:style>
  <w:style w:type="paragraph" w:styleId="Revision">
    <w:name w:val="Revision"/>
    <w:hidden/>
    <w:uiPriority w:val="99"/>
    <w:semiHidden/>
    <w:rsid w:val="001173BD"/>
    <w:rPr>
      <w:snapToGrid w:val="0"/>
      <w:kern w:val="28"/>
      <w:sz w:val="22"/>
    </w:rPr>
  </w:style>
  <w:style w:type="character" w:customStyle="1" w:styleId="Heading8Char">
    <w:name w:val="Heading 8 Char"/>
    <w:link w:val="Heading8"/>
    <w:rsid w:val="002C2218"/>
    <w:rPr>
      <w:b/>
      <w:snapToGrid w:val="0"/>
      <w:kern w:val="28"/>
      <w:sz w:val="22"/>
    </w:rPr>
  </w:style>
  <w:style w:type="paragraph" w:styleId="TOCHeading">
    <w:name w:val="TOC Heading"/>
    <w:basedOn w:val="Heading1"/>
    <w:next w:val="Normal"/>
    <w:uiPriority w:val="39"/>
    <w:qFormat/>
    <w:rsid w:val="00DB76DF"/>
    <w:pPr>
      <w:keepLines/>
      <w:numPr>
        <w:numId w:val="0"/>
      </w:numPr>
      <w:tabs>
        <w:tab w:val="left" w:pos="720"/>
      </w:tabs>
      <w:suppressAutoHyphens w:val="0"/>
      <w:spacing w:before="480" w:after="0" w:line="276" w:lineRule="auto"/>
      <w:outlineLvl w:val="9"/>
    </w:pPr>
    <w:rPr>
      <w:rFonts w:ascii="Cambria" w:eastAsia="MS Gothic" w:hAnsi="Cambria"/>
      <w:bCs/>
      <w:caps w:val="0"/>
      <w:snapToGrid/>
      <w:color w:val="365F91"/>
      <w:kern w:val="0"/>
      <w:sz w:val="28"/>
      <w:szCs w:val="28"/>
      <w:lang w:eastAsia="ja-JP"/>
    </w:rPr>
  </w:style>
  <w:style w:type="paragraph" w:customStyle="1" w:styleId="Paratitle">
    <w:name w:val="Para title"/>
    <w:basedOn w:val="Normal"/>
    <w:rsid w:val="00FB20A9"/>
    <w:pPr>
      <w:tabs>
        <w:tab w:val="center" w:pos="9270"/>
      </w:tabs>
      <w:spacing w:after="240"/>
    </w:pPr>
    <w:rPr>
      <w:spacing w:val="-2"/>
    </w:rPr>
  </w:style>
  <w:style w:type="paragraph" w:customStyle="1" w:styleId="TOCTitle">
    <w:name w:val="TOC Title"/>
    <w:basedOn w:val="Normal"/>
    <w:rsid w:val="00FB20A9"/>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FB20A9"/>
    <w:pPr>
      <w:jc w:val="center"/>
    </w:pPr>
    <w:rPr>
      <w:rFonts w:ascii="Times New Roman Bold" w:hAnsi="Times New Roman Bold"/>
      <w:b/>
      <w:bCs/>
      <w:caps/>
      <w:szCs w:val="22"/>
    </w:rPr>
  </w:style>
  <w:style w:type="character" w:customStyle="1" w:styleId="HeaderChar">
    <w:name w:val="Header Char"/>
    <w:link w:val="Header"/>
    <w:rsid w:val="001650DD"/>
    <w:rPr>
      <w:b/>
      <w:snapToGrid w:val="0"/>
      <w:kern w:val="28"/>
      <w:sz w:val="22"/>
    </w:rPr>
  </w:style>
  <w:style w:type="character" w:customStyle="1" w:styleId="StyleFootnoteReferenceStyle12NECGFootnoteReferenceStyle1">
    <w:name w:val="Style Footnote ReferenceStyle 12(NECG) Footnote ReferenceStyle 1..."/>
    <w:rsid w:val="00CA4A8E"/>
    <w:rPr>
      <w:rFonts w:ascii="Times New Roman" w:hAnsi="Times New Roman"/>
      <w:b w:val="0"/>
      <w:bCs/>
      <w:dstrike w:val="0"/>
      <w:color w:val="auto"/>
      <w:kern w:val="0"/>
      <w:sz w:val="22"/>
      <w:vertAlign w:val="superscript"/>
    </w:rPr>
  </w:style>
  <w:style w:type="character" w:customStyle="1" w:styleId="StyleFootnoteReferenceStyle12NECGFootnoteReferenceStyle11">
    <w:name w:val="Style Footnote ReferenceStyle 12(NECG) Footnote ReferenceStyle 1...1"/>
    <w:rsid w:val="00CA4A8E"/>
    <w:rPr>
      <w:rFonts w:ascii="Times New Roman" w:hAnsi="Times New Roman"/>
      <w:b w:val="0"/>
      <w:bCs/>
      <w:dstrike w:val="0"/>
      <w:color w:val="auto"/>
      <w:sz w:val="22"/>
      <w:vertAlign w:val="superscript"/>
    </w:rPr>
  </w:style>
  <w:style w:type="paragraph" w:customStyle="1" w:styleId="StyleParaNumItalic1">
    <w:name w:val="Style ParaNum + Italic1"/>
    <w:basedOn w:val="Normal"/>
    <w:rsid w:val="00F97044"/>
    <w:rPr>
      <w:i/>
      <w:iCs/>
    </w:rPr>
  </w:style>
  <w:style w:type="paragraph" w:customStyle="1" w:styleId="StyleParaNumItalic2">
    <w:name w:val="Style ParaNum + Italic2"/>
    <w:basedOn w:val="Normal"/>
    <w:autoRedefine/>
    <w:rsid w:val="00F97044"/>
    <w:rPr>
      <w:iCs/>
    </w:rPr>
  </w:style>
  <w:style w:type="table" w:styleId="TableGrid">
    <w:name w:val="Table Grid"/>
    <w:basedOn w:val="TableNormal"/>
    <w:rsid w:val="00F97D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nCharCharCharCharChar">
    <w:name w:val="fn Char Char Char Char Char"/>
    <w:aliases w:val="Footnote Text Char1 Char1 Char,Footnote Text Char Char1 Char Char,Footnote Text Char1 Char1 Char Char Char,Footnote Text Char Char1 Char Char Char Char,Footnote Text Char2 Char Char1 Char Char Char Char"/>
    <w:locked/>
    <w:rsid w:val="00F97D54"/>
    <w:rPr>
      <w:rFonts w:cs="Times New Roman"/>
    </w:rPr>
  </w:style>
  <w:style w:type="paragraph" w:customStyle="1" w:styleId="specnumber">
    <w:name w:val="spec number"/>
    <w:basedOn w:val="Normal"/>
    <w:rsid w:val="00F97D54"/>
    <w:pPr>
      <w:numPr>
        <w:numId w:val="8"/>
      </w:numPr>
    </w:pPr>
    <w:rPr>
      <w:rFonts w:eastAsia="MS Minngs"/>
      <w:snapToGrid/>
      <w:kern w:val="0"/>
      <w:sz w:val="20"/>
    </w:rPr>
  </w:style>
  <w:style w:type="paragraph" w:styleId="ListParagraph">
    <w:name w:val="List Paragraph"/>
    <w:basedOn w:val="Normal"/>
    <w:qFormat/>
    <w:rsid w:val="00F97D54"/>
    <w:pPr>
      <w:ind w:left="720"/>
      <w:contextualSpacing/>
    </w:pPr>
    <w:rPr>
      <w:rFonts w:eastAsia="MS Minngs"/>
      <w:snapToGrid/>
      <w:kern w:val="0"/>
      <w:sz w:val="20"/>
    </w:rPr>
  </w:style>
  <w:style w:type="character" w:customStyle="1" w:styleId="WilliamLayton">
    <w:name w:val="William Layton"/>
    <w:semiHidden/>
    <w:rsid w:val="00F97D54"/>
    <w:rPr>
      <w:rFonts w:ascii="Arial" w:hAnsi="Arial" w:cs="Arial"/>
      <w:color w:val="000080"/>
      <w:sz w:val="20"/>
      <w:szCs w:val="20"/>
    </w:rPr>
  </w:style>
  <w:style w:type="character" w:customStyle="1" w:styleId="CharChar">
    <w:name w:val="Char Char"/>
    <w:semiHidden/>
    <w:locked/>
    <w:rsid w:val="00F97D54"/>
    <w:rPr>
      <w:lang w:val="en-US" w:eastAsia="en-US" w:bidi="ar-SA"/>
    </w:rPr>
  </w:style>
  <w:style w:type="paragraph" w:customStyle="1" w:styleId="Default">
    <w:name w:val="Default"/>
    <w:rsid w:val="00F97D54"/>
    <w:pPr>
      <w:autoSpaceDE w:val="0"/>
      <w:autoSpaceDN w:val="0"/>
      <w:adjustRightInd w:val="0"/>
    </w:pPr>
    <w:rPr>
      <w:rFonts w:ascii="Arial" w:hAnsi="Arial" w:cs="Arial"/>
      <w:color w:val="000000"/>
      <w:sz w:val="24"/>
      <w:szCs w:val="24"/>
    </w:rPr>
  </w:style>
  <w:style w:type="paragraph" w:customStyle="1" w:styleId="ColorfulList-Accent11">
    <w:name w:val="Colorful List - Accent 11"/>
    <w:basedOn w:val="Normal"/>
    <w:uiPriority w:val="34"/>
    <w:qFormat/>
    <w:rsid w:val="00F97D54"/>
    <w:pPr>
      <w:ind w:left="720"/>
    </w:pPr>
    <w:rPr>
      <w:snapToGrid/>
      <w:kern w:val="0"/>
      <w:sz w:val="24"/>
      <w:szCs w:val="24"/>
    </w:rPr>
  </w:style>
  <w:style w:type="character" w:customStyle="1" w:styleId="Heading1Char">
    <w:name w:val="Heading 1 Char"/>
    <w:aliases w:val="Heading 1 Char2 Char,Heading 1 Char1 Char Char,Heading 1 Char Char Char Char,Heading 1 Char Char1 Char1,Heading 1 Char Char1 Char Char,Heading 1 Char2 Char Char1 Char Char,Heading 1 Char1 Char Char Char2 Char Char"/>
    <w:link w:val="Heading1"/>
    <w:rsid w:val="00F97D54"/>
    <w:rPr>
      <w:rFonts w:ascii="Times New Roman Bold" w:hAnsi="Times New Roman Bold"/>
      <w:b/>
      <w:caps/>
      <w:snapToGrid w:val="0"/>
      <w:kern w:val="28"/>
      <w:sz w:val="22"/>
    </w:rPr>
  </w:style>
  <w:style w:type="character" w:customStyle="1" w:styleId="Heading2Char">
    <w:name w:val="Heading 2 Char"/>
    <w:link w:val="Heading2"/>
    <w:rsid w:val="00F97D54"/>
    <w:rPr>
      <w:b/>
      <w:snapToGrid w:val="0"/>
      <w:kern w:val="28"/>
      <w:sz w:val="22"/>
    </w:rPr>
  </w:style>
  <w:style w:type="character" w:customStyle="1" w:styleId="Heading3Char">
    <w:name w:val="Heading 3 Char"/>
    <w:aliases w:val="Heading 3 Char1 Char Char2,Heading 3 Char Char Char Char2,Heading 3 Char1 Char2,Heading 3 Char Char Char2,Heading 3 Char1 Char Char Char1,Heading 3 Char Char Char Char Char2,Heading 3 Char2 Char1 Char Char Char1"/>
    <w:link w:val="Heading3"/>
    <w:rsid w:val="00F97D54"/>
    <w:rPr>
      <w:b/>
      <w:snapToGrid w:val="0"/>
      <w:kern w:val="28"/>
      <w:sz w:val="22"/>
    </w:rPr>
  </w:style>
  <w:style w:type="character" w:customStyle="1" w:styleId="Heading4Char">
    <w:name w:val="Heading 4 Char"/>
    <w:aliases w:val="Heading 4 Char2 Char1,Heading 4 Char1 Char Char1,Heading 4 Char Char Char Char1,Heading 4 Char Char1 Char1,Heading 4 Char1 Char3,Heading 4 Char Char Char2,Heading 4 Char1 Char1 Char1,Heading 4 Char2 Char Char Char1"/>
    <w:link w:val="Heading4"/>
    <w:rsid w:val="00F97D54"/>
    <w:rPr>
      <w:b/>
      <w:snapToGrid w:val="0"/>
      <w:kern w:val="28"/>
      <w:sz w:val="22"/>
    </w:rPr>
  </w:style>
  <w:style w:type="character" w:customStyle="1" w:styleId="Heading5Char">
    <w:name w:val="Heading 5 Char"/>
    <w:link w:val="Heading5"/>
    <w:rsid w:val="00F97D54"/>
    <w:rPr>
      <w:b/>
      <w:snapToGrid w:val="0"/>
      <w:kern w:val="28"/>
      <w:sz w:val="22"/>
    </w:rPr>
  </w:style>
  <w:style w:type="character" w:customStyle="1" w:styleId="Heading6Char">
    <w:name w:val="Heading 6 Char"/>
    <w:aliases w:val="h6 Char"/>
    <w:link w:val="Heading6"/>
    <w:rsid w:val="00F97D54"/>
    <w:rPr>
      <w:b/>
      <w:snapToGrid w:val="0"/>
      <w:kern w:val="28"/>
      <w:sz w:val="22"/>
    </w:rPr>
  </w:style>
  <w:style w:type="character" w:customStyle="1" w:styleId="Heading7Char">
    <w:name w:val="Heading 7 Char"/>
    <w:link w:val="Heading7"/>
    <w:rsid w:val="00F97D54"/>
    <w:rPr>
      <w:b/>
      <w:snapToGrid w:val="0"/>
      <w:kern w:val="28"/>
      <w:sz w:val="22"/>
    </w:rPr>
  </w:style>
  <w:style w:type="character" w:customStyle="1" w:styleId="Heading9Char">
    <w:name w:val="Heading 9 Char"/>
    <w:link w:val="Heading9"/>
    <w:rsid w:val="00F97D54"/>
    <w:rPr>
      <w:b/>
      <w:snapToGrid w:val="0"/>
      <w:kern w:val="28"/>
      <w:sz w:val="22"/>
    </w:rPr>
  </w:style>
  <w:style w:type="character" w:customStyle="1" w:styleId="Heading3Char2">
    <w:name w:val="Heading 3 Char2"/>
    <w:aliases w:val="Heading 3 Char Char1,Heading 3 Char1 Char Char1,Heading 3 Char Char Char Char1,Heading 3 Char1 Char1,Heading 3 Char Char Char1,Heading 3 Char1 Char Char Char,Heading 3 Char Char Char Char Char1,Heading 3 Char2 Char1 Char Char Char"/>
    <w:locked/>
    <w:rsid w:val="00F97D54"/>
    <w:rPr>
      <w:b/>
      <w:bCs/>
      <w:kern w:val="28"/>
      <w:sz w:val="22"/>
      <w:szCs w:val="22"/>
    </w:rPr>
  </w:style>
  <w:style w:type="character" w:customStyle="1" w:styleId="Heading4Char3">
    <w:name w:val="Heading 4 Char3"/>
    <w:aliases w:val="Heading 4 Char2 Char,Heading 4 Char1 Char Char,Heading 4 Char Char Char Char,Heading 4 Char Char1 Char,Heading 4 Char1 Char2,Heading 4 Char Char Char1,Heading 4 Char Char2,Heading 4 Char1 Char1 Char,Heading 4 Char2 Char Char Char"/>
    <w:locked/>
    <w:rsid w:val="00F97D54"/>
    <w:rPr>
      <w:rFonts w:ascii="Calibri" w:hAnsi="Calibri"/>
      <w:b/>
      <w:kern w:val="28"/>
      <w:sz w:val="28"/>
    </w:rPr>
  </w:style>
  <w:style w:type="character" w:customStyle="1" w:styleId="Heading5Char1">
    <w:name w:val="Heading 5 Char1"/>
    <w:aliases w:val="Heading 5 Char Char"/>
    <w:locked/>
    <w:rsid w:val="00F97D54"/>
    <w:rPr>
      <w:rFonts w:ascii="Calibri" w:hAnsi="Calibri"/>
      <w:b/>
      <w:i/>
      <w:kern w:val="28"/>
      <w:sz w:val="26"/>
    </w:rPr>
  </w:style>
  <w:style w:type="character" w:customStyle="1" w:styleId="Heading7Char1">
    <w:name w:val="Heading 7 Char1"/>
    <w:aliases w:val="Heading 7 Char Char"/>
    <w:locked/>
    <w:rsid w:val="00F97D54"/>
    <w:rPr>
      <w:rFonts w:ascii="Calibri" w:hAnsi="Calibri"/>
      <w:kern w:val="28"/>
      <w:sz w:val="24"/>
    </w:rPr>
  </w:style>
  <w:style w:type="character" w:customStyle="1" w:styleId="Heading9Char1">
    <w:name w:val="Heading 9 Char1"/>
    <w:aliases w:val="Heading 9 Char Char"/>
    <w:locked/>
    <w:rsid w:val="00F97D54"/>
    <w:rPr>
      <w:rFonts w:ascii="Cambria" w:hAnsi="Cambria"/>
      <w:kern w:val="28"/>
    </w:rPr>
  </w:style>
  <w:style w:type="character" w:customStyle="1" w:styleId="BalloonTextChar">
    <w:name w:val="Balloon Text Char"/>
    <w:link w:val="BalloonText"/>
    <w:semiHidden/>
    <w:locked/>
    <w:rsid w:val="00F97D54"/>
    <w:rPr>
      <w:rFonts w:ascii="Tahoma" w:hAnsi="Tahoma" w:cs="Tahoma"/>
      <w:snapToGrid w:val="0"/>
      <w:kern w:val="28"/>
      <w:sz w:val="16"/>
      <w:szCs w:val="16"/>
    </w:rPr>
  </w:style>
  <w:style w:type="character" w:customStyle="1" w:styleId="EndnoteTextChar">
    <w:name w:val="Endnote Text Char"/>
    <w:link w:val="EndnoteText"/>
    <w:semiHidden/>
    <w:locked/>
    <w:rsid w:val="00F97D54"/>
    <w:rPr>
      <w:snapToGrid w:val="0"/>
      <w:kern w:val="28"/>
    </w:rPr>
  </w:style>
  <w:style w:type="character" w:customStyle="1" w:styleId="FooterChar">
    <w:name w:val="Footer Char"/>
    <w:link w:val="Footer"/>
    <w:locked/>
    <w:rsid w:val="00F97D54"/>
    <w:rPr>
      <w:snapToGrid w:val="0"/>
      <w:kern w:val="28"/>
      <w:sz w:val="22"/>
    </w:rPr>
  </w:style>
  <w:style w:type="character" w:customStyle="1" w:styleId="ParaNumCharChar1">
    <w:name w:val="ParaNum Char Char1"/>
    <w:link w:val="ParaNum"/>
    <w:locked/>
    <w:rsid w:val="00877B9F"/>
    <w:rPr>
      <w:snapToGrid w:val="0"/>
      <w:kern w:val="28"/>
      <w:sz w:val="22"/>
    </w:rPr>
  </w:style>
  <w:style w:type="character" w:customStyle="1" w:styleId="26aCharChar1">
    <w:name w:val="26a Char Char1"/>
    <w:rsid w:val="00F97D54"/>
    <w:rPr>
      <w:snapToGrid w:val="0"/>
      <w:sz w:val="24"/>
      <w:lang w:val="en-US" w:eastAsia="en-US"/>
    </w:rPr>
  </w:style>
  <w:style w:type="paragraph" w:customStyle="1" w:styleId="Para">
    <w:name w:val="Para#"/>
    <w:basedOn w:val="Normal"/>
    <w:rsid w:val="00F97D54"/>
    <w:pPr>
      <w:tabs>
        <w:tab w:val="num" w:pos="1440"/>
      </w:tabs>
      <w:ind w:firstLine="720"/>
    </w:pPr>
    <w:rPr>
      <w:snapToGrid/>
    </w:rPr>
  </w:style>
  <w:style w:type="character" w:customStyle="1" w:styleId="apple-converted-space">
    <w:name w:val="apple-converted-space"/>
    <w:rsid w:val="00F97D54"/>
  </w:style>
  <w:style w:type="character" w:customStyle="1" w:styleId="FootnoteTextCharCharCharChar3CharCharChar1">
    <w:name w:val="Footnote Text Char Char Char Char3 Char Char Char1"/>
    <w:aliases w:val="Footnote Text Char3 Char1,Footnote Text Char Char3 Char,Footnote Text Char1 Char Char3 Char,Footnote Text Char Char Char Char3 Char,Footnote Text Char1 Char Char3 Char Char Char"/>
    <w:rsid w:val="00F97D54"/>
    <w:rPr>
      <w:lang w:val="en-US" w:eastAsia="en-US"/>
    </w:rPr>
  </w:style>
  <w:style w:type="paragraph" w:customStyle="1" w:styleId="FootnoteTex">
    <w:name w:val="Footnote Tex"/>
    <w:basedOn w:val="Normal"/>
    <w:rsid w:val="00F97D54"/>
    <w:rPr>
      <w:rFonts w:eastAsia="SimSun"/>
      <w:snapToGrid/>
      <w:kern w:val="0"/>
      <w:sz w:val="24"/>
      <w:szCs w:val="24"/>
    </w:rPr>
  </w:style>
  <w:style w:type="character" w:customStyle="1" w:styleId="Footnote">
    <w:name w:val="Footnote"/>
    <w:rsid w:val="00F97D54"/>
  </w:style>
  <w:style w:type="paragraph" w:styleId="NormalWeb">
    <w:name w:val="Normal (Web)"/>
    <w:basedOn w:val="Normal"/>
    <w:rsid w:val="00F97D54"/>
    <w:rPr>
      <w:snapToGrid/>
      <w:sz w:val="24"/>
      <w:szCs w:val="24"/>
    </w:rPr>
  </w:style>
  <w:style w:type="character" w:customStyle="1" w:styleId="StyleFootnoteReferenceStyle13Style12NECGFootnoteReferenc">
    <w:name w:val="Style Footnote ReferenceStyle 13Style 12(NECG) Footnote Referenc..."/>
    <w:rsid w:val="00F97D54"/>
    <w:rPr>
      <w:rFonts w:ascii="Times New Roman" w:hAnsi="Times New Roman"/>
      <w:color w:val="auto"/>
      <w:sz w:val="20"/>
      <w:vertAlign w:val="superscript"/>
    </w:rPr>
  </w:style>
  <w:style w:type="character" w:customStyle="1" w:styleId="StyleNumberedparagraphs11ptChar">
    <w:name w:val="Style Numbered paragraphs + 11 pt Char"/>
    <w:rsid w:val="00F97D54"/>
    <w:rPr>
      <w:sz w:val="22"/>
      <w:lang w:val="en-US" w:eastAsia="en-US"/>
    </w:rPr>
  </w:style>
  <w:style w:type="character" w:customStyle="1" w:styleId="DocumentMapChar">
    <w:name w:val="Document Map Char"/>
    <w:link w:val="DocumentMap"/>
    <w:semiHidden/>
    <w:locked/>
    <w:rsid w:val="00F97D54"/>
    <w:rPr>
      <w:rFonts w:ascii="Tahoma" w:hAnsi="Tahoma"/>
      <w:snapToGrid w:val="0"/>
      <w:kern w:val="28"/>
      <w:sz w:val="22"/>
      <w:shd w:val="clear" w:color="auto" w:fill="000080"/>
    </w:rPr>
  </w:style>
  <w:style w:type="character" w:customStyle="1" w:styleId="CommentSubjectChar">
    <w:name w:val="Comment Subject Char"/>
    <w:link w:val="CommentSubject"/>
    <w:semiHidden/>
    <w:locked/>
    <w:rsid w:val="00F97D54"/>
    <w:rPr>
      <w:b/>
      <w:bCs/>
      <w:snapToGrid w:val="0"/>
      <w:kern w:val="28"/>
    </w:rPr>
  </w:style>
  <w:style w:type="character" w:customStyle="1" w:styleId="DeltaViewInsertion">
    <w:name w:val="DeltaView Insertion"/>
    <w:uiPriority w:val="99"/>
    <w:rsid w:val="00F97D54"/>
    <w:rPr>
      <w:color w:val="0000FF"/>
      <w:spacing w:val="0"/>
      <w:u w:val="double"/>
    </w:rPr>
  </w:style>
  <w:style w:type="paragraph" w:customStyle="1" w:styleId="Char1CharCharCharCharCharCharCharChar">
    <w:name w:val="Char1 Char Char Char Char Char Char Char Char"/>
    <w:basedOn w:val="Normal"/>
    <w:rsid w:val="00F97D54"/>
    <w:pPr>
      <w:spacing w:after="160" w:line="240" w:lineRule="exact"/>
      <w:jc w:val="both"/>
    </w:pPr>
    <w:rPr>
      <w:rFonts w:ascii="Verdana" w:hAnsi="Verdana"/>
      <w:snapToGrid/>
      <w:spacing w:val="-5"/>
      <w:kern w:val="0"/>
      <w:sz w:val="20"/>
      <w:szCs w:val="22"/>
    </w:rPr>
  </w:style>
  <w:style w:type="character" w:customStyle="1" w:styleId="DeltaViewDeletion">
    <w:name w:val="DeltaView Deletion"/>
    <w:rsid w:val="00F97D54"/>
    <w:rPr>
      <w:strike/>
      <w:color w:val="FF0000"/>
      <w:spacing w:val="0"/>
    </w:rPr>
  </w:style>
  <w:style w:type="character" w:customStyle="1" w:styleId="DeltaViewMoveDestination">
    <w:name w:val="DeltaView Move Destination"/>
    <w:rsid w:val="00F97D54"/>
    <w:rPr>
      <w:color w:val="00C000"/>
      <w:spacing w:val="0"/>
      <w:u w:val="double"/>
    </w:rPr>
  </w:style>
  <w:style w:type="numbering" w:customStyle="1" w:styleId="NoList1">
    <w:name w:val="No List1"/>
    <w:next w:val="NoList"/>
    <w:semiHidden/>
    <w:rsid w:val="00F97D54"/>
  </w:style>
  <w:style w:type="character" w:customStyle="1" w:styleId="PlainTextChar">
    <w:name w:val="Plain Text Char"/>
    <w:link w:val="PlainText"/>
    <w:locked/>
    <w:rsid w:val="00F97D54"/>
  </w:style>
  <w:style w:type="paragraph" w:customStyle="1" w:styleId="msolistparagraph0">
    <w:name w:val="msolistparagraph"/>
    <w:basedOn w:val="Normal"/>
    <w:rsid w:val="00F97D54"/>
    <w:pPr>
      <w:ind w:left="720"/>
    </w:pPr>
    <w:rPr>
      <w:snapToGrid/>
      <w:kern w:val="0"/>
      <w:sz w:val="24"/>
      <w:szCs w:val="24"/>
    </w:rPr>
  </w:style>
  <w:style w:type="numbering" w:customStyle="1" w:styleId="NoList2">
    <w:name w:val="No List2"/>
    <w:next w:val="NoList"/>
    <w:semiHidden/>
    <w:unhideWhenUsed/>
    <w:rsid w:val="00F97D54"/>
  </w:style>
  <w:style w:type="paragraph" w:customStyle="1" w:styleId="Char1CharCharCharCharCharCharCharChar0">
    <w:name w:val="Char1 Char Char Char Char Char Char Char Char"/>
    <w:basedOn w:val="Normal"/>
    <w:rsid w:val="00F97D54"/>
    <w:pPr>
      <w:spacing w:after="160" w:line="240" w:lineRule="exact"/>
      <w:jc w:val="both"/>
    </w:pPr>
    <w:rPr>
      <w:rFonts w:ascii="Verdana" w:eastAsia="Calibri" w:hAnsi="Verdana"/>
      <w:snapToGrid/>
      <w:spacing w:val="-5"/>
      <w:kern w:val="0"/>
      <w:sz w:val="20"/>
      <w:szCs w:val="22"/>
    </w:rPr>
  </w:style>
  <w:style w:type="paragraph" w:styleId="PlainText">
    <w:name w:val="Plain Text"/>
    <w:basedOn w:val="Normal"/>
    <w:link w:val="PlainTextChar"/>
    <w:unhideWhenUsed/>
    <w:rsid w:val="00F97D54"/>
    <w:rPr>
      <w:snapToGrid/>
      <w:kern w:val="0"/>
      <w:sz w:val="20"/>
    </w:rPr>
  </w:style>
  <w:style w:type="character" w:customStyle="1" w:styleId="PlainTextChar1">
    <w:name w:val="Plain Text Char1"/>
    <w:rsid w:val="00F97D54"/>
    <w:rPr>
      <w:rFonts w:ascii="Courier New" w:hAnsi="Courier New" w:cs="Courier New"/>
      <w:snapToGrid w:val="0"/>
      <w:kern w:val="28"/>
    </w:rPr>
  </w:style>
  <w:style w:type="character" w:customStyle="1" w:styleId="HeaderChar1">
    <w:name w:val="Header Char1"/>
    <w:rsid w:val="00F97D54"/>
    <w:rPr>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158411">
      <w:bodyDiv w:val="1"/>
      <w:marLeft w:val="0"/>
      <w:marRight w:val="0"/>
      <w:marTop w:val="0"/>
      <w:marBottom w:val="0"/>
      <w:divBdr>
        <w:top w:val="none" w:sz="0" w:space="0" w:color="auto"/>
        <w:left w:val="none" w:sz="0" w:space="0" w:color="auto"/>
        <w:bottom w:val="none" w:sz="0" w:space="0" w:color="auto"/>
        <w:right w:val="none" w:sz="0" w:space="0" w:color="auto"/>
      </w:divBdr>
      <w:divsChild>
        <w:div w:id="2146851746">
          <w:marLeft w:val="0"/>
          <w:marRight w:val="0"/>
          <w:marTop w:val="0"/>
          <w:marBottom w:val="0"/>
          <w:divBdr>
            <w:top w:val="none" w:sz="0" w:space="0" w:color="auto"/>
            <w:left w:val="none" w:sz="0" w:space="0" w:color="auto"/>
            <w:bottom w:val="none" w:sz="0" w:space="0" w:color="auto"/>
            <w:right w:val="none" w:sz="0" w:space="0" w:color="auto"/>
          </w:divBdr>
          <w:divsChild>
            <w:div w:id="1842045782">
              <w:marLeft w:val="0"/>
              <w:marRight w:val="0"/>
              <w:marTop w:val="0"/>
              <w:marBottom w:val="0"/>
              <w:divBdr>
                <w:top w:val="none" w:sz="0" w:space="0" w:color="auto"/>
                <w:left w:val="none" w:sz="0" w:space="0" w:color="auto"/>
                <w:bottom w:val="none" w:sz="0" w:space="0" w:color="auto"/>
                <w:right w:val="none" w:sz="0" w:space="0" w:color="auto"/>
              </w:divBdr>
              <w:divsChild>
                <w:div w:id="24557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28166">
      <w:bodyDiv w:val="1"/>
      <w:marLeft w:val="0"/>
      <w:marRight w:val="0"/>
      <w:marTop w:val="0"/>
      <w:marBottom w:val="0"/>
      <w:divBdr>
        <w:top w:val="none" w:sz="0" w:space="0" w:color="auto"/>
        <w:left w:val="none" w:sz="0" w:space="0" w:color="auto"/>
        <w:bottom w:val="none" w:sz="0" w:space="0" w:color="auto"/>
        <w:right w:val="none" w:sz="0" w:space="0" w:color="auto"/>
      </w:divBdr>
    </w:div>
    <w:div w:id="363479451">
      <w:bodyDiv w:val="1"/>
      <w:marLeft w:val="0"/>
      <w:marRight w:val="0"/>
      <w:marTop w:val="0"/>
      <w:marBottom w:val="0"/>
      <w:divBdr>
        <w:top w:val="none" w:sz="0" w:space="0" w:color="auto"/>
        <w:left w:val="none" w:sz="0" w:space="0" w:color="auto"/>
        <w:bottom w:val="none" w:sz="0" w:space="0" w:color="auto"/>
        <w:right w:val="none" w:sz="0" w:space="0" w:color="auto"/>
      </w:divBdr>
    </w:div>
    <w:div w:id="460924249">
      <w:bodyDiv w:val="1"/>
      <w:marLeft w:val="0"/>
      <w:marRight w:val="0"/>
      <w:marTop w:val="0"/>
      <w:marBottom w:val="0"/>
      <w:divBdr>
        <w:top w:val="none" w:sz="0" w:space="0" w:color="auto"/>
        <w:left w:val="none" w:sz="0" w:space="0" w:color="auto"/>
        <w:bottom w:val="none" w:sz="0" w:space="0" w:color="auto"/>
        <w:right w:val="none" w:sz="0" w:space="0" w:color="auto"/>
      </w:divBdr>
    </w:div>
    <w:div w:id="1052115343">
      <w:bodyDiv w:val="1"/>
      <w:marLeft w:val="0"/>
      <w:marRight w:val="0"/>
      <w:marTop w:val="0"/>
      <w:marBottom w:val="0"/>
      <w:divBdr>
        <w:top w:val="none" w:sz="0" w:space="0" w:color="auto"/>
        <w:left w:val="none" w:sz="0" w:space="0" w:color="auto"/>
        <w:bottom w:val="none" w:sz="0" w:space="0" w:color="auto"/>
        <w:right w:val="none" w:sz="0" w:space="0" w:color="auto"/>
      </w:divBdr>
      <w:divsChild>
        <w:div w:id="376979362">
          <w:marLeft w:val="0"/>
          <w:marRight w:val="0"/>
          <w:marTop w:val="0"/>
          <w:marBottom w:val="0"/>
          <w:divBdr>
            <w:top w:val="none" w:sz="0" w:space="0" w:color="auto"/>
            <w:left w:val="single" w:sz="6" w:space="0" w:color="BBBBBB"/>
            <w:bottom w:val="single" w:sz="6" w:space="0" w:color="BBBBBB"/>
            <w:right w:val="single" w:sz="6" w:space="0" w:color="BBBBBB"/>
          </w:divBdr>
          <w:divsChild>
            <w:div w:id="416682526">
              <w:marLeft w:val="0"/>
              <w:marRight w:val="0"/>
              <w:marTop w:val="0"/>
              <w:marBottom w:val="0"/>
              <w:divBdr>
                <w:top w:val="none" w:sz="0" w:space="0" w:color="auto"/>
                <w:left w:val="none" w:sz="0" w:space="0" w:color="auto"/>
                <w:bottom w:val="none" w:sz="0" w:space="0" w:color="auto"/>
                <w:right w:val="none" w:sz="0" w:space="0" w:color="auto"/>
              </w:divBdr>
              <w:divsChild>
                <w:div w:id="1351755409">
                  <w:marLeft w:val="0"/>
                  <w:marRight w:val="0"/>
                  <w:marTop w:val="0"/>
                  <w:marBottom w:val="0"/>
                  <w:divBdr>
                    <w:top w:val="none" w:sz="0" w:space="0" w:color="auto"/>
                    <w:left w:val="none" w:sz="0" w:space="0" w:color="auto"/>
                    <w:bottom w:val="none" w:sz="0" w:space="0" w:color="auto"/>
                    <w:right w:val="none" w:sz="0" w:space="0" w:color="auto"/>
                  </w:divBdr>
                  <w:divsChild>
                    <w:div w:id="1786195193">
                      <w:marLeft w:val="0"/>
                      <w:marRight w:val="0"/>
                      <w:marTop w:val="0"/>
                      <w:marBottom w:val="0"/>
                      <w:divBdr>
                        <w:top w:val="none" w:sz="0" w:space="0" w:color="auto"/>
                        <w:left w:val="none" w:sz="0" w:space="0" w:color="auto"/>
                        <w:bottom w:val="none" w:sz="0" w:space="0" w:color="auto"/>
                        <w:right w:val="none" w:sz="0" w:space="0" w:color="auto"/>
                      </w:divBdr>
                      <w:divsChild>
                        <w:div w:id="1379935988">
                          <w:marLeft w:val="0"/>
                          <w:marRight w:val="0"/>
                          <w:marTop w:val="0"/>
                          <w:marBottom w:val="0"/>
                          <w:divBdr>
                            <w:top w:val="none" w:sz="0" w:space="0" w:color="auto"/>
                            <w:left w:val="none" w:sz="0" w:space="0" w:color="auto"/>
                            <w:bottom w:val="none" w:sz="0" w:space="0" w:color="auto"/>
                            <w:right w:val="none" w:sz="0" w:space="0" w:color="auto"/>
                          </w:divBdr>
                          <w:divsChild>
                            <w:div w:id="1789733426">
                              <w:marLeft w:val="0"/>
                              <w:marRight w:val="0"/>
                              <w:marTop w:val="0"/>
                              <w:marBottom w:val="0"/>
                              <w:divBdr>
                                <w:top w:val="none" w:sz="0" w:space="0" w:color="auto"/>
                                <w:left w:val="none" w:sz="0" w:space="0" w:color="auto"/>
                                <w:bottom w:val="none" w:sz="0" w:space="0" w:color="auto"/>
                                <w:right w:val="none" w:sz="0" w:space="0" w:color="auto"/>
                              </w:divBdr>
                              <w:divsChild>
                                <w:div w:id="1861242418">
                                  <w:marLeft w:val="0"/>
                                  <w:marRight w:val="0"/>
                                  <w:marTop w:val="0"/>
                                  <w:marBottom w:val="0"/>
                                  <w:divBdr>
                                    <w:top w:val="none" w:sz="0" w:space="0" w:color="auto"/>
                                    <w:left w:val="none" w:sz="0" w:space="0" w:color="auto"/>
                                    <w:bottom w:val="none" w:sz="0" w:space="0" w:color="auto"/>
                                    <w:right w:val="none" w:sz="0" w:space="0" w:color="auto"/>
                                  </w:divBdr>
                                  <w:divsChild>
                                    <w:div w:id="1500462781">
                                      <w:marLeft w:val="0"/>
                                      <w:marRight w:val="0"/>
                                      <w:marTop w:val="0"/>
                                      <w:marBottom w:val="0"/>
                                      <w:divBdr>
                                        <w:top w:val="none" w:sz="0" w:space="0" w:color="auto"/>
                                        <w:left w:val="none" w:sz="0" w:space="0" w:color="auto"/>
                                        <w:bottom w:val="none" w:sz="0" w:space="0" w:color="auto"/>
                                        <w:right w:val="none" w:sz="0" w:space="0" w:color="auto"/>
                                      </w:divBdr>
                                      <w:divsChild>
                                        <w:div w:id="1865438833">
                                          <w:marLeft w:val="1200"/>
                                          <w:marRight w:val="1200"/>
                                          <w:marTop w:val="0"/>
                                          <w:marBottom w:val="0"/>
                                          <w:divBdr>
                                            <w:top w:val="none" w:sz="0" w:space="0" w:color="auto"/>
                                            <w:left w:val="none" w:sz="0" w:space="0" w:color="auto"/>
                                            <w:bottom w:val="none" w:sz="0" w:space="0" w:color="auto"/>
                                            <w:right w:val="none" w:sz="0" w:space="0" w:color="auto"/>
                                          </w:divBdr>
                                          <w:divsChild>
                                            <w:div w:id="1503006550">
                                              <w:marLeft w:val="0"/>
                                              <w:marRight w:val="0"/>
                                              <w:marTop w:val="0"/>
                                              <w:marBottom w:val="0"/>
                                              <w:divBdr>
                                                <w:top w:val="none" w:sz="0" w:space="0" w:color="auto"/>
                                                <w:left w:val="none" w:sz="0" w:space="0" w:color="auto"/>
                                                <w:bottom w:val="none" w:sz="0" w:space="0" w:color="auto"/>
                                                <w:right w:val="none" w:sz="0" w:space="0" w:color="auto"/>
                                              </w:divBdr>
                                              <w:divsChild>
                                                <w:div w:id="324282149">
                                                  <w:marLeft w:val="0"/>
                                                  <w:marRight w:val="0"/>
                                                  <w:marTop w:val="240"/>
                                                  <w:marBottom w:val="0"/>
                                                  <w:divBdr>
                                                    <w:top w:val="none" w:sz="0" w:space="0" w:color="auto"/>
                                                    <w:left w:val="none" w:sz="0" w:space="0" w:color="auto"/>
                                                    <w:bottom w:val="none" w:sz="0" w:space="0" w:color="auto"/>
                                                    <w:right w:val="none" w:sz="0" w:space="0" w:color="auto"/>
                                                  </w:divBdr>
                                                  <w:divsChild>
                                                    <w:div w:id="1931307393">
                                                      <w:marLeft w:val="0"/>
                                                      <w:marRight w:val="0"/>
                                                      <w:marTop w:val="0"/>
                                                      <w:marBottom w:val="0"/>
                                                      <w:divBdr>
                                                        <w:top w:val="none" w:sz="0" w:space="0" w:color="auto"/>
                                                        <w:left w:val="none" w:sz="0" w:space="0" w:color="auto"/>
                                                        <w:bottom w:val="none" w:sz="0" w:space="0" w:color="auto"/>
                                                        <w:right w:val="none" w:sz="0" w:space="0" w:color="auto"/>
                                                      </w:divBdr>
                                                      <w:divsChild>
                                                        <w:div w:id="1348675389">
                                                          <w:marLeft w:val="1275"/>
                                                          <w:marRight w:val="0"/>
                                                          <w:marTop w:val="0"/>
                                                          <w:marBottom w:val="0"/>
                                                          <w:divBdr>
                                                            <w:top w:val="none" w:sz="0" w:space="0" w:color="auto"/>
                                                            <w:left w:val="none" w:sz="0" w:space="0" w:color="auto"/>
                                                            <w:bottom w:val="none" w:sz="0" w:space="0" w:color="auto"/>
                                                            <w:right w:val="none" w:sz="0" w:space="0" w:color="auto"/>
                                                          </w:divBdr>
                                                          <w:divsChild>
                                                            <w:div w:id="1024014242">
                                                              <w:marLeft w:val="0"/>
                                                              <w:marRight w:val="0"/>
                                                              <w:marTop w:val="0"/>
                                                              <w:marBottom w:val="0"/>
                                                              <w:divBdr>
                                                                <w:top w:val="none" w:sz="0" w:space="0" w:color="auto"/>
                                                                <w:left w:val="none" w:sz="0" w:space="0" w:color="auto"/>
                                                                <w:bottom w:val="none" w:sz="0" w:space="0" w:color="auto"/>
                                                                <w:right w:val="none" w:sz="0" w:space="0" w:color="auto"/>
                                                              </w:divBdr>
                                                              <w:divsChild>
                                                                <w:div w:id="203464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86000745">
      <w:bodyDiv w:val="1"/>
      <w:marLeft w:val="0"/>
      <w:marRight w:val="0"/>
      <w:marTop w:val="0"/>
      <w:marBottom w:val="0"/>
      <w:divBdr>
        <w:top w:val="none" w:sz="0" w:space="0" w:color="auto"/>
        <w:left w:val="none" w:sz="0" w:space="0" w:color="auto"/>
        <w:bottom w:val="none" w:sz="0" w:space="0" w:color="auto"/>
        <w:right w:val="none" w:sz="0" w:space="0" w:color="auto"/>
      </w:divBdr>
      <w:divsChild>
        <w:div w:id="104278704">
          <w:marLeft w:val="0"/>
          <w:marRight w:val="0"/>
          <w:marTop w:val="0"/>
          <w:marBottom w:val="0"/>
          <w:divBdr>
            <w:top w:val="none" w:sz="0" w:space="0" w:color="auto"/>
            <w:left w:val="none" w:sz="0" w:space="0" w:color="auto"/>
            <w:bottom w:val="none" w:sz="0" w:space="0" w:color="auto"/>
            <w:right w:val="none" w:sz="0" w:space="0" w:color="auto"/>
          </w:divBdr>
          <w:divsChild>
            <w:div w:id="484515362">
              <w:marLeft w:val="0"/>
              <w:marRight w:val="0"/>
              <w:marTop w:val="0"/>
              <w:marBottom w:val="0"/>
              <w:divBdr>
                <w:top w:val="none" w:sz="0" w:space="0" w:color="auto"/>
                <w:left w:val="none" w:sz="0" w:space="0" w:color="auto"/>
                <w:bottom w:val="none" w:sz="0" w:space="0" w:color="auto"/>
                <w:right w:val="none" w:sz="0" w:space="0" w:color="auto"/>
              </w:divBdr>
              <w:divsChild>
                <w:div w:id="113587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480064">
      <w:bodyDiv w:val="1"/>
      <w:marLeft w:val="0"/>
      <w:marRight w:val="0"/>
      <w:marTop w:val="0"/>
      <w:marBottom w:val="0"/>
      <w:divBdr>
        <w:top w:val="none" w:sz="0" w:space="0" w:color="auto"/>
        <w:left w:val="none" w:sz="0" w:space="0" w:color="auto"/>
        <w:bottom w:val="none" w:sz="0" w:space="0" w:color="auto"/>
        <w:right w:val="none" w:sz="0" w:space="0" w:color="auto"/>
      </w:divBdr>
    </w:div>
    <w:div w:id="1397438368">
      <w:bodyDiv w:val="1"/>
      <w:marLeft w:val="0"/>
      <w:marRight w:val="0"/>
      <w:marTop w:val="0"/>
      <w:marBottom w:val="0"/>
      <w:divBdr>
        <w:top w:val="none" w:sz="0" w:space="0" w:color="auto"/>
        <w:left w:val="none" w:sz="0" w:space="0" w:color="auto"/>
        <w:bottom w:val="none" w:sz="0" w:space="0" w:color="auto"/>
        <w:right w:val="none" w:sz="0" w:space="0" w:color="auto"/>
      </w:divBdr>
    </w:div>
    <w:div w:id="1454399332">
      <w:bodyDiv w:val="1"/>
      <w:marLeft w:val="0"/>
      <w:marRight w:val="0"/>
      <w:marTop w:val="0"/>
      <w:marBottom w:val="0"/>
      <w:divBdr>
        <w:top w:val="none" w:sz="0" w:space="0" w:color="auto"/>
        <w:left w:val="none" w:sz="0" w:space="0" w:color="auto"/>
        <w:bottom w:val="none" w:sz="0" w:space="0" w:color="auto"/>
        <w:right w:val="none" w:sz="0" w:space="0" w:color="auto"/>
      </w:divBdr>
    </w:div>
    <w:div w:id="1537935479">
      <w:bodyDiv w:val="1"/>
      <w:marLeft w:val="0"/>
      <w:marRight w:val="0"/>
      <w:marTop w:val="0"/>
      <w:marBottom w:val="0"/>
      <w:divBdr>
        <w:top w:val="none" w:sz="0" w:space="0" w:color="auto"/>
        <w:left w:val="none" w:sz="0" w:space="0" w:color="auto"/>
        <w:bottom w:val="none" w:sz="0" w:space="0" w:color="auto"/>
        <w:right w:val="none" w:sz="0" w:space="0" w:color="auto"/>
      </w:divBdr>
    </w:div>
    <w:div w:id="1638219529">
      <w:bodyDiv w:val="1"/>
      <w:marLeft w:val="0"/>
      <w:marRight w:val="0"/>
      <w:marTop w:val="0"/>
      <w:marBottom w:val="0"/>
      <w:divBdr>
        <w:top w:val="none" w:sz="0" w:space="0" w:color="auto"/>
        <w:left w:val="none" w:sz="0" w:space="0" w:color="auto"/>
        <w:bottom w:val="none" w:sz="0" w:space="0" w:color="auto"/>
        <w:right w:val="none" w:sz="0" w:space="0" w:color="auto"/>
      </w:divBdr>
    </w:div>
    <w:div w:id="1725833891">
      <w:bodyDiv w:val="1"/>
      <w:marLeft w:val="0"/>
      <w:marRight w:val="0"/>
      <w:marTop w:val="0"/>
      <w:marBottom w:val="0"/>
      <w:divBdr>
        <w:top w:val="none" w:sz="0" w:space="0" w:color="auto"/>
        <w:left w:val="none" w:sz="0" w:space="0" w:color="auto"/>
        <w:bottom w:val="none" w:sz="0" w:space="0" w:color="auto"/>
        <w:right w:val="none" w:sz="0" w:space="0" w:color="auto"/>
      </w:divBdr>
    </w:div>
    <w:div w:id="1821187161">
      <w:bodyDiv w:val="1"/>
      <w:marLeft w:val="0"/>
      <w:marRight w:val="0"/>
      <w:marTop w:val="0"/>
      <w:marBottom w:val="0"/>
      <w:divBdr>
        <w:top w:val="none" w:sz="0" w:space="0" w:color="auto"/>
        <w:left w:val="none" w:sz="0" w:space="0" w:color="auto"/>
        <w:bottom w:val="none" w:sz="0" w:space="0" w:color="auto"/>
        <w:right w:val="none" w:sz="0" w:space="0" w:color="auto"/>
      </w:divBdr>
    </w:div>
    <w:div w:id="1846168135">
      <w:bodyDiv w:val="1"/>
      <w:marLeft w:val="0"/>
      <w:marRight w:val="0"/>
      <w:marTop w:val="0"/>
      <w:marBottom w:val="0"/>
      <w:divBdr>
        <w:top w:val="none" w:sz="0" w:space="0" w:color="auto"/>
        <w:left w:val="none" w:sz="0" w:space="0" w:color="auto"/>
        <w:bottom w:val="none" w:sz="0" w:space="0" w:color="auto"/>
        <w:right w:val="none" w:sz="0" w:space="0" w:color="auto"/>
      </w:divBdr>
    </w:div>
    <w:div w:id="1891965106">
      <w:bodyDiv w:val="1"/>
      <w:marLeft w:val="0"/>
      <w:marRight w:val="0"/>
      <w:marTop w:val="0"/>
      <w:marBottom w:val="0"/>
      <w:divBdr>
        <w:top w:val="none" w:sz="0" w:space="0" w:color="auto"/>
        <w:left w:val="none" w:sz="0" w:space="0" w:color="auto"/>
        <w:bottom w:val="none" w:sz="0" w:space="0" w:color="auto"/>
        <w:right w:val="none" w:sz="0" w:space="0" w:color="auto"/>
      </w:divBdr>
    </w:div>
    <w:div w:id="1950580573">
      <w:bodyDiv w:val="1"/>
      <w:marLeft w:val="0"/>
      <w:marRight w:val="0"/>
      <w:marTop w:val="0"/>
      <w:marBottom w:val="0"/>
      <w:divBdr>
        <w:top w:val="none" w:sz="0" w:space="0" w:color="auto"/>
        <w:left w:val="none" w:sz="0" w:space="0" w:color="auto"/>
        <w:bottom w:val="none" w:sz="0" w:space="0" w:color="auto"/>
        <w:right w:val="none" w:sz="0" w:space="0" w:color="auto"/>
      </w:divBdr>
      <w:divsChild>
        <w:div w:id="1497380927">
          <w:marLeft w:val="0"/>
          <w:marRight w:val="0"/>
          <w:marTop w:val="0"/>
          <w:marBottom w:val="0"/>
          <w:divBdr>
            <w:top w:val="none" w:sz="0" w:space="0" w:color="auto"/>
            <w:left w:val="single" w:sz="6" w:space="0" w:color="BBBBBB"/>
            <w:bottom w:val="single" w:sz="6" w:space="0" w:color="BBBBBB"/>
            <w:right w:val="single" w:sz="6" w:space="0" w:color="BBBBBB"/>
          </w:divBdr>
          <w:divsChild>
            <w:div w:id="1788699300">
              <w:marLeft w:val="0"/>
              <w:marRight w:val="0"/>
              <w:marTop w:val="0"/>
              <w:marBottom w:val="0"/>
              <w:divBdr>
                <w:top w:val="none" w:sz="0" w:space="0" w:color="auto"/>
                <w:left w:val="none" w:sz="0" w:space="0" w:color="auto"/>
                <w:bottom w:val="none" w:sz="0" w:space="0" w:color="auto"/>
                <w:right w:val="none" w:sz="0" w:space="0" w:color="auto"/>
              </w:divBdr>
              <w:divsChild>
                <w:div w:id="1295021991">
                  <w:marLeft w:val="0"/>
                  <w:marRight w:val="0"/>
                  <w:marTop w:val="0"/>
                  <w:marBottom w:val="0"/>
                  <w:divBdr>
                    <w:top w:val="none" w:sz="0" w:space="0" w:color="auto"/>
                    <w:left w:val="none" w:sz="0" w:space="0" w:color="auto"/>
                    <w:bottom w:val="none" w:sz="0" w:space="0" w:color="auto"/>
                    <w:right w:val="none" w:sz="0" w:space="0" w:color="auto"/>
                  </w:divBdr>
                  <w:divsChild>
                    <w:div w:id="840195854">
                      <w:marLeft w:val="0"/>
                      <w:marRight w:val="0"/>
                      <w:marTop w:val="0"/>
                      <w:marBottom w:val="0"/>
                      <w:divBdr>
                        <w:top w:val="none" w:sz="0" w:space="0" w:color="auto"/>
                        <w:left w:val="none" w:sz="0" w:space="0" w:color="auto"/>
                        <w:bottom w:val="none" w:sz="0" w:space="0" w:color="auto"/>
                        <w:right w:val="none" w:sz="0" w:space="0" w:color="auto"/>
                      </w:divBdr>
                      <w:divsChild>
                        <w:div w:id="1969506897">
                          <w:marLeft w:val="0"/>
                          <w:marRight w:val="0"/>
                          <w:marTop w:val="0"/>
                          <w:marBottom w:val="0"/>
                          <w:divBdr>
                            <w:top w:val="none" w:sz="0" w:space="0" w:color="auto"/>
                            <w:left w:val="none" w:sz="0" w:space="0" w:color="auto"/>
                            <w:bottom w:val="none" w:sz="0" w:space="0" w:color="auto"/>
                            <w:right w:val="none" w:sz="0" w:space="0" w:color="auto"/>
                          </w:divBdr>
                          <w:divsChild>
                            <w:div w:id="1172645460">
                              <w:marLeft w:val="0"/>
                              <w:marRight w:val="0"/>
                              <w:marTop w:val="0"/>
                              <w:marBottom w:val="0"/>
                              <w:divBdr>
                                <w:top w:val="none" w:sz="0" w:space="0" w:color="auto"/>
                                <w:left w:val="none" w:sz="0" w:space="0" w:color="auto"/>
                                <w:bottom w:val="none" w:sz="0" w:space="0" w:color="auto"/>
                                <w:right w:val="none" w:sz="0" w:space="0" w:color="auto"/>
                              </w:divBdr>
                              <w:divsChild>
                                <w:div w:id="110907603">
                                  <w:marLeft w:val="0"/>
                                  <w:marRight w:val="0"/>
                                  <w:marTop w:val="0"/>
                                  <w:marBottom w:val="0"/>
                                  <w:divBdr>
                                    <w:top w:val="none" w:sz="0" w:space="0" w:color="auto"/>
                                    <w:left w:val="none" w:sz="0" w:space="0" w:color="auto"/>
                                    <w:bottom w:val="none" w:sz="0" w:space="0" w:color="auto"/>
                                    <w:right w:val="none" w:sz="0" w:space="0" w:color="auto"/>
                                  </w:divBdr>
                                  <w:divsChild>
                                    <w:div w:id="962152597">
                                      <w:marLeft w:val="0"/>
                                      <w:marRight w:val="0"/>
                                      <w:marTop w:val="0"/>
                                      <w:marBottom w:val="0"/>
                                      <w:divBdr>
                                        <w:top w:val="none" w:sz="0" w:space="0" w:color="auto"/>
                                        <w:left w:val="none" w:sz="0" w:space="0" w:color="auto"/>
                                        <w:bottom w:val="none" w:sz="0" w:space="0" w:color="auto"/>
                                        <w:right w:val="none" w:sz="0" w:space="0" w:color="auto"/>
                                      </w:divBdr>
                                      <w:divsChild>
                                        <w:div w:id="959802924">
                                          <w:marLeft w:val="1200"/>
                                          <w:marRight w:val="1200"/>
                                          <w:marTop w:val="0"/>
                                          <w:marBottom w:val="0"/>
                                          <w:divBdr>
                                            <w:top w:val="none" w:sz="0" w:space="0" w:color="auto"/>
                                            <w:left w:val="none" w:sz="0" w:space="0" w:color="auto"/>
                                            <w:bottom w:val="none" w:sz="0" w:space="0" w:color="auto"/>
                                            <w:right w:val="none" w:sz="0" w:space="0" w:color="auto"/>
                                          </w:divBdr>
                                          <w:divsChild>
                                            <w:div w:id="1720975708">
                                              <w:marLeft w:val="0"/>
                                              <w:marRight w:val="0"/>
                                              <w:marTop w:val="0"/>
                                              <w:marBottom w:val="0"/>
                                              <w:divBdr>
                                                <w:top w:val="none" w:sz="0" w:space="0" w:color="auto"/>
                                                <w:left w:val="none" w:sz="0" w:space="0" w:color="auto"/>
                                                <w:bottom w:val="none" w:sz="0" w:space="0" w:color="auto"/>
                                                <w:right w:val="none" w:sz="0" w:space="0" w:color="auto"/>
                                              </w:divBdr>
                                              <w:divsChild>
                                                <w:div w:id="495607837">
                                                  <w:marLeft w:val="0"/>
                                                  <w:marRight w:val="0"/>
                                                  <w:marTop w:val="240"/>
                                                  <w:marBottom w:val="0"/>
                                                  <w:divBdr>
                                                    <w:top w:val="none" w:sz="0" w:space="0" w:color="auto"/>
                                                    <w:left w:val="none" w:sz="0" w:space="0" w:color="auto"/>
                                                    <w:bottom w:val="none" w:sz="0" w:space="0" w:color="auto"/>
                                                    <w:right w:val="none" w:sz="0" w:space="0" w:color="auto"/>
                                                  </w:divBdr>
                                                  <w:divsChild>
                                                    <w:div w:id="1751734943">
                                                      <w:marLeft w:val="0"/>
                                                      <w:marRight w:val="0"/>
                                                      <w:marTop w:val="0"/>
                                                      <w:marBottom w:val="0"/>
                                                      <w:divBdr>
                                                        <w:top w:val="none" w:sz="0" w:space="0" w:color="auto"/>
                                                        <w:left w:val="none" w:sz="0" w:space="0" w:color="auto"/>
                                                        <w:bottom w:val="none" w:sz="0" w:space="0" w:color="auto"/>
                                                        <w:right w:val="none" w:sz="0" w:space="0" w:color="auto"/>
                                                      </w:divBdr>
                                                      <w:divsChild>
                                                        <w:div w:id="1869676940">
                                                          <w:marLeft w:val="1275"/>
                                                          <w:marRight w:val="0"/>
                                                          <w:marTop w:val="0"/>
                                                          <w:marBottom w:val="0"/>
                                                          <w:divBdr>
                                                            <w:top w:val="none" w:sz="0" w:space="0" w:color="auto"/>
                                                            <w:left w:val="none" w:sz="0" w:space="0" w:color="auto"/>
                                                            <w:bottom w:val="none" w:sz="0" w:space="0" w:color="auto"/>
                                                            <w:right w:val="none" w:sz="0" w:space="0" w:color="auto"/>
                                                          </w:divBdr>
                                                          <w:divsChild>
                                                            <w:div w:id="931822370">
                                                              <w:marLeft w:val="0"/>
                                                              <w:marRight w:val="0"/>
                                                              <w:marTop w:val="0"/>
                                                              <w:marBottom w:val="0"/>
                                                              <w:divBdr>
                                                                <w:top w:val="none" w:sz="0" w:space="0" w:color="auto"/>
                                                                <w:left w:val="none" w:sz="0" w:space="0" w:color="auto"/>
                                                                <w:bottom w:val="none" w:sz="0" w:space="0" w:color="auto"/>
                                                                <w:right w:val="none" w:sz="0" w:space="0" w:color="auto"/>
                                                              </w:divBdr>
                                                              <w:divsChild>
                                                                <w:div w:id="38221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37079695">
      <w:bodyDiv w:val="1"/>
      <w:marLeft w:val="0"/>
      <w:marRight w:val="0"/>
      <w:marTop w:val="0"/>
      <w:marBottom w:val="0"/>
      <w:divBdr>
        <w:top w:val="none" w:sz="0" w:space="0" w:color="auto"/>
        <w:left w:val="none" w:sz="0" w:space="0" w:color="auto"/>
        <w:bottom w:val="none" w:sz="0" w:space="0" w:color="auto"/>
        <w:right w:val="none" w:sz="0" w:space="0" w:color="auto"/>
      </w:divBdr>
    </w:div>
    <w:div w:id="206433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2</Pages>
  <Words>57464</Words>
  <Characters>310645</Characters>
  <Application>Microsoft Office Word</Application>
  <DocSecurity>0</DocSecurity>
  <Lines>7408</Lines>
  <Paragraphs>3567</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367357</CharactersWithSpaces>
  <SharedDoc>false</SharedDoc>
  <HyperlinkBase> </HyperlinkBase>
  <HLinks>
    <vt:vector size="588" baseType="variant">
      <vt:variant>
        <vt:i4>1835056</vt:i4>
      </vt:variant>
      <vt:variant>
        <vt:i4>584</vt:i4>
      </vt:variant>
      <vt:variant>
        <vt:i4>0</vt:i4>
      </vt:variant>
      <vt:variant>
        <vt:i4>5</vt:i4>
      </vt:variant>
      <vt:variant>
        <vt:lpwstr/>
      </vt:variant>
      <vt:variant>
        <vt:lpwstr>_Toc365972161</vt:lpwstr>
      </vt:variant>
      <vt:variant>
        <vt:i4>1835056</vt:i4>
      </vt:variant>
      <vt:variant>
        <vt:i4>578</vt:i4>
      </vt:variant>
      <vt:variant>
        <vt:i4>0</vt:i4>
      </vt:variant>
      <vt:variant>
        <vt:i4>5</vt:i4>
      </vt:variant>
      <vt:variant>
        <vt:lpwstr/>
      </vt:variant>
      <vt:variant>
        <vt:lpwstr>_Toc365972160</vt:lpwstr>
      </vt:variant>
      <vt:variant>
        <vt:i4>2031664</vt:i4>
      </vt:variant>
      <vt:variant>
        <vt:i4>572</vt:i4>
      </vt:variant>
      <vt:variant>
        <vt:i4>0</vt:i4>
      </vt:variant>
      <vt:variant>
        <vt:i4>5</vt:i4>
      </vt:variant>
      <vt:variant>
        <vt:lpwstr/>
      </vt:variant>
      <vt:variant>
        <vt:lpwstr>_Toc365972159</vt:lpwstr>
      </vt:variant>
      <vt:variant>
        <vt:i4>2031664</vt:i4>
      </vt:variant>
      <vt:variant>
        <vt:i4>566</vt:i4>
      </vt:variant>
      <vt:variant>
        <vt:i4>0</vt:i4>
      </vt:variant>
      <vt:variant>
        <vt:i4>5</vt:i4>
      </vt:variant>
      <vt:variant>
        <vt:lpwstr/>
      </vt:variant>
      <vt:variant>
        <vt:lpwstr>_Toc365972158</vt:lpwstr>
      </vt:variant>
      <vt:variant>
        <vt:i4>2031664</vt:i4>
      </vt:variant>
      <vt:variant>
        <vt:i4>560</vt:i4>
      </vt:variant>
      <vt:variant>
        <vt:i4>0</vt:i4>
      </vt:variant>
      <vt:variant>
        <vt:i4>5</vt:i4>
      </vt:variant>
      <vt:variant>
        <vt:lpwstr/>
      </vt:variant>
      <vt:variant>
        <vt:lpwstr>_Toc365972157</vt:lpwstr>
      </vt:variant>
      <vt:variant>
        <vt:i4>2031664</vt:i4>
      </vt:variant>
      <vt:variant>
        <vt:i4>554</vt:i4>
      </vt:variant>
      <vt:variant>
        <vt:i4>0</vt:i4>
      </vt:variant>
      <vt:variant>
        <vt:i4>5</vt:i4>
      </vt:variant>
      <vt:variant>
        <vt:lpwstr/>
      </vt:variant>
      <vt:variant>
        <vt:lpwstr>_Toc365972156</vt:lpwstr>
      </vt:variant>
      <vt:variant>
        <vt:i4>2031664</vt:i4>
      </vt:variant>
      <vt:variant>
        <vt:i4>548</vt:i4>
      </vt:variant>
      <vt:variant>
        <vt:i4>0</vt:i4>
      </vt:variant>
      <vt:variant>
        <vt:i4>5</vt:i4>
      </vt:variant>
      <vt:variant>
        <vt:lpwstr/>
      </vt:variant>
      <vt:variant>
        <vt:lpwstr>_Toc365972155</vt:lpwstr>
      </vt:variant>
      <vt:variant>
        <vt:i4>2031664</vt:i4>
      </vt:variant>
      <vt:variant>
        <vt:i4>542</vt:i4>
      </vt:variant>
      <vt:variant>
        <vt:i4>0</vt:i4>
      </vt:variant>
      <vt:variant>
        <vt:i4>5</vt:i4>
      </vt:variant>
      <vt:variant>
        <vt:lpwstr/>
      </vt:variant>
      <vt:variant>
        <vt:lpwstr>_Toc365972154</vt:lpwstr>
      </vt:variant>
      <vt:variant>
        <vt:i4>2031664</vt:i4>
      </vt:variant>
      <vt:variant>
        <vt:i4>536</vt:i4>
      </vt:variant>
      <vt:variant>
        <vt:i4>0</vt:i4>
      </vt:variant>
      <vt:variant>
        <vt:i4>5</vt:i4>
      </vt:variant>
      <vt:variant>
        <vt:lpwstr/>
      </vt:variant>
      <vt:variant>
        <vt:lpwstr>_Toc365972153</vt:lpwstr>
      </vt:variant>
      <vt:variant>
        <vt:i4>2031664</vt:i4>
      </vt:variant>
      <vt:variant>
        <vt:i4>530</vt:i4>
      </vt:variant>
      <vt:variant>
        <vt:i4>0</vt:i4>
      </vt:variant>
      <vt:variant>
        <vt:i4>5</vt:i4>
      </vt:variant>
      <vt:variant>
        <vt:lpwstr/>
      </vt:variant>
      <vt:variant>
        <vt:lpwstr>_Toc365972152</vt:lpwstr>
      </vt:variant>
      <vt:variant>
        <vt:i4>2031664</vt:i4>
      </vt:variant>
      <vt:variant>
        <vt:i4>524</vt:i4>
      </vt:variant>
      <vt:variant>
        <vt:i4>0</vt:i4>
      </vt:variant>
      <vt:variant>
        <vt:i4>5</vt:i4>
      </vt:variant>
      <vt:variant>
        <vt:lpwstr/>
      </vt:variant>
      <vt:variant>
        <vt:lpwstr>_Toc365972151</vt:lpwstr>
      </vt:variant>
      <vt:variant>
        <vt:i4>2031664</vt:i4>
      </vt:variant>
      <vt:variant>
        <vt:i4>518</vt:i4>
      </vt:variant>
      <vt:variant>
        <vt:i4>0</vt:i4>
      </vt:variant>
      <vt:variant>
        <vt:i4>5</vt:i4>
      </vt:variant>
      <vt:variant>
        <vt:lpwstr/>
      </vt:variant>
      <vt:variant>
        <vt:lpwstr>_Toc365972150</vt:lpwstr>
      </vt:variant>
      <vt:variant>
        <vt:i4>1966128</vt:i4>
      </vt:variant>
      <vt:variant>
        <vt:i4>512</vt:i4>
      </vt:variant>
      <vt:variant>
        <vt:i4>0</vt:i4>
      </vt:variant>
      <vt:variant>
        <vt:i4>5</vt:i4>
      </vt:variant>
      <vt:variant>
        <vt:lpwstr/>
      </vt:variant>
      <vt:variant>
        <vt:lpwstr>_Toc365972149</vt:lpwstr>
      </vt:variant>
      <vt:variant>
        <vt:i4>1966128</vt:i4>
      </vt:variant>
      <vt:variant>
        <vt:i4>506</vt:i4>
      </vt:variant>
      <vt:variant>
        <vt:i4>0</vt:i4>
      </vt:variant>
      <vt:variant>
        <vt:i4>5</vt:i4>
      </vt:variant>
      <vt:variant>
        <vt:lpwstr/>
      </vt:variant>
      <vt:variant>
        <vt:lpwstr>_Toc365972148</vt:lpwstr>
      </vt:variant>
      <vt:variant>
        <vt:i4>1966128</vt:i4>
      </vt:variant>
      <vt:variant>
        <vt:i4>500</vt:i4>
      </vt:variant>
      <vt:variant>
        <vt:i4>0</vt:i4>
      </vt:variant>
      <vt:variant>
        <vt:i4>5</vt:i4>
      </vt:variant>
      <vt:variant>
        <vt:lpwstr/>
      </vt:variant>
      <vt:variant>
        <vt:lpwstr>_Toc365972147</vt:lpwstr>
      </vt:variant>
      <vt:variant>
        <vt:i4>1966128</vt:i4>
      </vt:variant>
      <vt:variant>
        <vt:i4>494</vt:i4>
      </vt:variant>
      <vt:variant>
        <vt:i4>0</vt:i4>
      </vt:variant>
      <vt:variant>
        <vt:i4>5</vt:i4>
      </vt:variant>
      <vt:variant>
        <vt:lpwstr/>
      </vt:variant>
      <vt:variant>
        <vt:lpwstr>_Toc365972146</vt:lpwstr>
      </vt:variant>
      <vt:variant>
        <vt:i4>1966128</vt:i4>
      </vt:variant>
      <vt:variant>
        <vt:i4>488</vt:i4>
      </vt:variant>
      <vt:variant>
        <vt:i4>0</vt:i4>
      </vt:variant>
      <vt:variant>
        <vt:i4>5</vt:i4>
      </vt:variant>
      <vt:variant>
        <vt:lpwstr/>
      </vt:variant>
      <vt:variant>
        <vt:lpwstr>_Toc365972145</vt:lpwstr>
      </vt:variant>
      <vt:variant>
        <vt:i4>1966128</vt:i4>
      </vt:variant>
      <vt:variant>
        <vt:i4>482</vt:i4>
      </vt:variant>
      <vt:variant>
        <vt:i4>0</vt:i4>
      </vt:variant>
      <vt:variant>
        <vt:i4>5</vt:i4>
      </vt:variant>
      <vt:variant>
        <vt:lpwstr/>
      </vt:variant>
      <vt:variant>
        <vt:lpwstr>_Toc365972144</vt:lpwstr>
      </vt:variant>
      <vt:variant>
        <vt:i4>1966128</vt:i4>
      </vt:variant>
      <vt:variant>
        <vt:i4>476</vt:i4>
      </vt:variant>
      <vt:variant>
        <vt:i4>0</vt:i4>
      </vt:variant>
      <vt:variant>
        <vt:i4>5</vt:i4>
      </vt:variant>
      <vt:variant>
        <vt:lpwstr/>
      </vt:variant>
      <vt:variant>
        <vt:lpwstr>_Toc365972143</vt:lpwstr>
      </vt:variant>
      <vt:variant>
        <vt:i4>1966128</vt:i4>
      </vt:variant>
      <vt:variant>
        <vt:i4>470</vt:i4>
      </vt:variant>
      <vt:variant>
        <vt:i4>0</vt:i4>
      </vt:variant>
      <vt:variant>
        <vt:i4>5</vt:i4>
      </vt:variant>
      <vt:variant>
        <vt:lpwstr/>
      </vt:variant>
      <vt:variant>
        <vt:lpwstr>_Toc365972142</vt:lpwstr>
      </vt:variant>
      <vt:variant>
        <vt:i4>1966128</vt:i4>
      </vt:variant>
      <vt:variant>
        <vt:i4>464</vt:i4>
      </vt:variant>
      <vt:variant>
        <vt:i4>0</vt:i4>
      </vt:variant>
      <vt:variant>
        <vt:i4>5</vt:i4>
      </vt:variant>
      <vt:variant>
        <vt:lpwstr/>
      </vt:variant>
      <vt:variant>
        <vt:lpwstr>_Toc365972141</vt:lpwstr>
      </vt:variant>
      <vt:variant>
        <vt:i4>1966128</vt:i4>
      </vt:variant>
      <vt:variant>
        <vt:i4>458</vt:i4>
      </vt:variant>
      <vt:variant>
        <vt:i4>0</vt:i4>
      </vt:variant>
      <vt:variant>
        <vt:i4>5</vt:i4>
      </vt:variant>
      <vt:variant>
        <vt:lpwstr/>
      </vt:variant>
      <vt:variant>
        <vt:lpwstr>_Toc365972140</vt:lpwstr>
      </vt:variant>
      <vt:variant>
        <vt:i4>1638448</vt:i4>
      </vt:variant>
      <vt:variant>
        <vt:i4>452</vt:i4>
      </vt:variant>
      <vt:variant>
        <vt:i4>0</vt:i4>
      </vt:variant>
      <vt:variant>
        <vt:i4>5</vt:i4>
      </vt:variant>
      <vt:variant>
        <vt:lpwstr/>
      </vt:variant>
      <vt:variant>
        <vt:lpwstr>_Toc365972139</vt:lpwstr>
      </vt:variant>
      <vt:variant>
        <vt:i4>1638448</vt:i4>
      </vt:variant>
      <vt:variant>
        <vt:i4>446</vt:i4>
      </vt:variant>
      <vt:variant>
        <vt:i4>0</vt:i4>
      </vt:variant>
      <vt:variant>
        <vt:i4>5</vt:i4>
      </vt:variant>
      <vt:variant>
        <vt:lpwstr/>
      </vt:variant>
      <vt:variant>
        <vt:lpwstr>_Toc365972138</vt:lpwstr>
      </vt:variant>
      <vt:variant>
        <vt:i4>1638448</vt:i4>
      </vt:variant>
      <vt:variant>
        <vt:i4>440</vt:i4>
      </vt:variant>
      <vt:variant>
        <vt:i4>0</vt:i4>
      </vt:variant>
      <vt:variant>
        <vt:i4>5</vt:i4>
      </vt:variant>
      <vt:variant>
        <vt:lpwstr/>
      </vt:variant>
      <vt:variant>
        <vt:lpwstr>_Toc365972137</vt:lpwstr>
      </vt:variant>
      <vt:variant>
        <vt:i4>1638448</vt:i4>
      </vt:variant>
      <vt:variant>
        <vt:i4>434</vt:i4>
      </vt:variant>
      <vt:variant>
        <vt:i4>0</vt:i4>
      </vt:variant>
      <vt:variant>
        <vt:i4>5</vt:i4>
      </vt:variant>
      <vt:variant>
        <vt:lpwstr/>
      </vt:variant>
      <vt:variant>
        <vt:lpwstr>_Toc365972136</vt:lpwstr>
      </vt:variant>
      <vt:variant>
        <vt:i4>1638448</vt:i4>
      </vt:variant>
      <vt:variant>
        <vt:i4>428</vt:i4>
      </vt:variant>
      <vt:variant>
        <vt:i4>0</vt:i4>
      </vt:variant>
      <vt:variant>
        <vt:i4>5</vt:i4>
      </vt:variant>
      <vt:variant>
        <vt:lpwstr/>
      </vt:variant>
      <vt:variant>
        <vt:lpwstr>_Toc365972135</vt:lpwstr>
      </vt:variant>
      <vt:variant>
        <vt:i4>1638448</vt:i4>
      </vt:variant>
      <vt:variant>
        <vt:i4>422</vt:i4>
      </vt:variant>
      <vt:variant>
        <vt:i4>0</vt:i4>
      </vt:variant>
      <vt:variant>
        <vt:i4>5</vt:i4>
      </vt:variant>
      <vt:variant>
        <vt:lpwstr/>
      </vt:variant>
      <vt:variant>
        <vt:lpwstr>_Toc365972134</vt:lpwstr>
      </vt:variant>
      <vt:variant>
        <vt:i4>1638448</vt:i4>
      </vt:variant>
      <vt:variant>
        <vt:i4>416</vt:i4>
      </vt:variant>
      <vt:variant>
        <vt:i4>0</vt:i4>
      </vt:variant>
      <vt:variant>
        <vt:i4>5</vt:i4>
      </vt:variant>
      <vt:variant>
        <vt:lpwstr/>
      </vt:variant>
      <vt:variant>
        <vt:lpwstr>_Toc365972133</vt:lpwstr>
      </vt:variant>
      <vt:variant>
        <vt:i4>1638448</vt:i4>
      </vt:variant>
      <vt:variant>
        <vt:i4>410</vt:i4>
      </vt:variant>
      <vt:variant>
        <vt:i4>0</vt:i4>
      </vt:variant>
      <vt:variant>
        <vt:i4>5</vt:i4>
      </vt:variant>
      <vt:variant>
        <vt:lpwstr/>
      </vt:variant>
      <vt:variant>
        <vt:lpwstr>_Toc365972132</vt:lpwstr>
      </vt:variant>
      <vt:variant>
        <vt:i4>1638448</vt:i4>
      </vt:variant>
      <vt:variant>
        <vt:i4>404</vt:i4>
      </vt:variant>
      <vt:variant>
        <vt:i4>0</vt:i4>
      </vt:variant>
      <vt:variant>
        <vt:i4>5</vt:i4>
      </vt:variant>
      <vt:variant>
        <vt:lpwstr/>
      </vt:variant>
      <vt:variant>
        <vt:lpwstr>_Toc365972131</vt:lpwstr>
      </vt:variant>
      <vt:variant>
        <vt:i4>1638448</vt:i4>
      </vt:variant>
      <vt:variant>
        <vt:i4>398</vt:i4>
      </vt:variant>
      <vt:variant>
        <vt:i4>0</vt:i4>
      </vt:variant>
      <vt:variant>
        <vt:i4>5</vt:i4>
      </vt:variant>
      <vt:variant>
        <vt:lpwstr/>
      </vt:variant>
      <vt:variant>
        <vt:lpwstr>_Toc365972130</vt:lpwstr>
      </vt:variant>
      <vt:variant>
        <vt:i4>1572912</vt:i4>
      </vt:variant>
      <vt:variant>
        <vt:i4>392</vt:i4>
      </vt:variant>
      <vt:variant>
        <vt:i4>0</vt:i4>
      </vt:variant>
      <vt:variant>
        <vt:i4>5</vt:i4>
      </vt:variant>
      <vt:variant>
        <vt:lpwstr/>
      </vt:variant>
      <vt:variant>
        <vt:lpwstr>_Toc365972129</vt:lpwstr>
      </vt:variant>
      <vt:variant>
        <vt:i4>1572912</vt:i4>
      </vt:variant>
      <vt:variant>
        <vt:i4>386</vt:i4>
      </vt:variant>
      <vt:variant>
        <vt:i4>0</vt:i4>
      </vt:variant>
      <vt:variant>
        <vt:i4>5</vt:i4>
      </vt:variant>
      <vt:variant>
        <vt:lpwstr/>
      </vt:variant>
      <vt:variant>
        <vt:lpwstr>_Toc365972128</vt:lpwstr>
      </vt:variant>
      <vt:variant>
        <vt:i4>1572912</vt:i4>
      </vt:variant>
      <vt:variant>
        <vt:i4>380</vt:i4>
      </vt:variant>
      <vt:variant>
        <vt:i4>0</vt:i4>
      </vt:variant>
      <vt:variant>
        <vt:i4>5</vt:i4>
      </vt:variant>
      <vt:variant>
        <vt:lpwstr/>
      </vt:variant>
      <vt:variant>
        <vt:lpwstr>_Toc365972127</vt:lpwstr>
      </vt:variant>
      <vt:variant>
        <vt:i4>1572912</vt:i4>
      </vt:variant>
      <vt:variant>
        <vt:i4>374</vt:i4>
      </vt:variant>
      <vt:variant>
        <vt:i4>0</vt:i4>
      </vt:variant>
      <vt:variant>
        <vt:i4>5</vt:i4>
      </vt:variant>
      <vt:variant>
        <vt:lpwstr/>
      </vt:variant>
      <vt:variant>
        <vt:lpwstr>_Toc365972126</vt:lpwstr>
      </vt:variant>
      <vt:variant>
        <vt:i4>1572912</vt:i4>
      </vt:variant>
      <vt:variant>
        <vt:i4>368</vt:i4>
      </vt:variant>
      <vt:variant>
        <vt:i4>0</vt:i4>
      </vt:variant>
      <vt:variant>
        <vt:i4>5</vt:i4>
      </vt:variant>
      <vt:variant>
        <vt:lpwstr/>
      </vt:variant>
      <vt:variant>
        <vt:lpwstr>_Toc365972125</vt:lpwstr>
      </vt:variant>
      <vt:variant>
        <vt:i4>1572912</vt:i4>
      </vt:variant>
      <vt:variant>
        <vt:i4>362</vt:i4>
      </vt:variant>
      <vt:variant>
        <vt:i4>0</vt:i4>
      </vt:variant>
      <vt:variant>
        <vt:i4>5</vt:i4>
      </vt:variant>
      <vt:variant>
        <vt:lpwstr/>
      </vt:variant>
      <vt:variant>
        <vt:lpwstr>_Toc365972124</vt:lpwstr>
      </vt:variant>
      <vt:variant>
        <vt:i4>1572912</vt:i4>
      </vt:variant>
      <vt:variant>
        <vt:i4>356</vt:i4>
      </vt:variant>
      <vt:variant>
        <vt:i4>0</vt:i4>
      </vt:variant>
      <vt:variant>
        <vt:i4>5</vt:i4>
      </vt:variant>
      <vt:variant>
        <vt:lpwstr/>
      </vt:variant>
      <vt:variant>
        <vt:lpwstr>_Toc365972123</vt:lpwstr>
      </vt:variant>
      <vt:variant>
        <vt:i4>1572912</vt:i4>
      </vt:variant>
      <vt:variant>
        <vt:i4>350</vt:i4>
      </vt:variant>
      <vt:variant>
        <vt:i4>0</vt:i4>
      </vt:variant>
      <vt:variant>
        <vt:i4>5</vt:i4>
      </vt:variant>
      <vt:variant>
        <vt:lpwstr/>
      </vt:variant>
      <vt:variant>
        <vt:lpwstr>_Toc365972122</vt:lpwstr>
      </vt:variant>
      <vt:variant>
        <vt:i4>1572912</vt:i4>
      </vt:variant>
      <vt:variant>
        <vt:i4>344</vt:i4>
      </vt:variant>
      <vt:variant>
        <vt:i4>0</vt:i4>
      </vt:variant>
      <vt:variant>
        <vt:i4>5</vt:i4>
      </vt:variant>
      <vt:variant>
        <vt:lpwstr/>
      </vt:variant>
      <vt:variant>
        <vt:lpwstr>_Toc365972121</vt:lpwstr>
      </vt:variant>
      <vt:variant>
        <vt:i4>1572912</vt:i4>
      </vt:variant>
      <vt:variant>
        <vt:i4>338</vt:i4>
      </vt:variant>
      <vt:variant>
        <vt:i4>0</vt:i4>
      </vt:variant>
      <vt:variant>
        <vt:i4>5</vt:i4>
      </vt:variant>
      <vt:variant>
        <vt:lpwstr/>
      </vt:variant>
      <vt:variant>
        <vt:lpwstr>_Toc365972120</vt:lpwstr>
      </vt:variant>
      <vt:variant>
        <vt:i4>1769520</vt:i4>
      </vt:variant>
      <vt:variant>
        <vt:i4>332</vt:i4>
      </vt:variant>
      <vt:variant>
        <vt:i4>0</vt:i4>
      </vt:variant>
      <vt:variant>
        <vt:i4>5</vt:i4>
      </vt:variant>
      <vt:variant>
        <vt:lpwstr/>
      </vt:variant>
      <vt:variant>
        <vt:lpwstr>_Toc365972119</vt:lpwstr>
      </vt:variant>
      <vt:variant>
        <vt:i4>1769520</vt:i4>
      </vt:variant>
      <vt:variant>
        <vt:i4>326</vt:i4>
      </vt:variant>
      <vt:variant>
        <vt:i4>0</vt:i4>
      </vt:variant>
      <vt:variant>
        <vt:i4>5</vt:i4>
      </vt:variant>
      <vt:variant>
        <vt:lpwstr/>
      </vt:variant>
      <vt:variant>
        <vt:lpwstr>_Toc365972118</vt:lpwstr>
      </vt:variant>
      <vt:variant>
        <vt:i4>1769520</vt:i4>
      </vt:variant>
      <vt:variant>
        <vt:i4>320</vt:i4>
      </vt:variant>
      <vt:variant>
        <vt:i4>0</vt:i4>
      </vt:variant>
      <vt:variant>
        <vt:i4>5</vt:i4>
      </vt:variant>
      <vt:variant>
        <vt:lpwstr/>
      </vt:variant>
      <vt:variant>
        <vt:lpwstr>_Toc365972117</vt:lpwstr>
      </vt:variant>
      <vt:variant>
        <vt:i4>1769520</vt:i4>
      </vt:variant>
      <vt:variant>
        <vt:i4>314</vt:i4>
      </vt:variant>
      <vt:variant>
        <vt:i4>0</vt:i4>
      </vt:variant>
      <vt:variant>
        <vt:i4>5</vt:i4>
      </vt:variant>
      <vt:variant>
        <vt:lpwstr/>
      </vt:variant>
      <vt:variant>
        <vt:lpwstr>_Toc365972116</vt:lpwstr>
      </vt:variant>
      <vt:variant>
        <vt:i4>1769520</vt:i4>
      </vt:variant>
      <vt:variant>
        <vt:i4>308</vt:i4>
      </vt:variant>
      <vt:variant>
        <vt:i4>0</vt:i4>
      </vt:variant>
      <vt:variant>
        <vt:i4>5</vt:i4>
      </vt:variant>
      <vt:variant>
        <vt:lpwstr/>
      </vt:variant>
      <vt:variant>
        <vt:lpwstr>_Toc365972115</vt:lpwstr>
      </vt:variant>
      <vt:variant>
        <vt:i4>1769520</vt:i4>
      </vt:variant>
      <vt:variant>
        <vt:i4>302</vt:i4>
      </vt:variant>
      <vt:variant>
        <vt:i4>0</vt:i4>
      </vt:variant>
      <vt:variant>
        <vt:i4>5</vt:i4>
      </vt:variant>
      <vt:variant>
        <vt:lpwstr/>
      </vt:variant>
      <vt:variant>
        <vt:lpwstr>_Toc365972114</vt:lpwstr>
      </vt:variant>
      <vt:variant>
        <vt:i4>1769520</vt:i4>
      </vt:variant>
      <vt:variant>
        <vt:i4>296</vt:i4>
      </vt:variant>
      <vt:variant>
        <vt:i4>0</vt:i4>
      </vt:variant>
      <vt:variant>
        <vt:i4>5</vt:i4>
      </vt:variant>
      <vt:variant>
        <vt:lpwstr/>
      </vt:variant>
      <vt:variant>
        <vt:lpwstr>_Toc365972113</vt:lpwstr>
      </vt:variant>
      <vt:variant>
        <vt:i4>1769520</vt:i4>
      </vt:variant>
      <vt:variant>
        <vt:i4>290</vt:i4>
      </vt:variant>
      <vt:variant>
        <vt:i4>0</vt:i4>
      </vt:variant>
      <vt:variant>
        <vt:i4>5</vt:i4>
      </vt:variant>
      <vt:variant>
        <vt:lpwstr/>
      </vt:variant>
      <vt:variant>
        <vt:lpwstr>_Toc365972112</vt:lpwstr>
      </vt:variant>
      <vt:variant>
        <vt:i4>1769520</vt:i4>
      </vt:variant>
      <vt:variant>
        <vt:i4>284</vt:i4>
      </vt:variant>
      <vt:variant>
        <vt:i4>0</vt:i4>
      </vt:variant>
      <vt:variant>
        <vt:i4>5</vt:i4>
      </vt:variant>
      <vt:variant>
        <vt:lpwstr/>
      </vt:variant>
      <vt:variant>
        <vt:lpwstr>_Toc365972111</vt:lpwstr>
      </vt:variant>
      <vt:variant>
        <vt:i4>1769520</vt:i4>
      </vt:variant>
      <vt:variant>
        <vt:i4>278</vt:i4>
      </vt:variant>
      <vt:variant>
        <vt:i4>0</vt:i4>
      </vt:variant>
      <vt:variant>
        <vt:i4>5</vt:i4>
      </vt:variant>
      <vt:variant>
        <vt:lpwstr/>
      </vt:variant>
      <vt:variant>
        <vt:lpwstr>_Toc365972110</vt:lpwstr>
      </vt:variant>
      <vt:variant>
        <vt:i4>1703984</vt:i4>
      </vt:variant>
      <vt:variant>
        <vt:i4>272</vt:i4>
      </vt:variant>
      <vt:variant>
        <vt:i4>0</vt:i4>
      </vt:variant>
      <vt:variant>
        <vt:i4>5</vt:i4>
      </vt:variant>
      <vt:variant>
        <vt:lpwstr/>
      </vt:variant>
      <vt:variant>
        <vt:lpwstr>_Toc365972109</vt:lpwstr>
      </vt:variant>
      <vt:variant>
        <vt:i4>1703984</vt:i4>
      </vt:variant>
      <vt:variant>
        <vt:i4>266</vt:i4>
      </vt:variant>
      <vt:variant>
        <vt:i4>0</vt:i4>
      </vt:variant>
      <vt:variant>
        <vt:i4>5</vt:i4>
      </vt:variant>
      <vt:variant>
        <vt:lpwstr/>
      </vt:variant>
      <vt:variant>
        <vt:lpwstr>_Toc365972108</vt:lpwstr>
      </vt:variant>
      <vt:variant>
        <vt:i4>1703984</vt:i4>
      </vt:variant>
      <vt:variant>
        <vt:i4>260</vt:i4>
      </vt:variant>
      <vt:variant>
        <vt:i4>0</vt:i4>
      </vt:variant>
      <vt:variant>
        <vt:i4>5</vt:i4>
      </vt:variant>
      <vt:variant>
        <vt:lpwstr/>
      </vt:variant>
      <vt:variant>
        <vt:lpwstr>_Toc365972107</vt:lpwstr>
      </vt:variant>
      <vt:variant>
        <vt:i4>1703984</vt:i4>
      </vt:variant>
      <vt:variant>
        <vt:i4>254</vt:i4>
      </vt:variant>
      <vt:variant>
        <vt:i4>0</vt:i4>
      </vt:variant>
      <vt:variant>
        <vt:i4>5</vt:i4>
      </vt:variant>
      <vt:variant>
        <vt:lpwstr/>
      </vt:variant>
      <vt:variant>
        <vt:lpwstr>_Toc365972106</vt:lpwstr>
      </vt:variant>
      <vt:variant>
        <vt:i4>1703984</vt:i4>
      </vt:variant>
      <vt:variant>
        <vt:i4>248</vt:i4>
      </vt:variant>
      <vt:variant>
        <vt:i4>0</vt:i4>
      </vt:variant>
      <vt:variant>
        <vt:i4>5</vt:i4>
      </vt:variant>
      <vt:variant>
        <vt:lpwstr/>
      </vt:variant>
      <vt:variant>
        <vt:lpwstr>_Toc365972105</vt:lpwstr>
      </vt:variant>
      <vt:variant>
        <vt:i4>1703984</vt:i4>
      </vt:variant>
      <vt:variant>
        <vt:i4>242</vt:i4>
      </vt:variant>
      <vt:variant>
        <vt:i4>0</vt:i4>
      </vt:variant>
      <vt:variant>
        <vt:i4>5</vt:i4>
      </vt:variant>
      <vt:variant>
        <vt:lpwstr/>
      </vt:variant>
      <vt:variant>
        <vt:lpwstr>_Toc365972104</vt:lpwstr>
      </vt:variant>
      <vt:variant>
        <vt:i4>1703984</vt:i4>
      </vt:variant>
      <vt:variant>
        <vt:i4>236</vt:i4>
      </vt:variant>
      <vt:variant>
        <vt:i4>0</vt:i4>
      </vt:variant>
      <vt:variant>
        <vt:i4>5</vt:i4>
      </vt:variant>
      <vt:variant>
        <vt:lpwstr/>
      </vt:variant>
      <vt:variant>
        <vt:lpwstr>_Toc365972103</vt:lpwstr>
      </vt:variant>
      <vt:variant>
        <vt:i4>1703984</vt:i4>
      </vt:variant>
      <vt:variant>
        <vt:i4>230</vt:i4>
      </vt:variant>
      <vt:variant>
        <vt:i4>0</vt:i4>
      </vt:variant>
      <vt:variant>
        <vt:i4>5</vt:i4>
      </vt:variant>
      <vt:variant>
        <vt:lpwstr/>
      </vt:variant>
      <vt:variant>
        <vt:lpwstr>_Toc365972102</vt:lpwstr>
      </vt:variant>
      <vt:variant>
        <vt:i4>1703984</vt:i4>
      </vt:variant>
      <vt:variant>
        <vt:i4>224</vt:i4>
      </vt:variant>
      <vt:variant>
        <vt:i4>0</vt:i4>
      </vt:variant>
      <vt:variant>
        <vt:i4>5</vt:i4>
      </vt:variant>
      <vt:variant>
        <vt:lpwstr/>
      </vt:variant>
      <vt:variant>
        <vt:lpwstr>_Toc365972101</vt:lpwstr>
      </vt:variant>
      <vt:variant>
        <vt:i4>1703984</vt:i4>
      </vt:variant>
      <vt:variant>
        <vt:i4>218</vt:i4>
      </vt:variant>
      <vt:variant>
        <vt:i4>0</vt:i4>
      </vt:variant>
      <vt:variant>
        <vt:i4>5</vt:i4>
      </vt:variant>
      <vt:variant>
        <vt:lpwstr/>
      </vt:variant>
      <vt:variant>
        <vt:lpwstr>_Toc365972100</vt:lpwstr>
      </vt:variant>
      <vt:variant>
        <vt:i4>1245233</vt:i4>
      </vt:variant>
      <vt:variant>
        <vt:i4>212</vt:i4>
      </vt:variant>
      <vt:variant>
        <vt:i4>0</vt:i4>
      </vt:variant>
      <vt:variant>
        <vt:i4>5</vt:i4>
      </vt:variant>
      <vt:variant>
        <vt:lpwstr/>
      </vt:variant>
      <vt:variant>
        <vt:lpwstr>_Toc365972099</vt:lpwstr>
      </vt:variant>
      <vt:variant>
        <vt:i4>1245233</vt:i4>
      </vt:variant>
      <vt:variant>
        <vt:i4>206</vt:i4>
      </vt:variant>
      <vt:variant>
        <vt:i4>0</vt:i4>
      </vt:variant>
      <vt:variant>
        <vt:i4>5</vt:i4>
      </vt:variant>
      <vt:variant>
        <vt:lpwstr/>
      </vt:variant>
      <vt:variant>
        <vt:lpwstr>_Toc365972098</vt:lpwstr>
      </vt:variant>
      <vt:variant>
        <vt:i4>1245233</vt:i4>
      </vt:variant>
      <vt:variant>
        <vt:i4>200</vt:i4>
      </vt:variant>
      <vt:variant>
        <vt:i4>0</vt:i4>
      </vt:variant>
      <vt:variant>
        <vt:i4>5</vt:i4>
      </vt:variant>
      <vt:variant>
        <vt:lpwstr/>
      </vt:variant>
      <vt:variant>
        <vt:lpwstr>_Toc365972097</vt:lpwstr>
      </vt:variant>
      <vt:variant>
        <vt:i4>1245233</vt:i4>
      </vt:variant>
      <vt:variant>
        <vt:i4>194</vt:i4>
      </vt:variant>
      <vt:variant>
        <vt:i4>0</vt:i4>
      </vt:variant>
      <vt:variant>
        <vt:i4>5</vt:i4>
      </vt:variant>
      <vt:variant>
        <vt:lpwstr/>
      </vt:variant>
      <vt:variant>
        <vt:lpwstr>_Toc365972096</vt:lpwstr>
      </vt:variant>
      <vt:variant>
        <vt:i4>1245233</vt:i4>
      </vt:variant>
      <vt:variant>
        <vt:i4>188</vt:i4>
      </vt:variant>
      <vt:variant>
        <vt:i4>0</vt:i4>
      </vt:variant>
      <vt:variant>
        <vt:i4>5</vt:i4>
      </vt:variant>
      <vt:variant>
        <vt:lpwstr/>
      </vt:variant>
      <vt:variant>
        <vt:lpwstr>_Toc365972095</vt:lpwstr>
      </vt:variant>
      <vt:variant>
        <vt:i4>1245233</vt:i4>
      </vt:variant>
      <vt:variant>
        <vt:i4>182</vt:i4>
      </vt:variant>
      <vt:variant>
        <vt:i4>0</vt:i4>
      </vt:variant>
      <vt:variant>
        <vt:i4>5</vt:i4>
      </vt:variant>
      <vt:variant>
        <vt:lpwstr/>
      </vt:variant>
      <vt:variant>
        <vt:lpwstr>_Toc365972094</vt:lpwstr>
      </vt:variant>
      <vt:variant>
        <vt:i4>1245233</vt:i4>
      </vt:variant>
      <vt:variant>
        <vt:i4>176</vt:i4>
      </vt:variant>
      <vt:variant>
        <vt:i4>0</vt:i4>
      </vt:variant>
      <vt:variant>
        <vt:i4>5</vt:i4>
      </vt:variant>
      <vt:variant>
        <vt:lpwstr/>
      </vt:variant>
      <vt:variant>
        <vt:lpwstr>_Toc365972093</vt:lpwstr>
      </vt:variant>
      <vt:variant>
        <vt:i4>1245233</vt:i4>
      </vt:variant>
      <vt:variant>
        <vt:i4>170</vt:i4>
      </vt:variant>
      <vt:variant>
        <vt:i4>0</vt:i4>
      </vt:variant>
      <vt:variant>
        <vt:i4>5</vt:i4>
      </vt:variant>
      <vt:variant>
        <vt:lpwstr/>
      </vt:variant>
      <vt:variant>
        <vt:lpwstr>_Toc365972092</vt:lpwstr>
      </vt:variant>
      <vt:variant>
        <vt:i4>1245233</vt:i4>
      </vt:variant>
      <vt:variant>
        <vt:i4>164</vt:i4>
      </vt:variant>
      <vt:variant>
        <vt:i4>0</vt:i4>
      </vt:variant>
      <vt:variant>
        <vt:i4>5</vt:i4>
      </vt:variant>
      <vt:variant>
        <vt:lpwstr/>
      </vt:variant>
      <vt:variant>
        <vt:lpwstr>_Toc365972091</vt:lpwstr>
      </vt:variant>
      <vt:variant>
        <vt:i4>1245233</vt:i4>
      </vt:variant>
      <vt:variant>
        <vt:i4>158</vt:i4>
      </vt:variant>
      <vt:variant>
        <vt:i4>0</vt:i4>
      </vt:variant>
      <vt:variant>
        <vt:i4>5</vt:i4>
      </vt:variant>
      <vt:variant>
        <vt:lpwstr/>
      </vt:variant>
      <vt:variant>
        <vt:lpwstr>_Toc365972090</vt:lpwstr>
      </vt:variant>
      <vt:variant>
        <vt:i4>1179697</vt:i4>
      </vt:variant>
      <vt:variant>
        <vt:i4>152</vt:i4>
      </vt:variant>
      <vt:variant>
        <vt:i4>0</vt:i4>
      </vt:variant>
      <vt:variant>
        <vt:i4>5</vt:i4>
      </vt:variant>
      <vt:variant>
        <vt:lpwstr/>
      </vt:variant>
      <vt:variant>
        <vt:lpwstr>_Toc365972089</vt:lpwstr>
      </vt:variant>
      <vt:variant>
        <vt:i4>1179697</vt:i4>
      </vt:variant>
      <vt:variant>
        <vt:i4>146</vt:i4>
      </vt:variant>
      <vt:variant>
        <vt:i4>0</vt:i4>
      </vt:variant>
      <vt:variant>
        <vt:i4>5</vt:i4>
      </vt:variant>
      <vt:variant>
        <vt:lpwstr/>
      </vt:variant>
      <vt:variant>
        <vt:lpwstr>_Toc365972088</vt:lpwstr>
      </vt:variant>
      <vt:variant>
        <vt:i4>1179697</vt:i4>
      </vt:variant>
      <vt:variant>
        <vt:i4>140</vt:i4>
      </vt:variant>
      <vt:variant>
        <vt:i4>0</vt:i4>
      </vt:variant>
      <vt:variant>
        <vt:i4>5</vt:i4>
      </vt:variant>
      <vt:variant>
        <vt:lpwstr/>
      </vt:variant>
      <vt:variant>
        <vt:lpwstr>_Toc365972087</vt:lpwstr>
      </vt:variant>
      <vt:variant>
        <vt:i4>1179697</vt:i4>
      </vt:variant>
      <vt:variant>
        <vt:i4>134</vt:i4>
      </vt:variant>
      <vt:variant>
        <vt:i4>0</vt:i4>
      </vt:variant>
      <vt:variant>
        <vt:i4>5</vt:i4>
      </vt:variant>
      <vt:variant>
        <vt:lpwstr/>
      </vt:variant>
      <vt:variant>
        <vt:lpwstr>_Toc365972086</vt:lpwstr>
      </vt:variant>
      <vt:variant>
        <vt:i4>1179697</vt:i4>
      </vt:variant>
      <vt:variant>
        <vt:i4>128</vt:i4>
      </vt:variant>
      <vt:variant>
        <vt:i4>0</vt:i4>
      </vt:variant>
      <vt:variant>
        <vt:i4>5</vt:i4>
      </vt:variant>
      <vt:variant>
        <vt:lpwstr/>
      </vt:variant>
      <vt:variant>
        <vt:lpwstr>_Toc365972085</vt:lpwstr>
      </vt:variant>
      <vt:variant>
        <vt:i4>1179697</vt:i4>
      </vt:variant>
      <vt:variant>
        <vt:i4>122</vt:i4>
      </vt:variant>
      <vt:variant>
        <vt:i4>0</vt:i4>
      </vt:variant>
      <vt:variant>
        <vt:i4>5</vt:i4>
      </vt:variant>
      <vt:variant>
        <vt:lpwstr/>
      </vt:variant>
      <vt:variant>
        <vt:lpwstr>_Toc365972084</vt:lpwstr>
      </vt:variant>
      <vt:variant>
        <vt:i4>1179697</vt:i4>
      </vt:variant>
      <vt:variant>
        <vt:i4>116</vt:i4>
      </vt:variant>
      <vt:variant>
        <vt:i4>0</vt:i4>
      </vt:variant>
      <vt:variant>
        <vt:i4>5</vt:i4>
      </vt:variant>
      <vt:variant>
        <vt:lpwstr/>
      </vt:variant>
      <vt:variant>
        <vt:lpwstr>_Toc365972083</vt:lpwstr>
      </vt:variant>
      <vt:variant>
        <vt:i4>1179697</vt:i4>
      </vt:variant>
      <vt:variant>
        <vt:i4>110</vt:i4>
      </vt:variant>
      <vt:variant>
        <vt:i4>0</vt:i4>
      </vt:variant>
      <vt:variant>
        <vt:i4>5</vt:i4>
      </vt:variant>
      <vt:variant>
        <vt:lpwstr/>
      </vt:variant>
      <vt:variant>
        <vt:lpwstr>_Toc365972082</vt:lpwstr>
      </vt:variant>
      <vt:variant>
        <vt:i4>1179697</vt:i4>
      </vt:variant>
      <vt:variant>
        <vt:i4>104</vt:i4>
      </vt:variant>
      <vt:variant>
        <vt:i4>0</vt:i4>
      </vt:variant>
      <vt:variant>
        <vt:i4>5</vt:i4>
      </vt:variant>
      <vt:variant>
        <vt:lpwstr/>
      </vt:variant>
      <vt:variant>
        <vt:lpwstr>_Toc365972081</vt:lpwstr>
      </vt:variant>
      <vt:variant>
        <vt:i4>1179697</vt:i4>
      </vt:variant>
      <vt:variant>
        <vt:i4>98</vt:i4>
      </vt:variant>
      <vt:variant>
        <vt:i4>0</vt:i4>
      </vt:variant>
      <vt:variant>
        <vt:i4>5</vt:i4>
      </vt:variant>
      <vt:variant>
        <vt:lpwstr/>
      </vt:variant>
      <vt:variant>
        <vt:lpwstr>_Toc365972080</vt:lpwstr>
      </vt:variant>
      <vt:variant>
        <vt:i4>1900593</vt:i4>
      </vt:variant>
      <vt:variant>
        <vt:i4>92</vt:i4>
      </vt:variant>
      <vt:variant>
        <vt:i4>0</vt:i4>
      </vt:variant>
      <vt:variant>
        <vt:i4>5</vt:i4>
      </vt:variant>
      <vt:variant>
        <vt:lpwstr/>
      </vt:variant>
      <vt:variant>
        <vt:lpwstr>_Toc365972079</vt:lpwstr>
      </vt:variant>
      <vt:variant>
        <vt:i4>1900593</vt:i4>
      </vt:variant>
      <vt:variant>
        <vt:i4>86</vt:i4>
      </vt:variant>
      <vt:variant>
        <vt:i4>0</vt:i4>
      </vt:variant>
      <vt:variant>
        <vt:i4>5</vt:i4>
      </vt:variant>
      <vt:variant>
        <vt:lpwstr/>
      </vt:variant>
      <vt:variant>
        <vt:lpwstr>_Toc365972078</vt:lpwstr>
      </vt:variant>
      <vt:variant>
        <vt:i4>1900593</vt:i4>
      </vt:variant>
      <vt:variant>
        <vt:i4>80</vt:i4>
      </vt:variant>
      <vt:variant>
        <vt:i4>0</vt:i4>
      </vt:variant>
      <vt:variant>
        <vt:i4>5</vt:i4>
      </vt:variant>
      <vt:variant>
        <vt:lpwstr/>
      </vt:variant>
      <vt:variant>
        <vt:lpwstr>_Toc365972077</vt:lpwstr>
      </vt:variant>
      <vt:variant>
        <vt:i4>1900593</vt:i4>
      </vt:variant>
      <vt:variant>
        <vt:i4>74</vt:i4>
      </vt:variant>
      <vt:variant>
        <vt:i4>0</vt:i4>
      </vt:variant>
      <vt:variant>
        <vt:i4>5</vt:i4>
      </vt:variant>
      <vt:variant>
        <vt:lpwstr/>
      </vt:variant>
      <vt:variant>
        <vt:lpwstr>_Toc365972076</vt:lpwstr>
      </vt:variant>
      <vt:variant>
        <vt:i4>1900593</vt:i4>
      </vt:variant>
      <vt:variant>
        <vt:i4>68</vt:i4>
      </vt:variant>
      <vt:variant>
        <vt:i4>0</vt:i4>
      </vt:variant>
      <vt:variant>
        <vt:i4>5</vt:i4>
      </vt:variant>
      <vt:variant>
        <vt:lpwstr/>
      </vt:variant>
      <vt:variant>
        <vt:lpwstr>_Toc365972075</vt:lpwstr>
      </vt:variant>
      <vt:variant>
        <vt:i4>1900593</vt:i4>
      </vt:variant>
      <vt:variant>
        <vt:i4>62</vt:i4>
      </vt:variant>
      <vt:variant>
        <vt:i4>0</vt:i4>
      </vt:variant>
      <vt:variant>
        <vt:i4>5</vt:i4>
      </vt:variant>
      <vt:variant>
        <vt:lpwstr/>
      </vt:variant>
      <vt:variant>
        <vt:lpwstr>_Toc365972074</vt:lpwstr>
      </vt:variant>
      <vt:variant>
        <vt:i4>1900593</vt:i4>
      </vt:variant>
      <vt:variant>
        <vt:i4>56</vt:i4>
      </vt:variant>
      <vt:variant>
        <vt:i4>0</vt:i4>
      </vt:variant>
      <vt:variant>
        <vt:i4>5</vt:i4>
      </vt:variant>
      <vt:variant>
        <vt:lpwstr/>
      </vt:variant>
      <vt:variant>
        <vt:lpwstr>_Toc365972073</vt:lpwstr>
      </vt:variant>
      <vt:variant>
        <vt:i4>1900593</vt:i4>
      </vt:variant>
      <vt:variant>
        <vt:i4>50</vt:i4>
      </vt:variant>
      <vt:variant>
        <vt:i4>0</vt:i4>
      </vt:variant>
      <vt:variant>
        <vt:i4>5</vt:i4>
      </vt:variant>
      <vt:variant>
        <vt:lpwstr/>
      </vt:variant>
      <vt:variant>
        <vt:lpwstr>_Toc365972072</vt:lpwstr>
      </vt:variant>
      <vt:variant>
        <vt:i4>1900593</vt:i4>
      </vt:variant>
      <vt:variant>
        <vt:i4>44</vt:i4>
      </vt:variant>
      <vt:variant>
        <vt:i4>0</vt:i4>
      </vt:variant>
      <vt:variant>
        <vt:i4>5</vt:i4>
      </vt:variant>
      <vt:variant>
        <vt:lpwstr/>
      </vt:variant>
      <vt:variant>
        <vt:lpwstr>_Toc365972071</vt:lpwstr>
      </vt:variant>
      <vt:variant>
        <vt:i4>1900593</vt:i4>
      </vt:variant>
      <vt:variant>
        <vt:i4>38</vt:i4>
      </vt:variant>
      <vt:variant>
        <vt:i4>0</vt:i4>
      </vt:variant>
      <vt:variant>
        <vt:i4>5</vt:i4>
      </vt:variant>
      <vt:variant>
        <vt:lpwstr/>
      </vt:variant>
      <vt:variant>
        <vt:lpwstr>_Toc365972070</vt:lpwstr>
      </vt:variant>
      <vt:variant>
        <vt:i4>1835057</vt:i4>
      </vt:variant>
      <vt:variant>
        <vt:i4>32</vt:i4>
      </vt:variant>
      <vt:variant>
        <vt:i4>0</vt:i4>
      </vt:variant>
      <vt:variant>
        <vt:i4>5</vt:i4>
      </vt:variant>
      <vt:variant>
        <vt:lpwstr/>
      </vt:variant>
      <vt:variant>
        <vt:lpwstr>_Toc365972069</vt:lpwstr>
      </vt:variant>
      <vt:variant>
        <vt:i4>1835057</vt:i4>
      </vt:variant>
      <vt:variant>
        <vt:i4>26</vt:i4>
      </vt:variant>
      <vt:variant>
        <vt:i4>0</vt:i4>
      </vt:variant>
      <vt:variant>
        <vt:i4>5</vt:i4>
      </vt:variant>
      <vt:variant>
        <vt:lpwstr/>
      </vt:variant>
      <vt:variant>
        <vt:lpwstr>_Toc365972068</vt:lpwstr>
      </vt:variant>
      <vt:variant>
        <vt:i4>1835057</vt:i4>
      </vt:variant>
      <vt:variant>
        <vt:i4>20</vt:i4>
      </vt:variant>
      <vt:variant>
        <vt:i4>0</vt:i4>
      </vt:variant>
      <vt:variant>
        <vt:i4>5</vt:i4>
      </vt:variant>
      <vt:variant>
        <vt:lpwstr/>
      </vt:variant>
      <vt:variant>
        <vt:lpwstr>_Toc365972067</vt:lpwstr>
      </vt:variant>
      <vt:variant>
        <vt:i4>1835057</vt:i4>
      </vt:variant>
      <vt:variant>
        <vt:i4>14</vt:i4>
      </vt:variant>
      <vt:variant>
        <vt:i4>0</vt:i4>
      </vt:variant>
      <vt:variant>
        <vt:i4>5</vt:i4>
      </vt:variant>
      <vt:variant>
        <vt:lpwstr/>
      </vt:variant>
      <vt:variant>
        <vt:lpwstr>_Toc365972066</vt:lpwstr>
      </vt:variant>
      <vt:variant>
        <vt:i4>1835057</vt:i4>
      </vt:variant>
      <vt:variant>
        <vt:i4>8</vt:i4>
      </vt:variant>
      <vt:variant>
        <vt:i4>0</vt:i4>
      </vt:variant>
      <vt:variant>
        <vt:i4>5</vt:i4>
      </vt:variant>
      <vt:variant>
        <vt:lpwstr/>
      </vt:variant>
      <vt:variant>
        <vt:lpwstr>_Toc365972065</vt:lpwstr>
      </vt:variant>
      <vt:variant>
        <vt:i4>1835057</vt:i4>
      </vt:variant>
      <vt:variant>
        <vt:i4>2</vt:i4>
      </vt:variant>
      <vt:variant>
        <vt:i4>0</vt:i4>
      </vt:variant>
      <vt:variant>
        <vt:i4>5</vt:i4>
      </vt:variant>
      <vt:variant>
        <vt:lpwstr/>
      </vt:variant>
      <vt:variant>
        <vt:lpwstr>_Toc365972064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2013-09-17T15:13:00Z</cp:lastPrinted>
  <dcterms:created xsi:type="dcterms:W3CDTF">2013-09-17T20:37:00Z</dcterms:created>
  <dcterms:modified xsi:type="dcterms:W3CDTF">2013-09-17T20:37:00Z</dcterms:modified>
  <cp:category> </cp:category>
  <cp:contentStatus> </cp:contentStatus>
</cp:coreProperties>
</file>