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68" w:rsidRDefault="004A2068" w:rsidP="004B6A57">
      <w:pPr>
        <w:suppressAutoHyphens/>
        <w:rPr>
          <w:sz w:val="22"/>
          <w:szCs w:val="22"/>
        </w:rPr>
      </w:pPr>
      <w:bookmarkStart w:id="0" w:name="_GoBack"/>
      <w:bookmarkEnd w:id="0"/>
    </w:p>
    <w:p w:rsidR="004A2068" w:rsidRDefault="00C72965" w:rsidP="004B6A57">
      <w:pPr>
        <w:suppressAutoHyphens/>
        <w:rPr>
          <w:sz w:val="22"/>
          <w:szCs w:val="22"/>
        </w:rPr>
      </w:pPr>
      <w:r>
        <w:rPr>
          <w:sz w:val="22"/>
          <w:szCs w:val="22"/>
        </w:rPr>
        <w:t>Lewis J. Paper, Esq.</w:t>
      </w:r>
    </w:p>
    <w:p w:rsidR="00C72965" w:rsidRDefault="00C72965" w:rsidP="004B6A57">
      <w:pPr>
        <w:suppressAutoHyphens/>
        <w:rPr>
          <w:sz w:val="22"/>
          <w:szCs w:val="22"/>
        </w:rPr>
      </w:pPr>
      <w:r>
        <w:rPr>
          <w:sz w:val="22"/>
          <w:szCs w:val="22"/>
        </w:rPr>
        <w:t>Pillsbury Winthrop Shaw Pittman LLP</w:t>
      </w:r>
    </w:p>
    <w:p w:rsidR="00C72965" w:rsidRDefault="00C72965" w:rsidP="004B6A57">
      <w:pPr>
        <w:suppressAutoHyphens/>
        <w:rPr>
          <w:sz w:val="22"/>
          <w:szCs w:val="22"/>
        </w:rPr>
      </w:pPr>
      <w:r>
        <w:rPr>
          <w:sz w:val="22"/>
          <w:szCs w:val="22"/>
        </w:rPr>
        <w:t>2300 N Street, N.W.</w:t>
      </w:r>
    </w:p>
    <w:p w:rsidR="00C72965" w:rsidRDefault="00C72965" w:rsidP="004B6A57">
      <w:pPr>
        <w:suppressAutoHyphens/>
        <w:rPr>
          <w:sz w:val="22"/>
          <w:szCs w:val="22"/>
        </w:rPr>
      </w:pPr>
      <w:r>
        <w:rPr>
          <w:sz w:val="22"/>
          <w:szCs w:val="22"/>
        </w:rPr>
        <w:t>Washington DC 20037-1122</w:t>
      </w:r>
    </w:p>
    <w:p w:rsidR="00C72965" w:rsidRDefault="00C72965" w:rsidP="004B6A57">
      <w:pPr>
        <w:suppressAutoHyphens/>
        <w:rPr>
          <w:sz w:val="22"/>
          <w:szCs w:val="22"/>
        </w:rPr>
      </w:pPr>
    </w:p>
    <w:p w:rsidR="00C72965" w:rsidRDefault="00C72965" w:rsidP="004B6A57">
      <w:pPr>
        <w:suppressAutoHyphens/>
        <w:rPr>
          <w:sz w:val="22"/>
          <w:szCs w:val="22"/>
        </w:rPr>
      </w:pPr>
      <w:r>
        <w:rPr>
          <w:sz w:val="22"/>
          <w:szCs w:val="22"/>
        </w:rPr>
        <w:t>Larry Perry, Esq.</w:t>
      </w:r>
    </w:p>
    <w:p w:rsidR="00C72965" w:rsidRDefault="00C72965" w:rsidP="004B6A57">
      <w:pPr>
        <w:suppressAutoHyphens/>
        <w:rPr>
          <w:sz w:val="22"/>
          <w:szCs w:val="22"/>
        </w:rPr>
      </w:pPr>
      <w:r>
        <w:rPr>
          <w:sz w:val="22"/>
          <w:szCs w:val="22"/>
        </w:rPr>
        <w:t>11464 Saga Lane</w:t>
      </w:r>
    </w:p>
    <w:p w:rsidR="00C72965" w:rsidRDefault="00C72965" w:rsidP="004B6A57">
      <w:pPr>
        <w:suppressAutoHyphens/>
        <w:rPr>
          <w:sz w:val="22"/>
          <w:szCs w:val="22"/>
        </w:rPr>
      </w:pPr>
      <w:r>
        <w:rPr>
          <w:sz w:val="22"/>
          <w:szCs w:val="22"/>
        </w:rPr>
        <w:t>Suite 400</w:t>
      </w:r>
    </w:p>
    <w:p w:rsidR="00C72965" w:rsidRDefault="00C72965" w:rsidP="004B6A57">
      <w:pPr>
        <w:suppressAutoHyphens/>
        <w:rPr>
          <w:sz w:val="22"/>
          <w:szCs w:val="22"/>
        </w:rPr>
      </w:pPr>
      <w:r>
        <w:rPr>
          <w:sz w:val="22"/>
          <w:szCs w:val="22"/>
        </w:rPr>
        <w:t>Knoxville TN 37931-2819</w:t>
      </w:r>
    </w:p>
    <w:p w:rsidR="00C72965" w:rsidRPr="004B6A57" w:rsidRDefault="00C72965" w:rsidP="004B6A57">
      <w:pPr>
        <w:suppressAutoHyphens/>
        <w:rPr>
          <w:sz w:val="22"/>
          <w:szCs w:val="22"/>
        </w:rPr>
      </w:pPr>
    </w:p>
    <w:p w:rsidR="00C14B7C" w:rsidRDefault="00C14B7C">
      <w:pPr>
        <w:rPr>
          <w:sz w:val="22"/>
          <w:szCs w:val="22"/>
        </w:rPr>
      </w:pPr>
    </w:p>
    <w:p w:rsidR="00CA1D8D" w:rsidRPr="00874AF0" w:rsidRDefault="00CA1D8D">
      <w:pPr>
        <w:rPr>
          <w:b/>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74AF0">
        <w:rPr>
          <w:sz w:val="22"/>
          <w:szCs w:val="22"/>
        </w:rPr>
        <w:t>In re:</w:t>
      </w:r>
      <w:r w:rsidRPr="00874AF0">
        <w:rPr>
          <w:sz w:val="22"/>
          <w:szCs w:val="22"/>
        </w:rPr>
        <w:tab/>
      </w:r>
      <w:r w:rsidR="00047555" w:rsidRPr="00047555">
        <w:rPr>
          <w:b/>
          <w:sz w:val="22"/>
          <w:szCs w:val="22"/>
        </w:rPr>
        <w:t>K</w:t>
      </w:r>
      <w:r w:rsidR="00C72965">
        <w:rPr>
          <w:b/>
          <w:sz w:val="22"/>
          <w:szCs w:val="22"/>
        </w:rPr>
        <w:t>TDK(FM), Sanger, TX</w:t>
      </w:r>
    </w:p>
    <w:p w:rsidR="00CA1D8D" w:rsidRPr="00874AF0" w:rsidRDefault="00CA1D8D">
      <w:pPr>
        <w:rPr>
          <w:sz w:val="22"/>
          <w:szCs w:val="22"/>
        </w:rPr>
      </w:pP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874AF0">
        <w:rPr>
          <w:sz w:val="22"/>
          <w:szCs w:val="22"/>
        </w:rPr>
        <w:t xml:space="preserve">Facility ID No. </w:t>
      </w:r>
      <w:r w:rsidR="00C72965">
        <w:rPr>
          <w:sz w:val="22"/>
          <w:szCs w:val="22"/>
        </w:rPr>
        <w:t>26146</w:t>
      </w:r>
    </w:p>
    <w:p w:rsidR="00CA1D8D" w:rsidRDefault="00CA1D8D">
      <w:pPr>
        <w:rPr>
          <w:sz w:val="22"/>
          <w:szCs w:val="22"/>
        </w:rPr>
      </w:pP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b/>
          <w:sz w:val="22"/>
          <w:szCs w:val="22"/>
        </w:rPr>
        <w:tab/>
      </w:r>
      <w:r w:rsidRPr="0026122F">
        <w:rPr>
          <w:sz w:val="22"/>
          <w:szCs w:val="22"/>
        </w:rPr>
        <w:t>File No. B</w:t>
      </w:r>
      <w:r w:rsidR="00EB1F7C">
        <w:rPr>
          <w:sz w:val="22"/>
          <w:szCs w:val="22"/>
        </w:rPr>
        <w:t>AL-20</w:t>
      </w:r>
      <w:r w:rsidR="00C72965">
        <w:rPr>
          <w:sz w:val="22"/>
          <w:szCs w:val="22"/>
        </w:rPr>
        <w:t>130701ADA</w:t>
      </w:r>
    </w:p>
    <w:p w:rsidR="00C72965" w:rsidRDefault="00C72965" w:rsidP="00AA31FA">
      <w:pPr>
        <w:ind w:left="5760"/>
        <w:rPr>
          <w:b/>
          <w:sz w:val="22"/>
          <w:szCs w:val="22"/>
        </w:rPr>
      </w:pPr>
    </w:p>
    <w:p w:rsidR="00CA1D8D" w:rsidRDefault="00CA1D8D" w:rsidP="00AA31FA">
      <w:pPr>
        <w:ind w:left="5760"/>
        <w:rPr>
          <w:sz w:val="24"/>
          <w:szCs w:val="24"/>
        </w:rPr>
      </w:pPr>
      <w:r w:rsidRPr="00D658D7">
        <w:rPr>
          <w:b/>
          <w:sz w:val="22"/>
          <w:szCs w:val="22"/>
        </w:rPr>
        <w:t xml:space="preserve">Application for </w:t>
      </w:r>
      <w:r w:rsidR="00C72965">
        <w:rPr>
          <w:b/>
          <w:sz w:val="22"/>
          <w:szCs w:val="22"/>
        </w:rPr>
        <w:t xml:space="preserve">Consent to </w:t>
      </w:r>
      <w:r w:rsidR="00EB1F7C" w:rsidRPr="00D658D7">
        <w:rPr>
          <w:b/>
          <w:sz w:val="22"/>
          <w:szCs w:val="22"/>
        </w:rPr>
        <w:t>Assignment</w:t>
      </w:r>
      <w:r w:rsidRPr="00D658D7">
        <w:rPr>
          <w:b/>
          <w:sz w:val="22"/>
          <w:szCs w:val="22"/>
        </w:rPr>
        <w:t xml:space="preserve"> of</w:t>
      </w:r>
      <w:r w:rsidR="00047555">
        <w:rPr>
          <w:b/>
          <w:sz w:val="22"/>
          <w:szCs w:val="22"/>
        </w:rPr>
        <w:t xml:space="preserve"> </w:t>
      </w:r>
      <w:r w:rsidRPr="00D658D7">
        <w:rPr>
          <w:b/>
          <w:sz w:val="22"/>
          <w:szCs w:val="22"/>
        </w:rPr>
        <w:t>License</w:t>
      </w:r>
    </w:p>
    <w:p w:rsidR="00CA1D8D" w:rsidRPr="00FE3993" w:rsidRDefault="00CA1D8D">
      <w:pPr>
        <w:rPr>
          <w:b/>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A1D8D" w:rsidRPr="0026122F" w:rsidRDefault="00CA1D8D">
      <w:pPr>
        <w:rPr>
          <w:sz w:val="22"/>
          <w:szCs w:val="22"/>
        </w:rPr>
      </w:pPr>
    </w:p>
    <w:p w:rsidR="00813DB0" w:rsidRDefault="00CA1D8D" w:rsidP="00813DB0">
      <w:pPr>
        <w:rPr>
          <w:sz w:val="22"/>
          <w:szCs w:val="22"/>
        </w:rPr>
      </w:pPr>
      <w:r w:rsidRPr="0026122F">
        <w:rPr>
          <w:sz w:val="22"/>
          <w:szCs w:val="22"/>
        </w:rPr>
        <w:t xml:space="preserve">Dear </w:t>
      </w:r>
      <w:r w:rsidR="00872E50">
        <w:rPr>
          <w:sz w:val="22"/>
          <w:szCs w:val="22"/>
        </w:rPr>
        <w:t>Counsel</w:t>
      </w:r>
      <w:r w:rsidR="00047555">
        <w:rPr>
          <w:sz w:val="22"/>
          <w:szCs w:val="22"/>
        </w:rPr>
        <w:t>:</w:t>
      </w:r>
    </w:p>
    <w:p w:rsidR="00F52AC6" w:rsidRDefault="00F52AC6">
      <w:pPr>
        <w:rPr>
          <w:sz w:val="22"/>
          <w:szCs w:val="22"/>
        </w:rPr>
      </w:pPr>
    </w:p>
    <w:p w:rsidR="005A7DEE" w:rsidRDefault="00F52AC6" w:rsidP="00716289">
      <w:pPr>
        <w:ind w:right="-360" w:firstLine="720"/>
        <w:rPr>
          <w:sz w:val="22"/>
          <w:szCs w:val="22"/>
        </w:rPr>
      </w:pPr>
      <w:r w:rsidRPr="00E25D16">
        <w:rPr>
          <w:sz w:val="22"/>
          <w:szCs w:val="22"/>
        </w:rPr>
        <w:t>We have before us the above-captioned application</w:t>
      </w:r>
      <w:r w:rsidR="00C72965">
        <w:rPr>
          <w:sz w:val="22"/>
          <w:szCs w:val="22"/>
        </w:rPr>
        <w:t xml:space="preserve"> (“Assignment Application”)</w:t>
      </w:r>
      <w:r w:rsidRPr="00E25D16">
        <w:rPr>
          <w:sz w:val="22"/>
          <w:szCs w:val="22"/>
        </w:rPr>
        <w:t xml:space="preserve"> </w:t>
      </w:r>
      <w:r w:rsidR="006E5A44">
        <w:rPr>
          <w:sz w:val="22"/>
          <w:szCs w:val="22"/>
        </w:rPr>
        <w:t>seeking approval for</w:t>
      </w:r>
      <w:r w:rsidR="00B04733">
        <w:rPr>
          <w:sz w:val="22"/>
          <w:szCs w:val="22"/>
        </w:rPr>
        <w:t xml:space="preserve"> </w:t>
      </w:r>
      <w:r w:rsidR="00C72965">
        <w:rPr>
          <w:sz w:val="22"/>
          <w:szCs w:val="22"/>
        </w:rPr>
        <w:t>a</w:t>
      </w:r>
      <w:r w:rsidR="006E5A44">
        <w:rPr>
          <w:sz w:val="22"/>
          <w:szCs w:val="22"/>
        </w:rPr>
        <w:t xml:space="preserve"> proposed assignment of </w:t>
      </w:r>
      <w:r w:rsidRPr="00E25D16">
        <w:rPr>
          <w:sz w:val="22"/>
          <w:szCs w:val="22"/>
        </w:rPr>
        <w:t xml:space="preserve">license </w:t>
      </w:r>
      <w:r w:rsidR="006E5A44">
        <w:rPr>
          <w:sz w:val="22"/>
          <w:szCs w:val="22"/>
        </w:rPr>
        <w:t>for</w:t>
      </w:r>
      <w:r w:rsidR="00C72965">
        <w:rPr>
          <w:sz w:val="22"/>
          <w:szCs w:val="22"/>
        </w:rPr>
        <w:t xml:space="preserve"> Station KTDK(FM), Sanger, TX (the “Station”) from Susquehanna Radio Corp.</w:t>
      </w:r>
      <w:r w:rsidR="00716289">
        <w:rPr>
          <w:sz w:val="22"/>
          <w:szCs w:val="22"/>
        </w:rPr>
        <w:t>, a subsidiary of Cumulus Media, Inc.</w:t>
      </w:r>
      <w:r w:rsidR="00C72965">
        <w:rPr>
          <w:sz w:val="22"/>
          <w:szCs w:val="22"/>
        </w:rPr>
        <w:t xml:space="preserve"> (“Cumulus”)</w:t>
      </w:r>
      <w:r w:rsidR="00716289">
        <w:rPr>
          <w:sz w:val="22"/>
          <w:szCs w:val="22"/>
        </w:rPr>
        <w:t>, to Whitley Media LLC (“Whitley”).</w:t>
      </w:r>
      <w:r w:rsidR="00F02B9F">
        <w:rPr>
          <w:sz w:val="22"/>
          <w:szCs w:val="22"/>
        </w:rPr>
        <w:t xml:space="preserve">  </w:t>
      </w:r>
      <w:r w:rsidR="002E10FA">
        <w:rPr>
          <w:sz w:val="22"/>
          <w:szCs w:val="22"/>
        </w:rPr>
        <w:t>F</w:t>
      </w:r>
      <w:r w:rsidRPr="00E25D16">
        <w:rPr>
          <w:sz w:val="22"/>
          <w:szCs w:val="22"/>
        </w:rPr>
        <w:t>or th</w:t>
      </w:r>
      <w:r w:rsidR="00664C4B">
        <w:rPr>
          <w:sz w:val="22"/>
          <w:szCs w:val="22"/>
        </w:rPr>
        <w:t>e</w:t>
      </w:r>
      <w:r w:rsidRPr="00E25D16">
        <w:rPr>
          <w:sz w:val="22"/>
          <w:szCs w:val="22"/>
        </w:rPr>
        <w:t xml:space="preserve"> reasons stated below, we </w:t>
      </w:r>
      <w:r w:rsidR="00DB4E70">
        <w:rPr>
          <w:sz w:val="22"/>
          <w:szCs w:val="22"/>
        </w:rPr>
        <w:t xml:space="preserve">dismiss the </w:t>
      </w:r>
      <w:r w:rsidR="005A7DEE">
        <w:rPr>
          <w:sz w:val="22"/>
          <w:szCs w:val="22"/>
        </w:rPr>
        <w:t>Assignment Application as inadvertently accepted for filing, pursuant to Section 73.3566(a) of the Commission’s Rules (the “Rules”).</w:t>
      </w:r>
      <w:r w:rsidR="005A7DEE">
        <w:rPr>
          <w:rStyle w:val="FootnoteReference"/>
          <w:sz w:val="22"/>
          <w:szCs w:val="22"/>
        </w:rPr>
        <w:footnoteReference w:id="1"/>
      </w:r>
    </w:p>
    <w:p w:rsidR="00F52AC6" w:rsidRDefault="005A7DEE" w:rsidP="00F52AC6">
      <w:pPr>
        <w:ind w:right="-360" w:firstLine="720"/>
        <w:rPr>
          <w:sz w:val="22"/>
          <w:szCs w:val="22"/>
        </w:rPr>
      </w:pPr>
      <w:r>
        <w:rPr>
          <w:sz w:val="22"/>
          <w:szCs w:val="22"/>
        </w:rPr>
        <w:t xml:space="preserve">  </w:t>
      </w:r>
      <w:r w:rsidR="00817E77">
        <w:rPr>
          <w:sz w:val="22"/>
          <w:szCs w:val="22"/>
        </w:rPr>
        <w:t xml:space="preserve">  </w:t>
      </w:r>
      <w:r w:rsidR="00D71CAF">
        <w:rPr>
          <w:sz w:val="22"/>
          <w:szCs w:val="22"/>
        </w:rPr>
        <w:t xml:space="preserve">  </w:t>
      </w:r>
      <w:r w:rsidR="00817E77">
        <w:rPr>
          <w:sz w:val="22"/>
          <w:szCs w:val="22"/>
        </w:rPr>
        <w:t xml:space="preserve">  </w:t>
      </w:r>
    </w:p>
    <w:p w:rsidR="00CC5AE8" w:rsidRDefault="00DA79D6" w:rsidP="00D71CAF">
      <w:pPr>
        <w:rPr>
          <w:sz w:val="22"/>
          <w:szCs w:val="22"/>
        </w:rPr>
      </w:pPr>
      <w:r>
        <w:rPr>
          <w:sz w:val="22"/>
          <w:szCs w:val="22"/>
        </w:rPr>
        <w:tab/>
      </w:r>
      <w:r w:rsidRPr="009935B3">
        <w:rPr>
          <w:b/>
          <w:sz w:val="22"/>
          <w:szCs w:val="22"/>
        </w:rPr>
        <w:t>Background.</w:t>
      </w:r>
      <w:r w:rsidRPr="009935B3">
        <w:rPr>
          <w:sz w:val="22"/>
          <w:szCs w:val="22"/>
        </w:rPr>
        <w:t xml:space="preserve"> </w:t>
      </w:r>
      <w:r w:rsidR="006222C0">
        <w:rPr>
          <w:sz w:val="22"/>
          <w:szCs w:val="22"/>
        </w:rPr>
        <w:t xml:space="preserve"> </w:t>
      </w:r>
      <w:r w:rsidR="00205423">
        <w:rPr>
          <w:sz w:val="22"/>
          <w:szCs w:val="22"/>
        </w:rPr>
        <w:t>The Station is located</w:t>
      </w:r>
      <w:r w:rsidR="00DB70C6">
        <w:rPr>
          <w:sz w:val="22"/>
          <w:szCs w:val="22"/>
        </w:rPr>
        <w:t xml:space="preserve"> in the Dallas – Ft. Worth, TX radio market, the fifth-largest radio market in the country.</w:t>
      </w:r>
      <w:r w:rsidR="00205423">
        <w:rPr>
          <w:rStyle w:val="FootnoteReference"/>
          <w:sz w:val="22"/>
          <w:szCs w:val="22"/>
        </w:rPr>
        <w:footnoteReference w:id="2"/>
      </w:r>
      <w:r w:rsidR="00205423">
        <w:rPr>
          <w:sz w:val="22"/>
          <w:szCs w:val="22"/>
        </w:rPr>
        <w:t xml:space="preserve">  In that market, a party may own or hold attributable interests in up to eight radio stations, no more than five of which may be in the same service (AM or FM).</w:t>
      </w:r>
      <w:r w:rsidR="00205423">
        <w:rPr>
          <w:rStyle w:val="FootnoteReference"/>
          <w:sz w:val="22"/>
          <w:szCs w:val="22"/>
        </w:rPr>
        <w:footnoteReference w:id="3"/>
      </w:r>
      <w:r w:rsidR="00205423">
        <w:rPr>
          <w:sz w:val="22"/>
          <w:szCs w:val="22"/>
        </w:rPr>
        <w:t xml:space="preserve">  Cumulus, through </w:t>
      </w:r>
      <w:r w:rsidR="00205423">
        <w:rPr>
          <w:sz w:val="22"/>
          <w:szCs w:val="22"/>
        </w:rPr>
        <w:lastRenderedPageBreak/>
        <w:t>subsidiaries, currently owns five FM stations (including the Station) and three AM stations in the market.</w:t>
      </w:r>
      <w:r w:rsidR="00205423">
        <w:rPr>
          <w:rStyle w:val="FootnoteReference"/>
          <w:sz w:val="22"/>
          <w:szCs w:val="22"/>
        </w:rPr>
        <w:footnoteReference w:id="4"/>
      </w:r>
      <w:r w:rsidR="00D7060D">
        <w:rPr>
          <w:sz w:val="22"/>
          <w:szCs w:val="22"/>
        </w:rPr>
        <w:t xml:space="preserve">  Cumulus describes itself as “America’s second largest operator of radio stations.”</w:t>
      </w:r>
      <w:r w:rsidR="00D7060D">
        <w:rPr>
          <w:rStyle w:val="FootnoteReference"/>
          <w:sz w:val="22"/>
          <w:szCs w:val="22"/>
        </w:rPr>
        <w:footnoteReference w:id="5"/>
      </w:r>
    </w:p>
    <w:p w:rsidR="003158B2" w:rsidRDefault="003158B2" w:rsidP="00D71CAF">
      <w:pPr>
        <w:rPr>
          <w:sz w:val="22"/>
          <w:szCs w:val="22"/>
        </w:rPr>
      </w:pPr>
    </w:p>
    <w:p w:rsidR="003158B2" w:rsidRDefault="003158B2" w:rsidP="00D71CAF">
      <w:pPr>
        <w:rPr>
          <w:sz w:val="22"/>
          <w:szCs w:val="22"/>
        </w:rPr>
      </w:pPr>
      <w:r>
        <w:rPr>
          <w:sz w:val="22"/>
          <w:szCs w:val="22"/>
        </w:rPr>
        <w:tab/>
        <w:t>Whitley is wholly owned by William Whitley.  Mr. Whitley holds no attributable media interest in the Dallas – Ft. Worth, TX radio market.</w:t>
      </w:r>
      <w:r w:rsidR="00D7060D">
        <w:rPr>
          <w:sz w:val="22"/>
          <w:szCs w:val="22"/>
        </w:rPr>
        <w:t xml:space="preserve">  Mr. Whitley has more than thirty years of experience as a media broker and has completed more than $300,000,000 in broadcasting transactions in that capacity.</w:t>
      </w:r>
      <w:r w:rsidR="00D7060D">
        <w:rPr>
          <w:rStyle w:val="FootnoteReference"/>
          <w:sz w:val="22"/>
          <w:szCs w:val="22"/>
        </w:rPr>
        <w:footnoteReference w:id="6"/>
      </w:r>
      <w:r w:rsidR="00D7060D">
        <w:rPr>
          <w:sz w:val="22"/>
          <w:szCs w:val="22"/>
        </w:rPr>
        <w:t xml:space="preserve">  He works in the Dallas office of Media Services Group, a nationally recognized media brokerage firm.</w:t>
      </w:r>
      <w:r w:rsidR="000B6691">
        <w:rPr>
          <w:rStyle w:val="FootnoteReference"/>
          <w:sz w:val="22"/>
          <w:szCs w:val="22"/>
        </w:rPr>
        <w:footnoteReference w:id="7"/>
      </w:r>
    </w:p>
    <w:p w:rsidR="0002757C" w:rsidRDefault="0002757C" w:rsidP="00D71CAF">
      <w:pPr>
        <w:rPr>
          <w:sz w:val="22"/>
          <w:szCs w:val="22"/>
        </w:rPr>
      </w:pPr>
    </w:p>
    <w:p w:rsidR="0002757C" w:rsidRDefault="0002757C" w:rsidP="00D71CAF">
      <w:pPr>
        <w:rPr>
          <w:sz w:val="22"/>
          <w:szCs w:val="22"/>
        </w:rPr>
      </w:pPr>
      <w:r>
        <w:rPr>
          <w:sz w:val="22"/>
          <w:szCs w:val="22"/>
        </w:rPr>
        <w:tab/>
        <w:t xml:space="preserve">The </w:t>
      </w:r>
      <w:r w:rsidR="009E0EF9">
        <w:rPr>
          <w:sz w:val="22"/>
          <w:szCs w:val="22"/>
        </w:rPr>
        <w:t xml:space="preserve">Assignment </w:t>
      </w:r>
      <w:r>
        <w:rPr>
          <w:sz w:val="22"/>
          <w:szCs w:val="22"/>
        </w:rPr>
        <w:t>Application includes an Amended Asset Purchase Agreement (“APA”) submitted by the parties.  The APA, executed on July 10, 2013, contains customary terms and conditions for a station sale.  However, the consideration section of the APA reads as follows:</w:t>
      </w:r>
    </w:p>
    <w:p w:rsidR="0002757C" w:rsidRDefault="0002757C" w:rsidP="00D71CAF">
      <w:pPr>
        <w:rPr>
          <w:sz w:val="22"/>
          <w:szCs w:val="22"/>
        </w:rPr>
      </w:pPr>
    </w:p>
    <w:p w:rsidR="0002757C" w:rsidRDefault="0002757C" w:rsidP="0002757C">
      <w:pPr>
        <w:ind w:left="1440" w:right="1440"/>
        <w:rPr>
          <w:sz w:val="22"/>
          <w:szCs w:val="22"/>
        </w:rPr>
      </w:pPr>
      <w:r w:rsidRPr="00570F82">
        <w:rPr>
          <w:b/>
          <w:sz w:val="22"/>
          <w:szCs w:val="22"/>
        </w:rPr>
        <w:t>1.4.  Consideration.</w:t>
      </w:r>
      <w:r>
        <w:rPr>
          <w:sz w:val="22"/>
          <w:szCs w:val="22"/>
        </w:rPr>
        <w:t xml:space="preserve">  In consideration for the sale of the Station Assets, Buyer shall pay Seller (a) One Hundred Dollars ($100) in cash at Closing by wire transfer of immediately available funds and (b) all proceeds which Buyer receives from the subsequent sale of the Station Assets, less (i) Fifty Thousand Dollars ($50,000), (ii) all reasonable expenses incurred by Buyer from the operation of the Station and the ownership and holding of the Station Assets</w:t>
      </w:r>
      <w:r w:rsidR="00570F82">
        <w:rPr>
          <w:sz w:val="22"/>
          <w:szCs w:val="22"/>
        </w:rPr>
        <w:t xml:space="preserve"> after Closing, if and to the extent that such expenses exceed any income derived from the operation of the Station after Closing, and (iii) all reasonable expenses incurred by Buyer in the marketing and subsequent sale of the Station (collectively, the “</w:t>
      </w:r>
      <w:r w:rsidR="00570F82" w:rsidRPr="00570F82">
        <w:rPr>
          <w:sz w:val="22"/>
          <w:szCs w:val="22"/>
          <w:u w:val="single"/>
        </w:rPr>
        <w:t>Purchase Price</w:t>
      </w:r>
      <w:r w:rsidR="00570F82">
        <w:rPr>
          <w:sz w:val="22"/>
          <w:szCs w:val="22"/>
        </w:rPr>
        <w:t>”); provided, that Buyer shall use commercially reasonable efforts to sell the Station Assets for the maximum amount of consideration available in the market.  Except for the monies specified in subsection (b) [sic]</w:t>
      </w:r>
      <w:r w:rsidR="00570F82">
        <w:rPr>
          <w:rStyle w:val="FootnoteReference"/>
          <w:sz w:val="22"/>
          <w:szCs w:val="22"/>
        </w:rPr>
        <w:footnoteReference w:id="8"/>
      </w:r>
      <w:r w:rsidR="00570F82">
        <w:rPr>
          <w:sz w:val="22"/>
          <w:szCs w:val="22"/>
        </w:rPr>
        <w:t xml:space="preserve"> hereof, the remaining portion of the Purchase Price shall be paid to Seller on the date on which the subsequent sale of the Station Assets is consummated.</w:t>
      </w:r>
      <w:r w:rsidR="00F36E59">
        <w:rPr>
          <w:rStyle w:val="FootnoteReference"/>
          <w:sz w:val="22"/>
          <w:szCs w:val="22"/>
        </w:rPr>
        <w:footnoteReference w:id="9"/>
      </w:r>
    </w:p>
    <w:p w:rsidR="00CC5AE8" w:rsidRDefault="00CC5AE8" w:rsidP="00D71CAF">
      <w:pPr>
        <w:rPr>
          <w:sz w:val="22"/>
          <w:szCs w:val="22"/>
        </w:rPr>
      </w:pPr>
    </w:p>
    <w:p w:rsidR="00F85232" w:rsidRDefault="00F85232" w:rsidP="00F85232">
      <w:pPr>
        <w:ind w:firstLine="720"/>
        <w:rPr>
          <w:sz w:val="22"/>
          <w:szCs w:val="22"/>
        </w:rPr>
      </w:pPr>
      <w:r>
        <w:rPr>
          <w:sz w:val="22"/>
          <w:szCs w:val="22"/>
        </w:rPr>
        <w:t xml:space="preserve">      </w:t>
      </w:r>
    </w:p>
    <w:p w:rsidR="00671269" w:rsidRDefault="009935B3" w:rsidP="00613544">
      <w:pPr>
        <w:ind w:firstLine="720"/>
        <w:rPr>
          <w:sz w:val="22"/>
          <w:szCs w:val="22"/>
        </w:rPr>
      </w:pPr>
      <w:r w:rsidRPr="009935B3">
        <w:rPr>
          <w:b/>
          <w:sz w:val="22"/>
          <w:szCs w:val="22"/>
        </w:rPr>
        <w:lastRenderedPageBreak/>
        <w:t>Discussion.</w:t>
      </w:r>
      <w:r w:rsidR="003E62AA">
        <w:rPr>
          <w:sz w:val="22"/>
          <w:szCs w:val="22"/>
        </w:rPr>
        <w:t xml:space="preserve">  Section 310(d) of the Communications Act of 1934, as amended (the “Act”) requires Commission review and approval of any assignment of a broadcast station license.</w:t>
      </w:r>
      <w:r w:rsidR="003E62AA">
        <w:rPr>
          <w:rStyle w:val="FootnoteReference"/>
          <w:sz w:val="22"/>
          <w:szCs w:val="22"/>
        </w:rPr>
        <w:footnoteReference w:id="10"/>
      </w:r>
      <w:r w:rsidR="0044135C">
        <w:rPr>
          <w:sz w:val="22"/>
          <w:szCs w:val="22"/>
        </w:rPr>
        <w:t xml:space="preserve">  In assessing transactions, Commission precedent holds that “we must examine the economic realities of the transactions under review and not simply the labels attached by the parties.”</w:t>
      </w:r>
      <w:r w:rsidR="0044135C">
        <w:rPr>
          <w:rStyle w:val="FootnoteReference"/>
          <w:sz w:val="22"/>
          <w:szCs w:val="22"/>
        </w:rPr>
        <w:footnoteReference w:id="11"/>
      </w:r>
      <w:r w:rsidR="00671269">
        <w:rPr>
          <w:sz w:val="22"/>
          <w:szCs w:val="22"/>
        </w:rPr>
        <w:t xml:space="preserve">  A review of Commission case law</w:t>
      </w:r>
      <w:r w:rsidR="00622662">
        <w:rPr>
          <w:sz w:val="22"/>
          <w:szCs w:val="22"/>
        </w:rPr>
        <w:t>, as set forth below,</w:t>
      </w:r>
      <w:r w:rsidR="00671269">
        <w:rPr>
          <w:sz w:val="22"/>
          <w:szCs w:val="22"/>
        </w:rPr>
        <w:t xml:space="preserve"> shows that the Commission and its staff have done so in a variety of circumstances</w:t>
      </w:r>
      <w:r w:rsidR="009214F8">
        <w:rPr>
          <w:sz w:val="22"/>
          <w:szCs w:val="22"/>
        </w:rPr>
        <w:t>, focusing on risk of loss and potential for profits as key indicia of ownership and control of a broadcast station</w:t>
      </w:r>
      <w:r w:rsidR="00671269">
        <w:rPr>
          <w:sz w:val="22"/>
          <w:szCs w:val="22"/>
        </w:rPr>
        <w:t>.</w:t>
      </w:r>
      <w:r w:rsidR="00E905FF">
        <w:rPr>
          <w:sz w:val="22"/>
          <w:szCs w:val="22"/>
        </w:rPr>
        <w:t xml:space="preserve">  </w:t>
      </w:r>
    </w:p>
    <w:p w:rsidR="00671269" w:rsidRDefault="00671269" w:rsidP="00613544">
      <w:pPr>
        <w:ind w:firstLine="720"/>
        <w:rPr>
          <w:sz w:val="22"/>
          <w:szCs w:val="22"/>
        </w:rPr>
      </w:pPr>
    </w:p>
    <w:p w:rsidR="00F36E59" w:rsidRDefault="00E905FF" w:rsidP="00613544">
      <w:pPr>
        <w:ind w:firstLine="720"/>
        <w:rPr>
          <w:sz w:val="22"/>
          <w:szCs w:val="22"/>
        </w:rPr>
      </w:pPr>
      <w:r>
        <w:rPr>
          <w:sz w:val="22"/>
          <w:szCs w:val="22"/>
        </w:rPr>
        <w:t xml:space="preserve">In a transaction involving </w:t>
      </w:r>
      <w:r w:rsidR="00BC5457">
        <w:rPr>
          <w:sz w:val="22"/>
          <w:szCs w:val="22"/>
        </w:rPr>
        <w:t xml:space="preserve">a time brokerage arrangement that was found to violate the Commission’s policy on licensee control of </w:t>
      </w:r>
      <w:r w:rsidR="009214F8">
        <w:rPr>
          <w:sz w:val="22"/>
          <w:szCs w:val="22"/>
        </w:rPr>
        <w:t>broadcast</w:t>
      </w:r>
      <w:r w:rsidR="00BC5457">
        <w:rPr>
          <w:sz w:val="22"/>
          <w:szCs w:val="22"/>
        </w:rPr>
        <w:t xml:space="preserve"> stations</w:t>
      </w:r>
      <w:r>
        <w:rPr>
          <w:sz w:val="22"/>
          <w:szCs w:val="22"/>
        </w:rPr>
        <w:t>, the</w:t>
      </w:r>
      <w:r w:rsidR="00645164">
        <w:rPr>
          <w:sz w:val="22"/>
          <w:szCs w:val="22"/>
        </w:rPr>
        <w:t xml:space="preserve"> </w:t>
      </w:r>
      <w:r w:rsidR="00671269">
        <w:rPr>
          <w:sz w:val="22"/>
          <w:szCs w:val="22"/>
        </w:rPr>
        <w:t xml:space="preserve">Mass Media Bureau </w:t>
      </w:r>
      <w:r>
        <w:rPr>
          <w:sz w:val="22"/>
          <w:szCs w:val="22"/>
        </w:rPr>
        <w:t>examined the financial relationships among the licensee (</w:t>
      </w:r>
      <w:r w:rsidR="009E0EF9">
        <w:rPr>
          <w:sz w:val="22"/>
          <w:szCs w:val="22"/>
        </w:rPr>
        <w:t>“</w:t>
      </w:r>
      <w:r>
        <w:rPr>
          <w:sz w:val="22"/>
          <w:szCs w:val="22"/>
        </w:rPr>
        <w:t>King</w:t>
      </w:r>
      <w:r w:rsidR="009E0EF9">
        <w:rPr>
          <w:sz w:val="22"/>
          <w:szCs w:val="22"/>
        </w:rPr>
        <w:t>”</w:t>
      </w:r>
      <w:r>
        <w:rPr>
          <w:sz w:val="22"/>
          <w:szCs w:val="22"/>
        </w:rPr>
        <w:t xml:space="preserve">), </w:t>
      </w:r>
      <w:r w:rsidR="00BC5457">
        <w:rPr>
          <w:sz w:val="22"/>
          <w:szCs w:val="22"/>
        </w:rPr>
        <w:t>the time broker (</w:t>
      </w:r>
      <w:r w:rsidR="009E0EF9">
        <w:rPr>
          <w:sz w:val="22"/>
          <w:szCs w:val="22"/>
        </w:rPr>
        <w:t>“</w:t>
      </w:r>
      <w:r>
        <w:rPr>
          <w:sz w:val="22"/>
          <w:szCs w:val="22"/>
        </w:rPr>
        <w:t>Coleman</w:t>
      </w:r>
      <w:r w:rsidR="009E0EF9">
        <w:rPr>
          <w:sz w:val="22"/>
          <w:szCs w:val="22"/>
        </w:rPr>
        <w:t>”</w:t>
      </w:r>
      <w:r w:rsidR="00BC5457">
        <w:rPr>
          <w:sz w:val="22"/>
          <w:szCs w:val="22"/>
        </w:rPr>
        <w:t>)</w:t>
      </w:r>
      <w:r>
        <w:rPr>
          <w:sz w:val="22"/>
          <w:szCs w:val="22"/>
        </w:rPr>
        <w:t xml:space="preserve"> and </w:t>
      </w:r>
      <w:r w:rsidR="009E0EF9">
        <w:rPr>
          <w:sz w:val="22"/>
          <w:szCs w:val="22"/>
        </w:rPr>
        <w:t>another licensee in the market</w:t>
      </w:r>
      <w:r>
        <w:rPr>
          <w:sz w:val="22"/>
          <w:szCs w:val="22"/>
        </w:rPr>
        <w:t xml:space="preserve"> (“KSRM”) and concluded that “the time brokerage, and indeed the assumption of control of the stations from King, were essentially a joint venture between Coleman and </w:t>
      </w:r>
      <w:r w:rsidR="009E0EF9">
        <w:rPr>
          <w:sz w:val="22"/>
          <w:szCs w:val="22"/>
        </w:rPr>
        <w:t>[</w:t>
      </w:r>
      <w:r>
        <w:rPr>
          <w:sz w:val="22"/>
          <w:szCs w:val="22"/>
        </w:rPr>
        <w:t>KSRM</w:t>
      </w:r>
      <w:r w:rsidR="009E0EF9">
        <w:rPr>
          <w:sz w:val="22"/>
          <w:szCs w:val="22"/>
        </w:rPr>
        <w:t>]</w:t>
      </w:r>
      <w:r>
        <w:rPr>
          <w:sz w:val="22"/>
          <w:szCs w:val="22"/>
        </w:rPr>
        <w:t>.”</w:t>
      </w:r>
      <w:r w:rsidR="00DB08FE">
        <w:rPr>
          <w:rStyle w:val="FootnoteReference"/>
          <w:sz w:val="22"/>
          <w:szCs w:val="22"/>
        </w:rPr>
        <w:footnoteReference w:id="12"/>
      </w:r>
      <w:r w:rsidR="00645164">
        <w:rPr>
          <w:sz w:val="22"/>
          <w:szCs w:val="22"/>
        </w:rPr>
        <w:t xml:space="preserve">  </w:t>
      </w:r>
      <w:r w:rsidR="00BC5457">
        <w:rPr>
          <w:sz w:val="22"/>
          <w:szCs w:val="22"/>
        </w:rPr>
        <w:t>The Bureau emphasized that Coleman and KSRM, rather than the licensee, shared the risk of loss and potential for profit</w:t>
      </w:r>
      <w:r w:rsidR="006931BE">
        <w:rPr>
          <w:sz w:val="22"/>
          <w:szCs w:val="22"/>
        </w:rPr>
        <w:t xml:space="preserve"> from the operation of the stations</w:t>
      </w:r>
      <w:r w:rsidR="00BC5457">
        <w:rPr>
          <w:sz w:val="22"/>
          <w:szCs w:val="22"/>
        </w:rPr>
        <w:t>.</w:t>
      </w:r>
      <w:r w:rsidR="006931BE">
        <w:rPr>
          <w:rStyle w:val="FootnoteReference"/>
          <w:sz w:val="22"/>
          <w:szCs w:val="22"/>
        </w:rPr>
        <w:footnoteReference w:id="13"/>
      </w:r>
      <w:r w:rsidR="00BC5457">
        <w:rPr>
          <w:sz w:val="22"/>
          <w:szCs w:val="22"/>
        </w:rPr>
        <w:t xml:space="preserve">  </w:t>
      </w:r>
      <w:r w:rsidR="00645164">
        <w:rPr>
          <w:sz w:val="22"/>
          <w:szCs w:val="22"/>
        </w:rPr>
        <w:t xml:space="preserve">The Bureau </w:t>
      </w:r>
      <w:r w:rsidR="00782871">
        <w:rPr>
          <w:sz w:val="22"/>
          <w:szCs w:val="22"/>
        </w:rPr>
        <w:t>found the facts similar to</w:t>
      </w:r>
      <w:r w:rsidR="00645164">
        <w:rPr>
          <w:sz w:val="22"/>
          <w:szCs w:val="22"/>
        </w:rPr>
        <w:t xml:space="preserve"> </w:t>
      </w:r>
      <w:r w:rsidR="00782871">
        <w:rPr>
          <w:sz w:val="22"/>
          <w:szCs w:val="22"/>
        </w:rPr>
        <w:t>a prior</w:t>
      </w:r>
      <w:r w:rsidR="00645164">
        <w:rPr>
          <w:sz w:val="22"/>
          <w:szCs w:val="22"/>
        </w:rPr>
        <w:t xml:space="preserve"> </w:t>
      </w:r>
      <w:r w:rsidR="00782871">
        <w:rPr>
          <w:sz w:val="22"/>
          <w:szCs w:val="22"/>
        </w:rPr>
        <w:t>case</w:t>
      </w:r>
      <w:r w:rsidR="00645164">
        <w:rPr>
          <w:sz w:val="22"/>
          <w:szCs w:val="22"/>
        </w:rPr>
        <w:t xml:space="preserve"> in which a </w:t>
      </w:r>
      <w:r w:rsidR="00782871">
        <w:rPr>
          <w:sz w:val="22"/>
          <w:szCs w:val="22"/>
        </w:rPr>
        <w:t>time</w:t>
      </w:r>
      <w:r w:rsidR="00645164">
        <w:rPr>
          <w:sz w:val="22"/>
          <w:szCs w:val="22"/>
        </w:rPr>
        <w:t xml:space="preserve"> brokerage payment of a mere $20 a month to the permittee was found to be significant evidence of abdication of financial control of a radio station in Salem, West Virginia.</w:t>
      </w:r>
      <w:r w:rsidR="00671269">
        <w:rPr>
          <w:rStyle w:val="FootnoteReference"/>
          <w:sz w:val="22"/>
          <w:szCs w:val="22"/>
        </w:rPr>
        <w:footnoteReference w:id="14"/>
      </w:r>
    </w:p>
    <w:p w:rsidR="00671269" w:rsidRDefault="00671269" w:rsidP="00613544">
      <w:pPr>
        <w:ind w:firstLine="720"/>
        <w:rPr>
          <w:sz w:val="22"/>
          <w:szCs w:val="22"/>
        </w:rPr>
      </w:pPr>
    </w:p>
    <w:p w:rsidR="00671269" w:rsidRDefault="00AE7251" w:rsidP="00613544">
      <w:pPr>
        <w:ind w:firstLine="720"/>
        <w:rPr>
          <w:sz w:val="22"/>
          <w:szCs w:val="22"/>
        </w:rPr>
      </w:pPr>
      <w:r>
        <w:rPr>
          <w:sz w:val="22"/>
          <w:szCs w:val="22"/>
        </w:rPr>
        <w:t>Similarly, a Commission-level decision rejected a misleading, self-serving characterization of a stock transfer by a radio licensee</w:t>
      </w:r>
      <w:r w:rsidR="009214F8">
        <w:rPr>
          <w:sz w:val="22"/>
          <w:szCs w:val="22"/>
        </w:rPr>
        <w:t xml:space="preserve"> based on an analysis of the financial terms</w:t>
      </w:r>
      <w:r>
        <w:rPr>
          <w:sz w:val="22"/>
          <w:szCs w:val="22"/>
        </w:rPr>
        <w:t>.</w:t>
      </w:r>
      <w:r w:rsidR="000244A5">
        <w:rPr>
          <w:rStyle w:val="FootnoteReference"/>
          <w:sz w:val="22"/>
          <w:szCs w:val="22"/>
        </w:rPr>
        <w:footnoteReference w:id="15"/>
      </w:r>
      <w:r>
        <w:rPr>
          <w:sz w:val="22"/>
          <w:szCs w:val="22"/>
        </w:rPr>
        <w:t xml:space="preserve">  The parties to a purchase of radio stations from a receiver obtained Commission approval for the purchase based on a representation that Robert Melton, a proposed 50% owner, would not be a stockholder in the licensee and would not be a manager of the stations.  Subsequen</w:t>
      </w:r>
      <w:r w:rsidR="000244A5">
        <w:rPr>
          <w:sz w:val="22"/>
          <w:szCs w:val="22"/>
        </w:rPr>
        <w:t>tly, the licensee notified the Commission that it considered Melton to have been rehabilitated and that he would acquire a 49% interest in the licensee and become a manager.  The Commission found:</w:t>
      </w:r>
    </w:p>
    <w:p w:rsidR="000244A5" w:rsidRDefault="000244A5" w:rsidP="00613544">
      <w:pPr>
        <w:ind w:firstLine="720"/>
        <w:rPr>
          <w:sz w:val="22"/>
          <w:szCs w:val="22"/>
        </w:rPr>
      </w:pPr>
    </w:p>
    <w:p w:rsidR="000244A5" w:rsidRPr="003E62AA" w:rsidRDefault="000244A5" w:rsidP="000244A5">
      <w:pPr>
        <w:ind w:left="1440" w:right="1440" w:firstLine="720"/>
        <w:rPr>
          <w:sz w:val="22"/>
          <w:szCs w:val="22"/>
        </w:rPr>
      </w:pPr>
      <w:r>
        <w:rPr>
          <w:sz w:val="22"/>
          <w:szCs w:val="22"/>
        </w:rPr>
        <w:t xml:space="preserve">Additionally, the record indicates that Melton’s 1978 “reinstatement” and supposed purchase of a 49% stock interest was also misleading. . . .  The evidence shows that the transaction was not, as Tri-State originally represented, a straightforward sale at “book value” or at any rationally chosen sales price. . . .  The price chosen, $114,556, was arbitrary and had no relation to the station’s market value. . . .  (Two years later the stations were listed with a broker for $6 – 7.5 million.  </w:t>
      </w:r>
      <w:r w:rsidRPr="000244A5">
        <w:rPr>
          <w:i/>
          <w:sz w:val="22"/>
          <w:szCs w:val="22"/>
        </w:rPr>
        <w:t>Id</w:t>
      </w:r>
      <w:r>
        <w:rPr>
          <w:sz w:val="22"/>
          <w:szCs w:val="22"/>
        </w:rPr>
        <w:t>.)  The record indicates that Melton’s salary was increased to cover his payments for the 49 percent interest and, in any event, Melton did not make all of the specified payments.</w:t>
      </w:r>
      <w:r w:rsidR="008731E8">
        <w:rPr>
          <w:rStyle w:val="FootnoteReference"/>
          <w:sz w:val="22"/>
          <w:szCs w:val="22"/>
        </w:rPr>
        <w:footnoteReference w:id="16"/>
      </w:r>
    </w:p>
    <w:p w:rsidR="00F36E59" w:rsidRDefault="00F36E59" w:rsidP="00613544">
      <w:pPr>
        <w:ind w:firstLine="720"/>
        <w:rPr>
          <w:b/>
          <w:sz w:val="22"/>
          <w:szCs w:val="22"/>
        </w:rPr>
      </w:pPr>
    </w:p>
    <w:p w:rsidR="00782871" w:rsidRDefault="008731E8" w:rsidP="00613544">
      <w:pPr>
        <w:ind w:firstLine="720"/>
        <w:rPr>
          <w:sz w:val="22"/>
          <w:szCs w:val="22"/>
        </w:rPr>
      </w:pPr>
      <w:r>
        <w:rPr>
          <w:sz w:val="22"/>
          <w:szCs w:val="22"/>
        </w:rPr>
        <w:t xml:space="preserve">In the present case, we </w:t>
      </w:r>
      <w:r w:rsidR="00657502">
        <w:rPr>
          <w:sz w:val="22"/>
          <w:szCs w:val="22"/>
        </w:rPr>
        <w:t>find that</w:t>
      </w:r>
      <w:r>
        <w:rPr>
          <w:sz w:val="22"/>
          <w:szCs w:val="22"/>
        </w:rPr>
        <w:t xml:space="preserve"> the parties’ characterization of the</w:t>
      </w:r>
      <w:r w:rsidR="001A798D">
        <w:rPr>
          <w:sz w:val="22"/>
          <w:szCs w:val="22"/>
        </w:rPr>
        <w:t xml:space="preserve"> transaction </w:t>
      </w:r>
      <w:r w:rsidR="00657502">
        <w:rPr>
          <w:sz w:val="22"/>
          <w:szCs w:val="22"/>
        </w:rPr>
        <w:t>i</w:t>
      </w:r>
      <w:r w:rsidR="001A798D">
        <w:rPr>
          <w:sz w:val="22"/>
          <w:szCs w:val="22"/>
        </w:rPr>
        <w:t xml:space="preserve">s </w:t>
      </w:r>
      <w:r w:rsidR="00CF688E">
        <w:rPr>
          <w:sz w:val="22"/>
          <w:szCs w:val="22"/>
        </w:rPr>
        <w:t>untenable</w:t>
      </w:r>
      <w:r>
        <w:rPr>
          <w:sz w:val="22"/>
          <w:szCs w:val="22"/>
        </w:rPr>
        <w:t>.</w:t>
      </w:r>
      <w:r w:rsidR="006D7FDC">
        <w:rPr>
          <w:rStyle w:val="FootnoteReference"/>
          <w:sz w:val="22"/>
          <w:szCs w:val="22"/>
        </w:rPr>
        <w:footnoteReference w:id="17"/>
      </w:r>
      <w:r>
        <w:rPr>
          <w:sz w:val="22"/>
          <w:szCs w:val="22"/>
        </w:rPr>
        <w:t xml:space="preserve">  </w:t>
      </w:r>
      <w:r w:rsidR="001A798D">
        <w:rPr>
          <w:sz w:val="22"/>
          <w:szCs w:val="22"/>
        </w:rPr>
        <w:t>Although the APA presents the transaction as a “sale” of the Station’s assets, i</w:t>
      </w:r>
      <w:r>
        <w:rPr>
          <w:sz w:val="22"/>
          <w:szCs w:val="22"/>
        </w:rPr>
        <w:t xml:space="preserve">n reality the transaction is a brokerage agreement in which </w:t>
      </w:r>
      <w:r w:rsidR="00782871">
        <w:rPr>
          <w:sz w:val="22"/>
          <w:szCs w:val="22"/>
        </w:rPr>
        <w:t xml:space="preserve">Whitley is tasked with finding a buyer for the Station and </w:t>
      </w:r>
      <w:r w:rsidR="00E24543">
        <w:rPr>
          <w:sz w:val="22"/>
          <w:szCs w:val="22"/>
        </w:rPr>
        <w:t>is to</w:t>
      </w:r>
      <w:r w:rsidR="00782871">
        <w:rPr>
          <w:sz w:val="22"/>
          <w:szCs w:val="22"/>
        </w:rPr>
        <w:t xml:space="preserve"> be compensated for doing so by the payment of a $50,000 flat fee when that transaction closes.</w:t>
      </w:r>
    </w:p>
    <w:p w:rsidR="00782871" w:rsidRDefault="00782871" w:rsidP="00613544">
      <w:pPr>
        <w:ind w:firstLine="720"/>
        <w:rPr>
          <w:sz w:val="22"/>
          <w:szCs w:val="22"/>
        </w:rPr>
      </w:pPr>
    </w:p>
    <w:p w:rsidR="006931BE" w:rsidRDefault="00782871" w:rsidP="00613544">
      <w:pPr>
        <w:ind w:firstLine="720"/>
        <w:rPr>
          <w:sz w:val="22"/>
          <w:szCs w:val="22"/>
        </w:rPr>
      </w:pPr>
      <w:r>
        <w:rPr>
          <w:sz w:val="22"/>
          <w:szCs w:val="22"/>
        </w:rPr>
        <w:t>We recognize, of course, that the Cumulus</w:t>
      </w:r>
      <w:r w:rsidR="00230437">
        <w:rPr>
          <w:sz w:val="22"/>
          <w:szCs w:val="22"/>
        </w:rPr>
        <w:t xml:space="preserve"> – </w:t>
      </w:r>
      <w:r>
        <w:rPr>
          <w:sz w:val="22"/>
          <w:szCs w:val="22"/>
        </w:rPr>
        <w:t xml:space="preserve">Whitley transaction differs from a typical brokerage agreement in that </w:t>
      </w:r>
      <w:r w:rsidR="008731E8">
        <w:rPr>
          <w:sz w:val="22"/>
          <w:szCs w:val="22"/>
        </w:rPr>
        <w:t>the Station would be “parked” with Whitley</w:t>
      </w:r>
      <w:r>
        <w:rPr>
          <w:sz w:val="22"/>
          <w:szCs w:val="22"/>
        </w:rPr>
        <w:t xml:space="preserve"> temporarily,</w:t>
      </w:r>
      <w:r w:rsidR="008731E8">
        <w:rPr>
          <w:sz w:val="22"/>
          <w:szCs w:val="22"/>
        </w:rPr>
        <w:t xml:space="preserve"> to give Cumulus the flexibility to acquire an attributable interest in another FM station in the Dallas – Ft. Worth radio market.</w:t>
      </w:r>
      <w:r>
        <w:rPr>
          <w:sz w:val="22"/>
          <w:szCs w:val="22"/>
        </w:rPr>
        <w:t xml:space="preserve">  However, the economics of the transaction clearly indicate that the assignment of the Station’s license and the conveyance of legal title for the Station’s remaining assets to Whitley would not be a true sale.</w:t>
      </w:r>
      <w:r w:rsidR="00E24543">
        <w:rPr>
          <w:rStyle w:val="FootnoteReference"/>
          <w:sz w:val="22"/>
          <w:szCs w:val="22"/>
        </w:rPr>
        <w:footnoteReference w:id="18"/>
      </w:r>
      <w:r w:rsidR="001A798D">
        <w:rPr>
          <w:sz w:val="22"/>
          <w:szCs w:val="22"/>
        </w:rPr>
        <w:t xml:space="preserve">  The $100 payment from Whitley to Cumulus</w:t>
      </w:r>
      <w:r w:rsidR="00E24543">
        <w:rPr>
          <w:sz w:val="22"/>
          <w:szCs w:val="22"/>
        </w:rPr>
        <w:t xml:space="preserve"> for the Station</w:t>
      </w:r>
      <w:r w:rsidR="001A798D">
        <w:rPr>
          <w:sz w:val="22"/>
          <w:szCs w:val="22"/>
        </w:rPr>
        <w:t xml:space="preserve"> is a nominal amount that bears no relationship to the Station’s actual market value.</w:t>
      </w:r>
      <w:r w:rsidR="009214F8">
        <w:rPr>
          <w:rStyle w:val="FootnoteReference"/>
          <w:sz w:val="22"/>
          <w:szCs w:val="22"/>
        </w:rPr>
        <w:footnoteReference w:id="19"/>
      </w:r>
      <w:r w:rsidR="001A798D">
        <w:rPr>
          <w:sz w:val="22"/>
          <w:szCs w:val="22"/>
        </w:rPr>
        <w:t xml:space="preserve">  The APA itself makes the substance of the transaction clear by </w:t>
      </w:r>
      <w:r w:rsidR="000634FE">
        <w:rPr>
          <w:sz w:val="22"/>
          <w:szCs w:val="22"/>
        </w:rPr>
        <w:t xml:space="preserve">requiring Whitley to </w:t>
      </w:r>
      <w:r w:rsidR="001A798D">
        <w:rPr>
          <w:sz w:val="22"/>
          <w:szCs w:val="22"/>
        </w:rPr>
        <w:t xml:space="preserve">(a) </w:t>
      </w:r>
      <w:r w:rsidR="0067367F">
        <w:rPr>
          <w:sz w:val="22"/>
          <w:szCs w:val="22"/>
        </w:rPr>
        <w:t xml:space="preserve">“use commercially reasonable efforts to sell the Station Assets for the maximum amount of consideration available in the market,” and (b) </w:t>
      </w:r>
      <w:r w:rsidR="001A798D">
        <w:rPr>
          <w:sz w:val="22"/>
          <w:szCs w:val="22"/>
        </w:rPr>
        <w:t xml:space="preserve">remit to Cumulus the </w:t>
      </w:r>
      <w:r w:rsidR="000634FE">
        <w:rPr>
          <w:sz w:val="22"/>
          <w:szCs w:val="22"/>
        </w:rPr>
        <w:t>full</w:t>
      </w:r>
      <w:r w:rsidR="001A798D">
        <w:rPr>
          <w:sz w:val="22"/>
          <w:szCs w:val="22"/>
        </w:rPr>
        <w:t xml:space="preserve"> proceeds of the sale of the Station to a third party, minus Whitley’s expenses and minus a $50,000 brokerage fee.</w:t>
      </w:r>
      <w:r w:rsidR="006931BE">
        <w:rPr>
          <w:sz w:val="22"/>
          <w:szCs w:val="22"/>
        </w:rPr>
        <w:t xml:space="preserve">  Clearly, Cumulus is relying on Whitley’s expertise as a broker and </w:t>
      </w:r>
      <w:r w:rsidR="00F81037">
        <w:rPr>
          <w:sz w:val="22"/>
          <w:szCs w:val="22"/>
        </w:rPr>
        <w:t xml:space="preserve">promising to </w:t>
      </w:r>
      <w:r w:rsidR="006931BE">
        <w:rPr>
          <w:sz w:val="22"/>
          <w:szCs w:val="22"/>
        </w:rPr>
        <w:t>compensat</w:t>
      </w:r>
      <w:r w:rsidR="00F81037">
        <w:rPr>
          <w:sz w:val="22"/>
          <w:szCs w:val="22"/>
        </w:rPr>
        <w:t>e</w:t>
      </w:r>
      <w:r w:rsidR="006931BE">
        <w:rPr>
          <w:sz w:val="22"/>
          <w:szCs w:val="22"/>
        </w:rPr>
        <w:t xml:space="preserve"> him for brokerage services, while entrusting him to hold </w:t>
      </w:r>
      <w:r w:rsidR="00E24543">
        <w:rPr>
          <w:sz w:val="22"/>
          <w:szCs w:val="22"/>
        </w:rPr>
        <w:t xml:space="preserve">the Station’s FCC license and </w:t>
      </w:r>
      <w:r w:rsidR="00B4091C">
        <w:rPr>
          <w:sz w:val="22"/>
          <w:szCs w:val="22"/>
        </w:rPr>
        <w:t xml:space="preserve">legal title to </w:t>
      </w:r>
      <w:r w:rsidR="006931BE">
        <w:rPr>
          <w:sz w:val="22"/>
          <w:szCs w:val="22"/>
        </w:rPr>
        <w:t xml:space="preserve">the Station’s </w:t>
      </w:r>
      <w:r w:rsidR="00E24543">
        <w:rPr>
          <w:sz w:val="22"/>
          <w:szCs w:val="22"/>
        </w:rPr>
        <w:t xml:space="preserve">other </w:t>
      </w:r>
      <w:r w:rsidR="006931BE">
        <w:rPr>
          <w:sz w:val="22"/>
          <w:szCs w:val="22"/>
        </w:rPr>
        <w:t>assets temporarily for purposes of offloading the Station from Cumulus’</w:t>
      </w:r>
      <w:r w:rsidR="00182654">
        <w:rPr>
          <w:sz w:val="22"/>
          <w:szCs w:val="22"/>
        </w:rPr>
        <w:t xml:space="preserve">s portfolio of five attributable </w:t>
      </w:r>
      <w:r w:rsidR="006931BE">
        <w:rPr>
          <w:sz w:val="22"/>
          <w:szCs w:val="22"/>
        </w:rPr>
        <w:t>FM stations in the market.</w:t>
      </w:r>
      <w:r w:rsidR="006931BE">
        <w:rPr>
          <w:rStyle w:val="FootnoteReference"/>
          <w:sz w:val="22"/>
          <w:szCs w:val="22"/>
        </w:rPr>
        <w:footnoteReference w:id="20"/>
      </w:r>
    </w:p>
    <w:p w:rsidR="006931BE" w:rsidRDefault="006931BE" w:rsidP="00613544">
      <w:pPr>
        <w:ind w:firstLine="720"/>
        <w:rPr>
          <w:sz w:val="22"/>
          <w:szCs w:val="22"/>
        </w:rPr>
      </w:pPr>
    </w:p>
    <w:p w:rsidR="006501CC" w:rsidRDefault="006931BE" w:rsidP="006501CC">
      <w:pPr>
        <w:ind w:firstLine="720"/>
        <w:rPr>
          <w:sz w:val="22"/>
          <w:szCs w:val="22"/>
        </w:rPr>
      </w:pPr>
      <w:r>
        <w:rPr>
          <w:sz w:val="22"/>
          <w:szCs w:val="22"/>
        </w:rPr>
        <w:t>T</w:t>
      </w:r>
      <w:r w:rsidR="0067367F">
        <w:rPr>
          <w:sz w:val="22"/>
          <w:szCs w:val="22"/>
        </w:rPr>
        <w:t>he APA, by providing for Whitley to</w:t>
      </w:r>
      <w:r w:rsidR="00F81037">
        <w:rPr>
          <w:sz w:val="22"/>
          <w:szCs w:val="22"/>
        </w:rPr>
        <w:t xml:space="preserve"> be</w:t>
      </w:r>
      <w:r w:rsidR="0067367F">
        <w:rPr>
          <w:sz w:val="22"/>
          <w:szCs w:val="22"/>
        </w:rPr>
        <w:t xml:space="preserve"> reimbursed out of the sale proceeds for any losses and expenses he incurs in operating the Station, makes it clear that all of the economic risk of operating the Station would remain with Cumulus.</w:t>
      </w:r>
      <w:r w:rsidR="00182654">
        <w:rPr>
          <w:sz w:val="22"/>
          <w:szCs w:val="22"/>
        </w:rPr>
        <w:t xml:space="preserve">  Likewise, because Whitley is required to remit to Cumulus all of the proceeds from the sale of the Station, less his expenses and his brokerage fee, Cumulus would retain all of the risk of loss and potential for profit from the sale of the Station to a third party.  Whitley will receive his brokerage fee and no more, whether the Station is sold for $1 million or $10 million.</w:t>
      </w:r>
      <w:r w:rsidR="00E518B3">
        <w:rPr>
          <w:sz w:val="22"/>
          <w:szCs w:val="22"/>
        </w:rPr>
        <w:t xml:space="preserve">  Given these “economic realities,” we conclude that the </w:t>
      </w:r>
      <w:r w:rsidR="00CF688E">
        <w:rPr>
          <w:sz w:val="22"/>
          <w:szCs w:val="22"/>
        </w:rPr>
        <w:t xml:space="preserve">agreement between Cumulus and Whitley cannot be reasonably characterized as a </w:t>
      </w:r>
      <w:r w:rsidR="00E518B3">
        <w:rPr>
          <w:sz w:val="22"/>
          <w:szCs w:val="22"/>
        </w:rPr>
        <w:t>proposed $100 sale of the Station to Whitley</w:t>
      </w:r>
      <w:r w:rsidR="00230437">
        <w:rPr>
          <w:sz w:val="22"/>
          <w:szCs w:val="22"/>
        </w:rPr>
        <w:t xml:space="preserve"> </w:t>
      </w:r>
      <w:r w:rsidR="00E518B3">
        <w:rPr>
          <w:sz w:val="22"/>
          <w:szCs w:val="22"/>
        </w:rPr>
        <w:t>and that Cumulus would remain the owner of the Station.</w:t>
      </w:r>
    </w:p>
    <w:p w:rsidR="006501CC" w:rsidDel="006501CC" w:rsidRDefault="006501CC" w:rsidP="006501CC">
      <w:pPr>
        <w:ind w:firstLine="720"/>
        <w:rPr>
          <w:sz w:val="22"/>
          <w:szCs w:val="22"/>
        </w:rPr>
      </w:pPr>
    </w:p>
    <w:p w:rsidR="006753FF" w:rsidRDefault="00E72341" w:rsidP="00555CB7">
      <w:pPr>
        <w:ind w:right="-360" w:firstLine="720"/>
        <w:rPr>
          <w:sz w:val="22"/>
          <w:szCs w:val="22"/>
        </w:rPr>
      </w:pPr>
      <w:r w:rsidRPr="00E72341">
        <w:rPr>
          <w:b/>
          <w:sz w:val="22"/>
          <w:szCs w:val="22"/>
        </w:rPr>
        <w:t>Conclusion/Actions</w:t>
      </w:r>
      <w:r w:rsidRPr="00E72341">
        <w:rPr>
          <w:sz w:val="22"/>
          <w:szCs w:val="22"/>
        </w:rPr>
        <w:t>.</w:t>
      </w:r>
      <w:r>
        <w:rPr>
          <w:sz w:val="22"/>
          <w:szCs w:val="22"/>
        </w:rPr>
        <w:t xml:space="preserve">  </w:t>
      </w:r>
      <w:r w:rsidRPr="00E72341">
        <w:rPr>
          <w:sz w:val="22"/>
          <w:szCs w:val="22"/>
        </w:rPr>
        <w:t>Based on the above, w</w:t>
      </w:r>
      <w:r w:rsidR="00A45875">
        <w:rPr>
          <w:rStyle w:val="documentbody1"/>
          <w:rFonts w:ascii="Times New Roman" w:hAnsi="Times New Roman"/>
          <w:color w:val="000000"/>
          <w:sz w:val="22"/>
          <w:szCs w:val="22"/>
        </w:rPr>
        <w:t xml:space="preserve">e find that </w:t>
      </w:r>
      <w:r w:rsidR="004A2068">
        <w:rPr>
          <w:rStyle w:val="documentbody1"/>
          <w:rFonts w:ascii="Times New Roman" w:hAnsi="Times New Roman"/>
          <w:color w:val="000000"/>
          <w:sz w:val="22"/>
          <w:szCs w:val="22"/>
        </w:rPr>
        <w:t xml:space="preserve">the Assignment Application </w:t>
      </w:r>
      <w:r w:rsidR="00ED722E">
        <w:rPr>
          <w:rStyle w:val="documentbody1"/>
          <w:rFonts w:ascii="Times New Roman" w:hAnsi="Times New Roman"/>
          <w:color w:val="000000"/>
          <w:sz w:val="22"/>
          <w:szCs w:val="22"/>
        </w:rPr>
        <w:t xml:space="preserve">is patently defective and must be dismissed as </w:t>
      </w:r>
      <w:r w:rsidR="004A2068">
        <w:rPr>
          <w:rStyle w:val="documentbody1"/>
          <w:rFonts w:ascii="Times New Roman" w:hAnsi="Times New Roman"/>
          <w:color w:val="000000"/>
          <w:sz w:val="22"/>
          <w:szCs w:val="22"/>
        </w:rPr>
        <w:t>inadvertently accepted for filing</w:t>
      </w:r>
      <w:r w:rsidR="004A2068">
        <w:rPr>
          <w:sz w:val="22"/>
          <w:szCs w:val="22"/>
        </w:rPr>
        <w:t xml:space="preserve">.  </w:t>
      </w:r>
      <w:r w:rsidRPr="00E72341">
        <w:rPr>
          <w:sz w:val="22"/>
          <w:szCs w:val="22"/>
        </w:rPr>
        <w:t>Accordingly</w:t>
      </w:r>
      <w:r w:rsidRPr="00E72341">
        <w:rPr>
          <w:noProof/>
          <w:sz w:val="22"/>
          <w:szCs w:val="22"/>
        </w:rPr>
        <w:t xml:space="preserve">, IT IS ORDERED, </w:t>
      </w:r>
      <w:r w:rsidR="00510F0C">
        <w:rPr>
          <w:noProof/>
          <w:sz w:val="22"/>
          <w:szCs w:val="22"/>
        </w:rPr>
        <w:t>T</w:t>
      </w:r>
      <w:r w:rsidRPr="00E72341">
        <w:rPr>
          <w:noProof/>
          <w:sz w:val="22"/>
          <w:szCs w:val="22"/>
        </w:rPr>
        <w:t xml:space="preserve">hat </w:t>
      </w:r>
      <w:r>
        <w:rPr>
          <w:noProof/>
          <w:sz w:val="22"/>
          <w:szCs w:val="22"/>
        </w:rPr>
        <w:t xml:space="preserve">the </w:t>
      </w:r>
      <w:r w:rsidR="00BC5F26" w:rsidRPr="00E72341">
        <w:rPr>
          <w:noProof/>
          <w:sz w:val="22"/>
          <w:szCs w:val="22"/>
        </w:rPr>
        <w:t xml:space="preserve">application </w:t>
      </w:r>
      <w:r w:rsidR="00BC5F26">
        <w:rPr>
          <w:noProof/>
          <w:sz w:val="22"/>
          <w:szCs w:val="22"/>
        </w:rPr>
        <w:t xml:space="preserve">for approval </w:t>
      </w:r>
      <w:r w:rsidR="00BC5F26" w:rsidRPr="00E72341">
        <w:rPr>
          <w:noProof/>
          <w:sz w:val="22"/>
          <w:szCs w:val="22"/>
        </w:rPr>
        <w:t xml:space="preserve">to assign the license </w:t>
      </w:r>
      <w:r w:rsidR="00C43CF4">
        <w:rPr>
          <w:sz w:val="22"/>
          <w:szCs w:val="22"/>
        </w:rPr>
        <w:t xml:space="preserve">for </w:t>
      </w:r>
      <w:r w:rsidR="00510F0C">
        <w:rPr>
          <w:sz w:val="22"/>
          <w:szCs w:val="22"/>
        </w:rPr>
        <w:t>Station K</w:t>
      </w:r>
      <w:r w:rsidR="00CF751F">
        <w:rPr>
          <w:sz w:val="22"/>
          <w:szCs w:val="22"/>
        </w:rPr>
        <w:t>TDK(FM), Sanger, Texas</w:t>
      </w:r>
      <w:r w:rsidR="00971F29">
        <w:rPr>
          <w:sz w:val="22"/>
          <w:szCs w:val="22"/>
        </w:rPr>
        <w:t xml:space="preserve"> (File No. BAL</w:t>
      </w:r>
      <w:r w:rsidR="00CF751F">
        <w:rPr>
          <w:sz w:val="22"/>
          <w:szCs w:val="22"/>
        </w:rPr>
        <w:t>H</w:t>
      </w:r>
      <w:r w:rsidR="00971F29">
        <w:rPr>
          <w:sz w:val="22"/>
          <w:szCs w:val="22"/>
        </w:rPr>
        <w:t>-20</w:t>
      </w:r>
      <w:r w:rsidR="00A35FEC">
        <w:rPr>
          <w:sz w:val="22"/>
          <w:szCs w:val="22"/>
        </w:rPr>
        <w:t>1</w:t>
      </w:r>
      <w:r w:rsidR="00CF751F">
        <w:rPr>
          <w:sz w:val="22"/>
          <w:szCs w:val="22"/>
        </w:rPr>
        <w:t>30701ADA</w:t>
      </w:r>
      <w:r w:rsidR="00971F29">
        <w:rPr>
          <w:sz w:val="22"/>
          <w:szCs w:val="22"/>
        </w:rPr>
        <w:t>)</w:t>
      </w:r>
      <w:r w:rsidR="00CF751F">
        <w:rPr>
          <w:sz w:val="22"/>
          <w:szCs w:val="22"/>
        </w:rPr>
        <w:t xml:space="preserve"> IS</w:t>
      </w:r>
      <w:r w:rsidR="00555CB7">
        <w:rPr>
          <w:sz w:val="22"/>
          <w:szCs w:val="22"/>
        </w:rPr>
        <w:t xml:space="preserve"> DISMISSED as </w:t>
      </w:r>
      <w:r w:rsidR="00555CB7">
        <w:rPr>
          <w:rStyle w:val="documentbody1"/>
          <w:rFonts w:ascii="Times New Roman" w:hAnsi="Times New Roman"/>
          <w:color w:val="000000"/>
          <w:sz w:val="22"/>
          <w:szCs w:val="22"/>
        </w:rPr>
        <w:t xml:space="preserve">inadvertently accepted for filing, </w:t>
      </w:r>
      <w:r w:rsidR="00555CB7">
        <w:rPr>
          <w:sz w:val="22"/>
          <w:szCs w:val="22"/>
        </w:rPr>
        <w:t xml:space="preserve">pursuant to </w:t>
      </w:r>
      <w:r w:rsidR="00ED722E">
        <w:rPr>
          <w:sz w:val="22"/>
          <w:szCs w:val="22"/>
        </w:rPr>
        <w:t>47 C.F.R. §</w:t>
      </w:r>
      <w:r w:rsidR="00555CB7">
        <w:rPr>
          <w:sz w:val="22"/>
          <w:szCs w:val="22"/>
        </w:rPr>
        <w:t xml:space="preserve"> 73.3566(a).  </w:t>
      </w:r>
    </w:p>
    <w:p w:rsidR="006753FF" w:rsidRDefault="006753FF" w:rsidP="006753FF">
      <w:pPr>
        <w:ind w:right="-360" w:firstLine="720"/>
        <w:rPr>
          <w:sz w:val="22"/>
          <w:szCs w:val="22"/>
        </w:rPr>
      </w:pPr>
      <w:r>
        <w:rPr>
          <w:sz w:val="22"/>
          <w:szCs w:val="22"/>
        </w:rPr>
        <w:t xml:space="preserve"> </w:t>
      </w:r>
    </w:p>
    <w:p w:rsidR="00D35002" w:rsidRDefault="00510F0C" w:rsidP="00555CB7">
      <w:pPr>
        <w:ind w:right="-360" w:firstLine="720"/>
        <w:rPr>
          <w:sz w:val="22"/>
          <w:szCs w:val="22"/>
        </w:rPr>
      </w:pPr>
      <w:r>
        <w:rPr>
          <w:sz w:val="22"/>
          <w:szCs w:val="22"/>
        </w:rPr>
        <w:t xml:space="preserve">         </w:t>
      </w:r>
    </w:p>
    <w:p w:rsidR="00574B51" w:rsidRDefault="00D35002">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6122F">
        <w:rPr>
          <w:sz w:val="22"/>
          <w:szCs w:val="22"/>
        </w:rPr>
        <w:t>Sincerely,</w:t>
      </w:r>
    </w:p>
    <w:p w:rsidR="0087468A" w:rsidRDefault="0087468A">
      <w:pPr>
        <w:rPr>
          <w:sz w:val="22"/>
          <w:szCs w:val="22"/>
        </w:rPr>
      </w:pPr>
    </w:p>
    <w:p w:rsidR="0087468A" w:rsidRDefault="0087468A">
      <w:pPr>
        <w:rPr>
          <w:sz w:val="22"/>
          <w:szCs w:val="22"/>
        </w:rPr>
      </w:pPr>
    </w:p>
    <w:p w:rsidR="0087468A" w:rsidRDefault="0087468A">
      <w:pPr>
        <w:rPr>
          <w:sz w:val="22"/>
          <w:szCs w:val="22"/>
        </w:rPr>
      </w:pPr>
    </w:p>
    <w:p w:rsidR="00D35002" w:rsidRPr="0026122F" w:rsidRDefault="00D35002">
      <w:pPr>
        <w:rPr>
          <w:sz w:val="22"/>
          <w:szCs w:val="22"/>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6122F">
        <w:rPr>
          <w:sz w:val="22"/>
          <w:szCs w:val="22"/>
        </w:rPr>
        <w:tab/>
        <w:t>Peter H. Doyle</w:t>
      </w:r>
    </w:p>
    <w:p w:rsidR="00D35002" w:rsidRPr="0026122F" w:rsidRDefault="00D35002">
      <w:pPr>
        <w:rPr>
          <w:sz w:val="22"/>
          <w:szCs w:val="22"/>
        </w:rPr>
      </w:pP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000C5935">
        <w:rPr>
          <w:sz w:val="22"/>
          <w:szCs w:val="22"/>
        </w:rPr>
        <w:t xml:space="preserve">Chief, </w:t>
      </w:r>
      <w:r w:rsidRPr="0026122F">
        <w:rPr>
          <w:sz w:val="22"/>
          <w:szCs w:val="22"/>
        </w:rPr>
        <w:t>Audio Division</w:t>
      </w:r>
    </w:p>
    <w:p w:rsidR="00927F4B" w:rsidRDefault="00D35002">
      <w:pPr>
        <w:rPr>
          <w:sz w:val="22"/>
          <w:szCs w:val="22"/>
        </w:rPr>
      </w:pP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r>
      <w:r w:rsidRPr="0026122F">
        <w:rPr>
          <w:sz w:val="22"/>
          <w:szCs w:val="22"/>
        </w:rPr>
        <w:tab/>
        <w:t>Media Bureau</w:t>
      </w:r>
    </w:p>
    <w:sectPr w:rsidR="00927F4B" w:rsidSect="008544EB">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231" w:rsidRDefault="00B45231">
      <w:r>
        <w:separator/>
      </w:r>
    </w:p>
  </w:endnote>
  <w:endnote w:type="continuationSeparator" w:id="0">
    <w:p w:rsidR="00B45231" w:rsidRDefault="00B4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9" w:rsidRDefault="00716289" w:rsidP="00A9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289" w:rsidRDefault="007162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9" w:rsidRDefault="00716289" w:rsidP="00A96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DA7">
      <w:rPr>
        <w:rStyle w:val="PageNumber"/>
        <w:noProof/>
      </w:rPr>
      <w:t>2</w:t>
    </w:r>
    <w:r>
      <w:rPr>
        <w:rStyle w:val="PageNumber"/>
      </w:rPr>
      <w:fldChar w:fldCharType="end"/>
    </w:r>
  </w:p>
  <w:p w:rsidR="00716289" w:rsidRDefault="007162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5" w:rsidRDefault="00195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231" w:rsidRDefault="00B45231">
      <w:r>
        <w:separator/>
      </w:r>
    </w:p>
  </w:footnote>
  <w:footnote w:type="continuationSeparator" w:id="0">
    <w:p w:rsidR="00B45231" w:rsidRDefault="00B45231">
      <w:r>
        <w:continuationSeparator/>
      </w:r>
    </w:p>
  </w:footnote>
  <w:footnote w:id="1">
    <w:p w:rsidR="00716289" w:rsidRDefault="00716289" w:rsidP="006D7FDC">
      <w:pPr>
        <w:pStyle w:val="FootnoteText"/>
        <w:spacing w:after="120"/>
      </w:pPr>
      <w:r>
        <w:rPr>
          <w:rStyle w:val="FootnoteReference"/>
        </w:rPr>
        <w:footnoteRef/>
      </w:r>
      <w:r>
        <w:t xml:space="preserve"> 47 C.F.R. § 73.3566(a).</w:t>
      </w:r>
    </w:p>
  </w:footnote>
  <w:footnote w:id="2">
    <w:p w:rsidR="00205423" w:rsidRDefault="00205423" w:rsidP="006D7FDC">
      <w:pPr>
        <w:pStyle w:val="FootnoteText"/>
        <w:spacing w:after="120"/>
      </w:pPr>
      <w:r>
        <w:rPr>
          <w:rStyle w:val="FootnoteReference"/>
        </w:rPr>
        <w:footnoteRef/>
      </w:r>
      <w:r>
        <w:t xml:space="preserve"> </w:t>
      </w:r>
      <w:r w:rsidRPr="00205423">
        <w:rPr>
          <w:i/>
        </w:rPr>
        <w:t>See</w:t>
      </w:r>
      <w:r>
        <w:t xml:space="preserve"> Arbitron Radio Market Rankings:  Spring 2013.</w:t>
      </w:r>
    </w:p>
  </w:footnote>
  <w:footnote w:id="3">
    <w:p w:rsidR="00205423" w:rsidRDefault="00205423" w:rsidP="006D7FDC">
      <w:pPr>
        <w:pStyle w:val="FootnoteText"/>
        <w:spacing w:after="120"/>
      </w:pPr>
      <w:r>
        <w:rPr>
          <w:rStyle w:val="FootnoteReference"/>
        </w:rPr>
        <w:footnoteRef/>
      </w:r>
      <w:r>
        <w:t xml:space="preserve"> 47 C.F.R. § 73.3555(a)(1) (specifying the ownership/attribution limit for markets with 45 or more full-power, commercial and non-commercial radio stations). </w:t>
      </w:r>
    </w:p>
  </w:footnote>
  <w:footnote w:id="4">
    <w:p w:rsidR="00205423" w:rsidRDefault="00205423" w:rsidP="006D7FDC">
      <w:pPr>
        <w:pStyle w:val="FootnoteText"/>
        <w:spacing w:after="120"/>
      </w:pPr>
      <w:r>
        <w:rPr>
          <w:rStyle w:val="FootnoteReference"/>
        </w:rPr>
        <w:footnoteRef/>
      </w:r>
      <w:r>
        <w:t xml:space="preserve"> These are:  WBAP(AM), </w:t>
      </w:r>
      <w:r w:rsidR="00F81037">
        <w:t>Fort</w:t>
      </w:r>
      <w:r>
        <w:t xml:space="preserve"> Worth, TX (Fac. ID No. 71200); WBAP-FM, Flower Mound, TX (Fac. ID No. 26468); </w:t>
      </w:r>
      <w:r w:rsidR="003158B2">
        <w:t>KSCS(FM), Fort Worth, TX (Fac. ID No. 71201); KLIF(AM), Dallas, TX (Fac. ID No. 35061); KPLX(FM), Fort Worth, TX (Fac. ID No. 54675); KLIF-FM, Haltom, T</w:t>
      </w:r>
      <w:r w:rsidR="0002757C">
        <w:t>X</w:t>
      </w:r>
      <w:r w:rsidR="003158B2">
        <w:t xml:space="preserve"> (Fac. ID No. 27299); KTCK(AM), Dallas, TX (Fac. ID No. 8773); and the Station.</w:t>
      </w:r>
    </w:p>
  </w:footnote>
  <w:footnote w:id="5">
    <w:p w:rsidR="00D7060D" w:rsidRDefault="00D7060D" w:rsidP="006D7FDC">
      <w:pPr>
        <w:pStyle w:val="FootnoteText"/>
        <w:spacing w:after="120"/>
      </w:pPr>
      <w:r>
        <w:rPr>
          <w:rStyle w:val="FootnoteReference"/>
        </w:rPr>
        <w:footnoteRef/>
      </w:r>
      <w:r>
        <w:t xml:space="preserve"> </w:t>
      </w:r>
      <w:r w:rsidRPr="00D7060D">
        <w:rPr>
          <w:i/>
        </w:rPr>
        <w:t>See</w:t>
      </w:r>
      <w:r>
        <w:t xml:space="preserve"> </w:t>
      </w:r>
      <w:hyperlink r:id="rId1" w:history="1">
        <w:r w:rsidRPr="00D7060D">
          <w:rPr>
            <w:rStyle w:val="Hyperlink"/>
          </w:rPr>
          <w:t>www.cumulus.com</w:t>
        </w:r>
      </w:hyperlink>
      <w:r>
        <w:t>.</w:t>
      </w:r>
    </w:p>
  </w:footnote>
  <w:footnote w:id="6">
    <w:p w:rsidR="00D7060D" w:rsidRDefault="00D7060D" w:rsidP="006D7FDC">
      <w:pPr>
        <w:pStyle w:val="FootnoteText"/>
        <w:spacing w:after="120"/>
      </w:pPr>
      <w:r>
        <w:rPr>
          <w:rStyle w:val="FootnoteReference"/>
        </w:rPr>
        <w:footnoteRef/>
      </w:r>
      <w:r>
        <w:t xml:space="preserve"> </w:t>
      </w:r>
      <w:r w:rsidRPr="00D7060D">
        <w:rPr>
          <w:i/>
        </w:rPr>
        <w:t>See</w:t>
      </w:r>
      <w:r>
        <w:t xml:space="preserve"> </w:t>
      </w:r>
      <w:hyperlink r:id="rId2" w:history="1">
        <w:r w:rsidRPr="000B6691">
          <w:rPr>
            <w:rStyle w:val="Hyperlink"/>
          </w:rPr>
          <w:t>mediaservicesgroup.com/location.cfm?id=2</w:t>
        </w:r>
      </w:hyperlink>
      <w:r>
        <w:t>.</w:t>
      </w:r>
    </w:p>
  </w:footnote>
  <w:footnote w:id="7">
    <w:p w:rsidR="000B6691" w:rsidRDefault="000B6691" w:rsidP="006D7FDC">
      <w:pPr>
        <w:pStyle w:val="FootnoteText"/>
        <w:spacing w:after="120"/>
      </w:pPr>
      <w:r>
        <w:rPr>
          <w:rStyle w:val="FootnoteReference"/>
        </w:rPr>
        <w:footnoteRef/>
      </w:r>
      <w:r>
        <w:t xml:space="preserve"> </w:t>
      </w:r>
      <w:r w:rsidRPr="000B6691">
        <w:rPr>
          <w:i/>
        </w:rPr>
        <w:t>See</w:t>
      </w:r>
      <w:r>
        <w:t xml:space="preserve"> </w:t>
      </w:r>
      <w:hyperlink r:id="rId3" w:history="1">
        <w:r w:rsidRPr="000B6691">
          <w:rPr>
            <w:rStyle w:val="Hyperlink"/>
          </w:rPr>
          <w:t>mediaservicesgroup.com/index.cfm?pg=loc</w:t>
        </w:r>
      </w:hyperlink>
      <w:r>
        <w:t>.  That page, titled “Relationships Matter,” leads with the following paragraph:</w:t>
      </w:r>
    </w:p>
    <w:p w:rsidR="000B6691" w:rsidRDefault="000B6691" w:rsidP="006D7FDC">
      <w:pPr>
        <w:pStyle w:val="FootnoteText"/>
        <w:spacing w:after="120"/>
        <w:ind w:left="1440" w:right="1440"/>
      </w:pPr>
      <w:r>
        <w:t xml:space="preserve">At Media Services Group, our directors have spent decades developing strong relationships with clients and customers.  They work with us because we are trustworthy and reliable.  We get the job done with integrity. </w:t>
      </w:r>
    </w:p>
  </w:footnote>
  <w:footnote w:id="8">
    <w:p w:rsidR="00570F82" w:rsidRDefault="00570F82" w:rsidP="006D7FDC">
      <w:pPr>
        <w:pStyle w:val="FootnoteText"/>
        <w:spacing w:after="120"/>
      </w:pPr>
      <w:r>
        <w:rPr>
          <w:rStyle w:val="FootnoteReference"/>
        </w:rPr>
        <w:footnoteRef/>
      </w:r>
      <w:r>
        <w:t xml:space="preserve"> This appears to be a typographical error in which “b” appears instead of “a.”  The intent of the parties appears to be that the $100 will be payable to Cumulus at the closing between Cumulus and Whitley and the balance of the Purchase Price will be payable to Cumulus at the closing between Whitley and the future buyer of the Station.</w:t>
      </w:r>
    </w:p>
  </w:footnote>
  <w:footnote w:id="9">
    <w:p w:rsidR="00F36E59" w:rsidRDefault="00F36E59" w:rsidP="006D7FDC">
      <w:pPr>
        <w:pStyle w:val="FootnoteText"/>
        <w:spacing w:after="120"/>
      </w:pPr>
      <w:r>
        <w:rPr>
          <w:rStyle w:val="FootnoteReference"/>
        </w:rPr>
        <w:footnoteRef/>
      </w:r>
      <w:r>
        <w:t xml:space="preserve"> </w:t>
      </w:r>
      <w:r w:rsidRPr="00F36E59">
        <w:rPr>
          <w:i/>
        </w:rPr>
        <w:t>See</w:t>
      </w:r>
      <w:r>
        <w:t xml:space="preserve"> </w:t>
      </w:r>
      <w:r w:rsidR="009E0EF9">
        <w:t xml:space="preserve">Assignment </w:t>
      </w:r>
      <w:r>
        <w:t>Application, Exhibit 5 and Attachment 5 (emphasis in original).</w:t>
      </w:r>
    </w:p>
  </w:footnote>
  <w:footnote w:id="10">
    <w:p w:rsidR="003E62AA" w:rsidRDefault="003E62AA" w:rsidP="006D7FDC">
      <w:pPr>
        <w:pStyle w:val="FootnoteText"/>
        <w:spacing w:after="120"/>
      </w:pPr>
      <w:r>
        <w:rPr>
          <w:rStyle w:val="FootnoteReference"/>
        </w:rPr>
        <w:footnoteRef/>
      </w:r>
      <w:r>
        <w:t xml:space="preserve"> 47 U.S.C. § 310(d).</w:t>
      </w:r>
    </w:p>
  </w:footnote>
  <w:footnote w:id="11">
    <w:p w:rsidR="0044135C" w:rsidRDefault="0044135C" w:rsidP="006D7FDC">
      <w:pPr>
        <w:pStyle w:val="FootnoteText"/>
        <w:spacing w:after="120"/>
      </w:pPr>
      <w:r>
        <w:rPr>
          <w:rStyle w:val="FootnoteReference"/>
        </w:rPr>
        <w:footnoteRef/>
      </w:r>
      <w:r>
        <w:t xml:space="preserve"> </w:t>
      </w:r>
      <w:r w:rsidRPr="0044135C">
        <w:rPr>
          <w:i/>
        </w:rPr>
        <w:t>Fox Television Stations, Inc.</w:t>
      </w:r>
      <w:r>
        <w:t xml:space="preserve">, </w:t>
      </w:r>
      <w:r w:rsidR="009E0EF9">
        <w:t xml:space="preserve">Second Memorandum Opinion and Order, </w:t>
      </w:r>
      <w:r>
        <w:t>11 FCC Rcd 5714, 5719 (1995) (finding that a $1.4 billion intracorporate loan is actually equity rather than debt for purposes of Section 310(b) of the Act).</w:t>
      </w:r>
    </w:p>
  </w:footnote>
  <w:footnote w:id="12">
    <w:p w:rsidR="00DB08FE" w:rsidRDefault="00DB08FE" w:rsidP="006D7FDC">
      <w:pPr>
        <w:pStyle w:val="FootnoteText"/>
        <w:spacing w:after="120"/>
      </w:pPr>
      <w:r>
        <w:rPr>
          <w:rStyle w:val="FootnoteReference"/>
        </w:rPr>
        <w:footnoteRef/>
      </w:r>
      <w:r>
        <w:t xml:space="preserve"> </w:t>
      </w:r>
      <w:r w:rsidR="00036C3A" w:rsidRPr="00036C3A">
        <w:rPr>
          <w:i/>
        </w:rPr>
        <w:t>See King Broadcasters, Inc.</w:t>
      </w:r>
      <w:r w:rsidR="00036C3A">
        <w:t>, Notice of Apparent Liability, 13 FCC Rcd 25317</w:t>
      </w:r>
      <w:r w:rsidR="009E0EF9">
        <w:t>, 25337</w:t>
      </w:r>
      <w:r w:rsidR="00036C3A">
        <w:t xml:space="preserve">  (M</w:t>
      </w:r>
      <w:r w:rsidR="00671269">
        <w:t>M</w:t>
      </w:r>
      <w:r w:rsidR="00036C3A">
        <w:t>B 1998)</w:t>
      </w:r>
      <w:r w:rsidR="00F15046">
        <w:t>, Forfeiture Order, 14 FCC Rcd 6393 (MB 1999)</w:t>
      </w:r>
      <w:r w:rsidR="00036C3A">
        <w:t xml:space="preserve">.  </w:t>
      </w:r>
      <w:r>
        <w:t xml:space="preserve">Coleman had entered into agreements to purchase King’s stations and to program those stations, subject to a monthly offset that would reduce the purchase price by an amount equal to the monthly time brokerage payments that Coleman made to King.  The FM station had not been built yet, and Coleman assumed responsibility to constructing that station.  </w:t>
      </w:r>
      <w:r w:rsidR="00036C3A" w:rsidRPr="00036C3A">
        <w:rPr>
          <w:i/>
        </w:rPr>
        <w:t>Id</w:t>
      </w:r>
      <w:r w:rsidR="00036C3A">
        <w:t xml:space="preserve">. at 25318-19.  </w:t>
      </w:r>
      <w:r>
        <w:t>Coleman subsequently re</w:t>
      </w:r>
      <w:r w:rsidR="00036C3A">
        <w:t xml:space="preserve">ached an agreement with KSRM, which operated other stations in the market, for KSRM to assume Coleman’s rights under the time brokerage agreement.  </w:t>
      </w:r>
      <w:r w:rsidR="00036C3A" w:rsidRPr="00902EF5">
        <w:rPr>
          <w:i/>
        </w:rPr>
        <w:t>Id</w:t>
      </w:r>
      <w:r w:rsidR="00036C3A">
        <w:t xml:space="preserve">. at </w:t>
      </w:r>
      <w:r w:rsidR="00902EF5">
        <w:t>25323.</w:t>
      </w:r>
      <w:r w:rsidR="00036C3A">
        <w:t xml:space="preserve">  </w:t>
      </w:r>
      <w:r w:rsidR="00902EF5">
        <w:t>From that point forward,</w:t>
      </w:r>
      <w:r w:rsidR="00036C3A">
        <w:t xml:space="preserve"> KSRM received the advertising income from the King stations while Coleman continued to receive the benefit of the purchase price offset.  </w:t>
      </w:r>
      <w:r w:rsidR="00036C3A" w:rsidRPr="00036C3A">
        <w:rPr>
          <w:i/>
        </w:rPr>
        <w:t>Id</w:t>
      </w:r>
      <w:r w:rsidR="00036C3A">
        <w:t>. at 25</w:t>
      </w:r>
      <w:r w:rsidR="00902EF5">
        <w:t xml:space="preserve">337.  In addition, Coleman and KSRM had entered into an option agreement that provided for the parties to share the proceeds of a sale of King’s stations to a third party.  </w:t>
      </w:r>
      <w:r w:rsidR="00902EF5" w:rsidRPr="00902EF5">
        <w:rPr>
          <w:i/>
        </w:rPr>
        <w:t>Id</w:t>
      </w:r>
      <w:r w:rsidR="00902EF5">
        <w:t xml:space="preserve">.  The Bureau rejected the argument by Coleman and KSRM that the arrangements were merely a time brokerage agreement by Coleman and a joint sales agreement by KSRM, permitted under the Rules at that time.  The Bureau concluded:  “These financial terms are indicative of a joint venture in the construction, operation, and acquisition of [the King stations].”  </w:t>
      </w:r>
      <w:r w:rsidR="00902EF5" w:rsidRPr="00902EF5">
        <w:rPr>
          <w:i/>
        </w:rPr>
        <w:t>Id</w:t>
      </w:r>
      <w:r w:rsidR="00902EF5">
        <w:t>.</w:t>
      </w:r>
    </w:p>
  </w:footnote>
  <w:footnote w:id="13">
    <w:p w:rsidR="006931BE" w:rsidRDefault="006931BE" w:rsidP="006D7FDC">
      <w:pPr>
        <w:pStyle w:val="FootnoteText"/>
        <w:spacing w:after="120"/>
      </w:pPr>
      <w:r>
        <w:rPr>
          <w:rStyle w:val="FootnoteReference"/>
        </w:rPr>
        <w:footnoteRef/>
      </w:r>
      <w:r>
        <w:t xml:space="preserve"> </w:t>
      </w:r>
      <w:r w:rsidRPr="006931BE">
        <w:rPr>
          <w:i/>
        </w:rPr>
        <w:t>Id</w:t>
      </w:r>
      <w:r>
        <w:t>., 13 FCC Rcd at 25337.</w:t>
      </w:r>
    </w:p>
  </w:footnote>
  <w:footnote w:id="14">
    <w:p w:rsidR="00671269" w:rsidRDefault="00671269" w:rsidP="006D7FDC">
      <w:pPr>
        <w:pStyle w:val="FootnoteText"/>
        <w:spacing w:after="120"/>
      </w:pPr>
      <w:r>
        <w:rPr>
          <w:rStyle w:val="FootnoteReference"/>
        </w:rPr>
        <w:footnoteRef/>
      </w:r>
      <w:r>
        <w:t xml:space="preserve"> </w:t>
      </w:r>
      <w:r w:rsidRPr="00671269">
        <w:rPr>
          <w:i/>
        </w:rPr>
        <w:t>Id</w:t>
      </w:r>
      <w:r>
        <w:t xml:space="preserve">., 13 FCC Rcd at 25333 (citing </w:t>
      </w:r>
      <w:r w:rsidRPr="00671269">
        <w:rPr>
          <w:i/>
        </w:rPr>
        <w:t>Salem Broadcasting, Inc.</w:t>
      </w:r>
      <w:r>
        <w:t>, Notice of Apparent Liabil</w:t>
      </w:r>
      <w:r w:rsidR="00D73F7C">
        <w:t xml:space="preserve">ity, 6 FCC Rcd 4172 (MMB 1991).  </w:t>
      </w:r>
      <w:r w:rsidR="00D73F7C" w:rsidRPr="006048FA">
        <w:rPr>
          <w:i/>
        </w:rPr>
        <w:t>See also KHNL/KGMB License Subsidiary LLC</w:t>
      </w:r>
      <w:r w:rsidR="00D73F7C">
        <w:t xml:space="preserve">, Memorandum Opinion and Order and Notice of Apparent Liability, 26 FCC Rcd 16087, 16093 (MB 2011), and </w:t>
      </w:r>
      <w:r w:rsidR="00D73F7C" w:rsidRPr="006048FA">
        <w:rPr>
          <w:i/>
        </w:rPr>
        <w:t>Shareholders of Ackerley Group, Inc.</w:t>
      </w:r>
      <w:r w:rsidR="00D73F7C">
        <w:t>, Memorandum Opinion and Order, 17 FCC Rcd 10828, 10841 (2002) (a licensee must retain the economic incentive to control programming aired over its station).</w:t>
      </w:r>
    </w:p>
  </w:footnote>
  <w:footnote w:id="15">
    <w:p w:rsidR="000244A5" w:rsidRDefault="000244A5" w:rsidP="006D7FDC">
      <w:pPr>
        <w:pStyle w:val="FootnoteText"/>
        <w:spacing w:after="120"/>
      </w:pPr>
      <w:r>
        <w:rPr>
          <w:rStyle w:val="FootnoteReference"/>
        </w:rPr>
        <w:footnoteRef/>
      </w:r>
      <w:r>
        <w:t xml:space="preserve"> </w:t>
      </w:r>
      <w:r w:rsidRPr="008731E8">
        <w:rPr>
          <w:i/>
        </w:rPr>
        <w:t>Tri-State Broadcasting Co.</w:t>
      </w:r>
      <w:r>
        <w:t>, Memorandum Opinion and Order, 6 FCC Rcd 2604 (1991).</w:t>
      </w:r>
    </w:p>
  </w:footnote>
  <w:footnote w:id="16">
    <w:p w:rsidR="008731E8" w:rsidRDefault="008731E8" w:rsidP="006D7FDC">
      <w:pPr>
        <w:pStyle w:val="FootnoteText"/>
        <w:spacing w:after="120"/>
      </w:pPr>
      <w:r>
        <w:rPr>
          <w:rStyle w:val="FootnoteReference"/>
        </w:rPr>
        <w:footnoteRef/>
      </w:r>
      <w:r>
        <w:t xml:space="preserve"> </w:t>
      </w:r>
      <w:r w:rsidRPr="008731E8">
        <w:rPr>
          <w:i/>
        </w:rPr>
        <w:t>Id</w:t>
      </w:r>
      <w:r>
        <w:t>., 6 FCC Rcd at 2605.</w:t>
      </w:r>
      <w:r w:rsidR="006048FA">
        <w:t xml:space="preserve">  </w:t>
      </w:r>
    </w:p>
  </w:footnote>
  <w:footnote w:id="17">
    <w:p w:rsidR="006D7FDC" w:rsidRDefault="006D7FDC" w:rsidP="006D7FDC">
      <w:pPr>
        <w:pStyle w:val="FootnoteText"/>
        <w:spacing w:after="120"/>
      </w:pPr>
      <w:r>
        <w:rPr>
          <w:rStyle w:val="FootnoteReference"/>
        </w:rPr>
        <w:footnoteRef/>
      </w:r>
      <w:r>
        <w:t xml:space="preserve"> In </w:t>
      </w:r>
      <w:r w:rsidRPr="006D7FDC">
        <w:rPr>
          <w:i/>
        </w:rPr>
        <w:t>Tri-State</w:t>
      </w:r>
      <w:r>
        <w:t>, the facts were developed through a hearing and Tri-State was disqualified for misrepresentations in its communications to the Commission over a period of several years.  In the present case, there is no need for a hearing because there is no substantial and material question of fact under Section 309(e) of the Act – the facts are apparent from the Assignment Application itself.</w:t>
      </w:r>
    </w:p>
  </w:footnote>
  <w:footnote w:id="18">
    <w:p w:rsidR="00E24543" w:rsidRDefault="00E24543" w:rsidP="006D7FDC">
      <w:pPr>
        <w:pStyle w:val="FootnoteText"/>
        <w:spacing w:after="120"/>
      </w:pPr>
      <w:r>
        <w:rPr>
          <w:rStyle w:val="FootnoteReference"/>
        </w:rPr>
        <w:footnoteRef/>
      </w:r>
      <w:r>
        <w:t xml:space="preserve"> The Commission’s case law assessing risk of loss in the analysis of broadcast transactions is consistent with precedent analyzing “true sales” of indebtedness under Article 9 of the Uniform Commercial Code.  </w:t>
      </w:r>
      <w:r w:rsidRPr="004E5B78">
        <w:rPr>
          <w:i/>
        </w:rPr>
        <w:t>See, e.g.</w:t>
      </w:r>
      <w:r>
        <w:t xml:space="preserve">, </w:t>
      </w:r>
      <w:r w:rsidRPr="004E5B78">
        <w:rPr>
          <w:i/>
        </w:rPr>
        <w:t>Major’s Furniture Mart, Inc. v. Castle Credit Corp.</w:t>
      </w:r>
      <w:r>
        <w:t>, 602 F.2d 538 (3d Cir. 1979) (</w:t>
      </w:r>
      <w:r w:rsidR="00AD29BC">
        <w:t xml:space="preserve">courts will not be controlled by the nomenclature the parties apply to their relationship; </w:t>
      </w:r>
      <w:r>
        <w:t xml:space="preserve">the </w:t>
      </w:r>
      <w:r w:rsidR="00AD29BC">
        <w:t>agreement to “sell” accounts receivable</w:t>
      </w:r>
      <w:r>
        <w:t xml:space="preserve"> was a secured loan, </w:t>
      </w:r>
      <w:r w:rsidR="00AD29BC">
        <w:t xml:space="preserve">and </w:t>
      </w:r>
      <w:r>
        <w:t xml:space="preserve">not a </w:t>
      </w:r>
      <w:r w:rsidR="00F81037">
        <w:t xml:space="preserve">true </w:t>
      </w:r>
      <w:r>
        <w:t>sale, because the assignor retained all conceivable risks of uncollectibility of the accounts).</w:t>
      </w:r>
    </w:p>
  </w:footnote>
  <w:footnote w:id="19">
    <w:p w:rsidR="009214F8" w:rsidRDefault="009214F8" w:rsidP="006D7FDC">
      <w:pPr>
        <w:pStyle w:val="FootnoteText"/>
        <w:spacing w:after="120"/>
      </w:pPr>
      <w:r>
        <w:rPr>
          <w:rStyle w:val="FootnoteReference"/>
        </w:rPr>
        <w:footnoteRef/>
      </w:r>
      <w:r>
        <w:t xml:space="preserve"> From 2010 to the present, </w:t>
      </w:r>
      <w:r w:rsidR="00E24543">
        <w:t xml:space="preserve">the other </w:t>
      </w:r>
      <w:r>
        <w:t xml:space="preserve">single-station commercial radio transactions in this market involved an average sale price exceeding $2.2 million. </w:t>
      </w:r>
    </w:p>
  </w:footnote>
  <w:footnote w:id="20">
    <w:p w:rsidR="006931BE" w:rsidRDefault="006931BE" w:rsidP="006D7FDC">
      <w:pPr>
        <w:pStyle w:val="FootnoteText"/>
        <w:spacing w:after="120"/>
      </w:pPr>
      <w:r>
        <w:rPr>
          <w:rStyle w:val="FootnoteReference"/>
        </w:rPr>
        <w:footnoteRef/>
      </w:r>
      <w:r>
        <w:t xml:space="preserve"> </w:t>
      </w:r>
      <w:r w:rsidRPr="006931BE">
        <w:rPr>
          <w:i/>
        </w:rPr>
        <w:t>See</w:t>
      </w:r>
      <w:r>
        <w:t xml:space="preserve"> notes 6 and 7 and associated text </w:t>
      </w:r>
      <w:r w:rsidRPr="006931BE">
        <w:rPr>
          <w:i/>
        </w:rPr>
        <w:t>supra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5" w:rsidRDefault="00195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BC5" w:rsidRDefault="00195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89" w:rsidRPr="007D2B0D" w:rsidRDefault="00DA3DA7" w:rsidP="00CA1D8D">
    <w:pPr>
      <w:pStyle w:val="Header"/>
      <w:tabs>
        <w:tab w:val="clear" w:pos="4320"/>
        <w:tab w:val="clear" w:pos="8640"/>
      </w:tabs>
      <w:spacing w:before="360"/>
      <w:jc w:val="center"/>
      <w:rPr>
        <w:b/>
        <w:sz w:val="22"/>
        <w:szCs w:val="22"/>
      </w:rPr>
    </w:pPr>
    <w:r>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41108190" r:id="rId2"/>
      </w:pict>
    </w:r>
    <w:r w:rsidR="00716289" w:rsidRPr="007D2B0D">
      <w:rPr>
        <w:b/>
        <w:sz w:val="22"/>
        <w:szCs w:val="22"/>
      </w:rPr>
      <w:t>Federal Communications Commission</w:t>
    </w:r>
  </w:p>
  <w:p w:rsidR="00716289" w:rsidRPr="007D2B0D" w:rsidRDefault="00716289">
    <w:pPr>
      <w:jc w:val="center"/>
      <w:rPr>
        <w:b/>
        <w:sz w:val="22"/>
        <w:szCs w:val="22"/>
      </w:rPr>
    </w:pPr>
    <w:smartTag w:uri="urn:schemas-microsoft-com:office:smarttags" w:element="place">
      <w:smartTag w:uri="urn:schemas-microsoft-com:office:smarttags" w:element="City">
        <w:r w:rsidRPr="007D2B0D">
          <w:rPr>
            <w:b/>
            <w:sz w:val="22"/>
            <w:szCs w:val="22"/>
          </w:rPr>
          <w:t>Washington</w:t>
        </w:r>
      </w:smartTag>
      <w:r w:rsidRPr="007D2B0D">
        <w:rPr>
          <w:b/>
          <w:sz w:val="22"/>
          <w:szCs w:val="22"/>
        </w:rPr>
        <w:t xml:space="preserve">, </w:t>
      </w:r>
      <w:smartTag w:uri="urn:schemas-microsoft-com:office:smarttags" w:element="State">
        <w:r w:rsidRPr="007D2B0D">
          <w:rPr>
            <w:b/>
            <w:sz w:val="22"/>
            <w:szCs w:val="22"/>
          </w:rPr>
          <w:t>D.C.</w:t>
        </w:r>
      </w:smartTag>
      <w:r w:rsidRPr="007D2B0D">
        <w:rPr>
          <w:b/>
          <w:sz w:val="22"/>
          <w:szCs w:val="22"/>
        </w:rPr>
        <w:t xml:space="preserve"> </w:t>
      </w:r>
      <w:smartTag w:uri="urn:schemas-microsoft-com:office:smarttags" w:element="PostalCode">
        <w:r w:rsidRPr="007D2B0D">
          <w:rPr>
            <w:b/>
            <w:sz w:val="22"/>
            <w:szCs w:val="22"/>
          </w:rPr>
          <w:t>20554</w:t>
        </w:r>
      </w:smartTag>
    </w:smartTag>
  </w:p>
  <w:p w:rsidR="00716289" w:rsidRDefault="00716289">
    <w:pPr>
      <w:jc w:val="center"/>
      <w:rPr>
        <w:rFonts w:ascii="CG Times (W1)" w:hAnsi="CG Times (W1)"/>
        <w:sz w:val="28"/>
      </w:rPr>
    </w:pPr>
  </w:p>
  <w:p w:rsidR="00716289" w:rsidRDefault="00716289" w:rsidP="00F072A6">
    <w:pPr>
      <w:jc w:val="center"/>
    </w:pPr>
    <w:r>
      <w:t xml:space="preserve">September </w:t>
    </w:r>
    <w:r w:rsidR="002832E7">
      <w:t>19</w:t>
    </w:r>
    <w:r>
      <w:t>, 2013</w:t>
    </w:r>
  </w:p>
  <w:p w:rsidR="00716289" w:rsidRDefault="00716289" w:rsidP="001E0BC3">
    <w:pPr>
      <w:pStyle w:val="Header"/>
      <w:tabs>
        <w:tab w:val="clear" w:pos="4320"/>
      </w:tabs>
      <w:rPr>
        <w:sz w:val="22"/>
      </w:rPr>
    </w:pPr>
  </w:p>
  <w:p w:rsidR="00716289" w:rsidRPr="007D2B0D" w:rsidRDefault="00716289" w:rsidP="00DD1F29">
    <w:pPr>
      <w:pStyle w:val="Header"/>
      <w:tabs>
        <w:tab w:val="clear" w:pos="4320"/>
        <w:tab w:val="left" w:pos="5580"/>
        <w:tab w:val="left" w:pos="5760"/>
        <w:tab w:val="left" w:pos="6480"/>
        <w:tab w:val="left" w:pos="6570"/>
        <w:tab w:val="left" w:pos="6660"/>
      </w:tabs>
      <w:rPr>
        <w:b/>
        <w:sz w:val="22"/>
      </w:rPr>
    </w:pPr>
    <w:r w:rsidRPr="007D2B0D">
      <w:rPr>
        <w:b/>
        <w:sz w:val="22"/>
      </w:rPr>
      <w:t xml:space="preserve">                                                                                                     </w:t>
    </w:r>
    <w:r>
      <w:rPr>
        <w:b/>
        <w:sz w:val="22"/>
      </w:rPr>
      <w:t xml:space="preserve">                   </w:t>
    </w:r>
    <w:r w:rsidRPr="007D2B0D">
      <w:rPr>
        <w:b/>
      </w:rPr>
      <w:t xml:space="preserve">DA </w:t>
    </w:r>
    <w:r>
      <w:rPr>
        <w:b/>
      </w:rPr>
      <w:t>13-</w:t>
    </w:r>
    <w:r w:rsidR="00AD36DF">
      <w:rPr>
        <w:b/>
      </w:rPr>
      <w:t>1938</w:t>
    </w:r>
    <w:r w:rsidRPr="007D2B0D">
      <w:rPr>
        <w:b/>
        <w:sz w:val="22"/>
      </w:rPr>
      <w:tab/>
    </w:r>
  </w:p>
  <w:p w:rsidR="00716289" w:rsidRPr="000A02CB" w:rsidRDefault="00716289" w:rsidP="001E0BC3">
    <w:pPr>
      <w:pStyle w:val="Header"/>
      <w:tabs>
        <w:tab w:val="clear" w:pos="4320"/>
      </w:tabs>
      <w:rPr>
        <w:i/>
      </w:rPr>
    </w:pPr>
    <w:r>
      <w:rPr>
        <w:sz w:val="22"/>
      </w:rPr>
      <w:t xml:space="preserve">                                                                                                                        </w:t>
    </w:r>
    <w:r w:rsidRPr="000A02CB">
      <w:rPr>
        <w:i/>
      </w:rPr>
      <w:t xml:space="preserve">In Reply Refer to:  </w:t>
    </w:r>
  </w:p>
  <w:p w:rsidR="00716289" w:rsidRDefault="00716289" w:rsidP="001E0BC3">
    <w:pPr>
      <w:pStyle w:val="Header"/>
      <w:tabs>
        <w:tab w:val="clear" w:pos="4320"/>
      </w:tabs>
    </w:pPr>
    <w:r>
      <w:t xml:space="preserve">                                                                                                                                    1</w:t>
    </w:r>
    <w:r w:rsidRPr="0071656B">
      <w:t>800B3-</w:t>
    </w:r>
    <w:r>
      <w:t xml:space="preserve">TH       </w:t>
    </w:r>
  </w:p>
  <w:p w:rsidR="00716289" w:rsidRPr="0071656B" w:rsidRDefault="00716289" w:rsidP="001E0BC3">
    <w:pPr>
      <w:pStyle w:val="Header"/>
      <w:tabs>
        <w:tab w:val="clear" w:pos="4320"/>
      </w:tabs>
    </w:pPr>
    <w:r>
      <w:t xml:space="preserve">                                                                                                                                    Released: </w:t>
    </w:r>
    <w:r w:rsidR="002832E7">
      <w:t>September 19, 2013</w:t>
    </w: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8D"/>
    <w:rsid w:val="00000A73"/>
    <w:rsid w:val="00001499"/>
    <w:rsid w:val="00002026"/>
    <w:rsid w:val="00002304"/>
    <w:rsid w:val="000030D1"/>
    <w:rsid w:val="000040A2"/>
    <w:rsid w:val="0000660B"/>
    <w:rsid w:val="00010318"/>
    <w:rsid w:val="000107DD"/>
    <w:rsid w:val="00010808"/>
    <w:rsid w:val="000113EF"/>
    <w:rsid w:val="00011F35"/>
    <w:rsid w:val="00014EF4"/>
    <w:rsid w:val="00015A9E"/>
    <w:rsid w:val="00017E4A"/>
    <w:rsid w:val="00021F84"/>
    <w:rsid w:val="00022851"/>
    <w:rsid w:val="000244A5"/>
    <w:rsid w:val="00024F3A"/>
    <w:rsid w:val="00025F11"/>
    <w:rsid w:val="0002757C"/>
    <w:rsid w:val="0003084B"/>
    <w:rsid w:val="0003110D"/>
    <w:rsid w:val="0003505E"/>
    <w:rsid w:val="00036C3A"/>
    <w:rsid w:val="000401CE"/>
    <w:rsid w:val="000402DD"/>
    <w:rsid w:val="0004067C"/>
    <w:rsid w:val="00042975"/>
    <w:rsid w:val="00042F38"/>
    <w:rsid w:val="000434B6"/>
    <w:rsid w:val="00044999"/>
    <w:rsid w:val="00047555"/>
    <w:rsid w:val="0005347A"/>
    <w:rsid w:val="0005501E"/>
    <w:rsid w:val="000568A2"/>
    <w:rsid w:val="00056E80"/>
    <w:rsid w:val="00060606"/>
    <w:rsid w:val="00060717"/>
    <w:rsid w:val="000628DD"/>
    <w:rsid w:val="000634FE"/>
    <w:rsid w:val="00063529"/>
    <w:rsid w:val="00063AEB"/>
    <w:rsid w:val="000647E6"/>
    <w:rsid w:val="00064F14"/>
    <w:rsid w:val="00065144"/>
    <w:rsid w:val="00070595"/>
    <w:rsid w:val="00071FAD"/>
    <w:rsid w:val="00072CE4"/>
    <w:rsid w:val="000751EA"/>
    <w:rsid w:val="0008190B"/>
    <w:rsid w:val="00081D13"/>
    <w:rsid w:val="00081E36"/>
    <w:rsid w:val="00082C62"/>
    <w:rsid w:val="00083ED2"/>
    <w:rsid w:val="000842D4"/>
    <w:rsid w:val="00084E7B"/>
    <w:rsid w:val="00084EEA"/>
    <w:rsid w:val="000867AF"/>
    <w:rsid w:val="00087B6F"/>
    <w:rsid w:val="00090293"/>
    <w:rsid w:val="00090A30"/>
    <w:rsid w:val="000924F9"/>
    <w:rsid w:val="00093962"/>
    <w:rsid w:val="00094173"/>
    <w:rsid w:val="000943C0"/>
    <w:rsid w:val="00094FB6"/>
    <w:rsid w:val="0009646A"/>
    <w:rsid w:val="000A02CB"/>
    <w:rsid w:val="000A084C"/>
    <w:rsid w:val="000A10F4"/>
    <w:rsid w:val="000A270A"/>
    <w:rsid w:val="000A6203"/>
    <w:rsid w:val="000A734C"/>
    <w:rsid w:val="000A7428"/>
    <w:rsid w:val="000B1049"/>
    <w:rsid w:val="000B2D69"/>
    <w:rsid w:val="000B3932"/>
    <w:rsid w:val="000B5B98"/>
    <w:rsid w:val="000B6691"/>
    <w:rsid w:val="000B6AF1"/>
    <w:rsid w:val="000C1BCB"/>
    <w:rsid w:val="000C38DE"/>
    <w:rsid w:val="000C5935"/>
    <w:rsid w:val="000D0A43"/>
    <w:rsid w:val="000D1AC3"/>
    <w:rsid w:val="000D25C6"/>
    <w:rsid w:val="000D632E"/>
    <w:rsid w:val="000D7058"/>
    <w:rsid w:val="000E01C7"/>
    <w:rsid w:val="000E19E9"/>
    <w:rsid w:val="000E3C4F"/>
    <w:rsid w:val="000E51B9"/>
    <w:rsid w:val="000E58CE"/>
    <w:rsid w:val="000F4C1F"/>
    <w:rsid w:val="000F4F59"/>
    <w:rsid w:val="000F579F"/>
    <w:rsid w:val="000F7EE6"/>
    <w:rsid w:val="001000D9"/>
    <w:rsid w:val="001017B9"/>
    <w:rsid w:val="00101E3D"/>
    <w:rsid w:val="00104E2C"/>
    <w:rsid w:val="00105A37"/>
    <w:rsid w:val="00106F9F"/>
    <w:rsid w:val="00111F76"/>
    <w:rsid w:val="00112F1B"/>
    <w:rsid w:val="001144D0"/>
    <w:rsid w:val="001167FD"/>
    <w:rsid w:val="00117AC8"/>
    <w:rsid w:val="00120806"/>
    <w:rsid w:val="00120E42"/>
    <w:rsid w:val="00121BB7"/>
    <w:rsid w:val="0012272E"/>
    <w:rsid w:val="00123DEC"/>
    <w:rsid w:val="00126C81"/>
    <w:rsid w:val="00134FA9"/>
    <w:rsid w:val="001361CA"/>
    <w:rsid w:val="00137D17"/>
    <w:rsid w:val="00142F3C"/>
    <w:rsid w:val="00143758"/>
    <w:rsid w:val="00143DE3"/>
    <w:rsid w:val="00143E7C"/>
    <w:rsid w:val="001444DE"/>
    <w:rsid w:val="0014481C"/>
    <w:rsid w:val="0014521B"/>
    <w:rsid w:val="001452AC"/>
    <w:rsid w:val="0014585A"/>
    <w:rsid w:val="00146767"/>
    <w:rsid w:val="00146C95"/>
    <w:rsid w:val="00152CCF"/>
    <w:rsid w:val="00152F97"/>
    <w:rsid w:val="00153271"/>
    <w:rsid w:val="0015335C"/>
    <w:rsid w:val="001537AE"/>
    <w:rsid w:val="00154394"/>
    <w:rsid w:val="00154992"/>
    <w:rsid w:val="00156019"/>
    <w:rsid w:val="001649B5"/>
    <w:rsid w:val="0016553F"/>
    <w:rsid w:val="00167793"/>
    <w:rsid w:val="0017047F"/>
    <w:rsid w:val="0017075F"/>
    <w:rsid w:val="0017217E"/>
    <w:rsid w:val="0017293A"/>
    <w:rsid w:val="00172E4B"/>
    <w:rsid w:val="00173CF5"/>
    <w:rsid w:val="001745FC"/>
    <w:rsid w:val="00174FA2"/>
    <w:rsid w:val="00176350"/>
    <w:rsid w:val="00176912"/>
    <w:rsid w:val="00176C21"/>
    <w:rsid w:val="001772DF"/>
    <w:rsid w:val="00180070"/>
    <w:rsid w:val="00180563"/>
    <w:rsid w:val="0018130B"/>
    <w:rsid w:val="001818EE"/>
    <w:rsid w:val="00182654"/>
    <w:rsid w:val="00183B23"/>
    <w:rsid w:val="0018403E"/>
    <w:rsid w:val="00184DCD"/>
    <w:rsid w:val="001854BD"/>
    <w:rsid w:val="001873D4"/>
    <w:rsid w:val="00187737"/>
    <w:rsid w:val="00187CB0"/>
    <w:rsid w:val="00190EBB"/>
    <w:rsid w:val="00191EF5"/>
    <w:rsid w:val="001933C9"/>
    <w:rsid w:val="00195BC5"/>
    <w:rsid w:val="00195E7A"/>
    <w:rsid w:val="00196870"/>
    <w:rsid w:val="001A10E3"/>
    <w:rsid w:val="001A2AB9"/>
    <w:rsid w:val="001A3DD3"/>
    <w:rsid w:val="001A4B51"/>
    <w:rsid w:val="001A61A5"/>
    <w:rsid w:val="001A625F"/>
    <w:rsid w:val="001A7561"/>
    <w:rsid w:val="001A798D"/>
    <w:rsid w:val="001B242A"/>
    <w:rsid w:val="001B2CF6"/>
    <w:rsid w:val="001B42B3"/>
    <w:rsid w:val="001B505A"/>
    <w:rsid w:val="001B55B7"/>
    <w:rsid w:val="001B55DF"/>
    <w:rsid w:val="001B55E2"/>
    <w:rsid w:val="001B591E"/>
    <w:rsid w:val="001B600D"/>
    <w:rsid w:val="001C00C5"/>
    <w:rsid w:val="001C0440"/>
    <w:rsid w:val="001C26FE"/>
    <w:rsid w:val="001C3509"/>
    <w:rsid w:val="001C5099"/>
    <w:rsid w:val="001C60DB"/>
    <w:rsid w:val="001D10C7"/>
    <w:rsid w:val="001D21C9"/>
    <w:rsid w:val="001D2314"/>
    <w:rsid w:val="001D6117"/>
    <w:rsid w:val="001E0BC3"/>
    <w:rsid w:val="001E0FCF"/>
    <w:rsid w:val="001E2457"/>
    <w:rsid w:val="001E25FD"/>
    <w:rsid w:val="001E73A0"/>
    <w:rsid w:val="001F004C"/>
    <w:rsid w:val="001F076C"/>
    <w:rsid w:val="001F2293"/>
    <w:rsid w:val="001F3F26"/>
    <w:rsid w:val="001F4E47"/>
    <w:rsid w:val="001F7962"/>
    <w:rsid w:val="00200697"/>
    <w:rsid w:val="00201323"/>
    <w:rsid w:val="00203716"/>
    <w:rsid w:val="00205423"/>
    <w:rsid w:val="00206BCE"/>
    <w:rsid w:val="00210809"/>
    <w:rsid w:val="00211129"/>
    <w:rsid w:val="002129EE"/>
    <w:rsid w:val="0021337A"/>
    <w:rsid w:val="00217B8E"/>
    <w:rsid w:val="00220963"/>
    <w:rsid w:val="002260A2"/>
    <w:rsid w:val="002271BD"/>
    <w:rsid w:val="00227602"/>
    <w:rsid w:val="00230437"/>
    <w:rsid w:val="00232459"/>
    <w:rsid w:val="0023602E"/>
    <w:rsid w:val="00237662"/>
    <w:rsid w:val="00237BCB"/>
    <w:rsid w:val="00242F8F"/>
    <w:rsid w:val="00243870"/>
    <w:rsid w:val="00244DEA"/>
    <w:rsid w:val="002454B7"/>
    <w:rsid w:val="00250AEC"/>
    <w:rsid w:val="00252DEC"/>
    <w:rsid w:val="0025482E"/>
    <w:rsid w:val="00255973"/>
    <w:rsid w:val="00260C79"/>
    <w:rsid w:val="00260F53"/>
    <w:rsid w:val="0026122F"/>
    <w:rsid w:val="00261FEB"/>
    <w:rsid w:val="0026215B"/>
    <w:rsid w:val="00263080"/>
    <w:rsid w:val="00264140"/>
    <w:rsid w:val="002647AA"/>
    <w:rsid w:val="00266259"/>
    <w:rsid w:val="00267272"/>
    <w:rsid w:val="002723C3"/>
    <w:rsid w:val="00272D49"/>
    <w:rsid w:val="00274971"/>
    <w:rsid w:val="002758BF"/>
    <w:rsid w:val="00280900"/>
    <w:rsid w:val="002832E7"/>
    <w:rsid w:val="0028350D"/>
    <w:rsid w:val="0029245B"/>
    <w:rsid w:val="00292688"/>
    <w:rsid w:val="0029776A"/>
    <w:rsid w:val="002A0422"/>
    <w:rsid w:val="002A10BB"/>
    <w:rsid w:val="002A1C56"/>
    <w:rsid w:val="002A2183"/>
    <w:rsid w:val="002A410A"/>
    <w:rsid w:val="002A68DB"/>
    <w:rsid w:val="002B2250"/>
    <w:rsid w:val="002B2C13"/>
    <w:rsid w:val="002B2CAF"/>
    <w:rsid w:val="002B47D9"/>
    <w:rsid w:val="002B5226"/>
    <w:rsid w:val="002B6966"/>
    <w:rsid w:val="002C09EC"/>
    <w:rsid w:val="002C590C"/>
    <w:rsid w:val="002C63F7"/>
    <w:rsid w:val="002C6A72"/>
    <w:rsid w:val="002C6DCB"/>
    <w:rsid w:val="002C7B6F"/>
    <w:rsid w:val="002D0C64"/>
    <w:rsid w:val="002D253C"/>
    <w:rsid w:val="002D2AD4"/>
    <w:rsid w:val="002D43CB"/>
    <w:rsid w:val="002D7CF7"/>
    <w:rsid w:val="002E10FA"/>
    <w:rsid w:val="002E1B2B"/>
    <w:rsid w:val="002E3511"/>
    <w:rsid w:val="002E39EA"/>
    <w:rsid w:val="002E6D06"/>
    <w:rsid w:val="002F08E3"/>
    <w:rsid w:val="002F176E"/>
    <w:rsid w:val="002F3B56"/>
    <w:rsid w:val="002F4D6E"/>
    <w:rsid w:val="002F6436"/>
    <w:rsid w:val="002F717D"/>
    <w:rsid w:val="002F772F"/>
    <w:rsid w:val="0030135C"/>
    <w:rsid w:val="00302076"/>
    <w:rsid w:val="003021C8"/>
    <w:rsid w:val="0030307E"/>
    <w:rsid w:val="003057DC"/>
    <w:rsid w:val="00311961"/>
    <w:rsid w:val="003155DD"/>
    <w:rsid w:val="003158B2"/>
    <w:rsid w:val="00316BBB"/>
    <w:rsid w:val="00316C5F"/>
    <w:rsid w:val="00322BCF"/>
    <w:rsid w:val="00323273"/>
    <w:rsid w:val="00324049"/>
    <w:rsid w:val="00324A49"/>
    <w:rsid w:val="003324E5"/>
    <w:rsid w:val="00337657"/>
    <w:rsid w:val="00337F55"/>
    <w:rsid w:val="0034407C"/>
    <w:rsid w:val="003455A0"/>
    <w:rsid w:val="003466F4"/>
    <w:rsid w:val="00351A4B"/>
    <w:rsid w:val="00353381"/>
    <w:rsid w:val="00354BBE"/>
    <w:rsid w:val="00355C1E"/>
    <w:rsid w:val="00361373"/>
    <w:rsid w:val="003623EF"/>
    <w:rsid w:val="00364AAA"/>
    <w:rsid w:val="00365FCF"/>
    <w:rsid w:val="0036709F"/>
    <w:rsid w:val="00367EFF"/>
    <w:rsid w:val="00371419"/>
    <w:rsid w:val="00371803"/>
    <w:rsid w:val="00374296"/>
    <w:rsid w:val="00380C41"/>
    <w:rsid w:val="00380E3B"/>
    <w:rsid w:val="0038253B"/>
    <w:rsid w:val="0038466B"/>
    <w:rsid w:val="00384BB4"/>
    <w:rsid w:val="00385485"/>
    <w:rsid w:val="003856B0"/>
    <w:rsid w:val="00385731"/>
    <w:rsid w:val="00385F8F"/>
    <w:rsid w:val="00387DE0"/>
    <w:rsid w:val="00391366"/>
    <w:rsid w:val="003914B0"/>
    <w:rsid w:val="00392E19"/>
    <w:rsid w:val="00394D8D"/>
    <w:rsid w:val="003A203E"/>
    <w:rsid w:val="003A7097"/>
    <w:rsid w:val="003A7215"/>
    <w:rsid w:val="003B0BD8"/>
    <w:rsid w:val="003B0E94"/>
    <w:rsid w:val="003B10A8"/>
    <w:rsid w:val="003B2EC3"/>
    <w:rsid w:val="003B35AC"/>
    <w:rsid w:val="003B5C75"/>
    <w:rsid w:val="003C1C3F"/>
    <w:rsid w:val="003C25C5"/>
    <w:rsid w:val="003C2DBC"/>
    <w:rsid w:val="003C2FE4"/>
    <w:rsid w:val="003C3C10"/>
    <w:rsid w:val="003C4333"/>
    <w:rsid w:val="003C586C"/>
    <w:rsid w:val="003D0574"/>
    <w:rsid w:val="003D2248"/>
    <w:rsid w:val="003D3D2A"/>
    <w:rsid w:val="003D40BA"/>
    <w:rsid w:val="003D4E16"/>
    <w:rsid w:val="003D4E18"/>
    <w:rsid w:val="003E0066"/>
    <w:rsid w:val="003E370F"/>
    <w:rsid w:val="003E3F0E"/>
    <w:rsid w:val="003E42C8"/>
    <w:rsid w:val="003E629B"/>
    <w:rsid w:val="003E62AA"/>
    <w:rsid w:val="003E63B7"/>
    <w:rsid w:val="003F4FE3"/>
    <w:rsid w:val="003F60E5"/>
    <w:rsid w:val="003F6B6A"/>
    <w:rsid w:val="004004B0"/>
    <w:rsid w:val="00404359"/>
    <w:rsid w:val="00404EF5"/>
    <w:rsid w:val="0040646C"/>
    <w:rsid w:val="00407791"/>
    <w:rsid w:val="0041122D"/>
    <w:rsid w:val="00412ECE"/>
    <w:rsid w:val="004139BB"/>
    <w:rsid w:val="00416FB9"/>
    <w:rsid w:val="00417E46"/>
    <w:rsid w:val="00420091"/>
    <w:rsid w:val="004203DD"/>
    <w:rsid w:val="00424D89"/>
    <w:rsid w:val="004300F8"/>
    <w:rsid w:val="0043303B"/>
    <w:rsid w:val="00433B4C"/>
    <w:rsid w:val="004412C7"/>
    <w:rsid w:val="0044135C"/>
    <w:rsid w:val="00442C46"/>
    <w:rsid w:val="00442E52"/>
    <w:rsid w:val="004440F8"/>
    <w:rsid w:val="004441E2"/>
    <w:rsid w:val="0044435E"/>
    <w:rsid w:val="00450119"/>
    <w:rsid w:val="004518E9"/>
    <w:rsid w:val="00452C4A"/>
    <w:rsid w:val="0045514A"/>
    <w:rsid w:val="004577BB"/>
    <w:rsid w:val="00461037"/>
    <w:rsid w:val="004613B5"/>
    <w:rsid w:val="0046236E"/>
    <w:rsid w:val="00462C72"/>
    <w:rsid w:val="0046479A"/>
    <w:rsid w:val="00465986"/>
    <w:rsid w:val="00465A31"/>
    <w:rsid w:val="0046723F"/>
    <w:rsid w:val="004674B5"/>
    <w:rsid w:val="00474A94"/>
    <w:rsid w:val="0047556D"/>
    <w:rsid w:val="00480086"/>
    <w:rsid w:val="004808EB"/>
    <w:rsid w:val="0048130C"/>
    <w:rsid w:val="0048167E"/>
    <w:rsid w:val="004818FC"/>
    <w:rsid w:val="004830F6"/>
    <w:rsid w:val="0048422B"/>
    <w:rsid w:val="004842CF"/>
    <w:rsid w:val="00484FD9"/>
    <w:rsid w:val="00487945"/>
    <w:rsid w:val="004904B8"/>
    <w:rsid w:val="0049216A"/>
    <w:rsid w:val="00493F3B"/>
    <w:rsid w:val="004942CE"/>
    <w:rsid w:val="0049491A"/>
    <w:rsid w:val="004954A1"/>
    <w:rsid w:val="00495F45"/>
    <w:rsid w:val="004A06B1"/>
    <w:rsid w:val="004A1A2D"/>
    <w:rsid w:val="004A2068"/>
    <w:rsid w:val="004A280B"/>
    <w:rsid w:val="004A7158"/>
    <w:rsid w:val="004B0529"/>
    <w:rsid w:val="004B0DF4"/>
    <w:rsid w:val="004B1BDF"/>
    <w:rsid w:val="004B31F7"/>
    <w:rsid w:val="004B5479"/>
    <w:rsid w:val="004B5F34"/>
    <w:rsid w:val="004B6A3E"/>
    <w:rsid w:val="004B6A57"/>
    <w:rsid w:val="004B7668"/>
    <w:rsid w:val="004C0267"/>
    <w:rsid w:val="004C38E1"/>
    <w:rsid w:val="004C4FE4"/>
    <w:rsid w:val="004C5247"/>
    <w:rsid w:val="004C5D2C"/>
    <w:rsid w:val="004C6487"/>
    <w:rsid w:val="004C65DB"/>
    <w:rsid w:val="004C721F"/>
    <w:rsid w:val="004D123D"/>
    <w:rsid w:val="004D12C6"/>
    <w:rsid w:val="004D24AB"/>
    <w:rsid w:val="004E09EE"/>
    <w:rsid w:val="004E5052"/>
    <w:rsid w:val="004E59AE"/>
    <w:rsid w:val="004E5B78"/>
    <w:rsid w:val="004F0AAC"/>
    <w:rsid w:val="004F4A73"/>
    <w:rsid w:val="004F5DA9"/>
    <w:rsid w:val="004F5FBF"/>
    <w:rsid w:val="004F717C"/>
    <w:rsid w:val="005006AC"/>
    <w:rsid w:val="00501094"/>
    <w:rsid w:val="005022B9"/>
    <w:rsid w:val="0050359B"/>
    <w:rsid w:val="00504785"/>
    <w:rsid w:val="00507C40"/>
    <w:rsid w:val="00507F63"/>
    <w:rsid w:val="005108B6"/>
    <w:rsid w:val="00510CC4"/>
    <w:rsid w:val="00510D03"/>
    <w:rsid w:val="00510F0C"/>
    <w:rsid w:val="00511FDB"/>
    <w:rsid w:val="005122C8"/>
    <w:rsid w:val="005153B8"/>
    <w:rsid w:val="0051747B"/>
    <w:rsid w:val="00522C9F"/>
    <w:rsid w:val="00523206"/>
    <w:rsid w:val="00527BC8"/>
    <w:rsid w:val="00530DC7"/>
    <w:rsid w:val="00532CAA"/>
    <w:rsid w:val="00532DDF"/>
    <w:rsid w:val="0053532B"/>
    <w:rsid w:val="0053550A"/>
    <w:rsid w:val="005363CF"/>
    <w:rsid w:val="005414D8"/>
    <w:rsid w:val="00545E14"/>
    <w:rsid w:val="00546DD0"/>
    <w:rsid w:val="00547C04"/>
    <w:rsid w:val="00547E2F"/>
    <w:rsid w:val="00552414"/>
    <w:rsid w:val="00553676"/>
    <w:rsid w:val="00553F82"/>
    <w:rsid w:val="00554D44"/>
    <w:rsid w:val="00554F4A"/>
    <w:rsid w:val="00555142"/>
    <w:rsid w:val="00555CB7"/>
    <w:rsid w:val="005567FF"/>
    <w:rsid w:val="0055686A"/>
    <w:rsid w:val="00561298"/>
    <w:rsid w:val="005636E3"/>
    <w:rsid w:val="0056508E"/>
    <w:rsid w:val="005659F0"/>
    <w:rsid w:val="0056634F"/>
    <w:rsid w:val="00570630"/>
    <w:rsid w:val="00570F82"/>
    <w:rsid w:val="0057165D"/>
    <w:rsid w:val="0057202D"/>
    <w:rsid w:val="0057210B"/>
    <w:rsid w:val="00572614"/>
    <w:rsid w:val="0057269B"/>
    <w:rsid w:val="00574A49"/>
    <w:rsid w:val="00574B51"/>
    <w:rsid w:val="00574BF0"/>
    <w:rsid w:val="005835FC"/>
    <w:rsid w:val="00583700"/>
    <w:rsid w:val="00583FFC"/>
    <w:rsid w:val="00584E0C"/>
    <w:rsid w:val="005852C7"/>
    <w:rsid w:val="00585423"/>
    <w:rsid w:val="00585B28"/>
    <w:rsid w:val="00590EA7"/>
    <w:rsid w:val="00595D11"/>
    <w:rsid w:val="0059662C"/>
    <w:rsid w:val="005A0FD7"/>
    <w:rsid w:val="005A1E7B"/>
    <w:rsid w:val="005A2887"/>
    <w:rsid w:val="005A430F"/>
    <w:rsid w:val="005A4722"/>
    <w:rsid w:val="005A5B5A"/>
    <w:rsid w:val="005A7DEE"/>
    <w:rsid w:val="005A7F62"/>
    <w:rsid w:val="005B13C3"/>
    <w:rsid w:val="005B5195"/>
    <w:rsid w:val="005B6ABD"/>
    <w:rsid w:val="005B71BF"/>
    <w:rsid w:val="005C05DC"/>
    <w:rsid w:val="005C18B9"/>
    <w:rsid w:val="005C2ED8"/>
    <w:rsid w:val="005C3FF7"/>
    <w:rsid w:val="005C53B8"/>
    <w:rsid w:val="005D0326"/>
    <w:rsid w:val="005D0E61"/>
    <w:rsid w:val="005D1ABE"/>
    <w:rsid w:val="005D643B"/>
    <w:rsid w:val="005E1547"/>
    <w:rsid w:val="005E1904"/>
    <w:rsid w:val="005E1A1E"/>
    <w:rsid w:val="005E3064"/>
    <w:rsid w:val="005E5367"/>
    <w:rsid w:val="005E5EB4"/>
    <w:rsid w:val="005E737A"/>
    <w:rsid w:val="005F061D"/>
    <w:rsid w:val="005F0769"/>
    <w:rsid w:val="005F0E6F"/>
    <w:rsid w:val="005F4189"/>
    <w:rsid w:val="0060033D"/>
    <w:rsid w:val="00603FB9"/>
    <w:rsid w:val="006048FA"/>
    <w:rsid w:val="00605DBF"/>
    <w:rsid w:val="00605E9A"/>
    <w:rsid w:val="00607B45"/>
    <w:rsid w:val="00607DEF"/>
    <w:rsid w:val="00610088"/>
    <w:rsid w:val="00610E50"/>
    <w:rsid w:val="006111B7"/>
    <w:rsid w:val="006129AB"/>
    <w:rsid w:val="00612DBA"/>
    <w:rsid w:val="00613099"/>
    <w:rsid w:val="00613544"/>
    <w:rsid w:val="00614FC4"/>
    <w:rsid w:val="006152AA"/>
    <w:rsid w:val="00617010"/>
    <w:rsid w:val="006222C0"/>
    <w:rsid w:val="00622662"/>
    <w:rsid w:val="00623406"/>
    <w:rsid w:val="00623414"/>
    <w:rsid w:val="006246FE"/>
    <w:rsid w:val="00624D97"/>
    <w:rsid w:val="006275AB"/>
    <w:rsid w:val="00627821"/>
    <w:rsid w:val="00627CD8"/>
    <w:rsid w:val="00630A8A"/>
    <w:rsid w:val="00634066"/>
    <w:rsid w:val="00634B77"/>
    <w:rsid w:val="00634EA3"/>
    <w:rsid w:val="00636359"/>
    <w:rsid w:val="00636C74"/>
    <w:rsid w:val="00637FE7"/>
    <w:rsid w:val="00642E24"/>
    <w:rsid w:val="00643CE8"/>
    <w:rsid w:val="00645164"/>
    <w:rsid w:val="006455C0"/>
    <w:rsid w:val="00645BA6"/>
    <w:rsid w:val="006501CC"/>
    <w:rsid w:val="00651456"/>
    <w:rsid w:val="00652315"/>
    <w:rsid w:val="00653376"/>
    <w:rsid w:val="0065451E"/>
    <w:rsid w:val="00654CE2"/>
    <w:rsid w:val="00656094"/>
    <w:rsid w:val="00656B5C"/>
    <w:rsid w:val="00657502"/>
    <w:rsid w:val="00664C4B"/>
    <w:rsid w:val="006704A7"/>
    <w:rsid w:val="00671269"/>
    <w:rsid w:val="00672EA2"/>
    <w:rsid w:val="0067367F"/>
    <w:rsid w:val="006736D5"/>
    <w:rsid w:val="006753FF"/>
    <w:rsid w:val="0067553D"/>
    <w:rsid w:val="006775E8"/>
    <w:rsid w:val="0067790E"/>
    <w:rsid w:val="006800C1"/>
    <w:rsid w:val="006818BA"/>
    <w:rsid w:val="00684943"/>
    <w:rsid w:val="006849F0"/>
    <w:rsid w:val="00691730"/>
    <w:rsid w:val="00692602"/>
    <w:rsid w:val="006931BE"/>
    <w:rsid w:val="0069704E"/>
    <w:rsid w:val="006A01A0"/>
    <w:rsid w:val="006A0560"/>
    <w:rsid w:val="006A21FA"/>
    <w:rsid w:val="006A660B"/>
    <w:rsid w:val="006A6B03"/>
    <w:rsid w:val="006B1AB1"/>
    <w:rsid w:val="006B209B"/>
    <w:rsid w:val="006B3AAC"/>
    <w:rsid w:val="006B472A"/>
    <w:rsid w:val="006B6B3D"/>
    <w:rsid w:val="006C282F"/>
    <w:rsid w:val="006C44F4"/>
    <w:rsid w:val="006C4BDB"/>
    <w:rsid w:val="006C4EA3"/>
    <w:rsid w:val="006D00BC"/>
    <w:rsid w:val="006D1CFE"/>
    <w:rsid w:val="006D1E44"/>
    <w:rsid w:val="006D2B6A"/>
    <w:rsid w:val="006D4F31"/>
    <w:rsid w:val="006D5E19"/>
    <w:rsid w:val="006D7FDC"/>
    <w:rsid w:val="006E0AB8"/>
    <w:rsid w:val="006E1735"/>
    <w:rsid w:val="006E4001"/>
    <w:rsid w:val="006E44C6"/>
    <w:rsid w:val="006E5A44"/>
    <w:rsid w:val="006F1578"/>
    <w:rsid w:val="006F1CF9"/>
    <w:rsid w:val="00700544"/>
    <w:rsid w:val="0070184F"/>
    <w:rsid w:val="0070223E"/>
    <w:rsid w:val="00702652"/>
    <w:rsid w:val="007036B4"/>
    <w:rsid w:val="00707554"/>
    <w:rsid w:val="00707901"/>
    <w:rsid w:val="00712C3B"/>
    <w:rsid w:val="00713EB2"/>
    <w:rsid w:val="007145E1"/>
    <w:rsid w:val="00715509"/>
    <w:rsid w:val="00716289"/>
    <w:rsid w:val="0071656B"/>
    <w:rsid w:val="00716961"/>
    <w:rsid w:val="00716B10"/>
    <w:rsid w:val="0071755B"/>
    <w:rsid w:val="007175A6"/>
    <w:rsid w:val="00720E2A"/>
    <w:rsid w:val="00721823"/>
    <w:rsid w:val="007240DC"/>
    <w:rsid w:val="007242AC"/>
    <w:rsid w:val="007273DA"/>
    <w:rsid w:val="007323FB"/>
    <w:rsid w:val="00732E31"/>
    <w:rsid w:val="00734BF3"/>
    <w:rsid w:val="00734E6A"/>
    <w:rsid w:val="00737802"/>
    <w:rsid w:val="007409EB"/>
    <w:rsid w:val="00740EE1"/>
    <w:rsid w:val="0074639E"/>
    <w:rsid w:val="00747AFF"/>
    <w:rsid w:val="007501B3"/>
    <w:rsid w:val="00751666"/>
    <w:rsid w:val="00752205"/>
    <w:rsid w:val="00752538"/>
    <w:rsid w:val="00752FCA"/>
    <w:rsid w:val="00753928"/>
    <w:rsid w:val="00754131"/>
    <w:rsid w:val="00754AC1"/>
    <w:rsid w:val="00764C55"/>
    <w:rsid w:val="007673F2"/>
    <w:rsid w:val="00767BD3"/>
    <w:rsid w:val="00770783"/>
    <w:rsid w:val="00771659"/>
    <w:rsid w:val="00773812"/>
    <w:rsid w:val="0077561B"/>
    <w:rsid w:val="007777D4"/>
    <w:rsid w:val="0078053E"/>
    <w:rsid w:val="007816B4"/>
    <w:rsid w:val="00782871"/>
    <w:rsid w:val="00782C57"/>
    <w:rsid w:val="0078320C"/>
    <w:rsid w:val="00784C93"/>
    <w:rsid w:val="007853F8"/>
    <w:rsid w:val="0078797E"/>
    <w:rsid w:val="00790B58"/>
    <w:rsid w:val="00790EB6"/>
    <w:rsid w:val="007922C6"/>
    <w:rsid w:val="0079453D"/>
    <w:rsid w:val="007946B1"/>
    <w:rsid w:val="0079581D"/>
    <w:rsid w:val="00797132"/>
    <w:rsid w:val="007A4D0E"/>
    <w:rsid w:val="007A63E2"/>
    <w:rsid w:val="007A7F03"/>
    <w:rsid w:val="007B281E"/>
    <w:rsid w:val="007B4001"/>
    <w:rsid w:val="007B4A64"/>
    <w:rsid w:val="007B51BE"/>
    <w:rsid w:val="007B6B6B"/>
    <w:rsid w:val="007B71A0"/>
    <w:rsid w:val="007C794B"/>
    <w:rsid w:val="007D1201"/>
    <w:rsid w:val="007D2396"/>
    <w:rsid w:val="007D2B0D"/>
    <w:rsid w:val="007D3E04"/>
    <w:rsid w:val="007E3A99"/>
    <w:rsid w:val="007E4E46"/>
    <w:rsid w:val="007E5ED7"/>
    <w:rsid w:val="007E7500"/>
    <w:rsid w:val="007F0402"/>
    <w:rsid w:val="007F1FCD"/>
    <w:rsid w:val="007F32FC"/>
    <w:rsid w:val="007F390B"/>
    <w:rsid w:val="007F3E86"/>
    <w:rsid w:val="007F415B"/>
    <w:rsid w:val="008006C7"/>
    <w:rsid w:val="00800810"/>
    <w:rsid w:val="00800DB6"/>
    <w:rsid w:val="00804D55"/>
    <w:rsid w:val="0080538F"/>
    <w:rsid w:val="0081217A"/>
    <w:rsid w:val="0081325F"/>
    <w:rsid w:val="00813DB0"/>
    <w:rsid w:val="00813DFD"/>
    <w:rsid w:val="00817A50"/>
    <w:rsid w:val="00817E77"/>
    <w:rsid w:val="00821890"/>
    <w:rsid w:val="00823B11"/>
    <w:rsid w:val="00823B34"/>
    <w:rsid w:val="0082719D"/>
    <w:rsid w:val="00827652"/>
    <w:rsid w:val="00830CB4"/>
    <w:rsid w:val="00831061"/>
    <w:rsid w:val="00834EF4"/>
    <w:rsid w:val="0083549A"/>
    <w:rsid w:val="00836C14"/>
    <w:rsid w:val="00836ECE"/>
    <w:rsid w:val="0084000F"/>
    <w:rsid w:val="008405CE"/>
    <w:rsid w:val="00842992"/>
    <w:rsid w:val="0084329D"/>
    <w:rsid w:val="00844833"/>
    <w:rsid w:val="008475D2"/>
    <w:rsid w:val="00851AB8"/>
    <w:rsid w:val="008536ED"/>
    <w:rsid w:val="00853F38"/>
    <w:rsid w:val="008544EB"/>
    <w:rsid w:val="008552C4"/>
    <w:rsid w:val="00861B24"/>
    <w:rsid w:val="00862F83"/>
    <w:rsid w:val="0086602E"/>
    <w:rsid w:val="00866986"/>
    <w:rsid w:val="00870C2C"/>
    <w:rsid w:val="00872E50"/>
    <w:rsid w:val="008731E8"/>
    <w:rsid w:val="00873312"/>
    <w:rsid w:val="008740AE"/>
    <w:rsid w:val="008744B0"/>
    <w:rsid w:val="0087468A"/>
    <w:rsid w:val="00874AF0"/>
    <w:rsid w:val="008779F9"/>
    <w:rsid w:val="00880DE0"/>
    <w:rsid w:val="00881BF8"/>
    <w:rsid w:val="00881FC8"/>
    <w:rsid w:val="008829A1"/>
    <w:rsid w:val="00882A7D"/>
    <w:rsid w:val="008844EF"/>
    <w:rsid w:val="008847CF"/>
    <w:rsid w:val="00885F59"/>
    <w:rsid w:val="008876C1"/>
    <w:rsid w:val="008919B2"/>
    <w:rsid w:val="00892B4B"/>
    <w:rsid w:val="0089316D"/>
    <w:rsid w:val="008959CE"/>
    <w:rsid w:val="00895FAD"/>
    <w:rsid w:val="008A01E2"/>
    <w:rsid w:val="008A402D"/>
    <w:rsid w:val="008A574A"/>
    <w:rsid w:val="008B02F3"/>
    <w:rsid w:val="008B2AF7"/>
    <w:rsid w:val="008B5725"/>
    <w:rsid w:val="008B5F86"/>
    <w:rsid w:val="008B7FBA"/>
    <w:rsid w:val="008C32D9"/>
    <w:rsid w:val="008C3B43"/>
    <w:rsid w:val="008C3C44"/>
    <w:rsid w:val="008C4768"/>
    <w:rsid w:val="008D1486"/>
    <w:rsid w:val="008D176E"/>
    <w:rsid w:val="008D2E46"/>
    <w:rsid w:val="008D3F51"/>
    <w:rsid w:val="008D4EAF"/>
    <w:rsid w:val="008D5714"/>
    <w:rsid w:val="008E052D"/>
    <w:rsid w:val="008E18B3"/>
    <w:rsid w:val="008E2EC7"/>
    <w:rsid w:val="008E36CF"/>
    <w:rsid w:val="008E4DAA"/>
    <w:rsid w:val="008E6A32"/>
    <w:rsid w:val="008E7C2E"/>
    <w:rsid w:val="008F0AFB"/>
    <w:rsid w:val="008F13EB"/>
    <w:rsid w:val="008F2938"/>
    <w:rsid w:val="008F4290"/>
    <w:rsid w:val="008F4810"/>
    <w:rsid w:val="008F4819"/>
    <w:rsid w:val="008F50D7"/>
    <w:rsid w:val="008F7D79"/>
    <w:rsid w:val="0090056D"/>
    <w:rsid w:val="0090079F"/>
    <w:rsid w:val="0090100F"/>
    <w:rsid w:val="00901F51"/>
    <w:rsid w:val="00902EF5"/>
    <w:rsid w:val="009044E5"/>
    <w:rsid w:val="00905088"/>
    <w:rsid w:val="009064D8"/>
    <w:rsid w:val="009065EF"/>
    <w:rsid w:val="009075BF"/>
    <w:rsid w:val="0090767C"/>
    <w:rsid w:val="009121A1"/>
    <w:rsid w:val="00915AE2"/>
    <w:rsid w:val="009176D2"/>
    <w:rsid w:val="00920AB2"/>
    <w:rsid w:val="00920D51"/>
    <w:rsid w:val="00920E94"/>
    <w:rsid w:val="00921275"/>
    <w:rsid w:val="009214F8"/>
    <w:rsid w:val="00921DFB"/>
    <w:rsid w:val="0092582C"/>
    <w:rsid w:val="00927F4B"/>
    <w:rsid w:val="00930634"/>
    <w:rsid w:val="009348CE"/>
    <w:rsid w:val="00942510"/>
    <w:rsid w:val="009436D4"/>
    <w:rsid w:val="009469B8"/>
    <w:rsid w:val="00951290"/>
    <w:rsid w:val="00951D77"/>
    <w:rsid w:val="00952E39"/>
    <w:rsid w:val="00953831"/>
    <w:rsid w:val="00953AE4"/>
    <w:rsid w:val="00954D4A"/>
    <w:rsid w:val="00954F4A"/>
    <w:rsid w:val="00955256"/>
    <w:rsid w:val="00955ACA"/>
    <w:rsid w:val="009567C5"/>
    <w:rsid w:val="00956EC7"/>
    <w:rsid w:val="00956F32"/>
    <w:rsid w:val="00961490"/>
    <w:rsid w:val="00962B1A"/>
    <w:rsid w:val="00963F18"/>
    <w:rsid w:val="00964008"/>
    <w:rsid w:val="009647D8"/>
    <w:rsid w:val="00965F57"/>
    <w:rsid w:val="00971245"/>
    <w:rsid w:val="0097175F"/>
    <w:rsid w:val="00971F29"/>
    <w:rsid w:val="00973A18"/>
    <w:rsid w:val="0097495E"/>
    <w:rsid w:val="00974F95"/>
    <w:rsid w:val="00982748"/>
    <w:rsid w:val="009871A3"/>
    <w:rsid w:val="009935B3"/>
    <w:rsid w:val="00993DC2"/>
    <w:rsid w:val="0099431B"/>
    <w:rsid w:val="009A3A2F"/>
    <w:rsid w:val="009A4AD0"/>
    <w:rsid w:val="009A4FDF"/>
    <w:rsid w:val="009A5213"/>
    <w:rsid w:val="009B1027"/>
    <w:rsid w:val="009B1055"/>
    <w:rsid w:val="009B2D9A"/>
    <w:rsid w:val="009B40AD"/>
    <w:rsid w:val="009B5164"/>
    <w:rsid w:val="009B5E76"/>
    <w:rsid w:val="009C0D33"/>
    <w:rsid w:val="009C110C"/>
    <w:rsid w:val="009C112D"/>
    <w:rsid w:val="009C36FF"/>
    <w:rsid w:val="009C606B"/>
    <w:rsid w:val="009C6311"/>
    <w:rsid w:val="009D124E"/>
    <w:rsid w:val="009D2802"/>
    <w:rsid w:val="009D2FA4"/>
    <w:rsid w:val="009D4110"/>
    <w:rsid w:val="009D6A1D"/>
    <w:rsid w:val="009D6B4A"/>
    <w:rsid w:val="009D748F"/>
    <w:rsid w:val="009E0EF9"/>
    <w:rsid w:val="009E159E"/>
    <w:rsid w:val="009E18D5"/>
    <w:rsid w:val="009E2C46"/>
    <w:rsid w:val="009E2EB3"/>
    <w:rsid w:val="009E4790"/>
    <w:rsid w:val="009E66B2"/>
    <w:rsid w:val="009E67FA"/>
    <w:rsid w:val="009E7D6D"/>
    <w:rsid w:val="009F03D9"/>
    <w:rsid w:val="009F1643"/>
    <w:rsid w:val="009F4E49"/>
    <w:rsid w:val="00A01237"/>
    <w:rsid w:val="00A013F1"/>
    <w:rsid w:val="00A0356D"/>
    <w:rsid w:val="00A057EC"/>
    <w:rsid w:val="00A05FBA"/>
    <w:rsid w:val="00A07B46"/>
    <w:rsid w:val="00A12763"/>
    <w:rsid w:val="00A1466D"/>
    <w:rsid w:val="00A14B9E"/>
    <w:rsid w:val="00A162DA"/>
    <w:rsid w:val="00A17230"/>
    <w:rsid w:val="00A17C04"/>
    <w:rsid w:val="00A17F86"/>
    <w:rsid w:val="00A2219B"/>
    <w:rsid w:val="00A234B0"/>
    <w:rsid w:val="00A31A45"/>
    <w:rsid w:val="00A31C44"/>
    <w:rsid w:val="00A31EAD"/>
    <w:rsid w:val="00A31FA9"/>
    <w:rsid w:val="00A34B1B"/>
    <w:rsid w:val="00A35FEC"/>
    <w:rsid w:val="00A36CBF"/>
    <w:rsid w:val="00A36E6F"/>
    <w:rsid w:val="00A40417"/>
    <w:rsid w:val="00A4078A"/>
    <w:rsid w:val="00A44433"/>
    <w:rsid w:val="00A45875"/>
    <w:rsid w:val="00A45FA1"/>
    <w:rsid w:val="00A50C28"/>
    <w:rsid w:val="00A51DC6"/>
    <w:rsid w:val="00A52616"/>
    <w:rsid w:val="00A52B0E"/>
    <w:rsid w:val="00A57968"/>
    <w:rsid w:val="00A60993"/>
    <w:rsid w:val="00A60D64"/>
    <w:rsid w:val="00A63AF4"/>
    <w:rsid w:val="00A659FA"/>
    <w:rsid w:val="00A67E08"/>
    <w:rsid w:val="00A7273B"/>
    <w:rsid w:val="00A72A12"/>
    <w:rsid w:val="00A77697"/>
    <w:rsid w:val="00A77D3E"/>
    <w:rsid w:val="00A80D18"/>
    <w:rsid w:val="00A825BF"/>
    <w:rsid w:val="00A830A8"/>
    <w:rsid w:val="00A838A3"/>
    <w:rsid w:val="00A84604"/>
    <w:rsid w:val="00A84829"/>
    <w:rsid w:val="00A848D6"/>
    <w:rsid w:val="00A861B3"/>
    <w:rsid w:val="00A86C43"/>
    <w:rsid w:val="00A927C5"/>
    <w:rsid w:val="00A94ADC"/>
    <w:rsid w:val="00A967A1"/>
    <w:rsid w:val="00A96F71"/>
    <w:rsid w:val="00AA1203"/>
    <w:rsid w:val="00AA31FA"/>
    <w:rsid w:val="00AA696E"/>
    <w:rsid w:val="00AA6A43"/>
    <w:rsid w:val="00AB1B53"/>
    <w:rsid w:val="00AB4708"/>
    <w:rsid w:val="00AB7B57"/>
    <w:rsid w:val="00AC0194"/>
    <w:rsid w:val="00AC0CA7"/>
    <w:rsid w:val="00AC39C4"/>
    <w:rsid w:val="00AC4974"/>
    <w:rsid w:val="00AC4CFB"/>
    <w:rsid w:val="00AD0141"/>
    <w:rsid w:val="00AD1ED4"/>
    <w:rsid w:val="00AD29BC"/>
    <w:rsid w:val="00AD3469"/>
    <w:rsid w:val="00AD36DF"/>
    <w:rsid w:val="00AD3D2A"/>
    <w:rsid w:val="00AD4F41"/>
    <w:rsid w:val="00AD78B6"/>
    <w:rsid w:val="00AE1509"/>
    <w:rsid w:val="00AE2950"/>
    <w:rsid w:val="00AE2C61"/>
    <w:rsid w:val="00AE36E6"/>
    <w:rsid w:val="00AE43A0"/>
    <w:rsid w:val="00AE4AC6"/>
    <w:rsid w:val="00AE5408"/>
    <w:rsid w:val="00AE7251"/>
    <w:rsid w:val="00AF25DB"/>
    <w:rsid w:val="00AF3963"/>
    <w:rsid w:val="00AF41E6"/>
    <w:rsid w:val="00AF4B6C"/>
    <w:rsid w:val="00AF666D"/>
    <w:rsid w:val="00AF67FE"/>
    <w:rsid w:val="00AF7643"/>
    <w:rsid w:val="00B02489"/>
    <w:rsid w:val="00B02837"/>
    <w:rsid w:val="00B0296C"/>
    <w:rsid w:val="00B04733"/>
    <w:rsid w:val="00B04D23"/>
    <w:rsid w:val="00B053C2"/>
    <w:rsid w:val="00B059E0"/>
    <w:rsid w:val="00B07E12"/>
    <w:rsid w:val="00B102CD"/>
    <w:rsid w:val="00B10322"/>
    <w:rsid w:val="00B12981"/>
    <w:rsid w:val="00B1448C"/>
    <w:rsid w:val="00B1452A"/>
    <w:rsid w:val="00B15E48"/>
    <w:rsid w:val="00B20F92"/>
    <w:rsid w:val="00B23310"/>
    <w:rsid w:val="00B23B3B"/>
    <w:rsid w:val="00B23E4B"/>
    <w:rsid w:val="00B24120"/>
    <w:rsid w:val="00B244BD"/>
    <w:rsid w:val="00B26683"/>
    <w:rsid w:val="00B2736D"/>
    <w:rsid w:val="00B2750A"/>
    <w:rsid w:val="00B27554"/>
    <w:rsid w:val="00B27C28"/>
    <w:rsid w:val="00B27D4F"/>
    <w:rsid w:val="00B302AF"/>
    <w:rsid w:val="00B3166F"/>
    <w:rsid w:val="00B3642B"/>
    <w:rsid w:val="00B37553"/>
    <w:rsid w:val="00B403F5"/>
    <w:rsid w:val="00B4091C"/>
    <w:rsid w:val="00B41132"/>
    <w:rsid w:val="00B43107"/>
    <w:rsid w:val="00B44DB0"/>
    <w:rsid w:val="00B45043"/>
    <w:rsid w:val="00B450A3"/>
    <w:rsid w:val="00B45231"/>
    <w:rsid w:val="00B47054"/>
    <w:rsid w:val="00B47B43"/>
    <w:rsid w:val="00B50A43"/>
    <w:rsid w:val="00B520FC"/>
    <w:rsid w:val="00B526A2"/>
    <w:rsid w:val="00B5396D"/>
    <w:rsid w:val="00B54FEA"/>
    <w:rsid w:val="00B608D1"/>
    <w:rsid w:val="00B620AC"/>
    <w:rsid w:val="00B62F12"/>
    <w:rsid w:val="00B632C3"/>
    <w:rsid w:val="00B63DE3"/>
    <w:rsid w:val="00B6435C"/>
    <w:rsid w:val="00B65B79"/>
    <w:rsid w:val="00B66933"/>
    <w:rsid w:val="00B674E3"/>
    <w:rsid w:val="00B67F6A"/>
    <w:rsid w:val="00B726E0"/>
    <w:rsid w:val="00B72707"/>
    <w:rsid w:val="00B75EEF"/>
    <w:rsid w:val="00B81BFF"/>
    <w:rsid w:val="00B82024"/>
    <w:rsid w:val="00B8300D"/>
    <w:rsid w:val="00B83222"/>
    <w:rsid w:val="00B83E38"/>
    <w:rsid w:val="00B83FDF"/>
    <w:rsid w:val="00B8454E"/>
    <w:rsid w:val="00B84DE8"/>
    <w:rsid w:val="00B87843"/>
    <w:rsid w:val="00B92099"/>
    <w:rsid w:val="00B9394D"/>
    <w:rsid w:val="00B94025"/>
    <w:rsid w:val="00BA058A"/>
    <w:rsid w:val="00BA6DE8"/>
    <w:rsid w:val="00BB0521"/>
    <w:rsid w:val="00BB0CF8"/>
    <w:rsid w:val="00BB30D1"/>
    <w:rsid w:val="00BB4513"/>
    <w:rsid w:val="00BB5095"/>
    <w:rsid w:val="00BB7F08"/>
    <w:rsid w:val="00BC0B4B"/>
    <w:rsid w:val="00BC0F96"/>
    <w:rsid w:val="00BC2E4A"/>
    <w:rsid w:val="00BC464B"/>
    <w:rsid w:val="00BC47C6"/>
    <w:rsid w:val="00BC4B41"/>
    <w:rsid w:val="00BC4E3F"/>
    <w:rsid w:val="00BC5457"/>
    <w:rsid w:val="00BC55E5"/>
    <w:rsid w:val="00BC5F26"/>
    <w:rsid w:val="00BC624B"/>
    <w:rsid w:val="00BC6C2E"/>
    <w:rsid w:val="00BD31F3"/>
    <w:rsid w:val="00BD4B67"/>
    <w:rsid w:val="00BD4D67"/>
    <w:rsid w:val="00BD6835"/>
    <w:rsid w:val="00BD6CF7"/>
    <w:rsid w:val="00BE238F"/>
    <w:rsid w:val="00BE2CBC"/>
    <w:rsid w:val="00BE2E27"/>
    <w:rsid w:val="00BE37B6"/>
    <w:rsid w:val="00BF0C03"/>
    <w:rsid w:val="00BF2174"/>
    <w:rsid w:val="00BF65BB"/>
    <w:rsid w:val="00C01EC9"/>
    <w:rsid w:val="00C035AF"/>
    <w:rsid w:val="00C03EEE"/>
    <w:rsid w:val="00C0416E"/>
    <w:rsid w:val="00C04918"/>
    <w:rsid w:val="00C11820"/>
    <w:rsid w:val="00C123C5"/>
    <w:rsid w:val="00C1442A"/>
    <w:rsid w:val="00C1491D"/>
    <w:rsid w:val="00C14B7C"/>
    <w:rsid w:val="00C162E7"/>
    <w:rsid w:val="00C16C41"/>
    <w:rsid w:val="00C2249A"/>
    <w:rsid w:val="00C23267"/>
    <w:rsid w:val="00C27331"/>
    <w:rsid w:val="00C27934"/>
    <w:rsid w:val="00C31ACB"/>
    <w:rsid w:val="00C3228D"/>
    <w:rsid w:val="00C3324E"/>
    <w:rsid w:val="00C361F7"/>
    <w:rsid w:val="00C36B0F"/>
    <w:rsid w:val="00C3763A"/>
    <w:rsid w:val="00C37B32"/>
    <w:rsid w:val="00C43C45"/>
    <w:rsid w:val="00C43CF4"/>
    <w:rsid w:val="00C442B7"/>
    <w:rsid w:val="00C47D86"/>
    <w:rsid w:val="00C51F24"/>
    <w:rsid w:val="00C539EF"/>
    <w:rsid w:val="00C57756"/>
    <w:rsid w:val="00C577A0"/>
    <w:rsid w:val="00C60EC4"/>
    <w:rsid w:val="00C62034"/>
    <w:rsid w:val="00C62120"/>
    <w:rsid w:val="00C62901"/>
    <w:rsid w:val="00C70B6C"/>
    <w:rsid w:val="00C72736"/>
    <w:rsid w:val="00C72965"/>
    <w:rsid w:val="00C736A1"/>
    <w:rsid w:val="00C74C02"/>
    <w:rsid w:val="00C7506D"/>
    <w:rsid w:val="00C82FD7"/>
    <w:rsid w:val="00C83495"/>
    <w:rsid w:val="00C8440E"/>
    <w:rsid w:val="00C859E9"/>
    <w:rsid w:val="00C8654E"/>
    <w:rsid w:val="00C86C02"/>
    <w:rsid w:val="00C91F2F"/>
    <w:rsid w:val="00C9434C"/>
    <w:rsid w:val="00C948C6"/>
    <w:rsid w:val="00CA14F6"/>
    <w:rsid w:val="00CA1D8D"/>
    <w:rsid w:val="00CA2809"/>
    <w:rsid w:val="00CA3128"/>
    <w:rsid w:val="00CA6636"/>
    <w:rsid w:val="00CB13EC"/>
    <w:rsid w:val="00CB6270"/>
    <w:rsid w:val="00CC0C43"/>
    <w:rsid w:val="00CC3157"/>
    <w:rsid w:val="00CC31AE"/>
    <w:rsid w:val="00CC3F76"/>
    <w:rsid w:val="00CC5AE8"/>
    <w:rsid w:val="00CD41C8"/>
    <w:rsid w:val="00CD42CC"/>
    <w:rsid w:val="00CD546F"/>
    <w:rsid w:val="00CD7F5F"/>
    <w:rsid w:val="00CE06BA"/>
    <w:rsid w:val="00CE2B95"/>
    <w:rsid w:val="00CE47E9"/>
    <w:rsid w:val="00CE4859"/>
    <w:rsid w:val="00CE7033"/>
    <w:rsid w:val="00CE7D6A"/>
    <w:rsid w:val="00CE7ECF"/>
    <w:rsid w:val="00CF13C8"/>
    <w:rsid w:val="00CF1524"/>
    <w:rsid w:val="00CF3B8E"/>
    <w:rsid w:val="00CF537F"/>
    <w:rsid w:val="00CF5701"/>
    <w:rsid w:val="00CF688E"/>
    <w:rsid w:val="00CF700A"/>
    <w:rsid w:val="00CF751F"/>
    <w:rsid w:val="00D0117C"/>
    <w:rsid w:val="00D023EE"/>
    <w:rsid w:val="00D02747"/>
    <w:rsid w:val="00D033B0"/>
    <w:rsid w:val="00D059E4"/>
    <w:rsid w:val="00D07E17"/>
    <w:rsid w:val="00D11593"/>
    <w:rsid w:val="00D11A80"/>
    <w:rsid w:val="00D13B29"/>
    <w:rsid w:val="00D14DF9"/>
    <w:rsid w:val="00D177D9"/>
    <w:rsid w:val="00D2082D"/>
    <w:rsid w:val="00D233E6"/>
    <w:rsid w:val="00D30352"/>
    <w:rsid w:val="00D31B4D"/>
    <w:rsid w:val="00D35002"/>
    <w:rsid w:val="00D35011"/>
    <w:rsid w:val="00D375F3"/>
    <w:rsid w:val="00D42D49"/>
    <w:rsid w:val="00D4471C"/>
    <w:rsid w:val="00D4473A"/>
    <w:rsid w:val="00D44965"/>
    <w:rsid w:val="00D44A3D"/>
    <w:rsid w:val="00D45D6F"/>
    <w:rsid w:val="00D46F7F"/>
    <w:rsid w:val="00D51F48"/>
    <w:rsid w:val="00D63212"/>
    <w:rsid w:val="00D6328A"/>
    <w:rsid w:val="00D6503C"/>
    <w:rsid w:val="00D658D7"/>
    <w:rsid w:val="00D66145"/>
    <w:rsid w:val="00D66D1D"/>
    <w:rsid w:val="00D67C81"/>
    <w:rsid w:val="00D7060D"/>
    <w:rsid w:val="00D71120"/>
    <w:rsid w:val="00D71CAF"/>
    <w:rsid w:val="00D73A64"/>
    <w:rsid w:val="00D73B14"/>
    <w:rsid w:val="00D73F7C"/>
    <w:rsid w:val="00D74550"/>
    <w:rsid w:val="00D81E8A"/>
    <w:rsid w:val="00D81FC2"/>
    <w:rsid w:val="00D82103"/>
    <w:rsid w:val="00D82900"/>
    <w:rsid w:val="00D82AAB"/>
    <w:rsid w:val="00D82DFC"/>
    <w:rsid w:val="00D82F27"/>
    <w:rsid w:val="00D85F5A"/>
    <w:rsid w:val="00D8675F"/>
    <w:rsid w:val="00D90035"/>
    <w:rsid w:val="00D917ED"/>
    <w:rsid w:val="00D91B08"/>
    <w:rsid w:val="00D9373B"/>
    <w:rsid w:val="00D94B79"/>
    <w:rsid w:val="00D95CFE"/>
    <w:rsid w:val="00D962B3"/>
    <w:rsid w:val="00DA254F"/>
    <w:rsid w:val="00DA3DA7"/>
    <w:rsid w:val="00DA79D2"/>
    <w:rsid w:val="00DA79D6"/>
    <w:rsid w:val="00DB08FE"/>
    <w:rsid w:val="00DB29E2"/>
    <w:rsid w:val="00DB4E70"/>
    <w:rsid w:val="00DB70C6"/>
    <w:rsid w:val="00DB7AF1"/>
    <w:rsid w:val="00DC06A9"/>
    <w:rsid w:val="00DC07F4"/>
    <w:rsid w:val="00DC3575"/>
    <w:rsid w:val="00DC393B"/>
    <w:rsid w:val="00DC3C20"/>
    <w:rsid w:val="00DC4DA9"/>
    <w:rsid w:val="00DD1F29"/>
    <w:rsid w:val="00DD4B2D"/>
    <w:rsid w:val="00DD4B41"/>
    <w:rsid w:val="00DD6969"/>
    <w:rsid w:val="00DD71F7"/>
    <w:rsid w:val="00DD78B2"/>
    <w:rsid w:val="00DD7DF0"/>
    <w:rsid w:val="00DE3B40"/>
    <w:rsid w:val="00DE7312"/>
    <w:rsid w:val="00DE7A0B"/>
    <w:rsid w:val="00DF0E67"/>
    <w:rsid w:val="00DF30DE"/>
    <w:rsid w:val="00DF425E"/>
    <w:rsid w:val="00DF6AD7"/>
    <w:rsid w:val="00E00710"/>
    <w:rsid w:val="00E01509"/>
    <w:rsid w:val="00E01DAB"/>
    <w:rsid w:val="00E02647"/>
    <w:rsid w:val="00E06B90"/>
    <w:rsid w:val="00E07D90"/>
    <w:rsid w:val="00E11A02"/>
    <w:rsid w:val="00E12014"/>
    <w:rsid w:val="00E14295"/>
    <w:rsid w:val="00E14E33"/>
    <w:rsid w:val="00E16B97"/>
    <w:rsid w:val="00E17950"/>
    <w:rsid w:val="00E21160"/>
    <w:rsid w:val="00E22616"/>
    <w:rsid w:val="00E24543"/>
    <w:rsid w:val="00E25525"/>
    <w:rsid w:val="00E2674A"/>
    <w:rsid w:val="00E304FD"/>
    <w:rsid w:val="00E314E6"/>
    <w:rsid w:val="00E323FF"/>
    <w:rsid w:val="00E32E96"/>
    <w:rsid w:val="00E33EC8"/>
    <w:rsid w:val="00E3524D"/>
    <w:rsid w:val="00E357DB"/>
    <w:rsid w:val="00E35D7B"/>
    <w:rsid w:val="00E36CDB"/>
    <w:rsid w:val="00E379BE"/>
    <w:rsid w:val="00E40076"/>
    <w:rsid w:val="00E40B43"/>
    <w:rsid w:val="00E41F84"/>
    <w:rsid w:val="00E43F2A"/>
    <w:rsid w:val="00E451ED"/>
    <w:rsid w:val="00E45B5A"/>
    <w:rsid w:val="00E45D2C"/>
    <w:rsid w:val="00E466F6"/>
    <w:rsid w:val="00E4707A"/>
    <w:rsid w:val="00E47D67"/>
    <w:rsid w:val="00E518B3"/>
    <w:rsid w:val="00E5245C"/>
    <w:rsid w:val="00E54EFC"/>
    <w:rsid w:val="00E5550C"/>
    <w:rsid w:val="00E55E49"/>
    <w:rsid w:val="00E57671"/>
    <w:rsid w:val="00E602B9"/>
    <w:rsid w:val="00E60DCB"/>
    <w:rsid w:val="00E61DC2"/>
    <w:rsid w:val="00E62177"/>
    <w:rsid w:val="00E6235B"/>
    <w:rsid w:val="00E6505E"/>
    <w:rsid w:val="00E65ECC"/>
    <w:rsid w:val="00E66632"/>
    <w:rsid w:val="00E71EB9"/>
    <w:rsid w:val="00E72341"/>
    <w:rsid w:val="00E72C66"/>
    <w:rsid w:val="00E731D3"/>
    <w:rsid w:val="00E738DA"/>
    <w:rsid w:val="00E74399"/>
    <w:rsid w:val="00E77B62"/>
    <w:rsid w:val="00E81CBC"/>
    <w:rsid w:val="00E8222B"/>
    <w:rsid w:val="00E82DE1"/>
    <w:rsid w:val="00E86014"/>
    <w:rsid w:val="00E87F4A"/>
    <w:rsid w:val="00E9002B"/>
    <w:rsid w:val="00E905FF"/>
    <w:rsid w:val="00E9268C"/>
    <w:rsid w:val="00E93522"/>
    <w:rsid w:val="00E93A00"/>
    <w:rsid w:val="00E95622"/>
    <w:rsid w:val="00E960FD"/>
    <w:rsid w:val="00E96DAF"/>
    <w:rsid w:val="00EA08A3"/>
    <w:rsid w:val="00EA2A00"/>
    <w:rsid w:val="00EA444C"/>
    <w:rsid w:val="00EA7394"/>
    <w:rsid w:val="00EB1F7C"/>
    <w:rsid w:val="00EB4131"/>
    <w:rsid w:val="00EB5158"/>
    <w:rsid w:val="00EB6D23"/>
    <w:rsid w:val="00EC1F01"/>
    <w:rsid w:val="00EC2565"/>
    <w:rsid w:val="00EC2B46"/>
    <w:rsid w:val="00EC2C89"/>
    <w:rsid w:val="00EC53BF"/>
    <w:rsid w:val="00EC56A0"/>
    <w:rsid w:val="00EC58C1"/>
    <w:rsid w:val="00EC5925"/>
    <w:rsid w:val="00EC5996"/>
    <w:rsid w:val="00EC720A"/>
    <w:rsid w:val="00ED722E"/>
    <w:rsid w:val="00ED7DCE"/>
    <w:rsid w:val="00EE28CE"/>
    <w:rsid w:val="00EE2E80"/>
    <w:rsid w:val="00EE361A"/>
    <w:rsid w:val="00EE4558"/>
    <w:rsid w:val="00EE50AC"/>
    <w:rsid w:val="00EE5277"/>
    <w:rsid w:val="00EE614E"/>
    <w:rsid w:val="00EE6E8E"/>
    <w:rsid w:val="00EE7581"/>
    <w:rsid w:val="00EE79C6"/>
    <w:rsid w:val="00EF03AC"/>
    <w:rsid w:val="00EF1D7F"/>
    <w:rsid w:val="00EF407B"/>
    <w:rsid w:val="00EF4CA0"/>
    <w:rsid w:val="00EF7583"/>
    <w:rsid w:val="00EF7781"/>
    <w:rsid w:val="00EF7ED1"/>
    <w:rsid w:val="00F000DF"/>
    <w:rsid w:val="00F0055A"/>
    <w:rsid w:val="00F00A1F"/>
    <w:rsid w:val="00F02B9F"/>
    <w:rsid w:val="00F03DCB"/>
    <w:rsid w:val="00F04737"/>
    <w:rsid w:val="00F070B3"/>
    <w:rsid w:val="00F072A6"/>
    <w:rsid w:val="00F07795"/>
    <w:rsid w:val="00F124F0"/>
    <w:rsid w:val="00F12D5A"/>
    <w:rsid w:val="00F15046"/>
    <w:rsid w:val="00F16C22"/>
    <w:rsid w:val="00F16E5B"/>
    <w:rsid w:val="00F17DDA"/>
    <w:rsid w:val="00F243C7"/>
    <w:rsid w:val="00F2452C"/>
    <w:rsid w:val="00F24981"/>
    <w:rsid w:val="00F309F9"/>
    <w:rsid w:val="00F317CC"/>
    <w:rsid w:val="00F3326F"/>
    <w:rsid w:val="00F3332C"/>
    <w:rsid w:val="00F3435E"/>
    <w:rsid w:val="00F36E59"/>
    <w:rsid w:val="00F37ACF"/>
    <w:rsid w:val="00F41C09"/>
    <w:rsid w:val="00F41FC7"/>
    <w:rsid w:val="00F4369B"/>
    <w:rsid w:val="00F50D10"/>
    <w:rsid w:val="00F52AC6"/>
    <w:rsid w:val="00F5440C"/>
    <w:rsid w:val="00F55572"/>
    <w:rsid w:val="00F56215"/>
    <w:rsid w:val="00F568F2"/>
    <w:rsid w:val="00F57DFD"/>
    <w:rsid w:val="00F62477"/>
    <w:rsid w:val="00F63383"/>
    <w:rsid w:val="00F64F6F"/>
    <w:rsid w:val="00F66D35"/>
    <w:rsid w:val="00F71427"/>
    <w:rsid w:val="00F71C69"/>
    <w:rsid w:val="00F74AA5"/>
    <w:rsid w:val="00F74D9C"/>
    <w:rsid w:val="00F74FA2"/>
    <w:rsid w:val="00F7591A"/>
    <w:rsid w:val="00F75990"/>
    <w:rsid w:val="00F76D76"/>
    <w:rsid w:val="00F77025"/>
    <w:rsid w:val="00F81037"/>
    <w:rsid w:val="00F81AF1"/>
    <w:rsid w:val="00F8383E"/>
    <w:rsid w:val="00F85232"/>
    <w:rsid w:val="00F86638"/>
    <w:rsid w:val="00F86ADA"/>
    <w:rsid w:val="00F86CFF"/>
    <w:rsid w:val="00F875D8"/>
    <w:rsid w:val="00F93725"/>
    <w:rsid w:val="00F94B8A"/>
    <w:rsid w:val="00F96391"/>
    <w:rsid w:val="00F9677E"/>
    <w:rsid w:val="00FA7860"/>
    <w:rsid w:val="00FB127F"/>
    <w:rsid w:val="00FB38C7"/>
    <w:rsid w:val="00FB5FAB"/>
    <w:rsid w:val="00FB71A6"/>
    <w:rsid w:val="00FC0D59"/>
    <w:rsid w:val="00FC18C4"/>
    <w:rsid w:val="00FC1A77"/>
    <w:rsid w:val="00FC3498"/>
    <w:rsid w:val="00FC422F"/>
    <w:rsid w:val="00FC4CA4"/>
    <w:rsid w:val="00FC4F3D"/>
    <w:rsid w:val="00FC5C8E"/>
    <w:rsid w:val="00FC7E69"/>
    <w:rsid w:val="00FD1D07"/>
    <w:rsid w:val="00FD30AB"/>
    <w:rsid w:val="00FD3ED3"/>
    <w:rsid w:val="00FD45CC"/>
    <w:rsid w:val="00FD592E"/>
    <w:rsid w:val="00FD5A80"/>
    <w:rsid w:val="00FD5A82"/>
    <w:rsid w:val="00FD60FC"/>
    <w:rsid w:val="00FE0124"/>
    <w:rsid w:val="00FE1F62"/>
    <w:rsid w:val="00FE3993"/>
    <w:rsid w:val="00FE3BCF"/>
    <w:rsid w:val="00FE3C92"/>
    <w:rsid w:val="00FE3FD0"/>
    <w:rsid w:val="00FF0251"/>
    <w:rsid w:val="00FF1301"/>
    <w:rsid w:val="00FF60E2"/>
    <w:rsid w:val="00FF6BB5"/>
    <w:rsid w:val="00FF702D"/>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
    <w:basedOn w:val="Normal"/>
    <w:link w:val="FootnoteTextChar1"/>
    <w:semiHidden/>
    <w:rsid w:val="00F81AF1"/>
  </w:style>
  <w:style w:type="character" w:styleId="FootnoteReference">
    <w:name w:val="footnote reference"/>
    <w:basedOn w:val="DefaultParagraphFont"/>
    <w:semiHidden/>
    <w:rsid w:val="00F81AF1"/>
    <w:rPr>
      <w:vertAlign w:val="superscript"/>
    </w:rPr>
  </w:style>
  <w:style w:type="paragraph" w:styleId="BalloonText">
    <w:name w:val="Balloon Text"/>
    <w:basedOn w:val="Normal"/>
    <w:semiHidden/>
    <w:rsid w:val="00EE7581"/>
    <w:rPr>
      <w:rFonts w:ascii="Tahoma" w:hAnsi="Tahoma" w:cs="Tahoma"/>
      <w:sz w:val="16"/>
      <w:szCs w:val="16"/>
    </w:rPr>
  </w:style>
  <w:style w:type="character" w:customStyle="1" w:styleId="documentbody1">
    <w:name w:val="documentbody1"/>
    <w:basedOn w:val="DefaultParagraphFont"/>
    <w:rsid w:val="00F94B8A"/>
    <w:rPr>
      <w:rFonts w:ascii="Verdana" w:hAnsi="Verdana" w:hint="default"/>
      <w:sz w:val="19"/>
      <w:szCs w:val="19"/>
      <w:shd w:val="clear" w:color="auto" w:fill="FFFFFF"/>
    </w:rPr>
  </w:style>
  <w:style w:type="character" w:styleId="PageNumber">
    <w:name w:val="page number"/>
    <w:basedOn w:val="DefaultParagraphFont"/>
    <w:rsid w:val="002B5226"/>
  </w:style>
  <w:style w:type="character" w:styleId="Hyperlink">
    <w:name w:val="Hyperlink"/>
    <w:basedOn w:val="DefaultParagraphFont"/>
    <w:rsid w:val="0090100F"/>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basedOn w:val="DefaultParagraphFont"/>
    <w:link w:val="FootnoteText"/>
    <w:rsid w:val="00613544"/>
    <w:rPr>
      <w:lang w:val="en-US" w:eastAsia="en-US" w:bidi="ar-SA"/>
    </w:rPr>
  </w:style>
  <w:style w:type="character" w:styleId="CommentReference">
    <w:name w:val="annotation reference"/>
    <w:basedOn w:val="DefaultParagraphFont"/>
    <w:rsid w:val="00CF688E"/>
    <w:rPr>
      <w:sz w:val="16"/>
      <w:szCs w:val="16"/>
    </w:rPr>
  </w:style>
  <w:style w:type="paragraph" w:styleId="CommentText">
    <w:name w:val="annotation text"/>
    <w:basedOn w:val="Normal"/>
    <w:link w:val="CommentTextChar"/>
    <w:rsid w:val="00CF688E"/>
  </w:style>
  <w:style w:type="character" w:customStyle="1" w:styleId="CommentTextChar">
    <w:name w:val="Comment Text Char"/>
    <w:basedOn w:val="DefaultParagraphFont"/>
    <w:link w:val="CommentText"/>
    <w:rsid w:val="00CF688E"/>
  </w:style>
  <w:style w:type="paragraph" w:styleId="CommentSubject">
    <w:name w:val="annotation subject"/>
    <w:basedOn w:val="CommentText"/>
    <w:next w:val="CommentText"/>
    <w:link w:val="CommentSubjectChar"/>
    <w:rsid w:val="00CF688E"/>
    <w:rPr>
      <w:b/>
      <w:bCs/>
    </w:rPr>
  </w:style>
  <w:style w:type="character" w:customStyle="1" w:styleId="CommentSubjectChar">
    <w:name w:val="Comment Subject Char"/>
    <w:basedOn w:val="CommentTextChar"/>
    <w:link w:val="CommentSubject"/>
    <w:rsid w:val="00CF6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
    <w:basedOn w:val="Normal"/>
    <w:link w:val="FootnoteTextChar1"/>
    <w:semiHidden/>
    <w:rsid w:val="00F81AF1"/>
  </w:style>
  <w:style w:type="character" w:styleId="FootnoteReference">
    <w:name w:val="footnote reference"/>
    <w:basedOn w:val="DefaultParagraphFont"/>
    <w:semiHidden/>
    <w:rsid w:val="00F81AF1"/>
    <w:rPr>
      <w:vertAlign w:val="superscript"/>
    </w:rPr>
  </w:style>
  <w:style w:type="paragraph" w:styleId="BalloonText">
    <w:name w:val="Balloon Text"/>
    <w:basedOn w:val="Normal"/>
    <w:semiHidden/>
    <w:rsid w:val="00EE7581"/>
    <w:rPr>
      <w:rFonts w:ascii="Tahoma" w:hAnsi="Tahoma" w:cs="Tahoma"/>
      <w:sz w:val="16"/>
      <w:szCs w:val="16"/>
    </w:rPr>
  </w:style>
  <w:style w:type="character" w:customStyle="1" w:styleId="documentbody1">
    <w:name w:val="documentbody1"/>
    <w:basedOn w:val="DefaultParagraphFont"/>
    <w:rsid w:val="00F94B8A"/>
    <w:rPr>
      <w:rFonts w:ascii="Verdana" w:hAnsi="Verdana" w:hint="default"/>
      <w:sz w:val="19"/>
      <w:szCs w:val="19"/>
      <w:shd w:val="clear" w:color="auto" w:fill="FFFFFF"/>
    </w:rPr>
  </w:style>
  <w:style w:type="character" w:styleId="PageNumber">
    <w:name w:val="page number"/>
    <w:basedOn w:val="DefaultParagraphFont"/>
    <w:rsid w:val="002B5226"/>
  </w:style>
  <w:style w:type="character" w:styleId="Hyperlink">
    <w:name w:val="Hyperlink"/>
    <w:basedOn w:val="DefaultParagraphFont"/>
    <w:rsid w:val="0090100F"/>
    <w:rPr>
      <w:color w:val="0000FF"/>
      <w:u w:val="single"/>
    </w:rPr>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basedOn w:val="DefaultParagraphFont"/>
    <w:link w:val="FootnoteText"/>
    <w:rsid w:val="00613544"/>
    <w:rPr>
      <w:lang w:val="en-US" w:eastAsia="en-US" w:bidi="ar-SA"/>
    </w:rPr>
  </w:style>
  <w:style w:type="character" w:styleId="CommentReference">
    <w:name w:val="annotation reference"/>
    <w:basedOn w:val="DefaultParagraphFont"/>
    <w:rsid w:val="00CF688E"/>
    <w:rPr>
      <w:sz w:val="16"/>
      <w:szCs w:val="16"/>
    </w:rPr>
  </w:style>
  <w:style w:type="paragraph" w:styleId="CommentText">
    <w:name w:val="annotation text"/>
    <w:basedOn w:val="Normal"/>
    <w:link w:val="CommentTextChar"/>
    <w:rsid w:val="00CF688E"/>
  </w:style>
  <w:style w:type="character" w:customStyle="1" w:styleId="CommentTextChar">
    <w:name w:val="Comment Text Char"/>
    <w:basedOn w:val="DefaultParagraphFont"/>
    <w:link w:val="CommentText"/>
    <w:rsid w:val="00CF688E"/>
  </w:style>
  <w:style w:type="paragraph" w:styleId="CommentSubject">
    <w:name w:val="annotation subject"/>
    <w:basedOn w:val="CommentText"/>
    <w:next w:val="CommentText"/>
    <w:link w:val="CommentSubjectChar"/>
    <w:rsid w:val="00CF688E"/>
    <w:rPr>
      <w:b/>
      <w:bCs/>
    </w:rPr>
  </w:style>
  <w:style w:type="character" w:customStyle="1" w:styleId="CommentSubjectChar">
    <w:name w:val="Comment Subject Char"/>
    <w:basedOn w:val="CommentTextChar"/>
    <w:link w:val="CommentSubject"/>
    <w:rsid w:val="00CF6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Tom.Hutton\Desktop\Internet%20Explorer.lnk" TargetMode="External"/><Relationship Id="rId2" Type="http://schemas.openxmlformats.org/officeDocument/2006/relationships/hyperlink" Target="file:///C:\Users\Tom.Hutton\Desktop\Internet%20Explorer.lnk" TargetMode="External"/><Relationship Id="rId1" Type="http://schemas.openxmlformats.org/officeDocument/2006/relationships/hyperlink" Target="file:///C:\Users\Tom.Hutton\Desktop\Hutton\www.cumulus.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7485</Characters>
  <Application>Microsoft Office Word</Application>
  <DocSecurity>0</DocSecurity>
  <Lines>141</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2013-09-19T19:03:00Z</dcterms:created>
  <dcterms:modified xsi:type="dcterms:W3CDTF">2013-09-19T19:03:00Z</dcterms:modified>
  <cp:category> </cp:category>
  <cp:contentStatus> </cp:contentStatus>
</cp:coreProperties>
</file>