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AF" w:rsidRPr="005211DB" w:rsidRDefault="00DE08AF" w:rsidP="00DC1B4A">
      <w:pPr>
        <w:jc w:val="center"/>
        <w:rPr>
          <w:b/>
        </w:rPr>
      </w:pPr>
      <w:bookmarkStart w:id="0" w:name="_GoBack"/>
      <w:bookmarkEnd w:id="0"/>
      <w:r w:rsidRPr="005211DB">
        <w:rPr>
          <w:b/>
        </w:rPr>
        <w:t>Before the</w:t>
      </w:r>
    </w:p>
    <w:p w:rsidR="00DE08AF" w:rsidRPr="005211DB" w:rsidRDefault="00DE08AF" w:rsidP="00DC1B4A">
      <w:pPr>
        <w:pStyle w:val="StyleBoldCentered"/>
        <w:rPr>
          <w:rFonts w:ascii="Times New Roman" w:hAnsi="Times New Roman"/>
        </w:rPr>
      </w:pPr>
      <w:r w:rsidRPr="005211DB">
        <w:rPr>
          <w:rFonts w:ascii="Times New Roman" w:hAnsi="Times New Roman"/>
        </w:rPr>
        <w:t>F</w:t>
      </w:r>
      <w:r w:rsidRPr="005211DB">
        <w:rPr>
          <w:rFonts w:ascii="Times New Roman" w:hAnsi="Times New Roman"/>
          <w:caps w:val="0"/>
        </w:rPr>
        <w:t>ederal Communications Commission</w:t>
      </w:r>
    </w:p>
    <w:p w:rsidR="00DE08AF" w:rsidRPr="005211DB" w:rsidRDefault="00DE08AF" w:rsidP="00DC1B4A">
      <w:pPr>
        <w:pStyle w:val="StyleBoldCentered"/>
        <w:rPr>
          <w:rFonts w:ascii="Times New Roman" w:hAnsi="Times New Roman"/>
        </w:rPr>
      </w:pPr>
      <w:r w:rsidRPr="005211DB">
        <w:rPr>
          <w:rFonts w:ascii="Times New Roman" w:hAnsi="Times New Roman"/>
          <w:caps w:val="0"/>
        </w:rPr>
        <w:t>Washington</w:t>
      </w:r>
      <w:r w:rsidRPr="005211DB">
        <w:rPr>
          <w:rFonts w:ascii="Times New Roman" w:hAnsi="Times New Roman"/>
        </w:rPr>
        <w:t>, D.C. 20554</w:t>
      </w:r>
    </w:p>
    <w:p w:rsidR="00DE08AF" w:rsidRPr="005211DB" w:rsidRDefault="00DE08AF" w:rsidP="00DC1B4A"/>
    <w:p w:rsidR="00DE08AF" w:rsidRPr="005211DB" w:rsidRDefault="00DE08AF" w:rsidP="00DC1B4A">
      <w:pPr>
        <w:tabs>
          <w:tab w:val="left" w:pos="2340"/>
        </w:tabs>
      </w:pPr>
    </w:p>
    <w:tbl>
      <w:tblPr>
        <w:tblW w:w="0" w:type="auto"/>
        <w:tblLayout w:type="fixed"/>
        <w:tblLook w:val="0000" w:firstRow="0" w:lastRow="0" w:firstColumn="0" w:lastColumn="0" w:noHBand="0" w:noVBand="0"/>
      </w:tblPr>
      <w:tblGrid>
        <w:gridCol w:w="4698"/>
        <w:gridCol w:w="630"/>
        <w:gridCol w:w="4248"/>
      </w:tblGrid>
      <w:tr w:rsidR="00DE08AF" w:rsidRPr="005211DB">
        <w:tc>
          <w:tcPr>
            <w:tcW w:w="4698" w:type="dxa"/>
          </w:tcPr>
          <w:p w:rsidR="00DE08AF" w:rsidRPr="005211DB" w:rsidRDefault="00DE08AF" w:rsidP="00DC1B4A">
            <w:pPr>
              <w:tabs>
                <w:tab w:val="center" w:pos="4680"/>
              </w:tabs>
              <w:suppressAutoHyphens/>
              <w:rPr>
                <w:spacing w:val="-2"/>
              </w:rPr>
            </w:pPr>
            <w:r w:rsidRPr="005211DB">
              <w:rPr>
                <w:spacing w:val="-2"/>
              </w:rPr>
              <w:t>In the Matter of</w:t>
            </w:r>
          </w:p>
          <w:p w:rsidR="00DE08AF" w:rsidRPr="005211DB" w:rsidRDefault="00DE08AF" w:rsidP="00DC1B4A">
            <w:pPr>
              <w:tabs>
                <w:tab w:val="center" w:pos="4680"/>
              </w:tabs>
              <w:suppressAutoHyphens/>
              <w:rPr>
                <w:spacing w:val="-2"/>
              </w:rPr>
            </w:pPr>
          </w:p>
          <w:p w:rsidR="00CE1C7B" w:rsidRPr="005211DB" w:rsidRDefault="00CE1C7B" w:rsidP="00DC1B4A">
            <w:r w:rsidRPr="005211DB">
              <w:t xml:space="preserve">Applications of </w:t>
            </w:r>
            <w:r w:rsidR="00E37746" w:rsidRPr="005211DB">
              <w:t xml:space="preserve">AT&amp;T Inc. and Atlantic </w:t>
            </w:r>
            <w:r w:rsidR="00B56AB4" w:rsidRPr="005211DB">
              <w:br/>
            </w:r>
            <w:r w:rsidR="00E37746" w:rsidRPr="005211DB">
              <w:t>Tele-Network, Inc.</w:t>
            </w:r>
          </w:p>
          <w:p w:rsidR="00CE1C7B" w:rsidRPr="005211DB" w:rsidRDefault="00CE1C7B" w:rsidP="00DC1B4A"/>
          <w:p w:rsidR="00DF2328" w:rsidRPr="005211DB" w:rsidRDefault="00CE1C7B" w:rsidP="00DC1B4A">
            <w:pPr>
              <w:rPr>
                <w:spacing w:val="-2"/>
              </w:rPr>
            </w:pPr>
            <w:r w:rsidRPr="005211DB">
              <w:t xml:space="preserve">For Consent To Transfer Control </w:t>
            </w:r>
            <w:r w:rsidR="00B56AB4" w:rsidRPr="005211DB">
              <w:t xml:space="preserve">of </w:t>
            </w:r>
            <w:r w:rsidR="00E37746" w:rsidRPr="005211DB">
              <w:t xml:space="preserve">and Assign </w:t>
            </w:r>
            <w:r w:rsidRPr="005211DB">
              <w:t xml:space="preserve">Licenses and Authorizations </w:t>
            </w:r>
          </w:p>
        </w:tc>
        <w:tc>
          <w:tcPr>
            <w:tcW w:w="630" w:type="dxa"/>
          </w:tcPr>
          <w:p w:rsidR="00DE08AF" w:rsidRPr="005211DB" w:rsidRDefault="00DE08AF" w:rsidP="00DC1B4A">
            <w:pPr>
              <w:tabs>
                <w:tab w:val="center" w:pos="4680"/>
              </w:tabs>
              <w:suppressAutoHyphens/>
              <w:rPr>
                <w:b/>
                <w:spacing w:val="-2"/>
              </w:rPr>
            </w:pPr>
            <w:r w:rsidRPr="005211DB">
              <w:rPr>
                <w:b/>
                <w:spacing w:val="-2"/>
              </w:rPr>
              <w:t>)</w:t>
            </w:r>
          </w:p>
          <w:p w:rsidR="00DE08AF" w:rsidRPr="005211DB" w:rsidRDefault="00DE08AF" w:rsidP="00DC1B4A">
            <w:pPr>
              <w:tabs>
                <w:tab w:val="center" w:pos="4680"/>
              </w:tabs>
              <w:suppressAutoHyphens/>
              <w:rPr>
                <w:b/>
                <w:spacing w:val="-2"/>
              </w:rPr>
            </w:pPr>
            <w:r w:rsidRPr="005211DB">
              <w:rPr>
                <w:b/>
                <w:spacing w:val="-2"/>
              </w:rPr>
              <w:t>)</w:t>
            </w:r>
          </w:p>
          <w:p w:rsidR="00DE08AF" w:rsidRPr="005211DB" w:rsidRDefault="00DE08AF" w:rsidP="00DC1B4A">
            <w:pPr>
              <w:tabs>
                <w:tab w:val="center" w:pos="4680"/>
              </w:tabs>
              <w:suppressAutoHyphens/>
              <w:rPr>
                <w:b/>
                <w:spacing w:val="-2"/>
              </w:rPr>
            </w:pPr>
            <w:r w:rsidRPr="005211DB">
              <w:rPr>
                <w:b/>
                <w:spacing w:val="-2"/>
              </w:rPr>
              <w:t>)</w:t>
            </w:r>
          </w:p>
          <w:p w:rsidR="00DE08AF" w:rsidRPr="005211DB" w:rsidRDefault="00DE08AF" w:rsidP="00DC1B4A">
            <w:pPr>
              <w:tabs>
                <w:tab w:val="center" w:pos="4680"/>
              </w:tabs>
              <w:suppressAutoHyphens/>
              <w:rPr>
                <w:b/>
                <w:spacing w:val="-2"/>
              </w:rPr>
            </w:pPr>
            <w:r w:rsidRPr="005211DB">
              <w:rPr>
                <w:b/>
                <w:spacing w:val="-2"/>
              </w:rPr>
              <w:t>)</w:t>
            </w:r>
          </w:p>
          <w:p w:rsidR="00DE08AF" w:rsidRPr="005211DB" w:rsidRDefault="00DE08AF" w:rsidP="00DC1B4A">
            <w:pPr>
              <w:tabs>
                <w:tab w:val="center" w:pos="4680"/>
              </w:tabs>
              <w:suppressAutoHyphens/>
              <w:rPr>
                <w:b/>
                <w:spacing w:val="-2"/>
              </w:rPr>
            </w:pPr>
            <w:r w:rsidRPr="005211DB">
              <w:rPr>
                <w:b/>
                <w:spacing w:val="-2"/>
              </w:rPr>
              <w:t>)</w:t>
            </w:r>
          </w:p>
          <w:p w:rsidR="00DE08AF" w:rsidRPr="005211DB" w:rsidRDefault="00DE08AF" w:rsidP="00DC1B4A">
            <w:pPr>
              <w:tabs>
                <w:tab w:val="center" w:pos="4680"/>
              </w:tabs>
              <w:suppressAutoHyphens/>
              <w:rPr>
                <w:b/>
                <w:spacing w:val="-2"/>
              </w:rPr>
            </w:pPr>
            <w:r w:rsidRPr="005211DB">
              <w:rPr>
                <w:b/>
                <w:spacing w:val="-2"/>
              </w:rPr>
              <w:t>)</w:t>
            </w:r>
          </w:p>
          <w:p w:rsidR="00DF2328" w:rsidRPr="005211DB" w:rsidRDefault="00DF2328" w:rsidP="00DC1B4A">
            <w:pPr>
              <w:tabs>
                <w:tab w:val="center" w:pos="4680"/>
              </w:tabs>
              <w:suppressAutoHyphens/>
              <w:rPr>
                <w:b/>
                <w:spacing w:val="-2"/>
              </w:rPr>
            </w:pPr>
            <w:r w:rsidRPr="005211DB">
              <w:rPr>
                <w:b/>
                <w:spacing w:val="-2"/>
              </w:rPr>
              <w:t>)</w:t>
            </w:r>
          </w:p>
          <w:p w:rsidR="00706838" w:rsidRPr="005211DB" w:rsidRDefault="00706838" w:rsidP="00DC1B4A">
            <w:pPr>
              <w:tabs>
                <w:tab w:val="center" w:pos="4680"/>
              </w:tabs>
              <w:suppressAutoHyphens/>
              <w:rPr>
                <w:b/>
                <w:spacing w:val="-2"/>
              </w:rPr>
            </w:pPr>
          </w:p>
        </w:tc>
        <w:tc>
          <w:tcPr>
            <w:tcW w:w="4248" w:type="dxa"/>
          </w:tcPr>
          <w:p w:rsidR="006F1919" w:rsidRPr="005211DB" w:rsidRDefault="006F1919" w:rsidP="00DC1B4A">
            <w:pPr>
              <w:ind w:left="342" w:hanging="342"/>
            </w:pPr>
          </w:p>
          <w:p w:rsidR="006F1919" w:rsidRPr="005211DB" w:rsidRDefault="006F1919" w:rsidP="00DC1B4A">
            <w:pPr>
              <w:ind w:left="342" w:hanging="342"/>
            </w:pPr>
          </w:p>
          <w:p w:rsidR="006F1919" w:rsidRPr="005211DB" w:rsidRDefault="00D71732" w:rsidP="00DC1B4A">
            <w:r w:rsidRPr="005211DB">
              <w:t xml:space="preserve">WT Docket No. </w:t>
            </w:r>
            <w:r w:rsidR="00E37746" w:rsidRPr="005211DB">
              <w:t>13-54</w:t>
            </w:r>
          </w:p>
          <w:p w:rsidR="006F1919" w:rsidRPr="005211DB" w:rsidRDefault="006F1919" w:rsidP="00DC1B4A">
            <w:pPr>
              <w:ind w:left="342" w:hanging="342"/>
            </w:pPr>
          </w:p>
          <w:p w:rsidR="00DE08AF" w:rsidRPr="005211DB" w:rsidRDefault="00DE08AF" w:rsidP="00DC1B4A">
            <w:pPr>
              <w:tabs>
                <w:tab w:val="center" w:pos="4680"/>
              </w:tabs>
              <w:suppressAutoHyphens/>
              <w:rPr>
                <w:spacing w:val="-2"/>
              </w:rPr>
            </w:pPr>
          </w:p>
        </w:tc>
      </w:tr>
    </w:tbl>
    <w:p w:rsidR="00DE08AF" w:rsidRPr="005211DB" w:rsidRDefault="00DE08AF"/>
    <w:p w:rsidR="00DE08AF" w:rsidRPr="005211DB" w:rsidRDefault="005A7BEE">
      <w:pPr>
        <w:pStyle w:val="StyleBoldCentered"/>
        <w:rPr>
          <w:rFonts w:ascii="Times New Roman" w:hAnsi="Times New Roman"/>
        </w:rPr>
      </w:pPr>
      <w:r w:rsidRPr="005211DB">
        <w:rPr>
          <w:rFonts w:ascii="Times New Roman" w:hAnsi="Times New Roman"/>
        </w:rPr>
        <w:t xml:space="preserve">MEMORANDUM OPINION AND </w:t>
      </w:r>
      <w:r w:rsidR="00DE08AF" w:rsidRPr="005211DB">
        <w:rPr>
          <w:rFonts w:ascii="Times New Roman" w:hAnsi="Times New Roman"/>
        </w:rPr>
        <w:t>ORDER</w:t>
      </w:r>
    </w:p>
    <w:p w:rsidR="00DE08AF" w:rsidRPr="005211DB" w:rsidRDefault="00DE08AF">
      <w:pPr>
        <w:pStyle w:val="StyleBoldCentered"/>
        <w:rPr>
          <w:rFonts w:ascii="Times New Roman" w:hAnsi="Times New Roman"/>
        </w:rPr>
      </w:pPr>
    </w:p>
    <w:p w:rsidR="00911C51" w:rsidRPr="005211DB" w:rsidRDefault="00911C51" w:rsidP="008400F8">
      <w:pPr>
        <w:tabs>
          <w:tab w:val="right" w:pos="9360"/>
        </w:tabs>
        <w:suppressAutoHyphens/>
        <w:spacing w:line="227" w:lineRule="auto"/>
        <w:rPr>
          <w:spacing w:val="-2"/>
        </w:rPr>
      </w:pPr>
      <w:r w:rsidRPr="005211DB">
        <w:rPr>
          <w:b/>
          <w:spacing w:val="-2"/>
        </w:rPr>
        <w:t xml:space="preserve">Adopted:  </w:t>
      </w:r>
      <w:r w:rsidR="00AB1BE0" w:rsidRPr="008A32C2">
        <w:rPr>
          <w:b/>
          <w:spacing w:val="-2"/>
        </w:rPr>
        <w:t xml:space="preserve">September </w:t>
      </w:r>
      <w:r w:rsidR="008A32C2">
        <w:rPr>
          <w:b/>
          <w:spacing w:val="-2"/>
        </w:rPr>
        <w:t>20</w:t>
      </w:r>
      <w:r w:rsidR="00D71732" w:rsidRPr="008A32C2">
        <w:rPr>
          <w:b/>
          <w:spacing w:val="-2"/>
        </w:rPr>
        <w:t>, 201</w:t>
      </w:r>
      <w:r w:rsidR="005C0F80" w:rsidRPr="008A32C2">
        <w:rPr>
          <w:b/>
          <w:spacing w:val="-2"/>
        </w:rPr>
        <w:t>3</w:t>
      </w:r>
      <w:r w:rsidRPr="005211DB">
        <w:rPr>
          <w:b/>
          <w:spacing w:val="-2"/>
        </w:rPr>
        <w:tab/>
        <w:t xml:space="preserve">Released: </w:t>
      </w:r>
      <w:r w:rsidR="008A32C2">
        <w:rPr>
          <w:b/>
          <w:spacing w:val="-2"/>
        </w:rPr>
        <w:t xml:space="preserve"> </w:t>
      </w:r>
      <w:r w:rsidR="00AB1BE0" w:rsidRPr="008A32C2">
        <w:rPr>
          <w:b/>
          <w:spacing w:val="-2"/>
        </w:rPr>
        <w:t>September</w:t>
      </w:r>
      <w:r w:rsidR="00B56AB4" w:rsidRPr="008A32C2">
        <w:rPr>
          <w:b/>
          <w:spacing w:val="-2"/>
        </w:rPr>
        <w:t xml:space="preserve"> </w:t>
      </w:r>
      <w:r w:rsidR="008A32C2" w:rsidRPr="008A32C2">
        <w:rPr>
          <w:b/>
          <w:spacing w:val="-2"/>
        </w:rPr>
        <w:t>20</w:t>
      </w:r>
      <w:r w:rsidRPr="008A32C2">
        <w:rPr>
          <w:b/>
          <w:spacing w:val="-2"/>
        </w:rPr>
        <w:t>, 201</w:t>
      </w:r>
      <w:r w:rsidR="005C0F80" w:rsidRPr="008A32C2">
        <w:rPr>
          <w:b/>
          <w:spacing w:val="-2"/>
        </w:rPr>
        <w:t>3</w:t>
      </w:r>
    </w:p>
    <w:p w:rsidR="004759AC" w:rsidRPr="005211DB" w:rsidRDefault="004759AC"/>
    <w:p w:rsidR="00DE08AF" w:rsidRPr="005211DB" w:rsidRDefault="00731CDD">
      <w:pPr>
        <w:rPr>
          <w:spacing w:val="-2"/>
        </w:rPr>
      </w:pPr>
      <w:r w:rsidRPr="005211DB">
        <w:t xml:space="preserve">By the </w:t>
      </w:r>
      <w:r w:rsidRPr="005211DB">
        <w:rPr>
          <w:spacing w:val="-2"/>
        </w:rPr>
        <w:t>Chief, Wireless Telecommunications Bureau</w:t>
      </w:r>
      <w:r w:rsidR="00581045" w:rsidRPr="005211DB">
        <w:rPr>
          <w:spacing w:val="-2"/>
        </w:rPr>
        <w:t>, and Chief, International Bureau</w:t>
      </w:r>
    </w:p>
    <w:p w:rsidR="00145D11" w:rsidRPr="005211DB" w:rsidRDefault="00145D11">
      <w:pPr>
        <w:rPr>
          <w:spacing w:val="-2"/>
        </w:rPr>
      </w:pPr>
    </w:p>
    <w:p w:rsidR="0073449D" w:rsidRDefault="0073449D" w:rsidP="0073449D">
      <w:pPr>
        <w:pStyle w:val="TOCTitle"/>
      </w:pPr>
      <w:bookmarkStart w:id="1" w:name="TOChere"/>
      <w:r>
        <w:t>Table of Contents</w:t>
      </w:r>
    </w:p>
    <w:p w:rsidR="0073449D" w:rsidRDefault="0073449D" w:rsidP="0073449D">
      <w:pPr>
        <w:pStyle w:val="Paratitle"/>
      </w:pPr>
      <w:r>
        <w:t>Heading</w:t>
      </w:r>
      <w:r>
        <w:tab/>
        <w:t>Paragraph #</w:t>
      </w:r>
      <w:bookmarkStart w:id="2" w:name="start_here"/>
      <w:bookmarkEnd w:id="2"/>
    </w:p>
    <w:p w:rsidR="0073449D" w:rsidRDefault="0073449D" w:rsidP="0073449D">
      <w:pPr>
        <w:pStyle w:val="TOC1"/>
        <w:rPr>
          <w:rFonts w:eastAsiaTheme="minorEastAsia"/>
          <w:caps w:val="0"/>
        </w:rPr>
      </w:pPr>
      <w:r w:rsidRPr="0045694F">
        <w:t>I.</w:t>
      </w:r>
      <w:r>
        <w:rPr>
          <w:rFonts w:eastAsiaTheme="minorEastAsia"/>
          <w:caps w:val="0"/>
        </w:rPr>
        <w:tab/>
      </w:r>
      <w:r w:rsidRPr="0045694F">
        <w:t>introduction</w:t>
      </w:r>
      <w:r>
        <w:tab/>
        <w:t>1</w:t>
      </w:r>
    </w:p>
    <w:p w:rsidR="0073449D" w:rsidRDefault="0073449D" w:rsidP="0073449D">
      <w:pPr>
        <w:pStyle w:val="TOC1"/>
        <w:rPr>
          <w:rFonts w:eastAsiaTheme="minorEastAsia"/>
          <w:caps w:val="0"/>
        </w:rPr>
      </w:pPr>
      <w:r w:rsidRPr="0045694F">
        <w:t>II.</w:t>
      </w:r>
      <w:r>
        <w:rPr>
          <w:rFonts w:eastAsiaTheme="minorEastAsia"/>
          <w:caps w:val="0"/>
        </w:rPr>
        <w:tab/>
      </w:r>
      <w:r w:rsidRPr="0045694F">
        <w:t>BACKGROUND</w:t>
      </w:r>
      <w:r>
        <w:tab/>
        <w:t>3</w:t>
      </w:r>
    </w:p>
    <w:p w:rsidR="0073449D" w:rsidRDefault="0073449D" w:rsidP="0073449D">
      <w:pPr>
        <w:pStyle w:val="TOC2"/>
        <w:tabs>
          <w:tab w:val="left" w:pos="360"/>
        </w:tabs>
        <w:rPr>
          <w:rFonts w:eastAsiaTheme="minorEastAsia"/>
        </w:rPr>
      </w:pPr>
      <w:r>
        <w:lastRenderedPageBreak/>
        <w:t>A.</w:t>
      </w:r>
      <w:r>
        <w:rPr>
          <w:rFonts w:eastAsiaTheme="minorEastAsia"/>
        </w:rPr>
        <w:tab/>
      </w:r>
      <w:r>
        <w:t>Description of Applicants</w:t>
      </w:r>
      <w:r>
        <w:tab/>
        <w:t>3</w:t>
      </w:r>
    </w:p>
    <w:p w:rsidR="0073449D" w:rsidRDefault="0073449D" w:rsidP="0073449D">
      <w:pPr>
        <w:pStyle w:val="TOC3"/>
        <w:tabs>
          <w:tab w:val="left" w:pos="360"/>
        </w:tabs>
        <w:rPr>
          <w:rFonts w:eastAsiaTheme="minorEastAsia"/>
        </w:rPr>
      </w:pPr>
      <w:r>
        <w:t>1.</w:t>
      </w:r>
      <w:r>
        <w:rPr>
          <w:rFonts w:eastAsiaTheme="minorEastAsia"/>
        </w:rPr>
        <w:tab/>
      </w:r>
      <w:r>
        <w:t>AT&amp;T</w:t>
      </w:r>
      <w:r>
        <w:tab/>
        <w:t>3</w:t>
      </w:r>
    </w:p>
    <w:p w:rsidR="0073449D" w:rsidRDefault="0073449D" w:rsidP="0073449D">
      <w:pPr>
        <w:pStyle w:val="TOC3"/>
        <w:tabs>
          <w:tab w:val="left" w:pos="360"/>
        </w:tabs>
        <w:rPr>
          <w:rFonts w:eastAsiaTheme="minorEastAsia"/>
        </w:rPr>
      </w:pPr>
      <w:r w:rsidRPr="0045694F">
        <w:t>2.</w:t>
      </w:r>
      <w:r>
        <w:rPr>
          <w:rFonts w:eastAsiaTheme="minorEastAsia"/>
        </w:rPr>
        <w:tab/>
      </w:r>
      <w:r>
        <w:t>ATN</w:t>
      </w:r>
      <w:r>
        <w:tab/>
        <w:t>4</w:t>
      </w:r>
    </w:p>
    <w:p w:rsidR="0073449D" w:rsidRDefault="0073449D" w:rsidP="0073449D">
      <w:pPr>
        <w:pStyle w:val="TOC2"/>
        <w:tabs>
          <w:tab w:val="left" w:pos="360"/>
        </w:tabs>
        <w:rPr>
          <w:rFonts w:eastAsiaTheme="minorEastAsia"/>
        </w:rPr>
      </w:pPr>
      <w:r>
        <w:t>B.</w:t>
      </w:r>
      <w:r>
        <w:rPr>
          <w:rFonts w:eastAsiaTheme="minorEastAsia"/>
        </w:rPr>
        <w:tab/>
      </w:r>
      <w:r>
        <w:t>Description of Transaction</w:t>
      </w:r>
      <w:r>
        <w:tab/>
        <w:t>5</w:t>
      </w:r>
    </w:p>
    <w:p w:rsidR="0073449D" w:rsidRDefault="0073449D" w:rsidP="0073449D">
      <w:pPr>
        <w:pStyle w:val="TOC2"/>
        <w:tabs>
          <w:tab w:val="left" w:pos="360"/>
        </w:tabs>
        <w:rPr>
          <w:rFonts w:eastAsiaTheme="minorEastAsia"/>
        </w:rPr>
      </w:pPr>
      <w:r>
        <w:t>C.</w:t>
      </w:r>
      <w:r>
        <w:rPr>
          <w:rFonts w:eastAsiaTheme="minorEastAsia"/>
        </w:rPr>
        <w:tab/>
      </w:r>
      <w:r>
        <w:t>Transaction Review Process</w:t>
      </w:r>
      <w:r>
        <w:tab/>
        <w:t>7</w:t>
      </w:r>
    </w:p>
    <w:p w:rsidR="0073449D" w:rsidRDefault="0073449D" w:rsidP="0073449D">
      <w:pPr>
        <w:pStyle w:val="TOC1"/>
        <w:rPr>
          <w:rFonts w:eastAsiaTheme="minorEastAsia"/>
          <w:caps w:val="0"/>
        </w:rPr>
      </w:pPr>
      <w:r w:rsidRPr="0045694F">
        <w:t>III.</w:t>
      </w:r>
      <w:r>
        <w:rPr>
          <w:rFonts w:eastAsiaTheme="minorEastAsia"/>
          <w:caps w:val="0"/>
        </w:rPr>
        <w:tab/>
      </w:r>
      <w:r w:rsidRPr="0045694F">
        <w:t>standard of review and public interest framework</w:t>
      </w:r>
      <w:r>
        <w:tab/>
        <w:t>12</w:t>
      </w:r>
    </w:p>
    <w:p w:rsidR="0073449D" w:rsidRDefault="0073449D" w:rsidP="0073449D">
      <w:pPr>
        <w:pStyle w:val="TOC1"/>
        <w:rPr>
          <w:rFonts w:eastAsiaTheme="minorEastAsia"/>
          <w:caps w:val="0"/>
        </w:rPr>
      </w:pPr>
      <w:r w:rsidRPr="0045694F">
        <w:t>IV.</w:t>
      </w:r>
      <w:r>
        <w:rPr>
          <w:rFonts w:eastAsiaTheme="minorEastAsia"/>
          <w:caps w:val="0"/>
        </w:rPr>
        <w:tab/>
      </w:r>
      <w:r w:rsidRPr="0045694F">
        <w:t>qualifications of applicants</w:t>
      </w:r>
      <w:r>
        <w:tab/>
        <w:t>15</w:t>
      </w:r>
    </w:p>
    <w:p w:rsidR="0073449D" w:rsidRDefault="0073449D" w:rsidP="0073449D">
      <w:pPr>
        <w:pStyle w:val="TOC1"/>
        <w:rPr>
          <w:rFonts w:eastAsiaTheme="minorEastAsia"/>
          <w:caps w:val="0"/>
        </w:rPr>
      </w:pPr>
      <w:r w:rsidRPr="0045694F">
        <w:t>V.</w:t>
      </w:r>
      <w:r>
        <w:rPr>
          <w:rFonts w:eastAsiaTheme="minorEastAsia"/>
          <w:caps w:val="0"/>
        </w:rPr>
        <w:tab/>
      </w:r>
      <w:r w:rsidRPr="0045694F">
        <w:t>potential public interest harms</w:t>
      </w:r>
      <w:r>
        <w:tab/>
        <w:t>18</w:t>
      </w:r>
    </w:p>
    <w:p w:rsidR="0073449D" w:rsidRDefault="0073449D" w:rsidP="0073449D">
      <w:pPr>
        <w:pStyle w:val="TOC2"/>
        <w:tabs>
          <w:tab w:val="left" w:pos="360"/>
        </w:tabs>
        <w:rPr>
          <w:rFonts w:eastAsiaTheme="minorEastAsia"/>
        </w:rPr>
      </w:pPr>
      <w:r>
        <w:t>A.</w:t>
      </w:r>
      <w:r>
        <w:rPr>
          <w:rFonts w:eastAsiaTheme="minorEastAsia"/>
        </w:rPr>
        <w:tab/>
      </w:r>
      <w:r>
        <w:t>Competitive Overview and Market Definitions</w:t>
      </w:r>
      <w:r>
        <w:tab/>
        <w:t>19</w:t>
      </w:r>
    </w:p>
    <w:p w:rsidR="0073449D" w:rsidRDefault="0073449D" w:rsidP="0073449D">
      <w:pPr>
        <w:pStyle w:val="TOC3"/>
        <w:tabs>
          <w:tab w:val="left" w:pos="360"/>
        </w:tabs>
        <w:rPr>
          <w:rFonts w:eastAsiaTheme="minorEastAsia"/>
        </w:rPr>
      </w:pPr>
      <w:r w:rsidRPr="0045694F">
        <w:rPr>
          <w:color w:val="010101"/>
        </w:rPr>
        <w:t>1.</w:t>
      </w:r>
      <w:r>
        <w:rPr>
          <w:rFonts w:eastAsiaTheme="minorEastAsia"/>
        </w:rPr>
        <w:tab/>
      </w:r>
      <w:r w:rsidRPr="0045694F">
        <w:rPr>
          <w:color w:val="010101"/>
        </w:rPr>
        <w:t>Competitive Overview</w:t>
      </w:r>
      <w:r>
        <w:tab/>
        <w:t>19</w:t>
      </w:r>
    </w:p>
    <w:p w:rsidR="0073449D" w:rsidRDefault="0073449D" w:rsidP="0073449D">
      <w:pPr>
        <w:pStyle w:val="TOC3"/>
        <w:tabs>
          <w:tab w:val="left" w:pos="360"/>
        </w:tabs>
        <w:rPr>
          <w:rFonts w:eastAsiaTheme="minorEastAsia"/>
        </w:rPr>
      </w:pPr>
      <w:r w:rsidRPr="0045694F">
        <w:rPr>
          <w:color w:val="010101"/>
        </w:rPr>
        <w:t>2.</w:t>
      </w:r>
      <w:r>
        <w:rPr>
          <w:rFonts w:eastAsiaTheme="minorEastAsia"/>
        </w:rPr>
        <w:tab/>
      </w:r>
      <w:r w:rsidRPr="0045694F">
        <w:rPr>
          <w:color w:val="010101"/>
        </w:rPr>
        <w:t>Market Definitions</w:t>
      </w:r>
      <w:r>
        <w:tab/>
        <w:t>21</w:t>
      </w:r>
    </w:p>
    <w:p w:rsidR="0073449D" w:rsidRDefault="0073449D" w:rsidP="0073449D">
      <w:pPr>
        <w:pStyle w:val="TOC2"/>
        <w:tabs>
          <w:tab w:val="left" w:pos="360"/>
        </w:tabs>
        <w:rPr>
          <w:rFonts w:eastAsiaTheme="minorEastAsia"/>
        </w:rPr>
      </w:pPr>
      <w:r>
        <w:t>B.</w:t>
      </w:r>
      <w:r>
        <w:rPr>
          <w:rFonts w:eastAsiaTheme="minorEastAsia"/>
        </w:rPr>
        <w:tab/>
      </w:r>
      <w:r>
        <w:t>Competitive Effects of Transaction</w:t>
      </w:r>
      <w:r>
        <w:tab/>
        <w:t>30</w:t>
      </w:r>
    </w:p>
    <w:p w:rsidR="0073449D" w:rsidRDefault="0073449D" w:rsidP="0073449D">
      <w:pPr>
        <w:pStyle w:val="TOC3"/>
        <w:tabs>
          <w:tab w:val="left" w:pos="360"/>
        </w:tabs>
        <w:rPr>
          <w:rFonts w:eastAsiaTheme="minorEastAsia"/>
        </w:rPr>
      </w:pPr>
      <w:r>
        <w:t>1.</w:t>
      </w:r>
      <w:r>
        <w:rPr>
          <w:rFonts w:eastAsiaTheme="minorEastAsia"/>
        </w:rPr>
        <w:tab/>
      </w:r>
      <w:r>
        <w:t>Initial Screen</w:t>
      </w:r>
      <w:r>
        <w:tab/>
        <w:t>30</w:t>
      </w:r>
    </w:p>
    <w:p w:rsidR="0073449D" w:rsidRDefault="0073449D" w:rsidP="0073449D">
      <w:pPr>
        <w:pStyle w:val="TOC3"/>
        <w:tabs>
          <w:tab w:val="left" w:pos="360"/>
        </w:tabs>
        <w:rPr>
          <w:rFonts w:eastAsiaTheme="minorEastAsia"/>
        </w:rPr>
      </w:pPr>
      <w:r>
        <w:t>2.</w:t>
      </w:r>
      <w:r>
        <w:rPr>
          <w:rFonts w:eastAsiaTheme="minorEastAsia"/>
        </w:rPr>
        <w:tab/>
      </w:r>
      <w:r>
        <w:t>Competitive Analysis</w:t>
      </w:r>
      <w:r>
        <w:tab/>
        <w:t>34</w:t>
      </w:r>
    </w:p>
    <w:p w:rsidR="0073449D" w:rsidRDefault="0073449D" w:rsidP="0073449D">
      <w:pPr>
        <w:pStyle w:val="TOC2"/>
        <w:tabs>
          <w:tab w:val="left" w:pos="360"/>
        </w:tabs>
        <w:rPr>
          <w:rFonts w:eastAsiaTheme="minorEastAsia"/>
        </w:rPr>
      </w:pPr>
      <w:r>
        <w:t>C.</w:t>
      </w:r>
      <w:r>
        <w:rPr>
          <w:rFonts w:eastAsiaTheme="minorEastAsia"/>
        </w:rPr>
        <w:tab/>
      </w:r>
      <w:r>
        <w:t>Roaming</w:t>
      </w:r>
      <w:r>
        <w:tab/>
        <w:t>57</w:t>
      </w:r>
    </w:p>
    <w:p w:rsidR="0073449D" w:rsidRDefault="0073449D" w:rsidP="0073449D">
      <w:pPr>
        <w:pStyle w:val="TOC2"/>
        <w:tabs>
          <w:tab w:val="left" w:pos="360"/>
        </w:tabs>
        <w:rPr>
          <w:rFonts w:eastAsiaTheme="minorEastAsia"/>
        </w:rPr>
      </w:pPr>
      <w:r>
        <w:t>D.</w:t>
      </w:r>
      <w:r>
        <w:rPr>
          <w:rFonts w:eastAsiaTheme="minorEastAsia"/>
        </w:rPr>
        <w:tab/>
      </w:r>
      <w:r>
        <w:t>Other Issues</w:t>
      </w:r>
      <w:r>
        <w:tab/>
        <w:t>61</w:t>
      </w:r>
    </w:p>
    <w:p w:rsidR="0073449D" w:rsidRDefault="0073449D" w:rsidP="0073449D">
      <w:pPr>
        <w:pStyle w:val="TOC1"/>
        <w:rPr>
          <w:rFonts w:eastAsiaTheme="minorEastAsia"/>
          <w:caps w:val="0"/>
        </w:rPr>
      </w:pPr>
      <w:r w:rsidRPr="0045694F">
        <w:t>VI.</w:t>
      </w:r>
      <w:r>
        <w:rPr>
          <w:rFonts w:eastAsiaTheme="minorEastAsia"/>
          <w:caps w:val="0"/>
        </w:rPr>
        <w:tab/>
      </w:r>
      <w:r w:rsidRPr="0045694F">
        <w:t>POTENTIAL PUBLIC INTEREST BENEFITS</w:t>
      </w:r>
      <w:r>
        <w:tab/>
        <w:t>64</w:t>
      </w:r>
    </w:p>
    <w:p w:rsidR="0073449D" w:rsidRDefault="0073449D" w:rsidP="0073449D">
      <w:pPr>
        <w:pStyle w:val="TOC2"/>
        <w:tabs>
          <w:tab w:val="left" w:pos="360"/>
        </w:tabs>
        <w:rPr>
          <w:rFonts w:eastAsiaTheme="minorEastAsia"/>
        </w:rPr>
      </w:pPr>
      <w:r>
        <w:t>A.</w:t>
      </w:r>
      <w:r>
        <w:rPr>
          <w:rFonts w:eastAsiaTheme="minorEastAsia"/>
        </w:rPr>
        <w:tab/>
      </w:r>
      <w:r>
        <w:t>Analytical Framework</w:t>
      </w:r>
      <w:r>
        <w:tab/>
        <w:t>65</w:t>
      </w:r>
    </w:p>
    <w:p w:rsidR="0073449D" w:rsidRDefault="0073449D" w:rsidP="0073449D">
      <w:pPr>
        <w:pStyle w:val="TOC2"/>
        <w:tabs>
          <w:tab w:val="left" w:pos="360"/>
        </w:tabs>
        <w:rPr>
          <w:rFonts w:eastAsiaTheme="minorEastAsia"/>
        </w:rPr>
      </w:pPr>
      <w:r>
        <w:t>B.</w:t>
      </w:r>
      <w:r>
        <w:rPr>
          <w:rFonts w:eastAsiaTheme="minorEastAsia"/>
        </w:rPr>
        <w:tab/>
      </w:r>
      <w:r>
        <w:t>Potential Benefits</w:t>
      </w:r>
      <w:r>
        <w:tab/>
        <w:t>67</w:t>
      </w:r>
    </w:p>
    <w:p w:rsidR="0073449D" w:rsidRDefault="0073449D" w:rsidP="0073449D">
      <w:pPr>
        <w:pStyle w:val="TOC3"/>
        <w:tabs>
          <w:tab w:val="left" w:pos="360"/>
        </w:tabs>
        <w:rPr>
          <w:rFonts w:eastAsiaTheme="minorEastAsia"/>
        </w:rPr>
      </w:pPr>
      <w:r>
        <w:t>1.</w:t>
      </w:r>
      <w:r>
        <w:rPr>
          <w:rFonts w:eastAsiaTheme="minorEastAsia"/>
        </w:rPr>
        <w:tab/>
      </w:r>
      <w:r>
        <w:t>Deployment of Advanced Broadband Technologies</w:t>
      </w:r>
      <w:r>
        <w:tab/>
        <w:t>68</w:t>
      </w:r>
    </w:p>
    <w:p w:rsidR="0073449D" w:rsidRDefault="0073449D" w:rsidP="0073449D">
      <w:pPr>
        <w:pStyle w:val="TOC3"/>
        <w:tabs>
          <w:tab w:val="left" w:pos="360"/>
        </w:tabs>
        <w:rPr>
          <w:rFonts w:eastAsiaTheme="minorEastAsia"/>
        </w:rPr>
      </w:pPr>
      <w:r>
        <w:t>2.</w:t>
      </w:r>
      <w:r>
        <w:rPr>
          <w:rFonts w:eastAsiaTheme="minorEastAsia"/>
        </w:rPr>
        <w:tab/>
      </w:r>
      <w:r>
        <w:t>Expanded and Improved Services and Features</w:t>
      </w:r>
      <w:r>
        <w:tab/>
        <w:t>71</w:t>
      </w:r>
    </w:p>
    <w:p w:rsidR="0073449D" w:rsidRDefault="0073449D" w:rsidP="0073449D">
      <w:pPr>
        <w:pStyle w:val="TOC3"/>
        <w:tabs>
          <w:tab w:val="left" w:pos="360"/>
        </w:tabs>
        <w:rPr>
          <w:rFonts w:eastAsiaTheme="minorEastAsia"/>
        </w:rPr>
      </w:pPr>
      <w:r>
        <w:t>3.</w:t>
      </w:r>
      <w:r>
        <w:rPr>
          <w:rFonts w:eastAsiaTheme="minorEastAsia"/>
        </w:rPr>
        <w:tab/>
      </w:r>
      <w:r>
        <w:t>Cost Savings</w:t>
      </w:r>
      <w:r>
        <w:tab/>
        <w:t>73</w:t>
      </w:r>
    </w:p>
    <w:p w:rsidR="0073449D" w:rsidRDefault="0073449D" w:rsidP="0073449D">
      <w:pPr>
        <w:pStyle w:val="TOC3"/>
        <w:tabs>
          <w:tab w:val="left" w:pos="360"/>
        </w:tabs>
        <w:rPr>
          <w:rFonts w:eastAsiaTheme="minorEastAsia"/>
        </w:rPr>
      </w:pPr>
      <w:r>
        <w:t>4.</w:t>
      </w:r>
      <w:r>
        <w:rPr>
          <w:rFonts w:eastAsiaTheme="minorEastAsia"/>
        </w:rPr>
        <w:tab/>
      </w:r>
      <w:r>
        <w:t>Benefits to AT&amp;T’s Customers</w:t>
      </w:r>
      <w:r>
        <w:tab/>
        <w:t>75</w:t>
      </w:r>
    </w:p>
    <w:p w:rsidR="0073449D" w:rsidRDefault="0073449D" w:rsidP="0073449D">
      <w:pPr>
        <w:pStyle w:val="TOC3"/>
        <w:tabs>
          <w:tab w:val="left" w:pos="360"/>
        </w:tabs>
        <w:rPr>
          <w:rFonts w:eastAsiaTheme="minorEastAsia"/>
        </w:rPr>
      </w:pPr>
      <w:r>
        <w:t>5.</w:t>
      </w:r>
      <w:r>
        <w:rPr>
          <w:rFonts w:eastAsiaTheme="minorEastAsia"/>
        </w:rPr>
        <w:tab/>
      </w:r>
      <w:r>
        <w:t>Customer Transition Plans</w:t>
      </w:r>
      <w:r>
        <w:tab/>
        <w:t>76</w:t>
      </w:r>
    </w:p>
    <w:p w:rsidR="0073449D" w:rsidRDefault="0073449D" w:rsidP="0073449D">
      <w:pPr>
        <w:pStyle w:val="TOC2"/>
        <w:tabs>
          <w:tab w:val="left" w:pos="360"/>
        </w:tabs>
        <w:rPr>
          <w:rFonts w:eastAsiaTheme="minorEastAsia"/>
        </w:rPr>
      </w:pPr>
      <w:r>
        <w:t>C.</w:t>
      </w:r>
      <w:r>
        <w:rPr>
          <w:rFonts w:eastAsiaTheme="minorEastAsia"/>
        </w:rPr>
        <w:tab/>
      </w:r>
      <w:r>
        <w:t>Discussion</w:t>
      </w:r>
      <w:r>
        <w:tab/>
        <w:t>81</w:t>
      </w:r>
    </w:p>
    <w:p w:rsidR="0073449D" w:rsidRDefault="0073449D" w:rsidP="0073449D">
      <w:pPr>
        <w:pStyle w:val="TOC2"/>
        <w:tabs>
          <w:tab w:val="left" w:pos="360"/>
        </w:tabs>
        <w:rPr>
          <w:rFonts w:eastAsiaTheme="minorEastAsia"/>
        </w:rPr>
      </w:pPr>
      <w:r>
        <w:t>D.</w:t>
      </w:r>
      <w:r>
        <w:rPr>
          <w:rFonts w:eastAsiaTheme="minorEastAsia"/>
        </w:rPr>
        <w:tab/>
      </w:r>
      <w:r>
        <w:t>Remedies</w:t>
      </w:r>
      <w:r>
        <w:tab/>
        <w:t>90</w:t>
      </w:r>
    </w:p>
    <w:p w:rsidR="0073449D" w:rsidRDefault="0073449D" w:rsidP="0073449D">
      <w:pPr>
        <w:pStyle w:val="TOC3"/>
        <w:tabs>
          <w:tab w:val="left" w:pos="360"/>
        </w:tabs>
        <w:rPr>
          <w:rFonts w:eastAsiaTheme="minorEastAsia"/>
        </w:rPr>
      </w:pPr>
      <w:r>
        <w:t>1.</w:t>
      </w:r>
      <w:r>
        <w:rPr>
          <w:rFonts w:eastAsiaTheme="minorEastAsia"/>
        </w:rPr>
        <w:tab/>
      </w:r>
      <w:r>
        <w:t>Network Deployment Commitments</w:t>
      </w:r>
      <w:r>
        <w:tab/>
        <w:t>92</w:t>
      </w:r>
    </w:p>
    <w:p w:rsidR="0073449D" w:rsidRDefault="0073449D" w:rsidP="0073449D">
      <w:pPr>
        <w:pStyle w:val="TOC3"/>
        <w:tabs>
          <w:tab w:val="left" w:pos="360"/>
        </w:tabs>
        <w:rPr>
          <w:rFonts w:eastAsiaTheme="minorEastAsia"/>
        </w:rPr>
      </w:pPr>
      <w:r>
        <w:t>2.</w:t>
      </w:r>
      <w:r>
        <w:rPr>
          <w:rFonts w:eastAsiaTheme="minorEastAsia"/>
        </w:rPr>
        <w:tab/>
      </w:r>
      <w:r>
        <w:t>Roaming Commitments</w:t>
      </w:r>
      <w:r>
        <w:tab/>
        <w:t>95</w:t>
      </w:r>
    </w:p>
    <w:p w:rsidR="0073449D" w:rsidRDefault="0073449D" w:rsidP="0073449D">
      <w:pPr>
        <w:pStyle w:val="TOC3"/>
        <w:tabs>
          <w:tab w:val="left" w:pos="360"/>
        </w:tabs>
        <w:rPr>
          <w:rFonts w:eastAsiaTheme="minorEastAsia"/>
        </w:rPr>
      </w:pPr>
      <w:r>
        <w:t>3.</w:t>
      </w:r>
      <w:r>
        <w:rPr>
          <w:rFonts w:eastAsiaTheme="minorEastAsia"/>
        </w:rPr>
        <w:tab/>
      </w:r>
      <w:r>
        <w:t>Customer Transition Commitments</w:t>
      </w:r>
      <w:r>
        <w:tab/>
        <w:t>97</w:t>
      </w:r>
    </w:p>
    <w:p w:rsidR="0073449D" w:rsidRDefault="0073449D" w:rsidP="0073449D">
      <w:pPr>
        <w:pStyle w:val="TOC3"/>
        <w:tabs>
          <w:tab w:val="left" w:pos="360"/>
        </w:tabs>
        <w:rPr>
          <w:rFonts w:eastAsiaTheme="minorEastAsia"/>
        </w:rPr>
      </w:pPr>
      <w:r>
        <w:t>4.</w:t>
      </w:r>
      <w:r>
        <w:rPr>
          <w:rFonts w:eastAsiaTheme="minorEastAsia"/>
        </w:rPr>
        <w:tab/>
      </w:r>
      <w:r>
        <w:t>Progress Reports</w:t>
      </w:r>
      <w:r>
        <w:tab/>
        <w:t>99</w:t>
      </w:r>
    </w:p>
    <w:p w:rsidR="0073449D" w:rsidRDefault="0073449D" w:rsidP="0073449D">
      <w:pPr>
        <w:pStyle w:val="TOC1"/>
        <w:rPr>
          <w:rFonts w:eastAsiaTheme="minorEastAsia"/>
          <w:caps w:val="0"/>
        </w:rPr>
      </w:pPr>
      <w:r w:rsidRPr="0045694F">
        <w:t>VII.balancing the public interest benefits and the harms</w:t>
      </w:r>
      <w:r>
        <w:tab/>
        <w:t>100</w:t>
      </w:r>
    </w:p>
    <w:p w:rsidR="0073449D" w:rsidRDefault="0073449D" w:rsidP="0073449D">
      <w:pPr>
        <w:pStyle w:val="TOC1"/>
        <w:tabs>
          <w:tab w:val="left" w:pos="720"/>
        </w:tabs>
        <w:rPr>
          <w:rFonts w:eastAsiaTheme="minorEastAsia"/>
          <w:caps w:val="0"/>
        </w:rPr>
      </w:pPr>
      <w:r w:rsidRPr="0045694F">
        <w:t>VIII.conclusion</w:t>
      </w:r>
      <w:r>
        <w:tab/>
        <w:t>101</w:t>
      </w:r>
    </w:p>
    <w:p w:rsidR="0073449D" w:rsidRDefault="0073449D" w:rsidP="0073449D">
      <w:pPr>
        <w:pStyle w:val="TOC1"/>
        <w:rPr>
          <w:rFonts w:eastAsiaTheme="minorEastAsia"/>
          <w:caps w:val="0"/>
        </w:rPr>
      </w:pPr>
      <w:r w:rsidRPr="0045694F">
        <w:t>IX.</w:t>
      </w:r>
      <w:r>
        <w:rPr>
          <w:rFonts w:eastAsiaTheme="minorEastAsia"/>
          <w:caps w:val="0"/>
        </w:rPr>
        <w:tab/>
      </w:r>
      <w:r w:rsidRPr="0045694F">
        <w:t>ordering clauses</w:t>
      </w:r>
      <w:r>
        <w:tab/>
        <w:t>102</w:t>
      </w:r>
    </w:p>
    <w:bookmarkEnd w:id="1"/>
    <w:p w:rsidR="00F40FEE" w:rsidRDefault="00F40FEE" w:rsidP="00F40FEE">
      <w:r w:rsidRPr="005211DB">
        <w:t xml:space="preserve">APPENDIX </w:t>
      </w:r>
      <w:r w:rsidR="004652D5" w:rsidRPr="005211DB">
        <w:t xml:space="preserve">A </w:t>
      </w:r>
      <w:r w:rsidRPr="005211DB">
        <w:t xml:space="preserve">– Commenters in WT Docket No. </w:t>
      </w:r>
      <w:r w:rsidR="00145D11" w:rsidRPr="005211DB">
        <w:t>13-54</w:t>
      </w:r>
    </w:p>
    <w:p w:rsidR="009E36ED" w:rsidRPr="005211DB" w:rsidRDefault="009E36ED" w:rsidP="00F40FEE">
      <w:r>
        <w:t>APPENDIX B – AT&amp;T Letter of Commitment</w:t>
      </w:r>
    </w:p>
    <w:p w:rsidR="005C0F80" w:rsidRPr="005211DB" w:rsidRDefault="005C0F80" w:rsidP="005C0F80"/>
    <w:p w:rsidR="005C0F80" w:rsidRPr="005211DB" w:rsidRDefault="005C0F80" w:rsidP="005C0F80"/>
    <w:p w:rsidR="005C0F80" w:rsidRPr="005211DB" w:rsidRDefault="005C0F80" w:rsidP="005C0F80">
      <w:pPr>
        <w:pStyle w:val="Heading1"/>
        <w:rPr>
          <w:rFonts w:ascii="Times New Roman" w:hAnsi="Times New Roman"/>
        </w:rPr>
      </w:pPr>
      <w:bookmarkStart w:id="3" w:name="_Toc303066187"/>
      <w:bookmarkStart w:id="4" w:name="_Toc303937286"/>
      <w:bookmarkStart w:id="5" w:name="_Toc303960073"/>
      <w:bookmarkStart w:id="6" w:name="_Toc306292669"/>
      <w:bookmarkStart w:id="7" w:name="_Toc306378752"/>
      <w:bookmarkStart w:id="8" w:name="_Toc308200412"/>
      <w:bookmarkStart w:id="9" w:name="_Toc308200568"/>
      <w:bookmarkStart w:id="10" w:name="_Toc308203046"/>
      <w:bookmarkStart w:id="11" w:name="_Toc309146312"/>
      <w:bookmarkStart w:id="12" w:name="_Toc309735584"/>
      <w:bookmarkStart w:id="13" w:name="_Toc327385210"/>
      <w:bookmarkStart w:id="14" w:name="_Toc327385329"/>
      <w:bookmarkStart w:id="15" w:name="_Toc327385446"/>
      <w:bookmarkStart w:id="16" w:name="_Toc327385529"/>
      <w:bookmarkStart w:id="17" w:name="_Toc327385643"/>
      <w:bookmarkStart w:id="18" w:name="_Toc327385727"/>
      <w:bookmarkStart w:id="19" w:name="_Toc327385823"/>
      <w:bookmarkStart w:id="20" w:name="_Toc327385870"/>
      <w:bookmarkStart w:id="21" w:name="_Toc327385941"/>
      <w:bookmarkStart w:id="22" w:name="_Toc327385990"/>
      <w:bookmarkStart w:id="23" w:name="_Toc327386327"/>
      <w:bookmarkStart w:id="24" w:name="_Toc327386605"/>
      <w:bookmarkStart w:id="25" w:name="_Toc327386707"/>
      <w:bookmarkStart w:id="26" w:name="_Toc327387050"/>
      <w:bookmarkStart w:id="27" w:name="_Toc327389581"/>
      <w:bookmarkStart w:id="28" w:name="_Toc328413241"/>
      <w:bookmarkStart w:id="29" w:name="_Toc328413309"/>
      <w:bookmarkStart w:id="30" w:name="_Toc328414134"/>
      <w:bookmarkStart w:id="31" w:name="_Toc328414247"/>
      <w:bookmarkStart w:id="32" w:name="_Toc328414295"/>
      <w:bookmarkStart w:id="33" w:name="_Toc328414344"/>
      <w:bookmarkStart w:id="34" w:name="_Toc328414390"/>
      <w:bookmarkStart w:id="35" w:name="_Toc328414449"/>
      <w:bookmarkStart w:id="36" w:name="_Toc328414514"/>
      <w:bookmarkStart w:id="37" w:name="_Toc328414593"/>
      <w:bookmarkStart w:id="38" w:name="_Toc328414657"/>
      <w:bookmarkStart w:id="39" w:name="_Toc328670837"/>
      <w:bookmarkStart w:id="40" w:name="_Toc328997028"/>
      <w:bookmarkStart w:id="41" w:name="_Toc328997725"/>
      <w:bookmarkStart w:id="42" w:name="_Toc329798697"/>
      <w:bookmarkStart w:id="43" w:name="_Toc329799107"/>
      <w:bookmarkStart w:id="44" w:name="_Toc329799317"/>
      <w:bookmarkStart w:id="45" w:name="_Toc330488312"/>
      <w:bookmarkStart w:id="46" w:name="_Toc330489029"/>
      <w:bookmarkStart w:id="47" w:name="_Toc330565820"/>
      <w:bookmarkStart w:id="48" w:name="_Toc331009445"/>
      <w:bookmarkStart w:id="49" w:name="_Toc331009517"/>
      <w:bookmarkStart w:id="50" w:name="_Toc331440387"/>
      <w:bookmarkStart w:id="51" w:name="_Toc331792602"/>
      <w:bookmarkStart w:id="52" w:name="_Toc332215044"/>
      <w:bookmarkStart w:id="53" w:name="_Toc332220029"/>
      <w:bookmarkStart w:id="54" w:name="_Toc332220174"/>
      <w:bookmarkStart w:id="55" w:name="_Toc332220217"/>
      <w:bookmarkStart w:id="56" w:name="_Toc332220264"/>
      <w:bookmarkStart w:id="57" w:name="_Toc332220363"/>
      <w:bookmarkStart w:id="58" w:name="_Toc332220406"/>
      <w:bookmarkStart w:id="59" w:name="_Toc332220460"/>
      <w:bookmarkStart w:id="60" w:name="_Toc332220540"/>
      <w:bookmarkStart w:id="61" w:name="_Toc332220603"/>
      <w:bookmarkStart w:id="62" w:name="_Toc332220652"/>
      <w:bookmarkStart w:id="63" w:name="_Toc332220696"/>
      <w:bookmarkStart w:id="64" w:name="_Toc332220752"/>
      <w:bookmarkStart w:id="65" w:name="_Toc332220807"/>
      <w:bookmarkStart w:id="66" w:name="_Toc332220959"/>
      <w:bookmarkStart w:id="67" w:name="_Toc332221254"/>
      <w:bookmarkStart w:id="68" w:name="_Toc332300526"/>
      <w:bookmarkStart w:id="69" w:name="_Toc332301073"/>
      <w:bookmarkStart w:id="70" w:name="_Toc332303316"/>
      <w:bookmarkStart w:id="71" w:name="_Toc332392784"/>
      <w:bookmarkStart w:id="72" w:name="_Toc332626572"/>
      <w:bookmarkStart w:id="73" w:name="_Toc332634609"/>
      <w:bookmarkStart w:id="74" w:name="_Toc332743988"/>
      <w:bookmarkStart w:id="75" w:name="_Toc332880456"/>
      <w:bookmarkStart w:id="76" w:name="_Toc332886540"/>
      <w:bookmarkStart w:id="77" w:name="_Toc332888810"/>
      <w:bookmarkStart w:id="78" w:name="_Toc332891411"/>
      <w:bookmarkStart w:id="79" w:name="_Toc333263379"/>
      <w:bookmarkStart w:id="80" w:name="_Toc333330496"/>
      <w:bookmarkStart w:id="81" w:name="_Toc344908315"/>
      <w:bookmarkStart w:id="82" w:name="_Toc344930975"/>
      <w:bookmarkStart w:id="83" w:name="_Toc344970625"/>
      <w:bookmarkStart w:id="84" w:name="_Toc345091238"/>
      <w:bookmarkStart w:id="85" w:name="_Toc345092681"/>
      <w:bookmarkStart w:id="86" w:name="_Toc345093524"/>
      <w:bookmarkStart w:id="87" w:name="_Toc345093899"/>
      <w:bookmarkStart w:id="88" w:name="_Toc345094284"/>
      <w:bookmarkStart w:id="89" w:name="_Toc345436682"/>
      <w:bookmarkStart w:id="90" w:name="_Toc347166610"/>
      <w:bookmarkStart w:id="91" w:name="_Toc348340313"/>
      <w:bookmarkStart w:id="92" w:name="_Toc348371105"/>
      <w:bookmarkStart w:id="93" w:name="_Toc348543609"/>
      <w:bookmarkStart w:id="94" w:name="_Toc348547962"/>
      <w:bookmarkStart w:id="95" w:name="_Toc348565381"/>
      <w:bookmarkStart w:id="96" w:name="_Toc348714679"/>
      <w:bookmarkStart w:id="97" w:name="_Toc349156989"/>
      <w:bookmarkStart w:id="98" w:name="_Toc349170666"/>
      <w:bookmarkStart w:id="99" w:name="_Toc349170723"/>
      <w:bookmarkStart w:id="100" w:name="_Toc349202843"/>
      <w:bookmarkStart w:id="101" w:name="_Toc349259329"/>
      <w:bookmarkStart w:id="102" w:name="_Toc349316327"/>
      <w:bookmarkStart w:id="103" w:name="_Toc349573240"/>
      <w:bookmarkStart w:id="104" w:name="_Toc349741770"/>
      <w:bookmarkStart w:id="105" w:name="_Toc349812397"/>
      <w:bookmarkStart w:id="106" w:name="_Toc349932716"/>
      <w:bookmarkStart w:id="107" w:name="_Toc350432476"/>
      <w:bookmarkStart w:id="108" w:name="_Toc350787831"/>
      <w:bookmarkStart w:id="109" w:name="_Toc366145524"/>
      <w:bookmarkStart w:id="110" w:name="_Toc366145732"/>
      <w:bookmarkStart w:id="111" w:name="_Toc366145848"/>
      <w:bookmarkStart w:id="112" w:name="_Toc366249595"/>
      <w:bookmarkStart w:id="113" w:name="_Toc366757989"/>
      <w:bookmarkStart w:id="114" w:name="_Toc366855777"/>
      <w:bookmarkStart w:id="115" w:name="_Toc366856258"/>
      <w:bookmarkStart w:id="116" w:name="_Toc367108913"/>
      <w:bookmarkStart w:id="117" w:name="_Toc367372952"/>
      <w:bookmarkStart w:id="118" w:name="_Toc367440560"/>
      <w:r w:rsidRPr="005211DB">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0D6140" w:rsidRPr="005211DB" w:rsidRDefault="00E51E71" w:rsidP="000D6140">
      <w:pPr>
        <w:pStyle w:val="ParaNum"/>
      </w:pPr>
      <w:r w:rsidRPr="005211DB">
        <w:t xml:space="preserve">In this </w:t>
      </w:r>
      <w:r w:rsidR="005C3F71" w:rsidRPr="005211DB">
        <w:t xml:space="preserve">Memorandum Opinion and </w:t>
      </w:r>
      <w:r w:rsidRPr="005211DB">
        <w:t xml:space="preserve">Order, we </w:t>
      </w:r>
      <w:r w:rsidR="00E60CDF" w:rsidRPr="005211DB">
        <w:t xml:space="preserve">approve, subject to conditions, </w:t>
      </w:r>
      <w:r w:rsidRPr="005211DB">
        <w:t xml:space="preserve">the applications of </w:t>
      </w:r>
      <w:r w:rsidR="00456EF6" w:rsidRPr="005211DB">
        <w:t>AT&amp;T and ATN</w:t>
      </w:r>
      <w:r w:rsidR="00D41503" w:rsidRPr="005211DB">
        <w:t xml:space="preserve"> (together, the “Applicants”) </w:t>
      </w:r>
      <w:r w:rsidRPr="005211DB">
        <w:t>for</w:t>
      </w:r>
      <w:r w:rsidR="00D41503" w:rsidRPr="005211DB">
        <w:t xml:space="preserve"> </w:t>
      </w:r>
      <w:r w:rsidR="006A477C" w:rsidRPr="005211DB">
        <w:t xml:space="preserve">Commission consent </w:t>
      </w:r>
      <w:r w:rsidR="00F472DE" w:rsidRPr="005211DB">
        <w:t xml:space="preserve">to </w:t>
      </w:r>
      <w:r w:rsidRPr="005211DB">
        <w:t xml:space="preserve">the </w:t>
      </w:r>
      <w:r w:rsidR="00D67409" w:rsidRPr="005211DB">
        <w:t xml:space="preserve">transfer of control </w:t>
      </w:r>
      <w:r w:rsidRPr="005211DB">
        <w:t>of</w:t>
      </w:r>
      <w:r w:rsidR="004904AE" w:rsidRPr="005211DB">
        <w:t>,</w:t>
      </w:r>
      <w:r w:rsidRPr="005211DB">
        <w:t xml:space="preserve"> </w:t>
      </w:r>
      <w:r w:rsidR="00345DD3" w:rsidRPr="005211DB">
        <w:t>and assignment of</w:t>
      </w:r>
      <w:r w:rsidR="004904AE" w:rsidRPr="005211DB">
        <w:t>,</w:t>
      </w:r>
      <w:r w:rsidR="00345DD3" w:rsidRPr="005211DB">
        <w:t xml:space="preserve"> </w:t>
      </w:r>
      <w:r w:rsidR="00F472DE" w:rsidRPr="005211DB">
        <w:t xml:space="preserve">a number of </w:t>
      </w:r>
      <w:r w:rsidR="00345DD3" w:rsidRPr="005211DB">
        <w:t>cellular, Personal Communications Services (“PCS”), Lower 700 MHz Band B and C Block, and common carrier fixed point-to-point microwave licenses</w:t>
      </w:r>
      <w:r w:rsidR="007D2F0E">
        <w:t>;</w:t>
      </w:r>
      <w:r w:rsidR="00345DD3" w:rsidRPr="005211DB">
        <w:t xml:space="preserve"> spectrum leasing authorizations</w:t>
      </w:r>
      <w:r w:rsidR="007D2F0E">
        <w:t>;</w:t>
      </w:r>
      <w:r w:rsidR="00345DD3" w:rsidRPr="005211DB">
        <w:t xml:space="preserve"> and an international </w:t>
      </w:r>
      <w:r w:rsidR="00A35819" w:rsidRPr="005211DB">
        <w:t>s</w:t>
      </w:r>
      <w:r w:rsidR="00345DD3" w:rsidRPr="005211DB">
        <w:t>ection 214 authorization from ATN’s wholly-owned subsidiary, Allied, to AT&amp;T.</w:t>
      </w:r>
      <w:bookmarkStart w:id="119" w:name="_Ref362425535"/>
      <w:r w:rsidR="00A35819" w:rsidRPr="005211DB">
        <w:rPr>
          <w:rStyle w:val="FootnoteReference"/>
        </w:rPr>
        <w:footnoteReference w:id="2"/>
      </w:r>
      <w:bookmarkEnd w:id="119"/>
      <w:r w:rsidR="00345DD3" w:rsidRPr="005211DB">
        <w:t xml:space="preserve">  </w:t>
      </w:r>
    </w:p>
    <w:p w:rsidR="00243566" w:rsidRPr="005211DB" w:rsidRDefault="006A6DA6" w:rsidP="000D6140">
      <w:pPr>
        <w:pStyle w:val="ParaNum"/>
      </w:pPr>
      <w:r w:rsidRPr="005211DB">
        <w:t>As a result of the</w:t>
      </w:r>
      <w:r w:rsidR="005E36A9" w:rsidRPr="005211DB">
        <w:t xml:space="preserve"> </w:t>
      </w:r>
      <w:r w:rsidR="00112192" w:rsidRPr="005211DB">
        <w:t>proposed transaction</w:t>
      </w:r>
      <w:r w:rsidR="005E36A9" w:rsidRPr="005211DB">
        <w:t xml:space="preserve">, approximately 620,000 </w:t>
      </w:r>
      <w:r w:rsidR="0045052E" w:rsidRPr="005211DB">
        <w:t xml:space="preserve">customers, </w:t>
      </w:r>
      <w:r w:rsidR="00AD1D6F" w:rsidRPr="005211DB">
        <w:t xml:space="preserve">as well as </w:t>
      </w:r>
      <w:r w:rsidR="0045052E" w:rsidRPr="005211DB">
        <w:t>network equipment and other assets</w:t>
      </w:r>
      <w:r w:rsidR="00C32C13" w:rsidRPr="005211DB">
        <w:t>,</w:t>
      </w:r>
      <w:r w:rsidR="0045052E" w:rsidRPr="005211DB">
        <w:t xml:space="preserve"> </w:t>
      </w:r>
      <w:r w:rsidR="007D2F0E">
        <w:t>will</w:t>
      </w:r>
      <w:r w:rsidR="007D2F0E" w:rsidRPr="005211DB">
        <w:t xml:space="preserve"> </w:t>
      </w:r>
      <w:r w:rsidR="005E36A9" w:rsidRPr="005211DB">
        <w:t xml:space="preserve">be transferred </w:t>
      </w:r>
      <w:r w:rsidR="00FE664B" w:rsidRPr="005211DB">
        <w:t xml:space="preserve">from </w:t>
      </w:r>
      <w:r w:rsidR="00345DD3" w:rsidRPr="005211DB">
        <w:t>Allied to AT&amp;T.</w:t>
      </w:r>
      <w:r w:rsidR="00112192" w:rsidRPr="005211DB">
        <w:t xml:space="preserve">  </w:t>
      </w:r>
      <w:r w:rsidR="00E60CDF" w:rsidRPr="005211DB">
        <w:t>Based on o</w:t>
      </w:r>
      <w:r w:rsidR="00AB1BE0" w:rsidRPr="005211DB">
        <w:t>ur analysis</w:t>
      </w:r>
      <w:r w:rsidR="00E60CDF" w:rsidRPr="005211DB">
        <w:t>, we find</w:t>
      </w:r>
      <w:r w:rsidR="00AB1BE0" w:rsidRPr="005211DB">
        <w:t xml:space="preserve"> that the proposed transaction </w:t>
      </w:r>
      <w:r w:rsidR="00CF6080">
        <w:t>will likely</w:t>
      </w:r>
      <w:r w:rsidR="00AB1BE0" w:rsidRPr="005211DB">
        <w:t xml:space="preserve"> cause some competitive and other public interest harms in </w:t>
      </w:r>
      <w:r w:rsidRPr="005211DB">
        <w:t xml:space="preserve">several </w:t>
      </w:r>
      <w:r w:rsidR="00AB1BE0" w:rsidRPr="005211DB">
        <w:t xml:space="preserve">local markets.  </w:t>
      </w:r>
      <w:r w:rsidR="00E60CDF" w:rsidRPr="005211DB">
        <w:t>W</w:t>
      </w:r>
      <w:r w:rsidR="00AB1BE0" w:rsidRPr="005211DB">
        <w:t>e find</w:t>
      </w:r>
      <w:r w:rsidR="00E60CDF" w:rsidRPr="005211DB">
        <w:t>, however,</w:t>
      </w:r>
      <w:r w:rsidR="00AB1BE0" w:rsidRPr="005211DB">
        <w:t xml:space="preserve"> that </w:t>
      </w:r>
      <w:r w:rsidR="00C32C13" w:rsidRPr="005211DB">
        <w:t>the</w:t>
      </w:r>
      <w:r w:rsidR="008A04D1" w:rsidRPr="005211DB">
        <w:t xml:space="preserve"> </w:t>
      </w:r>
      <w:r w:rsidR="00243566" w:rsidRPr="005211DB">
        <w:t xml:space="preserve">proposed </w:t>
      </w:r>
      <w:r w:rsidR="00C32C13" w:rsidRPr="005211DB">
        <w:t xml:space="preserve">transaction is likely to result in public interest benefits </w:t>
      </w:r>
      <w:r w:rsidR="00E60CDF" w:rsidRPr="005211DB">
        <w:t xml:space="preserve">that, when combined with voluntary commitments from AT&amp;T, </w:t>
      </w:r>
      <w:r w:rsidR="00243566" w:rsidRPr="005211DB">
        <w:t>will mitigate</w:t>
      </w:r>
      <w:r w:rsidR="00C32C13" w:rsidRPr="005211DB">
        <w:t xml:space="preserve"> our competitive concerns.  </w:t>
      </w:r>
      <w:r w:rsidR="00243566" w:rsidRPr="005211DB">
        <w:t xml:space="preserve">AT&amp;T’s voluntary commitments in the areas of </w:t>
      </w:r>
      <w:r w:rsidR="000E7BD7" w:rsidRPr="005211DB">
        <w:t>network deployment</w:t>
      </w:r>
      <w:r w:rsidR="00D45798" w:rsidRPr="005211DB">
        <w:t>,</w:t>
      </w:r>
      <w:r w:rsidR="000E7BD7" w:rsidRPr="005211DB">
        <w:t xml:space="preserve"> </w:t>
      </w:r>
      <w:r w:rsidR="00243566" w:rsidRPr="005211DB">
        <w:t>roaming</w:t>
      </w:r>
      <w:r w:rsidR="00D45798" w:rsidRPr="005211DB">
        <w:t>, and customer transition</w:t>
      </w:r>
      <w:r w:rsidR="004D3DA5">
        <w:t xml:space="preserve"> (</w:t>
      </w:r>
      <w:r w:rsidR="004904AE" w:rsidRPr="005211DB">
        <w:t xml:space="preserve">as well as its recently supplemented filings regarding </w:t>
      </w:r>
      <w:r w:rsidR="00243566" w:rsidRPr="005211DB">
        <w:t>customer transition</w:t>
      </w:r>
      <w:r w:rsidR="004D3DA5">
        <w:t>)</w:t>
      </w:r>
      <w:r w:rsidR="00243566" w:rsidRPr="005211DB">
        <w:t xml:space="preserve"> </w:t>
      </w:r>
      <w:r w:rsidR="00CF6080">
        <w:t>allow us to conclude</w:t>
      </w:r>
      <w:r w:rsidR="00243566" w:rsidRPr="005211DB">
        <w:t xml:space="preserve"> that the proposed transaction overall </w:t>
      </w:r>
      <w:r w:rsidR="004563E2" w:rsidRPr="005211DB">
        <w:t xml:space="preserve">is </w:t>
      </w:r>
      <w:r w:rsidR="00243566" w:rsidRPr="005211DB">
        <w:t>in the public interest</w:t>
      </w:r>
      <w:r w:rsidR="00E60CDF" w:rsidRPr="005211DB">
        <w:t>.</w:t>
      </w:r>
      <w:r w:rsidR="00243566" w:rsidRPr="005211DB">
        <w:t xml:space="preserve"> </w:t>
      </w:r>
    </w:p>
    <w:p w:rsidR="00F40FEE" w:rsidRPr="005211DB" w:rsidRDefault="00F40FEE" w:rsidP="00F40FEE">
      <w:pPr>
        <w:pStyle w:val="Heading1"/>
        <w:rPr>
          <w:rFonts w:ascii="Times New Roman" w:hAnsi="Times New Roman"/>
        </w:rPr>
      </w:pPr>
      <w:bookmarkStart w:id="120" w:name="_Toc348340314"/>
      <w:bookmarkStart w:id="121" w:name="_Toc348371106"/>
      <w:bookmarkStart w:id="122" w:name="_Toc348543610"/>
      <w:bookmarkStart w:id="123" w:name="_Toc348547963"/>
      <w:bookmarkStart w:id="124" w:name="_Toc348565382"/>
      <w:bookmarkStart w:id="125" w:name="_Toc348714680"/>
      <w:bookmarkStart w:id="126" w:name="_Toc349156990"/>
      <w:bookmarkStart w:id="127" w:name="_Toc349170667"/>
      <w:bookmarkStart w:id="128" w:name="_Toc349170724"/>
      <w:bookmarkStart w:id="129" w:name="_Toc349202844"/>
      <w:bookmarkStart w:id="130" w:name="_Toc349259330"/>
      <w:bookmarkStart w:id="131" w:name="_Toc349316328"/>
      <w:bookmarkStart w:id="132" w:name="_Toc349573241"/>
      <w:bookmarkStart w:id="133" w:name="_Toc349741771"/>
      <w:bookmarkStart w:id="134" w:name="_Toc349812398"/>
      <w:bookmarkStart w:id="135" w:name="_Toc349932717"/>
      <w:bookmarkStart w:id="136" w:name="_Toc350432477"/>
      <w:bookmarkStart w:id="137" w:name="_Toc350787832"/>
      <w:bookmarkStart w:id="138" w:name="_Toc366145525"/>
      <w:bookmarkStart w:id="139" w:name="_Toc366145733"/>
      <w:bookmarkStart w:id="140" w:name="_Toc366145849"/>
      <w:bookmarkStart w:id="141" w:name="_Toc366249596"/>
      <w:bookmarkStart w:id="142" w:name="_Toc366757990"/>
      <w:bookmarkStart w:id="143" w:name="_Toc366855778"/>
      <w:bookmarkStart w:id="144" w:name="_Toc366856259"/>
      <w:bookmarkStart w:id="145" w:name="_Toc367108914"/>
      <w:bookmarkStart w:id="146" w:name="_Toc367372953"/>
      <w:bookmarkStart w:id="147" w:name="_Toc367440561"/>
      <w:r w:rsidRPr="005211DB">
        <w:rPr>
          <w:rFonts w:ascii="Times New Roman" w:hAnsi="Times New Roman"/>
        </w:rPr>
        <w:t>BACKGROUND</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F40FEE" w:rsidRPr="005211DB" w:rsidRDefault="00F40FEE" w:rsidP="00BD79B8">
      <w:pPr>
        <w:pStyle w:val="Heading2"/>
      </w:pPr>
      <w:bookmarkStart w:id="148" w:name="_Toc348340315"/>
      <w:bookmarkStart w:id="149" w:name="_Toc348371107"/>
      <w:bookmarkStart w:id="150" w:name="_Toc348543611"/>
      <w:bookmarkStart w:id="151" w:name="_Toc348547964"/>
      <w:bookmarkStart w:id="152" w:name="_Toc348565383"/>
      <w:bookmarkStart w:id="153" w:name="_Toc348714681"/>
      <w:bookmarkStart w:id="154" w:name="_Toc349156991"/>
      <w:bookmarkStart w:id="155" w:name="_Toc349170668"/>
      <w:bookmarkStart w:id="156" w:name="_Toc349170725"/>
      <w:bookmarkStart w:id="157" w:name="_Toc349202845"/>
      <w:bookmarkStart w:id="158" w:name="_Toc349259331"/>
      <w:bookmarkStart w:id="159" w:name="_Toc349316329"/>
      <w:bookmarkStart w:id="160" w:name="_Toc349573242"/>
      <w:bookmarkStart w:id="161" w:name="_Toc349741772"/>
      <w:bookmarkStart w:id="162" w:name="_Toc349812399"/>
      <w:bookmarkStart w:id="163" w:name="_Toc349932718"/>
      <w:bookmarkStart w:id="164" w:name="_Toc350432478"/>
      <w:bookmarkStart w:id="165" w:name="_Toc350787833"/>
      <w:bookmarkStart w:id="166" w:name="_Toc366145526"/>
      <w:bookmarkStart w:id="167" w:name="_Toc366145734"/>
      <w:bookmarkStart w:id="168" w:name="_Toc366145850"/>
      <w:bookmarkStart w:id="169" w:name="_Toc366249597"/>
      <w:bookmarkStart w:id="170" w:name="_Toc366757991"/>
      <w:bookmarkStart w:id="171" w:name="_Toc366855779"/>
      <w:bookmarkStart w:id="172" w:name="_Toc366856260"/>
      <w:bookmarkStart w:id="173" w:name="_Toc367108915"/>
      <w:bookmarkStart w:id="174" w:name="_Toc367372954"/>
      <w:bookmarkStart w:id="175" w:name="_Toc367440562"/>
      <w:r w:rsidRPr="005211DB">
        <w:t>Description of Applicants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F40FEE" w:rsidRPr="005211DB" w:rsidRDefault="00456EF6" w:rsidP="00F40FEE">
      <w:pPr>
        <w:pStyle w:val="Heading3"/>
      </w:pPr>
      <w:bookmarkStart w:id="176" w:name="_Toc366145527"/>
      <w:bookmarkStart w:id="177" w:name="_Toc366145735"/>
      <w:bookmarkStart w:id="178" w:name="_Toc366145851"/>
      <w:bookmarkStart w:id="179" w:name="_Toc366249598"/>
      <w:bookmarkStart w:id="180" w:name="_Toc366757992"/>
      <w:bookmarkStart w:id="181" w:name="_Toc366855780"/>
      <w:bookmarkStart w:id="182" w:name="_Toc366856261"/>
      <w:bookmarkStart w:id="183" w:name="_Toc367108916"/>
      <w:bookmarkStart w:id="184" w:name="_Toc367372955"/>
      <w:bookmarkStart w:id="185" w:name="_Toc367440563"/>
      <w:r w:rsidRPr="005211DB">
        <w:t>AT&amp;T</w:t>
      </w:r>
      <w:bookmarkEnd w:id="176"/>
      <w:bookmarkEnd w:id="177"/>
      <w:bookmarkEnd w:id="178"/>
      <w:bookmarkEnd w:id="179"/>
      <w:bookmarkEnd w:id="180"/>
      <w:bookmarkEnd w:id="181"/>
      <w:bookmarkEnd w:id="182"/>
      <w:bookmarkEnd w:id="183"/>
      <w:bookmarkEnd w:id="184"/>
      <w:bookmarkEnd w:id="185"/>
    </w:p>
    <w:p w:rsidR="009E525D" w:rsidRPr="005211DB" w:rsidRDefault="00456EF6" w:rsidP="009E525D">
      <w:pPr>
        <w:pStyle w:val="ParaNum"/>
        <w:autoSpaceDE w:val="0"/>
        <w:autoSpaceDN w:val="0"/>
        <w:adjustRightInd w:val="0"/>
      </w:pPr>
      <w:r w:rsidRPr="005211DB">
        <w:t>AT&amp;T Inc. (“AT&amp;T”), headquartered in Dallas, Texas, is a communications holding company that ranks among the leading providers of telecommunications services in the United States.</w:t>
      </w:r>
      <w:r w:rsidRPr="005211DB">
        <w:rPr>
          <w:rStyle w:val="FootnoteReference"/>
        </w:rPr>
        <w:footnoteReference w:id="3"/>
      </w:r>
      <w:r w:rsidRPr="005211DB">
        <w:t xml:space="preserve">  As of December 31, 2012, AT&amp;T reported more than $127 billion in revenues, of which its wireless services accounted for approximately 52 percent, and</w:t>
      </w:r>
      <w:r w:rsidR="00BD26B5" w:rsidRPr="005211DB">
        <w:t xml:space="preserve"> had</w:t>
      </w:r>
      <w:r w:rsidRPr="005211DB">
        <w:t xml:space="preserve"> approximately 107 million wireless subscribers.</w:t>
      </w:r>
      <w:r w:rsidRPr="005211DB">
        <w:rPr>
          <w:rStyle w:val="FootnoteReference"/>
        </w:rPr>
        <w:footnoteReference w:id="4"/>
      </w:r>
      <w:r w:rsidR="00ED708E" w:rsidRPr="005211DB">
        <w:t xml:space="preserve">  </w:t>
      </w:r>
      <w:r w:rsidR="009E525D" w:rsidRPr="005211DB">
        <w:t xml:space="preserve">AT&amp;T’s nationwide </w:t>
      </w:r>
      <w:r w:rsidR="00477919">
        <w:t xml:space="preserve">wireless </w:t>
      </w:r>
      <w:r w:rsidR="009E525D" w:rsidRPr="005211DB">
        <w:t>network currently covers approximately 308 million people, or 99.8 percent of the population of the mainland United States.</w:t>
      </w:r>
      <w:r w:rsidR="009E525D" w:rsidRPr="005211DB">
        <w:rPr>
          <w:rStyle w:val="FootnoteReference"/>
        </w:rPr>
        <w:footnoteReference w:id="5"/>
      </w:r>
      <w:r w:rsidR="009E525D" w:rsidRPr="005211DB">
        <w:t xml:space="preserve">  </w:t>
      </w:r>
      <w:r w:rsidR="00690052" w:rsidRPr="005211DB">
        <w:t>The company is transitioning to a wireless network that uses the fourth generation Long Term Evolution (“LTE”) mobile technology, and the company expects to largely complete this transition by the end of 2014.</w:t>
      </w:r>
      <w:r w:rsidR="00690052" w:rsidRPr="005211DB">
        <w:rPr>
          <w:rStyle w:val="FootnoteReference"/>
        </w:rPr>
        <w:footnoteReference w:id="6"/>
      </w:r>
      <w:r w:rsidR="00690052" w:rsidRPr="005211DB">
        <w:t xml:space="preserve">  </w:t>
      </w:r>
    </w:p>
    <w:p w:rsidR="004351D7" w:rsidRPr="005211DB" w:rsidRDefault="00456EF6" w:rsidP="004351D7">
      <w:pPr>
        <w:pStyle w:val="Heading3"/>
        <w:rPr>
          <w:b w:val="0"/>
        </w:rPr>
      </w:pPr>
      <w:bookmarkStart w:id="186" w:name="_Toc366145528"/>
      <w:bookmarkStart w:id="187" w:name="_Toc366145736"/>
      <w:bookmarkStart w:id="188" w:name="_Toc366145852"/>
      <w:bookmarkStart w:id="189" w:name="_Toc366249599"/>
      <w:bookmarkStart w:id="190" w:name="_Toc366757993"/>
      <w:bookmarkStart w:id="191" w:name="_Toc366855781"/>
      <w:bookmarkStart w:id="192" w:name="_Toc366856262"/>
      <w:bookmarkStart w:id="193" w:name="_Toc367108917"/>
      <w:bookmarkStart w:id="194" w:name="_Toc367372956"/>
      <w:bookmarkStart w:id="195" w:name="_Toc367440564"/>
      <w:r w:rsidRPr="005211DB">
        <w:t>ATN</w:t>
      </w:r>
      <w:bookmarkEnd w:id="186"/>
      <w:bookmarkEnd w:id="187"/>
      <w:bookmarkEnd w:id="188"/>
      <w:bookmarkEnd w:id="189"/>
      <w:bookmarkEnd w:id="190"/>
      <w:bookmarkEnd w:id="191"/>
      <w:bookmarkEnd w:id="192"/>
      <w:bookmarkEnd w:id="193"/>
      <w:bookmarkEnd w:id="194"/>
      <w:bookmarkEnd w:id="195"/>
    </w:p>
    <w:p w:rsidR="00C0345F" w:rsidRPr="005211DB" w:rsidRDefault="0080237B" w:rsidP="001C0515">
      <w:pPr>
        <w:pStyle w:val="ParaNum"/>
      </w:pPr>
      <w:r w:rsidRPr="005211DB">
        <w:t>Atlantic Tele-Network, Inc. (“</w:t>
      </w:r>
      <w:r w:rsidR="00057A3D" w:rsidRPr="005211DB">
        <w:t>ATN</w:t>
      </w:r>
      <w:r w:rsidRPr="005211DB">
        <w:t>”)</w:t>
      </w:r>
      <w:r w:rsidR="00057A3D" w:rsidRPr="005211DB">
        <w:t xml:space="preserve">, headquartered in </w:t>
      </w:r>
      <w:r w:rsidR="00A9052D" w:rsidRPr="005211DB">
        <w:t>Beverly</w:t>
      </w:r>
      <w:r w:rsidR="00057A3D" w:rsidRPr="005211DB">
        <w:t>, Massachusetts,</w:t>
      </w:r>
      <w:bookmarkStart w:id="196" w:name="_Ref362425492"/>
      <w:r w:rsidR="00057A3D" w:rsidRPr="005211DB">
        <w:rPr>
          <w:rStyle w:val="FootnoteReference"/>
        </w:rPr>
        <w:footnoteReference w:id="7"/>
      </w:r>
      <w:bookmarkEnd w:id="196"/>
      <w:r w:rsidR="00057A3D" w:rsidRPr="005211DB">
        <w:t xml:space="preserve"> </w:t>
      </w:r>
      <w:r w:rsidR="00A9052D" w:rsidRPr="005211DB">
        <w:t xml:space="preserve">is a provider of </w:t>
      </w:r>
      <w:r w:rsidR="00057A3D" w:rsidRPr="005211DB">
        <w:t xml:space="preserve">wireless, wireline, </w:t>
      </w:r>
      <w:r w:rsidR="00A9052D" w:rsidRPr="005211DB">
        <w:t xml:space="preserve">mobile broadband, </w:t>
      </w:r>
      <w:r w:rsidR="00057A3D" w:rsidRPr="005211DB">
        <w:t>and</w:t>
      </w:r>
      <w:r w:rsidR="00A9052D" w:rsidRPr="005211DB">
        <w:t xml:space="preserve"> advanced TV services</w:t>
      </w:r>
      <w:r w:rsidR="00057A3D" w:rsidRPr="005211DB">
        <w:t xml:space="preserve"> in</w:t>
      </w:r>
      <w:r w:rsidR="00A9052D" w:rsidRPr="005211DB">
        <w:t xml:space="preserve"> the United States, Bermuda,</w:t>
      </w:r>
      <w:r w:rsidR="00057A3D" w:rsidRPr="005211DB">
        <w:t xml:space="preserve"> and the Caribbean.</w:t>
      </w:r>
      <w:r w:rsidR="00057A3D" w:rsidRPr="005211DB">
        <w:rPr>
          <w:rStyle w:val="FootnoteReference"/>
        </w:rPr>
        <w:footnoteReference w:id="8"/>
      </w:r>
      <w:r w:rsidR="00057A3D" w:rsidRPr="005211DB">
        <w:t xml:space="preserve">  </w:t>
      </w:r>
      <w:r w:rsidR="008557DA" w:rsidRPr="005211DB">
        <w:t xml:space="preserve">For the fiscal year </w:t>
      </w:r>
      <w:r w:rsidR="0012596E" w:rsidRPr="005211DB">
        <w:t>2012,</w:t>
      </w:r>
      <w:r w:rsidR="008557DA" w:rsidRPr="005211DB">
        <w:t xml:space="preserve"> ATN</w:t>
      </w:r>
      <w:r w:rsidR="00690052" w:rsidRPr="005211DB">
        <w:t xml:space="preserve"> reported approximately $</w:t>
      </w:r>
      <w:r w:rsidR="00211273">
        <w:t>741</w:t>
      </w:r>
      <w:r w:rsidR="00211273" w:rsidRPr="005211DB">
        <w:t xml:space="preserve"> </w:t>
      </w:r>
      <w:r w:rsidR="00690052" w:rsidRPr="005211DB">
        <w:t xml:space="preserve">million in revenues, of which </w:t>
      </w:r>
      <w:r w:rsidR="00547B1B" w:rsidRPr="005211DB">
        <w:t xml:space="preserve">its </w:t>
      </w:r>
      <w:r w:rsidR="00F47738" w:rsidRPr="005211DB">
        <w:t xml:space="preserve">U.S. </w:t>
      </w:r>
      <w:r w:rsidR="00547B1B" w:rsidRPr="005211DB">
        <w:t xml:space="preserve">wireless services accounted for approximately </w:t>
      </w:r>
      <w:r w:rsidR="00211273">
        <w:t>73</w:t>
      </w:r>
      <w:r w:rsidR="00211273" w:rsidRPr="005211DB">
        <w:t xml:space="preserve"> </w:t>
      </w:r>
      <w:r w:rsidR="00547B1B" w:rsidRPr="005211DB">
        <w:t>percent.</w:t>
      </w:r>
      <w:r w:rsidR="008557DA" w:rsidRPr="005211DB">
        <w:rPr>
          <w:rStyle w:val="FootnoteReference"/>
        </w:rPr>
        <w:footnoteReference w:id="9"/>
      </w:r>
      <w:r w:rsidR="001C0515" w:rsidRPr="005211DB">
        <w:t xml:space="preserve">  </w:t>
      </w:r>
      <w:r w:rsidR="007D2F0E">
        <w:t>In 2010, ATN acquired control of the retail operations, wireless licenses</w:t>
      </w:r>
      <w:r w:rsidR="004D3DA5">
        <w:t>,</w:t>
      </w:r>
      <w:r w:rsidR="007D2F0E">
        <w:t xml:space="preserve"> and related authorizations in 26 of the 105 markets that the Commission and the U.S. Department of Justice (“DOJ”) had required be divested as a condition of approving Verizon Wireless’s acquisition of ALLTEL Corporation.</w:t>
      </w:r>
      <w:r w:rsidR="007D2F0E">
        <w:rPr>
          <w:rStyle w:val="FootnoteReference"/>
        </w:rPr>
        <w:footnoteReference w:id="10"/>
      </w:r>
      <w:r w:rsidR="007D2F0E">
        <w:t xml:space="preserve">  Through its subsidiary, </w:t>
      </w:r>
      <w:r w:rsidR="007D2F0E" w:rsidRPr="00F4505C">
        <w:t>Allied Wireless Communications Corporation</w:t>
      </w:r>
      <w:r w:rsidR="007D2F0E">
        <w:t xml:space="preserve"> (“Allied”), ATN continues to </w:t>
      </w:r>
      <w:r w:rsidR="001C0515" w:rsidRPr="005211DB">
        <w:t xml:space="preserve">provide retail wireless voice and data services </w:t>
      </w:r>
      <w:r w:rsidR="007D2F0E">
        <w:t>under the ALLTEL brand</w:t>
      </w:r>
      <w:r w:rsidR="007D2F0E" w:rsidRPr="005211DB">
        <w:t xml:space="preserve"> </w:t>
      </w:r>
      <w:r w:rsidR="001C0515" w:rsidRPr="005211DB">
        <w:t xml:space="preserve">in </w:t>
      </w:r>
      <w:r w:rsidR="007D2F0E">
        <w:t>these primarily</w:t>
      </w:r>
      <w:r w:rsidR="007D2F0E" w:rsidRPr="005211DB">
        <w:t xml:space="preserve"> </w:t>
      </w:r>
      <w:r w:rsidR="001C0515" w:rsidRPr="005211DB">
        <w:t xml:space="preserve">rural areas </w:t>
      </w:r>
      <w:r w:rsidR="00927954" w:rsidRPr="005211DB">
        <w:t xml:space="preserve">to </w:t>
      </w:r>
      <w:r w:rsidR="001C0515" w:rsidRPr="005211DB">
        <w:t xml:space="preserve">approximately 620,000 </w:t>
      </w:r>
      <w:r w:rsidR="006D79B7" w:rsidRPr="005211DB">
        <w:t>subscribers</w:t>
      </w:r>
      <w:r w:rsidR="001C0515" w:rsidRPr="005211DB">
        <w:t>.</w:t>
      </w:r>
      <w:r w:rsidR="001C0515" w:rsidRPr="005211DB">
        <w:rPr>
          <w:rStyle w:val="FootnoteReference"/>
        </w:rPr>
        <w:footnoteReference w:id="11"/>
      </w:r>
      <w:r w:rsidR="001C0515" w:rsidRPr="005211DB">
        <w:t xml:space="preserve">  </w:t>
      </w:r>
      <w:r w:rsidR="007D2F0E">
        <w:t>Allied’s</w:t>
      </w:r>
      <w:r w:rsidR="009E525D" w:rsidRPr="005211DB">
        <w:t xml:space="preserve"> network currently covers approximately 4.7 million people, or approximately 1.5 percent of the population of the mainland United States.  </w:t>
      </w:r>
      <w:r w:rsidR="007D2F0E">
        <w:t xml:space="preserve">Allied </w:t>
      </w:r>
      <w:r w:rsidR="00351876" w:rsidRPr="005211DB">
        <w:t>currently offers 2G and 3G</w:t>
      </w:r>
      <w:r w:rsidR="00C0345F" w:rsidRPr="005211DB">
        <w:t xml:space="preserve"> services</w:t>
      </w:r>
      <w:r w:rsidR="00D21CE4" w:rsidRPr="005211DB">
        <w:t xml:space="preserve"> in </w:t>
      </w:r>
      <w:r w:rsidR="004904AE" w:rsidRPr="005211DB">
        <w:t>most of its service territories</w:t>
      </w:r>
      <w:r w:rsidR="00C0345F" w:rsidRPr="005211DB">
        <w:t>,</w:t>
      </w:r>
      <w:r w:rsidR="006864D5" w:rsidRPr="005211DB">
        <w:rPr>
          <w:rStyle w:val="FootnoteReference"/>
        </w:rPr>
        <w:footnoteReference w:id="12"/>
      </w:r>
      <w:r w:rsidR="00C0345F" w:rsidRPr="005211DB">
        <w:t xml:space="preserve"> and </w:t>
      </w:r>
      <w:r w:rsidR="002D0F1A" w:rsidRPr="005211DB">
        <w:t>has conducted technical field trials to evaluate upgrading its network to LTE.</w:t>
      </w:r>
      <w:r w:rsidR="002D0F1A" w:rsidRPr="005211DB">
        <w:rPr>
          <w:rStyle w:val="FootnoteReference"/>
        </w:rPr>
        <w:footnoteReference w:id="13"/>
      </w:r>
    </w:p>
    <w:p w:rsidR="00F40FEE" w:rsidRPr="005211DB" w:rsidRDefault="00F40FEE" w:rsidP="00BD79B8">
      <w:pPr>
        <w:pStyle w:val="Heading2"/>
      </w:pPr>
      <w:bookmarkStart w:id="197" w:name="_Toc348340318"/>
      <w:bookmarkStart w:id="198" w:name="_Toc348371110"/>
      <w:bookmarkStart w:id="199" w:name="_Toc348543614"/>
      <w:bookmarkStart w:id="200" w:name="_Toc348547967"/>
      <w:bookmarkStart w:id="201" w:name="_Toc348565386"/>
      <w:bookmarkStart w:id="202" w:name="_Toc348714684"/>
      <w:bookmarkStart w:id="203" w:name="_Toc349156994"/>
      <w:bookmarkStart w:id="204" w:name="_Toc349170671"/>
      <w:bookmarkStart w:id="205" w:name="_Toc349170728"/>
      <w:bookmarkStart w:id="206" w:name="_Toc349202848"/>
      <w:bookmarkStart w:id="207" w:name="_Toc349259334"/>
      <w:bookmarkStart w:id="208" w:name="_Toc349316332"/>
      <w:bookmarkStart w:id="209" w:name="_Toc349573245"/>
      <w:bookmarkStart w:id="210" w:name="_Toc349741775"/>
      <w:bookmarkStart w:id="211" w:name="_Toc349812402"/>
      <w:bookmarkStart w:id="212" w:name="_Toc349932721"/>
      <w:bookmarkStart w:id="213" w:name="_Toc350432481"/>
      <w:bookmarkStart w:id="214" w:name="_Toc350787836"/>
      <w:bookmarkStart w:id="215" w:name="_Toc366145529"/>
      <w:bookmarkStart w:id="216" w:name="_Toc366145737"/>
      <w:bookmarkStart w:id="217" w:name="_Toc366145853"/>
      <w:bookmarkStart w:id="218" w:name="_Toc366249600"/>
      <w:bookmarkStart w:id="219" w:name="_Toc366757994"/>
      <w:bookmarkStart w:id="220" w:name="_Toc366855782"/>
      <w:bookmarkStart w:id="221" w:name="_Toc366856263"/>
      <w:bookmarkStart w:id="222" w:name="_Toc367108918"/>
      <w:bookmarkStart w:id="223" w:name="_Toc367372957"/>
      <w:bookmarkStart w:id="224" w:name="_Toc367440565"/>
      <w:r w:rsidRPr="005211DB">
        <w:t>Description of Transaction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B8059E" w:rsidRPr="005211DB" w:rsidRDefault="0055387D" w:rsidP="009F516B">
      <w:pPr>
        <w:pStyle w:val="ParaNum"/>
      </w:pPr>
      <w:r w:rsidRPr="005211DB">
        <w:t>On February 5, 2013, AT&amp;T and ATN filed the Applications pursuant to sections 214 and 310(d) of the Communications Act</w:t>
      </w:r>
      <w:r w:rsidR="00BD26B5" w:rsidRPr="005211DB">
        <w:t xml:space="preserve"> of 1934, as amended</w:t>
      </w:r>
      <w:r w:rsidR="007D2F0E">
        <w:t xml:space="preserve"> (the “Communications Act”),</w:t>
      </w:r>
      <w:r w:rsidR="00BD6D53" w:rsidRPr="005211DB">
        <w:rPr>
          <w:rStyle w:val="FootnoteReference"/>
        </w:rPr>
        <w:footnoteReference w:id="14"/>
      </w:r>
      <w:r w:rsidR="001E549B">
        <w:t xml:space="preserve"> </w:t>
      </w:r>
      <w:r w:rsidRPr="005211DB">
        <w:t>seeking Commission consent to the transfer of control of</w:t>
      </w:r>
      <w:r w:rsidR="006864D5" w:rsidRPr="005211DB">
        <w:t>,</w:t>
      </w:r>
      <w:r w:rsidRPr="005211DB">
        <w:t xml:space="preserve"> and assignment of</w:t>
      </w:r>
      <w:r w:rsidR="006864D5" w:rsidRPr="005211DB">
        <w:t>,</w:t>
      </w:r>
      <w:r w:rsidRPr="005211DB">
        <w:t xml:space="preserve"> a number of cellular, </w:t>
      </w:r>
      <w:r w:rsidR="00A8361C" w:rsidRPr="005211DB">
        <w:t>PCS</w:t>
      </w:r>
      <w:r w:rsidRPr="005211DB">
        <w:t>, Lower 700 MHz Band B and C Block, and common carrier fixed point-to-point microwave licenses, spectrum leasing authorizations, and an international section 214 authorization</w:t>
      </w:r>
      <w:r w:rsidR="00A8361C" w:rsidRPr="005211DB">
        <w:t>.</w:t>
      </w:r>
      <w:r w:rsidR="008E0791" w:rsidRPr="005211DB">
        <w:t xml:space="preserve">  </w:t>
      </w:r>
      <w:r w:rsidR="00690052" w:rsidRPr="005211DB">
        <w:t xml:space="preserve">Allied </w:t>
      </w:r>
      <w:r w:rsidR="008E0791" w:rsidRPr="005211DB">
        <w:t>will contribute</w:t>
      </w:r>
      <w:r w:rsidR="00016A26" w:rsidRPr="005211DB">
        <w:t xml:space="preserve"> the </w:t>
      </w:r>
      <w:r w:rsidR="008E0791" w:rsidRPr="005211DB">
        <w:t>licenses, leases, authorizations</w:t>
      </w:r>
      <w:r w:rsidR="005C3F71" w:rsidRPr="005211DB">
        <w:t>, ownership interests</w:t>
      </w:r>
      <w:r w:rsidR="009F516B" w:rsidRPr="005211DB">
        <w:t>, and other assets (including networks and subscribers)</w:t>
      </w:r>
      <w:r w:rsidR="008E0791" w:rsidRPr="005211DB">
        <w:t xml:space="preserve"> to </w:t>
      </w:r>
      <w:r w:rsidR="005C3F71" w:rsidRPr="005211DB">
        <w:t>its</w:t>
      </w:r>
      <w:r w:rsidR="008E0791" w:rsidRPr="005211DB">
        <w:t xml:space="preserve"> wholly-owned subsidiary</w:t>
      </w:r>
      <w:r w:rsidR="000F46C2" w:rsidRPr="005211DB">
        <w:t>,</w:t>
      </w:r>
      <w:r w:rsidR="008E0791" w:rsidRPr="005211DB">
        <w:t xml:space="preserve"> AWCC Acquisition Company, LLC (“</w:t>
      </w:r>
      <w:r w:rsidR="005C3F71" w:rsidRPr="005211DB">
        <w:t>AWCC</w:t>
      </w:r>
      <w:r w:rsidR="008E0791" w:rsidRPr="005211DB">
        <w:t xml:space="preserve">”), and Allied subsequently will transfer its 100 percent interest in </w:t>
      </w:r>
      <w:r w:rsidR="005C3F71" w:rsidRPr="005211DB">
        <w:t xml:space="preserve">AWCC </w:t>
      </w:r>
      <w:r w:rsidR="008E0791" w:rsidRPr="005211DB">
        <w:t>to a wholly-owned, indirect subsidiary of AT&amp;T.</w:t>
      </w:r>
      <w:r w:rsidR="00751016" w:rsidRPr="005211DB">
        <w:rPr>
          <w:rStyle w:val="FootnoteReference"/>
        </w:rPr>
        <w:footnoteReference w:id="15"/>
      </w:r>
      <w:r w:rsidR="00016A26" w:rsidRPr="005211DB">
        <w:t xml:space="preserve">  </w:t>
      </w:r>
      <w:r w:rsidR="009F516B" w:rsidRPr="005211DB">
        <w:t>AT&amp;T is purchasing all of the assets used by Allied in its “</w:t>
      </w:r>
      <w:r w:rsidR="005D00DB" w:rsidRPr="005211DB">
        <w:t>ALLTEL</w:t>
      </w:r>
      <w:r w:rsidR="009F516B" w:rsidRPr="005211DB">
        <w:t>” operations</w:t>
      </w:r>
      <w:r w:rsidR="004070C6" w:rsidRPr="005211DB">
        <w:t>.</w:t>
      </w:r>
      <w:r w:rsidR="009F516B" w:rsidRPr="005211DB">
        <w:t xml:space="preserve"> </w:t>
      </w:r>
    </w:p>
    <w:p w:rsidR="009E525D" w:rsidRPr="005211DB" w:rsidRDefault="00C40325" w:rsidP="004351D7">
      <w:pPr>
        <w:pStyle w:val="ParaNum"/>
      </w:pPr>
      <w:r w:rsidRPr="005211DB">
        <w:t xml:space="preserve">In these transactions, </w:t>
      </w:r>
      <w:r w:rsidR="00243566" w:rsidRPr="005211DB">
        <w:t xml:space="preserve">AT&amp;T </w:t>
      </w:r>
      <w:r w:rsidR="00561E99" w:rsidRPr="005211DB">
        <w:t xml:space="preserve">is proposing to </w:t>
      </w:r>
      <w:r w:rsidR="00243566" w:rsidRPr="005211DB">
        <w:t xml:space="preserve">acquire 10 to 57 megahertz of spectrum in 162 counties in 30 </w:t>
      </w:r>
      <w:r w:rsidR="00767437" w:rsidRPr="005211DB">
        <w:t>Cellular Market Areas (“</w:t>
      </w:r>
      <w:r w:rsidR="00243566" w:rsidRPr="005211DB">
        <w:t>CMAs</w:t>
      </w:r>
      <w:r w:rsidR="00767437" w:rsidRPr="005211DB">
        <w:t>”)</w:t>
      </w:r>
      <w:r w:rsidR="00243566" w:rsidRPr="005211DB">
        <w:t xml:space="preserve"> across parts of Alabama, Georgia, Idaho, Illinois, North Carolina, Ohio, South Carolina, and Washington</w:t>
      </w:r>
      <w:r w:rsidR="00561E99" w:rsidRPr="005211DB">
        <w:t xml:space="preserve">, as well as </w:t>
      </w:r>
      <w:r w:rsidR="00FF4AB2" w:rsidRPr="005211DB">
        <w:t xml:space="preserve">Allied’s retail operations located in </w:t>
      </w:r>
      <w:r w:rsidR="00B8059E" w:rsidRPr="005211DB">
        <w:t xml:space="preserve">mostly rural </w:t>
      </w:r>
      <w:r w:rsidR="001E549B">
        <w:t>parts</w:t>
      </w:r>
      <w:r w:rsidR="001E549B" w:rsidRPr="005211DB">
        <w:t xml:space="preserve"> </w:t>
      </w:r>
      <w:r w:rsidR="00B8059E" w:rsidRPr="005211DB">
        <w:t xml:space="preserve">of </w:t>
      </w:r>
      <w:r w:rsidR="00FF4AB2" w:rsidRPr="005211DB">
        <w:t>Georgia, Idaho, Illinois, North Carolina, Ohio, and South Carolina.</w:t>
      </w:r>
      <w:r w:rsidR="00B8059E" w:rsidRPr="005211DB">
        <w:rPr>
          <w:rStyle w:val="FootnoteReference"/>
        </w:rPr>
        <w:footnoteReference w:id="16"/>
      </w:r>
      <w:r w:rsidR="00B8059E" w:rsidRPr="005211DB">
        <w:t xml:space="preserve">  ATN </w:t>
      </w:r>
      <w:r w:rsidR="008A04D1" w:rsidRPr="005211DB">
        <w:t xml:space="preserve">asserts </w:t>
      </w:r>
      <w:r w:rsidR="00B8059E" w:rsidRPr="005211DB">
        <w:t xml:space="preserve">that it has struggled to adjust to demand </w:t>
      </w:r>
      <w:r w:rsidR="00EC508B" w:rsidRPr="005211DB">
        <w:t xml:space="preserve">in its markets </w:t>
      </w:r>
      <w:r w:rsidR="00B8059E" w:rsidRPr="005211DB">
        <w:t xml:space="preserve">for mobile broadband services and </w:t>
      </w:r>
      <w:r w:rsidR="007D2F0E">
        <w:t xml:space="preserve">to make </w:t>
      </w:r>
      <w:r w:rsidR="00B8059E" w:rsidRPr="005211DB">
        <w:t>the necessitated network upgrades,</w:t>
      </w:r>
      <w:r w:rsidR="00B8059E" w:rsidRPr="005211DB">
        <w:rPr>
          <w:rStyle w:val="FootnoteReference"/>
        </w:rPr>
        <w:footnoteReference w:id="17"/>
      </w:r>
      <w:r w:rsidR="00B8059E" w:rsidRPr="005211DB">
        <w:t xml:space="preserve"> </w:t>
      </w:r>
      <w:r w:rsidR="00EC508B" w:rsidRPr="005211DB">
        <w:t>while</w:t>
      </w:r>
      <w:r w:rsidR="00B8059E" w:rsidRPr="005211DB">
        <w:t xml:space="preserve"> AT&amp;T </w:t>
      </w:r>
      <w:r w:rsidR="005C3F71" w:rsidRPr="005211DB">
        <w:t xml:space="preserve">claims </w:t>
      </w:r>
      <w:r w:rsidR="00EC508B" w:rsidRPr="005211DB">
        <w:t xml:space="preserve">it will transition Allied’s customers to a </w:t>
      </w:r>
      <w:r w:rsidR="00BB63C0" w:rsidRPr="005211DB">
        <w:t>4G</w:t>
      </w:r>
      <w:r w:rsidR="005C3F71" w:rsidRPr="005211DB">
        <w:t xml:space="preserve"> </w:t>
      </w:r>
      <w:r w:rsidR="00EC508B" w:rsidRPr="005211DB">
        <w:t>network.</w:t>
      </w:r>
      <w:r w:rsidR="00EC508B" w:rsidRPr="005211DB">
        <w:rPr>
          <w:rStyle w:val="FootnoteReference"/>
        </w:rPr>
        <w:footnoteReference w:id="18"/>
      </w:r>
      <w:r w:rsidR="00C85AD9" w:rsidRPr="005211DB">
        <w:t xml:space="preserve">  AT&amp;T uses </w:t>
      </w:r>
      <w:r w:rsidR="004E2DA2">
        <w:t>“</w:t>
      </w:r>
      <w:r w:rsidR="00BB63C0" w:rsidRPr="005211DB">
        <w:t>4G</w:t>
      </w:r>
      <w:r w:rsidR="004E2DA2">
        <w:t>”</w:t>
      </w:r>
      <w:r w:rsidR="00C85AD9" w:rsidRPr="005211DB">
        <w:t xml:space="preserve"> to encompass both its HSPA+ and its LTE service offerings, and in this order, we will use this term </w:t>
      </w:r>
      <w:r w:rsidR="00EB4659" w:rsidRPr="005211DB">
        <w:t>to have this same meaning.</w:t>
      </w:r>
    </w:p>
    <w:p w:rsidR="00F40FEE" w:rsidRPr="005211DB" w:rsidRDefault="00F40FEE" w:rsidP="00BD79B8">
      <w:pPr>
        <w:pStyle w:val="Heading2"/>
      </w:pPr>
      <w:bookmarkStart w:id="225" w:name="_Toc348340319"/>
      <w:bookmarkStart w:id="226" w:name="_Toc348371111"/>
      <w:bookmarkStart w:id="227" w:name="_Toc348543615"/>
      <w:bookmarkStart w:id="228" w:name="_Toc348547968"/>
      <w:bookmarkStart w:id="229" w:name="_Toc348565387"/>
      <w:bookmarkStart w:id="230" w:name="_Toc348714685"/>
      <w:bookmarkStart w:id="231" w:name="_Toc349156995"/>
      <w:bookmarkStart w:id="232" w:name="_Toc349170672"/>
      <w:bookmarkStart w:id="233" w:name="_Toc349170729"/>
      <w:bookmarkStart w:id="234" w:name="_Toc349202849"/>
      <w:bookmarkStart w:id="235" w:name="_Toc349259335"/>
      <w:bookmarkStart w:id="236" w:name="_Toc349316333"/>
      <w:bookmarkStart w:id="237" w:name="_Toc349573246"/>
      <w:bookmarkStart w:id="238" w:name="_Toc349741776"/>
      <w:bookmarkStart w:id="239" w:name="_Toc349812403"/>
      <w:bookmarkStart w:id="240" w:name="_Toc349932722"/>
      <w:bookmarkStart w:id="241" w:name="_Toc350432482"/>
      <w:bookmarkStart w:id="242" w:name="_Toc350787837"/>
      <w:bookmarkStart w:id="243" w:name="_Toc366145530"/>
      <w:bookmarkStart w:id="244" w:name="_Toc366145738"/>
      <w:bookmarkStart w:id="245" w:name="_Toc366145854"/>
      <w:bookmarkStart w:id="246" w:name="_Toc366249601"/>
      <w:bookmarkStart w:id="247" w:name="_Toc366757995"/>
      <w:bookmarkStart w:id="248" w:name="_Toc366855783"/>
      <w:bookmarkStart w:id="249" w:name="_Toc366856264"/>
      <w:bookmarkStart w:id="250" w:name="_Toc367108919"/>
      <w:bookmarkStart w:id="251" w:name="_Toc367372958"/>
      <w:bookmarkStart w:id="252" w:name="_Toc367440566"/>
      <w:r w:rsidRPr="005211DB">
        <w:t>Transaction Review Process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1C2CCD" w:rsidRPr="005211DB" w:rsidRDefault="008A11C5" w:rsidP="001C2CCD">
      <w:pPr>
        <w:pStyle w:val="ParaNum"/>
      </w:pPr>
      <w:r w:rsidRPr="005211DB">
        <w:t>On February 5, 2013, the Applicants filed the Applications</w:t>
      </w:r>
      <w:r w:rsidR="000F46C2" w:rsidRPr="005211DB">
        <w:t xml:space="preserve">.  </w:t>
      </w:r>
      <w:r w:rsidRPr="005211DB">
        <w:t xml:space="preserve">On March 5, 2013, the Commission released a public notice announcing acceptance of the Applications </w:t>
      </w:r>
      <w:r w:rsidR="005C3F71" w:rsidRPr="005211DB">
        <w:t xml:space="preserve">for filing </w:t>
      </w:r>
      <w:r w:rsidRPr="005211DB">
        <w:t>and establishing a pleading cycle, with petitions to deny due April 4, 2013, oppositions due April 15, 2013, and replies due April 22, 2013.</w:t>
      </w:r>
      <w:r w:rsidRPr="005211DB">
        <w:rPr>
          <w:rStyle w:val="FootnoteReference"/>
        </w:rPr>
        <w:footnoteReference w:id="19"/>
      </w:r>
      <w:r w:rsidRPr="005211DB">
        <w:t xml:space="preserve">  In response</w:t>
      </w:r>
      <w:r w:rsidR="00BD26B5" w:rsidRPr="005211DB">
        <w:t xml:space="preserve"> to the </w:t>
      </w:r>
      <w:r w:rsidR="00BD26B5" w:rsidRPr="005211DB">
        <w:rPr>
          <w:i/>
        </w:rPr>
        <w:t>Comment Public Notice</w:t>
      </w:r>
      <w:r w:rsidRPr="005211DB">
        <w:t>, the Commission received two petitions to deny and one comment, a Joint Opposition from the Applicants, and two replies.</w:t>
      </w:r>
      <w:r w:rsidRPr="005211DB">
        <w:rPr>
          <w:rStyle w:val="FootnoteReference"/>
        </w:rPr>
        <w:footnoteReference w:id="20"/>
      </w:r>
      <w:r w:rsidR="00F2412F">
        <w:t xml:space="preserve">  We address issues raised in these filings below.</w:t>
      </w:r>
    </w:p>
    <w:p w:rsidR="00BD26B5" w:rsidRPr="005211DB" w:rsidRDefault="00BD26B5" w:rsidP="001C2CCD">
      <w:pPr>
        <w:pStyle w:val="ParaNum"/>
      </w:pPr>
      <w:r w:rsidRPr="005211DB">
        <w:t xml:space="preserve">On June 5, 2013, pursuant to </w:t>
      </w:r>
      <w:r w:rsidR="000F46C2" w:rsidRPr="005211DB">
        <w:t xml:space="preserve">section </w:t>
      </w:r>
      <w:r w:rsidRPr="005211DB">
        <w:t xml:space="preserve">308(b) of the Communications Act, the </w:t>
      </w:r>
      <w:r w:rsidR="00BB63C0" w:rsidRPr="005211DB">
        <w:t xml:space="preserve">Wireless </w:t>
      </w:r>
      <w:r w:rsidR="00D012D0" w:rsidRPr="005211DB">
        <w:t xml:space="preserve">Telecommunications </w:t>
      </w:r>
      <w:r w:rsidR="00BB63C0" w:rsidRPr="005211DB">
        <w:t>Bureau</w:t>
      </w:r>
      <w:r w:rsidRPr="005211DB">
        <w:t xml:space="preserve"> </w:t>
      </w:r>
      <w:r w:rsidR="00D012D0" w:rsidRPr="005211DB">
        <w:t xml:space="preserve">(“Wireless Bureau”) </w:t>
      </w:r>
      <w:r w:rsidRPr="005211DB">
        <w:t xml:space="preserve">requested additional information </w:t>
      </w:r>
      <w:r w:rsidR="000F46C2" w:rsidRPr="005211DB">
        <w:t xml:space="preserve">and documents </w:t>
      </w:r>
      <w:r w:rsidRPr="005211DB">
        <w:t>from AT&amp;T and ATN.</w:t>
      </w:r>
      <w:r w:rsidRPr="005211DB">
        <w:rPr>
          <w:rStyle w:val="FootnoteReference"/>
        </w:rPr>
        <w:footnoteReference w:id="21"/>
      </w:r>
      <w:r w:rsidRPr="005211DB">
        <w:t xml:space="preserve">  T</w:t>
      </w:r>
      <w:r w:rsidR="008A11C5" w:rsidRPr="005211DB">
        <w:t xml:space="preserve">he </w:t>
      </w:r>
      <w:r w:rsidR="00BB63C0" w:rsidRPr="005211DB">
        <w:t>Wireless Bureau</w:t>
      </w:r>
      <w:r w:rsidR="008A11C5" w:rsidRPr="005211DB">
        <w:t xml:space="preserve"> </w:t>
      </w:r>
      <w:r w:rsidRPr="005211DB">
        <w:t xml:space="preserve">also </w:t>
      </w:r>
      <w:r w:rsidR="000F46C2" w:rsidRPr="005211DB">
        <w:t xml:space="preserve">released </w:t>
      </w:r>
      <w:r w:rsidR="008A11C5" w:rsidRPr="005211DB">
        <w:t>protective orders to ensure that any confidential or proprietary documents submitted to the Commission would be adequately protected from public disclosure</w:t>
      </w:r>
      <w:r w:rsidRPr="005211DB">
        <w:t>, and to announce the process by which interested parties could gain access to confidential information filed in the record</w:t>
      </w:r>
      <w:r w:rsidR="008A11C5" w:rsidRPr="005211DB">
        <w:t>.</w:t>
      </w:r>
      <w:r w:rsidR="008A11C5" w:rsidRPr="005211DB">
        <w:rPr>
          <w:rStyle w:val="FootnoteReference"/>
        </w:rPr>
        <w:footnoteReference w:id="22"/>
      </w:r>
      <w:r w:rsidR="008A11C5" w:rsidRPr="005211DB">
        <w:t xml:space="preserve">  </w:t>
      </w:r>
      <w:r w:rsidRPr="005211DB">
        <w:t>Also on June 5, 2013</w:t>
      </w:r>
      <w:r w:rsidR="008A11C5" w:rsidRPr="005211DB">
        <w:t xml:space="preserve">, the </w:t>
      </w:r>
      <w:r w:rsidR="00BB63C0" w:rsidRPr="005211DB">
        <w:t>Wireless Bureau</w:t>
      </w:r>
      <w:r w:rsidR="008A11C5" w:rsidRPr="005211DB">
        <w:t xml:space="preserve"> released a public notice announcing that Numbering Resource Utilization and Forecast (“NRUF”) reports and local number portability (“LNP”) data would be placed into the record and adopted a protective order pursuant to which the Applicants and third parties would be allowed to review the specific NRUF reports and LNP data placed into the record.</w:t>
      </w:r>
      <w:r w:rsidR="008A11C5" w:rsidRPr="005211DB">
        <w:rPr>
          <w:rStyle w:val="FootnoteReference"/>
        </w:rPr>
        <w:footnoteReference w:id="23"/>
      </w:r>
    </w:p>
    <w:p w:rsidR="00BD26B5" w:rsidRPr="005211DB" w:rsidRDefault="00BD26B5" w:rsidP="001C2CCD">
      <w:pPr>
        <w:pStyle w:val="ParaNum"/>
      </w:pPr>
      <w:r w:rsidRPr="005211DB">
        <w:t xml:space="preserve">Maneesh Pangasa, in a document submitted in this proceeding and in the proceeding addressing the </w:t>
      </w:r>
      <w:r w:rsidR="00A14C02" w:rsidRPr="005211DB">
        <w:t xml:space="preserve">transfer </w:t>
      </w:r>
      <w:r w:rsidR="00C40325" w:rsidRPr="005211DB">
        <w:t xml:space="preserve">of various spectrum licenses </w:t>
      </w:r>
      <w:r w:rsidRPr="005211DB">
        <w:t>by AT&amp;T</w:t>
      </w:r>
      <w:r w:rsidR="00C40325" w:rsidRPr="005211DB">
        <w:t xml:space="preserve">, </w:t>
      </w:r>
      <w:r w:rsidRPr="005211DB">
        <w:t>Verizon Wireless</w:t>
      </w:r>
      <w:r w:rsidR="00C40325" w:rsidRPr="005211DB">
        <w:t xml:space="preserve">, and </w:t>
      </w:r>
      <w:r w:rsidRPr="005211DB">
        <w:t>Grain</w:t>
      </w:r>
      <w:r w:rsidR="00C40325" w:rsidRPr="005211DB">
        <w:t>,</w:t>
      </w:r>
      <w:r w:rsidRPr="005211DB">
        <w:rPr>
          <w:rStyle w:val="FootnoteReference"/>
        </w:rPr>
        <w:footnoteReference w:id="24"/>
      </w:r>
      <w:r w:rsidRPr="005211DB">
        <w:t xml:space="preserve"> urges the Commission to combine its review of both sets of proposed transactions.</w:t>
      </w:r>
      <w:r w:rsidRPr="005211DB">
        <w:rPr>
          <w:rStyle w:val="FootnoteReference"/>
        </w:rPr>
        <w:footnoteReference w:id="25"/>
      </w:r>
      <w:r w:rsidRPr="005211DB">
        <w:t xml:space="preserve">  In addition to being late-filed, </w:t>
      </w:r>
      <w:r w:rsidR="00190DC2" w:rsidRPr="005211DB">
        <w:t>the</w:t>
      </w:r>
      <w:r w:rsidRPr="005211DB">
        <w:t xml:space="preserve"> statement appears to reflect several procedural defects, including a failure to serve the Applicants.</w:t>
      </w:r>
      <w:r w:rsidRPr="005211DB">
        <w:rPr>
          <w:rStyle w:val="FootnoteReference"/>
        </w:rPr>
        <w:footnoteReference w:id="26"/>
      </w:r>
      <w:r w:rsidRPr="005211DB">
        <w:t xml:space="preserve">  Mr. Pangasa supplemented this statement with </w:t>
      </w:r>
      <w:r w:rsidR="006B4C90">
        <w:t>five</w:t>
      </w:r>
      <w:r w:rsidR="006B4C90" w:rsidRPr="005211DB">
        <w:t xml:space="preserve"> </w:t>
      </w:r>
      <w:r w:rsidRPr="005211DB">
        <w:t xml:space="preserve">other submissions that raise general concerns about spectrum aggregation and various wireless industry practices. </w:t>
      </w:r>
      <w:r w:rsidR="00392EDF" w:rsidRPr="005211DB">
        <w:t xml:space="preserve"> </w:t>
      </w:r>
    </w:p>
    <w:p w:rsidR="00F6431E" w:rsidRDefault="00BD26B5" w:rsidP="001C2CCD">
      <w:pPr>
        <w:pStyle w:val="ParaNum"/>
      </w:pPr>
      <w:r w:rsidRPr="005211DB">
        <w:t xml:space="preserve">We </w:t>
      </w:r>
      <w:r w:rsidR="004D3DA5">
        <w:t xml:space="preserve">have </w:t>
      </w:r>
      <w:r w:rsidRPr="005211DB">
        <w:t>decline</w:t>
      </w:r>
      <w:r w:rsidR="004D3DA5">
        <w:t>d</w:t>
      </w:r>
      <w:r w:rsidRPr="005211DB">
        <w:t xml:space="preserve"> to consolidate the proceedings as Mr. Pangasa requests in his late-filed statement.</w:t>
      </w:r>
      <w:r w:rsidR="006B4C90">
        <w:rPr>
          <w:rStyle w:val="FootnoteReference"/>
        </w:rPr>
        <w:footnoteReference w:id="27"/>
      </w:r>
      <w:r w:rsidRPr="005211DB">
        <w:t xml:space="preserve">  </w:t>
      </w:r>
      <w:r w:rsidR="00190DC2" w:rsidRPr="005211DB">
        <w:t>The Commission has broad authority to “conduct its proceedings in such manner as will best conduce to the proper dispatch of business and to the ends of justice.”</w:t>
      </w:r>
      <w:r w:rsidR="00190DC2" w:rsidRPr="005211DB">
        <w:rPr>
          <w:rStyle w:val="FootnoteReference"/>
        </w:rPr>
        <w:footnoteReference w:id="28"/>
      </w:r>
      <w:r w:rsidR="00190DC2" w:rsidRPr="005211DB">
        <w:t xml:space="preserve">  </w:t>
      </w:r>
      <w:r w:rsidRPr="005211DB">
        <w:t xml:space="preserve">The Pangasa </w:t>
      </w:r>
      <w:r w:rsidR="00D1518A">
        <w:t>S</w:t>
      </w:r>
      <w:r w:rsidRPr="005211DB">
        <w:t>tatement does not explain why the Commission should consolidate these proceedings.  Mr. Pangasa does not identify any substantive issues or competitive harms that would result from approval of the transactions, and he fails as well to provide any evidence specific to these transactions.  As such, we see no basis to formally consolidate these proceedings.</w:t>
      </w:r>
    </w:p>
    <w:p w:rsidR="008A11C5" w:rsidRPr="005211DB" w:rsidRDefault="00F6431E" w:rsidP="001C2CCD">
      <w:pPr>
        <w:pStyle w:val="ParaNum"/>
      </w:pPr>
      <w:r>
        <w:t>More recently, Mr. Pangasa filed a request that the Commission combine its review of this transaction with the review of the recently filed AT&amp;T-Leap Wireless transaction.</w:t>
      </w:r>
      <w:r>
        <w:rPr>
          <w:rStyle w:val="FootnoteReference"/>
        </w:rPr>
        <w:footnoteReference w:id="29"/>
      </w:r>
      <w:r>
        <w:t xml:space="preserve">  For the same reasons</w:t>
      </w:r>
      <w:r w:rsidR="007761C1">
        <w:t>, and with the same legal basis, that</w:t>
      </w:r>
      <w:r>
        <w:t xml:space="preserve"> we declined to consolidate </w:t>
      </w:r>
      <w:r w:rsidR="007761C1">
        <w:t xml:space="preserve">review of </w:t>
      </w:r>
      <w:r>
        <w:t>this transaction with our review of the AT&amp;T-Verizon Wireless-Grain</w:t>
      </w:r>
      <w:r w:rsidR="004E7C62">
        <w:t xml:space="preserve"> transaction, we </w:t>
      </w:r>
      <w:r w:rsidR="007761C1">
        <w:t xml:space="preserve">have </w:t>
      </w:r>
      <w:r w:rsidR="004E7C62">
        <w:t xml:space="preserve">declined to consolidate this transaction proceeding with the AT&amp;T-Leap </w:t>
      </w:r>
      <w:r w:rsidR="00D1518A">
        <w:t xml:space="preserve">Wireless </w:t>
      </w:r>
      <w:r w:rsidR="004E7C62">
        <w:t>proceeding.</w:t>
      </w:r>
    </w:p>
    <w:p w:rsidR="00F40FEE" w:rsidRPr="005211DB" w:rsidRDefault="005761D2" w:rsidP="00F40FEE">
      <w:pPr>
        <w:pStyle w:val="Heading1"/>
        <w:rPr>
          <w:rFonts w:ascii="Times New Roman" w:hAnsi="Times New Roman"/>
        </w:rPr>
      </w:pPr>
      <w:bookmarkStart w:id="253" w:name="_Toc348340320"/>
      <w:bookmarkStart w:id="254" w:name="_Toc348371112"/>
      <w:bookmarkStart w:id="255" w:name="_Toc348543616"/>
      <w:bookmarkStart w:id="256" w:name="_Toc348547969"/>
      <w:bookmarkStart w:id="257" w:name="_Toc348565388"/>
      <w:bookmarkStart w:id="258" w:name="_Toc348714686"/>
      <w:bookmarkStart w:id="259" w:name="_Toc349156996"/>
      <w:bookmarkStart w:id="260" w:name="_Toc349170673"/>
      <w:bookmarkStart w:id="261" w:name="_Toc349170730"/>
      <w:bookmarkStart w:id="262" w:name="_Toc349202850"/>
      <w:bookmarkStart w:id="263" w:name="_Toc349259336"/>
      <w:bookmarkStart w:id="264" w:name="_Toc349316334"/>
      <w:bookmarkStart w:id="265" w:name="_Toc349573247"/>
      <w:bookmarkStart w:id="266" w:name="_Toc349741777"/>
      <w:bookmarkStart w:id="267" w:name="_Toc349812404"/>
      <w:bookmarkStart w:id="268" w:name="_Toc349932723"/>
      <w:bookmarkStart w:id="269" w:name="_Toc350432483"/>
      <w:bookmarkStart w:id="270" w:name="_Toc350787838"/>
      <w:bookmarkStart w:id="271" w:name="_Toc366145531"/>
      <w:bookmarkStart w:id="272" w:name="_Toc366145739"/>
      <w:bookmarkStart w:id="273" w:name="_Toc366145855"/>
      <w:bookmarkStart w:id="274" w:name="_Toc366249602"/>
      <w:bookmarkStart w:id="275" w:name="_Toc366757996"/>
      <w:bookmarkStart w:id="276" w:name="_Toc366855784"/>
      <w:bookmarkStart w:id="277" w:name="_Toc366856265"/>
      <w:bookmarkStart w:id="278" w:name="_Toc367108920"/>
      <w:bookmarkStart w:id="279" w:name="_Toc367372959"/>
      <w:bookmarkStart w:id="280" w:name="_Toc367440567"/>
      <w:r w:rsidRPr="005211DB">
        <w:rPr>
          <w:rFonts w:ascii="Times New Roman" w:hAnsi="Times New Roman"/>
        </w:rPr>
        <w:t xml:space="preserve">standard of review and </w:t>
      </w:r>
      <w:r w:rsidR="00F40FEE" w:rsidRPr="005211DB">
        <w:rPr>
          <w:rFonts w:ascii="Times New Roman" w:hAnsi="Times New Roman"/>
        </w:rPr>
        <w:t>public interest framework</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917664" w:rsidRPr="005211DB" w:rsidRDefault="00917664" w:rsidP="00FB1801">
      <w:pPr>
        <w:pStyle w:val="ParaNum"/>
      </w:pPr>
      <w:r w:rsidRPr="005211DB">
        <w:rPr>
          <w:rFonts w:eastAsia="MS Mincho"/>
          <w:lang w:eastAsia="ja-JP"/>
        </w:rPr>
        <w:t xml:space="preserve">Pursuant to </w:t>
      </w:r>
      <w:r w:rsidR="008A11C5" w:rsidRPr="005211DB">
        <w:rPr>
          <w:rFonts w:eastAsia="MS Mincho"/>
          <w:lang w:eastAsia="ja-JP"/>
        </w:rPr>
        <w:t>s</w:t>
      </w:r>
      <w:r w:rsidRPr="005211DB">
        <w:rPr>
          <w:rFonts w:eastAsia="MS Mincho"/>
          <w:lang w:eastAsia="ja-JP"/>
        </w:rPr>
        <w:t>ections 214(a) and 310(d) of the Communications Act, we must determine whether the Applicants have demonstrated that the proposed transfer of control</w:t>
      </w:r>
      <w:r w:rsidR="008A11C5" w:rsidRPr="005211DB">
        <w:rPr>
          <w:rFonts w:eastAsia="MS Mincho"/>
          <w:lang w:eastAsia="ja-JP"/>
        </w:rPr>
        <w:t xml:space="preserve"> and assignment</w:t>
      </w:r>
      <w:r w:rsidRPr="005211DB">
        <w:rPr>
          <w:rFonts w:eastAsia="MS Mincho"/>
          <w:lang w:eastAsia="ja-JP"/>
        </w:rPr>
        <w:t xml:space="preserve"> of licenses, authorizations, and spectrum leasing arrangements will serve the public interest, convenience, and necessity.</w:t>
      </w:r>
      <w:r w:rsidRPr="005211DB">
        <w:rPr>
          <w:rFonts w:eastAsia="MS Mincho"/>
          <w:vertAlign w:val="superscript"/>
          <w:lang w:eastAsia="ja-JP"/>
        </w:rPr>
        <w:footnoteReference w:id="30"/>
      </w:r>
      <w:r w:rsidRPr="005211DB">
        <w:rPr>
          <w:rFonts w:eastAsia="MS Mincho"/>
          <w:lang w:eastAsia="ja-JP"/>
        </w:rPr>
        <w:t xml:space="preserve">  In making this assessment, we first </w:t>
      </w:r>
      <w:r w:rsidR="0087176F" w:rsidRPr="005211DB">
        <w:rPr>
          <w:rFonts w:eastAsia="MS Mincho"/>
          <w:lang w:eastAsia="ja-JP"/>
        </w:rPr>
        <w:t xml:space="preserve">examine </w:t>
      </w:r>
      <w:r w:rsidRPr="005211DB">
        <w:rPr>
          <w:rFonts w:eastAsia="MS Mincho"/>
          <w:lang w:eastAsia="ja-JP"/>
        </w:rPr>
        <w:t>whether the proposed transaction complies with the specific provisions of the Communications Act,</w:t>
      </w:r>
      <w:r w:rsidRPr="005211DB">
        <w:rPr>
          <w:rFonts w:eastAsia="MS Mincho"/>
          <w:vertAlign w:val="superscript"/>
          <w:lang w:eastAsia="ja-JP"/>
        </w:rPr>
        <w:footnoteReference w:id="31"/>
      </w:r>
      <w:r w:rsidRPr="005211DB">
        <w:rPr>
          <w:rFonts w:eastAsia="MS Mincho"/>
          <w:lang w:eastAsia="ja-JP"/>
        </w:rPr>
        <w:t xml:space="preserve"> other applicable statutes, and the Commission’s rules.</w:t>
      </w:r>
      <w:r w:rsidRPr="005211DB">
        <w:rPr>
          <w:rFonts w:eastAsia="MS Mincho"/>
          <w:vertAlign w:val="superscript"/>
          <w:lang w:eastAsia="ja-JP"/>
        </w:rPr>
        <w:footnoteReference w:id="32"/>
      </w:r>
      <w:r w:rsidRPr="005211DB">
        <w:rPr>
          <w:rFonts w:eastAsia="MS Mincho"/>
          <w:vertAlign w:val="superscript"/>
          <w:lang w:eastAsia="ja-JP"/>
        </w:rPr>
        <w:t xml:space="preserve"> </w:t>
      </w:r>
      <w:r w:rsidRPr="005211DB">
        <w:rPr>
          <w:rFonts w:eastAsia="MS Mincho"/>
          <w:lang w:eastAsia="ja-JP"/>
        </w:rPr>
        <w:t xml:space="preserve"> If the transaction does not violate a statute or rule, we next consider whether the transaction could result in public interest harms by substantially frustrating or impairing the objectives or implementation of the Communications Act or related statutes.</w:t>
      </w:r>
      <w:r w:rsidRPr="005211DB">
        <w:rPr>
          <w:rFonts w:eastAsia="MS Mincho"/>
          <w:vertAlign w:val="superscript"/>
          <w:lang w:eastAsia="ja-JP"/>
        </w:rPr>
        <w:footnoteReference w:id="33"/>
      </w:r>
      <w:r w:rsidR="00373DAD">
        <w:rPr>
          <w:rFonts w:eastAsia="MS Mincho"/>
          <w:lang w:eastAsia="ja-JP"/>
        </w:rPr>
        <w:t xml:space="preserve"> </w:t>
      </w:r>
      <w:r w:rsidRPr="005211DB">
        <w:rPr>
          <w:rFonts w:eastAsia="MS Mincho"/>
          <w:lang w:eastAsia="ja-JP"/>
        </w:rPr>
        <w:t xml:space="preserve"> We then employ a balancing test weighing any potential public interest harms of the proposed transaction against any potential public interest benefits.</w:t>
      </w:r>
      <w:r w:rsidRPr="005211DB">
        <w:rPr>
          <w:rFonts w:eastAsia="MS Mincho"/>
          <w:vertAlign w:val="superscript"/>
          <w:lang w:eastAsia="ja-JP"/>
        </w:rPr>
        <w:footnoteReference w:id="34"/>
      </w:r>
      <w:r w:rsidRPr="005211DB">
        <w:rPr>
          <w:rFonts w:eastAsia="MS Mincho"/>
          <w:lang w:eastAsia="ja-JP"/>
        </w:rPr>
        <w:t xml:space="preserve">  The Applicants bear the burden of proving, by a preponderance of the evidence, that the proposed transaction, on balance, will serve the public interest.</w:t>
      </w:r>
      <w:r w:rsidRPr="005211DB">
        <w:rPr>
          <w:rFonts w:eastAsia="MS Mincho"/>
          <w:vertAlign w:val="superscript"/>
          <w:lang w:eastAsia="ja-JP"/>
        </w:rPr>
        <w:footnoteReference w:id="35"/>
      </w:r>
    </w:p>
    <w:p w:rsidR="00917664" w:rsidRPr="005211DB" w:rsidRDefault="00917664" w:rsidP="00917664">
      <w:pPr>
        <w:pStyle w:val="ParaNum"/>
      </w:pPr>
      <w:r w:rsidRPr="005211DB">
        <w:t xml:space="preserve">Our public interest evaluation necessarily encompasses the “broad aims of the Communications Act,” which </w:t>
      </w:r>
      <w:r w:rsidRPr="005211DB">
        <w:rPr>
          <w:color w:val="000000"/>
        </w:rPr>
        <w:t>include</w:t>
      </w:r>
      <w:r w:rsidRPr="005211DB">
        <w:t>, among other things, a deeply rooted preference for preserving and enhancing competition in relevant</w:t>
      </w:r>
      <w:r w:rsidRPr="005211DB">
        <w:rPr>
          <w:b/>
        </w:rPr>
        <w:t xml:space="preserve"> </w:t>
      </w:r>
      <w:r w:rsidRPr="005211DB">
        <w:t>markets, accelerating private sector deployment of advanced services, promoting a diversity of license holdings, and generally managing the spectrum in the public interest.</w:t>
      </w:r>
      <w:r w:rsidRPr="005211DB">
        <w:rPr>
          <w:rStyle w:val="FootnoteReference"/>
        </w:rPr>
        <w:footnoteReference w:id="36"/>
      </w:r>
      <w:r w:rsidRPr="005211DB">
        <w:t xml:space="preserve">  Our public interest analysis also can entail assessing whether the proposed transaction will affect the quality of communications services or result in the provision of new or additional services to consumers.</w:t>
      </w:r>
      <w:r w:rsidRPr="005211DB">
        <w:rPr>
          <w:vertAlign w:val="superscript"/>
        </w:rPr>
        <w:footnoteReference w:id="37"/>
      </w:r>
      <w:r w:rsidR="00B864D4" w:rsidRPr="005211DB">
        <w:t xml:space="preserve">  In conducting this analysis, we may consider technological and market changes, and the nature, complexity, and speed of change of, as well as trends within, the communications industry.</w:t>
      </w:r>
      <w:r w:rsidR="00B864D4" w:rsidRPr="005211DB">
        <w:rPr>
          <w:rStyle w:val="FootnoteReference"/>
        </w:rPr>
        <w:footnoteReference w:id="38"/>
      </w:r>
    </w:p>
    <w:p w:rsidR="00917664" w:rsidRPr="005211DB" w:rsidRDefault="00917664" w:rsidP="00917664">
      <w:pPr>
        <w:pStyle w:val="ParaNum"/>
      </w:pPr>
      <w:r w:rsidRPr="005211DB">
        <w:t>Our competitive analysis, which forms an important part of the public interest evaluation, is informed by, but not limited to, traditional antitrust principles.</w:t>
      </w:r>
      <w:r w:rsidRPr="005211DB">
        <w:rPr>
          <w:rStyle w:val="FootnoteReference"/>
        </w:rPr>
        <w:footnoteReference w:id="39"/>
      </w:r>
      <w:r w:rsidRPr="005211DB">
        <w:t xml:space="preserve">  The Commission and the DOJ each have independent authority to examine the competitive impacts of proposed communications mergers and transactions involving transfers of Commission licenses, but the standards governing the Commission’s competitive review differ somewhat from those applied by the DOJ.</w:t>
      </w:r>
      <w:r w:rsidRPr="005211DB">
        <w:rPr>
          <w:vertAlign w:val="superscript"/>
        </w:rPr>
        <w:footnoteReference w:id="40"/>
      </w:r>
      <w:r w:rsidRPr="005211DB">
        <w:t xml:space="preserve">  Like the DOJ, the Commission considers how a transaction will affect competition by defining a relevant market, looking at the market power of incumbent competitors, and analyzing barriers to entry, potential competition</w:t>
      </w:r>
      <w:r w:rsidR="00D1518A">
        <w:t>,</w:t>
      </w:r>
      <w:r w:rsidRPr="005211DB">
        <w:t xml:space="preserve"> and the efficiencies, if any, that may result from the transaction.</w:t>
      </w:r>
      <w:r w:rsidR="00B43F18" w:rsidRPr="005211DB">
        <w:rPr>
          <w:rStyle w:val="FootnoteReference"/>
        </w:rPr>
        <w:footnoteReference w:id="41"/>
      </w:r>
      <w:r w:rsidRPr="005211DB">
        <w:t xml:space="preserve">  The DOJ, however, reviews telecommunications mergers pursuant to </w:t>
      </w:r>
      <w:r w:rsidR="003A43D2" w:rsidRPr="005211DB">
        <w:t xml:space="preserve">section </w:t>
      </w:r>
      <w:r w:rsidRPr="005211DB">
        <w:t xml:space="preserve">7 of the Clayton Act, and if it </w:t>
      </w:r>
      <w:r w:rsidR="00EF4A0D" w:rsidRPr="005211DB">
        <w:t xml:space="preserve">sues </w:t>
      </w:r>
      <w:r w:rsidRPr="005211DB">
        <w:t>to block a merger, it must demonstrate to a court that the merger may substantially lessen competition or tend to create a monopoly.</w:t>
      </w:r>
      <w:r w:rsidRPr="005211DB">
        <w:rPr>
          <w:rStyle w:val="FootnoteReference"/>
        </w:rPr>
        <w:footnoteReference w:id="42"/>
      </w:r>
      <w:r w:rsidRPr="005211DB">
        <w:t xml:space="preserve">  The DOJ’s review </w:t>
      </w:r>
      <w:r w:rsidR="008A11C5" w:rsidRPr="005211DB">
        <w:t xml:space="preserve">also </w:t>
      </w:r>
      <w:r w:rsidRPr="005211DB">
        <w:t>is limited solely to an examination of the competitive effects of the acquisition, without reference to other public interest considerations.</w:t>
      </w:r>
      <w:r w:rsidRPr="005211DB">
        <w:rPr>
          <w:rStyle w:val="FootnoteReference"/>
        </w:rPr>
        <w:footnoteReference w:id="43"/>
      </w:r>
      <w:r w:rsidRPr="005211DB">
        <w:t xml:space="preserve">  </w:t>
      </w:r>
      <w:r w:rsidR="00C03392" w:rsidRPr="005211DB">
        <w:t>The Commission’s competitive analysis under the public interest standard is somewhat broader, considering, for example, whether a transaction will enhance, rather than merely preserve, existing competition, and takes a more extensive view of potential and future competition and its impact on the relevant market.</w:t>
      </w:r>
      <w:r w:rsidR="00C03392" w:rsidRPr="005211DB">
        <w:rPr>
          <w:vertAlign w:val="superscript"/>
        </w:rPr>
        <w:footnoteReference w:id="44"/>
      </w:r>
      <w:r w:rsidR="00C03392" w:rsidRPr="005211DB">
        <w:t xml:space="preserve">  </w:t>
      </w:r>
      <w:r w:rsidR="00302DD5" w:rsidRPr="005211DB">
        <w:t xml:space="preserve">Under the Commission’s review, the Applicants must show that the transaction will serve the public interest; otherwise </w:t>
      </w:r>
      <w:r w:rsidR="00302DD5" w:rsidRPr="005211DB">
        <w:rPr>
          <w:color w:val="000000"/>
        </w:rPr>
        <w:t>the</w:t>
      </w:r>
      <w:r w:rsidR="00302DD5" w:rsidRPr="005211DB">
        <w:t xml:space="preserve"> application is set for hearing</w:t>
      </w:r>
      <w:r w:rsidRPr="005211DB">
        <w:t>.</w:t>
      </w:r>
      <w:r w:rsidR="00B43F18" w:rsidRPr="005211DB">
        <w:rPr>
          <w:rStyle w:val="FootnoteReference"/>
        </w:rPr>
        <w:footnoteReference w:id="45"/>
      </w:r>
      <w:r w:rsidR="009B41D7" w:rsidRPr="005211DB">
        <w:t xml:space="preserve">  Finally, the Commission’s public interest authority enables us, where appropriate, to impose and enforce narrowly tailored, transaction-specific conditions that ensure that the public interest is served by the transaction.</w:t>
      </w:r>
      <w:r w:rsidR="009B41D7" w:rsidRPr="005211DB">
        <w:rPr>
          <w:rStyle w:val="FootnoteReference"/>
        </w:rPr>
        <w:footnoteReference w:id="46"/>
      </w:r>
    </w:p>
    <w:p w:rsidR="00F40FEE" w:rsidRPr="005211DB" w:rsidRDefault="00F40FEE" w:rsidP="00F40FEE">
      <w:pPr>
        <w:pStyle w:val="Heading1"/>
        <w:rPr>
          <w:rFonts w:ascii="Times New Roman" w:hAnsi="Times New Roman"/>
        </w:rPr>
      </w:pPr>
      <w:bookmarkStart w:id="281" w:name="_Toc348340321"/>
      <w:bookmarkStart w:id="282" w:name="_Toc348371113"/>
      <w:bookmarkStart w:id="283" w:name="_Toc348543617"/>
      <w:bookmarkStart w:id="284" w:name="_Toc348547970"/>
      <w:bookmarkStart w:id="285" w:name="_Toc348565389"/>
      <w:bookmarkStart w:id="286" w:name="_Toc348714687"/>
      <w:bookmarkStart w:id="287" w:name="_Toc349156997"/>
      <w:bookmarkStart w:id="288" w:name="_Toc349170674"/>
      <w:bookmarkStart w:id="289" w:name="_Toc349170731"/>
      <w:bookmarkStart w:id="290" w:name="_Toc349202851"/>
      <w:bookmarkStart w:id="291" w:name="_Toc349259337"/>
      <w:bookmarkStart w:id="292" w:name="_Toc349316335"/>
      <w:bookmarkStart w:id="293" w:name="_Toc349573248"/>
      <w:bookmarkStart w:id="294" w:name="_Toc349741778"/>
      <w:bookmarkStart w:id="295" w:name="_Toc349812405"/>
      <w:bookmarkStart w:id="296" w:name="_Toc349932724"/>
      <w:bookmarkStart w:id="297" w:name="_Toc350432484"/>
      <w:bookmarkStart w:id="298" w:name="_Toc350787839"/>
      <w:bookmarkStart w:id="299" w:name="_Toc366145532"/>
      <w:bookmarkStart w:id="300" w:name="_Toc366145740"/>
      <w:bookmarkStart w:id="301" w:name="_Toc366145856"/>
      <w:bookmarkStart w:id="302" w:name="_Toc366249603"/>
      <w:bookmarkStart w:id="303" w:name="_Toc366757997"/>
      <w:bookmarkStart w:id="304" w:name="_Toc366855785"/>
      <w:bookmarkStart w:id="305" w:name="_Toc366856266"/>
      <w:bookmarkStart w:id="306" w:name="_Toc367108921"/>
      <w:bookmarkStart w:id="307" w:name="_Toc367372960"/>
      <w:bookmarkStart w:id="308" w:name="_Toc367440568"/>
      <w:r w:rsidRPr="005211DB">
        <w:rPr>
          <w:rFonts w:ascii="Times New Roman" w:hAnsi="Times New Roman"/>
        </w:rPr>
        <w:t>qualifications of applicants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036315" w:rsidRPr="005211DB" w:rsidRDefault="00036315" w:rsidP="00036315">
      <w:pPr>
        <w:pStyle w:val="ParaNum"/>
      </w:pPr>
      <w:r w:rsidRPr="005211DB">
        <w:t>Among the factors the Commission considers in its public interest review is whether the applicant for a license has the requisite “citizenship, character, financial, technical, and other qualifications.”</w:t>
      </w:r>
      <w:r w:rsidRPr="005211DB">
        <w:rPr>
          <w:rStyle w:val="StyleFootnoteReferenceofrAppelnotedebasdepStyle12NECG"/>
        </w:rPr>
        <w:footnoteReference w:id="47"/>
      </w:r>
      <w:r w:rsidRPr="005211DB">
        <w:t xml:space="preserve">  Therefore, as a threshold matter, the Commission must determine whether the applicants to the proposed transaction </w:t>
      </w:r>
      <w:r w:rsidR="004D3DA5">
        <w:t xml:space="preserve">– both the assignee and the assignor – meet </w:t>
      </w:r>
      <w:r w:rsidRPr="005211DB">
        <w:t xml:space="preserve">the requisite qualifications requirements to hold and transfer licenses under </w:t>
      </w:r>
      <w:r w:rsidR="00DB437B" w:rsidRPr="005211DB">
        <w:t>s</w:t>
      </w:r>
      <w:r w:rsidRPr="005211DB">
        <w:t>ection 310(d) and the Commission’s rules.</w:t>
      </w:r>
      <w:r w:rsidRPr="005211DB">
        <w:rPr>
          <w:rStyle w:val="StyleFootnoteReferenceofrAppelnotedebasdepStyle12NECG"/>
        </w:rPr>
        <w:footnoteReference w:id="48"/>
      </w:r>
      <w:r w:rsidRPr="005211DB">
        <w:t xml:space="preserve">  </w:t>
      </w:r>
    </w:p>
    <w:p w:rsidR="009C4F0D" w:rsidRPr="005211DB" w:rsidRDefault="00036315" w:rsidP="00034443">
      <w:pPr>
        <w:pStyle w:val="ParaNum"/>
      </w:pPr>
      <w:r w:rsidRPr="005211DB">
        <w:rPr>
          <w:i/>
        </w:rPr>
        <w:t>Discussion</w:t>
      </w:r>
      <w:r w:rsidRPr="005211DB">
        <w:t xml:space="preserve">.  As an initial matter, we note that no parties have raised issues with respect to the basic qualifications of </w:t>
      </w:r>
      <w:r w:rsidR="005761D2" w:rsidRPr="005211DB">
        <w:t>ATN</w:t>
      </w:r>
      <w:r w:rsidRPr="005211DB">
        <w:t xml:space="preserve">.  </w:t>
      </w:r>
      <w:r w:rsidR="00D845F2" w:rsidRPr="005211DB">
        <w:t>The Commission generally does not reevaluate the qualifications of assignors unless issues related to basic qualifications have been sufficiently raised in petitions to warrant designation for hearing.</w:t>
      </w:r>
      <w:r w:rsidR="00D845F2" w:rsidRPr="005211DB">
        <w:rPr>
          <w:rStyle w:val="FootnoteReference"/>
        </w:rPr>
        <w:footnoteReference w:id="49"/>
      </w:r>
      <w:r w:rsidR="005761D2" w:rsidRPr="005211DB">
        <w:t xml:space="preserve"> </w:t>
      </w:r>
      <w:r w:rsidR="00D845F2" w:rsidRPr="005211DB">
        <w:t xml:space="preserve"> We find that there is no reason to reevaluate the requisite citizenship, character, financial, technical, or other basic qualifications under the Communications Act and our rules, regulations, and policies, of </w:t>
      </w:r>
      <w:r w:rsidR="005761D2" w:rsidRPr="005211DB">
        <w:t>ATN</w:t>
      </w:r>
      <w:r w:rsidR="009C4F0D" w:rsidRPr="005211DB">
        <w:t xml:space="preserve">.  </w:t>
      </w:r>
    </w:p>
    <w:p w:rsidR="00036315" w:rsidRPr="005211DB" w:rsidRDefault="009C4F0D" w:rsidP="001D299B">
      <w:pPr>
        <w:pStyle w:val="ParaNum"/>
      </w:pPr>
      <w:r w:rsidRPr="005211DB">
        <w:t xml:space="preserve">In addition, no issues have been raised with respect to the basic qualifications of </w:t>
      </w:r>
      <w:r w:rsidR="005761D2" w:rsidRPr="005211DB">
        <w:t>AT&amp;T</w:t>
      </w:r>
      <w:r w:rsidRPr="005211DB">
        <w:t>.</w:t>
      </w:r>
      <w:r w:rsidR="00104069" w:rsidRPr="005211DB">
        <w:t xml:space="preserve"> </w:t>
      </w:r>
      <w:r w:rsidRPr="005211DB">
        <w:t xml:space="preserve"> </w:t>
      </w:r>
      <w:r w:rsidR="005761D2" w:rsidRPr="005211DB">
        <w:t>AT&amp;T</w:t>
      </w:r>
      <w:r w:rsidR="00036315" w:rsidRPr="005211DB">
        <w:t xml:space="preserve"> previously and repeatedly </w:t>
      </w:r>
      <w:r w:rsidR="002C3993" w:rsidRPr="005211DB">
        <w:t xml:space="preserve">has </w:t>
      </w:r>
      <w:r w:rsidR="00036315" w:rsidRPr="005211DB">
        <w:t>been found qualified to hold Commission licenses</w:t>
      </w:r>
      <w:r w:rsidR="002E27F8" w:rsidRPr="005211DB">
        <w:t>.</w:t>
      </w:r>
      <w:r w:rsidR="00E80090" w:rsidRPr="005211DB">
        <w:rPr>
          <w:rStyle w:val="FootnoteReference"/>
        </w:rPr>
        <w:footnoteReference w:id="50"/>
      </w:r>
      <w:r w:rsidR="00036315" w:rsidRPr="005211DB">
        <w:t xml:space="preserve"> </w:t>
      </w:r>
      <w:r w:rsidR="002E27F8" w:rsidRPr="005211DB">
        <w:t xml:space="preserve"> </w:t>
      </w:r>
      <w:r w:rsidR="00DB437B" w:rsidRPr="005211DB">
        <w:t>We find that there is no reason to reevaluate the requisite citizenship, character, financial, technical, or other basic qualifications under the Communications Act and our rules, regulations, and policies, of AT&amp;T.</w:t>
      </w:r>
    </w:p>
    <w:p w:rsidR="008915A4" w:rsidRPr="005211DB" w:rsidRDefault="008915A4" w:rsidP="008915A4">
      <w:pPr>
        <w:pStyle w:val="Heading1"/>
        <w:rPr>
          <w:rFonts w:ascii="Times New Roman" w:hAnsi="Times New Roman"/>
        </w:rPr>
      </w:pPr>
      <w:bookmarkStart w:id="309" w:name="_Toc349156998"/>
      <w:bookmarkStart w:id="310" w:name="_Toc349170675"/>
      <w:bookmarkStart w:id="311" w:name="_Toc349170732"/>
      <w:bookmarkStart w:id="312" w:name="_Toc349202852"/>
      <w:bookmarkStart w:id="313" w:name="_Toc349259338"/>
      <w:bookmarkStart w:id="314" w:name="_Toc349316336"/>
      <w:bookmarkStart w:id="315" w:name="_Toc349573249"/>
      <w:bookmarkStart w:id="316" w:name="_Toc349741779"/>
      <w:bookmarkStart w:id="317" w:name="_Toc349812406"/>
      <w:bookmarkStart w:id="318" w:name="_Toc349932725"/>
      <w:bookmarkStart w:id="319" w:name="_Toc350432485"/>
      <w:bookmarkStart w:id="320" w:name="_Toc350787840"/>
      <w:bookmarkStart w:id="321" w:name="_Toc366145533"/>
      <w:bookmarkStart w:id="322" w:name="_Toc366145741"/>
      <w:bookmarkStart w:id="323" w:name="_Toc366145857"/>
      <w:bookmarkStart w:id="324" w:name="_Toc366249604"/>
      <w:bookmarkStart w:id="325" w:name="_Toc366757998"/>
      <w:bookmarkStart w:id="326" w:name="_Toc366855786"/>
      <w:bookmarkStart w:id="327" w:name="_Toc366856267"/>
      <w:bookmarkStart w:id="328" w:name="_Toc367108922"/>
      <w:bookmarkStart w:id="329" w:name="_Toc367372961"/>
      <w:bookmarkStart w:id="330" w:name="_Toc367440569"/>
      <w:bookmarkStart w:id="331" w:name="_Toc303960082"/>
      <w:bookmarkStart w:id="332" w:name="_Toc306292678"/>
      <w:bookmarkStart w:id="333" w:name="_Toc306378761"/>
      <w:bookmarkStart w:id="334" w:name="_Toc308200421"/>
      <w:bookmarkStart w:id="335" w:name="_Toc308200577"/>
      <w:bookmarkStart w:id="336" w:name="_Toc308203055"/>
      <w:bookmarkStart w:id="337" w:name="_Toc309146321"/>
      <w:bookmarkStart w:id="338" w:name="_Toc309735593"/>
      <w:bookmarkStart w:id="339" w:name="_Toc327385220"/>
      <w:bookmarkStart w:id="340" w:name="_Toc327385339"/>
      <w:bookmarkStart w:id="341" w:name="_Toc327385456"/>
      <w:bookmarkStart w:id="342" w:name="_Toc327385539"/>
      <w:bookmarkStart w:id="343" w:name="_Toc327385653"/>
      <w:bookmarkStart w:id="344" w:name="_Toc327385737"/>
      <w:bookmarkStart w:id="345" w:name="_Toc327385833"/>
      <w:bookmarkStart w:id="346" w:name="_Toc327385880"/>
      <w:bookmarkStart w:id="347" w:name="_Toc327385951"/>
      <w:bookmarkStart w:id="348" w:name="_Toc327386000"/>
      <w:bookmarkStart w:id="349" w:name="_Toc327386337"/>
      <w:bookmarkStart w:id="350" w:name="_Toc327386615"/>
      <w:bookmarkStart w:id="351" w:name="_Toc327386717"/>
      <w:bookmarkStart w:id="352" w:name="_Toc327387060"/>
      <w:bookmarkStart w:id="353" w:name="_Toc327389591"/>
      <w:bookmarkStart w:id="354" w:name="_Toc328413251"/>
      <w:bookmarkStart w:id="355" w:name="_Toc328413319"/>
      <w:bookmarkStart w:id="356" w:name="_Toc328414144"/>
      <w:bookmarkStart w:id="357" w:name="_Toc328414257"/>
      <w:bookmarkStart w:id="358" w:name="_Toc328414305"/>
      <w:bookmarkStart w:id="359" w:name="_Toc328414354"/>
      <w:bookmarkStart w:id="360" w:name="_Toc328414400"/>
      <w:bookmarkStart w:id="361" w:name="_Toc328414459"/>
      <w:bookmarkStart w:id="362" w:name="_Toc328414524"/>
      <w:bookmarkStart w:id="363" w:name="_Toc328414603"/>
      <w:bookmarkStart w:id="364" w:name="_Toc328414667"/>
      <w:bookmarkStart w:id="365" w:name="_Toc328670847"/>
      <w:bookmarkStart w:id="366" w:name="_Toc328997038"/>
      <w:bookmarkStart w:id="367" w:name="_Toc328997735"/>
      <w:bookmarkStart w:id="368" w:name="_Toc329798708"/>
      <w:bookmarkStart w:id="369" w:name="_Toc329799118"/>
      <w:bookmarkStart w:id="370" w:name="_Toc329799328"/>
      <w:bookmarkStart w:id="371" w:name="_Toc330488327"/>
      <w:bookmarkStart w:id="372" w:name="_Toc330489044"/>
      <w:bookmarkStart w:id="373" w:name="_Toc330565835"/>
      <w:bookmarkStart w:id="374" w:name="_Toc331009460"/>
      <w:bookmarkStart w:id="375" w:name="_Toc331009532"/>
      <w:bookmarkStart w:id="376" w:name="_Toc331440401"/>
      <w:bookmarkStart w:id="377" w:name="_Toc331792618"/>
      <w:bookmarkStart w:id="378" w:name="_Toc332215063"/>
      <w:bookmarkStart w:id="379" w:name="_Toc332220048"/>
      <w:bookmarkStart w:id="380" w:name="_Toc332220193"/>
      <w:bookmarkStart w:id="381" w:name="_Toc332220236"/>
      <w:bookmarkStart w:id="382" w:name="_Toc332220283"/>
      <w:bookmarkStart w:id="383" w:name="_Toc332220382"/>
      <w:bookmarkStart w:id="384" w:name="_Toc332220425"/>
      <w:bookmarkStart w:id="385" w:name="_Toc332220479"/>
      <w:bookmarkStart w:id="386" w:name="_Toc332220560"/>
      <w:bookmarkStart w:id="387" w:name="_Toc332220623"/>
      <w:bookmarkStart w:id="388" w:name="_Toc332220670"/>
      <w:bookmarkStart w:id="389" w:name="_Toc332220715"/>
      <w:bookmarkStart w:id="390" w:name="_Toc332220771"/>
      <w:bookmarkStart w:id="391" w:name="_Toc332220826"/>
      <w:bookmarkStart w:id="392" w:name="_Toc332220978"/>
      <w:bookmarkStart w:id="393" w:name="_Toc332221273"/>
      <w:bookmarkStart w:id="394" w:name="_Toc345091247"/>
      <w:bookmarkStart w:id="395" w:name="_Toc345092690"/>
      <w:bookmarkStart w:id="396" w:name="_Toc345093533"/>
      <w:bookmarkStart w:id="397" w:name="_Toc345093908"/>
      <w:bookmarkStart w:id="398" w:name="_Toc345094293"/>
      <w:bookmarkStart w:id="399" w:name="_Toc345436691"/>
      <w:bookmarkStart w:id="400" w:name="_Toc347166619"/>
      <w:bookmarkStart w:id="401" w:name="_Toc348340322"/>
      <w:bookmarkStart w:id="402" w:name="_Toc348371114"/>
      <w:bookmarkStart w:id="403" w:name="_Toc348543618"/>
      <w:bookmarkStart w:id="404" w:name="_Toc348547971"/>
      <w:bookmarkStart w:id="405" w:name="_Toc348565390"/>
      <w:bookmarkStart w:id="406" w:name="_Toc348714688"/>
      <w:r w:rsidRPr="005211DB">
        <w:rPr>
          <w:rFonts w:ascii="Times New Roman" w:hAnsi="Times New Roman"/>
        </w:rPr>
        <w:t>potential public interest harms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7A0089" w:rsidRPr="005211DB" w:rsidRDefault="007A0089" w:rsidP="00C37371">
      <w:pPr>
        <w:pStyle w:val="ParaNum"/>
      </w:pPr>
      <w:bookmarkStart w:id="407" w:name="_Toc349156999"/>
      <w:bookmarkStart w:id="408" w:name="_Toc349170676"/>
      <w:bookmarkStart w:id="409" w:name="_Toc349170733"/>
      <w:bookmarkStart w:id="410" w:name="_Toc349202853"/>
      <w:bookmarkStart w:id="411" w:name="_Toc349259339"/>
      <w:bookmarkStart w:id="412" w:name="_Toc349316337"/>
      <w:bookmarkStart w:id="413" w:name="_Toc349573250"/>
      <w:bookmarkStart w:id="414" w:name="_Toc349741780"/>
      <w:bookmarkStart w:id="415" w:name="_Toc349812407"/>
      <w:bookmarkStart w:id="416" w:name="_Toc349932726"/>
      <w:bookmarkStart w:id="417" w:name="_Toc350432486"/>
      <w:bookmarkStart w:id="418" w:name="_Toc350787841"/>
      <w:r w:rsidRPr="005211DB">
        <w:t>In reviewing applications involving a proposed transaction, the Commission evaluates the potential public interest harms, including potential competitive harms that may result from the transaction.</w:t>
      </w:r>
      <w:r w:rsidRPr="005211DB">
        <w:rPr>
          <w:rStyle w:val="FootnoteReference"/>
        </w:rPr>
        <w:footnoteReference w:id="51"/>
      </w:r>
      <w:r w:rsidRPr="005211DB">
        <w:t xml:space="preserve">  The Commission undertakes a case-by-case review of the competitive effects of any increase in market concentration or in spectrum holdings in the relevant markets.</w:t>
      </w:r>
      <w:r w:rsidRPr="005211DB">
        <w:rPr>
          <w:rStyle w:val="FootnoteReference"/>
        </w:rPr>
        <w:footnoteReference w:id="52"/>
      </w:r>
      <w:r w:rsidRPr="005211DB">
        <w:t xml:space="preserve">  The Commission’s competitive analysis of wireless transactions focuses initially on markets where the acquisition of customers and/or spectrum would result in </w:t>
      </w:r>
      <w:r w:rsidR="00C40325" w:rsidRPr="005211DB">
        <w:t xml:space="preserve">significant </w:t>
      </w:r>
      <w:r w:rsidRPr="005211DB">
        <w:t>concentration of either or both, and thereby could lead to competitive harm.</w:t>
      </w:r>
      <w:r w:rsidRPr="005211DB">
        <w:rPr>
          <w:rStyle w:val="FootnoteReference"/>
        </w:rPr>
        <w:footnoteReference w:id="53"/>
      </w:r>
      <w:r w:rsidRPr="005211DB">
        <w:t xml:space="preserve">  In its analysis, the Commission has used an initial screen to help identify those markets that provide particular reason for further competitive analysis.  As set out in various transactions orders, however, the Commission has not limited its consideration of potential competitive harms solely to markets identified by its initial screen, if it encounters other factors that may bear on the public interest inquiry.</w:t>
      </w:r>
      <w:r w:rsidRPr="005211DB">
        <w:rPr>
          <w:rStyle w:val="FootnoteReference"/>
        </w:rPr>
        <w:footnoteReference w:id="54"/>
      </w:r>
    </w:p>
    <w:p w:rsidR="008915A4" w:rsidRPr="005211DB" w:rsidRDefault="008915A4" w:rsidP="00BD79B8">
      <w:pPr>
        <w:pStyle w:val="Heading2"/>
      </w:pPr>
      <w:bookmarkStart w:id="419" w:name="_Toc366145534"/>
      <w:bookmarkStart w:id="420" w:name="_Toc366145742"/>
      <w:bookmarkStart w:id="421" w:name="_Toc366145858"/>
      <w:bookmarkStart w:id="422" w:name="_Toc366249605"/>
      <w:bookmarkStart w:id="423" w:name="_Toc366757999"/>
      <w:bookmarkStart w:id="424" w:name="_Toc366855787"/>
      <w:bookmarkStart w:id="425" w:name="_Toc366856268"/>
      <w:bookmarkStart w:id="426" w:name="_Toc367108923"/>
      <w:bookmarkStart w:id="427" w:name="_Toc367372962"/>
      <w:bookmarkStart w:id="428" w:name="_Toc367440570"/>
      <w:r w:rsidRPr="005211DB">
        <w:t xml:space="preserve">Competitive </w:t>
      </w:r>
      <w:r w:rsidR="00925500" w:rsidRPr="005211DB">
        <w:t xml:space="preserve">Overview and Market </w:t>
      </w:r>
      <w:r w:rsidR="002A6537" w:rsidRPr="005211DB">
        <w:t>Definitions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8915A4" w:rsidRPr="005211DB" w:rsidRDefault="00925500" w:rsidP="008915A4">
      <w:pPr>
        <w:pStyle w:val="Heading3"/>
        <w:rPr>
          <w:color w:val="010101"/>
        </w:rPr>
      </w:pPr>
      <w:bookmarkStart w:id="429" w:name="_Toc349157000"/>
      <w:bookmarkStart w:id="430" w:name="_Toc349170677"/>
      <w:bookmarkStart w:id="431" w:name="_Toc349170734"/>
      <w:bookmarkStart w:id="432" w:name="_Toc349202854"/>
      <w:bookmarkStart w:id="433" w:name="_Toc349259340"/>
      <w:bookmarkStart w:id="434" w:name="_Toc349316338"/>
      <w:bookmarkStart w:id="435" w:name="_Toc349573251"/>
      <w:bookmarkStart w:id="436" w:name="_Toc349741781"/>
      <w:bookmarkStart w:id="437" w:name="_Toc349812408"/>
      <w:bookmarkStart w:id="438" w:name="_Toc349932727"/>
      <w:bookmarkStart w:id="439" w:name="_Toc350432487"/>
      <w:bookmarkStart w:id="440" w:name="_Toc350787842"/>
      <w:bookmarkStart w:id="441" w:name="_Toc366145535"/>
      <w:bookmarkStart w:id="442" w:name="_Toc366145743"/>
      <w:bookmarkStart w:id="443" w:name="_Toc366145859"/>
      <w:bookmarkStart w:id="444" w:name="_Toc366249606"/>
      <w:bookmarkStart w:id="445" w:name="_Toc366758000"/>
      <w:bookmarkStart w:id="446" w:name="_Toc366855788"/>
      <w:bookmarkStart w:id="447" w:name="_Toc366856269"/>
      <w:bookmarkStart w:id="448" w:name="_Toc367108924"/>
      <w:bookmarkStart w:id="449" w:name="_Toc367372963"/>
      <w:bookmarkStart w:id="450" w:name="_Toc367440571"/>
      <w:r w:rsidRPr="005211DB">
        <w:rPr>
          <w:color w:val="010101"/>
        </w:rPr>
        <w:t xml:space="preserve">Competitive </w:t>
      </w:r>
      <w:r w:rsidR="008915A4" w:rsidRPr="005211DB">
        <w:rPr>
          <w:color w:val="010101"/>
        </w:rPr>
        <w:t>Overview</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8915A4" w:rsidRPr="005211DB" w:rsidRDefault="008915A4" w:rsidP="008915A4">
      <w:pPr>
        <w:pStyle w:val="ParaNum"/>
        <w:rPr>
          <w:color w:val="010101"/>
        </w:rPr>
      </w:pPr>
      <w:r w:rsidRPr="005211DB">
        <w:rPr>
          <w:color w:val="010101"/>
        </w:rPr>
        <w:t>Horizontal transactions</w:t>
      </w:r>
      <w:r w:rsidR="0012117A" w:rsidRPr="005211DB">
        <w:rPr>
          <w:color w:val="010101"/>
        </w:rPr>
        <w:t xml:space="preserve"> </w:t>
      </w:r>
      <w:r w:rsidR="00EE503A" w:rsidRPr="005211DB">
        <w:rPr>
          <w:color w:val="010101"/>
        </w:rPr>
        <w:t>such as the proposed transaction</w:t>
      </w:r>
      <w:r w:rsidR="00074F7E" w:rsidRPr="005211DB">
        <w:rPr>
          <w:color w:val="010101"/>
        </w:rPr>
        <w:t>,</w:t>
      </w:r>
      <w:r w:rsidR="00EE503A" w:rsidRPr="005211DB">
        <w:rPr>
          <w:color w:val="010101"/>
        </w:rPr>
        <w:t xml:space="preserve"> in which </w:t>
      </w:r>
      <w:r w:rsidR="00074F7E" w:rsidRPr="005211DB">
        <w:rPr>
          <w:color w:val="010101"/>
        </w:rPr>
        <w:t xml:space="preserve">rival firms in the same market </w:t>
      </w:r>
      <w:r w:rsidR="00C40325" w:rsidRPr="005211DB">
        <w:rPr>
          <w:color w:val="010101"/>
        </w:rPr>
        <w:t xml:space="preserve">are </w:t>
      </w:r>
      <w:r w:rsidR="00ED5110" w:rsidRPr="005211DB">
        <w:rPr>
          <w:color w:val="010101"/>
        </w:rPr>
        <w:t>combin</w:t>
      </w:r>
      <w:r w:rsidR="00C40325" w:rsidRPr="005211DB">
        <w:rPr>
          <w:color w:val="010101"/>
        </w:rPr>
        <w:t>ing</w:t>
      </w:r>
      <w:r w:rsidR="00EE503A" w:rsidRPr="005211DB">
        <w:rPr>
          <w:color w:val="010101"/>
        </w:rPr>
        <w:t xml:space="preserve">, </w:t>
      </w:r>
      <w:r w:rsidRPr="005211DB">
        <w:rPr>
          <w:color w:val="010101"/>
        </w:rPr>
        <w:t xml:space="preserve">raise potential competitive concerns when the </w:t>
      </w:r>
      <w:r w:rsidR="00ED5110" w:rsidRPr="005211DB">
        <w:rPr>
          <w:color w:val="010101"/>
        </w:rPr>
        <w:t xml:space="preserve">combined </w:t>
      </w:r>
      <w:r w:rsidRPr="005211DB">
        <w:rPr>
          <w:color w:val="010101"/>
        </w:rPr>
        <w:t xml:space="preserve">entity has the incentive and the ability, either by itself or in coordination with other service providers, to raise prices, lower quality, or otherwise harm competition in </w:t>
      </w:r>
      <w:r w:rsidR="000D1D9A" w:rsidRPr="005211DB">
        <w:rPr>
          <w:color w:val="010101"/>
        </w:rPr>
        <w:t>a</w:t>
      </w:r>
      <w:r w:rsidRPr="005211DB">
        <w:rPr>
          <w:color w:val="010101"/>
        </w:rPr>
        <w:t xml:space="preserve"> </w:t>
      </w:r>
      <w:r w:rsidR="000D1D9A" w:rsidRPr="005211DB">
        <w:rPr>
          <w:color w:val="010101"/>
        </w:rPr>
        <w:t xml:space="preserve">relevant </w:t>
      </w:r>
      <w:r w:rsidRPr="005211DB">
        <w:rPr>
          <w:color w:val="010101"/>
        </w:rPr>
        <w:t>market.</w:t>
      </w:r>
      <w:r w:rsidR="005A3EE0" w:rsidRPr="005211DB">
        <w:rPr>
          <w:rStyle w:val="FootnoteReference"/>
        </w:rPr>
        <w:footnoteReference w:id="55"/>
      </w:r>
      <w:r w:rsidRPr="005211DB">
        <w:rPr>
          <w:color w:val="010101"/>
        </w:rPr>
        <w:t xml:space="preserve"> </w:t>
      </w:r>
      <w:r w:rsidR="00FB450F" w:rsidRPr="005211DB">
        <w:rPr>
          <w:color w:val="010101"/>
        </w:rPr>
        <w:t xml:space="preserve"> </w:t>
      </w:r>
      <w:r w:rsidR="00EA791E" w:rsidRPr="005211DB">
        <w:rPr>
          <w:color w:val="010101"/>
        </w:rPr>
        <w:t>In our market-by-market analysis, w</w:t>
      </w:r>
      <w:r w:rsidRPr="005211DB">
        <w:rPr>
          <w:color w:val="010101"/>
        </w:rPr>
        <w:t xml:space="preserve">e </w:t>
      </w:r>
      <w:r w:rsidR="003B0269" w:rsidRPr="005211DB">
        <w:rPr>
          <w:color w:val="010101"/>
        </w:rPr>
        <w:t xml:space="preserve">examine </w:t>
      </w:r>
      <w:r w:rsidRPr="005211DB">
        <w:rPr>
          <w:color w:val="010101"/>
        </w:rPr>
        <w:t xml:space="preserve">the likelihood of competitive harm </w:t>
      </w:r>
      <w:r w:rsidR="00932972" w:rsidRPr="005211DB">
        <w:rPr>
          <w:color w:val="010101"/>
        </w:rPr>
        <w:t xml:space="preserve">by </w:t>
      </w:r>
      <w:r w:rsidR="00E20320" w:rsidRPr="005211DB">
        <w:rPr>
          <w:color w:val="010101"/>
        </w:rPr>
        <w:t>estimating</w:t>
      </w:r>
      <w:r w:rsidRPr="005211DB">
        <w:rPr>
          <w:color w:val="010101"/>
        </w:rPr>
        <w:t xml:space="preserve"> </w:t>
      </w:r>
      <w:r w:rsidR="00925500" w:rsidRPr="005211DB">
        <w:rPr>
          <w:color w:val="010101"/>
        </w:rPr>
        <w:t xml:space="preserve">the extent to which </w:t>
      </w:r>
      <w:r w:rsidRPr="005211DB">
        <w:rPr>
          <w:color w:val="010101"/>
        </w:rPr>
        <w:t>market concentration</w:t>
      </w:r>
      <w:r w:rsidR="00925500" w:rsidRPr="005211DB">
        <w:rPr>
          <w:color w:val="010101"/>
        </w:rPr>
        <w:t>, as measured by the Herfindahl-Hirschman Index (“HHI”),</w:t>
      </w:r>
      <w:r w:rsidRPr="005211DB">
        <w:rPr>
          <w:color w:val="010101"/>
        </w:rPr>
        <w:t xml:space="preserve"> </w:t>
      </w:r>
      <w:r w:rsidR="00925500" w:rsidRPr="005211DB">
        <w:rPr>
          <w:color w:val="010101"/>
        </w:rPr>
        <w:t xml:space="preserve">would increase </w:t>
      </w:r>
      <w:r w:rsidRPr="005211DB">
        <w:rPr>
          <w:color w:val="010101"/>
        </w:rPr>
        <w:t>as a result of the proposed transaction</w:t>
      </w:r>
      <w:r w:rsidR="000B0B13" w:rsidRPr="005211DB">
        <w:rPr>
          <w:color w:val="010101"/>
        </w:rPr>
        <w:t>.</w:t>
      </w:r>
      <w:r w:rsidRPr="005211DB">
        <w:rPr>
          <w:rStyle w:val="FootnoteReference"/>
        </w:rPr>
        <w:footnoteReference w:id="56"/>
      </w:r>
      <w:r w:rsidRPr="005211DB">
        <w:rPr>
          <w:color w:val="010101"/>
        </w:rPr>
        <w:t xml:space="preserve"> </w:t>
      </w:r>
      <w:r w:rsidR="00D32198" w:rsidRPr="005211DB">
        <w:rPr>
          <w:color w:val="010101"/>
        </w:rPr>
        <w:t xml:space="preserve"> </w:t>
      </w:r>
      <w:r w:rsidR="00932972" w:rsidRPr="005211DB">
        <w:rPr>
          <w:color w:val="010101"/>
        </w:rPr>
        <w:t>W</w:t>
      </w:r>
      <w:r w:rsidR="00925500" w:rsidRPr="005211DB">
        <w:rPr>
          <w:color w:val="010101"/>
        </w:rPr>
        <w:t xml:space="preserve">e assess </w:t>
      </w:r>
      <w:r w:rsidR="00B50C44" w:rsidRPr="005211DB">
        <w:rPr>
          <w:color w:val="010101"/>
        </w:rPr>
        <w:t xml:space="preserve">the potential competitive effects, post-transaction, of </w:t>
      </w:r>
      <w:r w:rsidR="00E20320" w:rsidRPr="005211DB">
        <w:rPr>
          <w:color w:val="010101"/>
        </w:rPr>
        <w:t xml:space="preserve">these </w:t>
      </w:r>
      <w:r w:rsidR="00B50C44" w:rsidRPr="005211DB">
        <w:rPr>
          <w:color w:val="010101"/>
        </w:rPr>
        <w:t xml:space="preserve">increases in market concentration.  </w:t>
      </w:r>
      <w:r w:rsidR="00C40325" w:rsidRPr="005211DB">
        <w:rPr>
          <w:color w:val="010101"/>
        </w:rPr>
        <w:t>In our market-by-market analysis,</w:t>
      </w:r>
      <w:r w:rsidRPr="005211DB">
        <w:rPr>
          <w:color w:val="010101"/>
        </w:rPr>
        <w:t xml:space="preserve"> </w:t>
      </w:r>
      <w:r w:rsidR="00AC0ACD" w:rsidRPr="005211DB">
        <w:t xml:space="preserve">we </w:t>
      </w:r>
      <w:r w:rsidR="00C40325" w:rsidRPr="005211DB">
        <w:t xml:space="preserve">also </w:t>
      </w:r>
      <w:r w:rsidR="006A6DA6" w:rsidRPr="005211DB">
        <w:t>examine</w:t>
      </w:r>
      <w:r w:rsidRPr="005211DB">
        <w:t xml:space="preserve"> the </w:t>
      </w:r>
      <w:r w:rsidR="006A6DA6" w:rsidRPr="005211DB">
        <w:t xml:space="preserve">likely </w:t>
      </w:r>
      <w:r w:rsidRPr="005211DB">
        <w:t xml:space="preserve">competitive effects of </w:t>
      </w:r>
      <w:r w:rsidR="003B0269" w:rsidRPr="005211DB">
        <w:t xml:space="preserve">an increase in </w:t>
      </w:r>
      <w:r w:rsidRPr="005211DB">
        <w:t xml:space="preserve">spectrum </w:t>
      </w:r>
      <w:r w:rsidR="003B0269" w:rsidRPr="005211DB">
        <w:t>holdings</w:t>
      </w:r>
      <w:r w:rsidRPr="005211DB">
        <w:t xml:space="preserve"> on the marketplace.</w:t>
      </w:r>
      <w:r w:rsidRPr="005211DB">
        <w:rPr>
          <w:rStyle w:val="FootnoteReference"/>
        </w:rPr>
        <w:footnoteReference w:id="57"/>
      </w:r>
      <w:r w:rsidR="00FC6E90" w:rsidRPr="005211DB">
        <w:t xml:space="preserve">  </w:t>
      </w:r>
      <w:r w:rsidRPr="005211DB">
        <w:rPr>
          <w:color w:val="010101"/>
        </w:rPr>
        <w:t xml:space="preserve">Spectrum is an essential input in the provision of mobile wireless services, and ensuring that sufficient spectrum is available for incumbent licensees as well as potential </w:t>
      </w:r>
      <w:r w:rsidR="000D4F46" w:rsidRPr="005211DB">
        <w:rPr>
          <w:color w:val="010101"/>
        </w:rPr>
        <w:t xml:space="preserve">new </w:t>
      </w:r>
      <w:r w:rsidRPr="005211DB">
        <w:rPr>
          <w:color w:val="010101"/>
        </w:rPr>
        <w:t>entrants is critical to promoting effective competition and innovation in the marketplac</w:t>
      </w:r>
      <w:r w:rsidR="000B0B13" w:rsidRPr="005211DB">
        <w:rPr>
          <w:color w:val="010101"/>
        </w:rPr>
        <w:t>e.</w:t>
      </w:r>
      <w:r w:rsidRPr="005211DB">
        <w:rPr>
          <w:color w:val="010101"/>
          <w:vertAlign w:val="superscript"/>
        </w:rPr>
        <w:footnoteReference w:id="58"/>
      </w:r>
      <w:r w:rsidR="00F6042B" w:rsidRPr="005211DB">
        <w:rPr>
          <w:color w:val="010101"/>
        </w:rPr>
        <w:t xml:space="preserve">  </w:t>
      </w:r>
    </w:p>
    <w:p w:rsidR="00A92442" w:rsidRPr="005211DB" w:rsidRDefault="008915A4" w:rsidP="00A92442">
      <w:pPr>
        <w:pStyle w:val="ParaNum"/>
      </w:pPr>
      <w:r w:rsidRPr="005211DB">
        <w:rPr>
          <w:color w:val="010101"/>
        </w:rPr>
        <w:t xml:space="preserve">In considering the applications before us, </w:t>
      </w:r>
      <w:r w:rsidR="003B0269" w:rsidRPr="005211DB">
        <w:t>we find</w:t>
      </w:r>
      <w:r w:rsidR="00932972" w:rsidRPr="005211DB">
        <w:t>,</w:t>
      </w:r>
      <w:r w:rsidR="00932972" w:rsidRPr="005211DB">
        <w:rPr>
          <w:color w:val="010101"/>
        </w:rPr>
        <w:t xml:space="preserve"> as detailed below, </w:t>
      </w:r>
      <w:r w:rsidR="003B0269" w:rsidRPr="005211DB">
        <w:t xml:space="preserve">that the </w:t>
      </w:r>
      <w:r w:rsidR="00D62B65" w:rsidRPr="005211DB">
        <w:t xml:space="preserve">proposed </w:t>
      </w:r>
      <w:r w:rsidR="003B0269" w:rsidRPr="005211DB">
        <w:t xml:space="preserve">transaction </w:t>
      </w:r>
      <w:r w:rsidR="00F47738" w:rsidRPr="005211DB">
        <w:t>would likely</w:t>
      </w:r>
      <w:r w:rsidR="001806D6" w:rsidRPr="005211DB">
        <w:t xml:space="preserve"> lead</w:t>
      </w:r>
      <w:r w:rsidR="001828B3" w:rsidRPr="005211DB">
        <w:t xml:space="preserve"> to competitive or other </w:t>
      </w:r>
      <w:r w:rsidR="003B0269" w:rsidRPr="005211DB">
        <w:t xml:space="preserve">public interest harms in the provision of mobile wireless </w:t>
      </w:r>
      <w:r w:rsidR="002A6537" w:rsidRPr="005211DB">
        <w:t>services</w:t>
      </w:r>
      <w:r w:rsidR="001828B3" w:rsidRPr="005211DB">
        <w:t xml:space="preserve"> in </w:t>
      </w:r>
      <w:r w:rsidR="00B26806" w:rsidRPr="005211DB">
        <w:t xml:space="preserve">several </w:t>
      </w:r>
      <w:r w:rsidR="001828B3" w:rsidRPr="005211DB">
        <w:t>local markets</w:t>
      </w:r>
      <w:r w:rsidR="001806D6" w:rsidRPr="005211DB">
        <w:t>.</w:t>
      </w:r>
    </w:p>
    <w:p w:rsidR="008915A4" w:rsidRPr="005211DB" w:rsidRDefault="008915A4" w:rsidP="008915A4">
      <w:pPr>
        <w:pStyle w:val="Heading3"/>
        <w:rPr>
          <w:color w:val="010101"/>
        </w:rPr>
      </w:pPr>
      <w:bookmarkStart w:id="451" w:name="_Toc349157001"/>
      <w:bookmarkStart w:id="452" w:name="_Toc349170678"/>
      <w:bookmarkStart w:id="453" w:name="_Toc349170735"/>
      <w:bookmarkStart w:id="454" w:name="_Toc349202855"/>
      <w:bookmarkStart w:id="455" w:name="_Toc349259341"/>
      <w:bookmarkStart w:id="456" w:name="_Toc349316339"/>
      <w:bookmarkStart w:id="457" w:name="_Toc349573252"/>
      <w:bookmarkStart w:id="458" w:name="_Toc349741782"/>
      <w:bookmarkStart w:id="459" w:name="_Toc349812409"/>
      <w:bookmarkStart w:id="460" w:name="_Toc349932728"/>
      <w:bookmarkStart w:id="461" w:name="_Toc350432488"/>
      <w:bookmarkStart w:id="462" w:name="_Toc350787843"/>
      <w:bookmarkStart w:id="463" w:name="_Toc366145536"/>
      <w:bookmarkStart w:id="464" w:name="_Toc366145744"/>
      <w:bookmarkStart w:id="465" w:name="_Toc366145860"/>
      <w:bookmarkStart w:id="466" w:name="_Toc366249607"/>
      <w:bookmarkStart w:id="467" w:name="_Toc366758001"/>
      <w:bookmarkStart w:id="468" w:name="_Toc366855789"/>
      <w:bookmarkStart w:id="469" w:name="_Toc366856270"/>
      <w:bookmarkStart w:id="470" w:name="_Toc367108925"/>
      <w:bookmarkStart w:id="471" w:name="_Toc367372964"/>
      <w:bookmarkStart w:id="472" w:name="_Toc367440572"/>
      <w:r w:rsidRPr="005211DB">
        <w:rPr>
          <w:color w:val="010101"/>
        </w:rPr>
        <w:t>Market Definition</w:t>
      </w:r>
      <w:r w:rsidR="000B0B13" w:rsidRPr="005211DB">
        <w:rPr>
          <w:color w:val="010101"/>
        </w:rPr>
        <w: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8915A4" w:rsidRPr="005211DB" w:rsidRDefault="008915A4" w:rsidP="008915A4">
      <w:pPr>
        <w:pStyle w:val="ParaNum"/>
        <w:rPr>
          <w:color w:val="010101"/>
        </w:rPr>
      </w:pPr>
      <w:r w:rsidRPr="005211DB">
        <w:rPr>
          <w:color w:val="010101"/>
        </w:rPr>
        <w:t xml:space="preserve">We begin our competitive analysis by determining the appropriate market definitions for </w:t>
      </w:r>
      <w:r w:rsidR="007A0089" w:rsidRPr="005211DB">
        <w:rPr>
          <w:color w:val="010101"/>
        </w:rPr>
        <w:t xml:space="preserve">the proposed </w:t>
      </w:r>
      <w:r w:rsidRPr="005211DB">
        <w:rPr>
          <w:color w:val="010101"/>
        </w:rPr>
        <w:t>transaction,</w:t>
      </w:r>
      <w:r w:rsidR="0071541D" w:rsidRPr="005211DB">
        <w:rPr>
          <w:rStyle w:val="FootnoteReference"/>
        </w:rPr>
        <w:footnoteReference w:id="59"/>
      </w:r>
      <w:r w:rsidRPr="005211DB">
        <w:rPr>
          <w:color w:val="010101"/>
        </w:rPr>
        <w:t xml:space="preserve"> including a determination of the product market, </w:t>
      </w:r>
      <w:r w:rsidR="00120DBB">
        <w:rPr>
          <w:color w:val="010101"/>
        </w:rPr>
        <w:t xml:space="preserve">the </w:t>
      </w:r>
      <w:r w:rsidRPr="005211DB">
        <w:rPr>
          <w:color w:val="010101"/>
        </w:rPr>
        <w:t xml:space="preserve">geographic market, the input market for spectrum suitable and available for the provision of mobile wireless services, and the market participants.  </w:t>
      </w:r>
    </w:p>
    <w:p w:rsidR="00AE47AB" w:rsidRPr="005211DB" w:rsidRDefault="00AE47AB" w:rsidP="00AE47AB">
      <w:pPr>
        <w:pStyle w:val="ParaNum"/>
      </w:pPr>
      <w:r w:rsidRPr="005211DB">
        <w:rPr>
          <w:i/>
          <w:color w:val="010101"/>
        </w:rPr>
        <w:t>Product Market</w:t>
      </w:r>
      <w:r w:rsidR="002E2144" w:rsidRPr="005211DB">
        <w:rPr>
          <w:i/>
          <w:color w:val="010101"/>
        </w:rPr>
        <w:t>.</w:t>
      </w:r>
      <w:r w:rsidRPr="005211DB">
        <w:rPr>
          <w:color w:val="010101"/>
        </w:rPr>
        <w:t xml:space="preserve"> </w:t>
      </w:r>
      <w:r w:rsidR="001269B1" w:rsidRPr="005211DB">
        <w:rPr>
          <w:color w:val="010101"/>
        </w:rPr>
        <w:t xml:space="preserve"> </w:t>
      </w:r>
      <w:r w:rsidRPr="005211DB">
        <w:t xml:space="preserve">We continue to use </w:t>
      </w:r>
      <w:r w:rsidRPr="005211DB">
        <w:rPr>
          <w:color w:val="010101"/>
        </w:rPr>
        <w:t>the product market definition that the Commission has applied in recent transactions:  a combined “mobile telephony/broadband services” product market that is comprised of mobile voice and data services, including mobile voice and data services provided over advanced broadband wireless networks</w:t>
      </w:r>
      <w:r w:rsidR="007A0089" w:rsidRPr="005211DB">
        <w:rPr>
          <w:color w:val="010101"/>
        </w:rPr>
        <w:t xml:space="preserve"> (mobile broadband services)</w:t>
      </w:r>
      <w:r w:rsidRPr="005211DB">
        <w:rPr>
          <w:color w:val="010101"/>
        </w:rPr>
        <w:t>.</w:t>
      </w:r>
      <w:r w:rsidRPr="005211DB">
        <w:rPr>
          <w:color w:val="010101"/>
          <w:vertAlign w:val="superscript"/>
        </w:rPr>
        <w:footnoteReference w:id="60"/>
      </w:r>
      <w:r w:rsidRPr="005211DB">
        <w:rPr>
          <w:color w:val="010101"/>
        </w:rPr>
        <w:t xml:space="preserve">  We note that no party in the proceeding challenged this mobile telephony/broadband services product market definition.</w:t>
      </w:r>
    </w:p>
    <w:p w:rsidR="001179D0" w:rsidRPr="005211DB" w:rsidRDefault="00AE47AB" w:rsidP="00AE47AB">
      <w:pPr>
        <w:pStyle w:val="ParaNum"/>
      </w:pPr>
      <w:r w:rsidRPr="005211DB">
        <w:rPr>
          <w:i/>
        </w:rPr>
        <w:t>Geographic Market</w:t>
      </w:r>
      <w:r w:rsidR="002E2144" w:rsidRPr="005211DB">
        <w:rPr>
          <w:i/>
        </w:rPr>
        <w:t>.</w:t>
      </w:r>
      <w:r w:rsidRPr="005211DB">
        <w:t xml:space="preserve">  </w:t>
      </w:r>
      <w:r w:rsidR="001179D0" w:rsidRPr="005211DB">
        <w:t>The Commission has found that the relevant geographic markets for certain wireless transactions generally are “local” and also has evaluated a transaction’s competitive effects at the national level where a transaction exhibits certain national characteristics that provide cause for concern.</w:t>
      </w:r>
      <w:r w:rsidR="001179D0" w:rsidRPr="005211DB">
        <w:rPr>
          <w:rStyle w:val="FootnoteReference"/>
        </w:rPr>
        <w:footnoteReference w:id="61"/>
      </w:r>
      <w:r w:rsidR="001179D0" w:rsidRPr="005211DB">
        <w:t xml:space="preserve">  As discussed below, for this transaction, we continue to use </w:t>
      </w:r>
      <w:r w:rsidR="001179D0" w:rsidRPr="005211DB">
        <w:rPr>
          <w:color w:val="010101"/>
        </w:rPr>
        <w:t>CMAs as the local geographic markets</w:t>
      </w:r>
      <w:r w:rsidR="001179D0" w:rsidRPr="005211DB">
        <w:t>, and find no reason to analyze competitive effects at a national level.</w:t>
      </w:r>
    </w:p>
    <w:p w:rsidR="007A49AB" w:rsidRPr="005211DB" w:rsidRDefault="005054EE" w:rsidP="00AE47AB">
      <w:pPr>
        <w:pStyle w:val="ParaNum"/>
      </w:pPr>
      <w:r w:rsidRPr="005211DB">
        <w:t>The Applicants argue that it does not matter whether the geographic market is viewed as local or national since AT&amp;T and Allied are not close competitors</w:t>
      </w:r>
      <w:r w:rsidR="00D62B65" w:rsidRPr="005211DB">
        <w:t>, and</w:t>
      </w:r>
      <w:r w:rsidR="00932972" w:rsidRPr="005211DB">
        <w:t>,</w:t>
      </w:r>
      <w:r w:rsidR="00D62B65" w:rsidRPr="005211DB">
        <w:t xml:space="preserve"> further, </w:t>
      </w:r>
      <w:r w:rsidR="00932972" w:rsidRPr="005211DB">
        <w:t xml:space="preserve">that </w:t>
      </w:r>
      <w:r w:rsidR="00D62B65" w:rsidRPr="005211DB">
        <w:t>Allied exert</w:t>
      </w:r>
      <w:r w:rsidR="00802DB5" w:rsidRPr="005211DB">
        <w:t>s</w:t>
      </w:r>
      <w:r w:rsidR="00D62B65" w:rsidRPr="005211DB">
        <w:t xml:space="preserve"> no influence on the competitive decision making of AT&amp;T because of its small size and unusual footprint</w:t>
      </w:r>
      <w:r w:rsidRPr="005211DB">
        <w:t>.</w:t>
      </w:r>
      <w:r w:rsidRPr="005211DB">
        <w:rPr>
          <w:rStyle w:val="FootnoteReference"/>
        </w:rPr>
        <w:footnoteReference w:id="62"/>
      </w:r>
      <w:r w:rsidRPr="005211DB">
        <w:t xml:space="preserve">  The Applicants </w:t>
      </w:r>
      <w:r w:rsidR="00932972" w:rsidRPr="005211DB">
        <w:t xml:space="preserve">also </w:t>
      </w:r>
      <w:r w:rsidRPr="005211DB">
        <w:t>note that the transaction does not reduce the number of nationwide competitors in any market.</w:t>
      </w:r>
      <w:r w:rsidRPr="005211DB">
        <w:rPr>
          <w:rStyle w:val="FootnoteReference"/>
        </w:rPr>
        <w:footnoteReference w:id="63"/>
      </w:r>
      <w:r w:rsidR="001179D0" w:rsidRPr="005211DB">
        <w:t xml:space="preserve">  No other party to the proceeding addresses whether we should use a local or national geographic market definition or both.</w:t>
      </w:r>
    </w:p>
    <w:p w:rsidR="009E45BB" w:rsidRPr="005211DB" w:rsidRDefault="001179D0" w:rsidP="00AE47AB">
      <w:pPr>
        <w:pStyle w:val="ParaNum"/>
      </w:pPr>
      <w:r w:rsidRPr="005211DB">
        <w:t xml:space="preserve">The Commission has found that the relevant geographic markets for </w:t>
      </w:r>
      <w:r w:rsidRPr="005211DB">
        <w:rPr>
          <w:color w:val="010101"/>
        </w:rPr>
        <w:t>wireless</w:t>
      </w:r>
      <w:r w:rsidRPr="005211DB">
        <w:t xml:space="preserve"> transactions generally are “local”</w:t>
      </w:r>
      <w:r w:rsidRPr="005211DB">
        <w:rPr>
          <w:vertAlign w:val="superscript"/>
        </w:rPr>
        <w:footnoteReference w:id="64"/>
      </w:r>
      <w:r w:rsidRPr="005211DB">
        <w:t xml:space="preserve"> </w:t>
      </w:r>
      <w:r w:rsidRPr="005211DB">
        <w:rPr>
          <w:color w:val="010101"/>
        </w:rPr>
        <w:t>because most consumers use their mobile telephony/broadband services where they live, work, and shop</w:t>
      </w:r>
      <w:r w:rsidR="004500E8" w:rsidRPr="005211DB">
        <w:rPr>
          <w:color w:val="010101"/>
        </w:rPr>
        <w:t>,</w:t>
      </w:r>
      <w:r w:rsidRPr="005211DB">
        <w:rPr>
          <w:color w:val="010101"/>
        </w:rPr>
        <w:t xml:space="preserve"> and so purchase their services from service providers that offer and market services locally.</w:t>
      </w:r>
      <w:r w:rsidRPr="005211DB">
        <w:rPr>
          <w:rStyle w:val="FootnoteReference"/>
        </w:rPr>
        <w:footnoteReference w:id="65"/>
      </w:r>
      <w:r w:rsidRPr="005211DB">
        <w:rPr>
          <w:color w:val="010101"/>
        </w:rPr>
        <w:t xml:space="preserve">  </w:t>
      </w:r>
      <w:r w:rsidR="009E45BB" w:rsidRPr="005211DB">
        <w:rPr>
          <w:color w:val="010101"/>
        </w:rPr>
        <w:t>Service sold in distant locations is not a good substitute for service near a consumer’s home or work.</w:t>
      </w:r>
      <w:r w:rsidR="009E45BB" w:rsidRPr="005211DB">
        <w:rPr>
          <w:rStyle w:val="FootnoteReference"/>
        </w:rPr>
        <w:footnoteReference w:id="66"/>
      </w:r>
      <w:r w:rsidR="009E45BB" w:rsidRPr="005211DB">
        <w:rPr>
          <w:color w:val="010101"/>
        </w:rPr>
        <w:t xml:space="preserve">  In addition, service providers compete at the local level in terms of coverage, service quality, and localized promotions.</w:t>
      </w:r>
      <w:r w:rsidR="009E45BB" w:rsidRPr="005211DB">
        <w:rPr>
          <w:rStyle w:val="FootnoteReference"/>
        </w:rPr>
        <w:footnoteReference w:id="67"/>
      </w:r>
      <w:r w:rsidR="009E45BB" w:rsidRPr="005211DB">
        <w:rPr>
          <w:color w:val="010101"/>
        </w:rPr>
        <w:t xml:space="preserve">  As the Commission has previously recognized, however, two key competitive variables – prices and service plan offerings – do not vary for most providers across most geographic markets.</w:t>
      </w:r>
      <w:r w:rsidR="009E45BB" w:rsidRPr="005211DB">
        <w:rPr>
          <w:rStyle w:val="FootnoteReference"/>
        </w:rPr>
        <w:footnoteReference w:id="68"/>
      </w:r>
    </w:p>
    <w:p w:rsidR="00945639" w:rsidRPr="005211DB" w:rsidRDefault="009E45BB" w:rsidP="00AE47AB">
      <w:pPr>
        <w:pStyle w:val="ParaNum"/>
      </w:pPr>
      <w:r w:rsidRPr="005211DB">
        <w:rPr>
          <w:color w:val="010101"/>
        </w:rPr>
        <w:t xml:space="preserve">While the Commission has in the past, where appropriate, analyzed </w:t>
      </w:r>
      <w:r w:rsidR="00B26806" w:rsidRPr="005211DB">
        <w:rPr>
          <w:color w:val="010101"/>
        </w:rPr>
        <w:t xml:space="preserve">in detail </w:t>
      </w:r>
      <w:r w:rsidRPr="005211DB">
        <w:rPr>
          <w:color w:val="010101"/>
        </w:rPr>
        <w:t xml:space="preserve">a transaction’s competitive effects at the national level, we see no reason to do so </w:t>
      </w:r>
      <w:r w:rsidR="002E2144" w:rsidRPr="005211DB">
        <w:rPr>
          <w:color w:val="010101"/>
        </w:rPr>
        <w:t>here</w:t>
      </w:r>
      <w:r w:rsidRPr="005211DB">
        <w:rPr>
          <w:color w:val="010101"/>
        </w:rPr>
        <w:t xml:space="preserve">.  Through the proposed transaction, AT&amp;T would acquire a regionally dispersed network that covers approximately 4.7 million people or under </w:t>
      </w:r>
      <w:r w:rsidR="00CF464D" w:rsidRPr="005211DB">
        <w:rPr>
          <w:color w:val="010101"/>
        </w:rPr>
        <w:t xml:space="preserve">two </w:t>
      </w:r>
      <w:r w:rsidRPr="005211DB">
        <w:rPr>
          <w:color w:val="010101"/>
        </w:rPr>
        <w:t>percent of the population of the mainland United States.</w:t>
      </w:r>
      <w:r w:rsidR="00DE73BD" w:rsidRPr="005211DB">
        <w:rPr>
          <w:color w:val="010101"/>
        </w:rPr>
        <w:t xml:space="preserve"> </w:t>
      </w:r>
      <w:r w:rsidR="00373DAD">
        <w:rPr>
          <w:color w:val="010101"/>
        </w:rPr>
        <w:t xml:space="preserve"> </w:t>
      </w:r>
      <w:r w:rsidR="00DE73BD" w:rsidRPr="005211DB">
        <w:rPr>
          <w:color w:val="010101"/>
        </w:rPr>
        <w:t xml:space="preserve">Given the limited local nature of the proposed transaction, </w:t>
      </w:r>
      <w:r w:rsidR="00120DBB">
        <w:rPr>
          <w:color w:val="010101"/>
        </w:rPr>
        <w:t>we find it unlikely that there would be any significant effects of the transaction at the national level.</w:t>
      </w:r>
      <w:r w:rsidR="007761C1" w:rsidRPr="005211DB">
        <w:rPr>
          <w:color w:val="010101"/>
          <w:vertAlign w:val="superscript"/>
        </w:rPr>
        <w:footnoteReference w:id="69"/>
      </w:r>
      <w:r w:rsidR="007761C1" w:rsidRPr="005211DB">
        <w:rPr>
          <w:color w:val="010101"/>
        </w:rPr>
        <w:t xml:space="preserve"> </w:t>
      </w:r>
      <w:r w:rsidR="00120DBB">
        <w:rPr>
          <w:color w:val="010101"/>
        </w:rPr>
        <w:t xml:space="preserve"> We therefore focus our analysis on any potential competitive harm that would likely be realized at the local level</w:t>
      </w:r>
      <w:r w:rsidR="00DE73BD" w:rsidRPr="005211DB">
        <w:rPr>
          <w:color w:val="010101"/>
        </w:rPr>
        <w:t>.</w:t>
      </w:r>
      <w:r w:rsidR="00864A09" w:rsidRPr="005211DB">
        <w:rPr>
          <w:color w:val="010101"/>
          <w:vertAlign w:val="superscript"/>
        </w:rPr>
        <w:footnoteReference w:id="70"/>
      </w:r>
      <w:r w:rsidR="00864A09" w:rsidRPr="005211DB">
        <w:rPr>
          <w:color w:val="010101"/>
        </w:rPr>
        <w:t xml:space="preserve">  </w:t>
      </w:r>
      <w:r w:rsidRPr="005211DB">
        <w:t xml:space="preserve"> </w:t>
      </w:r>
    </w:p>
    <w:p w:rsidR="001C0E0C" w:rsidRPr="005211DB" w:rsidRDefault="00AE47AB" w:rsidP="00AE47AB">
      <w:pPr>
        <w:pStyle w:val="ParaNum"/>
      </w:pPr>
      <w:r w:rsidRPr="005211DB">
        <w:rPr>
          <w:i/>
        </w:rPr>
        <w:t>Input Market for Spectrum</w:t>
      </w:r>
      <w:r w:rsidR="002E2144" w:rsidRPr="005211DB">
        <w:rPr>
          <w:i/>
        </w:rPr>
        <w:t>.</w:t>
      </w:r>
      <w:r w:rsidR="00B10BFE" w:rsidRPr="005211DB">
        <w:t xml:space="preserve">  </w:t>
      </w:r>
      <w:r w:rsidRPr="005211DB">
        <w:t xml:space="preserve">When a proposed transaction would increase the concentration of spectrum holdings in any local market, the Commission evaluates the </w:t>
      </w:r>
      <w:r w:rsidR="004D4F6D" w:rsidRPr="005211DB">
        <w:t xml:space="preserve">acquiring firm’s </w:t>
      </w:r>
      <w:r w:rsidRPr="005211DB">
        <w:t xml:space="preserve">post-transaction holdings of </w:t>
      </w:r>
      <w:r w:rsidR="004D4F6D" w:rsidRPr="005211DB">
        <w:t xml:space="preserve">spectrum </w:t>
      </w:r>
      <w:r w:rsidRPr="005211DB">
        <w:t xml:space="preserve">that </w:t>
      </w:r>
      <w:r w:rsidR="004D4F6D" w:rsidRPr="005211DB">
        <w:t>is</w:t>
      </w:r>
      <w:r w:rsidRPr="005211DB">
        <w:t xml:space="preserve"> “suitable” and “available” in the near term for the provision of mobile telephony/broadband services.</w:t>
      </w:r>
      <w:r w:rsidRPr="005211DB">
        <w:rPr>
          <w:rStyle w:val="FootnoteReference"/>
        </w:rPr>
        <w:footnoteReference w:id="71"/>
      </w:r>
      <w:r w:rsidRPr="005211DB">
        <w:t xml:space="preserve">  </w:t>
      </w:r>
      <w:r w:rsidR="000E11C4" w:rsidRPr="005211DB">
        <w:t>The Commission previously has determined that cellular, broadband PCS, Specialized Mobile Radio</w:t>
      </w:r>
      <w:r w:rsidR="000E11C4" w:rsidRPr="005211DB">
        <w:rPr>
          <w:rStyle w:val="Normal2"/>
        </w:rPr>
        <w:t xml:space="preserve"> (“</w:t>
      </w:r>
      <w:r w:rsidR="000E11C4" w:rsidRPr="005211DB">
        <w:t xml:space="preserve">SMR”), and 700 MHz band spectrum, as well as </w:t>
      </w:r>
      <w:r w:rsidR="00745FDC">
        <w:t>Advanced Wireless Services (“</w:t>
      </w:r>
      <w:r w:rsidR="000E11C4" w:rsidRPr="005211DB">
        <w:t>AWS-1</w:t>
      </w:r>
      <w:r w:rsidR="00745FDC">
        <w:t>”)</w:t>
      </w:r>
      <w:r w:rsidR="000E11C4" w:rsidRPr="005211DB">
        <w:t xml:space="preserve"> and </w:t>
      </w:r>
      <w:r w:rsidR="00247A11" w:rsidRPr="005211DB">
        <w:t>Broadband Radio Service (“</w:t>
      </w:r>
      <w:r w:rsidR="000E11C4" w:rsidRPr="005211DB">
        <w:t>BRS</w:t>
      </w:r>
      <w:r w:rsidR="00247A11" w:rsidRPr="005211DB">
        <w:t>”)</w:t>
      </w:r>
      <w:r w:rsidR="000E11C4" w:rsidRPr="005211DB">
        <w:t xml:space="preserve"> spectrum where available,</w:t>
      </w:r>
      <w:r w:rsidR="000E11C4" w:rsidRPr="005211DB">
        <w:rPr>
          <w:vertAlign w:val="superscript"/>
        </w:rPr>
        <w:footnoteReference w:id="72"/>
      </w:r>
      <w:r w:rsidR="000E11C4" w:rsidRPr="005211DB">
        <w:t xml:space="preserve"> and most recently, Wireless Communications Services (“WCS”) spectrum, all meet this definition, and they have therefore been included in the initial spectrum screen.</w:t>
      </w:r>
      <w:r w:rsidR="000E11C4" w:rsidRPr="005211DB">
        <w:rPr>
          <w:rStyle w:val="FootnoteReference"/>
        </w:rPr>
        <w:footnoteReference w:id="73"/>
      </w:r>
      <w:r w:rsidR="001C0E0C" w:rsidRPr="005211DB">
        <w:t xml:space="preserve"> </w:t>
      </w:r>
    </w:p>
    <w:p w:rsidR="00CC3F4A" w:rsidRPr="005211DB" w:rsidRDefault="0096365B" w:rsidP="009E5BA6">
      <w:pPr>
        <w:pStyle w:val="ParaNum"/>
      </w:pPr>
      <w:r w:rsidRPr="005211DB">
        <w:t xml:space="preserve">For purposes of the instant transaction, we decline to modify the current input market for spectrum.  </w:t>
      </w:r>
      <w:r w:rsidR="00120DBB">
        <w:t>No</w:t>
      </w:r>
      <w:r w:rsidR="002E2144" w:rsidRPr="005211DB">
        <w:t xml:space="preserve"> party has argued that the Commission should modify in this proceeding which spectrum bands are included in this input market,</w:t>
      </w:r>
      <w:r w:rsidR="002E2144" w:rsidRPr="005211DB">
        <w:rPr>
          <w:rStyle w:val="FootnoteReference"/>
        </w:rPr>
        <w:footnoteReference w:id="74"/>
      </w:r>
      <w:r w:rsidR="002E2144" w:rsidRPr="005211DB">
        <w:t xml:space="preserve"> and we note that this issue, along with a range of other related issues, are being considered by the Commission in its ongoing review of its policies regarding mobile spectrum holdings.</w:t>
      </w:r>
      <w:r w:rsidR="002E2144" w:rsidRPr="005211DB">
        <w:rPr>
          <w:rStyle w:val="FootnoteReference"/>
        </w:rPr>
        <w:footnoteReference w:id="75"/>
      </w:r>
    </w:p>
    <w:p w:rsidR="00FC6E90" w:rsidRPr="005211DB" w:rsidRDefault="00864A09">
      <w:pPr>
        <w:pStyle w:val="ParaNum"/>
      </w:pPr>
      <w:r w:rsidRPr="005211DB">
        <w:rPr>
          <w:i/>
        </w:rPr>
        <w:t>Market Participants</w:t>
      </w:r>
      <w:r w:rsidRPr="005211DB">
        <w:t xml:space="preserve">:  </w:t>
      </w:r>
      <w:r w:rsidR="00FC6E90" w:rsidRPr="005211DB">
        <w:t>As in previous transactions, we will consider only facilities-based entities providing mobile telephony/broadband services using cellular, PCS, SMR, 700 MHz, AWS-1, BRS</w:t>
      </w:r>
      <w:r w:rsidR="00B4580D" w:rsidRPr="005211DB">
        <w:t>,</w:t>
      </w:r>
      <w:r w:rsidR="00FC6E90" w:rsidRPr="005211DB">
        <w:t xml:space="preserve"> and WCS spectrum to be market participants, but </w:t>
      </w:r>
      <w:r w:rsidR="00A137C7" w:rsidRPr="005211DB">
        <w:t xml:space="preserve">will </w:t>
      </w:r>
      <w:r w:rsidR="00FC6E90" w:rsidRPr="005211DB">
        <w:t>continue to assess the effect of mobile virtual network operators and resellers in our competitive evaluation.</w:t>
      </w:r>
      <w:r w:rsidR="00FC6E90" w:rsidRPr="005211DB">
        <w:rPr>
          <w:rStyle w:val="FootnoteReference"/>
        </w:rPr>
        <w:footnoteReference w:id="76"/>
      </w:r>
      <w:r w:rsidR="00945639" w:rsidRPr="005211DB">
        <w:t xml:space="preserve"> </w:t>
      </w:r>
    </w:p>
    <w:p w:rsidR="008915A4" w:rsidRPr="005211DB" w:rsidRDefault="008915A4" w:rsidP="00BD79B8">
      <w:pPr>
        <w:pStyle w:val="Heading2"/>
      </w:pPr>
      <w:bookmarkStart w:id="473" w:name="_Toc349157006"/>
      <w:bookmarkStart w:id="474" w:name="_Toc349170683"/>
      <w:bookmarkStart w:id="475" w:name="_Toc349170740"/>
      <w:bookmarkStart w:id="476" w:name="_Toc349202860"/>
      <w:bookmarkStart w:id="477" w:name="_Toc349259346"/>
      <w:bookmarkStart w:id="478" w:name="_Toc349316344"/>
      <w:bookmarkStart w:id="479" w:name="_Toc349573257"/>
      <w:bookmarkStart w:id="480" w:name="_Toc349741787"/>
      <w:bookmarkStart w:id="481" w:name="_Toc349812414"/>
      <w:bookmarkStart w:id="482" w:name="_Toc349932733"/>
      <w:bookmarkStart w:id="483" w:name="_Toc350432493"/>
      <w:bookmarkStart w:id="484" w:name="_Toc350787848"/>
      <w:bookmarkStart w:id="485" w:name="_Toc366145537"/>
      <w:bookmarkStart w:id="486" w:name="_Toc366145745"/>
      <w:bookmarkStart w:id="487" w:name="_Toc366145861"/>
      <w:bookmarkStart w:id="488" w:name="_Toc366249608"/>
      <w:bookmarkStart w:id="489" w:name="_Toc366758002"/>
      <w:bookmarkStart w:id="490" w:name="_Toc366855790"/>
      <w:bookmarkStart w:id="491" w:name="_Toc366856271"/>
      <w:bookmarkStart w:id="492" w:name="_Toc367108926"/>
      <w:bookmarkStart w:id="493" w:name="_Toc367372965"/>
      <w:bookmarkStart w:id="494" w:name="_Toc367440573"/>
      <w:r w:rsidRPr="005211DB">
        <w:t>Competitive Effects of Transaction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5211DB">
        <w:t xml:space="preserve"> </w:t>
      </w:r>
    </w:p>
    <w:p w:rsidR="008915A4" w:rsidRPr="005211DB" w:rsidRDefault="008915A4" w:rsidP="008915A4">
      <w:pPr>
        <w:pStyle w:val="Heading3"/>
      </w:pPr>
      <w:bookmarkStart w:id="495" w:name="_Toc349157007"/>
      <w:bookmarkStart w:id="496" w:name="_Toc349170684"/>
      <w:bookmarkStart w:id="497" w:name="_Toc349170741"/>
      <w:bookmarkStart w:id="498" w:name="_Toc349202861"/>
      <w:bookmarkStart w:id="499" w:name="_Toc349259347"/>
      <w:bookmarkStart w:id="500" w:name="_Toc349316345"/>
      <w:bookmarkStart w:id="501" w:name="_Toc349573258"/>
      <w:bookmarkStart w:id="502" w:name="_Toc349741788"/>
      <w:bookmarkStart w:id="503" w:name="_Toc349812415"/>
      <w:bookmarkStart w:id="504" w:name="_Toc349932734"/>
      <w:bookmarkStart w:id="505" w:name="_Toc350432494"/>
      <w:bookmarkStart w:id="506" w:name="_Toc350787849"/>
      <w:bookmarkStart w:id="507" w:name="_Toc366145538"/>
      <w:bookmarkStart w:id="508" w:name="_Toc366145746"/>
      <w:bookmarkStart w:id="509" w:name="_Toc366145862"/>
      <w:bookmarkStart w:id="510" w:name="_Toc366249609"/>
      <w:bookmarkStart w:id="511" w:name="_Toc366758003"/>
      <w:bookmarkStart w:id="512" w:name="_Toc366855791"/>
      <w:bookmarkStart w:id="513" w:name="_Toc366856272"/>
      <w:bookmarkStart w:id="514" w:name="_Toc367108927"/>
      <w:bookmarkStart w:id="515" w:name="_Toc367372966"/>
      <w:bookmarkStart w:id="516" w:name="_Toc367440574"/>
      <w:r w:rsidRPr="005211DB">
        <w:t>Initial Screen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8915A4" w:rsidRPr="005211DB" w:rsidRDefault="008915A4" w:rsidP="004D4F6D">
      <w:pPr>
        <w:pStyle w:val="ParaNum"/>
        <w:rPr>
          <w:color w:val="010101"/>
        </w:rPr>
      </w:pPr>
      <w:r w:rsidRPr="005211DB">
        <w:t>As discussed above, we apply a</w:t>
      </w:r>
      <w:r w:rsidR="001C2FC2" w:rsidRPr="005211DB">
        <w:t xml:space="preserve"> </w:t>
      </w:r>
      <w:r w:rsidRPr="005211DB">
        <w:t>two-part screen to help identify local markets where competitive concerns are more likely.</w:t>
      </w:r>
      <w:r w:rsidRPr="005211DB">
        <w:rPr>
          <w:rStyle w:val="FootnoteReference"/>
        </w:rPr>
        <w:footnoteReference w:id="77"/>
      </w:r>
      <w:r w:rsidRPr="005211DB">
        <w:t xml:space="preserve">  The first part of the screen is based on the size of the post-transaction HHI, and the change in the HHI.</w:t>
      </w:r>
      <w:r w:rsidRPr="005211DB">
        <w:rPr>
          <w:rStyle w:val="FootnoteReference"/>
        </w:rPr>
        <w:footnoteReference w:id="78"/>
      </w:r>
      <w:r w:rsidRPr="005211DB">
        <w:t xml:space="preserve">  </w:t>
      </w:r>
      <w:r w:rsidR="004D4F6D" w:rsidRPr="005211DB">
        <w:t>For purposes of determining HHIs in this transaction, we use our December 2012 NRUF database, which tracks phone number usage by all telecommunications service providers.</w:t>
      </w:r>
      <w:r w:rsidR="004D4F6D" w:rsidRPr="005211DB">
        <w:rPr>
          <w:rStyle w:val="FootnoteReference"/>
        </w:rPr>
        <w:footnoteReference w:id="79"/>
      </w:r>
      <w:r w:rsidR="004D4F6D" w:rsidRPr="005211DB">
        <w:t xml:space="preserve">  Consistent with our discussion of the local geographic market definition above, in calculating HHIs and the change in the HHI, we analyze service provider data by CMA.  </w:t>
      </w:r>
      <w:r w:rsidRPr="005211DB">
        <w:t xml:space="preserve">The second part of the </w:t>
      </w:r>
      <w:r w:rsidR="00120DBB">
        <w:t>screen, which is applied on a county-by-county basis,</w:t>
      </w:r>
      <w:r w:rsidRPr="005211DB">
        <w:t xml:space="preserve"> identifies local markets where an entity would acquire more than approximately one-third of the total spectrum suitable and available for the provision of mobile telephony/broadband services.</w:t>
      </w:r>
      <w:r w:rsidRPr="005211DB">
        <w:rPr>
          <w:vertAlign w:val="superscript"/>
        </w:rPr>
        <w:footnoteReference w:id="80"/>
      </w:r>
      <w:r w:rsidRPr="005211DB">
        <w:t xml:space="preserve">  </w:t>
      </w:r>
      <w:r w:rsidR="001F3AA6" w:rsidRPr="005211DB">
        <w:t xml:space="preserve">Furthermore, </w:t>
      </w:r>
      <w:r w:rsidR="00120DBB">
        <w:t>because</w:t>
      </w:r>
      <w:r w:rsidR="001F3AA6" w:rsidRPr="005211DB">
        <w:t xml:space="preserve"> AT&amp;T is acquiring spectrum below 1 GHz in the majority of the CMAs, </w:t>
      </w:r>
      <w:r w:rsidR="001F3AA6" w:rsidRPr="005211DB">
        <w:rPr>
          <w:bCs/>
        </w:rPr>
        <w:t>we also examine the possible competitive effects resulting from an increase in mobile spectrum holdings below 1 GHz</w:t>
      </w:r>
      <w:r w:rsidR="00120DBB">
        <w:rPr>
          <w:bCs/>
        </w:rPr>
        <w:t>, consistent with Commission precedent</w:t>
      </w:r>
      <w:r w:rsidR="001F3AA6" w:rsidRPr="005211DB">
        <w:rPr>
          <w:bCs/>
        </w:rPr>
        <w:t>.</w:t>
      </w:r>
      <w:r w:rsidR="001F3AA6" w:rsidRPr="005211DB">
        <w:rPr>
          <w:bCs/>
          <w:vertAlign w:val="superscript"/>
        </w:rPr>
        <w:footnoteReference w:id="81"/>
      </w:r>
      <w:r w:rsidR="001F3AA6" w:rsidRPr="005211DB">
        <w:rPr>
          <w:bCs/>
        </w:rPr>
        <w:t xml:space="preserve">  </w:t>
      </w:r>
      <w:r w:rsidRPr="005211DB">
        <w:t xml:space="preserve"> </w:t>
      </w:r>
    </w:p>
    <w:p w:rsidR="00AF42D8" w:rsidRPr="005211DB" w:rsidRDefault="008D7FCE" w:rsidP="00AA7FE7">
      <w:pPr>
        <w:pStyle w:val="ParaNum"/>
      </w:pPr>
      <w:r w:rsidRPr="005211DB">
        <w:rPr>
          <w:i/>
        </w:rPr>
        <w:t>Record</w:t>
      </w:r>
      <w:r w:rsidRPr="005211DB">
        <w:t xml:space="preserve">. </w:t>
      </w:r>
      <w:r w:rsidR="00E66D35" w:rsidRPr="005211DB">
        <w:t xml:space="preserve"> </w:t>
      </w:r>
      <w:r w:rsidRPr="005211DB">
        <w:t xml:space="preserve">Public Knowledge argues that the transaction should be denied until the Commission completes its review in the </w:t>
      </w:r>
      <w:r w:rsidRPr="005211DB">
        <w:rPr>
          <w:i/>
        </w:rPr>
        <w:t>Mobile Spectrum Holding</w:t>
      </w:r>
      <w:r w:rsidR="00B26806" w:rsidRPr="005211DB">
        <w:rPr>
          <w:i/>
        </w:rPr>
        <w:t>s</w:t>
      </w:r>
      <w:r w:rsidRPr="005211DB">
        <w:rPr>
          <w:i/>
        </w:rPr>
        <w:t xml:space="preserve"> </w:t>
      </w:r>
      <w:r w:rsidR="00A43191" w:rsidRPr="005211DB">
        <w:rPr>
          <w:i/>
        </w:rPr>
        <w:t>Proceeding</w:t>
      </w:r>
      <w:r w:rsidRPr="005211DB">
        <w:t>.</w:t>
      </w:r>
      <w:r w:rsidRPr="005211DB">
        <w:rPr>
          <w:rStyle w:val="FootnoteReference"/>
        </w:rPr>
        <w:footnoteReference w:id="82"/>
      </w:r>
      <w:r w:rsidRPr="005211DB">
        <w:t xml:space="preserve">  RTG </w:t>
      </w:r>
      <w:r w:rsidR="00CF6E11" w:rsidRPr="005211DB">
        <w:t xml:space="preserve">urges </w:t>
      </w:r>
      <w:r w:rsidRPr="005211DB">
        <w:t xml:space="preserve">the Commission </w:t>
      </w:r>
      <w:r w:rsidR="00CF6E11" w:rsidRPr="005211DB">
        <w:t>to</w:t>
      </w:r>
      <w:r w:rsidRPr="005211DB">
        <w:t xml:space="preserve"> impose a reduced spectrum screen until the conclusion of that proceeding.</w:t>
      </w:r>
      <w:r w:rsidRPr="005211DB">
        <w:rPr>
          <w:rStyle w:val="FootnoteReference"/>
        </w:rPr>
        <w:footnoteReference w:id="83"/>
      </w:r>
      <w:r w:rsidRPr="005211DB">
        <w:t xml:space="preserve">  RTG argues that AT&amp;T should be required to divest or lease spectrum in markets where the company would control more than 25 percent of all suitable and available spectrum or 40 percent of all suitable and available spectrum below 1 GHz.</w:t>
      </w:r>
      <w:r w:rsidRPr="005211DB">
        <w:rPr>
          <w:rStyle w:val="FootnoteReference"/>
        </w:rPr>
        <w:footnoteReference w:id="84"/>
      </w:r>
      <w:r w:rsidRPr="005211DB">
        <w:t xml:space="preserve">  </w:t>
      </w:r>
      <w:r w:rsidR="00AA7FE7" w:rsidRPr="005211DB">
        <w:t>Blue Wireless argues that BRS and AWS-1 spectrum should not be counted in the spectrum screen in CMA 587 (Ohio</w:t>
      </w:r>
      <w:r w:rsidR="00B4580D" w:rsidRPr="005211DB">
        <w:t xml:space="preserve"> </w:t>
      </w:r>
      <w:r w:rsidR="00AA7FE7" w:rsidRPr="005211DB">
        <w:t xml:space="preserve">3 </w:t>
      </w:r>
      <w:r w:rsidR="00ED2FC4" w:rsidRPr="0075707B">
        <w:t>–</w:t>
      </w:r>
      <w:r w:rsidR="00AA7FE7" w:rsidRPr="005211DB">
        <w:t xml:space="preserve"> Ashtabula) because the spectrum is not currently in use by wireless providers in Ohio 3 </w:t>
      </w:r>
      <w:r w:rsidR="00ED2FC4" w:rsidRPr="0075707B">
        <w:t>–</w:t>
      </w:r>
      <w:r w:rsidR="00AA7FE7" w:rsidRPr="005211DB">
        <w:t xml:space="preserve"> Ashtabula </w:t>
      </w:r>
      <w:r w:rsidR="00CF6E11" w:rsidRPr="005211DB">
        <w:t xml:space="preserve">and, </w:t>
      </w:r>
      <w:r w:rsidR="00AA7FE7" w:rsidRPr="005211DB">
        <w:t xml:space="preserve">thus, </w:t>
      </w:r>
      <w:r w:rsidR="00CF6E11" w:rsidRPr="005211DB">
        <w:t xml:space="preserve">that </w:t>
      </w:r>
      <w:r w:rsidR="00AA7FE7" w:rsidRPr="005211DB">
        <w:t>the Commission should not deem it available for mobile telephony/broadband service.</w:t>
      </w:r>
      <w:r w:rsidR="00AA7FE7" w:rsidRPr="005211DB">
        <w:rPr>
          <w:rStyle w:val="FootnoteReference"/>
        </w:rPr>
        <w:footnoteReference w:id="85"/>
      </w:r>
      <w:r w:rsidR="00AA7FE7" w:rsidRPr="005211DB">
        <w:t xml:space="preserve">  </w:t>
      </w:r>
    </w:p>
    <w:p w:rsidR="00AA7FE7" w:rsidRPr="005211DB" w:rsidRDefault="00AF42D8" w:rsidP="00AA7FE7">
      <w:pPr>
        <w:pStyle w:val="ParaNum"/>
      </w:pPr>
      <w:r w:rsidRPr="005211DB">
        <w:t>The Applicants assert that claims made by RTG and Public Knowledge relating to the changes to the spectrum screen are not transaction</w:t>
      </w:r>
      <w:r w:rsidR="00CF6E11" w:rsidRPr="005211DB">
        <w:t>-</w:t>
      </w:r>
      <w:r w:rsidRPr="005211DB">
        <w:t>specific and thus are not appropriate to consider.</w:t>
      </w:r>
      <w:r w:rsidRPr="005211DB">
        <w:rPr>
          <w:rStyle w:val="FootnoteReference"/>
        </w:rPr>
        <w:footnoteReference w:id="86"/>
      </w:r>
      <w:r w:rsidRPr="005211DB">
        <w:t xml:space="preserve">  </w:t>
      </w:r>
      <w:r w:rsidR="00AA7FE7" w:rsidRPr="005211DB" w:rsidDel="00931F65">
        <w:t xml:space="preserve">The Applicants </w:t>
      </w:r>
      <w:r w:rsidRPr="005211DB" w:rsidDel="00931F65">
        <w:t>also assert th</w:t>
      </w:r>
      <w:r w:rsidR="00AA7FE7" w:rsidRPr="005211DB" w:rsidDel="00931F65">
        <w:t xml:space="preserve">at AWS-1 and BRS are available in Ohio 3 </w:t>
      </w:r>
      <w:r w:rsidR="00ED2FC4" w:rsidRPr="0075707B">
        <w:t>–</w:t>
      </w:r>
      <w:r w:rsidR="00AA7FE7" w:rsidRPr="005211DB" w:rsidDel="00931F65">
        <w:t xml:space="preserve"> Ashtabula and that the spectrum should be included in the spectrum screen</w:t>
      </w:r>
      <w:r w:rsidR="0059155E" w:rsidRPr="005211DB">
        <w:t xml:space="preserve">, as </w:t>
      </w:r>
      <w:r w:rsidR="00AA7FE7" w:rsidRPr="005211DB" w:rsidDel="00931F65">
        <w:t>the availability of AWS-1 spectrum is readily verified from the National Telecommunications and Information Administration’s December 1, 2012 report</w:t>
      </w:r>
      <w:r w:rsidR="0059155E" w:rsidRPr="005211DB">
        <w:t>,</w:t>
      </w:r>
      <w:r w:rsidR="00FE634E" w:rsidRPr="005211DB">
        <w:t xml:space="preserve"> </w:t>
      </w:r>
      <w:r w:rsidR="0059155E" w:rsidRPr="005211DB">
        <w:t xml:space="preserve">and </w:t>
      </w:r>
      <w:r w:rsidR="00AA7FE7" w:rsidRPr="005211DB" w:rsidDel="00931F65">
        <w:t>Clearwire has filed a construction notification with the Commission demonstrating that BRS spectrum is available under the proper legal test.</w:t>
      </w:r>
      <w:r w:rsidR="00AA7FE7" w:rsidRPr="005211DB" w:rsidDel="00931F65">
        <w:rPr>
          <w:rStyle w:val="FootnoteReference"/>
        </w:rPr>
        <w:footnoteReference w:id="87"/>
      </w:r>
    </w:p>
    <w:p w:rsidR="005759BD" w:rsidRPr="005211DB" w:rsidRDefault="008D7FCE" w:rsidP="00E66D35">
      <w:pPr>
        <w:pStyle w:val="ParaNum"/>
        <w:rPr>
          <w:color w:val="010101"/>
        </w:rPr>
      </w:pPr>
      <w:r w:rsidRPr="005211DB">
        <w:rPr>
          <w:i/>
        </w:rPr>
        <w:t>Discussion</w:t>
      </w:r>
      <w:r w:rsidRPr="005211DB">
        <w:t xml:space="preserve">.  </w:t>
      </w:r>
      <w:r w:rsidR="00F84F0F" w:rsidRPr="005211DB">
        <w:t>F</w:t>
      </w:r>
      <w:r w:rsidR="005759BD" w:rsidRPr="005211DB">
        <w:t xml:space="preserve">or purposes of the instant transaction, we decline to modify the current spectrum screen with respect to </w:t>
      </w:r>
      <w:r w:rsidR="003A43D2" w:rsidRPr="005211DB">
        <w:t xml:space="preserve">the </w:t>
      </w:r>
      <w:r w:rsidR="005759BD" w:rsidRPr="005211DB">
        <w:t>trigger level and spectrum amounts.  As noted above, the Commission is reviewing these issues, along with a number of related issues, in an ongoing rulemaking proceeding.</w:t>
      </w:r>
      <w:r w:rsidR="005759BD" w:rsidRPr="005211DB">
        <w:rPr>
          <w:vertAlign w:val="superscript"/>
        </w:rPr>
        <w:footnoteReference w:id="88"/>
      </w:r>
      <w:r w:rsidR="005759BD" w:rsidRPr="005211DB">
        <w:t xml:space="preserve">  </w:t>
      </w:r>
      <w:r w:rsidR="00F84F0F" w:rsidRPr="005211DB">
        <w:t xml:space="preserve">In addition, we find that AWS-1 and BRS spectrum are “available” in Ohio 3 </w:t>
      </w:r>
      <w:r w:rsidR="00ED2FC4" w:rsidRPr="0075707B">
        <w:t>–</w:t>
      </w:r>
      <w:r w:rsidR="00F84F0F" w:rsidRPr="005211DB">
        <w:t xml:space="preserve"> Ashtabula for purposes of application of our spectrum screen</w:t>
      </w:r>
      <w:r w:rsidR="006A0C3A" w:rsidRPr="005211DB">
        <w:t xml:space="preserve"> as the availability of AWS-1 spectrum has been verified</w:t>
      </w:r>
      <w:r w:rsidR="00543BD3" w:rsidRPr="005211DB">
        <w:rPr>
          <w:rStyle w:val="FootnoteReference"/>
        </w:rPr>
        <w:footnoteReference w:id="89"/>
      </w:r>
      <w:r w:rsidR="006A0C3A" w:rsidRPr="005211DB">
        <w:t xml:space="preserve"> and BRS spectrum has been transitioned in this market.</w:t>
      </w:r>
      <w:r w:rsidR="00ED5110" w:rsidRPr="005211DB">
        <w:rPr>
          <w:rStyle w:val="FootnoteReference"/>
        </w:rPr>
        <w:footnoteReference w:id="90"/>
      </w:r>
      <w:r w:rsidR="00F84F0F" w:rsidRPr="005211DB">
        <w:t xml:space="preserve"> </w:t>
      </w:r>
    </w:p>
    <w:p w:rsidR="008915A4" w:rsidRPr="005211DB" w:rsidRDefault="008915A4" w:rsidP="008915A4">
      <w:pPr>
        <w:pStyle w:val="Heading3"/>
      </w:pPr>
      <w:bookmarkStart w:id="517" w:name="_Toc349157008"/>
      <w:bookmarkStart w:id="518" w:name="_Toc349170685"/>
      <w:bookmarkStart w:id="519" w:name="_Toc349170742"/>
      <w:bookmarkStart w:id="520" w:name="_Toc349202862"/>
      <w:bookmarkStart w:id="521" w:name="_Toc349259348"/>
      <w:bookmarkStart w:id="522" w:name="_Toc349316346"/>
      <w:bookmarkStart w:id="523" w:name="_Toc349573259"/>
      <w:bookmarkStart w:id="524" w:name="_Toc349741789"/>
      <w:bookmarkStart w:id="525" w:name="_Toc349812416"/>
      <w:bookmarkStart w:id="526" w:name="_Toc349932735"/>
      <w:bookmarkStart w:id="527" w:name="_Toc350432495"/>
      <w:bookmarkStart w:id="528" w:name="_Toc350787850"/>
      <w:bookmarkStart w:id="529" w:name="_Toc366145539"/>
      <w:bookmarkStart w:id="530" w:name="_Toc366145747"/>
      <w:bookmarkStart w:id="531" w:name="_Toc366145863"/>
      <w:bookmarkStart w:id="532" w:name="_Toc366249610"/>
      <w:bookmarkStart w:id="533" w:name="_Toc366758004"/>
      <w:bookmarkStart w:id="534" w:name="_Toc366855792"/>
      <w:bookmarkStart w:id="535" w:name="_Toc366856273"/>
      <w:bookmarkStart w:id="536" w:name="_Toc367108928"/>
      <w:bookmarkStart w:id="537" w:name="_Toc367372967"/>
      <w:bookmarkStart w:id="538" w:name="_Toc367440575"/>
      <w:r w:rsidRPr="005211DB">
        <w:t>Competitive Analysis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9C3357" w:rsidRPr="005211DB" w:rsidRDefault="008915A4" w:rsidP="001F4FC2">
      <w:pPr>
        <w:pStyle w:val="ParaNum"/>
        <w:rPr>
          <w:color w:val="010101"/>
        </w:rPr>
      </w:pPr>
      <w:r w:rsidRPr="005211DB">
        <w:t>The market for mobile telephony/broadband services in the United States is differentiated.  Service providers compete not only on the basis of price but also on other variables such as plan features, call quality, geographic coverage, and customer service.</w:t>
      </w:r>
      <w:r w:rsidRPr="005211DB">
        <w:rPr>
          <w:vertAlign w:val="superscript"/>
        </w:rPr>
        <w:footnoteReference w:id="91"/>
      </w:r>
      <w:r w:rsidRPr="005211DB">
        <w:t xml:space="preserve">  </w:t>
      </w:r>
      <w:r w:rsidR="009C3357" w:rsidRPr="005211DB">
        <w:t xml:space="preserve">Competition may be harmed either through unilateral actions by the </w:t>
      </w:r>
      <w:r w:rsidR="002F50E5" w:rsidRPr="005211DB">
        <w:t>combined</w:t>
      </w:r>
      <w:r w:rsidR="009C3357" w:rsidRPr="005211DB">
        <w:t xml:space="preserve"> entity, </w:t>
      </w:r>
      <w:r w:rsidR="00FD1FA9" w:rsidRPr="005211DB">
        <w:t xml:space="preserve">or </w:t>
      </w:r>
      <w:r w:rsidR="009C3357" w:rsidRPr="005211DB">
        <w:t xml:space="preserve">through coordinated interaction among </w:t>
      </w:r>
      <w:r w:rsidR="00FD1FA9" w:rsidRPr="005211DB">
        <w:t xml:space="preserve">service providers </w:t>
      </w:r>
      <w:r w:rsidR="009C3357" w:rsidRPr="005211DB">
        <w:t>competing in the relevant market.</w:t>
      </w:r>
    </w:p>
    <w:p w:rsidR="00832197" w:rsidRPr="005211DB" w:rsidRDefault="008915A4" w:rsidP="00832197">
      <w:pPr>
        <w:pStyle w:val="ParaNum"/>
        <w:rPr>
          <w:color w:val="010101"/>
        </w:rPr>
      </w:pPr>
      <w:r w:rsidRPr="005211DB">
        <w:t>Unilateral effects arise when the merged firm finds it profitable to alter its behavior following the merger by increasing its price or otherwise harming competition.</w:t>
      </w:r>
      <w:r w:rsidRPr="005211DB">
        <w:rPr>
          <w:vertAlign w:val="superscript"/>
        </w:rPr>
        <w:footnoteReference w:id="92"/>
      </w:r>
      <w:r w:rsidRPr="005211DB">
        <w:t xml:space="preserve">  In the case of the provision of mobile telephony/broadband services, in addition to increasing prices</w:t>
      </w:r>
      <w:r w:rsidR="00B4580D" w:rsidRPr="005211DB">
        <w:t>,</w:t>
      </w:r>
      <w:r w:rsidRPr="005211DB">
        <w:t xml:space="preserve"> this might take the form of delaying improvements in service quality, adversely adjusting the features of </w:t>
      </w:r>
      <w:r w:rsidR="006D2B6C" w:rsidRPr="005211DB">
        <w:t xml:space="preserve">a </w:t>
      </w:r>
      <w:r w:rsidR="002F50E5" w:rsidRPr="005211DB">
        <w:t>service offering</w:t>
      </w:r>
      <w:r w:rsidRPr="005211DB">
        <w:t xml:space="preserve"> without changing the price of the plan, or reducing the rate of new product development or other innovation in a relevant market</w:t>
      </w:r>
      <w:r w:rsidR="006D32FC" w:rsidRPr="005211DB">
        <w:t>.</w:t>
      </w:r>
      <w:r w:rsidR="001828B3" w:rsidRPr="005211DB">
        <w:t xml:space="preserve">  </w:t>
      </w:r>
      <w:r w:rsidR="00832197" w:rsidRPr="005211DB">
        <w:t xml:space="preserve">Coordinated </w:t>
      </w:r>
      <w:r w:rsidR="00E83B7B" w:rsidRPr="00EE6FF9">
        <w:t>effects arise when firms take actions</w:t>
      </w:r>
      <w:r w:rsidR="00E83B7B" w:rsidRPr="008169FA">
        <w:rPr>
          <w:color w:val="000000"/>
        </w:rPr>
        <w:t xml:space="preserve"> that </w:t>
      </w:r>
      <w:r w:rsidR="00E83B7B" w:rsidRPr="00F25FE1">
        <w:t>are</w:t>
      </w:r>
      <w:r w:rsidR="00E83B7B" w:rsidRPr="008169FA">
        <w:rPr>
          <w:color w:val="000000"/>
        </w:rPr>
        <w:t xml:space="preserve"> profitable for each of the</w:t>
      </w:r>
      <w:r w:rsidR="00E83B7B" w:rsidRPr="00F25FE1">
        <w:t>m</w:t>
      </w:r>
      <w:r w:rsidR="00E83B7B">
        <w:t xml:space="preserve"> </w:t>
      </w:r>
      <w:r w:rsidR="00832197" w:rsidRPr="005211DB">
        <w:t>only as a result of the accommodating reactions of others.</w:t>
      </w:r>
      <w:r w:rsidR="00832197" w:rsidRPr="005211DB">
        <w:rPr>
          <w:rStyle w:val="FootnoteReference"/>
        </w:rPr>
        <w:footnoteReference w:id="93"/>
      </w:r>
      <w:r w:rsidR="00832197" w:rsidRPr="005211DB">
        <w:t xml:space="preserve">  </w:t>
      </w:r>
      <w:r w:rsidR="00B14110" w:rsidRPr="005211DB">
        <w:t>E</w:t>
      </w:r>
      <w:r w:rsidR="009E03B4" w:rsidRPr="005211DB">
        <w:t xml:space="preserve">ither or both unilateral and coordinated </w:t>
      </w:r>
      <w:r w:rsidR="004979A7" w:rsidRPr="005211DB">
        <w:t xml:space="preserve">effects </w:t>
      </w:r>
      <w:r w:rsidR="009E03B4" w:rsidRPr="005211DB">
        <w:t xml:space="preserve">may </w:t>
      </w:r>
      <w:r w:rsidR="004979A7" w:rsidRPr="005211DB">
        <w:t>arise</w:t>
      </w:r>
      <w:r w:rsidR="00B14110" w:rsidRPr="005211DB">
        <w:t xml:space="preserve"> from a proposed transaction</w:t>
      </w:r>
      <w:r w:rsidR="009E03B4" w:rsidRPr="005211DB">
        <w:t xml:space="preserve">, and the distinction between them </w:t>
      </w:r>
      <w:r w:rsidR="004979A7" w:rsidRPr="005211DB">
        <w:t>is not always clear cut</w:t>
      </w:r>
      <w:r w:rsidR="009E03B4" w:rsidRPr="005211DB">
        <w:t>.</w:t>
      </w:r>
      <w:r w:rsidR="004979A7" w:rsidRPr="005211DB">
        <w:rPr>
          <w:rStyle w:val="FootnoteReference"/>
        </w:rPr>
        <w:footnoteReference w:id="94"/>
      </w:r>
      <w:r w:rsidR="009E03B4" w:rsidRPr="005211DB">
        <w:t xml:space="preserve">  </w:t>
      </w:r>
    </w:p>
    <w:p w:rsidR="008915A4" w:rsidRPr="005211DB" w:rsidRDefault="008915A4" w:rsidP="008915A4">
      <w:pPr>
        <w:pStyle w:val="ParaNum"/>
        <w:rPr>
          <w:color w:val="010101"/>
        </w:rPr>
      </w:pPr>
      <w:r w:rsidRPr="005211DB">
        <w:t xml:space="preserve">We examine </w:t>
      </w:r>
      <w:r w:rsidR="00D30426" w:rsidRPr="005211DB">
        <w:t>the possibility of anticompetitive harm</w:t>
      </w:r>
      <w:r w:rsidR="002F50E5" w:rsidRPr="005211DB">
        <w:t>s</w:t>
      </w:r>
      <w:r w:rsidR="00D30426" w:rsidRPr="005211DB">
        <w:t xml:space="preserve"> </w:t>
      </w:r>
      <w:r w:rsidR="002F50E5" w:rsidRPr="005211DB">
        <w:t xml:space="preserve">arising </w:t>
      </w:r>
      <w:r w:rsidR="00D30426" w:rsidRPr="005211DB">
        <w:t xml:space="preserve">from </w:t>
      </w:r>
      <w:r w:rsidR="002F50E5" w:rsidRPr="005211DB">
        <w:t xml:space="preserve">the proposed </w:t>
      </w:r>
      <w:r w:rsidR="00D30426" w:rsidRPr="005211DB">
        <w:t xml:space="preserve">transaction </w:t>
      </w:r>
      <w:r w:rsidR="002F50E5" w:rsidRPr="005211DB">
        <w:t xml:space="preserve">that would </w:t>
      </w:r>
      <w:r w:rsidR="00D30426" w:rsidRPr="005211DB">
        <w:t>affect the provision of mobile telephony/broadband services</w:t>
      </w:r>
      <w:r w:rsidR="009E5BA6" w:rsidRPr="005211DB">
        <w:t>.</w:t>
      </w:r>
      <w:r w:rsidRPr="005211DB">
        <w:t xml:space="preserve"> </w:t>
      </w:r>
      <w:r w:rsidR="00F0580F" w:rsidRPr="005211DB">
        <w:t xml:space="preserve"> </w:t>
      </w:r>
      <w:r w:rsidR="001828B3" w:rsidRPr="005211DB">
        <w:t>We evaluate</w:t>
      </w:r>
      <w:r w:rsidR="00BA2019" w:rsidRPr="005211DB">
        <w:t>, generally,</w:t>
      </w:r>
      <w:r w:rsidR="001828B3" w:rsidRPr="005211DB">
        <w:t xml:space="preserve"> the </w:t>
      </w:r>
      <w:r w:rsidR="00802DB5" w:rsidRPr="005211DB">
        <w:t xml:space="preserve">likely competitive </w:t>
      </w:r>
      <w:r w:rsidR="001828B3" w:rsidRPr="005211DB">
        <w:t xml:space="preserve">effect of increased market and spectrum </w:t>
      </w:r>
      <w:r w:rsidR="00296BF8" w:rsidRPr="005211DB">
        <w:t>concentration</w:t>
      </w:r>
      <w:r w:rsidR="001828B3" w:rsidRPr="005211DB">
        <w:t>, and assess whether</w:t>
      </w:r>
      <w:r w:rsidR="00BA4CF9">
        <w:t>,</w:t>
      </w:r>
      <w:r w:rsidR="001828B3" w:rsidRPr="005211DB">
        <w:t xml:space="preserve"> post-transaction, </w:t>
      </w:r>
      <w:r w:rsidR="005759BD" w:rsidRPr="005211DB">
        <w:t>the combined entity</w:t>
      </w:r>
      <w:r w:rsidR="001828B3" w:rsidRPr="005211DB">
        <w:t xml:space="preserve"> would have the incentive and ability to harm competition in any local market by </w:t>
      </w:r>
      <w:r w:rsidR="00875157" w:rsidRPr="005211DB">
        <w:t xml:space="preserve">adversely </w:t>
      </w:r>
      <w:r w:rsidR="00B14110" w:rsidRPr="005211DB">
        <w:t xml:space="preserve">changing any </w:t>
      </w:r>
      <w:r w:rsidR="00BA2019" w:rsidRPr="005211DB">
        <w:t>local promotions</w:t>
      </w:r>
      <w:r w:rsidR="00B14110" w:rsidRPr="005211DB">
        <w:t xml:space="preserve">, </w:t>
      </w:r>
      <w:r w:rsidR="001828B3" w:rsidRPr="005211DB">
        <w:t>decreasing its investment in network coverage or network quality</w:t>
      </w:r>
      <w:r w:rsidR="00B14110" w:rsidRPr="005211DB">
        <w:t>,</w:t>
      </w:r>
      <w:r w:rsidR="001828B3" w:rsidRPr="005211DB">
        <w:t xml:space="preserve"> or reducing its customer service.  </w:t>
      </w:r>
    </w:p>
    <w:p w:rsidR="00805171" w:rsidRPr="005211DB" w:rsidRDefault="00805171" w:rsidP="00805171">
      <w:pPr>
        <w:pStyle w:val="ParaNum"/>
      </w:pPr>
      <w:r w:rsidRPr="005211DB">
        <w:rPr>
          <w:i/>
        </w:rPr>
        <w:t>Record</w:t>
      </w:r>
      <w:r w:rsidRPr="005211DB">
        <w:t>.  RTG, Public Knowledge, and Blue Wireless argue that the elimination of Allied would result in competitive harm in terms of spectrum holdings and market concentration.</w:t>
      </w:r>
      <w:r w:rsidRPr="005211DB">
        <w:rPr>
          <w:vertAlign w:val="superscript"/>
        </w:rPr>
        <w:footnoteReference w:id="95"/>
      </w:r>
      <w:r w:rsidRPr="005211DB">
        <w:t xml:space="preserve">  RTG asserts that competitive harm results from spectrum concentration in any market with fewer than four providers regardless of whether those providers are nationwide or not.</w:t>
      </w:r>
      <w:r w:rsidRPr="005211DB">
        <w:rPr>
          <w:rStyle w:val="FootnoteReference"/>
        </w:rPr>
        <w:footnoteReference w:id="96"/>
      </w:r>
      <w:r w:rsidRPr="005211DB">
        <w:t xml:space="preserve">  RTG contends that each incremental addition of spectrum entrenches the duopoly position of AT&amp;T and Verizon Wireless while debilitating all small providers in the country.</w:t>
      </w:r>
      <w:r w:rsidRPr="005211DB">
        <w:rPr>
          <w:rStyle w:val="FootnoteReference"/>
        </w:rPr>
        <w:footnoteReference w:id="97"/>
      </w:r>
      <w:r w:rsidRPr="005211DB">
        <w:t xml:space="preserve">  Public Knowledge argues that it is difficult to conceive how spectrum that would be competitively harmful if held by Verizon Wireless would not cause similar competitive harm if held by AT&amp;T,</w:t>
      </w:r>
      <w:r w:rsidRPr="005211DB">
        <w:rPr>
          <w:rStyle w:val="FootnoteReference"/>
        </w:rPr>
        <w:footnoteReference w:id="98"/>
      </w:r>
      <w:r w:rsidRPr="005211DB">
        <w:t xml:space="preserve"> and notes that the spectrum aggregation screen is triggered.</w:t>
      </w:r>
      <w:r w:rsidRPr="005211DB">
        <w:rPr>
          <w:rStyle w:val="FootnoteReference"/>
        </w:rPr>
        <w:footnoteReference w:id="99"/>
      </w:r>
      <w:r w:rsidRPr="005211DB">
        <w:t xml:space="preserve">  Public Knowledge asserts that the transaction only entrenches the largest wireless carriers’ market dominance – the opposite result of what the original market divestiture from Verizon Wireless-ALLTEL was expected to do.</w:t>
      </w:r>
      <w:r w:rsidRPr="005211DB">
        <w:rPr>
          <w:rStyle w:val="FootnoteReference"/>
        </w:rPr>
        <w:footnoteReference w:id="100"/>
      </w:r>
      <w:r w:rsidRPr="005211DB">
        <w:t xml:space="preserve">  Further, Blue Wireless argues that the markets were originally sold to Allied because AT&amp;T could not buy them given the market concentration at the time.</w:t>
      </w:r>
      <w:r w:rsidRPr="005211DB">
        <w:rPr>
          <w:rStyle w:val="FootnoteReference"/>
        </w:rPr>
        <w:footnoteReference w:id="101"/>
      </w:r>
      <w:r w:rsidRPr="005211DB">
        <w:t xml:space="preserve">  Blue Wireless </w:t>
      </w:r>
      <w:r w:rsidR="00B26806" w:rsidRPr="005211DB">
        <w:t xml:space="preserve">contends </w:t>
      </w:r>
      <w:r w:rsidRPr="005211DB">
        <w:t>that an analysis of the market concentration will confirm the lack of relative competition in the market today with AT&amp;T and Verizon Wireless as duopoly firms.</w:t>
      </w:r>
      <w:r w:rsidRPr="005211DB">
        <w:rPr>
          <w:rStyle w:val="FootnoteReference"/>
        </w:rPr>
        <w:footnoteReference w:id="102"/>
      </w:r>
      <w:r w:rsidRPr="005211DB">
        <w:t xml:space="preserve">  Blue Wireless argues that the record does not support the argument that Allied is a failing company that is hard-pressed to survive absent this transaction.</w:t>
      </w:r>
      <w:r w:rsidRPr="005211DB">
        <w:rPr>
          <w:rStyle w:val="FootnoteReference"/>
        </w:rPr>
        <w:footnoteReference w:id="103"/>
      </w:r>
    </w:p>
    <w:p w:rsidR="00805171" w:rsidRPr="005211DB" w:rsidRDefault="00805171" w:rsidP="00805171">
      <w:pPr>
        <w:pStyle w:val="ParaNum"/>
      </w:pPr>
      <w:r w:rsidRPr="005211DB">
        <w:t>The Applicants respond that, post-transaction, at least four competitors would remain in almost every area affected by the proposed transaction.</w:t>
      </w:r>
      <w:r w:rsidRPr="005211DB">
        <w:rPr>
          <w:rStyle w:val="FootnoteReference"/>
        </w:rPr>
        <w:footnoteReference w:id="104"/>
      </w:r>
      <w:r w:rsidRPr="005211DB">
        <w:t xml:space="preserve">  The Applicants argue that claims of a duopoly overlook the fact that AT&amp;T and Verizon Wireless occupy vastly different competitive positions in the relevant CMAs.</w:t>
      </w:r>
      <w:r w:rsidRPr="005211DB">
        <w:rPr>
          <w:rStyle w:val="FootnoteReference"/>
        </w:rPr>
        <w:footnoteReference w:id="105"/>
      </w:r>
      <w:r w:rsidRPr="005211DB">
        <w:t xml:space="preserve">  The Applicants argue that the proposed transaction is procompetitive given Allied’s declining significance and AT&amp;T’s existing modest presence in Allied’s territory.</w:t>
      </w:r>
      <w:r w:rsidRPr="005211DB">
        <w:rPr>
          <w:rStyle w:val="FootnoteReference"/>
        </w:rPr>
        <w:footnoteReference w:id="106"/>
      </w:r>
      <w:r w:rsidRPr="005211DB">
        <w:t xml:space="preserve">  </w:t>
      </w:r>
    </w:p>
    <w:p w:rsidR="006F7432" w:rsidRPr="005211DB" w:rsidRDefault="00772A0D" w:rsidP="002A5A22">
      <w:pPr>
        <w:pStyle w:val="ParaNum"/>
      </w:pPr>
      <w:r w:rsidRPr="005211DB">
        <w:rPr>
          <w:i/>
        </w:rPr>
        <w:t>Discussion</w:t>
      </w:r>
      <w:r w:rsidRPr="005211DB">
        <w:t xml:space="preserve">:  </w:t>
      </w:r>
      <w:r w:rsidR="002A5A22" w:rsidRPr="005211DB">
        <w:rPr>
          <w:color w:val="010101"/>
        </w:rPr>
        <w:t xml:space="preserve">In our </w:t>
      </w:r>
      <w:r w:rsidR="006363F0" w:rsidRPr="005211DB">
        <w:rPr>
          <w:color w:val="010101"/>
        </w:rPr>
        <w:t xml:space="preserve">market-by-market </w:t>
      </w:r>
      <w:r w:rsidR="002A5A22" w:rsidRPr="005211DB">
        <w:rPr>
          <w:color w:val="010101"/>
        </w:rPr>
        <w:t xml:space="preserve">analysis set out below, we examine the likelihood of competitive harm by assessing the potential competitive effects of any </w:t>
      </w:r>
      <w:r w:rsidR="00B26806" w:rsidRPr="005211DB">
        <w:rPr>
          <w:color w:val="010101"/>
        </w:rPr>
        <w:t xml:space="preserve">significant </w:t>
      </w:r>
      <w:r w:rsidR="002A5A22" w:rsidRPr="005211DB">
        <w:rPr>
          <w:color w:val="010101"/>
        </w:rPr>
        <w:t>increases in market and spectrum concentration</w:t>
      </w:r>
      <w:r w:rsidR="006F7432" w:rsidRPr="005211DB">
        <w:rPr>
          <w:color w:val="010101"/>
        </w:rPr>
        <w:t xml:space="preserve"> on the marketplace</w:t>
      </w:r>
      <w:r w:rsidR="002A5A22" w:rsidRPr="005211DB">
        <w:rPr>
          <w:color w:val="010101"/>
        </w:rPr>
        <w:t xml:space="preserve">.  </w:t>
      </w:r>
      <w:r w:rsidR="006F7432" w:rsidRPr="005211DB">
        <w:t xml:space="preserve">Further, in the instant transaction, AT&amp;T is acquiring spectrum below 1 GHz in the majority of the CMAs, and </w:t>
      </w:r>
      <w:r w:rsidR="006F7432" w:rsidRPr="005211DB">
        <w:rPr>
          <w:bCs/>
        </w:rPr>
        <w:t>consistent with Commission precedent, we also examine whether AT&amp;T’s post-transaction aggregation of spectrum below 1 GHz</w:t>
      </w:r>
      <w:r w:rsidR="006F7432" w:rsidRPr="005211DB">
        <w:t xml:space="preserve"> could foreclose or raise </w:t>
      </w:r>
      <w:r w:rsidR="00D80711" w:rsidRPr="005211DB">
        <w:t xml:space="preserve">the </w:t>
      </w:r>
      <w:r w:rsidR="006F7432" w:rsidRPr="005211DB">
        <w:t>costs of other service providers in these markets, and thereby prevent such rival service providers from exerting an effective competitive constraint in the marketplace.</w:t>
      </w:r>
      <w:r w:rsidR="006363F0" w:rsidRPr="005211DB">
        <w:rPr>
          <w:bCs/>
          <w:vertAlign w:val="superscript"/>
        </w:rPr>
        <w:footnoteReference w:id="107"/>
      </w:r>
      <w:r w:rsidR="006F7432" w:rsidRPr="005211DB">
        <w:rPr>
          <w:bCs/>
        </w:rPr>
        <w:t xml:space="preserve">  </w:t>
      </w:r>
    </w:p>
    <w:p w:rsidR="00710436" w:rsidRPr="005211DB" w:rsidRDefault="006F7432" w:rsidP="002A5A22">
      <w:pPr>
        <w:pStyle w:val="ParaNum"/>
      </w:pPr>
      <w:r w:rsidRPr="005211DB">
        <w:rPr>
          <w:color w:val="010101"/>
        </w:rPr>
        <w:t>O</w:t>
      </w:r>
      <w:r w:rsidR="002A5A22" w:rsidRPr="005211DB">
        <w:rPr>
          <w:color w:val="010101"/>
        </w:rPr>
        <w:t>ur a</w:t>
      </w:r>
      <w:r w:rsidR="00C321C9" w:rsidRPr="005211DB">
        <w:t xml:space="preserve">pplication of the </w:t>
      </w:r>
      <w:r w:rsidR="00AF42D8" w:rsidRPr="005211DB">
        <w:t xml:space="preserve">initial HHI screen </w:t>
      </w:r>
      <w:r w:rsidR="00DD5167" w:rsidRPr="005211DB">
        <w:t xml:space="preserve">to the proposed transaction </w:t>
      </w:r>
      <w:r w:rsidR="00C321C9" w:rsidRPr="005211DB">
        <w:t>triggers</w:t>
      </w:r>
      <w:r w:rsidR="00AF42D8" w:rsidRPr="005211DB">
        <w:t xml:space="preserve"> 21 </w:t>
      </w:r>
      <w:r w:rsidR="002A5A22" w:rsidRPr="005211DB">
        <w:t>local markets</w:t>
      </w:r>
      <w:r w:rsidR="00AF42D8" w:rsidRPr="005211DB">
        <w:t>.</w:t>
      </w:r>
      <w:r w:rsidR="00AF42D8" w:rsidRPr="005211DB">
        <w:rPr>
          <w:rStyle w:val="FootnoteReference"/>
        </w:rPr>
        <w:footnoteReference w:id="108"/>
      </w:r>
      <w:r w:rsidR="00AF42D8" w:rsidRPr="005211DB">
        <w:t xml:space="preserve">  </w:t>
      </w:r>
      <w:r w:rsidR="002A5A22" w:rsidRPr="005211DB">
        <w:t>In addition, our a</w:t>
      </w:r>
      <w:r w:rsidR="00AF42D8" w:rsidRPr="005211DB">
        <w:t xml:space="preserve">pplication of the initial </w:t>
      </w:r>
      <w:r w:rsidRPr="005211DB">
        <w:t xml:space="preserve">total </w:t>
      </w:r>
      <w:r w:rsidR="00AF42D8" w:rsidRPr="005211DB">
        <w:t xml:space="preserve">spectrum screen triggers one local market, </w:t>
      </w:r>
      <w:r w:rsidR="002A5A22" w:rsidRPr="005211DB">
        <w:t>CMA 587 (Ohio 3 – Ashtabula)</w:t>
      </w:r>
      <w:r w:rsidR="00DD5167" w:rsidRPr="005211DB">
        <w:t>,</w:t>
      </w:r>
      <w:r w:rsidR="002A5A22" w:rsidRPr="005211DB">
        <w:t xml:space="preserve"> </w:t>
      </w:r>
      <w:r w:rsidR="00AF42D8" w:rsidRPr="005211DB">
        <w:t>which is also triggered by the HHI screen.</w:t>
      </w:r>
      <w:r w:rsidR="00AF42D8" w:rsidRPr="005211DB">
        <w:rPr>
          <w:rStyle w:val="FootnoteReference"/>
        </w:rPr>
        <w:footnoteReference w:id="109"/>
      </w:r>
      <w:r w:rsidR="00AF42D8" w:rsidRPr="005211DB">
        <w:t xml:space="preserve"> </w:t>
      </w:r>
      <w:r w:rsidR="008F3EB8" w:rsidRPr="005211DB">
        <w:t xml:space="preserve"> </w:t>
      </w:r>
      <w:r w:rsidR="00B26806" w:rsidRPr="005211DB">
        <w:rPr>
          <w:bCs/>
        </w:rPr>
        <w:t>As part of our analysis of these markets, we also consider the potential impact of the aggregation of spectrum below 1 GHz by AT&amp;T.</w:t>
      </w:r>
      <w:r w:rsidR="00B26806" w:rsidRPr="005211DB">
        <w:rPr>
          <w:rStyle w:val="FootnoteReference"/>
          <w:bCs/>
        </w:rPr>
        <w:footnoteReference w:id="110"/>
      </w:r>
      <w:r w:rsidR="004241EB" w:rsidRPr="005211DB">
        <w:rPr>
          <w:bCs/>
        </w:rPr>
        <w:t xml:space="preserve">  </w:t>
      </w:r>
      <w:r w:rsidR="002E2297">
        <w:t>We</w:t>
      </w:r>
      <w:r w:rsidR="002E2297" w:rsidRPr="005211DB">
        <w:t xml:space="preserve"> </w:t>
      </w:r>
      <w:r w:rsidR="004241EB" w:rsidRPr="005211DB">
        <w:t>evaluate</w:t>
      </w:r>
      <w:r w:rsidRPr="005211DB">
        <w:t xml:space="preserve"> whether it is likely that there would be any competitive or other public interest </w:t>
      </w:r>
      <w:r w:rsidRPr="005211DB">
        <w:rPr>
          <w:bCs/>
        </w:rPr>
        <w:t xml:space="preserve">harms resulting from increased market or spectrum concentration in these markets. </w:t>
      </w:r>
    </w:p>
    <w:p w:rsidR="00E549A6" w:rsidRDefault="00363ECF" w:rsidP="006C3F30">
      <w:pPr>
        <w:pStyle w:val="ParaNum"/>
      </w:pPr>
      <w:r w:rsidRPr="005211DB">
        <w:t xml:space="preserve">In undertaking our </w:t>
      </w:r>
      <w:r w:rsidR="006363F0" w:rsidRPr="005211DB">
        <w:t xml:space="preserve">market-by-market </w:t>
      </w:r>
      <w:r w:rsidRPr="005211DB">
        <w:t>analysis,</w:t>
      </w:r>
      <w:r w:rsidRPr="005211DB">
        <w:rPr>
          <w:rStyle w:val="FootnoteReference"/>
        </w:rPr>
        <w:footnoteReference w:id="111"/>
      </w:r>
      <w:r w:rsidRPr="005211DB">
        <w:t xml:space="preserve"> we consider various competitive variables that help to predict the likelihood of competitive harm post-transaction.</w:t>
      </w:r>
      <w:r w:rsidRPr="005211DB">
        <w:rPr>
          <w:rStyle w:val="FootnoteReference"/>
        </w:rPr>
        <w:footnoteReference w:id="112"/>
      </w:r>
      <w:r w:rsidRPr="005211DB">
        <w:t xml:space="preserve">  In our </w:t>
      </w:r>
      <w:r w:rsidR="008F3EB8" w:rsidRPr="005211DB">
        <w:t>review</w:t>
      </w:r>
      <w:r w:rsidRPr="005211DB">
        <w:t xml:space="preserve">, </w:t>
      </w:r>
      <w:r w:rsidR="003720EB" w:rsidRPr="005211DB">
        <w:t xml:space="preserve">we organize our market-by-market analysis </w:t>
      </w:r>
      <w:r w:rsidR="00FF5343" w:rsidRPr="005211DB">
        <w:t>in</w:t>
      </w:r>
      <w:r w:rsidR="003720EB" w:rsidRPr="005211DB">
        <w:t xml:space="preserve"> state</w:t>
      </w:r>
      <w:r w:rsidRPr="005211DB">
        <w:t>-</w:t>
      </w:r>
      <w:r w:rsidR="003720EB" w:rsidRPr="005211DB">
        <w:t xml:space="preserve">bounded clusters consistent with the </w:t>
      </w:r>
      <w:r w:rsidR="00C008EF">
        <w:t xml:space="preserve">Modified </w:t>
      </w:r>
      <w:r w:rsidR="003720EB" w:rsidRPr="005211DB">
        <w:t xml:space="preserve">Final Judgment in </w:t>
      </w:r>
      <w:r w:rsidR="003720EB" w:rsidRPr="005211DB">
        <w:rPr>
          <w:i/>
        </w:rPr>
        <w:t>United States v. Verizon Communications Inc. and ALLTEL Corporation</w:t>
      </w:r>
      <w:r w:rsidR="003720EB" w:rsidRPr="005211DB">
        <w:t>.</w:t>
      </w:r>
      <w:r w:rsidR="003720EB" w:rsidRPr="005211DB">
        <w:rPr>
          <w:vertAlign w:val="superscript"/>
        </w:rPr>
        <w:footnoteReference w:id="113"/>
      </w:r>
      <w:r w:rsidR="003720EB" w:rsidRPr="005211DB">
        <w:t xml:space="preserve">  The </w:t>
      </w:r>
      <w:r w:rsidR="00C008EF">
        <w:t xml:space="preserve">Modified </w:t>
      </w:r>
      <w:r w:rsidR="003720EB" w:rsidRPr="005211DB">
        <w:t>Final Judgment directed that the majority of the markets be divested in clusters, each cluster to be sold to a single purchaser unless DOJ approval was obtained to break up a cluster to multiple acquirers, and o</w:t>
      </w:r>
      <w:r w:rsidR="00FF5343" w:rsidRPr="005211DB">
        <w:t xml:space="preserve">ur analysis is mindful of this direction </w:t>
      </w:r>
      <w:r w:rsidR="003720EB" w:rsidRPr="005211DB">
        <w:t>in analyzing the potential competitive effects.</w:t>
      </w:r>
      <w:r w:rsidR="00733E70" w:rsidRPr="005211DB">
        <w:rPr>
          <w:rStyle w:val="FootnoteReference"/>
        </w:rPr>
        <w:footnoteReference w:id="114"/>
      </w:r>
      <w:r w:rsidR="003720EB" w:rsidRPr="005211DB">
        <w:t xml:space="preserve">  </w:t>
      </w:r>
      <w:r w:rsidR="002E2297">
        <w:t xml:space="preserve">The </w:t>
      </w:r>
      <w:r w:rsidR="00FA780A">
        <w:t xml:space="preserve">DOJ clustered the </w:t>
      </w:r>
      <w:r w:rsidR="00F25FE1">
        <w:t xml:space="preserve">divested </w:t>
      </w:r>
      <w:r w:rsidR="00FA780A">
        <w:t>CMAs together to promote competition</w:t>
      </w:r>
      <w:r w:rsidR="00F25FE1">
        <w:t>,</w:t>
      </w:r>
      <w:r w:rsidR="00FA780A">
        <w:t xml:space="preserve"> as service providers may benefit from potential efficiencies from serving a larger geographic area, and are </w:t>
      </w:r>
      <w:r w:rsidR="00C057F6">
        <w:t xml:space="preserve">likely to be </w:t>
      </w:r>
      <w:r w:rsidR="00FA780A">
        <w:t>more competitive when serving contiguous areas.</w:t>
      </w:r>
      <w:r w:rsidR="002B0593">
        <w:rPr>
          <w:rStyle w:val="FootnoteReference"/>
        </w:rPr>
        <w:footnoteReference w:id="115"/>
      </w:r>
      <w:r w:rsidR="00FA780A">
        <w:t xml:space="preserve">  In deciding the particular clusters, the DOJ “recognized that selling areas with significant linkages across these areas provides greater assurance that the buyer will be an effective competitor.”</w:t>
      </w:r>
      <w:r w:rsidR="002B0593">
        <w:rPr>
          <w:rStyle w:val="FootnoteReference"/>
        </w:rPr>
        <w:footnoteReference w:id="116"/>
      </w:r>
    </w:p>
    <w:p w:rsidR="00E4519D" w:rsidRPr="005211DB" w:rsidRDefault="003720EB" w:rsidP="008915A4">
      <w:pPr>
        <w:pStyle w:val="ParaNum"/>
        <w:rPr>
          <w:color w:val="010101"/>
        </w:rPr>
      </w:pPr>
      <w:r w:rsidRPr="005211DB">
        <w:t xml:space="preserve">After carefully evaluating the various market characteristics that </w:t>
      </w:r>
      <w:r w:rsidR="00B55204" w:rsidRPr="005211DB">
        <w:t>may indicate whether there would be a likelihood of competitive harm from AT&amp;T’s proposed acquisition of Allied</w:t>
      </w:r>
      <w:r w:rsidRPr="005211DB">
        <w:t xml:space="preserve">, we find that, with the exception of </w:t>
      </w:r>
      <w:r w:rsidR="005E7D2A" w:rsidRPr="005211DB">
        <w:t xml:space="preserve">the </w:t>
      </w:r>
      <w:r w:rsidRPr="005211DB">
        <w:t>Ohio</w:t>
      </w:r>
      <w:r w:rsidR="005E7D2A" w:rsidRPr="005211DB">
        <w:t xml:space="preserve"> markets</w:t>
      </w:r>
      <w:r w:rsidRPr="005211DB">
        <w:t xml:space="preserve">, </w:t>
      </w:r>
      <w:r w:rsidR="004241EB" w:rsidRPr="005211DB">
        <w:t xml:space="preserve">competitive harm is likely in </w:t>
      </w:r>
      <w:r w:rsidRPr="005211DB">
        <w:t xml:space="preserve">at least one local market in each </w:t>
      </w:r>
      <w:r w:rsidR="00363ECF" w:rsidRPr="005211DB">
        <w:t xml:space="preserve">of the six </w:t>
      </w:r>
      <w:r w:rsidRPr="005211DB">
        <w:t>state cluster</w:t>
      </w:r>
      <w:r w:rsidR="00363ECF" w:rsidRPr="005211DB">
        <w:t>s</w:t>
      </w:r>
      <w:r w:rsidRPr="005211DB">
        <w:t>.</w:t>
      </w:r>
      <w:r w:rsidR="005E7D2A" w:rsidRPr="005211DB">
        <w:t xml:space="preserve"> </w:t>
      </w:r>
      <w:r w:rsidR="006C3F30" w:rsidRPr="005211DB">
        <w:t xml:space="preserve"> </w:t>
      </w:r>
      <w:r w:rsidR="00875157" w:rsidRPr="005211DB">
        <w:t xml:space="preserve">In </w:t>
      </w:r>
      <w:r w:rsidR="00CC0B55" w:rsidRPr="005211DB">
        <w:t xml:space="preserve">our evaluation of </w:t>
      </w:r>
      <w:r w:rsidR="00875157" w:rsidRPr="005211DB">
        <w:t>the other triggered markets</w:t>
      </w:r>
      <w:r w:rsidR="00CC0B55" w:rsidRPr="005211DB">
        <w:t xml:space="preserve"> </w:t>
      </w:r>
      <w:r w:rsidR="00111DFA" w:rsidRPr="005211DB">
        <w:t xml:space="preserve">in the </w:t>
      </w:r>
      <w:r w:rsidR="00CC0B55" w:rsidRPr="005211DB">
        <w:t>state cluster</w:t>
      </w:r>
      <w:r w:rsidR="00111DFA" w:rsidRPr="005211DB">
        <w:t>s</w:t>
      </w:r>
      <w:r w:rsidR="00875157" w:rsidRPr="005211DB">
        <w:t>, we find that the likelihood of competitive harm is low</w:t>
      </w:r>
      <w:r w:rsidR="00CC0B55" w:rsidRPr="005211DB">
        <w:t xml:space="preserve"> in certain of the triggered markets</w:t>
      </w:r>
      <w:r w:rsidR="00875157" w:rsidRPr="005211DB">
        <w:t>, based on the particular facts</w:t>
      </w:r>
      <w:r w:rsidR="004D7B33" w:rsidRPr="005211DB">
        <w:t xml:space="preserve"> in each market</w:t>
      </w:r>
      <w:r w:rsidR="00B61EFB" w:rsidRPr="005211DB">
        <w:t>,</w:t>
      </w:r>
      <w:r w:rsidR="00875157" w:rsidRPr="005211DB">
        <w:t xml:space="preserve"> </w:t>
      </w:r>
      <w:r w:rsidR="004D7B33" w:rsidRPr="005211DB">
        <w:t xml:space="preserve">which include but are not limited to </w:t>
      </w:r>
      <w:r w:rsidR="00F032A2" w:rsidRPr="005211DB">
        <w:t xml:space="preserve">capacity and the ability </w:t>
      </w:r>
      <w:r w:rsidR="00F33997" w:rsidRPr="005211DB">
        <w:t xml:space="preserve">of other </w:t>
      </w:r>
      <w:r w:rsidR="006363F0" w:rsidRPr="005211DB">
        <w:t xml:space="preserve">rival service </w:t>
      </w:r>
      <w:r w:rsidR="00F33997" w:rsidRPr="005211DB">
        <w:t xml:space="preserve">providers </w:t>
      </w:r>
      <w:r w:rsidR="00F032A2" w:rsidRPr="005211DB">
        <w:t>to offer competitive services</w:t>
      </w:r>
      <w:r w:rsidR="00875157" w:rsidRPr="005211DB">
        <w:t>.</w:t>
      </w:r>
      <w:r w:rsidR="004B66F3" w:rsidRPr="005211DB">
        <w:rPr>
          <w:rStyle w:val="FootnoteReference"/>
        </w:rPr>
        <w:footnoteReference w:id="117"/>
      </w:r>
      <w:r w:rsidR="00875157" w:rsidRPr="005211DB">
        <w:t xml:space="preserve">  </w:t>
      </w:r>
      <w:r w:rsidR="00F33997" w:rsidRPr="005211DB">
        <w:t>W</w:t>
      </w:r>
      <w:r w:rsidR="00CC0B55" w:rsidRPr="005211DB">
        <w:t xml:space="preserve">e </w:t>
      </w:r>
      <w:r w:rsidR="00F33997" w:rsidRPr="005211DB">
        <w:t xml:space="preserve">discuss below our reasons for </w:t>
      </w:r>
      <w:r w:rsidR="00CC0B55" w:rsidRPr="005211DB">
        <w:t>find</w:t>
      </w:r>
      <w:r w:rsidR="00F33997" w:rsidRPr="005211DB">
        <w:t>ing</w:t>
      </w:r>
      <w:r w:rsidR="00CC0B55" w:rsidRPr="005211DB">
        <w:t xml:space="preserve"> competitive harm likely in </w:t>
      </w:r>
      <w:r w:rsidR="00111DFA" w:rsidRPr="005211DB">
        <w:t xml:space="preserve">several </w:t>
      </w:r>
      <w:r w:rsidR="00F33997" w:rsidRPr="005211DB">
        <w:t>of the</w:t>
      </w:r>
      <w:r w:rsidR="00CC0B55" w:rsidRPr="005211DB">
        <w:t xml:space="preserve"> triggered markets</w:t>
      </w:r>
      <w:r w:rsidR="00C321C9" w:rsidRPr="005211DB">
        <w:t xml:space="preserve">, </w:t>
      </w:r>
      <w:r w:rsidR="00FF5343" w:rsidRPr="005211DB">
        <w:t>begin</w:t>
      </w:r>
      <w:r w:rsidR="00F33997" w:rsidRPr="005211DB">
        <w:t>ning</w:t>
      </w:r>
      <w:r w:rsidR="00FF5343" w:rsidRPr="005211DB">
        <w:t xml:space="preserve"> with our analysis of the </w:t>
      </w:r>
      <w:r w:rsidR="00E21625" w:rsidRPr="005211DB">
        <w:t xml:space="preserve">Georgia </w:t>
      </w:r>
      <w:r w:rsidR="00FF5343" w:rsidRPr="005211DB">
        <w:t xml:space="preserve">markets, </w:t>
      </w:r>
      <w:r w:rsidR="00F33997" w:rsidRPr="005211DB">
        <w:t xml:space="preserve">and then </w:t>
      </w:r>
      <w:r w:rsidR="00CC0B55" w:rsidRPr="005211DB">
        <w:t xml:space="preserve">evaluating </w:t>
      </w:r>
      <w:r w:rsidR="00FF5343" w:rsidRPr="005211DB">
        <w:t xml:space="preserve">in turn </w:t>
      </w:r>
      <w:r w:rsidR="005D7C2E" w:rsidRPr="005211DB">
        <w:t xml:space="preserve">the </w:t>
      </w:r>
      <w:r w:rsidR="00FF5343" w:rsidRPr="005211DB">
        <w:t>markets in Idaho, North Carolina</w:t>
      </w:r>
      <w:r w:rsidR="00E21625" w:rsidRPr="005211DB">
        <w:t xml:space="preserve">, </w:t>
      </w:r>
      <w:r w:rsidR="00FF5343" w:rsidRPr="005211DB">
        <w:t>South Carolina</w:t>
      </w:r>
      <w:r w:rsidR="00133E5F" w:rsidRPr="005211DB">
        <w:t xml:space="preserve">, </w:t>
      </w:r>
      <w:r w:rsidR="00875157" w:rsidRPr="005211DB">
        <w:t xml:space="preserve">and </w:t>
      </w:r>
      <w:r w:rsidR="00133E5F" w:rsidRPr="005211DB">
        <w:t>Illinois</w:t>
      </w:r>
      <w:r w:rsidR="00FF5343" w:rsidRPr="005211DB">
        <w:t>.</w:t>
      </w:r>
    </w:p>
    <w:p w:rsidR="00DB1C89" w:rsidRDefault="00875157" w:rsidP="00875157">
      <w:pPr>
        <w:pStyle w:val="ParaNum"/>
      </w:pPr>
      <w:r w:rsidRPr="005211DB">
        <w:rPr>
          <w:i/>
        </w:rPr>
        <w:t>Georgia</w:t>
      </w:r>
      <w:r w:rsidRPr="005211DB">
        <w:t>:  This cluster contains nine local markets,</w:t>
      </w:r>
      <w:r w:rsidRPr="005211DB">
        <w:rPr>
          <w:rStyle w:val="FootnoteReference"/>
        </w:rPr>
        <w:footnoteReference w:id="118"/>
      </w:r>
      <w:r w:rsidRPr="005211DB">
        <w:t xml:space="preserve"> seven of which are rural.</w:t>
      </w:r>
      <w:r w:rsidR="00F032A2" w:rsidRPr="005211DB">
        <w:rPr>
          <w:rStyle w:val="FootnoteReference"/>
        </w:rPr>
        <w:footnoteReference w:id="119"/>
      </w:r>
      <w:r w:rsidRPr="005211DB">
        <w:t xml:space="preserve">  </w:t>
      </w:r>
      <w:r w:rsidR="00F25FE1">
        <w:t>Seven o</w:t>
      </w:r>
      <w:r w:rsidR="00A23E2E">
        <w:t xml:space="preserve">f the </w:t>
      </w:r>
      <w:r w:rsidRPr="005211DB">
        <w:t xml:space="preserve">nine </w:t>
      </w:r>
      <w:r w:rsidR="00F25FE1">
        <w:t xml:space="preserve">Georgia </w:t>
      </w:r>
      <w:r w:rsidRPr="005211DB">
        <w:t>markets trigger the HHI screen</w:t>
      </w:r>
      <w:r w:rsidR="00F25FE1">
        <w:t>;</w:t>
      </w:r>
      <w:r w:rsidRPr="005211DB">
        <w:t xml:space="preserve"> </w:t>
      </w:r>
      <w:r w:rsidR="00A15F46">
        <w:t xml:space="preserve">with the exception of CMA 261 (Albany, GA), the </w:t>
      </w:r>
      <w:r w:rsidR="00F25FE1">
        <w:t>triggered markets</w:t>
      </w:r>
      <w:r w:rsidR="00A15F46">
        <w:t xml:space="preserve"> are rural.  Our</w:t>
      </w:r>
      <w:r w:rsidR="00F032A2" w:rsidRPr="005211DB">
        <w:rPr>
          <w:rFonts w:eastAsia="SimSun"/>
          <w:lang w:eastAsia="zh-CN"/>
        </w:rPr>
        <w:t xml:space="preserve"> </w:t>
      </w:r>
      <w:r w:rsidRPr="005211DB">
        <w:rPr>
          <w:rFonts w:eastAsia="SimSun"/>
          <w:lang w:eastAsia="zh-CN"/>
        </w:rPr>
        <w:t xml:space="preserve">market-by-market analysis </w:t>
      </w:r>
      <w:r w:rsidR="00D06607" w:rsidRPr="005211DB">
        <w:rPr>
          <w:rFonts w:eastAsia="SimSun"/>
          <w:lang w:eastAsia="zh-CN"/>
        </w:rPr>
        <w:t xml:space="preserve">identifies </w:t>
      </w:r>
      <w:r w:rsidRPr="005211DB">
        <w:rPr>
          <w:rFonts w:eastAsia="SimSun"/>
          <w:lang w:eastAsia="zh-CN"/>
        </w:rPr>
        <w:t xml:space="preserve">concerns that, post-transaction, </w:t>
      </w:r>
      <w:r w:rsidR="001807EF" w:rsidRPr="005211DB">
        <w:rPr>
          <w:rFonts w:eastAsia="SimSun"/>
          <w:lang w:eastAsia="zh-CN"/>
        </w:rPr>
        <w:t>competitive harm would be likely</w:t>
      </w:r>
      <w:r w:rsidRPr="005211DB">
        <w:rPr>
          <w:rFonts w:eastAsia="SimSun"/>
          <w:lang w:eastAsia="zh-CN"/>
        </w:rPr>
        <w:t xml:space="preserve"> </w:t>
      </w:r>
      <w:r w:rsidR="00F032A2" w:rsidRPr="005211DB">
        <w:rPr>
          <w:rFonts w:eastAsia="SimSun"/>
          <w:lang w:eastAsia="zh-CN"/>
        </w:rPr>
        <w:t xml:space="preserve">in five of these </w:t>
      </w:r>
      <w:r w:rsidR="00CF4139">
        <w:rPr>
          <w:rFonts w:eastAsia="SimSun"/>
          <w:lang w:eastAsia="zh-CN"/>
        </w:rPr>
        <w:t xml:space="preserve">seven </w:t>
      </w:r>
      <w:r w:rsidR="00F032A2" w:rsidRPr="005211DB">
        <w:rPr>
          <w:rFonts w:eastAsia="SimSun"/>
          <w:lang w:eastAsia="zh-CN"/>
        </w:rPr>
        <w:t>local markets</w:t>
      </w:r>
      <w:r w:rsidRPr="005211DB">
        <w:rPr>
          <w:rFonts w:eastAsia="SimSun"/>
          <w:lang w:eastAsia="zh-CN"/>
        </w:rPr>
        <w:t>.</w:t>
      </w:r>
      <w:r w:rsidR="00F032A2" w:rsidRPr="005211DB">
        <w:rPr>
          <w:rStyle w:val="FootnoteReference"/>
          <w:rFonts w:eastAsia="SimSun"/>
          <w:lang w:eastAsia="zh-CN"/>
        </w:rPr>
        <w:footnoteReference w:id="120"/>
      </w:r>
      <w:r w:rsidRPr="005211DB">
        <w:rPr>
          <w:rFonts w:eastAsia="SimSun"/>
          <w:lang w:eastAsia="zh-CN"/>
        </w:rPr>
        <w:t xml:space="preserve">  The number of service providers with significant market presence would be reduced from three to two in all five </w:t>
      </w:r>
      <w:r w:rsidR="00CA2295" w:rsidRPr="005211DB">
        <w:rPr>
          <w:rFonts w:eastAsia="SimSun"/>
          <w:lang w:eastAsia="zh-CN"/>
        </w:rPr>
        <w:t xml:space="preserve">of these rural </w:t>
      </w:r>
      <w:r w:rsidRPr="005211DB">
        <w:rPr>
          <w:rFonts w:eastAsia="SimSun"/>
          <w:lang w:eastAsia="zh-CN"/>
        </w:rPr>
        <w:t>markets.</w:t>
      </w:r>
      <w:r w:rsidRPr="005211DB">
        <w:rPr>
          <w:rStyle w:val="FootnoteReference"/>
          <w:rFonts w:eastAsia="SimSun"/>
          <w:lang w:eastAsia="zh-CN"/>
        </w:rPr>
        <w:footnoteReference w:id="121"/>
      </w:r>
      <w:r w:rsidRPr="005211DB">
        <w:rPr>
          <w:rFonts w:eastAsia="SimSun"/>
          <w:lang w:eastAsia="zh-CN"/>
        </w:rPr>
        <w:t xml:space="preserve">  Currently, AT&amp;T’s market share ranges from approximately </w:t>
      </w:r>
      <w:r w:rsidR="00E85915">
        <w:rPr>
          <w:b/>
        </w:rPr>
        <w:t>[REDACTED]</w:t>
      </w:r>
      <w:r w:rsidR="003164C3" w:rsidRPr="005211DB">
        <w:rPr>
          <w:b/>
        </w:rPr>
        <w:t xml:space="preserve"> </w:t>
      </w:r>
      <w:r w:rsidR="003164C3" w:rsidRPr="005211DB">
        <w:t xml:space="preserve">percent </w:t>
      </w:r>
      <w:r w:rsidRPr="005211DB">
        <w:t>and Allied’s market share ranges from approximately</w:t>
      </w:r>
      <w:r w:rsidRPr="005211DB">
        <w:rPr>
          <w:rFonts w:eastAsia="SimSun"/>
          <w:lang w:eastAsia="zh-CN"/>
        </w:rPr>
        <w:t xml:space="preserve"> </w:t>
      </w:r>
      <w:r w:rsidR="00E85915">
        <w:rPr>
          <w:b/>
        </w:rPr>
        <w:t>[REDACTED]</w:t>
      </w:r>
      <w:r w:rsidR="003164C3" w:rsidRPr="005211DB">
        <w:t xml:space="preserve"> percent</w:t>
      </w:r>
      <w:r w:rsidR="008F15A0" w:rsidRPr="005211DB">
        <w:t>.</w:t>
      </w:r>
      <w:r w:rsidR="008F15A0" w:rsidRPr="005211DB">
        <w:rPr>
          <w:rFonts w:eastAsia="SimSun"/>
          <w:lang w:eastAsia="zh-CN"/>
        </w:rPr>
        <w:t xml:space="preserve">  A</w:t>
      </w:r>
      <w:r w:rsidRPr="005211DB">
        <w:rPr>
          <w:rFonts w:eastAsia="SimSun"/>
          <w:lang w:eastAsia="zh-CN"/>
        </w:rPr>
        <w:t xml:space="preserve">cross the five markets, the market share of the combined entity would range from approximately </w:t>
      </w:r>
      <w:r w:rsidR="00E85915">
        <w:rPr>
          <w:b/>
        </w:rPr>
        <w:t>[REDACTED]</w:t>
      </w:r>
      <w:r w:rsidR="003164C3" w:rsidRPr="005211DB">
        <w:t xml:space="preserve"> percent</w:t>
      </w:r>
      <w:r w:rsidR="008F15A0" w:rsidRPr="005211DB">
        <w:t>.</w:t>
      </w:r>
      <w:r w:rsidR="008F15A0" w:rsidRPr="005211DB">
        <w:rPr>
          <w:rStyle w:val="FootnoteReference"/>
          <w:rFonts w:eastAsia="SimSun"/>
          <w:lang w:eastAsia="zh-CN"/>
        </w:rPr>
        <w:footnoteReference w:id="122"/>
      </w:r>
      <w:r w:rsidRPr="005211DB">
        <w:rPr>
          <w:rFonts w:eastAsia="SimSun"/>
          <w:lang w:eastAsia="zh-CN"/>
        </w:rPr>
        <w:t xml:space="preserve">  Verizon Wireless’s market share ranges from approximately </w:t>
      </w:r>
      <w:r w:rsidR="00E85915">
        <w:rPr>
          <w:b/>
        </w:rPr>
        <w:t>[REDACTED]</w:t>
      </w:r>
      <w:r w:rsidR="003164C3" w:rsidRPr="005211DB">
        <w:t xml:space="preserve"> percent</w:t>
      </w:r>
      <w:r w:rsidRPr="005211DB">
        <w:t>.</w:t>
      </w:r>
      <w:r w:rsidR="00923307" w:rsidRPr="005211DB">
        <w:rPr>
          <w:rStyle w:val="FootnoteReference"/>
        </w:rPr>
        <w:footnoteReference w:id="123"/>
      </w:r>
      <w:r w:rsidR="00923307" w:rsidRPr="005211DB">
        <w:rPr>
          <w:rFonts w:eastAsia="SimSun"/>
          <w:lang w:eastAsia="zh-CN"/>
        </w:rPr>
        <w:t xml:space="preserve"> </w:t>
      </w:r>
      <w:r w:rsidRPr="005211DB">
        <w:rPr>
          <w:rFonts w:eastAsia="SimSun"/>
          <w:lang w:eastAsia="zh-CN"/>
        </w:rPr>
        <w:t xml:space="preserve"> With respect to network coverage, Verizon Wireless </w:t>
      </w:r>
      <w:r w:rsidR="00E10E78" w:rsidRPr="005211DB">
        <w:rPr>
          <w:rFonts w:eastAsia="SimSun"/>
          <w:lang w:eastAsia="zh-CN"/>
        </w:rPr>
        <w:t xml:space="preserve">would be </w:t>
      </w:r>
      <w:r w:rsidRPr="005211DB">
        <w:rPr>
          <w:rFonts w:eastAsia="SimSun"/>
          <w:lang w:eastAsia="zh-CN"/>
        </w:rPr>
        <w:t xml:space="preserve">the only other service provider </w:t>
      </w:r>
      <w:r w:rsidR="00923307" w:rsidRPr="005211DB">
        <w:rPr>
          <w:rFonts w:eastAsia="SimSun"/>
          <w:lang w:eastAsia="zh-CN"/>
        </w:rPr>
        <w:t xml:space="preserve">besides the combined entity </w:t>
      </w:r>
      <w:r w:rsidRPr="005211DB">
        <w:rPr>
          <w:rFonts w:eastAsia="SimSun"/>
          <w:lang w:eastAsia="zh-CN"/>
        </w:rPr>
        <w:t xml:space="preserve">with </w:t>
      </w:r>
      <w:r w:rsidR="00DD7C2B" w:rsidRPr="005211DB">
        <w:rPr>
          <w:rFonts w:eastAsia="SimSun"/>
          <w:lang w:eastAsia="zh-CN"/>
        </w:rPr>
        <w:t>significant</w:t>
      </w:r>
      <w:r w:rsidR="00923307" w:rsidRPr="005211DB">
        <w:rPr>
          <w:rFonts w:eastAsia="SimSun"/>
          <w:lang w:eastAsia="zh-CN"/>
        </w:rPr>
        <w:t xml:space="preserve"> </w:t>
      </w:r>
      <w:r w:rsidR="00DD7C2B" w:rsidRPr="005211DB">
        <w:rPr>
          <w:rFonts w:eastAsia="SimSun"/>
          <w:lang w:eastAsia="zh-CN"/>
        </w:rPr>
        <w:t xml:space="preserve">total </w:t>
      </w:r>
      <w:r w:rsidRPr="005211DB">
        <w:rPr>
          <w:rFonts w:eastAsia="SimSun"/>
          <w:lang w:eastAsia="zh-CN"/>
        </w:rPr>
        <w:t>coverage</w:t>
      </w:r>
      <w:r w:rsidR="00E10E78" w:rsidRPr="005211DB">
        <w:rPr>
          <w:rFonts w:eastAsia="SimSun"/>
          <w:lang w:eastAsia="zh-CN"/>
        </w:rPr>
        <w:t xml:space="preserve"> post-transaction.</w:t>
      </w:r>
      <w:r w:rsidR="00923307" w:rsidRPr="005211DB">
        <w:rPr>
          <w:rStyle w:val="FootnoteReference"/>
        </w:rPr>
        <w:footnoteReference w:id="124"/>
      </w:r>
      <w:r w:rsidR="00923307" w:rsidRPr="005211DB">
        <w:rPr>
          <w:rFonts w:eastAsia="SimSun"/>
          <w:lang w:eastAsia="zh-CN"/>
        </w:rPr>
        <w:t xml:space="preserve"> </w:t>
      </w:r>
      <w:r w:rsidR="00E10E78" w:rsidRPr="005211DB">
        <w:rPr>
          <w:rFonts w:eastAsia="SimSun"/>
          <w:lang w:eastAsia="zh-CN"/>
        </w:rPr>
        <w:t xml:space="preserve"> Further, Verizon Wireless has deployed a </w:t>
      </w:r>
      <w:r w:rsidR="00F652EA" w:rsidRPr="005211DB">
        <w:rPr>
          <w:rFonts w:eastAsia="SimSun"/>
          <w:lang w:eastAsia="zh-CN"/>
        </w:rPr>
        <w:t xml:space="preserve">significant LTE </w:t>
      </w:r>
      <w:r w:rsidR="00E10E78" w:rsidRPr="005211DB">
        <w:rPr>
          <w:rFonts w:eastAsia="SimSun"/>
          <w:lang w:eastAsia="zh-CN"/>
        </w:rPr>
        <w:t>network in these markets</w:t>
      </w:r>
      <w:r w:rsidR="00291216" w:rsidRPr="005211DB">
        <w:rPr>
          <w:rFonts w:eastAsia="SimSun"/>
          <w:lang w:eastAsia="zh-CN"/>
        </w:rPr>
        <w:t>.</w:t>
      </w:r>
      <w:r w:rsidR="00773561" w:rsidRPr="005211DB">
        <w:rPr>
          <w:rStyle w:val="FootnoteReference"/>
          <w:rFonts w:eastAsia="SimSun"/>
          <w:lang w:eastAsia="zh-CN"/>
        </w:rPr>
        <w:footnoteReference w:id="125"/>
      </w:r>
      <w:r w:rsidR="00291216" w:rsidRPr="005211DB">
        <w:rPr>
          <w:rFonts w:eastAsia="SimSun"/>
          <w:lang w:eastAsia="zh-CN"/>
        </w:rPr>
        <w:t xml:space="preserve">  </w:t>
      </w:r>
      <w:r w:rsidR="00B0791A" w:rsidRPr="005211DB">
        <w:rPr>
          <w:rFonts w:eastAsia="SimSun"/>
          <w:lang w:eastAsia="zh-CN"/>
        </w:rPr>
        <w:t>AT&amp;T has significant total coverage, and while its HSPA+ or LTE coverage varies by market, it covers no more than</w:t>
      </w:r>
      <w:r w:rsidR="004D74C5" w:rsidRPr="005211DB">
        <w:rPr>
          <w:rFonts w:eastAsia="SimSun"/>
          <w:lang w:eastAsia="zh-CN"/>
        </w:rPr>
        <w:t xml:space="preserve"> </w:t>
      </w:r>
      <w:r w:rsidR="00176B83" w:rsidRPr="005211DB">
        <w:rPr>
          <w:rFonts w:eastAsia="SimSun"/>
          <w:lang w:eastAsia="zh-CN"/>
        </w:rPr>
        <w:t xml:space="preserve">approximately </w:t>
      </w:r>
      <w:r w:rsidR="004D74C5" w:rsidRPr="005211DB">
        <w:rPr>
          <w:rFonts w:eastAsia="SimSun"/>
          <w:lang w:eastAsia="zh-CN"/>
        </w:rPr>
        <w:t>4</w:t>
      </w:r>
      <w:r w:rsidR="00105E54" w:rsidRPr="005211DB">
        <w:rPr>
          <w:rFonts w:eastAsia="SimSun"/>
          <w:lang w:eastAsia="zh-CN"/>
        </w:rPr>
        <w:t>3</w:t>
      </w:r>
      <w:r w:rsidR="00176B83" w:rsidRPr="005211DB">
        <w:rPr>
          <w:rFonts w:eastAsia="SimSun"/>
          <w:lang w:eastAsia="zh-CN"/>
        </w:rPr>
        <w:t xml:space="preserve"> percent </w:t>
      </w:r>
      <w:r w:rsidR="004D74C5" w:rsidRPr="005211DB">
        <w:rPr>
          <w:rFonts w:eastAsia="SimSun"/>
          <w:lang w:eastAsia="zh-CN"/>
        </w:rPr>
        <w:t>of the land area with HSPA+ and its LTE deployment is substantially more limited.</w:t>
      </w:r>
      <w:r w:rsidR="00B0791A" w:rsidRPr="005211DB">
        <w:rPr>
          <w:rStyle w:val="FootnoteReference"/>
          <w:rFonts w:eastAsia="SimSun"/>
          <w:lang w:eastAsia="zh-CN"/>
        </w:rPr>
        <w:footnoteReference w:id="126"/>
      </w:r>
      <w:r w:rsidR="00B0791A" w:rsidRPr="005211DB">
        <w:rPr>
          <w:rFonts w:eastAsia="SimSun"/>
          <w:lang w:eastAsia="zh-CN"/>
        </w:rPr>
        <w:t xml:space="preserve"> </w:t>
      </w:r>
      <w:r w:rsidR="00F652EA" w:rsidRPr="005211DB">
        <w:rPr>
          <w:rFonts w:eastAsia="SimSun"/>
          <w:lang w:eastAsia="zh-CN"/>
        </w:rPr>
        <w:t xml:space="preserve"> </w:t>
      </w:r>
      <w:r w:rsidR="00E10E78" w:rsidRPr="005211DB">
        <w:t>Across the five markets, the two other nationwide service providers</w:t>
      </w:r>
      <w:r w:rsidR="00CF4139">
        <w:t>, Sprint and T-Mobile,</w:t>
      </w:r>
      <w:r w:rsidR="00E10E78" w:rsidRPr="005211DB">
        <w:t xml:space="preserve"> </w:t>
      </w:r>
      <w:r w:rsidR="00851970">
        <w:t xml:space="preserve">each </w:t>
      </w:r>
      <w:r w:rsidR="00E10E78" w:rsidRPr="005211DB">
        <w:t xml:space="preserve">hold </w:t>
      </w:r>
      <w:r w:rsidR="00E85915">
        <w:rPr>
          <w:b/>
        </w:rPr>
        <w:t>[REDACTED]</w:t>
      </w:r>
      <w:r w:rsidR="00E10E78" w:rsidRPr="005211DB">
        <w:t xml:space="preserve"> percent of the market, and neither has significant advanced broadband coverage in any market.</w:t>
      </w:r>
      <w:r w:rsidR="00E10E78" w:rsidRPr="005211DB">
        <w:rPr>
          <w:rStyle w:val="FootnoteReference"/>
          <w:rFonts w:eastAsia="SimSun"/>
          <w:lang w:eastAsia="zh-CN"/>
        </w:rPr>
        <w:footnoteReference w:id="127"/>
      </w:r>
      <w:r w:rsidR="00E10E78" w:rsidRPr="005211DB">
        <w:t xml:space="preserve">  </w:t>
      </w:r>
    </w:p>
    <w:p w:rsidR="00DB1C89" w:rsidRDefault="00DB1C89">
      <w:r>
        <w:br w:type="page"/>
      </w:r>
    </w:p>
    <w:p w:rsidR="00875157" w:rsidRPr="005211DB" w:rsidRDefault="00FA2859" w:rsidP="00875157">
      <w:pPr>
        <w:pStyle w:val="ParaNum"/>
      </w:pPr>
      <w:r w:rsidRPr="005211DB">
        <w:rPr>
          <w:rFonts w:eastAsia="SimSun"/>
          <w:lang w:eastAsia="zh-CN"/>
        </w:rPr>
        <w:t xml:space="preserve">Post-transaction, </w:t>
      </w:r>
      <w:r w:rsidRPr="005211DB">
        <w:t xml:space="preserve">AT&amp;T and Verizon Wireless between them would account for approximately </w:t>
      </w:r>
      <w:r w:rsidR="00E85915">
        <w:rPr>
          <w:b/>
        </w:rPr>
        <w:t>[REDACTED]</w:t>
      </w:r>
      <w:r w:rsidRPr="005211DB">
        <w:t xml:space="preserve"> percent of the ma</w:t>
      </w:r>
      <w:r w:rsidRPr="005211DB">
        <w:rPr>
          <w:rFonts w:eastAsia="SimSun"/>
          <w:lang w:eastAsia="zh-CN"/>
        </w:rPr>
        <w:t>rket’s subscribers.  Post</w:t>
      </w:r>
      <w:r w:rsidR="00851970">
        <w:rPr>
          <w:rFonts w:eastAsia="SimSun"/>
          <w:lang w:eastAsia="zh-CN"/>
        </w:rPr>
        <w:t>-</w:t>
      </w:r>
      <w:r w:rsidRPr="005211DB">
        <w:rPr>
          <w:rFonts w:eastAsia="SimSun"/>
          <w:lang w:eastAsia="zh-CN"/>
        </w:rPr>
        <w:t>transaction, we also note that AT&amp;T and Verizon Wireless would be the only two service providers that would have both a significant market share and significant total coverage in terms of population and land area in the market</w:t>
      </w:r>
      <w:r w:rsidR="00473E99" w:rsidRPr="005211DB">
        <w:rPr>
          <w:rFonts w:eastAsia="SimSun"/>
          <w:lang w:eastAsia="zh-CN"/>
        </w:rPr>
        <w:t>s</w:t>
      </w:r>
      <w:r w:rsidRPr="005211DB">
        <w:rPr>
          <w:rFonts w:eastAsia="SimSun"/>
          <w:lang w:eastAsia="zh-CN"/>
        </w:rPr>
        <w:t xml:space="preserve">.  </w:t>
      </w:r>
      <w:r w:rsidR="00E468AF" w:rsidRPr="005211DB">
        <w:rPr>
          <w:rFonts w:eastAsia="SimSun"/>
          <w:lang w:eastAsia="zh-CN"/>
        </w:rPr>
        <w:t xml:space="preserve">Of the two other nationwide service providers, </w:t>
      </w:r>
      <w:r w:rsidR="000F37AC" w:rsidRPr="005211DB">
        <w:rPr>
          <w:rFonts w:eastAsia="SimSun"/>
          <w:lang w:eastAsia="zh-CN"/>
        </w:rPr>
        <w:t>neither</w:t>
      </w:r>
      <w:r w:rsidRPr="005211DB">
        <w:rPr>
          <w:rFonts w:eastAsia="SimSun"/>
          <w:lang w:eastAsia="zh-CN"/>
        </w:rPr>
        <w:t xml:space="preserve"> Sprint </w:t>
      </w:r>
      <w:r w:rsidR="000F37AC" w:rsidRPr="005211DB">
        <w:rPr>
          <w:rFonts w:eastAsia="SimSun"/>
          <w:lang w:eastAsia="zh-CN"/>
        </w:rPr>
        <w:t xml:space="preserve">nor </w:t>
      </w:r>
      <w:r w:rsidRPr="005211DB">
        <w:rPr>
          <w:rFonts w:eastAsia="SimSun"/>
          <w:lang w:eastAsia="zh-CN"/>
        </w:rPr>
        <w:t xml:space="preserve">T-Mobile </w:t>
      </w:r>
      <w:r w:rsidR="000F37AC" w:rsidRPr="005211DB">
        <w:rPr>
          <w:rFonts w:eastAsia="SimSun"/>
          <w:lang w:eastAsia="zh-CN"/>
        </w:rPr>
        <w:t>has a significant m</w:t>
      </w:r>
      <w:r w:rsidRPr="005211DB">
        <w:rPr>
          <w:rFonts w:eastAsia="SimSun"/>
          <w:lang w:eastAsia="zh-CN"/>
        </w:rPr>
        <w:t xml:space="preserve">arket presence </w:t>
      </w:r>
      <w:r w:rsidR="0028643D" w:rsidRPr="005211DB">
        <w:rPr>
          <w:rFonts w:eastAsia="SimSun"/>
          <w:lang w:eastAsia="zh-CN"/>
        </w:rPr>
        <w:t>or significant 3G or advanced broadband coverage in any of these markets</w:t>
      </w:r>
      <w:r w:rsidR="0017703C" w:rsidRPr="005211DB">
        <w:rPr>
          <w:rFonts w:eastAsia="SimSun"/>
          <w:lang w:eastAsia="zh-CN"/>
        </w:rPr>
        <w:t>,</w:t>
      </w:r>
      <w:r w:rsidR="0028643D" w:rsidRPr="005211DB">
        <w:rPr>
          <w:rFonts w:eastAsia="SimSun"/>
          <w:lang w:eastAsia="zh-CN"/>
        </w:rPr>
        <w:t xml:space="preserve"> </w:t>
      </w:r>
      <w:r w:rsidRPr="005211DB">
        <w:rPr>
          <w:rFonts w:eastAsia="SimSun"/>
          <w:lang w:eastAsia="zh-CN"/>
        </w:rPr>
        <w:t>which would likely limit the</w:t>
      </w:r>
      <w:r w:rsidR="00473E99" w:rsidRPr="005211DB">
        <w:rPr>
          <w:rFonts w:eastAsia="SimSun"/>
          <w:lang w:eastAsia="zh-CN"/>
        </w:rPr>
        <w:t xml:space="preserve">ir </w:t>
      </w:r>
      <w:r w:rsidRPr="005211DB">
        <w:rPr>
          <w:rFonts w:eastAsia="SimSun"/>
          <w:lang w:eastAsia="zh-CN"/>
        </w:rPr>
        <w:t xml:space="preserve">ability to quickly and effectively respond to any anticompetitive behavior.  </w:t>
      </w:r>
      <w:r w:rsidR="00AB4277" w:rsidRPr="005211DB">
        <w:rPr>
          <w:rFonts w:eastAsia="SimSun"/>
          <w:lang w:eastAsia="zh-CN"/>
        </w:rPr>
        <w:t>In light of the</w:t>
      </w:r>
      <w:r w:rsidR="00F652EA" w:rsidRPr="005211DB">
        <w:rPr>
          <w:rFonts w:eastAsia="SimSun"/>
          <w:lang w:eastAsia="zh-CN"/>
        </w:rPr>
        <w:t xml:space="preserve"> particular facts of these five markets, including but </w:t>
      </w:r>
      <w:r w:rsidR="00F652EA" w:rsidRPr="005211DB">
        <w:t xml:space="preserve">not limited to </w:t>
      </w:r>
      <w:r w:rsidR="004A7578" w:rsidRPr="005211DB">
        <w:t xml:space="preserve">the reduction in the number of significant service providers, </w:t>
      </w:r>
      <w:r w:rsidR="00F652EA" w:rsidRPr="005211DB">
        <w:t>capacity</w:t>
      </w:r>
      <w:r w:rsidR="00C47F5F" w:rsidRPr="005211DB">
        <w:t>,</w:t>
      </w:r>
      <w:r w:rsidR="00F652EA" w:rsidRPr="005211DB">
        <w:t xml:space="preserve"> and the ability of other rival service providers to offer competitive services,</w:t>
      </w:r>
      <w:r w:rsidR="00F652EA" w:rsidRPr="005211DB">
        <w:rPr>
          <w:rFonts w:eastAsia="SimSun"/>
          <w:lang w:eastAsia="zh-CN"/>
        </w:rPr>
        <w:t xml:space="preserve"> </w:t>
      </w:r>
      <w:r w:rsidR="00E03C80" w:rsidRPr="005211DB">
        <w:rPr>
          <w:rFonts w:eastAsia="SimSun"/>
          <w:lang w:eastAsia="zh-CN"/>
        </w:rPr>
        <w:t>w</w:t>
      </w:r>
      <w:r w:rsidR="004B66F3" w:rsidRPr="005211DB">
        <w:rPr>
          <w:rFonts w:eastAsia="SimSun"/>
          <w:lang w:eastAsia="zh-CN"/>
        </w:rPr>
        <w:t xml:space="preserve">e find that </w:t>
      </w:r>
      <w:r w:rsidR="008F15A0" w:rsidRPr="005211DB">
        <w:rPr>
          <w:rFonts w:eastAsia="SimSun"/>
          <w:lang w:eastAsia="zh-CN"/>
        </w:rPr>
        <w:t xml:space="preserve">the </w:t>
      </w:r>
      <w:r w:rsidR="004A7578" w:rsidRPr="005211DB">
        <w:rPr>
          <w:rFonts w:eastAsia="SimSun"/>
          <w:lang w:eastAsia="zh-CN"/>
        </w:rPr>
        <w:t>proposed transaction would likely lessen competition</w:t>
      </w:r>
      <w:r w:rsidR="006D76C1" w:rsidRPr="005211DB">
        <w:rPr>
          <w:rFonts w:eastAsia="SimSun"/>
          <w:lang w:eastAsia="zh-CN"/>
        </w:rPr>
        <w:t xml:space="preserve"> </w:t>
      </w:r>
      <w:r w:rsidR="000F3164" w:rsidRPr="005211DB">
        <w:rPr>
          <w:rFonts w:eastAsia="SimSun"/>
          <w:lang w:eastAsia="zh-CN"/>
        </w:rPr>
        <w:t>in these five rural markets</w:t>
      </w:r>
      <w:r w:rsidR="008F15A0" w:rsidRPr="005211DB">
        <w:rPr>
          <w:rFonts w:eastAsia="SimSun"/>
          <w:lang w:eastAsia="zh-CN"/>
        </w:rPr>
        <w:t xml:space="preserve">, and </w:t>
      </w:r>
      <w:r w:rsidR="00DD7C2B" w:rsidRPr="005211DB">
        <w:rPr>
          <w:rFonts w:eastAsia="SimSun"/>
          <w:lang w:eastAsia="zh-CN"/>
        </w:rPr>
        <w:t xml:space="preserve">thus </w:t>
      </w:r>
      <w:r w:rsidR="00C47F5F" w:rsidRPr="005211DB">
        <w:rPr>
          <w:rFonts w:eastAsia="SimSun"/>
          <w:lang w:eastAsia="zh-CN"/>
        </w:rPr>
        <w:t xml:space="preserve">would likely </w:t>
      </w:r>
      <w:r w:rsidR="008F15A0" w:rsidRPr="005211DB">
        <w:rPr>
          <w:rFonts w:eastAsia="SimSun"/>
          <w:lang w:eastAsia="zh-CN"/>
        </w:rPr>
        <w:t>harm the public interest</w:t>
      </w:r>
      <w:r w:rsidR="0008389B" w:rsidRPr="005211DB">
        <w:rPr>
          <w:rFonts w:eastAsia="SimSun"/>
          <w:lang w:eastAsia="zh-CN"/>
        </w:rPr>
        <w:t xml:space="preserve">.  </w:t>
      </w:r>
    </w:p>
    <w:p w:rsidR="00DB1C89" w:rsidRDefault="00875157" w:rsidP="000F3164">
      <w:pPr>
        <w:pStyle w:val="ParaNum"/>
      </w:pPr>
      <w:r w:rsidRPr="005211DB">
        <w:rPr>
          <w:i/>
        </w:rPr>
        <w:t>Idaho</w:t>
      </w:r>
      <w:r w:rsidRPr="005211DB">
        <w:t xml:space="preserve">: </w:t>
      </w:r>
      <w:r w:rsidR="00851970">
        <w:t xml:space="preserve"> </w:t>
      </w:r>
      <w:r w:rsidRPr="005211DB">
        <w:t>This cluster contains four rural local markets</w:t>
      </w:r>
      <w:r w:rsidR="00F87311" w:rsidRPr="005211DB">
        <w:t>,</w:t>
      </w:r>
      <w:r w:rsidRPr="005211DB">
        <w:rPr>
          <w:rStyle w:val="FootnoteReference"/>
        </w:rPr>
        <w:footnoteReference w:id="128"/>
      </w:r>
      <w:r w:rsidRPr="005211DB">
        <w:t xml:space="preserve"> </w:t>
      </w:r>
      <w:r w:rsidR="00F87311" w:rsidRPr="005211DB">
        <w:t>one of which (</w:t>
      </w:r>
      <w:r w:rsidRPr="005211DB">
        <w:t>CMA 390 (Idaho 3 – Lemhi)</w:t>
      </w:r>
      <w:r w:rsidR="00F87311" w:rsidRPr="005211DB">
        <w:t>)</w:t>
      </w:r>
      <w:r w:rsidRPr="005211DB">
        <w:t xml:space="preserve"> triggers the HHI screen</w:t>
      </w:r>
      <w:r w:rsidR="00F87311" w:rsidRPr="005211DB">
        <w:t>.  P</w:t>
      </w:r>
      <w:r w:rsidR="004B66F3" w:rsidRPr="005211DB">
        <w:t xml:space="preserve">ost-transaction, </w:t>
      </w:r>
      <w:r w:rsidRPr="005211DB">
        <w:t>t</w:t>
      </w:r>
      <w:r w:rsidRPr="005211DB">
        <w:rPr>
          <w:rFonts w:eastAsia="SimSun"/>
          <w:lang w:eastAsia="zh-CN"/>
        </w:rPr>
        <w:t>he number of service providers with significant market presence would be reduced from three to two.</w:t>
      </w:r>
      <w:r w:rsidRPr="005211DB">
        <w:rPr>
          <w:rStyle w:val="FootnoteReference"/>
        </w:rPr>
        <w:footnoteReference w:id="129"/>
      </w:r>
      <w:r w:rsidRPr="005211DB">
        <w:t xml:space="preserve">  </w:t>
      </w:r>
      <w:r w:rsidR="00F87311" w:rsidRPr="005211DB">
        <w:rPr>
          <w:rFonts w:eastAsia="SimSun"/>
          <w:lang w:eastAsia="zh-CN"/>
        </w:rPr>
        <w:t>Currently</w:t>
      </w:r>
      <w:r w:rsidRPr="005211DB">
        <w:rPr>
          <w:rFonts w:eastAsia="SimSun"/>
          <w:lang w:eastAsia="zh-CN"/>
        </w:rPr>
        <w:t xml:space="preserve">, AT&amp;T’s market share is approximately </w:t>
      </w:r>
      <w:r w:rsidR="00E85915">
        <w:rPr>
          <w:b/>
        </w:rPr>
        <w:t>[REDACTED]</w:t>
      </w:r>
      <w:r w:rsidR="003164C3" w:rsidRPr="005211DB">
        <w:rPr>
          <w:b/>
        </w:rPr>
        <w:t xml:space="preserve"> </w:t>
      </w:r>
      <w:r w:rsidR="003164C3" w:rsidRPr="005211DB">
        <w:t xml:space="preserve">percent </w:t>
      </w:r>
      <w:r w:rsidRPr="005211DB">
        <w:t>and Allied’s market share is approximately</w:t>
      </w:r>
      <w:r w:rsidRPr="005211DB">
        <w:rPr>
          <w:rFonts w:eastAsia="SimSun"/>
          <w:lang w:eastAsia="zh-CN"/>
        </w:rPr>
        <w:t xml:space="preserve"> </w:t>
      </w:r>
      <w:r w:rsidR="00E85915">
        <w:rPr>
          <w:b/>
        </w:rPr>
        <w:t>[REDACTED]</w:t>
      </w:r>
      <w:r w:rsidR="003164C3" w:rsidRPr="005211DB">
        <w:t xml:space="preserve"> percent</w:t>
      </w:r>
      <w:r w:rsidRPr="005211DB">
        <w:t xml:space="preserve">.  Post-transaction, the market share of the combined entity would be approximately </w:t>
      </w:r>
      <w:r w:rsidR="00E85915">
        <w:rPr>
          <w:b/>
        </w:rPr>
        <w:t>[REDACTED]</w:t>
      </w:r>
      <w:r w:rsidR="003164C3" w:rsidRPr="005211DB">
        <w:t xml:space="preserve"> percent</w:t>
      </w:r>
      <w:r w:rsidRPr="005211DB">
        <w:t>.</w:t>
      </w:r>
      <w:r w:rsidR="001807EF" w:rsidRPr="005211DB">
        <w:rPr>
          <w:rStyle w:val="FootnoteReference"/>
        </w:rPr>
        <w:footnoteReference w:id="130"/>
      </w:r>
      <w:r w:rsidRPr="005211DB">
        <w:rPr>
          <w:b/>
        </w:rPr>
        <w:t xml:space="preserve"> </w:t>
      </w:r>
      <w:r w:rsidR="00865883" w:rsidRPr="005211DB">
        <w:rPr>
          <w:b/>
        </w:rPr>
        <w:t xml:space="preserve"> </w:t>
      </w:r>
      <w:r w:rsidRPr="005211DB">
        <w:rPr>
          <w:rFonts w:eastAsia="SimSun"/>
          <w:lang w:eastAsia="zh-CN"/>
        </w:rPr>
        <w:t xml:space="preserve">Verizon Wireless’s market share is approximately </w:t>
      </w:r>
      <w:r w:rsidR="00E85915">
        <w:rPr>
          <w:b/>
        </w:rPr>
        <w:t>[REDACTED]</w:t>
      </w:r>
      <w:r w:rsidR="003164C3" w:rsidRPr="005211DB">
        <w:t xml:space="preserve"> percent</w:t>
      </w:r>
      <w:r w:rsidRPr="005211DB">
        <w:t>, and no other service provider is present in the market.</w:t>
      </w:r>
      <w:r w:rsidR="003A73EF" w:rsidRPr="005211DB">
        <w:rPr>
          <w:rStyle w:val="FootnoteReference"/>
        </w:rPr>
        <w:footnoteReference w:id="131"/>
      </w:r>
      <w:r w:rsidRPr="005211DB">
        <w:t xml:space="preserve">  </w:t>
      </w:r>
      <w:r w:rsidR="0013581E" w:rsidRPr="005211DB">
        <w:rPr>
          <w:rFonts w:eastAsia="SimSun"/>
          <w:lang w:eastAsia="zh-CN"/>
        </w:rPr>
        <w:t>This market is exceptionally rural, with a population of 19,332, and a population density of 1.7</w:t>
      </w:r>
      <w:r w:rsidR="007F2496" w:rsidRPr="005211DB">
        <w:rPr>
          <w:rFonts w:eastAsia="SimSun"/>
          <w:lang w:eastAsia="zh-CN"/>
        </w:rPr>
        <w:t>.  W</w:t>
      </w:r>
      <w:r w:rsidRPr="005211DB">
        <w:rPr>
          <w:rFonts w:eastAsia="SimSun"/>
          <w:lang w:eastAsia="zh-CN"/>
        </w:rPr>
        <w:t>ith respect to network coverage,</w:t>
      </w:r>
      <w:r w:rsidRPr="005211DB">
        <w:t xml:space="preserve"> no service providers</w:t>
      </w:r>
      <w:r w:rsidR="00F87311" w:rsidRPr="005211DB">
        <w:t>, including the combined entity,</w:t>
      </w:r>
      <w:r w:rsidRPr="005211DB">
        <w:t xml:space="preserve"> would have </w:t>
      </w:r>
      <w:r w:rsidR="00DD7C2B" w:rsidRPr="005211DB">
        <w:t xml:space="preserve">significant total </w:t>
      </w:r>
      <w:r w:rsidRPr="005211DB">
        <w:t>coverage</w:t>
      </w:r>
      <w:r w:rsidR="00E10E78" w:rsidRPr="005211DB">
        <w:t xml:space="preserve"> post-transaction,</w:t>
      </w:r>
      <w:r w:rsidR="00E03C80" w:rsidRPr="005211DB">
        <w:t xml:space="preserve"> and </w:t>
      </w:r>
      <w:r w:rsidR="009F0F3A" w:rsidRPr="005211DB">
        <w:t xml:space="preserve">further, </w:t>
      </w:r>
      <w:r w:rsidR="00291216" w:rsidRPr="005211DB">
        <w:t>advanced broadband coverage is extremely limited</w:t>
      </w:r>
      <w:r w:rsidR="00E03C80" w:rsidRPr="005211DB">
        <w:t>.</w:t>
      </w:r>
      <w:r w:rsidR="00291216" w:rsidRPr="005211DB">
        <w:rPr>
          <w:rStyle w:val="FootnoteReference"/>
        </w:rPr>
        <w:footnoteReference w:id="132"/>
      </w:r>
      <w:r w:rsidRPr="005211DB">
        <w:rPr>
          <w:rFonts w:eastAsia="SimSun"/>
          <w:lang w:eastAsia="zh-CN"/>
        </w:rPr>
        <w:t xml:space="preserve">  </w:t>
      </w:r>
      <w:r w:rsidR="0013581E" w:rsidRPr="005211DB">
        <w:t xml:space="preserve">AT&amp;T </w:t>
      </w:r>
      <w:r w:rsidR="00105E54" w:rsidRPr="005211DB">
        <w:t>covers approximately 30</w:t>
      </w:r>
      <w:r w:rsidR="004F21ED" w:rsidRPr="005211DB">
        <w:t xml:space="preserve"> percent</w:t>
      </w:r>
      <w:r w:rsidR="00105E54" w:rsidRPr="005211DB">
        <w:t xml:space="preserve"> of </w:t>
      </w:r>
    </w:p>
    <w:p w:rsidR="00DB1C89" w:rsidRDefault="00DB1C89">
      <w:r>
        <w:br w:type="page"/>
      </w:r>
    </w:p>
    <w:p w:rsidR="000F7541" w:rsidRPr="005211DB" w:rsidRDefault="00105E54" w:rsidP="00DB1C89">
      <w:pPr>
        <w:pStyle w:val="ParaNum"/>
        <w:numPr>
          <w:ilvl w:val="0"/>
          <w:numId w:val="0"/>
        </w:numPr>
      </w:pPr>
      <w:r w:rsidRPr="005211DB">
        <w:t xml:space="preserve">the population and </w:t>
      </w:r>
      <w:r w:rsidR="0075707B" w:rsidRPr="005211DB">
        <w:t xml:space="preserve">two </w:t>
      </w:r>
      <w:r w:rsidR="004F21ED" w:rsidRPr="005211DB">
        <w:t>percent</w:t>
      </w:r>
      <w:r w:rsidRPr="005211DB">
        <w:t xml:space="preserve"> of the land area with HSPA+, but has no LTE deployment, while Verizon Wireless covers approximately 42</w:t>
      </w:r>
      <w:r w:rsidR="004F21ED" w:rsidRPr="005211DB">
        <w:t xml:space="preserve"> percent</w:t>
      </w:r>
      <w:r w:rsidRPr="005211DB">
        <w:t xml:space="preserve"> </w:t>
      </w:r>
      <w:r w:rsidR="0013581E" w:rsidRPr="005211DB">
        <w:t xml:space="preserve">of the population </w:t>
      </w:r>
      <w:r w:rsidRPr="005211DB">
        <w:t xml:space="preserve">and </w:t>
      </w:r>
      <w:r w:rsidR="00250BE0" w:rsidRPr="005211DB">
        <w:t xml:space="preserve">three </w:t>
      </w:r>
      <w:r w:rsidR="004F21ED" w:rsidRPr="005211DB">
        <w:t>percent</w:t>
      </w:r>
      <w:r w:rsidRPr="005211DB">
        <w:t xml:space="preserve"> </w:t>
      </w:r>
      <w:r w:rsidR="0013581E" w:rsidRPr="005211DB">
        <w:t xml:space="preserve">of the land area </w:t>
      </w:r>
      <w:r w:rsidRPr="005211DB">
        <w:t xml:space="preserve">with its LTE network.  </w:t>
      </w:r>
    </w:p>
    <w:p w:rsidR="000F3164" w:rsidRPr="005211DB" w:rsidRDefault="00E468AF" w:rsidP="000F3164">
      <w:pPr>
        <w:pStyle w:val="ParaNum"/>
      </w:pPr>
      <w:r w:rsidRPr="005211DB">
        <w:rPr>
          <w:rFonts w:eastAsia="SimSun"/>
          <w:lang w:eastAsia="zh-CN"/>
        </w:rPr>
        <w:t xml:space="preserve">Post-transaction, </w:t>
      </w:r>
      <w:r w:rsidRPr="005211DB">
        <w:t xml:space="preserve">AT&amp;T and Verizon Wireless between them would account for approximately </w:t>
      </w:r>
      <w:r w:rsidR="00E85915">
        <w:rPr>
          <w:b/>
        </w:rPr>
        <w:t>[REDACTED]</w:t>
      </w:r>
      <w:r w:rsidRPr="005211DB">
        <w:t xml:space="preserve"> percent of the ma</w:t>
      </w:r>
      <w:r w:rsidRPr="005211DB">
        <w:rPr>
          <w:rFonts w:eastAsia="SimSun"/>
          <w:lang w:eastAsia="zh-CN"/>
        </w:rPr>
        <w:t xml:space="preserve">rket’s subscribers.  </w:t>
      </w:r>
      <w:r w:rsidR="0017703C" w:rsidRPr="005211DB">
        <w:rPr>
          <w:rFonts w:eastAsia="SimSun"/>
          <w:lang w:eastAsia="zh-CN"/>
        </w:rPr>
        <w:t>T</w:t>
      </w:r>
      <w:r w:rsidRPr="005211DB">
        <w:rPr>
          <w:rFonts w:eastAsia="SimSun"/>
          <w:lang w:eastAsia="zh-CN"/>
        </w:rPr>
        <w:t>he two other nationwide service providers</w:t>
      </w:r>
      <w:r w:rsidR="0017703C" w:rsidRPr="005211DB">
        <w:rPr>
          <w:rFonts w:eastAsia="SimSun"/>
          <w:lang w:eastAsia="zh-CN"/>
        </w:rPr>
        <w:t xml:space="preserve"> are present in this market only in the form of</w:t>
      </w:r>
      <w:r w:rsidRPr="005211DB">
        <w:rPr>
          <w:rFonts w:eastAsia="SimSun"/>
          <w:lang w:eastAsia="zh-CN"/>
        </w:rPr>
        <w:t xml:space="preserve"> </w:t>
      </w:r>
      <w:r w:rsidR="00F55A4C" w:rsidRPr="005211DB">
        <w:rPr>
          <w:rFonts w:eastAsia="SimSun"/>
          <w:lang w:eastAsia="zh-CN"/>
        </w:rPr>
        <w:t>T-Mobile</w:t>
      </w:r>
      <w:r w:rsidR="0017703C" w:rsidRPr="005211DB">
        <w:rPr>
          <w:rFonts w:eastAsia="SimSun"/>
          <w:lang w:eastAsia="zh-CN"/>
        </w:rPr>
        <w:t>’s limited</w:t>
      </w:r>
      <w:r w:rsidR="00F55A4C" w:rsidRPr="005211DB">
        <w:rPr>
          <w:rFonts w:eastAsia="SimSun"/>
          <w:lang w:eastAsia="zh-CN"/>
        </w:rPr>
        <w:t xml:space="preserve"> 2G and 3G coverage.</w:t>
      </w:r>
      <w:r w:rsidR="00622C79" w:rsidRPr="005211DB">
        <w:rPr>
          <w:rStyle w:val="FootnoteReference"/>
          <w:rFonts w:eastAsia="SimSun"/>
          <w:lang w:eastAsia="zh-CN"/>
        </w:rPr>
        <w:footnoteReference w:id="133"/>
      </w:r>
      <w:r w:rsidR="00F55A4C" w:rsidRPr="005211DB">
        <w:rPr>
          <w:rFonts w:eastAsia="SimSun"/>
          <w:lang w:eastAsia="zh-CN"/>
        </w:rPr>
        <w:t xml:space="preserve">  </w:t>
      </w:r>
      <w:r w:rsidR="0017703C" w:rsidRPr="005211DB">
        <w:rPr>
          <w:rFonts w:eastAsia="SimSun"/>
          <w:lang w:eastAsia="zh-CN"/>
        </w:rPr>
        <w:t xml:space="preserve">Thus, we find that neither </w:t>
      </w:r>
      <w:r w:rsidR="00F55A4C" w:rsidRPr="005211DB">
        <w:rPr>
          <w:rFonts w:eastAsia="SimSun"/>
          <w:lang w:eastAsia="zh-CN"/>
        </w:rPr>
        <w:t>Sprint</w:t>
      </w:r>
      <w:r w:rsidR="0017703C" w:rsidRPr="005211DB">
        <w:rPr>
          <w:rFonts w:eastAsia="SimSun"/>
          <w:lang w:eastAsia="zh-CN"/>
        </w:rPr>
        <w:t xml:space="preserve"> nor</w:t>
      </w:r>
      <w:r w:rsidR="00F55A4C" w:rsidRPr="005211DB">
        <w:rPr>
          <w:rFonts w:eastAsia="SimSun"/>
          <w:lang w:eastAsia="zh-CN"/>
        </w:rPr>
        <w:t xml:space="preserve"> T-Mobile</w:t>
      </w:r>
      <w:r w:rsidR="0017703C" w:rsidRPr="005211DB">
        <w:rPr>
          <w:rFonts w:eastAsia="SimSun"/>
          <w:lang w:eastAsia="zh-CN"/>
        </w:rPr>
        <w:t xml:space="preserve"> would be able </w:t>
      </w:r>
      <w:r w:rsidRPr="005211DB">
        <w:rPr>
          <w:rFonts w:eastAsia="SimSun"/>
          <w:lang w:eastAsia="zh-CN"/>
        </w:rPr>
        <w:t xml:space="preserve">to quickly and effectively respond to any anticompetitive behavior.  </w:t>
      </w:r>
      <w:r w:rsidR="00AB4277" w:rsidRPr="005211DB">
        <w:rPr>
          <w:rFonts w:eastAsia="SimSun"/>
          <w:lang w:eastAsia="zh-CN"/>
        </w:rPr>
        <w:t xml:space="preserve">In light of the particular facts of </w:t>
      </w:r>
      <w:r w:rsidR="00682A00" w:rsidRPr="005211DB">
        <w:rPr>
          <w:rFonts w:eastAsia="SimSun"/>
          <w:lang w:eastAsia="zh-CN"/>
        </w:rPr>
        <w:t>this market</w:t>
      </w:r>
      <w:r w:rsidR="00AB4277" w:rsidRPr="005211DB">
        <w:rPr>
          <w:rFonts w:eastAsia="SimSun"/>
          <w:lang w:eastAsia="zh-CN"/>
        </w:rPr>
        <w:t xml:space="preserve">, including but </w:t>
      </w:r>
      <w:r w:rsidR="00AB4277" w:rsidRPr="005211DB">
        <w:t xml:space="preserve">not limited to </w:t>
      </w:r>
      <w:r w:rsidR="00C47F5F" w:rsidRPr="005211DB">
        <w:t xml:space="preserve">the reduction in the number of significant service providers, </w:t>
      </w:r>
      <w:r w:rsidR="00AB4277" w:rsidRPr="005211DB">
        <w:t>capacity</w:t>
      </w:r>
      <w:r w:rsidR="00851970">
        <w:t>,</w:t>
      </w:r>
      <w:r w:rsidR="00AB4277" w:rsidRPr="005211DB">
        <w:t xml:space="preserve"> and the ability of other rival service providers to offer competitive services,</w:t>
      </w:r>
      <w:r w:rsidR="00AB4277" w:rsidRPr="005211DB">
        <w:rPr>
          <w:rFonts w:eastAsia="SimSun"/>
          <w:lang w:eastAsia="zh-CN"/>
        </w:rPr>
        <w:t xml:space="preserve"> </w:t>
      </w:r>
      <w:r w:rsidR="007A24E8" w:rsidRPr="005211DB">
        <w:rPr>
          <w:rFonts w:eastAsia="SimSun"/>
          <w:lang w:eastAsia="zh-CN"/>
        </w:rPr>
        <w:t>w</w:t>
      </w:r>
      <w:r w:rsidR="00C47F5F" w:rsidRPr="005211DB">
        <w:rPr>
          <w:rFonts w:eastAsia="SimSun"/>
          <w:lang w:eastAsia="zh-CN"/>
        </w:rPr>
        <w:t xml:space="preserve">e find that the proposed transaction would likely lessen competition in this rural market, and thus would likely harm the public interest.  </w:t>
      </w:r>
      <w:r w:rsidR="000F3164" w:rsidRPr="005211DB">
        <w:rPr>
          <w:rFonts w:eastAsia="SimSun"/>
          <w:lang w:eastAsia="zh-CN"/>
        </w:rPr>
        <w:t xml:space="preserve"> </w:t>
      </w:r>
    </w:p>
    <w:p w:rsidR="00DB1C89" w:rsidRDefault="00875157" w:rsidP="00602607">
      <w:pPr>
        <w:pStyle w:val="ParaNum"/>
      </w:pPr>
      <w:r w:rsidRPr="005211DB">
        <w:rPr>
          <w:i/>
        </w:rPr>
        <w:t>North Carolina</w:t>
      </w:r>
      <w:r w:rsidRPr="005211DB">
        <w:t>:  This cluster contains three local markets,</w:t>
      </w:r>
      <w:r w:rsidRPr="005211DB">
        <w:rPr>
          <w:rStyle w:val="FootnoteReference"/>
        </w:rPr>
        <w:footnoteReference w:id="134"/>
      </w:r>
      <w:r w:rsidRPr="005211DB">
        <w:t xml:space="preserve"> one of which is rural, and all three trigger the HHI screen.  We find that there is some </w:t>
      </w:r>
      <w:r w:rsidR="00041258" w:rsidRPr="005211DB">
        <w:t xml:space="preserve">likelihood </w:t>
      </w:r>
      <w:r w:rsidRPr="005211DB">
        <w:t xml:space="preserve">for competitive harm in </w:t>
      </w:r>
      <w:r w:rsidR="00F81F7A" w:rsidRPr="005211DB">
        <w:t xml:space="preserve">rural </w:t>
      </w:r>
      <w:r w:rsidRPr="005211DB">
        <w:t>CMA 569 (North Carolina 5 – Anson)</w:t>
      </w:r>
      <w:r w:rsidR="00476B23" w:rsidRPr="005211DB">
        <w:t>.</w:t>
      </w:r>
      <w:r w:rsidR="00476B23" w:rsidRPr="005211DB">
        <w:rPr>
          <w:rStyle w:val="FootnoteReference"/>
        </w:rPr>
        <w:footnoteReference w:id="135"/>
      </w:r>
      <w:r w:rsidRPr="005211DB">
        <w:t xml:space="preserve"> </w:t>
      </w:r>
      <w:r w:rsidR="00476B23" w:rsidRPr="005211DB">
        <w:t xml:space="preserve"> </w:t>
      </w:r>
      <w:r w:rsidRPr="005211DB">
        <w:rPr>
          <w:rFonts w:eastAsia="SimSun"/>
          <w:lang w:eastAsia="zh-CN"/>
        </w:rPr>
        <w:t xml:space="preserve">AT&amp;T’s market share is approximately </w:t>
      </w:r>
      <w:r w:rsidR="00DB1C89">
        <w:rPr>
          <w:b/>
        </w:rPr>
        <w:t>[REDACTED]</w:t>
      </w:r>
      <w:r w:rsidR="003164C3" w:rsidRPr="005211DB">
        <w:rPr>
          <w:b/>
        </w:rPr>
        <w:t xml:space="preserve"> </w:t>
      </w:r>
      <w:r w:rsidR="003164C3" w:rsidRPr="005211DB">
        <w:t>percent</w:t>
      </w:r>
      <w:r w:rsidRPr="005211DB">
        <w:t xml:space="preserve"> and Allied’s market share is approximately</w:t>
      </w:r>
      <w:r w:rsidRPr="005211DB">
        <w:rPr>
          <w:rFonts w:eastAsia="SimSun"/>
          <w:lang w:eastAsia="zh-CN"/>
        </w:rPr>
        <w:t xml:space="preserve"> </w:t>
      </w:r>
      <w:r w:rsidR="00DB1C89">
        <w:rPr>
          <w:b/>
        </w:rPr>
        <w:t>[REDACTED]</w:t>
      </w:r>
      <w:r w:rsidR="003164C3" w:rsidRPr="005211DB">
        <w:rPr>
          <w:b/>
        </w:rPr>
        <w:t xml:space="preserve"> </w:t>
      </w:r>
      <w:r w:rsidR="003164C3" w:rsidRPr="005211DB">
        <w:t>percent</w:t>
      </w:r>
      <w:r w:rsidRPr="005211DB">
        <w:t>.</w:t>
      </w:r>
      <w:r w:rsidRPr="005211DB">
        <w:rPr>
          <w:b/>
        </w:rPr>
        <w:t xml:space="preserve">  </w:t>
      </w:r>
      <w:r w:rsidRPr="005211DB">
        <w:t xml:space="preserve">The combined entity would hold over </w:t>
      </w:r>
      <w:r w:rsidR="00DB1C89">
        <w:rPr>
          <w:b/>
        </w:rPr>
        <w:t>[REDACTED]</w:t>
      </w:r>
      <w:r w:rsidRPr="005211DB">
        <w:t xml:space="preserve"> of the market post-transaction.</w:t>
      </w:r>
      <w:r w:rsidR="001807EF" w:rsidRPr="005211DB">
        <w:rPr>
          <w:rStyle w:val="FootnoteReference"/>
        </w:rPr>
        <w:footnoteReference w:id="136"/>
      </w:r>
      <w:r w:rsidRPr="005211DB">
        <w:t xml:space="preserve">  </w:t>
      </w:r>
      <w:r w:rsidRPr="005211DB">
        <w:rPr>
          <w:rFonts w:eastAsia="SimSun"/>
          <w:lang w:eastAsia="zh-CN"/>
        </w:rPr>
        <w:t xml:space="preserve">Verizon Wireless’s market share is approximately </w:t>
      </w:r>
      <w:r w:rsidR="00DB1C89">
        <w:rPr>
          <w:b/>
        </w:rPr>
        <w:t>[REDACTED]</w:t>
      </w:r>
      <w:r w:rsidR="003164C3" w:rsidRPr="005211DB">
        <w:t xml:space="preserve"> percent</w:t>
      </w:r>
      <w:r w:rsidRPr="005211DB">
        <w:t xml:space="preserve">, and Sprint holds approximately </w:t>
      </w:r>
      <w:r w:rsidR="00DB1C89">
        <w:rPr>
          <w:b/>
        </w:rPr>
        <w:t>[REDACTED]</w:t>
      </w:r>
      <w:r w:rsidR="003164C3" w:rsidRPr="005211DB">
        <w:t xml:space="preserve"> percent</w:t>
      </w:r>
      <w:r w:rsidRPr="005211DB">
        <w:t xml:space="preserve"> of the market.</w:t>
      </w:r>
      <w:r w:rsidR="003A73EF" w:rsidRPr="005211DB">
        <w:rPr>
          <w:rStyle w:val="FootnoteReference"/>
        </w:rPr>
        <w:footnoteReference w:id="137"/>
      </w:r>
      <w:r w:rsidRPr="005211DB">
        <w:t xml:space="preserve">  </w:t>
      </w:r>
      <w:r w:rsidRPr="005211DB">
        <w:rPr>
          <w:rFonts w:eastAsia="SimSun"/>
          <w:lang w:eastAsia="zh-CN"/>
        </w:rPr>
        <w:t xml:space="preserve">With respect to network coverage, besides the combined entity, two other service </w:t>
      </w:r>
      <w:r w:rsidR="00AE44C2" w:rsidRPr="005211DB">
        <w:rPr>
          <w:rFonts w:eastAsia="SimSun"/>
          <w:lang w:eastAsia="zh-CN"/>
        </w:rPr>
        <w:t xml:space="preserve">providers, Verizon Wireless and T-Mobile, </w:t>
      </w:r>
      <w:r w:rsidRPr="005211DB">
        <w:rPr>
          <w:rFonts w:eastAsia="SimSun"/>
          <w:lang w:eastAsia="zh-CN"/>
        </w:rPr>
        <w:t>would</w:t>
      </w:r>
      <w:r w:rsidR="00E10E78" w:rsidRPr="005211DB">
        <w:rPr>
          <w:rFonts w:eastAsia="SimSun"/>
          <w:lang w:eastAsia="zh-CN"/>
        </w:rPr>
        <w:t xml:space="preserve"> </w:t>
      </w:r>
      <w:r w:rsidRPr="005211DB">
        <w:rPr>
          <w:rFonts w:eastAsia="SimSun"/>
          <w:lang w:eastAsia="zh-CN"/>
        </w:rPr>
        <w:t xml:space="preserve">have </w:t>
      </w:r>
      <w:r w:rsidR="000F3164" w:rsidRPr="005211DB">
        <w:rPr>
          <w:rFonts w:eastAsia="SimSun"/>
          <w:lang w:eastAsia="zh-CN"/>
        </w:rPr>
        <w:t xml:space="preserve">significant </w:t>
      </w:r>
      <w:r w:rsidR="003F5DB3" w:rsidRPr="005211DB">
        <w:rPr>
          <w:rFonts w:eastAsia="SimSun"/>
          <w:lang w:eastAsia="zh-CN"/>
        </w:rPr>
        <w:t xml:space="preserve">total </w:t>
      </w:r>
      <w:r w:rsidRPr="005211DB">
        <w:rPr>
          <w:rFonts w:eastAsia="SimSun"/>
          <w:lang w:eastAsia="zh-CN"/>
        </w:rPr>
        <w:t>coverage</w:t>
      </w:r>
      <w:r w:rsidR="00E10E78" w:rsidRPr="005211DB">
        <w:rPr>
          <w:rFonts w:eastAsia="SimSun"/>
          <w:lang w:eastAsia="zh-CN"/>
        </w:rPr>
        <w:t xml:space="preserve"> </w:t>
      </w:r>
      <w:r w:rsidRPr="005211DB">
        <w:rPr>
          <w:rFonts w:eastAsia="SimSun"/>
          <w:lang w:eastAsia="zh-CN"/>
        </w:rPr>
        <w:t>post-transaction.</w:t>
      </w:r>
      <w:r w:rsidR="0075707B" w:rsidRPr="005211DB">
        <w:rPr>
          <w:rStyle w:val="FootnoteReference"/>
          <w:rFonts w:eastAsia="SimSun"/>
          <w:lang w:eastAsia="zh-CN"/>
        </w:rPr>
        <w:footnoteReference w:id="138"/>
      </w:r>
      <w:r w:rsidR="00476B23" w:rsidRPr="005211DB">
        <w:t xml:space="preserve"> </w:t>
      </w:r>
      <w:r w:rsidR="00602607" w:rsidRPr="005211DB">
        <w:t xml:space="preserve"> </w:t>
      </w:r>
    </w:p>
    <w:p w:rsidR="00DB1C89" w:rsidRDefault="00DB1C89">
      <w:r>
        <w:br w:type="page"/>
      </w:r>
    </w:p>
    <w:p w:rsidR="00602607" w:rsidRPr="005211DB" w:rsidRDefault="00BD597B" w:rsidP="00602607">
      <w:pPr>
        <w:pStyle w:val="ParaNum"/>
      </w:pPr>
      <w:r w:rsidRPr="005211DB">
        <w:rPr>
          <w:rFonts w:eastAsia="SimSun"/>
          <w:lang w:eastAsia="zh-CN"/>
        </w:rPr>
        <w:t xml:space="preserve">Post-transaction, </w:t>
      </w:r>
      <w:r w:rsidR="003F5DB3" w:rsidRPr="005211DB">
        <w:t xml:space="preserve">AT&amp;T and Verizon Wireless between them would account for </w:t>
      </w:r>
      <w:r w:rsidR="00FE5862" w:rsidRPr="005211DB">
        <w:t>approximately</w:t>
      </w:r>
      <w:r w:rsidR="003F5DB3" w:rsidRPr="005211DB">
        <w:t xml:space="preserve"> </w:t>
      </w:r>
      <w:r w:rsidR="00DB1C89">
        <w:rPr>
          <w:b/>
        </w:rPr>
        <w:t>[REDACTED]</w:t>
      </w:r>
      <w:r w:rsidR="003164C3" w:rsidRPr="005211DB">
        <w:t xml:space="preserve"> percent</w:t>
      </w:r>
      <w:r w:rsidR="003F5DB3" w:rsidRPr="005211DB">
        <w:t xml:space="preserve"> of the ma</w:t>
      </w:r>
      <w:r w:rsidR="003F5DB3" w:rsidRPr="005211DB">
        <w:rPr>
          <w:rFonts w:eastAsia="SimSun"/>
          <w:lang w:eastAsia="zh-CN"/>
        </w:rPr>
        <w:t>rket’s subscribers</w:t>
      </w:r>
      <w:r w:rsidR="007F2496" w:rsidRPr="005211DB">
        <w:rPr>
          <w:rFonts w:eastAsia="SimSun"/>
          <w:lang w:eastAsia="zh-CN"/>
        </w:rPr>
        <w:t xml:space="preserve">.  </w:t>
      </w:r>
      <w:r w:rsidR="000F7541" w:rsidRPr="005211DB">
        <w:rPr>
          <w:rFonts w:eastAsia="SimSun"/>
          <w:lang w:eastAsia="zh-CN"/>
        </w:rPr>
        <w:t>Post</w:t>
      </w:r>
      <w:r w:rsidR="00851970">
        <w:rPr>
          <w:rFonts w:eastAsia="SimSun"/>
          <w:lang w:eastAsia="zh-CN"/>
        </w:rPr>
        <w:t>-</w:t>
      </w:r>
      <w:r w:rsidR="000F7541" w:rsidRPr="005211DB">
        <w:rPr>
          <w:rFonts w:eastAsia="SimSun"/>
          <w:lang w:eastAsia="zh-CN"/>
        </w:rPr>
        <w:t xml:space="preserve">transaction, we also note that AT&amp;T and Verizon Wireless would be the only two service providers that would have both a significant market share and significant </w:t>
      </w:r>
      <w:r w:rsidR="00F81F7A" w:rsidRPr="005211DB">
        <w:rPr>
          <w:rFonts w:eastAsia="SimSun"/>
          <w:lang w:eastAsia="zh-CN"/>
        </w:rPr>
        <w:t xml:space="preserve">total </w:t>
      </w:r>
      <w:r w:rsidR="000F7541" w:rsidRPr="005211DB">
        <w:rPr>
          <w:rFonts w:eastAsia="SimSun"/>
          <w:lang w:eastAsia="zh-CN"/>
        </w:rPr>
        <w:t xml:space="preserve">coverage in terms of population and land area in the market. </w:t>
      </w:r>
      <w:r w:rsidR="00F81F7A" w:rsidRPr="005211DB">
        <w:rPr>
          <w:rFonts w:eastAsia="SimSun"/>
          <w:lang w:eastAsia="zh-CN"/>
        </w:rPr>
        <w:t xml:space="preserve"> </w:t>
      </w:r>
      <w:r w:rsidR="000F7541" w:rsidRPr="005211DB">
        <w:rPr>
          <w:rFonts w:eastAsia="SimSun"/>
          <w:lang w:eastAsia="zh-CN"/>
        </w:rPr>
        <w:t>W</w:t>
      </w:r>
      <w:r w:rsidR="00041258" w:rsidRPr="005211DB">
        <w:rPr>
          <w:rFonts w:eastAsia="SimSun"/>
          <w:lang w:eastAsia="zh-CN"/>
        </w:rPr>
        <w:t xml:space="preserve">hile </w:t>
      </w:r>
      <w:r w:rsidR="003F5DB3" w:rsidRPr="005211DB">
        <w:rPr>
          <w:rFonts w:eastAsia="SimSun"/>
          <w:lang w:eastAsia="zh-CN"/>
        </w:rPr>
        <w:t xml:space="preserve">Sprint has a </w:t>
      </w:r>
      <w:r w:rsidR="000F7541" w:rsidRPr="005211DB">
        <w:t>significant</w:t>
      </w:r>
      <w:r w:rsidR="001D0158">
        <w:t xml:space="preserve"> </w:t>
      </w:r>
      <w:r w:rsidR="003F5DB3" w:rsidRPr="005211DB">
        <w:rPr>
          <w:rFonts w:eastAsia="SimSun"/>
          <w:lang w:eastAsia="zh-CN"/>
        </w:rPr>
        <w:t>market share, it does not have significant 2G or 3G coverage</w:t>
      </w:r>
      <w:r w:rsidR="00041258" w:rsidRPr="005211DB">
        <w:rPr>
          <w:rFonts w:eastAsia="SimSun"/>
          <w:lang w:eastAsia="zh-CN"/>
        </w:rPr>
        <w:t xml:space="preserve">, and while T-Mobile has </w:t>
      </w:r>
      <w:r w:rsidR="00F81F7A" w:rsidRPr="005211DB">
        <w:rPr>
          <w:rFonts w:eastAsia="SimSun"/>
          <w:lang w:eastAsia="zh-CN"/>
        </w:rPr>
        <w:t xml:space="preserve">significant </w:t>
      </w:r>
      <w:r w:rsidR="00041258" w:rsidRPr="005211DB">
        <w:rPr>
          <w:rFonts w:eastAsia="SimSun"/>
          <w:lang w:eastAsia="zh-CN"/>
        </w:rPr>
        <w:t xml:space="preserve">total coverage, it does not have a </w:t>
      </w:r>
      <w:r w:rsidR="000F7541" w:rsidRPr="005211DB">
        <w:t>significant</w:t>
      </w:r>
      <w:r w:rsidR="001D0158">
        <w:t xml:space="preserve"> </w:t>
      </w:r>
      <w:r w:rsidR="00041258" w:rsidRPr="005211DB">
        <w:rPr>
          <w:rFonts w:eastAsia="SimSun"/>
          <w:lang w:eastAsia="zh-CN"/>
        </w:rPr>
        <w:t>market share</w:t>
      </w:r>
      <w:r w:rsidR="003F5DB3" w:rsidRPr="005211DB">
        <w:rPr>
          <w:rFonts w:eastAsia="SimSun"/>
          <w:lang w:eastAsia="zh-CN"/>
        </w:rPr>
        <w:t>.</w:t>
      </w:r>
      <w:r w:rsidR="00041258" w:rsidRPr="005211DB">
        <w:rPr>
          <w:rStyle w:val="FootnoteReference"/>
          <w:rFonts w:eastAsia="SimSun"/>
          <w:lang w:eastAsia="zh-CN"/>
        </w:rPr>
        <w:footnoteReference w:id="139"/>
      </w:r>
      <w:r w:rsidR="003F5DB3" w:rsidRPr="005211DB">
        <w:rPr>
          <w:rFonts w:eastAsia="SimSun"/>
          <w:lang w:eastAsia="zh-CN"/>
        </w:rPr>
        <w:t xml:space="preserve">  </w:t>
      </w:r>
      <w:r w:rsidR="00C65F2B" w:rsidRPr="005211DB">
        <w:rPr>
          <w:rFonts w:eastAsia="SimSun"/>
          <w:lang w:eastAsia="zh-CN"/>
        </w:rPr>
        <w:t xml:space="preserve">This </w:t>
      </w:r>
      <w:r w:rsidR="00727E83" w:rsidRPr="005211DB">
        <w:rPr>
          <w:rFonts w:eastAsia="SimSun"/>
          <w:lang w:eastAsia="zh-CN"/>
        </w:rPr>
        <w:t xml:space="preserve">would likely </w:t>
      </w:r>
      <w:r w:rsidR="00C65F2B" w:rsidRPr="005211DB">
        <w:rPr>
          <w:rFonts w:eastAsia="SimSun"/>
          <w:lang w:eastAsia="zh-CN"/>
        </w:rPr>
        <w:t xml:space="preserve">limit the ability of </w:t>
      </w:r>
      <w:r w:rsidR="0065600B">
        <w:rPr>
          <w:rFonts w:eastAsia="SimSun"/>
          <w:lang w:eastAsia="zh-CN"/>
        </w:rPr>
        <w:t>either Sprint or T-Mobile</w:t>
      </w:r>
      <w:r w:rsidR="00C65F2B" w:rsidRPr="005211DB">
        <w:rPr>
          <w:rFonts w:eastAsia="SimSun"/>
          <w:lang w:eastAsia="zh-CN"/>
        </w:rPr>
        <w:t xml:space="preserve"> to quickly and effectively respond to any anticompetitive behavior.  </w:t>
      </w:r>
      <w:r w:rsidR="00041258" w:rsidRPr="005211DB">
        <w:rPr>
          <w:rFonts w:eastAsia="SimSun"/>
          <w:lang w:eastAsia="zh-CN"/>
        </w:rPr>
        <w:t xml:space="preserve">In light of the particular facts of this market, including but </w:t>
      </w:r>
      <w:r w:rsidR="00041258" w:rsidRPr="005211DB">
        <w:t xml:space="preserve">not limited to </w:t>
      </w:r>
      <w:r w:rsidR="00CF4139" w:rsidRPr="005211DB">
        <w:t>the reduction in the number of significant service providers</w:t>
      </w:r>
      <w:r w:rsidR="00CF4139">
        <w:t xml:space="preserve">, </w:t>
      </w:r>
      <w:r w:rsidR="00041258" w:rsidRPr="005211DB">
        <w:t>capacity</w:t>
      </w:r>
      <w:r w:rsidR="00851970">
        <w:t>,</w:t>
      </w:r>
      <w:r w:rsidR="00041258" w:rsidRPr="005211DB">
        <w:t xml:space="preserve"> and the ability of other rival service providers to offer competitive services,</w:t>
      </w:r>
      <w:r w:rsidR="00041258" w:rsidRPr="005211DB">
        <w:rPr>
          <w:rFonts w:eastAsia="SimSun"/>
          <w:lang w:eastAsia="zh-CN"/>
        </w:rPr>
        <w:t xml:space="preserve"> </w:t>
      </w:r>
      <w:r w:rsidR="007A24E8" w:rsidRPr="005211DB">
        <w:rPr>
          <w:rFonts w:eastAsia="SimSun"/>
          <w:lang w:eastAsia="zh-CN"/>
        </w:rPr>
        <w:t>w</w:t>
      </w:r>
      <w:r w:rsidR="000F3164" w:rsidRPr="005211DB">
        <w:rPr>
          <w:rFonts w:eastAsia="SimSun"/>
          <w:lang w:eastAsia="zh-CN"/>
        </w:rPr>
        <w:t>e find that competition</w:t>
      </w:r>
      <w:r w:rsidR="003F5DB3" w:rsidRPr="005211DB">
        <w:rPr>
          <w:rFonts w:eastAsia="SimSun"/>
          <w:lang w:eastAsia="zh-CN"/>
        </w:rPr>
        <w:t xml:space="preserve"> would likely be lessened in this market, and t</w:t>
      </w:r>
      <w:r w:rsidR="000F3164" w:rsidRPr="005211DB">
        <w:rPr>
          <w:rFonts w:eastAsia="SimSun"/>
          <w:lang w:eastAsia="zh-CN"/>
        </w:rPr>
        <w:t>hus</w:t>
      </w:r>
      <w:r w:rsidR="003F5DB3" w:rsidRPr="005211DB">
        <w:rPr>
          <w:rFonts w:eastAsia="SimSun"/>
          <w:lang w:eastAsia="zh-CN"/>
        </w:rPr>
        <w:t>, the proposed transaction would likely</w:t>
      </w:r>
      <w:r w:rsidR="000F3164" w:rsidRPr="005211DB">
        <w:rPr>
          <w:rFonts w:eastAsia="SimSun"/>
          <w:lang w:eastAsia="zh-CN"/>
        </w:rPr>
        <w:t xml:space="preserve"> harm the public interest.  </w:t>
      </w:r>
    </w:p>
    <w:p w:rsidR="00DB1C89" w:rsidRDefault="00875157" w:rsidP="003164C3">
      <w:pPr>
        <w:pStyle w:val="ParaNum"/>
        <w:rPr>
          <w:b/>
        </w:rPr>
      </w:pPr>
      <w:r w:rsidRPr="005211DB">
        <w:rPr>
          <w:i/>
        </w:rPr>
        <w:t>South Carolina</w:t>
      </w:r>
      <w:r w:rsidRPr="005211DB">
        <w:t>:  This cluster contains five local markets,</w:t>
      </w:r>
      <w:r w:rsidRPr="005211DB">
        <w:rPr>
          <w:rStyle w:val="FootnoteReference"/>
        </w:rPr>
        <w:footnoteReference w:id="140"/>
      </w:r>
      <w:r w:rsidRPr="005211DB">
        <w:t xml:space="preserve"> three of which are rural, and all five trigger the HHI screen. </w:t>
      </w:r>
      <w:r w:rsidR="00602607" w:rsidRPr="005211DB">
        <w:t xml:space="preserve"> </w:t>
      </w:r>
      <w:r w:rsidRPr="005211DB">
        <w:t xml:space="preserve">We find that there is some </w:t>
      </w:r>
      <w:r w:rsidR="00C65F2B" w:rsidRPr="005211DB">
        <w:t>likelihood of</w:t>
      </w:r>
      <w:r w:rsidRPr="005211DB">
        <w:t xml:space="preserve"> competitive harm in CMAs 627 and 631</w:t>
      </w:r>
      <w:r w:rsidR="00602607" w:rsidRPr="005211DB">
        <w:t>.</w:t>
      </w:r>
      <w:r w:rsidR="00641A10" w:rsidRPr="005211DB">
        <w:rPr>
          <w:rStyle w:val="FootnoteReference"/>
        </w:rPr>
        <w:footnoteReference w:id="141"/>
      </w:r>
      <w:r w:rsidR="00602607" w:rsidRPr="005211DB">
        <w:t xml:space="preserve">  </w:t>
      </w:r>
      <w:r w:rsidRPr="005211DB">
        <w:t xml:space="preserve">AT&amp;T’s market share ranges from approximately </w:t>
      </w:r>
      <w:r w:rsidR="00DB1C89">
        <w:rPr>
          <w:b/>
        </w:rPr>
        <w:t>[REDACTED]</w:t>
      </w:r>
      <w:r w:rsidR="003164C3" w:rsidRPr="005211DB">
        <w:t xml:space="preserve"> percent</w:t>
      </w:r>
      <w:r w:rsidRPr="005211DB">
        <w:t xml:space="preserve"> and Allied’s market share ranges from approximately </w:t>
      </w:r>
      <w:r w:rsidR="00DB1C89">
        <w:rPr>
          <w:b/>
        </w:rPr>
        <w:t>[REDACTED]</w:t>
      </w:r>
      <w:r w:rsidR="003164C3" w:rsidRPr="005211DB">
        <w:t xml:space="preserve"> percent</w:t>
      </w:r>
      <w:r w:rsidRPr="005211DB">
        <w:t>.</w:t>
      </w:r>
      <w:r w:rsidR="00F81F7A" w:rsidRPr="005211DB">
        <w:t xml:space="preserve"> </w:t>
      </w:r>
      <w:r w:rsidRPr="005211DB">
        <w:t xml:space="preserve"> The market share of the combined entity, post-transaction, would range from approximately </w:t>
      </w:r>
      <w:r w:rsidR="003164C3" w:rsidRPr="005211DB">
        <w:t xml:space="preserve"> percent</w:t>
      </w:r>
      <w:r w:rsidR="000D3AD5" w:rsidRPr="005211DB">
        <w:t>.</w:t>
      </w:r>
      <w:r w:rsidR="000D3AD5" w:rsidRPr="005211DB">
        <w:rPr>
          <w:rStyle w:val="FootnoteReference"/>
        </w:rPr>
        <w:footnoteReference w:id="142"/>
      </w:r>
      <w:r w:rsidRPr="005211DB">
        <w:t xml:space="preserve">  Verizon Wireless’</w:t>
      </w:r>
      <w:r w:rsidR="00641A10" w:rsidRPr="005211DB">
        <w:t>s</w:t>
      </w:r>
      <w:r w:rsidRPr="005211DB">
        <w:t xml:space="preserve"> market share ranges from approximately </w:t>
      </w:r>
      <w:r w:rsidR="00DB1C89">
        <w:rPr>
          <w:b/>
        </w:rPr>
        <w:t>[REDACTED]</w:t>
      </w:r>
      <w:r w:rsidR="003164C3" w:rsidRPr="005211DB">
        <w:t xml:space="preserve"> percent</w:t>
      </w:r>
      <w:r w:rsidRPr="005211DB">
        <w:t xml:space="preserve">, and Sprint holds approximately </w:t>
      </w:r>
      <w:r w:rsidR="00DB1C89">
        <w:rPr>
          <w:b/>
        </w:rPr>
        <w:t>[REDACTED]</w:t>
      </w:r>
      <w:r w:rsidR="008122F4" w:rsidRPr="005211DB">
        <w:rPr>
          <w:b/>
        </w:rPr>
        <w:t xml:space="preserve"> </w:t>
      </w:r>
    </w:p>
    <w:p w:rsidR="00DB1C89" w:rsidRDefault="00DB1C89">
      <w:pPr>
        <w:rPr>
          <w:b/>
        </w:rPr>
      </w:pPr>
      <w:r>
        <w:rPr>
          <w:b/>
        </w:rPr>
        <w:br w:type="page"/>
      </w:r>
    </w:p>
    <w:p w:rsidR="00F23007" w:rsidRPr="005211DB" w:rsidRDefault="008122F4" w:rsidP="00DB1C89">
      <w:pPr>
        <w:pStyle w:val="ParaNum"/>
        <w:numPr>
          <w:ilvl w:val="0"/>
          <w:numId w:val="0"/>
        </w:numPr>
      </w:pPr>
      <w:r w:rsidRPr="005211DB">
        <w:t>percent</w:t>
      </w:r>
      <w:r w:rsidR="00875157" w:rsidRPr="005211DB">
        <w:t xml:space="preserve"> </w:t>
      </w:r>
      <w:r w:rsidRPr="005211DB">
        <w:t xml:space="preserve">in </w:t>
      </w:r>
      <w:r w:rsidR="00875157" w:rsidRPr="005211DB">
        <w:t>both markets.</w:t>
      </w:r>
      <w:r w:rsidR="003A73EF" w:rsidRPr="005211DB">
        <w:rPr>
          <w:rStyle w:val="FootnoteReference"/>
        </w:rPr>
        <w:footnoteReference w:id="143"/>
      </w:r>
      <w:r w:rsidR="00875157" w:rsidRPr="005211DB">
        <w:t xml:space="preserve">  With respect to network coverage, </w:t>
      </w:r>
      <w:r w:rsidR="00555818" w:rsidRPr="005211DB">
        <w:t xml:space="preserve">only </w:t>
      </w:r>
      <w:r w:rsidR="00875157" w:rsidRPr="005211DB">
        <w:t>two other service providers</w:t>
      </w:r>
      <w:r w:rsidR="00555818" w:rsidRPr="005211DB">
        <w:t xml:space="preserve"> other than the combined entity</w:t>
      </w:r>
      <w:r w:rsidRPr="005211DB">
        <w:t>, Verizon Wireless and T-Mobile,</w:t>
      </w:r>
      <w:r w:rsidR="00875157" w:rsidRPr="005211DB">
        <w:t xml:space="preserve"> </w:t>
      </w:r>
      <w:r w:rsidR="00E10E78" w:rsidRPr="005211DB">
        <w:t xml:space="preserve">would </w:t>
      </w:r>
      <w:r w:rsidR="00875157" w:rsidRPr="005211DB">
        <w:t xml:space="preserve">have </w:t>
      </w:r>
      <w:r w:rsidR="000F3164" w:rsidRPr="005211DB">
        <w:t>significant</w:t>
      </w:r>
      <w:r w:rsidR="00875157" w:rsidRPr="005211DB">
        <w:t xml:space="preserve"> </w:t>
      </w:r>
      <w:r w:rsidR="009E5E8D" w:rsidRPr="005211DB">
        <w:t xml:space="preserve">total </w:t>
      </w:r>
      <w:r w:rsidR="00875157" w:rsidRPr="005211DB">
        <w:t>coverage</w:t>
      </w:r>
      <w:r w:rsidR="00E10E78" w:rsidRPr="005211DB">
        <w:t xml:space="preserve"> post-transaction</w:t>
      </w:r>
      <w:r w:rsidR="00875157" w:rsidRPr="005211DB">
        <w:t>.</w:t>
      </w:r>
      <w:r w:rsidR="009F0F3A" w:rsidRPr="005211DB">
        <w:rPr>
          <w:rStyle w:val="FootnoteReference"/>
        </w:rPr>
        <w:footnoteReference w:id="144"/>
      </w:r>
      <w:r w:rsidR="00602607" w:rsidRPr="005211DB">
        <w:t xml:space="preserve">  </w:t>
      </w:r>
    </w:p>
    <w:p w:rsidR="00602607" w:rsidRPr="005211DB" w:rsidRDefault="00E03533" w:rsidP="003164C3">
      <w:pPr>
        <w:pStyle w:val="ParaNum"/>
      </w:pPr>
      <w:r w:rsidRPr="005211DB">
        <w:rPr>
          <w:rFonts w:eastAsia="SimSun"/>
          <w:lang w:eastAsia="zh-CN"/>
        </w:rPr>
        <w:t xml:space="preserve">Post-transaction, </w:t>
      </w:r>
      <w:r w:rsidRPr="005211DB">
        <w:t xml:space="preserve">AT&amp;T and Verizon Wireless between them would account for </w:t>
      </w:r>
      <w:r w:rsidR="00FE5862" w:rsidRPr="005211DB">
        <w:t>approximately</w:t>
      </w:r>
      <w:r w:rsidRPr="005211DB">
        <w:t xml:space="preserve"> </w:t>
      </w:r>
      <w:r w:rsidR="00DB1C89">
        <w:rPr>
          <w:b/>
        </w:rPr>
        <w:t>[REDACTED]</w:t>
      </w:r>
      <w:r w:rsidR="003164C3" w:rsidRPr="005211DB">
        <w:t xml:space="preserve"> percent</w:t>
      </w:r>
      <w:r w:rsidRPr="005211DB">
        <w:t xml:space="preserve"> of the </w:t>
      </w:r>
      <w:r w:rsidR="00FE5862" w:rsidRPr="005211DB">
        <w:t xml:space="preserve">two </w:t>
      </w:r>
      <w:r w:rsidRPr="005211DB">
        <w:t>ma</w:t>
      </w:r>
      <w:r w:rsidRPr="005211DB">
        <w:rPr>
          <w:rFonts w:eastAsia="SimSun"/>
          <w:lang w:eastAsia="zh-CN"/>
        </w:rPr>
        <w:t>rkets’ subscribers</w:t>
      </w:r>
      <w:r w:rsidR="009E5E8D" w:rsidRPr="005211DB">
        <w:rPr>
          <w:rFonts w:eastAsia="SimSun"/>
          <w:lang w:eastAsia="zh-CN"/>
        </w:rPr>
        <w:t xml:space="preserve">.  </w:t>
      </w:r>
      <w:r w:rsidR="00F23007" w:rsidRPr="005211DB">
        <w:rPr>
          <w:rFonts w:eastAsia="SimSun"/>
          <w:lang w:eastAsia="zh-CN"/>
        </w:rPr>
        <w:t>Post</w:t>
      </w:r>
      <w:r w:rsidR="00851970">
        <w:rPr>
          <w:rFonts w:eastAsia="SimSun"/>
          <w:lang w:eastAsia="zh-CN"/>
        </w:rPr>
        <w:t>-</w:t>
      </w:r>
      <w:r w:rsidR="00F23007" w:rsidRPr="005211DB">
        <w:rPr>
          <w:rFonts w:eastAsia="SimSun"/>
          <w:lang w:eastAsia="zh-CN"/>
        </w:rPr>
        <w:t xml:space="preserve">transaction, we also note that AT&amp;T and Verizon Wireless would be the only two service providers that would have both a significant market share and significant total coverage in terms of population and land area in each market. </w:t>
      </w:r>
      <w:r w:rsidR="000F7541" w:rsidRPr="005211DB">
        <w:rPr>
          <w:rFonts w:eastAsia="SimSun"/>
          <w:lang w:eastAsia="zh-CN"/>
        </w:rPr>
        <w:t xml:space="preserve"> </w:t>
      </w:r>
      <w:r w:rsidR="00F23007" w:rsidRPr="005211DB">
        <w:rPr>
          <w:rFonts w:eastAsia="SimSun"/>
          <w:lang w:eastAsia="zh-CN"/>
        </w:rPr>
        <w:t>W</w:t>
      </w:r>
      <w:r w:rsidR="009E5E8D" w:rsidRPr="005211DB">
        <w:rPr>
          <w:rFonts w:eastAsia="SimSun"/>
          <w:lang w:eastAsia="zh-CN"/>
        </w:rPr>
        <w:t xml:space="preserve">hile </w:t>
      </w:r>
      <w:r w:rsidRPr="005211DB">
        <w:rPr>
          <w:rFonts w:eastAsia="SimSun"/>
          <w:lang w:eastAsia="zh-CN"/>
        </w:rPr>
        <w:t xml:space="preserve">Sprint has a </w:t>
      </w:r>
      <w:r w:rsidR="00F23007" w:rsidRPr="005211DB">
        <w:t>significant</w:t>
      </w:r>
      <w:r w:rsidR="0065600B">
        <w:t xml:space="preserve"> </w:t>
      </w:r>
      <w:r w:rsidRPr="005211DB">
        <w:rPr>
          <w:rFonts w:eastAsia="SimSun"/>
          <w:lang w:eastAsia="zh-CN"/>
        </w:rPr>
        <w:t>market share, it does not have significant 2G or 3G coverage</w:t>
      </w:r>
      <w:r w:rsidR="009E5E8D" w:rsidRPr="005211DB">
        <w:rPr>
          <w:rFonts w:eastAsia="SimSun"/>
          <w:lang w:eastAsia="zh-CN"/>
        </w:rPr>
        <w:t xml:space="preserve">, and while T-Mobile has </w:t>
      </w:r>
      <w:r w:rsidR="00555818" w:rsidRPr="005211DB">
        <w:rPr>
          <w:rFonts w:eastAsia="SimSun"/>
          <w:lang w:eastAsia="zh-CN"/>
        </w:rPr>
        <w:t xml:space="preserve">significant </w:t>
      </w:r>
      <w:r w:rsidR="009E5E8D" w:rsidRPr="005211DB">
        <w:rPr>
          <w:rFonts w:eastAsia="SimSun"/>
          <w:lang w:eastAsia="zh-CN"/>
        </w:rPr>
        <w:t xml:space="preserve">total coverage, it does not have a </w:t>
      </w:r>
      <w:r w:rsidR="00F23007" w:rsidRPr="005211DB">
        <w:t xml:space="preserve">significant </w:t>
      </w:r>
      <w:r w:rsidR="009E5E8D" w:rsidRPr="005211DB">
        <w:rPr>
          <w:rFonts w:eastAsia="SimSun"/>
          <w:lang w:eastAsia="zh-CN"/>
        </w:rPr>
        <w:t>market share.</w:t>
      </w:r>
      <w:r w:rsidR="009E5E8D" w:rsidRPr="005211DB">
        <w:rPr>
          <w:rStyle w:val="FootnoteReference"/>
          <w:rFonts w:eastAsia="SimSun"/>
          <w:lang w:eastAsia="zh-CN"/>
        </w:rPr>
        <w:footnoteReference w:id="145"/>
      </w:r>
      <w:r w:rsidR="009E5E8D" w:rsidRPr="005211DB">
        <w:rPr>
          <w:rFonts w:eastAsia="SimSun"/>
          <w:lang w:eastAsia="zh-CN"/>
        </w:rPr>
        <w:t xml:space="preserve">  </w:t>
      </w:r>
      <w:r w:rsidR="00C65F2B" w:rsidRPr="005211DB">
        <w:rPr>
          <w:rFonts w:eastAsia="SimSun"/>
          <w:lang w:eastAsia="zh-CN"/>
        </w:rPr>
        <w:t xml:space="preserve">This </w:t>
      </w:r>
      <w:r w:rsidR="00727E83" w:rsidRPr="005211DB">
        <w:rPr>
          <w:rFonts w:eastAsia="SimSun"/>
          <w:lang w:eastAsia="zh-CN"/>
        </w:rPr>
        <w:t xml:space="preserve">would likely </w:t>
      </w:r>
      <w:r w:rsidR="00C65F2B" w:rsidRPr="005211DB">
        <w:rPr>
          <w:rFonts w:eastAsia="SimSun"/>
          <w:lang w:eastAsia="zh-CN"/>
        </w:rPr>
        <w:t xml:space="preserve">limit the ability of </w:t>
      </w:r>
      <w:r w:rsidR="00CF4139">
        <w:rPr>
          <w:rFonts w:eastAsia="SimSun"/>
          <w:lang w:eastAsia="zh-CN"/>
        </w:rPr>
        <w:t>either Sprint or T-Mobile</w:t>
      </w:r>
      <w:r w:rsidR="00C65F2B" w:rsidRPr="005211DB">
        <w:rPr>
          <w:rFonts w:eastAsia="SimSun"/>
          <w:lang w:eastAsia="zh-CN"/>
        </w:rPr>
        <w:t xml:space="preserve"> to quickly and effectively respond to any anticompetitive behavior.  In light of the particular facts of </w:t>
      </w:r>
      <w:r w:rsidR="00F23007" w:rsidRPr="005211DB">
        <w:rPr>
          <w:rFonts w:eastAsia="SimSun"/>
          <w:lang w:eastAsia="zh-CN"/>
        </w:rPr>
        <w:t>these two markets</w:t>
      </w:r>
      <w:r w:rsidR="00C65F2B" w:rsidRPr="005211DB">
        <w:rPr>
          <w:rFonts w:eastAsia="SimSun"/>
          <w:lang w:eastAsia="zh-CN"/>
        </w:rPr>
        <w:t xml:space="preserve">, including but </w:t>
      </w:r>
      <w:r w:rsidR="00C65F2B" w:rsidRPr="005211DB">
        <w:t xml:space="preserve">not limited to </w:t>
      </w:r>
      <w:r w:rsidR="00CF4139" w:rsidRPr="005211DB">
        <w:t>the reduction in the number of significant service providers</w:t>
      </w:r>
      <w:r w:rsidR="00CF4139">
        <w:t>,</w:t>
      </w:r>
      <w:r w:rsidR="00CF4139" w:rsidRPr="005211DB">
        <w:t xml:space="preserve"> </w:t>
      </w:r>
      <w:r w:rsidR="00C65F2B" w:rsidRPr="005211DB">
        <w:t>capacity</w:t>
      </w:r>
      <w:r w:rsidR="00851970">
        <w:t>,</w:t>
      </w:r>
      <w:r w:rsidR="00C65F2B" w:rsidRPr="005211DB">
        <w:t xml:space="preserve"> and the ability of other rival service providers to offer competitive services,</w:t>
      </w:r>
      <w:r w:rsidR="00C65F2B" w:rsidRPr="005211DB">
        <w:rPr>
          <w:rFonts w:eastAsia="SimSun"/>
          <w:lang w:eastAsia="zh-CN"/>
        </w:rPr>
        <w:t xml:space="preserve"> </w:t>
      </w:r>
      <w:r w:rsidR="007A24E8" w:rsidRPr="005211DB">
        <w:rPr>
          <w:rFonts w:eastAsia="SimSun"/>
          <w:lang w:eastAsia="zh-CN"/>
        </w:rPr>
        <w:t>w</w:t>
      </w:r>
      <w:r w:rsidRPr="005211DB">
        <w:rPr>
          <w:rFonts w:eastAsia="SimSun"/>
          <w:lang w:eastAsia="zh-CN"/>
        </w:rPr>
        <w:t xml:space="preserve">e find that competition would likely be lessened in </w:t>
      </w:r>
      <w:r w:rsidR="0096621E" w:rsidRPr="005211DB">
        <w:rPr>
          <w:rFonts w:eastAsia="SimSun"/>
          <w:lang w:eastAsia="zh-CN"/>
        </w:rPr>
        <w:t>these two rural markets</w:t>
      </w:r>
      <w:r w:rsidRPr="005211DB">
        <w:rPr>
          <w:rFonts w:eastAsia="SimSun"/>
          <w:lang w:eastAsia="zh-CN"/>
        </w:rPr>
        <w:t xml:space="preserve">, and thus, the proposed transaction would likely harm the public interest.  </w:t>
      </w:r>
    </w:p>
    <w:p w:rsidR="00F23007" w:rsidRPr="005211DB" w:rsidRDefault="00875157" w:rsidP="00C64617">
      <w:pPr>
        <w:pStyle w:val="ParaNum"/>
      </w:pPr>
      <w:r w:rsidRPr="005211DB">
        <w:rPr>
          <w:i/>
        </w:rPr>
        <w:t>Illinois</w:t>
      </w:r>
      <w:r w:rsidRPr="005211DB">
        <w:t>:  This cluster contains two rural local markets,</w:t>
      </w:r>
      <w:r w:rsidRPr="005211DB">
        <w:rPr>
          <w:rStyle w:val="FootnoteReference"/>
        </w:rPr>
        <w:footnoteReference w:id="146"/>
      </w:r>
      <w:r w:rsidRPr="005211DB">
        <w:t xml:space="preserve"> both of which trigger the HHI screen.  We find that there is some potential for competitive harm in CMA 401.</w:t>
      </w:r>
      <w:r w:rsidRPr="005211DB">
        <w:rPr>
          <w:rStyle w:val="FootnoteReference"/>
          <w:rFonts w:eastAsia="SimSun"/>
          <w:lang w:eastAsia="zh-CN"/>
        </w:rPr>
        <w:footnoteReference w:id="147"/>
      </w:r>
      <w:r w:rsidRPr="005211DB">
        <w:t xml:space="preserve">  </w:t>
      </w:r>
      <w:r w:rsidRPr="005211DB">
        <w:rPr>
          <w:rFonts w:eastAsia="SimSun"/>
          <w:lang w:eastAsia="zh-CN"/>
        </w:rPr>
        <w:t xml:space="preserve">AT&amp;T’s market share is approximately </w:t>
      </w:r>
      <w:r w:rsidR="00DB1C89">
        <w:rPr>
          <w:b/>
        </w:rPr>
        <w:t>[REDACTED]</w:t>
      </w:r>
      <w:r w:rsidR="003164C3" w:rsidRPr="005211DB">
        <w:t xml:space="preserve"> percent</w:t>
      </w:r>
      <w:r w:rsidRPr="005211DB">
        <w:t xml:space="preserve"> and Allied’s market share is approximately</w:t>
      </w:r>
      <w:r w:rsidRPr="005211DB">
        <w:rPr>
          <w:rFonts w:eastAsia="SimSun"/>
          <w:lang w:eastAsia="zh-CN"/>
        </w:rPr>
        <w:t xml:space="preserve"> </w:t>
      </w:r>
      <w:r w:rsidR="00DB1C89">
        <w:rPr>
          <w:b/>
        </w:rPr>
        <w:t>[REDACTED]</w:t>
      </w:r>
      <w:r w:rsidR="003164C3" w:rsidRPr="005211DB">
        <w:t xml:space="preserve"> percent</w:t>
      </w:r>
      <w:r w:rsidRPr="005211DB">
        <w:rPr>
          <w:b/>
        </w:rPr>
        <w:t xml:space="preserve">.  </w:t>
      </w:r>
      <w:r w:rsidRPr="005211DB">
        <w:t xml:space="preserve">Post-transaction, the market share of the combined entity would be approximately </w:t>
      </w:r>
      <w:r w:rsidR="00DB1C89">
        <w:rPr>
          <w:b/>
        </w:rPr>
        <w:t>[REDACTED]</w:t>
      </w:r>
      <w:r w:rsidR="003164C3" w:rsidRPr="005211DB">
        <w:t xml:space="preserve"> percent.</w:t>
      </w:r>
      <w:r w:rsidR="0095177C" w:rsidRPr="005211DB">
        <w:rPr>
          <w:rStyle w:val="FootnoteReference"/>
        </w:rPr>
        <w:footnoteReference w:id="148"/>
      </w:r>
      <w:r w:rsidRPr="005211DB">
        <w:t xml:space="preserve">  In this market, Verizon Wireless holds approximately </w:t>
      </w:r>
      <w:r w:rsidR="00DB1C89">
        <w:rPr>
          <w:b/>
        </w:rPr>
        <w:t>[REDACTED]</w:t>
      </w:r>
      <w:r w:rsidR="003164C3" w:rsidRPr="005211DB">
        <w:t xml:space="preserve"> percent</w:t>
      </w:r>
      <w:r w:rsidRPr="005211DB">
        <w:t xml:space="preserve"> and Sprint holds approximately </w:t>
      </w:r>
      <w:r w:rsidR="00DB1C89">
        <w:rPr>
          <w:b/>
        </w:rPr>
        <w:t>[REDACTED]</w:t>
      </w:r>
      <w:r w:rsidR="003164C3" w:rsidRPr="005211DB">
        <w:t xml:space="preserve"> percent</w:t>
      </w:r>
      <w:r w:rsidRPr="005211DB">
        <w:t xml:space="preserve"> of the market.</w:t>
      </w:r>
      <w:r w:rsidR="003A73EF" w:rsidRPr="005211DB">
        <w:rPr>
          <w:rStyle w:val="FootnoteReference"/>
        </w:rPr>
        <w:footnoteReference w:id="149"/>
      </w:r>
      <w:r w:rsidRPr="005211DB">
        <w:rPr>
          <w:rFonts w:eastAsia="SimSun"/>
          <w:lang w:eastAsia="zh-CN"/>
        </w:rPr>
        <w:t xml:space="preserve">  With respect to network coverage, </w:t>
      </w:r>
      <w:r w:rsidRPr="005211DB">
        <w:t xml:space="preserve">we find that post-transaction, besides the combined entity, </w:t>
      </w:r>
      <w:r w:rsidR="00A43191" w:rsidRPr="005211DB">
        <w:t xml:space="preserve">two </w:t>
      </w:r>
      <w:r w:rsidRPr="005211DB">
        <w:t>rival service providers</w:t>
      </w:r>
      <w:r w:rsidR="00313C22" w:rsidRPr="005211DB">
        <w:t>, Verizon Wireless and T-Mobile,</w:t>
      </w:r>
      <w:r w:rsidRPr="005211DB">
        <w:t xml:space="preserve"> would have </w:t>
      </w:r>
      <w:r w:rsidR="000F3164" w:rsidRPr="005211DB">
        <w:t>significant</w:t>
      </w:r>
      <w:r w:rsidRPr="005211DB">
        <w:t xml:space="preserve"> </w:t>
      </w:r>
      <w:r w:rsidR="0004251D" w:rsidRPr="005211DB">
        <w:t xml:space="preserve">total </w:t>
      </w:r>
      <w:r w:rsidRPr="005211DB">
        <w:t>coverage.</w:t>
      </w:r>
      <w:r w:rsidR="00121630" w:rsidRPr="005211DB">
        <w:rPr>
          <w:rStyle w:val="FootnoteReference"/>
        </w:rPr>
        <w:footnoteReference w:id="150"/>
      </w:r>
      <w:r w:rsidR="00B61EFB" w:rsidRPr="005211DB">
        <w:t xml:space="preserve">  </w:t>
      </w:r>
    </w:p>
    <w:p w:rsidR="00906173" w:rsidRPr="005211DB" w:rsidRDefault="00FE5862" w:rsidP="00C64617">
      <w:pPr>
        <w:pStyle w:val="ParaNum"/>
      </w:pPr>
      <w:r w:rsidRPr="005211DB">
        <w:rPr>
          <w:rFonts w:eastAsia="SimSun"/>
          <w:lang w:eastAsia="zh-CN"/>
        </w:rPr>
        <w:t xml:space="preserve">Post-transaction, </w:t>
      </w:r>
      <w:r w:rsidRPr="005211DB">
        <w:t xml:space="preserve">AT&amp;T and Verizon Wireless between them would account for approximately </w:t>
      </w:r>
      <w:r w:rsidR="00DB1C89">
        <w:rPr>
          <w:b/>
        </w:rPr>
        <w:t>[REDACTED]</w:t>
      </w:r>
      <w:r w:rsidR="003164C3" w:rsidRPr="005211DB">
        <w:t xml:space="preserve"> percent</w:t>
      </w:r>
      <w:r w:rsidRPr="005211DB">
        <w:t xml:space="preserve"> of the </w:t>
      </w:r>
      <w:r w:rsidR="009C1EAD" w:rsidRPr="005211DB">
        <w:t>market’s</w:t>
      </w:r>
      <w:r w:rsidRPr="005211DB">
        <w:rPr>
          <w:rFonts w:eastAsia="SimSun"/>
          <w:lang w:eastAsia="zh-CN"/>
        </w:rPr>
        <w:t xml:space="preserve"> subscribers</w:t>
      </w:r>
      <w:r w:rsidR="0004251D" w:rsidRPr="005211DB">
        <w:rPr>
          <w:rFonts w:eastAsia="SimSun"/>
          <w:lang w:eastAsia="zh-CN"/>
        </w:rPr>
        <w:t xml:space="preserve">.  </w:t>
      </w:r>
      <w:r w:rsidR="00F23007" w:rsidRPr="005211DB">
        <w:rPr>
          <w:rFonts w:eastAsia="SimSun"/>
          <w:lang w:eastAsia="zh-CN"/>
        </w:rPr>
        <w:t>Post</w:t>
      </w:r>
      <w:r w:rsidR="00851970">
        <w:rPr>
          <w:rFonts w:eastAsia="SimSun"/>
          <w:lang w:eastAsia="zh-CN"/>
        </w:rPr>
        <w:t>-</w:t>
      </w:r>
      <w:r w:rsidR="00F23007" w:rsidRPr="005211DB">
        <w:rPr>
          <w:rFonts w:eastAsia="SimSun"/>
          <w:lang w:eastAsia="zh-CN"/>
        </w:rPr>
        <w:t xml:space="preserve">transaction, we also note that AT&amp;T and Verizon Wireless would be the only two service providers that would have both a significant market share and significant total coverage in terms of population and land area in the market. </w:t>
      </w:r>
      <w:r w:rsidR="00F23007" w:rsidRPr="005211DB">
        <w:t xml:space="preserve"> </w:t>
      </w:r>
      <w:r w:rsidR="00F23007" w:rsidRPr="005211DB">
        <w:rPr>
          <w:rFonts w:eastAsia="SimSun"/>
          <w:lang w:eastAsia="zh-CN"/>
        </w:rPr>
        <w:t>W</w:t>
      </w:r>
      <w:r w:rsidR="0004251D" w:rsidRPr="005211DB">
        <w:rPr>
          <w:rFonts w:eastAsia="SimSun"/>
          <w:lang w:eastAsia="zh-CN"/>
        </w:rPr>
        <w:t xml:space="preserve">hile </w:t>
      </w:r>
      <w:r w:rsidRPr="005211DB">
        <w:rPr>
          <w:rFonts w:eastAsia="SimSun"/>
          <w:lang w:eastAsia="zh-CN"/>
        </w:rPr>
        <w:t xml:space="preserve">Sprint has a </w:t>
      </w:r>
      <w:r w:rsidR="00DB1C89">
        <w:rPr>
          <w:b/>
        </w:rPr>
        <w:t>[REDACTED]</w:t>
      </w:r>
      <w:r w:rsidRPr="005211DB">
        <w:rPr>
          <w:rFonts w:eastAsia="SimSun"/>
          <w:lang w:eastAsia="zh-CN"/>
        </w:rPr>
        <w:t xml:space="preserve"> </w:t>
      </w:r>
      <w:r w:rsidR="003164C3" w:rsidRPr="005211DB">
        <w:t>percent</w:t>
      </w:r>
      <w:r w:rsidRPr="005211DB">
        <w:rPr>
          <w:rFonts w:eastAsia="SimSun"/>
          <w:lang w:eastAsia="zh-CN"/>
        </w:rPr>
        <w:t xml:space="preserve"> market share, it does not have significant 2G or 3G coverage</w:t>
      </w:r>
      <w:r w:rsidR="0004251D" w:rsidRPr="005211DB">
        <w:rPr>
          <w:rFonts w:eastAsia="SimSun"/>
          <w:lang w:eastAsia="zh-CN"/>
        </w:rPr>
        <w:t xml:space="preserve">, and while T-Mobile has </w:t>
      </w:r>
      <w:r w:rsidR="00C47F5F" w:rsidRPr="005211DB">
        <w:rPr>
          <w:rFonts w:eastAsia="SimSun"/>
          <w:lang w:eastAsia="zh-CN"/>
        </w:rPr>
        <w:t xml:space="preserve">significant </w:t>
      </w:r>
      <w:r w:rsidR="0004251D" w:rsidRPr="005211DB">
        <w:rPr>
          <w:rFonts w:eastAsia="SimSun"/>
          <w:lang w:eastAsia="zh-CN"/>
        </w:rPr>
        <w:t xml:space="preserve">total coverage, it does not have a </w:t>
      </w:r>
      <w:r w:rsidR="00F23007" w:rsidRPr="005211DB">
        <w:t>significant</w:t>
      </w:r>
      <w:r w:rsidR="0004251D" w:rsidRPr="005211DB">
        <w:rPr>
          <w:rFonts w:eastAsia="SimSun"/>
          <w:lang w:eastAsia="zh-CN"/>
        </w:rPr>
        <w:t xml:space="preserve"> market share.</w:t>
      </w:r>
      <w:r w:rsidR="0004251D" w:rsidRPr="005211DB">
        <w:rPr>
          <w:rStyle w:val="FootnoteReference"/>
          <w:rFonts w:eastAsia="SimSun"/>
          <w:lang w:eastAsia="zh-CN"/>
        </w:rPr>
        <w:footnoteReference w:id="151"/>
      </w:r>
      <w:r w:rsidR="0004251D" w:rsidRPr="005211DB">
        <w:rPr>
          <w:rFonts w:eastAsia="SimSun"/>
          <w:lang w:eastAsia="zh-CN"/>
        </w:rPr>
        <w:t xml:space="preserve">  This would likely limit the ability of the other two nationwide service providers to quickly and effectively respond to any anticompetitive behavior.  In light of the particular facts of this market, including but </w:t>
      </w:r>
      <w:r w:rsidR="0004251D" w:rsidRPr="005211DB">
        <w:t xml:space="preserve">not limited to </w:t>
      </w:r>
      <w:r w:rsidR="00CF4139" w:rsidRPr="005211DB">
        <w:t>the reduction in the number of significant service providers</w:t>
      </w:r>
      <w:r w:rsidR="00CF4139">
        <w:t xml:space="preserve">, </w:t>
      </w:r>
      <w:r w:rsidR="0004251D" w:rsidRPr="005211DB">
        <w:t>capacity</w:t>
      </w:r>
      <w:r w:rsidR="00851970">
        <w:t>,</w:t>
      </w:r>
      <w:r w:rsidR="0004251D" w:rsidRPr="005211DB">
        <w:t xml:space="preserve"> and the ability of other rival service providers to offer competitive services,</w:t>
      </w:r>
      <w:r w:rsidR="0004251D" w:rsidRPr="005211DB">
        <w:rPr>
          <w:rFonts w:eastAsia="SimSun"/>
          <w:lang w:eastAsia="zh-CN"/>
        </w:rPr>
        <w:t xml:space="preserve"> </w:t>
      </w:r>
      <w:r w:rsidR="007A24E8" w:rsidRPr="005211DB">
        <w:rPr>
          <w:rFonts w:eastAsia="SimSun"/>
          <w:lang w:eastAsia="zh-CN"/>
        </w:rPr>
        <w:t>w</w:t>
      </w:r>
      <w:r w:rsidRPr="005211DB">
        <w:rPr>
          <w:rFonts w:eastAsia="SimSun"/>
          <w:lang w:eastAsia="zh-CN"/>
        </w:rPr>
        <w:t xml:space="preserve">e find that competition would likely be lessened in this market, and thus, the proposed transaction would likely harm the public interest.  </w:t>
      </w:r>
    </w:p>
    <w:p w:rsidR="00931F65" w:rsidRPr="005211DB" w:rsidRDefault="004A4DF7" w:rsidP="00C64617">
      <w:pPr>
        <w:pStyle w:val="ParaNum"/>
      </w:pPr>
      <w:r w:rsidRPr="005211DB">
        <w:rPr>
          <w:i/>
        </w:rPr>
        <w:t xml:space="preserve">Ohio.  </w:t>
      </w:r>
      <w:r w:rsidRPr="005211DB">
        <w:t>This cluster is comprised of seven non-rural CMAs</w:t>
      </w:r>
      <w:r w:rsidRPr="005211DB">
        <w:rPr>
          <w:rStyle w:val="FootnoteReference"/>
        </w:rPr>
        <w:footnoteReference w:id="152"/>
      </w:r>
      <w:r w:rsidR="00851970">
        <w:t xml:space="preserve"> </w:t>
      </w:r>
      <w:r w:rsidR="00DB2037" w:rsidRPr="005211DB">
        <w:t>and three of these CMAs trigger the HHI screen.</w:t>
      </w:r>
      <w:r w:rsidR="00DB2037" w:rsidRPr="005211DB">
        <w:rPr>
          <w:rStyle w:val="FootnoteReference"/>
        </w:rPr>
        <w:footnoteReference w:id="153"/>
      </w:r>
      <w:r w:rsidR="00931F65" w:rsidRPr="005211DB">
        <w:t xml:space="preserve">  </w:t>
      </w:r>
      <w:r w:rsidR="007F2496" w:rsidRPr="005211DB">
        <w:t xml:space="preserve">After a close review of the </w:t>
      </w:r>
      <w:r w:rsidR="00846FE2" w:rsidRPr="005211DB">
        <w:t xml:space="preserve">particular </w:t>
      </w:r>
      <w:r w:rsidR="007F2496" w:rsidRPr="005211DB">
        <w:t>facts</w:t>
      </w:r>
      <w:r w:rsidR="00846FE2" w:rsidRPr="005211DB">
        <w:t xml:space="preserve"> of these markets</w:t>
      </w:r>
      <w:r w:rsidR="007F2496" w:rsidRPr="005211DB">
        <w:t>, w</w:t>
      </w:r>
      <w:r w:rsidR="00931F65" w:rsidRPr="005211DB">
        <w:t>e do not find that competitive harm is likely in the Ohio cluster.</w:t>
      </w:r>
    </w:p>
    <w:p w:rsidR="00D46792" w:rsidRDefault="00931F65" w:rsidP="00C64617">
      <w:pPr>
        <w:pStyle w:val="ParaNum"/>
      </w:pPr>
      <w:r w:rsidRPr="005211DB">
        <w:t>Blue Wireless asserts that CMA 587 (Ohio 3</w:t>
      </w:r>
      <w:r w:rsidR="00A30D95">
        <w:t xml:space="preserve"> </w:t>
      </w:r>
      <w:r w:rsidR="00A30D95" w:rsidRPr="0075707B">
        <w:t>–</w:t>
      </w:r>
      <w:r w:rsidRPr="005211DB">
        <w:t xml:space="preserve"> Ashtabula) is a densely concentrated market and AT&amp;T and Verizon Wireless dominate the market with their spectrum holdings.</w:t>
      </w:r>
      <w:r w:rsidRPr="005211DB">
        <w:rPr>
          <w:rStyle w:val="FootnoteReference"/>
        </w:rPr>
        <w:footnoteReference w:id="154"/>
      </w:r>
      <w:r w:rsidRPr="005211DB">
        <w:t xml:space="preserve">  Further, </w:t>
      </w:r>
    </w:p>
    <w:p w:rsidR="00D46792" w:rsidRDefault="00D46792">
      <w:r>
        <w:br w:type="page"/>
      </w:r>
    </w:p>
    <w:p w:rsidR="00931F65" w:rsidRPr="005211DB" w:rsidRDefault="00931F65" w:rsidP="00D46792">
      <w:pPr>
        <w:pStyle w:val="ParaNum"/>
        <w:numPr>
          <w:ilvl w:val="0"/>
          <w:numId w:val="0"/>
        </w:numPr>
      </w:pPr>
      <w:r w:rsidRPr="005211DB">
        <w:t>Blue Wireless argues that neither Sprint nor T-Mobile should be considered a facilities-based provider</w:t>
      </w:r>
      <w:r w:rsidRPr="005211DB" w:rsidDel="00B14110">
        <w:t xml:space="preserve"> </w:t>
      </w:r>
      <w:r w:rsidRPr="005211DB">
        <w:t xml:space="preserve">in the market because Sprint provides wireless service in CMA 587 pursuant to a roaming agreement, and T-Mobile provides minimal voice-only coverage and no 3G or </w:t>
      </w:r>
      <w:r w:rsidR="00BB63C0" w:rsidRPr="005211DB">
        <w:t>4G</w:t>
      </w:r>
      <w:r w:rsidRPr="005211DB">
        <w:t xml:space="preserve"> service.</w:t>
      </w:r>
      <w:r w:rsidRPr="005211DB">
        <w:rPr>
          <w:rStyle w:val="FootnoteReference"/>
        </w:rPr>
        <w:footnoteReference w:id="155"/>
      </w:r>
      <w:r w:rsidRPr="005211DB">
        <w:t xml:space="preserve">  In addition, Blue Wireless argues that Allied’s rates are very competitive against the major wireless providers and customers will incur a higher cost if forced to migrate to another provider.</w:t>
      </w:r>
      <w:r w:rsidRPr="005211DB">
        <w:rPr>
          <w:rStyle w:val="FootnoteReference"/>
        </w:rPr>
        <w:footnoteReference w:id="156"/>
      </w:r>
      <w:r w:rsidRPr="005211DB">
        <w:t xml:space="preserve">  </w:t>
      </w:r>
    </w:p>
    <w:p w:rsidR="00C47F5F" w:rsidRPr="005211DB" w:rsidRDefault="00F000DB" w:rsidP="00865883">
      <w:pPr>
        <w:pStyle w:val="ParaNum"/>
      </w:pPr>
      <w:r w:rsidRPr="005211DB">
        <w:t>Based on our review of the record</w:t>
      </w:r>
      <w:r w:rsidR="00931F65" w:rsidRPr="005211DB">
        <w:t xml:space="preserve">, we find that in CMA 587 (Ohio 3 – Ashtabula), in addition to AT&amp;T and Verizon Wireless, Sprint and T-Mobile are both facilities-based providers that would have a </w:t>
      </w:r>
      <w:r w:rsidR="00846FE2" w:rsidRPr="005211DB">
        <w:t xml:space="preserve">significant </w:t>
      </w:r>
      <w:r w:rsidR="00931F65" w:rsidRPr="005211DB">
        <w:t>market presence post-transaction, and that competitive harm would be unlikely.</w:t>
      </w:r>
      <w:r w:rsidR="008F4BED" w:rsidRPr="005211DB">
        <w:t xml:space="preserve">  In addition to AT&amp;T and Verizon Wireless, both Sprint and T-Mobile have over a </w:t>
      </w:r>
      <w:r w:rsidR="00DB1C89">
        <w:rPr>
          <w:b/>
        </w:rPr>
        <w:t>[REDACTED]</w:t>
      </w:r>
      <w:r w:rsidR="003164C3" w:rsidRPr="005211DB">
        <w:t xml:space="preserve"> percent</w:t>
      </w:r>
      <w:r w:rsidR="008F4BED" w:rsidRPr="005211DB">
        <w:t xml:space="preserve"> market share.  Further, while AT&amp;T would hold 155 megahertz of spectrum post-transaction, </w:t>
      </w:r>
      <w:r w:rsidR="00D265AC" w:rsidRPr="005211DB">
        <w:t xml:space="preserve">including 55 megahertz of spectrum below 1 GHz, </w:t>
      </w:r>
      <w:r w:rsidR="008F4BED" w:rsidRPr="005211DB">
        <w:t xml:space="preserve">Verizon Wireless holds 109 megahertz of spectrum, Sprint holds 90.375 megahertz of spectrum, and T-Mobile holds 60 megahertz of spectrum.  </w:t>
      </w:r>
      <w:r w:rsidR="00D265AC" w:rsidRPr="005211DB">
        <w:t xml:space="preserve">In addition, other licensees also hold spectrum throughout the market, with spectrum holdings ranging from 6 to 10 megahertz.  </w:t>
      </w:r>
      <w:r w:rsidR="008F4BED" w:rsidRPr="005211DB">
        <w:t>Moreover, as well as AT&amp;T and Verizon Wireless, both Sprint and T-Mobile have significant total coverage, and AT&amp;T has significant HSPA+ coverage, while Verizon Wireless has significant LTE coverage.</w:t>
      </w:r>
      <w:r w:rsidR="00D265AC" w:rsidRPr="005211DB">
        <w:rPr>
          <w:rStyle w:val="FootnoteReference"/>
        </w:rPr>
        <w:footnoteReference w:id="157"/>
      </w:r>
      <w:r w:rsidR="009A230B" w:rsidRPr="005211DB">
        <w:t xml:space="preserve">  We find that t</w:t>
      </w:r>
      <w:r w:rsidR="009A230B" w:rsidRPr="005211DB">
        <w:rPr>
          <w:rFonts w:eastAsia="SimSun"/>
          <w:lang w:eastAsia="zh-CN"/>
        </w:rPr>
        <w:t xml:space="preserve">he particular facts in Ohio 3 – Ashtabula, including but </w:t>
      </w:r>
      <w:r w:rsidR="009A230B" w:rsidRPr="005211DB">
        <w:t>not limited to capacity and the ability of other rival service providers to offer competitive services</w:t>
      </w:r>
      <w:r w:rsidR="009A230B" w:rsidRPr="005211DB">
        <w:rPr>
          <w:rFonts w:eastAsia="SimSun"/>
          <w:lang w:eastAsia="zh-CN"/>
        </w:rPr>
        <w:t>, as well as the particular facts in the other markets in Ohio in general, make it unlikely that competition would be lessened, and thus the proposed transaction would not be likely to harm the public interest.</w:t>
      </w:r>
    </w:p>
    <w:p w:rsidR="00D46792" w:rsidRDefault="000D3AD5" w:rsidP="00865883">
      <w:pPr>
        <w:pStyle w:val="ParaNum"/>
        <w:rPr>
          <w:rFonts w:eastAsia="SimSun"/>
          <w:lang w:eastAsia="zh-CN"/>
        </w:rPr>
      </w:pPr>
      <w:r w:rsidRPr="005211DB">
        <w:t xml:space="preserve">In undertaking our market-by-market analysis, organized in state-bounded clusters, we </w:t>
      </w:r>
      <w:r w:rsidR="00F000DB" w:rsidRPr="005211DB">
        <w:t xml:space="preserve">have </w:t>
      </w:r>
      <w:r w:rsidRPr="005211DB">
        <w:t>considered various competitive variables that helped us to predict the likelihood of competitive harm post-transaction, as discussed above</w:t>
      </w:r>
      <w:r w:rsidR="00986C86" w:rsidRPr="005211DB">
        <w:rPr>
          <w:i/>
        </w:rPr>
        <w:t>.</w:t>
      </w:r>
      <w:r w:rsidR="00986C86" w:rsidRPr="005211DB">
        <w:rPr>
          <w:vertAlign w:val="superscript"/>
        </w:rPr>
        <w:footnoteReference w:id="158"/>
      </w:r>
      <w:r w:rsidRPr="005211DB">
        <w:rPr>
          <w:i/>
        </w:rPr>
        <w:t xml:space="preserve">  </w:t>
      </w:r>
      <w:r w:rsidRPr="005211DB">
        <w:t xml:space="preserve">We find that, with the exception of the Ohio markets, </w:t>
      </w:r>
      <w:r w:rsidR="00434C4B" w:rsidRPr="005211DB">
        <w:t>that competitive harm is likely</w:t>
      </w:r>
      <w:r w:rsidRPr="005211DB">
        <w:t xml:space="preserve"> in at least one local market in each of the six state clusters.  </w:t>
      </w:r>
      <w:r w:rsidR="00AA5F6A" w:rsidRPr="005211DB">
        <w:t xml:space="preserve">We find that the </w:t>
      </w:r>
      <w:r w:rsidR="00875157" w:rsidRPr="005211DB">
        <w:t xml:space="preserve">totality of the circumstances in </w:t>
      </w:r>
      <w:r w:rsidR="00AA5F6A" w:rsidRPr="005211DB">
        <w:t xml:space="preserve">ten local markets would be likely to </w:t>
      </w:r>
      <w:r w:rsidR="00875157" w:rsidRPr="005211DB">
        <w:t xml:space="preserve">provide </w:t>
      </w:r>
      <w:r w:rsidR="0095177C" w:rsidRPr="005211DB">
        <w:t>an</w:t>
      </w:r>
      <w:r w:rsidR="00875157" w:rsidRPr="005211DB">
        <w:t xml:space="preserve"> incentive to act anticompetitively.</w:t>
      </w:r>
      <w:r w:rsidR="00AA5F6A" w:rsidRPr="005211DB">
        <w:rPr>
          <w:rStyle w:val="FootnoteReference"/>
        </w:rPr>
        <w:footnoteReference w:id="159"/>
      </w:r>
      <w:r w:rsidR="00C64617" w:rsidRPr="005211DB">
        <w:t xml:space="preserve">  </w:t>
      </w:r>
      <w:r w:rsidR="00590246">
        <w:t>As discussed, i</w:t>
      </w:r>
      <w:r w:rsidR="00590246" w:rsidRPr="005211DB">
        <w:rPr>
          <w:rFonts w:eastAsia="SimSun"/>
          <w:lang w:eastAsia="zh-CN"/>
        </w:rPr>
        <w:t xml:space="preserve">n light of the particular facts of </w:t>
      </w:r>
      <w:r w:rsidR="00590246">
        <w:rPr>
          <w:rFonts w:eastAsia="SimSun"/>
          <w:lang w:eastAsia="zh-CN"/>
        </w:rPr>
        <w:t>these ten</w:t>
      </w:r>
      <w:r w:rsidR="00590246" w:rsidRPr="005211DB">
        <w:rPr>
          <w:rFonts w:eastAsia="SimSun"/>
          <w:lang w:eastAsia="zh-CN"/>
        </w:rPr>
        <w:t xml:space="preserve"> market</w:t>
      </w:r>
      <w:r w:rsidR="00590246">
        <w:rPr>
          <w:rFonts w:eastAsia="SimSun"/>
          <w:lang w:eastAsia="zh-CN"/>
        </w:rPr>
        <w:t>s</w:t>
      </w:r>
      <w:r w:rsidR="00590246" w:rsidRPr="005211DB">
        <w:rPr>
          <w:rFonts w:eastAsia="SimSun"/>
          <w:lang w:eastAsia="zh-CN"/>
        </w:rPr>
        <w:t xml:space="preserve">, including but </w:t>
      </w:r>
      <w:r w:rsidR="00590246" w:rsidRPr="005211DB">
        <w:t>not limited to the reduction in the number of significant service providers</w:t>
      </w:r>
      <w:r w:rsidR="00590246">
        <w:t xml:space="preserve">, </w:t>
      </w:r>
      <w:r w:rsidR="00590246" w:rsidRPr="005211DB">
        <w:t>capacity and the ability of other rival service providers to offer competitive services,</w:t>
      </w:r>
      <w:r w:rsidR="00590246" w:rsidRPr="005211DB">
        <w:rPr>
          <w:rFonts w:eastAsia="SimSun"/>
          <w:lang w:eastAsia="zh-CN"/>
        </w:rPr>
        <w:t xml:space="preserve"> we find that competition would likely be lessened in </w:t>
      </w:r>
      <w:r w:rsidR="00873038">
        <w:rPr>
          <w:rFonts w:eastAsia="SimSun"/>
          <w:lang w:eastAsia="zh-CN"/>
        </w:rPr>
        <w:t>these markets</w:t>
      </w:r>
      <w:r w:rsidR="00590246" w:rsidRPr="005211DB">
        <w:rPr>
          <w:rFonts w:eastAsia="SimSun"/>
          <w:lang w:eastAsia="zh-CN"/>
        </w:rPr>
        <w:t>, and thus, the proposed transaction would likely harm the public interest.</w:t>
      </w:r>
    </w:p>
    <w:p w:rsidR="00D46792" w:rsidRDefault="00D46792">
      <w:pPr>
        <w:rPr>
          <w:rFonts w:eastAsia="SimSun"/>
          <w:lang w:eastAsia="zh-CN"/>
        </w:rPr>
      </w:pPr>
      <w:r>
        <w:rPr>
          <w:rFonts w:eastAsia="SimSun"/>
          <w:lang w:eastAsia="zh-CN"/>
        </w:rPr>
        <w:br w:type="page"/>
      </w:r>
    </w:p>
    <w:p w:rsidR="0033209F" w:rsidRPr="005211DB" w:rsidRDefault="0033209F" w:rsidP="00BD79B8">
      <w:pPr>
        <w:pStyle w:val="Heading2"/>
      </w:pPr>
      <w:bookmarkStart w:id="539" w:name="_Toc366145540"/>
      <w:bookmarkStart w:id="540" w:name="_Toc366145748"/>
      <w:bookmarkStart w:id="541" w:name="_Toc366145864"/>
      <w:bookmarkStart w:id="542" w:name="_Toc366249611"/>
      <w:bookmarkStart w:id="543" w:name="_Toc366758005"/>
      <w:bookmarkStart w:id="544" w:name="_Toc366855793"/>
      <w:bookmarkStart w:id="545" w:name="_Toc366856274"/>
      <w:bookmarkStart w:id="546" w:name="_Toc367108929"/>
      <w:bookmarkStart w:id="547" w:name="_Toc367372968"/>
      <w:bookmarkStart w:id="548" w:name="_Toc367440576"/>
      <w:r w:rsidRPr="005211DB">
        <w:t>Roaming</w:t>
      </w:r>
      <w:bookmarkEnd w:id="539"/>
      <w:bookmarkEnd w:id="540"/>
      <w:bookmarkEnd w:id="541"/>
      <w:bookmarkEnd w:id="542"/>
      <w:bookmarkEnd w:id="543"/>
      <w:bookmarkEnd w:id="544"/>
      <w:bookmarkEnd w:id="545"/>
      <w:bookmarkEnd w:id="546"/>
      <w:bookmarkEnd w:id="547"/>
      <w:bookmarkEnd w:id="548"/>
      <w:r w:rsidRPr="005211DB">
        <w:t xml:space="preserve"> </w:t>
      </w:r>
    </w:p>
    <w:p w:rsidR="00C51B60" w:rsidRPr="005211DB" w:rsidRDefault="00C51B60" w:rsidP="00061517">
      <w:pPr>
        <w:pStyle w:val="ParaNum"/>
      </w:pPr>
      <w:r w:rsidRPr="005211DB">
        <w:t xml:space="preserve">RTG and Blue Wireless argue that the loss of Allied as a </w:t>
      </w:r>
      <w:r w:rsidR="00DA4245">
        <w:t>Code Division Multiple Access (“</w:t>
      </w:r>
      <w:r w:rsidRPr="005211DB">
        <w:t>CDMA</w:t>
      </w:r>
      <w:r w:rsidR="00DA4245">
        <w:t>”)</w:t>
      </w:r>
      <w:r w:rsidRPr="005211DB">
        <w:t xml:space="preserve"> roaming partner eliminates competitive pressure on nationwide providers to maintain reasonable roaming rates and compete fairly in the marketplace.</w:t>
      </w:r>
      <w:r w:rsidRPr="005211DB">
        <w:rPr>
          <w:vertAlign w:val="superscript"/>
        </w:rPr>
        <w:footnoteReference w:id="160"/>
      </w:r>
      <w:r w:rsidRPr="005211DB">
        <w:t xml:space="preserve">  </w:t>
      </w:r>
      <w:r w:rsidR="00434C4B" w:rsidRPr="005211DB">
        <w:t>RTG and Blue Wireless further argue that roaming rates faced by small providers are excessive and the problem of negotiating reasonable roaming rates is compounded with each acquisition by the major wireless providers.</w:t>
      </w:r>
      <w:r w:rsidR="00434C4B" w:rsidRPr="005211DB">
        <w:rPr>
          <w:rStyle w:val="FootnoteReference"/>
        </w:rPr>
        <w:footnoteReference w:id="161"/>
      </w:r>
      <w:r w:rsidR="00434C4B" w:rsidRPr="005211DB">
        <w:t xml:space="preserve">  </w:t>
      </w:r>
    </w:p>
    <w:p w:rsidR="00C51B60" w:rsidRPr="005211DB" w:rsidRDefault="00E1222E" w:rsidP="00C51B60">
      <w:pPr>
        <w:pStyle w:val="ParaNum"/>
      </w:pPr>
      <w:r w:rsidRPr="005211DB">
        <w:t>According to</w:t>
      </w:r>
      <w:r w:rsidR="00C51B60" w:rsidRPr="005211DB">
        <w:t xml:space="preserve"> </w:t>
      </w:r>
      <w:r w:rsidR="00873038">
        <w:t xml:space="preserve">the </w:t>
      </w:r>
      <w:r w:rsidR="00C51B60" w:rsidRPr="005211DB">
        <w:t>Applicants</w:t>
      </w:r>
      <w:r w:rsidRPr="005211DB">
        <w:t>,</w:t>
      </w:r>
      <w:r w:rsidR="00C51B60" w:rsidRPr="005211DB">
        <w:t xml:space="preserve"> AT&amp;T is assuming Allied’s contractual obligations to maintain a CDMA network to provide roaming services.</w:t>
      </w:r>
      <w:r w:rsidR="00C51B60" w:rsidRPr="005211DB">
        <w:rPr>
          <w:rStyle w:val="FootnoteReference"/>
        </w:rPr>
        <w:footnoteReference w:id="162"/>
      </w:r>
      <w:r w:rsidR="00C51B60" w:rsidRPr="005211DB">
        <w:t xml:space="preserve">  The Applicants assert that Verizon Wireless, Sprint, and other wireless providers are also available for roaming agreements.</w:t>
      </w:r>
      <w:r w:rsidR="00C51B60" w:rsidRPr="005211DB">
        <w:rPr>
          <w:vertAlign w:val="superscript"/>
        </w:rPr>
        <w:footnoteReference w:id="163"/>
      </w:r>
      <w:r w:rsidR="00C51B60" w:rsidRPr="005211DB">
        <w:t xml:space="preserve">  Lastly, the Applicants assert that the Commission’s roaming rules protect against unreasonable roaming terms, and providers can readily file complaints with the Commission pursuant to established roaming rules.</w:t>
      </w:r>
      <w:r w:rsidR="00C51B60" w:rsidRPr="005211DB">
        <w:rPr>
          <w:rStyle w:val="FootnoteReference"/>
        </w:rPr>
        <w:footnoteReference w:id="164"/>
      </w:r>
    </w:p>
    <w:p w:rsidR="00530E16" w:rsidRPr="005211DB" w:rsidRDefault="00BF096A" w:rsidP="00061517">
      <w:pPr>
        <w:pStyle w:val="ParaNum"/>
      </w:pPr>
      <w:r w:rsidRPr="005211DB">
        <w:rPr>
          <w:i/>
        </w:rPr>
        <w:t>Discussion</w:t>
      </w:r>
      <w:r w:rsidRPr="005211DB">
        <w:t xml:space="preserve">.  </w:t>
      </w:r>
      <w:r w:rsidR="00242C94" w:rsidRPr="005211DB">
        <w:t>With regard to the arguments expressing concern about the availability of roaming, we find that t</w:t>
      </w:r>
      <w:r w:rsidR="00530E16" w:rsidRPr="005211DB">
        <w:t>he Commission’s general roaming policies and rules should ensure that entities can obtain roaming agreements on reasonable terms and conditions</w:t>
      </w:r>
      <w:r w:rsidR="00242C94" w:rsidRPr="005211DB">
        <w:t>.</w:t>
      </w:r>
      <w:r w:rsidR="00FE0D90">
        <w:t xml:space="preserve">  </w:t>
      </w:r>
      <w:r w:rsidR="00242C94" w:rsidRPr="005211DB">
        <w:t>I</w:t>
      </w:r>
      <w:r w:rsidR="00530E16" w:rsidRPr="005211DB">
        <w:t>n the event that a service provider</w:t>
      </w:r>
      <w:r w:rsidR="00242C94" w:rsidRPr="005211DB">
        <w:t>, including Blue Wireless,</w:t>
      </w:r>
      <w:r w:rsidR="00530E16" w:rsidRPr="005211DB">
        <w:t xml:space="preserve"> encounters difficulties </w:t>
      </w:r>
      <w:r w:rsidR="00FE0D90">
        <w:t xml:space="preserve">in </w:t>
      </w:r>
      <w:r w:rsidR="00530E16" w:rsidRPr="005211DB">
        <w:t>obtain</w:t>
      </w:r>
      <w:r w:rsidR="00FE0D90">
        <w:t>ing</w:t>
      </w:r>
      <w:r w:rsidR="00530E16" w:rsidRPr="005211DB">
        <w:t xml:space="preserve"> desired roaming services under our rules and policies, it can file complaints with the Commission pursuant to our established roaming rules.</w:t>
      </w:r>
      <w:r w:rsidR="00530E16" w:rsidRPr="005211DB">
        <w:rPr>
          <w:rStyle w:val="FootnoteReference"/>
        </w:rPr>
        <w:footnoteReference w:id="165"/>
      </w:r>
      <w:r w:rsidR="00530E16" w:rsidRPr="005211DB">
        <w:t xml:space="preserve">  </w:t>
      </w:r>
      <w:r w:rsidR="00242C94" w:rsidRPr="005211DB">
        <w:t>We conclude that the other data roaming conditions proposed by RTG and Blue Wireless are not narrowly tailored to remedy any purported harms arising out of this transaction, and accordingly, we will not impose these proposed conditions.</w:t>
      </w:r>
    </w:p>
    <w:p w:rsidR="00242C94" w:rsidRPr="005211DB" w:rsidRDefault="000D0AE2" w:rsidP="00061517">
      <w:pPr>
        <w:pStyle w:val="ParaNum"/>
      </w:pPr>
      <w:r w:rsidRPr="005211DB">
        <w:t>The Commission has recognized</w:t>
      </w:r>
      <w:r w:rsidR="00242C94" w:rsidRPr="005211DB">
        <w:t>, however,</w:t>
      </w:r>
      <w:r w:rsidRPr="005211DB">
        <w:t xml:space="preserve"> that the </w:t>
      </w:r>
      <w:r w:rsidR="00242C94" w:rsidRPr="005211DB">
        <w:t xml:space="preserve">continued </w:t>
      </w:r>
      <w:r w:rsidRPr="005211DB">
        <w:t xml:space="preserve">ability of wireless </w:t>
      </w:r>
      <w:r w:rsidR="007E6D17" w:rsidRPr="005211DB">
        <w:t xml:space="preserve">customers </w:t>
      </w:r>
      <w:r w:rsidRPr="005211DB">
        <w:t>to roam is an important concern when wireless</w:t>
      </w:r>
      <w:r w:rsidR="007E6D17" w:rsidRPr="005211DB">
        <w:t xml:space="preserve"> service</w:t>
      </w:r>
      <w:r w:rsidRPr="005211DB">
        <w:t xml:space="preserve"> providers intend to transition network technology as a result of a proposed transaction.</w:t>
      </w:r>
      <w:r w:rsidRPr="005211DB">
        <w:rPr>
          <w:rStyle w:val="FootnoteReference"/>
        </w:rPr>
        <w:footnoteReference w:id="166"/>
      </w:r>
      <w:r w:rsidRPr="005211DB">
        <w:t xml:space="preserve">  Thus, the Commission has previously conditioned consent of a proposed transaction on the ability of wireless service providers to have access, on behalf of their customers, to roaming services in the areas affected by the transaction for a specified period of time.</w:t>
      </w:r>
      <w:r w:rsidRPr="005211DB">
        <w:rPr>
          <w:rStyle w:val="FootnoteReference"/>
        </w:rPr>
        <w:footnoteReference w:id="167"/>
      </w:r>
      <w:r w:rsidRPr="005211DB">
        <w:t xml:space="preserve">  </w:t>
      </w:r>
      <w:r w:rsidR="00242C94" w:rsidRPr="005211DB">
        <w:t>Following Allied’s acquisition of the ALLTEL divestiture markets, it acquired various roaming agreements.</w:t>
      </w:r>
      <w:r w:rsidR="00242C94" w:rsidRPr="005211DB">
        <w:rPr>
          <w:rStyle w:val="FootnoteReference"/>
        </w:rPr>
        <w:footnoteReference w:id="168"/>
      </w:r>
      <w:r w:rsidR="00242C94" w:rsidRPr="005211DB">
        <w:t xml:space="preserve">  </w:t>
      </w:r>
      <w:r w:rsidR="00A5192F">
        <w:t>The Applicants say that, u</w:t>
      </w:r>
      <w:r w:rsidR="00242C94" w:rsidRPr="005211DB">
        <w:t>nder the purchase agreement, AT&amp;T is assuming Allied’s current contractual roaming obligations to maintain a CDMA network and to provide roaming services.</w:t>
      </w:r>
      <w:r w:rsidR="00242C94" w:rsidRPr="005211DB">
        <w:rPr>
          <w:vertAlign w:val="superscript"/>
        </w:rPr>
        <w:footnoteReference w:id="169"/>
      </w:r>
      <w:r w:rsidR="00242C94" w:rsidRPr="005211DB">
        <w:t xml:space="preserve">  </w:t>
      </w:r>
      <w:r w:rsidRPr="005211DB">
        <w:t xml:space="preserve">Our analysis finds that </w:t>
      </w:r>
      <w:r w:rsidR="007E6D17" w:rsidRPr="005211DB">
        <w:t xml:space="preserve">the </w:t>
      </w:r>
      <w:r w:rsidRPr="005211DB">
        <w:t xml:space="preserve">various roaming agreements </w:t>
      </w:r>
      <w:r w:rsidR="007E6D17" w:rsidRPr="005211DB">
        <w:t xml:space="preserve">to be assumed by AT&amp;T </w:t>
      </w:r>
      <w:r w:rsidRPr="005211DB">
        <w:t xml:space="preserve">have differing expiration dates, and </w:t>
      </w:r>
      <w:r w:rsidR="00242C94" w:rsidRPr="005211DB">
        <w:t xml:space="preserve">raise questions whether </w:t>
      </w:r>
      <w:r w:rsidRPr="005211DB">
        <w:t xml:space="preserve">the CDMA network </w:t>
      </w:r>
      <w:r w:rsidR="00242C94" w:rsidRPr="005211DB">
        <w:t xml:space="preserve">for roaming will </w:t>
      </w:r>
      <w:r w:rsidRPr="005211DB">
        <w:t xml:space="preserve">be maintained for </w:t>
      </w:r>
      <w:r w:rsidR="0017703C" w:rsidRPr="005211DB">
        <w:t xml:space="preserve">all providers for </w:t>
      </w:r>
      <w:r w:rsidRPr="005211DB">
        <w:t xml:space="preserve">a </w:t>
      </w:r>
      <w:r w:rsidR="0017703C" w:rsidRPr="005211DB">
        <w:t>reasonable</w:t>
      </w:r>
      <w:r w:rsidR="005A37B1" w:rsidRPr="005211DB">
        <w:t xml:space="preserve"> </w:t>
      </w:r>
      <w:r w:rsidRPr="005211DB">
        <w:t xml:space="preserve">period of time.  </w:t>
      </w:r>
    </w:p>
    <w:p w:rsidR="0047309A" w:rsidRPr="005211DB" w:rsidRDefault="0047309A" w:rsidP="000753D2">
      <w:pPr>
        <w:pStyle w:val="Heading2"/>
      </w:pPr>
      <w:bookmarkStart w:id="549" w:name="_Toc366855794"/>
      <w:bookmarkStart w:id="550" w:name="_Toc366856275"/>
      <w:bookmarkStart w:id="551" w:name="_Toc367108930"/>
      <w:bookmarkStart w:id="552" w:name="_Toc367372969"/>
      <w:bookmarkStart w:id="553" w:name="_Toc367440577"/>
      <w:r w:rsidRPr="005211DB">
        <w:t>Other Issues</w:t>
      </w:r>
      <w:bookmarkEnd w:id="549"/>
      <w:bookmarkEnd w:id="550"/>
      <w:bookmarkEnd w:id="551"/>
      <w:bookmarkEnd w:id="552"/>
      <w:bookmarkEnd w:id="553"/>
    </w:p>
    <w:p w:rsidR="0047309A" w:rsidRPr="005211DB" w:rsidRDefault="0047309A" w:rsidP="0047309A">
      <w:pPr>
        <w:pStyle w:val="ParaNum"/>
      </w:pPr>
      <w:r w:rsidRPr="005211DB">
        <w:rPr>
          <w:i/>
        </w:rPr>
        <w:t>Record</w:t>
      </w:r>
      <w:r w:rsidRPr="005211DB">
        <w:t>.  Public Knowledge and RTG urge the Commission, should it decide to approve the proposed transaction, to impose other conditions that they assert will promote competition and offset any harms that might otherwise result.</w:t>
      </w:r>
      <w:r w:rsidRPr="005211DB">
        <w:rPr>
          <w:rStyle w:val="FootnoteReference"/>
        </w:rPr>
        <w:footnoteReference w:id="170"/>
      </w:r>
      <w:r w:rsidRPr="005211DB">
        <w:t xml:space="preserve">  First, in light of the 700 MHz licenses that would be transferred to AT&amp;T pursuant to this transaction, Public Knowledge and RTG recommend that the Commission impose 700 MHz interoperability requirements on AT&amp;T.</w:t>
      </w:r>
      <w:r w:rsidRPr="005211DB">
        <w:rPr>
          <w:rStyle w:val="FootnoteReference"/>
        </w:rPr>
        <w:footnoteReference w:id="171"/>
      </w:r>
      <w:r w:rsidRPr="005211DB">
        <w:t xml:space="preserve">  Second, Public Knowledge and RTG urge the Commission to require as a condition of any license transfers that AT&amp;T not enter into any exclusive equipment deals that disadvantage smaller operators.</w:t>
      </w:r>
      <w:r w:rsidRPr="005211DB">
        <w:rPr>
          <w:rStyle w:val="FootnoteReference"/>
        </w:rPr>
        <w:footnoteReference w:id="172"/>
      </w:r>
      <w:r w:rsidRPr="005211DB">
        <w:t xml:space="preserve">  Third, Public Knowledge recommends that any early termination fees imposed by AT&amp;T be tied to specific equipment costs on a pro-rated basis.</w:t>
      </w:r>
      <w:r w:rsidRPr="005211DB">
        <w:rPr>
          <w:rStyle w:val="FootnoteReference"/>
        </w:rPr>
        <w:footnoteReference w:id="173"/>
      </w:r>
      <w:r w:rsidRPr="005211DB">
        <w:t xml:space="preserve">  Finally, Public Knowledge states that </w:t>
      </w:r>
      <w:r w:rsidR="00FE0D90">
        <w:t>service providers</w:t>
      </w:r>
      <w:r w:rsidR="00FE0D90" w:rsidRPr="005211DB">
        <w:t xml:space="preserve"> </w:t>
      </w:r>
      <w:r w:rsidRPr="005211DB">
        <w:t>with an advantage in special access and backhaul provision are able to leverage that advantage to keep their costs low,</w:t>
      </w:r>
      <w:r w:rsidRPr="005211DB">
        <w:rPr>
          <w:rStyle w:val="FootnoteReference"/>
        </w:rPr>
        <w:footnoteReference w:id="174"/>
      </w:r>
      <w:r w:rsidRPr="005211DB">
        <w:t xml:space="preserve"> and asserts that therefore the Commission should require that a provider that would increase its market power as a result of the proposed transaction should make its backhaul and special access services available to competitors on the same terms it enjoys.</w:t>
      </w:r>
      <w:r w:rsidRPr="005211DB">
        <w:rPr>
          <w:rStyle w:val="FootnoteReference"/>
        </w:rPr>
        <w:footnoteReference w:id="175"/>
      </w:r>
    </w:p>
    <w:p w:rsidR="0047309A" w:rsidRPr="005211DB" w:rsidRDefault="0047309A" w:rsidP="0047309A">
      <w:pPr>
        <w:pStyle w:val="ParaNum"/>
      </w:pPr>
      <w:r w:rsidRPr="005211DB">
        <w:t>The Applicants assert that Public Knowledge and RTG have not identified any transaction-specific harms that the proposed interoperability, handset exclusivity, early termination fee, and special access and backhaul conditions would address.</w:t>
      </w:r>
      <w:r w:rsidRPr="005211DB">
        <w:rPr>
          <w:rStyle w:val="FootnoteReference"/>
        </w:rPr>
        <w:footnoteReference w:id="176"/>
      </w:r>
      <w:r w:rsidRPr="005211DB">
        <w:t xml:space="preserve">  Instead, according to the Applicants, these proposed conditions relate only to alleged harms that exist regardless of the transaction and that are or were the subject of industry-wide proceedings, and consistent with past practice, we should decline to impose these conditions.</w:t>
      </w:r>
      <w:r w:rsidRPr="005211DB">
        <w:rPr>
          <w:rStyle w:val="FootnoteReference"/>
        </w:rPr>
        <w:footnoteReference w:id="177"/>
      </w:r>
    </w:p>
    <w:p w:rsidR="006035E9" w:rsidRPr="005211DB" w:rsidRDefault="0047309A" w:rsidP="006035E9">
      <w:pPr>
        <w:pStyle w:val="ParaNum"/>
      </w:pPr>
      <w:bookmarkStart w:id="554" w:name="_Toc366855795"/>
      <w:r w:rsidRPr="005211DB">
        <w:rPr>
          <w:i/>
        </w:rPr>
        <w:t>Discussion</w:t>
      </w:r>
      <w:r w:rsidRPr="005211DB">
        <w:t xml:space="preserve">.  We conclude that the conditions proposed by Public Knowledge and RTG regarding interoperability, handset exclusivity, early termination fees, and special access and backhaul obligations are not narrowly tailored to remedy any purported harms arising out of this transaction.  In particular, regarding the interoperability issues raised by Public Knowledge and RTG, we note that the Commission has an ongoing rulemaking proceeding to address such issues on an industry-wide basis, and that recent filings in that proceeding </w:t>
      </w:r>
      <w:r w:rsidR="00242C94" w:rsidRPr="005211DB">
        <w:t xml:space="preserve">propose </w:t>
      </w:r>
      <w:r w:rsidRPr="005211DB">
        <w:t xml:space="preserve">a voluntary industry solution </w:t>
      </w:r>
      <w:r w:rsidR="00B83EE3">
        <w:t xml:space="preserve">to implement interoperability </w:t>
      </w:r>
      <w:r w:rsidR="00B83EE3" w:rsidRPr="009C159C">
        <w:t>for all paired spectrum in the lower 700 MHz band</w:t>
      </w:r>
      <w:r w:rsidR="00B83EE3">
        <w:t>.</w:t>
      </w:r>
      <w:r w:rsidR="00B83EE3">
        <w:rPr>
          <w:rStyle w:val="FootnoteReference"/>
        </w:rPr>
        <w:footnoteReference w:id="178"/>
      </w:r>
      <w:r w:rsidRPr="005211DB">
        <w:t xml:space="preserve">  We accordingly will not impose these proposed conditions.</w:t>
      </w:r>
      <w:bookmarkStart w:id="555" w:name="_Toc345093547"/>
      <w:bookmarkStart w:id="556" w:name="_Toc345093922"/>
      <w:bookmarkStart w:id="557" w:name="_Toc328997051"/>
      <w:bookmarkStart w:id="558" w:name="_Toc328997748"/>
      <w:bookmarkStart w:id="559" w:name="_Toc329798725"/>
      <w:bookmarkStart w:id="560" w:name="_Toc329799135"/>
      <w:bookmarkStart w:id="561" w:name="_Toc329799345"/>
      <w:bookmarkStart w:id="562" w:name="_Toc330488344"/>
      <w:bookmarkStart w:id="563" w:name="_Toc330489061"/>
      <w:bookmarkStart w:id="564" w:name="_Toc330565852"/>
      <w:bookmarkStart w:id="565" w:name="_Toc331009477"/>
      <w:bookmarkStart w:id="566" w:name="_Toc331009549"/>
      <w:bookmarkStart w:id="567" w:name="_Toc331440418"/>
      <w:bookmarkStart w:id="568" w:name="_Toc331792635"/>
      <w:bookmarkStart w:id="569" w:name="_Toc332215074"/>
      <w:bookmarkStart w:id="570" w:name="_Toc332220059"/>
      <w:bookmarkStart w:id="571" w:name="_Toc332220204"/>
      <w:bookmarkStart w:id="572" w:name="_Toc332220247"/>
      <w:bookmarkStart w:id="573" w:name="_Toc332220294"/>
      <w:bookmarkStart w:id="574" w:name="_Toc332220393"/>
      <w:bookmarkStart w:id="575" w:name="_Toc332220436"/>
      <w:bookmarkStart w:id="576" w:name="_Toc332220490"/>
      <w:bookmarkStart w:id="577" w:name="_Toc332220571"/>
      <w:bookmarkStart w:id="578" w:name="_Toc332220634"/>
      <w:bookmarkStart w:id="579" w:name="_Toc332220681"/>
      <w:bookmarkStart w:id="580" w:name="_Toc332220726"/>
      <w:bookmarkStart w:id="581" w:name="_Toc332220782"/>
      <w:bookmarkStart w:id="582" w:name="_Toc332220837"/>
      <w:bookmarkStart w:id="583" w:name="_Toc332220989"/>
      <w:bookmarkStart w:id="584" w:name="_Toc332221284"/>
      <w:bookmarkStart w:id="585" w:name="_Toc332300552"/>
      <w:bookmarkStart w:id="586" w:name="_Toc332301098"/>
      <w:bookmarkStart w:id="587" w:name="_Toc332303338"/>
      <w:bookmarkStart w:id="588" w:name="_Toc332392806"/>
      <w:bookmarkStart w:id="589" w:name="_Toc332626597"/>
      <w:bookmarkStart w:id="590" w:name="_Toc332634635"/>
      <w:bookmarkStart w:id="591" w:name="_Toc332744014"/>
      <w:bookmarkStart w:id="592" w:name="_Toc332880484"/>
      <w:bookmarkStart w:id="593" w:name="_Toc332886568"/>
      <w:bookmarkStart w:id="594" w:name="_Toc332888837"/>
      <w:bookmarkStart w:id="595" w:name="_Toc332891438"/>
      <w:bookmarkStart w:id="596" w:name="_Toc333263406"/>
      <w:bookmarkStart w:id="597" w:name="_Toc333330523"/>
      <w:bookmarkStart w:id="598" w:name="_Toc344908331"/>
      <w:bookmarkStart w:id="599" w:name="_Toc344931000"/>
      <w:bookmarkStart w:id="600" w:name="_Toc344970650"/>
      <w:bookmarkStart w:id="601" w:name="_Toc345091255"/>
      <w:bookmarkStart w:id="602" w:name="_Toc345092698"/>
      <w:bookmarkStart w:id="603" w:name="_Toc345093549"/>
      <w:bookmarkStart w:id="604" w:name="_Toc345093924"/>
      <w:bookmarkStart w:id="605" w:name="_Toc345094308"/>
      <w:bookmarkStart w:id="606" w:name="_Toc345436699"/>
      <w:bookmarkStart w:id="607" w:name="_Toc347166634"/>
      <w:bookmarkStart w:id="608" w:name="_Toc348340334"/>
      <w:bookmarkStart w:id="609" w:name="_Toc348371126"/>
      <w:bookmarkStart w:id="610" w:name="_Toc348543629"/>
      <w:bookmarkStart w:id="611" w:name="_Toc348547982"/>
      <w:bookmarkStart w:id="612" w:name="_Toc348565401"/>
      <w:bookmarkStart w:id="613" w:name="_Toc348714699"/>
      <w:bookmarkStart w:id="614" w:name="_Toc349157009"/>
      <w:bookmarkStart w:id="615" w:name="_Toc349170686"/>
      <w:bookmarkStart w:id="616" w:name="_Toc349170743"/>
      <w:bookmarkStart w:id="617" w:name="_Toc349202863"/>
      <w:bookmarkStart w:id="618" w:name="_Toc349259349"/>
      <w:bookmarkStart w:id="619" w:name="_Toc349316347"/>
      <w:bookmarkStart w:id="620" w:name="_Toc349573260"/>
      <w:bookmarkStart w:id="621" w:name="_Toc349741790"/>
      <w:bookmarkStart w:id="622" w:name="_Toc349812417"/>
      <w:bookmarkStart w:id="623" w:name="_Toc349932736"/>
      <w:bookmarkStart w:id="624" w:name="_Toc350432496"/>
      <w:bookmarkStart w:id="625" w:name="_Toc350787851"/>
      <w:bookmarkStart w:id="626" w:name="_Toc366145541"/>
      <w:bookmarkStart w:id="627" w:name="_Toc366145749"/>
      <w:bookmarkStart w:id="628" w:name="_Toc366145865"/>
      <w:bookmarkStart w:id="629" w:name="_Toc366249612"/>
      <w:bookmarkStart w:id="630" w:name="_Toc366758006"/>
      <w:bookmarkStart w:id="631" w:name="_Toc308200424"/>
      <w:bookmarkStart w:id="632" w:name="_Toc308200580"/>
      <w:bookmarkStart w:id="633" w:name="_Toc308203058"/>
      <w:bookmarkStart w:id="634" w:name="_Toc309146324"/>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555"/>
      <w:bookmarkEnd w:id="556"/>
    </w:p>
    <w:p w:rsidR="006035E9" w:rsidRPr="005211DB" w:rsidRDefault="005C0F80" w:rsidP="006035E9">
      <w:pPr>
        <w:pStyle w:val="Heading1"/>
        <w:rPr>
          <w:rFonts w:ascii="Times New Roman" w:hAnsi="Times New Roman"/>
        </w:rPr>
      </w:pPr>
      <w:bookmarkStart w:id="635" w:name="_Toc366856276"/>
      <w:bookmarkStart w:id="636" w:name="_Toc367108931"/>
      <w:bookmarkStart w:id="637" w:name="_Toc367372970"/>
      <w:bookmarkStart w:id="638" w:name="_Toc367440578"/>
      <w:r w:rsidRPr="005211DB">
        <w:rPr>
          <w:rFonts w:ascii="Times New Roman" w:hAnsi="Times New Roman"/>
        </w:rPr>
        <w:t>POTENTIAL PUBLIC INTEREST BENEFITS</w:t>
      </w:r>
      <w:bookmarkEnd w:id="554"/>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947041" w:rsidRPr="005211DB" w:rsidRDefault="00947041" w:rsidP="006035E9">
      <w:pPr>
        <w:pStyle w:val="ParaNum"/>
      </w:pPr>
      <w:r w:rsidRPr="005211DB">
        <w:t xml:space="preserve">After assessing </w:t>
      </w:r>
      <w:bookmarkStart w:id="639" w:name="_Toc331440419"/>
      <w:bookmarkStart w:id="640" w:name="_Toc332215075"/>
      <w:bookmarkStart w:id="641" w:name="_Toc332220060"/>
      <w:bookmarkStart w:id="642" w:name="_Toc332220205"/>
      <w:bookmarkStart w:id="643" w:name="_Toc332220248"/>
      <w:bookmarkStart w:id="644" w:name="_Toc332220295"/>
      <w:bookmarkStart w:id="645" w:name="_Toc332220394"/>
      <w:bookmarkStart w:id="646" w:name="_Toc332220437"/>
      <w:bookmarkStart w:id="647" w:name="_Toc332220491"/>
      <w:bookmarkStart w:id="648" w:name="_Toc332220572"/>
      <w:bookmarkStart w:id="649" w:name="_Toc332220635"/>
      <w:bookmarkStart w:id="650" w:name="_Toc332220682"/>
      <w:bookmarkStart w:id="651" w:name="_Toc332220727"/>
      <w:bookmarkStart w:id="652" w:name="_Toc332220783"/>
      <w:bookmarkStart w:id="653" w:name="_Toc332220838"/>
      <w:bookmarkStart w:id="654" w:name="_Toc332220990"/>
      <w:bookmarkStart w:id="655" w:name="_Toc332221285"/>
      <w:bookmarkStart w:id="656" w:name="_Toc332300553"/>
      <w:bookmarkStart w:id="657" w:name="_Toc332301099"/>
      <w:bookmarkStart w:id="658" w:name="_Toc332303339"/>
      <w:bookmarkStart w:id="659" w:name="_Toc332392807"/>
      <w:bookmarkStart w:id="660" w:name="_Toc332626598"/>
      <w:bookmarkStart w:id="661" w:name="_Toc332634636"/>
      <w:bookmarkStart w:id="662" w:name="_Toc332744015"/>
      <w:bookmarkStart w:id="663" w:name="_Toc332880485"/>
      <w:bookmarkStart w:id="664" w:name="_Toc332886569"/>
      <w:bookmarkStart w:id="665" w:name="_Toc332888838"/>
      <w:bookmarkStart w:id="666" w:name="_Toc332891439"/>
      <w:bookmarkStart w:id="667" w:name="_Toc333263407"/>
      <w:bookmarkStart w:id="668" w:name="_Toc333330524"/>
      <w:bookmarkStart w:id="669" w:name="_Toc344908332"/>
      <w:r w:rsidRPr="005211DB">
        <w:t xml:space="preserve">the potential </w:t>
      </w:r>
      <w:r w:rsidR="009152FA" w:rsidRPr="005211DB">
        <w:t>competitive</w:t>
      </w:r>
      <w:r w:rsidRPr="005211DB">
        <w:t xml:space="preserve"> harms of the proposed transaction, we </w:t>
      </w:r>
      <w:r w:rsidR="00A90DD5" w:rsidRPr="005211DB">
        <w:t xml:space="preserve">next </w:t>
      </w:r>
      <w:r w:rsidRPr="005211DB">
        <w:t xml:space="preserve">consider whether the proposed </w:t>
      </w:r>
      <w:r w:rsidR="004F2470" w:rsidRPr="005211DB">
        <w:t xml:space="preserve">transaction is </w:t>
      </w:r>
      <w:r w:rsidRPr="005211DB">
        <w:t>likely to generate verifiable, transaction-specific public interest benefits</w:t>
      </w:r>
      <w:r w:rsidR="00864BE0" w:rsidRPr="005211DB">
        <w:t xml:space="preserve"> that outweigh any identified competitive harms</w:t>
      </w:r>
      <w:r w:rsidRPr="005211DB">
        <w:t>.</w:t>
      </w:r>
      <w:r w:rsidRPr="005211DB">
        <w:rPr>
          <w:rStyle w:val="FootnoteReference"/>
        </w:rPr>
        <w:footnoteReference w:id="179"/>
      </w:r>
      <w:r w:rsidRPr="005211DB">
        <w:t xml:space="preserve">  As discussed below, we anticipate that the proposed transaction likely would </w:t>
      </w:r>
      <w:r w:rsidR="009152FA" w:rsidRPr="005211DB">
        <w:t xml:space="preserve">facilitate </w:t>
      </w:r>
      <w:r w:rsidRPr="005211DB">
        <w:t>certain transaction-spec</w:t>
      </w:r>
      <w:r w:rsidR="006D32FC" w:rsidRPr="005211DB">
        <w:t>ific public interest benefits</w:t>
      </w:r>
      <w:r w:rsidR="003F5AD9" w:rsidRPr="005211DB">
        <w:t>, but not to the degree that w</w:t>
      </w:r>
      <w:r w:rsidR="00854B6E" w:rsidRPr="005211DB">
        <w:t xml:space="preserve">e </w:t>
      </w:r>
      <w:r w:rsidR="004563E2" w:rsidRPr="005211DB">
        <w:t>can conclude</w:t>
      </w:r>
      <w:r w:rsidR="003F5AD9" w:rsidRPr="005211DB">
        <w:t xml:space="preserve"> </w:t>
      </w:r>
      <w:r w:rsidR="00854B6E" w:rsidRPr="005211DB">
        <w:t xml:space="preserve">that these public interest benefits would likely outweigh the competitive concerns </w:t>
      </w:r>
      <w:r w:rsidR="00A90DD5" w:rsidRPr="005211DB">
        <w:t>identified above</w:t>
      </w:r>
      <w:r w:rsidR="003F5AD9" w:rsidRPr="005211DB">
        <w:t xml:space="preserve">.  </w:t>
      </w:r>
      <w:r w:rsidR="009152FA" w:rsidRPr="005211DB">
        <w:t>We reach our conclusion regarding public interest benefits recognizing that it is difficult for us to precisely quantify either the magnitude of or the time period in which these benefits would be realized.</w:t>
      </w:r>
      <w:r w:rsidR="009152FA" w:rsidRPr="005211DB">
        <w:rPr>
          <w:rStyle w:val="FootnoteReference"/>
        </w:rPr>
        <w:footnoteReference w:id="180"/>
      </w:r>
      <w:r w:rsidR="009152FA" w:rsidRPr="005211DB">
        <w:t xml:space="preserve">  When the transaction-specific public interest benefits are coupled with AT&amp;T’s voluntary commitments with respect to </w:t>
      </w:r>
      <w:r w:rsidR="009C0062" w:rsidRPr="005211DB">
        <w:t xml:space="preserve">buildout, </w:t>
      </w:r>
      <w:r w:rsidR="009152FA" w:rsidRPr="005211DB">
        <w:t>roaming, and customer transition</w:t>
      </w:r>
      <w:r w:rsidR="009D1A48" w:rsidRPr="005211DB">
        <w:t xml:space="preserve"> (as well as the additional information provided by AT&amp;T regarding its </w:t>
      </w:r>
      <w:r w:rsidR="009C0062" w:rsidRPr="005211DB">
        <w:t>customer transition plans</w:t>
      </w:r>
      <w:r w:rsidR="003A4415" w:rsidRPr="005211DB">
        <w:t>)</w:t>
      </w:r>
      <w:r w:rsidR="009152FA" w:rsidRPr="005211DB">
        <w:t xml:space="preserve"> as discussed below, we find that it is in the public interest to approve the proposed transaction.</w:t>
      </w:r>
    </w:p>
    <w:p w:rsidR="00947041" w:rsidRPr="005211DB" w:rsidRDefault="00947041" w:rsidP="00BD79B8">
      <w:pPr>
        <w:pStyle w:val="Heading2"/>
      </w:pPr>
      <w:bookmarkStart w:id="670" w:name="_Toc344931001"/>
      <w:bookmarkStart w:id="671" w:name="_Toc344970651"/>
      <w:bookmarkStart w:id="672" w:name="_Toc345091256"/>
      <w:bookmarkStart w:id="673" w:name="_Toc345092699"/>
      <w:bookmarkStart w:id="674" w:name="_Toc345093550"/>
      <w:bookmarkStart w:id="675" w:name="_Toc345093925"/>
      <w:bookmarkStart w:id="676" w:name="_Toc345094309"/>
      <w:bookmarkStart w:id="677" w:name="_Toc345436700"/>
      <w:bookmarkStart w:id="678" w:name="_Toc347166635"/>
      <w:bookmarkStart w:id="679" w:name="_Toc348340335"/>
      <w:bookmarkStart w:id="680" w:name="_Toc348371127"/>
      <w:bookmarkStart w:id="681" w:name="_Toc348543630"/>
      <w:bookmarkStart w:id="682" w:name="_Toc348547983"/>
      <w:bookmarkStart w:id="683" w:name="_Toc348565402"/>
      <w:bookmarkStart w:id="684" w:name="_Toc349157010"/>
      <w:bookmarkStart w:id="685" w:name="_Toc349170687"/>
      <w:bookmarkStart w:id="686" w:name="_Toc349170744"/>
      <w:bookmarkStart w:id="687" w:name="_Toc349202864"/>
      <w:bookmarkStart w:id="688" w:name="_Toc349259350"/>
      <w:bookmarkStart w:id="689" w:name="_Toc349316348"/>
      <w:bookmarkStart w:id="690" w:name="_Toc349573261"/>
      <w:bookmarkStart w:id="691" w:name="_Toc349741791"/>
      <w:bookmarkStart w:id="692" w:name="_Toc349812418"/>
      <w:bookmarkStart w:id="693" w:name="_Toc349932737"/>
      <w:bookmarkStart w:id="694" w:name="_Toc350432497"/>
      <w:bookmarkStart w:id="695" w:name="_Toc350787852"/>
      <w:bookmarkStart w:id="696" w:name="_Toc367108932"/>
      <w:bookmarkStart w:id="697" w:name="_Toc367372971"/>
      <w:bookmarkStart w:id="698" w:name="_Toc367440579"/>
      <w:bookmarkStart w:id="699" w:name="_Toc366145542"/>
      <w:bookmarkStart w:id="700" w:name="_Toc366145750"/>
      <w:bookmarkStart w:id="701" w:name="_Toc366145866"/>
      <w:bookmarkStart w:id="702" w:name="_Toc366249613"/>
      <w:bookmarkStart w:id="703" w:name="_Toc366758007"/>
      <w:bookmarkStart w:id="704" w:name="_Toc366855796"/>
      <w:bookmarkStart w:id="705" w:name="_Toc366856277"/>
      <w:r w:rsidRPr="005211DB">
        <w:t>Analytical Framework</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sidRPr="005211DB">
        <w:t xml:space="preserve"> </w:t>
      </w:r>
      <w:bookmarkEnd w:id="699"/>
      <w:bookmarkEnd w:id="700"/>
      <w:bookmarkEnd w:id="701"/>
      <w:bookmarkEnd w:id="702"/>
      <w:bookmarkEnd w:id="703"/>
      <w:bookmarkEnd w:id="704"/>
      <w:bookmarkEnd w:id="705"/>
    </w:p>
    <w:p w:rsidR="00947041" w:rsidRPr="005211DB" w:rsidRDefault="00947041" w:rsidP="00947041">
      <w:pPr>
        <w:pStyle w:val="ParaNum"/>
      </w:pPr>
      <w:bookmarkStart w:id="706" w:name="_Toc328670856"/>
      <w:bookmarkStart w:id="707" w:name="_Toc328670857"/>
      <w:bookmarkStart w:id="708" w:name="_Toc328670858"/>
      <w:bookmarkStart w:id="709" w:name="_Toc328670859"/>
      <w:bookmarkStart w:id="710" w:name="_Toc328670860"/>
      <w:bookmarkStart w:id="711" w:name="_Toc328670863"/>
      <w:bookmarkStart w:id="712" w:name="_Toc328670865"/>
      <w:bookmarkStart w:id="713" w:name="_Toc329798728"/>
      <w:bookmarkStart w:id="714" w:name="_Toc329799138"/>
      <w:bookmarkStart w:id="715" w:name="_Toc329799348"/>
      <w:bookmarkStart w:id="716" w:name="_Toc330488349"/>
      <w:bookmarkStart w:id="717" w:name="_Toc330489066"/>
      <w:bookmarkStart w:id="718" w:name="_Toc330565858"/>
      <w:bookmarkStart w:id="719" w:name="_Toc331009484"/>
      <w:bookmarkStart w:id="720" w:name="_Toc331009556"/>
      <w:bookmarkStart w:id="721" w:name="_Toc331440423"/>
      <w:bookmarkStart w:id="722" w:name="_Toc332215077"/>
      <w:bookmarkStart w:id="723" w:name="_Toc332220062"/>
      <w:bookmarkStart w:id="724" w:name="_Toc332220207"/>
      <w:bookmarkStart w:id="725" w:name="_Toc332220250"/>
      <w:bookmarkStart w:id="726" w:name="_Toc332220297"/>
      <w:bookmarkStart w:id="727" w:name="_Toc332220396"/>
      <w:bookmarkStart w:id="728" w:name="_Toc332220439"/>
      <w:bookmarkStart w:id="729" w:name="_Toc332220493"/>
      <w:bookmarkStart w:id="730" w:name="_Toc332220574"/>
      <w:bookmarkStart w:id="731" w:name="_Toc332220637"/>
      <w:bookmarkStart w:id="732" w:name="_Toc332220684"/>
      <w:bookmarkStart w:id="733" w:name="_Toc332220729"/>
      <w:bookmarkStart w:id="734" w:name="_Toc332220785"/>
      <w:bookmarkStart w:id="735" w:name="_Toc332220840"/>
      <w:bookmarkStart w:id="736" w:name="_Toc332220992"/>
      <w:bookmarkStart w:id="737" w:name="_Toc332221287"/>
      <w:bookmarkStart w:id="738" w:name="_Toc332300555"/>
      <w:bookmarkStart w:id="739" w:name="_Toc332301101"/>
      <w:bookmarkStart w:id="740" w:name="_Toc332303341"/>
      <w:bookmarkStart w:id="741" w:name="_Toc332392809"/>
      <w:bookmarkStart w:id="742" w:name="_Toc332626600"/>
      <w:bookmarkStart w:id="743" w:name="_Toc332634638"/>
      <w:bookmarkStart w:id="744" w:name="_Toc332744017"/>
      <w:bookmarkStart w:id="745" w:name="_Toc332880487"/>
      <w:bookmarkStart w:id="746" w:name="_Toc332886571"/>
      <w:bookmarkStart w:id="747" w:name="_Toc332888840"/>
      <w:bookmarkStart w:id="748" w:name="_Toc332891441"/>
      <w:bookmarkStart w:id="749" w:name="_Toc333263409"/>
      <w:bookmarkStart w:id="750" w:name="_Toc333330526"/>
      <w:bookmarkStart w:id="751" w:name="_Toc344908334"/>
      <w:bookmarkStart w:id="752" w:name="_Toc344931002"/>
      <w:bookmarkStart w:id="753" w:name="_Toc344970652"/>
      <w:bookmarkStart w:id="754" w:name="_Toc345091257"/>
      <w:bookmarkEnd w:id="706"/>
      <w:bookmarkEnd w:id="707"/>
      <w:bookmarkEnd w:id="708"/>
      <w:bookmarkEnd w:id="709"/>
      <w:bookmarkEnd w:id="710"/>
      <w:bookmarkEnd w:id="711"/>
      <w:bookmarkEnd w:id="712"/>
      <w:r w:rsidRPr="005211DB">
        <w:t>The Commission has recognized that “[e]fficiencies generated through a merger can mitigate competitive harms if such efficiencies enhance the merged firm’s ability and incentive to compete and therefore result in lower prices, improved quality of service, enhanced service or new products.”</w:t>
      </w:r>
      <w:r w:rsidRPr="005211DB">
        <w:rPr>
          <w:vertAlign w:val="superscript"/>
        </w:rPr>
        <w:footnoteReference w:id="181"/>
      </w:r>
      <w:r w:rsidRPr="005211DB">
        <w:t xml:space="preserve">  Under Commission precedent, the Applicants bear the burden of demonstrating that the potential public interest benefits of the proposed transaction outweigh the potential public interest harms.</w:t>
      </w:r>
      <w:r w:rsidRPr="005211DB">
        <w:rPr>
          <w:vertAlign w:val="superscript"/>
        </w:rPr>
        <w:footnoteReference w:id="182"/>
      </w:r>
    </w:p>
    <w:p w:rsidR="00947041" w:rsidRPr="005211DB" w:rsidRDefault="00947041" w:rsidP="00947041">
      <w:pPr>
        <w:pStyle w:val="ParaNum"/>
      </w:pPr>
      <w:r w:rsidRPr="005211DB">
        <w:t>The Commission applies several criteria in deciding whether a claimed benefit should be considered and weighed against potential harms.</w:t>
      </w:r>
      <w:r w:rsidR="001E3417" w:rsidRPr="005211DB">
        <w:rPr>
          <w:rStyle w:val="FootnoteReference"/>
        </w:rPr>
        <w:footnoteReference w:id="183"/>
      </w:r>
      <w:r w:rsidRPr="005211DB">
        <w:t xml:space="preserve">  First, the claimed benefit must be transaction-specific.</w:t>
      </w:r>
      <w:r w:rsidR="0020567E" w:rsidRPr="005211DB">
        <w:rPr>
          <w:rStyle w:val="FootnoteReference"/>
        </w:rPr>
        <w:footnoteReference w:id="184"/>
      </w:r>
      <w:r w:rsidRPr="005211DB">
        <w:t xml:space="preserve">  Second, the claimed benefit must be verifiable.</w:t>
      </w:r>
      <w:r w:rsidR="0020567E" w:rsidRPr="005211DB">
        <w:rPr>
          <w:vertAlign w:val="superscript"/>
        </w:rPr>
        <w:footnoteReference w:id="185"/>
      </w:r>
      <w:r w:rsidRPr="005211DB">
        <w:t xml:space="preserve">  Because much of the information relating to the potential benefits of a transaction is in the sole possession of the applicants, they are required to provide sufficient evidence supporting each claimed benefit so that the Commission can verify its likelihood and magnitude.  </w:t>
      </w:r>
      <w:r w:rsidR="00925D1D" w:rsidRPr="005211DB">
        <w:t>Third, the Commission has stated that it “will more likely find marginal cost reductions to be cognizable than reductions in fixed cost.”</w:t>
      </w:r>
      <w:r w:rsidR="00925D1D" w:rsidRPr="005211DB">
        <w:rPr>
          <w:rStyle w:val="FootnoteReference"/>
        </w:rPr>
        <w:footnoteReference w:id="186"/>
      </w:r>
      <w:r w:rsidR="00925D1D" w:rsidRPr="005211DB">
        <w:t xml:space="preserve">  The Commission has justified this criterion on the ground that, in general, reductions in marginal cost are more likely to result in lower prices for consumers.</w:t>
      </w:r>
      <w:r w:rsidR="00925D1D" w:rsidRPr="005211DB">
        <w:rPr>
          <w:rStyle w:val="FootnoteReference"/>
        </w:rPr>
        <w:footnoteReference w:id="187"/>
      </w:r>
      <w:r w:rsidR="00925D1D" w:rsidRPr="005211DB">
        <w:t xml:space="preserve">  </w:t>
      </w:r>
      <w:r w:rsidRPr="005211DB">
        <w:t>In addition, “the magnitude of benefits must be calculated net of the cost of achieving them.”</w:t>
      </w:r>
      <w:r w:rsidRPr="005211DB">
        <w:rPr>
          <w:vertAlign w:val="superscript"/>
        </w:rPr>
        <w:footnoteReference w:id="188"/>
      </w:r>
      <w:r w:rsidRPr="005211DB">
        <w:t xml:space="preserve">  </w:t>
      </w:r>
      <w:r w:rsidR="00482DDB" w:rsidRPr="005211DB">
        <w:t>Further, benefits expected to occur only in the distant future may be discounted or dismissed because, among other things, predictions about the distant future are inherently more speculative than predictions that are expected to occur closer to the present.</w:t>
      </w:r>
      <w:r w:rsidR="00482DDB" w:rsidRPr="005211DB">
        <w:rPr>
          <w:vertAlign w:val="superscript"/>
        </w:rPr>
        <w:footnoteReference w:id="189"/>
      </w:r>
      <w:r w:rsidR="00482DDB" w:rsidRPr="005211DB">
        <w:t xml:space="preserve">  </w:t>
      </w:r>
      <w:r w:rsidRPr="005211DB">
        <w:t>Finally, the Commission applies a “sliding scale approach” to evaluating benefit claims.</w:t>
      </w:r>
      <w:r w:rsidRPr="005211DB">
        <w:rPr>
          <w:vertAlign w:val="superscript"/>
        </w:rPr>
        <w:footnoteReference w:id="190"/>
      </w:r>
      <w:r w:rsidRPr="005211DB">
        <w:t xml:space="preserve">  Under this sliding scale approach, where potential harms appear “both substantial and likely, a demonstration of claimed benefits also must reveal a higher degree of magnitude and likelihood than we would otherwise demand.”</w:t>
      </w:r>
      <w:r w:rsidRPr="005211DB">
        <w:rPr>
          <w:vertAlign w:val="superscript"/>
        </w:rPr>
        <w:footnoteReference w:id="191"/>
      </w:r>
      <w:r w:rsidRPr="005211DB">
        <w:t xml:space="preserve">  </w:t>
      </w:r>
    </w:p>
    <w:p w:rsidR="00947041" w:rsidRPr="005211DB" w:rsidRDefault="00DC1F09" w:rsidP="00BD79B8">
      <w:pPr>
        <w:pStyle w:val="Heading2"/>
      </w:pPr>
      <w:bookmarkStart w:id="755" w:name="_Toc366249614"/>
      <w:bookmarkStart w:id="756" w:name="_Toc366758008"/>
      <w:bookmarkStart w:id="757" w:name="_Toc366855797"/>
      <w:bookmarkStart w:id="758" w:name="_Toc366856278"/>
      <w:bookmarkStart w:id="759" w:name="_Toc367108933"/>
      <w:bookmarkStart w:id="760" w:name="_Toc367372972"/>
      <w:bookmarkStart w:id="761" w:name="_Toc367440580"/>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5211DB">
        <w:t>Potential Benefits</w:t>
      </w:r>
      <w:bookmarkEnd w:id="755"/>
      <w:bookmarkEnd w:id="756"/>
      <w:bookmarkEnd w:id="757"/>
      <w:bookmarkEnd w:id="758"/>
      <w:bookmarkEnd w:id="759"/>
      <w:bookmarkEnd w:id="760"/>
      <w:bookmarkEnd w:id="761"/>
    </w:p>
    <w:p w:rsidR="003F2ABF" w:rsidRPr="005211DB" w:rsidRDefault="00D957F5" w:rsidP="00A33198">
      <w:pPr>
        <w:pStyle w:val="ParaNum"/>
      </w:pPr>
      <w:bookmarkStart w:id="762" w:name="_Toc344931003"/>
      <w:bookmarkStart w:id="763" w:name="_Toc344970653"/>
      <w:bookmarkStart w:id="764" w:name="_Toc345091258"/>
      <w:bookmarkStart w:id="765" w:name="_Toc345092701"/>
      <w:bookmarkStart w:id="766" w:name="_Toc345093552"/>
      <w:bookmarkStart w:id="767" w:name="_Toc345093927"/>
      <w:bookmarkStart w:id="768" w:name="_Toc345094311"/>
      <w:bookmarkStart w:id="769" w:name="_Toc345436702"/>
      <w:bookmarkStart w:id="770" w:name="_Toc347166637"/>
      <w:bookmarkStart w:id="771" w:name="_Toc348340337"/>
      <w:bookmarkStart w:id="772" w:name="_Toc348371129"/>
      <w:bookmarkStart w:id="773" w:name="_Toc348543632"/>
      <w:bookmarkStart w:id="774" w:name="_Toc348547985"/>
      <w:bookmarkStart w:id="775" w:name="_Toc348565404"/>
      <w:bookmarkStart w:id="776" w:name="_Toc349157012"/>
      <w:bookmarkStart w:id="777" w:name="_Toc349170689"/>
      <w:bookmarkStart w:id="778" w:name="_Toc349170746"/>
      <w:bookmarkStart w:id="779" w:name="_Toc349202866"/>
      <w:bookmarkStart w:id="780" w:name="_Toc349259352"/>
      <w:bookmarkStart w:id="781" w:name="_Toc349316350"/>
      <w:bookmarkStart w:id="782" w:name="_Toc349573263"/>
      <w:bookmarkStart w:id="783" w:name="_Toc349741793"/>
      <w:bookmarkStart w:id="784" w:name="_Toc349812420"/>
      <w:bookmarkStart w:id="785" w:name="_Toc349932739"/>
      <w:bookmarkStart w:id="786" w:name="_Toc350432499"/>
      <w:bookmarkStart w:id="787" w:name="_Toc350787854"/>
      <w:r w:rsidRPr="005211DB">
        <w:t xml:space="preserve">The Applicants </w:t>
      </w:r>
      <w:r w:rsidR="003C217B" w:rsidRPr="005211DB">
        <w:t>claim</w:t>
      </w:r>
      <w:r w:rsidR="003E3D82" w:rsidRPr="005211DB">
        <w:t xml:space="preserve"> </w:t>
      </w:r>
      <w:r w:rsidR="003F2ABF" w:rsidRPr="005211DB">
        <w:t xml:space="preserve">that </w:t>
      </w:r>
      <w:r w:rsidR="00ED114A" w:rsidRPr="005211DB">
        <w:t>the proposed transaction</w:t>
      </w:r>
      <w:r w:rsidR="003F2ABF" w:rsidRPr="005211DB">
        <w:t xml:space="preserve"> </w:t>
      </w:r>
      <w:r w:rsidR="00666B21" w:rsidRPr="005211DB">
        <w:t xml:space="preserve">would </w:t>
      </w:r>
      <w:r w:rsidR="003F2ABF" w:rsidRPr="005211DB">
        <w:t>benefit the customers of both companie</w:t>
      </w:r>
      <w:r w:rsidRPr="005211DB">
        <w:t>s</w:t>
      </w:r>
      <w:r w:rsidR="00C129B3" w:rsidRPr="005211DB">
        <w:t>.</w:t>
      </w:r>
      <w:r w:rsidR="00C129B3" w:rsidRPr="005211DB">
        <w:rPr>
          <w:rStyle w:val="FootnoteReference"/>
        </w:rPr>
        <w:footnoteReference w:id="192"/>
      </w:r>
      <w:r w:rsidR="00C129B3" w:rsidRPr="005211DB">
        <w:t xml:space="preserve"> </w:t>
      </w:r>
      <w:r w:rsidR="00AC41E8" w:rsidRPr="005211DB">
        <w:t xml:space="preserve"> </w:t>
      </w:r>
      <w:r w:rsidR="00C129B3" w:rsidRPr="005211DB">
        <w:t xml:space="preserve">According to the Applicants, </w:t>
      </w:r>
      <w:r w:rsidR="003F2ABF" w:rsidRPr="005211DB">
        <w:t>Allied customers would gain access to more services and features, experience improved service, and benefit from economies of scale and scope.</w:t>
      </w:r>
      <w:r w:rsidR="003F2ABF" w:rsidRPr="005211DB">
        <w:rPr>
          <w:rStyle w:val="FootnoteReference"/>
        </w:rPr>
        <w:footnoteReference w:id="193"/>
      </w:r>
      <w:r w:rsidR="003F2ABF" w:rsidRPr="005211DB">
        <w:t xml:space="preserve">  </w:t>
      </w:r>
      <w:r w:rsidR="003C217B" w:rsidRPr="005211DB">
        <w:t>The Applicants assert further that Allied faces a number of significant impediments to being able to deploy high-quality 4G service, without which it will struggle to remain competitive.</w:t>
      </w:r>
      <w:r w:rsidR="003C217B" w:rsidRPr="005211DB">
        <w:rPr>
          <w:rStyle w:val="FootnoteReference"/>
        </w:rPr>
        <w:footnoteReference w:id="194"/>
      </w:r>
      <w:r w:rsidR="003C217B" w:rsidRPr="005211DB">
        <w:t xml:space="preserve">  The Applicants also </w:t>
      </w:r>
      <w:r w:rsidR="004E7C62">
        <w:t>claim</w:t>
      </w:r>
      <w:r w:rsidR="004E7C62" w:rsidRPr="005211DB">
        <w:t xml:space="preserve"> </w:t>
      </w:r>
      <w:r w:rsidR="003C217B" w:rsidRPr="005211DB">
        <w:t>that the proposed transaction would extend AT&amp;T’s network coverage in rural areas.</w:t>
      </w:r>
      <w:r w:rsidR="003C217B" w:rsidRPr="005211DB">
        <w:rPr>
          <w:rStyle w:val="FootnoteReference"/>
        </w:rPr>
        <w:footnoteReference w:id="195"/>
      </w:r>
      <w:r w:rsidR="003C217B" w:rsidRPr="005211DB">
        <w:t xml:space="preserve">  </w:t>
      </w:r>
    </w:p>
    <w:p w:rsidR="00947041" w:rsidRPr="005211DB" w:rsidRDefault="003C217B" w:rsidP="00947041">
      <w:pPr>
        <w:pStyle w:val="Heading3"/>
      </w:pPr>
      <w:bookmarkStart w:id="788" w:name="_Toc366758009"/>
      <w:bookmarkStart w:id="789" w:name="_Toc366855798"/>
      <w:bookmarkStart w:id="790" w:name="_Toc366856279"/>
      <w:bookmarkStart w:id="791" w:name="_Toc367108934"/>
      <w:bookmarkStart w:id="792" w:name="_Toc367372973"/>
      <w:bookmarkStart w:id="793" w:name="_Toc367440581"/>
      <w:bookmarkStart w:id="794" w:name="_Toc366145544"/>
      <w:bookmarkStart w:id="795" w:name="_Toc366145752"/>
      <w:bookmarkStart w:id="796" w:name="_Toc366145868"/>
      <w:bookmarkStart w:id="797" w:name="_Toc366249615"/>
      <w:r w:rsidRPr="005211DB">
        <w:t>Deployment of Advanced Broadband Technologies</w:t>
      </w:r>
      <w:bookmarkEnd w:id="788"/>
      <w:bookmarkEnd w:id="789"/>
      <w:bookmarkEnd w:id="790"/>
      <w:bookmarkEnd w:id="791"/>
      <w:bookmarkEnd w:id="792"/>
      <w:bookmarkEnd w:id="793"/>
      <w:r w:rsidRPr="005211DB">
        <w:t xml:space="preserve"> </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94"/>
      <w:bookmarkEnd w:id="795"/>
      <w:bookmarkEnd w:id="796"/>
      <w:bookmarkEnd w:id="797"/>
    </w:p>
    <w:p w:rsidR="00280F66" w:rsidRPr="005211DB" w:rsidRDefault="003C217B" w:rsidP="003C217B">
      <w:pPr>
        <w:pStyle w:val="ParaNum"/>
      </w:pPr>
      <w:bookmarkStart w:id="798" w:name="_Toc349157013"/>
      <w:bookmarkStart w:id="799" w:name="_Toc349170690"/>
      <w:bookmarkStart w:id="800" w:name="_Toc349170747"/>
      <w:bookmarkStart w:id="801" w:name="_Toc349202867"/>
      <w:bookmarkStart w:id="802" w:name="_Toc349259353"/>
      <w:bookmarkStart w:id="803" w:name="_Toc349316351"/>
      <w:bookmarkStart w:id="804" w:name="_Toc349573264"/>
      <w:bookmarkStart w:id="805" w:name="_Toc349741794"/>
      <w:bookmarkStart w:id="806" w:name="_Toc349812421"/>
      <w:bookmarkStart w:id="807" w:name="_Toc349932740"/>
      <w:bookmarkStart w:id="808" w:name="_Toc350432500"/>
      <w:bookmarkStart w:id="809" w:name="_Toc350787855"/>
      <w:r w:rsidRPr="005211DB">
        <w:t xml:space="preserve">The Applicants assert that the proposed transaction would bring advanced </w:t>
      </w:r>
      <w:r w:rsidR="00BB63C0" w:rsidRPr="005211DB">
        <w:t>4G</w:t>
      </w:r>
      <w:r w:rsidRPr="005211DB">
        <w:t xml:space="preserve"> service to more customers than Allied could cover on its own and at a much faster pace.</w:t>
      </w:r>
      <w:r w:rsidRPr="005211DB">
        <w:rPr>
          <w:rStyle w:val="FootnoteReference"/>
        </w:rPr>
        <w:footnoteReference w:id="196"/>
      </w:r>
      <w:r w:rsidRPr="005211DB">
        <w:t xml:space="preserve">  </w:t>
      </w:r>
      <w:r w:rsidR="00280F66" w:rsidRPr="005211DB">
        <w:t xml:space="preserve">The Applicants claim that Allied does not currently have sufficient spectrum to build a </w:t>
      </w:r>
      <w:r w:rsidR="00BB63C0" w:rsidRPr="005211DB">
        <w:t>4G</w:t>
      </w:r>
      <w:r w:rsidR="00280F66" w:rsidRPr="005211DB">
        <w:t xml:space="preserve"> network,</w:t>
      </w:r>
      <w:r w:rsidR="00280F66" w:rsidRPr="005211DB">
        <w:rPr>
          <w:rStyle w:val="FootnoteReference"/>
        </w:rPr>
        <w:footnoteReference w:id="197"/>
      </w:r>
      <w:r w:rsidR="00280F66" w:rsidRPr="005211DB">
        <w:t xml:space="preserve"> and further assert that it has been unable to acquire additional spectrum that would allow for a </w:t>
      </w:r>
      <w:r w:rsidR="00BB63C0" w:rsidRPr="005211DB">
        <w:t>4G</w:t>
      </w:r>
      <w:r w:rsidR="00280F66" w:rsidRPr="005211DB">
        <w:t xml:space="preserve"> upgrade.</w:t>
      </w:r>
      <w:r w:rsidR="00280F66" w:rsidRPr="005211DB">
        <w:rPr>
          <w:rStyle w:val="FootnoteReference"/>
        </w:rPr>
        <w:footnoteReference w:id="198"/>
      </w:r>
      <w:r w:rsidR="00280F66" w:rsidRPr="005211DB">
        <w:t xml:space="preserve">  Moreover, the Applicants allege that even a limited </w:t>
      </w:r>
      <w:r w:rsidR="00BB63C0" w:rsidRPr="005211DB">
        <w:t>4G</w:t>
      </w:r>
      <w:r w:rsidR="00280F66" w:rsidRPr="005211DB">
        <w:t xml:space="preserve"> deployment would require virtually all of Allied’s available spectrum in most markets and thereby degrade the customer experience for its 2G and 3G customers.</w:t>
      </w:r>
      <w:r w:rsidR="00280F66" w:rsidRPr="005211DB">
        <w:rPr>
          <w:rStyle w:val="FootnoteReference"/>
        </w:rPr>
        <w:footnoteReference w:id="199"/>
      </w:r>
    </w:p>
    <w:p w:rsidR="00877B30" w:rsidRPr="005211DB" w:rsidRDefault="003C217B" w:rsidP="003C217B">
      <w:pPr>
        <w:pStyle w:val="ParaNum"/>
      </w:pPr>
      <w:r w:rsidRPr="005211DB">
        <w:t xml:space="preserve">The Applicants maintain that AT&amp;T expects to integrate the networks and transition Allied’s customers to its </w:t>
      </w:r>
      <w:r w:rsidR="00BB63C0" w:rsidRPr="005211DB">
        <w:t>4G</w:t>
      </w:r>
      <w:r w:rsidRPr="005211DB">
        <w:t xml:space="preserve"> network.</w:t>
      </w:r>
      <w:r w:rsidRPr="005211DB">
        <w:rPr>
          <w:rStyle w:val="FootnoteReference"/>
        </w:rPr>
        <w:footnoteReference w:id="200"/>
      </w:r>
      <w:r w:rsidRPr="005211DB">
        <w:t xml:space="preserve">  In seven of these CMAs, AT&amp;T currently holds 12 megahertz of Lower 700 MHz Band B or C Block spectrum with an initial LTE deployment of 5x5 megahertz.</w:t>
      </w:r>
      <w:r w:rsidRPr="005211DB">
        <w:rPr>
          <w:rStyle w:val="FootnoteReference"/>
        </w:rPr>
        <w:footnoteReference w:id="201"/>
      </w:r>
      <w:r w:rsidRPr="005211DB">
        <w:t xml:space="preserve">  In these seven markets, AT&amp;T claims that the additional spectrum will not only allow it to deploy LTE with a 10x10 megahertz configuration,</w:t>
      </w:r>
      <w:r w:rsidRPr="005211DB">
        <w:rPr>
          <w:rStyle w:val="FootnoteReference"/>
        </w:rPr>
        <w:footnoteReference w:id="202"/>
      </w:r>
      <w:r w:rsidRPr="005211DB">
        <w:t xml:space="preserve"> but that its LTE handsets will support service in the Lower 700 MHz Band frequencies to be transferred from Allied to AT&amp;T.</w:t>
      </w:r>
      <w:r w:rsidRPr="005211DB">
        <w:rPr>
          <w:rStyle w:val="FootnoteReference"/>
        </w:rPr>
        <w:footnoteReference w:id="203"/>
      </w:r>
      <w:r w:rsidRPr="005211DB">
        <w:t xml:space="preserve">  </w:t>
      </w:r>
      <w:r w:rsidR="00877B30" w:rsidRPr="005211DB">
        <w:t>Moreover, AT&amp;T represents that it can integrate the Allied 700 MHz spectrum in these seven markets where it already has 700 MHz operations within 60 to 90 days of the closing of the proposed transaction.</w:t>
      </w:r>
      <w:r w:rsidR="00877B30" w:rsidRPr="005211DB">
        <w:rPr>
          <w:rStyle w:val="FootnoteReference"/>
        </w:rPr>
        <w:footnoteReference w:id="204"/>
      </w:r>
    </w:p>
    <w:p w:rsidR="003F2ABF" w:rsidRPr="005211DB" w:rsidRDefault="00877B30" w:rsidP="001032D5">
      <w:pPr>
        <w:pStyle w:val="ParaNum"/>
      </w:pPr>
      <w:r w:rsidRPr="005211DB">
        <w:t xml:space="preserve">AT&amp;T asserts that it plans to deploy 4G HSPA+ on </w:t>
      </w:r>
      <w:r w:rsidR="001032D5" w:rsidRPr="001032D5">
        <w:rPr>
          <w:b/>
        </w:rPr>
        <w:t>[REDACTED]</w:t>
      </w:r>
      <w:r w:rsidRPr="005211DB">
        <w:t xml:space="preserve"> sites in the integrated network in Allied’s territory.</w:t>
      </w:r>
      <w:r w:rsidRPr="005211DB">
        <w:rPr>
          <w:rStyle w:val="FootnoteReference"/>
        </w:rPr>
        <w:footnoteReference w:id="205"/>
      </w:r>
      <w:r w:rsidRPr="005211DB">
        <w:t xml:space="preserve">  </w:t>
      </w:r>
      <w:r w:rsidR="003C217B" w:rsidRPr="005211DB">
        <w:t xml:space="preserve">AT&amp;T estimates that it will incorporate </w:t>
      </w:r>
      <w:r w:rsidR="001032D5" w:rsidRPr="001032D5">
        <w:rPr>
          <w:b/>
        </w:rPr>
        <w:t>[REDACTED]</w:t>
      </w:r>
      <w:r w:rsidR="003C217B" w:rsidRPr="005211DB">
        <w:t xml:space="preserve"> of Allied’s cell sites into AT&amp;T’s network,</w:t>
      </w:r>
      <w:r w:rsidR="003C217B" w:rsidRPr="005211DB">
        <w:rPr>
          <w:rStyle w:val="FootnoteReference"/>
        </w:rPr>
        <w:footnoteReference w:id="206"/>
      </w:r>
      <w:r w:rsidR="003C217B" w:rsidRPr="005211DB">
        <w:t xml:space="preserve"> and it asserts that it plans to deploy LTE </w:t>
      </w:r>
      <w:r w:rsidR="001248AC">
        <w:t xml:space="preserve">on </w:t>
      </w:r>
      <w:r w:rsidR="001032D5" w:rsidRPr="001032D5">
        <w:rPr>
          <w:b/>
        </w:rPr>
        <w:t>[REDACTED]</w:t>
      </w:r>
      <w:r w:rsidR="003C217B" w:rsidRPr="005211DB">
        <w:t xml:space="preserve"> of these sites.</w:t>
      </w:r>
      <w:r w:rsidR="003C217B" w:rsidRPr="005211DB">
        <w:rPr>
          <w:rStyle w:val="FootnoteReference"/>
        </w:rPr>
        <w:footnoteReference w:id="207"/>
      </w:r>
      <w:r w:rsidR="00280F66" w:rsidRPr="005211DB">
        <w:t xml:space="preserve">  </w:t>
      </w:r>
    </w:p>
    <w:p w:rsidR="0059059D" w:rsidRPr="005211DB" w:rsidRDefault="003C217B" w:rsidP="006035E9">
      <w:pPr>
        <w:pStyle w:val="Heading3"/>
      </w:pPr>
      <w:bookmarkStart w:id="810" w:name="_Toc366758010"/>
      <w:bookmarkStart w:id="811" w:name="_Toc366855799"/>
      <w:bookmarkStart w:id="812" w:name="_Toc366856280"/>
      <w:bookmarkStart w:id="813" w:name="_Toc367108935"/>
      <w:bookmarkStart w:id="814" w:name="_Toc367372974"/>
      <w:bookmarkStart w:id="815" w:name="_Toc367440582"/>
      <w:bookmarkEnd w:id="798"/>
      <w:bookmarkEnd w:id="799"/>
      <w:bookmarkEnd w:id="800"/>
      <w:bookmarkEnd w:id="801"/>
      <w:bookmarkEnd w:id="802"/>
      <w:bookmarkEnd w:id="803"/>
      <w:bookmarkEnd w:id="804"/>
      <w:bookmarkEnd w:id="805"/>
      <w:bookmarkEnd w:id="806"/>
      <w:bookmarkEnd w:id="807"/>
      <w:bookmarkEnd w:id="808"/>
      <w:bookmarkEnd w:id="809"/>
      <w:r w:rsidRPr="005211DB">
        <w:t>Expanded and Improved Services and Features</w:t>
      </w:r>
      <w:bookmarkEnd w:id="810"/>
      <w:bookmarkEnd w:id="811"/>
      <w:bookmarkEnd w:id="812"/>
      <w:bookmarkEnd w:id="813"/>
      <w:bookmarkEnd w:id="814"/>
      <w:bookmarkEnd w:id="815"/>
    </w:p>
    <w:p w:rsidR="00FA7887" w:rsidRPr="005211DB" w:rsidRDefault="0059059D" w:rsidP="003F2ABF">
      <w:pPr>
        <w:pStyle w:val="ParaNum"/>
      </w:pPr>
      <w:r w:rsidRPr="005211DB">
        <w:t xml:space="preserve">According to the Applicants, post-transaction, Allied’s customers would gain access </w:t>
      </w:r>
      <w:r w:rsidR="00C2655F" w:rsidRPr="005211DB">
        <w:t xml:space="preserve">to </w:t>
      </w:r>
      <w:r w:rsidRPr="005211DB">
        <w:t>a range of services available on AT&amp;T’s network</w:t>
      </w:r>
      <w:r w:rsidR="003861DF" w:rsidRPr="005211DB">
        <w:t>,</w:t>
      </w:r>
      <w:r w:rsidRPr="005211DB">
        <w:rPr>
          <w:rStyle w:val="FootnoteReference"/>
        </w:rPr>
        <w:footnoteReference w:id="208"/>
      </w:r>
      <w:r w:rsidR="003861DF" w:rsidRPr="005211DB">
        <w:t xml:space="preserve"> with the result that the proposed transaction would result in better service and a better customer experience for these customers.</w:t>
      </w:r>
      <w:r w:rsidR="003861DF" w:rsidRPr="005211DB">
        <w:rPr>
          <w:rStyle w:val="FootnoteReference"/>
        </w:rPr>
        <w:footnoteReference w:id="209"/>
      </w:r>
      <w:r w:rsidRPr="005211DB">
        <w:t xml:space="preserve">  Among other things, the Applicants claim, Allied’s customers would have access to a wider variety of rate plans and a more robust set of data services.</w:t>
      </w:r>
      <w:r w:rsidRPr="005211DB">
        <w:rPr>
          <w:rStyle w:val="FootnoteReference"/>
        </w:rPr>
        <w:footnoteReference w:id="210"/>
      </w:r>
      <w:r w:rsidRPr="005211DB">
        <w:t xml:space="preserve">  This access also would include the ability to make and receive calls in more than 225 countries, access data services in more than 200 countries, and use nearly 190,000 WiFi hot spots globally.</w:t>
      </w:r>
      <w:r w:rsidRPr="005211DB">
        <w:rPr>
          <w:rStyle w:val="FootnoteReference"/>
        </w:rPr>
        <w:footnoteReference w:id="211"/>
      </w:r>
      <w:r w:rsidRPr="005211DB">
        <w:t xml:space="preserve">  </w:t>
      </w:r>
      <w:r w:rsidR="00322E44" w:rsidRPr="005211DB">
        <w:t>The Applicants also indicate that the proposed transaction would benefit Allied customers in AT&amp;T’s wireline service areas by allowing them to receive wireline/wireless bundle discounts.</w:t>
      </w:r>
      <w:r w:rsidR="00322E44" w:rsidRPr="005211DB">
        <w:rPr>
          <w:rStyle w:val="FootnoteReference"/>
        </w:rPr>
        <w:footnoteReference w:id="212"/>
      </w:r>
    </w:p>
    <w:p w:rsidR="00C2655F" w:rsidRPr="005211DB" w:rsidRDefault="00C2655F" w:rsidP="003F2ABF">
      <w:pPr>
        <w:pStyle w:val="ParaNum"/>
      </w:pPr>
      <w:r w:rsidRPr="005211DB">
        <w:t>In contrast, according to the Applicants and as explained above, Allied currently operates ten noncontiguous “island properties,”</w:t>
      </w:r>
      <w:r w:rsidRPr="005211DB">
        <w:rPr>
          <w:rStyle w:val="FootnoteReference"/>
        </w:rPr>
        <w:footnoteReference w:id="213"/>
      </w:r>
      <w:r w:rsidRPr="005211DB">
        <w:t xml:space="preserve"> and further, 78 percent of Allied’s subscribers reside in a county that is on the border of Allied’s licensed areas.</w:t>
      </w:r>
      <w:r w:rsidRPr="005211DB">
        <w:rPr>
          <w:rStyle w:val="FootnoteReference"/>
        </w:rPr>
        <w:footnoteReference w:id="214"/>
      </w:r>
      <w:r w:rsidRPr="005211DB">
        <w:t xml:space="preserve">  Because of this, the Applicants claim that many of Allied’s customers experience degraded service due to, </w:t>
      </w:r>
      <w:r w:rsidRPr="005211DB">
        <w:rPr>
          <w:i/>
        </w:rPr>
        <w:t>e.g.</w:t>
      </w:r>
      <w:r w:rsidRPr="005211DB">
        <w:t>, dropped calls and signal loss,</w:t>
      </w:r>
      <w:r w:rsidRPr="005211DB">
        <w:rPr>
          <w:rStyle w:val="FootnoteReference"/>
        </w:rPr>
        <w:footnoteReference w:id="215"/>
      </w:r>
      <w:r w:rsidRPr="005211DB">
        <w:t xml:space="preserve"> and ATN has had limited success in remedying this situation.</w:t>
      </w:r>
      <w:r w:rsidRPr="005211DB">
        <w:rPr>
          <w:rStyle w:val="FootnoteReference"/>
        </w:rPr>
        <w:footnoteReference w:id="216"/>
      </w:r>
      <w:r w:rsidRPr="005211DB">
        <w:t xml:space="preserve">  </w:t>
      </w:r>
    </w:p>
    <w:p w:rsidR="00947041" w:rsidRPr="005211DB" w:rsidRDefault="00AC0ACD" w:rsidP="00947041">
      <w:pPr>
        <w:pStyle w:val="Heading3"/>
      </w:pPr>
      <w:bookmarkStart w:id="816" w:name="_Toc366145546"/>
      <w:bookmarkStart w:id="817" w:name="_Toc366145754"/>
      <w:bookmarkStart w:id="818" w:name="_Toc366145870"/>
      <w:bookmarkStart w:id="819" w:name="_Toc366249617"/>
      <w:bookmarkStart w:id="820" w:name="_Toc366758011"/>
      <w:bookmarkStart w:id="821" w:name="_Toc366855800"/>
      <w:bookmarkStart w:id="822" w:name="_Toc366856281"/>
      <w:bookmarkStart w:id="823" w:name="_Toc367108936"/>
      <w:bookmarkStart w:id="824" w:name="_Toc367372975"/>
      <w:bookmarkStart w:id="825" w:name="_Toc367440583"/>
      <w:r w:rsidRPr="005211DB">
        <w:t>Cost Savings</w:t>
      </w:r>
      <w:bookmarkEnd w:id="816"/>
      <w:bookmarkEnd w:id="817"/>
      <w:bookmarkEnd w:id="818"/>
      <w:bookmarkEnd w:id="819"/>
      <w:bookmarkEnd w:id="820"/>
      <w:bookmarkEnd w:id="821"/>
      <w:bookmarkEnd w:id="822"/>
      <w:bookmarkEnd w:id="823"/>
      <w:bookmarkEnd w:id="824"/>
      <w:bookmarkEnd w:id="825"/>
    </w:p>
    <w:p w:rsidR="001D16D0" w:rsidRDefault="00D86425" w:rsidP="00BD79B8">
      <w:pPr>
        <w:pStyle w:val="ParaNum"/>
      </w:pPr>
      <w:bookmarkStart w:id="826" w:name="_Toc349157015"/>
      <w:bookmarkStart w:id="827" w:name="_Toc349170692"/>
      <w:bookmarkStart w:id="828" w:name="_Toc349170749"/>
      <w:bookmarkStart w:id="829" w:name="_Toc349202869"/>
      <w:bookmarkStart w:id="830" w:name="_Toc349259355"/>
      <w:bookmarkStart w:id="831" w:name="_Toc349316353"/>
      <w:bookmarkStart w:id="832" w:name="_Toc349573266"/>
      <w:bookmarkStart w:id="833" w:name="_Toc349741796"/>
      <w:bookmarkStart w:id="834" w:name="_Toc349812423"/>
      <w:bookmarkStart w:id="835" w:name="_Toc349932742"/>
      <w:bookmarkStart w:id="836" w:name="_Toc350432502"/>
      <w:bookmarkStart w:id="837" w:name="_Toc350787857"/>
      <w:r w:rsidRPr="005211DB">
        <w:t>According to t</w:t>
      </w:r>
      <w:r w:rsidR="003F2ABF" w:rsidRPr="005211DB">
        <w:t>he Applicants</w:t>
      </w:r>
      <w:r w:rsidRPr="005211DB">
        <w:t xml:space="preserve">, </w:t>
      </w:r>
      <w:r w:rsidR="003F2ABF" w:rsidRPr="005211DB">
        <w:t xml:space="preserve">the proposed transaction would yield </w:t>
      </w:r>
      <w:r w:rsidR="00CD500E" w:rsidRPr="005211DB">
        <w:t xml:space="preserve">substantial </w:t>
      </w:r>
      <w:r w:rsidR="003F2ABF" w:rsidRPr="005211DB">
        <w:t xml:space="preserve">cost savings due to, among other things, </w:t>
      </w:r>
      <w:r w:rsidR="00CD500E" w:rsidRPr="005211DB">
        <w:t xml:space="preserve">“reduced per-subscriber costs of acquiring customers, the reduction of general and administrative costs, the consolidation of cell sites, the reduction of network operating </w:t>
      </w:r>
    </w:p>
    <w:p w:rsidR="001D16D0" w:rsidRDefault="001D16D0">
      <w:r>
        <w:br w:type="page"/>
      </w:r>
    </w:p>
    <w:p w:rsidR="003F2ABF" w:rsidRPr="005211DB" w:rsidRDefault="00CD500E" w:rsidP="001D16D0">
      <w:pPr>
        <w:pStyle w:val="ParaNum"/>
        <w:numPr>
          <w:ilvl w:val="0"/>
          <w:numId w:val="0"/>
        </w:numPr>
      </w:pPr>
      <w:r w:rsidRPr="005211DB">
        <w:t>expenses, and the consolidation of customer billing functions.”</w:t>
      </w:r>
      <w:r w:rsidR="003F2ABF" w:rsidRPr="005211DB">
        <w:rPr>
          <w:rStyle w:val="FootnoteReference"/>
        </w:rPr>
        <w:footnoteReference w:id="217"/>
      </w:r>
      <w:r w:rsidR="003F2ABF" w:rsidRPr="005211DB">
        <w:t xml:space="preserve"> </w:t>
      </w:r>
      <w:r w:rsidR="004563E2" w:rsidRPr="005211DB">
        <w:t xml:space="preserve"> </w:t>
      </w:r>
      <w:r w:rsidR="00CB0445" w:rsidRPr="005211DB">
        <w:t>T</w:t>
      </w:r>
      <w:r w:rsidR="003F2ABF" w:rsidRPr="005211DB">
        <w:t xml:space="preserve">he Applicants </w:t>
      </w:r>
      <w:r w:rsidR="005060A0" w:rsidRPr="005211DB">
        <w:t>assert that</w:t>
      </w:r>
      <w:r w:rsidR="003F2ABF" w:rsidRPr="005211DB">
        <w:t xml:space="preserve"> AT&amp;T expects to save costs through decommissioning </w:t>
      </w:r>
      <w:r w:rsidR="0017012B" w:rsidRPr="005211DB">
        <w:t xml:space="preserve">redundant </w:t>
      </w:r>
      <w:r w:rsidR="00CB0445" w:rsidRPr="005211DB">
        <w:t xml:space="preserve">Allied </w:t>
      </w:r>
      <w:r w:rsidR="003F2ABF" w:rsidRPr="005211DB">
        <w:t>sites.</w:t>
      </w:r>
      <w:r w:rsidR="003F2ABF" w:rsidRPr="005211DB">
        <w:rPr>
          <w:rStyle w:val="FootnoteReference"/>
        </w:rPr>
        <w:footnoteReference w:id="218"/>
      </w:r>
      <w:r w:rsidR="003F2ABF" w:rsidRPr="005211DB">
        <w:t xml:space="preserve">  </w:t>
      </w:r>
      <w:r w:rsidR="00A33198" w:rsidRPr="005211DB">
        <w:t xml:space="preserve">AT&amp;T expects </w:t>
      </w:r>
      <w:r w:rsidR="0017012B" w:rsidRPr="005211DB">
        <w:t>to decommission</w:t>
      </w:r>
      <w:r w:rsidR="00A33198" w:rsidRPr="005211DB">
        <w:t xml:space="preserve"> </w:t>
      </w:r>
      <w:r w:rsidR="001032D5" w:rsidRPr="001032D5">
        <w:rPr>
          <w:b/>
        </w:rPr>
        <w:t>[REDACTED]</w:t>
      </w:r>
      <w:r w:rsidR="00A33198" w:rsidRPr="005211DB">
        <w:t>.</w:t>
      </w:r>
      <w:r w:rsidR="00A33198" w:rsidRPr="005211DB">
        <w:rPr>
          <w:rStyle w:val="FootnoteReference"/>
        </w:rPr>
        <w:footnoteReference w:id="219"/>
      </w:r>
      <w:r w:rsidR="004839CB" w:rsidRPr="005211DB">
        <w:t xml:space="preserve">  Further, </w:t>
      </w:r>
      <w:r w:rsidR="003F2ABF" w:rsidRPr="005211DB">
        <w:t xml:space="preserve">AT&amp;T </w:t>
      </w:r>
      <w:r w:rsidR="00DF77EC" w:rsidRPr="005211DB">
        <w:t xml:space="preserve">anticipates </w:t>
      </w:r>
      <w:r w:rsidR="003F2ABF" w:rsidRPr="005211DB">
        <w:t>achiev</w:t>
      </w:r>
      <w:r w:rsidR="00DF77EC" w:rsidRPr="005211DB">
        <w:t>ing</w:t>
      </w:r>
      <w:r w:rsidR="003F2ABF" w:rsidRPr="005211DB">
        <w:t xml:space="preserve"> net operational synergies of </w:t>
      </w:r>
      <w:r w:rsidR="001032D5" w:rsidRPr="001032D5">
        <w:rPr>
          <w:b/>
        </w:rPr>
        <w:t>[REDACTED]</w:t>
      </w:r>
      <w:r w:rsidR="003F2ABF" w:rsidRPr="005211DB">
        <w:t>.</w:t>
      </w:r>
      <w:r w:rsidR="003F2ABF" w:rsidRPr="005211DB">
        <w:rPr>
          <w:rStyle w:val="FootnoteReference"/>
        </w:rPr>
        <w:footnoteReference w:id="220"/>
      </w:r>
      <w:r w:rsidR="003F2ABF" w:rsidRPr="005211DB">
        <w:t xml:space="preserve">  AT&amp;T also </w:t>
      </w:r>
      <w:r w:rsidR="00CB0445" w:rsidRPr="005211DB">
        <w:t xml:space="preserve">claims </w:t>
      </w:r>
      <w:r w:rsidR="003F2ABF" w:rsidRPr="005211DB">
        <w:t xml:space="preserve">that sales and marketing expenses would be reduced by </w:t>
      </w:r>
      <w:r w:rsidR="001032D5" w:rsidRPr="001032D5">
        <w:rPr>
          <w:b/>
        </w:rPr>
        <w:t>[REDACTED]</w:t>
      </w:r>
      <w:r w:rsidR="003F2ABF" w:rsidRPr="005211DB">
        <w:t>.</w:t>
      </w:r>
      <w:r w:rsidR="003F2ABF" w:rsidRPr="005211DB">
        <w:rPr>
          <w:rStyle w:val="FootnoteReference"/>
        </w:rPr>
        <w:footnoteReference w:id="221"/>
      </w:r>
      <w:r w:rsidR="003F2ABF" w:rsidRPr="005211DB">
        <w:t xml:space="preserve">  </w:t>
      </w:r>
      <w:r w:rsidR="00CB0445" w:rsidRPr="005211DB">
        <w:t>Finally, the Applicants assert that roaming costs will decline sharply as a result of the transaction.</w:t>
      </w:r>
      <w:r w:rsidR="00CB0445" w:rsidRPr="005211DB">
        <w:rPr>
          <w:rStyle w:val="FootnoteReference"/>
        </w:rPr>
        <w:footnoteReference w:id="222"/>
      </w:r>
      <w:r w:rsidR="00CB0445" w:rsidRPr="005211DB">
        <w:t xml:space="preserve">  </w:t>
      </w:r>
      <w:r w:rsidR="00DF77EC" w:rsidRPr="005211DB">
        <w:t>The Applicants allege that these savings will benefit subscribers.</w:t>
      </w:r>
      <w:r w:rsidR="00DF77EC" w:rsidRPr="005211DB">
        <w:rPr>
          <w:rStyle w:val="FootnoteReference"/>
        </w:rPr>
        <w:footnoteReference w:id="223"/>
      </w:r>
    </w:p>
    <w:p w:rsidR="00C2655F" w:rsidRPr="005211DB" w:rsidRDefault="00C2655F" w:rsidP="00C2655F">
      <w:pPr>
        <w:pStyle w:val="ParaNum"/>
      </w:pPr>
      <w:r w:rsidRPr="005211DB">
        <w:t xml:space="preserve">The Applicants claim that Allied’s </w:t>
      </w:r>
      <w:r w:rsidR="003A4415" w:rsidRPr="005211DB">
        <w:t>“</w:t>
      </w:r>
      <w:r w:rsidRPr="005211DB">
        <w:t>island properties</w:t>
      </w:r>
      <w:r w:rsidR="003A4415" w:rsidRPr="005211DB">
        <w:t>”</w:t>
      </w:r>
      <w:r w:rsidRPr="005211DB">
        <w:t xml:space="preserve"> have led to inefficiencies and higher expenses in a number of different operational areas, including switching and interconnection infrastructure, redundant field network and sales expenses, and advertising.</w:t>
      </w:r>
      <w:r w:rsidRPr="005211DB">
        <w:rPr>
          <w:rStyle w:val="FootnoteReference"/>
        </w:rPr>
        <w:footnoteReference w:id="224"/>
      </w:r>
      <w:r w:rsidRPr="005211DB">
        <w:t xml:space="preserve">  Further, the Applicants note that Allied incurs unusually high roaming expenses because customers spend significantly more time off-network than customers on more contiguous networks; this situation is exacerbated, according to the Applicants, by the rapidly increasing rate of mobile broadband usage.</w:t>
      </w:r>
      <w:r w:rsidRPr="005211DB">
        <w:rPr>
          <w:rStyle w:val="FootnoteReference"/>
        </w:rPr>
        <w:footnoteReference w:id="225"/>
      </w:r>
    </w:p>
    <w:p w:rsidR="005F32BE" w:rsidRPr="005211DB" w:rsidRDefault="005F32BE" w:rsidP="00943799">
      <w:pPr>
        <w:pStyle w:val="Heading3"/>
      </w:pPr>
      <w:bookmarkStart w:id="838" w:name="_Toc366758012"/>
      <w:bookmarkStart w:id="839" w:name="_Toc366855801"/>
      <w:bookmarkStart w:id="840" w:name="_Toc366856282"/>
      <w:bookmarkStart w:id="841" w:name="_Toc367108937"/>
      <w:bookmarkStart w:id="842" w:name="_Toc367372976"/>
      <w:bookmarkStart w:id="843" w:name="_Toc367440584"/>
      <w:r w:rsidRPr="005211DB">
        <w:t>Benefits to AT&amp;T’s Customers</w:t>
      </w:r>
      <w:bookmarkEnd w:id="838"/>
      <w:bookmarkEnd w:id="839"/>
      <w:bookmarkEnd w:id="840"/>
      <w:bookmarkEnd w:id="841"/>
      <w:bookmarkEnd w:id="842"/>
      <w:bookmarkEnd w:id="843"/>
    </w:p>
    <w:p w:rsidR="001D16D0" w:rsidRDefault="005F32BE" w:rsidP="00943799">
      <w:pPr>
        <w:pStyle w:val="ParaNum"/>
      </w:pPr>
      <w:r w:rsidRPr="005211DB">
        <w:t>The Applicants assert that not only will Allied’s customers benefit from the proposed transaction, but so will AT&amp;T’s customers.</w:t>
      </w:r>
      <w:r w:rsidRPr="005211DB">
        <w:rPr>
          <w:rStyle w:val="FootnoteReference"/>
        </w:rPr>
        <w:footnoteReference w:id="226"/>
      </w:r>
      <w:r w:rsidRPr="005211DB">
        <w:t xml:space="preserve">  The Applicants allege that AT&amp;T has limited coverage in many of the areas now served by Allied.</w:t>
      </w:r>
      <w:r w:rsidRPr="005211DB">
        <w:rPr>
          <w:rStyle w:val="FootnoteReference"/>
        </w:rPr>
        <w:footnoteReference w:id="227"/>
      </w:r>
      <w:r w:rsidRPr="005211DB">
        <w:t xml:space="preserve">  The Applicants </w:t>
      </w:r>
      <w:r w:rsidR="00943A0E" w:rsidRPr="005211DB">
        <w:t>represent very generally</w:t>
      </w:r>
      <w:r w:rsidR="00317208" w:rsidRPr="005211DB">
        <w:t xml:space="preserve"> </w:t>
      </w:r>
      <w:r w:rsidRPr="005211DB">
        <w:t>that the integration of the two networks will broaden and deepen coverage</w:t>
      </w:r>
      <w:r w:rsidR="007E2032" w:rsidRPr="005211DB">
        <w:t xml:space="preserve">, increase capacity in areas where the networks overlap and </w:t>
      </w:r>
      <w:r w:rsidR="00317208" w:rsidRPr="005211DB">
        <w:t xml:space="preserve">AT&amp;T integrates complementary Allied cell sites, and expand the availability of 4G network </w:t>
      </w:r>
    </w:p>
    <w:p w:rsidR="001D16D0" w:rsidRDefault="001D16D0">
      <w:r>
        <w:br w:type="page"/>
      </w:r>
    </w:p>
    <w:p w:rsidR="005F32BE" w:rsidRPr="005211DB" w:rsidRDefault="00317208" w:rsidP="001D16D0">
      <w:pPr>
        <w:pStyle w:val="ParaNum"/>
        <w:numPr>
          <w:ilvl w:val="0"/>
          <w:numId w:val="0"/>
        </w:numPr>
      </w:pPr>
      <w:r w:rsidRPr="005211DB">
        <w:t xml:space="preserve">coverage, all of which </w:t>
      </w:r>
      <w:r w:rsidR="00165911" w:rsidRPr="005211DB">
        <w:t xml:space="preserve">would </w:t>
      </w:r>
      <w:r w:rsidRPr="005211DB">
        <w:t>lead to a better customer experience for the customers of AT&amp;T and Allied</w:t>
      </w:r>
      <w:r w:rsidR="00165911" w:rsidRPr="005211DB">
        <w:t>, particularly in rural areas</w:t>
      </w:r>
      <w:r w:rsidRPr="005211DB">
        <w:t>.</w:t>
      </w:r>
      <w:r w:rsidRPr="005211DB">
        <w:rPr>
          <w:rStyle w:val="FootnoteReference"/>
        </w:rPr>
        <w:footnoteReference w:id="228"/>
      </w:r>
    </w:p>
    <w:p w:rsidR="00D41C5F" w:rsidRPr="005211DB" w:rsidRDefault="00D41C5F" w:rsidP="000753D2">
      <w:pPr>
        <w:pStyle w:val="Heading3"/>
      </w:pPr>
      <w:bookmarkStart w:id="844" w:name="_Toc366855802"/>
      <w:bookmarkStart w:id="845" w:name="_Toc366856283"/>
      <w:bookmarkStart w:id="846" w:name="_Toc367108938"/>
      <w:bookmarkStart w:id="847" w:name="_Toc367372977"/>
      <w:bookmarkStart w:id="848" w:name="_Toc367440585"/>
      <w:r w:rsidRPr="005211DB">
        <w:t>Customer Transition Plans</w:t>
      </w:r>
      <w:bookmarkEnd w:id="844"/>
      <w:bookmarkEnd w:id="845"/>
      <w:bookmarkEnd w:id="846"/>
      <w:bookmarkEnd w:id="847"/>
      <w:bookmarkEnd w:id="848"/>
    </w:p>
    <w:p w:rsidR="00134EAA" w:rsidRPr="005211DB" w:rsidRDefault="001A400B" w:rsidP="00D41C5F">
      <w:pPr>
        <w:pStyle w:val="ParaNum"/>
      </w:pPr>
      <w:r w:rsidRPr="005211DB">
        <w:t xml:space="preserve">With regard to customer transition, AT&amp;T’s original </w:t>
      </w:r>
      <w:r w:rsidR="00134EAA" w:rsidRPr="005211DB">
        <w:t xml:space="preserve">statements – in the Public Interest Statement – were </w:t>
      </w:r>
      <w:r w:rsidRPr="005211DB">
        <w:t xml:space="preserve">limited only to general representations, </w:t>
      </w:r>
      <w:r w:rsidRPr="005211DB">
        <w:rPr>
          <w:i/>
        </w:rPr>
        <w:t>e.g.,</w:t>
      </w:r>
      <w:r w:rsidRPr="005211DB">
        <w:t xml:space="preserve"> that it would integrate the Allied customers “rapidly and seamlessly,” so that these customers would relatively quickly experience the benefits of transitioning to the AT&amp;T network.</w:t>
      </w:r>
      <w:r w:rsidR="00134EAA" w:rsidRPr="005211DB">
        <w:rPr>
          <w:rStyle w:val="FootnoteReference"/>
        </w:rPr>
        <w:footnoteReference w:id="229"/>
      </w:r>
      <w:r w:rsidR="00D41C5F" w:rsidRPr="005211DB">
        <w:t xml:space="preserve">  AT&amp;T note</w:t>
      </w:r>
      <w:r w:rsidR="00134EAA" w:rsidRPr="005211DB">
        <w:t>d in the Public Interest Statement</w:t>
      </w:r>
      <w:r w:rsidR="00D41C5F" w:rsidRPr="005211DB">
        <w:t xml:space="preserve"> that it has experience transitioning customers in previous transactions, a number of which have been far larger.</w:t>
      </w:r>
      <w:r w:rsidR="00D41C5F" w:rsidRPr="005211DB">
        <w:rPr>
          <w:rStyle w:val="FootnoteReference"/>
        </w:rPr>
        <w:footnoteReference w:id="230"/>
      </w:r>
      <w:r w:rsidR="00D41C5F" w:rsidRPr="005211DB">
        <w:t xml:space="preserve">  </w:t>
      </w:r>
    </w:p>
    <w:p w:rsidR="007C0CFE" w:rsidRPr="005211DB" w:rsidRDefault="00D41C5F" w:rsidP="009345AC">
      <w:pPr>
        <w:pStyle w:val="ParaNum"/>
      </w:pPr>
      <w:r w:rsidRPr="005211DB">
        <w:t xml:space="preserve">AT&amp;T </w:t>
      </w:r>
      <w:r w:rsidR="00134EAA" w:rsidRPr="005211DB">
        <w:t>provided some additional information about its customer transition plans in June</w:t>
      </w:r>
      <w:r w:rsidR="0017703C" w:rsidRPr="005211DB">
        <w:t xml:space="preserve"> and July</w:t>
      </w:r>
      <w:r w:rsidR="00134EAA" w:rsidRPr="005211DB">
        <w:t xml:space="preserve"> in its response</w:t>
      </w:r>
      <w:r w:rsidR="0017703C" w:rsidRPr="005211DB">
        <w:t>s</w:t>
      </w:r>
      <w:r w:rsidR="00134EAA" w:rsidRPr="005211DB">
        <w:t xml:space="preserve"> to the Wireless Bureau’s information requests.  AT&amp;T explained that it </w:t>
      </w:r>
      <w:r w:rsidRPr="005211DB">
        <w:t>expect</w:t>
      </w:r>
      <w:r w:rsidR="00134EAA" w:rsidRPr="005211DB">
        <w:t>ed</w:t>
      </w:r>
      <w:r w:rsidRPr="005211DB">
        <w:t xml:space="preserve"> that it </w:t>
      </w:r>
      <w:r w:rsidR="00134EAA" w:rsidRPr="005211DB">
        <w:t xml:space="preserve">would </w:t>
      </w:r>
      <w:r w:rsidRPr="005211DB">
        <w:t xml:space="preserve">migrate the majority of Allied customers </w:t>
      </w:r>
      <w:r w:rsidR="001032D5" w:rsidRPr="001032D5">
        <w:rPr>
          <w:b/>
        </w:rPr>
        <w:t>[REDACTED]</w:t>
      </w:r>
      <w:r w:rsidRPr="005211DB">
        <w:t xml:space="preserve"> and as soon as the network is ready.</w:t>
      </w:r>
      <w:r w:rsidRPr="005211DB">
        <w:rPr>
          <w:rStyle w:val="FootnoteReference"/>
        </w:rPr>
        <w:footnoteReference w:id="231"/>
      </w:r>
      <w:r w:rsidR="00134EAA" w:rsidRPr="005211DB">
        <w:t xml:space="preserve">  </w:t>
      </w:r>
      <w:r w:rsidRPr="005211DB">
        <w:t>AT&amp;T</w:t>
      </w:r>
      <w:r w:rsidR="00134EAA" w:rsidRPr="005211DB">
        <w:t xml:space="preserve"> </w:t>
      </w:r>
      <w:r w:rsidR="0007225E">
        <w:t>said</w:t>
      </w:r>
      <w:r w:rsidR="0007225E" w:rsidRPr="005211DB">
        <w:t xml:space="preserve"> </w:t>
      </w:r>
      <w:r w:rsidRPr="005211DB">
        <w:t>it w</w:t>
      </w:r>
      <w:r w:rsidR="0017703C" w:rsidRPr="005211DB">
        <w:t>ould</w:t>
      </w:r>
      <w:r w:rsidRPr="005211DB">
        <w:t xml:space="preserve"> </w:t>
      </w:r>
      <w:r w:rsidR="001032D5" w:rsidRPr="001032D5">
        <w:rPr>
          <w:b/>
        </w:rPr>
        <w:t>[REDACTED]</w:t>
      </w:r>
      <w:r w:rsidRPr="005211DB">
        <w:t>.</w:t>
      </w:r>
      <w:r w:rsidRPr="005211DB">
        <w:rPr>
          <w:rStyle w:val="FootnoteReference"/>
        </w:rPr>
        <w:footnoteReference w:id="232"/>
      </w:r>
      <w:r w:rsidRPr="005211DB">
        <w:t xml:space="preserve">  AT&amp;T </w:t>
      </w:r>
      <w:r w:rsidR="00134EAA" w:rsidRPr="005211DB">
        <w:t xml:space="preserve">also </w:t>
      </w:r>
      <w:r w:rsidR="0007225E">
        <w:t>said</w:t>
      </w:r>
      <w:r w:rsidR="0007225E" w:rsidRPr="005211DB">
        <w:t xml:space="preserve"> </w:t>
      </w:r>
      <w:r w:rsidRPr="005211DB">
        <w:t>that it plan</w:t>
      </w:r>
      <w:r w:rsidR="0017703C" w:rsidRPr="005211DB">
        <w:t>ned</w:t>
      </w:r>
      <w:r w:rsidRPr="005211DB">
        <w:t xml:space="preserve"> </w:t>
      </w:r>
      <w:r w:rsidR="001032D5" w:rsidRPr="001032D5">
        <w:rPr>
          <w:b/>
        </w:rPr>
        <w:t>[REDACTED]</w:t>
      </w:r>
      <w:r w:rsidRPr="005211DB">
        <w:t>.</w:t>
      </w:r>
      <w:r w:rsidRPr="005211DB">
        <w:rPr>
          <w:rStyle w:val="FootnoteReference"/>
        </w:rPr>
        <w:footnoteReference w:id="233"/>
      </w:r>
      <w:r w:rsidRPr="005211DB">
        <w:t xml:space="preserve">  For postpaid customers with term contracts, AT&amp;T </w:t>
      </w:r>
      <w:r w:rsidR="0007225E">
        <w:t>stated</w:t>
      </w:r>
      <w:r w:rsidR="0007225E" w:rsidRPr="005211DB">
        <w:t xml:space="preserve"> </w:t>
      </w:r>
      <w:r w:rsidRPr="005211DB">
        <w:t>it plan</w:t>
      </w:r>
      <w:r w:rsidR="0017703C" w:rsidRPr="005211DB">
        <w:t>ned</w:t>
      </w:r>
      <w:r w:rsidRPr="005211DB">
        <w:t xml:space="preserve"> </w:t>
      </w:r>
      <w:r w:rsidR="001032D5" w:rsidRPr="001032D5">
        <w:rPr>
          <w:b/>
        </w:rPr>
        <w:t>[REDACTED]</w:t>
      </w:r>
      <w:r w:rsidRPr="005211DB">
        <w:t>.</w:t>
      </w:r>
      <w:r w:rsidRPr="005211DB">
        <w:rPr>
          <w:rStyle w:val="FootnoteReference"/>
        </w:rPr>
        <w:footnoteReference w:id="234"/>
      </w:r>
      <w:r w:rsidRPr="005211DB">
        <w:t xml:space="preserve">  </w:t>
      </w:r>
      <w:r w:rsidR="003C1E46" w:rsidRPr="005211DB">
        <w:t xml:space="preserve">AT&amp;T commented that it was </w:t>
      </w:r>
      <w:r w:rsidR="001032D5" w:rsidRPr="001032D5">
        <w:rPr>
          <w:b/>
        </w:rPr>
        <w:t>[REDACTED]</w:t>
      </w:r>
      <w:r w:rsidR="003C1E46" w:rsidRPr="005211DB">
        <w:t>.</w:t>
      </w:r>
      <w:r w:rsidR="003C1E46" w:rsidRPr="005211DB">
        <w:rPr>
          <w:rStyle w:val="FootnoteReference"/>
        </w:rPr>
        <w:footnoteReference w:id="235"/>
      </w:r>
      <w:r w:rsidR="00C14591" w:rsidRPr="005211DB">
        <w:t xml:space="preserve">  </w:t>
      </w:r>
      <w:r w:rsidRPr="005211DB">
        <w:t xml:space="preserve">AT&amp;T </w:t>
      </w:r>
      <w:r w:rsidR="00C14591" w:rsidRPr="005211DB">
        <w:t>also indicated</w:t>
      </w:r>
      <w:r w:rsidRPr="005211DB">
        <w:t xml:space="preserve"> that those postpaid customers </w:t>
      </w:r>
      <w:r w:rsidR="001032D5" w:rsidRPr="001032D5">
        <w:rPr>
          <w:b/>
        </w:rPr>
        <w:t>[REDACTED]</w:t>
      </w:r>
      <w:r w:rsidRPr="005211DB">
        <w:t>.</w:t>
      </w:r>
      <w:r w:rsidRPr="005211DB">
        <w:rPr>
          <w:rStyle w:val="FootnoteReference"/>
        </w:rPr>
        <w:footnoteReference w:id="236"/>
      </w:r>
    </w:p>
    <w:p w:rsidR="00F370FE" w:rsidRDefault="007C0CFE" w:rsidP="00D41C5F">
      <w:pPr>
        <w:pStyle w:val="ParaNum"/>
      </w:pPr>
      <w:r w:rsidRPr="005211DB">
        <w:t xml:space="preserve">In </w:t>
      </w:r>
      <w:r w:rsidR="00C14591" w:rsidRPr="005211DB">
        <w:t xml:space="preserve">late </w:t>
      </w:r>
      <w:r w:rsidRPr="005211DB">
        <w:t>August</w:t>
      </w:r>
      <w:r w:rsidR="00C14591" w:rsidRPr="005211DB">
        <w:t xml:space="preserve"> and September</w:t>
      </w:r>
      <w:r w:rsidRPr="005211DB">
        <w:t xml:space="preserve">, AT&amp;T provided </w:t>
      </w:r>
      <w:r w:rsidR="00C14591" w:rsidRPr="005211DB">
        <w:t xml:space="preserve">more details about </w:t>
      </w:r>
      <w:r w:rsidRPr="005211DB">
        <w:t xml:space="preserve">its plans for migrating Allied’s </w:t>
      </w:r>
      <w:r w:rsidR="000906F8">
        <w:t>prepaid</w:t>
      </w:r>
      <w:r w:rsidRPr="005211DB">
        <w:t xml:space="preserve"> customers.  AT&amp;T allege</w:t>
      </w:r>
      <w:r w:rsidR="00C14591" w:rsidRPr="005211DB">
        <w:t>d</w:t>
      </w:r>
      <w:r w:rsidRPr="005211DB">
        <w:t xml:space="preserve"> that prepaid customers frequently upgrade their devices, and thus AT&amp;T expect</w:t>
      </w:r>
      <w:r w:rsidR="00C14591" w:rsidRPr="005211DB">
        <w:t>ed</w:t>
      </w:r>
      <w:r w:rsidRPr="005211DB">
        <w:t xml:space="preserve"> that a large percentage of Allied’s existing CDMA prepaid customer w</w:t>
      </w:r>
      <w:r w:rsidR="00C14591" w:rsidRPr="005211DB">
        <w:t>ould</w:t>
      </w:r>
      <w:r w:rsidRPr="005211DB">
        <w:t xml:space="preserve"> be quickly and naturally migrated to the upgraded network.</w:t>
      </w:r>
      <w:r w:rsidRPr="005211DB">
        <w:rPr>
          <w:rStyle w:val="FootnoteReference"/>
        </w:rPr>
        <w:footnoteReference w:id="237"/>
      </w:r>
      <w:r w:rsidRPr="005211DB">
        <w:t xml:space="preserve">  </w:t>
      </w:r>
      <w:r w:rsidR="00D41C5F" w:rsidRPr="005211DB">
        <w:t xml:space="preserve">AT&amp;T </w:t>
      </w:r>
      <w:r w:rsidR="0007225E">
        <w:t>states</w:t>
      </w:r>
      <w:r w:rsidR="0007225E" w:rsidRPr="005211DB">
        <w:t xml:space="preserve"> </w:t>
      </w:r>
      <w:r w:rsidRPr="005211DB">
        <w:t xml:space="preserve">that it </w:t>
      </w:r>
      <w:r w:rsidR="00D41C5F" w:rsidRPr="005211DB">
        <w:t xml:space="preserve">plans to migrate </w:t>
      </w:r>
      <w:r w:rsidRPr="005211DB">
        <w:t xml:space="preserve">prepaid customers </w:t>
      </w:r>
      <w:r w:rsidR="00D41C5F" w:rsidRPr="005211DB">
        <w:t>to its LTE/HSPA+/GSM network by allowing them to purchase HSPA+ and HSPA+/LTE devices, which also are backward compatible to GSM, as it launches network upgrades.</w:t>
      </w:r>
      <w:r w:rsidR="00D41C5F" w:rsidRPr="005211DB">
        <w:rPr>
          <w:rStyle w:val="FootnoteReference"/>
        </w:rPr>
        <w:footnoteReference w:id="238"/>
      </w:r>
      <w:r w:rsidR="00D41C5F" w:rsidRPr="005211DB">
        <w:t xml:space="preserve">  AT&amp;T says it w</w:t>
      </w:r>
      <w:r w:rsidR="00C14591" w:rsidRPr="005211DB">
        <w:t>ould</w:t>
      </w:r>
      <w:r w:rsidR="00D41C5F" w:rsidRPr="005211DB">
        <w:t xml:space="preserve"> continue to support CDMA prepaid service until at least July 2014 so that Allied’s prepaid </w:t>
      </w:r>
    </w:p>
    <w:p w:rsidR="00F370FE" w:rsidRDefault="00F370FE">
      <w:r>
        <w:br w:type="page"/>
      </w:r>
    </w:p>
    <w:p w:rsidR="00D41C5F" w:rsidRPr="005211DB" w:rsidRDefault="00D41C5F" w:rsidP="00F370FE">
      <w:pPr>
        <w:pStyle w:val="ParaNum"/>
        <w:numPr>
          <w:ilvl w:val="0"/>
          <w:numId w:val="0"/>
        </w:numPr>
      </w:pPr>
      <w:r w:rsidRPr="005211DB">
        <w:t>customers who choose not to migrate to the upgraded network or defer migration may continue using their existing CDMA devices on Allied’s network until that time.</w:t>
      </w:r>
      <w:r w:rsidRPr="005211DB">
        <w:rPr>
          <w:rStyle w:val="FootnoteReference"/>
        </w:rPr>
        <w:footnoteReference w:id="239"/>
      </w:r>
      <w:r w:rsidRPr="005211DB">
        <w:t xml:space="preserve">  </w:t>
      </w:r>
      <w:r w:rsidR="00A3197B">
        <w:t>According to AT&amp;T, Allied prepaid customers will continue to use their service at their current pricing plans once the transaction closes.</w:t>
      </w:r>
      <w:r w:rsidR="00A3197B">
        <w:rPr>
          <w:rStyle w:val="FootnoteReference"/>
        </w:rPr>
        <w:footnoteReference w:id="240"/>
      </w:r>
      <w:r w:rsidR="00A3197B">
        <w:t xml:space="preserve">  </w:t>
      </w:r>
      <w:r w:rsidRPr="005211DB">
        <w:t>AT&amp;T also plans to provide prepaid customers incentives in the form of discounted devices and/or bundles of free minutes to migrate more quickly.</w:t>
      </w:r>
      <w:r w:rsidRPr="005211DB">
        <w:rPr>
          <w:rStyle w:val="FootnoteReference"/>
        </w:rPr>
        <w:footnoteReference w:id="241"/>
      </w:r>
      <w:r w:rsidR="00C14591" w:rsidRPr="005211DB">
        <w:t xml:space="preserve">  </w:t>
      </w:r>
      <w:r w:rsidR="00A3197B">
        <w:t>Moreover, AT&amp;T says that, to the extent Allied prepaid customers remain active on the CDMA network near the end of the transition period for each market, it intends to make an attractive migration offer to incent those remaining customers to migrate to the AT&amp;T HSPA+ or LTE network.</w:t>
      </w:r>
      <w:r w:rsidR="00A3197B">
        <w:rPr>
          <w:rStyle w:val="FootnoteReference"/>
        </w:rPr>
        <w:footnoteReference w:id="242"/>
      </w:r>
      <w:r w:rsidR="00F2412F">
        <w:t xml:space="preserve">  AT&amp;T says the objective of these efforts is that, at the end of the transition period for each market, no more than ten percent of the active Allied prepaid customers at the date of closing will still need to be migrated.</w:t>
      </w:r>
      <w:r w:rsidR="00F2412F">
        <w:rPr>
          <w:rStyle w:val="FootnoteReference"/>
        </w:rPr>
        <w:footnoteReference w:id="243"/>
      </w:r>
    </w:p>
    <w:p w:rsidR="00280F66" w:rsidRPr="005211DB" w:rsidRDefault="00C14591" w:rsidP="00280F66">
      <w:pPr>
        <w:pStyle w:val="ParaNum"/>
      </w:pPr>
      <w:r w:rsidRPr="005211DB">
        <w:t xml:space="preserve">According to AT&amp;T, </w:t>
      </w:r>
      <w:r w:rsidR="00280F66" w:rsidRPr="005211DB">
        <w:t>Allied</w:t>
      </w:r>
      <w:r w:rsidR="007C0CFE" w:rsidRPr="005211DB">
        <w:t>’s</w:t>
      </w:r>
      <w:r w:rsidR="00280F66" w:rsidRPr="005211DB">
        <w:t xml:space="preserve"> Lifeline customers will initially be able to continue to use their phones as they do today.</w:t>
      </w:r>
      <w:r w:rsidR="007C0CFE" w:rsidRPr="005211DB">
        <w:rPr>
          <w:rStyle w:val="FootnoteReference"/>
        </w:rPr>
        <w:footnoteReference w:id="244"/>
      </w:r>
      <w:r w:rsidR="00280F66" w:rsidRPr="005211DB">
        <w:t xml:space="preserve">  It is AT&amp;T’s intent to </w:t>
      </w:r>
      <w:r w:rsidR="001248AC">
        <w:t>transition</w:t>
      </w:r>
      <w:r w:rsidR="001248AC" w:rsidRPr="005211DB">
        <w:t xml:space="preserve"> </w:t>
      </w:r>
      <w:r w:rsidR="00280F66" w:rsidRPr="005211DB">
        <w:t xml:space="preserve">these customers to a comparable </w:t>
      </w:r>
      <w:r w:rsidR="000906F8">
        <w:t>postpaid</w:t>
      </w:r>
      <w:r w:rsidR="00280F66" w:rsidRPr="005211DB">
        <w:t xml:space="preserve"> plan</w:t>
      </w:r>
      <w:r w:rsidR="00A21BB2">
        <w:t>, with a price substantially similar to their Allied Lifeline plan,</w:t>
      </w:r>
      <w:r w:rsidR="00280F66" w:rsidRPr="005211DB">
        <w:t xml:space="preserve"> while they are still supported by Allied’s network.</w:t>
      </w:r>
      <w:r w:rsidR="00A21BB2">
        <w:rPr>
          <w:rStyle w:val="FootnoteReference"/>
        </w:rPr>
        <w:footnoteReference w:id="245"/>
      </w:r>
      <w:r w:rsidR="00280F66" w:rsidRPr="005211DB">
        <w:t xml:space="preserve">  Once </w:t>
      </w:r>
      <w:r w:rsidR="001248AC">
        <w:t>transitioned</w:t>
      </w:r>
      <w:r w:rsidR="00280F66" w:rsidRPr="005211DB">
        <w:t xml:space="preserve">, they will be treated as a </w:t>
      </w:r>
      <w:r w:rsidR="000906F8">
        <w:t>postpaid</w:t>
      </w:r>
      <w:r w:rsidR="00280F66" w:rsidRPr="005211DB">
        <w:t xml:space="preserve"> customer for purposes of customer migration and migrated to an equivalent postpaid plan</w:t>
      </w:r>
      <w:r w:rsidR="00F56FF8">
        <w:t>, with a price substantially similar to the customer’s original Lifeline plan and</w:t>
      </w:r>
      <w:r w:rsidR="00280F66" w:rsidRPr="005211DB">
        <w:t xml:space="preserve"> with a comparable device </w:t>
      </w:r>
      <w:r w:rsidR="00BF4640">
        <w:t>pre-selected by AT&amp;T at no charge</w:t>
      </w:r>
      <w:r w:rsidR="00280F66" w:rsidRPr="005211DB">
        <w:t>.</w:t>
      </w:r>
      <w:r w:rsidR="00A21BB2">
        <w:rPr>
          <w:rStyle w:val="FootnoteReference"/>
        </w:rPr>
        <w:footnoteReference w:id="246"/>
      </w:r>
      <w:r w:rsidR="00280F66" w:rsidRPr="005211DB">
        <w:t xml:space="preserve">  Lifeline customers will also be permitted to terminate service at any time with no </w:t>
      </w:r>
      <w:r w:rsidR="001248AC">
        <w:t>early termination fee</w:t>
      </w:r>
      <w:r w:rsidR="00280F66" w:rsidRPr="005211DB">
        <w:t>, prior to migration, so that they may consider alternative Lifeline service providers.</w:t>
      </w:r>
      <w:r w:rsidR="00A21BB2">
        <w:rPr>
          <w:rStyle w:val="FootnoteReference"/>
        </w:rPr>
        <w:footnoteReference w:id="247"/>
      </w:r>
      <w:r w:rsidR="00280F66" w:rsidRPr="005211DB">
        <w:t xml:space="preserve">  AT&amp;T will attempt</w:t>
      </w:r>
      <w:r w:rsidR="00BF4640">
        <w:t>,</w:t>
      </w:r>
      <w:r w:rsidR="00280F66" w:rsidRPr="005211DB">
        <w:t xml:space="preserve"> to the extent feasible</w:t>
      </w:r>
      <w:r w:rsidR="00BF4640">
        <w:t>,</w:t>
      </w:r>
      <w:r w:rsidR="00280F66" w:rsidRPr="005211DB">
        <w:t xml:space="preserve"> to provide customers with information about available Lifeline service providers in the market.</w:t>
      </w:r>
      <w:r w:rsidR="00A21BB2">
        <w:rPr>
          <w:rStyle w:val="FootnoteReference"/>
        </w:rPr>
        <w:footnoteReference w:id="248"/>
      </w:r>
    </w:p>
    <w:p w:rsidR="00280F66" w:rsidRPr="005211DB" w:rsidRDefault="00280F66" w:rsidP="00280F66">
      <w:pPr>
        <w:pStyle w:val="ParaNum"/>
      </w:pPr>
      <w:r w:rsidRPr="005211DB">
        <w:t xml:space="preserve">As Allied </w:t>
      </w:r>
      <w:r w:rsidR="000906F8">
        <w:t>postpaid</w:t>
      </w:r>
      <w:r w:rsidRPr="005211DB">
        <w:t xml:space="preserve"> customers are migrated to AT&amp;T’s network</w:t>
      </w:r>
      <w:r w:rsidR="007C0CFE" w:rsidRPr="005211DB">
        <w:t>, AT&amp;T asserts that</w:t>
      </w:r>
      <w:r w:rsidRPr="005211DB">
        <w:t xml:space="preserve"> most will be provided the option of retaining their current plan.</w:t>
      </w:r>
      <w:r w:rsidR="007C0CFE" w:rsidRPr="005211DB">
        <w:rPr>
          <w:rStyle w:val="FootnoteReference"/>
        </w:rPr>
        <w:footnoteReference w:id="249"/>
      </w:r>
      <w:r w:rsidRPr="005211DB">
        <w:t xml:space="preserve">  AT&amp;T </w:t>
      </w:r>
      <w:r w:rsidR="007C0CFE" w:rsidRPr="005211DB">
        <w:t xml:space="preserve">represents, however, that it </w:t>
      </w:r>
      <w:r w:rsidRPr="005211DB">
        <w:t>reserves the right to terminate plans that serve 150 customers or fewer and offer those customers a comparable plan on migration.</w:t>
      </w:r>
      <w:r w:rsidR="005F587A">
        <w:rPr>
          <w:rStyle w:val="FootnoteReference"/>
        </w:rPr>
        <w:footnoteReference w:id="250"/>
      </w:r>
      <w:r w:rsidRPr="005211DB">
        <w:t xml:space="preserve">  </w:t>
      </w:r>
    </w:p>
    <w:p w:rsidR="00947041" w:rsidRPr="005211DB" w:rsidRDefault="00337F69" w:rsidP="00137DAF">
      <w:pPr>
        <w:pStyle w:val="Heading2"/>
      </w:pPr>
      <w:bookmarkStart w:id="849" w:name="_Toc366145547"/>
      <w:bookmarkStart w:id="850" w:name="_Toc366145755"/>
      <w:bookmarkStart w:id="851" w:name="_Toc366145871"/>
      <w:bookmarkStart w:id="852" w:name="_Toc366249618"/>
      <w:bookmarkStart w:id="853" w:name="_Toc366758013"/>
      <w:bookmarkStart w:id="854" w:name="_Toc366855803"/>
      <w:bookmarkStart w:id="855" w:name="_Toc366856284"/>
      <w:bookmarkStart w:id="856" w:name="_Toc367108939"/>
      <w:bookmarkStart w:id="857" w:name="_Toc367372978"/>
      <w:bookmarkStart w:id="858" w:name="_Toc367440586"/>
      <w:r w:rsidRPr="005211DB">
        <w:t>Discus</w:t>
      </w:r>
      <w:r w:rsidR="00947041" w:rsidRPr="005211DB">
        <w:t>sion</w:t>
      </w:r>
      <w:bookmarkEnd w:id="826"/>
      <w:bookmarkEnd w:id="827"/>
      <w:bookmarkEnd w:id="828"/>
      <w:bookmarkEnd w:id="829"/>
      <w:bookmarkEnd w:id="830"/>
      <w:bookmarkEnd w:id="831"/>
      <w:bookmarkEnd w:id="832"/>
      <w:bookmarkEnd w:id="833"/>
      <w:bookmarkEnd w:id="834"/>
      <w:bookmarkEnd w:id="835"/>
      <w:bookmarkEnd w:id="836"/>
      <w:bookmarkEnd w:id="837"/>
      <w:bookmarkEnd w:id="849"/>
      <w:bookmarkEnd w:id="850"/>
      <w:bookmarkEnd w:id="851"/>
      <w:bookmarkEnd w:id="852"/>
      <w:bookmarkEnd w:id="853"/>
      <w:bookmarkEnd w:id="854"/>
      <w:bookmarkEnd w:id="855"/>
      <w:bookmarkEnd w:id="856"/>
      <w:bookmarkEnd w:id="857"/>
      <w:bookmarkEnd w:id="858"/>
    </w:p>
    <w:p w:rsidR="00557871" w:rsidRPr="005211DB" w:rsidRDefault="00DE6BCB" w:rsidP="00733E70">
      <w:pPr>
        <w:pStyle w:val="ParaNum"/>
      </w:pPr>
      <w:r w:rsidRPr="005211DB">
        <w:t>We have reviewed the claims of the Applicants regarding the benefits they allege will result from the proposed transaction, as well as their responses to our requests for additional information and documents.  Our review indicates that</w:t>
      </w:r>
      <w:r w:rsidR="00943A0E" w:rsidRPr="005211DB">
        <w:t xml:space="preserve">, given the particular facts of its </w:t>
      </w:r>
      <w:r w:rsidR="00E36CC4" w:rsidRPr="005211DB">
        <w:t>unique “island properties</w:t>
      </w:r>
      <w:r w:rsidR="00943A0E" w:rsidRPr="005211DB">
        <w:t>,</w:t>
      </w:r>
      <w:r w:rsidR="00E36CC4" w:rsidRPr="005211DB">
        <w:t>”</w:t>
      </w:r>
      <w:r w:rsidRPr="005211DB">
        <w:t xml:space="preserve"> Allied is facing </w:t>
      </w:r>
      <w:r w:rsidR="00943A0E" w:rsidRPr="005211DB">
        <w:t xml:space="preserve">significant </w:t>
      </w:r>
      <w:r w:rsidRPr="005211DB">
        <w:t>limitations in providing its customers with advanced technology service offerings.</w:t>
      </w:r>
      <w:r w:rsidR="00F2412F">
        <w:rPr>
          <w:rStyle w:val="FootnoteReference"/>
        </w:rPr>
        <w:footnoteReference w:id="251"/>
      </w:r>
      <w:r w:rsidRPr="005211DB">
        <w:t xml:space="preserve">  Moreover, the record </w:t>
      </w:r>
      <w:r w:rsidR="00943A0E" w:rsidRPr="005211DB">
        <w:t xml:space="preserve">provides general </w:t>
      </w:r>
      <w:r w:rsidRPr="005211DB">
        <w:t>support</w:t>
      </w:r>
      <w:r w:rsidR="00943A0E" w:rsidRPr="005211DB">
        <w:t xml:space="preserve"> for</w:t>
      </w:r>
      <w:r w:rsidRPr="005211DB">
        <w:t xml:space="preserve"> the Applicants’ contentions that the proposed transaction </w:t>
      </w:r>
      <w:r w:rsidR="00E36CC4" w:rsidRPr="005211DB">
        <w:t xml:space="preserve">would </w:t>
      </w:r>
      <w:r w:rsidRPr="005211DB">
        <w:t>in fact result in benefits for customers</w:t>
      </w:r>
      <w:r w:rsidR="00E36CC4" w:rsidRPr="005211DB">
        <w:t xml:space="preserve"> in the Allied service territories</w:t>
      </w:r>
      <w:r w:rsidRPr="005211DB">
        <w:t xml:space="preserve">, particularly with respect to the deployment of HSPA+ and LTE service offerings.  </w:t>
      </w:r>
      <w:r w:rsidR="00E36CC4" w:rsidRPr="005211DB">
        <w:t>As presented in this record, however, t</w:t>
      </w:r>
      <w:r w:rsidRPr="005211DB">
        <w:t>hese benefits are not sufficient by themselves to outweigh the likely competitive problems we have found with respect to the proposed transaction.</w:t>
      </w:r>
    </w:p>
    <w:p w:rsidR="00CD5788" w:rsidRPr="005211DB" w:rsidRDefault="0077668C" w:rsidP="00733E70">
      <w:pPr>
        <w:pStyle w:val="ParaNum"/>
      </w:pPr>
      <w:r w:rsidRPr="005211DB">
        <w:t xml:space="preserve">Our review of the record indicates that following the ALLTEL divestiture, Allied faced </w:t>
      </w:r>
      <w:r w:rsidR="00CB54EC" w:rsidRPr="005211DB">
        <w:t xml:space="preserve">certain </w:t>
      </w:r>
      <w:r w:rsidRPr="005211DB">
        <w:t>network quality challenges.</w:t>
      </w:r>
      <w:r w:rsidRPr="005211DB">
        <w:rPr>
          <w:rStyle w:val="FootnoteReference"/>
        </w:rPr>
        <w:footnoteReference w:id="252"/>
      </w:r>
      <w:r w:rsidRPr="005211DB">
        <w:t xml:space="preserve">  The competitive difficulties of </w:t>
      </w:r>
      <w:r w:rsidR="00CB54EC" w:rsidRPr="005211DB">
        <w:t>its</w:t>
      </w:r>
      <w:r w:rsidRPr="005211DB">
        <w:t xml:space="preserve"> unusual footprint combined with an explosion in data usage led to increased data roaming costs per subscriber</w:t>
      </w:r>
      <w:r w:rsidR="007025FD" w:rsidRPr="005211DB">
        <w:rPr>
          <w:rStyle w:val="FootnoteReference"/>
        </w:rPr>
        <w:footnoteReference w:id="253"/>
      </w:r>
      <w:r w:rsidRPr="005211DB">
        <w:t xml:space="preserve"> and an increase in churn because of service quality problems</w:t>
      </w:r>
      <w:r w:rsidR="00752667" w:rsidRPr="005211DB">
        <w:t>.</w:t>
      </w:r>
      <w:r w:rsidRPr="005211DB">
        <w:t xml:space="preserve"> </w:t>
      </w:r>
      <w:r w:rsidR="00752667" w:rsidRPr="005211DB">
        <w:t xml:space="preserve"> </w:t>
      </w:r>
      <w:r w:rsidR="00943A0E" w:rsidRPr="005211DB">
        <w:t xml:space="preserve">As supported by the Applicants in the record, </w:t>
      </w:r>
      <w:r w:rsidR="00752667" w:rsidRPr="005211DB">
        <w:t>Allied’s</w:t>
      </w:r>
      <w:r w:rsidR="00943A0E" w:rsidRPr="005211DB">
        <w:t xml:space="preserve"> customers have </w:t>
      </w:r>
      <w:r w:rsidR="00DB55C3" w:rsidRPr="005211DB">
        <w:t xml:space="preserve">had </w:t>
      </w:r>
      <w:r w:rsidR="00943A0E" w:rsidRPr="005211DB">
        <w:t xml:space="preserve">a degraded customer experience at the </w:t>
      </w:r>
      <w:r w:rsidR="00DB55C3" w:rsidRPr="005211DB">
        <w:t xml:space="preserve">many </w:t>
      </w:r>
      <w:r w:rsidR="00943A0E" w:rsidRPr="005211DB">
        <w:t>edges of Allied’s service areas, including dropped calls and signal loss.</w:t>
      </w:r>
      <w:r w:rsidR="00DB55C3" w:rsidRPr="005211DB">
        <w:rPr>
          <w:rStyle w:val="FootnoteReference"/>
        </w:rPr>
        <w:footnoteReference w:id="254"/>
      </w:r>
      <w:r w:rsidR="00943A0E" w:rsidRPr="005211DB">
        <w:t xml:space="preserve">  </w:t>
      </w:r>
      <w:r w:rsidR="004F2470" w:rsidRPr="005211DB">
        <w:t xml:space="preserve">After reviewing all </w:t>
      </w:r>
      <w:r w:rsidRPr="005211DB">
        <w:t>of the interrogatory responses and documents submitted by the Applicants</w:t>
      </w:r>
      <w:r w:rsidR="004F2470" w:rsidRPr="005211DB">
        <w:t xml:space="preserve">, we </w:t>
      </w:r>
      <w:r w:rsidRPr="005211DB">
        <w:t>conclude</w:t>
      </w:r>
      <w:r w:rsidR="004F2470" w:rsidRPr="005211DB">
        <w:t>d</w:t>
      </w:r>
      <w:r w:rsidRPr="005211DB">
        <w:t xml:space="preserve"> that Allied</w:t>
      </w:r>
      <w:r w:rsidR="00351876" w:rsidRPr="005211DB">
        <w:t xml:space="preserve"> suffers from numerous obstacles</w:t>
      </w:r>
      <w:r w:rsidR="004F2470" w:rsidRPr="005211DB">
        <w:t>,</w:t>
      </w:r>
      <w:r w:rsidR="00351876" w:rsidRPr="005211DB">
        <w:t xml:space="preserve"> such as </w:t>
      </w:r>
      <w:r w:rsidR="00803189" w:rsidRPr="005211DB">
        <w:t>access to spectrum,</w:t>
      </w:r>
      <w:r w:rsidR="00803189" w:rsidRPr="005211DB">
        <w:rPr>
          <w:rStyle w:val="FootnoteReference"/>
        </w:rPr>
        <w:footnoteReference w:id="255"/>
      </w:r>
      <w:r w:rsidR="00803189" w:rsidRPr="005211DB">
        <w:t xml:space="preserve"> </w:t>
      </w:r>
      <w:r w:rsidR="00351876" w:rsidRPr="005211DB">
        <w:t>network inefficiencies,</w:t>
      </w:r>
      <w:r w:rsidR="00351876" w:rsidRPr="005211DB">
        <w:rPr>
          <w:rStyle w:val="FootnoteReference"/>
        </w:rPr>
        <w:footnoteReference w:id="256"/>
      </w:r>
      <w:r w:rsidR="00351876" w:rsidRPr="005211DB">
        <w:t xml:space="preserve"> </w:t>
      </w:r>
      <w:r w:rsidR="00803189" w:rsidRPr="005211DB">
        <w:t>higher per-subscriber costs,</w:t>
      </w:r>
      <w:r w:rsidR="00803189" w:rsidRPr="005211DB">
        <w:rPr>
          <w:rStyle w:val="FootnoteReference"/>
        </w:rPr>
        <w:footnoteReference w:id="257"/>
      </w:r>
      <w:r w:rsidR="00803189" w:rsidRPr="005211DB">
        <w:t xml:space="preserve"> and </w:t>
      </w:r>
      <w:r w:rsidR="00DF53B5" w:rsidRPr="005211DB">
        <w:t>higher than typical levels of customer churn.</w:t>
      </w:r>
      <w:r w:rsidR="00803189" w:rsidRPr="005211DB">
        <w:rPr>
          <w:rStyle w:val="FootnoteReference"/>
        </w:rPr>
        <w:footnoteReference w:id="258"/>
      </w:r>
      <w:r w:rsidRPr="005211DB">
        <w:t xml:space="preserve"> </w:t>
      </w:r>
      <w:r w:rsidR="00A04408" w:rsidRPr="005211DB">
        <w:t xml:space="preserve"> </w:t>
      </w:r>
    </w:p>
    <w:p w:rsidR="00BF054C" w:rsidRDefault="00DF53B5" w:rsidP="00A04408">
      <w:pPr>
        <w:pStyle w:val="ParaNum"/>
      </w:pPr>
      <w:r w:rsidRPr="005211DB">
        <w:t>We conclude that the</w:t>
      </w:r>
      <w:r w:rsidR="00012124" w:rsidRPr="005211DB">
        <w:t xml:space="preserve"> record supports a finding that</w:t>
      </w:r>
      <w:r w:rsidRPr="005211DB">
        <w:t xml:space="preserve"> Allied sought to operate a successful wireless business in the subject markets,</w:t>
      </w:r>
      <w:r w:rsidRPr="005211DB">
        <w:rPr>
          <w:rStyle w:val="FootnoteReference"/>
        </w:rPr>
        <w:footnoteReference w:id="259"/>
      </w:r>
      <w:r w:rsidR="00A828ED" w:rsidRPr="005211DB">
        <w:t xml:space="preserve"> made substantial capital investments, and took numerous steps to mitigate or overcome the obstacles it faced</w:t>
      </w:r>
      <w:r w:rsidR="004C135F" w:rsidRPr="005211DB">
        <w:t>, including the significant network quality issues attendant on its “island properties.”</w:t>
      </w:r>
      <w:r w:rsidR="004C135F" w:rsidRPr="005211DB">
        <w:rPr>
          <w:rStyle w:val="FootnoteReference"/>
        </w:rPr>
        <w:footnoteReference w:id="260"/>
      </w:r>
      <w:r w:rsidR="00A828ED" w:rsidRPr="005211DB">
        <w:t xml:space="preserve">  </w:t>
      </w:r>
      <w:r w:rsidR="00012124" w:rsidRPr="005211DB">
        <w:t xml:space="preserve">Since acquiring the divestiture markets in 2010, Allied has made capital investments totaling approximately </w:t>
      </w:r>
      <w:r w:rsidR="001032D5" w:rsidRPr="001032D5">
        <w:rPr>
          <w:b/>
        </w:rPr>
        <w:t>[REDACTED]</w:t>
      </w:r>
      <w:r w:rsidR="00012124" w:rsidRPr="005211DB">
        <w:t xml:space="preserve"> in the CMAs involved in this transaction.</w:t>
      </w:r>
      <w:r w:rsidR="00012124" w:rsidRPr="005211DB">
        <w:rPr>
          <w:rStyle w:val="FootnoteReference"/>
        </w:rPr>
        <w:footnoteReference w:id="261"/>
      </w:r>
      <w:r w:rsidR="00012124" w:rsidRPr="005211DB">
        <w:t xml:space="preserve">  </w:t>
      </w:r>
      <w:r w:rsidR="00D957F5" w:rsidRPr="005211DB">
        <w:t xml:space="preserve">Further, </w:t>
      </w:r>
    </w:p>
    <w:p w:rsidR="00BF054C" w:rsidRDefault="00BF054C">
      <w:r>
        <w:br w:type="page"/>
      </w:r>
    </w:p>
    <w:p w:rsidR="00A04408" w:rsidRPr="005211DB" w:rsidRDefault="00D957F5" w:rsidP="00BF054C">
      <w:pPr>
        <w:pStyle w:val="ParaNum"/>
        <w:numPr>
          <w:ilvl w:val="0"/>
          <w:numId w:val="0"/>
        </w:numPr>
      </w:pPr>
      <w:r w:rsidRPr="005211DB">
        <w:t xml:space="preserve">we agree that Allied </w:t>
      </w:r>
      <w:r w:rsidR="00B51042" w:rsidRPr="005211DB">
        <w:t>attempted to implement</w:t>
      </w:r>
      <w:r w:rsidRPr="005211DB">
        <w:t xml:space="preserve"> various potential strategies to improve its competitive positioning from 2010 to the present through spectrum purchases, joint ventures, and strategic roaming agreements.  However, despite considerable efforts</w:t>
      </w:r>
      <w:r w:rsidR="00A01404" w:rsidRPr="005211DB">
        <w:t>,</w:t>
      </w:r>
      <w:r w:rsidRPr="005211DB">
        <w:t xml:space="preserve"> </w:t>
      </w:r>
      <w:r w:rsidR="001032D5" w:rsidRPr="001032D5">
        <w:rPr>
          <w:b/>
        </w:rPr>
        <w:t>[REDACTED]</w:t>
      </w:r>
      <w:r w:rsidRPr="005211DB">
        <w:t>.</w:t>
      </w:r>
      <w:r w:rsidRPr="005211DB">
        <w:rPr>
          <w:rStyle w:val="FootnoteReference"/>
        </w:rPr>
        <w:footnoteReference w:id="262"/>
      </w:r>
      <w:r w:rsidRPr="005211DB">
        <w:t xml:space="preserve">  </w:t>
      </w:r>
      <w:r w:rsidR="00B51042" w:rsidRPr="005211DB">
        <w:t>Notwithstanding its investments and it</w:t>
      </w:r>
      <w:r w:rsidR="009F3015">
        <w:t>s</w:t>
      </w:r>
      <w:r w:rsidR="00B51042" w:rsidRPr="005211DB">
        <w:t xml:space="preserve"> efforts to address the problems negatively affecting the customer experience</w:t>
      </w:r>
      <w:r w:rsidR="00B93DE8" w:rsidRPr="005211DB">
        <w:t xml:space="preserve"> of many of its customers</w:t>
      </w:r>
      <w:r w:rsidR="00B51042" w:rsidRPr="005211DB">
        <w:t>, its market share has declined markedly since 2010.</w:t>
      </w:r>
      <w:r w:rsidR="00B51042" w:rsidRPr="005211DB">
        <w:rPr>
          <w:rStyle w:val="FootnoteReference"/>
        </w:rPr>
        <w:footnoteReference w:id="263"/>
      </w:r>
      <w:r w:rsidR="00B51042" w:rsidRPr="005211DB">
        <w:t xml:space="preserve"> </w:t>
      </w:r>
      <w:r w:rsidR="00791C77" w:rsidRPr="005211DB">
        <w:t xml:space="preserve"> </w:t>
      </w:r>
      <w:r w:rsidRPr="005211DB">
        <w:t xml:space="preserve">We find that, despite its attempts to find a solution, </w:t>
      </w:r>
      <w:r w:rsidR="00DB55C3" w:rsidRPr="005211DB">
        <w:t xml:space="preserve">given the markets that it serves, </w:t>
      </w:r>
      <w:r w:rsidRPr="005211DB">
        <w:t>Allied would be unlikely to be able to develop a network capable of offering competitive advanced broadband services in the near future.</w:t>
      </w:r>
      <w:r w:rsidR="004755E2" w:rsidRPr="005211DB">
        <w:rPr>
          <w:rStyle w:val="FootnoteReference"/>
        </w:rPr>
        <w:footnoteReference w:id="264"/>
      </w:r>
      <w:r w:rsidR="004755E2" w:rsidRPr="005211DB">
        <w:t xml:space="preserve">  </w:t>
      </w:r>
    </w:p>
    <w:p w:rsidR="00B93DE8" w:rsidRPr="005211DB" w:rsidRDefault="00B93DE8" w:rsidP="00B93DE8">
      <w:pPr>
        <w:pStyle w:val="ParaNum"/>
      </w:pPr>
      <w:r w:rsidRPr="005211DB">
        <w:t xml:space="preserve">The Applicants emphasize in making their case as to why the proposed transaction is in the public </w:t>
      </w:r>
      <w:r w:rsidR="004C135F" w:rsidRPr="005211DB">
        <w:t xml:space="preserve">interest </w:t>
      </w:r>
      <w:r w:rsidRPr="005211DB">
        <w:t>that effectuat</w:t>
      </w:r>
      <w:r w:rsidR="004C135F" w:rsidRPr="005211DB">
        <w:t>ion</w:t>
      </w:r>
      <w:r w:rsidRPr="005211DB">
        <w:t xml:space="preserve"> of the proposed deal “will bring advanced broadband services to more customers than Allied could cover economically on its own and at a much faster pace.”</w:t>
      </w:r>
      <w:r w:rsidRPr="005211DB">
        <w:rPr>
          <w:rStyle w:val="FootnoteReference"/>
        </w:rPr>
        <w:footnoteReference w:id="265"/>
      </w:r>
      <w:r w:rsidRPr="005211DB">
        <w:t xml:space="preserve">  AT&amp;T asserts that i</w:t>
      </w:r>
      <w:r w:rsidR="004C135F" w:rsidRPr="005211DB">
        <w:t>t</w:t>
      </w:r>
      <w:r w:rsidRPr="005211DB">
        <w:t>s experience, infrastructure, and supplie</w:t>
      </w:r>
      <w:r w:rsidR="004C135F" w:rsidRPr="005211DB">
        <w:t>r</w:t>
      </w:r>
      <w:r w:rsidRPr="005211DB">
        <w:t xml:space="preserve"> contracts will permit swift delivery of the benefits of an enhanced mobile Internet experience.</w:t>
      </w:r>
      <w:r w:rsidRPr="005211DB">
        <w:rPr>
          <w:rStyle w:val="FootnoteReference"/>
        </w:rPr>
        <w:footnoteReference w:id="266"/>
      </w:r>
      <w:r w:rsidRPr="005211DB">
        <w:t xml:space="preserve">  Given the lack of specificity and the information we have about the extent of AT&amp;T’s current deployment of 4</w:t>
      </w:r>
      <w:r w:rsidR="004E4D15" w:rsidRPr="005211DB">
        <w:t>G</w:t>
      </w:r>
      <w:r w:rsidRPr="005211DB">
        <w:t xml:space="preserve"> technology in the overlap markets, we are concerned about the timeliness with which AT&amp;T will act to deploy 4G offerings in the areas to be acquired from Allied.  As a result, this claimed benefit hold</w:t>
      </w:r>
      <w:r w:rsidR="004E4D15" w:rsidRPr="005211DB">
        <w:t>s</w:t>
      </w:r>
      <w:r w:rsidRPr="005211DB">
        <w:t xml:space="preserve"> only limited weight.</w:t>
      </w:r>
    </w:p>
    <w:p w:rsidR="00BF054C" w:rsidRDefault="00C14591" w:rsidP="00B93DE8">
      <w:pPr>
        <w:pStyle w:val="ParaNum"/>
      </w:pPr>
      <w:r w:rsidRPr="005211DB">
        <w:t>As discussed above, t</w:t>
      </w:r>
      <w:r w:rsidR="00B93DE8" w:rsidRPr="005211DB">
        <w:t>he Applicants initially provided little in the way of detailed support for their customer transition plans.  In particular, AT&amp;T represented that it has had experience transitioning customers in previous transactions, many of which have been far larger and with far more customers than is the case with the proposed transaction before us.</w:t>
      </w:r>
      <w:r w:rsidR="00B93DE8" w:rsidRPr="005211DB">
        <w:rPr>
          <w:rStyle w:val="FootnoteReference"/>
        </w:rPr>
        <w:footnoteReference w:id="267"/>
      </w:r>
      <w:r w:rsidR="00B93DE8" w:rsidRPr="005211DB">
        <w:t xml:space="preserve">  The Applicants then asserted that the Commission should recognize “the importance of such experience in ensuring the promised benefits will be realized.”</w:t>
      </w:r>
      <w:r w:rsidR="00B93DE8" w:rsidRPr="005211DB">
        <w:rPr>
          <w:rStyle w:val="FootnoteReference"/>
        </w:rPr>
        <w:footnoteReference w:id="268"/>
      </w:r>
      <w:r w:rsidR="00B93DE8" w:rsidRPr="005211DB">
        <w:t xml:space="preserve">  </w:t>
      </w:r>
      <w:r w:rsidR="0007225E">
        <w:t xml:space="preserve">As described above, </w:t>
      </w:r>
      <w:r w:rsidR="004E4D15" w:rsidRPr="005211DB">
        <w:t xml:space="preserve">AT&amp;T has </w:t>
      </w:r>
      <w:r w:rsidR="008556E2" w:rsidRPr="005211DB">
        <w:t xml:space="preserve">recently </w:t>
      </w:r>
      <w:r w:rsidR="004E4D15" w:rsidRPr="005211DB">
        <w:t xml:space="preserve">provided significantly more information </w:t>
      </w:r>
    </w:p>
    <w:p w:rsidR="00BF054C" w:rsidRDefault="00BF054C">
      <w:r>
        <w:br w:type="page"/>
      </w:r>
    </w:p>
    <w:p w:rsidR="00B93DE8" w:rsidRPr="005211DB" w:rsidRDefault="004E4D15" w:rsidP="00BF054C">
      <w:pPr>
        <w:pStyle w:val="ParaNum"/>
        <w:numPr>
          <w:ilvl w:val="0"/>
          <w:numId w:val="0"/>
        </w:numPr>
      </w:pPr>
      <w:r w:rsidRPr="005211DB">
        <w:t>about the steps it plans to take to transition Allied’s postpaid</w:t>
      </w:r>
      <w:r w:rsidR="008556E2" w:rsidRPr="005211DB">
        <w:t>,</w:t>
      </w:r>
      <w:r w:rsidRPr="005211DB">
        <w:t xml:space="preserve"> prepaid</w:t>
      </w:r>
      <w:r w:rsidR="008556E2" w:rsidRPr="005211DB">
        <w:t xml:space="preserve">, and </w:t>
      </w:r>
      <w:r w:rsidR="00B83EE3">
        <w:t>L</w:t>
      </w:r>
      <w:r w:rsidR="008556E2" w:rsidRPr="005211DB">
        <w:t>ifeline</w:t>
      </w:r>
      <w:r w:rsidRPr="005211DB">
        <w:t xml:space="preserve"> customers.</w:t>
      </w:r>
      <w:r w:rsidRPr="005211DB">
        <w:rPr>
          <w:rStyle w:val="FootnoteReference"/>
        </w:rPr>
        <w:footnoteReference w:id="269"/>
      </w:r>
      <w:r w:rsidRPr="005211DB">
        <w:t xml:space="preserve">  </w:t>
      </w:r>
      <w:r w:rsidR="00B93DE8" w:rsidRPr="005211DB">
        <w:t xml:space="preserve">Nonetheless, without the commitments AT&amp;T is making regarding transition of Allied customers to the AT&amp;T network, we would be unable to find that AT&amp;T’s customer transition plans are </w:t>
      </w:r>
      <w:r w:rsidR="008556E2" w:rsidRPr="005211DB">
        <w:t>sufficient under</w:t>
      </w:r>
      <w:r w:rsidR="00B93DE8" w:rsidRPr="005211DB">
        <w:t xml:space="preserve"> our public interest </w:t>
      </w:r>
      <w:r w:rsidR="008556E2" w:rsidRPr="005211DB">
        <w:t>review</w:t>
      </w:r>
      <w:r w:rsidR="00B93DE8" w:rsidRPr="005211DB">
        <w:t>.</w:t>
      </w:r>
    </w:p>
    <w:p w:rsidR="004C135F" w:rsidRPr="005211DB" w:rsidRDefault="004C135F" w:rsidP="008556E2">
      <w:pPr>
        <w:pStyle w:val="ParaNum"/>
      </w:pPr>
      <w:r w:rsidRPr="005211DB">
        <w:t xml:space="preserve">Our evaluation of the claimed public interest benefits </w:t>
      </w:r>
      <w:r w:rsidR="008556E2" w:rsidRPr="005211DB">
        <w:t xml:space="preserve">gives limited weight to many of the benefits presented that would go to </w:t>
      </w:r>
      <w:r w:rsidRPr="005211DB">
        <w:t xml:space="preserve">Allied’s customers as a result of the proposed transaction, </w:t>
      </w:r>
      <w:r w:rsidR="008556E2" w:rsidRPr="005211DB">
        <w:t xml:space="preserve">such as their </w:t>
      </w:r>
      <w:r w:rsidRPr="005211DB">
        <w:t>gain</w:t>
      </w:r>
      <w:r w:rsidR="008556E2" w:rsidRPr="005211DB">
        <w:t>ing</w:t>
      </w:r>
      <w:r w:rsidRPr="005211DB">
        <w:t xml:space="preserve"> access to expanded features and service offerings such as a more robust set of data services, free access to 31,000 Wi-Fi hotspots for eligible subscribers, access to AT&amp;T’s nationwide footprint when traveling</w:t>
      </w:r>
      <w:r w:rsidR="008556E2" w:rsidRPr="005211DB">
        <w:t>,</w:t>
      </w:r>
      <w:r w:rsidRPr="005211DB">
        <w:rPr>
          <w:rStyle w:val="FootnoteReference"/>
        </w:rPr>
        <w:footnoteReference w:id="270"/>
      </w:r>
      <w:r w:rsidRPr="005211DB">
        <w:t xml:space="preserve"> </w:t>
      </w:r>
      <w:r w:rsidR="008556E2" w:rsidRPr="005211DB">
        <w:t>and</w:t>
      </w:r>
      <w:r w:rsidRPr="005211DB">
        <w:t xml:space="preserve"> wireline/wireless bundles in parts of 97 counties in 21 CMAs across five clusters.</w:t>
      </w:r>
      <w:r w:rsidRPr="005211DB">
        <w:rPr>
          <w:rStyle w:val="FootnoteReference"/>
        </w:rPr>
        <w:footnoteReference w:id="271"/>
      </w:r>
      <w:r w:rsidRPr="005211DB">
        <w:t xml:space="preserve">  </w:t>
      </w:r>
      <w:r w:rsidR="008556E2" w:rsidRPr="005211DB">
        <w:t>These asserted benefits are already available to Allied customers in locations where AT&amp;T is already offering these services as a competitor to Allied.</w:t>
      </w:r>
    </w:p>
    <w:p w:rsidR="005060A0" w:rsidRPr="005211DB" w:rsidRDefault="00742F27" w:rsidP="007D75BB">
      <w:pPr>
        <w:pStyle w:val="ParaNum"/>
      </w:pPr>
      <w:r w:rsidRPr="005211DB">
        <w:t>The Applicants assert that the transaction would expand network coverage in many predominantly rural areas.</w:t>
      </w:r>
      <w:r w:rsidRPr="005211DB">
        <w:rPr>
          <w:rStyle w:val="FootnoteReference"/>
        </w:rPr>
        <w:footnoteReference w:id="272"/>
      </w:r>
      <w:r w:rsidRPr="005211DB">
        <w:t xml:space="preserve">  </w:t>
      </w:r>
      <w:r w:rsidR="00482DDB" w:rsidRPr="005211DB">
        <w:t>However, we find</w:t>
      </w:r>
      <w:r w:rsidR="008556E2" w:rsidRPr="005211DB">
        <w:t>,</w:t>
      </w:r>
      <w:r w:rsidR="00482DDB" w:rsidRPr="005211DB">
        <w:t xml:space="preserve"> based on the record and our analysis of the dat</w:t>
      </w:r>
      <w:r w:rsidR="006466C3" w:rsidRPr="005211DB">
        <w:t>a</w:t>
      </w:r>
      <w:r w:rsidR="00482DDB" w:rsidRPr="005211DB">
        <w:t xml:space="preserve">, </w:t>
      </w:r>
      <w:r w:rsidR="008556E2" w:rsidRPr="005211DB">
        <w:t xml:space="preserve">that </w:t>
      </w:r>
      <w:r w:rsidR="00482DDB" w:rsidRPr="005211DB">
        <w:t xml:space="preserve">there is already substantial </w:t>
      </w:r>
      <w:r w:rsidR="00DD6AA0" w:rsidRPr="005211DB">
        <w:t xml:space="preserve">geographical </w:t>
      </w:r>
      <w:r w:rsidR="00482DDB" w:rsidRPr="005211DB">
        <w:t>overlap</w:t>
      </w:r>
      <w:r w:rsidR="004755E2" w:rsidRPr="005211DB">
        <w:t xml:space="preserve"> between the networks of the two providers</w:t>
      </w:r>
      <w:r w:rsidR="006466C3" w:rsidRPr="005211DB">
        <w:t xml:space="preserve">.  </w:t>
      </w:r>
      <w:r w:rsidR="0010099E" w:rsidRPr="005211DB">
        <w:t>This claimed benefit accordingly is not particularly compelling.</w:t>
      </w:r>
      <w:r w:rsidR="004755E2" w:rsidRPr="005211DB">
        <w:t xml:space="preserve">  </w:t>
      </w:r>
    </w:p>
    <w:p w:rsidR="00D957F5" w:rsidRPr="005211DB" w:rsidRDefault="00BF5391" w:rsidP="007D75BB">
      <w:pPr>
        <w:pStyle w:val="ParaNum"/>
      </w:pPr>
      <w:r w:rsidRPr="005211DB">
        <w:t xml:space="preserve">Our analysis of the cost savings </w:t>
      </w:r>
      <w:r w:rsidR="008F205D" w:rsidRPr="005211DB">
        <w:t xml:space="preserve">that </w:t>
      </w:r>
      <w:r w:rsidRPr="005211DB">
        <w:t>the Applicants contend the proposed transaction would yield indicates that, although notable, they mostly are due to reductions in fixed costs.  We generally find that reductions in fixed cost are less cognizable than reductions in marginal costs because the</w:t>
      </w:r>
      <w:r w:rsidR="008F205D" w:rsidRPr="005211DB">
        <w:t xml:space="preserve"> former are</w:t>
      </w:r>
      <w:r w:rsidRPr="005211DB">
        <w:t xml:space="preserve"> less likely to result in lower prices for consumers,</w:t>
      </w:r>
      <w:r w:rsidRPr="005211DB">
        <w:rPr>
          <w:rStyle w:val="FootnoteReference"/>
        </w:rPr>
        <w:footnoteReference w:id="273"/>
      </w:r>
      <w:r w:rsidRPr="005211DB">
        <w:t xml:space="preserve"> making it difficult here to quantify the magnitude of these asserted benefits.</w:t>
      </w:r>
    </w:p>
    <w:p w:rsidR="00482DDB" w:rsidRPr="005211DB" w:rsidRDefault="00482DDB" w:rsidP="007D75BB">
      <w:pPr>
        <w:pStyle w:val="ParaNum"/>
      </w:pPr>
      <w:r w:rsidRPr="005211DB">
        <w:t>We find, based on the record before us and the Applicants’ claims as discussed above, that certain public interest benefits may potentially result from the proposed transaction.  However, using the sliding-scale approach, we are unable on the basis of this record to conclude that these public interest benefits are sufficiently large to outweigh the potential public interest harms we have identified in certain individual markets.</w:t>
      </w:r>
    </w:p>
    <w:p w:rsidR="00CA13F1" w:rsidRPr="005211DB" w:rsidRDefault="00CA13F1" w:rsidP="00BD79B8">
      <w:pPr>
        <w:pStyle w:val="Heading2"/>
      </w:pPr>
      <w:bookmarkStart w:id="859" w:name="_Toc366145548"/>
      <w:bookmarkStart w:id="860" w:name="_Toc366145756"/>
      <w:bookmarkStart w:id="861" w:name="_Toc366145872"/>
      <w:bookmarkStart w:id="862" w:name="_Toc366249619"/>
      <w:bookmarkStart w:id="863" w:name="_Toc366758014"/>
      <w:bookmarkStart w:id="864" w:name="_Toc366855804"/>
      <w:bookmarkStart w:id="865" w:name="_Toc366856285"/>
      <w:bookmarkStart w:id="866" w:name="_Toc367108940"/>
      <w:bookmarkStart w:id="867" w:name="_Toc367372979"/>
      <w:bookmarkStart w:id="868" w:name="_Toc367440587"/>
      <w:r w:rsidRPr="005211DB">
        <w:t>Remedies</w:t>
      </w:r>
      <w:bookmarkEnd w:id="859"/>
      <w:bookmarkEnd w:id="860"/>
      <w:bookmarkEnd w:id="861"/>
      <w:bookmarkEnd w:id="862"/>
      <w:bookmarkEnd w:id="863"/>
      <w:bookmarkEnd w:id="864"/>
      <w:bookmarkEnd w:id="865"/>
      <w:bookmarkEnd w:id="866"/>
      <w:bookmarkEnd w:id="867"/>
      <w:bookmarkEnd w:id="868"/>
    </w:p>
    <w:p w:rsidR="00BF054C" w:rsidRDefault="00BD79B8" w:rsidP="00BD79B8">
      <w:pPr>
        <w:pStyle w:val="ParaNum"/>
      </w:pPr>
      <w:r w:rsidRPr="005211DB">
        <w:t>The Commission’s review of a proposed transaction entails a thorough examination of the potential public interest harms and any verifiable, transaction-specific benefits, including any voluntary commitments made by the Applicants to further the public interest.  As part of this process, the Commission may impose additional remedial conditions to address potential harms likely to result from the proposed transaction or to help ensure the realization of any promised potential benefits.</w:t>
      </w:r>
      <w:r w:rsidRPr="005211DB">
        <w:rPr>
          <w:vertAlign w:val="superscript"/>
        </w:rPr>
        <w:footnoteReference w:id="274"/>
      </w:r>
      <w:r w:rsidRPr="005211DB">
        <w:t xml:space="preserve">  If, on balance, after taking into consideration any voluntary commitments and additional remedial conditions, the potential benefits associated with the proposed transaction outweigh any remaining potential harms, </w:t>
      </w:r>
    </w:p>
    <w:p w:rsidR="00BD79B8" w:rsidRPr="005211DB" w:rsidRDefault="00BD79B8" w:rsidP="00BF054C">
      <w:pPr>
        <w:pStyle w:val="ParaNum"/>
        <w:numPr>
          <w:ilvl w:val="0"/>
          <w:numId w:val="0"/>
        </w:numPr>
      </w:pPr>
      <w:r w:rsidRPr="005211DB">
        <w:t>the Commission would find that the proposed transaction serves the public interest.</w:t>
      </w:r>
      <w:r w:rsidR="00F26D82" w:rsidRPr="005211DB">
        <w:t xml:space="preserve">  We note that the Commission has held that it will impose conditions only to remedy harms that arise from the transaction (i.e., transaction-specific harms) and that are related to the Commission’s responsibilities under the Communications Act and related statutes.</w:t>
      </w:r>
      <w:r w:rsidR="00F26D82" w:rsidRPr="005211DB">
        <w:rPr>
          <w:rStyle w:val="FootnoteReference"/>
        </w:rPr>
        <w:footnoteReference w:id="275"/>
      </w:r>
    </w:p>
    <w:p w:rsidR="00BD79B8" w:rsidRPr="005211DB" w:rsidRDefault="00D14DB6" w:rsidP="008107E9">
      <w:pPr>
        <w:pStyle w:val="ParaNum"/>
      </w:pPr>
      <w:r w:rsidRPr="005211DB">
        <w:t>As described above, u</w:t>
      </w:r>
      <w:r w:rsidR="00BF5391" w:rsidRPr="005211DB">
        <w:t xml:space="preserve">nder our sliding-scale approach we cannot conclude </w:t>
      </w:r>
      <w:r w:rsidRPr="005211DB">
        <w:t xml:space="preserve">based on this record </w:t>
      </w:r>
      <w:r w:rsidR="00BF5391" w:rsidRPr="005211DB">
        <w:t>that the potential benefits are sufficiently large</w:t>
      </w:r>
      <w:r w:rsidRPr="005211DB">
        <w:t xml:space="preserve">, specific, and </w:t>
      </w:r>
      <w:r w:rsidR="00BF5391" w:rsidRPr="005211DB">
        <w:t xml:space="preserve">imminent to outweigh these potential harms.  </w:t>
      </w:r>
      <w:r w:rsidR="00F26D82" w:rsidRPr="005211DB">
        <w:t xml:space="preserve">In conjunction with recent filings supplementing the record on some key issues, however, </w:t>
      </w:r>
      <w:r w:rsidR="00BF5391" w:rsidRPr="005211DB">
        <w:t xml:space="preserve">AT&amp;T has made several voluntary commitments that, when coupled with the </w:t>
      </w:r>
      <w:r w:rsidR="0007225E">
        <w:t>potential</w:t>
      </w:r>
      <w:r w:rsidR="0007225E" w:rsidRPr="005211DB">
        <w:t xml:space="preserve"> </w:t>
      </w:r>
      <w:r w:rsidR="00BF5391" w:rsidRPr="005211DB">
        <w:t>benefits, allow us to find that the proposed transaction overall would be in the public interest.</w:t>
      </w:r>
      <w:r w:rsidR="00F26D82" w:rsidRPr="005211DB">
        <w:t xml:space="preserve">  In particular, </w:t>
      </w:r>
      <w:r w:rsidR="00BD79B8" w:rsidRPr="005211DB">
        <w:t xml:space="preserve">AT&amp;T </w:t>
      </w:r>
      <w:r w:rsidR="00ED031D" w:rsidRPr="005211DB">
        <w:t xml:space="preserve">filed a letter on September </w:t>
      </w:r>
      <w:r w:rsidR="005F587A">
        <w:t>18</w:t>
      </w:r>
      <w:r w:rsidR="005F587A" w:rsidRPr="005211DB">
        <w:t xml:space="preserve">, </w:t>
      </w:r>
      <w:r w:rsidR="00ED031D" w:rsidRPr="005211DB">
        <w:t>2013,</w:t>
      </w:r>
      <w:r w:rsidR="00ED2FC4">
        <w:rPr>
          <w:rStyle w:val="FootnoteReference"/>
        </w:rPr>
        <w:footnoteReference w:id="276"/>
      </w:r>
      <w:r w:rsidR="00ED031D" w:rsidRPr="005211DB">
        <w:t xml:space="preserve"> in which it </w:t>
      </w:r>
      <w:r w:rsidR="00BD79B8" w:rsidRPr="005211DB">
        <w:t xml:space="preserve">has </w:t>
      </w:r>
      <w:r w:rsidR="00D333F0" w:rsidRPr="005211DB">
        <w:t xml:space="preserve">voluntarily </w:t>
      </w:r>
      <w:r w:rsidR="00BD79B8" w:rsidRPr="005211DB">
        <w:t>committed to undertake an aggressive build-out</w:t>
      </w:r>
      <w:r w:rsidRPr="005211DB">
        <w:t xml:space="preserve"> schedule for upgraded networks in</w:t>
      </w:r>
      <w:r w:rsidR="00BD79B8" w:rsidRPr="005211DB">
        <w:t xml:space="preserve"> the </w:t>
      </w:r>
      <w:r w:rsidRPr="005211DB">
        <w:t xml:space="preserve">Allied service areas that </w:t>
      </w:r>
      <w:r w:rsidR="00BD79B8" w:rsidRPr="005211DB">
        <w:t>it is acquiring through these transactions,</w:t>
      </w:r>
      <w:r w:rsidR="000B68DD" w:rsidRPr="005211DB">
        <w:rPr>
          <w:rStyle w:val="FootnoteReference"/>
        </w:rPr>
        <w:footnoteReference w:id="277"/>
      </w:r>
      <w:r w:rsidR="00BD79B8" w:rsidRPr="005211DB">
        <w:t xml:space="preserve"> as well as provided a roaming commitment</w:t>
      </w:r>
      <w:r w:rsidRPr="005211DB">
        <w:t xml:space="preserve"> that helps ensure a reasonable transition for </w:t>
      </w:r>
      <w:r w:rsidR="00BF4640">
        <w:t>providers</w:t>
      </w:r>
      <w:r w:rsidR="00BF4640" w:rsidRPr="005211DB">
        <w:t xml:space="preserve"> </w:t>
      </w:r>
      <w:r w:rsidRPr="005211DB">
        <w:t xml:space="preserve">who have been relying on CDMA and </w:t>
      </w:r>
      <w:r w:rsidR="00BF4640">
        <w:t>Evolution Data Optimized (“</w:t>
      </w:r>
      <w:r w:rsidRPr="005211DB">
        <w:t>EV-DO</w:t>
      </w:r>
      <w:r w:rsidR="00BF4640">
        <w:t>”)</w:t>
      </w:r>
      <w:r w:rsidRPr="005211DB">
        <w:t xml:space="preserve"> roaming through the Allied networks</w:t>
      </w:r>
      <w:r w:rsidR="00BD79B8" w:rsidRPr="005211DB">
        <w:t>.</w:t>
      </w:r>
      <w:r w:rsidR="000B68DD" w:rsidRPr="005211DB">
        <w:rPr>
          <w:rStyle w:val="FootnoteReference"/>
        </w:rPr>
        <w:footnoteReference w:id="278"/>
      </w:r>
      <w:r w:rsidR="00BD79B8" w:rsidRPr="005211DB">
        <w:t xml:space="preserve"> </w:t>
      </w:r>
      <w:r w:rsidR="0047309A" w:rsidRPr="005211DB">
        <w:t xml:space="preserve"> </w:t>
      </w:r>
      <w:r w:rsidR="00BD79B8" w:rsidRPr="005211DB">
        <w:t>Further, AT&amp;T has provided certain commitments with respect to customer transition and migration.</w:t>
      </w:r>
      <w:r w:rsidR="000B68DD" w:rsidRPr="005211DB">
        <w:rPr>
          <w:rStyle w:val="FootnoteReference"/>
        </w:rPr>
        <w:footnoteReference w:id="279"/>
      </w:r>
      <w:r w:rsidR="00ED031D" w:rsidRPr="005211DB">
        <w:t xml:space="preserve">  </w:t>
      </w:r>
    </w:p>
    <w:p w:rsidR="00581258" w:rsidRPr="005211DB" w:rsidRDefault="00280F66" w:rsidP="000753D2">
      <w:pPr>
        <w:pStyle w:val="Heading3"/>
      </w:pPr>
      <w:bookmarkStart w:id="869" w:name="_Toc366758017"/>
      <w:bookmarkStart w:id="870" w:name="_Toc366855805"/>
      <w:bookmarkStart w:id="871" w:name="_Toc366856286"/>
      <w:bookmarkStart w:id="872" w:name="_Toc367108941"/>
      <w:bookmarkStart w:id="873" w:name="_Toc367372980"/>
      <w:bookmarkStart w:id="874" w:name="_Toc367440588"/>
      <w:r w:rsidRPr="005211DB">
        <w:t xml:space="preserve">Network Deployment </w:t>
      </w:r>
      <w:r w:rsidR="00581258" w:rsidRPr="005211DB">
        <w:t>Commitments</w:t>
      </w:r>
      <w:bookmarkEnd w:id="869"/>
      <w:bookmarkEnd w:id="870"/>
      <w:bookmarkEnd w:id="871"/>
      <w:bookmarkEnd w:id="872"/>
      <w:bookmarkEnd w:id="873"/>
      <w:bookmarkEnd w:id="874"/>
    </w:p>
    <w:p w:rsidR="00C972D8" w:rsidRPr="005211DB" w:rsidRDefault="00FF00C1" w:rsidP="00943799">
      <w:pPr>
        <w:pStyle w:val="ParaNum"/>
      </w:pPr>
      <w:r w:rsidRPr="005211DB">
        <w:t>AT&amp;T has committed to deploy 4G HSPA+ service at all current Allied cell sites that will be integrated into the AT&amp;T network within 15 months of the transaction closing.</w:t>
      </w:r>
      <w:r w:rsidRPr="005211DB">
        <w:rPr>
          <w:rStyle w:val="FootnoteReference"/>
        </w:rPr>
        <w:footnoteReference w:id="280"/>
      </w:r>
      <w:r w:rsidRPr="005211DB">
        <w:t xml:space="preserve">  Similarly, AT&amp;T has committed</w:t>
      </w:r>
      <w:r w:rsidR="00692813" w:rsidRPr="005211DB">
        <w:t>,</w:t>
      </w:r>
      <w:r w:rsidRPr="005211DB">
        <w:t xml:space="preserve"> within 18 months of the transaction closing</w:t>
      </w:r>
      <w:r w:rsidR="00692813" w:rsidRPr="005211DB">
        <w:t>, to deploy 4G LTE service at all current Allied cell sites that will be integrated into the AT&amp;T network, and at which AT&amp;T holds AWS-1 or Lower 700 MHz Band B or C Block spectrum and where high speed backhaul service is currently available</w:t>
      </w:r>
      <w:r w:rsidR="0026762E" w:rsidRPr="005211DB">
        <w:rPr>
          <w:rStyle w:val="FootnoteReference"/>
        </w:rPr>
        <w:footnoteReference w:id="281"/>
      </w:r>
      <w:r w:rsidR="00692813" w:rsidRPr="005211DB">
        <w:t xml:space="preserve"> to AT&amp;T.</w:t>
      </w:r>
      <w:r w:rsidR="0026762E" w:rsidRPr="005211DB">
        <w:rPr>
          <w:rStyle w:val="FootnoteReference"/>
        </w:rPr>
        <w:footnoteReference w:id="282"/>
      </w:r>
      <w:r w:rsidR="00EC73B2" w:rsidRPr="005211DB">
        <w:t xml:space="preserve">  AT&amp;T expects to deploy high speed broadband service at an additional </w:t>
      </w:r>
      <w:r w:rsidR="00BF4640">
        <w:t>ten</w:t>
      </w:r>
      <w:r w:rsidR="00EC73B2" w:rsidRPr="005211DB">
        <w:t xml:space="preserve"> percent of the integrated cell sites within 36 months after the date of the transaction closing.</w:t>
      </w:r>
      <w:r w:rsidR="004A4CC2">
        <w:rPr>
          <w:rStyle w:val="FootnoteReference"/>
        </w:rPr>
        <w:footnoteReference w:id="283"/>
      </w:r>
      <w:r w:rsidR="00280F66" w:rsidRPr="005211DB">
        <w:t xml:space="preserve">  Based on AT&amp;T’s anticipated deployment schedule, AT&amp;T estimates that 100 percent of </w:t>
      </w:r>
      <w:r w:rsidR="004A4CC2">
        <w:t>the population covered</w:t>
      </w:r>
      <w:r w:rsidR="004A4CC2" w:rsidRPr="005211DB">
        <w:t xml:space="preserve"> </w:t>
      </w:r>
      <w:r w:rsidR="00280F66" w:rsidRPr="005211DB">
        <w:t>in the Allied markets will have access to HSPA+ services on AT&amp;T’s network within 15 months of closing.</w:t>
      </w:r>
      <w:r w:rsidR="004A4CC2">
        <w:rPr>
          <w:rStyle w:val="FootnoteReference"/>
        </w:rPr>
        <w:footnoteReference w:id="284"/>
      </w:r>
      <w:r w:rsidR="00280F66" w:rsidRPr="005211DB">
        <w:t xml:space="preserve">  AT&amp;T further estimates that </w:t>
      </w:r>
      <w:r w:rsidR="0007225E">
        <w:t>75</w:t>
      </w:r>
      <w:r w:rsidR="0007225E" w:rsidRPr="005211DB">
        <w:t xml:space="preserve"> </w:t>
      </w:r>
      <w:r w:rsidR="00280F66" w:rsidRPr="005211DB">
        <w:t xml:space="preserve">percent of </w:t>
      </w:r>
      <w:r w:rsidR="004A4CC2">
        <w:t>the population covered</w:t>
      </w:r>
      <w:r w:rsidR="004A4CC2" w:rsidRPr="005211DB">
        <w:t xml:space="preserve"> </w:t>
      </w:r>
      <w:r w:rsidR="00280F66" w:rsidRPr="005211DB">
        <w:t xml:space="preserve">in the Allied markets will have access to LTE services on AT&amp;T’s network within 18 months of closing and </w:t>
      </w:r>
      <w:r w:rsidR="004A4CC2">
        <w:t xml:space="preserve">approximately </w:t>
      </w:r>
      <w:r w:rsidR="0007225E">
        <w:t>85</w:t>
      </w:r>
      <w:r w:rsidR="00280F66" w:rsidRPr="005211DB">
        <w:t xml:space="preserve"> percent within 36 months of closing.</w:t>
      </w:r>
      <w:r w:rsidR="004A4CC2">
        <w:rPr>
          <w:rStyle w:val="FootnoteReference"/>
        </w:rPr>
        <w:footnoteReference w:id="285"/>
      </w:r>
    </w:p>
    <w:p w:rsidR="00FF387A" w:rsidRDefault="008B4B9F" w:rsidP="00FF387A">
      <w:pPr>
        <w:pStyle w:val="ParaNum"/>
      </w:pPr>
      <w:r>
        <w:t>W</w:t>
      </w:r>
      <w:r w:rsidRPr="005211DB">
        <w:t xml:space="preserve">e </w:t>
      </w:r>
      <w:r>
        <w:t xml:space="preserve">find that these commitments will lead to </w:t>
      </w:r>
      <w:r w:rsidRPr="005211DB">
        <w:t>significant public interest benefits regarding access to advanced broadband technologies</w:t>
      </w:r>
      <w:r>
        <w:t xml:space="preserve"> </w:t>
      </w:r>
      <w:r w:rsidRPr="005211DB">
        <w:t xml:space="preserve">by </w:t>
      </w:r>
      <w:r>
        <w:t>consu</w:t>
      </w:r>
      <w:r w:rsidRPr="005211DB">
        <w:t xml:space="preserve">mers </w:t>
      </w:r>
      <w:r>
        <w:t xml:space="preserve">in these service territories, including customers </w:t>
      </w:r>
      <w:r w:rsidRPr="005211DB">
        <w:t>of both Allied and AT&amp;T</w:t>
      </w:r>
      <w:r>
        <w:t xml:space="preserve">. </w:t>
      </w:r>
      <w:r w:rsidRPr="005211DB">
        <w:t xml:space="preserve"> </w:t>
      </w:r>
      <w:r>
        <w:t>For instance, in</w:t>
      </w:r>
      <w:r w:rsidR="00FF387A">
        <w:t xml:space="preserve"> the 30 markets subject to the proposed transaction, </w:t>
      </w:r>
      <w:r w:rsidR="009F3015">
        <w:t xml:space="preserve">we find that </w:t>
      </w:r>
      <w:r w:rsidR="00FF387A">
        <w:t>there would be an approximate 20 percent gain in HSPA+ population coverage, and a 27 percent gain in HSPA+ land area coverage</w:t>
      </w:r>
      <w:r>
        <w:t xml:space="preserve"> as a result of these commitments.  In addition, we estimate that the benefits in</w:t>
      </w:r>
      <w:r w:rsidR="00FF387A">
        <w:t xml:space="preserve"> </w:t>
      </w:r>
      <w:r>
        <w:t xml:space="preserve">coverage are greater in the ten local markets in which we find harms are likely – with </w:t>
      </w:r>
      <w:r w:rsidR="00FF387A">
        <w:t>an approximate 33 percent gain in population coverage and a 39 percent in land area</w:t>
      </w:r>
      <w:r>
        <w:t>.</w:t>
      </w:r>
      <w:r w:rsidR="00FF387A">
        <w:rPr>
          <w:rStyle w:val="FootnoteReference"/>
        </w:rPr>
        <w:footnoteReference w:id="286"/>
      </w:r>
      <w:r w:rsidR="00FF387A">
        <w:t xml:space="preserve">  </w:t>
      </w:r>
      <w:r w:rsidR="006B213E">
        <w:t>As one example, i</w:t>
      </w:r>
      <w:r w:rsidR="00FF387A">
        <w:t xml:space="preserve">n Georgia, </w:t>
      </w:r>
      <w:r w:rsidR="006B213E">
        <w:t>where</w:t>
      </w:r>
      <w:r w:rsidR="00FF387A">
        <w:t xml:space="preserve"> we find harm likely in five of the markets, the gains from increased HSPA+ coverage would </w:t>
      </w:r>
      <w:r w:rsidR="006B213E">
        <w:t xml:space="preserve">encompass </w:t>
      </w:r>
      <w:r w:rsidR="00FF387A">
        <w:t>approximately 29 percent of the population and 53 percent of the land area</w:t>
      </w:r>
      <w:r w:rsidR="006B213E">
        <w:t xml:space="preserve">, and would result in 15 months in HSPA+ coverage of </w:t>
      </w:r>
      <w:r w:rsidR="00DF3B64">
        <w:t>close to 100</w:t>
      </w:r>
      <w:r w:rsidR="006B213E">
        <w:t xml:space="preserve"> percent of the population and approximately </w:t>
      </w:r>
      <w:r w:rsidR="00A1238F">
        <w:t>83</w:t>
      </w:r>
      <w:r w:rsidR="006B213E">
        <w:t xml:space="preserve"> percent of the land area in these markets</w:t>
      </w:r>
      <w:r w:rsidR="00FF387A">
        <w:t xml:space="preserve">.  </w:t>
      </w:r>
      <w:r w:rsidR="00C0417F">
        <w:t>Finally</w:t>
      </w:r>
      <w:r w:rsidR="00FF387A">
        <w:t xml:space="preserve">, </w:t>
      </w:r>
      <w:r w:rsidR="00C0417F">
        <w:t xml:space="preserve">we </w:t>
      </w:r>
      <w:r w:rsidR="00DF3B64">
        <w:t xml:space="preserve">estimate </w:t>
      </w:r>
      <w:r w:rsidR="00C0417F">
        <w:t xml:space="preserve">that </w:t>
      </w:r>
      <w:r w:rsidR="00FF387A" w:rsidRPr="00061517">
        <w:t xml:space="preserve">AT&amp;T currently covers </w:t>
      </w:r>
      <w:r w:rsidR="00C0417F" w:rsidRPr="00061517">
        <w:t xml:space="preserve">only </w:t>
      </w:r>
      <w:r w:rsidR="00FF387A" w:rsidRPr="00061517">
        <w:t xml:space="preserve">approximately 22 percent of the population of the Allied markets with LTE, </w:t>
      </w:r>
      <w:r w:rsidR="00C0417F" w:rsidRPr="00061517">
        <w:t>so that</w:t>
      </w:r>
      <w:r w:rsidR="00FF387A" w:rsidRPr="00061517">
        <w:t xml:space="preserve"> </w:t>
      </w:r>
      <w:r w:rsidR="00C0417F" w:rsidRPr="00061517">
        <w:t>AT&amp;T’s</w:t>
      </w:r>
      <w:r w:rsidR="00FF387A" w:rsidRPr="00061517">
        <w:t xml:space="preserve"> </w:t>
      </w:r>
      <w:r w:rsidR="00C0417F" w:rsidRPr="00061517">
        <w:t xml:space="preserve">estimated increase in LTE coverage to </w:t>
      </w:r>
      <w:r w:rsidR="00FF387A" w:rsidRPr="00061517">
        <w:t>75 percent of th</w:t>
      </w:r>
      <w:r w:rsidR="00EE6FF9" w:rsidRPr="00061517">
        <w:t>is</w:t>
      </w:r>
      <w:r w:rsidR="00FF387A" w:rsidRPr="00061517">
        <w:t xml:space="preserve"> population </w:t>
      </w:r>
      <w:r w:rsidRPr="00061517">
        <w:t>with</w:t>
      </w:r>
      <w:r w:rsidR="00C0417F" w:rsidRPr="00061517">
        <w:t>in</w:t>
      </w:r>
      <w:r w:rsidRPr="00061517">
        <w:t xml:space="preserve"> 18 months</w:t>
      </w:r>
      <w:r w:rsidR="009F3015" w:rsidRPr="00061517">
        <w:t xml:space="preserve"> would</w:t>
      </w:r>
      <w:r w:rsidR="00FF387A" w:rsidRPr="00061517">
        <w:t xml:space="preserve"> </w:t>
      </w:r>
      <w:r w:rsidR="00C0417F" w:rsidRPr="00061517">
        <w:t>more than triple its current LTE coverage, resulting in more than half of the population in these markets receiving LTE coverage tha</w:t>
      </w:r>
      <w:r w:rsidR="00A1238F">
        <w:t>t</w:t>
      </w:r>
      <w:r w:rsidR="00C0417F" w:rsidRPr="00061517">
        <w:t xml:space="preserve"> they do not have today</w:t>
      </w:r>
      <w:r w:rsidR="00FF387A" w:rsidRPr="00061517">
        <w:t xml:space="preserve">.  </w:t>
      </w:r>
    </w:p>
    <w:p w:rsidR="0007225E" w:rsidRDefault="008B4B9F" w:rsidP="0007225E">
      <w:pPr>
        <w:pStyle w:val="ParaNum"/>
      </w:pPr>
      <w:r>
        <w:t>Accordingly, w</w:t>
      </w:r>
      <w:r w:rsidR="0007225E" w:rsidRPr="005211DB">
        <w:t xml:space="preserve">e impose the commitments made by AT&amp;T with respect to network buildout as a condition of our consent to the proposed transaction.  AT&amp;T’s commitments outlined above will help to ensure that all consumers in the current Allied service territories will benefit from the deployment of advanced 4G network technologies.  </w:t>
      </w:r>
    </w:p>
    <w:p w:rsidR="00F41256" w:rsidRPr="005211DB" w:rsidRDefault="00F41256" w:rsidP="000753D2">
      <w:pPr>
        <w:pStyle w:val="Heading3"/>
      </w:pPr>
      <w:bookmarkStart w:id="875" w:name="_Toc366758018"/>
      <w:bookmarkStart w:id="876" w:name="_Toc366855806"/>
      <w:bookmarkStart w:id="877" w:name="_Toc366856287"/>
      <w:bookmarkStart w:id="878" w:name="_Toc367108942"/>
      <w:bookmarkStart w:id="879" w:name="_Toc367372981"/>
      <w:bookmarkStart w:id="880" w:name="_Toc367440589"/>
      <w:r w:rsidRPr="005211DB">
        <w:t>Roaming Commitments</w:t>
      </w:r>
      <w:bookmarkEnd w:id="875"/>
      <w:bookmarkEnd w:id="876"/>
      <w:bookmarkEnd w:id="877"/>
      <w:bookmarkEnd w:id="878"/>
      <w:bookmarkEnd w:id="879"/>
      <w:bookmarkEnd w:id="880"/>
    </w:p>
    <w:p w:rsidR="00E94F81" w:rsidRPr="005211DB" w:rsidRDefault="00E94F81" w:rsidP="00E94F81">
      <w:pPr>
        <w:pStyle w:val="ParaNum"/>
      </w:pPr>
      <w:r w:rsidRPr="005211DB">
        <w:t>AT&amp;T has committed to offer CDMA voice and data roaming services, consistent with applicable Commission rules, over Allied’s 3G EV</w:t>
      </w:r>
      <w:r w:rsidR="00BF4640">
        <w:t>-</w:t>
      </w:r>
      <w:r w:rsidRPr="005211DB">
        <w:t>DO network until at least June 15, 2015 (except at nine sites in CMA 381 and CMA 384).</w:t>
      </w:r>
      <w:r w:rsidRPr="005211DB">
        <w:rPr>
          <w:rStyle w:val="FootnoteReference"/>
        </w:rPr>
        <w:footnoteReference w:id="287"/>
      </w:r>
      <w:r w:rsidRPr="005211DB">
        <w:t xml:space="preserve">  AT&amp;T commits to honoring the prices, terms, and conditions of the roaming agreements that it is assuming from Allied.</w:t>
      </w:r>
      <w:r w:rsidRPr="005211DB">
        <w:rPr>
          <w:rStyle w:val="FootnoteReference"/>
        </w:rPr>
        <w:footnoteReference w:id="288"/>
      </w:r>
      <w:r w:rsidRPr="005211DB">
        <w:t xml:space="preserve">  AT&amp;T’s commitment would apply only to properties it is acquiring as a result of the transaction with Allied (except as otherwise excluded), and does not apply to any properties that AT&amp;T would not control upon consummation of the proposed transaction.</w:t>
      </w:r>
      <w:r w:rsidRPr="005211DB">
        <w:rPr>
          <w:rStyle w:val="FootnoteReference"/>
        </w:rPr>
        <w:footnoteReference w:id="289"/>
      </w:r>
      <w:r w:rsidRPr="005211DB">
        <w:t xml:space="preserve">  In the absence of this commitment, </w:t>
      </w:r>
      <w:r w:rsidR="00DF3B64">
        <w:t>service providers</w:t>
      </w:r>
      <w:r w:rsidR="00DF3B64" w:rsidRPr="005211DB">
        <w:t xml:space="preserve"> </w:t>
      </w:r>
      <w:r w:rsidRPr="005211DB">
        <w:t>that currently have or need CDMA roaming services in the Allied service areas confront uncertainty about the ongoing availability of such roaming services.</w:t>
      </w:r>
    </w:p>
    <w:p w:rsidR="00BD79B8" w:rsidRPr="005211DB" w:rsidRDefault="00C300AE" w:rsidP="006035E9">
      <w:pPr>
        <w:pStyle w:val="ParaNum"/>
      </w:pPr>
      <w:r w:rsidRPr="005211DB">
        <w:t>We impose the commitment made by AT&amp;T to continue to offer CDMA voice and data roaming services over Allied’s 3G EV</w:t>
      </w:r>
      <w:r w:rsidR="00BF4640">
        <w:t>-</w:t>
      </w:r>
      <w:r w:rsidRPr="005211DB">
        <w:t xml:space="preserve">DO network until at least June 15, 2015, as a condition of our consent to the proposed transaction.  As a result of this commitment, wireless service providers will retain the ability for their customers to roam pursuant to the Commission’s roaming rules on the existing Allied CDMA network.  These same </w:t>
      </w:r>
      <w:r w:rsidR="00DF3B64">
        <w:t>providers</w:t>
      </w:r>
      <w:r w:rsidR="00DF3B64" w:rsidRPr="005211DB">
        <w:t xml:space="preserve"> </w:t>
      </w:r>
      <w:r w:rsidRPr="005211DB">
        <w:t>will have at least 18 months subsequent to the closing of the proposed transaction to take the necessary steps to obtain alternative CDMA roaming arrangements in the current Allied service areas, if that is what they choose to do.  We find that AT&amp;T’s voluntary commitment to maintain the CDMA network for an additional period of time is in the public interest.</w:t>
      </w:r>
    </w:p>
    <w:p w:rsidR="00BD79B8" w:rsidRPr="005211DB" w:rsidRDefault="00BD79B8" w:rsidP="000753D2">
      <w:pPr>
        <w:pStyle w:val="Heading3"/>
      </w:pPr>
      <w:bookmarkStart w:id="881" w:name="_Toc366145551"/>
      <w:bookmarkStart w:id="882" w:name="_Toc366145759"/>
      <w:bookmarkStart w:id="883" w:name="_Toc366145875"/>
      <w:bookmarkStart w:id="884" w:name="_Toc366249622"/>
      <w:bookmarkStart w:id="885" w:name="_Toc366758019"/>
      <w:bookmarkStart w:id="886" w:name="_Toc366855807"/>
      <w:bookmarkStart w:id="887" w:name="_Toc366856288"/>
      <w:bookmarkStart w:id="888" w:name="_Toc367108943"/>
      <w:bookmarkStart w:id="889" w:name="_Toc367372982"/>
      <w:bookmarkStart w:id="890" w:name="_Toc367440590"/>
      <w:r w:rsidRPr="005211DB">
        <w:t>Customer Transition</w:t>
      </w:r>
      <w:r w:rsidR="007718BE" w:rsidRPr="005211DB">
        <w:t xml:space="preserve"> Commitments</w:t>
      </w:r>
      <w:bookmarkEnd w:id="881"/>
      <w:bookmarkEnd w:id="882"/>
      <w:bookmarkEnd w:id="883"/>
      <w:bookmarkEnd w:id="884"/>
      <w:bookmarkEnd w:id="885"/>
      <w:bookmarkEnd w:id="886"/>
      <w:bookmarkEnd w:id="887"/>
      <w:bookmarkEnd w:id="888"/>
      <w:bookmarkEnd w:id="889"/>
      <w:bookmarkEnd w:id="890"/>
    </w:p>
    <w:p w:rsidR="00E94F81" w:rsidRPr="005211DB" w:rsidRDefault="00E94F81" w:rsidP="000753D2">
      <w:pPr>
        <w:pStyle w:val="ParaNum"/>
      </w:pPr>
      <w:r w:rsidRPr="005211DB">
        <w:t xml:space="preserve">AT&amp;T has made a number of commitments with respect to its plans for transition of the existing Allied customers to the AT&amp;T network.  At such time as AT&amp;T is ready to transition a </w:t>
      </w:r>
      <w:r w:rsidR="000906F8">
        <w:t>postpaid</w:t>
      </w:r>
      <w:r w:rsidRPr="005211DB">
        <w:t xml:space="preserve"> Allied customer to AT&amp;T’s network, AT&amp;T indicates that it will offer the customer a handset comparable to his or her existing handset, at no cost to the customer and without requiring a contract extension.</w:t>
      </w:r>
      <w:r w:rsidRPr="005211DB">
        <w:rPr>
          <w:rStyle w:val="FootnoteReference"/>
        </w:rPr>
        <w:footnoteReference w:id="290"/>
      </w:r>
      <w:r w:rsidRPr="005211DB">
        <w:t xml:space="preserve">  AT&amp;T plans to provide each such Allied customer with a list of comparable handsets from which they may choose at no cost, as well as the option to purchase a different handset.</w:t>
      </w:r>
      <w:r w:rsidRPr="005211DB">
        <w:rPr>
          <w:rStyle w:val="FootnoteReference"/>
        </w:rPr>
        <w:footnoteReference w:id="291"/>
      </w:r>
      <w:r w:rsidRPr="005211DB">
        <w:t xml:space="preserve">  AT&amp;T represents that all the devices it plans to offer Allied customers as comparable replacement</w:t>
      </w:r>
      <w:r w:rsidR="006037AF">
        <w:t>s</w:t>
      </w:r>
      <w:r w:rsidRPr="005211DB">
        <w:t xml:space="preserve"> for their CDMA devices will be 3G UMTS terrestrial radio access devices or better.</w:t>
      </w:r>
      <w:r w:rsidRPr="005211DB">
        <w:rPr>
          <w:rStyle w:val="FootnoteReference"/>
        </w:rPr>
        <w:footnoteReference w:id="292"/>
      </w:r>
      <w:r w:rsidRPr="005211DB">
        <w:t xml:space="preserve">  The significance of this plan is that even if an Allied customer currently has a 2G device, AT&amp;T will provide a 3G or better device to that customer at no cost to the customer.</w:t>
      </w:r>
      <w:r w:rsidRPr="005211DB">
        <w:rPr>
          <w:rStyle w:val="FootnoteReference"/>
        </w:rPr>
        <w:footnoteReference w:id="293"/>
      </w:r>
      <w:r w:rsidRPr="005211DB">
        <w:t xml:space="preserve">  Finally, an Allied customer with a CDMA iPhone as of the date of the closing will receive the same or a more recent iPhone model that works on AT&amp;T’s network without an additional change and without having to change their existing rate plan.</w:t>
      </w:r>
      <w:r w:rsidRPr="005211DB">
        <w:rPr>
          <w:rStyle w:val="FootnoteReference"/>
        </w:rPr>
        <w:footnoteReference w:id="294"/>
      </w:r>
    </w:p>
    <w:p w:rsidR="00C4173A" w:rsidRPr="005211DB" w:rsidRDefault="00C4173A" w:rsidP="000753D2">
      <w:pPr>
        <w:pStyle w:val="ParaNum"/>
      </w:pPr>
      <w:r w:rsidRPr="005211DB">
        <w:t>We impose the commitments made by AT&amp;T regarding the transition of the current Allied subscribers to the AT&amp;T network as a condition of our consent to the proposed transaction.  These commitments, along with the additional explanation</w:t>
      </w:r>
      <w:r w:rsidR="00100B47" w:rsidRPr="005211DB">
        <w:t>s</w:t>
      </w:r>
      <w:r w:rsidRPr="005211DB">
        <w:t xml:space="preserve"> of its customer transition plans provided by AT&amp;T,</w:t>
      </w:r>
      <w:r w:rsidRPr="005211DB">
        <w:rPr>
          <w:rStyle w:val="FootnoteReference"/>
        </w:rPr>
        <w:footnoteReference w:id="295"/>
      </w:r>
      <w:r w:rsidRPr="005211DB">
        <w:t xml:space="preserve"> provide greater assurance that the tr</w:t>
      </w:r>
      <w:r w:rsidR="00100B47" w:rsidRPr="005211DB">
        <w:t>ansition from the existing CDMA network to AT&amp;T’s network will be successful with minimal disruption to customers.  At the same time, recognizing the potential issues that might arise in this type of transition, we will carefully monitor AT&amp;T’s implementation of these commitments and its announced transition plans.</w:t>
      </w:r>
    </w:p>
    <w:p w:rsidR="00E94F81" w:rsidRPr="005211DB" w:rsidRDefault="00E94F81" w:rsidP="000753D2">
      <w:pPr>
        <w:pStyle w:val="Heading3"/>
      </w:pPr>
      <w:bookmarkStart w:id="891" w:name="_Toc366855808"/>
      <w:bookmarkStart w:id="892" w:name="_Toc366856289"/>
      <w:bookmarkStart w:id="893" w:name="_Toc367108944"/>
      <w:bookmarkStart w:id="894" w:name="_Toc367372983"/>
      <w:bookmarkStart w:id="895" w:name="_Toc367440591"/>
      <w:r w:rsidRPr="005211DB">
        <w:t>Progress Reports</w:t>
      </w:r>
      <w:bookmarkEnd w:id="891"/>
      <w:bookmarkEnd w:id="892"/>
      <w:bookmarkEnd w:id="893"/>
      <w:bookmarkEnd w:id="894"/>
      <w:bookmarkEnd w:id="895"/>
    </w:p>
    <w:p w:rsidR="00C62CF3" w:rsidRPr="005211DB" w:rsidRDefault="00E94F81" w:rsidP="006035E9">
      <w:pPr>
        <w:pStyle w:val="ParaNum"/>
      </w:pPr>
      <w:r w:rsidRPr="005211DB">
        <w:t xml:space="preserve">AT&amp;T has committed that it will file quarterly reports with the Commission </w:t>
      </w:r>
      <w:r w:rsidR="00D41C5F" w:rsidRPr="005211DB">
        <w:t>for a period of three</w:t>
      </w:r>
      <w:r w:rsidRPr="005211DB">
        <w:t xml:space="preserve"> years following the date on which the transaction closes for purposes of reporting on the status of its implementation of these commitments.</w:t>
      </w:r>
      <w:r w:rsidRPr="005211DB">
        <w:rPr>
          <w:rStyle w:val="FootnoteReference"/>
        </w:rPr>
        <w:footnoteReference w:id="296"/>
      </w:r>
      <w:r w:rsidRPr="005211DB">
        <w:t xml:space="preserve">  </w:t>
      </w:r>
      <w:r w:rsidR="000906F8">
        <w:t>Among other things, these quarterly reports will include a discussion of the efforts undertaken by AT&amp;T to migrate prepaid customers and the status of such migration.</w:t>
      </w:r>
      <w:r w:rsidR="000906F8">
        <w:rPr>
          <w:rStyle w:val="FootnoteReference"/>
        </w:rPr>
        <w:footnoteReference w:id="297"/>
      </w:r>
      <w:r w:rsidR="000906F8">
        <w:t xml:space="preserve">  </w:t>
      </w:r>
      <w:r w:rsidR="00D41C5F" w:rsidRPr="005211DB">
        <w:t>If the network deployment commitments are not met within the three-year reporting period, this reporting requirement</w:t>
      </w:r>
      <w:r w:rsidR="006037AF">
        <w:t>, with respect to those deployment commitments,</w:t>
      </w:r>
      <w:r w:rsidR="00D41C5F" w:rsidRPr="005211DB">
        <w:t xml:space="preserve"> will be extended until such time that these commitments have been fully satisfied or have been waive</w:t>
      </w:r>
      <w:r w:rsidR="006037AF">
        <w:t>d</w:t>
      </w:r>
      <w:r w:rsidR="00D41C5F" w:rsidRPr="005211DB">
        <w:t xml:space="preserve"> by the Commission.</w:t>
      </w:r>
      <w:r w:rsidR="00D41C5F" w:rsidRPr="005211DB">
        <w:rPr>
          <w:rStyle w:val="FootnoteReference"/>
        </w:rPr>
        <w:footnoteReference w:id="298"/>
      </w:r>
      <w:r w:rsidR="00D41C5F" w:rsidRPr="005211DB">
        <w:t xml:space="preserve">  </w:t>
      </w:r>
      <w:r w:rsidRPr="005211DB">
        <w:t>We will condition consent to the proposed transaction on AT&amp;T complying with this quarterly reporting obligation.  AT&amp;T’s submission of these reports will allow Commission staff to monitor the progress of AT&amp;T’s efforts.</w:t>
      </w:r>
      <w:r w:rsidR="001950C6" w:rsidRPr="005211DB">
        <w:rPr>
          <w:rStyle w:val="FootnoteReference"/>
        </w:rPr>
        <w:footnoteReference w:id="299"/>
      </w:r>
    </w:p>
    <w:p w:rsidR="009643DC" w:rsidRPr="005211DB" w:rsidRDefault="009643DC" w:rsidP="005C0F80">
      <w:pPr>
        <w:pStyle w:val="Heading1"/>
        <w:rPr>
          <w:rFonts w:ascii="Times New Roman" w:hAnsi="Times New Roman"/>
        </w:rPr>
      </w:pPr>
      <w:bookmarkStart w:id="896" w:name="_Toc366145760"/>
      <w:bookmarkStart w:id="897" w:name="_Toc366145876"/>
      <w:bookmarkStart w:id="898" w:name="_Toc366249623"/>
      <w:bookmarkStart w:id="899" w:name="_Toc366758020"/>
      <w:bookmarkStart w:id="900" w:name="_Toc366855809"/>
      <w:bookmarkStart w:id="901" w:name="_Toc366856290"/>
      <w:bookmarkStart w:id="902" w:name="_Toc367108945"/>
      <w:bookmarkStart w:id="903" w:name="_Toc367372984"/>
      <w:bookmarkStart w:id="904" w:name="_Toc367440592"/>
      <w:bookmarkStart w:id="905" w:name="_Toc309146335"/>
      <w:bookmarkStart w:id="906" w:name="_Toc309735607"/>
      <w:bookmarkStart w:id="907" w:name="_Toc327385239"/>
      <w:bookmarkStart w:id="908" w:name="_Toc327385358"/>
      <w:bookmarkStart w:id="909" w:name="_Toc327385475"/>
      <w:bookmarkStart w:id="910" w:name="_Toc327385558"/>
      <w:bookmarkStart w:id="911" w:name="_Toc327385672"/>
      <w:bookmarkStart w:id="912" w:name="_Toc327385755"/>
      <w:bookmarkStart w:id="913" w:name="_Toc327385852"/>
      <w:bookmarkStart w:id="914" w:name="_Toc327385899"/>
      <w:bookmarkStart w:id="915" w:name="_Toc327385971"/>
      <w:bookmarkStart w:id="916" w:name="_Toc327386019"/>
      <w:bookmarkStart w:id="917" w:name="_Toc327386355"/>
      <w:bookmarkStart w:id="918" w:name="_Toc327386634"/>
      <w:bookmarkStart w:id="919" w:name="_Toc327386736"/>
      <w:bookmarkStart w:id="920" w:name="_Toc327387078"/>
      <w:bookmarkStart w:id="921" w:name="_Toc327389609"/>
      <w:bookmarkStart w:id="922" w:name="_Toc328413271"/>
      <w:bookmarkStart w:id="923" w:name="_Toc328413339"/>
      <w:bookmarkStart w:id="924" w:name="_Toc328414165"/>
      <w:bookmarkStart w:id="925" w:name="_Toc328414278"/>
      <w:bookmarkStart w:id="926" w:name="_Toc328414326"/>
      <w:bookmarkStart w:id="927" w:name="_Toc328414375"/>
      <w:bookmarkStart w:id="928" w:name="_Toc328414420"/>
      <w:bookmarkStart w:id="929" w:name="_Toc328414480"/>
      <w:bookmarkStart w:id="930" w:name="_Toc328414546"/>
      <w:bookmarkStart w:id="931" w:name="_Toc328414624"/>
      <w:bookmarkStart w:id="932" w:name="_Toc328414687"/>
      <w:bookmarkStart w:id="933" w:name="_Toc328670925"/>
      <w:bookmarkStart w:id="934" w:name="_Toc328997113"/>
      <w:bookmarkStart w:id="935" w:name="_Toc328997809"/>
      <w:bookmarkStart w:id="936" w:name="_Toc329798744"/>
      <w:bookmarkStart w:id="937" w:name="_Toc329799152"/>
      <w:bookmarkStart w:id="938" w:name="_Toc329799362"/>
      <w:bookmarkStart w:id="939" w:name="_Toc330488364"/>
      <w:bookmarkStart w:id="940" w:name="_Toc330489081"/>
      <w:bookmarkStart w:id="941" w:name="_Toc330565875"/>
      <w:bookmarkStart w:id="942" w:name="_Toc331009503"/>
      <w:bookmarkStart w:id="943" w:name="_Toc331009575"/>
      <w:bookmarkStart w:id="944" w:name="_Toc331440446"/>
      <w:bookmarkStart w:id="945" w:name="_Toc331792641"/>
      <w:bookmarkStart w:id="946" w:name="_Toc332215085"/>
      <w:bookmarkStart w:id="947" w:name="_Toc332220070"/>
      <w:bookmarkStart w:id="948" w:name="_Toc332220215"/>
      <w:bookmarkStart w:id="949" w:name="_Toc332220258"/>
      <w:bookmarkStart w:id="950" w:name="_Toc332220305"/>
      <w:bookmarkStart w:id="951" w:name="_Toc332220404"/>
      <w:bookmarkStart w:id="952" w:name="_Toc332220447"/>
      <w:bookmarkStart w:id="953" w:name="_Toc332220501"/>
      <w:bookmarkStart w:id="954" w:name="_Toc332220582"/>
      <w:bookmarkStart w:id="955" w:name="_Toc332220645"/>
      <w:bookmarkStart w:id="956" w:name="_Toc332220692"/>
      <w:bookmarkStart w:id="957" w:name="_Toc332220737"/>
      <w:bookmarkStart w:id="958" w:name="_Toc332220793"/>
      <w:bookmarkStart w:id="959" w:name="_Toc332220848"/>
      <w:bookmarkStart w:id="960" w:name="_Toc332221000"/>
      <w:bookmarkStart w:id="961" w:name="_Toc332221295"/>
      <w:bookmarkStart w:id="962" w:name="_Toc332300563"/>
      <w:bookmarkStart w:id="963" w:name="_Toc332301109"/>
      <w:bookmarkStart w:id="964" w:name="_Toc332303352"/>
      <w:bookmarkStart w:id="965" w:name="_Toc332392820"/>
      <w:bookmarkStart w:id="966" w:name="_Toc332626608"/>
      <w:bookmarkStart w:id="967" w:name="_Toc332634646"/>
      <w:bookmarkStart w:id="968" w:name="_Toc332744025"/>
      <w:bookmarkStart w:id="969" w:name="_Toc332880495"/>
      <w:bookmarkStart w:id="970" w:name="_Toc332886578"/>
      <w:bookmarkStart w:id="971" w:name="_Toc332888847"/>
      <w:bookmarkStart w:id="972" w:name="_Toc332891448"/>
      <w:bookmarkStart w:id="973" w:name="_Toc333263416"/>
      <w:bookmarkStart w:id="974" w:name="_Toc333330533"/>
      <w:bookmarkStart w:id="975" w:name="_Toc344908336"/>
      <w:bookmarkStart w:id="976" w:name="_Toc344931009"/>
      <w:bookmarkStart w:id="977" w:name="_Toc344970659"/>
      <w:bookmarkStart w:id="978" w:name="_Toc345091263"/>
      <w:bookmarkStart w:id="979" w:name="_Toc345092706"/>
      <w:bookmarkStart w:id="980" w:name="_Toc345093557"/>
      <w:bookmarkStart w:id="981" w:name="_Toc345093932"/>
      <w:bookmarkStart w:id="982" w:name="_Toc345094316"/>
      <w:bookmarkStart w:id="983" w:name="_Toc345436707"/>
      <w:bookmarkStart w:id="984" w:name="_Toc347166642"/>
      <w:bookmarkStart w:id="985" w:name="_Toc348340342"/>
      <w:bookmarkStart w:id="986" w:name="_Toc348371134"/>
      <w:bookmarkStart w:id="987" w:name="_Toc348543638"/>
      <w:bookmarkStart w:id="988" w:name="_Toc348547991"/>
      <w:bookmarkStart w:id="989" w:name="_Toc348565410"/>
      <w:bookmarkStart w:id="990" w:name="_Toc348714712"/>
      <w:bookmarkStart w:id="991" w:name="_Toc349157022"/>
      <w:bookmarkStart w:id="992" w:name="_Toc349170699"/>
      <w:bookmarkStart w:id="993" w:name="_Toc349170756"/>
      <w:bookmarkStart w:id="994" w:name="_Toc349202876"/>
      <w:bookmarkStart w:id="995" w:name="_Toc349259362"/>
      <w:bookmarkStart w:id="996" w:name="_Toc349316360"/>
      <w:bookmarkStart w:id="997" w:name="_Toc349573273"/>
      <w:bookmarkStart w:id="998" w:name="_Toc349741803"/>
      <w:bookmarkStart w:id="999" w:name="_Toc349812430"/>
      <w:bookmarkStart w:id="1000" w:name="_Toc349932749"/>
      <w:bookmarkStart w:id="1001" w:name="_Toc350432509"/>
      <w:bookmarkStart w:id="1002" w:name="_Toc350787864"/>
      <w:bookmarkStart w:id="1003" w:name="_Toc366145552"/>
      <w:bookmarkStart w:id="1004" w:name="_Toc303937308"/>
      <w:bookmarkStart w:id="1005" w:name="_Toc303960095"/>
      <w:bookmarkStart w:id="1006" w:name="_Toc306292691"/>
      <w:bookmarkStart w:id="1007" w:name="_Toc306378777"/>
      <w:bookmarkStart w:id="1008" w:name="_Toc308203070"/>
      <w:bookmarkStart w:id="1009" w:name="_Toc309146336"/>
      <w:bookmarkStart w:id="1010" w:name="_Toc309735608"/>
      <w:bookmarkStart w:id="1011" w:name="_Toc327385240"/>
      <w:bookmarkStart w:id="1012" w:name="_Toc327385359"/>
      <w:bookmarkStart w:id="1013" w:name="_Toc327385476"/>
      <w:bookmarkStart w:id="1014" w:name="_Toc327385559"/>
      <w:bookmarkStart w:id="1015" w:name="_Toc327385673"/>
      <w:bookmarkStart w:id="1016" w:name="_Toc327385756"/>
      <w:bookmarkStart w:id="1017" w:name="_Toc327385853"/>
      <w:bookmarkStart w:id="1018" w:name="_Toc327385900"/>
      <w:bookmarkStart w:id="1019" w:name="_Toc327385972"/>
      <w:bookmarkStart w:id="1020" w:name="_Toc327386020"/>
      <w:bookmarkStart w:id="1021" w:name="_Toc327386356"/>
      <w:bookmarkStart w:id="1022" w:name="_Toc327386635"/>
      <w:bookmarkStart w:id="1023" w:name="_Toc327386737"/>
      <w:bookmarkStart w:id="1024" w:name="_Toc327387079"/>
      <w:bookmarkStart w:id="1025" w:name="_Toc327389610"/>
      <w:bookmarkStart w:id="1026" w:name="_Toc328413272"/>
      <w:bookmarkStart w:id="1027" w:name="_Toc328413340"/>
      <w:bookmarkStart w:id="1028" w:name="_Toc328414166"/>
      <w:bookmarkStart w:id="1029" w:name="_Toc328414279"/>
      <w:bookmarkStart w:id="1030" w:name="_Toc328414327"/>
      <w:bookmarkStart w:id="1031" w:name="_Toc328414376"/>
      <w:bookmarkStart w:id="1032" w:name="_Toc328414421"/>
      <w:bookmarkStart w:id="1033" w:name="_Toc328414481"/>
      <w:bookmarkStart w:id="1034" w:name="_Toc328414547"/>
      <w:bookmarkStart w:id="1035" w:name="_Toc328414625"/>
      <w:bookmarkStart w:id="1036" w:name="_Toc328414688"/>
      <w:bookmarkStart w:id="1037" w:name="_Toc328670926"/>
      <w:bookmarkStart w:id="1038" w:name="_Toc328997114"/>
      <w:bookmarkStart w:id="1039" w:name="_Toc328997810"/>
      <w:r w:rsidRPr="005211DB">
        <w:rPr>
          <w:rFonts w:ascii="Times New Roman" w:hAnsi="Times New Roman"/>
        </w:rPr>
        <w:t>balancing the public interest benefits and the harms</w:t>
      </w:r>
      <w:bookmarkEnd w:id="896"/>
      <w:bookmarkEnd w:id="897"/>
      <w:bookmarkEnd w:id="898"/>
      <w:bookmarkEnd w:id="899"/>
      <w:bookmarkEnd w:id="900"/>
      <w:bookmarkEnd w:id="901"/>
      <w:bookmarkEnd w:id="902"/>
      <w:bookmarkEnd w:id="903"/>
      <w:bookmarkEnd w:id="904"/>
    </w:p>
    <w:p w:rsidR="0092525C" w:rsidRPr="005211DB" w:rsidRDefault="009B61C8" w:rsidP="00B005D8">
      <w:pPr>
        <w:pStyle w:val="ParaNum"/>
      </w:pPr>
      <w:r w:rsidRPr="005211DB">
        <w:t>In considering the Applications, w</w:t>
      </w:r>
      <w:r w:rsidRPr="005211DB">
        <w:rPr>
          <w:color w:val="000000"/>
        </w:rPr>
        <w:t xml:space="preserve">e find that the proposed transaction results in some </w:t>
      </w:r>
      <w:r w:rsidR="0095177C" w:rsidRPr="005211DB">
        <w:rPr>
          <w:color w:val="000000"/>
        </w:rPr>
        <w:t xml:space="preserve">probable </w:t>
      </w:r>
      <w:r w:rsidRPr="005211DB">
        <w:rPr>
          <w:color w:val="000000"/>
        </w:rPr>
        <w:t xml:space="preserve">competitive harm, and that under our sliding-scale approach, we cannot conclude that the potential public interest benefits will outweigh these public interest harms.  However, when we consider AT&amp;T’s voluntary commitments in the areas of roaming, network deployment, and customer transition in </w:t>
      </w:r>
      <w:r w:rsidR="0095177C" w:rsidRPr="005211DB">
        <w:rPr>
          <w:color w:val="000000"/>
        </w:rPr>
        <w:t xml:space="preserve">conjunction with certain public interest </w:t>
      </w:r>
      <w:r w:rsidRPr="005211DB">
        <w:rPr>
          <w:color w:val="000000"/>
        </w:rPr>
        <w:t xml:space="preserve">benefits, </w:t>
      </w:r>
      <w:r w:rsidRPr="005211DB">
        <w:t xml:space="preserve">our </w:t>
      </w:r>
      <w:r w:rsidR="0095177C" w:rsidRPr="005211DB">
        <w:t xml:space="preserve">competitive </w:t>
      </w:r>
      <w:r w:rsidRPr="005211DB">
        <w:t>concerns will likely be mitigated.</w:t>
      </w:r>
    </w:p>
    <w:p w:rsidR="005C0F80" w:rsidRPr="005211DB" w:rsidRDefault="005C0F80" w:rsidP="005C0F80">
      <w:pPr>
        <w:pStyle w:val="Heading1"/>
        <w:rPr>
          <w:rFonts w:ascii="Times New Roman" w:hAnsi="Times New Roman"/>
        </w:rPr>
      </w:pPr>
      <w:bookmarkStart w:id="1040" w:name="_Toc366145761"/>
      <w:bookmarkStart w:id="1041" w:name="_Toc366145877"/>
      <w:bookmarkStart w:id="1042" w:name="_Toc366249624"/>
      <w:bookmarkStart w:id="1043" w:name="_Toc366758021"/>
      <w:bookmarkStart w:id="1044" w:name="_Toc366855810"/>
      <w:bookmarkStart w:id="1045" w:name="_Toc366856291"/>
      <w:bookmarkStart w:id="1046" w:name="_Toc367108946"/>
      <w:bookmarkStart w:id="1047" w:name="_Toc367372985"/>
      <w:bookmarkStart w:id="1048" w:name="_Toc367440593"/>
      <w:r w:rsidRPr="005211DB">
        <w:rPr>
          <w:rFonts w:ascii="Times New Roman" w:hAnsi="Times New Roman"/>
        </w:rPr>
        <w:t>conclusion</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40"/>
      <w:bookmarkEnd w:id="1041"/>
      <w:bookmarkEnd w:id="1042"/>
      <w:bookmarkEnd w:id="1043"/>
      <w:bookmarkEnd w:id="1044"/>
      <w:bookmarkEnd w:id="1045"/>
      <w:bookmarkEnd w:id="1046"/>
      <w:bookmarkEnd w:id="1047"/>
      <w:bookmarkEnd w:id="1048"/>
    </w:p>
    <w:p w:rsidR="00CD161E" w:rsidRPr="005211DB" w:rsidRDefault="009B61C8" w:rsidP="00CD161E">
      <w:pPr>
        <w:pStyle w:val="ParaNum"/>
      </w:pPr>
      <w:bookmarkStart w:id="1049" w:name="_Toc329798745"/>
      <w:bookmarkStart w:id="1050" w:name="_Toc329799153"/>
      <w:bookmarkStart w:id="1051" w:name="_Toc329799363"/>
      <w:bookmarkStart w:id="1052" w:name="_Toc330488365"/>
      <w:bookmarkStart w:id="1053" w:name="_Toc330489082"/>
      <w:bookmarkStart w:id="1054" w:name="_Toc330565876"/>
      <w:bookmarkStart w:id="1055" w:name="_Toc331009504"/>
      <w:bookmarkStart w:id="1056" w:name="_Toc331009576"/>
      <w:bookmarkStart w:id="1057" w:name="_Toc331440447"/>
      <w:bookmarkStart w:id="1058" w:name="_Toc331792642"/>
      <w:bookmarkStart w:id="1059" w:name="_Toc332215086"/>
      <w:bookmarkStart w:id="1060" w:name="_Toc332220071"/>
      <w:bookmarkStart w:id="1061" w:name="_Toc332220216"/>
      <w:bookmarkStart w:id="1062" w:name="_Toc332220259"/>
      <w:bookmarkStart w:id="1063" w:name="_Toc332220306"/>
      <w:bookmarkStart w:id="1064" w:name="_Toc332220405"/>
      <w:bookmarkStart w:id="1065" w:name="_Toc332220448"/>
      <w:bookmarkStart w:id="1066" w:name="_Toc332220502"/>
      <w:bookmarkStart w:id="1067" w:name="_Toc332220583"/>
      <w:bookmarkStart w:id="1068" w:name="_Toc332220646"/>
      <w:bookmarkStart w:id="1069" w:name="_Toc332220693"/>
      <w:bookmarkStart w:id="1070" w:name="_Toc332220738"/>
      <w:bookmarkStart w:id="1071" w:name="_Toc332220794"/>
      <w:bookmarkStart w:id="1072" w:name="_Toc332220849"/>
      <w:bookmarkStart w:id="1073" w:name="_Toc332221001"/>
      <w:bookmarkStart w:id="1074" w:name="_Toc332221296"/>
      <w:bookmarkStart w:id="1075" w:name="_Toc332300564"/>
      <w:bookmarkStart w:id="1076" w:name="_Toc332301110"/>
      <w:bookmarkStart w:id="1077" w:name="_Toc332303353"/>
      <w:bookmarkStart w:id="1078" w:name="_Toc332392821"/>
      <w:bookmarkStart w:id="1079" w:name="_Toc332626609"/>
      <w:bookmarkStart w:id="1080" w:name="_Toc332634647"/>
      <w:bookmarkStart w:id="1081" w:name="_Toc332744026"/>
      <w:bookmarkStart w:id="1082" w:name="_Toc332880496"/>
      <w:bookmarkStart w:id="1083" w:name="_Toc332886579"/>
      <w:bookmarkStart w:id="1084" w:name="_Toc332888848"/>
      <w:bookmarkStart w:id="1085" w:name="_Toc332891449"/>
      <w:bookmarkStart w:id="1086" w:name="_Toc333263417"/>
      <w:bookmarkStart w:id="1087" w:name="_Toc333330534"/>
      <w:bookmarkStart w:id="1088" w:name="_Toc344908337"/>
      <w:bookmarkStart w:id="1089" w:name="_Toc344931010"/>
      <w:bookmarkStart w:id="1090" w:name="_Toc344970660"/>
      <w:bookmarkStart w:id="1091" w:name="_Toc345091264"/>
      <w:bookmarkStart w:id="1092" w:name="_Toc345092707"/>
      <w:bookmarkStart w:id="1093" w:name="_Toc345093558"/>
      <w:bookmarkStart w:id="1094" w:name="_Toc345093933"/>
      <w:r w:rsidRPr="005211DB">
        <w:rPr>
          <w:color w:val="000000"/>
        </w:rPr>
        <w:t>For the reasons stated above, we find that the proposed transaction is overall in the public interest, and accordingly, we approve it.</w:t>
      </w:r>
    </w:p>
    <w:p w:rsidR="00CD161E" w:rsidRPr="005211DB" w:rsidRDefault="00CD161E" w:rsidP="00CD161E">
      <w:pPr>
        <w:pStyle w:val="Heading1"/>
        <w:rPr>
          <w:rFonts w:ascii="Times New Roman" w:hAnsi="Times New Roman"/>
        </w:rPr>
      </w:pPr>
      <w:bookmarkStart w:id="1095" w:name="_Toc345094317"/>
      <w:bookmarkStart w:id="1096" w:name="_Toc345436708"/>
      <w:bookmarkStart w:id="1097" w:name="_Toc347166643"/>
      <w:bookmarkStart w:id="1098" w:name="_Toc348340343"/>
      <w:bookmarkStart w:id="1099" w:name="_Toc348371135"/>
      <w:bookmarkStart w:id="1100" w:name="_Toc348543639"/>
      <w:bookmarkStart w:id="1101" w:name="_Toc348547992"/>
      <w:bookmarkStart w:id="1102" w:name="_Toc348565411"/>
      <w:bookmarkStart w:id="1103" w:name="_Toc348714713"/>
      <w:bookmarkStart w:id="1104" w:name="_Toc349157023"/>
      <w:bookmarkStart w:id="1105" w:name="_Toc349170700"/>
      <w:bookmarkStart w:id="1106" w:name="_Toc349170757"/>
      <w:bookmarkStart w:id="1107" w:name="_Toc349202877"/>
      <w:bookmarkStart w:id="1108" w:name="_Toc349259363"/>
      <w:bookmarkStart w:id="1109" w:name="_Toc349316361"/>
      <w:bookmarkStart w:id="1110" w:name="_Toc349573274"/>
      <w:bookmarkStart w:id="1111" w:name="_Toc349741804"/>
      <w:bookmarkStart w:id="1112" w:name="_Toc349812431"/>
      <w:bookmarkStart w:id="1113" w:name="_Toc349932750"/>
      <w:bookmarkStart w:id="1114" w:name="_Toc350432510"/>
      <w:bookmarkStart w:id="1115" w:name="_Toc350787865"/>
      <w:bookmarkStart w:id="1116" w:name="_Toc366145553"/>
      <w:bookmarkStart w:id="1117" w:name="_Toc366145762"/>
      <w:bookmarkStart w:id="1118" w:name="_Toc366145878"/>
      <w:bookmarkStart w:id="1119" w:name="_Toc366249625"/>
      <w:bookmarkStart w:id="1120" w:name="_Toc366758022"/>
      <w:bookmarkStart w:id="1121" w:name="_Toc366855811"/>
      <w:bookmarkStart w:id="1122" w:name="_Toc366856292"/>
      <w:bookmarkStart w:id="1123" w:name="_Toc367108947"/>
      <w:bookmarkStart w:id="1124" w:name="_Toc367372986"/>
      <w:bookmarkStart w:id="1125" w:name="_Toc367440594"/>
      <w:r w:rsidRPr="005211DB">
        <w:rPr>
          <w:rFonts w:ascii="Times New Roman" w:hAnsi="Times New Roman"/>
        </w:rPr>
        <w:t>ordering clauses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CD161E" w:rsidRPr="005211DB" w:rsidRDefault="00CD161E" w:rsidP="00CD161E">
      <w:pPr>
        <w:pStyle w:val="ParaNum"/>
      </w:pPr>
      <w:r w:rsidRPr="005211DB">
        <w:t>ACCORDINGLY, having reviewed the Applications and the record in these matters, IT IS ORDERED that, pursuant to Sections 4(i) and (j), 214, 303(r), 309, and 310(d) of the Communications Act of 1934, as amended, 47 U.S.C. §§ 154(i), 154(j), 214, 303(r), 309, 310(d),</w:t>
      </w:r>
      <w:r w:rsidRPr="005211DB">
        <w:rPr>
          <w:b/>
        </w:rPr>
        <w:t xml:space="preserve"> </w:t>
      </w:r>
      <w:r w:rsidRPr="005211DB">
        <w:t xml:space="preserve">the applications for the transfer of control of and assignment of </w:t>
      </w:r>
      <w:r w:rsidR="008D2429" w:rsidRPr="005211DB">
        <w:t>cellular, PCS, Lower 700 MHz Band B and C Block, and common carrier fixed point-to-point microwave licenses, spectrum leasing authorizations, and an international section 214 authorization</w:t>
      </w:r>
      <w:r w:rsidRPr="005211DB">
        <w:t xml:space="preserve"> are GRANTED to the extent specified in this Memorandum Opinion and Order and subject to the conditions specified herein.</w:t>
      </w:r>
      <w:r w:rsidRPr="005211DB">
        <w:rPr>
          <w:b/>
        </w:rPr>
        <w:t xml:space="preserve"> </w:t>
      </w:r>
    </w:p>
    <w:p w:rsidR="008D2429" w:rsidRPr="005211DB" w:rsidRDefault="008D2429" w:rsidP="00CD161E">
      <w:pPr>
        <w:pStyle w:val="ParaNum"/>
      </w:pPr>
      <w:r w:rsidRPr="005211DB">
        <w:t>IT IS FURTHER ORDERED that the above grant shall include authority for the transfer or assignment of any applications regarding the Allied assets that are pending at the time of consummation</w:t>
      </w:r>
      <w:r w:rsidR="00B13F07" w:rsidRPr="005211DB">
        <w:t xml:space="preserve"> as well as any licenses </w:t>
      </w:r>
      <w:r w:rsidR="00D012D0" w:rsidRPr="005211DB">
        <w:t xml:space="preserve">or authorizations </w:t>
      </w:r>
      <w:r w:rsidR="00B13F07" w:rsidRPr="005211DB">
        <w:t>that may have inadvertently been omitted from the application forms filed by the Applicants.</w:t>
      </w:r>
    </w:p>
    <w:p w:rsidR="00CD161E" w:rsidRPr="005211DB" w:rsidRDefault="00CD161E" w:rsidP="00CD161E">
      <w:pPr>
        <w:pStyle w:val="ParaNum"/>
      </w:pPr>
      <w:r w:rsidRPr="005211DB">
        <w:t xml:space="preserve">IT IS FURTHER ORDERED that, pursuant to sections 4(i) and (j), 309, and 310(d) of the Communications Act of 1934, as amended, 47 U.S.C. §§ 154(i), (j), 309, and 310(d), the petitions to deny the Applications filed by </w:t>
      </w:r>
      <w:r w:rsidRPr="005211DB">
        <w:rPr>
          <w:rFonts w:eastAsia="Calibri"/>
          <w:bCs/>
          <w:color w:val="000000"/>
        </w:rPr>
        <w:t>Buffalo-Lake Erie Wireless Systems Co., L.L.C.</w:t>
      </w:r>
      <w:r w:rsidR="00B13F07" w:rsidRPr="005211DB">
        <w:rPr>
          <w:rFonts w:eastAsia="Calibri"/>
          <w:bCs/>
          <w:color w:val="000000"/>
        </w:rPr>
        <w:t xml:space="preserve"> and</w:t>
      </w:r>
      <w:r w:rsidRPr="005211DB">
        <w:rPr>
          <w:rFonts w:eastAsia="Calibri"/>
          <w:bCs/>
          <w:color w:val="000000"/>
        </w:rPr>
        <w:t xml:space="preserve"> Public Knowledge, and The Writers Guild of America, West</w:t>
      </w:r>
      <w:r w:rsidRPr="005211DB">
        <w:t xml:space="preserve"> are DENIED for the reasons stated herein.</w:t>
      </w:r>
    </w:p>
    <w:p w:rsidR="00B13F07" w:rsidRPr="005211DB" w:rsidRDefault="00B13F07" w:rsidP="00CD161E">
      <w:pPr>
        <w:pStyle w:val="ParaNum"/>
      </w:pPr>
      <w:r w:rsidRPr="005211DB">
        <w:t xml:space="preserve">IT IS FURTHER ORDERED that, pursuant to sections 4(i) and (j), 309, and 310(d) of the Communications Act of 1934, as amended, §§ 154(i), (j), 309, and 310(d), the request for conditions in the Petitions or Comments filed by </w:t>
      </w:r>
      <w:r w:rsidRPr="005211DB">
        <w:rPr>
          <w:rFonts w:eastAsia="Calibri"/>
          <w:bCs/>
          <w:color w:val="000000"/>
        </w:rPr>
        <w:t>Buffalo-Lake Erie Wireless Systems Co., L.L.C., Public Knowledge and The Writers Guild of America, West, and the Rural Telecommunications Group, Inc.</w:t>
      </w:r>
      <w:r w:rsidRPr="005211DB">
        <w:t xml:space="preserve"> are DENIED for the reasons stated herein</w:t>
      </w:r>
    </w:p>
    <w:p w:rsidR="00CD161E" w:rsidRPr="005211DB" w:rsidRDefault="00CD161E" w:rsidP="00CD161E">
      <w:pPr>
        <w:pStyle w:val="ParaNum"/>
      </w:pPr>
      <w:r w:rsidRPr="005211DB">
        <w:t xml:space="preserve">IT IS FURTHER ORDERED that, pursuant to sections 4(i) and (j), 309, and 310(d) of the Communications Act of 1934, as amended, 47 U.S.C. §§ 154(i), (j), 309, and 310(d), the request for consolidation in the </w:t>
      </w:r>
      <w:r w:rsidR="00B13F07" w:rsidRPr="005211DB">
        <w:t xml:space="preserve">Statement </w:t>
      </w:r>
      <w:r w:rsidRPr="005211DB">
        <w:t>filed by Maneesh Pangasa is DENIED for the reasons stated herein.</w:t>
      </w:r>
    </w:p>
    <w:p w:rsidR="00CD161E" w:rsidRPr="005211DB" w:rsidRDefault="00CD161E" w:rsidP="00CD161E">
      <w:pPr>
        <w:pStyle w:val="ParaNum"/>
      </w:pPr>
      <w:r w:rsidRPr="005211DB">
        <w:t>IT IS FURTHER ORDERED that this Order SHALL BE EFFECTIVE upon release.  Petitions for reconsideration under section 1.106 of the Commission's rules, 47 C.F.R. § 1.106, may be filed within thirty days of the date of release of this Memorandum Opinion and Order.</w:t>
      </w:r>
    </w:p>
    <w:p w:rsidR="007B7B40" w:rsidRPr="005211DB" w:rsidRDefault="007B7B40" w:rsidP="0073449D">
      <w:pPr>
        <w:pStyle w:val="ParaNum"/>
        <w:keepNext/>
      </w:pPr>
      <w:r w:rsidRPr="005211DB">
        <w:t xml:space="preserve">This action is taken under delegated authority pursuant to sections </w:t>
      </w:r>
      <w:r w:rsidR="00D012D0" w:rsidRPr="005211DB">
        <w:t xml:space="preserve">0.51, </w:t>
      </w:r>
      <w:r w:rsidRPr="005211DB">
        <w:t>0.131</w:t>
      </w:r>
      <w:r w:rsidR="00D012D0" w:rsidRPr="005211DB">
        <w:t>, 0.261,</w:t>
      </w:r>
      <w:r w:rsidRPr="005211DB">
        <w:t xml:space="preserve"> and 0.331 of the Commission’s Rules, 47 C.F.R. §§ </w:t>
      </w:r>
      <w:r w:rsidR="00D012D0" w:rsidRPr="005211DB">
        <w:t xml:space="preserve">0.51, </w:t>
      </w:r>
      <w:r w:rsidRPr="005211DB">
        <w:t xml:space="preserve">0.131, </w:t>
      </w:r>
      <w:r w:rsidR="00D012D0" w:rsidRPr="005211DB">
        <w:t xml:space="preserve">0.261, and </w:t>
      </w:r>
      <w:r w:rsidRPr="005211DB">
        <w:t>0.331.</w:t>
      </w:r>
    </w:p>
    <w:p w:rsidR="00CD161E" w:rsidRPr="005211DB" w:rsidRDefault="00CD161E" w:rsidP="0073449D">
      <w:pPr>
        <w:keepNext/>
      </w:pPr>
    </w:p>
    <w:p w:rsidR="00CD161E" w:rsidRPr="005211DB" w:rsidRDefault="00CD161E" w:rsidP="0073449D">
      <w:pPr>
        <w:keepNext/>
        <w:ind w:left="4320"/>
      </w:pPr>
      <w:r w:rsidRPr="005211DB">
        <w:t>FEDERAL COMMUNICATIONS COMMISSION</w:t>
      </w:r>
    </w:p>
    <w:p w:rsidR="00CD161E" w:rsidRPr="005211DB" w:rsidRDefault="00CD161E" w:rsidP="0073449D">
      <w:pPr>
        <w:keepNext/>
        <w:ind w:left="4320"/>
      </w:pPr>
    </w:p>
    <w:p w:rsidR="00CD161E" w:rsidRPr="005211DB" w:rsidRDefault="00CD161E" w:rsidP="0073449D">
      <w:pPr>
        <w:keepNext/>
        <w:ind w:left="4320"/>
      </w:pPr>
    </w:p>
    <w:p w:rsidR="00CD161E" w:rsidRPr="005211DB" w:rsidRDefault="00CD161E" w:rsidP="0073449D">
      <w:pPr>
        <w:keepNext/>
        <w:ind w:left="4320"/>
      </w:pPr>
    </w:p>
    <w:p w:rsidR="00CD161E" w:rsidRPr="005211DB" w:rsidRDefault="00CD161E" w:rsidP="0073449D">
      <w:pPr>
        <w:keepNext/>
        <w:ind w:left="4320"/>
      </w:pPr>
      <w:r w:rsidRPr="005211DB">
        <w:t>Ruth Milkman</w:t>
      </w:r>
    </w:p>
    <w:p w:rsidR="00CD161E" w:rsidRPr="005211DB" w:rsidRDefault="00CD161E" w:rsidP="0073449D">
      <w:pPr>
        <w:keepNext/>
        <w:ind w:left="4320"/>
      </w:pPr>
      <w:r w:rsidRPr="005211DB">
        <w:t>Chief</w:t>
      </w:r>
    </w:p>
    <w:p w:rsidR="00CD161E" w:rsidRPr="005211DB" w:rsidRDefault="00CD161E" w:rsidP="0073449D">
      <w:pPr>
        <w:keepNext/>
        <w:ind w:left="4320"/>
        <w:rPr>
          <w:lang w:val="fr-FR"/>
        </w:rPr>
      </w:pPr>
      <w:r w:rsidRPr="005211DB">
        <w:rPr>
          <w:lang w:val="fr-FR"/>
        </w:rPr>
        <w:t xml:space="preserve">Wireless </w:t>
      </w:r>
      <w:r w:rsidRPr="005211DB">
        <w:t xml:space="preserve">Telecommunications </w:t>
      </w:r>
      <w:r w:rsidRPr="005211DB">
        <w:rPr>
          <w:lang w:val="fr-FR"/>
        </w:rPr>
        <w:t>Bureau</w:t>
      </w:r>
    </w:p>
    <w:p w:rsidR="00581045" w:rsidRPr="005211DB" w:rsidRDefault="00581045" w:rsidP="0073449D">
      <w:pPr>
        <w:keepNext/>
        <w:ind w:left="4320"/>
        <w:rPr>
          <w:lang w:val="fr-FR"/>
        </w:rPr>
      </w:pPr>
    </w:p>
    <w:p w:rsidR="00581045" w:rsidRPr="005211DB" w:rsidRDefault="00581045" w:rsidP="0073449D">
      <w:pPr>
        <w:keepNext/>
        <w:ind w:left="4320"/>
        <w:rPr>
          <w:lang w:val="fr-FR"/>
        </w:rPr>
      </w:pPr>
    </w:p>
    <w:p w:rsidR="00581045" w:rsidRPr="005211DB" w:rsidRDefault="00581045" w:rsidP="0073449D">
      <w:pPr>
        <w:keepNext/>
        <w:ind w:left="4320"/>
        <w:rPr>
          <w:lang w:val="fr-FR"/>
        </w:rPr>
      </w:pPr>
    </w:p>
    <w:p w:rsidR="00581045" w:rsidRPr="005211DB" w:rsidRDefault="00581045" w:rsidP="0073449D">
      <w:pPr>
        <w:keepNext/>
        <w:ind w:left="4320"/>
        <w:rPr>
          <w:lang w:val="fr-FR"/>
        </w:rPr>
      </w:pPr>
      <w:r w:rsidRPr="005211DB">
        <w:rPr>
          <w:lang w:val="fr-FR"/>
        </w:rPr>
        <w:t>Mindel De La Torre</w:t>
      </w:r>
    </w:p>
    <w:p w:rsidR="00581045" w:rsidRPr="005211DB" w:rsidRDefault="00581045" w:rsidP="0073449D">
      <w:pPr>
        <w:keepNext/>
        <w:ind w:left="4320"/>
        <w:rPr>
          <w:lang w:val="fr-FR"/>
        </w:rPr>
      </w:pPr>
      <w:r w:rsidRPr="005211DB">
        <w:rPr>
          <w:lang w:val="fr-FR"/>
        </w:rPr>
        <w:t>Chief</w:t>
      </w:r>
    </w:p>
    <w:p w:rsidR="00581045" w:rsidRPr="005211DB" w:rsidRDefault="00581045" w:rsidP="0073449D">
      <w:pPr>
        <w:keepNext/>
        <w:ind w:left="4320"/>
        <w:rPr>
          <w:lang w:val="fr-FR"/>
        </w:rPr>
      </w:pPr>
      <w:r w:rsidRPr="005211DB">
        <w:rPr>
          <w:lang w:val="fr-FR"/>
        </w:rPr>
        <w:t>International Bureau</w:t>
      </w:r>
    </w:p>
    <w:p w:rsidR="005C0F80" w:rsidRPr="005211DB" w:rsidRDefault="005C0F80" w:rsidP="005C0F80">
      <w:pPr>
        <w:pStyle w:val="ParaNum"/>
        <w:numPr>
          <w:ilvl w:val="0"/>
          <w:numId w:val="0"/>
        </w:numPr>
        <w:jc w:val="center"/>
        <w:rPr>
          <w:b/>
        </w:rPr>
      </w:pPr>
      <w:r w:rsidRPr="005211DB">
        <w:br w:type="page"/>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sidRPr="005211DB">
        <w:rPr>
          <w:b/>
        </w:rPr>
        <w:t xml:space="preserve">APPENDIX </w:t>
      </w:r>
      <w:r w:rsidR="00013B07" w:rsidRPr="005211DB">
        <w:rPr>
          <w:b/>
        </w:rPr>
        <w:t>A</w:t>
      </w:r>
      <w:r w:rsidRPr="005211DB">
        <w:rPr>
          <w:b/>
        </w:rPr>
        <w:t xml:space="preserve"> </w:t>
      </w:r>
    </w:p>
    <w:p w:rsidR="00A45833" w:rsidRPr="005211DB" w:rsidRDefault="00A45833" w:rsidP="00A45833">
      <w:pPr>
        <w:pStyle w:val="ParaNum"/>
        <w:numPr>
          <w:ilvl w:val="0"/>
          <w:numId w:val="0"/>
        </w:numPr>
        <w:jc w:val="center"/>
        <w:rPr>
          <w:b/>
        </w:rPr>
      </w:pPr>
      <w:r w:rsidRPr="005211DB">
        <w:rPr>
          <w:b/>
        </w:rPr>
        <w:t xml:space="preserve">Commenters in WT Docket No. </w:t>
      </w:r>
      <w:r w:rsidR="00145D11" w:rsidRPr="005211DB">
        <w:rPr>
          <w:b/>
        </w:rPr>
        <w:t>13-54</w:t>
      </w:r>
    </w:p>
    <w:p w:rsidR="00A45833" w:rsidRPr="005211DB" w:rsidRDefault="00A45833" w:rsidP="00A45833">
      <w:pPr>
        <w:pStyle w:val="PlainText"/>
        <w:rPr>
          <w:rFonts w:ascii="Times New Roman" w:hAnsi="Times New Roman"/>
        </w:rPr>
      </w:pPr>
    </w:p>
    <w:p w:rsidR="00A45833" w:rsidRPr="005211DB" w:rsidRDefault="000A0BD5" w:rsidP="00A45833">
      <w:pPr>
        <w:spacing w:after="120"/>
        <w:rPr>
          <w:rFonts w:eastAsia="Calibri"/>
          <w:b/>
          <w:bCs/>
          <w:color w:val="000000"/>
        </w:rPr>
      </w:pPr>
      <w:r w:rsidRPr="005211DB">
        <w:rPr>
          <w:rFonts w:eastAsia="Calibri"/>
          <w:b/>
          <w:color w:val="000000"/>
        </w:rPr>
        <w:t xml:space="preserve">Petitions </w:t>
      </w:r>
      <w:r w:rsidR="007B7B40" w:rsidRPr="005211DB">
        <w:rPr>
          <w:rFonts w:eastAsia="Calibri"/>
          <w:b/>
          <w:color w:val="000000"/>
        </w:rPr>
        <w:t>T</w:t>
      </w:r>
      <w:r w:rsidRPr="005211DB">
        <w:rPr>
          <w:rFonts w:eastAsia="Calibri"/>
          <w:b/>
          <w:color w:val="000000"/>
        </w:rPr>
        <w:t xml:space="preserve">o Deny and </w:t>
      </w:r>
      <w:r w:rsidR="00A45833" w:rsidRPr="005211DB">
        <w:rPr>
          <w:rFonts w:eastAsia="Calibri"/>
          <w:b/>
          <w:color w:val="000000"/>
        </w:rPr>
        <w:t>Comments</w:t>
      </w:r>
      <w:r w:rsidR="00A45833" w:rsidRPr="005211DB">
        <w:rPr>
          <w:rFonts w:eastAsia="Calibri"/>
          <w:b/>
          <w:bCs/>
          <w:color w:val="000000"/>
        </w:rPr>
        <w:t xml:space="preserve">: </w:t>
      </w:r>
    </w:p>
    <w:p w:rsidR="000A0BD5" w:rsidRPr="005211DB" w:rsidRDefault="000A0BD5" w:rsidP="000A0BD5">
      <w:pPr>
        <w:spacing w:after="120"/>
        <w:ind w:left="360"/>
        <w:rPr>
          <w:rFonts w:eastAsia="Calibri"/>
          <w:bCs/>
          <w:color w:val="000000"/>
        </w:rPr>
      </w:pPr>
      <w:r w:rsidRPr="005211DB">
        <w:rPr>
          <w:rFonts w:eastAsia="Calibri"/>
          <w:bCs/>
          <w:color w:val="000000"/>
        </w:rPr>
        <w:t xml:space="preserve">Buffalo-Lake Erie Wireless Systems Co., L.L.C. (“Blue Wireless”) (Petition </w:t>
      </w:r>
      <w:r w:rsidR="00BD5E91">
        <w:rPr>
          <w:rFonts w:eastAsia="Calibri"/>
          <w:bCs/>
          <w:color w:val="000000"/>
        </w:rPr>
        <w:t>T</w:t>
      </w:r>
      <w:r w:rsidRPr="005211DB">
        <w:rPr>
          <w:rFonts w:eastAsia="Calibri"/>
          <w:bCs/>
          <w:color w:val="000000"/>
        </w:rPr>
        <w:t>o Deny)</w:t>
      </w:r>
    </w:p>
    <w:p w:rsidR="000A0BD5" w:rsidRPr="005211DB" w:rsidRDefault="000A0BD5" w:rsidP="000A0BD5">
      <w:pPr>
        <w:spacing w:after="120"/>
        <w:ind w:left="360"/>
        <w:rPr>
          <w:rFonts w:eastAsia="Calibri"/>
          <w:bCs/>
          <w:color w:val="000000"/>
        </w:rPr>
      </w:pPr>
      <w:r w:rsidRPr="005211DB">
        <w:rPr>
          <w:rFonts w:eastAsia="Calibri"/>
          <w:bCs/>
          <w:color w:val="000000"/>
        </w:rPr>
        <w:t xml:space="preserve">Public Knowledge and The Writers Guild of America, West (Petition </w:t>
      </w:r>
      <w:r w:rsidR="00BD5E91">
        <w:rPr>
          <w:rFonts w:eastAsia="Calibri"/>
          <w:bCs/>
          <w:color w:val="000000"/>
        </w:rPr>
        <w:t>T</w:t>
      </w:r>
      <w:r w:rsidRPr="005211DB">
        <w:rPr>
          <w:rFonts w:eastAsia="Calibri"/>
          <w:bCs/>
          <w:color w:val="000000"/>
        </w:rPr>
        <w:t>o Deny)</w:t>
      </w:r>
    </w:p>
    <w:p w:rsidR="000A0BD5" w:rsidRPr="005211DB" w:rsidRDefault="000A0BD5" w:rsidP="000A0BD5">
      <w:pPr>
        <w:spacing w:after="120"/>
        <w:ind w:left="360"/>
        <w:rPr>
          <w:rFonts w:eastAsia="Calibri"/>
          <w:color w:val="000000"/>
        </w:rPr>
      </w:pPr>
      <w:r w:rsidRPr="005211DB">
        <w:rPr>
          <w:rFonts w:eastAsia="Calibri"/>
          <w:bCs/>
          <w:color w:val="000000"/>
        </w:rPr>
        <w:t>Rural Telecommunications Group, Inc. (Comment)</w:t>
      </w:r>
    </w:p>
    <w:p w:rsidR="00A45833" w:rsidRPr="005211DB" w:rsidRDefault="00A45833" w:rsidP="00A45833">
      <w:pPr>
        <w:rPr>
          <w:rFonts w:eastAsia="Calibri"/>
          <w:color w:val="000000"/>
        </w:rPr>
      </w:pPr>
    </w:p>
    <w:p w:rsidR="00A45833" w:rsidRPr="005211DB" w:rsidRDefault="00A45833" w:rsidP="00A45833">
      <w:pPr>
        <w:spacing w:after="120"/>
        <w:rPr>
          <w:rFonts w:eastAsia="Calibri"/>
          <w:b/>
          <w:color w:val="000000"/>
        </w:rPr>
      </w:pPr>
      <w:r w:rsidRPr="005211DB">
        <w:rPr>
          <w:rFonts w:eastAsia="Calibri"/>
          <w:b/>
          <w:color w:val="000000"/>
        </w:rPr>
        <w:t xml:space="preserve">Opposition: </w:t>
      </w:r>
    </w:p>
    <w:p w:rsidR="00A45833" w:rsidRPr="005211DB" w:rsidRDefault="000A0BD5" w:rsidP="000A0BD5">
      <w:pPr>
        <w:spacing w:after="120"/>
        <w:ind w:left="360"/>
        <w:rPr>
          <w:rFonts w:eastAsia="Calibri"/>
          <w:color w:val="000000"/>
        </w:rPr>
      </w:pPr>
      <w:r w:rsidRPr="005211DB">
        <w:rPr>
          <w:rFonts w:eastAsia="Calibri"/>
          <w:color w:val="000000"/>
        </w:rPr>
        <w:t>AT&amp;T Inc. and Atlantic Tele-Network, Inc. (Joint Opposition)</w:t>
      </w:r>
    </w:p>
    <w:p w:rsidR="000A0BD5" w:rsidRPr="005211DB" w:rsidRDefault="000A0BD5" w:rsidP="00A45833">
      <w:pPr>
        <w:rPr>
          <w:rFonts w:eastAsia="Calibri"/>
          <w:color w:val="000000"/>
        </w:rPr>
      </w:pPr>
    </w:p>
    <w:p w:rsidR="00A45833" w:rsidRPr="005211DB" w:rsidRDefault="00A45833" w:rsidP="00A45833">
      <w:pPr>
        <w:spacing w:after="120"/>
        <w:rPr>
          <w:rFonts w:eastAsia="Calibri"/>
          <w:color w:val="000000"/>
        </w:rPr>
      </w:pPr>
      <w:r w:rsidRPr="005211DB">
        <w:rPr>
          <w:rFonts w:eastAsia="Calibri"/>
          <w:b/>
          <w:color w:val="000000"/>
        </w:rPr>
        <w:t xml:space="preserve">Replies: </w:t>
      </w:r>
    </w:p>
    <w:p w:rsidR="005B43D1" w:rsidRPr="005211DB" w:rsidRDefault="000A0BD5" w:rsidP="000A0BD5">
      <w:pPr>
        <w:pStyle w:val="ParaNum"/>
        <w:numPr>
          <w:ilvl w:val="0"/>
          <w:numId w:val="0"/>
        </w:numPr>
        <w:ind w:left="360"/>
        <w:rPr>
          <w:rFonts w:eastAsia="Calibri"/>
          <w:bCs/>
          <w:color w:val="000000"/>
        </w:rPr>
      </w:pPr>
      <w:r w:rsidRPr="005211DB">
        <w:rPr>
          <w:rFonts w:eastAsia="Calibri"/>
          <w:bCs/>
          <w:color w:val="000000"/>
        </w:rPr>
        <w:t>Buffalo-Lake Erie Wireless Systems Co., L.L.C</w:t>
      </w:r>
    </w:p>
    <w:p w:rsidR="000A0BD5" w:rsidRDefault="000A0BD5" w:rsidP="000A0BD5">
      <w:pPr>
        <w:pStyle w:val="ParaNum"/>
        <w:numPr>
          <w:ilvl w:val="0"/>
          <w:numId w:val="0"/>
        </w:numPr>
        <w:ind w:left="360"/>
        <w:rPr>
          <w:rFonts w:eastAsia="Calibri"/>
          <w:bCs/>
          <w:color w:val="000000"/>
        </w:rPr>
      </w:pPr>
      <w:r w:rsidRPr="005211DB">
        <w:rPr>
          <w:rFonts w:eastAsia="Calibri"/>
          <w:bCs/>
          <w:color w:val="000000"/>
        </w:rPr>
        <w:t>Rural Telecommunications Group, Inc.</w:t>
      </w:r>
    </w:p>
    <w:p w:rsidR="00F410E4" w:rsidRDefault="00F410E4">
      <w:pPr>
        <w:rPr>
          <w:rFonts w:eastAsia="Calibri"/>
          <w:bCs/>
          <w:color w:val="000000"/>
        </w:rPr>
      </w:pPr>
      <w:r>
        <w:rPr>
          <w:rFonts w:eastAsia="Calibri"/>
          <w:bCs/>
          <w:color w:val="000000"/>
        </w:rPr>
        <w:br w:type="page"/>
      </w:r>
    </w:p>
    <w:p w:rsidR="00F410E4" w:rsidRPr="005211DB" w:rsidRDefault="00F410E4" w:rsidP="00F410E4">
      <w:pPr>
        <w:pStyle w:val="ParaNum"/>
        <w:numPr>
          <w:ilvl w:val="0"/>
          <w:numId w:val="0"/>
        </w:numPr>
        <w:spacing w:after="0"/>
        <w:jc w:val="center"/>
        <w:rPr>
          <w:b/>
        </w:rPr>
      </w:pPr>
      <w:r w:rsidRPr="005211DB">
        <w:rPr>
          <w:b/>
        </w:rPr>
        <w:t xml:space="preserve">APPENDIX </w:t>
      </w:r>
      <w:r>
        <w:rPr>
          <w:b/>
        </w:rPr>
        <w:t>B</w:t>
      </w:r>
    </w:p>
    <w:p w:rsidR="00F410E4" w:rsidRPr="005211DB" w:rsidRDefault="00F410E4" w:rsidP="00F410E4">
      <w:pPr>
        <w:pStyle w:val="ParaNum"/>
        <w:numPr>
          <w:ilvl w:val="0"/>
          <w:numId w:val="0"/>
        </w:numPr>
        <w:spacing w:after="0"/>
        <w:jc w:val="center"/>
        <w:rPr>
          <w:b/>
        </w:rPr>
      </w:pPr>
      <w:r>
        <w:rPr>
          <w:b/>
        </w:rPr>
        <w:t>AT&amp;T Commitment Letter</w:t>
      </w:r>
    </w:p>
    <w:p w:rsidR="00F410E4" w:rsidRDefault="00F410E4" w:rsidP="00F410E4">
      <w:pPr>
        <w:pStyle w:val="ParaNum"/>
        <w:numPr>
          <w:ilvl w:val="0"/>
          <w:numId w:val="0"/>
        </w:numPr>
        <w:spacing w:after="0"/>
        <w:ind w:left="360"/>
        <w:jc w:val="center"/>
      </w:pPr>
    </w:p>
    <w:p w:rsidR="00ED0A14" w:rsidRDefault="00ED0A14" w:rsidP="00ED0A14">
      <w:pPr>
        <w:pStyle w:val="ParaNum"/>
        <w:numPr>
          <w:ilvl w:val="0"/>
          <w:numId w:val="0"/>
        </w:numPr>
        <w:spacing w:after="0"/>
        <w:ind w:left="360"/>
      </w:pPr>
      <w:r>
        <w:rPr>
          <w:noProof/>
        </w:rPr>
        <w:drawing>
          <wp:inline distT="0" distB="0" distL="0" distR="0">
            <wp:extent cx="4566920" cy="669163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6920" cy="6691630"/>
                    </a:xfrm>
                    <a:prstGeom prst="rect">
                      <a:avLst/>
                    </a:prstGeom>
                    <a:noFill/>
                    <a:ln>
                      <a:noFill/>
                    </a:ln>
                  </pic:spPr>
                </pic:pic>
              </a:graphicData>
            </a:graphic>
          </wp:inline>
        </w:drawing>
      </w:r>
    </w:p>
    <w:p w:rsidR="00ED0A14" w:rsidRDefault="00ED0A14">
      <w:r>
        <w:br w:type="page"/>
      </w:r>
    </w:p>
    <w:p w:rsidR="00ED0A14" w:rsidRDefault="00ED0A14" w:rsidP="00ED0A14">
      <w:pPr>
        <w:pStyle w:val="ParaNum"/>
        <w:numPr>
          <w:ilvl w:val="0"/>
          <w:numId w:val="0"/>
        </w:numPr>
        <w:spacing w:after="0"/>
        <w:ind w:left="360"/>
      </w:pPr>
      <w:r>
        <w:rPr>
          <w:noProof/>
        </w:rPr>
        <w:drawing>
          <wp:inline distT="0" distB="0" distL="0" distR="0">
            <wp:extent cx="4566920" cy="6776085"/>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6920" cy="6776085"/>
                    </a:xfrm>
                    <a:prstGeom prst="rect">
                      <a:avLst/>
                    </a:prstGeom>
                    <a:noFill/>
                    <a:ln>
                      <a:noFill/>
                    </a:ln>
                  </pic:spPr>
                </pic:pic>
              </a:graphicData>
            </a:graphic>
          </wp:inline>
        </w:drawing>
      </w:r>
    </w:p>
    <w:p w:rsidR="00ED0A14" w:rsidRDefault="00ED0A14">
      <w:r>
        <w:br w:type="page"/>
      </w:r>
    </w:p>
    <w:p w:rsidR="00ED0A14" w:rsidRDefault="00ED0A14" w:rsidP="00ED0A14">
      <w:pPr>
        <w:pStyle w:val="ParaNum"/>
        <w:numPr>
          <w:ilvl w:val="0"/>
          <w:numId w:val="0"/>
        </w:numPr>
        <w:spacing w:after="0"/>
        <w:ind w:left="360"/>
      </w:pPr>
      <w:r>
        <w:rPr>
          <w:noProof/>
        </w:rPr>
        <w:drawing>
          <wp:inline distT="0" distB="0" distL="0" distR="0">
            <wp:extent cx="4566920" cy="67075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6920" cy="6707505"/>
                    </a:xfrm>
                    <a:prstGeom prst="rect">
                      <a:avLst/>
                    </a:prstGeom>
                    <a:noFill/>
                    <a:ln>
                      <a:noFill/>
                    </a:ln>
                  </pic:spPr>
                </pic:pic>
              </a:graphicData>
            </a:graphic>
          </wp:inline>
        </w:drawing>
      </w:r>
    </w:p>
    <w:p w:rsidR="00ED0A14" w:rsidRDefault="00ED0A14">
      <w:r>
        <w:br w:type="page"/>
      </w:r>
    </w:p>
    <w:p w:rsidR="00ED0A14" w:rsidRPr="005211DB" w:rsidRDefault="00ED0A14" w:rsidP="00ED0A14">
      <w:pPr>
        <w:pStyle w:val="ParaNum"/>
        <w:numPr>
          <w:ilvl w:val="0"/>
          <w:numId w:val="0"/>
        </w:numPr>
        <w:spacing w:after="0"/>
        <w:ind w:left="360"/>
      </w:pPr>
      <w:r>
        <w:rPr>
          <w:noProof/>
        </w:rPr>
        <w:drawing>
          <wp:inline distT="0" distB="0" distL="0" distR="0">
            <wp:extent cx="4318000" cy="63690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0" cy="6369050"/>
                    </a:xfrm>
                    <a:prstGeom prst="rect">
                      <a:avLst/>
                    </a:prstGeom>
                    <a:noFill/>
                    <a:ln>
                      <a:noFill/>
                    </a:ln>
                  </pic:spPr>
                </pic:pic>
              </a:graphicData>
            </a:graphic>
          </wp:inline>
        </w:drawing>
      </w:r>
    </w:p>
    <w:sectPr w:rsidR="00ED0A14" w:rsidRPr="005211DB" w:rsidSect="00E75753">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B6" w:rsidRDefault="00804CB6">
      <w:pPr>
        <w:spacing w:line="20" w:lineRule="exact"/>
      </w:pPr>
    </w:p>
  </w:endnote>
  <w:endnote w:type="continuationSeparator" w:id="0">
    <w:p w:rsidR="00804CB6" w:rsidRDefault="00804CB6">
      <w:r>
        <w:t xml:space="preserve"> </w:t>
      </w:r>
    </w:p>
  </w:endnote>
  <w:endnote w:type="continuationNotice" w:id="1">
    <w:p w:rsidR="00804CB6" w:rsidRDefault="00804C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15" w:rsidRDefault="00E85915">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E85915" w:rsidRDefault="00E85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15" w:rsidRDefault="00E85915">
    <w:pPr>
      <w:pStyle w:val="Footer"/>
      <w:framePr w:wrap="around" w:vAnchor="text" w:hAnchor="margin" w:xAlign="center" w:y="1"/>
    </w:pPr>
    <w:r>
      <w:fldChar w:fldCharType="begin"/>
    </w:r>
    <w:r>
      <w:instrText xml:space="preserve">PAGE  </w:instrText>
    </w:r>
    <w:r>
      <w:fldChar w:fldCharType="separate"/>
    </w:r>
    <w:r w:rsidR="00205929">
      <w:rPr>
        <w:noProof/>
      </w:rPr>
      <w:t>2</w:t>
    </w:r>
    <w:r>
      <w:fldChar w:fldCharType="end"/>
    </w:r>
  </w:p>
  <w:p w:rsidR="00E85915" w:rsidRDefault="00E85915">
    <w:pPr>
      <w:spacing w:before="140" w:line="100" w:lineRule="exact"/>
      <w:rPr>
        <w:sz w:val="10"/>
      </w:rPr>
    </w:pPr>
  </w:p>
  <w:p w:rsidR="00E85915" w:rsidRDefault="00E8591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AB" w:rsidRDefault="00EC5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B6" w:rsidRPr="005F4883" w:rsidRDefault="00804CB6">
      <w:pPr>
        <w:rPr>
          <w:sz w:val="20"/>
          <w:szCs w:val="20"/>
        </w:rPr>
      </w:pPr>
      <w:r w:rsidRPr="005F4883">
        <w:rPr>
          <w:sz w:val="20"/>
          <w:szCs w:val="20"/>
        </w:rPr>
        <w:separator/>
      </w:r>
    </w:p>
  </w:footnote>
  <w:footnote w:type="continuationSeparator" w:id="0">
    <w:p w:rsidR="00804CB6" w:rsidRPr="005F4883" w:rsidRDefault="00804CB6">
      <w:pPr>
        <w:rPr>
          <w:sz w:val="20"/>
          <w:szCs w:val="20"/>
        </w:rPr>
      </w:pPr>
      <w:r w:rsidRPr="005F4883">
        <w:rPr>
          <w:sz w:val="20"/>
          <w:szCs w:val="20"/>
        </w:rPr>
        <w:t xml:space="preserve">(Continued from previous page)  </w:t>
      </w:r>
      <w:r w:rsidRPr="005F4883">
        <w:rPr>
          <w:sz w:val="20"/>
          <w:szCs w:val="20"/>
        </w:rPr>
        <w:separator/>
      </w:r>
    </w:p>
  </w:footnote>
  <w:footnote w:type="continuationNotice" w:id="1">
    <w:p w:rsidR="00804CB6" w:rsidRPr="005F4883" w:rsidRDefault="00804CB6">
      <w:pPr>
        <w:rPr>
          <w:sz w:val="20"/>
          <w:szCs w:val="20"/>
        </w:rPr>
      </w:pPr>
      <w:r w:rsidRPr="005F4883">
        <w:rPr>
          <w:sz w:val="20"/>
          <w:szCs w:val="20"/>
        </w:rPr>
        <w:t>(continued….)</w:t>
      </w:r>
    </w:p>
  </w:footnote>
  <w:footnote w:id="2">
    <w:p w:rsidR="00E85915" w:rsidRPr="00A5312F" w:rsidRDefault="00E85915" w:rsidP="00A35819">
      <w:pPr>
        <w:pStyle w:val="FootnoteText"/>
      </w:pPr>
      <w:r w:rsidRPr="00A5312F">
        <w:rPr>
          <w:rStyle w:val="FootnoteReference"/>
        </w:rPr>
        <w:footnoteRef/>
      </w:r>
      <w:r w:rsidRPr="00A5312F">
        <w:t xml:space="preserve"> Applications of Allied Wireless Communications Corporation, AWCC Acquisition Company</w:t>
      </w:r>
      <w:r>
        <w:t>,</w:t>
      </w:r>
      <w:r w:rsidRPr="00A5312F">
        <w:t xml:space="preserve"> LLC, and AT&amp;T Inc. for Consent To Transfer Control of and Assign Licenses and Spectrum Leases, and for New Authorizations To Lease Spectrum, ULS File Nos. 0005632405, 0005631527, 0005631556, 0005631562, 0005631563, 0005631565, 0005631586, 0005632708, 0005632710, 0005632713, and 0005632716 (filed Feb. 5, 2013; amended Apr. 3, 2013) (File No. 0005632405 is designated as the lead application</w:t>
      </w:r>
      <w:r>
        <w:t xml:space="preserve"> (“Lead Application”)</w:t>
      </w:r>
      <w:r w:rsidRPr="00A5312F">
        <w:t>); the application for consent to assign an international section 214 authorization from Allied Wireless Communications Corporation to AWCC Acquisition Company LLC has been assigned File No. ITC-ASG-20130206-00051 (collectively, the “Applications”).</w:t>
      </w:r>
    </w:p>
  </w:footnote>
  <w:footnote w:id="3">
    <w:p w:rsidR="00E85915" w:rsidRPr="00A5312F" w:rsidRDefault="00E85915" w:rsidP="00456EF6">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22, 2013) (“AT&amp;T 10-K), </w:t>
      </w:r>
      <w:r w:rsidRPr="00A5312F">
        <w:rPr>
          <w:i/>
        </w:rPr>
        <w:t xml:space="preserve">available at </w:t>
      </w:r>
      <w:hyperlink r:id="rId1" w:history="1">
        <w:r w:rsidRPr="00A5312F">
          <w:rPr>
            <w:rStyle w:val="Hyperlink"/>
          </w:rPr>
          <w:t>http://www.sec.gov/Archives/edgar/data/732717/000073271713000017/ye12_10k.htm</w:t>
        </w:r>
      </w:hyperlink>
      <w:r w:rsidRPr="00A5312F">
        <w:t>.</w:t>
      </w:r>
    </w:p>
  </w:footnote>
  <w:footnote w:id="4">
    <w:p w:rsidR="00E85915" w:rsidRPr="00A5312F" w:rsidRDefault="00E85915" w:rsidP="00456EF6">
      <w:pPr>
        <w:pStyle w:val="FootnoteText"/>
      </w:pPr>
      <w:r w:rsidRPr="00A5312F">
        <w:rPr>
          <w:rStyle w:val="FootnoteReference"/>
        </w:rPr>
        <w:footnoteRef/>
      </w:r>
      <w:r w:rsidRPr="00A5312F">
        <w:t xml:space="preserve"> </w:t>
      </w:r>
      <w:r w:rsidRPr="00A5312F">
        <w:rPr>
          <w:i/>
        </w:rPr>
        <w:t xml:space="preserve">See </w:t>
      </w:r>
      <w:r w:rsidRPr="00A5312F">
        <w:t xml:space="preserve">AT&amp;T Inc. 2012 Annual Report, Ex. 13 (filed Feb. 22, 2013), at 1, 5, </w:t>
      </w:r>
      <w:r w:rsidRPr="00A5312F">
        <w:rPr>
          <w:i/>
        </w:rPr>
        <w:t>available at</w:t>
      </w:r>
      <w:r w:rsidRPr="00A5312F">
        <w:t xml:space="preserve"> </w:t>
      </w:r>
      <w:hyperlink r:id="rId2" w:history="1">
        <w:r w:rsidRPr="00A5312F">
          <w:rPr>
            <w:rStyle w:val="Hyperlink"/>
          </w:rPr>
          <w:t>http://www.sec.gov/Archives/edgar/data/732717/000073271713000017/ex13.htm</w:t>
        </w:r>
      </w:hyperlink>
      <w:r w:rsidRPr="00A5312F">
        <w:t xml:space="preserve">.  </w:t>
      </w:r>
    </w:p>
  </w:footnote>
  <w:footnote w:id="5">
    <w:p w:rsidR="00E85915" w:rsidRPr="00A5312F" w:rsidRDefault="00E85915" w:rsidP="009E525D">
      <w:pPr>
        <w:pStyle w:val="FootnoteText"/>
      </w:pPr>
      <w:r w:rsidRPr="00A5312F">
        <w:rPr>
          <w:rStyle w:val="FootnoteReference"/>
        </w:rPr>
        <w:footnoteRef/>
      </w:r>
      <w:r w:rsidRPr="00A5312F">
        <w:t xml:space="preserve"> Of the 308 million people covered by its wireless network, AT&amp;T covers 301.3 million people with 3G, 294.6 million people with </w:t>
      </w:r>
      <w:r>
        <w:t>High Speed Packet Access+ (“</w:t>
      </w:r>
      <w:r w:rsidRPr="00A5312F">
        <w:t>HSPA+</w:t>
      </w:r>
      <w:r>
        <w:t>”)</w:t>
      </w:r>
      <w:r w:rsidRPr="00A5312F">
        <w:t>, and 221.6 million people with LTE.  Mosaik Solutions Data (“Mosaik”), July 2013.</w:t>
      </w:r>
    </w:p>
  </w:footnote>
  <w:footnote w:id="6">
    <w:p w:rsidR="00E85915" w:rsidRPr="00A5312F" w:rsidRDefault="00E85915" w:rsidP="00690052">
      <w:pPr>
        <w:pStyle w:val="FootnoteText"/>
      </w:pPr>
      <w:r w:rsidRPr="00A5312F">
        <w:rPr>
          <w:rStyle w:val="FootnoteReference"/>
        </w:rPr>
        <w:footnoteRef/>
      </w:r>
      <w:r w:rsidRPr="00A5312F">
        <w:t xml:space="preserve"> </w:t>
      </w:r>
      <w:r w:rsidRPr="00A5312F">
        <w:rPr>
          <w:i/>
        </w:rPr>
        <w:t xml:space="preserve">See </w:t>
      </w:r>
      <w:r w:rsidRPr="00A5312F">
        <w:t>AT&amp;T 10-K at 2.</w:t>
      </w:r>
    </w:p>
  </w:footnote>
  <w:footnote w:id="7">
    <w:p w:rsidR="00E85915" w:rsidRPr="00A5312F" w:rsidRDefault="00E85915" w:rsidP="00057A3D">
      <w:pPr>
        <w:pStyle w:val="FootnoteText"/>
      </w:pPr>
      <w:r w:rsidRPr="00A5312F">
        <w:rPr>
          <w:rStyle w:val="FootnoteReference"/>
        </w:rPr>
        <w:footnoteRef/>
      </w:r>
      <w:r w:rsidRPr="00A5312F">
        <w:t xml:space="preserve"> </w:t>
      </w:r>
      <w:r>
        <w:t xml:space="preserve">Lead </w:t>
      </w:r>
      <w:r w:rsidRPr="00A5312F">
        <w:t>Application, Exhibit 1, Description of Transaction, Public Interest Showing and Related Demonstrations at 2 (“Public Interest Statement”).</w:t>
      </w:r>
    </w:p>
  </w:footnote>
  <w:footnote w:id="8">
    <w:p w:rsidR="00E85915" w:rsidRPr="00A5312F" w:rsidRDefault="00E85915" w:rsidP="00057A3D">
      <w:pPr>
        <w:pStyle w:val="FootnoteText"/>
      </w:pPr>
      <w:r w:rsidRPr="00A5312F">
        <w:rPr>
          <w:rStyle w:val="FootnoteReference"/>
        </w:rPr>
        <w:footnoteRef/>
      </w:r>
      <w:r w:rsidRPr="00A5312F">
        <w:t xml:space="preserve"> </w:t>
      </w:r>
      <w:r w:rsidRPr="00A5312F">
        <w:rPr>
          <w:i/>
        </w:rPr>
        <w:t xml:space="preserve">See </w:t>
      </w:r>
      <w:r w:rsidRPr="00A5312F">
        <w:t xml:space="preserve">Atlantic Tele-Network, Inc., SEC Form 10-K at 2 (for the fiscal year ended Dec. 31, 2012) (“ATN 10-K”), </w:t>
      </w:r>
      <w:r w:rsidRPr="00A5312F">
        <w:rPr>
          <w:i/>
        </w:rPr>
        <w:t xml:space="preserve">available at </w:t>
      </w:r>
      <w:hyperlink r:id="rId3" w:history="1">
        <w:r w:rsidRPr="00A5312F">
          <w:rPr>
            <w:rStyle w:val="Hyperlink"/>
          </w:rPr>
          <w:t>http://www.sec.gov/Archives/edgar/data/879585/000104746913002987/a2213629z10-k.htm</w:t>
        </w:r>
      </w:hyperlink>
      <w:r w:rsidRPr="00A5312F">
        <w:t>.</w:t>
      </w:r>
    </w:p>
  </w:footnote>
  <w:footnote w:id="9">
    <w:p w:rsidR="00E85915" w:rsidRPr="00A5312F" w:rsidRDefault="00E85915" w:rsidP="008557DA">
      <w:pPr>
        <w:pStyle w:val="FootnoteText"/>
      </w:pPr>
      <w:r w:rsidRPr="00A5312F">
        <w:rPr>
          <w:rStyle w:val="FootnoteReference"/>
        </w:rPr>
        <w:footnoteRef/>
      </w:r>
      <w:r w:rsidRPr="00A5312F">
        <w:t xml:space="preserve"> </w:t>
      </w:r>
      <w:r w:rsidRPr="00A5312F">
        <w:rPr>
          <w:i/>
        </w:rPr>
        <w:t xml:space="preserve">See </w:t>
      </w:r>
      <w:r w:rsidRPr="00A5312F">
        <w:t>ATN 10-K at 45.</w:t>
      </w:r>
    </w:p>
  </w:footnote>
  <w:footnote w:id="10">
    <w:p w:rsidR="00E85915" w:rsidRDefault="00E85915" w:rsidP="007D2F0E">
      <w:pPr>
        <w:pStyle w:val="FootnoteText"/>
      </w:pPr>
      <w:r>
        <w:rPr>
          <w:rStyle w:val="FootnoteReference"/>
        </w:rPr>
        <w:footnoteRef/>
      </w:r>
      <w:r>
        <w:t xml:space="preserve"> </w:t>
      </w:r>
      <w:r w:rsidRPr="00C74ED2">
        <w:rPr>
          <w:i/>
        </w:rPr>
        <w:t>See</w:t>
      </w:r>
      <w:r w:rsidRPr="00C74ED2">
        <w:t xml:space="preserve"> Applications of Atlantic Tele-Network, Inc. and Cellco Partnership d/b/a Verizon Wireless, WT Docket No. 09-119, </w:t>
      </w:r>
      <w:r w:rsidRPr="00C74ED2">
        <w:rPr>
          <w:i/>
        </w:rPr>
        <w:t>Memorandum Opinion and Order</w:t>
      </w:r>
      <w:r w:rsidRPr="00C74ED2">
        <w:t>, 25 FCC Rcd 3763, 3772 ¶ 18 (2010) (“</w:t>
      </w:r>
      <w:r w:rsidRPr="00C74ED2">
        <w:rPr>
          <w:i/>
        </w:rPr>
        <w:t>ATN-Verizon Wireless Order</w:t>
      </w:r>
      <w:r>
        <w:t>”)</w:t>
      </w:r>
      <w:r w:rsidRPr="00314929">
        <w:rPr>
          <w:rStyle w:val="StyleParaNumTimesNewRoman11ptChar"/>
          <w:sz w:val="20"/>
        </w:rPr>
        <w:t xml:space="preserve">.  </w:t>
      </w:r>
      <w:r w:rsidRPr="00C74ED2">
        <w:rPr>
          <w:i/>
        </w:rPr>
        <w:t>See</w:t>
      </w:r>
      <w:r w:rsidRPr="00C74ED2">
        <w:t xml:space="preserve"> </w:t>
      </w:r>
      <w:r w:rsidRPr="008169FA">
        <w:rPr>
          <w:i/>
        </w:rPr>
        <w:t>also</w:t>
      </w:r>
      <w:r>
        <w:t xml:space="preserve"> </w:t>
      </w:r>
      <w:r w:rsidRPr="00C74ED2">
        <w:rPr>
          <w:i/>
        </w:rPr>
        <w:t>United States, et. al v. Verizon Communications, Inc., and ALLTEL Corporation</w:t>
      </w:r>
      <w:r w:rsidRPr="00C74ED2">
        <w:t>, 607 F.Supp.2d</w:t>
      </w:r>
      <w:r>
        <w:t xml:space="preserve"> 1</w:t>
      </w:r>
      <w:r w:rsidRPr="00C74ED2">
        <w:t>, 5-10 (D.D.C. 2009) (“</w:t>
      </w:r>
      <w:r w:rsidRPr="00A1238F">
        <w:rPr>
          <w:i/>
          <w:iCs/>
        </w:rPr>
        <w:t>U.S. v. Verizon Comm.</w:t>
      </w:r>
      <w:r w:rsidRPr="00C74ED2">
        <w:t xml:space="preserve">”).  </w:t>
      </w:r>
    </w:p>
  </w:footnote>
  <w:footnote w:id="11">
    <w:p w:rsidR="00E85915" w:rsidRPr="00A5312F" w:rsidRDefault="00E85915">
      <w:pPr>
        <w:pStyle w:val="FootnoteText"/>
      </w:pPr>
      <w:r w:rsidRPr="00A5312F">
        <w:rPr>
          <w:rStyle w:val="FootnoteReference"/>
        </w:rPr>
        <w:footnoteRef/>
      </w:r>
      <w:r w:rsidRPr="00A5312F">
        <w:t xml:space="preserve"> </w:t>
      </w:r>
      <w:r w:rsidRPr="00A5312F">
        <w:rPr>
          <w:i/>
        </w:rPr>
        <w:t xml:space="preserve">See </w:t>
      </w:r>
      <w:r w:rsidRPr="00A5312F">
        <w:t>ATN 10-K at 3; Public Interest Statement at 2-3.  The subscriber count includes 35,000 customers attributable to the unconsolidated partnership Georgia RSA</w:t>
      </w:r>
      <w:r>
        <w:t xml:space="preserve"> </w:t>
      </w:r>
      <w:r w:rsidRPr="00A5312F">
        <w:t>#8</w:t>
      </w:r>
      <w:r>
        <w:t xml:space="preserve"> Partnership</w:t>
      </w:r>
      <w:r w:rsidRPr="00A5312F">
        <w:t xml:space="preserve">, in which ATN has an approximate 33% interest.  </w:t>
      </w:r>
      <w:r w:rsidRPr="00A5312F">
        <w:rPr>
          <w:i/>
        </w:rPr>
        <w:t xml:space="preserve">See </w:t>
      </w:r>
      <w:r>
        <w:rPr>
          <w:i/>
        </w:rPr>
        <w:t>id.</w:t>
      </w:r>
      <w:r w:rsidRPr="00A5312F">
        <w:t xml:space="preserve"> at 3 n.8; </w:t>
      </w:r>
      <w:r w:rsidRPr="00A5312F">
        <w:rPr>
          <w:i/>
        </w:rPr>
        <w:t xml:space="preserve">see also </w:t>
      </w:r>
      <w:r>
        <w:t xml:space="preserve">n.117 </w:t>
      </w:r>
      <w:r w:rsidRPr="00A5312F">
        <w:rPr>
          <w:i/>
        </w:rPr>
        <w:t>infra</w:t>
      </w:r>
      <w:r w:rsidRPr="00A5312F">
        <w:t>.  ATN also has wholesale and data roaming wireless operations that are not involved in this transaction.  Public Interest Statement at 3.</w:t>
      </w:r>
    </w:p>
  </w:footnote>
  <w:footnote w:id="12">
    <w:p w:rsidR="00E85915" w:rsidRPr="00A5312F" w:rsidRDefault="00E85915" w:rsidP="006864D5">
      <w:pPr>
        <w:pStyle w:val="FootnoteText"/>
      </w:pPr>
      <w:r w:rsidRPr="00A5312F">
        <w:rPr>
          <w:rStyle w:val="FootnoteReference"/>
        </w:rPr>
        <w:footnoteRef/>
      </w:r>
      <w:r w:rsidRPr="00A5312F">
        <w:t xml:space="preserve"> Of the 4.7 million people covered by its wireless network, ATN covers 4.5 million people with 3G.  Mosaik, July 2013.</w:t>
      </w:r>
    </w:p>
  </w:footnote>
  <w:footnote w:id="13">
    <w:p w:rsidR="00E85915" w:rsidRPr="00A5312F" w:rsidRDefault="00E85915" w:rsidP="002D0F1A">
      <w:pPr>
        <w:pStyle w:val="FootnoteText"/>
      </w:pPr>
      <w:r w:rsidRPr="00A5312F">
        <w:rPr>
          <w:rStyle w:val="FootnoteReference"/>
        </w:rPr>
        <w:footnoteRef/>
      </w:r>
      <w:r w:rsidRPr="00A5312F">
        <w:t xml:space="preserve"> </w:t>
      </w:r>
      <w:r w:rsidRPr="00A5312F">
        <w:rPr>
          <w:i/>
        </w:rPr>
        <w:t xml:space="preserve">See </w:t>
      </w:r>
      <w:r w:rsidRPr="00A5312F">
        <w:t>ATN 10-K at 4.</w:t>
      </w:r>
    </w:p>
  </w:footnote>
  <w:footnote w:id="14">
    <w:p w:rsidR="00E85915" w:rsidRPr="00A5312F" w:rsidRDefault="00E85915">
      <w:pPr>
        <w:pStyle w:val="FootnoteText"/>
      </w:pPr>
      <w:r w:rsidRPr="00A5312F">
        <w:rPr>
          <w:rStyle w:val="FootnoteReference"/>
        </w:rPr>
        <w:footnoteRef/>
      </w:r>
      <w:r w:rsidRPr="00A5312F">
        <w:t xml:space="preserve"> 47 U.S.C. §§ 214, 310(d).</w:t>
      </w:r>
    </w:p>
  </w:footnote>
  <w:footnote w:id="15">
    <w:p w:rsidR="00E85915" w:rsidRPr="00A5312F" w:rsidRDefault="00E85915">
      <w:pPr>
        <w:pStyle w:val="FootnoteText"/>
      </w:pPr>
      <w:r w:rsidRPr="00A5312F">
        <w:rPr>
          <w:rStyle w:val="FootnoteReference"/>
        </w:rPr>
        <w:footnoteRef/>
      </w:r>
      <w:r w:rsidRPr="00A5312F">
        <w:t xml:space="preserve"> In addition to assigning the licenses it holds to AWCC (</w:t>
      </w:r>
      <w:r w:rsidRPr="00A5312F">
        <w:rPr>
          <w:i/>
        </w:rPr>
        <w:t xml:space="preserve">see </w:t>
      </w:r>
      <w:r w:rsidRPr="00A5312F">
        <w:t xml:space="preserve">ULS File No. 0005632405), Allied </w:t>
      </w:r>
      <w:r w:rsidRPr="002F1CEA">
        <w:t>would transfer to AT&amp;T ownership of interests in five partnerships that are spectrum licensees (</w:t>
      </w:r>
      <w:r w:rsidRPr="003A73EF">
        <w:rPr>
          <w:i/>
        </w:rPr>
        <w:t xml:space="preserve">see </w:t>
      </w:r>
      <w:r w:rsidRPr="003A73EF">
        <w:t>ULS File Nos. 0005631527, 0005631556, 0005631562, 0005631563, and 0005631565)</w:t>
      </w:r>
      <w:r w:rsidRPr="00C9339C">
        <w:t xml:space="preserve">, as well as </w:t>
      </w:r>
      <w:r w:rsidRPr="00291216">
        <w:t>control of a partnership that leases spectrum from a third party (</w:t>
      </w:r>
      <w:r w:rsidRPr="0075707B">
        <w:rPr>
          <w:i/>
        </w:rPr>
        <w:t>see</w:t>
      </w:r>
      <w:r w:rsidRPr="009F0F3A">
        <w:t xml:space="preserve"> ULS File No. 0005631586).  Lastly, partnerships in which Allied holds an interest have filed applications for new authorizations to lease spectrum to AWCC (in </w:t>
      </w:r>
      <w:r w:rsidRPr="00121630">
        <w:t>lieu of applications for Allied to assign existing spectrum leasing authorizations to AWCC) (</w:t>
      </w:r>
      <w:r w:rsidRPr="00A5312F">
        <w:rPr>
          <w:i/>
        </w:rPr>
        <w:t>see</w:t>
      </w:r>
      <w:r w:rsidRPr="00A5312F">
        <w:t xml:space="preserve"> ULS File Nos. 0005632708, 0005632710, 0005632713, and 0005632716).  All of these spectrum interests have been attributed to AT&amp;T for purposes of our competitive analysis.</w:t>
      </w:r>
    </w:p>
  </w:footnote>
  <w:footnote w:id="16">
    <w:p w:rsidR="00E85915" w:rsidRPr="005A37B1" w:rsidRDefault="00E85915">
      <w:pPr>
        <w:pStyle w:val="FootnoteText"/>
      </w:pPr>
      <w:r w:rsidRPr="0075707B">
        <w:rPr>
          <w:rStyle w:val="FootnoteReference"/>
        </w:rPr>
        <w:footnoteRef/>
      </w:r>
      <w:r w:rsidRPr="0075707B">
        <w:t xml:space="preserve"> </w:t>
      </w:r>
      <w:r w:rsidRPr="009F0F3A">
        <w:rPr>
          <w:i/>
        </w:rPr>
        <w:t xml:space="preserve">See </w:t>
      </w:r>
      <w:r w:rsidRPr="005A37B1">
        <w:t>Public Interest Statement at 1.</w:t>
      </w:r>
    </w:p>
  </w:footnote>
  <w:footnote w:id="17">
    <w:p w:rsidR="00E85915" w:rsidRPr="005A37B1" w:rsidRDefault="00E85915">
      <w:pPr>
        <w:pStyle w:val="FootnoteText"/>
      </w:pPr>
      <w:r w:rsidRPr="0075707B">
        <w:rPr>
          <w:rStyle w:val="FootnoteReference"/>
        </w:rPr>
        <w:footnoteRef/>
      </w:r>
      <w:r w:rsidRPr="0075707B">
        <w:t xml:space="preserve"> </w:t>
      </w:r>
      <w:r w:rsidRPr="009F0F3A">
        <w:rPr>
          <w:i/>
        </w:rPr>
        <w:t xml:space="preserve">See </w:t>
      </w:r>
      <w:r>
        <w:rPr>
          <w:i/>
        </w:rPr>
        <w:t>id.</w:t>
      </w:r>
      <w:r w:rsidRPr="005A37B1">
        <w:t xml:space="preserve"> at 7.</w:t>
      </w:r>
    </w:p>
  </w:footnote>
  <w:footnote w:id="18">
    <w:p w:rsidR="00E85915" w:rsidRPr="005A37B1" w:rsidRDefault="00E85915">
      <w:pPr>
        <w:pStyle w:val="FootnoteText"/>
      </w:pPr>
      <w:r w:rsidRPr="0075707B">
        <w:rPr>
          <w:rStyle w:val="FootnoteReference"/>
        </w:rPr>
        <w:footnoteRef/>
      </w:r>
      <w:r w:rsidRPr="0075707B">
        <w:t xml:space="preserve"> </w:t>
      </w:r>
      <w:r w:rsidRPr="009F0F3A">
        <w:rPr>
          <w:i/>
        </w:rPr>
        <w:t xml:space="preserve">See </w:t>
      </w:r>
      <w:r>
        <w:rPr>
          <w:i/>
        </w:rPr>
        <w:t>id.</w:t>
      </w:r>
      <w:r w:rsidRPr="005A37B1">
        <w:t xml:space="preserve"> at 7.</w:t>
      </w:r>
    </w:p>
  </w:footnote>
  <w:footnote w:id="19">
    <w:p w:rsidR="00E85915" w:rsidRPr="00A5312F" w:rsidRDefault="00E85915" w:rsidP="008A11C5">
      <w:pPr>
        <w:pStyle w:val="FootnoteText"/>
      </w:pPr>
      <w:r w:rsidRPr="0075707B">
        <w:rPr>
          <w:rStyle w:val="FootnoteReference"/>
        </w:rPr>
        <w:footnoteRef/>
      </w:r>
      <w:r w:rsidRPr="0075707B">
        <w:t xml:space="preserve"> AT&amp;T Inc. and Atlantic Tele-Network, Inc. Seek FCC Consent to the Transfer of Control and Assignment of Licenses, Spectrum Leasi</w:t>
      </w:r>
      <w:r w:rsidRPr="009F0F3A">
        <w:t xml:space="preserve">ng Authorizations, and an International Section 214 Authorization, </w:t>
      </w:r>
      <w:r w:rsidRPr="005A37B1">
        <w:rPr>
          <w:i/>
        </w:rPr>
        <w:t>Public Notice</w:t>
      </w:r>
      <w:r w:rsidRPr="00121630">
        <w:t xml:space="preserve">¸ </w:t>
      </w:r>
      <w:r>
        <w:t>28 FCC Rcd 2165</w:t>
      </w:r>
      <w:r w:rsidRPr="00121630">
        <w:t xml:space="preserve"> (2013) (“</w:t>
      </w:r>
      <w:r w:rsidRPr="00A5312F">
        <w:rPr>
          <w:i/>
        </w:rPr>
        <w:t>Comment Public Notice</w:t>
      </w:r>
      <w:r w:rsidRPr="00A5312F">
        <w:t>”).</w:t>
      </w:r>
    </w:p>
  </w:footnote>
  <w:footnote w:id="20">
    <w:p w:rsidR="00E85915" w:rsidRPr="00A5312F" w:rsidRDefault="00E85915" w:rsidP="008A11C5">
      <w:pPr>
        <w:pStyle w:val="FootnoteText"/>
      </w:pPr>
      <w:r w:rsidRPr="0075707B">
        <w:rPr>
          <w:rStyle w:val="FootnoteReference"/>
        </w:rPr>
        <w:footnoteRef/>
      </w:r>
      <w:r w:rsidRPr="0075707B">
        <w:t xml:space="preserve"> </w:t>
      </w:r>
      <w:r w:rsidRPr="009F0F3A">
        <w:rPr>
          <w:i/>
        </w:rPr>
        <w:t>See</w:t>
      </w:r>
      <w:r w:rsidRPr="00121630">
        <w:t xml:space="preserve"> Appendix A </w:t>
      </w:r>
      <w:r w:rsidRPr="00A5312F">
        <w:rPr>
          <w:i/>
        </w:rPr>
        <w:t>infra</w:t>
      </w:r>
      <w:r w:rsidRPr="00A5312F">
        <w:t xml:space="preserve">.  Maneesh Pangasa filed a number of comments after the comment period closed.  </w:t>
      </w:r>
    </w:p>
  </w:footnote>
  <w:footnote w:id="21">
    <w:p w:rsidR="00E85915" w:rsidRPr="00A5312F" w:rsidRDefault="00E85915" w:rsidP="00BD26B5">
      <w:pPr>
        <w:pStyle w:val="FootnoteText"/>
      </w:pPr>
      <w:r w:rsidRPr="0075707B">
        <w:rPr>
          <w:rStyle w:val="FootnoteReference"/>
        </w:rPr>
        <w:footnoteRef/>
      </w:r>
      <w:r w:rsidRPr="0075707B">
        <w:t xml:space="preserve"> </w:t>
      </w:r>
      <w:r w:rsidRPr="009F0F3A">
        <w:rPr>
          <w:i/>
        </w:rPr>
        <w:t>See</w:t>
      </w:r>
      <w:r w:rsidRPr="00121630">
        <w:t xml:space="preserve"> Letter f</w:t>
      </w:r>
      <w:r w:rsidRPr="00A5312F">
        <w:t xml:space="preserve">rom Ruth Milkman, Chief, </w:t>
      </w:r>
      <w:r>
        <w:t>Wireless Telecommunications Bureau</w:t>
      </w:r>
      <w:r w:rsidRPr="00A5312F">
        <w:t xml:space="preserve">, to Michael P. Goggin, AT&amp;T Inc., WT Docket No. 13-54 (June 5, 2013); Letter from Ruth Milkman, Chief, </w:t>
      </w:r>
      <w:r>
        <w:t>Wireless Telecommunications Bureau</w:t>
      </w:r>
      <w:r w:rsidRPr="00A5312F">
        <w:t>, to Douglas J. Minster, Allied Wireless Communications Corporation, WT Docket No. 13-54 (June 5, 2013).</w:t>
      </w:r>
      <w:r>
        <w:t xml:space="preserve">  </w:t>
      </w:r>
      <w:r w:rsidRPr="00A5312F">
        <w:t>).</w:t>
      </w:r>
      <w:r>
        <w:t xml:space="preserve">  On August 27, 2013, the Wireless Bureau suspended the informal 180-day clock for reviewing transactions because AT&amp;T had not provided detailed responses on its plans to transition Allied’s significant prepaid customer base.  </w:t>
      </w:r>
      <w:r>
        <w:rPr>
          <w:i/>
        </w:rPr>
        <w:t>See</w:t>
      </w:r>
      <w:r>
        <w:t xml:space="preserve"> Letter from Ruth Milkman, Chief, Wireless Telecommunications Bureau, to Michael Goggin, AT&amp;T, Inc., and Douglas J. Minster, Allied Wireless Communications Corporation, WT Docket No. 13-55 (Aug. 27, 2013).  AT&amp;T provided additional information on those and other issues on August 28, 2013 and September 18, 2013.  </w:t>
      </w:r>
      <w:r w:rsidRPr="00303560">
        <w:rPr>
          <w:i/>
        </w:rPr>
        <w:t>See</w:t>
      </w:r>
      <w:r>
        <w:t xml:space="preserve"> </w:t>
      </w:r>
      <w:r w:rsidRPr="0075707B">
        <w:t xml:space="preserve">AT&amp;T </w:t>
      </w:r>
      <w:r>
        <w:t>Third Supplemental</w:t>
      </w:r>
      <w:r w:rsidRPr="0075707B">
        <w:t xml:space="preserve"> Response, </w:t>
      </w:r>
      <w:r>
        <w:t>August 28</w:t>
      </w:r>
      <w:r w:rsidRPr="0075707B">
        <w:t>, 2013</w:t>
      </w:r>
      <w:r>
        <w:t xml:space="preserve">; </w:t>
      </w:r>
      <w:r w:rsidRPr="0075707B">
        <w:t xml:space="preserve">AT&amp;T </w:t>
      </w:r>
      <w:r>
        <w:t>Fifth Supplemental</w:t>
      </w:r>
      <w:r w:rsidRPr="0075707B">
        <w:t xml:space="preserve"> Response, </w:t>
      </w:r>
      <w:r>
        <w:t>September 18</w:t>
      </w:r>
      <w:r w:rsidRPr="0075707B">
        <w:t>, 2013</w:t>
      </w:r>
      <w:r>
        <w:t>.</w:t>
      </w:r>
    </w:p>
  </w:footnote>
  <w:footnote w:id="22">
    <w:p w:rsidR="00E85915" w:rsidRPr="00A5312F" w:rsidRDefault="00E85915" w:rsidP="008A11C5">
      <w:pPr>
        <w:pStyle w:val="FootnoteText"/>
      </w:pPr>
      <w:r w:rsidRPr="0075707B">
        <w:rPr>
          <w:rStyle w:val="FootnoteReference"/>
        </w:rPr>
        <w:footnoteRef/>
      </w:r>
      <w:r w:rsidRPr="0075707B">
        <w:t xml:space="preserve"> Appl</w:t>
      </w:r>
      <w:r w:rsidRPr="009F0F3A">
        <w:t xml:space="preserve">ications of AT&amp;T Inc. and Atlantic Tele-Network, Inc. for Consent To Transfer Control and Assign Licenses and Authorizations, WT Docket No. 13-54, </w:t>
      </w:r>
      <w:r w:rsidRPr="00121630">
        <w:rPr>
          <w:i/>
        </w:rPr>
        <w:t>Protective Order</w:t>
      </w:r>
      <w:r w:rsidRPr="00A5312F">
        <w:t xml:space="preserve">, </w:t>
      </w:r>
      <w:r>
        <w:t>28 FCC Rcd 8197</w:t>
      </w:r>
      <w:r w:rsidRPr="00A5312F">
        <w:t xml:space="preserve"> (WTB 2013); Applications of AT&amp;T Inc. and Atlantic Tele-Network, Inc. for Consent To Transfer Control and Assign Licenses and Authorizations, WT Docket No. 13-54, </w:t>
      </w:r>
      <w:r w:rsidRPr="00A5312F">
        <w:rPr>
          <w:i/>
        </w:rPr>
        <w:t>Second Protective Order</w:t>
      </w:r>
      <w:r w:rsidRPr="00A5312F">
        <w:t xml:space="preserve">, </w:t>
      </w:r>
      <w:r>
        <w:t>28 FCC Rcd 8204</w:t>
      </w:r>
      <w:r w:rsidRPr="00A5312F">
        <w:t xml:space="preserve"> (WTB 2013); Applications of AT&amp;T Inc. and Atlantic Tele-Network, Inc. for Consent To Transfer Control and Assign Licenses and Authorizations, WT Docket No. 13-54, Supplement to Second Protective Order, Appendix A (Revised)</w:t>
      </w:r>
      <w:r>
        <w:t>, 28 FCC Rcd 8886</w:t>
      </w:r>
      <w:r w:rsidRPr="00A5312F">
        <w:t xml:space="preserve"> (WTB 2013) (together, the “</w:t>
      </w:r>
      <w:r w:rsidRPr="00A5312F">
        <w:rPr>
          <w:i/>
        </w:rPr>
        <w:t>Protective Orders</w:t>
      </w:r>
      <w:r w:rsidRPr="00A5312F">
        <w:t xml:space="preserve">”).  The unredacted version of this Memorandum Opinion and Order shall be available upon request to qualified persons who have executed the signed acknowledgements required by the </w:t>
      </w:r>
      <w:r w:rsidRPr="00A5312F">
        <w:rPr>
          <w:i/>
        </w:rPr>
        <w:t>Protective Orders</w:t>
      </w:r>
      <w:r w:rsidRPr="00A5312F">
        <w:t>.  Qualified persons who have not yet signed the required acknowledgments may do so in order to obtain the confidential version of this Memorandum Opinion and Order.</w:t>
      </w:r>
    </w:p>
  </w:footnote>
  <w:footnote w:id="23">
    <w:p w:rsidR="00E85915" w:rsidRPr="00A5312F" w:rsidRDefault="00E85915" w:rsidP="008A11C5">
      <w:pPr>
        <w:pStyle w:val="FootnoteText"/>
      </w:pPr>
      <w:r w:rsidRPr="0075707B">
        <w:rPr>
          <w:rStyle w:val="FootnoteReference"/>
        </w:rPr>
        <w:footnoteRef/>
      </w:r>
      <w:r w:rsidRPr="0075707B">
        <w:t xml:space="preserve"> Applications of AT&amp;T Inc., and Atlantic Tele-Network, Inc. for Consent To Transfer Control and Assign Licenses and Authorizations, Numbering Resource Utilization and Forecast Reports and Local Numbering Portability Reports</w:t>
      </w:r>
      <w:r w:rsidRPr="009F0F3A">
        <w:t xml:space="preserve"> to Be Placed Into the Record, Subject to Protective Order, WT Docket No. 13-54, </w:t>
      </w:r>
      <w:r w:rsidRPr="00121630">
        <w:rPr>
          <w:i/>
        </w:rPr>
        <w:t>Public Notice</w:t>
      </w:r>
      <w:r w:rsidRPr="00A5312F">
        <w:t xml:space="preserve">, </w:t>
      </w:r>
      <w:r>
        <w:t>28 FCC Rcd 8219</w:t>
      </w:r>
      <w:r w:rsidRPr="00A5312F">
        <w:t xml:space="preserve"> (</w:t>
      </w:r>
      <w:r>
        <w:t>WTB</w:t>
      </w:r>
      <w:r w:rsidRPr="00A5312F">
        <w:t xml:space="preserve"> 2013); Applications of AT&amp;T Inc., and Atlantic Tele-Network, Inc. for Consent To Transfer Control and Assign Licenses and Authorizations, WT Docket No. 13-54, </w:t>
      </w:r>
      <w:r w:rsidRPr="00A5312F">
        <w:rPr>
          <w:i/>
        </w:rPr>
        <w:t>NRUF/LNP Protective Order</w:t>
      </w:r>
      <w:r w:rsidRPr="00A5312F">
        <w:t xml:space="preserve">, </w:t>
      </w:r>
      <w:r>
        <w:t>28 FCC Rcd 8213</w:t>
      </w:r>
      <w:r w:rsidRPr="00A5312F">
        <w:t xml:space="preserve"> (WTB 2013).</w:t>
      </w:r>
    </w:p>
  </w:footnote>
  <w:footnote w:id="24">
    <w:p w:rsidR="00E85915" w:rsidRPr="00121630" w:rsidRDefault="00E85915" w:rsidP="00BD26B5">
      <w:pPr>
        <w:pStyle w:val="FootnoteText"/>
      </w:pPr>
      <w:r w:rsidRPr="0075707B">
        <w:rPr>
          <w:rStyle w:val="FootnoteReference"/>
        </w:rPr>
        <w:footnoteRef/>
      </w:r>
      <w:r w:rsidRPr="0075707B">
        <w:t xml:space="preserve"> </w:t>
      </w:r>
      <w:r w:rsidRPr="009F0F3A">
        <w:rPr>
          <w:i/>
        </w:rPr>
        <w:t>See</w:t>
      </w:r>
      <w:r w:rsidRPr="00121630">
        <w:t xml:space="preserve"> WT Docket No. 13-56; Application of AT&amp;T Mobility Spectrum LLC, ULS File No. 0005627587 (filed Feb. 6, 2013) (designated as the lead application</w:t>
      </w:r>
      <w:r>
        <w:t xml:space="preserve"> in that transaction</w:t>
      </w:r>
      <w:r w:rsidRPr="00121630">
        <w:t>).</w:t>
      </w:r>
    </w:p>
  </w:footnote>
  <w:footnote w:id="25">
    <w:p w:rsidR="00E85915" w:rsidRPr="00A5312F" w:rsidRDefault="00E85915" w:rsidP="00BD26B5">
      <w:pPr>
        <w:pStyle w:val="FootnoteText"/>
      </w:pPr>
      <w:r w:rsidRPr="0075707B">
        <w:rPr>
          <w:rStyle w:val="FootnoteReference"/>
        </w:rPr>
        <w:footnoteRef/>
      </w:r>
      <w:r w:rsidRPr="0075707B">
        <w:t xml:space="preserve"> </w:t>
      </w:r>
      <w:r w:rsidRPr="009F0F3A">
        <w:rPr>
          <w:i/>
        </w:rPr>
        <w:t xml:space="preserve">See </w:t>
      </w:r>
      <w:r w:rsidRPr="00121630">
        <w:t>Maneesh Pa</w:t>
      </w:r>
      <w:r w:rsidRPr="00A5312F">
        <w:t>ngasa Statement for the Record (filed May 10, 2013) (“Pangasa Statement”).</w:t>
      </w:r>
    </w:p>
  </w:footnote>
  <w:footnote w:id="26">
    <w:p w:rsidR="00E85915" w:rsidRPr="0075707B" w:rsidRDefault="00E85915" w:rsidP="00BD26B5">
      <w:pPr>
        <w:pStyle w:val="FootnoteText"/>
      </w:pPr>
      <w:r w:rsidRPr="0075707B">
        <w:rPr>
          <w:rStyle w:val="FootnoteReference"/>
        </w:rPr>
        <w:footnoteRef/>
      </w:r>
      <w:r w:rsidRPr="0075707B">
        <w:t xml:space="preserve"> Other apparent defects include failure to provide the filer’s name, street address, telephone number, or signature.  </w:t>
      </w:r>
    </w:p>
  </w:footnote>
  <w:footnote w:id="27">
    <w:p w:rsidR="00E85915" w:rsidRPr="006B4C90" w:rsidRDefault="00E85915">
      <w:pPr>
        <w:pStyle w:val="FootnoteText"/>
      </w:pPr>
      <w:r>
        <w:rPr>
          <w:rStyle w:val="FootnoteReference"/>
        </w:rPr>
        <w:footnoteRef/>
      </w:r>
      <w:r>
        <w:t xml:space="preserve"> Applications of AT&amp;T Inc., Cellco Partnership d/b/a Verizon Wireless, Grain Spectrum, LLC, and Grain Spectrum II, LLC, and Grain Spectrum II, LLC For Consent To Assign and Lease AWS-1 and Lower 700 MHz Licenses, WT Docket No. 13-56, </w:t>
      </w:r>
      <w:r>
        <w:rPr>
          <w:i/>
        </w:rPr>
        <w:t>Memorandum Opinion and Order</w:t>
      </w:r>
      <w:r>
        <w:t>, DA 13-1854, at ¶ 12 (WTB rel. Sept. 3, 2013) (“</w:t>
      </w:r>
      <w:r>
        <w:rPr>
          <w:i/>
        </w:rPr>
        <w:t>AT&amp;T-Verizon Wireless-Grain Order</w:t>
      </w:r>
      <w:r>
        <w:t>”).</w:t>
      </w:r>
    </w:p>
  </w:footnote>
  <w:footnote w:id="28">
    <w:p w:rsidR="00E85915" w:rsidRPr="00A5312F" w:rsidRDefault="00E85915" w:rsidP="00190DC2">
      <w:pPr>
        <w:pStyle w:val="FootnoteText"/>
      </w:pPr>
      <w:r w:rsidRPr="0075707B">
        <w:rPr>
          <w:rStyle w:val="FootnoteReference"/>
        </w:rPr>
        <w:footnoteRef/>
      </w:r>
      <w:r w:rsidRPr="0075707B">
        <w:t xml:space="preserve"> 47 U.S.C. § 154(j); </w:t>
      </w:r>
      <w:r w:rsidRPr="009F0F3A">
        <w:rPr>
          <w:i/>
          <w:iCs/>
        </w:rPr>
        <w:t>see FCC v. Schreiber,</w:t>
      </w:r>
      <w:r w:rsidRPr="00121630">
        <w:t xml:space="preserve"> 381 U.S. 279 (196</w:t>
      </w:r>
      <w:r w:rsidRPr="00A5312F">
        <w:t>5).</w:t>
      </w:r>
    </w:p>
  </w:footnote>
  <w:footnote w:id="29">
    <w:p w:rsidR="00E85915" w:rsidRPr="00F6431E" w:rsidRDefault="00E85915">
      <w:pPr>
        <w:pStyle w:val="FootnoteText"/>
      </w:pPr>
      <w:r>
        <w:rPr>
          <w:rStyle w:val="FootnoteReference"/>
        </w:rPr>
        <w:footnoteRef/>
      </w:r>
      <w:r>
        <w:t xml:space="preserve"> </w:t>
      </w:r>
      <w:r>
        <w:rPr>
          <w:i/>
        </w:rPr>
        <w:t>See</w:t>
      </w:r>
      <w:r>
        <w:t xml:space="preserve"> Maneesh Pangasa Statement for the Record (filed Sept. 6, 2013) (“Pangasa Second Statement”).  </w:t>
      </w:r>
      <w:r>
        <w:rPr>
          <w:i/>
        </w:rPr>
        <w:t>See also</w:t>
      </w:r>
      <w:r>
        <w:t xml:space="preserve"> AT&amp;T Inc., Leap Wireless International, Inc., Cricket License Company, LLC, and Leap Licenseco, Inc. Seek Consent to the Transfer of Control of AWS-1 Licenses, PCS Licenses, and Common Carrier Fixed Point to Point Microwave Licenses, and International 214 Authorizations, and the Assignment of One 700 MHz License, WT Docket No. 13-1831, </w:t>
      </w:r>
      <w:r>
        <w:rPr>
          <w:i/>
        </w:rPr>
        <w:t>Public Notice</w:t>
      </w:r>
      <w:r>
        <w:t>, DA 13-1831 (rel. Aug. 28, 2013).  The Pangasa Second Statement suffers from the same procedural defects as the Pangasa Statement.</w:t>
      </w:r>
    </w:p>
  </w:footnote>
  <w:footnote w:id="30">
    <w:p w:rsidR="00E85915" w:rsidRPr="00121630" w:rsidRDefault="00E85915" w:rsidP="00917664">
      <w:pPr>
        <w:pStyle w:val="FootnoteText"/>
      </w:pPr>
      <w:r w:rsidRPr="0075707B">
        <w:rPr>
          <w:rStyle w:val="FootnoteReference"/>
        </w:rPr>
        <w:footnoteRef/>
      </w:r>
      <w:r w:rsidRPr="0075707B">
        <w:t xml:space="preserve"> </w:t>
      </w:r>
      <w:r w:rsidRPr="009F0F3A">
        <w:rPr>
          <w:i/>
        </w:rPr>
        <w:t xml:space="preserve">See </w:t>
      </w:r>
      <w:r w:rsidRPr="00121630">
        <w:t xml:space="preserve">47 U.S.C. §§ 214(a), 310(d). </w:t>
      </w:r>
    </w:p>
  </w:footnote>
  <w:footnote w:id="31">
    <w:p w:rsidR="00E85915" w:rsidRPr="00A5312F" w:rsidRDefault="00E85915" w:rsidP="00917664">
      <w:pPr>
        <w:pStyle w:val="FootnoteText"/>
      </w:pPr>
      <w:r w:rsidRPr="0075707B">
        <w:rPr>
          <w:rStyle w:val="FootnoteReference"/>
        </w:rPr>
        <w:footnoteRef/>
      </w:r>
      <w:r w:rsidRPr="0075707B">
        <w:t xml:space="preserve"> Section 310(d) requires that we consider the application as if the proposed assignee were applying for the licenses directly under Section 308 of the Act, 47 U.S.C. § 308.  </w:t>
      </w:r>
      <w:r w:rsidRPr="009F0F3A">
        <w:rPr>
          <w:i/>
        </w:rPr>
        <w:t>See, e.g.</w:t>
      </w:r>
      <w:r w:rsidRPr="00121630">
        <w:t xml:space="preserve">, Applications of </w:t>
      </w:r>
      <w:r w:rsidRPr="00A5312F">
        <w:rPr>
          <w:spacing w:val="-2"/>
        </w:rPr>
        <w:t>Cellco Partnership d/b/a</w:t>
      </w:r>
      <w:r w:rsidRPr="00A5312F">
        <w:rPr>
          <w:i/>
        </w:rPr>
        <w:t xml:space="preserve"> </w:t>
      </w:r>
      <w:r w:rsidRPr="00A5312F">
        <w:rPr>
          <w:spacing w:val="-2"/>
        </w:rPr>
        <w:t xml:space="preserve">Verizon Wireless and SpectrumCo LLC and Cox TMI, LLC For Consent To Assign AWS-1 Licenses, WT Docket No. 12-4, </w:t>
      </w:r>
      <w:r w:rsidRPr="00A5312F">
        <w:rPr>
          <w:i/>
          <w:spacing w:val="-2"/>
        </w:rPr>
        <w:t>Memorandum Opinion and Order and Declaratory Ruling</w:t>
      </w:r>
      <w:r w:rsidRPr="00A5312F">
        <w:rPr>
          <w:spacing w:val="-2"/>
        </w:rPr>
        <w:t xml:space="preserve">, </w:t>
      </w:r>
      <w:r w:rsidRPr="00A5312F">
        <w:t>27 FCC Rcd 10698, 10710 ¶ 28 (2012) (“</w:t>
      </w:r>
      <w:r w:rsidRPr="00A5312F">
        <w:rPr>
          <w:i/>
        </w:rPr>
        <w:t>Verizon Wireless-SpectrumCo Order</w:t>
      </w:r>
      <w:r w:rsidRPr="00A5312F">
        <w:t>”)</w:t>
      </w:r>
      <w:r w:rsidRPr="00A5312F">
        <w:rPr>
          <w:color w:val="252525"/>
        </w:rPr>
        <w:t>.</w:t>
      </w:r>
    </w:p>
  </w:footnote>
  <w:footnote w:id="32">
    <w:p w:rsidR="00E85915" w:rsidRPr="00A5312F" w:rsidRDefault="00E85915" w:rsidP="00917664">
      <w:pPr>
        <w:pStyle w:val="FootnoteText"/>
      </w:pPr>
      <w:r w:rsidRPr="0075707B">
        <w:rPr>
          <w:rStyle w:val="FootnoteReference"/>
        </w:rPr>
        <w:footnoteRef/>
      </w:r>
      <w:r w:rsidRPr="0075707B">
        <w:rPr>
          <w:i/>
        </w:rPr>
        <w:t xml:space="preserve"> See</w:t>
      </w:r>
      <w:r>
        <w:rPr>
          <w:i/>
        </w:rPr>
        <w:t>,</w:t>
      </w:r>
      <w:r w:rsidRPr="0075707B">
        <w:rPr>
          <w:i/>
        </w:rPr>
        <w:t xml:space="preserve"> </w:t>
      </w:r>
      <w:r w:rsidRPr="009F0F3A">
        <w:rPr>
          <w:i/>
        </w:rPr>
        <w:t>e.g.</w:t>
      </w:r>
      <w:r>
        <w:rPr>
          <w:i/>
        </w:rPr>
        <w:t>,</w:t>
      </w:r>
      <w:r w:rsidRPr="009F0F3A">
        <w:rPr>
          <w:i/>
        </w:rPr>
        <w:t xml:space="preserve"> </w:t>
      </w:r>
      <w:r w:rsidRPr="00121630">
        <w:t xml:space="preserve">Applications of GCI Communication Corp., ACS Wireless License Sub, Inc., ACS of Anchorage License Sub, Inc., and Unicom, Inc. for Consent </w:t>
      </w:r>
      <w:r>
        <w:t>T</w:t>
      </w:r>
      <w:r w:rsidRPr="00121630">
        <w:t xml:space="preserve">o Assign Licenses to The Alaska Wireless Network, WT Docket No. 12-187, </w:t>
      </w:r>
      <w:r w:rsidRPr="00A5312F">
        <w:rPr>
          <w:i/>
        </w:rPr>
        <w:t>Memorandum Opinion and Order and Declaratory Ruling</w:t>
      </w:r>
      <w:r w:rsidRPr="00A5312F">
        <w:t>, 28 FCC Rcd 10433, 10442 ¶ 23 (2013) (“</w:t>
      </w:r>
      <w:r w:rsidRPr="00A5312F">
        <w:rPr>
          <w:i/>
        </w:rPr>
        <w:t>Alaska Wireless Order</w:t>
      </w:r>
      <w:r w:rsidRPr="00A5312F">
        <w:t xml:space="preserve">”); Applications of SOFTBANK CORP., Starburst II, Inc., Sprint Nextel Corporation, and Clearwire Corporation, IB Docket No. 12-343, </w:t>
      </w:r>
      <w:r w:rsidRPr="00A5312F">
        <w:rPr>
          <w:i/>
        </w:rPr>
        <w:t>Memorandum Opinion and Order, Declaratory Ruling, and Order on Reconsideration</w:t>
      </w:r>
      <w:r w:rsidRPr="00A5312F">
        <w:t>, 28 FCC Rcd 9642, 9650 ¶ 23 (2013) (“</w:t>
      </w:r>
      <w:r w:rsidRPr="00A5312F">
        <w:rPr>
          <w:i/>
        </w:rPr>
        <w:t>SoftBank-Sprint Order</w:t>
      </w:r>
      <w:r w:rsidRPr="00A5312F">
        <w:t xml:space="preserve">”); Applications of AT&amp;T Mobility Spectrum LLC, New Cingular Wireless PCS, LLC, Comcast Corporation, Horizon Wi-Com, LLC, NextWave Wireless, Inc., and San Diego Gas &amp; Electric Company For Consent </w:t>
      </w:r>
      <w:r>
        <w:t>T</w:t>
      </w:r>
      <w:r w:rsidRPr="00A5312F">
        <w:t xml:space="preserve">o Assign and Transfer Licenses, WT Docket No. 12-240, </w:t>
      </w:r>
      <w:r w:rsidRPr="00A5312F">
        <w:rPr>
          <w:i/>
        </w:rPr>
        <w:t>Memorandum Opinion and Order</w:t>
      </w:r>
      <w:r w:rsidRPr="00A5312F">
        <w:t>, 27 FCC Rcd 16459, 16463-64 ¶ 10 (2012) (“</w:t>
      </w:r>
      <w:r w:rsidRPr="00A5312F">
        <w:rPr>
          <w:i/>
        </w:rPr>
        <w:t>AT&amp;T-WCS Order</w:t>
      </w:r>
      <w:r w:rsidRPr="00A5312F">
        <w:t xml:space="preserve">”); </w:t>
      </w:r>
      <w:r w:rsidRPr="00A5312F">
        <w:rPr>
          <w:i/>
        </w:rPr>
        <w:t>Verizon Wireless-SpectrumCo Order</w:t>
      </w:r>
      <w:r w:rsidRPr="00A5312F">
        <w:t>, 27 FCC Rcd at 10710 ¶ 28</w:t>
      </w:r>
      <w:r w:rsidRPr="00A5312F">
        <w:rPr>
          <w:i/>
        </w:rPr>
        <w:t>.</w:t>
      </w:r>
    </w:p>
  </w:footnote>
  <w:footnote w:id="33">
    <w:p w:rsidR="00E85915" w:rsidRPr="00A5312F" w:rsidRDefault="00E85915" w:rsidP="00917664">
      <w:pPr>
        <w:pStyle w:val="FootnoteText"/>
      </w:pPr>
      <w:r w:rsidRPr="0075707B">
        <w:rPr>
          <w:rStyle w:val="FootnoteReference"/>
        </w:rPr>
        <w:footnoteRef/>
      </w:r>
      <w:r w:rsidRPr="0075707B">
        <w:rPr>
          <w:i/>
        </w:rPr>
        <w:t xml:space="preserve"> See, e.g.</w:t>
      </w:r>
      <w:r w:rsidRPr="009F0F3A">
        <w:t>,</w:t>
      </w:r>
      <w:r w:rsidRPr="00121630">
        <w:rPr>
          <w:i/>
        </w:rPr>
        <w:t xml:space="preserve"> Alaska Wirele</w:t>
      </w:r>
      <w:r w:rsidRPr="00A5312F">
        <w:rPr>
          <w:i/>
        </w:rPr>
        <w:t>ss Order</w:t>
      </w:r>
      <w:r w:rsidRPr="00A5312F">
        <w:t xml:space="preserve">, 28 FCC Rcd at 10442 ¶ 23; </w:t>
      </w:r>
      <w:r w:rsidRPr="00A5312F">
        <w:rPr>
          <w:i/>
        </w:rPr>
        <w:t>SoftBank-Sprint Order</w:t>
      </w:r>
      <w:r w:rsidRPr="00A5312F">
        <w:t>, 28 FCC Rcd at 9650-51 ¶</w:t>
      </w:r>
      <w:r>
        <w:t> </w:t>
      </w:r>
      <w:r w:rsidRPr="00A5312F">
        <w:t xml:space="preserve">23; </w:t>
      </w:r>
      <w:r w:rsidRPr="00A5312F">
        <w:rPr>
          <w:i/>
        </w:rPr>
        <w:t>AT&amp;T-WCS Order</w:t>
      </w:r>
      <w:r w:rsidRPr="00A5312F">
        <w:t>, 27 FCC Rcd at 16463-64 ¶ 10;</w:t>
      </w:r>
      <w:r w:rsidRPr="00A5312F">
        <w:rPr>
          <w:i/>
          <w:color w:val="252525"/>
        </w:rPr>
        <w:t xml:space="preserve"> </w:t>
      </w:r>
      <w:r w:rsidRPr="00A5312F">
        <w:rPr>
          <w:i/>
        </w:rPr>
        <w:t>Verizon Wireless-SpectrumCo Order</w:t>
      </w:r>
      <w:r w:rsidRPr="00A5312F">
        <w:t>, 27 FCC Rcd at 10710 ¶ 28.</w:t>
      </w:r>
    </w:p>
  </w:footnote>
  <w:footnote w:id="34">
    <w:p w:rsidR="00E85915" w:rsidRPr="00A5312F" w:rsidRDefault="00E85915" w:rsidP="00917664">
      <w:pPr>
        <w:pStyle w:val="FootnoteText"/>
      </w:pPr>
      <w:r w:rsidRPr="0075707B">
        <w:rPr>
          <w:rStyle w:val="FootnoteReference"/>
        </w:rPr>
        <w:footnoteRef/>
      </w:r>
      <w:r w:rsidRPr="0075707B">
        <w:rPr>
          <w:i/>
        </w:rPr>
        <w:t xml:space="preserve"> See, e.g.</w:t>
      </w:r>
      <w:r w:rsidRPr="009F0F3A">
        <w:t>,</w:t>
      </w:r>
      <w:r w:rsidRPr="00121630">
        <w:rPr>
          <w:i/>
        </w:rPr>
        <w:t xml:space="preserve"> Alaska Wireless Order</w:t>
      </w:r>
      <w:r w:rsidRPr="00A5312F">
        <w:t xml:space="preserve">, 28 FCC Rcd at 10442 ¶ 23; </w:t>
      </w:r>
      <w:r w:rsidRPr="00A5312F">
        <w:rPr>
          <w:i/>
        </w:rPr>
        <w:t>SoftBank-Sprint Order</w:t>
      </w:r>
      <w:r w:rsidRPr="00A5312F">
        <w:t xml:space="preserve">, 28 FCC Rcd at 9651 ¶ 23; </w:t>
      </w:r>
      <w:r w:rsidRPr="00A5312F">
        <w:rPr>
          <w:i/>
        </w:rPr>
        <w:t>AT&amp;T-WCS Order</w:t>
      </w:r>
      <w:r w:rsidRPr="00A5312F">
        <w:t>, 27 FCC Rcd at 16463-64 ¶ 10;</w:t>
      </w:r>
      <w:r w:rsidRPr="00A5312F">
        <w:rPr>
          <w:i/>
          <w:color w:val="252525"/>
        </w:rPr>
        <w:t xml:space="preserve"> </w:t>
      </w:r>
      <w:r w:rsidRPr="00A5312F">
        <w:rPr>
          <w:i/>
        </w:rPr>
        <w:t>Verizon Wireless-SpectrumCo Order</w:t>
      </w:r>
      <w:r w:rsidRPr="00A5312F">
        <w:t>, 27 FCC Rcd at 10710 ¶ 28.</w:t>
      </w:r>
    </w:p>
  </w:footnote>
  <w:footnote w:id="35">
    <w:p w:rsidR="00E85915" w:rsidRPr="00A5312F" w:rsidRDefault="00E85915" w:rsidP="00917664">
      <w:pPr>
        <w:pStyle w:val="FootnoteText"/>
      </w:pPr>
      <w:r w:rsidRPr="0075707B">
        <w:rPr>
          <w:rStyle w:val="FootnoteReference"/>
        </w:rPr>
        <w:footnoteRef/>
      </w:r>
      <w:r w:rsidRPr="0075707B">
        <w:rPr>
          <w:i/>
        </w:rPr>
        <w:t xml:space="preserve"> See, e.g.</w:t>
      </w:r>
      <w:r w:rsidRPr="009F0F3A">
        <w:t>,</w:t>
      </w:r>
      <w:r w:rsidRPr="00121630">
        <w:rPr>
          <w:i/>
        </w:rPr>
        <w:t xml:space="preserve"> Alaska Wireless Order</w:t>
      </w:r>
      <w:r w:rsidRPr="00A5312F">
        <w:t xml:space="preserve">, 28 FCC Rcd at 10442 ¶ 23; </w:t>
      </w:r>
      <w:r w:rsidRPr="00A5312F">
        <w:rPr>
          <w:i/>
        </w:rPr>
        <w:t>SoftBank-Sprint Order</w:t>
      </w:r>
      <w:r w:rsidRPr="00A5312F">
        <w:t xml:space="preserve">, 28 FCC Rcd at 9651 ¶ 23; </w:t>
      </w:r>
      <w:r w:rsidRPr="00A5312F">
        <w:rPr>
          <w:i/>
        </w:rPr>
        <w:t>AT&amp;T-WCS Order</w:t>
      </w:r>
      <w:r w:rsidRPr="00A5312F">
        <w:t>, 27 FCC Rcd at 16463-64 ¶ 10;</w:t>
      </w:r>
      <w:r w:rsidRPr="00A5312F">
        <w:rPr>
          <w:i/>
          <w:color w:val="252525"/>
        </w:rPr>
        <w:t xml:space="preserve"> </w:t>
      </w:r>
      <w:r w:rsidRPr="00A5312F">
        <w:rPr>
          <w:i/>
        </w:rPr>
        <w:t>Verizon Wireless-SpectrumCo Order</w:t>
      </w:r>
      <w:r w:rsidRPr="00A5312F">
        <w:t>, 27 FCC Rcd at 10710 ¶ 28.</w:t>
      </w:r>
    </w:p>
  </w:footnote>
  <w:footnote w:id="36">
    <w:p w:rsidR="00E85915" w:rsidRPr="00A5312F" w:rsidRDefault="00E85915" w:rsidP="00917664">
      <w:pPr>
        <w:pStyle w:val="FootnoteText"/>
      </w:pPr>
      <w:r w:rsidRPr="0075707B">
        <w:rPr>
          <w:rStyle w:val="FootnoteReference"/>
        </w:rPr>
        <w:footnoteRef/>
      </w:r>
      <w:r w:rsidRPr="0075707B">
        <w:t xml:space="preserve"> </w:t>
      </w:r>
      <w:r w:rsidRPr="009F0F3A">
        <w:rPr>
          <w:i/>
        </w:rPr>
        <w:t xml:space="preserve">See, e.g., </w:t>
      </w:r>
      <w:r w:rsidRPr="00121630">
        <w:t xml:space="preserve">Application of AT&amp;T Inc. and Qualcomm Incorporated For Consent </w:t>
      </w:r>
      <w:r>
        <w:t>T</w:t>
      </w:r>
      <w:r w:rsidRPr="00121630">
        <w:t>o Assign Licenses and</w:t>
      </w:r>
      <w:r w:rsidRPr="00A5312F">
        <w:rPr>
          <w:i/>
        </w:rPr>
        <w:t xml:space="preserve"> </w:t>
      </w:r>
      <w:r w:rsidRPr="00A5312F">
        <w:t>Authorizations, WT Docket No. 11-18</w:t>
      </w:r>
      <w:r w:rsidRPr="00A5312F">
        <w:rPr>
          <w:i/>
        </w:rPr>
        <w:t>, Order</w:t>
      </w:r>
      <w:r w:rsidRPr="00A5312F">
        <w:t>, 26 FCC Rcd 17589, 17603 ¶ 23 n.96 (2011) (</w:t>
      </w:r>
      <w:r w:rsidRPr="00A5312F">
        <w:rPr>
          <w:i/>
        </w:rPr>
        <w:t>“AT&amp;T-Qualcomm Order</w:t>
      </w:r>
      <w:r w:rsidRPr="00A5312F">
        <w:t xml:space="preserve">”).  </w:t>
      </w:r>
      <w:r w:rsidRPr="00A5312F">
        <w:rPr>
          <w:i/>
        </w:rPr>
        <w:t>See also Alaska Wireless Order</w:t>
      </w:r>
      <w:r w:rsidRPr="00A5312F">
        <w:t xml:space="preserve">, 28 FCC Rcd at 10442 ¶ 24; </w:t>
      </w:r>
      <w:r w:rsidRPr="00A5312F">
        <w:rPr>
          <w:i/>
        </w:rPr>
        <w:t>SoftBank-Sprint Order</w:t>
      </w:r>
      <w:r w:rsidRPr="00A5312F">
        <w:t xml:space="preserve">, 28 FCC Rcd at 9651 ¶ 24; Applications of AT&amp;T Inc. and Centennial Communications Corp. For Consent </w:t>
      </w:r>
      <w:r>
        <w:t>T</w:t>
      </w:r>
      <w:r w:rsidRPr="00A5312F">
        <w:t>o Transfer Control of Licenses, Authorizations, and Spectrum Leasing Arrangements,</w:t>
      </w:r>
      <w:r w:rsidRPr="00A5312F">
        <w:rPr>
          <w:i/>
        </w:rPr>
        <w:t xml:space="preserve"> </w:t>
      </w:r>
      <w:r w:rsidRPr="00A5312F">
        <w:t xml:space="preserve">WT Docket No. 08-246, </w:t>
      </w:r>
      <w:r w:rsidRPr="00A5312F">
        <w:rPr>
          <w:i/>
        </w:rPr>
        <w:t xml:space="preserve">Memorandum Opinion and Order, </w:t>
      </w:r>
      <w:r w:rsidRPr="00A5312F">
        <w:t>24 FCC Rcd 13915, 13928 ¶ 28 (2009) (“</w:t>
      </w:r>
      <w:r w:rsidRPr="00A5312F">
        <w:rPr>
          <w:i/>
        </w:rPr>
        <w:t>AT&amp;T-Centennial Order</w:t>
      </w:r>
      <w:r w:rsidRPr="00A5312F">
        <w:t>”).</w:t>
      </w:r>
    </w:p>
  </w:footnote>
  <w:footnote w:id="37">
    <w:p w:rsidR="00E85915" w:rsidRPr="00A5312F" w:rsidRDefault="00E85915" w:rsidP="00917664">
      <w:pPr>
        <w:pStyle w:val="FootnoteText"/>
      </w:pPr>
      <w:r w:rsidRPr="0075707B">
        <w:rPr>
          <w:rStyle w:val="FootnoteReference"/>
        </w:rPr>
        <w:footnoteRef/>
      </w:r>
      <w:r w:rsidRPr="0075707B">
        <w:t xml:space="preserve"> </w:t>
      </w:r>
      <w:r w:rsidRPr="009F0F3A">
        <w:rPr>
          <w:i/>
        </w:rPr>
        <w:t>See, e.g., Alaska Wireless Order</w:t>
      </w:r>
      <w:r w:rsidRPr="00121630">
        <w:t>, 28 FCC Rcd at 10442</w:t>
      </w:r>
      <w:r w:rsidRPr="00A5312F">
        <w:rPr>
          <w:i/>
        </w:rPr>
        <w:t xml:space="preserve"> </w:t>
      </w:r>
      <w:r w:rsidRPr="00A5312F">
        <w:t xml:space="preserve">¶ 24; </w:t>
      </w:r>
      <w:r w:rsidRPr="00A5312F">
        <w:rPr>
          <w:i/>
        </w:rPr>
        <w:t>SoftBank-Sprint Order</w:t>
      </w:r>
      <w:r w:rsidRPr="00A5312F">
        <w:t xml:space="preserve">, 28 FCC Rcd at 9651 ¶ 24; </w:t>
      </w:r>
      <w:r w:rsidRPr="00A5312F">
        <w:rPr>
          <w:i/>
        </w:rPr>
        <w:t>AT&amp;T-WCS Order</w:t>
      </w:r>
      <w:r w:rsidRPr="00A5312F">
        <w:t xml:space="preserve">, 27 FCC Rcd at 16464 ¶ 11; </w:t>
      </w:r>
      <w:r w:rsidRPr="00A5312F">
        <w:rPr>
          <w:i/>
        </w:rPr>
        <w:t>Verizon Wireless-SpectrumCo Order</w:t>
      </w:r>
      <w:r w:rsidRPr="00A5312F">
        <w:rPr>
          <w:spacing w:val="-2"/>
        </w:rPr>
        <w:t xml:space="preserve">, </w:t>
      </w:r>
      <w:r w:rsidRPr="00A5312F">
        <w:rPr>
          <w:color w:val="252525"/>
        </w:rPr>
        <w:t>27 FCC Rcd at 10752 ¶ 143</w:t>
      </w:r>
      <w:r w:rsidRPr="00A5312F">
        <w:t>.</w:t>
      </w:r>
    </w:p>
  </w:footnote>
  <w:footnote w:id="38">
    <w:p w:rsidR="00E85915" w:rsidRPr="00A5312F" w:rsidRDefault="00E85915">
      <w:pPr>
        <w:pStyle w:val="FootnoteText"/>
      </w:pPr>
      <w:r w:rsidRPr="0075707B">
        <w:rPr>
          <w:rStyle w:val="FootnoteReference"/>
        </w:rPr>
        <w:footnoteRef/>
      </w:r>
      <w:r w:rsidRPr="0075707B">
        <w:t xml:space="preserve"> </w:t>
      </w:r>
      <w:r w:rsidRPr="009F0F3A">
        <w:rPr>
          <w:i/>
        </w:rPr>
        <w:t>See, e.g., Alaska Wireless Order</w:t>
      </w:r>
      <w:r w:rsidRPr="00121630">
        <w:t>,</w:t>
      </w:r>
      <w:r w:rsidRPr="00A5312F">
        <w:rPr>
          <w:i/>
        </w:rPr>
        <w:t xml:space="preserve"> </w:t>
      </w:r>
      <w:r w:rsidRPr="00A5312F">
        <w:t xml:space="preserve">28 FCC Rcd at 10442-43 ¶ 24; </w:t>
      </w:r>
      <w:r w:rsidRPr="00A5312F">
        <w:rPr>
          <w:i/>
        </w:rPr>
        <w:t>SoftBank-Sprint Order</w:t>
      </w:r>
      <w:r w:rsidRPr="00A5312F">
        <w:t>, 28 FCC Rcd at 9651 ¶</w:t>
      </w:r>
      <w:r>
        <w:t> </w:t>
      </w:r>
      <w:r w:rsidRPr="00A5312F">
        <w:t xml:space="preserve">24; </w:t>
      </w:r>
      <w:r w:rsidRPr="00A5312F">
        <w:rPr>
          <w:i/>
        </w:rPr>
        <w:t>AT&amp;T-WCS Order</w:t>
      </w:r>
      <w:r w:rsidRPr="00A5312F">
        <w:t xml:space="preserve">, 27 FCC Rcd at 16464 ¶ 11; </w:t>
      </w:r>
      <w:r w:rsidRPr="00A5312F">
        <w:rPr>
          <w:i/>
        </w:rPr>
        <w:t>AT&amp;T-Qualcomm Order</w:t>
      </w:r>
      <w:r w:rsidRPr="00A5312F">
        <w:t>, 26 FCC Rcd at 17599 ¶ 24.</w:t>
      </w:r>
    </w:p>
  </w:footnote>
  <w:footnote w:id="39">
    <w:p w:rsidR="00E85915" w:rsidRPr="00A5312F" w:rsidRDefault="00E85915" w:rsidP="00917664">
      <w:pPr>
        <w:pStyle w:val="FootnoteText"/>
      </w:pPr>
      <w:r w:rsidRPr="0075707B">
        <w:rPr>
          <w:rStyle w:val="FootnoteReference"/>
        </w:rPr>
        <w:footnoteRef/>
      </w:r>
      <w:r w:rsidRPr="0075707B">
        <w:rPr>
          <w:i/>
        </w:rPr>
        <w:t xml:space="preserve"> See, e.g.</w:t>
      </w:r>
      <w:r w:rsidRPr="009F0F3A">
        <w:t xml:space="preserve">, </w:t>
      </w:r>
      <w:r w:rsidRPr="00121630">
        <w:rPr>
          <w:i/>
        </w:rPr>
        <w:t xml:space="preserve">Alaska Wireless OrderI </w:t>
      </w:r>
      <w:r w:rsidRPr="00A5312F">
        <w:t xml:space="preserve">28 FCC Rcd at 10443 ¶ 25; </w:t>
      </w:r>
      <w:r w:rsidRPr="00A5312F">
        <w:rPr>
          <w:i/>
        </w:rPr>
        <w:t>SoftBank-Sprint Order</w:t>
      </w:r>
      <w:r w:rsidRPr="00A5312F">
        <w:t xml:space="preserve">, 28 FCC Rcd at 9651 ¶ 25; </w:t>
      </w:r>
      <w:r w:rsidRPr="00A5312F">
        <w:rPr>
          <w:i/>
        </w:rPr>
        <w:t>AT&amp;T-WCS Order</w:t>
      </w:r>
      <w:r w:rsidRPr="00A5312F">
        <w:t xml:space="preserve">, 27 FCC Rcd at 16464-65 ¶ 12; </w:t>
      </w:r>
      <w:r w:rsidRPr="00A5312F">
        <w:rPr>
          <w:i/>
        </w:rPr>
        <w:t>Verizon Wireless-SpectrumCo Order</w:t>
      </w:r>
      <w:r w:rsidRPr="00A5312F">
        <w:rPr>
          <w:spacing w:val="-2"/>
        </w:rPr>
        <w:t xml:space="preserve">, </w:t>
      </w:r>
      <w:r w:rsidRPr="00A5312F">
        <w:rPr>
          <w:color w:val="252525"/>
        </w:rPr>
        <w:t>27 FCC Rcd at 10710 ¶ 29</w:t>
      </w:r>
      <w:r>
        <w:t>.</w:t>
      </w:r>
    </w:p>
  </w:footnote>
  <w:footnote w:id="40">
    <w:p w:rsidR="00E85915" w:rsidRPr="00A5312F" w:rsidRDefault="00E85915" w:rsidP="00917664">
      <w:pPr>
        <w:pStyle w:val="FootnoteText"/>
      </w:pPr>
      <w:r w:rsidRPr="0075707B">
        <w:rPr>
          <w:vertAlign w:val="superscript"/>
        </w:rPr>
        <w:footnoteRef/>
      </w:r>
      <w:r w:rsidRPr="0075707B">
        <w:t xml:space="preserve">  </w:t>
      </w:r>
      <w:r w:rsidRPr="009F0F3A">
        <w:rPr>
          <w:i/>
        </w:rPr>
        <w:t>See, e.g., Alaska Wireless Order</w:t>
      </w:r>
      <w:r w:rsidRPr="00121630">
        <w:t>,</w:t>
      </w:r>
      <w:r w:rsidRPr="00A5312F">
        <w:rPr>
          <w:i/>
        </w:rPr>
        <w:t xml:space="preserve"> </w:t>
      </w:r>
      <w:r w:rsidRPr="00A5312F">
        <w:t xml:space="preserve">28 FCC Rcd at 10443 ¶ 25; </w:t>
      </w:r>
      <w:r w:rsidRPr="00A5312F">
        <w:rPr>
          <w:i/>
        </w:rPr>
        <w:t>SoftBank-Sprint Order</w:t>
      </w:r>
      <w:r w:rsidRPr="00A5312F">
        <w:t>, 28 FCC Rcd at 9651-52 ¶</w:t>
      </w:r>
      <w:r>
        <w:t> </w:t>
      </w:r>
      <w:r w:rsidRPr="00A5312F">
        <w:t xml:space="preserve">25; </w:t>
      </w:r>
      <w:r w:rsidRPr="00A5312F">
        <w:rPr>
          <w:i/>
        </w:rPr>
        <w:t xml:space="preserve">AT&amp;T-Qualcomm Order, </w:t>
      </w:r>
      <w:r w:rsidRPr="00A5312F">
        <w:t xml:space="preserve">26 FCC Rcd at 17599-17600 ¶ 25. </w:t>
      </w:r>
    </w:p>
  </w:footnote>
  <w:footnote w:id="41">
    <w:p w:rsidR="00E85915" w:rsidRPr="00A5312F" w:rsidRDefault="00E85915">
      <w:pPr>
        <w:pStyle w:val="FootnoteText"/>
      </w:pPr>
      <w:r w:rsidRPr="0075707B">
        <w:rPr>
          <w:rStyle w:val="FootnoteReference"/>
        </w:rPr>
        <w:footnoteRef/>
      </w:r>
      <w:r w:rsidRPr="0075707B">
        <w:t xml:space="preserve"> </w:t>
      </w:r>
      <w:r w:rsidRPr="009F0F3A">
        <w:rPr>
          <w:i/>
        </w:rPr>
        <w:t>See, e.g, Alaska Wireless Ord</w:t>
      </w:r>
      <w:r w:rsidRPr="00121630">
        <w:rPr>
          <w:i/>
        </w:rPr>
        <w:t>er</w:t>
      </w:r>
      <w:r w:rsidRPr="00A5312F">
        <w:t>,</w:t>
      </w:r>
      <w:r w:rsidRPr="00A5312F">
        <w:rPr>
          <w:i/>
        </w:rPr>
        <w:t xml:space="preserve"> </w:t>
      </w:r>
      <w:r w:rsidRPr="00A5312F">
        <w:t xml:space="preserve">28 FCC Rcd at 10443 ¶ 25; </w:t>
      </w:r>
      <w:r w:rsidRPr="00A5312F">
        <w:rPr>
          <w:i/>
        </w:rPr>
        <w:t>SoftBank-Sprint Order</w:t>
      </w:r>
      <w:r w:rsidRPr="00A5312F">
        <w:t xml:space="preserve">, 28 FCC Rcd at 9652 ¶ 25; </w:t>
      </w:r>
      <w:r w:rsidRPr="00A5312F">
        <w:rPr>
          <w:i/>
        </w:rPr>
        <w:t>AT&amp;T-Centennial Order</w:t>
      </w:r>
      <w:r w:rsidRPr="00A5312F">
        <w:t>, 24 FCC Rcd at 13928 ¶ 29</w:t>
      </w:r>
      <w:r w:rsidRPr="00A5312F">
        <w:rPr>
          <w:iCs/>
        </w:rPr>
        <w:t>.</w:t>
      </w:r>
    </w:p>
  </w:footnote>
  <w:footnote w:id="42">
    <w:p w:rsidR="00E85915" w:rsidRPr="0075707B" w:rsidRDefault="00E85915" w:rsidP="00917664">
      <w:pPr>
        <w:pStyle w:val="FootnoteText"/>
      </w:pPr>
      <w:r w:rsidRPr="0075707B">
        <w:rPr>
          <w:rStyle w:val="FootnoteReference"/>
        </w:rPr>
        <w:footnoteRef/>
      </w:r>
      <w:r w:rsidRPr="0075707B">
        <w:t xml:space="preserve"> 15 U.S.C. § 18.</w:t>
      </w:r>
    </w:p>
  </w:footnote>
  <w:footnote w:id="43">
    <w:p w:rsidR="00E85915" w:rsidRPr="00A5312F" w:rsidRDefault="00E85915" w:rsidP="00917664">
      <w:pPr>
        <w:pStyle w:val="FootnoteText"/>
      </w:pPr>
      <w:r w:rsidRPr="0075707B">
        <w:rPr>
          <w:rStyle w:val="FootnoteReference"/>
        </w:rPr>
        <w:footnoteRef/>
      </w:r>
      <w:r w:rsidRPr="0075707B">
        <w:t xml:space="preserve"> </w:t>
      </w:r>
      <w:r w:rsidRPr="009F0F3A">
        <w:rPr>
          <w:i/>
        </w:rPr>
        <w:t>See, e.g., Alaska Wireless Order</w:t>
      </w:r>
      <w:r w:rsidRPr="00121630">
        <w:t xml:space="preserve">, 28 FCC Rcd at 10443 ¶ 25; </w:t>
      </w:r>
      <w:r w:rsidRPr="00A5312F">
        <w:rPr>
          <w:i/>
        </w:rPr>
        <w:t>SoftBank-Sprint Order</w:t>
      </w:r>
      <w:r w:rsidRPr="00A5312F">
        <w:t xml:space="preserve">, 28 FCC Rcd at 9652 ¶ 25; </w:t>
      </w:r>
      <w:r w:rsidRPr="00A5312F">
        <w:rPr>
          <w:i/>
        </w:rPr>
        <w:t>AT&amp;T-Centennial Order</w:t>
      </w:r>
      <w:r w:rsidRPr="00A5312F">
        <w:t>, 24 FCC Rcd at 13929 ¶ 29</w:t>
      </w:r>
      <w:r w:rsidRPr="00A5312F">
        <w:rPr>
          <w:iCs/>
        </w:rPr>
        <w:t>.</w:t>
      </w:r>
      <w:r w:rsidRPr="00A5312F">
        <w:rPr>
          <w:color w:val="000000"/>
        </w:rPr>
        <w:t xml:space="preserve"> </w:t>
      </w:r>
    </w:p>
  </w:footnote>
  <w:footnote w:id="44">
    <w:p w:rsidR="00E85915" w:rsidRPr="00A5312F" w:rsidRDefault="00E85915" w:rsidP="00C03392">
      <w:pPr>
        <w:pStyle w:val="FootnoteText"/>
        <w:rPr>
          <w:iCs/>
        </w:rPr>
      </w:pPr>
      <w:r w:rsidRPr="0075707B">
        <w:rPr>
          <w:vertAlign w:val="superscript"/>
        </w:rPr>
        <w:footnoteRef/>
      </w:r>
      <w:r w:rsidRPr="0075707B">
        <w:t xml:space="preserve"> </w:t>
      </w:r>
      <w:r w:rsidRPr="009F0F3A">
        <w:rPr>
          <w:i/>
        </w:rPr>
        <w:t>See, e.g., Alaska Wireless Order</w:t>
      </w:r>
      <w:r w:rsidRPr="00121630">
        <w:t>,</w:t>
      </w:r>
      <w:r w:rsidRPr="00A5312F">
        <w:rPr>
          <w:i/>
        </w:rPr>
        <w:t xml:space="preserve"> </w:t>
      </w:r>
      <w:r w:rsidRPr="00A5312F">
        <w:t xml:space="preserve">28 FCC Rcd at 10443 ¶ 25; </w:t>
      </w:r>
      <w:r w:rsidRPr="00A5312F">
        <w:rPr>
          <w:i/>
        </w:rPr>
        <w:t>SoftBank-Sprint Order</w:t>
      </w:r>
      <w:r w:rsidRPr="00A5312F">
        <w:t xml:space="preserve">, 28 FCC Rcd at 9652 ¶ 25; </w:t>
      </w:r>
      <w:r w:rsidRPr="00A5312F">
        <w:rPr>
          <w:i/>
        </w:rPr>
        <w:t xml:space="preserve">AT&amp;T-Qualcomm Order, </w:t>
      </w:r>
      <w:r w:rsidRPr="00A5312F">
        <w:t>26 FCC Rcd at 17599-17600 ¶ 25.</w:t>
      </w:r>
    </w:p>
  </w:footnote>
  <w:footnote w:id="45">
    <w:p w:rsidR="00E85915" w:rsidRPr="00A5312F" w:rsidRDefault="00E85915">
      <w:pPr>
        <w:pStyle w:val="FootnoteText"/>
      </w:pPr>
      <w:r w:rsidRPr="0075707B">
        <w:rPr>
          <w:rStyle w:val="FootnoteReference"/>
        </w:rPr>
        <w:footnoteRef/>
      </w:r>
      <w:r w:rsidRPr="0075707B">
        <w:t xml:space="preserve"> 47 U.S.C. § 309(e); </w:t>
      </w:r>
      <w:r w:rsidRPr="009F0F3A">
        <w:rPr>
          <w:i/>
          <w:iCs/>
        </w:rPr>
        <w:t>see also AT&amp;T-WCS Orde</w:t>
      </w:r>
      <w:r w:rsidRPr="00121630">
        <w:rPr>
          <w:i/>
          <w:iCs/>
        </w:rPr>
        <w:t xml:space="preserve">r, </w:t>
      </w:r>
      <w:r w:rsidRPr="00A5312F">
        <w:t>27 FCC Rcd at 16464-65</w:t>
      </w:r>
      <w:r w:rsidRPr="00A5312F">
        <w:rPr>
          <w:i/>
          <w:iCs/>
        </w:rPr>
        <w:t xml:space="preserve"> </w:t>
      </w:r>
      <w:r w:rsidRPr="00A5312F">
        <w:t xml:space="preserve">¶ 12; </w:t>
      </w:r>
      <w:r w:rsidRPr="00A5312F">
        <w:rPr>
          <w:i/>
          <w:iCs/>
        </w:rPr>
        <w:t>AT&amp;T-Qualcomm Order</w:t>
      </w:r>
      <w:r w:rsidRPr="00A5312F">
        <w:rPr>
          <w:iCs/>
        </w:rPr>
        <w:t xml:space="preserve">, 26 FCC Rcd at 17599 </w:t>
      </w:r>
      <w:r w:rsidRPr="00A5312F">
        <w:t xml:space="preserve">¶ 25; Applications for Consent to the Transfer of Control of Licenses, XM Satellite Radio Holdings Inc., Transferor, to </w:t>
      </w:r>
      <w:r w:rsidRPr="00A5312F">
        <w:rPr>
          <w:spacing w:val="-2"/>
        </w:rPr>
        <w:t xml:space="preserve">Sirius Satellite Radio Inc., </w:t>
      </w:r>
      <w:r w:rsidRPr="00A5312F">
        <w:t xml:space="preserve">Transferee, </w:t>
      </w:r>
      <w:r w:rsidRPr="00A5312F">
        <w:rPr>
          <w:i/>
        </w:rPr>
        <w:t>Memorandum Opinion and Order and Report and Order</w:t>
      </w:r>
      <w:r w:rsidRPr="00A5312F">
        <w:t xml:space="preserve">, 23 FCC Rcd 12348, 12364 ¶ 30 (2008); </w:t>
      </w:r>
      <w:r w:rsidRPr="00A5312F">
        <w:rPr>
          <w:rStyle w:val="footnotetextchar2char1"/>
        </w:rPr>
        <w:t xml:space="preserve">News Corp. and DIRECTV Group, Inc. and Liberty Media Corp. for Authority </w:t>
      </w:r>
      <w:r>
        <w:rPr>
          <w:rStyle w:val="footnotetextchar2char1"/>
        </w:rPr>
        <w:t>T</w:t>
      </w:r>
      <w:r w:rsidRPr="00A5312F">
        <w:rPr>
          <w:rStyle w:val="footnotetextchar2char1"/>
        </w:rPr>
        <w:t xml:space="preserve">o Transfer Control, </w:t>
      </w:r>
      <w:r w:rsidRPr="00A5312F">
        <w:rPr>
          <w:rStyle w:val="footnotetextchar2char1"/>
          <w:i/>
        </w:rPr>
        <w:t>Memorandum Opinion and Order</w:t>
      </w:r>
      <w:r w:rsidRPr="00A5312F">
        <w:rPr>
          <w:rStyle w:val="footnotetextchar2char1"/>
        </w:rPr>
        <w:t>, 23 FCC Rcd 3265, 3277 ¶ 22 (2008).</w:t>
      </w:r>
    </w:p>
  </w:footnote>
  <w:footnote w:id="46">
    <w:p w:rsidR="00E85915" w:rsidRPr="00A5312F" w:rsidRDefault="00E85915">
      <w:pPr>
        <w:pStyle w:val="FootnoteText"/>
        <w:rPr>
          <w:i/>
        </w:rPr>
      </w:pPr>
      <w:r w:rsidRPr="0075707B">
        <w:rPr>
          <w:rStyle w:val="FootnoteReference"/>
        </w:rPr>
        <w:footnoteRef/>
      </w:r>
      <w:r w:rsidRPr="0075707B">
        <w:t xml:space="preserve"> 47 U.S.C. §§ 214(c) (authorizing the Commission to impose “such terms and conditions as in its judgment the public convenience and necessity may require”), 303(r) (authorizing the Commission to prescribe restrictions or conditions no</w:t>
      </w:r>
      <w:r w:rsidRPr="009F0F3A">
        <w:t xml:space="preserve">t inconsistent with law that may be necessary to carry out the provisions of the Communications Act); </w:t>
      </w:r>
      <w:r w:rsidRPr="00121630">
        <w:rPr>
          <w:i/>
        </w:rPr>
        <w:t>see</w:t>
      </w:r>
      <w:r w:rsidRPr="00A5312F">
        <w:t xml:space="preserve">, </w:t>
      </w:r>
      <w:r w:rsidRPr="00A5312F">
        <w:rPr>
          <w:i/>
        </w:rPr>
        <w:t>e.g.</w:t>
      </w:r>
      <w:r w:rsidRPr="00A5312F">
        <w:t xml:space="preserve">, </w:t>
      </w:r>
      <w:r w:rsidRPr="00A5312F">
        <w:rPr>
          <w:i/>
        </w:rPr>
        <w:t>Alaska Wireless Order</w:t>
      </w:r>
      <w:r w:rsidRPr="00A5312F">
        <w:t>,</w:t>
      </w:r>
      <w:r w:rsidRPr="00A5312F">
        <w:rPr>
          <w:i/>
        </w:rPr>
        <w:t xml:space="preserve"> </w:t>
      </w:r>
      <w:r w:rsidRPr="00A5312F">
        <w:t xml:space="preserve">28 FCC Rcd at 10443 ¶ 26; </w:t>
      </w:r>
      <w:r w:rsidRPr="00A5312F">
        <w:rPr>
          <w:i/>
        </w:rPr>
        <w:t>SoftBank-Sprint Order</w:t>
      </w:r>
      <w:r w:rsidRPr="00A5312F">
        <w:t xml:space="preserve">, 28 FCC Rcd at 9652 ¶ 25; </w:t>
      </w:r>
      <w:r w:rsidRPr="00A5312F">
        <w:rPr>
          <w:i/>
        </w:rPr>
        <w:t>Verizon Wireless-SpectrumCo Order</w:t>
      </w:r>
      <w:r w:rsidRPr="00A5312F">
        <w:rPr>
          <w:spacing w:val="-2"/>
        </w:rPr>
        <w:t xml:space="preserve">, </w:t>
      </w:r>
      <w:r w:rsidRPr="00A5312F">
        <w:rPr>
          <w:color w:val="252525"/>
        </w:rPr>
        <w:t>27 FCC Rcd at 10711 ¶ 30.</w:t>
      </w:r>
    </w:p>
  </w:footnote>
  <w:footnote w:id="47">
    <w:p w:rsidR="00E85915" w:rsidRPr="00A5312F" w:rsidRDefault="00E85915" w:rsidP="00036315">
      <w:pPr>
        <w:pStyle w:val="FootnoteText"/>
      </w:pPr>
      <w:r w:rsidRPr="0075707B">
        <w:rPr>
          <w:rStyle w:val="FootnoteReference"/>
        </w:rPr>
        <w:footnoteRef/>
      </w:r>
      <w:r w:rsidRPr="0075707B">
        <w:t xml:space="preserve"> </w:t>
      </w:r>
      <w:r w:rsidRPr="009F0F3A">
        <w:rPr>
          <w:lang w:val="fr-FR"/>
        </w:rPr>
        <w:t>47 U.S.C.</w:t>
      </w:r>
      <w:r w:rsidRPr="00121630">
        <w:t xml:space="preserve"> §§ 308, 310(d); </w:t>
      </w:r>
      <w:r w:rsidRPr="00A5312F">
        <w:rPr>
          <w:i/>
        </w:rPr>
        <w:t>see also, e.g.</w:t>
      </w:r>
      <w:r w:rsidRPr="00A5312F">
        <w:t>,</w:t>
      </w:r>
      <w:r w:rsidRPr="00A5312F">
        <w:rPr>
          <w:i/>
        </w:rPr>
        <w:t xml:space="preserve"> Alaska Wireless Order</w:t>
      </w:r>
      <w:r w:rsidRPr="00A5312F">
        <w:t>,</w:t>
      </w:r>
      <w:r w:rsidRPr="00A5312F">
        <w:rPr>
          <w:i/>
        </w:rPr>
        <w:t xml:space="preserve"> </w:t>
      </w:r>
      <w:r w:rsidRPr="00A5312F">
        <w:t xml:space="preserve">28 FCC Rcd at 10444 ¶ 28; </w:t>
      </w:r>
      <w:r w:rsidRPr="00A5312F">
        <w:rPr>
          <w:i/>
        </w:rPr>
        <w:t>SoftBank-Sprint Order</w:t>
      </w:r>
      <w:r w:rsidRPr="00A5312F">
        <w:t xml:space="preserve">, 28 FCC Rcd at 9652 ¶ 26; </w:t>
      </w:r>
      <w:r w:rsidRPr="00A5312F">
        <w:rPr>
          <w:i/>
        </w:rPr>
        <w:t>Verizon Wireless-SpectrumCo Order</w:t>
      </w:r>
      <w:r w:rsidRPr="00A5312F">
        <w:t>, 27 FCC Rcd at 10712 ¶ 33.</w:t>
      </w:r>
    </w:p>
  </w:footnote>
  <w:footnote w:id="48">
    <w:p w:rsidR="00E85915" w:rsidRPr="00A5312F" w:rsidRDefault="00E85915" w:rsidP="00036315">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 e.g.</w:t>
      </w:r>
      <w:r w:rsidRPr="00A5312F">
        <w:t>,</w:t>
      </w:r>
      <w:r w:rsidRPr="00A5312F">
        <w:rPr>
          <w:i/>
        </w:rPr>
        <w:t xml:space="preserve"> Alaska Wireless Order</w:t>
      </w:r>
      <w:r w:rsidRPr="00A5312F">
        <w:t>,</w:t>
      </w:r>
      <w:r w:rsidRPr="00A5312F">
        <w:rPr>
          <w:i/>
        </w:rPr>
        <w:t xml:space="preserve"> </w:t>
      </w:r>
      <w:r w:rsidRPr="00A5312F">
        <w:t xml:space="preserve">28 FCC Rcd at 10444-45 ¶ 28; </w:t>
      </w:r>
      <w:r w:rsidRPr="00A5312F">
        <w:rPr>
          <w:i/>
        </w:rPr>
        <w:t>SoftBank-Sprint Order</w:t>
      </w:r>
      <w:r w:rsidRPr="00A5312F">
        <w:t xml:space="preserve">, 28 FCC Rcd at 9652-53 ¶ 26; </w:t>
      </w:r>
      <w:r w:rsidRPr="00A5312F">
        <w:rPr>
          <w:i/>
        </w:rPr>
        <w:t>Verizon Wireless-SpectrumCo Order</w:t>
      </w:r>
      <w:r w:rsidRPr="00A5312F">
        <w:t>, 27 FCC Rcd at 10712 ¶</w:t>
      </w:r>
      <w:r>
        <w:t> </w:t>
      </w:r>
      <w:r w:rsidRPr="00A5312F">
        <w:t>33</w:t>
      </w:r>
      <w:r w:rsidRPr="00A5312F">
        <w:rPr>
          <w:color w:val="000000"/>
        </w:rPr>
        <w:t>.</w:t>
      </w:r>
    </w:p>
  </w:footnote>
  <w:footnote w:id="49">
    <w:p w:rsidR="00E85915" w:rsidRPr="0075707B" w:rsidRDefault="00E85915" w:rsidP="003112B4">
      <w:pPr>
        <w:pStyle w:val="FootnoteText"/>
      </w:pPr>
      <w:r w:rsidRPr="0075707B">
        <w:rPr>
          <w:rStyle w:val="FootnoteReference"/>
        </w:rPr>
        <w:footnoteRef/>
      </w:r>
      <w:r w:rsidRPr="0075707B">
        <w:t xml:space="preserve"> </w:t>
      </w:r>
      <w:r w:rsidRPr="00D845F2">
        <w:rPr>
          <w:i/>
          <w:iCs/>
        </w:rPr>
        <w:t>See</w:t>
      </w:r>
      <w:r>
        <w:rPr>
          <w:i/>
          <w:iCs/>
        </w:rPr>
        <w:t>, e.g., Alaska Wireless Order</w:t>
      </w:r>
      <w:r>
        <w:rPr>
          <w:iCs/>
        </w:rPr>
        <w:t xml:space="preserve">, </w:t>
      </w:r>
      <w:r>
        <w:t xml:space="preserve">28 FCC Rcd at 10445 ¶ 29; </w:t>
      </w:r>
      <w:r>
        <w:rPr>
          <w:i/>
        </w:rPr>
        <w:t>SoftBank-Sprint Order</w:t>
      </w:r>
      <w:r>
        <w:t xml:space="preserve">, 28 FCC Rcd at 9653 ¶ 27; </w:t>
      </w:r>
      <w:r>
        <w:rPr>
          <w:i/>
        </w:rPr>
        <w:t>AT&amp;T-WCS Order</w:t>
      </w:r>
      <w:r>
        <w:t>, 27 FCC Rcd at 16466 ¶ 18</w:t>
      </w:r>
      <w:r>
        <w:rPr>
          <w:sz w:val="24"/>
          <w:szCs w:val="24"/>
        </w:rPr>
        <w:t>.</w:t>
      </w:r>
    </w:p>
  </w:footnote>
  <w:footnote w:id="50">
    <w:p w:rsidR="00E85915" w:rsidRPr="00A5312F" w:rsidRDefault="00E85915" w:rsidP="00E80090">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Pr>
          <w:i/>
        </w:rPr>
        <w:t>AT&amp;T-Verizon Wireless-Grain Order</w:t>
      </w:r>
      <w:r>
        <w:t xml:space="preserve">, DA 13-1854, at ¶ 17; </w:t>
      </w:r>
      <w:r w:rsidRPr="00A5312F">
        <w:rPr>
          <w:i/>
        </w:rPr>
        <w:t>AT&amp;T-WCS Order</w:t>
      </w:r>
      <w:r w:rsidRPr="00A5312F">
        <w:t>, 27 FCC Rcd at 16466-67</w:t>
      </w:r>
      <w:r w:rsidRPr="00A5312F">
        <w:rPr>
          <w:i/>
          <w:iCs/>
        </w:rPr>
        <w:t xml:space="preserve"> </w:t>
      </w:r>
      <w:r w:rsidRPr="00A5312F">
        <w:t>¶ 19.</w:t>
      </w:r>
    </w:p>
  </w:footnote>
  <w:footnote w:id="51">
    <w:p w:rsidR="00E85915" w:rsidRPr="00A5312F" w:rsidRDefault="00E85915" w:rsidP="007A0089">
      <w:pPr>
        <w:pStyle w:val="FootnoteText"/>
      </w:pPr>
      <w:r w:rsidRPr="0075707B">
        <w:rPr>
          <w:rStyle w:val="FootnoteReference"/>
        </w:rPr>
        <w:footnoteRef/>
      </w:r>
      <w:r w:rsidRPr="0075707B">
        <w:t xml:space="preserve"> </w:t>
      </w:r>
      <w:r w:rsidRPr="009F0F3A">
        <w:rPr>
          <w:i/>
        </w:rPr>
        <w:t>See, e.g</w:t>
      </w:r>
      <w:r w:rsidRPr="00121630">
        <w:rPr>
          <w:i/>
        </w:rPr>
        <w:t>.,</w:t>
      </w:r>
      <w:r w:rsidRPr="00A5312F">
        <w:t xml:space="preserve"> </w:t>
      </w:r>
      <w:r w:rsidRPr="00A5312F">
        <w:rPr>
          <w:i/>
        </w:rPr>
        <w:t>SoftBank-Sprint Order</w:t>
      </w:r>
      <w:r w:rsidRPr="00A5312F">
        <w:t xml:space="preserve">, 28 FCC Rcd at 9656 ¶ 34; </w:t>
      </w:r>
      <w:r w:rsidRPr="00A5312F">
        <w:rPr>
          <w:i/>
        </w:rPr>
        <w:t>Verizon Wireless-SpectrumCo Order,</w:t>
      </w:r>
      <w:r w:rsidRPr="00A5312F">
        <w:t xml:space="preserve"> 27 FCC Rcd at 10716 ¶¶ 47-48, 10734 ¶ 95; </w:t>
      </w:r>
      <w:r w:rsidRPr="00A5312F">
        <w:rPr>
          <w:i/>
        </w:rPr>
        <w:t>AT&amp;T-Qualcomm Order</w:t>
      </w:r>
      <w:r w:rsidRPr="00A5312F">
        <w:t>, 26 FCC Rcd at 17622-23 ¶ 81.</w:t>
      </w:r>
    </w:p>
  </w:footnote>
  <w:footnote w:id="52">
    <w:p w:rsidR="00E85915" w:rsidRPr="00765230" w:rsidRDefault="00E85915" w:rsidP="007A0089">
      <w:pPr>
        <w:autoSpaceDE w:val="0"/>
        <w:autoSpaceDN w:val="0"/>
        <w:adjustRightInd w:val="0"/>
        <w:spacing w:after="120"/>
        <w:rPr>
          <w:sz w:val="20"/>
          <w:szCs w:val="20"/>
        </w:rPr>
      </w:pPr>
      <w:r w:rsidRPr="00A5312F">
        <w:rPr>
          <w:rStyle w:val="FootnoteReference"/>
          <w:szCs w:val="20"/>
        </w:rPr>
        <w:footnoteRef/>
      </w:r>
      <w:r w:rsidRPr="00765230">
        <w:rPr>
          <w:sz w:val="20"/>
          <w:szCs w:val="20"/>
        </w:rPr>
        <w:t xml:space="preserve"> </w:t>
      </w:r>
      <w:r w:rsidRPr="00765230">
        <w:rPr>
          <w:i/>
          <w:iCs/>
          <w:sz w:val="20"/>
          <w:szCs w:val="20"/>
        </w:rPr>
        <w:t>See, e.g., Verizon Wireless-SpectrumCo Order</w:t>
      </w:r>
      <w:r w:rsidRPr="00765230">
        <w:rPr>
          <w:sz w:val="20"/>
          <w:szCs w:val="20"/>
        </w:rPr>
        <w:t xml:space="preserve">, 27 FCC Rcd at 10716 ¶ 48; </w:t>
      </w:r>
      <w:r w:rsidRPr="00765230">
        <w:rPr>
          <w:i/>
          <w:iCs/>
          <w:sz w:val="20"/>
          <w:szCs w:val="20"/>
        </w:rPr>
        <w:t>AT&amp;T-Qualcomm Order</w:t>
      </w:r>
      <w:r w:rsidRPr="00765230">
        <w:rPr>
          <w:sz w:val="20"/>
          <w:szCs w:val="20"/>
        </w:rPr>
        <w:t xml:space="preserve">, 26 FCC Rcd at 17602 ¶ 31; </w:t>
      </w:r>
      <w:r w:rsidRPr="00765230">
        <w:rPr>
          <w:i/>
          <w:iCs/>
          <w:sz w:val="20"/>
          <w:szCs w:val="20"/>
        </w:rPr>
        <w:t xml:space="preserve">AT&amp;T-Centennial Order, </w:t>
      </w:r>
      <w:r w:rsidRPr="00765230">
        <w:rPr>
          <w:sz w:val="20"/>
          <w:szCs w:val="20"/>
        </w:rPr>
        <w:t>24 FCC Rcd at 13938 ¶ 50.</w:t>
      </w:r>
    </w:p>
  </w:footnote>
  <w:footnote w:id="53">
    <w:p w:rsidR="00E85915" w:rsidRPr="001F1BFD" w:rsidRDefault="00E85915" w:rsidP="007A0089">
      <w:pPr>
        <w:pStyle w:val="FootnoteText"/>
      </w:pPr>
      <w:r w:rsidRPr="00A5312F">
        <w:rPr>
          <w:rStyle w:val="FootnoteReference"/>
        </w:rPr>
        <w:footnoteRef/>
      </w:r>
      <w:r w:rsidRPr="001F1BFD">
        <w:t xml:space="preserve"> </w:t>
      </w:r>
      <w:r w:rsidRPr="001F1BFD">
        <w:rPr>
          <w:i/>
        </w:rPr>
        <w:t>See, e.g., SoftBank-Sprint Order</w:t>
      </w:r>
      <w:r w:rsidRPr="001F1BFD">
        <w:t>, 28 FCC Rcd at 9656 ¶ 34.</w:t>
      </w:r>
    </w:p>
  </w:footnote>
  <w:footnote w:id="54">
    <w:p w:rsidR="00E85915" w:rsidRPr="00A5312F" w:rsidRDefault="00E85915" w:rsidP="007A0089">
      <w:pPr>
        <w:pStyle w:val="FootnoteText"/>
      </w:pPr>
      <w:r w:rsidRPr="002F1CEA">
        <w:rPr>
          <w:rStyle w:val="FootnoteReference"/>
        </w:rPr>
        <w:footnoteRef/>
      </w:r>
      <w:r w:rsidRPr="003A73EF">
        <w:t xml:space="preserve"> </w:t>
      </w:r>
      <w:r w:rsidRPr="00C9339C">
        <w:rPr>
          <w:i/>
          <w:iCs/>
        </w:rPr>
        <w:t xml:space="preserve">See, e.g., SoftBank-Sprint Order, </w:t>
      </w:r>
      <w:r w:rsidRPr="00C9339C">
        <w:rPr>
          <w:iCs/>
        </w:rPr>
        <w:t xml:space="preserve">28 FCC Rcd at 9656 ¶ 35; </w:t>
      </w:r>
      <w:r w:rsidRPr="00C9339C">
        <w:rPr>
          <w:i/>
        </w:rPr>
        <w:t>AT&amp;T-WCS Order</w:t>
      </w:r>
      <w:r w:rsidRPr="00C9339C">
        <w:t>, 27 FCC Rcd at 16467 ¶ 21 (recognizing the proposition that the “Commission is not . . . limited in its consideration of potential competitive harms solely to markets identified by its initial screen” and, in addition to considering 10 local markets identified by the screen, analyzi</w:t>
      </w:r>
      <w:r w:rsidRPr="00773561">
        <w:t xml:space="preserve">ng the national market because the proposed acquisition would be in a substantial majority of local markets across the country); </w:t>
      </w:r>
      <w:r w:rsidRPr="00291216">
        <w:rPr>
          <w:i/>
        </w:rPr>
        <w:t>Verizon Wireless-SpectrumCo Order</w:t>
      </w:r>
      <w:r w:rsidRPr="0075707B">
        <w:t xml:space="preserve">, 27 FCC Rcd at 10716 ¶ 48; </w:t>
      </w:r>
      <w:r w:rsidRPr="009F0F3A">
        <w:rPr>
          <w:i/>
        </w:rPr>
        <w:t>AT&amp;T-Qualcomm Order</w:t>
      </w:r>
      <w:r w:rsidRPr="00121630">
        <w:t xml:space="preserve">, 26 FCC Rcd at 17609-10 ¶¶ 49-50 (recognizing </w:t>
      </w:r>
      <w:r w:rsidRPr="00A5312F">
        <w:t xml:space="preserve">that up to three markets could be triggered by the screen, but considering more broadly AT&amp;T’s post-transaction holdings under 1 GHz because, </w:t>
      </w:r>
      <w:r w:rsidRPr="00A5312F">
        <w:rPr>
          <w:i/>
        </w:rPr>
        <w:t>inter alia</w:t>
      </w:r>
      <w:r w:rsidRPr="00A5312F">
        <w:t>, of the record in that proceeding and the substantial holdings that the company would then have under 1 GHz).</w:t>
      </w:r>
    </w:p>
  </w:footnote>
  <w:footnote w:id="55">
    <w:p w:rsidR="00E85915" w:rsidRPr="00A5312F" w:rsidRDefault="00E85915">
      <w:pPr>
        <w:pStyle w:val="FootnoteText"/>
      </w:pPr>
      <w:r w:rsidRPr="0075707B">
        <w:rPr>
          <w:rStyle w:val="FootnoteReference"/>
        </w:rPr>
        <w:footnoteRef/>
      </w:r>
      <w:r w:rsidRPr="0075707B">
        <w:t xml:space="preserve"> </w:t>
      </w:r>
      <w:r w:rsidRPr="009F0F3A">
        <w:rPr>
          <w:i/>
        </w:rPr>
        <w:t>See, e.g.,</w:t>
      </w:r>
      <w:r w:rsidRPr="00121630">
        <w:rPr>
          <w:iCs/>
        </w:rPr>
        <w:t xml:space="preserve"> </w:t>
      </w:r>
      <w:r w:rsidRPr="00A5312F">
        <w:rPr>
          <w:i/>
        </w:rPr>
        <w:t>SoftBank-Sprint Order</w:t>
      </w:r>
      <w:r w:rsidRPr="00A5312F">
        <w:t xml:space="preserve">, 28 FCC Rcd at 9656 ¶ 34; </w:t>
      </w:r>
      <w:r w:rsidRPr="00A5312F">
        <w:rPr>
          <w:i/>
          <w:iCs/>
        </w:rPr>
        <w:t>AT&amp;T-Centennial Order</w:t>
      </w:r>
      <w:r w:rsidRPr="00A5312F">
        <w:rPr>
          <w:iCs/>
        </w:rPr>
        <w:t>,</w:t>
      </w:r>
      <w:r w:rsidRPr="00A5312F">
        <w:t xml:space="preserve"> 24 FCC Rcd at 13931-32</w:t>
      </w:r>
      <w:r>
        <w:t xml:space="preserve"> ¶ 34</w:t>
      </w:r>
      <w:r w:rsidRPr="00A5312F">
        <w:t>, 13939-42</w:t>
      </w:r>
      <w:r>
        <w:t xml:space="preserve"> ¶¶ 54, 56-57, 59, 61</w:t>
      </w:r>
      <w:r w:rsidRPr="00A5312F">
        <w:t>, 13948 ¶ 75</w:t>
      </w:r>
      <w:r w:rsidRPr="00A5312F">
        <w:rPr>
          <w:iCs/>
        </w:rPr>
        <w:t xml:space="preserve">; </w:t>
      </w:r>
      <w:r w:rsidRPr="00A5312F">
        <w:rPr>
          <w:i/>
          <w:iCs/>
        </w:rPr>
        <w:t>Verizon Wireless-ALLTEL Order</w:t>
      </w:r>
      <w:r w:rsidRPr="00A5312F">
        <w:rPr>
          <w:iCs/>
        </w:rPr>
        <w:t>, 23 FCC Rcd at 17468-69</w:t>
      </w:r>
      <w:r>
        <w:rPr>
          <w:iCs/>
        </w:rPr>
        <w:t xml:space="preserve"> ¶¶ 40-43</w:t>
      </w:r>
      <w:r w:rsidRPr="00A5312F">
        <w:rPr>
          <w:iCs/>
        </w:rPr>
        <w:t>, 17484-85</w:t>
      </w:r>
      <w:r>
        <w:rPr>
          <w:iCs/>
        </w:rPr>
        <w:t xml:space="preserve"> ¶¶ 82-83</w:t>
      </w:r>
      <w:r w:rsidRPr="00A5312F">
        <w:rPr>
          <w:iCs/>
        </w:rPr>
        <w:t xml:space="preserve">, 17487-88 </w:t>
      </w:r>
      <w:r w:rsidRPr="00A5312F">
        <w:t>¶¶ 91-92.</w:t>
      </w:r>
    </w:p>
  </w:footnote>
  <w:footnote w:id="56">
    <w:p w:rsidR="00E85915" w:rsidRPr="00A5312F" w:rsidRDefault="00E85915" w:rsidP="008915A4">
      <w:pPr>
        <w:pStyle w:val="FootnoteText"/>
      </w:pPr>
      <w:r w:rsidRPr="0075707B">
        <w:rPr>
          <w:rStyle w:val="FootnoteReference"/>
        </w:rPr>
        <w:footnoteRef/>
      </w:r>
      <w:r w:rsidRPr="0075707B">
        <w:t xml:space="preserve"> To assess whether the increase in horizontal market concentration is significant or not, we consider the absolute level of the post-transaction HHI, a widely utilized measure of market concentration, as well as the change in the HHI.  </w:t>
      </w:r>
      <w:r w:rsidRPr="009F0F3A">
        <w:rPr>
          <w:i/>
        </w:rPr>
        <w:t>See</w:t>
      </w:r>
      <w:r w:rsidRPr="00121630">
        <w:t xml:space="preserve"> Section V.</w:t>
      </w:r>
      <w:r w:rsidRPr="00A5312F">
        <w:t xml:space="preserve">B.I </w:t>
      </w:r>
      <w:r w:rsidRPr="00A5312F">
        <w:rPr>
          <w:i/>
        </w:rPr>
        <w:t>infra</w:t>
      </w:r>
      <w:r w:rsidRPr="00A5312F">
        <w:t>.</w:t>
      </w:r>
    </w:p>
  </w:footnote>
  <w:footnote w:id="57">
    <w:p w:rsidR="00E85915" w:rsidRPr="00A5312F" w:rsidRDefault="00E85915" w:rsidP="008915A4">
      <w:pPr>
        <w:pStyle w:val="FootnoteText"/>
      </w:pPr>
      <w:r w:rsidRPr="0075707B">
        <w:rPr>
          <w:rStyle w:val="FootnoteReference"/>
        </w:rPr>
        <w:footnoteRef/>
      </w:r>
      <w:r w:rsidRPr="0075707B">
        <w:t xml:space="preserve"> </w:t>
      </w:r>
      <w:r w:rsidRPr="009F0F3A">
        <w:rPr>
          <w:i/>
          <w:iCs/>
        </w:rPr>
        <w:t>See, e.g., Alaska Wireless Order</w:t>
      </w:r>
      <w:r w:rsidRPr="00121630">
        <w:rPr>
          <w:iCs/>
        </w:rPr>
        <w:t xml:space="preserve">, </w:t>
      </w:r>
      <w:r w:rsidRPr="00A5312F">
        <w:t xml:space="preserve">28 FCC Rcd at 10446 </w:t>
      </w:r>
      <w:r w:rsidRPr="00A5312F">
        <w:rPr>
          <w:iCs/>
        </w:rPr>
        <w:t>¶ 33;</w:t>
      </w:r>
      <w:r w:rsidRPr="00A5312F">
        <w:rPr>
          <w:i/>
          <w:iCs/>
        </w:rPr>
        <w:t xml:space="preserve"> Verizon Wireless-SpectrumCo Order</w:t>
      </w:r>
      <w:r w:rsidRPr="00A5312F">
        <w:t xml:space="preserve">, 27 FCC Rcd at 10716 ¶ 48; </w:t>
      </w:r>
      <w:r w:rsidRPr="00A5312F">
        <w:rPr>
          <w:i/>
          <w:iCs/>
        </w:rPr>
        <w:t>AT&amp;T-Qualcomm Order</w:t>
      </w:r>
      <w:r w:rsidRPr="00A5312F">
        <w:t xml:space="preserve">, 26 FCC Rcd at 17602 ¶ 31.  </w:t>
      </w:r>
    </w:p>
  </w:footnote>
  <w:footnote w:id="58">
    <w:p w:rsidR="00E85915" w:rsidRPr="00A5312F" w:rsidRDefault="00E85915" w:rsidP="008915A4">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Pr="00A5312F">
        <w:rPr>
          <w:i/>
        </w:rPr>
        <w:t>AT&amp;T-WCS Order</w:t>
      </w:r>
      <w:r w:rsidRPr="00A5312F">
        <w:t xml:space="preserve">, 27 FCC Rcd at 16467 ¶ 20; </w:t>
      </w:r>
      <w:r w:rsidRPr="00A5312F">
        <w:rPr>
          <w:i/>
        </w:rPr>
        <w:t>Verizon Wireless-SpectrumCo Order</w:t>
      </w:r>
      <w:r w:rsidRPr="00A5312F">
        <w:t xml:space="preserve">, 27 FCC Rcd at 10716 ¶ 48; </w:t>
      </w:r>
      <w:r w:rsidRPr="00A5312F">
        <w:rPr>
          <w:i/>
        </w:rPr>
        <w:t xml:space="preserve">AT&amp;T-Qualcomm Order, </w:t>
      </w:r>
      <w:r w:rsidRPr="00A5312F">
        <w:t xml:space="preserve">26 FCC Rcd at 17601-02 ¶ 30.  </w:t>
      </w:r>
    </w:p>
  </w:footnote>
  <w:footnote w:id="59">
    <w:p w:rsidR="00E85915" w:rsidRPr="00A5312F" w:rsidRDefault="00E85915" w:rsidP="0071541D">
      <w:pPr>
        <w:pStyle w:val="FootnoteText"/>
      </w:pPr>
      <w:r w:rsidRPr="0075707B">
        <w:rPr>
          <w:rStyle w:val="FootnoteReference"/>
        </w:rPr>
        <w:footnoteRef/>
      </w:r>
      <w:r w:rsidRPr="0075707B">
        <w:t xml:space="preserve"> </w:t>
      </w:r>
      <w:r w:rsidRPr="009F0F3A">
        <w:rPr>
          <w:i/>
          <w:iCs/>
        </w:rPr>
        <w:t>See, e.g.</w:t>
      </w:r>
      <w:r w:rsidRPr="00121630">
        <w:t xml:space="preserve">, </w:t>
      </w:r>
      <w:r w:rsidRPr="00A5312F">
        <w:rPr>
          <w:i/>
        </w:rPr>
        <w:t>Alaska Wireless Order</w:t>
      </w:r>
      <w:r w:rsidRPr="00A5312F">
        <w:t>,</w:t>
      </w:r>
      <w:r w:rsidRPr="00A5312F">
        <w:rPr>
          <w:i/>
        </w:rPr>
        <w:t xml:space="preserve"> </w:t>
      </w:r>
      <w:r w:rsidRPr="00A5312F">
        <w:t xml:space="preserve">28 FCC Rcd at 10447 ¶ 34; </w:t>
      </w:r>
      <w:r w:rsidRPr="00A5312F">
        <w:rPr>
          <w:i/>
        </w:rPr>
        <w:t>SoftBank-Sprint Order</w:t>
      </w:r>
      <w:r w:rsidRPr="00A5312F">
        <w:t xml:space="preserve">, 28 FCC Rcd at 9657 ¶ 36; </w:t>
      </w:r>
      <w:r w:rsidRPr="00A5312F">
        <w:rPr>
          <w:i/>
        </w:rPr>
        <w:t>AT&amp;T-WCS Order</w:t>
      </w:r>
      <w:r w:rsidRPr="00A5312F">
        <w:t>, 27 FCC Rcd at 16468 ¶ 23.</w:t>
      </w:r>
    </w:p>
  </w:footnote>
  <w:footnote w:id="60">
    <w:p w:rsidR="00E85915" w:rsidRPr="00A5312F" w:rsidRDefault="00E85915" w:rsidP="00AE47AB">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Pr="00A5312F">
        <w:rPr>
          <w:i/>
        </w:rPr>
        <w:t>Alaska Wireless Order</w:t>
      </w:r>
      <w:r w:rsidRPr="00A5312F">
        <w:t>,</w:t>
      </w:r>
      <w:r w:rsidRPr="00A5312F">
        <w:rPr>
          <w:i/>
        </w:rPr>
        <w:t xml:space="preserve"> </w:t>
      </w:r>
      <w:r w:rsidRPr="00A5312F">
        <w:t xml:space="preserve">28 FCC Rcd at 10447 ¶ 35; </w:t>
      </w:r>
      <w:r w:rsidRPr="00A5312F">
        <w:rPr>
          <w:i/>
        </w:rPr>
        <w:t>SoftBank-Sprint Order</w:t>
      </w:r>
      <w:r w:rsidRPr="00A5312F">
        <w:t xml:space="preserve">, 28 FCC Rcd at 9657 ¶ 37; </w:t>
      </w:r>
      <w:r w:rsidRPr="00A5312F">
        <w:rPr>
          <w:i/>
          <w:iCs/>
        </w:rPr>
        <w:t>AT&amp;T-WCS Order</w:t>
      </w:r>
      <w:r w:rsidRPr="00A5312F">
        <w:rPr>
          <w:iCs/>
        </w:rPr>
        <w:t xml:space="preserve">, </w:t>
      </w:r>
      <w:r w:rsidRPr="00A5312F">
        <w:t>27 FCC Rcd at 16468</w:t>
      </w:r>
      <w:r w:rsidRPr="00A5312F">
        <w:rPr>
          <w:iCs/>
        </w:rPr>
        <w:t xml:space="preserve"> ¶ 24</w:t>
      </w:r>
      <w:r w:rsidRPr="00A5312F">
        <w:t xml:space="preserve">.  </w:t>
      </w:r>
    </w:p>
  </w:footnote>
  <w:footnote w:id="61">
    <w:p w:rsidR="00E85915" w:rsidRPr="00A5312F" w:rsidRDefault="00E85915" w:rsidP="001179D0">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Pr="00A5312F">
        <w:rPr>
          <w:i/>
        </w:rPr>
        <w:t>Alaska Wireless Order</w:t>
      </w:r>
      <w:r w:rsidRPr="00A5312F">
        <w:t xml:space="preserve">, 28 FCC Rcd at 10447-48 ¶ 36; </w:t>
      </w:r>
      <w:r w:rsidRPr="00A5312F">
        <w:rPr>
          <w:i/>
        </w:rPr>
        <w:t>SoftBank-Sprint Order</w:t>
      </w:r>
      <w:r w:rsidRPr="00A5312F">
        <w:t xml:space="preserve">, 28 FCC Rcd at 9657 ¶ 38; </w:t>
      </w:r>
      <w:r w:rsidRPr="00A5312F">
        <w:rPr>
          <w:i/>
          <w:iCs/>
        </w:rPr>
        <w:t>AT&amp;T-WCS Order</w:t>
      </w:r>
      <w:r w:rsidRPr="00A5312F">
        <w:rPr>
          <w:iCs/>
        </w:rPr>
        <w:t xml:space="preserve">, </w:t>
      </w:r>
      <w:r w:rsidRPr="00A5312F">
        <w:t>27 FCC Rcd at 16468</w:t>
      </w:r>
      <w:r w:rsidRPr="00A5312F">
        <w:rPr>
          <w:iCs/>
        </w:rPr>
        <w:t xml:space="preserve"> ¶ 24; </w:t>
      </w:r>
      <w:r w:rsidRPr="00A5312F">
        <w:rPr>
          <w:i/>
          <w:iCs/>
        </w:rPr>
        <w:t>Verizon Wireless-SpectrumCo Order</w:t>
      </w:r>
      <w:r w:rsidRPr="00A5312F">
        <w:t xml:space="preserve">, 27 FCC Rcd at 10717 ¶ 54.  </w:t>
      </w:r>
    </w:p>
  </w:footnote>
  <w:footnote w:id="62">
    <w:p w:rsidR="00E85915" w:rsidRPr="0075707B" w:rsidRDefault="00E85915" w:rsidP="005054EE">
      <w:pPr>
        <w:pStyle w:val="FootnoteText"/>
      </w:pPr>
      <w:r w:rsidRPr="0075707B">
        <w:rPr>
          <w:rStyle w:val="FootnoteReference"/>
        </w:rPr>
        <w:footnoteRef/>
      </w:r>
      <w:r w:rsidRPr="0075707B">
        <w:t xml:space="preserve"> Public Interest Statement at 16-18. </w:t>
      </w:r>
    </w:p>
  </w:footnote>
  <w:footnote w:id="63">
    <w:p w:rsidR="00E85915" w:rsidRPr="0075707B" w:rsidRDefault="00E85915" w:rsidP="005054EE">
      <w:pPr>
        <w:pStyle w:val="FootnoteText"/>
      </w:pPr>
      <w:r w:rsidRPr="0075707B">
        <w:rPr>
          <w:rStyle w:val="FootnoteReference"/>
        </w:rPr>
        <w:footnoteRef/>
      </w:r>
      <w:r w:rsidRPr="0075707B">
        <w:t xml:space="preserve"> </w:t>
      </w:r>
      <w:r>
        <w:rPr>
          <w:i/>
        </w:rPr>
        <w:t>Id.</w:t>
      </w:r>
      <w:r w:rsidRPr="003C0B95">
        <w:t xml:space="preserve"> at </w:t>
      </w:r>
      <w:r>
        <w:t>17</w:t>
      </w:r>
      <w:r w:rsidRPr="0075707B">
        <w:t xml:space="preserve">. </w:t>
      </w:r>
    </w:p>
  </w:footnote>
  <w:footnote w:id="64">
    <w:p w:rsidR="00E85915" w:rsidRPr="00A5312F" w:rsidRDefault="00E85915" w:rsidP="001179D0">
      <w:pPr>
        <w:pStyle w:val="FootnoteText"/>
      </w:pPr>
      <w:r w:rsidRPr="0075707B">
        <w:rPr>
          <w:rStyle w:val="FootnoteReference"/>
        </w:rPr>
        <w:footnoteRef/>
      </w:r>
      <w:r w:rsidRPr="0075707B">
        <w:t xml:space="preserve"> </w:t>
      </w:r>
      <w:r w:rsidRPr="009F0F3A">
        <w:rPr>
          <w:i/>
        </w:rPr>
        <w:t>See, e.g., Alaska Wireless Order</w:t>
      </w:r>
      <w:r w:rsidRPr="00121630">
        <w:t>,</w:t>
      </w:r>
      <w:r w:rsidRPr="00A5312F">
        <w:rPr>
          <w:i/>
        </w:rPr>
        <w:t xml:space="preserve"> </w:t>
      </w:r>
      <w:r w:rsidRPr="00A5312F">
        <w:t xml:space="preserve">28 FCC Rcd at 10447-48 </w:t>
      </w:r>
      <w:r w:rsidRPr="00A5312F">
        <w:rPr>
          <w:i/>
        </w:rPr>
        <w:t xml:space="preserve">¶ </w:t>
      </w:r>
      <w:r w:rsidRPr="00A5312F">
        <w:t>36;</w:t>
      </w:r>
      <w:r w:rsidRPr="00A5312F">
        <w:rPr>
          <w:i/>
        </w:rPr>
        <w:t xml:space="preserve"> SoftBank-Sprint Order</w:t>
      </w:r>
      <w:r w:rsidRPr="00A5312F">
        <w:t>, 28 FCC Rcd at 9657 ¶ 38;</w:t>
      </w:r>
      <w:r w:rsidRPr="00A5312F">
        <w:rPr>
          <w:i/>
        </w:rPr>
        <w:t xml:space="preserve"> </w:t>
      </w:r>
      <w:r w:rsidRPr="00A5312F">
        <w:rPr>
          <w:i/>
          <w:iCs/>
        </w:rPr>
        <w:t>AT&amp;T-WCS Order</w:t>
      </w:r>
      <w:r w:rsidRPr="00A5312F">
        <w:rPr>
          <w:iCs/>
        </w:rPr>
        <w:t xml:space="preserve">, </w:t>
      </w:r>
      <w:r w:rsidRPr="00A5312F">
        <w:t>27 FCC Rcd at 16468</w:t>
      </w:r>
      <w:r w:rsidRPr="00A5312F">
        <w:rPr>
          <w:iCs/>
        </w:rPr>
        <w:t xml:space="preserve"> ¶ 25</w:t>
      </w:r>
      <w:r w:rsidRPr="00A5312F">
        <w:t xml:space="preserve">.  </w:t>
      </w:r>
    </w:p>
  </w:footnote>
  <w:footnote w:id="65">
    <w:p w:rsidR="00E85915" w:rsidRPr="00A5312F" w:rsidRDefault="00E85915" w:rsidP="001179D0">
      <w:pPr>
        <w:pStyle w:val="FootnoteText"/>
      </w:pPr>
      <w:r w:rsidRPr="0075707B">
        <w:rPr>
          <w:rStyle w:val="FootnoteReference"/>
        </w:rPr>
        <w:footnoteRef/>
      </w:r>
      <w:r w:rsidRPr="0075707B">
        <w:t xml:space="preserve"> </w:t>
      </w:r>
      <w:r w:rsidRPr="009F0F3A">
        <w:rPr>
          <w:i/>
          <w:iCs/>
        </w:rPr>
        <w:t>See, e.g.</w:t>
      </w:r>
      <w:r w:rsidRPr="00121630">
        <w:t xml:space="preserve">, </w:t>
      </w:r>
      <w:r w:rsidRPr="00A5312F">
        <w:rPr>
          <w:i/>
        </w:rPr>
        <w:t>SoftBank-Sprint Order</w:t>
      </w:r>
      <w:r w:rsidRPr="00A5312F">
        <w:t xml:space="preserve">, 28 FCC Rcd at 9657 ¶ 38; </w:t>
      </w:r>
      <w:r w:rsidRPr="00A5312F">
        <w:rPr>
          <w:i/>
          <w:iCs/>
        </w:rPr>
        <w:t>AT&amp;T-WCS Order</w:t>
      </w:r>
      <w:r w:rsidRPr="00A5312F">
        <w:rPr>
          <w:iCs/>
        </w:rPr>
        <w:t xml:space="preserve">, </w:t>
      </w:r>
      <w:r w:rsidRPr="00A5312F">
        <w:t>27 FCC Rcd at 16469</w:t>
      </w:r>
      <w:r w:rsidRPr="00A5312F">
        <w:rPr>
          <w:iCs/>
        </w:rPr>
        <w:t xml:space="preserve"> ¶ 26</w:t>
      </w:r>
      <w:r w:rsidRPr="00A5312F">
        <w:t xml:space="preserve">; </w:t>
      </w:r>
      <w:r w:rsidRPr="00A5312F">
        <w:rPr>
          <w:i/>
          <w:iCs/>
        </w:rPr>
        <w:t xml:space="preserve">see also </w:t>
      </w:r>
      <w:r w:rsidRPr="00A5312F">
        <w:rPr>
          <w:i/>
        </w:rPr>
        <w:t xml:space="preserve">Sixteenth Annual Competition Report, </w:t>
      </w:r>
      <w:r w:rsidRPr="00A5312F">
        <w:t>28 FCC Rcd at 3735 ¶¶ 22-23.</w:t>
      </w:r>
    </w:p>
  </w:footnote>
  <w:footnote w:id="66">
    <w:p w:rsidR="00E85915" w:rsidRPr="00A5312F" w:rsidRDefault="00E85915" w:rsidP="009E45BB">
      <w:pPr>
        <w:pStyle w:val="FootnoteText"/>
      </w:pPr>
      <w:r w:rsidRPr="0075707B">
        <w:rPr>
          <w:rStyle w:val="FootnoteReference"/>
        </w:rPr>
        <w:footnoteRef/>
      </w:r>
      <w:r w:rsidRPr="0075707B">
        <w:t xml:space="preserve"> </w:t>
      </w:r>
      <w:r w:rsidRPr="009F0F3A">
        <w:rPr>
          <w:i/>
        </w:rPr>
        <w:t>See, e.g.,</w:t>
      </w:r>
      <w:r w:rsidRPr="00121630">
        <w:t xml:space="preserve"> </w:t>
      </w:r>
      <w:r w:rsidRPr="00A5312F">
        <w:rPr>
          <w:i/>
        </w:rPr>
        <w:t>Alaska Wireless Order</w:t>
      </w:r>
      <w:r w:rsidRPr="00A5312F">
        <w:t xml:space="preserve">, 28 FCC Rcd at 10448 ¶ 37; </w:t>
      </w:r>
      <w:r w:rsidRPr="00A5312F">
        <w:rPr>
          <w:i/>
          <w:iCs/>
        </w:rPr>
        <w:t>AT&amp;T-WCS Order</w:t>
      </w:r>
      <w:r w:rsidRPr="00A5312F">
        <w:rPr>
          <w:iCs/>
        </w:rPr>
        <w:t xml:space="preserve">, </w:t>
      </w:r>
      <w:r w:rsidRPr="00A5312F">
        <w:t>27 FCC Rcd at 16469</w:t>
      </w:r>
      <w:r w:rsidRPr="00A5312F">
        <w:rPr>
          <w:iCs/>
        </w:rPr>
        <w:t xml:space="preserve"> ¶ 26; </w:t>
      </w:r>
      <w:r w:rsidRPr="00A5312F">
        <w:rPr>
          <w:i/>
          <w:iCs/>
        </w:rPr>
        <w:t>Verizon Wireless-SpectrumCo Order</w:t>
      </w:r>
      <w:r w:rsidRPr="00A5312F">
        <w:t>, 27 FCC Rcd at 10718 ¶ 56.</w:t>
      </w:r>
    </w:p>
  </w:footnote>
  <w:footnote w:id="67">
    <w:p w:rsidR="00E85915" w:rsidRPr="00A5312F" w:rsidRDefault="00E85915" w:rsidP="009E45BB">
      <w:pPr>
        <w:pStyle w:val="FootnoteText"/>
      </w:pPr>
      <w:r w:rsidRPr="0075707B">
        <w:rPr>
          <w:rStyle w:val="FootnoteReference"/>
        </w:rPr>
        <w:footnoteRef/>
      </w:r>
      <w:r w:rsidRPr="0075707B">
        <w:t xml:space="preserve"> </w:t>
      </w:r>
      <w:r w:rsidRPr="009F0F3A">
        <w:rPr>
          <w:i/>
        </w:rPr>
        <w:t>See, e.g.,</w:t>
      </w:r>
      <w:r w:rsidRPr="00121630">
        <w:t xml:space="preserve"> </w:t>
      </w:r>
      <w:r w:rsidRPr="00A5312F">
        <w:rPr>
          <w:i/>
        </w:rPr>
        <w:t>Alaska Wireless Order</w:t>
      </w:r>
      <w:r w:rsidRPr="00A5312F">
        <w:t xml:space="preserve">, 28 FCC Rcd at 10448; </w:t>
      </w:r>
      <w:r w:rsidRPr="00A5312F">
        <w:rPr>
          <w:i/>
          <w:iCs/>
        </w:rPr>
        <w:t>AT&amp;T-WCS Order</w:t>
      </w:r>
      <w:r w:rsidRPr="00A5312F">
        <w:rPr>
          <w:iCs/>
        </w:rPr>
        <w:t xml:space="preserve">, </w:t>
      </w:r>
      <w:r w:rsidRPr="00A5312F">
        <w:t>27 FCC Rcd at 16469</w:t>
      </w:r>
      <w:r w:rsidRPr="00A5312F">
        <w:rPr>
          <w:iCs/>
        </w:rPr>
        <w:t xml:space="preserve"> ¶ 26; </w:t>
      </w:r>
      <w:r w:rsidRPr="00A5312F">
        <w:rPr>
          <w:i/>
          <w:iCs/>
        </w:rPr>
        <w:t>Verizon Wireless-SpectrumCo Order</w:t>
      </w:r>
      <w:r w:rsidRPr="00A5312F">
        <w:t>, 27 FCC Rcd at 10718 ¶ 56.</w:t>
      </w:r>
    </w:p>
  </w:footnote>
  <w:footnote w:id="68">
    <w:p w:rsidR="00E85915" w:rsidRPr="00A5312F" w:rsidRDefault="00E85915" w:rsidP="009E45BB">
      <w:pPr>
        <w:pStyle w:val="FootnoteText"/>
      </w:pPr>
      <w:r w:rsidRPr="0075707B">
        <w:rPr>
          <w:rStyle w:val="FootnoteReference"/>
        </w:rPr>
        <w:footnoteRef/>
      </w:r>
      <w:r w:rsidRPr="0075707B">
        <w:t xml:space="preserve"> </w:t>
      </w:r>
      <w:r w:rsidRPr="009F0F3A">
        <w:rPr>
          <w:i/>
        </w:rPr>
        <w:t>See, e.g.,</w:t>
      </w:r>
      <w:r w:rsidRPr="00121630">
        <w:t xml:space="preserve"> </w:t>
      </w:r>
      <w:r w:rsidRPr="00A5312F">
        <w:rPr>
          <w:i/>
          <w:iCs/>
        </w:rPr>
        <w:t>AT&amp;T-WCS Order</w:t>
      </w:r>
      <w:r w:rsidRPr="00A5312F">
        <w:rPr>
          <w:iCs/>
        </w:rPr>
        <w:t xml:space="preserve">, </w:t>
      </w:r>
      <w:r w:rsidRPr="00A5312F">
        <w:t>27 FCC Rcd at 16469</w:t>
      </w:r>
      <w:r w:rsidRPr="00A5312F">
        <w:rPr>
          <w:iCs/>
        </w:rPr>
        <w:t xml:space="preserve"> ¶ 27; </w:t>
      </w:r>
      <w:r w:rsidRPr="00A5312F">
        <w:rPr>
          <w:i/>
          <w:iCs/>
        </w:rPr>
        <w:t>Verizon Wireless-SpectrumCo Order</w:t>
      </w:r>
      <w:r w:rsidRPr="00A5312F">
        <w:t xml:space="preserve">, 27 FCC Rcd at 10718-19 ¶ 57; </w:t>
      </w:r>
      <w:r w:rsidRPr="00A5312F">
        <w:rPr>
          <w:i/>
        </w:rPr>
        <w:t>AT&amp;T-Qualcomm Order</w:t>
      </w:r>
      <w:r w:rsidRPr="00A5312F">
        <w:t xml:space="preserve">, 26 FCC Rcd at 17604-05 ¶¶ 34-37.  </w:t>
      </w:r>
    </w:p>
  </w:footnote>
  <w:footnote w:id="69">
    <w:p w:rsidR="00E85915" w:rsidRPr="00A5312F" w:rsidRDefault="00E85915" w:rsidP="007761C1">
      <w:pPr>
        <w:pStyle w:val="FootnoteText"/>
      </w:pPr>
      <w:r w:rsidRPr="0075707B">
        <w:rPr>
          <w:rStyle w:val="FootnoteReference"/>
        </w:rPr>
        <w:footnoteRef/>
      </w:r>
      <w:r w:rsidRPr="0075707B">
        <w:t xml:space="preserve"> </w:t>
      </w:r>
      <w:r w:rsidRPr="009F0F3A">
        <w:rPr>
          <w:i/>
        </w:rPr>
        <w:t>Se</w:t>
      </w:r>
      <w:r w:rsidRPr="00121630">
        <w:rPr>
          <w:i/>
        </w:rPr>
        <w:t>e, e.g., SoftBank-Sprint Order</w:t>
      </w:r>
      <w:r w:rsidRPr="00A5312F">
        <w:t xml:space="preserve">, 28 FCC Rcd at 9657 ¶ 38; </w:t>
      </w:r>
      <w:r w:rsidRPr="00A5312F">
        <w:rPr>
          <w:i/>
        </w:rPr>
        <w:t>AT&amp;T-WCS Order</w:t>
      </w:r>
      <w:r w:rsidRPr="00A5312F">
        <w:t xml:space="preserve">, 27 FCC Rcd at 16469 ¶ 28; </w:t>
      </w:r>
      <w:r w:rsidRPr="00A5312F">
        <w:rPr>
          <w:i/>
          <w:iCs/>
        </w:rPr>
        <w:t>Verizon Wireless-SpectrumCo Order,</w:t>
      </w:r>
      <w:r w:rsidRPr="00A5312F">
        <w:t xml:space="preserve"> 27 FCC Rcd at 10719 ¶ 58.  AT&amp;T would be gaining approximately 620,000 subscribers in (mostly rural) markets, accounting for less than 1% of its current nationwide subscriber base of approximately 107 million.  Given the limited geographical scope and size of the proposed transaction, AT&amp;T would be unlikely to have an incentive to unilaterally increase its nationwide prices.  In addition, it is unlikely that the proposed transaction would change the incentive for any coordinated conduct on a national basis among the four nationwide service providers.  </w:t>
      </w:r>
    </w:p>
  </w:footnote>
  <w:footnote w:id="70">
    <w:p w:rsidR="00E85915" w:rsidRPr="00765230" w:rsidRDefault="00E85915" w:rsidP="00864A09">
      <w:pPr>
        <w:autoSpaceDE w:val="0"/>
        <w:autoSpaceDN w:val="0"/>
        <w:adjustRightInd w:val="0"/>
        <w:spacing w:after="120"/>
        <w:rPr>
          <w:sz w:val="20"/>
          <w:szCs w:val="20"/>
        </w:rPr>
      </w:pPr>
      <w:r w:rsidRPr="00A5312F">
        <w:rPr>
          <w:rStyle w:val="FootnoteReference"/>
          <w:szCs w:val="20"/>
        </w:rPr>
        <w:footnoteRef/>
      </w:r>
      <w:r w:rsidRPr="00765230">
        <w:rPr>
          <w:sz w:val="20"/>
          <w:szCs w:val="20"/>
        </w:rPr>
        <w:t xml:space="preserve"> </w:t>
      </w:r>
      <w:r w:rsidRPr="00765230">
        <w:rPr>
          <w:i/>
          <w:sz w:val="20"/>
          <w:szCs w:val="20"/>
        </w:rPr>
        <w:t>See, e.g.</w:t>
      </w:r>
      <w:r w:rsidRPr="00765230">
        <w:rPr>
          <w:sz w:val="20"/>
          <w:szCs w:val="20"/>
        </w:rPr>
        <w:t>,</w:t>
      </w:r>
      <w:r w:rsidRPr="00765230">
        <w:rPr>
          <w:i/>
          <w:sz w:val="20"/>
          <w:szCs w:val="20"/>
        </w:rPr>
        <w:t xml:space="preserve"> Alaska Wireless Order</w:t>
      </w:r>
      <w:r w:rsidRPr="00765230">
        <w:rPr>
          <w:sz w:val="20"/>
          <w:szCs w:val="20"/>
        </w:rPr>
        <w:t>, 28 FCC Rcd at 10448 ¶ 37;</w:t>
      </w:r>
      <w:r w:rsidRPr="00765230">
        <w:rPr>
          <w:i/>
          <w:sz w:val="20"/>
          <w:szCs w:val="20"/>
        </w:rPr>
        <w:t xml:space="preserve"> SoftBank-Sprint Order</w:t>
      </w:r>
      <w:r w:rsidRPr="00765230">
        <w:rPr>
          <w:sz w:val="20"/>
          <w:szCs w:val="20"/>
        </w:rPr>
        <w:t>, 28 FCC Rcd at 9657 ¶ 38;</w:t>
      </w:r>
      <w:r w:rsidRPr="00765230">
        <w:rPr>
          <w:i/>
          <w:sz w:val="20"/>
          <w:szCs w:val="20"/>
        </w:rPr>
        <w:t xml:space="preserve"> AT&amp;T-WCS Order</w:t>
      </w:r>
      <w:r w:rsidRPr="00765230">
        <w:rPr>
          <w:sz w:val="20"/>
          <w:szCs w:val="20"/>
        </w:rPr>
        <w:t xml:space="preserve">, 27 FCC Rcd at 16469 ¶ 26.  </w:t>
      </w:r>
    </w:p>
  </w:footnote>
  <w:footnote w:id="71">
    <w:p w:rsidR="00E85915" w:rsidRPr="00C9339C" w:rsidRDefault="00E85915" w:rsidP="00AE47AB">
      <w:pPr>
        <w:pStyle w:val="FootnoteText"/>
      </w:pPr>
      <w:r w:rsidRPr="00A5312F">
        <w:rPr>
          <w:rStyle w:val="FootnoteReference"/>
        </w:rPr>
        <w:footnoteRef/>
      </w:r>
      <w:r w:rsidRPr="00A5312F">
        <w:t xml:space="preserve"> </w:t>
      </w:r>
      <w:r w:rsidRPr="00A5312F">
        <w:rPr>
          <w:i/>
        </w:rPr>
        <w:t>See</w:t>
      </w:r>
      <w:r w:rsidRPr="0063667E">
        <w:t>,</w:t>
      </w:r>
      <w:r w:rsidRPr="0063667E">
        <w:rPr>
          <w:i/>
        </w:rPr>
        <w:t xml:space="preserve"> e.g.</w:t>
      </w:r>
      <w:r w:rsidRPr="0063667E">
        <w:t>,</w:t>
      </w:r>
      <w:r w:rsidRPr="0063667E">
        <w:rPr>
          <w:i/>
        </w:rPr>
        <w:t xml:space="preserve"> Alaska Wireless Order</w:t>
      </w:r>
      <w:r w:rsidRPr="0063667E">
        <w:t>, 28 FCC Rcd at 10448 ¶ 37;</w:t>
      </w:r>
      <w:r w:rsidRPr="001F1BFD">
        <w:rPr>
          <w:i/>
        </w:rPr>
        <w:t xml:space="preserve"> SoftBank-Sprint Order</w:t>
      </w:r>
      <w:r w:rsidRPr="001F1BFD">
        <w:t>, 28 FCC Rcd at 9657-58 ¶</w:t>
      </w:r>
      <w:r>
        <w:t> </w:t>
      </w:r>
      <w:r w:rsidRPr="001F1BFD">
        <w:t xml:space="preserve">39; </w:t>
      </w:r>
      <w:r w:rsidRPr="001F1BFD">
        <w:rPr>
          <w:i/>
          <w:iCs/>
        </w:rPr>
        <w:t>AT&amp;T-WCS Order</w:t>
      </w:r>
      <w:r w:rsidRPr="002F1CEA">
        <w:rPr>
          <w:iCs/>
        </w:rPr>
        <w:t xml:space="preserve">, </w:t>
      </w:r>
      <w:r w:rsidRPr="003A73EF">
        <w:t>27 FCC Rcd at 16469-70</w:t>
      </w:r>
      <w:r w:rsidRPr="003A73EF">
        <w:rPr>
          <w:iCs/>
        </w:rPr>
        <w:t xml:space="preserve"> ¶ 29;</w:t>
      </w:r>
      <w:r w:rsidRPr="00C9339C">
        <w:rPr>
          <w:i/>
        </w:rPr>
        <w:t xml:space="preserve"> </w:t>
      </w:r>
      <w:r w:rsidRPr="00C9339C">
        <w:rPr>
          <w:i/>
          <w:iCs/>
        </w:rPr>
        <w:t xml:space="preserve">Verizon Wireless-SpectrumCo Order, </w:t>
      </w:r>
      <w:r w:rsidRPr="00C9339C">
        <w:rPr>
          <w:iCs/>
        </w:rPr>
        <w:t>27 FCC Rcd at 10719 ¶ 59.</w:t>
      </w:r>
    </w:p>
  </w:footnote>
  <w:footnote w:id="72">
    <w:p w:rsidR="00E85915" w:rsidRPr="00765230" w:rsidRDefault="00E85915" w:rsidP="000E11C4">
      <w:pPr>
        <w:spacing w:after="120"/>
        <w:rPr>
          <w:sz w:val="20"/>
          <w:szCs w:val="20"/>
        </w:rPr>
      </w:pPr>
      <w:r w:rsidRPr="00A5312F">
        <w:rPr>
          <w:rStyle w:val="FootnoteReference"/>
          <w:szCs w:val="20"/>
        </w:rPr>
        <w:footnoteRef/>
      </w:r>
      <w:r w:rsidRPr="00765230">
        <w:rPr>
          <w:sz w:val="20"/>
          <w:szCs w:val="20"/>
        </w:rPr>
        <w:t xml:space="preserve"> </w:t>
      </w:r>
      <w:r w:rsidRPr="00765230">
        <w:rPr>
          <w:i/>
          <w:sz w:val="20"/>
          <w:szCs w:val="20"/>
        </w:rPr>
        <w:t>See</w:t>
      </w:r>
      <w:r w:rsidRPr="00765230">
        <w:rPr>
          <w:sz w:val="20"/>
          <w:szCs w:val="20"/>
        </w:rPr>
        <w:t>,</w:t>
      </w:r>
      <w:r w:rsidRPr="00765230">
        <w:rPr>
          <w:i/>
          <w:sz w:val="20"/>
          <w:szCs w:val="20"/>
        </w:rPr>
        <w:t xml:space="preserve"> e.g.</w:t>
      </w:r>
      <w:r w:rsidRPr="00765230">
        <w:rPr>
          <w:sz w:val="20"/>
          <w:szCs w:val="20"/>
        </w:rPr>
        <w:t xml:space="preserve">, </w:t>
      </w:r>
      <w:r w:rsidRPr="00765230">
        <w:rPr>
          <w:i/>
          <w:sz w:val="20"/>
          <w:szCs w:val="20"/>
        </w:rPr>
        <w:t>Alaska Wireless Order</w:t>
      </w:r>
      <w:r w:rsidRPr="00765230">
        <w:rPr>
          <w:sz w:val="20"/>
          <w:szCs w:val="20"/>
        </w:rPr>
        <w:t>, 28 FCC Rcd at 10449 ¶ 38;</w:t>
      </w:r>
      <w:r w:rsidRPr="00765230">
        <w:rPr>
          <w:i/>
          <w:sz w:val="20"/>
          <w:szCs w:val="20"/>
        </w:rPr>
        <w:t xml:space="preserve"> SoftBank-Sprint Order</w:t>
      </w:r>
      <w:r w:rsidRPr="00765230">
        <w:rPr>
          <w:sz w:val="20"/>
          <w:szCs w:val="20"/>
        </w:rPr>
        <w:t xml:space="preserve">, 28 FCC Rcd at 9658 ¶ 39; Sprint Nextel Corporation and Clearwire Corporation Applications for Consent </w:t>
      </w:r>
      <w:r>
        <w:rPr>
          <w:sz w:val="20"/>
          <w:szCs w:val="20"/>
        </w:rPr>
        <w:t>T</w:t>
      </w:r>
      <w:r w:rsidRPr="00765230">
        <w:rPr>
          <w:sz w:val="20"/>
          <w:szCs w:val="20"/>
        </w:rPr>
        <w:t xml:space="preserve">o Transfer Control of Licenses, Leases, and Authorizations, WT Docket No. 08-94, </w:t>
      </w:r>
      <w:r w:rsidRPr="00765230">
        <w:rPr>
          <w:i/>
          <w:sz w:val="20"/>
          <w:szCs w:val="20"/>
        </w:rPr>
        <w:t>Memorandum Opinion and Order</w:t>
      </w:r>
      <w:r w:rsidRPr="00765230">
        <w:rPr>
          <w:sz w:val="20"/>
          <w:szCs w:val="20"/>
        </w:rPr>
        <w:t>, 23 FCC Rcd 17570, 17591-92 ¶ 53 (2008).</w:t>
      </w:r>
    </w:p>
  </w:footnote>
  <w:footnote w:id="73">
    <w:p w:rsidR="00E85915" w:rsidRPr="003A73EF" w:rsidRDefault="00E85915" w:rsidP="000E11C4">
      <w:pPr>
        <w:pStyle w:val="FootnoteText"/>
      </w:pPr>
      <w:r w:rsidRPr="00A5312F">
        <w:rPr>
          <w:rStyle w:val="FootnoteReference"/>
        </w:rPr>
        <w:footnoteRef/>
      </w:r>
      <w:r w:rsidRPr="00A5312F">
        <w:t xml:space="preserve"> </w:t>
      </w:r>
      <w:r w:rsidRPr="00A5312F">
        <w:rPr>
          <w:i/>
        </w:rPr>
        <w:t>See</w:t>
      </w:r>
      <w:r w:rsidRPr="0063667E">
        <w:t>,</w:t>
      </w:r>
      <w:r w:rsidRPr="0063667E">
        <w:rPr>
          <w:i/>
        </w:rPr>
        <w:t xml:space="preserve"> e.g</w:t>
      </w:r>
      <w:r w:rsidRPr="0063667E">
        <w:t>.,</w:t>
      </w:r>
      <w:r w:rsidRPr="0063667E">
        <w:rPr>
          <w:i/>
        </w:rPr>
        <w:t xml:space="preserve"> Alaska Wireless Order</w:t>
      </w:r>
      <w:r w:rsidRPr="0063667E">
        <w:t>, 28 FCC Rcd at 10449 ¶ 38;</w:t>
      </w:r>
      <w:r w:rsidRPr="001F1BFD">
        <w:rPr>
          <w:i/>
        </w:rPr>
        <w:t xml:space="preserve"> SoftBank-Sprint Order</w:t>
      </w:r>
      <w:r w:rsidRPr="001F1BFD">
        <w:t>, 28 FCC Rcd at 9659-60 ¶ 42;</w:t>
      </w:r>
      <w:r w:rsidRPr="001F1BFD">
        <w:rPr>
          <w:i/>
        </w:rPr>
        <w:t xml:space="preserve"> AT&amp;T-WCS Order</w:t>
      </w:r>
      <w:r w:rsidRPr="002F1CEA">
        <w:t>, 27</w:t>
      </w:r>
      <w:r w:rsidRPr="003A73EF">
        <w:t xml:space="preserve"> FCC Rcd at 16470-71 ¶ 31.  </w:t>
      </w:r>
    </w:p>
  </w:footnote>
  <w:footnote w:id="74">
    <w:p w:rsidR="00E85915" w:rsidRPr="00C9339C" w:rsidRDefault="00E85915" w:rsidP="002E2144">
      <w:pPr>
        <w:pStyle w:val="FootnoteText"/>
      </w:pPr>
      <w:r w:rsidRPr="00C9339C">
        <w:rPr>
          <w:rStyle w:val="FootnoteReference"/>
        </w:rPr>
        <w:footnoteRef/>
      </w:r>
      <w:r w:rsidRPr="00C9339C">
        <w:t xml:space="preserve"> As discussed in Section V.B.1</w:t>
      </w:r>
      <w:r>
        <w:t xml:space="preserve"> </w:t>
      </w:r>
      <w:r>
        <w:rPr>
          <w:i/>
        </w:rPr>
        <w:t>infra</w:t>
      </w:r>
      <w:r w:rsidRPr="00C9339C">
        <w:t>, certain parties did request changes to the screen other than which bands are included.</w:t>
      </w:r>
    </w:p>
  </w:footnote>
  <w:footnote w:id="75">
    <w:p w:rsidR="00E85915" w:rsidRPr="00A5312F" w:rsidRDefault="00E85915" w:rsidP="002E2144">
      <w:pPr>
        <w:pStyle w:val="FootnoteText"/>
      </w:pPr>
      <w:r w:rsidRPr="00773561">
        <w:rPr>
          <w:rStyle w:val="FootnoteReference"/>
        </w:rPr>
        <w:footnoteRef/>
      </w:r>
      <w:r w:rsidRPr="00291216">
        <w:t xml:space="preserve"> </w:t>
      </w:r>
      <w:r w:rsidRPr="0075707B">
        <w:rPr>
          <w:i/>
        </w:rPr>
        <w:t>See generally</w:t>
      </w:r>
      <w:r w:rsidRPr="009F0F3A">
        <w:t xml:space="preserve"> Policies Regarding Mobile Spectrum Holdings, WT Docket No. 12-269, </w:t>
      </w:r>
      <w:r w:rsidRPr="00121630">
        <w:rPr>
          <w:i/>
        </w:rPr>
        <w:t>Notice of Proposed Rulem</w:t>
      </w:r>
      <w:r w:rsidRPr="00A5312F">
        <w:rPr>
          <w:i/>
        </w:rPr>
        <w:t>aking</w:t>
      </w:r>
      <w:r w:rsidRPr="00A5312F">
        <w:t>, 27 FCC Rcd 11710 (2012) (“</w:t>
      </w:r>
      <w:r w:rsidRPr="00A5312F">
        <w:rPr>
          <w:i/>
        </w:rPr>
        <w:t>Mobile Spectrum Holdings NPRM</w:t>
      </w:r>
      <w:r w:rsidRPr="00A5312F">
        <w:t xml:space="preserve">”).  In the </w:t>
      </w:r>
      <w:r w:rsidRPr="00A5312F">
        <w:rPr>
          <w:i/>
        </w:rPr>
        <w:t>Mobile Spectrum Holdings NPRM</w:t>
      </w:r>
      <w:r w:rsidRPr="00A5312F">
        <w:t xml:space="preserve">, the Commission noted that during the pendency of the rulemaking proceeding, it would continue to apply its current case-by-case approach to evaluate mobile spectrum holdings in secondary market transactions and initial spectrum licensing after auctions.  </w:t>
      </w:r>
      <w:r w:rsidRPr="00A5312F">
        <w:rPr>
          <w:i/>
          <w:iCs/>
        </w:rPr>
        <w:t>See Mobile Spectrum Holdings NPRM</w:t>
      </w:r>
      <w:r w:rsidRPr="00A5312F">
        <w:t xml:space="preserve">, 27 FCC Rcd 11710, 11718 ¶ 16 n.59.  </w:t>
      </w:r>
      <w:r w:rsidRPr="00A5312F">
        <w:rPr>
          <w:i/>
        </w:rPr>
        <w:t>See also AT&amp;T-WCS Order</w:t>
      </w:r>
      <w:r w:rsidRPr="00A5312F">
        <w:t>, 27 FCC Rcd at 16470 ¶ 30.</w:t>
      </w:r>
    </w:p>
  </w:footnote>
  <w:footnote w:id="76">
    <w:p w:rsidR="00E85915" w:rsidRPr="00A5312F" w:rsidRDefault="00E85915" w:rsidP="00FC6E90">
      <w:pPr>
        <w:pStyle w:val="FootnoteText"/>
      </w:pPr>
      <w:r w:rsidRPr="0075707B">
        <w:rPr>
          <w:rStyle w:val="FootnoteReference"/>
        </w:rPr>
        <w:footnoteRef/>
      </w:r>
      <w:r w:rsidRPr="0075707B">
        <w:t xml:space="preserve"> </w:t>
      </w:r>
      <w:r w:rsidRPr="009F0F3A">
        <w:rPr>
          <w:i/>
        </w:rPr>
        <w:t>See, e.g., Alaska Wireless O</w:t>
      </w:r>
      <w:r w:rsidRPr="00121630">
        <w:rPr>
          <w:i/>
        </w:rPr>
        <w:t>rder</w:t>
      </w:r>
      <w:r w:rsidRPr="00A5312F">
        <w:t>, 28 FCC Rcd at 10449-50 ¶ 41;</w:t>
      </w:r>
      <w:r w:rsidRPr="00A5312F">
        <w:rPr>
          <w:i/>
        </w:rPr>
        <w:t xml:space="preserve"> SoftBank-Sprint Order</w:t>
      </w:r>
      <w:r w:rsidRPr="00A5312F">
        <w:t>, 28 FCC Rcd at 9660 ¶</w:t>
      </w:r>
      <w:r>
        <w:t> </w:t>
      </w:r>
      <w:r w:rsidRPr="00A5312F">
        <w:t>43;</w:t>
      </w:r>
      <w:r w:rsidRPr="00A5312F">
        <w:rPr>
          <w:i/>
        </w:rPr>
        <w:t xml:space="preserve"> </w:t>
      </w:r>
      <w:r w:rsidRPr="00A5312F">
        <w:rPr>
          <w:rFonts w:eastAsiaTheme="minorHAnsi"/>
        </w:rPr>
        <w:t xml:space="preserve">Applications of Deutsche Telekom AG, T-Mobile USA, Inc., and MetroPCS Communications, Inc., WT Docket No. 12-301, </w:t>
      </w:r>
      <w:r w:rsidRPr="00A5312F">
        <w:rPr>
          <w:rFonts w:eastAsiaTheme="minorHAnsi"/>
          <w:i/>
        </w:rPr>
        <w:t>Memorandum Opinion and Order and Declaratory Ruling</w:t>
      </w:r>
      <w:r w:rsidRPr="00A5312F">
        <w:rPr>
          <w:rFonts w:eastAsiaTheme="minorHAnsi"/>
        </w:rPr>
        <w:t xml:space="preserve">, </w:t>
      </w:r>
      <w:r w:rsidRPr="00A5312F">
        <w:t>28 FCC Rcd at 2334-35 ¶ 37</w:t>
      </w:r>
      <w:r w:rsidRPr="00694A34">
        <w:rPr>
          <w:rFonts w:eastAsiaTheme="minorHAnsi"/>
        </w:rPr>
        <w:t xml:space="preserve"> </w:t>
      </w:r>
      <w:r w:rsidRPr="00A5312F">
        <w:rPr>
          <w:rFonts w:eastAsiaTheme="minorHAnsi"/>
        </w:rPr>
        <w:t>(WTB, IB 2013) (“</w:t>
      </w:r>
      <w:r w:rsidRPr="00A5312F">
        <w:rPr>
          <w:rFonts w:eastAsiaTheme="minorHAnsi"/>
          <w:i/>
          <w:iCs/>
        </w:rPr>
        <w:t>T-Mobile-MetroPCS Order</w:t>
      </w:r>
      <w:r w:rsidRPr="00A5312F">
        <w:rPr>
          <w:rFonts w:eastAsiaTheme="minorHAnsi"/>
        </w:rPr>
        <w:t>”)</w:t>
      </w:r>
      <w:r>
        <w:rPr>
          <w:rFonts w:eastAsiaTheme="minorHAnsi"/>
        </w:rPr>
        <w:t>.</w:t>
      </w:r>
    </w:p>
  </w:footnote>
  <w:footnote w:id="77">
    <w:p w:rsidR="00E85915" w:rsidRPr="00A5312F" w:rsidRDefault="00E85915" w:rsidP="008915A4">
      <w:pPr>
        <w:pStyle w:val="FootnoteText"/>
      </w:pPr>
      <w:r w:rsidRPr="0075707B">
        <w:rPr>
          <w:rStyle w:val="FootnoteReference"/>
        </w:rPr>
        <w:footnoteRef/>
      </w:r>
      <w:r w:rsidRPr="0075707B">
        <w:t xml:space="preserve"> </w:t>
      </w:r>
      <w:r w:rsidRPr="009F0F3A">
        <w:rPr>
          <w:i/>
        </w:rPr>
        <w:t>See, e.g.</w:t>
      </w:r>
      <w:r w:rsidRPr="00121630">
        <w:t>,</w:t>
      </w:r>
      <w:r w:rsidRPr="00A5312F">
        <w:rPr>
          <w:i/>
        </w:rPr>
        <w:t xml:space="preserve"> Alaska Wireless Order</w:t>
      </w:r>
      <w:r w:rsidRPr="00A5312F">
        <w:t>, 28 FCC Rcd at 10450 ¶ 42;</w:t>
      </w:r>
      <w:r w:rsidRPr="00A5312F">
        <w:rPr>
          <w:i/>
        </w:rPr>
        <w:t xml:space="preserve"> SoftBank-Sprint Order</w:t>
      </w:r>
      <w:r w:rsidRPr="00A5312F">
        <w:t>, 28 FCC Rcd at 9660 ¶ 44;</w:t>
      </w:r>
      <w:r w:rsidRPr="00A5312F">
        <w:rPr>
          <w:i/>
        </w:rPr>
        <w:t xml:space="preserve"> </w:t>
      </w:r>
      <w:r w:rsidRPr="00A5312F">
        <w:t xml:space="preserve">Applications of AT&amp;T Inc. and Cellco Partnership d/b/a/ Verizon Wireless, WT Docket No. 09-104, </w:t>
      </w:r>
      <w:r w:rsidRPr="00A5312F">
        <w:rPr>
          <w:i/>
        </w:rPr>
        <w:t>Memorandum Opinion and Order</w:t>
      </w:r>
      <w:r w:rsidRPr="00A5312F">
        <w:t>, 25 FCC Rcd 8704, 8720-21 ¶ 32 (2010) (“</w:t>
      </w:r>
      <w:r w:rsidRPr="00A5312F">
        <w:rPr>
          <w:i/>
        </w:rPr>
        <w:t>AT&amp;T-Verizon Wireless Order</w:t>
      </w:r>
      <w:r w:rsidRPr="00A5312F">
        <w:t xml:space="preserve">”).  </w:t>
      </w:r>
    </w:p>
  </w:footnote>
  <w:footnote w:id="78">
    <w:p w:rsidR="00E85915" w:rsidRPr="00A5312F" w:rsidRDefault="00E85915" w:rsidP="008915A4">
      <w:pPr>
        <w:pStyle w:val="FootnoteText"/>
      </w:pPr>
      <w:r w:rsidRPr="0075707B">
        <w:rPr>
          <w:rStyle w:val="FootnoteReference"/>
        </w:rPr>
        <w:footnoteRef/>
      </w:r>
      <w:r w:rsidRPr="0075707B">
        <w:t xml:space="preserve"> Our initial HHI screen identifies, for further case-by-case market</w:t>
      </w:r>
      <w:r w:rsidRPr="009F0F3A">
        <w:t xml:space="preserve"> analysis, those markets in which, post-transaction:  (1) the HHI would be greater than 2800 and the change in HHI would be 100 or greater; or (2) the change in HHI would be 250 or greater, regardless of the level of the HHI.  </w:t>
      </w:r>
      <w:r w:rsidRPr="00121630">
        <w:rPr>
          <w:i/>
        </w:rPr>
        <w:t>See, e.g., Alaska Wireless Or</w:t>
      </w:r>
      <w:r w:rsidRPr="00A5312F">
        <w:rPr>
          <w:i/>
        </w:rPr>
        <w:t>der</w:t>
      </w:r>
      <w:r w:rsidRPr="00A5312F">
        <w:t xml:space="preserve">, 28 FCC Rcd at 10450 ¶ 42 n. 135; </w:t>
      </w:r>
      <w:r w:rsidRPr="00A5312F">
        <w:rPr>
          <w:i/>
        </w:rPr>
        <w:t>AT&amp;T-Verizon Wireless Order</w:t>
      </w:r>
      <w:r w:rsidRPr="00A5312F">
        <w:t>, 25 FCC Rcd at 8724-25 ¶ 42.</w:t>
      </w:r>
    </w:p>
  </w:footnote>
  <w:footnote w:id="79">
    <w:p w:rsidR="00E85915" w:rsidRPr="00A5312F" w:rsidRDefault="00E85915" w:rsidP="004D4F6D">
      <w:pPr>
        <w:pStyle w:val="FootnoteText"/>
      </w:pPr>
      <w:r w:rsidRPr="0075707B">
        <w:rPr>
          <w:rStyle w:val="FootnoteReference"/>
        </w:rPr>
        <w:footnoteRef/>
      </w:r>
      <w:r w:rsidRPr="0075707B">
        <w:t xml:space="preserve"> These data indicate the number of assigned phone numbers that a wireless service provider has in a particular wireline rate center.  Rate centers are geograph</w:t>
      </w:r>
      <w:r w:rsidRPr="009F0F3A">
        <w:t xml:space="preserve">ic areas used by local exchange carriers for a variety of reasons, including the determination of toll rates.  </w:t>
      </w:r>
      <w:r w:rsidRPr="00121630">
        <w:rPr>
          <w:i/>
          <w:iCs/>
        </w:rPr>
        <w:t>See</w:t>
      </w:r>
      <w:r w:rsidRPr="00A5312F">
        <w:t xml:space="preserve"> </w:t>
      </w:r>
      <w:r w:rsidRPr="00A5312F">
        <w:rPr>
          <w:smallCaps/>
        </w:rPr>
        <w:t>Harry Newton</w:t>
      </w:r>
      <w:r w:rsidRPr="00A5312F">
        <w:t xml:space="preserve">, </w:t>
      </w:r>
      <w:r w:rsidRPr="00A5312F">
        <w:rPr>
          <w:smallCaps/>
        </w:rPr>
        <w:t>Newton’s Telecom Dictionary: 19</w:t>
      </w:r>
      <w:r w:rsidRPr="00A5312F">
        <w:rPr>
          <w:smallCaps/>
          <w:vertAlign w:val="superscript"/>
        </w:rPr>
        <w:t>th</w:t>
      </w:r>
      <w:r w:rsidRPr="00A5312F">
        <w:rPr>
          <w:smallCaps/>
        </w:rPr>
        <w:t xml:space="preserve"> Expanded &amp; Updated Edition 660</w:t>
      </w:r>
      <w:r w:rsidRPr="00A5312F">
        <w:t xml:space="preserve"> (July 2003).  All mobile wireless providers must report to the FCC the quantity of their phone numbers that have been assigned to end users, thereby permitting the Commission to calculate the total number of mobile subscribers.  For purposes of geographical analysis, the rate center data can be associated with a geographic point, and all of those points that fall within a county boundary can be aggregated together and associated with much larger geographic areas based on counties.</w:t>
      </w:r>
    </w:p>
  </w:footnote>
  <w:footnote w:id="80">
    <w:p w:rsidR="00E85915" w:rsidRPr="00A5312F" w:rsidRDefault="00E85915" w:rsidP="008915A4">
      <w:pPr>
        <w:pStyle w:val="FootnoteText"/>
      </w:pPr>
      <w:r w:rsidRPr="0075707B">
        <w:rPr>
          <w:rStyle w:val="FootnoteReference"/>
        </w:rPr>
        <w:footnoteRef/>
      </w:r>
      <w:r w:rsidRPr="0075707B">
        <w:t xml:space="preserve"> </w:t>
      </w:r>
      <w:r w:rsidRPr="009F0F3A">
        <w:rPr>
          <w:i/>
        </w:rPr>
        <w:t>See, e.g., Alaska Wireless Order</w:t>
      </w:r>
      <w:r w:rsidRPr="00121630">
        <w:t>, 28 FCC Rcd at 10450 ¶ 42;</w:t>
      </w:r>
      <w:r w:rsidRPr="00A5312F">
        <w:rPr>
          <w:i/>
        </w:rPr>
        <w:t xml:space="preserve"> </w:t>
      </w:r>
      <w:r w:rsidRPr="00A5312F">
        <w:rPr>
          <w:i/>
          <w:iCs/>
        </w:rPr>
        <w:t>AT&amp;T-WCS Order</w:t>
      </w:r>
      <w:r w:rsidRPr="00A5312F">
        <w:rPr>
          <w:iCs/>
        </w:rPr>
        <w:t xml:space="preserve">, </w:t>
      </w:r>
      <w:r w:rsidRPr="00A5312F">
        <w:t>27 FCC Rcd at 16469-70</w:t>
      </w:r>
      <w:r w:rsidRPr="00A5312F">
        <w:rPr>
          <w:iCs/>
        </w:rPr>
        <w:t xml:space="preserve"> ¶ 29; </w:t>
      </w:r>
      <w:r w:rsidRPr="00A5312F">
        <w:rPr>
          <w:i/>
          <w:iCs/>
        </w:rPr>
        <w:t xml:space="preserve">Verizon Wireless-SpectrumCo Order, </w:t>
      </w:r>
      <w:r w:rsidRPr="00A5312F">
        <w:rPr>
          <w:iCs/>
        </w:rPr>
        <w:t xml:space="preserve">27 FCC Rcd at 10719 ¶ 59.  </w:t>
      </w:r>
      <w:r w:rsidRPr="00A5312F">
        <w:t xml:space="preserve">In particular, the spectrum screen is triggered where the Applicants would have, on a market-by-market basis, a 10% or greater interest in: </w:t>
      </w:r>
      <w:r>
        <w:t xml:space="preserve"> </w:t>
      </w:r>
      <w:r w:rsidRPr="00A5312F">
        <w:t xml:space="preserve">102 megahertz or more of cellular, PCS, SMR, 700 MHz, and WCS spectrum, where neither BRS nor AWS-1 spectrum is available; 121 megahertz or more of spectrum, where BRS spectrum is available, but AWS-1 spectrum is not available; 132 megahertz or more of spectrum, where AWS-1 spectrum is available, but BRS spectrum is not available; or 151 megahertz or more of spectrum where both AWS-1 and BRS spectrum are available.  </w:t>
      </w:r>
      <w:r w:rsidRPr="00A5312F">
        <w:rPr>
          <w:i/>
        </w:rPr>
        <w:t>See</w:t>
      </w:r>
      <w:r w:rsidRPr="00A5312F">
        <w:t xml:space="preserve"> </w:t>
      </w:r>
      <w:r w:rsidRPr="00A5312F">
        <w:rPr>
          <w:i/>
        </w:rPr>
        <w:t>AT&amp;T-WCS Order</w:t>
      </w:r>
      <w:r w:rsidRPr="00A5312F">
        <w:t>, 27 FCC Rcd at 16471 ¶ 33 n.94.</w:t>
      </w:r>
    </w:p>
  </w:footnote>
  <w:footnote w:id="81">
    <w:p w:rsidR="00E85915" w:rsidRPr="00121630" w:rsidRDefault="00E85915" w:rsidP="001F3AA6">
      <w:pPr>
        <w:pStyle w:val="FootnoteText"/>
      </w:pPr>
      <w:r w:rsidRPr="0075707B">
        <w:rPr>
          <w:rStyle w:val="FootnoteReference"/>
        </w:rPr>
        <w:footnoteRef/>
      </w:r>
      <w:r w:rsidRPr="0075707B">
        <w:t xml:space="preserve"> </w:t>
      </w:r>
      <w:r w:rsidRPr="009F0F3A">
        <w:rPr>
          <w:i/>
        </w:rPr>
        <w:t xml:space="preserve">See AT&amp;T-Qualcomm Order, </w:t>
      </w:r>
      <w:r w:rsidRPr="00121630">
        <w:t>26 FCC Rcd at 17601-02 ¶ 30.</w:t>
      </w:r>
    </w:p>
  </w:footnote>
  <w:footnote w:id="82">
    <w:p w:rsidR="00E85915" w:rsidRPr="00A5312F" w:rsidRDefault="00E85915" w:rsidP="008D7FCE">
      <w:pPr>
        <w:pStyle w:val="FootnoteText"/>
      </w:pPr>
      <w:r w:rsidRPr="0075707B">
        <w:rPr>
          <w:rStyle w:val="FootnoteReference"/>
        </w:rPr>
        <w:footnoteRef/>
      </w:r>
      <w:r w:rsidRPr="0075707B">
        <w:t xml:space="preserve"> Public Knowledge </w:t>
      </w:r>
      <w:r>
        <w:t xml:space="preserve">and the Writers Guild of America, West </w:t>
      </w:r>
      <w:r w:rsidRPr="0075707B">
        <w:t>Petition</w:t>
      </w:r>
      <w:r>
        <w:t xml:space="preserve"> To Deny (filed Apr. 4, 2013)</w:t>
      </w:r>
      <w:r w:rsidRPr="0075707B">
        <w:t xml:space="preserve"> at 3</w:t>
      </w:r>
      <w:r>
        <w:t xml:space="preserve"> (“Public Knowledge Petition”)</w:t>
      </w:r>
      <w:r w:rsidRPr="0075707B">
        <w:t xml:space="preserve">.  </w:t>
      </w:r>
      <w:r w:rsidRPr="009F0F3A">
        <w:rPr>
          <w:i/>
          <w:iCs/>
        </w:rPr>
        <w:t xml:space="preserve">See </w:t>
      </w:r>
      <w:r>
        <w:rPr>
          <w:i/>
          <w:iCs/>
        </w:rPr>
        <w:t xml:space="preserve">generally </w:t>
      </w:r>
      <w:r w:rsidRPr="009F0F3A">
        <w:rPr>
          <w:i/>
          <w:iCs/>
        </w:rPr>
        <w:t>Mobile Spectrum Holdings N</w:t>
      </w:r>
      <w:r w:rsidRPr="00121630">
        <w:rPr>
          <w:i/>
          <w:iCs/>
        </w:rPr>
        <w:t>PRM</w:t>
      </w:r>
      <w:r w:rsidRPr="00A5312F">
        <w:t xml:space="preserve">.  </w:t>
      </w:r>
    </w:p>
  </w:footnote>
  <w:footnote w:id="83">
    <w:p w:rsidR="00E85915" w:rsidRPr="009F0F3A" w:rsidRDefault="00E85915" w:rsidP="008D7FCE">
      <w:pPr>
        <w:pStyle w:val="FootnoteText"/>
      </w:pPr>
      <w:r w:rsidRPr="0075707B">
        <w:rPr>
          <w:rStyle w:val="FootnoteReference"/>
        </w:rPr>
        <w:footnoteRef/>
      </w:r>
      <w:r w:rsidRPr="0075707B">
        <w:t xml:space="preserve"> </w:t>
      </w:r>
      <w:r>
        <w:t xml:space="preserve">Rural Telecommunications Group, Inc. Comments (filed Apr. 4, 2013) </w:t>
      </w:r>
      <w:r w:rsidRPr="0075707B">
        <w:t>at 2-3</w:t>
      </w:r>
      <w:r>
        <w:t xml:space="preserve"> (“RTG Comments”)</w:t>
      </w:r>
      <w:r w:rsidRPr="0075707B">
        <w:t>.  Specifically, in its application of the screen, RTG includes 14 megahertz of SMR spectrum, and 70 megahertz of lower 700 MHz spectrum, which when combined with the other spectrum bands, give</w:t>
      </w:r>
      <w:r w:rsidRPr="009F0F3A">
        <w:t xml:space="preserve">s a total of 429.5 megahertz.  </w:t>
      </w:r>
      <w:r>
        <w:rPr>
          <w:i/>
        </w:rPr>
        <w:t>Id.</w:t>
      </w:r>
      <w:r w:rsidRPr="009F0F3A">
        <w:t xml:space="preserve"> at 4-5.</w:t>
      </w:r>
    </w:p>
  </w:footnote>
  <w:footnote w:id="84">
    <w:p w:rsidR="00E85915" w:rsidRPr="00A5312F" w:rsidRDefault="00E85915" w:rsidP="008D7FCE">
      <w:pPr>
        <w:pStyle w:val="FootnoteText"/>
      </w:pPr>
      <w:r w:rsidRPr="0075707B">
        <w:rPr>
          <w:rStyle w:val="FootnoteReference"/>
        </w:rPr>
        <w:footnoteRef/>
      </w:r>
      <w:r w:rsidRPr="0075707B">
        <w:t xml:space="preserve"> RTG Comments at 4-6.  Further, RTG states that in the</w:t>
      </w:r>
      <w:r w:rsidRPr="009F0F3A">
        <w:rPr>
          <w:i/>
        </w:rPr>
        <w:t xml:space="preserve"> Mobile Spectrum Holdings</w:t>
      </w:r>
      <w:r w:rsidRPr="00663C0F">
        <w:t xml:space="preserve"> </w:t>
      </w:r>
      <w:r>
        <w:t>p</w:t>
      </w:r>
      <w:r w:rsidRPr="008A32C2">
        <w:t>roceeding</w:t>
      </w:r>
      <w:r w:rsidRPr="00A5312F">
        <w:t xml:space="preserve"> it recommended that all carriers be required to divest excess spectrum within an 18-month period but in the instant transaction, it now proposes long-term spectrum leasing as an alternative to divestiture.  </w:t>
      </w:r>
      <w:r>
        <w:rPr>
          <w:i/>
        </w:rPr>
        <w:t>Id.</w:t>
      </w:r>
      <w:r w:rsidRPr="00A5312F">
        <w:t xml:space="preserve"> at 6-7.  </w:t>
      </w:r>
    </w:p>
  </w:footnote>
  <w:footnote w:id="85">
    <w:p w:rsidR="00E85915" w:rsidRPr="00121630" w:rsidRDefault="00E85915" w:rsidP="00AA7FE7">
      <w:pPr>
        <w:pStyle w:val="FootnoteText"/>
      </w:pPr>
      <w:r w:rsidRPr="0075707B">
        <w:rPr>
          <w:rStyle w:val="FootnoteReference"/>
        </w:rPr>
        <w:footnoteRef/>
      </w:r>
      <w:r w:rsidRPr="0075707B">
        <w:t xml:space="preserve"> </w:t>
      </w:r>
      <w:r>
        <w:t>Buffalo-Lake Erie Wireless Systems Co., L.L.C. Petition to Deny (filed Apr. 4, 2013)</w:t>
      </w:r>
      <w:r w:rsidRPr="0075707B">
        <w:t xml:space="preserve"> at 2-4</w:t>
      </w:r>
      <w:r>
        <w:t xml:space="preserve"> (“Blue Wireless Petition”)</w:t>
      </w:r>
      <w:r w:rsidRPr="0075707B">
        <w:t xml:space="preserve">.  </w:t>
      </w:r>
      <w:r w:rsidRPr="009F0F3A">
        <w:rPr>
          <w:i/>
        </w:rPr>
        <w:t>See also</w:t>
      </w:r>
      <w:r w:rsidRPr="00121630">
        <w:t xml:space="preserve"> </w:t>
      </w:r>
      <w:r>
        <w:t>Buffalo-Lake Erie Wireless Systems Co., L.L.C. Reply (filed Apr. 22, 2013)</w:t>
      </w:r>
      <w:r w:rsidRPr="00121630">
        <w:t xml:space="preserve"> at 3</w:t>
      </w:r>
      <w:r>
        <w:t xml:space="preserve"> (“Blue Wireless Reply”)</w:t>
      </w:r>
      <w:r w:rsidRPr="00121630">
        <w:t xml:space="preserve">. </w:t>
      </w:r>
    </w:p>
  </w:footnote>
  <w:footnote w:id="86">
    <w:p w:rsidR="00E85915" w:rsidRPr="00A5312F" w:rsidRDefault="00E85915" w:rsidP="00AF42D8">
      <w:pPr>
        <w:pStyle w:val="FootnoteText"/>
      </w:pPr>
      <w:r w:rsidRPr="0075707B">
        <w:rPr>
          <w:rStyle w:val="FootnoteReference"/>
        </w:rPr>
        <w:footnoteRef/>
      </w:r>
      <w:r w:rsidRPr="0075707B">
        <w:t xml:space="preserve"> Joint Opposition at 11-12 (noting that both Public Knowled</w:t>
      </w:r>
      <w:r w:rsidRPr="009F0F3A">
        <w:t xml:space="preserve">ge and RTG are participating in the </w:t>
      </w:r>
      <w:r w:rsidRPr="00121630">
        <w:rPr>
          <w:i/>
        </w:rPr>
        <w:t xml:space="preserve">Mobile Spectrum Holdings </w:t>
      </w:r>
      <w:r>
        <w:t>p</w:t>
      </w:r>
      <w:r w:rsidRPr="000E7DEA">
        <w:t xml:space="preserve">roceeding </w:t>
      </w:r>
      <w:r w:rsidRPr="00A5312F">
        <w:t>where these arguments are pertinent).</w:t>
      </w:r>
    </w:p>
  </w:footnote>
  <w:footnote w:id="87">
    <w:p w:rsidR="00E85915" w:rsidRPr="0075707B" w:rsidRDefault="00E85915" w:rsidP="00AA7FE7">
      <w:pPr>
        <w:pStyle w:val="FootnoteText"/>
      </w:pPr>
      <w:r w:rsidRPr="0075707B">
        <w:rPr>
          <w:rStyle w:val="FootnoteReference"/>
        </w:rPr>
        <w:footnoteRef/>
      </w:r>
      <w:r w:rsidRPr="0075707B">
        <w:t xml:space="preserve"> Joint Opposition at 6-8.</w:t>
      </w:r>
    </w:p>
  </w:footnote>
  <w:footnote w:id="88">
    <w:p w:rsidR="00E85915" w:rsidRPr="00121630" w:rsidRDefault="00E85915" w:rsidP="005759BD">
      <w:pPr>
        <w:pStyle w:val="FootnoteText"/>
      </w:pPr>
      <w:r w:rsidRPr="0075707B">
        <w:rPr>
          <w:rStyle w:val="FootnoteReference"/>
        </w:rPr>
        <w:footnoteRef/>
      </w:r>
      <w:r w:rsidRPr="0075707B">
        <w:t xml:space="preserve"> </w:t>
      </w:r>
      <w:r w:rsidRPr="009F0F3A">
        <w:rPr>
          <w:i/>
          <w:iCs/>
        </w:rPr>
        <w:t>See Mobile Spectrum Holdings NPRM</w:t>
      </w:r>
      <w:r w:rsidRPr="00121630">
        <w:t xml:space="preserve">, 27 FCC Rcd at 11725-28 ¶¶ 33-38.  </w:t>
      </w:r>
    </w:p>
  </w:footnote>
  <w:footnote w:id="89">
    <w:p w:rsidR="00E85915" w:rsidRPr="0075707B" w:rsidRDefault="00E85915">
      <w:pPr>
        <w:pStyle w:val="FootnoteText"/>
      </w:pPr>
      <w:r w:rsidRPr="0075707B">
        <w:rPr>
          <w:rStyle w:val="FootnoteReference"/>
        </w:rPr>
        <w:footnoteRef/>
      </w:r>
      <w:r w:rsidRPr="0075707B">
        <w:t xml:space="preserve"> </w:t>
      </w:r>
      <w:r w:rsidRPr="009F0F3A">
        <w:rPr>
          <w:i/>
        </w:rPr>
        <w:t>See</w:t>
      </w:r>
      <w:r w:rsidRPr="00121630">
        <w:t xml:space="preserve"> National Telecommunications and Informati</w:t>
      </w:r>
      <w:r w:rsidRPr="00A5312F">
        <w:t>on Administration</w:t>
      </w:r>
      <w:r w:rsidRPr="00A5312F">
        <w:rPr>
          <w:i/>
        </w:rPr>
        <w:t xml:space="preserve">, </w:t>
      </w:r>
      <w:r>
        <w:t xml:space="preserve">AWS (1710-1755 MHz) Transition, </w:t>
      </w:r>
      <w:r w:rsidRPr="00A5312F">
        <w:t xml:space="preserve">at </w:t>
      </w:r>
      <w:hyperlink r:id="rId4" w:history="1">
        <w:r w:rsidRPr="009F0F3A">
          <w:rPr>
            <w:rStyle w:val="Hyperlink"/>
          </w:rPr>
          <w:t>http://www.ntia.doc.gov/category/aws-1710-1755-mhz-transition</w:t>
        </w:r>
      </w:hyperlink>
      <w:r w:rsidRPr="0075707B">
        <w:t xml:space="preserve">.  </w:t>
      </w:r>
    </w:p>
  </w:footnote>
  <w:footnote w:id="90">
    <w:p w:rsidR="00E85915" w:rsidRPr="00765230" w:rsidRDefault="00E85915" w:rsidP="00943799">
      <w:pPr>
        <w:spacing w:after="120"/>
        <w:rPr>
          <w:sz w:val="20"/>
          <w:szCs w:val="20"/>
        </w:rPr>
      </w:pPr>
      <w:r w:rsidRPr="00A5312F">
        <w:rPr>
          <w:rStyle w:val="FootnoteReference"/>
          <w:szCs w:val="20"/>
        </w:rPr>
        <w:footnoteRef/>
      </w:r>
      <w:r w:rsidRPr="00765230">
        <w:rPr>
          <w:kern w:val="28"/>
          <w:sz w:val="20"/>
          <w:szCs w:val="20"/>
        </w:rPr>
        <w:t xml:space="preserve"> </w:t>
      </w:r>
      <w:r w:rsidRPr="00765230">
        <w:rPr>
          <w:i/>
          <w:sz w:val="20"/>
          <w:szCs w:val="20"/>
        </w:rPr>
        <w:t xml:space="preserve">See </w:t>
      </w:r>
      <w:r w:rsidRPr="00765230">
        <w:rPr>
          <w:kern w:val="28"/>
          <w:sz w:val="20"/>
          <w:szCs w:val="20"/>
        </w:rPr>
        <w:t>Letter from Robert H. McNamara, Director, Spectrum Management, Government Affairs</w:t>
      </w:r>
      <w:r>
        <w:rPr>
          <w:kern w:val="28"/>
          <w:sz w:val="20"/>
          <w:szCs w:val="20"/>
        </w:rPr>
        <w:t>, Sprint Nextel,</w:t>
      </w:r>
      <w:r w:rsidRPr="00765230">
        <w:rPr>
          <w:kern w:val="28"/>
          <w:sz w:val="20"/>
          <w:szCs w:val="20"/>
        </w:rPr>
        <w:t xml:space="preserve"> to Marlene H. Dortch, Secretary, Federal Communications Commission, WT Docket No. 06-136 (filed Dec. 12, 2007).</w:t>
      </w:r>
    </w:p>
  </w:footnote>
  <w:footnote w:id="91">
    <w:p w:rsidR="00E85915" w:rsidRPr="00761C64" w:rsidRDefault="00E85915" w:rsidP="00061517">
      <w:pPr>
        <w:spacing w:after="120"/>
        <w:rPr>
          <w:i/>
        </w:rPr>
      </w:pPr>
      <w:r w:rsidRPr="00761C64">
        <w:rPr>
          <w:rStyle w:val="FootnoteReference"/>
          <w:szCs w:val="20"/>
        </w:rPr>
        <w:footnoteRef/>
      </w:r>
      <w:r w:rsidRPr="00761C64">
        <w:rPr>
          <w:sz w:val="20"/>
          <w:szCs w:val="20"/>
        </w:rPr>
        <w:t xml:space="preserve"> While service providers can change some of these conduct variables, for example, price and customer service, relatively quickly, other variables – particularly non-price variables such as quality and coverage – require investments in spectrum or infrastructure and are not easily modified.  </w:t>
      </w:r>
      <w:r w:rsidRPr="00761C64">
        <w:rPr>
          <w:i/>
          <w:sz w:val="20"/>
          <w:szCs w:val="20"/>
        </w:rPr>
        <w:t>See, e.g.</w:t>
      </w:r>
      <w:r w:rsidRPr="00761C64">
        <w:rPr>
          <w:sz w:val="20"/>
          <w:szCs w:val="20"/>
        </w:rPr>
        <w:t xml:space="preserve">, Applications of Cellco Partnership d/b/a Verizon Wireless and Atlantis Holdings LLC For Consent </w:t>
      </w:r>
      <w:r>
        <w:rPr>
          <w:sz w:val="20"/>
          <w:szCs w:val="20"/>
        </w:rPr>
        <w:t>T</w:t>
      </w:r>
      <w:r w:rsidRPr="00761C64">
        <w:rPr>
          <w:sz w:val="20"/>
          <w:szCs w:val="20"/>
        </w:rPr>
        <w:t xml:space="preserve">o Transfer Control of Licenses, Authorizations, and Spectrum Manager and </w:t>
      </w:r>
      <w:r w:rsidRPr="00761C64">
        <w:rPr>
          <w:i/>
          <w:sz w:val="20"/>
          <w:szCs w:val="20"/>
        </w:rPr>
        <w:t>De Facto</w:t>
      </w:r>
      <w:r w:rsidRPr="00761C64">
        <w:rPr>
          <w:sz w:val="20"/>
          <w:szCs w:val="20"/>
        </w:rPr>
        <w:t xml:space="preserve"> Transfer Leasing Arrangements and Petition For Declaratory Ruling that the Transaction </w:t>
      </w:r>
      <w:r>
        <w:rPr>
          <w:sz w:val="20"/>
          <w:szCs w:val="20"/>
        </w:rPr>
        <w:t>I</w:t>
      </w:r>
      <w:r w:rsidRPr="00761C64">
        <w:rPr>
          <w:sz w:val="20"/>
          <w:szCs w:val="20"/>
        </w:rPr>
        <w:t>s Consistent with Section 310(b)(4) of the Communications Act,</w:t>
      </w:r>
      <w:r w:rsidRPr="00761C64">
        <w:rPr>
          <w:i/>
          <w:sz w:val="20"/>
          <w:szCs w:val="20"/>
        </w:rPr>
        <w:t xml:space="preserve"> </w:t>
      </w:r>
      <w:r w:rsidRPr="00761C64">
        <w:rPr>
          <w:sz w:val="20"/>
          <w:szCs w:val="20"/>
        </w:rPr>
        <w:t xml:space="preserve">WT Docket No. 08-95, </w:t>
      </w:r>
      <w:r w:rsidRPr="00761C64">
        <w:rPr>
          <w:i/>
          <w:sz w:val="20"/>
          <w:szCs w:val="20"/>
        </w:rPr>
        <w:t>Memorandum Opinion and Order and Declaratory Ruling</w:t>
      </w:r>
      <w:r w:rsidRPr="00761C64">
        <w:rPr>
          <w:sz w:val="20"/>
          <w:szCs w:val="20"/>
        </w:rPr>
        <w:t>, 23 FCC Rcd 17444, 17485 ¶ 85 (2008) (“</w:t>
      </w:r>
      <w:r w:rsidRPr="00761C64">
        <w:rPr>
          <w:i/>
          <w:sz w:val="20"/>
          <w:szCs w:val="20"/>
        </w:rPr>
        <w:t>Verizon Wireless-ALLTEL Order</w:t>
      </w:r>
      <w:r w:rsidRPr="00761C64">
        <w:rPr>
          <w:sz w:val="20"/>
          <w:szCs w:val="20"/>
        </w:rPr>
        <w:t xml:space="preserve">”); </w:t>
      </w:r>
      <w:r w:rsidRPr="00707209">
        <w:rPr>
          <w:sz w:val="20"/>
          <w:szCs w:val="20"/>
        </w:rPr>
        <w:t xml:space="preserve">Applications of AT&amp;T Wireless Services, Inc. and Cingular Wireless Corporation, WT Docket No. 04-70, </w:t>
      </w:r>
      <w:r w:rsidRPr="00707209">
        <w:rPr>
          <w:i/>
          <w:iCs/>
          <w:sz w:val="20"/>
          <w:szCs w:val="20"/>
        </w:rPr>
        <w:t>Memorandum Opinion and Order</w:t>
      </w:r>
      <w:r w:rsidRPr="00707209">
        <w:rPr>
          <w:sz w:val="20"/>
          <w:szCs w:val="20"/>
        </w:rPr>
        <w:t>, 19 FCC Rcd 21522, 21570, ¶ 116 (2004)</w:t>
      </w:r>
      <w:r>
        <w:rPr>
          <w:sz w:val="20"/>
          <w:szCs w:val="20"/>
        </w:rPr>
        <w:t>.</w:t>
      </w:r>
    </w:p>
  </w:footnote>
  <w:footnote w:id="92">
    <w:p w:rsidR="00E85915" w:rsidRPr="00A5312F" w:rsidRDefault="00E85915" w:rsidP="00761C64">
      <w:pPr>
        <w:pStyle w:val="FootnoteText"/>
      </w:pPr>
      <w:r w:rsidRPr="0075707B">
        <w:rPr>
          <w:rStyle w:val="FootnoteReference"/>
        </w:rPr>
        <w:footnoteRef/>
      </w:r>
      <w:r w:rsidRPr="0075707B">
        <w:t xml:space="preserve"> </w:t>
      </w:r>
      <w:r w:rsidRPr="009F0F3A">
        <w:rPr>
          <w:i/>
        </w:rPr>
        <w:t>See, e.g.</w:t>
      </w:r>
      <w:r w:rsidRPr="00121630">
        <w:t xml:space="preserve">, Horizontal Merger Guidelines, U.S. Department of Justice and the </w:t>
      </w:r>
      <w:r w:rsidRPr="00A5312F">
        <w:t>Federal Trade Commission,</w:t>
      </w:r>
      <w:r w:rsidRPr="00A5312F">
        <w:rPr>
          <w:color w:val="000000"/>
        </w:rPr>
        <w:t xml:space="preserve"> </w:t>
      </w:r>
      <w:r w:rsidRPr="00A5312F">
        <w:t xml:space="preserve">August 19, 2010, </w:t>
      </w:r>
      <w:r w:rsidRPr="00A5312F">
        <w:rPr>
          <w:color w:val="000000"/>
        </w:rPr>
        <w:t>at § 6, p. 20</w:t>
      </w:r>
      <w:r w:rsidRPr="00A5312F">
        <w:t xml:space="preserve"> (“</w:t>
      </w:r>
      <w:r w:rsidRPr="00A5312F">
        <w:rPr>
          <w:i/>
        </w:rPr>
        <w:t>2010 DOJ/FTC</w:t>
      </w:r>
      <w:r w:rsidRPr="00A5312F">
        <w:t xml:space="preserve"> </w:t>
      </w:r>
      <w:r w:rsidRPr="00A5312F">
        <w:rPr>
          <w:i/>
        </w:rPr>
        <w:t>Horizontal Merger Guidelines</w:t>
      </w:r>
      <w:r w:rsidRPr="00A5312F">
        <w:t>”)</w:t>
      </w:r>
      <w:r>
        <w:t xml:space="preserve"> (</w:t>
      </w:r>
      <w:r w:rsidRPr="00A5312F">
        <w:t>“A merger between firms selling differentiated products may diminish competition by enabling the merged firm to profit by unilaterally raising the price of one or both products above the pre-merger level.”</w:t>
      </w:r>
      <w:r>
        <w:t>).</w:t>
      </w:r>
      <w:r w:rsidRPr="00A5312F">
        <w:t xml:space="preserve">  </w:t>
      </w:r>
      <w:r w:rsidRPr="00A5312F">
        <w:rPr>
          <w:i/>
        </w:rPr>
        <w:t>See</w:t>
      </w:r>
      <w:r>
        <w:rPr>
          <w:i/>
        </w:rPr>
        <w:t xml:space="preserve"> also</w:t>
      </w:r>
      <w:r w:rsidRPr="00A5312F">
        <w:t>,</w:t>
      </w:r>
      <w:r w:rsidRPr="00A5312F">
        <w:rPr>
          <w:i/>
        </w:rPr>
        <w:t xml:space="preserve"> e.g.</w:t>
      </w:r>
      <w:r w:rsidRPr="00A5312F">
        <w:t xml:space="preserve">, </w:t>
      </w:r>
      <w:r w:rsidRPr="00A5312F">
        <w:rPr>
          <w:i/>
        </w:rPr>
        <w:t>Alaska Wireless Order</w:t>
      </w:r>
      <w:r w:rsidRPr="00A5312F">
        <w:t>, 28 FCC Rcd at 10451 ¶ 44</w:t>
      </w:r>
      <w:r>
        <w:t>;</w:t>
      </w:r>
      <w:r w:rsidRPr="00A5312F">
        <w:t xml:space="preserve"> </w:t>
      </w:r>
      <w:r w:rsidRPr="00A5312F">
        <w:rPr>
          <w:i/>
        </w:rPr>
        <w:t>T-Mobile-MetroPCS Order</w:t>
      </w:r>
      <w:r w:rsidRPr="00A5312F">
        <w:t xml:space="preserve">, 28 FCC Rcd </w:t>
      </w:r>
      <w:r w:rsidRPr="00A5312F">
        <w:rPr>
          <w:iCs/>
        </w:rPr>
        <w:t xml:space="preserve">at 2336 </w:t>
      </w:r>
      <w:r w:rsidRPr="00A5312F">
        <w:t>¶ 42</w:t>
      </w:r>
      <w:r>
        <w:t>;</w:t>
      </w:r>
      <w:r w:rsidRPr="00A5312F">
        <w:t xml:space="preserve"> </w:t>
      </w:r>
      <w:r w:rsidRPr="00A5312F">
        <w:rPr>
          <w:i/>
        </w:rPr>
        <w:t>AT&amp;T-Centennial Order</w:t>
      </w:r>
      <w:r w:rsidRPr="00A5312F">
        <w:t xml:space="preserve">, 24 FCC Rcd at 13939-40 ¶ 54; </w:t>
      </w:r>
      <w:r w:rsidRPr="00A5312F">
        <w:rPr>
          <w:i/>
        </w:rPr>
        <w:t>Verizon Wireless-ALLTEL Order</w:t>
      </w:r>
      <w:r w:rsidRPr="00A5312F">
        <w:t>, 23 FCC Rcd at 17485 ¶ 84.</w:t>
      </w:r>
    </w:p>
  </w:footnote>
  <w:footnote w:id="93">
    <w:p w:rsidR="00E85915" w:rsidRPr="00A5312F" w:rsidRDefault="00E85915" w:rsidP="00832197">
      <w:pPr>
        <w:pStyle w:val="FootnoteText"/>
      </w:pPr>
      <w:r w:rsidRPr="0075707B">
        <w:rPr>
          <w:rStyle w:val="FootnoteReference"/>
        </w:rPr>
        <w:footnoteRef/>
      </w:r>
      <w:r w:rsidRPr="0075707B">
        <w:t xml:space="preserve"> A merger may diminish competition by enabling or encouraging post-merger coordinated interaction among firms in the relevant market that harms customers.  </w:t>
      </w:r>
      <w:r w:rsidRPr="009F0F3A">
        <w:rPr>
          <w:i/>
        </w:rPr>
        <w:t>2010 DOJ/FTC</w:t>
      </w:r>
      <w:r w:rsidRPr="00121630">
        <w:t xml:space="preserve"> </w:t>
      </w:r>
      <w:r w:rsidRPr="00A5312F">
        <w:rPr>
          <w:i/>
        </w:rPr>
        <w:t>Horizontal Merger Guidelines</w:t>
      </w:r>
      <w:r w:rsidRPr="008A32C2">
        <w:t xml:space="preserve"> at</w:t>
      </w:r>
      <w:r w:rsidRPr="00A5312F">
        <w:rPr>
          <w:i/>
        </w:rPr>
        <w:t xml:space="preserve"> </w:t>
      </w:r>
      <w:r w:rsidRPr="00A5312F">
        <w:rPr>
          <w:color w:val="000000"/>
        </w:rPr>
        <w:t xml:space="preserve">§ 7, p. 24. </w:t>
      </w:r>
      <w:r w:rsidRPr="00A5312F">
        <w:t xml:space="preserve"> </w:t>
      </w:r>
      <w:r w:rsidRPr="00A5312F">
        <w:rPr>
          <w:i/>
        </w:rPr>
        <w:t>See</w:t>
      </w:r>
      <w:r>
        <w:rPr>
          <w:i/>
        </w:rPr>
        <w:t xml:space="preserve"> also</w:t>
      </w:r>
      <w:r w:rsidRPr="00A5312F">
        <w:t xml:space="preserve">, </w:t>
      </w:r>
      <w:r w:rsidRPr="00A5312F">
        <w:rPr>
          <w:i/>
        </w:rPr>
        <w:t>e.g.,</w:t>
      </w:r>
      <w:r w:rsidRPr="00A5312F">
        <w:rPr>
          <w:i/>
          <w:color w:val="010101"/>
        </w:rPr>
        <w:t xml:space="preserve"> </w:t>
      </w:r>
      <w:r w:rsidRPr="00A5312F">
        <w:rPr>
          <w:i/>
        </w:rPr>
        <w:t>Alaska Wireless Order</w:t>
      </w:r>
      <w:r w:rsidRPr="00A5312F">
        <w:t>, 28 FCC Rcd at 10460-61 ¶ 65</w:t>
      </w:r>
      <w:r>
        <w:t>;</w:t>
      </w:r>
      <w:r w:rsidRPr="00A5312F">
        <w:t xml:space="preserve"> </w:t>
      </w:r>
      <w:r w:rsidRPr="00A5312F">
        <w:rPr>
          <w:i/>
        </w:rPr>
        <w:t>T-Mobile-MetroPCS Order</w:t>
      </w:r>
      <w:r w:rsidRPr="00A5312F">
        <w:t xml:space="preserve">, 28 FCC Rcd </w:t>
      </w:r>
      <w:r w:rsidRPr="00A5312F">
        <w:rPr>
          <w:iCs/>
        </w:rPr>
        <w:t xml:space="preserve">at 2336-37 </w:t>
      </w:r>
      <w:r w:rsidRPr="00A5312F">
        <w:t>¶</w:t>
      </w:r>
      <w:r>
        <w:t> </w:t>
      </w:r>
      <w:r w:rsidRPr="00A5312F">
        <w:t>43</w:t>
      </w:r>
      <w:r>
        <w:t>;</w:t>
      </w:r>
      <w:r w:rsidRPr="00A5312F">
        <w:t xml:space="preserve"> </w:t>
      </w:r>
      <w:r w:rsidRPr="00A5312F">
        <w:rPr>
          <w:i/>
        </w:rPr>
        <w:t>Verizon Wireless-ALLTEL Order</w:t>
      </w:r>
      <w:r w:rsidRPr="00A5312F">
        <w:t>, 23 FCC Rcd at 17491 ¶ 101</w:t>
      </w:r>
      <w:r>
        <w:t xml:space="preserve">; </w:t>
      </w:r>
      <w:r>
        <w:rPr>
          <w:i/>
        </w:rPr>
        <w:t>AT&amp;T-Centennial Order</w:t>
      </w:r>
      <w:r>
        <w:t>, 24 FCC Rcd at 13942 ¶ 59</w:t>
      </w:r>
      <w:r w:rsidRPr="00A5312F">
        <w:t>.</w:t>
      </w:r>
    </w:p>
  </w:footnote>
  <w:footnote w:id="94">
    <w:p w:rsidR="00E85915" w:rsidRPr="00A5312F" w:rsidRDefault="00E85915" w:rsidP="004979A7">
      <w:pPr>
        <w:pStyle w:val="FootnoteText"/>
      </w:pPr>
      <w:r w:rsidRPr="0075707B">
        <w:rPr>
          <w:rStyle w:val="FootnoteReference"/>
        </w:rPr>
        <w:footnoteRef/>
      </w:r>
      <w:r w:rsidRPr="0075707B">
        <w:t xml:space="preserve"> </w:t>
      </w:r>
      <w:r w:rsidRPr="009F0F3A">
        <w:rPr>
          <w:i/>
          <w:iCs/>
        </w:rPr>
        <w:t xml:space="preserve">See 2010 DOJ/FTC Horizontal Merger Guidelines </w:t>
      </w:r>
      <w:r w:rsidRPr="00121630">
        <w:t xml:space="preserve">at </w:t>
      </w:r>
      <w:r w:rsidRPr="00A5312F">
        <w:rPr>
          <w:color w:val="000000"/>
        </w:rPr>
        <w:t xml:space="preserve">§ </w:t>
      </w:r>
      <w:r w:rsidRPr="00A5312F">
        <w:t>2.</w:t>
      </w:r>
      <w:r w:rsidRPr="00A5312F">
        <w:rPr>
          <w:i/>
        </w:rPr>
        <w:t xml:space="preserve">  See</w:t>
      </w:r>
      <w:r>
        <w:rPr>
          <w:i/>
        </w:rPr>
        <w:t xml:space="preserve"> also</w:t>
      </w:r>
      <w:r w:rsidRPr="00A5312F">
        <w:t>,</w:t>
      </w:r>
      <w:r w:rsidRPr="00A5312F">
        <w:rPr>
          <w:i/>
        </w:rPr>
        <w:t xml:space="preserve"> e.g</w:t>
      </w:r>
      <w:r w:rsidRPr="00A5312F">
        <w:t>.</w:t>
      </w:r>
      <w:r w:rsidRPr="00A5312F">
        <w:rPr>
          <w:i/>
        </w:rPr>
        <w:t>, Alaska Wireless Order</w:t>
      </w:r>
      <w:r w:rsidRPr="00A5312F">
        <w:t xml:space="preserve">, 28 FCC Rcd at 10446 ¶ 33 n.104. </w:t>
      </w:r>
      <w:r w:rsidRPr="00A5312F">
        <w:rPr>
          <w:i/>
        </w:rPr>
        <w:t xml:space="preserve"> </w:t>
      </w:r>
    </w:p>
  </w:footnote>
  <w:footnote w:id="95">
    <w:p w:rsidR="00E85915" w:rsidRPr="0075707B" w:rsidRDefault="00E85915" w:rsidP="00805171">
      <w:pPr>
        <w:pStyle w:val="FootnoteText"/>
      </w:pPr>
      <w:r w:rsidRPr="0075707B">
        <w:rPr>
          <w:rStyle w:val="FootnoteReference"/>
        </w:rPr>
        <w:footnoteRef/>
      </w:r>
      <w:r w:rsidRPr="0075707B">
        <w:t xml:space="preserve"> </w:t>
      </w:r>
      <w:r>
        <w:t xml:space="preserve">RTG Comments at 3-4; </w:t>
      </w:r>
      <w:r w:rsidRPr="0075707B">
        <w:t xml:space="preserve">Public Knowledge Petition </w:t>
      </w:r>
      <w:r w:rsidRPr="00CF6080">
        <w:t>at 4-7; Blue</w:t>
      </w:r>
      <w:r w:rsidRPr="0075707B">
        <w:t xml:space="preserve"> Wireless Petition at 5-6; </w:t>
      </w:r>
      <w:r>
        <w:t>Rural Telecommunications Group, Inc. Reply Comments (filed Apr. 22, 2013)</w:t>
      </w:r>
      <w:r w:rsidRPr="0075707B">
        <w:t xml:space="preserve"> at 1-4</w:t>
      </w:r>
      <w:r>
        <w:t xml:space="preserve"> (“RTG Reply Comments”)</w:t>
      </w:r>
      <w:r w:rsidRPr="0075707B">
        <w:t xml:space="preserve">. </w:t>
      </w:r>
    </w:p>
  </w:footnote>
  <w:footnote w:id="96">
    <w:p w:rsidR="00E85915" w:rsidRPr="0075707B" w:rsidRDefault="00E85915" w:rsidP="00805171">
      <w:pPr>
        <w:pStyle w:val="FootnoteText"/>
      </w:pPr>
      <w:r w:rsidRPr="0075707B">
        <w:rPr>
          <w:rStyle w:val="FootnoteReference"/>
        </w:rPr>
        <w:footnoteRef/>
      </w:r>
      <w:r w:rsidRPr="0075707B">
        <w:t xml:space="preserve"> </w:t>
      </w:r>
      <w:r w:rsidRPr="00CF6080">
        <w:t>RTG Comments at 3.</w:t>
      </w:r>
    </w:p>
  </w:footnote>
  <w:footnote w:id="97">
    <w:p w:rsidR="00E85915" w:rsidRPr="0075707B" w:rsidRDefault="00E85915" w:rsidP="00805171">
      <w:pPr>
        <w:pStyle w:val="FootnoteText"/>
      </w:pPr>
      <w:r w:rsidRPr="0075707B">
        <w:rPr>
          <w:rStyle w:val="FootnoteReference"/>
        </w:rPr>
        <w:footnoteRef/>
      </w:r>
      <w:r w:rsidRPr="0075707B">
        <w:t xml:space="preserve"> RTG Reply Comments at 3. </w:t>
      </w:r>
    </w:p>
  </w:footnote>
  <w:footnote w:id="98">
    <w:p w:rsidR="00E85915" w:rsidRPr="0075707B" w:rsidRDefault="00E85915" w:rsidP="00805171">
      <w:pPr>
        <w:pStyle w:val="FootnoteText"/>
      </w:pPr>
      <w:r w:rsidRPr="0075707B">
        <w:rPr>
          <w:rStyle w:val="FootnoteReference"/>
        </w:rPr>
        <w:footnoteRef/>
      </w:r>
      <w:r w:rsidRPr="0075707B">
        <w:t xml:space="preserve"> Public Knowledge Petition at 3. </w:t>
      </w:r>
    </w:p>
  </w:footnote>
  <w:footnote w:id="99">
    <w:p w:rsidR="00E85915" w:rsidRPr="009F0F3A" w:rsidRDefault="00E85915" w:rsidP="00805171">
      <w:pPr>
        <w:pStyle w:val="FootnoteText"/>
      </w:pPr>
      <w:r w:rsidRPr="0075707B">
        <w:rPr>
          <w:rStyle w:val="FootnoteReference"/>
        </w:rPr>
        <w:footnoteRef/>
      </w:r>
      <w:r w:rsidRPr="0075707B">
        <w:t xml:space="preserve"> </w:t>
      </w:r>
      <w:r>
        <w:rPr>
          <w:i/>
        </w:rPr>
        <w:t>Id</w:t>
      </w:r>
      <w:r w:rsidRPr="0075707B">
        <w:t>.</w:t>
      </w:r>
      <w:r w:rsidRPr="009F0F3A">
        <w:t xml:space="preserve"> </w:t>
      </w:r>
    </w:p>
  </w:footnote>
  <w:footnote w:id="100">
    <w:p w:rsidR="00E85915" w:rsidRPr="0075707B" w:rsidRDefault="00E85915" w:rsidP="00805171">
      <w:pPr>
        <w:pStyle w:val="FootnoteText"/>
      </w:pPr>
      <w:r w:rsidRPr="0075707B">
        <w:rPr>
          <w:rStyle w:val="FootnoteReference"/>
        </w:rPr>
        <w:footnoteRef/>
      </w:r>
      <w:r w:rsidRPr="0075707B">
        <w:t xml:space="preserve"> </w:t>
      </w:r>
      <w:r>
        <w:rPr>
          <w:i/>
        </w:rPr>
        <w:t>Id.</w:t>
      </w:r>
      <w:r>
        <w:t xml:space="preserve"> </w:t>
      </w:r>
      <w:r w:rsidRPr="0075707B">
        <w:t xml:space="preserve">at 7. </w:t>
      </w:r>
    </w:p>
  </w:footnote>
  <w:footnote w:id="101">
    <w:p w:rsidR="00E85915" w:rsidRPr="00A741F8" w:rsidRDefault="00E85915" w:rsidP="00805171">
      <w:pPr>
        <w:pStyle w:val="FootnoteText"/>
      </w:pPr>
      <w:r w:rsidRPr="0075707B">
        <w:rPr>
          <w:rStyle w:val="FootnoteReference"/>
        </w:rPr>
        <w:footnoteRef/>
      </w:r>
      <w:r w:rsidRPr="0075707B">
        <w:t xml:space="preserve"> Letter from Donald J. Evans, Counsel for Buffalo-Lake Erie Wireless, LLC, to Marlene H. Dortch, Secretary, FCC, WT Docket 13-54, attachment at 6 (</w:t>
      </w:r>
      <w:r>
        <w:t xml:space="preserve">filed </w:t>
      </w:r>
      <w:r w:rsidRPr="0075707B">
        <w:t>May 14, 2013) (</w:t>
      </w:r>
      <w:r>
        <w:t>“</w:t>
      </w:r>
      <w:r w:rsidRPr="0075707B">
        <w:t>Blue Wireless May 14</w:t>
      </w:r>
      <w:r w:rsidRPr="008A32C2">
        <w:rPr>
          <w:vertAlign w:val="superscript"/>
        </w:rPr>
        <w:t>th</w:t>
      </w:r>
      <w:r w:rsidRPr="0075707B">
        <w:t xml:space="preserve"> </w:t>
      </w:r>
      <w:r w:rsidRPr="009F0F3A">
        <w:rPr>
          <w:i/>
        </w:rPr>
        <w:t xml:space="preserve">Ex </w:t>
      </w:r>
      <w:r w:rsidRPr="00CF6080">
        <w:rPr>
          <w:i/>
        </w:rPr>
        <w:t>parte</w:t>
      </w:r>
      <w:r>
        <w:t>”</w:t>
      </w:r>
      <w:r w:rsidRPr="00CF6080">
        <w:t>); Blue Wireless Petition at 6.</w:t>
      </w:r>
    </w:p>
  </w:footnote>
  <w:footnote w:id="102">
    <w:p w:rsidR="00E85915" w:rsidRPr="009F0F3A" w:rsidRDefault="00E85915" w:rsidP="00805171">
      <w:pPr>
        <w:pStyle w:val="FootnoteText"/>
      </w:pPr>
      <w:r w:rsidRPr="0075707B">
        <w:rPr>
          <w:rStyle w:val="FootnoteReference"/>
        </w:rPr>
        <w:footnoteRef/>
      </w:r>
      <w:r w:rsidRPr="0075707B">
        <w:t xml:space="preserve"> Blue Wireless Petit</w:t>
      </w:r>
      <w:r w:rsidRPr="009F0F3A">
        <w:t>ion at 5-6.</w:t>
      </w:r>
    </w:p>
  </w:footnote>
  <w:footnote w:id="103">
    <w:p w:rsidR="00E85915" w:rsidRPr="00A5312F" w:rsidRDefault="00E85915" w:rsidP="00805171">
      <w:pPr>
        <w:pStyle w:val="FootnoteText"/>
      </w:pPr>
      <w:r w:rsidRPr="0075707B">
        <w:rPr>
          <w:rStyle w:val="FootnoteReference"/>
        </w:rPr>
        <w:footnoteRef/>
      </w:r>
      <w:r w:rsidRPr="0075707B">
        <w:t xml:space="preserve"> Letter from Donald J. Evans, Counsel for Buffalo-Lake Erie Wireless, LLC, to Marlene H. Dortch, Secretary, FCC, WT Docket 13-54, 4 (</w:t>
      </w:r>
      <w:r>
        <w:t xml:space="preserve">filed </w:t>
      </w:r>
      <w:r w:rsidRPr="0075707B">
        <w:t>Aug. 15, 2013) (</w:t>
      </w:r>
      <w:r>
        <w:t>“</w:t>
      </w:r>
      <w:r w:rsidRPr="0075707B">
        <w:t>Blue Wireless Aug. 15</w:t>
      </w:r>
      <w:r w:rsidRPr="009F0F3A">
        <w:rPr>
          <w:vertAlign w:val="superscript"/>
        </w:rPr>
        <w:t>th</w:t>
      </w:r>
      <w:r w:rsidRPr="00A741F8">
        <w:t xml:space="preserve"> </w:t>
      </w:r>
      <w:r w:rsidRPr="00121630">
        <w:rPr>
          <w:i/>
        </w:rPr>
        <w:t>Ex parte</w:t>
      </w:r>
      <w:r>
        <w:t>”</w:t>
      </w:r>
      <w:r w:rsidRPr="00A5312F">
        <w:t>)</w:t>
      </w:r>
      <w:r>
        <w:t>.</w:t>
      </w:r>
    </w:p>
  </w:footnote>
  <w:footnote w:id="104">
    <w:p w:rsidR="00E85915" w:rsidRPr="0075707B" w:rsidRDefault="00E85915" w:rsidP="00805171">
      <w:pPr>
        <w:pStyle w:val="FootnoteText"/>
      </w:pPr>
      <w:r w:rsidRPr="0075707B">
        <w:rPr>
          <w:rStyle w:val="FootnoteReference"/>
        </w:rPr>
        <w:footnoteRef/>
      </w:r>
      <w:r w:rsidRPr="0075707B">
        <w:t xml:space="preserve"> Joint Opposition at 3-4. </w:t>
      </w:r>
    </w:p>
  </w:footnote>
  <w:footnote w:id="105">
    <w:p w:rsidR="00E85915" w:rsidRPr="0075707B" w:rsidRDefault="00E85915" w:rsidP="00805171">
      <w:pPr>
        <w:pStyle w:val="FootnoteText"/>
      </w:pPr>
      <w:r w:rsidRPr="0075707B">
        <w:rPr>
          <w:rStyle w:val="FootnoteReference"/>
        </w:rPr>
        <w:footnoteRef/>
      </w:r>
      <w:r w:rsidRPr="0075707B">
        <w:t xml:space="preserve"> </w:t>
      </w:r>
      <w:r>
        <w:rPr>
          <w:i/>
        </w:rPr>
        <w:t>Id.</w:t>
      </w:r>
      <w:r w:rsidRPr="0075707B">
        <w:t xml:space="preserve"> at 6.</w:t>
      </w:r>
    </w:p>
  </w:footnote>
  <w:footnote w:id="106">
    <w:p w:rsidR="00E85915" w:rsidRPr="009F0F3A" w:rsidRDefault="00E85915" w:rsidP="00805171">
      <w:pPr>
        <w:pStyle w:val="FootnoteText"/>
      </w:pPr>
      <w:r w:rsidRPr="0075707B">
        <w:rPr>
          <w:rStyle w:val="FootnoteReference"/>
        </w:rPr>
        <w:footnoteRef/>
      </w:r>
      <w:r w:rsidRPr="0075707B">
        <w:t xml:space="preserve"> </w:t>
      </w:r>
      <w:r>
        <w:rPr>
          <w:i/>
        </w:rPr>
        <w:t>Id.</w:t>
      </w:r>
      <w:r w:rsidRPr="009F0F3A">
        <w:t xml:space="preserve"> at 4. </w:t>
      </w:r>
    </w:p>
  </w:footnote>
  <w:footnote w:id="107">
    <w:p w:rsidR="00E85915" w:rsidRPr="0075707B" w:rsidRDefault="00E85915" w:rsidP="006363F0">
      <w:pPr>
        <w:pStyle w:val="FootnoteText"/>
      </w:pPr>
      <w:r w:rsidRPr="0075707B">
        <w:rPr>
          <w:rStyle w:val="FootnoteReference"/>
        </w:rPr>
        <w:footnoteRef/>
      </w:r>
      <w:r w:rsidRPr="0075707B">
        <w:t xml:space="preserve"> </w:t>
      </w:r>
      <w:r w:rsidRPr="0075707B">
        <w:rPr>
          <w:i/>
        </w:rPr>
        <w:t xml:space="preserve">See AT&amp;T-Qualcomm Order, </w:t>
      </w:r>
      <w:r w:rsidRPr="0075707B">
        <w:t>26 FCC Rcd at 17601-02 ¶ 30.</w:t>
      </w:r>
    </w:p>
  </w:footnote>
  <w:footnote w:id="108">
    <w:p w:rsidR="00E85915" w:rsidRPr="00A5312F" w:rsidRDefault="00E85915" w:rsidP="00AF42D8">
      <w:pPr>
        <w:pStyle w:val="FootnoteText"/>
      </w:pPr>
      <w:r w:rsidRPr="0075707B">
        <w:rPr>
          <w:rStyle w:val="FootnoteReference"/>
        </w:rPr>
        <w:footnoteRef/>
      </w:r>
      <w:r w:rsidRPr="0075707B">
        <w:t xml:space="preserve"> The 21 CMAs that trigger the HHI screen are</w:t>
      </w:r>
      <w:r>
        <w:t xml:space="preserve">: </w:t>
      </w:r>
      <w:r w:rsidRPr="0075707B">
        <w:t xml:space="preserve"> CMA 166 (Hickory, NC); CMA 227 (Anderson, SC); CMA 231 (Mansfield, OH); CMA 261 (Albany, GA); CMA 377 (Georgia 7</w:t>
      </w:r>
      <w:r>
        <w:t xml:space="preserve"> </w:t>
      </w:r>
      <w:r w:rsidRPr="00121630">
        <w:t>–</w:t>
      </w:r>
      <w:r w:rsidRPr="0075707B">
        <w:t xml:space="preserve"> Hancock); CMA 378 (Ge</w:t>
      </w:r>
      <w:r w:rsidRPr="009F0F3A">
        <w:t xml:space="preserve">orgia 8 </w:t>
      </w:r>
      <w:r w:rsidRPr="00121630">
        <w:t>–</w:t>
      </w:r>
      <w:r w:rsidRPr="009F0F3A">
        <w:t xml:space="preserve"> Warren); CMA 379 (Georgia 9 </w:t>
      </w:r>
      <w:r w:rsidRPr="00121630">
        <w:t>–</w:t>
      </w:r>
      <w:r w:rsidRPr="009F0F3A">
        <w:t xml:space="preserve"> Marion); CMA 380 (Georgia 10 </w:t>
      </w:r>
      <w:r w:rsidRPr="00121630">
        <w:t>–</w:t>
      </w:r>
      <w:r w:rsidRPr="009F0F3A">
        <w:t xml:space="preserve"> Bleckley); CMA 382 (Georgia 12</w:t>
      </w:r>
      <w:r>
        <w:t xml:space="preserve"> </w:t>
      </w:r>
      <w:r w:rsidRPr="00121630">
        <w:t>–</w:t>
      </w:r>
      <w:r w:rsidRPr="009F0F3A">
        <w:t xml:space="preserve"> Liberty); CMA 383 (Georgia 13 </w:t>
      </w:r>
      <w:r w:rsidRPr="00121630">
        <w:t>–</w:t>
      </w:r>
      <w:r w:rsidRPr="009F0F3A">
        <w:t xml:space="preserve"> Early); CMA 390 (Idaho 3 </w:t>
      </w:r>
      <w:r w:rsidRPr="00121630">
        <w:t>–</w:t>
      </w:r>
      <w:r w:rsidRPr="009F0F3A">
        <w:t xml:space="preserve"> Lemhi); CMA 401 (Illinois 8 </w:t>
      </w:r>
      <w:r w:rsidRPr="00121630">
        <w:t>–</w:t>
      </w:r>
      <w:r w:rsidRPr="009F0F3A">
        <w:t xml:space="preserve"> Washington); CMA 402 (Illinois 9 </w:t>
      </w:r>
      <w:r w:rsidRPr="00121630">
        <w:t>–</w:t>
      </w:r>
      <w:r w:rsidRPr="009F0F3A">
        <w:t xml:space="preserve"> Clay); CMA 566 (North Carolin</w:t>
      </w:r>
      <w:r w:rsidRPr="00121630">
        <w:t xml:space="preserve">a 2 – Yancey); CMA 569 (North Carolina 5 – Anson); CMA 586 (Ohio 2 – Sandusky); CMA 587 (Ohio 3 – Ashtabula); CMA 625 (South Carolina 1 – Oconee); CMA 626 (South Carolina 2 – Laurens); CMA 627 (South Carolina 3 – Cherokee); and CMA 631 (South Carolina 7 – </w:t>
      </w:r>
      <w:r w:rsidRPr="00A5312F">
        <w:t>Calhoun).</w:t>
      </w:r>
    </w:p>
  </w:footnote>
  <w:footnote w:id="109">
    <w:p w:rsidR="00E85915" w:rsidRPr="0075707B" w:rsidRDefault="00E85915" w:rsidP="00AF42D8">
      <w:pPr>
        <w:pStyle w:val="FootnoteText"/>
      </w:pPr>
      <w:r w:rsidRPr="0075707B">
        <w:rPr>
          <w:rStyle w:val="FootnoteReference"/>
        </w:rPr>
        <w:footnoteRef/>
      </w:r>
      <w:r w:rsidRPr="0075707B">
        <w:t xml:space="preserve"> In all markets implicated by the proposed transaction, the appropriate trigger is 151 megahertz.  Post</w:t>
      </w:r>
      <w:r>
        <w:t>-</w:t>
      </w:r>
      <w:r w:rsidRPr="0075707B">
        <w:t xml:space="preserve">transaction, AT&amp;T would hold 155 megahertz of spectrum in CMA 587, which triggers the spectrum screen by 4 megahertz.  </w:t>
      </w:r>
    </w:p>
  </w:footnote>
  <w:footnote w:id="110">
    <w:p w:rsidR="00E85915" w:rsidRPr="00A5312F" w:rsidRDefault="00E85915" w:rsidP="00B26806">
      <w:pPr>
        <w:pStyle w:val="FootnoteText"/>
      </w:pPr>
      <w:r w:rsidRPr="0075707B">
        <w:rPr>
          <w:rStyle w:val="FootnoteReference"/>
        </w:rPr>
        <w:footnoteRef/>
      </w:r>
      <w:r w:rsidRPr="0075707B">
        <w:t xml:space="preserve"> AT&amp;T would acquire 25 megahertz of cellular spectrum across 26 CMAs, and 12 megahertz of </w:t>
      </w:r>
      <w:r>
        <w:t>L</w:t>
      </w:r>
      <w:r w:rsidRPr="0075707B">
        <w:t xml:space="preserve">ower 700 MHz </w:t>
      </w:r>
      <w:r>
        <w:t xml:space="preserve">Band </w:t>
      </w:r>
      <w:r w:rsidRPr="0075707B">
        <w:t>spectrum across 9 CMAs.  The maximum amount of spectrum below 1 GHz that AT&amp;T would hold in any market, post-transaction, is 55 megahertz, or just over one-third of the tot</w:t>
      </w:r>
      <w:r w:rsidRPr="009F0F3A">
        <w:t xml:space="preserve">al amount of spectrum below 1 GHz that the Commission has determined is suitable and available for the provision of mobile telephony/broadband services.  </w:t>
      </w:r>
      <w:r w:rsidRPr="00121630">
        <w:rPr>
          <w:i/>
        </w:rPr>
        <w:t>See also</w:t>
      </w:r>
      <w:r w:rsidRPr="00A5312F">
        <w:t xml:space="preserve"> </w:t>
      </w:r>
      <w:r>
        <w:rPr>
          <w:i/>
        </w:rPr>
        <w:t>AT&amp;T-Verizon Wireless-Grain Order</w:t>
      </w:r>
      <w:r w:rsidRPr="00A5312F">
        <w:rPr>
          <w:i/>
        </w:rPr>
        <w:t xml:space="preserve">, </w:t>
      </w:r>
      <w:r w:rsidRPr="00A5312F">
        <w:t xml:space="preserve">DA 13-1854, at </w:t>
      </w:r>
      <w:r>
        <w:t xml:space="preserve">¶ 41 </w:t>
      </w:r>
      <w:r w:rsidRPr="00A5312F">
        <w:t>n.115.  We find that the potential for competitive harm from these spectrum acquisitions, apart from their inclusion in our analysis of individual markets discussed below, is unlikely.</w:t>
      </w:r>
    </w:p>
  </w:footnote>
  <w:footnote w:id="111">
    <w:p w:rsidR="00E85915" w:rsidRPr="00765230" w:rsidRDefault="00E85915" w:rsidP="00363ECF">
      <w:pPr>
        <w:pStyle w:val="ParaNum"/>
        <w:numPr>
          <w:ilvl w:val="0"/>
          <w:numId w:val="0"/>
        </w:numPr>
        <w:rPr>
          <w:sz w:val="20"/>
          <w:szCs w:val="20"/>
        </w:rPr>
      </w:pPr>
      <w:r w:rsidRPr="003C4825">
        <w:rPr>
          <w:rStyle w:val="FootnoteReference"/>
          <w:szCs w:val="20"/>
        </w:rPr>
        <w:footnoteRef/>
      </w:r>
      <w:r w:rsidRPr="00765230">
        <w:rPr>
          <w:sz w:val="20"/>
          <w:szCs w:val="20"/>
        </w:rPr>
        <w:t xml:space="preserve"> We derive market shares and HHIs from our analysis of data compiled in our 2012 NRUF and LNP database.  We derive network coverage from Mosaik July 2013 data and 2010 U.S. Census data, and we obtain spectrum holdings from our licensing databases and the Applications.  In addition, we examine porting data from our 2012 LNP database, as well as from data submitted by the Applicants, which includes each instance of a customer porting a phone number from one mobile provider to another, and indicates both the origin and destination provider.  We also utilized and analyzed the additional data as provided by the Applicants through our information requests. </w:t>
      </w:r>
    </w:p>
  </w:footnote>
  <w:footnote w:id="112">
    <w:p w:rsidR="00E85915" w:rsidRPr="00291216" w:rsidRDefault="00E85915" w:rsidP="00363ECF">
      <w:pPr>
        <w:pStyle w:val="FootnoteText"/>
      </w:pPr>
      <w:r w:rsidRPr="00A5312F">
        <w:rPr>
          <w:rStyle w:val="FootnoteReference"/>
        </w:rPr>
        <w:footnoteRef/>
      </w:r>
      <w:r w:rsidRPr="00A5312F">
        <w:t xml:space="preserve"> These competitive variables include, but are not limited to</w:t>
      </w:r>
      <w:r>
        <w:t xml:space="preserve">: </w:t>
      </w:r>
      <w:r w:rsidRPr="00A5312F">
        <w:t xml:space="preserve"> the total number of rival service providers; the number of rival firms that can offe</w:t>
      </w:r>
      <w:r w:rsidRPr="002F1CEA">
        <w:t xml:space="preserve">r competitive nationwide service plans; the coverage by technology of the firms’ respective networks; the rival firms’ market shares; the combined entity’s post-transaction market </w:t>
      </w:r>
      <w:r w:rsidRPr="003A73EF">
        <w:t xml:space="preserve">share and how that share changes as a result of the transaction; the amount of spectrum suitable for the provision of mobile telephony/broadband services controlled by the combined entity; and the spectrum holdings of each of the rival service providers.  </w:t>
      </w:r>
      <w:r w:rsidRPr="00C9339C">
        <w:rPr>
          <w:i/>
        </w:rPr>
        <w:t>See, e.g., Alaska Wireless Order</w:t>
      </w:r>
      <w:r w:rsidRPr="00C9339C">
        <w:t>,</w:t>
      </w:r>
      <w:r w:rsidRPr="00C9339C">
        <w:rPr>
          <w:i/>
        </w:rPr>
        <w:t xml:space="preserve"> </w:t>
      </w:r>
      <w:r w:rsidRPr="00C9339C">
        <w:t>28 FCC Rcd at 10454-56</w:t>
      </w:r>
      <w:r>
        <w:t xml:space="preserve"> </w:t>
      </w:r>
      <w:r w:rsidRPr="00C9339C">
        <w:t>¶¶ 51-55;</w:t>
      </w:r>
      <w:r w:rsidRPr="00C9339C">
        <w:rPr>
          <w:i/>
        </w:rPr>
        <w:t xml:space="preserve"> A</w:t>
      </w:r>
      <w:r w:rsidRPr="00C9339C">
        <w:rPr>
          <w:i/>
          <w:iCs/>
        </w:rPr>
        <w:t>T&amp;T-WCS Order</w:t>
      </w:r>
      <w:r w:rsidRPr="00C9339C">
        <w:rPr>
          <w:iCs/>
        </w:rPr>
        <w:t xml:space="preserve">, </w:t>
      </w:r>
      <w:r w:rsidRPr="00C9339C">
        <w:t>27 FCC Rcd at 16472</w:t>
      </w:r>
      <w:r w:rsidRPr="00773561">
        <w:rPr>
          <w:iCs/>
        </w:rPr>
        <w:t xml:space="preserve"> ¶ 34; </w:t>
      </w:r>
      <w:r w:rsidRPr="00773561">
        <w:rPr>
          <w:i/>
          <w:iCs/>
        </w:rPr>
        <w:t>Verizon Wireless-SpectrumCo Order</w:t>
      </w:r>
      <w:r w:rsidRPr="00291216">
        <w:rPr>
          <w:iCs/>
        </w:rPr>
        <w:t>,</w:t>
      </w:r>
      <w:r w:rsidRPr="00291216">
        <w:rPr>
          <w:i/>
          <w:iCs/>
        </w:rPr>
        <w:t xml:space="preserve"> </w:t>
      </w:r>
      <w:r w:rsidRPr="00291216">
        <w:rPr>
          <w:iCs/>
        </w:rPr>
        <w:t>27 FCC Rcd at 10725-26 ¶ 72</w:t>
      </w:r>
      <w:r w:rsidRPr="00291216">
        <w:t>.</w:t>
      </w:r>
    </w:p>
  </w:footnote>
  <w:footnote w:id="113">
    <w:p w:rsidR="00E85915" w:rsidRPr="00A1238F" w:rsidRDefault="00E85915" w:rsidP="00061517">
      <w:pPr>
        <w:pStyle w:val="NormalWeb"/>
        <w:spacing w:before="0" w:beforeAutospacing="0" w:after="120" w:afterAutospacing="0"/>
        <w:rPr>
          <w:sz w:val="20"/>
          <w:szCs w:val="20"/>
        </w:rPr>
      </w:pPr>
      <w:r w:rsidRPr="00A1238F">
        <w:rPr>
          <w:rStyle w:val="FootnoteReference"/>
          <w:szCs w:val="20"/>
        </w:rPr>
        <w:footnoteRef/>
      </w:r>
      <w:r w:rsidRPr="00A1238F">
        <w:rPr>
          <w:sz w:val="20"/>
          <w:szCs w:val="20"/>
        </w:rPr>
        <w:t xml:space="preserve"> On October 30, 2008, DOJ filed a series of documents reflecting the settlement between the DOJ and Verizon Wireless and ALLTEL Corporation designed to eliminate the anticompetitive effects of the Verizon Wireless-ALLTEL merger in certain markets, and the parties jointly filed proposed Final Judgments.  </w:t>
      </w:r>
      <w:r w:rsidRPr="00A1238F">
        <w:rPr>
          <w:i/>
          <w:sz w:val="20"/>
          <w:szCs w:val="20"/>
        </w:rPr>
        <w:t>See</w:t>
      </w:r>
      <w:r w:rsidRPr="00A1238F">
        <w:rPr>
          <w:sz w:val="20"/>
          <w:szCs w:val="20"/>
        </w:rPr>
        <w:t xml:space="preserve"> </w:t>
      </w:r>
      <w:r w:rsidRPr="00A1238F">
        <w:rPr>
          <w:i/>
          <w:sz w:val="20"/>
          <w:szCs w:val="20"/>
        </w:rPr>
        <w:t>ATN-Verizon Wireless Order</w:t>
      </w:r>
      <w:r w:rsidRPr="00A1238F">
        <w:rPr>
          <w:sz w:val="20"/>
          <w:szCs w:val="20"/>
        </w:rPr>
        <w:t xml:space="preserve">, 25 FCC Rcd 3763, 3772 ¶ 18.  </w:t>
      </w:r>
      <w:r w:rsidRPr="00A1238F">
        <w:rPr>
          <w:rStyle w:val="StyleParaNumTimesNewRoman11ptChar"/>
          <w:sz w:val="20"/>
          <w:szCs w:val="20"/>
        </w:rPr>
        <w:t xml:space="preserve">On April 7, 2010, the DOJ approved the proposed divestiture of 26 markets to ATN.  </w:t>
      </w:r>
      <w:r w:rsidRPr="00A1238F">
        <w:rPr>
          <w:i/>
          <w:sz w:val="20"/>
          <w:szCs w:val="20"/>
        </w:rPr>
        <w:t>See</w:t>
      </w:r>
      <w:r w:rsidRPr="00A1238F">
        <w:rPr>
          <w:sz w:val="20"/>
          <w:szCs w:val="20"/>
        </w:rPr>
        <w:t xml:space="preserve"> </w:t>
      </w:r>
      <w:r w:rsidRPr="00A1238F">
        <w:rPr>
          <w:i/>
          <w:iCs/>
          <w:sz w:val="20"/>
          <w:szCs w:val="20"/>
        </w:rPr>
        <w:t>U.S. v. Verizon Comm.</w:t>
      </w:r>
      <w:r w:rsidRPr="00A1238F">
        <w:rPr>
          <w:sz w:val="20"/>
          <w:szCs w:val="20"/>
        </w:rPr>
        <w:t>, 607 F.Supp.2d at 5-10 (D.D.C. 2009</w:t>
      </w:r>
      <w:r>
        <w:rPr>
          <w:sz w:val="20"/>
          <w:szCs w:val="20"/>
        </w:rPr>
        <w:t>)</w:t>
      </w:r>
      <w:r w:rsidRPr="00A1238F">
        <w:rPr>
          <w:sz w:val="20"/>
          <w:szCs w:val="20"/>
        </w:rPr>
        <w:t xml:space="preserve">, as modified, </w:t>
      </w:r>
      <w:r w:rsidRPr="00061517">
        <w:rPr>
          <w:sz w:val="20"/>
          <w:szCs w:val="20"/>
        </w:rPr>
        <w:t xml:space="preserve">United States, et. al v. Verizon Communications, Inc., and ALLTEL Corporation, </w:t>
      </w:r>
      <w:r w:rsidRPr="00A1238F">
        <w:rPr>
          <w:sz w:val="20"/>
          <w:szCs w:val="20"/>
        </w:rPr>
        <w:t>2011 WL 1882488, 6-9 (</w:t>
      </w:r>
      <w:r w:rsidRPr="00061517">
        <w:rPr>
          <w:sz w:val="20"/>
          <w:szCs w:val="20"/>
        </w:rPr>
        <w:t>D.D.C.</w:t>
      </w:r>
      <w:r>
        <w:rPr>
          <w:sz w:val="20"/>
          <w:szCs w:val="20"/>
        </w:rPr>
        <w:t xml:space="preserve"> </w:t>
      </w:r>
      <w:r w:rsidRPr="00A1238F">
        <w:rPr>
          <w:sz w:val="20"/>
          <w:szCs w:val="20"/>
        </w:rPr>
        <w:t>2011) (“Modified Final Judgment”).</w:t>
      </w:r>
    </w:p>
  </w:footnote>
  <w:footnote w:id="114">
    <w:p w:rsidR="00E85915" w:rsidRPr="0063667E" w:rsidRDefault="00E85915" w:rsidP="00D20061">
      <w:pPr>
        <w:pStyle w:val="FootnoteText"/>
      </w:pPr>
      <w:r w:rsidRPr="00A5312F">
        <w:rPr>
          <w:rStyle w:val="FootnoteReference"/>
        </w:rPr>
        <w:footnoteRef/>
      </w:r>
      <w:r w:rsidRPr="00A5312F">
        <w:t xml:space="preserve"> </w:t>
      </w:r>
      <w:r w:rsidRPr="00A5312F">
        <w:rPr>
          <w:i/>
        </w:rPr>
        <w:t xml:space="preserve">See </w:t>
      </w:r>
      <w:r>
        <w:rPr>
          <w:i/>
          <w:iCs/>
        </w:rPr>
        <w:t>U.S. v. Verizon Comm.</w:t>
      </w:r>
      <w:r>
        <w:t>, 607 F.Supp.2d at 7-9</w:t>
      </w:r>
      <w:r w:rsidRPr="0063667E">
        <w:t>.</w:t>
      </w:r>
      <w:r>
        <w:t xml:space="preserve">  The Modified </w:t>
      </w:r>
      <w:r w:rsidRPr="00AE634A">
        <w:t xml:space="preserve">Final Judgment </w:t>
      </w:r>
      <w:r>
        <w:t xml:space="preserve">will </w:t>
      </w:r>
      <w:r w:rsidRPr="00AE634A">
        <w:t xml:space="preserve">expire </w:t>
      </w:r>
      <w:r>
        <w:t xml:space="preserve">on April 23, 2019, </w:t>
      </w:r>
      <w:r w:rsidRPr="00AE634A">
        <w:t>ten years</w:t>
      </w:r>
      <w:r>
        <w:t xml:space="preserve"> </w:t>
      </w:r>
      <w:r w:rsidRPr="00AE634A">
        <w:t>from the date of its entry.</w:t>
      </w:r>
      <w:r>
        <w:t xml:space="preserve">  </w:t>
      </w:r>
      <w:r>
        <w:rPr>
          <w:i/>
          <w:iCs/>
        </w:rPr>
        <w:t>U.S. v. Verizon Comm.</w:t>
      </w:r>
      <w:r>
        <w:t>, 607 F.Supp.2d at 14.</w:t>
      </w:r>
    </w:p>
  </w:footnote>
  <w:footnote w:id="115">
    <w:p w:rsidR="00E85915" w:rsidRPr="008A32C2" w:rsidRDefault="00E85915" w:rsidP="00061517">
      <w:pPr>
        <w:pStyle w:val="NormalWeb"/>
        <w:spacing w:before="0" w:beforeAutospacing="0" w:after="120" w:afterAutospacing="0"/>
        <w:rPr>
          <w:sz w:val="20"/>
          <w:szCs w:val="20"/>
        </w:rPr>
      </w:pPr>
      <w:r w:rsidRPr="001E549B">
        <w:rPr>
          <w:rStyle w:val="FootnoteReference"/>
          <w:szCs w:val="20"/>
        </w:rPr>
        <w:footnoteRef/>
      </w:r>
      <w:r w:rsidRPr="00061517">
        <w:rPr>
          <w:sz w:val="20"/>
          <w:szCs w:val="20"/>
        </w:rPr>
        <w:t xml:space="preserve"> </w:t>
      </w:r>
      <w:r>
        <w:rPr>
          <w:i/>
          <w:sz w:val="20"/>
          <w:szCs w:val="20"/>
        </w:rPr>
        <w:t xml:space="preserve">See </w:t>
      </w:r>
      <w:r w:rsidRPr="008A32C2">
        <w:rPr>
          <w:rFonts w:cs="Times New Roman"/>
          <w:i/>
          <w:sz w:val="20"/>
          <w:szCs w:val="20"/>
        </w:rPr>
        <w:t>United States, State of Alabama, State of California, State of Iowa, State of Kansas, State of Minnesota, State of North Dakota, and State of South Dakota, Plaintiffs, v. Verizon Communications, Inc. and Alltel Corporation</w:t>
      </w:r>
      <w:r w:rsidRPr="00BA4CF9">
        <w:rPr>
          <w:sz w:val="20"/>
          <w:szCs w:val="20"/>
        </w:rPr>
        <w:t xml:space="preserve">, </w:t>
      </w:r>
      <w:r w:rsidRPr="008A32C2">
        <w:rPr>
          <w:i/>
          <w:sz w:val="20"/>
          <w:szCs w:val="20"/>
        </w:rPr>
        <w:t>Defendants</w:t>
      </w:r>
      <w:r w:rsidRPr="00BA4CF9">
        <w:rPr>
          <w:sz w:val="20"/>
          <w:szCs w:val="20"/>
        </w:rPr>
        <w:t xml:space="preserve">, 2008 WL 5737926 </w:t>
      </w:r>
      <w:r w:rsidRPr="008A32C2">
        <w:rPr>
          <w:rFonts w:cs="Times New Roman"/>
          <w:sz w:val="20"/>
          <w:szCs w:val="20"/>
        </w:rPr>
        <w:t>(Trial Filing)</w:t>
      </w:r>
      <w:r w:rsidRPr="00BA4CF9">
        <w:rPr>
          <w:sz w:val="20"/>
          <w:szCs w:val="20"/>
        </w:rPr>
        <w:t xml:space="preserve"> </w:t>
      </w:r>
      <w:r w:rsidRPr="008A32C2">
        <w:rPr>
          <w:rFonts w:cs="Times New Roman"/>
          <w:sz w:val="20"/>
          <w:szCs w:val="20"/>
        </w:rPr>
        <w:t>(D.D.C.</w:t>
      </w:r>
      <w:r w:rsidRPr="00BA4CF9">
        <w:rPr>
          <w:sz w:val="20"/>
          <w:szCs w:val="20"/>
        </w:rPr>
        <w:t xml:space="preserve"> </w:t>
      </w:r>
      <w:r w:rsidRPr="008A32C2">
        <w:rPr>
          <w:rFonts w:cs="Times New Roman"/>
          <w:sz w:val="20"/>
          <w:szCs w:val="20"/>
        </w:rPr>
        <w:t>Oct. 30, 2008)</w:t>
      </w:r>
      <w:r w:rsidRPr="00BA4CF9">
        <w:rPr>
          <w:sz w:val="20"/>
          <w:szCs w:val="20"/>
        </w:rPr>
        <w:t xml:space="preserve"> </w:t>
      </w:r>
      <w:r w:rsidRPr="008A32C2">
        <w:rPr>
          <w:rFonts w:cs="Times New Roman"/>
          <w:sz w:val="20"/>
          <w:szCs w:val="20"/>
        </w:rPr>
        <w:t>Competitive Impact Statement</w:t>
      </w:r>
      <w:r w:rsidRPr="00BA4CF9">
        <w:rPr>
          <w:sz w:val="20"/>
          <w:szCs w:val="20"/>
        </w:rPr>
        <w:t xml:space="preserve">, at 16 </w:t>
      </w:r>
      <w:r w:rsidRPr="008A32C2">
        <w:rPr>
          <w:rFonts w:cs="Times New Roman"/>
          <w:sz w:val="20"/>
          <w:szCs w:val="20"/>
        </w:rPr>
        <w:t>(N</w:t>
      </w:r>
      <w:r w:rsidRPr="00BA4CF9">
        <w:rPr>
          <w:sz w:val="20"/>
          <w:szCs w:val="20"/>
        </w:rPr>
        <w:t>o</w:t>
      </w:r>
      <w:r w:rsidRPr="008A32C2">
        <w:rPr>
          <w:rFonts w:cs="Times New Roman"/>
          <w:sz w:val="20"/>
          <w:szCs w:val="20"/>
        </w:rPr>
        <w:t>. 108-CV-01878)</w:t>
      </w:r>
      <w:r w:rsidRPr="00BA4CF9">
        <w:rPr>
          <w:sz w:val="20"/>
          <w:szCs w:val="20"/>
        </w:rPr>
        <w:t>.</w:t>
      </w:r>
    </w:p>
  </w:footnote>
  <w:footnote w:id="116">
    <w:p w:rsidR="00E85915" w:rsidRDefault="00E85915">
      <w:pPr>
        <w:pStyle w:val="FootnoteText"/>
      </w:pPr>
      <w:r>
        <w:rPr>
          <w:rStyle w:val="FootnoteReference"/>
        </w:rPr>
        <w:footnoteRef/>
      </w:r>
      <w:r>
        <w:t xml:space="preserve"> </w:t>
      </w:r>
      <w:r w:rsidRPr="008169FA">
        <w:rPr>
          <w:i/>
        </w:rPr>
        <w:t>Id.</w:t>
      </w:r>
    </w:p>
  </w:footnote>
  <w:footnote w:id="117">
    <w:p w:rsidR="00E85915" w:rsidRPr="002F1CEA" w:rsidRDefault="00E85915" w:rsidP="004B66F3">
      <w:pPr>
        <w:pStyle w:val="FootnoteText"/>
      </w:pPr>
      <w:r w:rsidRPr="002F1CEA">
        <w:rPr>
          <w:rStyle w:val="FootnoteReference"/>
        </w:rPr>
        <w:footnoteRef/>
      </w:r>
      <w:r w:rsidRPr="002F1CEA">
        <w:t xml:space="preserve"> </w:t>
      </w:r>
      <w:r w:rsidRPr="002F1CEA">
        <w:rPr>
          <w:i/>
        </w:rPr>
        <w:t>See AT&amp;T-Centennial Order</w:t>
      </w:r>
      <w:r w:rsidRPr="002F1CEA">
        <w:t>, FCC Rcd at 13948-49 ¶ 76.</w:t>
      </w:r>
    </w:p>
  </w:footnote>
  <w:footnote w:id="118">
    <w:p w:rsidR="00E85915" w:rsidRPr="00765230" w:rsidRDefault="00E85915" w:rsidP="00875157">
      <w:pPr>
        <w:autoSpaceDE w:val="0"/>
        <w:autoSpaceDN w:val="0"/>
        <w:adjustRightInd w:val="0"/>
        <w:spacing w:after="120"/>
        <w:rPr>
          <w:sz w:val="20"/>
          <w:szCs w:val="20"/>
        </w:rPr>
      </w:pPr>
      <w:r w:rsidRPr="00A5312F">
        <w:rPr>
          <w:rStyle w:val="FootnoteReference"/>
          <w:szCs w:val="20"/>
        </w:rPr>
        <w:footnoteRef/>
      </w:r>
      <w:r w:rsidRPr="00765230">
        <w:rPr>
          <w:sz w:val="20"/>
          <w:szCs w:val="20"/>
        </w:rPr>
        <w:t xml:space="preserve"> The markets are CMA 153 (Columbus, GA-AL), CMA 261 (Albany, GA), CMA 376 (Georgia 6 – Spalding), CMA 377 (Georgia 7 – Hancock), CMA 378 (Georgia 8 – Warren), CMA 379 (Georgia 9 – Marion), CMA 380 (Georgia 10 – Bleckley), CMA 382 (Georgia 12 – Liberty), and CMA 383 (Georgia 13 – Early).  In CMA 378 (Georgia 8 – Warren), the license is held by Georgia RSA</w:t>
      </w:r>
      <w:r>
        <w:rPr>
          <w:sz w:val="20"/>
          <w:szCs w:val="20"/>
        </w:rPr>
        <w:t xml:space="preserve"> </w:t>
      </w:r>
      <w:r w:rsidRPr="00765230">
        <w:rPr>
          <w:sz w:val="20"/>
          <w:szCs w:val="20"/>
        </w:rPr>
        <w:t xml:space="preserve">#8 </w:t>
      </w:r>
      <w:r>
        <w:rPr>
          <w:sz w:val="20"/>
          <w:szCs w:val="20"/>
        </w:rPr>
        <w:t>Partnership</w:t>
      </w:r>
      <w:r w:rsidRPr="00765230">
        <w:rPr>
          <w:sz w:val="20"/>
          <w:szCs w:val="20"/>
        </w:rPr>
        <w:t>, in which Allied has an approximate 33% interest.  Eight of these nine CMAs were included in the DOJ cluster; Allied subsequently acquired an additional 12 megahertz of 700 MHz B block spectrum in CMA 153.</w:t>
      </w:r>
    </w:p>
  </w:footnote>
  <w:footnote w:id="119">
    <w:p w:rsidR="00E85915" w:rsidRPr="00BA4CF9" w:rsidRDefault="00E85915" w:rsidP="00F032A2">
      <w:pPr>
        <w:pStyle w:val="FootnoteText"/>
      </w:pPr>
      <w:r w:rsidRPr="00A5312F">
        <w:rPr>
          <w:rStyle w:val="FootnoteReference"/>
        </w:rPr>
        <w:footnoteRef/>
      </w:r>
      <w:r w:rsidRPr="00A5312F">
        <w:t xml:space="preserve"> The population density is measured by the number of people per square mile using Census 2010 data.  Rural markets are cha</w:t>
      </w:r>
      <w:r w:rsidRPr="002F1CEA">
        <w:t>racterized by fewer than 100 people per square mile.</w:t>
      </w:r>
      <w:r>
        <w:t xml:space="preserve">  </w:t>
      </w:r>
      <w:r>
        <w:rPr>
          <w:i/>
        </w:rPr>
        <w:t xml:space="preserve">See </w:t>
      </w:r>
      <w:r>
        <w:t xml:space="preserve">Facilitating the Provision of Spectrum-Based Services to Rural Areas and Promoting Opportunities for Rural Telephone Companies To Provide Spectrum Based Services, </w:t>
      </w:r>
      <w:r>
        <w:rPr>
          <w:i/>
        </w:rPr>
        <w:t>Report and Order</w:t>
      </w:r>
      <w:r>
        <w:t>, 19 FCC Rcd 19078, 19087-88 (2004).</w:t>
      </w:r>
    </w:p>
  </w:footnote>
  <w:footnote w:id="120">
    <w:p w:rsidR="00E85915" w:rsidRPr="00291216" w:rsidRDefault="00E85915" w:rsidP="00F032A2">
      <w:pPr>
        <w:pStyle w:val="FootnoteText"/>
      </w:pPr>
      <w:r w:rsidRPr="003A73EF">
        <w:rPr>
          <w:rStyle w:val="FootnoteReference"/>
        </w:rPr>
        <w:footnoteRef/>
      </w:r>
      <w:r w:rsidRPr="003A73EF">
        <w:t xml:space="preserve"> These five markets are CMA 377 (Georgia 7 – Hancock) with </w:t>
      </w:r>
      <w:r w:rsidRPr="00C9339C">
        <w:rPr>
          <w:rFonts w:eastAsia="SimSun"/>
          <w:lang w:eastAsia="zh-CN"/>
        </w:rPr>
        <w:t>a p</w:t>
      </w:r>
      <w:r w:rsidRPr="00C9339C">
        <w:t xml:space="preserve">opulation of 144,313 and a population density of 48.4, CMA 378 (Georgia 8 – Warren) with a population of 182,793 and a population density of 39.7, CMA 379 (Georgia 9 – Marion) </w:t>
      </w:r>
      <w:r w:rsidRPr="00C9339C">
        <w:rPr>
          <w:rFonts w:eastAsia="SimSun"/>
          <w:lang w:eastAsia="zh-CN"/>
        </w:rPr>
        <w:t>with a p</w:t>
      </w:r>
      <w:r w:rsidRPr="00C9339C">
        <w:t xml:space="preserve">opulation of 131,255 and a population density of 33.9, CMA 380 (Georgia 10 – Bleckley) with a population of 182,694 and a population density of </w:t>
      </w:r>
      <w:r>
        <w:t>43.9</w:t>
      </w:r>
      <w:r w:rsidRPr="00C9339C">
        <w:t>, and CMA 383 (Georgia 13 – Early) with</w:t>
      </w:r>
      <w:r w:rsidRPr="00773561">
        <w:rPr>
          <w:rFonts w:eastAsia="SimSun"/>
          <w:lang w:eastAsia="zh-CN"/>
        </w:rPr>
        <w:t xml:space="preserve"> a p</w:t>
      </w:r>
      <w:r w:rsidRPr="00291216">
        <w:t>opulation of 157,078 and a population density of 41.5.</w:t>
      </w:r>
    </w:p>
  </w:footnote>
  <w:footnote w:id="121">
    <w:p w:rsidR="00E85915" w:rsidRPr="00765230" w:rsidRDefault="00E85915" w:rsidP="00875157">
      <w:pPr>
        <w:pStyle w:val="ParaNum"/>
        <w:numPr>
          <w:ilvl w:val="0"/>
          <w:numId w:val="0"/>
        </w:numPr>
        <w:rPr>
          <w:sz w:val="20"/>
          <w:szCs w:val="20"/>
        </w:rPr>
      </w:pPr>
      <w:r w:rsidRPr="007A24E8">
        <w:rPr>
          <w:rStyle w:val="FootnoteReference"/>
          <w:szCs w:val="20"/>
        </w:rPr>
        <w:footnoteRef/>
      </w:r>
      <w:r w:rsidRPr="00765230">
        <w:rPr>
          <w:sz w:val="20"/>
          <w:szCs w:val="20"/>
        </w:rPr>
        <w:t xml:space="preserve"> In CMA 377, the post-transaction HHI is </w:t>
      </w:r>
      <w:r w:rsidRPr="00E85915">
        <w:rPr>
          <w:b/>
          <w:sz w:val="20"/>
          <w:szCs w:val="20"/>
        </w:rPr>
        <w:t>[REDACTED]</w:t>
      </w:r>
      <w:r w:rsidRPr="00765230">
        <w:rPr>
          <w:sz w:val="20"/>
          <w:szCs w:val="20"/>
        </w:rPr>
        <w:t xml:space="preserve"> and the change in the HHI is </w:t>
      </w:r>
      <w:r w:rsidRPr="00E85915">
        <w:rPr>
          <w:b/>
          <w:sz w:val="20"/>
          <w:szCs w:val="20"/>
        </w:rPr>
        <w:t>[REDACTED]</w:t>
      </w:r>
      <w:r w:rsidRPr="00765230">
        <w:rPr>
          <w:sz w:val="20"/>
          <w:szCs w:val="20"/>
        </w:rPr>
        <w:t xml:space="preserve">.  The respective values are </w:t>
      </w:r>
      <w:r w:rsidRPr="00E85915">
        <w:rPr>
          <w:b/>
          <w:sz w:val="20"/>
          <w:szCs w:val="20"/>
        </w:rPr>
        <w:t>[REDACTED]</w:t>
      </w:r>
      <w:r w:rsidRPr="00765230">
        <w:rPr>
          <w:b/>
          <w:sz w:val="20"/>
          <w:szCs w:val="20"/>
        </w:rPr>
        <w:t xml:space="preserve"> </w:t>
      </w:r>
      <w:r w:rsidRPr="00765230">
        <w:rPr>
          <w:sz w:val="20"/>
          <w:szCs w:val="20"/>
        </w:rPr>
        <w:t>in CMA 378</w:t>
      </w:r>
      <w:r w:rsidRPr="00765230">
        <w:rPr>
          <w:b/>
          <w:sz w:val="20"/>
          <w:szCs w:val="20"/>
        </w:rPr>
        <w:t xml:space="preserve">, </w:t>
      </w:r>
      <w:r w:rsidRPr="00E85915">
        <w:rPr>
          <w:b/>
          <w:sz w:val="20"/>
          <w:szCs w:val="20"/>
        </w:rPr>
        <w:t>[REDACTED]</w:t>
      </w:r>
      <w:r w:rsidRPr="00765230">
        <w:rPr>
          <w:b/>
          <w:sz w:val="20"/>
          <w:szCs w:val="20"/>
        </w:rPr>
        <w:t xml:space="preserve"> </w:t>
      </w:r>
      <w:r w:rsidRPr="00765230">
        <w:rPr>
          <w:sz w:val="20"/>
          <w:szCs w:val="20"/>
        </w:rPr>
        <w:t>in CMA 379</w:t>
      </w:r>
      <w:r w:rsidRPr="00765230">
        <w:rPr>
          <w:b/>
          <w:sz w:val="20"/>
          <w:szCs w:val="20"/>
        </w:rPr>
        <w:t>,</w:t>
      </w:r>
      <w:r w:rsidRPr="00765230">
        <w:rPr>
          <w:sz w:val="20"/>
          <w:szCs w:val="20"/>
        </w:rPr>
        <w:t xml:space="preserve"> </w:t>
      </w:r>
      <w:r w:rsidRPr="00E85915">
        <w:rPr>
          <w:b/>
          <w:sz w:val="20"/>
          <w:szCs w:val="20"/>
        </w:rPr>
        <w:t>[REDACTED]</w:t>
      </w:r>
      <w:r w:rsidRPr="00765230">
        <w:rPr>
          <w:sz w:val="20"/>
          <w:szCs w:val="20"/>
        </w:rPr>
        <w:t xml:space="preserve"> in CMA 380</w:t>
      </w:r>
      <w:r>
        <w:rPr>
          <w:sz w:val="20"/>
          <w:szCs w:val="20"/>
        </w:rPr>
        <w:t>,</w:t>
      </w:r>
      <w:r w:rsidRPr="00765230">
        <w:rPr>
          <w:sz w:val="20"/>
          <w:szCs w:val="20"/>
        </w:rPr>
        <w:t xml:space="preserve"> and </w:t>
      </w:r>
      <w:r w:rsidRPr="00E85915">
        <w:rPr>
          <w:b/>
          <w:sz w:val="20"/>
          <w:szCs w:val="20"/>
        </w:rPr>
        <w:t>[REDACTED]</w:t>
      </w:r>
      <w:r w:rsidRPr="00765230">
        <w:rPr>
          <w:b/>
          <w:sz w:val="20"/>
          <w:szCs w:val="20"/>
        </w:rPr>
        <w:t xml:space="preserve"> </w:t>
      </w:r>
      <w:r w:rsidRPr="00765230">
        <w:rPr>
          <w:sz w:val="20"/>
          <w:szCs w:val="20"/>
        </w:rPr>
        <w:t>in CMA 383.  In this Memorandum Opinion and Order, “[</w:t>
      </w:r>
      <w:r w:rsidRPr="00765230">
        <w:rPr>
          <w:b/>
          <w:sz w:val="20"/>
          <w:szCs w:val="20"/>
        </w:rPr>
        <w:t>REDACTED</w:t>
      </w:r>
      <w:r w:rsidRPr="00765230">
        <w:rPr>
          <w:sz w:val="20"/>
          <w:szCs w:val="20"/>
        </w:rPr>
        <w:t>],” “[</w:t>
      </w:r>
      <w:r w:rsidRPr="00765230">
        <w:rPr>
          <w:b/>
          <w:sz w:val="20"/>
          <w:szCs w:val="20"/>
        </w:rPr>
        <w:t>BEGIN CONFIDENTIAL</w:t>
      </w:r>
      <w:r w:rsidRPr="00765230">
        <w:rPr>
          <w:sz w:val="20"/>
          <w:szCs w:val="20"/>
        </w:rPr>
        <w:t>]” and “[</w:t>
      </w:r>
      <w:r w:rsidRPr="00765230">
        <w:rPr>
          <w:b/>
          <w:sz w:val="20"/>
          <w:szCs w:val="20"/>
        </w:rPr>
        <w:t>END CONFIDENTIAL</w:t>
      </w:r>
      <w:r w:rsidRPr="00765230">
        <w:rPr>
          <w:sz w:val="20"/>
          <w:szCs w:val="20"/>
        </w:rPr>
        <w:t>],” and “[</w:t>
      </w:r>
      <w:r w:rsidRPr="00765230">
        <w:rPr>
          <w:b/>
          <w:sz w:val="20"/>
          <w:szCs w:val="20"/>
        </w:rPr>
        <w:t>BEGIN HIGHLY CONFIDENTIAL</w:t>
      </w:r>
      <w:r w:rsidRPr="00765230">
        <w:rPr>
          <w:sz w:val="20"/>
          <w:szCs w:val="20"/>
        </w:rPr>
        <w:t>]” and “[</w:t>
      </w:r>
      <w:r w:rsidRPr="00765230">
        <w:rPr>
          <w:b/>
          <w:sz w:val="20"/>
          <w:szCs w:val="20"/>
        </w:rPr>
        <w:t>END HIGHLY CONFIDENTIAL</w:t>
      </w:r>
      <w:r w:rsidRPr="00765230">
        <w:rPr>
          <w:sz w:val="20"/>
          <w:szCs w:val="20"/>
        </w:rPr>
        <w:t xml:space="preserve">]” indicates confidential or proprietary information, or analysis based on such information, submitted pursuant to the </w:t>
      </w:r>
      <w:r w:rsidRPr="00765230">
        <w:rPr>
          <w:i/>
          <w:iCs/>
          <w:sz w:val="20"/>
          <w:szCs w:val="20"/>
        </w:rPr>
        <w:t>Protective Orders</w:t>
      </w:r>
      <w:r w:rsidRPr="00765230">
        <w:rPr>
          <w:sz w:val="20"/>
          <w:szCs w:val="20"/>
        </w:rPr>
        <w:t xml:space="preserve"> in this proceeding.</w:t>
      </w:r>
    </w:p>
  </w:footnote>
  <w:footnote w:id="122">
    <w:p w:rsidR="00E85915" w:rsidRPr="00C9339C" w:rsidRDefault="00E85915" w:rsidP="008F15A0">
      <w:pPr>
        <w:pStyle w:val="FootnoteText"/>
      </w:pPr>
      <w:r w:rsidRPr="00A5312F">
        <w:rPr>
          <w:rStyle w:val="FootnoteReference"/>
        </w:rPr>
        <w:footnoteRef/>
      </w:r>
      <w:r w:rsidRPr="00A5312F">
        <w:t xml:space="preserve"> As proxied by porting data, AT&amp;T and Allied are not close substitutes in these markets.  </w:t>
      </w:r>
      <w:r w:rsidRPr="00A5312F">
        <w:rPr>
          <w:rFonts w:eastAsia="SimSun"/>
          <w:lang w:eastAsia="zh-CN"/>
        </w:rPr>
        <w:t>Approximately</w:t>
      </w:r>
      <w:r w:rsidRPr="0063667E">
        <w:t xml:space="preserve"> </w:t>
      </w:r>
      <w:r w:rsidRPr="00E85915">
        <w:rPr>
          <w:b/>
        </w:rPr>
        <w:t>[REDACTED]</w:t>
      </w:r>
      <w:r w:rsidRPr="002F1CEA">
        <w:t xml:space="preserve">% of Allied’s subscribers ported to AT&amp;T and approximately </w:t>
      </w:r>
      <w:r w:rsidRPr="00E85915">
        <w:rPr>
          <w:b/>
        </w:rPr>
        <w:t>[REDACTED]</w:t>
      </w:r>
      <w:r w:rsidRPr="00C9339C">
        <w:t xml:space="preserve">% of AT&amp;T’s subscribers ported to Allied in 2012.  2012 LNP Data; </w:t>
      </w:r>
      <w:r>
        <w:t>ATN IR Response, June 19, 2013, at 45-46</w:t>
      </w:r>
      <w:r w:rsidRPr="00C9339C">
        <w:t xml:space="preserve">; </w:t>
      </w:r>
      <w:r>
        <w:t>AT&amp;T IR Response, June 19, 2013, at 32</w:t>
      </w:r>
      <w:r w:rsidRPr="00C9339C">
        <w:t>.</w:t>
      </w:r>
    </w:p>
  </w:footnote>
  <w:footnote w:id="123">
    <w:p w:rsidR="00E85915" w:rsidRPr="00291216" w:rsidRDefault="00E85915" w:rsidP="00923307">
      <w:pPr>
        <w:pStyle w:val="FootnoteText"/>
      </w:pPr>
      <w:r w:rsidRPr="00C9339C">
        <w:rPr>
          <w:rStyle w:val="FootnoteReference"/>
        </w:rPr>
        <w:footnoteRef/>
      </w:r>
      <w:r w:rsidRPr="00C9339C">
        <w:t xml:space="preserve"> With regard to spectrum, post-transaction AT&amp;T’s spectrum holdings would range from 73-125 megahertz of spectrum across the five markets, including 43-55 megahertz of spectrum below 1 GHz, while Verizon Wireless’s spectrum holdings range from 77-117 me</w:t>
      </w:r>
      <w:r w:rsidRPr="00773561">
        <w:t>gahertz, Sprint’s spectrum holdings range from 104.75-118.25 megahertz, and T-Mobile’s spectrum holdings range from 45-90 megahertz.  Other licensees also hold spectrum in parts of or throughout the five markets, with spectrum holdings in their licensed ar</w:t>
      </w:r>
      <w:r w:rsidRPr="00291216">
        <w:t>eas ranging from 6</w:t>
      </w:r>
      <w:r>
        <w:t>-</w:t>
      </w:r>
      <w:r w:rsidRPr="00291216">
        <w:t>40 megahertz.</w:t>
      </w:r>
    </w:p>
  </w:footnote>
  <w:footnote w:id="124">
    <w:p w:rsidR="00E85915" w:rsidRPr="00A5312F" w:rsidRDefault="00E85915" w:rsidP="00923307">
      <w:pPr>
        <w:pStyle w:val="FootnoteText"/>
      </w:pPr>
      <w:r w:rsidRPr="0075707B">
        <w:rPr>
          <w:rStyle w:val="FootnoteReference"/>
        </w:rPr>
        <w:footnoteRef/>
      </w:r>
      <w:r w:rsidRPr="0075707B">
        <w:t xml:space="preserve"> The Commission has previously found coverage of 70% or more of the population and 50% or more of the land area as presumptively sufficient for a provider to have a competitive presence in a market.  </w:t>
      </w:r>
      <w:r w:rsidRPr="009F0F3A">
        <w:rPr>
          <w:i/>
          <w:iCs/>
        </w:rPr>
        <w:t>See</w:t>
      </w:r>
      <w:r>
        <w:rPr>
          <w:i/>
          <w:iCs/>
        </w:rPr>
        <w:t>, e.g.,</w:t>
      </w:r>
      <w:r w:rsidRPr="00E10E78">
        <w:t xml:space="preserve"> </w:t>
      </w:r>
      <w:r w:rsidRPr="00E10E78">
        <w:rPr>
          <w:i/>
        </w:rPr>
        <w:t>T-Mobile-MetroPCS Order</w:t>
      </w:r>
      <w:r w:rsidRPr="00121630">
        <w:t xml:space="preserve">, 28 FCC Rcd at 2339 ¶ 50 n.119; </w:t>
      </w:r>
      <w:r w:rsidRPr="00A5312F">
        <w:rPr>
          <w:i/>
          <w:iCs/>
        </w:rPr>
        <w:t>AT&amp;T-Verizon Wireless Order</w:t>
      </w:r>
      <w:r w:rsidRPr="00A5312F">
        <w:t>, 25 FCC Rcd at 8733 ¶ 65.  Population and land area coverage are derived from Mosaik, July 2013, and the 2010 U.S. Census</w:t>
      </w:r>
      <w:r>
        <w:t xml:space="preserve"> data</w:t>
      </w:r>
      <w:r w:rsidRPr="00A5312F">
        <w:t xml:space="preserve">. </w:t>
      </w:r>
    </w:p>
  </w:footnote>
  <w:footnote w:id="125">
    <w:p w:rsidR="00E85915" w:rsidRDefault="00E85915">
      <w:pPr>
        <w:pStyle w:val="FootnoteText"/>
      </w:pPr>
      <w:r>
        <w:rPr>
          <w:rStyle w:val="FootnoteReference"/>
        </w:rPr>
        <w:footnoteRef/>
      </w:r>
      <w:r>
        <w:t xml:space="preserve"> Verizon Wireless’s total coverage is at least 98% of the population and 92% of the land area.  Further, its LTE network covers at least 96% of the population and 84% of the land area in these five markets.</w:t>
      </w:r>
    </w:p>
  </w:footnote>
  <w:footnote w:id="126">
    <w:p w:rsidR="00E85915" w:rsidRPr="00773561" w:rsidRDefault="00E85915">
      <w:pPr>
        <w:pStyle w:val="FootnoteText"/>
      </w:pPr>
      <w:r w:rsidRPr="00C9339C">
        <w:rPr>
          <w:rStyle w:val="FootnoteReference"/>
        </w:rPr>
        <w:footnoteRef/>
      </w:r>
      <w:r w:rsidRPr="00C9339C">
        <w:t xml:space="preserve"> AT&amp;T covers over 70% of the population with HSPA+ in CMA 377 and CMA 383, and over 30% of the population with LTE in CMA 377 and CMA 380, and has at least 3</w:t>
      </w:r>
      <w:r>
        <w:t>4</w:t>
      </w:r>
      <w:r w:rsidRPr="00C9339C">
        <w:t>% HSPA+ population coverage in the other three markets, but does not have significant HSPA+ or LTE land area coverage in any of these Georgia markets, with its HSPA+ land</w:t>
      </w:r>
      <w:r w:rsidRPr="00773561">
        <w:t xml:space="preserve"> area coverage ranging from approximately 10% to 43%, and its LTE land area coverage ranging from </w:t>
      </w:r>
      <w:r>
        <w:t>less than</w:t>
      </w:r>
      <w:r w:rsidRPr="00773561">
        <w:t xml:space="preserve"> 1% to 29%.</w:t>
      </w:r>
    </w:p>
  </w:footnote>
  <w:footnote w:id="127">
    <w:p w:rsidR="00E85915" w:rsidRPr="009A476A" w:rsidRDefault="00E85915" w:rsidP="00E10E78">
      <w:pPr>
        <w:pStyle w:val="FootnoteText"/>
      </w:pPr>
      <w:r w:rsidRPr="009A476A">
        <w:rPr>
          <w:rStyle w:val="FootnoteReference"/>
        </w:rPr>
        <w:footnoteRef/>
      </w:r>
      <w:r w:rsidRPr="009A476A">
        <w:t xml:space="preserve"> We note that T-Mobile has significant total </w:t>
      </w:r>
      <w:r>
        <w:t xml:space="preserve">population and land </w:t>
      </w:r>
      <w:r w:rsidRPr="009A476A">
        <w:t xml:space="preserve">coverage in CMA 378 and CMA 379, </w:t>
      </w:r>
      <w:r>
        <w:t xml:space="preserve">and Sprint does not have significant total population or land area coverage in any of these five markets.  Further, while </w:t>
      </w:r>
      <w:r w:rsidRPr="009A476A">
        <w:t xml:space="preserve">Southern Linc has significant total </w:t>
      </w:r>
      <w:r>
        <w:t xml:space="preserve">population and land area </w:t>
      </w:r>
      <w:r w:rsidRPr="009A476A">
        <w:t>coverage in all five markets</w:t>
      </w:r>
      <w:r>
        <w:t xml:space="preserve">, it </w:t>
      </w:r>
      <w:r w:rsidRPr="009A476A">
        <w:t xml:space="preserve">has a </w:t>
      </w:r>
      <w:r w:rsidR="00DB1C89" w:rsidRPr="00E85915">
        <w:rPr>
          <w:b/>
        </w:rPr>
        <w:t>[REDACTED]</w:t>
      </w:r>
      <w:r w:rsidRPr="009A476A">
        <w:t xml:space="preserve"> market share and limited spectrum and is unlikely to be able to effectively respond to any anticompetitive behavior.  </w:t>
      </w:r>
    </w:p>
  </w:footnote>
  <w:footnote w:id="128">
    <w:p w:rsidR="00E85915" w:rsidRPr="0075707B" w:rsidRDefault="00E85915" w:rsidP="00875157">
      <w:pPr>
        <w:pStyle w:val="FootnoteText"/>
      </w:pPr>
      <w:r w:rsidRPr="00291216">
        <w:rPr>
          <w:rStyle w:val="FootnoteReference"/>
        </w:rPr>
        <w:footnoteRef/>
      </w:r>
      <w:r w:rsidRPr="00291216">
        <w:t xml:space="preserve"> The markets are CMA 388 (Idaho 1 – Boundary), CMA 389 (Idaho 2 – Idaho), CMA 390 (Idaho 3 – Lemhi), and CMA 700 (Washington 8 – Wh</w:t>
      </w:r>
      <w:r w:rsidRPr="0075707B">
        <w:t>itman).  We note that CMA 389 and CMA 390 only made up the DOJ cluster, and Allied is assigning an additional 10 megahertz of PCS spectrum to AT&amp;T in CMA 388 and CMA 700.</w:t>
      </w:r>
    </w:p>
  </w:footnote>
  <w:footnote w:id="129">
    <w:p w:rsidR="00E85915" w:rsidRPr="00E10E78" w:rsidRDefault="00E85915" w:rsidP="00875157">
      <w:pPr>
        <w:pStyle w:val="FootnoteText"/>
      </w:pPr>
      <w:r w:rsidRPr="0075707B">
        <w:rPr>
          <w:rStyle w:val="FootnoteReference"/>
        </w:rPr>
        <w:footnoteRef/>
      </w:r>
      <w:r w:rsidRPr="0075707B">
        <w:t xml:space="preserve"> The post-transaction HHI is </w:t>
      </w:r>
      <w:r>
        <w:rPr>
          <w:b/>
        </w:rPr>
        <w:t>[REDACTED]</w:t>
      </w:r>
      <w:r w:rsidRPr="0075707B">
        <w:t xml:space="preserve"> and the change in the HHI is </w:t>
      </w:r>
      <w:r w:rsidR="00DB1C89" w:rsidRPr="00E85915">
        <w:rPr>
          <w:b/>
        </w:rPr>
        <w:t>[REDACTED]</w:t>
      </w:r>
      <w:r w:rsidRPr="00E10E78">
        <w:t xml:space="preserve">.  </w:t>
      </w:r>
    </w:p>
  </w:footnote>
  <w:footnote w:id="130">
    <w:p w:rsidR="00E85915" w:rsidRPr="00121630" w:rsidRDefault="00E85915" w:rsidP="001807EF">
      <w:pPr>
        <w:pStyle w:val="FootnoteText"/>
      </w:pPr>
      <w:r w:rsidRPr="0075707B">
        <w:rPr>
          <w:rStyle w:val="FootnoteReference"/>
        </w:rPr>
        <w:footnoteRef/>
      </w:r>
      <w:r w:rsidRPr="0075707B">
        <w:t xml:space="preserve"> As proxied by porting data, AT&amp;T and Allied are not close substitutes in this market.  </w:t>
      </w:r>
      <w:r w:rsidRPr="0075707B">
        <w:rPr>
          <w:rFonts w:eastAsia="SimSun"/>
          <w:lang w:eastAsia="zh-CN"/>
        </w:rPr>
        <w:t>Approximately</w:t>
      </w:r>
      <w:r w:rsidRPr="0075707B">
        <w:t xml:space="preserve"> </w:t>
      </w:r>
      <w:r w:rsidR="00DB1C89" w:rsidRPr="00E85915">
        <w:rPr>
          <w:b/>
        </w:rPr>
        <w:t>[REDACTED]</w:t>
      </w:r>
      <w:r w:rsidRPr="00E10E78">
        <w:t xml:space="preserve">% of Allied’s subscribers ported to AT&amp;T and approximately </w:t>
      </w:r>
      <w:r w:rsidR="00DB1C89" w:rsidRPr="00E85915">
        <w:rPr>
          <w:b/>
        </w:rPr>
        <w:t>[REDACTED]</w:t>
      </w:r>
      <w:r w:rsidRPr="00E10E78">
        <w:t xml:space="preserve">% of AT&amp;T’s subscribers ported to Allied in 2012.  2012 LNP Data; </w:t>
      </w:r>
      <w:r>
        <w:t>ATN IR Response, June 19, 2013, at 45-46</w:t>
      </w:r>
      <w:r w:rsidRPr="00E10E78">
        <w:t xml:space="preserve">; </w:t>
      </w:r>
      <w:r>
        <w:t>AT&amp;T IR Response, June 19, 2013, at 32</w:t>
      </w:r>
      <w:r w:rsidRPr="00E10E78">
        <w:t>.</w:t>
      </w:r>
    </w:p>
  </w:footnote>
  <w:footnote w:id="131">
    <w:p w:rsidR="00E85915" w:rsidRPr="009A476A" w:rsidRDefault="00E85915" w:rsidP="003A73EF">
      <w:pPr>
        <w:pStyle w:val="FootnoteText"/>
      </w:pPr>
      <w:r w:rsidRPr="009A476A">
        <w:rPr>
          <w:rStyle w:val="FootnoteReference"/>
        </w:rPr>
        <w:footnoteRef/>
      </w:r>
      <w:r w:rsidRPr="009A476A">
        <w:t xml:space="preserve"> AT&amp;T would hold 93-108 megahertz of spectrum post-transaction, including 43 megahertz of spectrum below 1 GHz, while Verizon Wireless holds 57-77 megahertz, Sprint holds 57-112.5 megahertz, and T-Mobile holds 50-60 megahertz of spectrum.  Other licensees also hold spectrum in parts of or throughout the market, with spectrum holdings in their licensed areas ranging from 6</w:t>
      </w:r>
      <w:r>
        <w:t>-</w:t>
      </w:r>
      <w:r w:rsidRPr="009A476A">
        <w:t>49 megahertz.</w:t>
      </w:r>
    </w:p>
  </w:footnote>
  <w:footnote w:id="132">
    <w:p w:rsidR="00E85915" w:rsidRPr="00C9339C" w:rsidRDefault="00E85915" w:rsidP="00291216">
      <w:pPr>
        <w:pStyle w:val="FootnoteText"/>
      </w:pPr>
      <w:r w:rsidRPr="00C9339C">
        <w:rPr>
          <w:rStyle w:val="FootnoteReference"/>
        </w:rPr>
        <w:footnoteRef/>
      </w:r>
      <w:r w:rsidRPr="00C9339C">
        <w:t xml:space="preserve"> As neither AT&amp;T nor Allied currently have significant </w:t>
      </w:r>
      <w:r>
        <w:t xml:space="preserve">total </w:t>
      </w:r>
      <w:r w:rsidRPr="00C9339C">
        <w:t xml:space="preserve">coverage, there would not be a reduction in the number of service providers in terms of network coverage.  Currently, Allied’s, AT&amp;T’s, and Verizon Wireless’s total coverage ranges from approximately </w:t>
      </w:r>
      <w:r>
        <w:t>39</w:t>
      </w:r>
      <w:r w:rsidRPr="00C9339C">
        <w:t xml:space="preserve">% to </w:t>
      </w:r>
      <w:r>
        <w:t>59</w:t>
      </w:r>
      <w:r w:rsidRPr="00C9339C">
        <w:t xml:space="preserve">% of the population and 6% to 22% of the land area.  </w:t>
      </w:r>
      <w:r>
        <w:t>The only other service providers with any network coverage are T-Mobile, which covers approximately 53% of the population and 8% of the land area, and Syringa Wireless, which covers approximately 18% of the population and 30% of the land area.</w:t>
      </w:r>
    </w:p>
  </w:footnote>
  <w:footnote w:id="133">
    <w:p w:rsidR="00E85915" w:rsidRDefault="00E85915">
      <w:pPr>
        <w:pStyle w:val="FootnoteText"/>
      </w:pPr>
      <w:r>
        <w:rPr>
          <w:rStyle w:val="FootnoteReference"/>
        </w:rPr>
        <w:footnoteRef/>
      </w:r>
      <w:r>
        <w:t xml:space="preserve"> T-Mobile’s 3G coverage is approximately 33% of the population and 3% of the land area.</w:t>
      </w:r>
    </w:p>
  </w:footnote>
  <w:footnote w:id="134">
    <w:p w:rsidR="00E85915" w:rsidRPr="00291216" w:rsidRDefault="00E85915" w:rsidP="00875157">
      <w:pPr>
        <w:pStyle w:val="FootnoteText"/>
      </w:pPr>
      <w:r w:rsidRPr="00773561">
        <w:rPr>
          <w:rStyle w:val="FootnoteReference"/>
        </w:rPr>
        <w:footnoteRef/>
      </w:r>
      <w:r w:rsidRPr="00291216">
        <w:t xml:space="preserve"> The three markets are CMA 166 (Hickory, NC) with a population of 282,468 and a population density of 242.0, CMA 566 (North Carolina 2 – Yancey) with a population of 185,302 and a population density of 118.4, and CMA 569 (North Carolina 5 – Anson) with a population of 137,542 and a population density of 75.7.  </w:t>
      </w:r>
    </w:p>
  </w:footnote>
  <w:footnote w:id="135">
    <w:p w:rsidR="00E85915" w:rsidRPr="0075707B" w:rsidRDefault="00E85915" w:rsidP="00476B23">
      <w:pPr>
        <w:pStyle w:val="FootnoteText"/>
      </w:pPr>
      <w:r w:rsidRPr="00291216">
        <w:rPr>
          <w:rStyle w:val="FootnoteReference"/>
        </w:rPr>
        <w:footnoteRef/>
      </w:r>
      <w:r w:rsidRPr="00291216">
        <w:t xml:space="preserve"> The post-transaction HHI is </w:t>
      </w:r>
      <w:r w:rsidR="00DB1C89">
        <w:rPr>
          <w:b/>
        </w:rPr>
        <w:t>[REDACTED]</w:t>
      </w:r>
      <w:r w:rsidRPr="00291216">
        <w:t xml:space="preserve"> and the change in the HHI is </w:t>
      </w:r>
      <w:r w:rsidR="00DB1C89">
        <w:rPr>
          <w:b/>
        </w:rPr>
        <w:t>[REDACTED]</w:t>
      </w:r>
      <w:r w:rsidRPr="0075707B">
        <w:t xml:space="preserve">.  </w:t>
      </w:r>
    </w:p>
  </w:footnote>
  <w:footnote w:id="136">
    <w:p w:rsidR="00E85915" w:rsidRPr="00121630" w:rsidRDefault="00E85915" w:rsidP="001807EF">
      <w:pPr>
        <w:pStyle w:val="FootnoteText"/>
      </w:pPr>
      <w:r w:rsidRPr="0075707B">
        <w:rPr>
          <w:rStyle w:val="FootnoteReference"/>
        </w:rPr>
        <w:footnoteRef/>
      </w:r>
      <w:r w:rsidRPr="0075707B">
        <w:t xml:space="preserve"> As proxied by porting data, AT&amp;T and Allied are not particularly close substitutes in this market.  </w:t>
      </w:r>
      <w:r w:rsidRPr="0075707B">
        <w:rPr>
          <w:rFonts w:eastAsia="SimSun"/>
          <w:lang w:eastAsia="zh-CN"/>
        </w:rPr>
        <w:t>Approximately</w:t>
      </w:r>
      <w:r w:rsidRPr="0075707B">
        <w:t xml:space="preserve"> </w:t>
      </w:r>
      <w:r w:rsidR="00DB1C89">
        <w:rPr>
          <w:b/>
        </w:rPr>
        <w:t>[REDACTED]</w:t>
      </w:r>
      <w:r w:rsidRPr="00E10E78">
        <w:t xml:space="preserve">% of Allied’s subscribers ported to AT&amp;T and approximately </w:t>
      </w:r>
      <w:r w:rsidR="00DB1C89">
        <w:rPr>
          <w:b/>
        </w:rPr>
        <w:t>[REDACTED]</w:t>
      </w:r>
      <w:r w:rsidRPr="00E10E78">
        <w:t>% of AT&amp;T’s subscribers ported to Al</w:t>
      </w:r>
      <w:r w:rsidRPr="00121630">
        <w:t xml:space="preserve">lied in 2012.  2012 LNP Data; </w:t>
      </w:r>
      <w:r>
        <w:t>ATN IR Response, June 19, 2013, at 45-46</w:t>
      </w:r>
      <w:r w:rsidRPr="00121630">
        <w:t xml:space="preserve">; </w:t>
      </w:r>
      <w:r>
        <w:t>AT&amp;T IR Response, June 19, 2013, at 32</w:t>
      </w:r>
      <w:r w:rsidRPr="00121630">
        <w:t>.</w:t>
      </w:r>
    </w:p>
  </w:footnote>
  <w:footnote w:id="137">
    <w:p w:rsidR="00E85915" w:rsidRPr="009A476A" w:rsidRDefault="00E85915" w:rsidP="003A73EF">
      <w:pPr>
        <w:pStyle w:val="FootnoteText"/>
      </w:pPr>
      <w:r w:rsidRPr="009A476A">
        <w:rPr>
          <w:rStyle w:val="FootnoteReference"/>
        </w:rPr>
        <w:footnoteRef/>
      </w:r>
      <w:r w:rsidRPr="009A476A">
        <w:t xml:space="preserve"> </w:t>
      </w:r>
      <w:r w:rsidRPr="009A476A">
        <w:rPr>
          <w:noProof/>
        </w:rPr>
        <w:t>Post-</w:t>
      </w:r>
      <w:r w:rsidRPr="009A476A">
        <w:t xml:space="preserve">transaction, AT&amp;T would hold </w:t>
      </w:r>
      <w:r w:rsidRPr="009A476A">
        <w:rPr>
          <w:noProof/>
        </w:rPr>
        <w:t>103-123</w:t>
      </w:r>
      <w:r w:rsidRPr="009A476A">
        <w:t xml:space="preserve"> megahertz of spectrum, including 43 megahertz of spectrum below 1 GHz, Verizon Wireless holds </w:t>
      </w:r>
      <w:r w:rsidRPr="009A476A">
        <w:rPr>
          <w:noProof/>
        </w:rPr>
        <w:t>97-107</w:t>
      </w:r>
      <w:r w:rsidRPr="009A476A">
        <w:t xml:space="preserve"> megahertz, Sprint holds </w:t>
      </w:r>
      <w:r w:rsidRPr="009A476A">
        <w:rPr>
          <w:noProof/>
        </w:rPr>
        <w:t>68.75-103.25</w:t>
      </w:r>
      <w:r w:rsidRPr="009A476A">
        <w:t xml:space="preserve"> megahertz, and T-Mobile holds </w:t>
      </w:r>
      <w:r w:rsidRPr="009A476A">
        <w:rPr>
          <w:noProof/>
        </w:rPr>
        <w:t>40-50</w:t>
      </w:r>
      <w:r w:rsidRPr="009A476A">
        <w:t xml:space="preserve"> megahertz.  Other licensees also hold spectrum in parts of or throughout the market, with spectrum holdings in their licensed areas ranging from 6</w:t>
      </w:r>
      <w:r>
        <w:t>-</w:t>
      </w:r>
      <w:r w:rsidRPr="009A476A">
        <w:t>22 megahertz.</w:t>
      </w:r>
    </w:p>
  </w:footnote>
  <w:footnote w:id="138">
    <w:p w:rsidR="00E85915" w:rsidRDefault="00E85915">
      <w:pPr>
        <w:pStyle w:val="FootnoteText"/>
      </w:pPr>
      <w:r>
        <w:rPr>
          <w:rStyle w:val="FootnoteReference"/>
        </w:rPr>
        <w:footnoteRef/>
      </w:r>
      <w:r>
        <w:t xml:space="preserve"> Verizon Wireless’s total coverage extends to approximately 98% of the population and 92% of the land area, while it has deployed LTE to approximately 80% of the population and 69% of the land area.  T-Mobile’s total coverage extends to approximately 82% of the population and 57% of the land area.  Further, as well as its significant total coverage, AT&amp;T covers approximately 73% of the population and 41% of the land area with HSPA+ but has less than 1% LTE deployment.</w:t>
      </w:r>
    </w:p>
  </w:footnote>
  <w:footnote w:id="139">
    <w:p w:rsidR="00E85915" w:rsidRPr="009F0F3A" w:rsidRDefault="00E85915" w:rsidP="00041258">
      <w:pPr>
        <w:pStyle w:val="FootnoteText"/>
      </w:pPr>
      <w:r w:rsidRPr="00291216">
        <w:rPr>
          <w:rStyle w:val="FootnoteReference"/>
        </w:rPr>
        <w:footnoteRef/>
      </w:r>
      <w:r w:rsidRPr="00291216">
        <w:t xml:space="preserve"> Sprint’s 2G and 3G coverage is just less than significant, it covers approximately 69% of the population and 40% of the land area.  Although T-Mobile has significant total coverage, it has not built out a network capable of offering advanced broadband services, and further</w:t>
      </w:r>
      <w:r w:rsidRPr="0075707B">
        <w:t xml:space="preserve">, it has some retail presence, but holds only a </w:t>
      </w:r>
      <w:r w:rsidR="00DB1C89">
        <w:rPr>
          <w:b/>
        </w:rPr>
        <w:t>[REDACTED]</w:t>
      </w:r>
      <w:r w:rsidRPr="009F0F3A">
        <w:t xml:space="preserve">% market share. </w:t>
      </w:r>
    </w:p>
  </w:footnote>
  <w:footnote w:id="140">
    <w:p w:rsidR="00E85915" w:rsidRPr="00E10E78" w:rsidRDefault="00E85915" w:rsidP="00875157">
      <w:pPr>
        <w:pStyle w:val="FootnoteText"/>
      </w:pPr>
      <w:r w:rsidRPr="0075707B">
        <w:rPr>
          <w:rStyle w:val="FootnoteReference"/>
        </w:rPr>
        <w:footnoteRef/>
      </w:r>
      <w:r w:rsidRPr="0075707B">
        <w:t xml:space="preserve"> The markets are CMA 227 (Anderson, SC) with a population of 187,126 and a population density of 260.8, CMA 625 (South Carolina 1 – Oconee) with a population of 74,273 and a population density of 118.4, CMA 626 (South Carolina 2 – Laurens) with a population of 256,216 and a population density of 70.9, CMA 627 (South Carolina 3 – Cherokee) with a population of 141,399 and a population densit</w:t>
      </w:r>
      <w:r w:rsidRPr="009F0F3A">
        <w:t xml:space="preserve">y of 65.0, and CMA 631 (South Carolina 7 </w:t>
      </w:r>
      <w:r w:rsidRPr="0075707B">
        <w:t>–</w:t>
      </w:r>
      <w:r w:rsidRPr="009F0F3A">
        <w:t xml:space="preserve"> Calhoun) with a population of 156,703 and a population density of 55.1.  We note that DOJ required that </w:t>
      </w:r>
      <w:r>
        <w:t xml:space="preserve">CMA 625, </w:t>
      </w:r>
      <w:r w:rsidRPr="009F0F3A">
        <w:t>CMA 626, CMA 627, and CMA 631 be divested to the same acquirer as the wireless business assets in CM</w:t>
      </w:r>
      <w:r w:rsidRPr="00E10E78">
        <w:t xml:space="preserve">A 227 pursuant to the proposed Modified Final Judgment in </w:t>
      </w:r>
      <w:r w:rsidRPr="00E10E78">
        <w:rPr>
          <w:i/>
        </w:rPr>
        <w:t xml:space="preserve">United States v. Bell Atlantic Corp. et al., </w:t>
      </w:r>
      <w:r w:rsidRPr="00E10E78">
        <w:t>Civ No. 1:99CV01119 (EGS) (D.D.C. May 7, 1999).</w:t>
      </w:r>
    </w:p>
  </w:footnote>
  <w:footnote w:id="141">
    <w:p w:rsidR="00E85915" w:rsidRPr="00121630" w:rsidRDefault="00E85915" w:rsidP="00641A10">
      <w:pPr>
        <w:pStyle w:val="FootnoteText"/>
      </w:pPr>
      <w:r w:rsidRPr="0075707B">
        <w:rPr>
          <w:rStyle w:val="FootnoteReference"/>
        </w:rPr>
        <w:footnoteRef/>
      </w:r>
      <w:r w:rsidRPr="0075707B">
        <w:t xml:space="preserve"> The post-transaction HHI for CMA 627 is </w:t>
      </w:r>
      <w:r w:rsidR="00DB1C89">
        <w:rPr>
          <w:b/>
        </w:rPr>
        <w:t>[REDACTED]</w:t>
      </w:r>
      <w:r w:rsidRPr="009F0F3A">
        <w:t xml:space="preserve"> and the change in the HHI is </w:t>
      </w:r>
      <w:r w:rsidR="00DB1C89">
        <w:rPr>
          <w:b/>
        </w:rPr>
        <w:t>[REDACTED]</w:t>
      </w:r>
      <w:r w:rsidRPr="00E10E78">
        <w:t xml:space="preserve">, while the respective values are </w:t>
      </w:r>
      <w:r w:rsidR="00DB1C89">
        <w:rPr>
          <w:b/>
        </w:rPr>
        <w:t>[REDACTED]</w:t>
      </w:r>
      <w:r w:rsidRPr="00121630">
        <w:t xml:space="preserve"> in CMA 631.</w:t>
      </w:r>
    </w:p>
  </w:footnote>
  <w:footnote w:id="142">
    <w:p w:rsidR="00E85915" w:rsidRPr="00121630" w:rsidRDefault="00E85915" w:rsidP="000D3AD5">
      <w:pPr>
        <w:pStyle w:val="FootnoteText"/>
      </w:pPr>
      <w:r w:rsidRPr="0075707B">
        <w:rPr>
          <w:rStyle w:val="FootnoteReference"/>
        </w:rPr>
        <w:footnoteRef/>
      </w:r>
      <w:r w:rsidRPr="0075707B">
        <w:t xml:space="preserve"> As proxied by porting data, AT&amp;T and Allied are not particularly close substitutes in these markets.  </w:t>
      </w:r>
      <w:r w:rsidRPr="009F0F3A">
        <w:rPr>
          <w:rFonts w:eastAsia="SimSun"/>
          <w:lang w:eastAsia="zh-CN"/>
        </w:rPr>
        <w:t>Approximately</w:t>
      </w:r>
      <w:r w:rsidRPr="009F0F3A">
        <w:t xml:space="preserve"> </w:t>
      </w:r>
      <w:r w:rsidR="00DB1C89">
        <w:rPr>
          <w:b/>
        </w:rPr>
        <w:t>[REDACTED]</w:t>
      </w:r>
      <w:r w:rsidRPr="00E10E78">
        <w:t xml:space="preserve">% of Allied’s subscribers ported to AT&amp;T and approximately </w:t>
      </w:r>
      <w:r w:rsidR="00DB1C89">
        <w:rPr>
          <w:b/>
        </w:rPr>
        <w:t>[REDACTED]</w:t>
      </w:r>
      <w:r w:rsidRPr="00121630">
        <w:t>% of AT&amp;T’s subscribers ported to Allied in 2012</w:t>
      </w:r>
      <w:r>
        <w:t xml:space="preserve"> in the two markets</w:t>
      </w:r>
      <w:r w:rsidRPr="00121630">
        <w:t xml:space="preserve">.  2012 LNP Data; </w:t>
      </w:r>
      <w:r>
        <w:t>ATN IR Response, June 19, 2013, at 45-46</w:t>
      </w:r>
      <w:r w:rsidRPr="00121630">
        <w:t xml:space="preserve">; </w:t>
      </w:r>
      <w:r>
        <w:t>AT&amp;T IR Response, June 19, 2013, at 32</w:t>
      </w:r>
      <w:r w:rsidRPr="00121630">
        <w:t xml:space="preserve">. </w:t>
      </w:r>
    </w:p>
  </w:footnote>
  <w:footnote w:id="143">
    <w:p w:rsidR="00E85915" w:rsidRPr="009A476A" w:rsidRDefault="00E85915" w:rsidP="003A73EF">
      <w:pPr>
        <w:spacing w:after="120"/>
        <w:rPr>
          <w:sz w:val="20"/>
          <w:szCs w:val="20"/>
        </w:rPr>
      </w:pPr>
      <w:r w:rsidRPr="00A5312F">
        <w:rPr>
          <w:rStyle w:val="FootnoteReference"/>
          <w:szCs w:val="20"/>
        </w:rPr>
        <w:footnoteRef/>
      </w:r>
      <w:r w:rsidRPr="009A476A">
        <w:rPr>
          <w:sz w:val="20"/>
          <w:szCs w:val="20"/>
        </w:rPr>
        <w:t xml:space="preserve"> Post-transaction, AT&amp;T would hold 103-115 megahertz of spectrum, including 43-55 megahertz of spectrum below 1 GHz, while Verizon </w:t>
      </w:r>
      <w:r>
        <w:rPr>
          <w:sz w:val="20"/>
          <w:szCs w:val="20"/>
        </w:rPr>
        <w:t xml:space="preserve">Wireless </w:t>
      </w:r>
      <w:r w:rsidRPr="009A476A">
        <w:rPr>
          <w:sz w:val="20"/>
          <w:szCs w:val="20"/>
        </w:rPr>
        <w:t>holds 77-107 megahertz, Sprint holds 75.25-112.5 megahertz, and T-Mobile holds 40-100 megahertz.  Other licensees also hold spectrum in parts of or throughout the two markets, with spectrum holdings in their licensed areas ranging from 6</w:t>
      </w:r>
      <w:r>
        <w:rPr>
          <w:sz w:val="20"/>
          <w:szCs w:val="20"/>
        </w:rPr>
        <w:t>-</w:t>
      </w:r>
      <w:r w:rsidRPr="009A476A">
        <w:rPr>
          <w:sz w:val="20"/>
          <w:szCs w:val="20"/>
        </w:rPr>
        <w:t>32 megahertz.</w:t>
      </w:r>
    </w:p>
  </w:footnote>
  <w:footnote w:id="144">
    <w:p w:rsidR="00E85915" w:rsidRDefault="00E85915">
      <w:pPr>
        <w:pStyle w:val="FootnoteText"/>
      </w:pPr>
      <w:r>
        <w:rPr>
          <w:rStyle w:val="FootnoteReference"/>
        </w:rPr>
        <w:footnoteRef/>
      </w:r>
      <w:r>
        <w:t xml:space="preserve"> As well as total coverage to at least 96% of the population and 81% of the land area, </w:t>
      </w:r>
      <w:r w:rsidRPr="00C74ED2">
        <w:t>Verizon Wireless covers 89</w:t>
      </w:r>
      <w:r>
        <w:t>%</w:t>
      </w:r>
      <w:r w:rsidRPr="00C74ED2">
        <w:t xml:space="preserve"> to 97</w:t>
      </w:r>
      <w:r>
        <w:t>%</w:t>
      </w:r>
      <w:r w:rsidRPr="00C74ED2">
        <w:t xml:space="preserve"> of the population and 72</w:t>
      </w:r>
      <w:r>
        <w:t>%</w:t>
      </w:r>
      <w:r w:rsidRPr="00C74ED2">
        <w:t xml:space="preserve"> to 86</w:t>
      </w:r>
      <w:r>
        <w:t>%</w:t>
      </w:r>
      <w:r w:rsidRPr="00C74ED2">
        <w:t xml:space="preserve"> of the land area with LTE</w:t>
      </w:r>
      <w:r w:rsidRPr="00B93DE8">
        <w:t xml:space="preserve"> in the two markets</w:t>
      </w:r>
      <w:r w:rsidRPr="00C74ED2">
        <w:t>.</w:t>
      </w:r>
      <w:r>
        <w:t xml:space="preserve">  T-Mobile’s total coverage extends to at least 81% of the population and 58% of the land area.  Further, </w:t>
      </w:r>
      <w:r w:rsidRPr="00C74ED2">
        <w:t>AT&amp;T cover</w:t>
      </w:r>
      <w:r>
        <w:t>s</w:t>
      </w:r>
      <w:r w:rsidRPr="00C74ED2">
        <w:t xml:space="preserve"> 57</w:t>
      </w:r>
      <w:r>
        <w:t xml:space="preserve">% to </w:t>
      </w:r>
      <w:r w:rsidRPr="00C74ED2">
        <w:t>73</w:t>
      </w:r>
      <w:r>
        <w:t>%</w:t>
      </w:r>
      <w:r w:rsidRPr="00C74ED2">
        <w:t xml:space="preserve"> of the population and 29</w:t>
      </w:r>
      <w:r>
        <w:t>%</w:t>
      </w:r>
      <w:r w:rsidRPr="00C74ED2">
        <w:t xml:space="preserve"> to 41</w:t>
      </w:r>
      <w:r>
        <w:t>%</w:t>
      </w:r>
      <w:r w:rsidRPr="00C74ED2">
        <w:t xml:space="preserve"> of the land area with HSPA+, and </w:t>
      </w:r>
      <w:r w:rsidRPr="00B93DE8">
        <w:t xml:space="preserve">also </w:t>
      </w:r>
      <w:r w:rsidRPr="00C74ED2">
        <w:t xml:space="preserve">has </w:t>
      </w:r>
      <w:r w:rsidRPr="00B93DE8">
        <w:t>42</w:t>
      </w:r>
      <w:r>
        <w:t>%</w:t>
      </w:r>
      <w:r w:rsidRPr="00B93DE8">
        <w:t xml:space="preserve"> population and 20</w:t>
      </w:r>
      <w:r>
        <w:t>%</w:t>
      </w:r>
      <w:r w:rsidRPr="00B93DE8">
        <w:t xml:space="preserve"> land area </w:t>
      </w:r>
      <w:r w:rsidRPr="00C74ED2">
        <w:t>LTE coverage in CMA 631</w:t>
      </w:r>
      <w:r w:rsidRPr="00B93DE8">
        <w:t xml:space="preserve">.  </w:t>
      </w:r>
    </w:p>
  </w:footnote>
  <w:footnote w:id="145">
    <w:p w:rsidR="00E85915" w:rsidRPr="00C9339C" w:rsidRDefault="00E85915" w:rsidP="009E5E8D">
      <w:pPr>
        <w:pStyle w:val="FootnoteText"/>
      </w:pPr>
      <w:r w:rsidRPr="00A5312F">
        <w:rPr>
          <w:rStyle w:val="FootnoteReference"/>
        </w:rPr>
        <w:footnoteRef/>
      </w:r>
      <w:r w:rsidRPr="00A5312F">
        <w:t xml:space="preserve"> With its 2G and 3G offerings, </w:t>
      </w:r>
      <w:r w:rsidRPr="0063667E">
        <w:t xml:space="preserve">Sprint covers 61% and 51% of the population and 29% and 27% of the land area in CMA 627 and CMA 631 respectively.  </w:t>
      </w:r>
      <w:r w:rsidRPr="002F1CEA">
        <w:t>T-Mobile has significant total coverage in both markets, but has not built out a network capable of offering</w:t>
      </w:r>
      <w:r w:rsidRPr="003A73EF">
        <w:t xml:space="preserve"> advanced broadband services, and although it has some retail presence in both markets, it holds </w:t>
      </w:r>
      <w:r w:rsidR="00DB1C89">
        <w:rPr>
          <w:b/>
        </w:rPr>
        <w:t>[REDACTED]</w:t>
      </w:r>
      <w:r w:rsidRPr="003A73EF">
        <w:t>%</w:t>
      </w:r>
      <w:r w:rsidRPr="003A73EF">
        <w:rPr>
          <w:b/>
        </w:rPr>
        <w:t xml:space="preserve"> </w:t>
      </w:r>
      <w:r w:rsidRPr="003A73EF">
        <w:t>market share.</w:t>
      </w:r>
      <w:r w:rsidRPr="00C9339C">
        <w:rPr>
          <w:b/>
        </w:rPr>
        <w:t xml:space="preserve">  </w:t>
      </w:r>
    </w:p>
  </w:footnote>
  <w:footnote w:id="146">
    <w:p w:rsidR="00E85915" w:rsidRPr="00C9339C" w:rsidRDefault="00E85915" w:rsidP="00875157">
      <w:pPr>
        <w:pStyle w:val="FootnoteText"/>
      </w:pPr>
      <w:r w:rsidRPr="00C9339C">
        <w:rPr>
          <w:rStyle w:val="FootnoteReference"/>
        </w:rPr>
        <w:footnoteRef/>
      </w:r>
      <w:r w:rsidRPr="00C9339C">
        <w:t xml:space="preserve"> The two markets are CMA 401 (Illinois 8</w:t>
      </w:r>
      <w:r>
        <w:t xml:space="preserve"> </w:t>
      </w:r>
      <w:r w:rsidRPr="0075707B">
        <w:t>–</w:t>
      </w:r>
      <w:r>
        <w:t xml:space="preserve"> </w:t>
      </w:r>
      <w:r w:rsidRPr="00C9339C">
        <w:t>Washington) with a population of 335,723 and a population density of 66.8 and CMA 402 (Illinois 9</w:t>
      </w:r>
      <w:r>
        <w:t xml:space="preserve"> </w:t>
      </w:r>
      <w:r w:rsidRPr="0075707B">
        <w:t>–</w:t>
      </w:r>
      <w:r>
        <w:t xml:space="preserve"> </w:t>
      </w:r>
      <w:r w:rsidRPr="00C9339C">
        <w:t xml:space="preserve">Clay) with a population of 144,723 and a population density of 31.8.  </w:t>
      </w:r>
    </w:p>
  </w:footnote>
  <w:footnote w:id="147">
    <w:p w:rsidR="00E85915" w:rsidRPr="00765230" w:rsidRDefault="00E85915" w:rsidP="001344AB">
      <w:pPr>
        <w:pStyle w:val="ParaNum"/>
        <w:numPr>
          <w:ilvl w:val="0"/>
          <w:numId w:val="0"/>
        </w:numPr>
        <w:rPr>
          <w:sz w:val="20"/>
          <w:szCs w:val="20"/>
        </w:rPr>
      </w:pPr>
      <w:r w:rsidRPr="00773561">
        <w:rPr>
          <w:rStyle w:val="FootnoteReference"/>
          <w:szCs w:val="20"/>
        </w:rPr>
        <w:footnoteRef/>
      </w:r>
      <w:r w:rsidRPr="00765230">
        <w:rPr>
          <w:sz w:val="20"/>
          <w:szCs w:val="20"/>
        </w:rPr>
        <w:t xml:space="preserve"> In CMA 401, the post-transaction HHI is </w:t>
      </w:r>
      <w:r w:rsidR="00D46792" w:rsidRPr="00D46792">
        <w:rPr>
          <w:b/>
          <w:sz w:val="20"/>
          <w:szCs w:val="20"/>
        </w:rPr>
        <w:t>[REDACTED]</w:t>
      </w:r>
      <w:r w:rsidRPr="00765230">
        <w:rPr>
          <w:sz w:val="20"/>
          <w:szCs w:val="20"/>
        </w:rPr>
        <w:t xml:space="preserve"> and the change in the HHI is </w:t>
      </w:r>
      <w:r w:rsidR="00D46792" w:rsidRPr="00D46792">
        <w:rPr>
          <w:b/>
          <w:sz w:val="20"/>
          <w:szCs w:val="20"/>
        </w:rPr>
        <w:t>[REDACTED]</w:t>
      </w:r>
      <w:r w:rsidRPr="00765230">
        <w:rPr>
          <w:b/>
          <w:sz w:val="20"/>
          <w:szCs w:val="20"/>
        </w:rPr>
        <w:t>.</w:t>
      </w:r>
    </w:p>
  </w:footnote>
  <w:footnote w:id="148">
    <w:p w:rsidR="00E85915" w:rsidRPr="003A73EF" w:rsidRDefault="00E85915" w:rsidP="0095177C">
      <w:pPr>
        <w:pStyle w:val="FootnoteText"/>
      </w:pPr>
      <w:r w:rsidRPr="00A5312F">
        <w:rPr>
          <w:rStyle w:val="FootnoteReference"/>
        </w:rPr>
        <w:footnoteRef/>
      </w:r>
      <w:r w:rsidRPr="00A5312F">
        <w:t xml:space="preserve"> As proxied by porting data, AT&amp;T and Allied are not close substitutes in </w:t>
      </w:r>
      <w:r>
        <w:t>this market</w:t>
      </w:r>
      <w:r w:rsidRPr="00A5312F">
        <w:t xml:space="preserve">.  </w:t>
      </w:r>
      <w:r w:rsidRPr="0063667E">
        <w:rPr>
          <w:rFonts w:eastAsia="SimSun"/>
          <w:lang w:eastAsia="zh-CN"/>
        </w:rPr>
        <w:t>Approximately</w:t>
      </w:r>
      <w:r w:rsidRPr="0063667E">
        <w:t xml:space="preserve"> </w:t>
      </w:r>
      <w:r w:rsidR="00D46792" w:rsidRPr="00D46792">
        <w:rPr>
          <w:b/>
        </w:rPr>
        <w:t>[REDACTED]</w:t>
      </w:r>
      <w:r w:rsidRPr="003A73EF">
        <w:t xml:space="preserve">% of Allied’s subscribers ported to AT&amp;T and approximately </w:t>
      </w:r>
      <w:r w:rsidR="00D46792" w:rsidRPr="00D46792">
        <w:rPr>
          <w:b/>
        </w:rPr>
        <w:t>[REDACTED]</w:t>
      </w:r>
      <w:r w:rsidRPr="003A73EF">
        <w:t>% of AT&amp;T’s subscribers ported to Allied</w:t>
      </w:r>
      <w:r w:rsidRPr="003A73EF" w:rsidDel="0004251D">
        <w:t xml:space="preserve"> </w:t>
      </w:r>
      <w:r w:rsidRPr="003A73EF">
        <w:t xml:space="preserve">in 2012.  2012 LNP Data; </w:t>
      </w:r>
      <w:r>
        <w:t>ATN IR Response, June 19, 2013, at 45-46</w:t>
      </w:r>
      <w:r w:rsidRPr="003A73EF">
        <w:t xml:space="preserve">; </w:t>
      </w:r>
      <w:r>
        <w:t>AT&amp;T IR Response, June 19, 2013, at 32</w:t>
      </w:r>
      <w:r w:rsidRPr="003A73EF">
        <w:t>.</w:t>
      </w:r>
    </w:p>
  </w:footnote>
  <w:footnote w:id="149">
    <w:p w:rsidR="00E85915" w:rsidRPr="009A476A" w:rsidRDefault="00E85915" w:rsidP="003A73EF">
      <w:pPr>
        <w:pStyle w:val="FootnoteText"/>
      </w:pPr>
      <w:r w:rsidRPr="009A476A">
        <w:rPr>
          <w:rStyle w:val="FootnoteReference"/>
        </w:rPr>
        <w:footnoteRef/>
      </w:r>
      <w:r w:rsidRPr="009A476A">
        <w:t xml:space="preserve"> Post-transaction, AT&amp;T would hold 125</w:t>
      </w:r>
      <w:r w:rsidRPr="009A476A">
        <w:rPr>
          <w:noProof/>
        </w:rPr>
        <w:t>-145</w:t>
      </w:r>
      <w:r w:rsidRPr="009A476A">
        <w:t xml:space="preserve"> megahertz of spectrum, including 55 megahertz of spectrum below 1 GHz, while Verizon Wireless holds </w:t>
      </w:r>
      <w:r w:rsidRPr="009A476A">
        <w:rPr>
          <w:noProof/>
        </w:rPr>
        <w:t>67-97</w:t>
      </w:r>
      <w:r w:rsidRPr="009A476A">
        <w:t xml:space="preserve"> megahertz, Sprint holds </w:t>
      </w:r>
      <w:r w:rsidRPr="009A476A">
        <w:rPr>
          <w:noProof/>
        </w:rPr>
        <w:t>72.625-122.75</w:t>
      </w:r>
      <w:r w:rsidRPr="009A476A">
        <w:t xml:space="preserve"> megahertz, and T-Mobile holds </w:t>
      </w:r>
      <w:r w:rsidRPr="009A476A">
        <w:rPr>
          <w:noProof/>
        </w:rPr>
        <w:t>30-60</w:t>
      </w:r>
      <w:r w:rsidRPr="009A476A">
        <w:t xml:space="preserve"> megahertz.  Other licensees also hold spectrum in parts of or throughout the market, with spectrum holdings in their licensed areas ranging from 6</w:t>
      </w:r>
      <w:r>
        <w:t>-</w:t>
      </w:r>
      <w:r w:rsidRPr="009A476A">
        <w:t>62 megahertz.</w:t>
      </w:r>
    </w:p>
  </w:footnote>
  <w:footnote w:id="150">
    <w:p w:rsidR="00E85915" w:rsidRDefault="00E85915">
      <w:pPr>
        <w:pStyle w:val="FootnoteText"/>
      </w:pPr>
      <w:r>
        <w:rPr>
          <w:rStyle w:val="FootnoteReference"/>
        </w:rPr>
        <w:footnoteRef/>
      </w:r>
      <w:r>
        <w:t xml:space="preserve"> T-Mobile’s total coverage extends to approximately 92% of the population and 85% the land area, while Verizon Wireless’s population and land area percentages are 99% and 97%, respectively.  Further, AT&amp;T covers 66% of the population and 42% of the land area with HSPA+, and 49% of the population and 28% of the land area with LTE, while Verizon Wireless’s LTE network covers 95% and 91%, respectively.  </w:t>
      </w:r>
    </w:p>
  </w:footnote>
  <w:footnote w:id="151">
    <w:p w:rsidR="00E85915" w:rsidRPr="00E10E78" w:rsidRDefault="00E85915" w:rsidP="0004251D">
      <w:pPr>
        <w:pStyle w:val="FootnoteText"/>
      </w:pPr>
      <w:r w:rsidRPr="00291216">
        <w:rPr>
          <w:rStyle w:val="FootnoteReference"/>
        </w:rPr>
        <w:footnoteRef/>
      </w:r>
      <w:r w:rsidRPr="007A24E8">
        <w:t xml:space="preserve"> While T-Mobile has significant total coverage, it holds only a</w:t>
      </w:r>
      <w:r w:rsidRPr="007A24E8">
        <w:rPr>
          <w:b/>
        </w:rPr>
        <w:t xml:space="preserve"> </w:t>
      </w:r>
      <w:r w:rsidR="00D46792" w:rsidRPr="00D46792">
        <w:rPr>
          <w:b/>
        </w:rPr>
        <w:t>[REDACTED]</w:t>
      </w:r>
      <w:r w:rsidRPr="0075707B">
        <w:rPr>
          <w:b/>
        </w:rPr>
        <w:t xml:space="preserve"> </w:t>
      </w:r>
      <w:r w:rsidRPr="0075707B">
        <w:t>market share</w:t>
      </w:r>
      <w:r w:rsidRPr="0075707B">
        <w:rPr>
          <w:b/>
        </w:rPr>
        <w:t xml:space="preserve">, </w:t>
      </w:r>
      <w:r w:rsidRPr="0075707B">
        <w:t xml:space="preserve">and has no retail presence nor has it built out a network capable of offering advanced broadband services.  In contrast, although Sprint has </w:t>
      </w:r>
      <w:r w:rsidR="00D46792" w:rsidRPr="00D46792">
        <w:rPr>
          <w:b/>
        </w:rPr>
        <w:t>[REDACTED]</w:t>
      </w:r>
      <w:r w:rsidRPr="00E10E78">
        <w:t>% of the market, it covers approximately 50% of the land area, but only 67% of the population with its 2G and 3G service offerings</w:t>
      </w:r>
    </w:p>
  </w:footnote>
  <w:footnote w:id="152">
    <w:p w:rsidR="00E85915" w:rsidRPr="00A5312F" w:rsidRDefault="00E85915">
      <w:pPr>
        <w:pStyle w:val="FootnoteText"/>
      </w:pPr>
      <w:r w:rsidRPr="0075707B">
        <w:rPr>
          <w:rStyle w:val="FootnoteReference"/>
        </w:rPr>
        <w:footnoteRef/>
      </w:r>
      <w:r w:rsidRPr="0075707B">
        <w:t xml:space="preserve"> The </w:t>
      </w:r>
      <w:r>
        <w:t>DOJ cluster</w:t>
      </w:r>
      <w:r w:rsidRPr="0075707B">
        <w:t xml:space="preserve"> includes CMA 158 (Lima, OH) with a population of 215,523 and a population density of 127.1, CMA 231 (Mansfield, OH) with a population of 124,47</w:t>
      </w:r>
      <w:r w:rsidRPr="009F0F3A">
        <w:t xml:space="preserve">5 and a population density of 251.3, CMA 586 (Ohio 2 </w:t>
      </w:r>
      <w:r w:rsidRPr="0075707B">
        <w:t>–</w:t>
      </w:r>
      <w:r w:rsidRPr="009F0F3A">
        <w:t xml:space="preserve"> Sandusky) with a population of 254,394 and a population density of 149.2, CMA 587 (Ohio 3 </w:t>
      </w:r>
      <w:r w:rsidRPr="0075707B">
        <w:t>–</w:t>
      </w:r>
      <w:r w:rsidRPr="009F0F3A">
        <w:t xml:space="preserve"> Ashtabula) with a population 101,497 and a population density of 144.6, CMA 589 (Ohio 5 </w:t>
      </w:r>
      <w:r w:rsidRPr="0075707B">
        <w:t>–</w:t>
      </w:r>
      <w:r w:rsidRPr="009F0F3A">
        <w:t xml:space="preserve"> Hancock) with a pop</w:t>
      </w:r>
      <w:r w:rsidRPr="00E10E78">
        <w:t xml:space="preserve">ulation of 239,740 and a population density of 108.3, and CMA 590 (Ohio 6 </w:t>
      </w:r>
      <w:r w:rsidRPr="0075707B">
        <w:t>–</w:t>
      </w:r>
      <w:r w:rsidRPr="00E10E78">
        <w:t xml:space="preserve"> Morrow) with a population of 509,166 and a population density of 142.3.  We note that DOJ required that CMA 158, CMA 231, CMA 586, CMA 589, and CMA 590 be divested to the same acquirer as the wireless business assets in CMA 587 pursuant to the proposed Modified Final Judgment in </w:t>
      </w:r>
      <w:r w:rsidRPr="00121630">
        <w:rPr>
          <w:i/>
        </w:rPr>
        <w:t xml:space="preserve">United States v. Bell Atlantic Corp. et al., </w:t>
      </w:r>
      <w:r w:rsidRPr="00121630">
        <w:t xml:space="preserve">Civ No. 1:99CV01119 (EGS) (D.D.C. May 7, 1999).  Additionally, Alltel Wireless has since acquired 12 megahertz </w:t>
      </w:r>
      <w:r w:rsidRPr="00A5312F">
        <w:t>of 700 MHz Lower B-Block in CMA 588 (Ohio 4 - Mercer) with a population of 241,354 and a population density of 102.</w:t>
      </w:r>
      <w:r>
        <w:t>3.</w:t>
      </w:r>
    </w:p>
  </w:footnote>
  <w:footnote w:id="153">
    <w:p w:rsidR="00E85915" w:rsidRPr="00A5312F" w:rsidRDefault="00E85915">
      <w:pPr>
        <w:pStyle w:val="FootnoteText"/>
      </w:pPr>
      <w:r w:rsidRPr="0075707B">
        <w:rPr>
          <w:rStyle w:val="FootnoteReference"/>
        </w:rPr>
        <w:footnoteRef/>
      </w:r>
      <w:r w:rsidRPr="0075707B">
        <w:t xml:space="preserve"> In CMAs 231, the post-transaction HHI is </w:t>
      </w:r>
      <w:r w:rsidR="00D46792" w:rsidRPr="00D46792">
        <w:rPr>
          <w:b/>
        </w:rPr>
        <w:t>[REDACTED]</w:t>
      </w:r>
      <w:r w:rsidRPr="009F0F3A">
        <w:t xml:space="preserve"> and the change in the HHI is </w:t>
      </w:r>
      <w:r w:rsidR="00D46792" w:rsidRPr="00D46792">
        <w:rPr>
          <w:b/>
        </w:rPr>
        <w:t>[REDACTED]</w:t>
      </w:r>
      <w:r w:rsidRPr="00E10E78">
        <w:rPr>
          <w:b/>
        </w:rPr>
        <w:t>.</w:t>
      </w:r>
      <w:r w:rsidRPr="00E10E78">
        <w:t xml:space="preserve"> </w:t>
      </w:r>
      <w:r>
        <w:t xml:space="preserve"> </w:t>
      </w:r>
      <w:r w:rsidRPr="00E10E78">
        <w:t xml:space="preserve">The respective values are </w:t>
      </w:r>
      <w:r w:rsidR="00D46792" w:rsidRPr="00D46792">
        <w:rPr>
          <w:b/>
        </w:rPr>
        <w:t>[REDACTED]</w:t>
      </w:r>
      <w:r w:rsidRPr="00121630">
        <w:t xml:space="preserve"> in CMA 586 and </w:t>
      </w:r>
      <w:r w:rsidR="00D46792" w:rsidRPr="00D46792">
        <w:rPr>
          <w:b/>
        </w:rPr>
        <w:t>[REDACTED]</w:t>
      </w:r>
      <w:r w:rsidRPr="00A5312F">
        <w:rPr>
          <w:b/>
        </w:rPr>
        <w:t xml:space="preserve"> </w:t>
      </w:r>
      <w:r w:rsidRPr="00A5312F">
        <w:t>in CMA 587</w:t>
      </w:r>
      <w:r w:rsidRPr="00A5312F">
        <w:rPr>
          <w:b/>
        </w:rPr>
        <w:t>.</w:t>
      </w:r>
    </w:p>
  </w:footnote>
  <w:footnote w:id="154">
    <w:p w:rsidR="00E85915" w:rsidRPr="0075707B" w:rsidRDefault="00E85915" w:rsidP="00931F65">
      <w:pPr>
        <w:pStyle w:val="FootnoteText"/>
      </w:pPr>
      <w:r w:rsidRPr="0075707B">
        <w:rPr>
          <w:rStyle w:val="FootnoteReference"/>
        </w:rPr>
        <w:footnoteRef/>
      </w:r>
      <w:r w:rsidRPr="0075707B">
        <w:t xml:space="preserve"> Blue Wireless Petition at 5.</w:t>
      </w:r>
    </w:p>
  </w:footnote>
  <w:footnote w:id="155">
    <w:p w:rsidR="00E85915" w:rsidRPr="0075707B" w:rsidRDefault="00E85915" w:rsidP="00931F65">
      <w:pPr>
        <w:pStyle w:val="FootnoteText"/>
      </w:pPr>
      <w:r w:rsidRPr="0075707B">
        <w:rPr>
          <w:rStyle w:val="FootnoteReference"/>
        </w:rPr>
        <w:footnoteRef/>
      </w:r>
      <w:r w:rsidRPr="0075707B">
        <w:t xml:space="preserve"> Blue Wireless Reply at 4-5. </w:t>
      </w:r>
    </w:p>
  </w:footnote>
  <w:footnote w:id="156">
    <w:p w:rsidR="00E85915" w:rsidRPr="009F0F3A" w:rsidRDefault="00E85915" w:rsidP="00931F65">
      <w:pPr>
        <w:pStyle w:val="FootnoteText"/>
      </w:pPr>
      <w:r w:rsidRPr="0075707B">
        <w:rPr>
          <w:rStyle w:val="FootnoteReference"/>
        </w:rPr>
        <w:footnoteRef/>
      </w:r>
      <w:r w:rsidRPr="0075707B">
        <w:t xml:space="preserve"> Letter from Donald J. Evans, Counsel for Buffalo-Lake Erie Wireless, LLC, to Marlene H. Dortch, Secretary, FCC, WT Docket 13-54</w:t>
      </w:r>
      <w:r>
        <w:t>,</w:t>
      </w:r>
      <w:r w:rsidRPr="0075707B">
        <w:t>Attachment (</w:t>
      </w:r>
      <w:r>
        <w:t xml:space="preserve">filed </w:t>
      </w:r>
      <w:r w:rsidRPr="0075707B">
        <w:t>May 24, 2013) (noting that loss of ALLTEL as a carrier in Ohio</w:t>
      </w:r>
      <w:r>
        <w:t xml:space="preserve"> </w:t>
      </w:r>
      <w:r w:rsidRPr="0075707B">
        <w:t xml:space="preserve">3 </w:t>
      </w:r>
      <w:r>
        <w:t xml:space="preserve">– Ashtabula </w:t>
      </w:r>
      <w:r w:rsidRPr="0075707B">
        <w:t>would h</w:t>
      </w:r>
      <w:r w:rsidRPr="009F0F3A">
        <w:t>ave an adverse impact on consumer choice).</w:t>
      </w:r>
    </w:p>
  </w:footnote>
  <w:footnote w:id="157">
    <w:p w:rsidR="00E85915" w:rsidRPr="009F0F3A" w:rsidRDefault="00E85915">
      <w:pPr>
        <w:pStyle w:val="FootnoteText"/>
      </w:pPr>
      <w:r w:rsidRPr="0075707B">
        <w:rPr>
          <w:rStyle w:val="FootnoteReference"/>
        </w:rPr>
        <w:footnoteRef/>
      </w:r>
      <w:r w:rsidRPr="0075707B">
        <w:t xml:space="preserve"> Verizon Wireless covers 99% of the population and 97% of the land area with LTE, and AT&amp;T covers 83% of the population and 60% of the land area with HSPA+.  Sprint’s total coverage is 82% of the population and 6</w:t>
      </w:r>
      <w:r w:rsidRPr="009F0F3A">
        <w:t>1% of the land area, while T-Mobile covers 99% of the population and 97% of the land area.  Both Sprint and T-Mobile’s coverage is 2G.</w:t>
      </w:r>
    </w:p>
  </w:footnote>
  <w:footnote w:id="158">
    <w:p w:rsidR="00E85915" w:rsidRPr="00E10E78" w:rsidRDefault="00E85915" w:rsidP="00986C86">
      <w:pPr>
        <w:pStyle w:val="FootnoteText"/>
      </w:pPr>
      <w:r w:rsidRPr="0075707B">
        <w:rPr>
          <w:rStyle w:val="FootnoteReference"/>
        </w:rPr>
        <w:footnoteRef/>
      </w:r>
      <w:r w:rsidRPr="0075707B">
        <w:t xml:space="preserve"> We note that as an additional method to assess the potential for unilateral competitive effects, we also conducted certain analyses consistent with the </w:t>
      </w:r>
      <w:r w:rsidRPr="009F0F3A">
        <w:rPr>
          <w:i/>
          <w:iCs/>
        </w:rPr>
        <w:t>2010 DOJ/FTC Horizontal Merger Guidelines</w:t>
      </w:r>
      <w:r w:rsidRPr="009F0F3A">
        <w:t xml:space="preserve">, which yielded results in line with our other analyses.  </w:t>
      </w:r>
      <w:r w:rsidRPr="00E10E78">
        <w:rPr>
          <w:i/>
          <w:iCs/>
        </w:rPr>
        <w:t>See 2010 DOJ/FTC Horizontal Merger Guidelines</w:t>
      </w:r>
      <w:r w:rsidRPr="00E10E78">
        <w:t xml:space="preserve"> § 6.1, p. 21.</w:t>
      </w:r>
    </w:p>
  </w:footnote>
  <w:footnote w:id="159">
    <w:p w:rsidR="00E85915" w:rsidRPr="00765230" w:rsidRDefault="00E85915" w:rsidP="00AA5F6A">
      <w:pPr>
        <w:pStyle w:val="ParaNum"/>
        <w:numPr>
          <w:ilvl w:val="0"/>
          <w:numId w:val="0"/>
        </w:numPr>
        <w:rPr>
          <w:sz w:val="20"/>
          <w:szCs w:val="20"/>
        </w:rPr>
      </w:pPr>
      <w:r w:rsidRPr="00E10E78">
        <w:rPr>
          <w:rStyle w:val="FootnoteReference"/>
          <w:szCs w:val="20"/>
        </w:rPr>
        <w:footnoteRef/>
      </w:r>
      <w:r w:rsidRPr="00765230">
        <w:rPr>
          <w:sz w:val="20"/>
          <w:szCs w:val="20"/>
        </w:rPr>
        <w:t xml:space="preserve"> Those ten markets are CMA 377 (Georgia 7 – Hancock), CMA 378 (Georgia 8 – Warren), CMA 379 (Georgia 9 – Marion), CMA 380 (Georgia 10 – Bleckley),</w:t>
      </w:r>
      <w:r>
        <w:rPr>
          <w:sz w:val="20"/>
          <w:szCs w:val="20"/>
        </w:rPr>
        <w:t xml:space="preserve"> </w:t>
      </w:r>
      <w:r w:rsidRPr="00765230">
        <w:rPr>
          <w:sz w:val="20"/>
          <w:szCs w:val="20"/>
        </w:rPr>
        <w:t>CMA 383 (Georgia 13 – Early), CMA 390 (Idaho 3 – Lemhi), CMA 569 (North Carolina 5 – Anson), CMA 627 (South Carolina 3 – Cherokee), CMA 631 (South Carolina 7 – Calhoun)</w:t>
      </w:r>
      <w:r>
        <w:rPr>
          <w:sz w:val="20"/>
          <w:szCs w:val="20"/>
        </w:rPr>
        <w:t>,</w:t>
      </w:r>
      <w:r w:rsidRPr="00765230">
        <w:rPr>
          <w:sz w:val="20"/>
          <w:szCs w:val="20"/>
        </w:rPr>
        <w:t xml:space="preserve"> and CMA 401 (Illinois 8 – Washington).</w:t>
      </w:r>
      <w:r>
        <w:rPr>
          <w:sz w:val="20"/>
          <w:szCs w:val="20"/>
        </w:rPr>
        <w:t xml:space="preserve">  </w:t>
      </w:r>
    </w:p>
  </w:footnote>
  <w:footnote w:id="160">
    <w:p w:rsidR="00E85915" w:rsidRPr="003A73EF" w:rsidRDefault="00E85915" w:rsidP="00C51B60">
      <w:pPr>
        <w:pStyle w:val="FootnoteText"/>
      </w:pPr>
      <w:r w:rsidRPr="00A5312F">
        <w:rPr>
          <w:rStyle w:val="FootnoteReference"/>
        </w:rPr>
        <w:footnoteRef/>
      </w:r>
      <w:r w:rsidRPr="00A5312F">
        <w:t xml:space="preserve"> RTG Comments at 3</w:t>
      </w:r>
      <w:r>
        <w:t xml:space="preserve">; </w:t>
      </w:r>
      <w:r w:rsidRPr="00A5312F">
        <w:t xml:space="preserve">Blue Wireless Comments at 2.  </w:t>
      </w:r>
      <w:r w:rsidRPr="0063667E">
        <w:t>Further, RTG urges the Commission to impose roaming conditions in markets where AT&amp;T would hol</w:t>
      </w:r>
      <w:r w:rsidRPr="002F1CEA">
        <w:t>d over 40 percent of spectrum below 1 GHz or over 25 percent of all availab</w:t>
      </w:r>
      <w:r w:rsidRPr="003A73EF">
        <w:t xml:space="preserve">le spectrum.  RTG Comments at 7.  In addition, Blue Wireless argues that Allied is a potential roaming partner through its legacy agreement with the former wireless provider ALLTEL, and that Blue Wireless would be harmed if AT&amp;T is allowed to transition Allied’s CDMA network to </w:t>
      </w:r>
      <w:r>
        <w:t>Global System for Mobile Communications (“</w:t>
      </w:r>
      <w:r w:rsidRPr="003A73EF">
        <w:t>GSM</w:t>
      </w:r>
      <w:r>
        <w:t>”)</w:t>
      </w:r>
      <w:r w:rsidRPr="003A73EF">
        <w:t xml:space="preserve">.  </w:t>
      </w:r>
      <w:r w:rsidRPr="00CF6080">
        <w:t>Blue Wireless Petition at 2</w:t>
      </w:r>
      <w:r>
        <w:t xml:space="preserve">; </w:t>
      </w:r>
      <w:r w:rsidRPr="003A73EF">
        <w:t xml:space="preserve">Blue </w:t>
      </w:r>
      <w:r w:rsidRPr="00CF6080">
        <w:t>Wireless Reply at 2-3.</w:t>
      </w:r>
    </w:p>
  </w:footnote>
  <w:footnote w:id="161">
    <w:p w:rsidR="00E85915" w:rsidRPr="00C9339C" w:rsidRDefault="00E85915" w:rsidP="00434C4B">
      <w:pPr>
        <w:pStyle w:val="FootnoteText"/>
      </w:pPr>
      <w:r w:rsidRPr="003A73EF">
        <w:rPr>
          <w:rStyle w:val="FootnoteReference"/>
        </w:rPr>
        <w:footnoteRef/>
      </w:r>
      <w:r w:rsidRPr="003A73EF">
        <w:t xml:space="preserve"> </w:t>
      </w:r>
      <w:r>
        <w:t xml:space="preserve">RTG Reply Comments at 4; </w:t>
      </w:r>
      <w:r w:rsidRPr="003A73EF">
        <w:t>Blue Wireless Aug. 15</w:t>
      </w:r>
      <w:r w:rsidRPr="003A73EF">
        <w:rPr>
          <w:vertAlign w:val="superscript"/>
        </w:rPr>
        <w:t>th</w:t>
      </w:r>
      <w:r w:rsidRPr="003A73EF">
        <w:t xml:space="preserve"> </w:t>
      </w:r>
      <w:r w:rsidRPr="003A73EF">
        <w:rPr>
          <w:i/>
        </w:rPr>
        <w:t>Ex parte</w:t>
      </w:r>
      <w:r>
        <w:t xml:space="preserve"> at 2</w:t>
      </w:r>
      <w:r w:rsidRPr="003A73EF">
        <w:t xml:space="preserve"> (asserting that reasonable roaming rates are a product of a multi-player marketplace where multiple providers with differing geographic coverage areas need to roam on each other’s networks, and that competitive marketplace model becomes less and less accurate each time a</w:t>
      </w:r>
      <w:r w:rsidRPr="00C9339C">
        <w:t xml:space="preserve"> large regional provider is bought up by one of the two majors).  </w:t>
      </w:r>
      <w:r w:rsidRPr="00C9339C">
        <w:rPr>
          <w:i/>
        </w:rPr>
        <w:t>See also</w:t>
      </w:r>
      <w:r w:rsidRPr="00C9339C">
        <w:t xml:space="preserve"> RTG Reply Comments at 4 (arguing that it is necessary for customers of competing providers to have access to cost-effective data roaming). </w:t>
      </w:r>
    </w:p>
  </w:footnote>
  <w:footnote w:id="162">
    <w:p w:rsidR="00E85915" w:rsidRPr="00291216" w:rsidRDefault="00E85915" w:rsidP="00C51B60">
      <w:pPr>
        <w:pStyle w:val="FootnoteText"/>
      </w:pPr>
      <w:r w:rsidRPr="00773561">
        <w:rPr>
          <w:rStyle w:val="FootnoteReference"/>
        </w:rPr>
        <w:footnoteRef/>
      </w:r>
      <w:r w:rsidRPr="00291216">
        <w:t xml:space="preserve"> Joint Opposition at 10.</w:t>
      </w:r>
    </w:p>
  </w:footnote>
  <w:footnote w:id="163">
    <w:p w:rsidR="00E85915" w:rsidRPr="007A24E8" w:rsidRDefault="00E85915" w:rsidP="00C51B60">
      <w:pPr>
        <w:pStyle w:val="FootnoteText"/>
      </w:pPr>
      <w:r w:rsidRPr="00291216">
        <w:rPr>
          <w:rStyle w:val="FootnoteReference"/>
        </w:rPr>
        <w:footnoteRef/>
      </w:r>
      <w:r w:rsidRPr="00291216">
        <w:t xml:space="preserve"> Joint </w:t>
      </w:r>
      <w:r w:rsidRPr="00CF6080">
        <w:t>Opposition at 8-9.</w:t>
      </w:r>
      <w:r w:rsidRPr="00CF6080">
        <w:rPr>
          <w:snapToGrid w:val="0"/>
          <w:kern w:val="28"/>
        </w:rPr>
        <w:t xml:space="preserve">  </w:t>
      </w:r>
      <w:r w:rsidRPr="00CF6080">
        <w:t>The Applicants also dispute the assertions of Blue Wireless that the company has a roaming agreement with Allied</w:t>
      </w:r>
      <w:r w:rsidRPr="007A24E8">
        <w:t>.  Joint Opposition at 8.</w:t>
      </w:r>
    </w:p>
  </w:footnote>
  <w:footnote w:id="164">
    <w:p w:rsidR="00E85915" w:rsidRPr="0075707B" w:rsidRDefault="00E85915" w:rsidP="00C51B60">
      <w:pPr>
        <w:pStyle w:val="FootnoteText"/>
      </w:pPr>
      <w:r w:rsidRPr="0075707B">
        <w:rPr>
          <w:rStyle w:val="FootnoteReference"/>
        </w:rPr>
        <w:footnoteRef/>
      </w:r>
      <w:r w:rsidRPr="0075707B">
        <w:t xml:space="preserve"> Joint Opposition at 10.</w:t>
      </w:r>
    </w:p>
  </w:footnote>
  <w:footnote w:id="165">
    <w:p w:rsidR="00E85915" w:rsidRPr="00A5312F" w:rsidRDefault="00E85915" w:rsidP="00530E16">
      <w:pPr>
        <w:pStyle w:val="FootnoteText"/>
      </w:pPr>
      <w:r w:rsidRPr="0075707B">
        <w:rPr>
          <w:rStyle w:val="FootnoteReference"/>
        </w:rPr>
        <w:footnoteRef/>
      </w:r>
      <w:r w:rsidRPr="0075707B">
        <w:t xml:space="preserve"> </w:t>
      </w:r>
      <w:r w:rsidRPr="0075707B">
        <w:rPr>
          <w:i/>
          <w:iCs/>
        </w:rPr>
        <w:t xml:space="preserve">See </w:t>
      </w:r>
      <w:r w:rsidRPr="0075707B">
        <w:t xml:space="preserve">Roaming Obligations of Commercial Mobile Radio Service Providers, </w:t>
      </w:r>
      <w:r w:rsidRPr="0075707B">
        <w:rPr>
          <w:i/>
          <w:iCs/>
        </w:rPr>
        <w:t>Report and Order and Furt</w:t>
      </w:r>
      <w:r w:rsidRPr="00F82C8B">
        <w:rPr>
          <w:i/>
          <w:iCs/>
        </w:rPr>
        <w:t>her Notice of Proposed Rulemaking</w:t>
      </w:r>
      <w:r w:rsidRPr="009F0F3A">
        <w:t>, 22 FCC Rcd 15817, 15828 ¶ 27 (2007)</w:t>
      </w:r>
      <w:r w:rsidRPr="00E10E78">
        <w:t xml:space="preserve"> (“[W]e recognize that automatic roaming benefits mobile telephony subscribers by promoting seamless CMRS service around the country, and reducing inconsistent coverage and service qualities.”); Reexamination of Roaming Obligations of Commercial Mobile Radio Service Providers, </w:t>
      </w:r>
      <w:r w:rsidRPr="00121630">
        <w:rPr>
          <w:i/>
          <w:iCs/>
        </w:rPr>
        <w:t>Order on Reconsideration and Second Further Notice of Proposed Rulemaking</w:t>
      </w:r>
      <w:r w:rsidRPr="00A5312F">
        <w:t xml:space="preserve">, 25 FCC Rcd 4181, 4192 ¶ 2 (2010) (eliminates the home roaming exclusion and establishes the same general obligation to provide automatic voice roaming, regardless of whether the provider requesting roaming holds spectrum in an area); </w:t>
      </w:r>
      <w:r w:rsidRPr="008A32C2">
        <w:rPr>
          <w:iCs/>
        </w:rPr>
        <w:t xml:space="preserve">Reexamination of Roaming Obligations of Commercial Mobile Radio Service Providers and Other Providers of Mobile Data Services, WT Docket No. 05-265, </w:t>
      </w:r>
      <w:r w:rsidRPr="005B780A">
        <w:rPr>
          <w:i/>
          <w:iCs/>
        </w:rPr>
        <w:t>Second Report and Order</w:t>
      </w:r>
      <w:r w:rsidRPr="008A32C2">
        <w:rPr>
          <w:iCs/>
        </w:rPr>
        <w:t xml:space="preserve">, 26 FCC Rcd 5411 (2011), aff’d sub nom. </w:t>
      </w:r>
      <w:r w:rsidRPr="005B780A">
        <w:rPr>
          <w:i/>
          <w:iCs/>
        </w:rPr>
        <w:t>Cellco Partnership v. FCC</w:t>
      </w:r>
      <w:r w:rsidRPr="008A32C2">
        <w:rPr>
          <w:iCs/>
        </w:rPr>
        <w:t>, 700 F.3d 534 (DC Cir. 2012).</w:t>
      </w:r>
      <w:r w:rsidRPr="00A5312F">
        <w:t>.</w:t>
      </w:r>
    </w:p>
  </w:footnote>
  <w:footnote w:id="166">
    <w:p w:rsidR="00E85915" w:rsidRPr="0075707B" w:rsidRDefault="00E85915" w:rsidP="000D0AE2">
      <w:pPr>
        <w:pStyle w:val="FootnoteText"/>
        <w:tabs>
          <w:tab w:val="left" w:pos="8004"/>
        </w:tabs>
      </w:pPr>
      <w:r w:rsidRPr="0075707B">
        <w:rPr>
          <w:rStyle w:val="FootnoteReference"/>
        </w:rPr>
        <w:footnoteRef/>
      </w:r>
      <w:r w:rsidRPr="0075707B">
        <w:t xml:space="preserve"> </w:t>
      </w:r>
      <w:r w:rsidRPr="0075707B">
        <w:rPr>
          <w:i/>
        </w:rPr>
        <w:t xml:space="preserve">AT&amp;T-Verizon Wireless Order, </w:t>
      </w:r>
      <w:r w:rsidRPr="0075707B">
        <w:t>25 FCC Rcd at 8746-88748 ¶¶ 95-101.</w:t>
      </w:r>
    </w:p>
  </w:footnote>
  <w:footnote w:id="167">
    <w:p w:rsidR="00E85915" w:rsidRPr="0075707B" w:rsidRDefault="00E85915" w:rsidP="000D0AE2">
      <w:pPr>
        <w:pStyle w:val="FootnoteText"/>
      </w:pPr>
      <w:r w:rsidRPr="0075707B">
        <w:rPr>
          <w:rStyle w:val="FootnoteReference"/>
        </w:rPr>
        <w:footnoteRef/>
      </w:r>
      <w:r w:rsidRPr="0075707B">
        <w:t xml:space="preserve"> </w:t>
      </w:r>
      <w:r w:rsidRPr="0075707B">
        <w:rPr>
          <w:i/>
        </w:rPr>
        <w:t xml:space="preserve">AT&amp;T-Verizon Wireless Order, </w:t>
      </w:r>
      <w:r w:rsidRPr="0075707B">
        <w:t>25 FCC Rcd at 8746-88748 ¶¶ 95-101.</w:t>
      </w:r>
    </w:p>
  </w:footnote>
  <w:footnote w:id="168">
    <w:p w:rsidR="00E85915" w:rsidRPr="00121630" w:rsidRDefault="00E85915" w:rsidP="00242C94">
      <w:pPr>
        <w:pStyle w:val="FootnoteText"/>
      </w:pPr>
      <w:r w:rsidRPr="0075707B">
        <w:rPr>
          <w:rStyle w:val="FootnoteReference"/>
        </w:rPr>
        <w:footnoteRef/>
      </w:r>
      <w:r w:rsidRPr="0075707B">
        <w:t xml:space="preserve"> ATN-000057075</w:t>
      </w:r>
      <w:r>
        <w:t>;</w:t>
      </w:r>
      <w:r w:rsidRPr="0075707B">
        <w:t xml:space="preserve"> </w:t>
      </w:r>
      <w:r>
        <w:t>ATN IR Response, June 19, 2013,</w:t>
      </w:r>
      <w:r w:rsidRPr="0075707B">
        <w:t xml:space="preserve"> at 26-28.  Further, we note that Allied derives some revenue when roaming partners of ATN’s subsidiary, Commnet Wireless, roam in Allied markets pursuant to Commnet GSM roaming agreements.  </w:t>
      </w:r>
      <w:r w:rsidRPr="009F0F3A">
        <w:rPr>
          <w:i/>
        </w:rPr>
        <w:t>Id.</w:t>
      </w:r>
      <w:r w:rsidRPr="009F0F3A">
        <w:t xml:space="preserve"> at 26.  Under the purchase agreement, the Commnet GSM roaming agreements are excluded assets and are not subj</w:t>
      </w:r>
      <w:r w:rsidRPr="00E10E78">
        <w:t xml:space="preserve">ect to the transaction because they are not primarily related to Allied’s business.  </w:t>
      </w:r>
      <w:r w:rsidRPr="00E10E78">
        <w:rPr>
          <w:i/>
        </w:rPr>
        <w:t>Id.</w:t>
      </w:r>
      <w:r w:rsidRPr="00E10E78">
        <w:t xml:space="preserve"> at 26.  Commnet is a separate wholly-owned subsidiary of ATN that provides wholesale service, and the income derived from its GSM network covers parts of Idaho, Illino</w:t>
      </w:r>
      <w:r w:rsidRPr="00121630">
        <w:t xml:space="preserve">is and Georgia.  We note that post-transaction, AT&amp;T and T-Mobile remain potential GSM roaming partners in these areas. </w:t>
      </w:r>
    </w:p>
  </w:footnote>
  <w:footnote w:id="169">
    <w:p w:rsidR="00E85915" w:rsidRPr="0075707B" w:rsidRDefault="00E85915" w:rsidP="00242C94">
      <w:pPr>
        <w:pStyle w:val="FootnoteText"/>
      </w:pPr>
      <w:r w:rsidRPr="0075707B">
        <w:rPr>
          <w:rStyle w:val="FootnoteReference"/>
        </w:rPr>
        <w:footnoteRef/>
      </w:r>
      <w:r w:rsidRPr="0075707B">
        <w:t xml:space="preserve"> Joint Opposition at 10.</w:t>
      </w:r>
    </w:p>
  </w:footnote>
  <w:footnote w:id="170">
    <w:p w:rsidR="00E85915" w:rsidRPr="0075707B" w:rsidRDefault="00E85915" w:rsidP="0047309A">
      <w:pPr>
        <w:pStyle w:val="FootnoteText"/>
      </w:pPr>
      <w:r w:rsidRPr="0075707B">
        <w:rPr>
          <w:rStyle w:val="FootnoteReference"/>
        </w:rPr>
        <w:footnoteRef/>
      </w:r>
      <w:r w:rsidRPr="0075707B">
        <w:t xml:space="preserve"> Public Knowledge Petition</w:t>
      </w:r>
      <w:r>
        <w:t xml:space="preserve"> </w:t>
      </w:r>
      <w:r w:rsidRPr="0075707B">
        <w:t>at 4-6; RTG Comments at 7; RTG Reply Comments at 5.</w:t>
      </w:r>
    </w:p>
  </w:footnote>
  <w:footnote w:id="171">
    <w:p w:rsidR="00E85915" w:rsidRPr="0075707B" w:rsidRDefault="00E85915" w:rsidP="0047309A">
      <w:pPr>
        <w:pStyle w:val="FootnoteText"/>
      </w:pPr>
      <w:r w:rsidRPr="0075707B">
        <w:rPr>
          <w:rStyle w:val="FootnoteReference"/>
        </w:rPr>
        <w:footnoteRef/>
      </w:r>
      <w:r w:rsidRPr="0075707B">
        <w:t xml:space="preserve"> Public Knowledge Petition at 4-5; RTG Comments at 8-9.</w:t>
      </w:r>
    </w:p>
  </w:footnote>
  <w:footnote w:id="172">
    <w:p w:rsidR="00E85915" w:rsidRPr="0075707B" w:rsidRDefault="00E85915" w:rsidP="0047309A">
      <w:pPr>
        <w:pStyle w:val="FootnoteText"/>
      </w:pPr>
      <w:r w:rsidRPr="0075707B">
        <w:rPr>
          <w:rStyle w:val="FootnoteReference"/>
        </w:rPr>
        <w:footnoteRef/>
      </w:r>
      <w:r w:rsidRPr="0075707B">
        <w:t xml:space="preserve"> Public Knowledge Petition at 5; RTG Comments at 9.</w:t>
      </w:r>
    </w:p>
  </w:footnote>
  <w:footnote w:id="173">
    <w:p w:rsidR="00E85915" w:rsidRPr="0075707B" w:rsidRDefault="00E85915" w:rsidP="0047309A">
      <w:pPr>
        <w:pStyle w:val="FootnoteText"/>
      </w:pPr>
      <w:r w:rsidRPr="0075707B">
        <w:rPr>
          <w:rStyle w:val="FootnoteReference"/>
        </w:rPr>
        <w:footnoteRef/>
      </w:r>
      <w:r w:rsidRPr="0075707B">
        <w:t xml:space="preserve"> Public Knowledge Petition at 5-6.</w:t>
      </w:r>
    </w:p>
  </w:footnote>
  <w:footnote w:id="174">
    <w:p w:rsidR="00E85915" w:rsidRPr="0075707B" w:rsidRDefault="00E85915" w:rsidP="0047309A">
      <w:pPr>
        <w:pStyle w:val="FootnoteText"/>
      </w:pPr>
      <w:r w:rsidRPr="0075707B">
        <w:rPr>
          <w:rStyle w:val="FootnoteReference"/>
        </w:rPr>
        <w:footnoteRef/>
      </w:r>
      <w:r w:rsidRPr="0075707B">
        <w:t xml:space="preserve"> </w:t>
      </w:r>
      <w:r>
        <w:rPr>
          <w:i/>
        </w:rPr>
        <w:t>Id.</w:t>
      </w:r>
      <w:r w:rsidRPr="0075707B">
        <w:t xml:space="preserve"> at 6.</w:t>
      </w:r>
    </w:p>
  </w:footnote>
  <w:footnote w:id="175">
    <w:p w:rsidR="00E85915" w:rsidRPr="0075707B" w:rsidRDefault="00E85915" w:rsidP="0047309A">
      <w:pPr>
        <w:pStyle w:val="FootnoteText"/>
      </w:pPr>
      <w:r w:rsidRPr="0075707B">
        <w:rPr>
          <w:rStyle w:val="FootnoteReference"/>
        </w:rPr>
        <w:footnoteRef/>
      </w:r>
      <w:r w:rsidRPr="0075707B">
        <w:t xml:space="preserve"> </w:t>
      </w:r>
      <w:r>
        <w:rPr>
          <w:i/>
        </w:rPr>
        <w:t>Id</w:t>
      </w:r>
      <w:r w:rsidRPr="0075707B">
        <w:t>.</w:t>
      </w:r>
    </w:p>
  </w:footnote>
  <w:footnote w:id="176">
    <w:p w:rsidR="00E85915" w:rsidRPr="0075707B" w:rsidRDefault="00E85915" w:rsidP="0047309A">
      <w:pPr>
        <w:pStyle w:val="FootnoteText"/>
      </w:pPr>
      <w:r w:rsidRPr="0075707B">
        <w:rPr>
          <w:rStyle w:val="FootnoteReference"/>
        </w:rPr>
        <w:footnoteRef/>
      </w:r>
      <w:r w:rsidRPr="0075707B">
        <w:t xml:space="preserve"> Joint Opposition at 11.</w:t>
      </w:r>
    </w:p>
  </w:footnote>
  <w:footnote w:id="177">
    <w:p w:rsidR="00E85915" w:rsidRPr="0075707B" w:rsidRDefault="00E85915" w:rsidP="0047309A">
      <w:pPr>
        <w:pStyle w:val="FootnoteText"/>
      </w:pPr>
      <w:r w:rsidRPr="0075707B">
        <w:rPr>
          <w:rStyle w:val="FootnoteReference"/>
        </w:rPr>
        <w:footnoteRef/>
      </w:r>
      <w:r w:rsidRPr="0075707B">
        <w:t xml:space="preserve"> </w:t>
      </w:r>
      <w:r>
        <w:rPr>
          <w:i/>
        </w:rPr>
        <w:t>Id.</w:t>
      </w:r>
      <w:r w:rsidRPr="0075707B">
        <w:t xml:space="preserve"> at 12-13.</w:t>
      </w:r>
    </w:p>
  </w:footnote>
  <w:footnote w:id="178">
    <w:p w:rsidR="00E85915" w:rsidRDefault="00E85915" w:rsidP="00B83EE3">
      <w:pPr>
        <w:pStyle w:val="FootnoteText"/>
      </w:pPr>
      <w:r>
        <w:rPr>
          <w:rStyle w:val="FootnoteReference"/>
        </w:rPr>
        <w:footnoteRef/>
      </w:r>
      <w:r>
        <w:t xml:space="preserve"> Letter from Joan Marsh, Vice Pres. Fed. Regulatory, AT&amp;T Services, Inc. to the Hon. Mignon Clyburn, Chairwoman, FCC, WT Docket No. 12-69 (filed Sept. 10, 2013); Letter from Jeffrey H. Blum, Senior Vice Pres. &amp; Dep. Gen. Counsel, DISH Network, Corp., to the Hon. Mignon Clyburn, Chairwoman, FCC, WT Docket No. 12-69 (filed Sept. 10, 2013);</w:t>
      </w:r>
      <w:r w:rsidRPr="0067791C">
        <w:t xml:space="preserve"> </w:t>
      </w:r>
      <w:r>
        <w:t>Letter from Grant Spellmeyer, Vice Pres. Fed. Affairs &amp; Pub. Policy, US Cellular, Ben Moncrief, Dir. – Govt. Relations, C Spire Wireless, Scott Wills, Vulcan Wireless LLC, Allison Cryor DiNardo, Pres., Gen. Partner, King Street Wireless, L.P., Nash Nyland, Gen. Counsel, Cavalier Wireless LLC, T.Clark Akers, Exec. Vice Pres. Continuum 700 LLC, and Steven K. Berry, Pres. and CEO, Competitive Carriers Association to the Hon. Mignon Clyburn, Chairwoman, FCC, WT Docket No. 12-69 (filed Sept. 10, 2013).</w:t>
      </w:r>
    </w:p>
  </w:footnote>
  <w:footnote w:id="179">
    <w:p w:rsidR="00E85915" w:rsidRPr="00A5312F" w:rsidRDefault="00E85915" w:rsidP="00947041">
      <w:pPr>
        <w:pStyle w:val="FootnoteText"/>
      </w:pPr>
      <w:r w:rsidRPr="0075707B">
        <w:rPr>
          <w:rStyle w:val="FootnoteReference"/>
        </w:rPr>
        <w:footnoteRef/>
      </w:r>
      <w:r w:rsidRPr="0075707B">
        <w:t xml:space="preserve"> </w:t>
      </w:r>
      <w:r w:rsidRPr="0075707B">
        <w:rPr>
          <w:i/>
        </w:rPr>
        <w:t>See</w:t>
      </w:r>
      <w:r w:rsidRPr="0075707B">
        <w:t xml:space="preserve">, </w:t>
      </w:r>
      <w:r w:rsidRPr="0075707B">
        <w:rPr>
          <w:i/>
        </w:rPr>
        <w:t>e.g.</w:t>
      </w:r>
      <w:r w:rsidRPr="00F82C8B">
        <w:t xml:space="preserve">, </w:t>
      </w:r>
      <w:r>
        <w:t xml:space="preserve">Applications of AT&amp;T Inc. and Cellular South, Inc. For Consent To Assign Licenses Covering Parts of Alabama, Georgia, and Tennessee, ULS File Nos. 0005597386 and 0005597395, </w:t>
      </w:r>
      <w:r>
        <w:rPr>
          <w:i/>
        </w:rPr>
        <w:t>Memorandum Opinion and Order</w:t>
      </w:r>
      <w:r>
        <w:t>, DA 13-783, ¶ 16 (WTB rel. Aug. 20, 2013) (“</w:t>
      </w:r>
      <w:r>
        <w:rPr>
          <w:i/>
        </w:rPr>
        <w:t>AT&amp;T-CellSouth Order</w:t>
      </w:r>
      <w:r>
        <w:t>”)</w:t>
      </w:r>
      <w:r w:rsidRPr="009F0F3A">
        <w:t>;</w:t>
      </w:r>
      <w:r w:rsidRPr="009F0F3A">
        <w:rPr>
          <w:i/>
        </w:rPr>
        <w:t xml:space="preserve"> </w:t>
      </w:r>
      <w:r w:rsidRPr="00061517">
        <w:rPr>
          <w:i/>
        </w:rPr>
        <w:t>Alaska</w:t>
      </w:r>
      <w:r w:rsidRPr="00E10E78">
        <w:rPr>
          <w:i/>
        </w:rPr>
        <w:t xml:space="preserve"> Wireless Order</w:t>
      </w:r>
      <w:r w:rsidRPr="00E10E78">
        <w:t xml:space="preserve">, 28 FCC Rcd at 10467 ¶ 85; </w:t>
      </w:r>
      <w:r w:rsidRPr="00121630">
        <w:rPr>
          <w:i/>
        </w:rPr>
        <w:t>SoftBank-Sprint Order</w:t>
      </w:r>
      <w:r w:rsidRPr="00A5312F">
        <w:t xml:space="preserve">, 28 FCC Rcd at 9677-78 ¶ 91; </w:t>
      </w:r>
      <w:r w:rsidRPr="00A5312F">
        <w:rPr>
          <w:rFonts w:eastAsiaTheme="minorHAnsi"/>
          <w:i/>
          <w:iCs/>
        </w:rPr>
        <w:t>T-Mobile-MetroPCS Order</w:t>
      </w:r>
      <w:r w:rsidRPr="00A5312F">
        <w:rPr>
          <w:rFonts w:eastAsiaTheme="minorHAnsi"/>
        </w:rPr>
        <w:t xml:space="preserve">, 28 FCC Rcd 2322, 2341 ¶ 56; </w:t>
      </w:r>
      <w:r w:rsidRPr="00A5312F">
        <w:rPr>
          <w:i/>
        </w:rPr>
        <w:t>AT&amp;T-WCS Order</w:t>
      </w:r>
      <w:r w:rsidRPr="00A5312F">
        <w:t xml:space="preserve">, 27 FCC Rcd at 16474 ¶ 40; </w:t>
      </w:r>
      <w:r w:rsidRPr="00A5312F">
        <w:rPr>
          <w:i/>
        </w:rPr>
        <w:t>Verizon Wireless-SpectrumCo Order</w:t>
      </w:r>
      <w:r w:rsidRPr="00A5312F">
        <w:t xml:space="preserve">, 27 FCC Rcd at 10734 ¶ 95.  </w:t>
      </w:r>
    </w:p>
  </w:footnote>
  <w:footnote w:id="180">
    <w:p w:rsidR="00E85915" w:rsidRPr="00765230" w:rsidRDefault="00E85915" w:rsidP="009152FA">
      <w:pPr>
        <w:spacing w:after="120"/>
        <w:rPr>
          <w:sz w:val="20"/>
          <w:szCs w:val="20"/>
        </w:rPr>
      </w:pPr>
      <w:r w:rsidRPr="00A5312F">
        <w:rPr>
          <w:rStyle w:val="FootnoteReference"/>
          <w:szCs w:val="20"/>
        </w:rPr>
        <w:footnoteRef/>
      </w:r>
      <w:r w:rsidRPr="00765230">
        <w:rPr>
          <w:sz w:val="20"/>
          <w:szCs w:val="20"/>
        </w:rPr>
        <w:t xml:space="preserve"> </w:t>
      </w:r>
      <w:r w:rsidRPr="00765230">
        <w:rPr>
          <w:i/>
          <w:iCs/>
          <w:sz w:val="20"/>
          <w:szCs w:val="20"/>
        </w:rPr>
        <w:t xml:space="preserve">See, e.g., </w:t>
      </w:r>
      <w:r w:rsidRPr="00765230">
        <w:rPr>
          <w:i/>
          <w:sz w:val="20"/>
          <w:szCs w:val="20"/>
        </w:rPr>
        <w:t>SoftBank-Sprint Order</w:t>
      </w:r>
      <w:r w:rsidRPr="00765230">
        <w:rPr>
          <w:sz w:val="20"/>
          <w:szCs w:val="20"/>
        </w:rPr>
        <w:t xml:space="preserve">, 28 FCC Rcd at 9678 ¶ 91; </w:t>
      </w:r>
      <w:r w:rsidRPr="00765230">
        <w:rPr>
          <w:i/>
          <w:sz w:val="20"/>
          <w:szCs w:val="20"/>
        </w:rPr>
        <w:t>AT&amp;T-WCS Order</w:t>
      </w:r>
      <w:r w:rsidRPr="00765230">
        <w:rPr>
          <w:sz w:val="20"/>
          <w:szCs w:val="20"/>
        </w:rPr>
        <w:t>, 27 FCC Rcd at 16459 ¶ 40;</w:t>
      </w:r>
      <w:r w:rsidRPr="00765230">
        <w:rPr>
          <w:i/>
          <w:color w:val="252525"/>
          <w:sz w:val="20"/>
          <w:szCs w:val="20"/>
        </w:rPr>
        <w:t xml:space="preserve"> </w:t>
      </w:r>
      <w:r w:rsidRPr="00765230">
        <w:rPr>
          <w:i/>
          <w:sz w:val="20"/>
          <w:szCs w:val="20"/>
        </w:rPr>
        <w:t>AT&amp;T-Qualcomm Order</w:t>
      </w:r>
      <w:r w:rsidRPr="00765230">
        <w:rPr>
          <w:sz w:val="20"/>
          <w:szCs w:val="20"/>
        </w:rPr>
        <w:t>, 26 FCC Rcd at 17623 ¶ 82.</w:t>
      </w:r>
    </w:p>
  </w:footnote>
  <w:footnote w:id="181">
    <w:p w:rsidR="00E85915" w:rsidRPr="003A73EF" w:rsidRDefault="00E85915" w:rsidP="00947041">
      <w:pPr>
        <w:pStyle w:val="FootnoteText"/>
      </w:pPr>
      <w:r w:rsidRPr="00A5312F">
        <w:rPr>
          <w:rStyle w:val="FootnoteReference"/>
        </w:rPr>
        <w:footnoteRef/>
      </w:r>
      <w:r w:rsidRPr="00A5312F">
        <w:t xml:space="preserve"> </w:t>
      </w:r>
      <w:r w:rsidRPr="00A5312F">
        <w:rPr>
          <w:i/>
        </w:rPr>
        <w:t>See, e.g</w:t>
      </w:r>
      <w:r w:rsidRPr="0063667E">
        <w:t xml:space="preserve">., </w:t>
      </w:r>
      <w:r w:rsidRPr="0063667E">
        <w:rPr>
          <w:i/>
        </w:rPr>
        <w:t>Alaska Wireless Order</w:t>
      </w:r>
      <w:r w:rsidRPr="0063667E">
        <w:t xml:space="preserve">, 28 FCC Rcd at 10468 ¶ 86; </w:t>
      </w:r>
      <w:r w:rsidRPr="0063667E">
        <w:rPr>
          <w:i/>
        </w:rPr>
        <w:t>SoftBank-Sprint Order</w:t>
      </w:r>
      <w:r w:rsidRPr="0063667E">
        <w:t xml:space="preserve">, 28 FCC Rcd at 9678 ¶ 92; </w:t>
      </w:r>
      <w:r w:rsidRPr="002F1CEA">
        <w:rPr>
          <w:i/>
        </w:rPr>
        <w:t>T-Mobile-MetroPCS Order</w:t>
      </w:r>
      <w:r w:rsidRPr="002F1CEA">
        <w:t xml:space="preserve">, 28 FCC Rcd at 2342 ¶ 57; </w:t>
      </w:r>
      <w:r w:rsidRPr="003A73EF">
        <w:rPr>
          <w:i/>
        </w:rPr>
        <w:t>AT&amp;T-WCS Order</w:t>
      </w:r>
      <w:r w:rsidRPr="003A73EF">
        <w:t xml:space="preserve">, 27 FCC Rcd at 16474-75 ¶ 41; </w:t>
      </w:r>
      <w:r w:rsidRPr="003A73EF">
        <w:rPr>
          <w:i/>
        </w:rPr>
        <w:t>Verizon Wireless-SpectrumCo Order</w:t>
      </w:r>
      <w:r w:rsidRPr="003A73EF">
        <w:t xml:space="preserve">, 27 FCC Rcd at 10734 ¶ 96.  </w:t>
      </w:r>
    </w:p>
  </w:footnote>
  <w:footnote w:id="182">
    <w:p w:rsidR="00E85915" w:rsidRPr="0075707B" w:rsidRDefault="00E85915" w:rsidP="0020567E">
      <w:pPr>
        <w:pStyle w:val="FootnoteText"/>
      </w:pPr>
      <w:r w:rsidRPr="003A73EF">
        <w:rPr>
          <w:rStyle w:val="FootnoteReference"/>
        </w:rPr>
        <w:footnoteRef/>
      </w:r>
      <w:r w:rsidRPr="00C9339C">
        <w:t xml:space="preserve"> </w:t>
      </w:r>
      <w:r w:rsidRPr="00C9339C">
        <w:rPr>
          <w:i/>
        </w:rPr>
        <w:t>See, e.g</w:t>
      </w:r>
      <w:r w:rsidRPr="00C9339C">
        <w:t xml:space="preserve">., </w:t>
      </w:r>
      <w:r w:rsidRPr="00C9339C">
        <w:rPr>
          <w:i/>
        </w:rPr>
        <w:t>Alaska Wireless Order</w:t>
      </w:r>
      <w:r w:rsidRPr="00C9339C">
        <w:t xml:space="preserve">, 28 FCC Rcd at 10468 ¶ 86; </w:t>
      </w:r>
      <w:r w:rsidRPr="00773561">
        <w:rPr>
          <w:i/>
        </w:rPr>
        <w:t>SoftBank-Sprint Order</w:t>
      </w:r>
      <w:r w:rsidRPr="00291216">
        <w:t xml:space="preserve">, 28 FCC Rcd at 9678 ¶ 92; </w:t>
      </w:r>
      <w:r w:rsidRPr="00291216">
        <w:rPr>
          <w:i/>
        </w:rPr>
        <w:t>T-Mobile-MetroPCS Order</w:t>
      </w:r>
      <w:r w:rsidRPr="00291216">
        <w:t xml:space="preserve">, 28 FCC Rcd at 2342 ¶ 57; </w:t>
      </w:r>
      <w:r w:rsidRPr="007A24E8">
        <w:rPr>
          <w:i/>
        </w:rPr>
        <w:t>AT&amp;T-WCS Order</w:t>
      </w:r>
      <w:r w:rsidRPr="007A24E8">
        <w:t xml:space="preserve">, 27 FCC Rcd at 16474-75 ¶ 41; </w:t>
      </w:r>
      <w:r w:rsidRPr="0075707B">
        <w:rPr>
          <w:i/>
        </w:rPr>
        <w:t>Verizon Wireless-SpectrumCo Order</w:t>
      </w:r>
      <w:r w:rsidRPr="0075707B">
        <w:t>, 27 FCC Rcd at 10734 ¶ 96.</w:t>
      </w:r>
    </w:p>
  </w:footnote>
  <w:footnote w:id="183">
    <w:p w:rsidR="00E85915" w:rsidRPr="00121630" w:rsidRDefault="00E85915">
      <w:pPr>
        <w:pStyle w:val="FootnoteText"/>
      </w:pPr>
      <w:r w:rsidRPr="0075707B">
        <w:rPr>
          <w:rStyle w:val="FootnoteReference"/>
        </w:rPr>
        <w:footnoteRef/>
      </w:r>
      <w:r w:rsidRPr="0075707B">
        <w:t xml:space="preserve"> </w:t>
      </w:r>
      <w:r w:rsidRPr="0075707B">
        <w:rPr>
          <w:i/>
        </w:rPr>
        <w:t>See</w:t>
      </w:r>
      <w:r w:rsidRPr="0075707B">
        <w:t xml:space="preserve">, </w:t>
      </w:r>
      <w:r w:rsidRPr="0075707B">
        <w:rPr>
          <w:i/>
        </w:rPr>
        <w:t>e.g.</w:t>
      </w:r>
      <w:r w:rsidRPr="00F82C8B">
        <w:t xml:space="preserve">, </w:t>
      </w:r>
      <w:r w:rsidRPr="009F0F3A">
        <w:rPr>
          <w:i/>
        </w:rPr>
        <w:t>Alaska Wireless Order</w:t>
      </w:r>
      <w:r w:rsidRPr="009F0F3A">
        <w:t xml:space="preserve">, 28 FCC Rcd at 10468 ¶ 87; </w:t>
      </w:r>
      <w:r w:rsidRPr="009F0F3A">
        <w:rPr>
          <w:i/>
        </w:rPr>
        <w:t>SoftBank-Sprint Order</w:t>
      </w:r>
      <w:r w:rsidRPr="009F0F3A">
        <w:t xml:space="preserve">, 28 FCC Rcd at 9678 ¶ 93; </w:t>
      </w:r>
      <w:r w:rsidRPr="00E10E78">
        <w:rPr>
          <w:i/>
        </w:rPr>
        <w:t>T-Mobile-MetroPCS Order</w:t>
      </w:r>
      <w:r w:rsidRPr="00E10E78">
        <w:t>, 28 FCC Rcd at 2342 ¶ 58;</w:t>
      </w:r>
      <w:r w:rsidRPr="00E10E78" w:rsidDel="00183658">
        <w:rPr>
          <w:b/>
        </w:rPr>
        <w:t xml:space="preserve"> </w:t>
      </w:r>
      <w:r w:rsidRPr="00E10E78">
        <w:rPr>
          <w:i/>
        </w:rPr>
        <w:t>AT&amp;T-WCS Order</w:t>
      </w:r>
      <w:r w:rsidRPr="00E10E78">
        <w:t xml:space="preserve">, 27 FCC Rcd at 16475 ¶ 42; </w:t>
      </w:r>
      <w:r w:rsidRPr="00E10E78">
        <w:rPr>
          <w:i/>
        </w:rPr>
        <w:t>Verizon Wireless-SpectrumCo Order</w:t>
      </w:r>
      <w:r w:rsidRPr="00121630">
        <w:t>, 27 FCC Rcd at 10734 ¶ 97.</w:t>
      </w:r>
    </w:p>
  </w:footnote>
  <w:footnote w:id="184">
    <w:p w:rsidR="00E85915" w:rsidRPr="00E10E78" w:rsidRDefault="00E85915" w:rsidP="0020567E">
      <w:pPr>
        <w:pStyle w:val="FootnoteText"/>
      </w:pPr>
      <w:r w:rsidRPr="0075707B">
        <w:rPr>
          <w:rStyle w:val="FootnoteReference"/>
        </w:rPr>
        <w:footnoteRef/>
      </w:r>
      <w:r w:rsidRPr="0075707B">
        <w:t xml:space="preserve"> </w:t>
      </w:r>
      <w:r w:rsidRPr="0075707B">
        <w:rPr>
          <w:i/>
        </w:rPr>
        <w:t>See</w:t>
      </w:r>
      <w:r w:rsidRPr="0075707B">
        <w:t xml:space="preserve">, </w:t>
      </w:r>
      <w:r w:rsidRPr="0075707B">
        <w:rPr>
          <w:i/>
        </w:rPr>
        <w:t>e.g.</w:t>
      </w:r>
      <w:r w:rsidRPr="00F82C8B">
        <w:t xml:space="preserve">, </w:t>
      </w:r>
      <w:r w:rsidRPr="009F0F3A">
        <w:rPr>
          <w:i/>
        </w:rPr>
        <w:t>Alaska Wireless Order</w:t>
      </w:r>
      <w:r w:rsidRPr="009F0F3A">
        <w:t xml:space="preserve">, 28 FCC Rcd at 10468 ¶ 87; </w:t>
      </w:r>
      <w:r w:rsidRPr="009F0F3A">
        <w:rPr>
          <w:i/>
        </w:rPr>
        <w:t>SoftBank-Sprint Order</w:t>
      </w:r>
      <w:r w:rsidRPr="009F0F3A">
        <w:t xml:space="preserve">, 28 FCC Rcd at 9678 ¶ 93; </w:t>
      </w:r>
      <w:r w:rsidRPr="00E10E78">
        <w:rPr>
          <w:i/>
        </w:rPr>
        <w:t>T-Mobile-MetroPCS Order</w:t>
      </w:r>
      <w:r w:rsidRPr="00E10E78">
        <w:t xml:space="preserve">, 28 FCC Rcd at 2342 ¶ 58; </w:t>
      </w:r>
      <w:r w:rsidRPr="00E10E78">
        <w:rPr>
          <w:i/>
        </w:rPr>
        <w:t>AT&amp;T-WCS Order</w:t>
      </w:r>
      <w:r w:rsidRPr="00E10E78">
        <w:t>, 27 FCC Rcd at 16475 ¶ 42.</w:t>
      </w:r>
    </w:p>
  </w:footnote>
  <w:footnote w:id="185">
    <w:p w:rsidR="00E85915" w:rsidRPr="00121630" w:rsidRDefault="00E85915" w:rsidP="0020567E">
      <w:pPr>
        <w:pStyle w:val="FootnoteText"/>
      </w:pPr>
      <w:r w:rsidRPr="0075707B">
        <w:rPr>
          <w:rStyle w:val="FootnoteReference"/>
        </w:rPr>
        <w:footnoteRef/>
      </w:r>
      <w:r w:rsidRPr="0075707B">
        <w:t xml:space="preserve"> </w:t>
      </w:r>
      <w:r w:rsidRPr="0075707B">
        <w:rPr>
          <w:i/>
        </w:rPr>
        <w:t>See</w:t>
      </w:r>
      <w:r w:rsidRPr="0075707B">
        <w:t xml:space="preserve">, </w:t>
      </w:r>
      <w:r w:rsidRPr="0075707B">
        <w:rPr>
          <w:i/>
        </w:rPr>
        <w:t>e.g.</w:t>
      </w:r>
      <w:r w:rsidRPr="00F82C8B">
        <w:t xml:space="preserve">, </w:t>
      </w:r>
      <w:r w:rsidRPr="009F0F3A">
        <w:rPr>
          <w:i/>
        </w:rPr>
        <w:t>Alaska Wireless Order</w:t>
      </w:r>
      <w:r w:rsidRPr="009F0F3A">
        <w:t xml:space="preserve">, 28 FCC Rcd at 10468 ¶ 87; </w:t>
      </w:r>
      <w:r w:rsidRPr="009F0F3A">
        <w:rPr>
          <w:i/>
        </w:rPr>
        <w:t>SoftBank-Sprint Order</w:t>
      </w:r>
      <w:r w:rsidRPr="009F0F3A">
        <w:t xml:space="preserve">, 28 FCC Rcd at 9678 ¶ 93; </w:t>
      </w:r>
      <w:r w:rsidRPr="00E10E78">
        <w:rPr>
          <w:i/>
        </w:rPr>
        <w:t>T-Mobile-MetroPCS Order</w:t>
      </w:r>
      <w:r w:rsidRPr="00E10E78">
        <w:t xml:space="preserve">, 28 FCC Rcd at 2342 ¶ 58; </w:t>
      </w:r>
      <w:r w:rsidRPr="00E10E78">
        <w:rPr>
          <w:i/>
        </w:rPr>
        <w:t>AT&amp;T-WCS Order</w:t>
      </w:r>
      <w:r w:rsidRPr="00E10E78">
        <w:t xml:space="preserve">, 27 FCC Rcd at 16475 ¶ 42; </w:t>
      </w:r>
      <w:r w:rsidRPr="00E10E78">
        <w:rPr>
          <w:i/>
        </w:rPr>
        <w:t>Verizon Wireless-SpectrumCo Order</w:t>
      </w:r>
      <w:r w:rsidRPr="00121630">
        <w:t>, 27 FCC Rcd at 10735 ¶ 97.</w:t>
      </w:r>
    </w:p>
  </w:footnote>
  <w:footnote w:id="186">
    <w:p w:rsidR="00E85915" w:rsidRPr="00E10E78" w:rsidRDefault="00E85915" w:rsidP="00925D1D">
      <w:pPr>
        <w:pStyle w:val="FootnoteText"/>
      </w:pPr>
      <w:r w:rsidRPr="0075707B">
        <w:rPr>
          <w:rStyle w:val="FootnoteReference"/>
        </w:rPr>
        <w:footnoteRef/>
      </w:r>
      <w:r w:rsidRPr="0075707B">
        <w:t xml:space="preserve"> </w:t>
      </w:r>
      <w:r w:rsidRPr="0075707B">
        <w:rPr>
          <w:i/>
        </w:rPr>
        <w:t>See, e.g.</w:t>
      </w:r>
      <w:r w:rsidRPr="0075707B">
        <w:t xml:space="preserve">, </w:t>
      </w:r>
      <w:r w:rsidRPr="0075707B">
        <w:rPr>
          <w:i/>
        </w:rPr>
        <w:t>Alaska Wireless Order</w:t>
      </w:r>
      <w:r w:rsidRPr="00F82C8B">
        <w:t xml:space="preserve">, 28 FCC Rcd at 10468 ¶ 87; </w:t>
      </w:r>
      <w:r w:rsidRPr="009F0F3A">
        <w:rPr>
          <w:i/>
        </w:rPr>
        <w:t>Verizon Wireless-SpectrumCo Order</w:t>
      </w:r>
      <w:r w:rsidRPr="009F0F3A">
        <w:t xml:space="preserve">, 27 FCC Rcd at 10735 ¶ 97; </w:t>
      </w:r>
      <w:r w:rsidRPr="009F0F3A">
        <w:rPr>
          <w:i/>
        </w:rPr>
        <w:t>AT&amp;T-Centennial Order</w:t>
      </w:r>
      <w:r w:rsidRPr="00E10E78">
        <w:t>, 24 FCC Rcd at 13954 ¶ 90.</w:t>
      </w:r>
    </w:p>
  </w:footnote>
  <w:footnote w:id="187">
    <w:p w:rsidR="00E85915" w:rsidRPr="00E10E78" w:rsidRDefault="00E85915" w:rsidP="00925D1D">
      <w:pPr>
        <w:pStyle w:val="FootnoteText"/>
      </w:pPr>
      <w:r w:rsidRPr="0075707B">
        <w:rPr>
          <w:rStyle w:val="FootnoteReference"/>
        </w:rPr>
        <w:footnoteRef/>
      </w:r>
      <w:r w:rsidRPr="0075707B">
        <w:t xml:space="preserve"> </w:t>
      </w:r>
      <w:r w:rsidRPr="0075707B">
        <w:rPr>
          <w:i/>
        </w:rPr>
        <w:t>See</w:t>
      </w:r>
      <w:r w:rsidRPr="0075707B">
        <w:t xml:space="preserve">, </w:t>
      </w:r>
      <w:r w:rsidRPr="0075707B">
        <w:rPr>
          <w:i/>
        </w:rPr>
        <w:t>e.g.</w:t>
      </w:r>
      <w:r w:rsidRPr="00F82C8B">
        <w:t xml:space="preserve">, </w:t>
      </w:r>
      <w:r w:rsidRPr="009F0F3A">
        <w:rPr>
          <w:i/>
        </w:rPr>
        <w:t>Alaska Wireless Order</w:t>
      </w:r>
      <w:r w:rsidRPr="009F0F3A">
        <w:t xml:space="preserve">, 28 FCC Rcd at 10468 ¶ 87; </w:t>
      </w:r>
      <w:r w:rsidRPr="009F0F3A">
        <w:rPr>
          <w:i/>
        </w:rPr>
        <w:t>Verizon Wireless-SpectrumCo Order</w:t>
      </w:r>
      <w:r w:rsidRPr="009F0F3A">
        <w:t xml:space="preserve">, 27 FCC Rcd at 10735 ¶ 97; </w:t>
      </w:r>
      <w:r w:rsidRPr="00E10E78">
        <w:rPr>
          <w:i/>
        </w:rPr>
        <w:t>AT&amp;T-Centennial Order</w:t>
      </w:r>
      <w:r w:rsidRPr="00E10E78">
        <w:t>, 24 FCC Rcd at 13954 ¶ 90.</w:t>
      </w:r>
    </w:p>
  </w:footnote>
  <w:footnote w:id="188">
    <w:p w:rsidR="00E85915" w:rsidRPr="00121630" w:rsidRDefault="00E85915" w:rsidP="00947041">
      <w:pPr>
        <w:pStyle w:val="FootnoteText"/>
      </w:pPr>
      <w:r w:rsidRPr="0075707B">
        <w:rPr>
          <w:rStyle w:val="FootnoteReference"/>
        </w:rPr>
        <w:footnoteRef/>
      </w:r>
      <w:r w:rsidRPr="0075707B">
        <w:t xml:space="preserve"> </w:t>
      </w:r>
      <w:r w:rsidRPr="0075707B">
        <w:rPr>
          <w:i/>
        </w:rPr>
        <w:t>See, e.g</w:t>
      </w:r>
      <w:r w:rsidRPr="0075707B">
        <w:t xml:space="preserve">., </w:t>
      </w:r>
      <w:r w:rsidRPr="0075707B">
        <w:rPr>
          <w:i/>
        </w:rPr>
        <w:t>Alaska Wireless Order</w:t>
      </w:r>
      <w:r w:rsidRPr="00F82C8B">
        <w:t xml:space="preserve">, 28 FCC Rcd at 10468 ¶ 87; </w:t>
      </w:r>
      <w:r w:rsidRPr="009F0F3A">
        <w:rPr>
          <w:i/>
        </w:rPr>
        <w:t>SoftBank-Sprint Order</w:t>
      </w:r>
      <w:r w:rsidRPr="009F0F3A">
        <w:t xml:space="preserve">, 28 FCC Rcd at 9678 ¶ 93; </w:t>
      </w:r>
      <w:r w:rsidRPr="009F0F3A">
        <w:rPr>
          <w:i/>
        </w:rPr>
        <w:t>T-Mobile-MetroPCS Order</w:t>
      </w:r>
      <w:r w:rsidRPr="00E10E78">
        <w:t xml:space="preserve">, 28 FCC Rcd at 2342 ¶ 58; </w:t>
      </w:r>
      <w:r w:rsidRPr="00E10E78">
        <w:rPr>
          <w:i/>
        </w:rPr>
        <w:t>AT&amp;T-WCS Order</w:t>
      </w:r>
      <w:r w:rsidRPr="00E10E78">
        <w:t xml:space="preserve">, 27 FCC Rcd at 16475 ¶ 42; </w:t>
      </w:r>
      <w:r w:rsidRPr="00E10E78">
        <w:rPr>
          <w:i/>
        </w:rPr>
        <w:t>Verizon Wireless-SpectrumCo Order</w:t>
      </w:r>
      <w:r w:rsidRPr="00121630">
        <w:t>, 27 FCC Rcd at 10735 ¶ 97.</w:t>
      </w:r>
    </w:p>
  </w:footnote>
  <w:footnote w:id="189">
    <w:p w:rsidR="00E85915" w:rsidRPr="0075707B" w:rsidRDefault="00E85915" w:rsidP="00482DDB">
      <w:pPr>
        <w:pStyle w:val="FootnoteText"/>
      </w:pPr>
      <w:r w:rsidRPr="0075707B">
        <w:rPr>
          <w:rStyle w:val="FootnoteReference"/>
        </w:rPr>
        <w:footnoteRef/>
      </w:r>
      <w:r w:rsidRPr="0075707B">
        <w:t xml:space="preserve"> </w:t>
      </w:r>
      <w:r>
        <w:rPr>
          <w:i/>
        </w:rPr>
        <w:t xml:space="preserve">See, e.g., </w:t>
      </w:r>
      <w:r w:rsidRPr="0075707B">
        <w:rPr>
          <w:i/>
          <w:snapToGrid w:val="0"/>
        </w:rPr>
        <w:t>AT&amp;T-Centennial Order</w:t>
      </w:r>
      <w:r w:rsidRPr="0075707B">
        <w:rPr>
          <w:snapToGrid w:val="0"/>
        </w:rPr>
        <w:t>, 24 FCC Rcd at 13954 ¶ 90.</w:t>
      </w:r>
    </w:p>
  </w:footnote>
  <w:footnote w:id="190">
    <w:p w:rsidR="00E85915" w:rsidRPr="00121630" w:rsidRDefault="00E85915" w:rsidP="00947041">
      <w:pPr>
        <w:pStyle w:val="FootnoteText"/>
      </w:pPr>
      <w:r w:rsidRPr="0075707B">
        <w:rPr>
          <w:rStyle w:val="FootnoteReference"/>
        </w:rPr>
        <w:footnoteRef/>
      </w:r>
      <w:r w:rsidRPr="0075707B">
        <w:t xml:space="preserve"> </w:t>
      </w:r>
      <w:r w:rsidRPr="0075707B">
        <w:rPr>
          <w:i/>
        </w:rPr>
        <w:t>See, e.g</w:t>
      </w:r>
      <w:r w:rsidRPr="0075707B">
        <w:t xml:space="preserve">., </w:t>
      </w:r>
      <w:r w:rsidRPr="0075707B">
        <w:rPr>
          <w:i/>
        </w:rPr>
        <w:t>Al</w:t>
      </w:r>
      <w:r w:rsidRPr="00F82C8B">
        <w:rPr>
          <w:i/>
        </w:rPr>
        <w:t>aska Wireless Order</w:t>
      </w:r>
      <w:r w:rsidRPr="009F0F3A">
        <w:t xml:space="preserve">, 28 FCC Rcd at 10468 ¶ 88; </w:t>
      </w:r>
      <w:r w:rsidRPr="009F0F3A">
        <w:rPr>
          <w:i/>
        </w:rPr>
        <w:t>SoftBank-Sprint Order</w:t>
      </w:r>
      <w:r w:rsidRPr="009F0F3A">
        <w:t xml:space="preserve">, 28 FCC Rcd at 9678 ¶ 93; </w:t>
      </w:r>
      <w:r w:rsidRPr="009F0F3A">
        <w:rPr>
          <w:i/>
        </w:rPr>
        <w:t>T-Mobile-MetroPCS Order</w:t>
      </w:r>
      <w:r w:rsidRPr="00E10E78">
        <w:t xml:space="preserve">, 28 FCC Rcd at 2342 ¶ 59; </w:t>
      </w:r>
      <w:r w:rsidRPr="00E10E78">
        <w:rPr>
          <w:i/>
        </w:rPr>
        <w:t>AT&amp;T-WCS Order</w:t>
      </w:r>
      <w:r w:rsidRPr="00E10E78">
        <w:t xml:space="preserve">, 27 FCC Rcd at 16475 ¶ 42; </w:t>
      </w:r>
      <w:r w:rsidRPr="00E10E78">
        <w:rPr>
          <w:i/>
        </w:rPr>
        <w:t>Verizon Wireless-SpectrumCo Order</w:t>
      </w:r>
      <w:r w:rsidRPr="00121630">
        <w:t>, 27 FCC Rcd at 10735 ¶ 98.</w:t>
      </w:r>
    </w:p>
  </w:footnote>
  <w:footnote w:id="191">
    <w:p w:rsidR="00E85915" w:rsidRPr="00A5312F" w:rsidRDefault="00E85915" w:rsidP="00947041">
      <w:pPr>
        <w:pStyle w:val="FootnoteText"/>
      </w:pPr>
      <w:r w:rsidRPr="0075707B">
        <w:rPr>
          <w:rStyle w:val="FootnoteReference"/>
        </w:rPr>
        <w:footnoteRef/>
      </w:r>
      <w:r w:rsidRPr="0075707B">
        <w:t xml:space="preserve"> </w:t>
      </w:r>
      <w:r w:rsidRPr="0075707B">
        <w:rPr>
          <w:i/>
        </w:rPr>
        <w:t>See, e.g.</w:t>
      </w:r>
      <w:r w:rsidRPr="0075707B">
        <w:t>,</w:t>
      </w:r>
      <w:r w:rsidRPr="00F82C8B">
        <w:rPr>
          <w:i/>
        </w:rPr>
        <w:t xml:space="preserve"> Alaska Wireless Order</w:t>
      </w:r>
      <w:r w:rsidRPr="009F0F3A">
        <w:t xml:space="preserve">, 28 FCC Rcd at 10468 ¶ 88; </w:t>
      </w:r>
      <w:r w:rsidRPr="009F0F3A">
        <w:rPr>
          <w:i/>
        </w:rPr>
        <w:t>SoftBank-Sprint Order</w:t>
      </w:r>
      <w:r w:rsidRPr="009F0F3A">
        <w:t xml:space="preserve">, 28 FCC Rcd at 9678-79 ¶ 93; </w:t>
      </w:r>
      <w:r w:rsidRPr="009F0F3A">
        <w:rPr>
          <w:i/>
        </w:rPr>
        <w:t>T-Mobile-MetroPCS Order</w:t>
      </w:r>
      <w:r w:rsidRPr="00E10E78">
        <w:t xml:space="preserve">, 28 FCC Rcd at 2342 ¶ 59; </w:t>
      </w:r>
      <w:r w:rsidRPr="00E10E78">
        <w:rPr>
          <w:i/>
        </w:rPr>
        <w:t>AT&amp;T-WCS Order</w:t>
      </w:r>
      <w:r w:rsidRPr="00E10E78">
        <w:t xml:space="preserve">, 27 FCC Rcd at 16475 ¶ 42; </w:t>
      </w:r>
      <w:r w:rsidRPr="00E10E78">
        <w:rPr>
          <w:i/>
        </w:rPr>
        <w:t>Verizon Wireless-SpectrumCo Order</w:t>
      </w:r>
      <w:r w:rsidRPr="00121630">
        <w:t>, 27 FCC Rcd at 10735</w:t>
      </w:r>
      <w:r w:rsidRPr="00A5312F">
        <w:rPr>
          <w:iCs/>
        </w:rPr>
        <w:t xml:space="preserve"> ¶ 98</w:t>
      </w:r>
      <w:r w:rsidRPr="00A5312F">
        <w:t xml:space="preserve">; </w:t>
      </w:r>
      <w:r w:rsidRPr="00A5312F">
        <w:rPr>
          <w:i/>
        </w:rPr>
        <w:t>cf.</w:t>
      </w:r>
      <w:r w:rsidRPr="00A5312F">
        <w:t xml:space="preserve"> </w:t>
      </w:r>
      <w:r w:rsidRPr="00A5312F">
        <w:rPr>
          <w:i/>
        </w:rPr>
        <w:t>2010 DOJ/FTC</w:t>
      </w:r>
      <w:r w:rsidRPr="00A5312F">
        <w:t xml:space="preserve"> </w:t>
      </w:r>
      <w:r w:rsidRPr="00A5312F">
        <w:rPr>
          <w:i/>
        </w:rPr>
        <w:t xml:space="preserve">Horizontal Merger Guidelines </w:t>
      </w:r>
      <w:r w:rsidRPr="00A5312F">
        <w:t>at § 10, p. 31 (“The greater the potential adverse competitive effect of a merger . . . the greater must be cognizable efficiencies in order for the Agency to conclude that the merger will not have an anticompetitive effect in the relevant market.  When the potential adverse competitive effect of a merger is likely to be particularly large, extraordinarily great cognizable efficiencies would be necessary to prevent the merger from being anticompetitive.”).</w:t>
      </w:r>
    </w:p>
  </w:footnote>
  <w:footnote w:id="192">
    <w:p w:rsidR="00E85915" w:rsidRPr="0075707B" w:rsidRDefault="00E85915" w:rsidP="003F2ABF">
      <w:pPr>
        <w:pStyle w:val="FootnoteText"/>
      </w:pPr>
      <w:r w:rsidRPr="0075707B">
        <w:rPr>
          <w:rStyle w:val="FootnoteReference"/>
        </w:rPr>
        <w:footnoteRef/>
      </w:r>
      <w:r w:rsidRPr="0075707B">
        <w:t xml:space="preserve"> Public Interest Statement at 6.</w:t>
      </w:r>
    </w:p>
  </w:footnote>
  <w:footnote w:id="193">
    <w:p w:rsidR="00E85915" w:rsidRPr="0075707B" w:rsidRDefault="00E85915" w:rsidP="003F2ABF">
      <w:pPr>
        <w:pStyle w:val="FootnoteText"/>
      </w:pPr>
      <w:r w:rsidRPr="0075707B">
        <w:rPr>
          <w:rStyle w:val="FootnoteReference"/>
        </w:rPr>
        <w:footnoteRef/>
      </w:r>
      <w:r w:rsidRPr="0075707B">
        <w:t xml:space="preserve"> </w:t>
      </w:r>
      <w:r>
        <w:rPr>
          <w:i/>
        </w:rPr>
        <w:t>Id.</w:t>
      </w:r>
      <w:r w:rsidRPr="0075707B">
        <w:t xml:space="preserve"> at 6.</w:t>
      </w:r>
    </w:p>
  </w:footnote>
  <w:footnote w:id="194">
    <w:p w:rsidR="00E85915" w:rsidRPr="0075707B" w:rsidRDefault="00E85915" w:rsidP="003C217B">
      <w:pPr>
        <w:pStyle w:val="FootnoteText"/>
      </w:pPr>
      <w:r w:rsidRPr="0075707B">
        <w:rPr>
          <w:rStyle w:val="FootnoteReference"/>
        </w:rPr>
        <w:footnoteRef/>
      </w:r>
      <w:r w:rsidRPr="0075707B">
        <w:t xml:space="preserve"> Joint Opposition at 4. </w:t>
      </w:r>
    </w:p>
  </w:footnote>
  <w:footnote w:id="195">
    <w:p w:rsidR="00E85915" w:rsidRPr="0075707B" w:rsidRDefault="00E85915" w:rsidP="003C217B">
      <w:pPr>
        <w:pStyle w:val="FootnoteText"/>
      </w:pPr>
      <w:r w:rsidRPr="0075707B">
        <w:rPr>
          <w:rStyle w:val="FootnoteReference"/>
        </w:rPr>
        <w:footnoteRef/>
      </w:r>
      <w:r w:rsidRPr="0075707B">
        <w:t xml:space="preserve"> Public Interest Statement at 6, 10.</w:t>
      </w:r>
    </w:p>
  </w:footnote>
  <w:footnote w:id="196">
    <w:p w:rsidR="00E85915" w:rsidRPr="0075707B" w:rsidRDefault="00E85915" w:rsidP="003C217B">
      <w:pPr>
        <w:pStyle w:val="FootnoteText"/>
      </w:pPr>
      <w:r w:rsidRPr="0075707B">
        <w:rPr>
          <w:rStyle w:val="FootnoteReference"/>
        </w:rPr>
        <w:footnoteRef/>
      </w:r>
      <w:r w:rsidRPr="0075707B">
        <w:t xml:space="preserve"> </w:t>
      </w:r>
      <w:r>
        <w:rPr>
          <w:i/>
        </w:rPr>
        <w:t>Id.</w:t>
      </w:r>
      <w:r w:rsidRPr="0075707B">
        <w:t xml:space="preserve"> at 7.</w:t>
      </w:r>
    </w:p>
  </w:footnote>
  <w:footnote w:id="197">
    <w:p w:rsidR="00E85915" w:rsidRPr="0075707B" w:rsidRDefault="00E85915" w:rsidP="00280F66">
      <w:pPr>
        <w:pStyle w:val="FootnoteText"/>
      </w:pPr>
      <w:r w:rsidRPr="0075707B">
        <w:rPr>
          <w:rStyle w:val="FootnoteReference"/>
        </w:rPr>
        <w:footnoteRef/>
      </w:r>
      <w:r w:rsidRPr="0075707B">
        <w:t xml:space="preserve"> </w:t>
      </w:r>
      <w:r>
        <w:rPr>
          <w:i/>
        </w:rPr>
        <w:t>Id.</w:t>
      </w:r>
      <w:r w:rsidRPr="0075707B">
        <w:t xml:space="preserve"> at 7, 22.</w:t>
      </w:r>
    </w:p>
  </w:footnote>
  <w:footnote w:id="198">
    <w:p w:rsidR="00E85915" w:rsidRPr="0075707B" w:rsidRDefault="00E85915" w:rsidP="001248AC">
      <w:pPr>
        <w:pStyle w:val="FootnoteText"/>
      </w:pPr>
      <w:r w:rsidRPr="0075707B">
        <w:rPr>
          <w:rStyle w:val="FootnoteReference"/>
        </w:rPr>
        <w:footnoteRef/>
      </w:r>
      <w:r w:rsidRPr="0075707B">
        <w:t xml:space="preserve"> </w:t>
      </w:r>
      <w:r>
        <w:t>Lead Application, Declaration of William F. Kreisher, Senior Vice President, Corporate Development, Atlantic Tele-Network, Inc., at 7 (“</w:t>
      </w:r>
      <w:r w:rsidRPr="0075707B">
        <w:t>Kreisher Declaration</w:t>
      </w:r>
      <w:r>
        <w:t>”)</w:t>
      </w:r>
      <w:r w:rsidRPr="0075707B">
        <w:t>.</w:t>
      </w:r>
    </w:p>
  </w:footnote>
  <w:footnote w:id="199">
    <w:p w:rsidR="00E85915" w:rsidRPr="0075707B" w:rsidRDefault="00E85915" w:rsidP="00280F66">
      <w:pPr>
        <w:pStyle w:val="FootnoteText"/>
      </w:pPr>
      <w:r w:rsidRPr="0075707B">
        <w:rPr>
          <w:rStyle w:val="FootnoteReference"/>
        </w:rPr>
        <w:footnoteRef/>
      </w:r>
      <w:r w:rsidRPr="0075707B">
        <w:t xml:space="preserve"> </w:t>
      </w:r>
      <w:r>
        <w:rPr>
          <w:i/>
        </w:rPr>
        <w:t>Id.</w:t>
      </w:r>
      <w:r w:rsidRPr="0075707B">
        <w:t xml:space="preserve"> at 7.</w:t>
      </w:r>
    </w:p>
  </w:footnote>
  <w:footnote w:id="200">
    <w:p w:rsidR="00E85915" w:rsidRPr="0075707B" w:rsidRDefault="00E85915" w:rsidP="003C217B">
      <w:pPr>
        <w:pStyle w:val="FootnoteText"/>
      </w:pPr>
      <w:r w:rsidRPr="0075707B">
        <w:rPr>
          <w:rStyle w:val="FootnoteReference"/>
        </w:rPr>
        <w:footnoteRef/>
      </w:r>
      <w:r w:rsidRPr="0075707B">
        <w:t xml:space="preserve"> Public Interest Statement at 7, 10.</w:t>
      </w:r>
    </w:p>
  </w:footnote>
  <w:footnote w:id="201">
    <w:p w:rsidR="00E85915" w:rsidRPr="00121630" w:rsidRDefault="00E85915" w:rsidP="003C217B">
      <w:pPr>
        <w:pStyle w:val="FootnoteText"/>
      </w:pPr>
      <w:r w:rsidRPr="0075707B">
        <w:rPr>
          <w:rStyle w:val="FootnoteReference"/>
        </w:rPr>
        <w:footnoteRef/>
      </w:r>
      <w:r w:rsidRPr="0075707B">
        <w:t xml:space="preserve"> AT&amp;T IR Response, June 19, 2013, at 7-8.  In the remaining two CMAs where Allied holds a Lower 700 MHz Band license, AT&amp;T currently has no Lower 700 MHz Band B</w:t>
      </w:r>
      <w:r w:rsidRPr="009F0F3A">
        <w:t xml:space="preserve"> or C Block spectrum.  </w:t>
      </w:r>
      <w:r>
        <w:rPr>
          <w:i/>
        </w:rPr>
        <w:t>Id.</w:t>
      </w:r>
      <w:r>
        <w:t xml:space="preserve"> at </w:t>
      </w:r>
      <w:r w:rsidRPr="0075707B">
        <w:t>8.</w:t>
      </w:r>
      <w:r w:rsidRPr="009F0F3A" w:rsidDel="00FA14BB">
        <w:t xml:space="preserve"> </w:t>
      </w:r>
    </w:p>
  </w:footnote>
  <w:footnote w:id="202">
    <w:p w:rsidR="00E85915" w:rsidRPr="00F82C8B" w:rsidRDefault="00E85915" w:rsidP="003C217B">
      <w:pPr>
        <w:pStyle w:val="FootnoteText"/>
      </w:pPr>
      <w:r w:rsidRPr="0075707B">
        <w:rPr>
          <w:rStyle w:val="FootnoteReference"/>
        </w:rPr>
        <w:footnoteRef/>
      </w:r>
      <w:r w:rsidRPr="0075707B">
        <w:t xml:space="preserve"> AT&amp;T IR Response, June 19, 2013, at 8.  </w:t>
      </w:r>
      <w:r w:rsidRPr="0075707B">
        <w:rPr>
          <w:i/>
        </w:rPr>
        <w:t>See also</w:t>
      </w:r>
      <w:r w:rsidRPr="0075707B">
        <w:t xml:space="preserve"> </w:t>
      </w:r>
      <w:r>
        <w:rPr>
          <w:i/>
        </w:rPr>
        <w:t>AT&amp;T-Verizon Wireless-Grain Order</w:t>
      </w:r>
      <w:r>
        <w:t>, DA 13-1854, at ¶ 58 n.176;</w:t>
      </w:r>
      <w:r>
        <w:rPr>
          <w:i/>
        </w:rPr>
        <w:t xml:space="preserve"> </w:t>
      </w:r>
      <w:r w:rsidRPr="0075707B">
        <w:rPr>
          <w:i/>
        </w:rPr>
        <w:t>Verizon Wireless</w:t>
      </w:r>
      <w:r>
        <w:rPr>
          <w:i/>
        </w:rPr>
        <w:t>-</w:t>
      </w:r>
      <w:r w:rsidRPr="0075707B">
        <w:rPr>
          <w:i/>
        </w:rPr>
        <w:t>SpectrumCo Order</w:t>
      </w:r>
      <w:r w:rsidRPr="00F82C8B">
        <w:t>, 27 FCC Rcd at 10726 ¶ 73.</w:t>
      </w:r>
    </w:p>
  </w:footnote>
  <w:footnote w:id="203">
    <w:p w:rsidR="00E85915" w:rsidRPr="0075707B" w:rsidRDefault="00E85915" w:rsidP="003C217B">
      <w:pPr>
        <w:pStyle w:val="FootnoteText"/>
      </w:pPr>
      <w:r w:rsidRPr="0075707B">
        <w:rPr>
          <w:rStyle w:val="FootnoteReference"/>
        </w:rPr>
        <w:footnoteRef/>
      </w:r>
      <w:r w:rsidRPr="0075707B">
        <w:t xml:space="preserve"> AT&amp;T IR Response, June 19, 2013, at 8.</w:t>
      </w:r>
    </w:p>
  </w:footnote>
  <w:footnote w:id="204">
    <w:p w:rsidR="00E85915" w:rsidRPr="0075707B" w:rsidRDefault="00E85915">
      <w:pPr>
        <w:pStyle w:val="FootnoteText"/>
      </w:pPr>
      <w:r w:rsidRPr="0075707B">
        <w:rPr>
          <w:rStyle w:val="FootnoteReference"/>
        </w:rPr>
        <w:footnoteRef/>
      </w:r>
      <w:r w:rsidRPr="0075707B">
        <w:t xml:space="preserve"> </w:t>
      </w:r>
      <w:r>
        <w:rPr>
          <w:i/>
        </w:rPr>
        <w:t>Id</w:t>
      </w:r>
      <w:r w:rsidRPr="0075707B">
        <w:t>.</w:t>
      </w:r>
    </w:p>
  </w:footnote>
  <w:footnote w:id="205">
    <w:p w:rsidR="00E85915" w:rsidRPr="0075707B" w:rsidRDefault="00E85915">
      <w:pPr>
        <w:pStyle w:val="FootnoteText"/>
      </w:pPr>
      <w:r w:rsidRPr="0075707B">
        <w:rPr>
          <w:rStyle w:val="FootnoteReference"/>
        </w:rPr>
        <w:footnoteRef/>
      </w:r>
      <w:r w:rsidRPr="0075707B">
        <w:t xml:space="preserve"> AT&amp;T Second Supplemental IR Response, July 17, 2013, at 2.</w:t>
      </w:r>
    </w:p>
  </w:footnote>
  <w:footnote w:id="206">
    <w:p w:rsidR="00E85915" w:rsidRPr="0075707B" w:rsidRDefault="00E85915" w:rsidP="003C217B">
      <w:pPr>
        <w:pStyle w:val="FootnoteText"/>
      </w:pPr>
      <w:r w:rsidRPr="0075707B">
        <w:rPr>
          <w:rStyle w:val="FootnoteReference"/>
        </w:rPr>
        <w:footnoteRef/>
      </w:r>
      <w:r w:rsidRPr="0075707B">
        <w:t xml:space="preserve"> AT&amp;T IR Response, June 19, 2013, at 15.</w:t>
      </w:r>
    </w:p>
  </w:footnote>
  <w:footnote w:id="207">
    <w:p w:rsidR="00E85915" w:rsidRPr="0075707B" w:rsidRDefault="00E85915" w:rsidP="003C217B">
      <w:pPr>
        <w:pStyle w:val="FootnoteText"/>
      </w:pPr>
      <w:r w:rsidRPr="0075707B">
        <w:rPr>
          <w:rStyle w:val="FootnoteReference"/>
        </w:rPr>
        <w:footnoteRef/>
      </w:r>
      <w:r w:rsidRPr="0075707B">
        <w:t xml:space="preserve"> AT&amp;T Second Supplemental IR Response, July 17, 2013, at 2.</w:t>
      </w:r>
    </w:p>
  </w:footnote>
  <w:footnote w:id="208">
    <w:p w:rsidR="00E85915" w:rsidRPr="0075707B" w:rsidRDefault="00E85915" w:rsidP="0059059D">
      <w:pPr>
        <w:pStyle w:val="FootnoteText"/>
      </w:pPr>
      <w:r w:rsidRPr="0075707B">
        <w:rPr>
          <w:rStyle w:val="FootnoteReference"/>
        </w:rPr>
        <w:footnoteRef/>
      </w:r>
      <w:r w:rsidRPr="0075707B">
        <w:t xml:space="preserve"> Public Interest Statement at 8.</w:t>
      </w:r>
    </w:p>
  </w:footnote>
  <w:footnote w:id="209">
    <w:p w:rsidR="00E85915" w:rsidRPr="0075707B" w:rsidRDefault="00E85915">
      <w:pPr>
        <w:pStyle w:val="FootnoteText"/>
      </w:pPr>
      <w:r w:rsidRPr="0075707B">
        <w:rPr>
          <w:rStyle w:val="FootnoteReference"/>
        </w:rPr>
        <w:footnoteRef/>
      </w:r>
      <w:r w:rsidRPr="0075707B">
        <w:t xml:space="preserve"> </w:t>
      </w:r>
      <w:r>
        <w:rPr>
          <w:i/>
        </w:rPr>
        <w:t>Id.</w:t>
      </w:r>
      <w:r w:rsidRPr="0075707B">
        <w:t xml:space="preserve"> at 1, 8-9.</w:t>
      </w:r>
    </w:p>
  </w:footnote>
  <w:footnote w:id="210">
    <w:p w:rsidR="00E85915" w:rsidRPr="0075707B" w:rsidRDefault="00E85915" w:rsidP="0059059D">
      <w:pPr>
        <w:pStyle w:val="FootnoteText"/>
      </w:pPr>
      <w:r w:rsidRPr="0075707B">
        <w:rPr>
          <w:rStyle w:val="FootnoteReference"/>
        </w:rPr>
        <w:footnoteRef/>
      </w:r>
      <w:r w:rsidRPr="0075707B">
        <w:t xml:space="preserve"> </w:t>
      </w:r>
      <w:r>
        <w:rPr>
          <w:i/>
        </w:rPr>
        <w:t>Id.</w:t>
      </w:r>
      <w:r w:rsidRPr="0075707B">
        <w:t xml:space="preserve"> at 9.</w:t>
      </w:r>
    </w:p>
  </w:footnote>
  <w:footnote w:id="211">
    <w:p w:rsidR="00E85915" w:rsidRPr="0075707B" w:rsidRDefault="00E85915" w:rsidP="0059059D">
      <w:pPr>
        <w:pStyle w:val="FootnoteText"/>
      </w:pPr>
      <w:r w:rsidRPr="0075707B">
        <w:rPr>
          <w:rStyle w:val="FootnoteReference"/>
        </w:rPr>
        <w:footnoteRef/>
      </w:r>
      <w:r w:rsidRPr="0075707B">
        <w:t xml:space="preserve"> </w:t>
      </w:r>
      <w:r>
        <w:rPr>
          <w:i/>
        </w:rPr>
        <w:t>Id.</w:t>
      </w:r>
      <w:r w:rsidRPr="0075707B">
        <w:t xml:space="preserve"> at 8.</w:t>
      </w:r>
    </w:p>
  </w:footnote>
  <w:footnote w:id="212">
    <w:p w:rsidR="00E85915" w:rsidRPr="0075707B" w:rsidRDefault="00E85915" w:rsidP="00322E44">
      <w:pPr>
        <w:pStyle w:val="FootnoteText"/>
      </w:pPr>
      <w:r w:rsidRPr="0075707B">
        <w:rPr>
          <w:rStyle w:val="FootnoteReference"/>
        </w:rPr>
        <w:footnoteRef/>
      </w:r>
      <w:r w:rsidRPr="0075707B">
        <w:t xml:space="preserve"> </w:t>
      </w:r>
      <w:r>
        <w:rPr>
          <w:i/>
        </w:rPr>
        <w:t>Id.</w:t>
      </w:r>
      <w:r w:rsidRPr="0075707B">
        <w:t xml:space="preserve"> at 9.</w:t>
      </w:r>
    </w:p>
  </w:footnote>
  <w:footnote w:id="213">
    <w:p w:rsidR="00E85915" w:rsidRPr="00E10E78" w:rsidRDefault="00E85915" w:rsidP="00C2655F">
      <w:pPr>
        <w:pStyle w:val="FootnoteText"/>
      </w:pPr>
      <w:r w:rsidRPr="0075707B">
        <w:rPr>
          <w:rStyle w:val="FootnoteReference"/>
        </w:rPr>
        <w:footnoteRef/>
      </w:r>
      <w:r w:rsidRPr="0075707B">
        <w:t xml:space="preserve"> Allied notes that, unlike any other regional carrier, its ten non-contiguous and unnaturally shaped rural island properties surro</w:t>
      </w:r>
      <w:r w:rsidRPr="009F0F3A">
        <w:t xml:space="preserve">und metropolitan areas but do not include the metropolitan areas themselves where most subscribers work or spend significant amounts of time.  </w:t>
      </w:r>
      <w:r>
        <w:t>ATN IR Response, June 19, 2013,</w:t>
      </w:r>
      <w:r w:rsidRPr="00E10E78">
        <w:t xml:space="preserve"> at 27.</w:t>
      </w:r>
    </w:p>
  </w:footnote>
  <w:footnote w:id="214">
    <w:p w:rsidR="00E85915" w:rsidRPr="0075707B" w:rsidRDefault="00E85915" w:rsidP="00C2655F">
      <w:pPr>
        <w:pStyle w:val="FootnoteText"/>
      </w:pPr>
      <w:r w:rsidRPr="0075707B">
        <w:rPr>
          <w:rStyle w:val="FootnoteReference"/>
        </w:rPr>
        <w:footnoteRef/>
      </w:r>
      <w:r w:rsidRPr="0075707B">
        <w:t xml:space="preserve"> Public Interest Statement at 19-21.</w:t>
      </w:r>
    </w:p>
  </w:footnote>
  <w:footnote w:id="215">
    <w:p w:rsidR="00E85915" w:rsidRPr="0075707B" w:rsidRDefault="00E85915" w:rsidP="00C2655F">
      <w:pPr>
        <w:pStyle w:val="FootnoteText"/>
      </w:pPr>
      <w:r w:rsidRPr="0075707B">
        <w:rPr>
          <w:rStyle w:val="FootnoteReference"/>
        </w:rPr>
        <w:footnoteRef/>
      </w:r>
      <w:r w:rsidRPr="0075707B">
        <w:t xml:space="preserve"> </w:t>
      </w:r>
      <w:r>
        <w:rPr>
          <w:i/>
        </w:rPr>
        <w:t>Id.</w:t>
      </w:r>
      <w:r w:rsidRPr="0075707B">
        <w:t xml:space="preserve"> at 21.</w:t>
      </w:r>
    </w:p>
  </w:footnote>
  <w:footnote w:id="216">
    <w:p w:rsidR="00E85915" w:rsidRPr="0075707B" w:rsidRDefault="00E85915" w:rsidP="00C2655F">
      <w:pPr>
        <w:pStyle w:val="FootnoteText"/>
      </w:pPr>
      <w:r w:rsidRPr="0075707B">
        <w:rPr>
          <w:rStyle w:val="FootnoteReference"/>
        </w:rPr>
        <w:footnoteRef/>
      </w:r>
      <w:r w:rsidRPr="0075707B">
        <w:t xml:space="preserve"> </w:t>
      </w:r>
      <w:r>
        <w:t>ATN IR Response, June 19, 2013, at 31-33.</w:t>
      </w:r>
    </w:p>
  </w:footnote>
  <w:footnote w:id="217">
    <w:p w:rsidR="00E85915" w:rsidRPr="00A21BB2" w:rsidRDefault="00E85915" w:rsidP="003F2ABF">
      <w:pPr>
        <w:pStyle w:val="FootnoteText"/>
      </w:pPr>
      <w:r w:rsidRPr="0075707B">
        <w:rPr>
          <w:rStyle w:val="FootnoteReference"/>
        </w:rPr>
        <w:footnoteRef/>
      </w:r>
      <w:r w:rsidRPr="0075707B">
        <w:t xml:space="preserve"> Public Interest Statement at 11.  </w:t>
      </w:r>
      <w:r>
        <w:rPr>
          <w:i/>
        </w:rPr>
        <w:t>See also</w:t>
      </w:r>
      <w:r>
        <w:t xml:space="preserve"> </w:t>
      </w:r>
      <w:r w:rsidRPr="0075707B">
        <w:t>AT&amp;T</w:t>
      </w:r>
      <w:r>
        <w:t xml:space="preserve"> IR Response, June 19, 2013, at 10-14</w:t>
      </w:r>
      <w:r w:rsidRPr="0075707B">
        <w:t>.</w:t>
      </w:r>
    </w:p>
  </w:footnote>
  <w:footnote w:id="218">
    <w:p w:rsidR="00E85915" w:rsidRPr="0075707B" w:rsidRDefault="00E85915" w:rsidP="003F2ABF">
      <w:pPr>
        <w:pStyle w:val="FootnoteText"/>
      </w:pPr>
      <w:r w:rsidRPr="0075707B">
        <w:rPr>
          <w:rStyle w:val="FootnoteReference"/>
        </w:rPr>
        <w:footnoteRef/>
      </w:r>
      <w:r w:rsidRPr="0075707B">
        <w:t xml:space="preserve"> Public Interest Statement at 11.</w:t>
      </w:r>
    </w:p>
  </w:footnote>
  <w:footnote w:id="219">
    <w:p w:rsidR="00E85915" w:rsidRPr="0075707B" w:rsidRDefault="00E85915" w:rsidP="00A33198">
      <w:pPr>
        <w:pStyle w:val="FootnoteText"/>
      </w:pPr>
      <w:r w:rsidRPr="0075707B">
        <w:rPr>
          <w:rStyle w:val="FootnoteReference"/>
        </w:rPr>
        <w:footnoteRef/>
      </w:r>
      <w:r w:rsidRPr="0075707B">
        <w:t xml:space="preserve"> AT&amp;T IR Response, June 19, 2013, at 12.</w:t>
      </w:r>
    </w:p>
  </w:footnote>
  <w:footnote w:id="220">
    <w:p w:rsidR="00E85915" w:rsidRPr="0075707B" w:rsidRDefault="00E85915" w:rsidP="003F2ABF">
      <w:pPr>
        <w:pStyle w:val="FootnoteText"/>
      </w:pPr>
      <w:r w:rsidRPr="0075707B">
        <w:rPr>
          <w:rStyle w:val="FootnoteReference"/>
        </w:rPr>
        <w:footnoteRef/>
      </w:r>
      <w:r w:rsidRPr="0075707B">
        <w:t xml:space="preserve"> </w:t>
      </w:r>
      <w:r>
        <w:rPr>
          <w:i/>
        </w:rPr>
        <w:t>Id.</w:t>
      </w:r>
      <w:r w:rsidRPr="0075707B">
        <w:t xml:space="preserve"> at 11.  The underlying model and data for estimating these cost savings is provided in ATTF-ATN00000096.</w:t>
      </w:r>
    </w:p>
  </w:footnote>
  <w:footnote w:id="221">
    <w:p w:rsidR="00E85915" w:rsidRPr="0075707B" w:rsidRDefault="00E85915" w:rsidP="003F2ABF">
      <w:pPr>
        <w:pStyle w:val="FootnoteText"/>
      </w:pPr>
      <w:r w:rsidRPr="0075707B">
        <w:rPr>
          <w:rStyle w:val="FootnoteReference"/>
        </w:rPr>
        <w:footnoteRef/>
      </w:r>
      <w:r w:rsidRPr="0075707B">
        <w:t xml:space="preserve"> AT&amp;T IR Response, June 19, 2013, at 12.</w:t>
      </w:r>
    </w:p>
  </w:footnote>
  <w:footnote w:id="222">
    <w:p w:rsidR="00E85915" w:rsidRPr="0075707B" w:rsidRDefault="00E85915">
      <w:pPr>
        <w:pStyle w:val="FootnoteText"/>
      </w:pPr>
      <w:r w:rsidRPr="0075707B">
        <w:rPr>
          <w:rStyle w:val="FootnoteReference"/>
        </w:rPr>
        <w:footnoteRef/>
      </w:r>
      <w:r w:rsidRPr="0075707B">
        <w:t xml:space="preserve"> Public Interest Statement at 11.</w:t>
      </w:r>
    </w:p>
  </w:footnote>
  <w:footnote w:id="223">
    <w:p w:rsidR="00E85915" w:rsidRPr="0075707B" w:rsidRDefault="00E85915">
      <w:pPr>
        <w:pStyle w:val="FootnoteText"/>
      </w:pPr>
      <w:r w:rsidRPr="0075707B">
        <w:rPr>
          <w:rStyle w:val="FootnoteReference"/>
        </w:rPr>
        <w:footnoteRef/>
      </w:r>
      <w:r w:rsidRPr="0075707B">
        <w:t xml:space="preserve"> </w:t>
      </w:r>
      <w:r>
        <w:rPr>
          <w:i/>
        </w:rPr>
        <w:t>Id.</w:t>
      </w:r>
      <w:r w:rsidRPr="0075707B">
        <w:t xml:space="preserve"> at 6.</w:t>
      </w:r>
    </w:p>
  </w:footnote>
  <w:footnote w:id="224">
    <w:p w:rsidR="00E85915" w:rsidRPr="00A5312F" w:rsidRDefault="00E85915" w:rsidP="00C2655F">
      <w:pPr>
        <w:pStyle w:val="FootnoteText"/>
      </w:pPr>
      <w:r w:rsidRPr="0075707B">
        <w:rPr>
          <w:rStyle w:val="FootnoteReference"/>
        </w:rPr>
        <w:footnoteRef/>
      </w:r>
      <w:r w:rsidRPr="0075707B">
        <w:t xml:space="preserve"> </w:t>
      </w:r>
      <w:r>
        <w:rPr>
          <w:i/>
        </w:rPr>
        <w:t>Id.</w:t>
      </w:r>
      <w:r w:rsidRPr="0075707B">
        <w:t xml:space="preserve"> at 21-22; Joint Opposition at 4.  Allied states that the impact of the company’s scattered footprint has been exacerbated in three ways since 2010:  1) explosive data growth has increased</w:t>
      </w:r>
      <w:r>
        <w:t xml:space="preserve"> long-term roaming exposure; 2) </w:t>
      </w:r>
      <w:r w:rsidRPr="0075707B">
        <w:t>network edges were created in unnatural locations leading to service quality issu</w:t>
      </w:r>
      <w:r w:rsidRPr="009F0F3A">
        <w:t xml:space="preserve">es and </w:t>
      </w:r>
      <w:r>
        <w:t>churn elevation; and 3) </w:t>
      </w:r>
      <w:r w:rsidRPr="009F0F3A">
        <w:t xml:space="preserve">misalignment with </w:t>
      </w:r>
      <w:r>
        <w:t>Designated Market Areas (“</w:t>
      </w:r>
      <w:r w:rsidRPr="009F0F3A">
        <w:t>DMAs</w:t>
      </w:r>
      <w:r>
        <w:t>”)</w:t>
      </w:r>
      <w:r w:rsidRPr="009F0F3A">
        <w:t xml:space="preserve"> </w:t>
      </w:r>
      <w:r w:rsidRPr="00E10E78">
        <w:t xml:space="preserve">for media purchasing led to inefficiencies resulting in limited brand awareness and customer advertising.  </w:t>
      </w:r>
      <w:r>
        <w:t>ATN IR Response, June 19, 2013,</w:t>
      </w:r>
      <w:r w:rsidRPr="00A5312F">
        <w:t xml:space="preserve"> at 20-23.</w:t>
      </w:r>
    </w:p>
  </w:footnote>
  <w:footnote w:id="225">
    <w:p w:rsidR="00E85915" w:rsidRPr="00A5312F" w:rsidRDefault="00E85915" w:rsidP="00C2655F">
      <w:pPr>
        <w:pStyle w:val="FootnoteText"/>
      </w:pPr>
      <w:r w:rsidRPr="0075707B">
        <w:rPr>
          <w:rStyle w:val="FootnoteReference"/>
        </w:rPr>
        <w:footnoteRef/>
      </w:r>
      <w:r w:rsidRPr="0075707B">
        <w:t xml:space="preserve"> Public Interest Statement at 22; Joint Opposition at 4.  Allied argues that, in addition to straining the company’s 3G network and limited spectrum capacity, </w:t>
      </w:r>
      <w:r w:rsidRPr="00CF6080">
        <w:t>high data roaming usage has been particularly burdensome due to its roaming cost structure. Allied asserts that approximately 10% of Allied subscriber’s calls and data down/uploads occur on other carriers’ networks – a number that is 5-15 times the industry roaming average of only 1-3</w:t>
      </w:r>
      <w:r>
        <w:t>%</w:t>
      </w:r>
      <w:r w:rsidRPr="00CF6080">
        <w:t xml:space="preserve">.  </w:t>
      </w:r>
      <w:r>
        <w:t>ATN IR Response, June 19, 2013,</w:t>
      </w:r>
      <w:r w:rsidRPr="00CF6080">
        <w:t xml:space="preserve"> at 25.</w:t>
      </w:r>
    </w:p>
  </w:footnote>
  <w:footnote w:id="226">
    <w:p w:rsidR="00E85915" w:rsidRPr="0075707B" w:rsidRDefault="00E85915">
      <w:pPr>
        <w:pStyle w:val="FootnoteText"/>
      </w:pPr>
      <w:r w:rsidRPr="0075707B">
        <w:rPr>
          <w:rStyle w:val="FootnoteReference"/>
        </w:rPr>
        <w:footnoteRef/>
      </w:r>
      <w:r w:rsidRPr="0075707B">
        <w:t xml:space="preserve"> Public Interest Statement at 6.</w:t>
      </w:r>
    </w:p>
  </w:footnote>
  <w:footnote w:id="227">
    <w:p w:rsidR="00E85915" w:rsidRPr="0075707B" w:rsidRDefault="00E85915">
      <w:pPr>
        <w:pStyle w:val="FootnoteText"/>
      </w:pPr>
      <w:r w:rsidRPr="0075707B">
        <w:rPr>
          <w:rStyle w:val="FootnoteReference"/>
        </w:rPr>
        <w:footnoteRef/>
      </w:r>
      <w:r w:rsidRPr="0075707B">
        <w:t xml:space="preserve"> </w:t>
      </w:r>
      <w:r>
        <w:rPr>
          <w:i/>
        </w:rPr>
        <w:t>Id.</w:t>
      </w:r>
      <w:r w:rsidRPr="0075707B">
        <w:t xml:space="preserve"> at 10.</w:t>
      </w:r>
    </w:p>
  </w:footnote>
  <w:footnote w:id="228">
    <w:p w:rsidR="00E85915" w:rsidRPr="0075707B" w:rsidRDefault="00E85915">
      <w:pPr>
        <w:pStyle w:val="FootnoteText"/>
      </w:pPr>
      <w:r w:rsidRPr="0075707B">
        <w:rPr>
          <w:rStyle w:val="FootnoteReference"/>
        </w:rPr>
        <w:footnoteRef/>
      </w:r>
      <w:r w:rsidRPr="0075707B">
        <w:t xml:space="preserve"> </w:t>
      </w:r>
      <w:r>
        <w:rPr>
          <w:i/>
        </w:rPr>
        <w:t>Id</w:t>
      </w:r>
      <w:r w:rsidRPr="0075707B">
        <w:t>.</w:t>
      </w:r>
    </w:p>
  </w:footnote>
  <w:footnote w:id="229">
    <w:p w:rsidR="00E85915" w:rsidRDefault="00E85915">
      <w:pPr>
        <w:pStyle w:val="FootnoteText"/>
      </w:pPr>
      <w:r>
        <w:rPr>
          <w:rStyle w:val="FootnoteReference"/>
        </w:rPr>
        <w:footnoteRef/>
      </w:r>
      <w:r>
        <w:t xml:space="preserve"> </w:t>
      </w:r>
      <w:r>
        <w:rPr>
          <w:i/>
        </w:rPr>
        <w:t>Id.</w:t>
      </w:r>
      <w:r>
        <w:t xml:space="preserve"> at 7, 9</w:t>
      </w:r>
    </w:p>
  </w:footnote>
  <w:footnote w:id="230">
    <w:p w:rsidR="00E85915" w:rsidRPr="0075707B" w:rsidRDefault="00E85915" w:rsidP="00D41C5F">
      <w:pPr>
        <w:pStyle w:val="FootnoteText"/>
      </w:pPr>
      <w:r w:rsidRPr="0075707B">
        <w:rPr>
          <w:rStyle w:val="FootnoteReference"/>
        </w:rPr>
        <w:footnoteRef/>
      </w:r>
      <w:r w:rsidRPr="0075707B">
        <w:t xml:space="preserve"> </w:t>
      </w:r>
      <w:r>
        <w:rPr>
          <w:i/>
        </w:rPr>
        <w:t>Id.</w:t>
      </w:r>
      <w:r w:rsidRPr="0075707B">
        <w:t xml:space="preserve"> at 9.</w:t>
      </w:r>
    </w:p>
  </w:footnote>
  <w:footnote w:id="231">
    <w:p w:rsidR="00E85915" w:rsidRPr="0075707B" w:rsidRDefault="00E85915" w:rsidP="00D41C5F">
      <w:pPr>
        <w:pStyle w:val="FootnoteText"/>
      </w:pPr>
      <w:r w:rsidRPr="0075707B">
        <w:rPr>
          <w:rStyle w:val="FootnoteReference"/>
        </w:rPr>
        <w:footnoteRef/>
      </w:r>
      <w:r w:rsidRPr="0075707B">
        <w:t xml:space="preserve"> AT&amp;T IR Response, June 19, 2013, at 23.</w:t>
      </w:r>
    </w:p>
  </w:footnote>
  <w:footnote w:id="232">
    <w:p w:rsidR="00E85915" w:rsidRPr="0075707B" w:rsidRDefault="00E85915" w:rsidP="00D41C5F">
      <w:pPr>
        <w:pStyle w:val="FootnoteText"/>
      </w:pPr>
      <w:r w:rsidRPr="0075707B">
        <w:rPr>
          <w:rStyle w:val="FootnoteReference"/>
        </w:rPr>
        <w:footnoteRef/>
      </w:r>
      <w:r w:rsidRPr="0075707B">
        <w:t xml:space="preserve"> </w:t>
      </w:r>
      <w:r>
        <w:rPr>
          <w:i/>
        </w:rPr>
        <w:t>Id</w:t>
      </w:r>
      <w:r w:rsidRPr="0075707B">
        <w:t>.</w:t>
      </w:r>
    </w:p>
  </w:footnote>
  <w:footnote w:id="233">
    <w:p w:rsidR="00E85915" w:rsidRPr="0075707B" w:rsidRDefault="00E85915" w:rsidP="00D41C5F">
      <w:pPr>
        <w:pStyle w:val="FootnoteText"/>
      </w:pPr>
      <w:r w:rsidRPr="0075707B">
        <w:rPr>
          <w:rStyle w:val="FootnoteReference"/>
        </w:rPr>
        <w:footnoteRef/>
      </w:r>
      <w:r w:rsidRPr="0075707B">
        <w:t xml:space="preserve"> </w:t>
      </w:r>
      <w:r>
        <w:rPr>
          <w:i/>
        </w:rPr>
        <w:t>Id</w:t>
      </w:r>
      <w:r>
        <w:t xml:space="preserve">.  </w:t>
      </w:r>
      <w:r w:rsidRPr="0075707B">
        <w:t xml:space="preserve">Customers alternatively can choose to purchase a different handset.  </w:t>
      </w:r>
      <w:r>
        <w:rPr>
          <w:i/>
        </w:rPr>
        <w:t>Id.</w:t>
      </w:r>
      <w:r w:rsidRPr="0075707B">
        <w:t xml:space="preserve"> at 23-24.</w:t>
      </w:r>
    </w:p>
  </w:footnote>
  <w:footnote w:id="234">
    <w:p w:rsidR="00E85915" w:rsidRPr="0075707B" w:rsidRDefault="00E85915" w:rsidP="00D41C5F">
      <w:pPr>
        <w:pStyle w:val="FootnoteText"/>
      </w:pPr>
      <w:r w:rsidRPr="0075707B">
        <w:rPr>
          <w:rStyle w:val="FootnoteReference"/>
        </w:rPr>
        <w:footnoteRef/>
      </w:r>
      <w:r w:rsidRPr="0075707B">
        <w:t xml:space="preserve"> </w:t>
      </w:r>
      <w:r>
        <w:rPr>
          <w:i/>
        </w:rPr>
        <w:t>Id.</w:t>
      </w:r>
      <w:r w:rsidRPr="0075707B">
        <w:t xml:space="preserve"> at 24.</w:t>
      </w:r>
      <w:r>
        <w:t xml:space="preserve">  </w:t>
      </w:r>
      <w:r w:rsidRPr="0075707B">
        <w:t xml:space="preserve">To the extent AT&amp;T is unable to make this offer, such customers will have the option of choosing another AT&amp;T plan or terminating contracts with no early termination fee.  </w:t>
      </w:r>
      <w:r>
        <w:rPr>
          <w:i/>
        </w:rPr>
        <w:t>Id</w:t>
      </w:r>
      <w:r w:rsidRPr="0075707B">
        <w:t>.</w:t>
      </w:r>
    </w:p>
  </w:footnote>
  <w:footnote w:id="235">
    <w:p w:rsidR="00E85915" w:rsidRDefault="00E85915">
      <w:pPr>
        <w:pStyle w:val="FootnoteText"/>
      </w:pPr>
      <w:r>
        <w:rPr>
          <w:rStyle w:val="FootnoteReference"/>
        </w:rPr>
        <w:footnoteRef/>
      </w:r>
      <w:r>
        <w:t xml:space="preserve"> </w:t>
      </w:r>
      <w:r>
        <w:rPr>
          <w:i/>
        </w:rPr>
        <w:t>Id</w:t>
      </w:r>
      <w:r w:rsidRPr="0075707B">
        <w:t>.</w:t>
      </w:r>
    </w:p>
  </w:footnote>
  <w:footnote w:id="236">
    <w:p w:rsidR="00E85915" w:rsidRPr="0075707B" w:rsidRDefault="00E85915" w:rsidP="00D41C5F">
      <w:pPr>
        <w:pStyle w:val="FootnoteText"/>
      </w:pPr>
      <w:r w:rsidRPr="0075707B">
        <w:rPr>
          <w:rStyle w:val="FootnoteReference"/>
        </w:rPr>
        <w:footnoteRef/>
      </w:r>
      <w:r w:rsidRPr="0075707B">
        <w:t xml:space="preserve"> AT&amp;T Second Supplemental Response, July 17, 2013, at 12.</w:t>
      </w:r>
    </w:p>
  </w:footnote>
  <w:footnote w:id="237">
    <w:p w:rsidR="00E85915" w:rsidRDefault="00E85915">
      <w:pPr>
        <w:pStyle w:val="FootnoteText"/>
      </w:pPr>
      <w:r>
        <w:rPr>
          <w:rStyle w:val="FootnoteReference"/>
        </w:rPr>
        <w:footnoteRef/>
      </w:r>
      <w:r>
        <w:t xml:space="preserve"> </w:t>
      </w:r>
      <w:r w:rsidRPr="0075707B">
        <w:t>AT&amp;T Third Supplemental Response, August 28, 2013, at 3.</w:t>
      </w:r>
    </w:p>
  </w:footnote>
  <w:footnote w:id="238">
    <w:p w:rsidR="00E85915" w:rsidRPr="0075707B" w:rsidRDefault="00E85915" w:rsidP="00D41C5F">
      <w:pPr>
        <w:pStyle w:val="FootnoteText"/>
      </w:pPr>
      <w:r w:rsidRPr="0075707B">
        <w:rPr>
          <w:rStyle w:val="FootnoteReference"/>
        </w:rPr>
        <w:footnoteRef/>
      </w:r>
      <w:r w:rsidRPr="0075707B">
        <w:t xml:space="preserve"> </w:t>
      </w:r>
      <w:r>
        <w:rPr>
          <w:i/>
        </w:rPr>
        <w:t>Id.</w:t>
      </w:r>
    </w:p>
  </w:footnote>
  <w:footnote w:id="239">
    <w:p w:rsidR="00E85915" w:rsidRPr="0075707B" w:rsidRDefault="00E85915" w:rsidP="00D41C5F">
      <w:pPr>
        <w:pStyle w:val="FootnoteText"/>
      </w:pPr>
      <w:r w:rsidRPr="0075707B">
        <w:rPr>
          <w:rStyle w:val="FootnoteReference"/>
        </w:rPr>
        <w:footnoteRef/>
      </w:r>
      <w:r w:rsidRPr="0075707B">
        <w:t xml:space="preserve"> </w:t>
      </w:r>
      <w:r>
        <w:rPr>
          <w:i/>
        </w:rPr>
        <w:t>Id</w:t>
      </w:r>
      <w:r w:rsidRPr="0075707B">
        <w:t>.</w:t>
      </w:r>
    </w:p>
  </w:footnote>
  <w:footnote w:id="240">
    <w:p w:rsidR="00E85915" w:rsidRDefault="00E85915">
      <w:pPr>
        <w:pStyle w:val="FootnoteText"/>
      </w:pPr>
      <w:r>
        <w:rPr>
          <w:rStyle w:val="FootnoteReference"/>
        </w:rPr>
        <w:footnoteRef/>
      </w:r>
      <w:r>
        <w:t xml:space="preserve"> </w:t>
      </w:r>
      <w:r w:rsidRPr="0075707B">
        <w:t xml:space="preserve">AT&amp;T </w:t>
      </w:r>
      <w:r>
        <w:t>Fifth Supplemental</w:t>
      </w:r>
      <w:r w:rsidRPr="0075707B">
        <w:t xml:space="preserve"> Response, </w:t>
      </w:r>
      <w:r>
        <w:t>September 18</w:t>
      </w:r>
      <w:r w:rsidRPr="0075707B">
        <w:t xml:space="preserve">, 2013, at </w:t>
      </w:r>
      <w:r>
        <w:t>2</w:t>
      </w:r>
      <w:r w:rsidRPr="0075707B">
        <w:t>.</w:t>
      </w:r>
    </w:p>
  </w:footnote>
  <w:footnote w:id="241">
    <w:p w:rsidR="00E85915" w:rsidRPr="0075707B" w:rsidRDefault="00E85915" w:rsidP="00D41C5F">
      <w:pPr>
        <w:pStyle w:val="FootnoteText"/>
      </w:pPr>
      <w:r w:rsidRPr="0075707B">
        <w:rPr>
          <w:rStyle w:val="FootnoteReference"/>
        </w:rPr>
        <w:footnoteRef/>
      </w:r>
      <w:r w:rsidRPr="0075707B">
        <w:t xml:space="preserve"> AT&amp;T Third Supplemental Response, August 28, 2013, at 3-4.</w:t>
      </w:r>
    </w:p>
  </w:footnote>
  <w:footnote w:id="242">
    <w:p w:rsidR="00E85915" w:rsidRDefault="00E85915">
      <w:pPr>
        <w:pStyle w:val="FootnoteText"/>
      </w:pPr>
      <w:r>
        <w:rPr>
          <w:rStyle w:val="FootnoteReference"/>
        </w:rPr>
        <w:footnoteRef/>
      </w:r>
      <w:r>
        <w:t xml:space="preserve"> </w:t>
      </w:r>
      <w:r w:rsidRPr="0075707B">
        <w:t xml:space="preserve">AT&amp;T </w:t>
      </w:r>
      <w:r>
        <w:t>Fifth Supplemental</w:t>
      </w:r>
      <w:r w:rsidRPr="0075707B">
        <w:t xml:space="preserve"> Response, </w:t>
      </w:r>
      <w:r>
        <w:t>September 18</w:t>
      </w:r>
      <w:r w:rsidRPr="0075707B">
        <w:t xml:space="preserve">, 2013, at </w:t>
      </w:r>
      <w:r>
        <w:t>2</w:t>
      </w:r>
      <w:r w:rsidRPr="0075707B">
        <w:t>.</w:t>
      </w:r>
    </w:p>
  </w:footnote>
  <w:footnote w:id="243">
    <w:p w:rsidR="00E85915" w:rsidRDefault="00E85915">
      <w:pPr>
        <w:pStyle w:val="FootnoteText"/>
      </w:pPr>
      <w:r>
        <w:rPr>
          <w:rStyle w:val="FootnoteReference"/>
        </w:rPr>
        <w:footnoteRef/>
      </w:r>
      <w:r>
        <w:t xml:space="preserve"> </w:t>
      </w:r>
      <w:r>
        <w:rPr>
          <w:i/>
        </w:rPr>
        <w:t>Id</w:t>
      </w:r>
      <w:r w:rsidRPr="0075707B">
        <w:t>.</w:t>
      </w:r>
    </w:p>
  </w:footnote>
  <w:footnote w:id="244">
    <w:p w:rsidR="00E85915" w:rsidRDefault="00E85915">
      <w:pPr>
        <w:pStyle w:val="FootnoteText"/>
      </w:pPr>
      <w:r>
        <w:rPr>
          <w:rStyle w:val="FootnoteReference"/>
        </w:rPr>
        <w:footnoteRef/>
      </w:r>
      <w:r>
        <w:t xml:space="preserve"> </w:t>
      </w:r>
      <w:r>
        <w:rPr>
          <w:i/>
        </w:rPr>
        <w:t>Id.</w:t>
      </w:r>
      <w:r w:rsidRPr="0075707B">
        <w:t xml:space="preserve"> at </w:t>
      </w:r>
      <w:r>
        <w:t>3</w:t>
      </w:r>
      <w:r w:rsidRPr="0075707B">
        <w:t>.</w:t>
      </w:r>
    </w:p>
  </w:footnote>
  <w:footnote w:id="245">
    <w:p w:rsidR="00E85915" w:rsidRDefault="00E85915">
      <w:pPr>
        <w:pStyle w:val="FootnoteText"/>
      </w:pPr>
      <w:r>
        <w:rPr>
          <w:rStyle w:val="FootnoteReference"/>
        </w:rPr>
        <w:footnoteRef/>
      </w:r>
      <w:r>
        <w:t xml:space="preserve"> </w:t>
      </w:r>
      <w:r>
        <w:rPr>
          <w:i/>
        </w:rPr>
        <w:t>Id</w:t>
      </w:r>
      <w:r w:rsidRPr="0075707B">
        <w:t>.</w:t>
      </w:r>
    </w:p>
  </w:footnote>
  <w:footnote w:id="246">
    <w:p w:rsidR="00E85915" w:rsidRDefault="00E85915">
      <w:pPr>
        <w:pStyle w:val="FootnoteText"/>
      </w:pPr>
      <w:r>
        <w:rPr>
          <w:rStyle w:val="FootnoteReference"/>
        </w:rPr>
        <w:footnoteRef/>
      </w:r>
      <w:r>
        <w:t xml:space="preserve"> </w:t>
      </w:r>
      <w:r>
        <w:rPr>
          <w:i/>
        </w:rPr>
        <w:t>Id</w:t>
      </w:r>
      <w:r w:rsidRPr="0075707B">
        <w:t>.</w:t>
      </w:r>
    </w:p>
  </w:footnote>
  <w:footnote w:id="247">
    <w:p w:rsidR="00E85915" w:rsidRDefault="00E85915">
      <w:pPr>
        <w:pStyle w:val="FootnoteText"/>
      </w:pPr>
      <w:r>
        <w:rPr>
          <w:rStyle w:val="FootnoteReference"/>
        </w:rPr>
        <w:footnoteRef/>
      </w:r>
      <w:r>
        <w:t xml:space="preserve"> </w:t>
      </w:r>
      <w:r>
        <w:rPr>
          <w:i/>
        </w:rPr>
        <w:t>Id</w:t>
      </w:r>
      <w:r w:rsidRPr="0075707B">
        <w:t>.</w:t>
      </w:r>
    </w:p>
  </w:footnote>
  <w:footnote w:id="248">
    <w:p w:rsidR="00E85915" w:rsidRDefault="00E85915">
      <w:pPr>
        <w:pStyle w:val="FootnoteText"/>
      </w:pPr>
      <w:r>
        <w:rPr>
          <w:rStyle w:val="FootnoteReference"/>
        </w:rPr>
        <w:footnoteRef/>
      </w:r>
      <w:r>
        <w:t xml:space="preserve"> </w:t>
      </w:r>
      <w:r>
        <w:rPr>
          <w:i/>
        </w:rPr>
        <w:t>Id</w:t>
      </w:r>
      <w:r w:rsidRPr="0075707B">
        <w:t>.</w:t>
      </w:r>
    </w:p>
  </w:footnote>
  <w:footnote w:id="249">
    <w:p w:rsidR="00E85915" w:rsidRDefault="00E85915">
      <w:pPr>
        <w:pStyle w:val="FootnoteText"/>
      </w:pPr>
      <w:r>
        <w:rPr>
          <w:rStyle w:val="FootnoteReference"/>
        </w:rPr>
        <w:footnoteRef/>
      </w:r>
      <w:r>
        <w:t xml:space="preserve"> </w:t>
      </w:r>
      <w:r>
        <w:rPr>
          <w:i/>
        </w:rPr>
        <w:t>Id.</w:t>
      </w:r>
      <w:r w:rsidRPr="0075707B">
        <w:t xml:space="preserve"> at </w:t>
      </w:r>
      <w:r>
        <w:t>2</w:t>
      </w:r>
      <w:r w:rsidRPr="0075707B">
        <w:t>.</w:t>
      </w:r>
    </w:p>
  </w:footnote>
  <w:footnote w:id="250">
    <w:p w:rsidR="00E85915" w:rsidRDefault="00E85915">
      <w:pPr>
        <w:pStyle w:val="FootnoteText"/>
      </w:pPr>
      <w:r>
        <w:rPr>
          <w:rStyle w:val="FootnoteReference"/>
        </w:rPr>
        <w:footnoteRef/>
      </w:r>
      <w:r>
        <w:t xml:space="preserve"> </w:t>
      </w:r>
      <w:r>
        <w:rPr>
          <w:i/>
        </w:rPr>
        <w:t>Id</w:t>
      </w:r>
      <w:r w:rsidRPr="0075707B">
        <w:t>.</w:t>
      </w:r>
    </w:p>
  </w:footnote>
  <w:footnote w:id="251">
    <w:p w:rsidR="00E85915" w:rsidRPr="00F2412F" w:rsidRDefault="00E85915">
      <w:pPr>
        <w:pStyle w:val="FootnoteText"/>
      </w:pPr>
      <w:r>
        <w:rPr>
          <w:rStyle w:val="FootnoteReference"/>
        </w:rPr>
        <w:footnoteRef/>
      </w:r>
      <w:r>
        <w:t xml:space="preserve"> </w:t>
      </w:r>
      <w:r>
        <w:rPr>
          <w:i/>
        </w:rPr>
        <w:t>See</w:t>
      </w:r>
      <w:r>
        <w:t xml:space="preserve"> para. 82 </w:t>
      </w:r>
      <w:r>
        <w:rPr>
          <w:i/>
        </w:rPr>
        <w:t>infra</w:t>
      </w:r>
      <w:r>
        <w:t>.</w:t>
      </w:r>
    </w:p>
  </w:footnote>
  <w:footnote w:id="252">
    <w:p w:rsidR="00E85915" w:rsidRPr="0075707B" w:rsidRDefault="00E85915" w:rsidP="0077668C">
      <w:pPr>
        <w:pStyle w:val="FootnoteText"/>
      </w:pPr>
      <w:r w:rsidRPr="0075707B">
        <w:rPr>
          <w:rStyle w:val="FootnoteReference"/>
        </w:rPr>
        <w:footnoteRef/>
      </w:r>
      <w:r w:rsidRPr="0075707B">
        <w:t xml:space="preserve"> </w:t>
      </w:r>
      <w:r>
        <w:rPr>
          <w:i/>
        </w:rPr>
        <w:t>See</w:t>
      </w:r>
      <w:r>
        <w:t xml:space="preserve"> ATN IR Response, June 19, 2013,</w:t>
      </w:r>
      <w:r w:rsidRPr="0075707B">
        <w:t xml:space="preserve"> at 9. </w:t>
      </w:r>
    </w:p>
  </w:footnote>
  <w:footnote w:id="253">
    <w:p w:rsidR="00E85915" w:rsidRPr="00E10E78" w:rsidRDefault="00E85915" w:rsidP="007025FD">
      <w:pPr>
        <w:pStyle w:val="FootnoteText"/>
      </w:pPr>
      <w:r w:rsidRPr="0075707B">
        <w:rPr>
          <w:rStyle w:val="FootnoteReference"/>
        </w:rPr>
        <w:footnoteRef/>
      </w:r>
      <w:r w:rsidRPr="0075707B">
        <w:t xml:space="preserve"> </w:t>
      </w:r>
      <w:r>
        <w:rPr>
          <w:i/>
        </w:rPr>
        <w:t>Id.</w:t>
      </w:r>
      <w:r w:rsidRPr="0075707B">
        <w:t xml:space="preserve"> at 20; ATN-000008512.  Allied notes that </w:t>
      </w:r>
      <w:r w:rsidR="00BF054C" w:rsidRPr="00BF054C">
        <w:rPr>
          <w:b/>
        </w:rPr>
        <w:t>[REDACTED]</w:t>
      </w:r>
      <w:r w:rsidRPr="00E10E78">
        <w:t>.</w:t>
      </w:r>
      <w:r w:rsidRPr="00E10E78">
        <w:rPr>
          <w:b/>
        </w:rPr>
        <w:t xml:space="preserve">  </w:t>
      </w:r>
      <w:r>
        <w:t>ATN IR Response, June 19, 2013,</w:t>
      </w:r>
      <w:r w:rsidRPr="00E10E78">
        <w:t xml:space="preserve"> at 20, 25-26, 35.  </w:t>
      </w:r>
    </w:p>
  </w:footnote>
  <w:footnote w:id="254">
    <w:p w:rsidR="00E85915" w:rsidRPr="00CF6080" w:rsidRDefault="00E85915">
      <w:pPr>
        <w:pStyle w:val="FootnoteText"/>
      </w:pPr>
      <w:r w:rsidRPr="0075707B">
        <w:rPr>
          <w:rStyle w:val="FootnoteReference"/>
        </w:rPr>
        <w:footnoteRef/>
      </w:r>
      <w:r w:rsidRPr="0075707B">
        <w:t xml:space="preserve"> Public Interest Statement at 21.  Allied explains that it</w:t>
      </w:r>
      <w:r>
        <w:t>s</w:t>
      </w:r>
      <w:r w:rsidRPr="0075707B">
        <w:t xml:space="preserve"> subscribers on the edges of the network </w:t>
      </w:r>
      <w:r w:rsidR="00BF054C" w:rsidRPr="00BF054C">
        <w:rPr>
          <w:b/>
        </w:rPr>
        <w:t>[REDACTED]</w:t>
      </w:r>
      <w:r w:rsidRPr="00CF6080">
        <w:t xml:space="preserve">.  </w:t>
      </w:r>
      <w:r>
        <w:t>ATN IR Response, June 19, 2013,</w:t>
      </w:r>
      <w:r w:rsidRPr="00CF6080">
        <w:t xml:space="preserve"> at 21, 28.  </w:t>
      </w:r>
      <w:r w:rsidRPr="00CF6080">
        <w:rPr>
          <w:i/>
        </w:rPr>
        <w:t xml:space="preserve">See also </w:t>
      </w:r>
      <w:r w:rsidRPr="00CF6080">
        <w:t xml:space="preserve">ATN000008512 (stating that </w:t>
      </w:r>
      <w:r w:rsidR="00BF054C" w:rsidRPr="00BF054C">
        <w:rPr>
          <w:b/>
        </w:rPr>
        <w:t>[REDACTED]</w:t>
      </w:r>
      <w:r w:rsidRPr="00CF6080">
        <w:rPr>
          <w:b/>
        </w:rPr>
        <w:t>)</w:t>
      </w:r>
      <w:r w:rsidRPr="00CF6080">
        <w:t>.</w:t>
      </w:r>
    </w:p>
  </w:footnote>
  <w:footnote w:id="255">
    <w:p w:rsidR="00E85915" w:rsidRPr="00CF6080" w:rsidRDefault="00E85915">
      <w:pPr>
        <w:pStyle w:val="FootnoteText"/>
      </w:pPr>
      <w:r w:rsidRPr="00CF6080">
        <w:rPr>
          <w:rStyle w:val="FootnoteReference"/>
        </w:rPr>
        <w:footnoteRef/>
      </w:r>
      <w:r w:rsidRPr="00CF6080">
        <w:t xml:space="preserve"> </w:t>
      </w:r>
      <w:r>
        <w:t>ATN IR Response, June 19, 2013,</w:t>
      </w:r>
      <w:r w:rsidRPr="00CF6080">
        <w:t xml:space="preserve"> at 41-42.</w:t>
      </w:r>
    </w:p>
  </w:footnote>
  <w:footnote w:id="256">
    <w:p w:rsidR="00E85915" w:rsidRPr="00CF6080" w:rsidRDefault="00E85915" w:rsidP="00351876">
      <w:pPr>
        <w:pStyle w:val="FootnoteText"/>
      </w:pPr>
      <w:r w:rsidRPr="00CF6080">
        <w:rPr>
          <w:rStyle w:val="FootnoteReference"/>
        </w:rPr>
        <w:footnoteRef/>
      </w:r>
      <w:r w:rsidRPr="00CF6080">
        <w:t xml:space="preserve"> </w:t>
      </w:r>
      <w:r>
        <w:rPr>
          <w:i/>
        </w:rPr>
        <w:t>Id.</w:t>
      </w:r>
      <w:r w:rsidRPr="00CF6080">
        <w:t xml:space="preserve"> at 20-23.</w:t>
      </w:r>
    </w:p>
  </w:footnote>
  <w:footnote w:id="257">
    <w:p w:rsidR="00E85915" w:rsidRPr="00CF6080" w:rsidRDefault="00E85915">
      <w:pPr>
        <w:pStyle w:val="FootnoteText"/>
      </w:pPr>
      <w:r w:rsidRPr="00CF6080">
        <w:rPr>
          <w:rStyle w:val="FootnoteReference"/>
        </w:rPr>
        <w:footnoteRef/>
      </w:r>
      <w:r w:rsidRPr="00CF6080">
        <w:t xml:space="preserve"> </w:t>
      </w:r>
      <w:r>
        <w:rPr>
          <w:i/>
        </w:rPr>
        <w:t>Id.</w:t>
      </w:r>
      <w:r w:rsidRPr="00CF6080">
        <w:t xml:space="preserve"> at 39-40.</w:t>
      </w:r>
    </w:p>
  </w:footnote>
  <w:footnote w:id="258">
    <w:p w:rsidR="00E85915" w:rsidRPr="00CF6080" w:rsidRDefault="00E85915">
      <w:pPr>
        <w:pStyle w:val="FootnoteText"/>
      </w:pPr>
      <w:r w:rsidRPr="00CF6080">
        <w:rPr>
          <w:rStyle w:val="FootnoteReference"/>
        </w:rPr>
        <w:footnoteRef/>
      </w:r>
      <w:r w:rsidRPr="00CF6080">
        <w:t xml:space="preserve"> </w:t>
      </w:r>
      <w:r>
        <w:rPr>
          <w:i/>
        </w:rPr>
        <w:t>Id.</w:t>
      </w:r>
      <w:r w:rsidRPr="00CF6080">
        <w:t xml:space="preserve"> at 21, 25-26.</w:t>
      </w:r>
    </w:p>
  </w:footnote>
  <w:footnote w:id="259">
    <w:p w:rsidR="00E85915" w:rsidRPr="00CF6080" w:rsidRDefault="00E85915">
      <w:pPr>
        <w:pStyle w:val="FootnoteText"/>
      </w:pPr>
      <w:r w:rsidRPr="00CF6080">
        <w:rPr>
          <w:rStyle w:val="FootnoteReference"/>
        </w:rPr>
        <w:footnoteRef/>
      </w:r>
      <w:r w:rsidRPr="00CF6080">
        <w:t xml:space="preserve"> </w:t>
      </w:r>
      <w:r>
        <w:rPr>
          <w:i/>
        </w:rPr>
        <w:t>Id.</w:t>
      </w:r>
      <w:r w:rsidRPr="00CF6080">
        <w:t xml:space="preserve"> at 21, 27-31.</w:t>
      </w:r>
    </w:p>
  </w:footnote>
  <w:footnote w:id="260">
    <w:p w:rsidR="00E85915" w:rsidRPr="00CF6080" w:rsidRDefault="00E85915">
      <w:pPr>
        <w:pStyle w:val="FootnoteText"/>
      </w:pPr>
      <w:r w:rsidRPr="00CF6080">
        <w:rPr>
          <w:rStyle w:val="FootnoteReference"/>
        </w:rPr>
        <w:footnoteRef/>
      </w:r>
      <w:r w:rsidRPr="00CF6080">
        <w:t xml:space="preserve"> In an effort to improve service, Allied </w:t>
      </w:r>
      <w:r w:rsidR="00BF054C" w:rsidRPr="00BF054C">
        <w:rPr>
          <w:b/>
        </w:rPr>
        <w:t>[REDACTED]</w:t>
      </w:r>
      <w:r w:rsidRPr="008169FA">
        <w:t>.</w:t>
      </w:r>
      <w:r w:rsidRPr="00CF6080">
        <w:t xml:space="preserve"> </w:t>
      </w:r>
      <w:r>
        <w:t xml:space="preserve"> </w:t>
      </w:r>
      <w:r>
        <w:rPr>
          <w:i/>
        </w:rPr>
        <w:t>Id.</w:t>
      </w:r>
      <w:r w:rsidRPr="008169FA">
        <w:t xml:space="preserve"> at 10.</w:t>
      </w:r>
    </w:p>
  </w:footnote>
  <w:footnote w:id="261">
    <w:p w:rsidR="00E85915" w:rsidRPr="00A5312F" w:rsidRDefault="00E85915">
      <w:pPr>
        <w:pStyle w:val="FootnoteText"/>
      </w:pPr>
      <w:r w:rsidRPr="00CF6080">
        <w:rPr>
          <w:rStyle w:val="FootnoteReference"/>
        </w:rPr>
        <w:footnoteRef/>
      </w:r>
      <w:r w:rsidRPr="00CF6080">
        <w:t xml:space="preserve"> </w:t>
      </w:r>
      <w:r>
        <w:rPr>
          <w:i/>
        </w:rPr>
        <w:t>Id.</w:t>
      </w:r>
      <w:r w:rsidRPr="00CF6080">
        <w:t xml:space="preserve"> at </w:t>
      </w:r>
      <w:r>
        <w:t>7</w:t>
      </w:r>
      <w:r w:rsidRPr="00CF6080">
        <w:t xml:space="preserve">.  </w:t>
      </w:r>
      <w:r>
        <w:t xml:space="preserve">For example, Allied spent approximately </w:t>
      </w:r>
      <w:r w:rsidR="00BF054C" w:rsidRPr="00BF054C">
        <w:rPr>
          <w:b/>
        </w:rPr>
        <w:t>[REDACTED]</w:t>
      </w:r>
      <w:r>
        <w:t xml:space="preserve"> constructing a total of </w:t>
      </w:r>
      <w:r w:rsidR="00BF054C" w:rsidRPr="00BF054C">
        <w:rPr>
          <w:b/>
        </w:rPr>
        <w:t>[REDACTED]</w:t>
      </w:r>
      <w:r>
        <w:t xml:space="preserve"> new cell sites in its various service territories.  </w:t>
      </w:r>
      <w:r>
        <w:rPr>
          <w:i/>
        </w:rPr>
        <w:t>Id.</w:t>
      </w:r>
      <w:r>
        <w:t xml:space="preserve"> at 13, 14.  Further, Allied invested approximately $</w:t>
      </w:r>
      <w:r w:rsidR="00BF054C" w:rsidRPr="00BF054C">
        <w:rPr>
          <w:b/>
        </w:rPr>
        <w:t>[REDACTED]</w:t>
      </w:r>
      <w:r>
        <w:t xml:space="preserve"> million in steps to expand cell site capacity.  </w:t>
      </w:r>
      <w:r>
        <w:rPr>
          <w:i/>
        </w:rPr>
        <w:t>Id.</w:t>
      </w:r>
      <w:r>
        <w:t xml:space="preserve"> at 13.</w:t>
      </w:r>
      <w:r w:rsidRPr="00E10E78">
        <w:t xml:space="preserve">  </w:t>
      </w:r>
    </w:p>
  </w:footnote>
  <w:footnote w:id="262">
    <w:p w:rsidR="00E85915" w:rsidRPr="00E10E78" w:rsidRDefault="00E85915" w:rsidP="00D957F5">
      <w:pPr>
        <w:pStyle w:val="FootnoteText"/>
      </w:pPr>
      <w:r w:rsidRPr="0075707B">
        <w:rPr>
          <w:rStyle w:val="FootnoteReference"/>
        </w:rPr>
        <w:footnoteRef/>
      </w:r>
      <w:r w:rsidRPr="0075707B">
        <w:t xml:space="preserve"> ATN-000023469; ATN-000029184 (demonstrating Allied’s attempts to </w:t>
      </w:r>
      <w:r w:rsidR="00BF054C" w:rsidRPr="00BF054C">
        <w:rPr>
          <w:b/>
        </w:rPr>
        <w:t>[REDACTED]</w:t>
      </w:r>
      <w:r w:rsidRPr="00E10E78">
        <w:t>.</w:t>
      </w:r>
    </w:p>
  </w:footnote>
  <w:footnote w:id="263">
    <w:p w:rsidR="00E85915" w:rsidRPr="00A5312F" w:rsidRDefault="00E85915" w:rsidP="00B51042">
      <w:pPr>
        <w:pStyle w:val="FootnoteText"/>
      </w:pPr>
      <w:r w:rsidRPr="0075707B">
        <w:rPr>
          <w:rStyle w:val="FootnoteReference"/>
        </w:rPr>
        <w:footnoteRef/>
      </w:r>
      <w:r w:rsidRPr="0075707B">
        <w:t xml:space="preserve"> Since June 2010, Allied’s subscribers have declined from approximately </w:t>
      </w:r>
      <w:r w:rsidR="00BF054C" w:rsidRPr="00BF054C">
        <w:rPr>
          <w:b/>
        </w:rPr>
        <w:t>[REDACTED]</w:t>
      </w:r>
      <w:r w:rsidRPr="00E10E78">
        <w:t xml:space="preserve"> to approximately </w:t>
      </w:r>
      <w:r w:rsidR="00BF054C" w:rsidRPr="00BF054C">
        <w:rPr>
          <w:b/>
        </w:rPr>
        <w:t>[REDACTED]</w:t>
      </w:r>
      <w:r w:rsidRPr="00A5312F">
        <w:t xml:space="preserve"> in December 2012, a loss of approximately </w:t>
      </w:r>
      <w:r w:rsidR="00BF054C" w:rsidRPr="00BF054C">
        <w:rPr>
          <w:b/>
        </w:rPr>
        <w:t>[REDACTED]</w:t>
      </w:r>
      <w:r w:rsidRPr="00A5312F">
        <w:t>%.  NRUF</w:t>
      </w:r>
      <w:r>
        <w:t xml:space="preserve"> and LNP</w:t>
      </w:r>
      <w:r w:rsidRPr="00A5312F">
        <w:t>, June 2010, December 2012.</w:t>
      </w:r>
    </w:p>
  </w:footnote>
  <w:footnote w:id="264">
    <w:p w:rsidR="00E85915" w:rsidRPr="00A5312F" w:rsidRDefault="00E85915" w:rsidP="004755E2">
      <w:pPr>
        <w:pStyle w:val="FootnoteText"/>
      </w:pPr>
      <w:r w:rsidRPr="0075707B">
        <w:rPr>
          <w:rStyle w:val="FootnoteReference"/>
        </w:rPr>
        <w:footnoteRef/>
      </w:r>
      <w:r w:rsidRPr="0075707B">
        <w:t xml:space="preserve"> Blue Wireless argues that a review of Allied’s roaming expenses and subscribers demonstrates that the wireless provider is thriving and does not support Alli</w:t>
      </w:r>
      <w:r w:rsidRPr="009F0F3A">
        <w:t>ed’s arguments that the increase in demand for mobile broadband has had a deleterious effect on ATN's roaming costs and its ability to invest in its network and that it would be difficult for Allied to survive absent the proposed transaction.  Blue Wireles</w:t>
      </w:r>
      <w:r w:rsidRPr="00E10E78">
        <w:t>s Aug. 15</w:t>
      </w:r>
      <w:r w:rsidRPr="00E10E78">
        <w:rPr>
          <w:vertAlign w:val="superscript"/>
        </w:rPr>
        <w:t>th</w:t>
      </w:r>
      <w:r w:rsidRPr="00E10E78">
        <w:t xml:space="preserve"> </w:t>
      </w:r>
      <w:r w:rsidRPr="00E10E78">
        <w:rPr>
          <w:i/>
        </w:rPr>
        <w:t>Ex parte</w:t>
      </w:r>
      <w:r w:rsidRPr="00E10E78">
        <w:t xml:space="preserve"> at 3.  However, we note that our conclusions here are not based on a finding that Allied is a “failing firm.”  In addition, our review of the record indicates that the decrease in Allied’s roaming expenses per subscriber in 2012 does n</w:t>
      </w:r>
      <w:r w:rsidRPr="00121630">
        <w:t>ot demonstrate that Allied’s wireless business is now thriving, but is primarily related to</w:t>
      </w:r>
      <w:r w:rsidRPr="00A5312F">
        <w:rPr>
          <w:b/>
        </w:rPr>
        <w:t xml:space="preserve"> </w:t>
      </w:r>
      <w:r w:rsidR="00BF054C" w:rsidRPr="00BF054C">
        <w:rPr>
          <w:b/>
        </w:rPr>
        <w:t>[REDACTED]</w:t>
      </w:r>
      <w:r w:rsidRPr="00A5312F">
        <w:t xml:space="preserve">.  </w:t>
      </w:r>
      <w:r w:rsidRPr="00A5312F">
        <w:rPr>
          <w:i/>
        </w:rPr>
        <w:t xml:space="preserve">See </w:t>
      </w:r>
      <w:r w:rsidRPr="00A5312F">
        <w:t>Allied IR Response at 33; ATN000036096.</w:t>
      </w:r>
    </w:p>
  </w:footnote>
  <w:footnote w:id="265">
    <w:p w:rsidR="00E85915" w:rsidRPr="0075707B" w:rsidRDefault="00E85915" w:rsidP="00B93DE8">
      <w:pPr>
        <w:pStyle w:val="FootnoteText"/>
      </w:pPr>
      <w:r w:rsidRPr="0075707B">
        <w:rPr>
          <w:rStyle w:val="FootnoteReference"/>
        </w:rPr>
        <w:footnoteRef/>
      </w:r>
      <w:r w:rsidRPr="0075707B">
        <w:t xml:space="preserve"> Public Interest Statement at 7.</w:t>
      </w:r>
    </w:p>
  </w:footnote>
  <w:footnote w:id="266">
    <w:p w:rsidR="00E85915" w:rsidRPr="0075707B" w:rsidRDefault="00E85915" w:rsidP="00B93DE8">
      <w:pPr>
        <w:pStyle w:val="FootnoteText"/>
      </w:pPr>
      <w:r w:rsidRPr="0075707B">
        <w:rPr>
          <w:rStyle w:val="FootnoteReference"/>
        </w:rPr>
        <w:footnoteRef/>
      </w:r>
      <w:r w:rsidRPr="0075707B">
        <w:t xml:space="preserve"> </w:t>
      </w:r>
      <w:r>
        <w:rPr>
          <w:i/>
        </w:rPr>
        <w:t>Id.</w:t>
      </w:r>
    </w:p>
  </w:footnote>
  <w:footnote w:id="267">
    <w:p w:rsidR="00E85915" w:rsidRPr="0075707B" w:rsidRDefault="00E85915" w:rsidP="00B93DE8">
      <w:pPr>
        <w:pStyle w:val="FootnoteText"/>
      </w:pPr>
      <w:r w:rsidRPr="0075707B">
        <w:rPr>
          <w:rStyle w:val="FootnoteReference"/>
        </w:rPr>
        <w:footnoteRef/>
      </w:r>
      <w:r w:rsidRPr="0075707B">
        <w:t xml:space="preserve"> </w:t>
      </w:r>
      <w:r>
        <w:rPr>
          <w:i/>
        </w:rPr>
        <w:t>Id.</w:t>
      </w:r>
      <w:r w:rsidRPr="0075707B">
        <w:t xml:space="preserve"> at 9.</w:t>
      </w:r>
    </w:p>
  </w:footnote>
  <w:footnote w:id="268">
    <w:p w:rsidR="00E85915" w:rsidRPr="0075707B" w:rsidRDefault="00E85915" w:rsidP="00B93DE8">
      <w:pPr>
        <w:pStyle w:val="FootnoteText"/>
      </w:pPr>
      <w:r w:rsidRPr="0075707B">
        <w:rPr>
          <w:rStyle w:val="FootnoteReference"/>
        </w:rPr>
        <w:footnoteRef/>
      </w:r>
      <w:r w:rsidRPr="0075707B">
        <w:t xml:space="preserve"> </w:t>
      </w:r>
      <w:r>
        <w:rPr>
          <w:i/>
        </w:rPr>
        <w:t>Id.</w:t>
      </w:r>
    </w:p>
  </w:footnote>
  <w:footnote w:id="269">
    <w:p w:rsidR="00E85915" w:rsidRPr="00CF6080" w:rsidRDefault="00E85915" w:rsidP="004E4D15">
      <w:pPr>
        <w:pStyle w:val="FootnoteText"/>
      </w:pPr>
      <w:r w:rsidRPr="0075707B">
        <w:rPr>
          <w:rStyle w:val="FootnoteReference"/>
        </w:rPr>
        <w:footnoteRef/>
      </w:r>
      <w:r w:rsidRPr="0075707B">
        <w:t xml:space="preserve"> </w:t>
      </w:r>
      <w:r w:rsidRPr="0075707B">
        <w:rPr>
          <w:i/>
        </w:rPr>
        <w:t xml:space="preserve">See </w:t>
      </w:r>
      <w:r w:rsidRPr="00CF6080">
        <w:t>AT&amp;T IR Response, June 19, 2013, at 23-24; AT&amp;T Third Supplemental Response, August 28, 2013, at 2-4</w:t>
      </w:r>
      <w:r>
        <w:t xml:space="preserve">; </w:t>
      </w:r>
      <w:r w:rsidRPr="0075707B">
        <w:t xml:space="preserve">AT&amp;T </w:t>
      </w:r>
      <w:r>
        <w:t>Fifth Supplemental</w:t>
      </w:r>
      <w:r w:rsidRPr="0075707B">
        <w:t xml:space="preserve"> Response, </w:t>
      </w:r>
      <w:r>
        <w:t>September 18</w:t>
      </w:r>
      <w:r w:rsidRPr="0075707B">
        <w:t xml:space="preserve">, 2013, at </w:t>
      </w:r>
      <w:r>
        <w:t>2-3</w:t>
      </w:r>
      <w:r w:rsidRPr="00CF6080">
        <w:t>.</w:t>
      </w:r>
    </w:p>
  </w:footnote>
  <w:footnote w:id="270">
    <w:p w:rsidR="00E85915" w:rsidRPr="00CF6080" w:rsidRDefault="00E85915" w:rsidP="004C135F">
      <w:pPr>
        <w:pStyle w:val="FootnoteText"/>
      </w:pPr>
      <w:r w:rsidRPr="00CF6080">
        <w:rPr>
          <w:rStyle w:val="FootnoteReference"/>
        </w:rPr>
        <w:footnoteRef/>
      </w:r>
      <w:r w:rsidRPr="00CF6080">
        <w:t xml:space="preserve"> Public Interest Statement at 9.</w:t>
      </w:r>
    </w:p>
  </w:footnote>
  <w:footnote w:id="271">
    <w:p w:rsidR="00E85915" w:rsidRPr="00E10E78" w:rsidRDefault="00E85915" w:rsidP="004C135F">
      <w:pPr>
        <w:pStyle w:val="FootnoteText"/>
      </w:pPr>
      <w:r w:rsidRPr="00CF6080">
        <w:rPr>
          <w:rStyle w:val="FootnoteReference"/>
        </w:rPr>
        <w:footnoteRef/>
      </w:r>
      <w:r w:rsidRPr="00CF6080">
        <w:t xml:space="preserve"> These 97 counties comprise a population of 3.3 million (</w:t>
      </w:r>
      <w:r>
        <w:t xml:space="preserve">U.S. </w:t>
      </w:r>
      <w:r w:rsidRPr="00CF6080">
        <w:t xml:space="preserve">Census 2010) and </w:t>
      </w:r>
      <w:r w:rsidR="00BF054C" w:rsidRPr="00BF054C">
        <w:rPr>
          <w:b/>
        </w:rPr>
        <w:t>[REDACTED]</w:t>
      </w:r>
      <w:r w:rsidRPr="00E10E78">
        <w:t xml:space="preserve"> Allied sub</w:t>
      </w:r>
      <w:r>
        <w:t>scribers (December 2012 NRUF and LNP).</w:t>
      </w:r>
    </w:p>
  </w:footnote>
  <w:footnote w:id="272">
    <w:p w:rsidR="00E85915" w:rsidRPr="0075707B" w:rsidRDefault="00E85915" w:rsidP="00742F27">
      <w:pPr>
        <w:pStyle w:val="FootnoteText"/>
      </w:pPr>
      <w:r w:rsidRPr="0075707B">
        <w:rPr>
          <w:rStyle w:val="FootnoteReference"/>
        </w:rPr>
        <w:footnoteRef/>
      </w:r>
      <w:r w:rsidRPr="0075707B">
        <w:t xml:space="preserve"> Public Interest Statement at 10.</w:t>
      </w:r>
    </w:p>
  </w:footnote>
  <w:footnote w:id="273">
    <w:p w:rsidR="00E85915" w:rsidRPr="00121630" w:rsidRDefault="00E85915" w:rsidP="00BF5391">
      <w:pPr>
        <w:pStyle w:val="FootnoteText"/>
      </w:pPr>
      <w:r w:rsidRPr="0075707B">
        <w:rPr>
          <w:rStyle w:val="FootnoteReference"/>
        </w:rPr>
        <w:footnoteRef/>
      </w:r>
      <w:r w:rsidRPr="0075707B">
        <w:t xml:space="preserve"> </w:t>
      </w:r>
      <w:r w:rsidRPr="0075707B">
        <w:rPr>
          <w:i/>
        </w:rPr>
        <w:t>See</w:t>
      </w:r>
      <w:r w:rsidRPr="0075707B">
        <w:t xml:space="preserve">, </w:t>
      </w:r>
      <w:r w:rsidRPr="00F82C8B">
        <w:rPr>
          <w:i/>
        </w:rPr>
        <w:t>e.g.</w:t>
      </w:r>
      <w:r w:rsidRPr="009F0F3A">
        <w:t xml:space="preserve">, </w:t>
      </w:r>
      <w:r w:rsidRPr="009F0F3A">
        <w:rPr>
          <w:i/>
        </w:rPr>
        <w:t>Alaska Wireless Order</w:t>
      </w:r>
      <w:r w:rsidRPr="009F0F3A">
        <w:t xml:space="preserve">, ¶ 87; </w:t>
      </w:r>
      <w:r w:rsidRPr="00E10E78">
        <w:rPr>
          <w:i/>
        </w:rPr>
        <w:t>Verizon Wireless-SpectrumCo Order</w:t>
      </w:r>
      <w:r w:rsidRPr="00E10E78">
        <w:t xml:space="preserve">, 27 FCC Rcd at 10735 ¶ 97; </w:t>
      </w:r>
      <w:r w:rsidRPr="00E10E78">
        <w:rPr>
          <w:i/>
        </w:rPr>
        <w:t>AT&amp;T-Centennial Order</w:t>
      </w:r>
      <w:r w:rsidRPr="00121630">
        <w:t>, 24 FCC Rcd at 13954 ¶ 90.</w:t>
      </w:r>
    </w:p>
  </w:footnote>
  <w:footnote w:id="274">
    <w:p w:rsidR="00E85915" w:rsidRPr="00CF6080" w:rsidRDefault="00E85915" w:rsidP="00BD79B8">
      <w:pPr>
        <w:pStyle w:val="FootnoteText"/>
        <w:rPr>
          <w:b/>
        </w:rPr>
      </w:pPr>
      <w:r w:rsidRPr="0075707B">
        <w:rPr>
          <w:rStyle w:val="FootnoteReference"/>
        </w:rPr>
        <w:footnoteRef/>
      </w:r>
      <w:r w:rsidRPr="0075707B">
        <w:t xml:space="preserve"> </w:t>
      </w:r>
      <w:r w:rsidRPr="0075707B">
        <w:rPr>
          <w:i/>
        </w:rPr>
        <w:t>See</w:t>
      </w:r>
      <w:r w:rsidRPr="0075707B">
        <w:rPr>
          <w:i/>
          <w:iCs/>
        </w:rPr>
        <w:t>, e.g.,</w:t>
      </w:r>
      <w:r w:rsidRPr="00F82C8B">
        <w:rPr>
          <w:i/>
        </w:rPr>
        <w:t xml:space="preserve"> Verizon Wireless-Spectru</w:t>
      </w:r>
      <w:r w:rsidRPr="009F0F3A">
        <w:rPr>
          <w:i/>
        </w:rPr>
        <w:t>mCo Order</w:t>
      </w:r>
      <w:r w:rsidRPr="009F0F3A">
        <w:t xml:space="preserve">, 27 FCC Rcd at 10739-40 ¶ 111; </w:t>
      </w:r>
      <w:r w:rsidRPr="009F0F3A">
        <w:rPr>
          <w:i/>
        </w:rPr>
        <w:t>AT&amp;T-Verizon Wireless Order</w:t>
      </w:r>
      <w:r w:rsidRPr="00E10E78">
        <w:t xml:space="preserve">, 25 </w:t>
      </w:r>
      <w:r w:rsidRPr="00CF6080">
        <w:t xml:space="preserve">FCC Rcd at 8718 ¶ 25; </w:t>
      </w:r>
      <w:r w:rsidRPr="00CF6080">
        <w:rPr>
          <w:i/>
        </w:rPr>
        <w:t>AT&amp;T-Centennial Order</w:t>
      </w:r>
      <w:r w:rsidRPr="00CF6080">
        <w:t>, 24 FCC Rcd at 13929 ¶ 30.</w:t>
      </w:r>
    </w:p>
  </w:footnote>
  <w:footnote w:id="275">
    <w:p w:rsidR="00E85915" w:rsidRPr="0075707B" w:rsidRDefault="00E85915" w:rsidP="00F26D82">
      <w:pPr>
        <w:pStyle w:val="FootnoteText"/>
      </w:pPr>
      <w:r w:rsidRPr="00CF6080">
        <w:rPr>
          <w:rStyle w:val="FootnoteReference"/>
        </w:rPr>
        <w:footnoteRef/>
      </w:r>
      <w:r w:rsidRPr="00CF6080">
        <w:t xml:space="preserve"> </w:t>
      </w:r>
      <w:r w:rsidRPr="008169FA">
        <w:rPr>
          <w:i/>
        </w:rPr>
        <w:t>AT&amp;T-Verizon Wireless Order</w:t>
      </w:r>
      <w:r w:rsidRPr="00CF6080">
        <w:t>, 25 FCC Rcd at 8747-48 ¶ 101.</w:t>
      </w:r>
    </w:p>
  </w:footnote>
  <w:footnote w:id="276">
    <w:p w:rsidR="00E85915" w:rsidRDefault="00E85915">
      <w:pPr>
        <w:pStyle w:val="FootnoteText"/>
      </w:pPr>
      <w:r>
        <w:rPr>
          <w:rStyle w:val="FootnoteReference"/>
        </w:rPr>
        <w:footnoteRef/>
      </w:r>
      <w:r>
        <w:t xml:space="preserve"> Letter from Joan Marsh, Vice President – Federal Regulatory, AT&amp;T, to Ruth Milkman, Chief, Wireless Telecommunications Bureau, WT Docket No. 13-54 (filed Sept. 18, 2013) (“AT&amp;T Commitment Letter”).</w:t>
      </w:r>
    </w:p>
  </w:footnote>
  <w:footnote w:id="277">
    <w:p w:rsidR="00E85915" w:rsidRPr="00F82C8B" w:rsidRDefault="00E85915">
      <w:pPr>
        <w:pStyle w:val="FootnoteText"/>
        <w:rPr>
          <w:i/>
        </w:rPr>
      </w:pPr>
      <w:r w:rsidRPr="0075707B">
        <w:rPr>
          <w:rStyle w:val="FootnoteReference"/>
        </w:rPr>
        <w:footnoteRef/>
      </w:r>
      <w:r w:rsidRPr="0075707B">
        <w:t xml:space="preserve"> </w:t>
      </w:r>
      <w:r w:rsidRPr="0075707B">
        <w:rPr>
          <w:i/>
        </w:rPr>
        <w:t>See</w:t>
      </w:r>
      <w:r w:rsidRPr="0075707B">
        <w:t xml:space="preserve"> discussion </w:t>
      </w:r>
      <w:r w:rsidRPr="008A32C2">
        <w:t>¶¶ 92-9</w:t>
      </w:r>
      <w:r>
        <w:t>4</w:t>
      </w:r>
      <w:r w:rsidRPr="0075707B">
        <w:t xml:space="preserve"> </w:t>
      </w:r>
      <w:r w:rsidRPr="00F82C8B">
        <w:rPr>
          <w:i/>
        </w:rPr>
        <w:t>infra.</w:t>
      </w:r>
    </w:p>
  </w:footnote>
  <w:footnote w:id="278">
    <w:p w:rsidR="00E85915" w:rsidRPr="009F0F3A" w:rsidRDefault="00E85915">
      <w:pPr>
        <w:pStyle w:val="FootnoteText"/>
      </w:pPr>
      <w:r w:rsidRPr="0075707B">
        <w:rPr>
          <w:rStyle w:val="FootnoteReference"/>
        </w:rPr>
        <w:footnoteRef/>
      </w:r>
      <w:r w:rsidRPr="0075707B">
        <w:t xml:space="preserve"> </w:t>
      </w:r>
      <w:r w:rsidRPr="0075707B">
        <w:rPr>
          <w:i/>
        </w:rPr>
        <w:t>See</w:t>
      </w:r>
      <w:r w:rsidRPr="0075707B">
        <w:t xml:space="preserve"> discussion </w:t>
      </w:r>
      <w:r w:rsidRPr="008A32C2">
        <w:t>¶¶ 95-96</w:t>
      </w:r>
      <w:r w:rsidRPr="0075707B">
        <w:t xml:space="preserve"> </w:t>
      </w:r>
      <w:r w:rsidRPr="00F82C8B">
        <w:rPr>
          <w:i/>
        </w:rPr>
        <w:t>infra.</w:t>
      </w:r>
    </w:p>
  </w:footnote>
  <w:footnote w:id="279">
    <w:p w:rsidR="00E85915" w:rsidRPr="009F0F3A" w:rsidRDefault="00E85915">
      <w:pPr>
        <w:pStyle w:val="FootnoteText"/>
      </w:pPr>
      <w:r w:rsidRPr="0075707B">
        <w:rPr>
          <w:rStyle w:val="FootnoteReference"/>
        </w:rPr>
        <w:footnoteRef/>
      </w:r>
      <w:r w:rsidRPr="0075707B">
        <w:t xml:space="preserve"> </w:t>
      </w:r>
      <w:r w:rsidRPr="0075707B">
        <w:rPr>
          <w:i/>
        </w:rPr>
        <w:t>See</w:t>
      </w:r>
      <w:r w:rsidRPr="0075707B">
        <w:t xml:space="preserve"> discussion </w:t>
      </w:r>
      <w:r>
        <w:t>¶¶ 97-98</w:t>
      </w:r>
      <w:r w:rsidRPr="00F82C8B">
        <w:t xml:space="preserve"> </w:t>
      </w:r>
      <w:r w:rsidRPr="009F0F3A">
        <w:rPr>
          <w:i/>
        </w:rPr>
        <w:t>infra.</w:t>
      </w:r>
    </w:p>
  </w:footnote>
  <w:footnote w:id="280">
    <w:p w:rsidR="00E85915" w:rsidRPr="0075707B" w:rsidRDefault="00E85915">
      <w:pPr>
        <w:pStyle w:val="FootnoteText"/>
      </w:pPr>
      <w:r w:rsidRPr="0075707B">
        <w:rPr>
          <w:rStyle w:val="FootnoteReference"/>
        </w:rPr>
        <w:footnoteRef/>
      </w:r>
      <w:r w:rsidRPr="0075707B">
        <w:t xml:space="preserve"> AT&amp;T Commitment Letter at </w:t>
      </w:r>
      <w:r>
        <w:t>3</w:t>
      </w:r>
      <w:r w:rsidRPr="0075707B">
        <w:t>.</w:t>
      </w:r>
    </w:p>
  </w:footnote>
  <w:footnote w:id="281">
    <w:p w:rsidR="00E85915" w:rsidRPr="00E10E78" w:rsidRDefault="00E85915" w:rsidP="0026762E">
      <w:pPr>
        <w:pStyle w:val="FootnoteText"/>
      </w:pPr>
      <w:r w:rsidRPr="0075707B">
        <w:rPr>
          <w:rStyle w:val="FootnoteReference"/>
        </w:rPr>
        <w:footnoteRef/>
      </w:r>
      <w:r w:rsidRPr="0075707B">
        <w:t xml:space="preserve"> AT&amp;T notes that it has preliminarily identified a fiber Ethernet to the cell backhaul solution at approximately 70</w:t>
      </w:r>
      <w:r>
        <w:t>%</w:t>
      </w:r>
      <w:r w:rsidRPr="0075707B">
        <w:t xml:space="preserve"> of the Allied cell sites that will be integrated into </w:t>
      </w:r>
      <w:r w:rsidRPr="009F0F3A">
        <w:t xml:space="preserve">the AT&amp;T network. AT&amp;T commits to work diligently to identify backhaul solutions for sites currently lacking fiber backhaul availability and shall report to the Commission on its progress in that regard in the progress reports that it will be periodically </w:t>
      </w:r>
      <w:r w:rsidRPr="00E10E78">
        <w:t xml:space="preserve">filing pursuant to its commitment letter.  AT&amp;T Commitment Letter at </w:t>
      </w:r>
      <w:r>
        <w:t>3</w:t>
      </w:r>
      <w:r w:rsidRPr="00E10E78">
        <w:t>.</w:t>
      </w:r>
    </w:p>
  </w:footnote>
  <w:footnote w:id="282">
    <w:p w:rsidR="00E85915" w:rsidRPr="00E10E78" w:rsidRDefault="00E85915">
      <w:pPr>
        <w:pStyle w:val="FootnoteText"/>
      </w:pPr>
      <w:r w:rsidRPr="0075707B">
        <w:rPr>
          <w:rStyle w:val="FootnoteReference"/>
        </w:rPr>
        <w:footnoteRef/>
      </w:r>
      <w:r w:rsidRPr="0075707B">
        <w:t xml:space="preserve"> </w:t>
      </w:r>
      <w:r w:rsidRPr="00E10E78">
        <w:t xml:space="preserve">AT&amp;T Commitment Letter at </w:t>
      </w:r>
      <w:r>
        <w:t>3</w:t>
      </w:r>
      <w:r w:rsidRPr="00E10E78">
        <w:t>.</w:t>
      </w:r>
      <w:r>
        <w:t xml:space="preserve">  </w:t>
      </w:r>
      <w:r w:rsidRPr="0075707B">
        <w:t>AT&amp;T asserts that its ability to meet these commitments is, to a certain extent, dependent on the actions of third parties.  As a result, in the event AT&amp;T, despite its commercially</w:t>
      </w:r>
      <w:r w:rsidRPr="009F0F3A">
        <w:t xml:space="preserve"> reasonable efforts, is unable to deploy HSPA+ or LTE service at one or more cell sites because of its inability to obtain necessary regulatory approvals, cell site access, field strength agreements to resolve interference concerns, or for other good cause</w:t>
      </w:r>
      <w:r w:rsidRPr="00E10E78">
        <w:t xml:space="preserve">, AT&amp;T seeks to preserve the opportunity to seek a waiver of this commitment as to the affected cell sites.  AT&amp;T Commitment Letter at </w:t>
      </w:r>
      <w:r>
        <w:t>3 n.3</w:t>
      </w:r>
      <w:r w:rsidRPr="00E10E78">
        <w:t>.</w:t>
      </w:r>
    </w:p>
  </w:footnote>
  <w:footnote w:id="283">
    <w:p w:rsidR="00E85915" w:rsidRDefault="00E85915">
      <w:pPr>
        <w:pStyle w:val="FootnoteText"/>
      </w:pPr>
      <w:r>
        <w:rPr>
          <w:rStyle w:val="FootnoteReference"/>
        </w:rPr>
        <w:footnoteRef/>
      </w:r>
      <w:r>
        <w:t xml:space="preserve"> </w:t>
      </w:r>
      <w:r w:rsidRPr="00E10E78">
        <w:t xml:space="preserve">AT&amp;T Commitment Letter at </w:t>
      </w:r>
      <w:r>
        <w:t>3</w:t>
      </w:r>
      <w:r w:rsidRPr="00E10E78">
        <w:t>.</w:t>
      </w:r>
    </w:p>
  </w:footnote>
  <w:footnote w:id="284">
    <w:p w:rsidR="00E85915" w:rsidRDefault="00E85915">
      <w:pPr>
        <w:pStyle w:val="FootnoteText"/>
      </w:pPr>
      <w:r>
        <w:rPr>
          <w:rStyle w:val="FootnoteReference"/>
        </w:rPr>
        <w:footnoteRef/>
      </w:r>
      <w:r>
        <w:t xml:space="preserve"> </w:t>
      </w:r>
      <w:r w:rsidRPr="0075707B">
        <w:t xml:space="preserve">AT&amp;T </w:t>
      </w:r>
      <w:r>
        <w:t>Fifth Supplemental</w:t>
      </w:r>
      <w:r w:rsidRPr="0075707B">
        <w:t xml:space="preserve"> Response, </w:t>
      </w:r>
      <w:r>
        <w:t>September 18</w:t>
      </w:r>
      <w:r w:rsidRPr="0075707B">
        <w:t xml:space="preserve">, 2013, at </w:t>
      </w:r>
      <w:r>
        <w:t>1</w:t>
      </w:r>
      <w:r w:rsidRPr="0075707B">
        <w:t>.</w:t>
      </w:r>
    </w:p>
  </w:footnote>
  <w:footnote w:id="285">
    <w:p w:rsidR="00E85915" w:rsidRDefault="00E85915">
      <w:pPr>
        <w:pStyle w:val="FootnoteText"/>
      </w:pPr>
      <w:r>
        <w:rPr>
          <w:rStyle w:val="FootnoteReference"/>
        </w:rPr>
        <w:footnoteRef/>
      </w:r>
      <w:r>
        <w:t xml:space="preserve"> </w:t>
      </w:r>
      <w:r>
        <w:rPr>
          <w:i/>
        </w:rPr>
        <w:t>Id.</w:t>
      </w:r>
    </w:p>
  </w:footnote>
  <w:footnote w:id="286">
    <w:p w:rsidR="00E85915" w:rsidRDefault="00E85915" w:rsidP="00FF387A">
      <w:pPr>
        <w:pStyle w:val="FootnoteText"/>
      </w:pPr>
      <w:r>
        <w:rPr>
          <w:rStyle w:val="FootnoteReference"/>
        </w:rPr>
        <w:footnoteRef/>
      </w:r>
      <w:r>
        <w:t xml:space="preserve"> The gains from increased HSPA+ and LTE coverage are estimated on a population weighted average basis, utilizing Mosaik, July 2013, and 2010 U.S. Census data.  </w:t>
      </w:r>
    </w:p>
  </w:footnote>
  <w:footnote w:id="287">
    <w:p w:rsidR="00E85915" w:rsidRPr="009F0F3A" w:rsidRDefault="00E85915" w:rsidP="00E94F81">
      <w:pPr>
        <w:pStyle w:val="FootnoteText"/>
      </w:pPr>
      <w:r w:rsidRPr="0075707B">
        <w:rPr>
          <w:rStyle w:val="FootnoteReference"/>
        </w:rPr>
        <w:footnoteRef/>
      </w:r>
      <w:r w:rsidRPr="0075707B">
        <w:t xml:space="preserve"> AT&amp;T Commitment Letter at </w:t>
      </w:r>
      <w:r>
        <w:t>3</w:t>
      </w:r>
      <w:r w:rsidRPr="0075707B">
        <w:t xml:space="preserve">.  At these nine sites, Allied currently provides CDMA roaming service using lease spectrum and does not otherwise hold spectrum in these two CMAs.  AT&amp;T is not acquiring these spectrum leases and will not be providing CDMA roaming services at these nine sites after the closing.  </w:t>
      </w:r>
      <w:r>
        <w:rPr>
          <w:i/>
        </w:rPr>
        <w:t>Id.</w:t>
      </w:r>
      <w:r w:rsidRPr="009F0F3A">
        <w:t xml:space="preserve"> at </w:t>
      </w:r>
      <w:r>
        <w:t>3 n.1</w:t>
      </w:r>
      <w:r w:rsidRPr="009F0F3A">
        <w:t xml:space="preserve">.  </w:t>
      </w:r>
    </w:p>
  </w:footnote>
  <w:footnote w:id="288">
    <w:p w:rsidR="00E85915" w:rsidRPr="009F0F3A" w:rsidRDefault="00E85915" w:rsidP="00E94F81">
      <w:pPr>
        <w:pStyle w:val="FootnoteText"/>
      </w:pPr>
      <w:r w:rsidRPr="0075707B">
        <w:rPr>
          <w:rStyle w:val="FootnoteReference"/>
        </w:rPr>
        <w:footnoteRef/>
      </w:r>
      <w:r w:rsidRPr="0075707B">
        <w:t xml:space="preserve"> </w:t>
      </w:r>
      <w:r>
        <w:rPr>
          <w:i/>
        </w:rPr>
        <w:t>Id.</w:t>
      </w:r>
      <w:r w:rsidRPr="0075707B">
        <w:t xml:space="preserve"> at </w:t>
      </w:r>
      <w:r>
        <w:t>3</w:t>
      </w:r>
      <w:r w:rsidRPr="0075707B">
        <w:t xml:space="preserve">.  AT&amp;T states that this commitment on its part would not require it to modify the rates or other terms and conditions of any CDMA roaming agreement it assumes from Allied.  </w:t>
      </w:r>
      <w:r>
        <w:rPr>
          <w:i/>
        </w:rPr>
        <w:t>Id.</w:t>
      </w:r>
      <w:r w:rsidRPr="009F0F3A">
        <w:t xml:space="preserve">  </w:t>
      </w:r>
    </w:p>
  </w:footnote>
  <w:footnote w:id="289">
    <w:p w:rsidR="00E85915" w:rsidRPr="009F0F3A" w:rsidRDefault="00E85915" w:rsidP="00E94F81">
      <w:pPr>
        <w:pStyle w:val="FootnoteText"/>
      </w:pPr>
      <w:r w:rsidRPr="0075707B">
        <w:rPr>
          <w:rStyle w:val="FootnoteReference"/>
        </w:rPr>
        <w:footnoteRef/>
      </w:r>
      <w:r w:rsidRPr="0075707B">
        <w:t xml:space="preserve"> </w:t>
      </w:r>
      <w:r>
        <w:rPr>
          <w:i/>
        </w:rPr>
        <w:t>Id.</w:t>
      </w:r>
      <w:r w:rsidRPr="0075707B">
        <w:t xml:space="preserve">  In CMA</w:t>
      </w:r>
      <w:r>
        <w:t xml:space="preserve"> </w:t>
      </w:r>
      <w:r w:rsidRPr="0075707B">
        <w:t>378, Allied service is provided through GA RSA</w:t>
      </w:r>
      <w:r>
        <w:t xml:space="preserve"> #</w:t>
      </w:r>
      <w:r w:rsidRPr="0075707B">
        <w:t>8 Partnership (“Partnership”)</w:t>
      </w:r>
      <w:r>
        <w:t>,</w:t>
      </w:r>
      <w:r w:rsidRPr="0075707B">
        <w:t xml:space="preserve"> in which Allied holds a 30</w:t>
      </w:r>
      <w:r>
        <w:t>%</w:t>
      </w:r>
      <w:r w:rsidRPr="0075707B">
        <w:t xml:space="preserve"> interest </w:t>
      </w:r>
      <w:r>
        <w:t>that</w:t>
      </w:r>
      <w:r w:rsidRPr="0075707B">
        <w:t xml:space="preserve"> it is transferring to AT&amp;T.  If AT&amp;T acquires </w:t>
      </w:r>
      <w:r w:rsidRPr="00061517">
        <w:rPr>
          <w:i/>
        </w:rPr>
        <w:t>de facto</w:t>
      </w:r>
      <w:r w:rsidRPr="0075707B">
        <w:t xml:space="preserve"> control of the Partnership</w:t>
      </w:r>
      <w:r>
        <w:t>,</w:t>
      </w:r>
      <w:r w:rsidRPr="0075707B">
        <w:t xml:space="preserve"> the</w:t>
      </w:r>
      <w:r w:rsidRPr="009F0F3A">
        <w:t>n the commitment will apply to the Partnership.</w:t>
      </w:r>
      <w:r>
        <w:t xml:space="preserve">  </w:t>
      </w:r>
      <w:r>
        <w:rPr>
          <w:i/>
        </w:rPr>
        <w:t>Id.</w:t>
      </w:r>
      <w:r>
        <w:t xml:space="preserve"> at 3 n.2.</w:t>
      </w:r>
    </w:p>
  </w:footnote>
  <w:footnote w:id="290">
    <w:p w:rsidR="00E85915" w:rsidRPr="0075707B" w:rsidRDefault="00E85915" w:rsidP="00E94F81">
      <w:pPr>
        <w:pStyle w:val="FootnoteText"/>
      </w:pPr>
      <w:r w:rsidRPr="0075707B">
        <w:rPr>
          <w:rStyle w:val="FootnoteReference"/>
        </w:rPr>
        <w:footnoteRef/>
      </w:r>
      <w:r w:rsidRPr="0075707B">
        <w:t xml:space="preserve"> </w:t>
      </w:r>
      <w:r>
        <w:rPr>
          <w:i/>
        </w:rPr>
        <w:t>Id.</w:t>
      </w:r>
      <w:r w:rsidRPr="0075707B">
        <w:t xml:space="preserve"> at </w:t>
      </w:r>
      <w:r>
        <w:t>3-4</w:t>
      </w:r>
      <w:r w:rsidRPr="0075707B">
        <w:t>.</w:t>
      </w:r>
    </w:p>
  </w:footnote>
  <w:footnote w:id="291">
    <w:p w:rsidR="00E85915" w:rsidRPr="0075707B" w:rsidRDefault="00E85915" w:rsidP="00E94F81">
      <w:pPr>
        <w:pStyle w:val="FootnoteText"/>
      </w:pPr>
      <w:r w:rsidRPr="0075707B">
        <w:rPr>
          <w:rStyle w:val="FootnoteReference"/>
        </w:rPr>
        <w:footnoteRef/>
      </w:r>
      <w:r w:rsidRPr="0075707B">
        <w:t xml:space="preserve"> </w:t>
      </w:r>
      <w:r>
        <w:rPr>
          <w:i/>
        </w:rPr>
        <w:t>Id.</w:t>
      </w:r>
      <w:r w:rsidRPr="0075707B">
        <w:t xml:space="preserve"> at </w:t>
      </w:r>
      <w:r>
        <w:t>4</w:t>
      </w:r>
      <w:r w:rsidRPr="0075707B">
        <w:t xml:space="preserve">.  Each Allied customer who chooses a device from the provided list will receive a new device.  </w:t>
      </w:r>
      <w:r>
        <w:rPr>
          <w:i/>
        </w:rPr>
        <w:t>Id.</w:t>
      </w:r>
    </w:p>
  </w:footnote>
  <w:footnote w:id="292">
    <w:p w:rsidR="00E85915" w:rsidRPr="0075707B" w:rsidRDefault="00E85915" w:rsidP="00E94F81">
      <w:pPr>
        <w:pStyle w:val="FootnoteText"/>
      </w:pPr>
      <w:r w:rsidRPr="0075707B">
        <w:rPr>
          <w:rStyle w:val="FootnoteReference"/>
        </w:rPr>
        <w:footnoteRef/>
      </w:r>
      <w:r w:rsidRPr="0075707B">
        <w:t xml:space="preserve"> </w:t>
      </w:r>
      <w:r>
        <w:rPr>
          <w:i/>
        </w:rPr>
        <w:t>Id.</w:t>
      </w:r>
    </w:p>
  </w:footnote>
  <w:footnote w:id="293">
    <w:p w:rsidR="00E85915" w:rsidRPr="0075707B" w:rsidRDefault="00E85915" w:rsidP="00E94F81">
      <w:pPr>
        <w:pStyle w:val="FootnoteText"/>
      </w:pPr>
      <w:r w:rsidRPr="0075707B">
        <w:rPr>
          <w:rStyle w:val="FootnoteReference"/>
        </w:rPr>
        <w:footnoteRef/>
      </w:r>
      <w:r w:rsidRPr="0075707B">
        <w:t xml:space="preserve"> </w:t>
      </w:r>
      <w:r>
        <w:rPr>
          <w:i/>
        </w:rPr>
        <w:t>Id.</w:t>
      </w:r>
    </w:p>
  </w:footnote>
  <w:footnote w:id="294">
    <w:p w:rsidR="00E85915" w:rsidRPr="006037AF" w:rsidRDefault="00E85915" w:rsidP="00E94F81">
      <w:pPr>
        <w:pStyle w:val="FootnoteText"/>
      </w:pPr>
      <w:r w:rsidRPr="0075707B">
        <w:rPr>
          <w:rStyle w:val="FootnoteReference"/>
        </w:rPr>
        <w:footnoteRef/>
      </w:r>
      <w:r w:rsidRPr="0075707B">
        <w:t xml:space="preserve"> </w:t>
      </w:r>
      <w:r>
        <w:rPr>
          <w:i/>
        </w:rPr>
        <w:t>Id.</w:t>
      </w:r>
      <w:r w:rsidRPr="0075707B">
        <w:t xml:space="preserve">  As is </w:t>
      </w:r>
      <w:r w:rsidRPr="00CF6080">
        <w:t>the case with all Alled customers, customers with iPhones will have the option to upgrade their device and adopt an AT&amp;T rate plan that is compatible with the upgraded device.</w:t>
      </w:r>
      <w:r>
        <w:t xml:space="preserve">  </w:t>
      </w:r>
      <w:r>
        <w:rPr>
          <w:i/>
        </w:rPr>
        <w:t>Id</w:t>
      </w:r>
      <w:r>
        <w:t>.</w:t>
      </w:r>
    </w:p>
  </w:footnote>
  <w:footnote w:id="295">
    <w:p w:rsidR="00E85915" w:rsidRPr="00CF6080" w:rsidRDefault="00E85915">
      <w:pPr>
        <w:pStyle w:val="FootnoteText"/>
      </w:pPr>
      <w:r w:rsidRPr="00CF6080">
        <w:rPr>
          <w:rStyle w:val="FootnoteReference"/>
        </w:rPr>
        <w:footnoteRef/>
      </w:r>
      <w:r w:rsidRPr="00CF6080">
        <w:t xml:space="preserve"> </w:t>
      </w:r>
      <w:r w:rsidRPr="00CF6080">
        <w:rPr>
          <w:i/>
        </w:rPr>
        <w:t>See</w:t>
      </w:r>
      <w:r w:rsidRPr="00CF6080">
        <w:t xml:space="preserve"> AT&amp;T Third Supplemental Response, August 28, 2013, at 1-4; </w:t>
      </w:r>
      <w:r w:rsidRPr="0075707B">
        <w:t xml:space="preserve">AT&amp;T </w:t>
      </w:r>
      <w:r>
        <w:t>Fifth Supplemental</w:t>
      </w:r>
      <w:r w:rsidRPr="0075707B">
        <w:t xml:space="preserve"> Response, </w:t>
      </w:r>
      <w:r>
        <w:t>September 18</w:t>
      </w:r>
      <w:r w:rsidRPr="0075707B">
        <w:t xml:space="preserve">, 2013, at </w:t>
      </w:r>
      <w:r>
        <w:t>2-3</w:t>
      </w:r>
      <w:r w:rsidRPr="00CF6080">
        <w:t>.</w:t>
      </w:r>
    </w:p>
  </w:footnote>
  <w:footnote w:id="296">
    <w:p w:rsidR="00E85915" w:rsidRPr="0075707B" w:rsidRDefault="00E85915">
      <w:pPr>
        <w:pStyle w:val="FootnoteText"/>
      </w:pPr>
      <w:r w:rsidRPr="00CF6080">
        <w:rPr>
          <w:rStyle w:val="FootnoteReference"/>
        </w:rPr>
        <w:footnoteRef/>
      </w:r>
      <w:r w:rsidRPr="00CF6080">
        <w:t xml:space="preserve"> AT&amp;T Commitment Letter at </w:t>
      </w:r>
      <w:r>
        <w:t>4</w:t>
      </w:r>
      <w:r w:rsidRPr="00CF6080">
        <w:t>.</w:t>
      </w:r>
    </w:p>
  </w:footnote>
  <w:footnote w:id="297">
    <w:p w:rsidR="00E85915" w:rsidRDefault="00E85915">
      <w:pPr>
        <w:pStyle w:val="FootnoteText"/>
      </w:pPr>
      <w:r>
        <w:rPr>
          <w:rStyle w:val="FootnoteReference"/>
        </w:rPr>
        <w:footnoteRef/>
      </w:r>
      <w:r>
        <w:t xml:space="preserve"> </w:t>
      </w:r>
      <w:r w:rsidRPr="0075707B">
        <w:t xml:space="preserve">AT&amp;T </w:t>
      </w:r>
      <w:r>
        <w:t>Fifth Supplemental</w:t>
      </w:r>
      <w:r w:rsidRPr="0075707B">
        <w:t xml:space="preserve"> Response, </w:t>
      </w:r>
      <w:r>
        <w:t>September 18</w:t>
      </w:r>
      <w:r w:rsidRPr="0075707B">
        <w:t xml:space="preserve">, 2013, at </w:t>
      </w:r>
      <w:r>
        <w:t>3</w:t>
      </w:r>
      <w:r w:rsidRPr="0075707B">
        <w:t>.</w:t>
      </w:r>
    </w:p>
  </w:footnote>
  <w:footnote w:id="298">
    <w:p w:rsidR="00E85915" w:rsidRPr="0075707B" w:rsidRDefault="00E85915">
      <w:pPr>
        <w:pStyle w:val="FootnoteText"/>
      </w:pPr>
      <w:r w:rsidRPr="0075707B">
        <w:rPr>
          <w:rStyle w:val="FootnoteReference"/>
        </w:rPr>
        <w:footnoteRef/>
      </w:r>
      <w:r w:rsidRPr="0075707B">
        <w:t xml:space="preserve"> AT&amp;T Commitment Letter at </w:t>
      </w:r>
      <w:r>
        <w:t>4</w:t>
      </w:r>
      <w:r w:rsidRPr="0075707B">
        <w:t>.</w:t>
      </w:r>
    </w:p>
  </w:footnote>
  <w:footnote w:id="299">
    <w:p w:rsidR="00E85915" w:rsidRDefault="00E85915">
      <w:pPr>
        <w:pStyle w:val="FootnoteText"/>
      </w:pPr>
      <w:r>
        <w:rPr>
          <w:rStyle w:val="FootnoteReference"/>
        </w:rPr>
        <w:footnoteRef/>
      </w:r>
      <w:r>
        <w:t xml:space="preserve"> </w:t>
      </w:r>
      <w:r w:rsidRPr="001950C6">
        <w:t xml:space="preserve">Allied was a winning bidder in the Mobility Fund Phase I auction (Auction 901) and was authorized to receive $45,853,493.28 in Mobility Fund Phase I support, </w:t>
      </w:r>
      <w:r>
        <w:t xml:space="preserve">secured by letters of credit.  </w:t>
      </w:r>
      <w:r w:rsidRPr="001950C6">
        <w:t>Pursuant to the Commission’s rules, a winning bidder in Auction 901 that is authorized to receive Mobility Fund Phase I support will be subject to repayment of the support disbursed together with an additional performance default payment of ten percent on the total level of support for which the winning bidder is eligible if it fails or is unable to meet its minimum coverage or service requirements or fails to fulfill any term or condition of M</w:t>
      </w:r>
      <w:r>
        <w:t xml:space="preserve">obility Fund Phase I support.  </w:t>
      </w:r>
      <w:r w:rsidRPr="001950C6">
        <w:t xml:space="preserve">Upon consummation of this Transaction, Allied will no longer satisfy the spectrum access requirements necessary to receive Mobility Fund Phase I support and Allied will be subject to the ten percent default payment in the amount of $4,585,349.34.  In accordance with the </w:t>
      </w:r>
      <w:r>
        <w:t>September 18, 2013</w:t>
      </w:r>
      <w:r w:rsidRPr="001950C6">
        <w:t xml:space="preserve"> letter submitted by ATN and Allied, Allied will satisfy its performance default payment obligation on or before consummation of the Transaction.  </w:t>
      </w:r>
      <w:r>
        <w:rPr>
          <w:i/>
        </w:rPr>
        <w:t>See</w:t>
      </w:r>
      <w:r>
        <w:t xml:space="preserve"> Letter from Leonard Q. Slap, Senior Vice President, General Counsel and Secretary, Atlantic Tele-Network, Inc., and Secretary, Allied Wireless Communications Corporation, to Ruth Milkman, Chief, Wireless Telecommunications Bureau, </w:t>
      </w:r>
      <w:r w:rsidRPr="0075707B">
        <w:t>WT Docket 13-54</w:t>
      </w:r>
      <w:r>
        <w:t xml:space="preserve"> (Sept. 18, 2013).  </w:t>
      </w:r>
      <w:r w:rsidRPr="001950C6">
        <w:t>If Allied fails to satisfy this default payment on or before consummation, the Commission will, consistent with its rules, proceed to draw upon Allied’s letters of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AB" w:rsidRDefault="00EC5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15" w:rsidRDefault="00E85915" w:rsidP="008D3EB8">
    <w:pPr>
      <w:pStyle w:val="Header"/>
    </w:pPr>
    <w:r>
      <w:tab/>
    </w:r>
    <w:r w:rsidRPr="008D3EB8">
      <w:t>Federal Communications Commission</w:t>
    </w:r>
    <w:r w:rsidRPr="008D3EB8">
      <w:tab/>
    </w:r>
    <w:r>
      <w:t>DA</w:t>
    </w:r>
    <w:r w:rsidRPr="008D3EB8">
      <w:t xml:space="preserve"> </w:t>
    </w:r>
    <w:r w:rsidRPr="000E7DEA">
      <w:t>13-1940</w:t>
    </w:r>
  </w:p>
  <w:p w:rsidR="00E85915" w:rsidRDefault="00E8591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5CD3B966" wp14:editId="417C5F7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E85915" w:rsidRDefault="00E85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AXqUBPegIAAAQFAAAOAAAAAAAA&#10;AAAAAAAAAC4CAABkcnMvZTJvRG9jLnhtbFBLAQItABQABgAIAAAAIQAiPO7R1wAAAAMBAAAPAAAA&#10;AAAAAAAAAAAAANQEAABkcnMvZG93bnJldi54bWxQSwUGAAAAAAQABADzAAAA2AUAAAAA&#10;" o:allowincell="f" fillcolor="black" stroked="f" strokeweight=".05pt">
              <v:textbox>
                <w:txbxContent>
                  <w:p w:rsidR="00E85915" w:rsidRDefault="00E85915"/>
                </w:txbxContent>
              </v:textbox>
              <w10:wrap anchorx="margin"/>
            </v:rect>
          </w:pict>
        </mc:Fallback>
      </mc:AlternateContent>
    </w:r>
  </w:p>
  <w:p w:rsidR="00E85915" w:rsidRDefault="00E8591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15" w:rsidRDefault="00E85915" w:rsidP="00607954">
    <w:pPr>
      <w:jc w:val="right"/>
      <w:rPr>
        <w:b/>
        <w:bCs/>
      </w:rPr>
    </w:pPr>
    <w:r>
      <w:rPr>
        <w:b/>
        <w:bCs/>
      </w:rPr>
      <w:t>REDACTED</w:t>
    </w:r>
  </w:p>
  <w:p w:rsidR="00E85915" w:rsidRDefault="00E85915" w:rsidP="00607954">
    <w:pPr>
      <w:pStyle w:val="Header"/>
    </w:pPr>
    <w:r>
      <w:tab/>
    </w:r>
    <w:r w:rsidRPr="008D3EB8">
      <w:t>Federal Communications Commission</w:t>
    </w:r>
    <w:r w:rsidRPr="008D3EB8">
      <w:tab/>
    </w:r>
    <w:r>
      <w:t xml:space="preserve">DA </w:t>
    </w:r>
    <w:r w:rsidRPr="000E7DEA">
      <w:t>13-1940</w:t>
    </w:r>
  </w:p>
  <w:p w:rsidR="00E85915" w:rsidRDefault="00E85915" w:rsidP="005B687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EA9A2D2" wp14:editId="2CD830C6">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E85915" w:rsidRDefault="00E85915" w:rsidP="005B6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M+G3YV8AgAACwUAAA4AAAAA&#10;AAAAAAAAAAAALgIAAGRycy9lMm9Eb2MueG1sUEsBAi0AFAAGAAgAAAAhACI87tHXAAAAAwEAAA8A&#10;AAAAAAAAAAAAAAAA1gQAAGRycy9kb3ducmV2LnhtbFBLBQYAAAAABAAEAPMAAADaBQAAAAA=&#10;" o:allowincell="f" fillcolor="black" stroked="f" strokeweight=".05pt">
              <v:textbox>
                <w:txbxContent>
                  <w:p w:rsidR="00E85915" w:rsidRDefault="00E85915" w:rsidP="005B6872"/>
                </w:txbxContent>
              </v:textbox>
              <w10:wrap anchorx="margin"/>
            </v:rect>
          </w:pict>
        </mc:Fallback>
      </mc:AlternateContent>
    </w:r>
  </w:p>
  <w:p w:rsidR="00E85915" w:rsidRDefault="00E85915" w:rsidP="005B6872">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0F0C3B"/>
    <w:multiLevelType w:val="hybridMultilevel"/>
    <w:tmpl w:val="A5DA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3B8A24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6"/>
  </w:num>
  <w:num w:numId="8">
    <w:abstractNumId w:val="4"/>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1"/>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3"/>
    </w:lvlOverride>
  </w:num>
  <w:num w:numId="26">
    <w:abstractNumId w:val="6"/>
  </w:num>
  <w:num w:numId="27">
    <w:abstractNumId w:val="6"/>
  </w:num>
  <w:num w:numId="28">
    <w:abstractNumId w:val="6"/>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08"/>
    <w:rsid w:val="000001E4"/>
    <w:rsid w:val="0000067B"/>
    <w:rsid w:val="0000214C"/>
    <w:rsid w:val="00002204"/>
    <w:rsid w:val="00002FBA"/>
    <w:rsid w:val="000037D8"/>
    <w:rsid w:val="00003C98"/>
    <w:rsid w:val="000052A1"/>
    <w:rsid w:val="000056CD"/>
    <w:rsid w:val="00006B7A"/>
    <w:rsid w:val="00006D50"/>
    <w:rsid w:val="000074E3"/>
    <w:rsid w:val="000075AD"/>
    <w:rsid w:val="000101EF"/>
    <w:rsid w:val="00010618"/>
    <w:rsid w:val="00010B12"/>
    <w:rsid w:val="00011317"/>
    <w:rsid w:val="000114BC"/>
    <w:rsid w:val="00011D25"/>
    <w:rsid w:val="00012124"/>
    <w:rsid w:val="00013171"/>
    <w:rsid w:val="00013B07"/>
    <w:rsid w:val="00013EC8"/>
    <w:rsid w:val="00014EF2"/>
    <w:rsid w:val="00015C70"/>
    <w:rsid w:val="000166E1"/>
    <w:rsid w:val="00016A26"/>
    <w:rsid w:val="00017264"/>
    <w:rsid w:val="000173CA"/>
    <w:rsid w:val="00017C01"/>
    <w:rsid w:val="00017DC7"/>
    <w:rsid w:val="0002088B"/>
    <w:rsid w:val="00020C76"/>
    <w:rsid w:val="00022663"/>
    <w:rsid w:val="0002276B"/>
    <w:rsid w:val="000227E0"/>
    <w:rsid w:val="000240CF"/>
    <w:rsid w:val="000249EE"/>
    <w:rsid w:val="00024EE3"/>
    <w:rsid w:val="0002543E"/>
    <w:rsid w:val="00026911"/>
    <w:rsid w:val="000302F8"/>
    <w:rsid w:val="00030606"/>
    <w:rsid w:val="00030B6C"/>
    <w:rsid w:val="000311C7"/>
    <w:rsid w:val="00031C67"/>
    <w:rsid w:val="00031E10"/>
    <w:rsid w:val="00032674"/>
    <w:rsid w:val="00032A99"/>
    <w:rsid w:val="00032B29"/>
    <w:rsid w:val="0003342E"/>
    <w:rsid w:val="00033CDC"/>
    <w:rsid w:val="00034443"/>
    <w:rsid w:val="00034ACF"/>
    <w:rsid w:val="0003511F"/>
    <w:rsid w:val="00035CDD"/>
    <w:rsid w:val="000362F6"/>
    <w:rsid w:val="00036315"/>
    <w:rsid w:val="00036505"/>
    <w:rsid w:val="000365E9"/>
    <w:rsid w:val="00036A83"/>
    <w:rsid w:val="0003757E"/>
    <w:rsid w:val="0004065B"/>
    <w:rsid w:val="00041258"/>
    <w:rsid w:val="00041B09"/>
    <w:rsid w:val="000424C7"/>
    <w:rsid w:val="0004251D"/>
    <w:rsid w:val="0004374A"/>
    <w:rsid w:val="0004388F"/>
    <w:rsid w:val="00043C7F"/>
    <w:rsid w:val="00047276"/>
    <w:rsid w:val="0004775B"/>
    <w:rsid w:val="00047D81"/>
    <w:rsid w:val="000500DF"/>
    <w:rsid w:val="000505FE"/>
    <w:rsid w:val="00050B55"/>
    <w:rsid w:val="0005171A"/>
    <w:rsid w:val="00052472"/>
    <w:rsid w:val="00052F68"/>
    <w:rsid w:val="00053876"/>
    <w:rsid w:val="00053AF8"/>
    <w:rsid w:val="000541BD"/>
    <w:rsid w:val="00054300"/>
    <w:rsid w:val="00054397"/>
    <w:rsid w:val="00055FCD"/>
    <w:rsid w:val="00056B08"/>
    <w:rsid w:val="0005773D"/>
    <w:rsid w:val="00057957"/>
    <w:rsid w:val="00057A3D"/>
    <w:rsid w:val="00060183"/>
    <w:rsid w:val="0006020C"/>
    <w:rsid w:val="000608CA"/>
    <w:rsid w:val="00061517"/>
    <w:rsid w:val="0006290F"/>
    <w:rsid w:val="000640F2"/>
    <w:rsid w:val="000641CD"/>
    <w:rsid w:val="000655E1"/>
    <w:rsid w:val="0006602B"/>
    <w:rsid w:val="0006766B"/>
    <w:rsid w:val="00067BA3"/>
    <w:rsid w:val="0007225E"/>
    <w:rsid w:val="000727C3"/>
    <w:rsid w:val="00073849"/>
    <w:rsid w:val="00073A57"/>
    <w:rsid w:val="00074BED"/>
    <w:rsid w:val="00074E9A"/>
    <w:rsid w:val="00074F7E"/>
    <w:rsid w:val="000753D2"/>
    <w:rsid w:val="000757CD"/>
    <w:rsid w:val="000758E5"/>
    <w:rsid w:val="00075AB0"/>
    <w:rsid w:val="0007675F"/>
    <w:rsid w:val="00076D97"/>
    <w:rsid w:val="00076EDD"/>
    <w:rsid w:val="0008136E"/>
    <w:rsid w:val="00081E46"/>
    <w:rsid w:val="000822DF"/>
    <w:rsid w:val="00082E7B"/>
    <w:rsid w:val="00083130"/>
    <w:rsid w:val="0008389B"/>
    <w:rsid w:val="00083B29"/>
    <w:rsid w:val="00083F66"/>
    <w:rsid w:val="000840A9"/>
    <w:rsid w:val="0008495C"/>
    <w:rsid w:val="000860EA"/>
    <w:rsid w:val="00086151"/>
    <w:rsid w:val="00086899"/>
    <w:rsid w:val="00086A8A"/>
    <w:rsid w:val="00086EDC"/>
    <w:rsid w:val="000874BA"/>
    <w:rsid w:val="0008760F"/>
    <w:rsid w:val="00087E54"/>
    <w:rsid w:val="000903E5"/>
    <w:rsid w:val="000906F8"/>
    <w:rsid w:val="000915AD"/>
    <w:rsid w:val="00091810"/>
    <w:rsid w:val="000919BF"/>
    <w:rsid w:val="000936BA"/>
    <w:rsid w:val="00093803"/>
    <w:rsid w:val="00093999"/>
    <w:rsid w:val="000957B3"/>
    <w:rsid w:val="00095A8B"/>
    <w:rsid w:val="0009605B"/>
    <w:rsid w:val="0009695B"/>
    <w:rsid w:val="000973C2"/>
    <w:rsid w:val="000A02BC"/>
    <w:rsid w:val="000A0BD5"/>
    <w:rsid w:val="000A0BDA"/>
    <w:rsid w:val="000A1646"/>
    <w:rsid w:val="000A1A35"/>
    <w:rsid w:val="000A2562"/>
    <w:rsid w:val="000A3092"/>
    <w:rsid w:val="000A30E3"/>
    <w:rsid w:val="000A38D5"/>
    <w:rsid w:val="000A3E88"/>
    <w:rsid w:val="000A4751"/>
    <w:rsid w:val="000A56CC"/>
    <w:rsid w:val="000A5B64"/>
    <w:rsid w:val="000A6216"/>
    <w:rsid w:val="000A64AE"/>
    <w:rsid w:val="000A703A"/>
    <w:rsid w:val="000A7B6B"/>
    <w:rsid w:val="000A7CB5"/>
    <w:rsid w:val="000A7DDF"/>
    <w:rsid w:val="000A7EDC"/>
    <w:rsid w:val="000B0496"/>
    <w:rsid w:val="000B0B13"/>
    <w:rsid w:val="000B0E0E"/>
    <w:rsid w:val="000B1A71"/>
    <w:rsid w:val="000B1C00"/>
    <w:rsid w:val="000B334A"/>
    <w:rsid w:val="000B473A"/>
    <w:rsid w:val="000B4CA2"/>
    <w:rsid w:val="000B4DB8"/>
    <w:rsid w:val="000B4FBB"/>
    <w:rsid w:val="000B5DA2"/>
    <w:rsid w:val="000B66AC"/>
    <w:rsid w:val="000B68DD"/>
    <w:rsid w:val="000B68EE"/>
    <w:rsid w:val="000B71F1"/>
    <w:rsid w:val="000C029A"/>
    <w:rsid w:val="000C0854"/>
    <w:rsid w:val="000C1136"/>
    <w:rsid w:val="000C13DB"/>
    <w:rsid w:val="000C1BDF"/>
    <w:rsid w:val="000C1E07"/>
    <w:rsid w:val="000C2145"/>
    <w:rsid w:val="000C3B82"/>
    <w:rsid w:val="000C50B8"/>
    <w:rsid w:val="000C53C0"/>
    <w:rsid w:val="000C540E"/>
    <w:rsid w:val="000C5457"/>
    <w:rsid w:val="000C5988"/>
    <w:rsid w:val="000D07C8"/>
    <w:rsid w:val="000D0AE2"/>
    <w:rsid w:val="000D1B77"/>
    <w:rsid w:val="000D1D9A"/>
    <w:rsid w:val="000D38F6"/>
    <w:rsid w:val="000D3918"/>
    <w:rsid w:val="000D3AD5"/>
    <w:rsid w:val="000D4023"/>
    <w:rsid w:val="000D40AC"/>
    <w:rsid w:val="000D421F"/>
    <w:rsid w:val="000D49A7"/>
    <w:rsid w:val="000D4F46"/>
    <w:rsid w:val="000D532A"/>
    <w:rsid w:val="000D53CA"/>
    <w:rsid w:val="000D60E0"/>
    <w:rsid w:val="000D6140"/>
    <w:rsid w:val="000D6A85"/>
    <w:rsid w:val="000D77EE"/>
    <w:rsid w:val="000E0129"/>
    <w:rsid w:val="000E11C4"/>
    <w:rsid w:val="000E1BD5"/>
    <w:rsid w:val="000E209C"/>
    <w:rsid w:val="000E247C"/>
    <w:rsid w:val="000E28BF"/>
    <w:rsid w:val="000E2EB3"/>
    <w:rsid w:val="000E3CA3"/>
    <w:rsid w:val="000E4C1E"/>
    <w:rsid w:val="000E5029"/>
    <w:rsid w:val="000E7190"/>
    <w:rsid w:val="000E7BD7"/>
    <w:rsid w:val="000E7CFC"/>
    <w:rsid w:val="000E7DEA"/>
    <w:rsid w:val="000F0842"/>
    <w:rsid w:val="000F10D3"/>
    <w:rsid w:val="000F15AD"/>
    <w:rsid w:val="000F2040"/>
    <w:rsid w:val="000F2B73"/>
    <w:rsid w:val="000F3164"/>
    <w:rsid w:val="000F3332"/>
    <w:rsid w:val="000F37AC"/>
    <w:rsid w:val="000F412E"/>
    <w:rsid w:val="000F46C2"/>
    <w:rsid w:val="000F5D51"/>
    <w:rsid w:val="000F6056"/>
    <w:rsid w:val="000F697D"/>
    <w:rsid w:val="000F6E19"/>
    <w:rsid w:val="000F700F"/>
    <w:rsid w:val="000F74AE"/>
    <w:rsid w:val="000F7541"/>
    <w:rsid w:val="000F75E2"/>
    <w:rsid w:val="0010099E"/>
    <w:rsid w:val="00100AF8"/>
    <w:rsid w:val="00100B47"/>
    <w:rsid w:val="001015E3"/>
    <w:rsid w:val="00102607"/>
    <w:rsid w:val="00102635"/>
    <w:rsid w:val="001028DF"/>
    <w:rsid w:val="001032AB"/>
    <w:rsid w:val="001032D5"/>
    <w:rsid w:val="00103364"/>
    <w:rsid w:val="0010400E"/>
    <w:rsid w:val="00104069"/>
    <w:rsid w:val="001059B6"/>
    <w:rsid w:val="00105D58"/>
    <w:rsid w:val="00105E54"/>
    <w:rsid w:val="00106F83"/>
    <w:rsid w:val="00107F2D"/>
    <w:rsid w:val="001102E5"/>
    <w:rsid w:val="00110440"/>
    <w:rsid w:val="001111E6"/>
    <w:rsid w:val="00111DFA"/>
    <w:rsid w:val="00112192"/>
    <w:rsid w:val="001125C7"/>
    <w:rsid w:val="0011378C"/>
    <w:rsid w:val="00113DD8"/>
    <w:rsid w:val="0011532F"/>
    <w:rsid w:val="00116B90"/>
    <w:rsid w:val="00116D87"/>
    <w:rsid w:val="001170F1"/>
    <w:rsid w:val="00117447"/>
    <w:rsid w:val="00117879"/>
    <w:rsid w:val="001179D0"/>
    <w:rsid w:val="00117ACD"/>
    <w:rsid w:val="00120296"/>
    <w:rsid w:val="0012035C"/>
    <w:rsid w:val="00120DBB"/>
    <w:rsid w:val="0012117A"/>
    <w:rsid w:val="00121630"/>
    <w:rsid w:val="00121D66"/>
    <w:rsid w:val="00121FF8"/>
    <w:rsid w:val="00122482"/>
    <w:rsid w:val="00123908"/>
    <w:rsid w:val="0012398C"/>
    <w:rsid w:val="00123B63"/>
    <w:rsid w:val="00123E4C"/>
    <w:rsid w:val="001248AC"/>
    <w:rsid w:val="001255E1"/>
    <w:rsid w:val="0012596E"/>
    <w:rsid w:val="001269B1"/>
    <w:rsid w:val="00126A67"/>
    <w:rsid w:val="001270AF"/>
    <w:rsid w:val="00127944"/>
    <w:rsid w:val="00130441"/>
    <w:rsid w:val="0013153F"/>
    <w:rsid w:val="00131762"/>
    <w:rsid w:val="00132382"/>
    <w:rsid w:val="00132A06"/>
    <w:rsid w:val="00133E5F"/>
    <w:rsid w:val="00134172"/>
    <w:rsid w:val="001344AB"/>
    <w:rsid w:val="00134BFD"/>
    <w:rsid w:val="00134CAE"/>
    <w:rsid w:val="00134EAA"/>
    <w:rsid w:val="001354C7"/>
    <w:rsid w:val="00135537"/>
    <w:rsid w:val="0013581E"/>
    <w:rsid w:val="001359BF"/>
    <w:rsid w:val="00136881"/>
    <w:rsid w:val="00136D76"/>
    <w:rsid w:val="0013721E"/>
    <w:rsid w:val="001373A8"/>
    <w:rsid w:val="00137DAF"/>
    <w:rsid w:val="00137FAA"/>
    <w:rsid w:val="00137FBC"/>
    <w:rsid w:val="001409C6"/>
    <w:rsid w:val="00141CFC"/>
    <w:rsid w:val="00142B48"/>
    <w:rsid w:val="00142E4A"/>
    <w:rsid w:val="0014576D"/>
    <w:rsid w:val="00145D11"/>
    <w:rsid w:val="00146154"/>
    <w:rsid w:val="00146C6A"/>
    <w:rsid w:val="001508E6"/>
    <w:rsid w:val="00150A86"/>
    <w:rsid w:val="0015207E"/>
    <w:rsid w:val="001521CC"/>
    <w:rsid w:val="00152372"/>
    <w:rsid w:val="0015304C"/>
    <w:rsid w:val="0015339F"/>
    <w:rsid w:val="00153E65"/>
    <w:rsid w:val="001540CE"/>
    <w:rsid w:val="00155775"/>
    <w:rsid w:val="001560DF"/>
    <w:rsid w:val="00156370"/>
    <w:rsid w:val="00157811"/>
    <w:rsid w:val="00161267"/>
    <w:rsid w:val="00161331"/>
    <w:rsid w:val="001622A5"/>
    <w:rsid w:val="001633CC"/>
    <w:rsid w:val="001636B7"/>
    <w:rsid w:val="00163836"/>
    <w:rsid w:val="00163C07"/>
    <w:rsid w:val="00163C8C"/>
    <w:rsid w:val="00164850"/>
    <w:rsid w:val="00164979"/>
    <w:rsid w:val="00165911"/>
    <w:rsid w:val="00165F4E"/>
    <w:rsid w:val="0016653E"/>
    <w:rsid w:val="001667CC"/>
    <w:rsid w:val="00167D24"/>
    <w:rsid w:val="00167E99"/>
    <w:rsid w:val="0017012B"/>
    <w:rsid w:val="001701DE"/>
    <w:rsid w:val="00171B24"/>
    <w:rsid w:val="00171CFE"/>
    <w:rsid w:val="001723BE"/>
    <w:rsid w:val="0017339A"/>
    <w:rsid w:val="0017347D"/>
    <w:rsid w:val="0017357D"/>
    <w:rsid w:val="001739D7"/>
    <w:rsid w:val="00173CDE"/>
    <w:rsid w:val="00173ECD"/>
    <w:rsid w:val="00174ACB"/>
    <w:rsid w:val="00176A6D"/>
    <w:rsid w:val="00176B83"/>
    <w:rsid w:val="0017703C"/>
    <w:rsid w:val="0017753D"/>
    <w:rsid w:val="00177803"/>
    <w:rsid w:val="001779BE"/>
    <w:rsid w:val="00177A50"/>
    <w:rsid w:val="00180343"/>
    <w:rsid w:val="001806D6"/>
    <w:rsid w:val="001807EF"/>
    <w:rsid w:val="001814D8"/>
    <w:rsid w:val="00181C6D"/>
    <w:rsid w:val="001828B3"/>
    <w:rsid w:val="00182ACB"/>
    <w:rsid w:val="00183658"/>
    <w:rsid w:val="00184318"/>
    <w:rsid w:val="0018435E"/>
    <w:rsid w:val="00184FE5"/>
    <w:rsid w:val="001855AA"/>
    <w:rsid w:val="0018560E"/>
    <w:rsid w:val="00185F85"/>
    <w:rsid w:val="001878C2"/>
    <w:rsid w:val="00190237"/>
    <w:rsid w:val="0019049E"/>
    <w:rsid w:val="001905B3"/>
    <w:rsid w:val="001909C1"/>
    <w:rsid w:val="00190A40"/>
    <w:rsid w:val="00190CA1"/>
    <w:rsid w:val="00190DC2"/>
    <w:rsid w:val="00190FED"/>
    <w:rsid w:val="00191C2D"/>
    <w:rsid w:val="00192342"/>
    <w:rsid w:val="00192569"/>
    <w:rsid w:val="001925A9"/>
    <w:rsid w:val="00192E72"/>
    <w:rsid w:val="00193431"/>
    <w:rsid w:val="00193861"/>
    <w:rsid w:val="001947AF"/>
    <w:rsid w:val="001947D0"/>
    <w:rsid w:val="00194C1D"/>
    <w:rsid w:val="001950C6"/>
    <w:rsid w:val="00195176"/>
    <w:rsid w:val="00195304"/>
    <w:rsid w:val="0019585A"/>
    <w:rsid w:val="00195CC7"/>
    <w:rsid w:val="00196437"/>
    <w:rsid w:val="0019671D"/>
    <w:rsid w:val="00197517"/>
    <w:rsid w:val="00197B4E"/>
    <w:rsid w:val="001A0E7A"/>
    <w:rsid w:val="001A0FF1"/>
    <w:rsid w:val="001A1473"/>
    <w:rsid w:val="001A3CD1"/>
    <w:rsid w:val="001A400B"/>
    <w:rsid w:val="001A4148"/>
    <w:rsid w:val="001A45B1"/>
    <w:rsid w:val="001A4B17"/>
    <w:rsid w:val="001A4BED"/>
    <w:rsid w:val="001A50DE"/>
    <w:rsid w:val="001A6411"/>
    <w:rsid w:val="001A6D26"/>
    <w:rsid w:val="001A6DC5"/>
    <w:rsid w:val="001A70D4"/>
    <w:rsid w:val="001A7325"/>
    <w:rsid w:val="001A73DA"/>
    <w:rsid w:val="001A7BE3"/>
    <w:rsid w:val="001B04AF"/>
    <w:rsid w:val="001B073E"/>
    <w:rsid w:val="001B0C00"/>
    <w:rsid w:val="001B100C"/>
    <w:rsid w:val="001B1BCB"/>
    <w:rsid w:val="001B2695"/>
    <w:rsid w:val="001B28ED"/>
    <w:rsid w:val="001B2C62"/>
    <w:rsid w:val="001B34C4"/>
    <w:rsid w:val="001B453E"/>
    <w:rsid w:val="001C0515"/>
    <w:rsid w:val="001C0E0C"/>
    <w:rsid w:val="001C0FAB"/>
    <w:rsid w:val="001C1495"/>
    <w:rsid w:val="001C15AE"/>
    <w:rsid w:val="001C18E4"/>
    <w:rsid w:val="001C1B04"/>
    <w:rsid w:val="001C2915"/>
    <w:rsid w:val="001C2CCD"/>
    <w:rsid w:val="001C2FC2"/>
    <w:rsid w:val="001C404E"/>
    <w:rsid w:val="001C5AF5"/>
    <w:rsid w:val="001C5FCB"/>
    <w:rsid w:val="001C704B"/>
    <w:rsid w:val="001C7998"/>
    <w:rsid w:val="001D0158"/>
    <w:rsid w:val="001D0D4C"/>
    <w:rsid w:val="001D10B4"/>
    <w:rsid w:val="001D16D0"/>
    <w:rsid w:val="001D16E2"/>
    <w:rsid w:val="001D1BAE"/>
    <w:rsid w:val="001D299B"/>
    <w:rsid w:val="001D2D08"/>
    <w:rsid w:val="001D2D81"/>
    <w:rsid w:val="001D4FA4"/>
    <w:rsid w:val="001D5496"/>
    <w:rsid w:val="001D58CD"/>
    <w:rsid w:val="001D60B3"/>
    <w:rsid w:val="001D6E24"/>
    <w:rsid w:val="001D6F36"/>
    <w:rsid w:val="001D795B"/>
    <w:rsid w:val="001E057B"/>
    <w:rsid w:val="001E06CA"/>
    <w:rsid w:val="001E08C6"/>
    <w:rsid w:val="001E1089"/>
    <w:rsid w:val="001E1A56"/>
    <w:rsid w:val="001E28DB"/>
    <w:rsid w:val="001E2FB3"/>
    <w:rsid w:val="001E31ED"/>
    <w:rsid w:val="001E3417"/>
    <w:rsid w:val="001E367A"/>
    <w:rsid w:val="001E36B2"/>
    <w:rsid w:val="001E3CD8"/>
    <w:rsid w:val="001E520D"/>
    <w:rsid w:val="001E549B"/>
    <w:rsid w:val="001E5EEF"/>
    <w:rsid w:val="001E5F34"/>
    <w:rsid w:val="001E6D0D"/>
    <w:rsid w:val="001E73BB"/>
    <w:rsid w:val="001E79B7"/>
    <w:rsid w:val="001E7AD8"/>
    <w:rsid w:val="001F0572"/>
    <w:rsid w:val="001F07E4"/>
    <w:rsid w:val="001F0879"/>
    <w:rsid w:val="001F0EED"/>
    <w:rsid w:val="001F0F32"/>
    <w:rsid w:val="001F1256"/>
    <w:rsid w:val="001F1BFD"/>
    <w:rsid w:val="001F34BB"/>
    <w:rsid w:val="001F3AA6"/>
    <w:rsid w:val="001F4274"/>
    <w:rsid w:val="001F46CB"/>
    <w:rsid w:val="001F4FC2"/>
    <w:rsid w:val="001F5500"/>
    <w:rsid w:val="001F58AA"/>
    <w:rsid w:val="001F628C"/>
    <w:rsid w:val="001F6B1E"/>
    <w:rsid w:val="001F7C1C"/>
    <w:rsid w:val="001F7C70"/>
    <w:rsid w:val="00201032"/>
    <w:rsid w:val="00201EE6"/>
    <w:rsid w:val="002022C9"/>
    <w:rsid w:val="0020270D"/>
    <w:rsid w:val="0020309E"/>
    <w:rsid w:val="002038E1"/>
    <w:rsid w:val="00203B79"/>
    <w:rsid w:val="00203C2D"/>
    <w:rsid w:val="00204033"/>
    <w:rsid w:val="002042DF"/>
    <w:rsid w:val="0020451A"/>
    <w:rsid w:val="0020501A"/>
    <w:rsid w:val="0020506F"/>
    <w:rsid w:val="0020567E"/>
    <w:rsid w:val="00205929"/>
    <w:rsid w:val="00206A1C"/>
    <w:rsid w:val="00206B5C"/>
    <w:rsid w:val="002075F2"/>
    <w:rsid w:val="00207C24"/>
    <w:rsid w:val="00207DDF"/>
    <w:rsid w:val="0021077A"/>
    <w:rsid w:val="00211273"/>
    <w:rsid w:val="00211F31"/>
    <w:rsid w:val="002121E7"/>
    <w:rsid w:val="00212275"/>
    <w:rsid w:val="00212820"/>
    <w:rsid w:val="002128DF"/>
    <w:rsid w:val="00214649"/>
    <w:rsid w:val="0021497A"/>
    <w:rsid w:val="00214BD5"/>
    <w:rsid w:val="00214E0A"/>
    <w:rsid w:val="002150E5"/>
    <w:rsid w:val="00215C55"/>
    <w:rsid w:val="00216D13"/>
    <w:rsid w:val="00216DD3"/>
    <w:rsid w:val="002177AD"/>
    <w:rsid w:val="00220A72"/>
    <w:rsid w:val="00221007"/>
    <w:rsid w:val="00221217"/>
    <w:rsid w:val="0022160D"/>
    <w:rsid w:val="00221C53"/>
    <w:rsid w:val="00222073"/>
    <w:rsid w:val="00222404"/>
    <w:rsid w:val="00222922"/>
    <w:rsid w:val="002236D2"/>
    <w:rsid w:val="00223C7C"/>
    <w:rsid w:val="00225218"/>
    <w:rsid w:val="002252D9"/>
    <w:rsid w:val="00225565"/>
    <w:rsid w:val="0022561B"/>
    <w:rsid w:val="00226991"/>
    <w:rsid w:val="00227D47"/>
    <w:rsid w:val="00230888"/>
    <w:rsid w:val="0023097C"/>
    <w:rsid w:val="00230F80"/>
    <w:rsid w:val="002314B2"/>
    <w:rsid w:val="00231A56"/>
    <w:rsid w:val="002326F8"/>
    <w:rsid w:val="002328C4"/>
    <w:rsid w:val="00232B65"/>
    <w:rsid w:val="00232C08"/>
    <w:rsid w:val="002333FB"/>
    <w:rsid w:val="002344AD"/>
    <w:rsid w:val="002348E6"/>
    <w:rsid w:val="002349FA"/>
    <w:rsid w:val="00236BBF"/>
    <w:rsid w:val="00236E3B"/>
    <w:rsid w:val="002373AC"/>
    <w:rsid w:val="002373CC"/>
    <w:rsid w:val="00237B3B"/>
    <w:rsid w:val="00240128"/>
    <w:rsid w:val="00240A28"/>
    <w:rsid w:val="00240DC4"/>
    <w:rsid w:val="00241029"/>
    <w:rsid w:val="00241811"/>
    <w:rsid w:val="00242A3E"/>
    <w:rsid w:val="00242C94"/>
    <w:rsid w:val="0024350B"/>
    <w:rsid w:val="00243566"/>
    <w:rsid w:val="00243A98"/>
    <w:rsid w:val="00243D28"/>
    <w:rsid w:val="00244B8B"/>
    <w:rsid w:val="002453DC"/>
    <w:rsid w:val="0024549A"/>
    <w:rsid w:val="00247A11"/>
    <w:rsid w:val="00250149"/>
    <w:rsid w:val="00250BE0"/>
    <w:rsid w:val="00250CA6"/>
    <w:rsid w:val="00251025"/>
    <w:rsid w:val="00251E8A"/>
    <w:rsid w:val="00252175"/>
    <w:rsid w:val="00252F4C"/>
    <w:rsid w:val="00253A0A"/>
    <w:rsid w:val="00253FBD"/>
    <w:rsid w:val="00255277"/>
    <w:rsid w:val="002553C5"/>
    <w:rsid w:val="00255573"/>
    <w:rsid w:val="00256418"/>
    <w:rsid w:val="00257D48"/>
    <w:rsid w:val="002603B9"/>
    <w:rsid w:val="0026043E"/>
    <w:rsid w:val="00262746"/>
    <w:rsid w:val="002631EA"/>
    <w:rsid w:val="0026371B"/>
    <w:rsid w:val="002644D8"/>
    <w:rsid w:val="002645D6"/>
    <w:rsid w:val="002645F2"/>
    <w:rsid w:val="002646B4"/>
    <w:rsid w:val="00264B8A"/>
    <w:rsid w:val="002653E7"/>
    <w:rsid w:val="002666D2"/>
    <w:rsid w:val="00266EEB"/>
    <w:rsid w:val="00267469"/>
    <w:rsid w:val="0026762E"/>
    <w:rsid w:val="00267A1C"/>
    <w:rsid w:val="0027048C"/>
    <w:rsid w:val="00271246"/>
    <w:rsid w:val="00271730"/>
    <w:rsid w:val="00271778"/>
    <w:rsid w:val="002718DA"/>
    <w:rsid w:val="00271CE9"/>
    <w:rsid w:val="00271DC3"/>
    <w:rsid w:val="00273379"/>
    <w:rsid w:val="0027399C"/>
    <w:rsid w:val="00273E79"/>
    <w:rsid w:val="00274104"/>
    <w:rsid w:val="0027427E"/>
    <w:rsid w:val="002742F4"/>
    <w:rsid w:val="00274756"/>
    <w:rsid w:val="002749BC"/>
    <w:rsid w:val="00274A36"/>
    <w:rsid w:val="00274B00"/>
    <w:rsid w:val="002757E9"/>
    <w:rsid w:val="00275BFD"/>
    <w:rsid w:val="00276080"/>
    <w:rsid w:val="002769A3"/>
    <w:rsid w:val="00276A6F"/>
    <w:rsid w:val="00277B8C"/>
    <w:rsid w:val="00277D95"/>
    <w:rsid w:val="00277E76"/>
    <w:rsid w:val="002800DD"/>
    <w:rsid w:val="002808B9"/>
    <w:rsid w:val="00280B3D"/>
    <w:rsid w:val="00280F66"/>
    <w:rsid w:val="00281234"/>
    <w:rsid w:val="0028147D"/>
    <w:rsid w:val="00281EF7"/>
    <w:rsid w:val="00283287"/>
    <w:rsid w:val="0028387E"/>
    <w:rsid w:val="00283B75"/>
    <w:rsid w:val="00283D8A"/>
    <w:rsid w:val="0028465B"/>
    <w:rsid w:val="0028489C"/>
    <w:rsid w:val="00284C89"/>
    <w:rsid w:val="00285068"/>
    <w:rsid w:val="002855BF"/>
    <w:rsid w:val="002857DE"/>
    <w:rsid w:val="002863BB"/>
    <w:rsid w:val="0028643D"/>
    <w:rsid w:val="00287B13"/>
    <w:rsid w:val="00287ECB"/>
    <w:rsid w:val="00290EC4"/>
    <w:rsid w:val="00291216"/>
    <w:rsid w:val="0029218B"/>
    <w:rsid w:val="00292213"/>
    <w:rsid w:val="00292388"/>
    <w:rsid w:val="002926AE"/>
    <w:rsid w:val="00292C13"/>
    <w:rsid w:val="00293EC4"/>
    <w:rsid w:val="00294966"/>
    <w:rsid w:val="00294AA8"/>
    <w:rsid w:val="002956B3"/>
    <w:rsid w:val="002958FD"/>
    <w:rsid w:val="00295B3B"/>
    <w:rsid w:val="00296BF8"/>
    <w:rsid w:val="00296FBB"/>
    <w:rsid w:val="002970D5"/>
    <w:rsid w:val="002971F4"/>
    <w:rsid w:val="002A030F"/>
    <w:rsid w:val="002A04AF"/>
    <w:rsid w:val="002A110D"/>
    <w:rsid w:val="002A1116"/>
    <w:rsid w:val="002A228E"/>
    <w:rsid w:val="002A2382"/>
    <w:rsid w:val="002A2FB3"/>
    <w:rsid w:val="002A3601"/>
    <w:rsid w:val="002A3EC2"/>
    <w:rsid w:val="002A435A"/>
    <w:rsid w:val="002A597A"/>
    <w:rsid w:val="002A5A1E"/>
    <w:rsid w:val="002A5A22"/>
    <w:rsid w:val="002A5F6D"/>
    <w:rsid w:val="002A6537"/>
    <w:rsid w:val="002A75A5"/>
    <w:rsid w:val="002A7B15"/>
    <w:rsid w:val="002A7EE2"/>
    <w:rsid w:val="002B0301"/>
    <w:rsid w:val="002B032B"/>
    <w:rsid w:val="002B0593"/>
    <w:rsid w:val="002B08CD"/>
    <w:rsid w:val="002B0A50"/>
    <w:rsid w:val="002B0AFC"/>
    <w:rsid w:val="002B0B61"/>
    <w:rsid w:val="002B2020"/>
    <w:rsid w:val="002B211A"/>
    <w:rsid w:val="002B2B89"/>
    <w:rsid w:val="002B2E6B"/>
    <w:rsid w:val="002B3055"/>
    <w:rsid w:val="002B3F0A"/>
    <w:rsid w:val="002B421E"/>
    <w:rsid w:val="002B469D"/>
    <w:rsid w:val="002B4781"/>
    <w:rsid w:val="002B59A6"/>
    <w:rsid w:val="002B6098"/>
    <w:rsid w:val="002C0006"/>
    <w:rsid w:val="002C11F4"/>
    <w:rsid w:val="002C1959"/>
    <w:rsid w:val="002C20AB"/>
    <w:rsid w:val="002C34E2"/>
    <w:rsid w:val="002C3596"/>
    <w:rsid w:val="002C3993"/>
    <w:rsid w:val="002C3C7A"/>
    <w:rsid w:val="002C4F39"/>
    <w:rsid w:val="002C5804"/>
    <w:rsid w:val="002C5EE7"/>
    <w:rsid w:val="002C6162"/>
    <w:rsid w:val="002C6829"/>
    <w:rsid w:val="002C6834"/>
    <w:rsid w:val="002C6E6A"/>
    <w:rsid w:val="002C6F9A"/>
    <w:rsid w:val="002C79EE"/>
    <w:rsid w:val="002C7B77"/>
    <w:rsid w:val="002C7F12"/>
    <w:rsid w:val="002D0160"/>
    <w:rsid w:val="002D0515"/>
    <w:rsid w:val="002D0F1A"/>
    <w:rsid w:val="002D2946"/>
    <w:rsid w:val="002D369C"/>
    <w:rsid w:val="002D383E"/>
    <w:rsid w:val="002D519D"/>
    <w:rsid w:val="002D5243"/>
    <w:rsid w:val="002D5612"/>
    <w:rsid w:val="002D689F"/>
    <w:rsid w:val="002D691A"/>
    <w:rsid w:val="002D6C98"/>
    <w:rsid w:val="002D6EBE"/>
    <w:rsid w:val="002D6EC0"/>
    <w:rsid w:val="002D732D"/>
    <w:rsid w:val="002E00DC"/>
    <w:rsid w:val="002E0C61"/>
    <w:rsid w:val="002E0CDE"/>
    <w:rsid w:val="002E0E52"/>
    <w:rsid w:val="002E0FBC"/>
    <w:rsid w:val="002E2144"/>
    <w:rsid w:val="002E21D9"/>
    <w:rsid w:val="002E2297"/>
    <w:rsid w:val="002E2575"/>
    <w:rsid w:val="002E27F8"/>
    <w:rsid w:val="002E294F"/>
    <w:rsid w:val="002E2D9F"/>
    <w:rsid w:val="002E3254"/>
    <w:rsid w:val="002E34E7"/>
    <w:rsid w:val="002E3543"/>
    <w:rsid w:val="002E3B97"/>
    <w:rsid w:val="002E3E37"/>
    <w:rsid w:val="002E3FBE"/>
    <w:rsid w:val="002E6D30"/>
    <w:rsid w:val="002E6DE3"/>
    <w:rsid w:val="002E76B1"/>
    <w:rsid w:val="002E7FEE"/>
    <w:rsid w:val="002F05E3"/>
    <w:rsid w:val="002F18B7"/>
    <w:rsid w:val="002F18E3"/>
    <w:rsid w:val="002F1961"/>
    <w:rsid w:val="002F1A83"/>
    <w:rsid w:val="002F1CEA"/>
    <w:rsid w:val="002F2BED"/>
    <w:rsid w:val="002F2EFF"/>
    <w:rsid w:val="002F3146"/>
    <w:rsid w:val="002F3478"/>
    <w:rsid w:val="002F3AA6"/>
    <w:rsid w:val="002F457A"/>
    <w:rsid w:val="002F4ADD"/>
    <w:rsid w:val="002F50E5"/>
    <w:rsid w:val="002F5483"/>
    <w:rsid w:val="002F59CB"/>
    <w:rsid w:val="002F5F70"/>
    <w:rsid w:val="002F5FE4"/>
    <w:rsid w:val="002F64F3"/>
    <w:rsid w:val="002F6EF2"/>
    <w:rsid w:val="002F75AE"/>
    <w:rsid w:val="002F7F1C"/>
    <w:rsid w:val="00300252"/>
    <w:rsid w:val="00300C2C"/>
    <w:rsid w:val="00300DDC"/>
    <w:rsid w:val="00301255"/>
    <w:rsid w:val="003014EB"/>
    <w:rsid w:val="0030174B"/>
    <w:rsid w:val="00301DA0"/>
    <w:rsid w:val="00302635"/>
    <w:rsid w:val="00302DD5"/>
    <w:rsid w:val="0030387B"/>
    <w:rsid w:val="003039C3"/>
    <w:rsid w:val="0030437D"/>
    <w:rsid w:val="003051D1"/>
    <w:rsid w:val="00305864"/>
    <w:rsid w:val="00306603"/>
    <w:rsid w:val="0030671B"/>
    <w:rsid w:val="00307296"/>
    <w:rsid w:val="003076E1"/>
    <w:rsid w:val="00307B9D"/>
    <w:rsid w:val="00307EF3"/>
    <w:rsid w:val="003101C3"/>
    <w:rsid w:val="00310545"/>
    <w:rsid w:val="0031068F"/>
    <w:rsid w:val="003112B4"/>
    <w:rsid w:val="00311365"/>
    <w:rsid w:val="00311FF3"/>
    <w:rsid w:val="00312143"/>
    <w:rsid w:val="00313C22"/>
    <w:rsid w:val="00313D70"/>
    <w:rsid w:val="00314929"/>
    <w:rsid w:val="00314CCB"/>
    <w:rsid w:val="00314FF4"/>
    <w:rsid w:val="003152CB"/>
    <w:rsid w:val="003164C3"/>
    <w:rsid w:val="00316F92"/>
    <w:rsid w:val="00317208"/>
    <w:rsid w:val="00317376"/>
    <w:rsid w:val="0031776A"/>
    <w:rsid w:val="003178B5"/>
    <w:rsid w:val="003205D6"/>
    <w:rsid w:val="00320691"/>
    <w:rsid w:val="00320920"/>
    <w:rsid w:val="00320ECA"/>
    <w:rsid w:val="003216D5"/>
    <w:rsid w:val="003218E3"/>
    <w:rsid w:val="0032194A"/>
    <w:rsid w:val="0032258D"/>
    <w:rsid w:val="00322E44"/>
    <w:rsid w:val="00323821"/>
    <w:rsid w:val="00323C61"/>
    <w:rsid w:val="00324081"/>
    <w:rsid w:val="003249E7"/>
    <w:rsid w:val="00325200"/>
    <w:rsid w:val="00325DBB"/>
    <w:rsid w:val="0032623F"/>
    <w:rsid w:val="00327A73"/>
    <w:rsid w:val="00327AB7"/>
    <w:rsid w:val="00327E46"/>
    <w:rsid w:val="003308E7"/>
    <w:rsid w:val="00330B2E"/>
    <w:rsid w:val="003314B4"/>
    <w:rsid w:val="00331A53"/>
    <w:rsid w:val="00331D16"/>
    <w:rsid w:val="0033209F"/>
    <w:rsid w:val="003322F8"/>
    <w:rsid w:val="00332A1D"/>
    <w:rsid w:val="003336B4"/>
    <w:rsid w:val="00333CA8"/>
    <w:rsid w:val="00334F4C"/>
    <w:rsid w:val="00334FBF"/>
    <w:rsid w:val="003351F3"/>
    <w:rsid w:val="00335221"/>
    <w:rsid w:val="0033618D"/>
    <w:rsid w:val="00336D61"/>
    <w:rsid w:val="00337F69"/>
    <w:rsid w:val="0034016E"/>
    <w:rsid w:val="00341180"/>
    <w:rsid w:val="00341220"/>
    <w:rsid w:val="00341239"/>
    <w:rsid w:val="0034223D"/>
    <w:rsid w:val="00342900"/>
    <w:rsid w:val="00343F80"/>
    <w:rsid w:val="0034406D"/>
    <w:rsid w:val="00344CD7"/>
    <w:rsid w:val="00344CE4"/>
    <w:rsid w:val="00344FA1"/>
    <w:rsid w:val="003450F1"/>
    <w:rsid w:val="003451DA"/>
    <w:rsid w:val="00345260"/>
    <w:rsid w:val="0034532F"/>
    <w:rsid w:val="00345DD3"/>
    <w:rsid w:val="00345ECE"/>
    <w:rsid w:val="003462A5"/>
    <w:rsid w:val="003469E9"/>
    <w:rsid w:val="00347268"/>
    <w:rsid w:val="00347538"/>
    <w:rsid w:val="003476B7"/>
    <w:rsid w:val="00350B07"/>
    <w:rsid w:val="003511D8"/>
    <w:rsid w:val="003511E2"/>
    <w:rsid w:val="00351876"/>
    <w:rsid w:val="00352A3F"/>
    <w:rsid w:val="0035390D"/>
    <w:rsid w:val="00353FC4"/>
    <w:rsid w:val="00354F5A"/>
    <w:rsid w:val="0035548C"/>
    <w:rsid w:val="00355558"/>
    <w:rsid w:val="00356682"/>
    <w:rsid w:val="003572EC"/>
    <w:rsid w:val="00360733"/>
    <w:rsid w:val="0036104F"/>
    <w:rsid w:val="003616A6"/>
    <w:rsid w:val="0036255B"/>
    <w:rsid w:val="0036295B"/>
    <w:rsid w:val="00362A16"/>
    <w:rsid w:val="00362AD8"/>
    <w:rsid w:val="00362E10"/>
    <w:rsid w:val="00363401"/>
    <w:rsid w:val="00363ECF"/>
    <w:rsid w:val="00363FDA"/>
    <w:rsid w:val="00364686"/>
    <w:rsid w:val="00364740"/>
    <w:rsid w:val="00364785"/>
    <w:rsid w:val="0036488E"/>
    <w:rsid w:val="00364B93"/>
    <w:rsid w:val="0036590A"/>
    <w:rsid w:val="00365CE9"/>
    <w:rsid w:val="003664F2"/>
    <w:rsid w:val="003665D2"/>
    <w:rsid w:val="00370091"/>
    <w:rsid w:val="0037130C"/>
    <w:rsid w:val="003720EB"/>
    <w:rsid w:val="003721FC"/>
    <w:rsid w:val="00372934"/>
    <w:rsid w:val="00373209"/>
    <w:rsid w:val="0037332C"/>
    <w:rsid w:val="00373DAD"/>
    <w:rsid w:val="003747DB"/>
    <w:rsid w:val="00374E34"/>
    <w:rsid w:val="003751A4"/>
    <w:rsid w:val="003753D0"/>
    <w:rsid w:val="00376106"/>
    <w:rsid w:val="00377B4F"/>
    <w:rsid w:val="00380368"/>
    <w:rsid w:val="00381402"/>
    <w:rsid w:val="00381490"/>
    <w:rsid w:val="00381C92"/>
    <w:rsid w:val="003829C1"/>
    <w:rsid w:val="00383150"/>
    <w:rsid w:val="003837E9"/>
    <w:rsid w:val="00383C77"/>
    <w:rsid w:val="00384784"/>
    <w:rsid w:val="00384A6C"/>
    <w:rsid w:val="00384B75"/>
    <w:rsid w:val="003856B7"/>
    <w:rsid w:val="00385808"/>
    <w:rsid w:val="00385CF3"/>
    <w:rsid w:val="00385F6F"/>
    <w:rsid w:val="003861DF"/>
    <w:rsid w:val="00386F0C"/>
    <w:rsid w:val="00387504"/>
    <w:rsid w:val="00387DFD"/>
    <w:rsid w:val="003907FD"/>
    <w:rsid w:val="00391BA5"/>
    <w:rsid w:val="00391E73"/>
    <w:rsid w:val="00392802"/>
    <w:rsid w:val="00392EDF"/>
    <w:rsid w:val="00393539"/>
    <w:rsid w:val="00393CEE"/>
    <w:rsid w:val="0039464A"/>
    <w:rsid w:val="003947DE"/>
    <w:rsid w:val="003951A7"/>
    <w:rsid w:val="0039619C"/>
    <w:rsid w:val="00396330"/>
    <w:rsid w:val="00396677"/>
    <w:rsid w:val="003969AA"/>
    <w:rsid w:val="00397F51"/>
    <w:rsid w:val="003A1F59"/>
    <w:rsid w:val="003A222A"/>
    <w:rsid w:val="003A2715"/>
    <w:rsid w:val="003A3269"/>
    <w:rsid w:val="003A3FB8"/>
    <w:rsid w:val="003A43D2"/>
    <w:rsid w:val="003A4415"/>
    <w:rsid w:val="003A4F32"/>
    <w:rsid w:val="003A648C"/>
    <w:rsid w:val="003A6FC2"/>
    <w:rsid w:val="003A73EF"/>
    <w:rsid w:val="003B0269"/>
    <w:rsid w:val="003B02D7"/>
    <w:rsid w:val="003B0582"/>
    <w:rsid w:val="003B0683"/>
    <w:rsid w:val="003B147B"/>
    <w:rsid w:val="003B1B21"/>
    <w:rsid w:val="003B1C1B"/>
    <w:rsid w:val="003B210C"/>
    <w:rsid w:val="003B28B2"/>
    <w:rsid w:val="003B29CE"/>
    <w:rsid w:val="003B2C75"/>
    <w:rsid w:val="003B2CED"/>
    <w:rsid w:val="003B2F3B"/>
    <w:rsid w:val="003B30BC"/>
    <w:rsid w:val="003B3C43"/>
    <w:rsid w:val="003B4548"/>
    <w:rsid w:val="003B4760"/>
    <w:rsid w:val="003B4A92"/>
    <w:rsid w:val="003B5D48"/>
    <w:rsid w:val="003B615C"/>
    <w:rsid w:val="003B641E"/>
    <w:rsid w:val="003B6ACD"/>
    <w:rsid w:val="003B7AB4"/>
    <w:rsid w:val="003C0B95"/>
    <w:rsid w:val="003C0BE4"/>
    <w:rsid w:val="003C1E46"/>
    <w:rsid w:val="003C1FD7"/>
    <w:rsid w:val="003C217B"/>
    <w:rsid w:val="003C224F"/>
    <w:rsid w:val="003C23DD"/>
    <w:rsid w:val="003C3516"/>
    <w:rsid w:val="003C3A73"/>
    <w:rsid w:val="003C3ABC"/>
    <w:rsid w:val="003C4825"/>
    <w:rsid w:val="003C4893"/>
    <w:rsid w:val="003C48B7"/>
    <w:rsid w:val="003C4E11"/>
    <w:rsid w:val="003C5F19"/>
    <w:rsid w:val="003C611E"/>
    <w:rsid w:val="003C742B"/>
    <w:rsid w:val="003C7FC7"/>
    <w:rsid w:val="003D020C"/>
    <w:rsid w:val="003D1139"/>
    <w:rsid w:val="003D2567"/>
    <w:rsid w:val="003D26F6"/>
    <w:rsid w:val="003D2CDA"/>
    <w:rsid w:val="003D3C22"/>
    <w:rsid w:val="003D4D96"/>
    <w:rsid w:val="003D502A"/>
    <w:rsid w:val="003D58CE"/>
    <w:rsid w:val="003D6577"/>
    <w:rsid w:val="003D7F79"/>
    <w:rsid w:val="003E11B9"/>
    <w:rsid w:val="003E18F3"/>
    <w:rsid w:val="003E200D"/>
    <w:rsid w:val="003E2418"/>
    <w:rsid w:val="003E2876"/>
    <w:rsid w:val="003E2B59"/>
    <w:rsid w:val="003E2C63"/>
    <w:rsid w:val="003E3735"/>
    <w:rsid w:val="003E3B40"/>
    <w:rsid w:val="003E3D82"/>
    <w:rsid w:val="003E459E"/>
    <w:rsid w:val="003E7F65"/>
    <w:rsid w:val="003F05FF"/>
    <w:rsid w:val="003F1017"/>
    <w:rsid w:val="003F265D"/>
    <w:rsid w:val="003F297F"/>
    <w:rsid w:val="003F2ABF"/>
    <w:rsid w:val="003F2B0B"/>
    <w:rsid w:val="003F328F"/>
    <w:rsid w:val="003F331D"/>
    <w:rsid w:val="003F34CB"/>
    <w:rsid w:val="003F36E4"/>
    <w:rsid w:val="003F38CD"/>
    <w:rsid w:val="003F41E4"/>
    <w:rsid w:val="003F4248"/>
    <w:rsid w:val="003F5020"/>
    <w:rsid w:val="003F570F"/>
    <w:rsid w:val="003F5AD9"/>
    <w:rsid w:val="003F5DB3"/>
    <w:rsid w:val="003F7433"/>
    <w:rsid w:val="003F7FB3"/>
    <w:rsid w:val="00400210"/>
    <w:rsid w:val="00401F3E"/>
    <w:rsid w:val="00402054"/>
    <w:rsid w:val="004032C3"/>
    <w:rsid w:val="004036E2"/>
    <w:rsid w:val="00403F05"/>
    <w:rsid w:val="004040B7"/>
    <w:rsid w:val="00404CAD"/>
    <w:rsid w:val="00404DDE"/>
    <w:rsid w:val="0040502B"/>
    <w:rsid w:val="00405C34"/>
    <w:rsid w:val="004060CE"/>
    <w:rsid w:val="004065E3"/>
    <w:rsid w:val="004070C6"/>
    <w:rsid w:val="00407812"/>
    <w:rsid w:val="00407A6A"/>
    <w:rsid w:val="0041046D"/>
    <w:rsid w:val="00410D69"/>
    <w:rsid w:val="00410F12"/>
    <w:rsid w:val="00412ACC"/>
    <w:rsid w:val="00412EB8"/>
    <w:rsid w:val="004132B2"/>
    <w:rsid w:val="0041353F"/>
    <w:rsid w:val="00414AA9"/>
    <w:rsid w:val="00414E46"/>
    <w:rsid w:val="004150B5"/>
    <w:rsid w:val="00415115"/>
    <w:rsid w:val="00415D85"/>
    <w:rsid w:val="00416EE0"/>
    <w:rsid w:val="004170F5"/>
    <w:rsid w:val="00417898"/>
    <w:rsid w:val="00420BA0"/>
    <w:rsid w:val="00421322"/>
    <w:rsid w:val="0042164B"/>
    <w:rsid w:val="004221C8"/>
    <w:rsid w:val="0042322C"/>
    <w:rsid w:val="00423DA2"/>
    <w:rsid w:val="004241EB"/>
    <w:rsid w:val="00424A61"/>
    <w:rsid w:val="00425442"/>
    <w:rsid w:val="0042582E"/>
    <w:rsid w:val="00426341"/>
    <w:rsid w:val="00426B38"/>
    <w:rsid w:val="0042724E"/>
    <w:rsid w:val="004310E8"/>
    <w:rsid w:val="00431273"/>
    <w:rsid w:val="004317B0"/>
    <w:rsid w:val="00431881"/>
    <w:rsid w:val="00431D07"/>
    <w:rsid w:val="0043235D"/>
    <w:rsid w:val="004324A1"/>
    <w:rsid w:val="004333C7"/>
    <w:rsid w:val="0043438F"/>
    <w:rsid w:val="004343DC"/>
    <w:rsid w:val="00434C4B"/>
    <w:rsid w:val="00434E89"/>
    <w:rsid w:val="004351D7"/>
    <w:rsid w:val="004356C6"/>
    <w:rsid w:val="00435A4B"/>
    <w:rsid w:val="00435DAC"/>
    <w:rsid w:val="004368F5"/>
    <w:rsid w:val="00437929"/>
    <w:rsid w:val="004402D8"/>
    <w:rsid w:val="004404B6"/>
    <w:rsid w:val="00440BEF"/>
    <w:rsid w:val="0044168B"/>
    <w:rsid w:val="00441AF2"/>
    <w:rsid w:val="0044317D"/>
    <w:rsid w:val="004436EB"/>
    <w:rsid w:val="0044397D"/>
    <w:rsid w:val="00443D49"/>
    <w:rsid w:val="0044465B"/>
    <w:rsid w:val="004455EA"/>
    <w:rsid w:val="00446BBD"/>
    <w:rsid w:val="00446FCD"/>
    <w:rsid w:val="00447381"/>
    <w:rsid w:val="004473C3"/>
    <w:rsid w:val="00447BF5"/>
    <w:rsid w:val="00447C35"/>
    <w:rsid w:val="004500E8"/>
    <w:rsid w:val="0045052E"/>
    <w:rsid w:val="00450B29"/>
    <w:rsid w:val="00450F5B"/>
    <w:rsid w:val="004510BB"/>
    <w:rsid w:val="004510DB"/>
    <w:rsid w:val="0045144A"/>
    <w:rsid w:val="00451469"/>
    <w:rsid w:val="004518D1"/>
    <w:rsid w:val="00451B07"/>
    <w:rsid w:val="00451F75"/>
    <w:rsid w:val="004525EB"/>
    <w:rsid w:val="00452B3B"/>
    <w:rsid w:val="0045319D"/>
    <w:rsid w:val="00453AB6"/>
    <w:rsid w:val="00454119"/>
    <w:rsid w:val="00455881"/>
    <w:rsid w:val="0045630D"/>
    <w:rsid w:val="004563E2"/>
    <w:rsid w:val="00456EF6"/>
    <w:rsid w:val="00457628"/>
    <w:rsid w:val="004617F0"/>
    <w:rsid w:val="00461C61"/>
    <w:rsid w:val="0046245C"/>
    <w:rsid w:val="0046293F"/>
    <w:rsid w:val="004635DD"/>
    <w:rsid w:val="00464393"/>
    <w:rsid w:val="004652D5"/>
    <w:rsid w:val="00465875"/>
    <w:rsid w:val="004659EC"/>
    <w:rsid w:val="00465F6D"/>
    <w:rsid w:val="004666F5"/>
    <w:rsid w:val="0046681E"/>
    <w:rsid w:val="0046692C"/>
    <w:rsid w:val="00467372"/>
    <w:rsid w:val="0046755B"/>
    <w:rsid w:val="00470BA6"/>
    <w:rsid w:val="0047151D"/>
    <w:rsid w:val="0047179D"/>
    <w:rsid w:val="00472935"/>
    <w:rsid w:val="0047309A"/>
    <w:rsid w:val="00473E99"/>
    <w:rsid w:val="00474151"/>
    <w:rsid w:val="00474D65"/>
    <w:rsid w:val="00475318"/>
    <w:rsid w:val="00475515"/>
    <w:rsid w:val="004755E2"/>
    <w:rsid w:val="004756D9"/>
    <w:rsid w:val="004759AC"/>
    <w:rsid w:val="0047633D"/>
    <w:rsid w:val="00476438"/>
    <w:rsid w:val="0047684B"/>
    <w:rsid w:val="00476A76"/>
    <w:rsid w:val="00476ADD"/>
    <w:rsid w:val="00476B23"/>
    <w:rsid w:val="00477919"/>
    <w:rsid w:val="00477AEF"/>
    <w:rsid w:val="00477CEB"/>
    <w:rsid w:val="004803CA"/>
    <w:rsid w:val="00480662"/>
    <w:rsid w:val="00481547"/>
    <w:rsid w:val="0048158E"/>
    <w:rsid w:val="00482DDB"/>
    <w:rsid w:val="00482F26"/>
    <w:rsid w:val="004839CB"/>
    <w:rsid w:val="00484C1D"/>
    <w:rsid w:val="00485352"/>
    <w:rsid w:val="00485502"/>
    <w:rsid w:val="004861DF"/>
    <w:rsid w:val="004862B4"/>
    <w:rsid w:val="00486333"/>
    <w:rsid w:val="00486ED1"/>
    <w:rsid w:val="00487CE9"/>
    <w:rsid w:val="0049036F"/>
    <w:rsid w:val="004904AE"/>
    <w:rsid w:val="004905FF"/>
    <w:rsid w:val="00490D97"/>
    <w:rsid w:val="00490E0D"/>
    <w:rsid w:val="0049163F"/>
    <w:rsid w:val="00492112"/>
    <w:rsid w:val="004924E7"/>
    <w:rsid w:val="00492724"/>
    <w:rsid w:val="004929D0"/>
    <w:rsid w:val="00492E1C"/>
    <w:rsid w:val="00494F6C"/>
    <w:rsid w:val="00495213"/>
    <w:rsid w:val="004957CA"/>
    <w:rsid w:val="004959B9"/>
    <w:rsid w:val="0049624E"/>
    <w:rsid w:val="0049635B"/>
    <w:rsid w:val="00496B86"/>
    <w:rsid w:val="00496F8B"/>
    <w:rsid w:val="0049759F"/>
    <w:rsid w:val="004979A7"/>
    <w:rsid w:val="00497C50"/>
    <w:rsid w:val="00497E7D"/>
    <w:rsid w:val="004A06D9"/>
    <w:rsid w:val="004A1065"/>
    <w:rsid w:val="004A112A"/>
    <w:rsid w:val="004A1E2B"/>
    <w:rsid w:val="004A2F28"/>
    <w:rsid w:val="004A3770"/>
    <w:rsid w:val="004A37C1"/>
    <w:rsid w:val="004A46C8"/>
    <w:rsid w:val="004A4BAD"/>
    <w:rsid w:val="004A4BF7"/>
    <w:rsid w:val="004A4CC2"/>
    <w:rsid w:val="004A4DF7"/>
    <w:rsid w:val="004A59E2"/>
    <w:rsid w:val="004A6174"/>
    <w:rsid w:val="004A6D15"/>
    <w:rsid w:val="004A7157"/>
    <w:rsid w:val="004A7578"/>
    <w:rsid w:val="004A7926"/>
    <w:rsid w:val="004B0502"/>
    <w:rsid w:val="004B29A0"/>
    <w:rsid w:val="004B2BD1"/>
    <w:rsid w:val="004B333A"/>
    <w:rsid w:val="004B33FA"/>
    <w:rsid w:val="004B4ADB"/>
    <w:rsid w:val="004B53E7"/>
    <w:rsid w:val="004B55D7"/>
    <w:rsid w:val="004B606D"/>
    <w:rsid w:val="004B66F3"/>
    <w:rsid w:val="004B6892"/>
    <w:rsid w:val="004B69BE"/>
    <w:rsid w:val="004B6A33"/>
    <w:rsid w:val="004B75EA"/>
    <w:rsid w:val="004B784E"/>
    <w:rsid w:val="004C09C9"/>
    <w:rsid w:val="004C0C12"/>
    <w:rsid w:val="004C113A"/>
    <w:rsid w:val="004C135F"/>
    <w:rsid w:val="004C1B36"/>
    <w:rsid w:val="004C1F9B"/>
    <w:rsid w:val="004C2807"/>
    <w:rsid w:val="004C3D1D"/>
    <w:rsid w:val="004C4BDF"/>
    <w:rsid w:val="004C4D2A"/>
    <w:rsid w:val="004C50BF"/>
    <w:rsid w:val="004C5F46"/>
    <w:rsid w:val="004C720E"/>
    <w:rsid w:val="004C7746"/>
    <w:rsid w:val="004C7904"/>
    <w:rsid w:val="004D015B"/>
    <w:rsid w:val="004D02DF"/>
    <w:rsid w:val="004D08B6"/>
    <w:rsid w:val="004D10C0"/>
    <w:rsid w:val="004D11AA"/>
    <w:rsid w:val="004D15B7"/>
    <w:rsid w:val="004D18DB"/>
    <w:rsid w:val="004D268A"/>
    <w:rsid w:val="004D36BD"/>
    <w:rsid w:val="004D36F3"/>
    <w:rsid w:val="004D3DA5"/>
    <w:rsid w:val="004D44BF"/>
    <w:rsid w:val="004D4F6D"/>
    <w:rsid w:val="004D50B4"/>
    <w:rsid w:val="004D5329"/>
    <w:rsid w:val="004D615B"/>
    <w:rsid w:val="004D74C5"/>
    <w:rsid w:val="004D7B33"/>
    <w:rsid w:val="004E0F05"/>
    <w:rsid w:val="004E0FC7"/>
    <w:rsid w:val="004E10C9"/>
    <w:rsid w:val="004E119C"/>
    <w:rsid w:val="004E2325"/>
    <w:rsid w:val="004E2DA2"/>
    <w:rsid w:val="004E3C81"/>
    <w:rsid w:val="004E3CBC"/>
    <w:rsid w:val="004E3F53"/>
    <w:rsid w:val="004E451D"/>
    <w:rsid w:val="004E45BB"/>
    <w:rsid w:val="004E463C"/>
    <w:rsid w:val="004E4D15"/>
    <w:rsid w:val="004E4D67"/>
    <w:rsid w:val="004E4E47"/>
    <w:rsid w:val="004E4E6E"/>
    <w:rsid w:val="004E4EE4"/>
    <w:rsid w:val="004E5169"/>
    <w:rsid w:val="004E520B"/>
    <w:rsid w:val="004E5356"/>
    <w:rsid w:val="004E6E0B"/>
    <w:rsid w:val="004E7C62"/>
    <w:rsid w:val="004F0362"/>
    <w:rsid w:val="004F0563"/>
    <w:rsid w:val="004F0810"/>
    <w:rsid w:val="004F0ABC"/>
    <w:rsid w:val="004F138C"/>
    <w:rsid w:val="004F1DDB"/>
    <w:rsid w:val="004F1E46"/>
    <w:rsid w:val="004F20D6"/>
    <w:rsid w:val="004F21ED"/>
    <w:rsid w:val="004F2470"/>
    <w:rsid w:val="004F2B06"/>
    <w:rsid w:val="004F31FF"/>
    <w:rsid w:val="004F3451"/>
    <w:rsid w:val="004F34A6"/>
    <w:rsid w:val="004F3A08"/>
    <w:rsid w:val="004F3EE9"/>
    <w:rsid w:val="004F40CF"/>
    <w:rsid w:val="004F4276"/>
    <w:rsid w:val="004F5C4B"/>
    <w:rsid w:val="004F6368"/>
    <w:rsid w:val="004F65F3"/>
    <w:rsid w:val="004F69BD"/>
    <w:rsid w:val="004F7B6A"/>
    <w:rsid w:val="004F7EEE"/>
    <w:rsid w:val="0050098A"/>
    <w:rsid w:val="005010D6"/>
    <w:rsid w:val="005014C3"/>
    <w:rsid w:val="00501C49"/>
    <w:rsid w:val="005022FF"/>
    <w:rsid w:val="00502CA0"/>
    <w:rsid w:val="00502EB5"/>
    <w:rsid w:val="0050400E"/>
    <w:rsid w:val="00504046"/>
    <w:rsid w:val="00504384"/>
    <w:rsid w:val="0050529F"/>
    <w:rsid w:val="0050548B"/>
    <w:rsid w:val="005054EE"/>
    <w:rsid w:val="0050550B"/>
    <w:rsid w:val="0050582D"/>
    <w:rsid w:val="00505EA4"/>
    <w:rsid w:val="005060A0"/>
    <w:rsid w:val="00506CB0"/>
    <w:rsid w:val="00506E62"/>
    <w:rsid w:val="00507A93"/>
    <w:rsid w:val="00507E17"/>
    <w:rsid w:val="005100D3"/>
    <w:rsid w:val="00510241"/>
    <w:rsid w:val="005105DF"/>
    <w:rsid w:val="005105E2"/>
    <w:rsid w:val="005106FB"/>
    <w:rsid w:val="00510E5F"/>
    <w:rsid w:val="00511803"/>
    <w:rsid w:val="0051183D"/>
    <w:rsid w:val="005119E0"/>
    <w:rsid w:val="005123B9"/>
    <w:rsid w:val="00512B33"/>
    <w:rsid w:val="00513002"/>
    <w:rsid w:val="00513ABF"/>
    <w:rsid w:val="00514658"/>
    <w:rsid w:val="00514DC5"/>
    <w:rsid w:val="00514FD6"/>
    <w:rsid w:val="00515AB1"/>
    <w:rsid w:val="00515DE4"/>
    <w:rsid w:val="0051744B"/>
    <w:rsid w:val="00517D45"/>
    <w:rsid w:val="00517F4F"/>
    <w:rsid w:val="005211DB"/>
    <w:rsid w:val="005216D6"/>
    <w:rsid w:val="00523D7F"/>
    <w:rsid w:val="0052426C"/>
    <w:rsid w:val="00524309"/>
    <w:rsid w:val="0052504C"/>
    <w:rsid w:val="00525AC2"/>
    <w:rsid w:val="0052759D"/>
    <w:rsid w:val="0052798B"/>
    <w:rsid w:val="00527AAD"/>
    <w:rsid w:val="00530000"/>
    <w:rsid w:val="005306A5"/>
    <w:rsid w:val="00530CCE"/>
    <w:rsid w:val="00530E16"/>
    <w:rsid w:val="00530FE1"/>
    <w:rsid w:val="0053112B"/>
    <w:rsid w:val="005311CA"/>
    <w:rsid w:val="005322C9"/>
    <w:rsid w:val="00532C3A"/>
    <w:rsid w:val="00532FBA"/>
    <w:rsid w:val="00533E14"/>
    <w:rsid w:val="0053463A"/>
    <w:rsid w:val="00535A05"/>
    <w:rsid w:val="0053659A"/>
    <w:rsid w:val="00537104"/>
    <w:rsid w:val="0054001A"/>
    <w:rsid w:val="00540BCD"/>
    <w:rsid w:val="005413CC"/>
    <w:rsid w:val="005417B9"/>
    <w:rsid w:val="00541DA6"/>
    <w:rsid w:val="00542305"/>
    <w:rsid w:val="005427D0"/>
    <w:rsid w:val="005433FC"/>
    <w:rsid w:val="00543BD3"/>
    <w:rsid w:val="00544022"/>
    <w:rsid w:val="00545927"/>
    <w:rsid w:val="005462B0"/>
    <w:rsid w:val="0054714F"/>
    <w:rsid w:val="0054736C"/>
    <w:rsid w:val="00547ACD"/>
    <w:rsid w:val="00547B1B"/>
    <w:rsid w:val="005506B9"/>
    <w:rsid w:val="00550771"/>
    <w:rsid w:val="00550876"/>
    <w:rsid w:val="00551397"/>
    <w:rsid w:val="00551796"/>
    <w:rsid w:val="0055216B"/>
    <w:rsid w:val="00552C82"/>
    <w:rsid w:val="00552DF4"/>
    <w:rsid w:val="00553225"/>
    <w:rsid w:val="0055387D"/>
    <w:rsid w:val="0055429D"/>
    <w:rsid w:val="005547B3"/>
    <w:rsid w:val="0055490B"/>
    <w:rsid w:val="00554C43"/>
    <w:rsid w:val="00554C8D"/>
    <w:rsid w:val="0055534F"/>
    <w:rsid w:val="0055570D"/>
    <w:rsid w:val="00555818"/>
    <w:rsid w:val="005558C0"/>
    <w:rsid w:val="005558F0"/>
    <w:rsid w:val="00556D3E"/>
    <w:rsid w:val="00557434"/>
    <w:rsid w:val="00557721"/>
    <w:rsid w:val="00557871"/>
    <w:rsid w:val="00560086"/>
    <w:rsid w:val="00560AB3"/>
    <w:rsid w:val="00561147"/>
    <w:rsid w:val="00561E99"/>
    <w:rsid w:val="00562269"/>
    <w:rsid w:val="00562B83"/>
    <w:rsid w:val="005631BE"/>
    <w:rsid w:val="0056329E"/>
    <w:rsid w:val="005633F3"/>
    <w:rsid w:val="00563B04"/>
    <w:rsid w:val="00563F80"/>
    <w:rsid w:val="0056480E"/>
    <w:rsid w:val="00565B96"/>
    <w:rsid w:val="00566DF8"/>
    <w:rsid w:val="00567776"/>
    <w:rsid w:val="00567843"/>
    <w:rsid w:val="00567F8C"/>
    <w:rsid w:val="00567FA5"/>
    <w:rsid w:val="00570141"/>
    <w:rsid w:val="00570A17"/>
    <w:rsid w:val="005717AE"/>
    <w:rsid w:val="00572D03"/>
    <w:rsid w:val="00573EA5"/>
    <w:rsid w:val="00573F8A"/>
    <w:rsid w:val="005741E0"/>
    <w:rsid w:val="0057557F"/>
    <w:rsid w:val="005759BD"/>
    <w:rsid w:val="005761D2"/>
    <w:rsid w:val="005772AA"/>
    <w:rsid w:val="0057745E"/>
    <w:rsid w:val="00580DBB"/>
    <w:rsid w:val="00581045"/>
    <w:rsid w:val="00581258"/>
    <w:rsid w:val="005815F5"/>
    <w:rsid w:val="005817A7"/>
    <w:rsid w:val="00581DDA"/>
    <w:rsid w:val="0058226D"/>
    <w:rsid w:val="00582B6D"/>
    <w:rsid w:val="00582FD5"/>
    <w:rsid w:val="0058442D"/>
    <w:rsid w:val="0058464D"/>
    <w:rsid w:val="00584B1B"/>
    <w:rsid w:val="00584F98"/>
    <w:rsid w:val="00585BCE"/>
    <w:rsid w:val="00585BEA"/>
    <w:rsid w:val="00586A98"/>
    <w:rsid w:val="00586ADC"/>
    <w:rsid w:val="00590246"/>
    <w:rsid w:val="0059059D"/>
    <w:rsid w:val="005908D3"/>
    <w:rsid w:val="00590B1F"/>
    <w:rsid w:val="00590CCE"/>
    <w:rsid w:val="0059155E"/>
    <w:rsid w:val="00593EEF"/>
    <w:rsid w:val="00594469"/>
    <w:rsid w:val="005944EE"/>
    <w:rsid w:val="00594577"/>
    <w:rsid w:val="00594C65"/>
    <w:rsid w:val="00595336"/>
    <w:rsid w:val="00596442"/>
    <w:rsid w:val="00596E1D"/>
    <w:rsid w:val="005974F8"/>
    <w:rsid w:val="005A0927"/>
    <w:rsid w:val="005A1C6F"/>
    <w:rsid w:val="005A1EAB"/>
    <w:rsid w:val="005A2267"/>
    <w:rsid w:val="005A27B2"/>
    <w:rsid w:val="005A2AB2"/>
    <w:rsid w:val="005A2C4A"/>
    <w:rsid w:val="005A2CD9"/>
    <w:rsid w:val="005A2D23"/>
    <w:rsid w:val="005A326D"/>
    <w:rsid w:val="005A3440"/>
    <w:rsid w:val="005A37B1"/>
    <w:rsid w:val="005A3EE0"/>
    <w:rsid w:val="005A4497"/>
    <w:rsid w:val="005A4B63"/>
    <w:rsid w:val="005A4DC3"/>
    <w:rsid w:val="005A5112"/>
    <w:rsid w:val="005A5394"/>
    <w:rsid w:val="005A57A2"/>
    <w:rsid w:val="005A6B0B"/>
    <w:rsid w:val="005A772C"/>
    <w:rsid w:val="005A7A23"/>
    <w:rsid w:val="005A7BEE"/>
    <w:rsid w:val="005B0D37"/>
    <w:rsid w:val="005B0E09"/>
    <w:rsid w:val="005B126D"/>
    <w:rsid w:val="005B1380"/>
    <w:rsid w:val="005B1D57"/>
    <w:rsid w:val="005B270B"/>
    <w:rsid w:val="005B29AB"/>
    <w:rsid w:val="005B30BD"/>
    <w:rsid w:val="005B3361"/>
    <w:rsid w:val="005B3617"/>
    <w:rsid w:val="005B3840"/>
    <w:rsid w:val="005B436D"/>
    <w:rsid w:val="005B43D1"/>
    <w:rsid w:val="005B6872"/>
    <w:rsid w:val="005B6ED7"/>
    <w:rsid w:val="005B7137"/>
    <w:rsid w:val="005B73B6"/>
    <w:rsid w:val="005B73EE"/>
    <w:rsid w:val="005B780A"/>
    <w:rsid w:val="005B7985"/>
    <w:rsid w:val="005B7B33"/>
    <w:rsid w:val="005C0545"/>
    <w:rsid w:val="005C0A84"/>
    <w:rsid w:val="005C0C0B"/>
    <w:rsid w:val="005C0F80"/>
    <w:rsid w:val="005C16FF"/>
    <w:rsid w:val="005C1858"/>
    <w:rsid w:val="005C217C"/>
    <w:rsid w:val="005C2282"/>
    <w:rsid w:val="005C22D4"/>
    <w:rsid w:val="005C2FF0"/>
    <w:rsid w:val="005C38A8"/>
    <w:rsid w:val="005C39E7"/>
    <w:rsid w:val="005C3F71"/>
    <w:rsid w:val="005C43C1"/>
    <w:rsid w:val="005C48F1"/>
    <w:rsid w:val="005C5BB1"/>
    <w:rsid w:val="005C6C24"/>
    <w:rsid w:val="005D0011"/>
    <w:rsid w:val="005D001E"/>
    <w:rsid w:val="005D00DB"/>
    <w:rsid w:val="005D165D"/>
    <w:rsid w:val="005D1AB6"/>
    <w:rsid w:val="005D278F"/>
    <w:rsid w:val="005D43D8"/>
    <w:rsid w:val="005D4DA4"/>
    <w:rsid w:val="005D4F24"/>
    <w:rsid w:val="005D60B7"/>
    <w:rsid w:val="005D6C14"/>
    <w:rsid w:val="005D7C2E"/>
    <w:rsid w:val="005D7C51"/>
    <w:rsid w:val="005D7F04"/>
    <w:rsid w:val="005E0391"/>
    <w:rsid w:val="005E045D"/>
    <w:rsid w:val="005E0BAA"/>
    <w:rsid w:val="005E1159"/>
    <w:rsid w:val="005E1790"/>
    <w:rsid w:val="005E3291"/>
    <w:rsid w:val="005E36A9"/>
    <w:rsid w:val="005E4841"/>
    <w:rsid w:val="005E4A61"/>
    <w:rsid w:val="005E638D"/>
    <w:rsid w:val="005E6EB3"/>
    <w:rsid w:val="005E76CA"/>
    <w:rsid w:val="005E7D2A"/>
    <w:rsid w:val="005F0295"/>
    <w:rsid w:val="005F04BB"/>
    <w:rsid w:val="005F0BFC"/>
    <w:rsid w:val="005F10F9"/>
    <w:rsid w:val="005F11B0"/>
    <w:rsid w:val="005F1639"/>
    <w:rsid w:val="005F2504"/>
    <w:rsid w:val="005F28DF"/>
    <w:rsid w:val="005F2B5F"/>
    <w:rsid w:val="005F32BE"/>
    <w:rsid w:val="005F3574"/>
    <w:rsid w:val="005F42D2"/>
    <w:rsid w:val="005F4883"/>
    <w:rsid w:val="005F4D00"/>
    <w:rsid w:val="005F4F46"/>
    <w:rsid w:val="005F519D"/>
    <w:rsid w:val="005F587A"/>
    <w:rsid w:val="005F5AB4"/>
    <w:rsid w:val="005F6745"/>
    <w:rsid w:val="005F6A8D"/>
    <w:rsid w:val="005F6D25"/>
    <w:rsid w:val="005F6EDA"/>
    <w:rsid w:val="005F6EE0"/>
    <w:rsid w:val="005F79EC"/>
    <w:rsid w:val="005F7A16"/>
    <w:rsid w:val="005F7C4B"/>
    <w:rsid w:val="00601D38"/>
    <w:rsid w:val="00601EAE"/>
    <w:rsid w:val="00602072"/>
    <w:rsid w:val="00602607"/>
    <w:rsid w:val="006029A8"/>
    <w:rsid w:val="006030DF"/>
    <w:rsid w:val="0060358F"/>
    <w:rsid w:val="006035E9"/>
    <w:rsid w:val="006037AF"/>
    <w:rsid w:val="00604765"/>
    <w:rsid w:val="0060497B"/>
    <w:rsid w:val="00606002"/>
    <w:rsid w:val="00606CC8"/>
    <w:rsid w:val="00607953"/>
    <w:rsid w:val="00607954"/>
    <w:rsid w:val="006103F1"/>
    <w:rsid w:val="00611145"/>
    <w:rsid w:val="00611F23"/>
    <w:rsid w:val="00612509"/>
    <w:rsid w:val="006125E9"/>
    <w:rsid w:val="00612669"/>
    <w:rsid w:val="0061278D"/>
    <w:rsid w:val="006150CF"/>
    <w:rsid w:val="00615419"/>
    <w:rsid w:val="006169A3"/>
    <w:rsid w:val="00617AB3"/>
    <w:rsid w:val="00617CF2"/>
    <w:rsid w:val="00617E04"/>
    <w:rsid w:val="00620190"/>
    <w:rsid w:val="0062048A"/>
    <w:rsid w:val="00620B2D"/>
    <w:rsid w:val="00620FDA"/>
    <w:rsid w:val="00621820"/>
    <w:rsid w:val="00622327"/>
    <w:rsid w:val="00622448"/>
    <w:rsid w:val="00622665"/>
    <w:rsid w:val="006228EF"/>
    <w:rsid w:val="00622C79"/>
    <w:rsid w:val="00623769"/>
    <w:rsid w:val="00623B2C"/>
    <w:rsid w:val="006244C5"/>
    <w:rsid w:val="0062495B"/>
    <w:rsid w:val="00624DF3"/>
    <w:rsid w:val="00624EBA"/>
    <w:rsid w:val="00624F20"/>
    <w:rsid w:val="0062514E"/>
    <w:rsid w:val="0062560C"/>
    <w:rsid w:val="00625681"/>
    <w:rsid w:val="00625A10"/>
    <w:rsid w:val="00625F80"/>
    <w:rsid w:val="00626200"/>
    <w:rsid w:val="00626953"/>
    <w:rsid w:val="00626A47"/>
    <w:rsid w:val="00627467"/>
    <w:rsid w:val="00627FB7"/>
    <w:rsid w:val="006306D4"/>
    <w:rsid w:val="00630863"/>
    <w:rsid w:val="00630908"/>
    <w:rsid w:val="00630940"/>
    <w:rsid w:val="00631424"/>
    <w:rsid w:val="006316E2"/>
    <w:rsid w:val="00631CD2"/>
    <w:rsid w:val="00632B92"/>
    <w:rsid w:val="006332F5"/>
    <w:rsid w:val="00633FD6"/>
    <w:rsid w:val="00635ADD"/>
    <w:rsid w:val="00635DA7"/>
    <w:rsid w:val="00636396"/>
    <w:rsid w:val="006363F0"/>
    <w:rsid w:val="0063667E"/>
    <w:rsid w:val="00637225"/>
    <w:rsid w:val="00637425"/>
    <w:rsid w:val="00637964"/>
    <w:rsid w:val="00637B94"/>
    <w:rsid w:val="0064052C"/>
    <w:rsid w:val="00640625"/>
    <w:rsid w:val="00640A3A"/>
    <w:rsid w:val="00640B73"/>
    <w:rsid w:val="00641048"/>
    <w:rsid w:val="00641195"/>
    <w:rsid w:val="00641A10"/>
    <w:rsid w:val="0064328E"/>
    <w:rsid w:val="00643A8F"/>
    <w:rsid w:val="00643E48"/>
    <w:rsid w:val="00644E0C"/>
    <w:rsid w:val="006450C7"/>
    <w:rsid w:val="00645EE4"/>
    <w:rsid w:val="0064608F"/>
    <w:rsid w:val="006464EB"/>
    <w:rsid w:val="006466C3"/>
    <w:rsid w:val="0064677F"/>
    <w:rsid w:val="00647040"/>
    <w:rsid w:val="006501BD"/>
    <w:rsid w:val="00651009"/>
    <w:rsid w:val="00651665"/>
    <w:rsid w:val="0065253D"/>
    <w:rsid w:val="00652FBE"/>
    <w:rsid w:val="00653B8B"/>
    <w:rsid w:val="006544EB"/>
    <w:rsid w:val="006554CC"/>
    <w:rsid w:val="0065555A"/>
    <w:rsid w:val="00655C5D"/>
    <w:rsid w:val="00655DE0"/>
    <w:rsid w:val="0065600B"/>
    <w:rsid w:val="00657398"/>
    <w:rsid w:val="00657DC4"/>
    <w:rsid w:val="00661270"/>
    <w:rsid w:val="00662434"/>
    <w:rsid w:val="006637B3"/>
    <w:rsid w:val="00663BF0"/>
    <w:rsid w:val="00663C0F"/>
    <w:rsid w:val="00663D01"/>
    <w:rsid w:val="00664FDB"/>
    <w:rsid w:val="006651F2"/>
    <w:rsid w:val="006655FE"/>
    <w:rsid w:val="00665BBF"/>
    <w:rsid w:val="006662D6"/>
    <w:rsid w:val="00666793"/>
    <w:rsid w:val="00666B21"/>
    <w:rsid w:val="006670EF"/>
    <w:rsid w:val="00667EAC"/>
    <w:rsid w:val="006705CF"/>
    <w:rsid w:val="00670922"/>
    <w:rsid w:val="00671D1A"/>
    <w:rsid w:val="00673598"/>
    <w:rsid w:val="00673705"/>
    <w:rsid w:val="0067393B"/>
    <w:rsid w:val="006739DF"/>
    <w:rsid w:val="00673E2C"/>
    <w:rsid w:val="00674C03"/>
    <w:rsid w:val="00675002"/>
    <w:rsid w:val="00675594"/>
    <w:rsid w:val="006755B8"/>
    <w:rsid w:val="00675906"/>
    <w:rsid w:val="00675BE3"/>
    <w:rsid w:val="00675E91"/>
    <w:rsid w:val="00675EE4"/>
    <w:rsid w:val="00676650"/>
    <w:rsid w:val="006766BB"/>
    <w:rsid w:val="00676980"/>
    <w:rsid w:val="00677058"/>
    <w:rsid w:val="00677545"/>
    <w:rsid w:val="00677894"/>
    <w:rsid w:val="0068139E"/>
    <w:rsid w:val="00681F63"/>
    <w:rsid w:val="006820D1"/>
    <w:rsid w:val="0068280A"/>
    <w:rsid w:val="00682A00"/>
    <w:rsid w:val="006835D9"/>
    <w:rsid w:val="0068410A"/>
    <w:rsid w:val="00684247"/>
    <w:rsid w:val="00685BAF"/>
    <w:rsid w:val="00686041"/>
    <w:rsid w:val="0068616C"/>
    <w:rsid w:val="006864D5"/>
    <w:rsid w:val="006869B4"/>
    <w:rsid w:val="00686A7E"/>
    <w:rsid w:val="00686B08"/>
    <w:rsid w:val="0068751C"/>
    <w:rsid w:val="006879EA"/>
    <w:rsid w:val="00687B53"/>
    <w:rsid w:val="00690052"/>
    <w:rsid w:val="00690452"/>
    <w:rsid w:val="006905E4"/>
    <w:rsid w:val="00690657"/>
    <w:rsid w:val="006911CC"/>
    <w:rsid w:val="00691AA9"/>
    <w:rsid w:val="00692813"/>
    <w:rsid w:val="00692E1D"/>
    <w:rsid w:val="00692EEE"/>
    <w:rsid w:val="00692FAC"/>
    <w:rsid w:val="00694362"/>
    <w:rsid w:val="0069477D"/>
    <w:rsid w:val="00694847"/>
    <w:rsid w:val="00694A34"/>
    <w:rsid w:val="00695362"/>
    <w:rsid w:val="006953BB"/>
    <w:rsid w:val="006957E4"/>
    <w:rsid w:val="00695AC6"/>
    <w:rsid w:val="00697DBB"/>
    <w:rsid w:val="006A01A9"/>
    <w:rsid w:val="006A032D"/>
    <w:rsid w:val="006A0C3A"/>
    <w:rsid w:val="006A0D2F"/>
    <w:rsid w:val="006A1294"/>
    <w:rsid w:val="006A235D"/>
    <w:rsid w:val="006A3D6E"/>
    <w:rsid w:val="006A3DF8"/>
    <w:rsid w:val="006A477C"/>
    <w:rsid w:val="006A4D74"/>
    <w:rsid w:val="006A53AA"/>
    <w:rsid w:val="006A5886"/>
    <w:rsid w:val="006A5F9C"/>
    <w:rsid w:val="006A64F8"/>
    <w:rsid w:val="006A662F"/>
    <w:rsid w:val="006A683E"/>
    <w:rsid w:val="006A6C34"/>
    <w:rsid w:val="006A6DA6"/>
    <w:rsid w:val="006A7328"/>
    <w:rsid w:val="006A79C2"/>
    <w:rsid w:val="006A7AB2"/>
    <w:rsid w:val="006B08F2"/>
    <w:rsid w:val="006B1321"/>
    <w:rsid w:val="006B18FA"/>
    <w:rsid w:val="006B213E"/>
    <w:rsid w:val="006B2217"/>
    <w:rsid w:val="006B23A6"/>
    <w:rsid w:val="006B2735"/>
    <w:rsid w:val="006B33A2"/>
    <w:rsid w:val="006B37D6"/>
    <w:rsid w:val="006B3F65"/>
    <w:rsid w:val="006B41D3"/>
    <w:rsid w:val="006B4C90"/>
    <w:rsid w:val="006B5455"/>
    <w:rsid w:val="006B589F"/>
    <w:rsid w:val="006B5D59"/>
    <w:rsid w:val="006B61EF"/>
    <w:rsid w:val="006B6835"/>
    <w:rsid w:val="006B7524"/>
    <w:rsid w:val="006B75D2"/>
    <w:rsid w:val="006C208A"/>
    <w:rsid w:val="006C2287"/>
    <w:rsid w:val="006C2D67"/>
    <w:rsid w:val="006C31EE"/>
    <w:rsid w:val="006C327E"/>
    <w:rsid w:val="006C33BF"/>
    <w:rsid w:val="006C379C"/>
    <w:rsid w:val="006C3C0F"/>
    <w:rsid w:val="006C3F30"/>
    <w:rsid w:val="006C4125"/>
    <w:rsid w:val="006C54F0"/>
    <w:rsid w:val="006C6102"/>
    <w:rsid w:val="006C6B66"/>
    <w:rsid w:val="006C6F03"/>
    <w:rsid w:val="006C722B"/>
    <w:rsid w:val="006D1636"/>
    <w:rsid w:val="006D18B3"/>
    <w:rsid w:val="006D19BD"/>
    <w:rsid w:val="006D24AD"/>
    <w:rsid w:val="006D2789"/>
    <w:rsid w:val="006D2B6C"/>
    <w:rsid w:val="006D32FC"/>
    <w:rsid w:val="006D3486"/>
    <w:rsid w:val="006D3851"/>
    <w:rsid w:val="006D3BD4"/>
    <w:rsid w:val="006D47FC"/>
    <w:rsid w:val="006D4F32"/>
    <w:rsid w:val="006D5C13"/>
    <w:rsid w:val="006D65AF"/>
    <w:rsid w:val="006D6849"/>
    <w:rsid w:val="006D6B4B"/>
    <w:rsid w:val="006D6CA8"/>
    <w:rsid w:val="006D6F4A"/>
    <w:rsid w:val="006D76C1"/>
    <w:rsid w:val="006D79B7"/>
    <w:rsid w:val="006E03CC"/>
    <w:rsid w:val="006E044B"/>
    <w:rsid w:val="006E17A3"/>
    <w:rsid w:val="006E1928"/>
    <w:rsid w:val="006E24FE"/>
    <w:rsid w:val="006E2C3E"/>
    <w:rsid w:val="006E312F"/>
    <w:rsid w:val="006E33EF"/>
    <w:rsid w:val="006E453F"/>
    <w:rsid w:val="006E6F85"/>
    <w:rsid w:val="006E7527"/>
    <w:rsid w:val="006E7C78"/>
    <w:rsid w:val="006F0AA9"/>
    <w:rsid w:val="006F0D14"/>
    <w:rsid w:val="006F1919"/>
    <w:rsid w:val="006F1BD1"/>
    <w:rsid w:val="006F2AAF"/>
    <w:rsid w:val="006F2CF0"/>
    <w:rsid w:val="006F31F3"/>
    <w:rsid w:val="006F3582"/>
    <w:rsid w:val="006F570D"/>
    <w:rsid w:val="006F5F1B"/>
    <w:rsid w:val="006F6499"/>
    <w:rsid w:val="006F650F"/>
    <w:rsid w:val="006F6FC7"/>
    <w:rsid w:val="006F7309"/>
    <w:rsid w:val="006F7432"/>
    <w:rsid w:val="006F7B32"/>
    <w:rsid w:val="00700644"/>
    <w:rsid w:val="00700864"/>
    <w:rsid w:val="00700CA7"/>
    <w:rsid w:val="00700F5E"/>
    <w:rsid w:val="00701687"/>
    <w:rsid w:val="0070203D"/>
    <w:rsid w:val="007025FD"/>
    <w:rsid w:val="00702DC3"/>
    <w:rsid w:val="007041AF"/>
    <w:rsid w:val="007043C2"/>
    <w:rsid w:val="00704EB5"/>
    <w:rsid w:val="00704F27"/>
    <w:rsid w:val="00706089"/>
    <w:rsid w:val="007066B9"/>
    <w:rsid w:val="00706838"/>
    <w:rsid w:val="00706A2E"/>
    <w:rsid w:val="00706B22"/>
    <w:rsid w:val="00706DD9"/>
    <w:rsid w:val="00706FBA"/>
    <w:rsid w:val="00707734"/>
    <w:rsid w:val="00707ABD"/>
    <w:rsid w:val="00707E85"/>
    <w:rsid w:val="0071016C"/>
    <w:rsid w:val="00710436"/>
    <w:rsid w:val="00710B8E"/>
    <w:rsid w:val="00712DEE"/>
    <w:rsid w:val="00714115"/>
    <w:rsid w:val="0071430A"/>
    <w:rsid w:val="007145EA"/>
    <w:rsid w:val="007146AE"/>
    <w:rsid w:val="007149A1"/>
    <w:rsid w:val="00714ADF"/>
    <w:rsid w:val="0071529E"/>
    <w:rsid w:val="0071541D"/>
    <w:rsid w:val="007155F4"/>
    <w:rsid w:val="00715696"/>
    <w:rsid w:val="007159C0"/>
    <w:rsid w:val="00715C3A"/>
    <w:rsid w:val="00715F84"/>
    <w:rsid w:val="00715F89"/>
    <w:rsid w:val="0071608E"/>
    <w:rsid w:val="00716C2A"/>
    <w:rsid w:val="00716F17"/>
    <w:rsid w:val="0071790E"/>
    <w:rsid w:val="00717EE3"/>
    <w:rsid w:val="0072010C"/>
    <w:rsid w:val="00720540"/>
    <w:rsid w:val="00720B2A"/>
    <w:rsid w:val="007212A1"/>
    <w:rsid w:val="0072229B"/>
    <w:rsid w:val="00722EA0"/>
    <w:rsid w:val="00723837"/>
    <w:rsid w:val="00723999"/>
    <w:rsid w:val="00723A77"/>
    <w:rsid w:val="00723B17"/>
    <w:rsid w:val="00723C2F"/>
    <w:rsid w:val="007243B5"/>
    <w:rsid w:val="007252C4"/>
    <w:rsid w:val="00725475"/>
    <w:rsid w:val="00727528"/>
    <w:rsid w:val="007277E6"/>
    <w:rsid w:val="00727BB0"/>
    <w:rsid w:val="00727E83"/>
    <w:rsid w:val="0073072E"/>
    <w:rsid w:val="007311C7"/>
    <w:rsid w:val="00731CDD"/>
    <w:rsid w:val="00731DA5"/>
    <w:rsid w:val="00732622"/>
    <w:rsid w:val="007326D6"/>
    <w:rsid w:val="0073283D"/>
    <w:rsid w:val="00732CAF"/>
    <w:rsid w:val="00732F2B"/>
    <w:rsid w:val="007330AE"/>
    <w:rsid w:val="00733A5F"/>
    <w:rsid w:val="00733E70"/>
    <w:rsid w:val="0073449D"/>
    <w:rsid w:val="0073480B"/>
    <w:rsid w:val="00734E3D"/>
    <w:rsid w:val="0073527D"/>
    <w:rsid w:val="00735A09"/>
    <w:rsid w:val="00735A9E"/>
    <w:rsid w:val="00735D16"/>
    <w:rsid w:val="00735DB8"/>
    <w:rsid w:val="00736842"/>
    <w:rsid w:val="00737543"/>
    <w:rsid w:val="00737CA0"/>
    <w:rsid w:val="007402A9"/>
    <w:rsid w:val="007408A0"/>
    <w:rsid w:val="00740DCC"/>
    <w:rsid w:val="0074113F"/>
    <w:rsid w:val="00742CE3"/>
    <w:rsid w:val="00742F27"/>
    <w:rsid w:val="007436C1"/>
    <w:rsid w:val="0074395D"/>
    <w:rsid w:val="007447D0"/>
    <w:rsid w:val="007448C3"/>
    <w:rsid w:val="00744C70"/>
    <w:rsid w:val="00745DA7"/>
    <w:rsid w:val="00745FDC"/>
    <w:rsid w:val="00746AB6"/>
    <w:rsid w:val="00746B77"/>
    <w:rsid w:val="0074707B"/>
    <w:rsid w:val="007477B7"/>
    <w:rsid w:val="00747EEA"/>
    <w:rsid w:val="00751016"/>
    <w:rsid w:val="00751B06"/>
    <w:rsid w:val="00751B33"/>
    <w:rsid w:val="00751EB4"/>
    <w:rsid w:val="0075215D"/>
    <w:rsid w:val="00752389"/>
    <w:rsid w:val="00752667"/>
    <w:rsid w:val="007526A7"/>
    <w:rsid w:val="007527D6"/>
    <w:rsid w:val="00753A26"/>
    <w:rsid w:val="00753D17"/>
    <w:rsid w:val="007546D9"/>
    <w:rsid w:val="007550AC"/>
    <w:rsid w:val="007554FA"/>
    <w:rsid w:val="0075677E"/>
    <w:rsid w:val="007567B5"/>
    <w:rsid w:val="00756818"/>
    <w:rsid w:val="007569A5"/>
    <w:rsid w:val="00756E8B"/>
    <w:rsid w:val="0075707B"/>
    <w:rsid w:val="007575BB"/>
    <w:rsid w:val="0075773D"/>
    <w:rsid w:val="00760613"/>
    <w:rsid w:val="00760660"/>
    <w:rsid w:val="00761C64"/>
    <w:rsid w:val="0076249D"/>
    <w:rsid w:val="007626C8"/>
    <w:rsid w:val="00763F66"/>
    <w:rsid w:val="00764B45"/>
    <w:rsid w:val="0076518A"/>
    <w:rsid w:val="00765230"/>
    <w:rsid w:val="00766C4C"/>
    <w:rsid w:val="00767437"/>
    <w:rsid w:val="00767C6F"/>
    <w:rsid w:val="0077146C"/>
    <w:rsid w:val="007717AE"/>
    <w:rsid w:val="007718BE"/>
    <w:rsid w:val="00771FA3"/>
    <w:rsid w:val="007727EC"/>
    <w:rsid w:val="00772A0D"/>
    <w:rsid w:val="00772A17"/>
    <w:rsid w:val="00772B3E"/>
    <w:rsid w:val="0077316D"/>
    <w:rsid w:val="00773561"/>
    <w:rsid w:val="007740F8"/>
    <w:rsid w:val="00774C55"/>
    <w:rsid w:val="00775075"/>
    <w:rsid w:val="0077527E"/>
    <w:rsid w:val="00775B28"/>
    <w:rsid w:val="00775CE7"/>
    <w:rsid w:val="007761C1"/>
    <w:rsid w:val="007765B3"/>
    <w:rsid w:val="0077668C"/>
    <w:rsid w:val="00776D0E"/>
    <w:rsid w:val="0077749D"/>
    <w:rsid w:val="00777C11"/>
    <w:rsid w:val="00780677"/>
    <w:rsid w:val="007806E6"/>
    <w:rsid w:val="007815E3"/>
    <w:rsid w:val="00782B7F"/>
    <w:rsid w:val="0078323A"/>
    <w:rsid w:val="007832A5"/>
    <w:rsid w:val="00783DAE"/>
    <w:rsid w:val="00784DB2"/>
    <w:rsid w:val="00786A88"/>
    <w:rsid w:val="00786BFF"/>
    <w:rsid w:val="007872C7"/>
    <w:rsid w:val="00787407"/>
    <w:rsid w:val="0078740F"/>
    <w:rsid w:val="0078753D"/>
    <w:rsid w:val="00787949"/>
    <w:rsid w:val="00787D9A"/>
    <w:rsid w:val="00790F7C"/>
    <w:rsid w:val="0079130F"/>
    <w:rsid w:val="00791C77"/>
    <w:rsid w:val="007921D8"/>
    <w:rsid w:val="00792266"/>
    <w:rsid w:val="0079254C"/>
    <w:rsid w:val="00792807"/>
    <w:rsid w:val="00792DA8"/>
    <w:rsid w:val="00792EDB"/>
    <w:rsid w:val="007932F0"/>
    <w:rsid w:val="00795AA8"/>
    <w:rsid w:val="00797FA7"/>
    <w:rsid w:val="007A0089"/>
    <w:rsid w:val="007A1DBE"/>
    <w:rsid w:val="007A24E8"/>
    <w:rsid w:val="007A2DFA"/>
    <w:rsid w:val="007A3A23"/>
    <w:rsid w:val="007A49AB"/>
    <w:rsid w:val="007A4A71"/>
    <w:rsid w:val="007A4A9C"/>
    <w:rsid w:val="007A77C8"/>
    <w:rsid w:val="007A7805"/>
    <w:rsid w:val="007A787E"/>
    <w:rsid w:val="007B006C"/>
    <w:rsid w:val="007B046B"/>
    <w:rsid w:val="007B137A"/>
    <w:rsid w:val="007B17F6"/>
    <w:rsid w:val="007B1AF4"/>
    <w:rsid w:val="007B3CB3"/>
    <w:rsid w:val="007B4469"/>
    <w:rsid w:val="007B4498"/>
    <w:rsid w:val="007B4D77"/>
    <w:rsid w:val="007B4E57"/>
    <w:rsid w:val="007B573F"/>
    <w:rsid w:val="007B5980"/>
    <w:rsid w:val="007B6292"/>
    <w:rsid w:val="007B679E"/>
    <w:rsid w:val="007B6957"/>
    <w:rsid w:val="007B7B40"/>
    <w:rsid w:val="007C0249"/>
    <w:rsid w:val="007C0318"/>
    <w:rsid w:val="007C04C3"/>
    <w:rsid w:val="007C0CFE"/>
    <w:rsid w:val="007C135F"/>
    <w:rsid w:val="007C14CC"/>
    <w:rsid w:val="007C1944"/>
    <w:rsid w:val="007C1F20"/>
    <w:rsid w:val="007C3F25"/>
    <w:rsid w:val="007C406A"/>
    <w:rsid w:val="007C477A"/>
    <w:rsid w:val="007C4AEB"/>
    <w:rsid w:val="007C4C90"/>
    <w:rsid w:val="007C56F2"/>
    <w:rsid w:val="007C6084"/>
    <w:rsid w:val="007C7CDD"/>
    <w:rsid w:val="007D0810"/>
    <w:rsid w:val="007D08F2"/>
    <w:rsid w:val="007D0ADA"/>
    <w:rsid w:val="007D13E8"/>
    <w:rsid w:val="007D1C1C"/>
    <w:rsid w:val="007D1EC5"/>
    <w:rsid w:val="007D2067"/>
    <w:rsid w:val="007D2B4A"/>
    <w:rsid w:val="007D2F0E"/>
    <w:rsid w:val="007D3C57"/>
    <w:rsid w:val="007D3E5E"/>
    <w:rsid w:val="007D4442"/>
    <w:rsid w:val="007D4503"/>
    <w:rsid w:val="007D543A"/>
    <w:rsid w:val="007D55BC"/>
    <w:rsid w:val="007D5675"/>
    <w:rsid w:val="007D57F6"/>
    <w:rsid w:val="007D5A71"/>
    <w:rsid w:val="007D5EB9"/>
    <w:rsid w:val="007D5F16"/>
    <w:rsid w:val="007D7569"/>
    <w:rsid w:val="007D75BB"/>
    <w:rsid w:val="007D7BB7"/>
    <w:rsid w:val="007D7C2F"/>
    <w:rsid w:val="007E0A29"/>
    <w:rsid w:val="007E2032"/>
    <w:rsid w:val="007E302F"/>
    <w:rsid w:val="007E32A4"/>
    <w:rsid w:val="007E4448"/>
    <w:rsid w:val="007E5215"/>
    <w:rsid w:val="007E5750"/>
    <w:rsid w:val="007E5769"/>
    <w:rsid w:val="007E5B0C"/>
    <w:rsid w:val="007E6D04"/>
    <w:rsid w:val="007E6D17"/>
    <w:rsid w:val="007E70F5"/>
    <w:rsid w:val="007E7457"/>
    <w:rsid w:val="007E79E0"/>
    <w:rsid w:val="007E7CEC"/>
    <w:rsid w:val="007E7E64"/>
    <w:rsid w:val="007E7F5C"/>
    <w:rsid w:val="007E7FB3"/>
    <w:rsid w:val="007F0A41"/>
    <w:rsid w:val="007F1AAD"/>
    <w:rsid w:val="007F2496"/>
    <w:rsid w:val="007F2D60"/>
    <w:rsid w:val="007F34BD"/>
    <w:rsid w:val="007F369A"/>
    <w:rsid w:val="007F36BA"/>
    <w:rsid w:val="007F37EE"/>
    <w:rsid w:val="007F38BD"/>
    <w:rsid w:val="007F4486"/>
    <w:rsid w:val="007F44F2"/>
    <w:rsid w:val="007F4E32"/>
    <w:rsid w:val="007F6200"/>
    <w:rsid w:val="007F6CAA"/>
    <w:rsid w:val="007F7594"/>
    <w:rsid w:val="007F7CD1"/>
    <w:rsid w:val="008005E3"/>
    <w:rsid w:val="008012EA"/>
    <w:rsid w:val="00801C85"/>
    <w:rsid w:val="008021F5"/>
    <w:rsid w:val="0080237B"/>
    <w:rsid w:val="00802DB5"/>
    <w:rsid w:val="00803189"/>
    <w:rsid w:val="00803260"/>
    <w:rsid w:val="0080377A"/>
    <w:rsid w:val="00803A7D"/>
    <w:rsid w:val="00804456"/>
    <w:rsid w:val="008048E5"/>
    <w:rsid w:val="00804CB6"/>
    <w:rsid w:val="00805171"/>
    <w:rsid w:val="00805464"/>
    <w:rsid w:val="00805A56"/>
    <w:rsid w:val="00805DBF"/>
    <w:rsid w:val="00806B1C"/>
    <w:rsid w:val="008071F3"/>
    <w:rsid w:val="008071F6"/>
    <w:rsid w:val="00807269"/>
    <w:rsid w:val="00807328"/>
    <w:rsid w:val="0080732A"/>
    <w:rsid w:val="008078ED"/>
    <w:rsid w:val="008107E8"/>
    <w:rsid w:val="008107E9"/>
    <w:rsid w:val="0081109A"/>
    <w:rsid w:val="0081126D"/>
    <w:rsid w:val="008113C8"/>
    <w:rsid w:val="008122F4"/>
    <w:rsid w:val="0081257C"/>
    <w:rsid w:val="008127A7"/>
    <w:rsid w:val="008135E0"/>
    <w:rsid w:val="00813F47"/>
    <w:rsid w:val="008144E3"/>
    <w:rsid w:val="0081484F"/>
    <w:rsid w:val="008155D1"/>
    <w:rsid w:val="008162B4"/>
    <w:rsid w:val="008164E5"/>
    <w:rsid w:val="008169FA"/>
    <w:rsid w:val="00816B9E"/>
    <w:rsid w:val="0082086D"/>
    <w:rsid w:val="008209C6"/>
    <w:rsid w:val="00820C55"/>
    <w:rsid w:val="00820DF8"/>
    <w:rsid w:val="008211C2"/>
    <w:rsid w:val="00821C41"/>
    <w:rsid w:val="00822433"/>
    <w:rsid w:val="00823054"/>
    <w:rsid w:val="008231A0"/>
    <w:rsid w:val="008236A3"/>
    <w:rsid w:val="0082382B"/>
    <w:rsid w:val="008245C2"/>
    <w:rsid w:val="00824717"/>
    <w:rsid w:val="008265A1"/>
    <w:rsid w:val="00827386"/>
    <w:rsid w:val="00827BE6"/>
    <w:rsid w:val="00827F47"/>
    <w:rsid w:val="008305D2"/>
    <w:rsid w:val="00830E11"/>
    <w:rsid w:val="00831A4C"/>
    <w:rsid w:val="00831BD6"/>
    <w:rsid w:val="00831CA8"/>
    <w:rsid w:val="00832197"/>
    <w:rsid w:val="0083256D"/>
    <w:rsid w:val="00832AB1"/>
    <w:rsid w:val="008330E9"/>
    <w:rsid w:val="00833D7D"/>
    <w:rsid w:val="00834213"/>
    <w:rsid w:val="008357AE"/>
    <w:rsid w:val="008358B9"/>
    <w:rsid w:val="00835BD1"/>
    <w:rsid w:val="008400F8"/>
    <w:rsid w:val="00840381"/>
    <w:rsid w:val="0084331C"/>
    <w:rsid w:val="00844D42"/>
    <w:rsid w:val="00844EAD"/>
    <w:rsid w:val="008450C1"/>
    <w:rsid w:val="0084565F"/>
    <w:rsid w:val="0084641B"/>
    <w:rsid w:val="008468B1"/>
    <w:rsid w:val="00846B04"/>
    <w:rsid w:val="00846EDA"/>
    <w:rsid w:val="00846FE2"/>
    <w:rsid w:val="008476A8"/>
    <w:rsid w:val="00847E0F"/>
    <w:rsid w:val="008503AF"/>
    <w:rsid w:val="008504EC"/>
    <w:rsid w:val="00851604"/>
    <w:rsid w:val="008516E4"/>
    <w:rsid w:val="00851970"/>
    <w:rsid w:val="00851D29"/>
    <w:rsid w:val="00852168"/>
    <w:rsid w:val="008525E3"/>
    <w:rsid w:val="00852672"/>
    <w:rsid w:val="008529D2"/>
    <w:rsid w:val="008538A3"/>
    <w:rsid w:val="00854B6E"/>
    <w:rsid w:val="008551B3"/>
    <w:rsid w:val="008556E2"/>
    <w:rsid w:val="008557DA"/>
    <w:rsid w:val="00855960"/>
    <w:rsid w:val="00855DE6"/>
    <w:rsid w:val="00857122"/>
    <w:rsid w:val="0085794B"/>
    <w:rsid w:val="00860831"/>
    <w:rsid w:val="0086230B"/>
    <w:rsid w:val="00862C18"/>
    <w:rsid w:val="008630C5"/>
    <w:rsid w:val="00863EE8"/>
    <w:rsid w:val="008640A3"/>
    <w:rsid w:val="008645CD"/>
    <w:rsid w:val="00864982"/>
    <w:rsid w:val="00864A09"/>
    <w:rsid w:val="00864BE0"/>
    <w:rsid w:val="00865690"/>
    <w:rsid w:val="00865883"/>
    <w:rsid w:val="00865E1D"/>
    <w:rsid w:val="008664D6"/>
    <w:rsid w:val="00870AAD"/>
    <w:rsid w:val="00870CA8"/>
    <w:rsid w:val="00870CFA"/>
    <w:rsid w:val="0087108A"/>
    <w:rsid w:val="008715DF"/>
    <w:rsid w:val="0087176F"/>
    <w:rsid w:val="00872348"/>
    <w:rsid w:val="00872513"/>
    <w:rsid w:val="0087266A"/>
    <w:rsid w:val="00872EF0"/>
    <w:rsid w:val="00873038"/>
    <w:rsid w:val="0087372C"/>
    <w:rsid w:val="008746DA"/>
    <w:rsid w:val="008749D2"/>
    <w:rsid w:val="00874C8E"/>
    <w:rsid w:val="00874CFC"/>
    <w:rsid w:val="008750D8"/>
    <w:rsid w:val="00875157"/>
    <w:rsid w:val="0087535F"/>
    <w:rsid w:val="00875530"/>
    <w:rsid w:val="00875745"/>
    <w:rsid w:val="00876491"/>
    <w:rsid w:val="00877B30"/>
    <w:rsid w:val="0088033E"/>
    <w:rsid w:val="00881BB4"/>
    <w:rsid w:val="0088230E"/>
    <w:rsid w:val="008827DE"/>
    <w:rsid w:val="00882BF3"/>
    <w:rsid w:val="00883FEC"/>
    <w:rsid w:val="008841E8"/>
    <w:rsid w:val="00884790"/>
    <w:rsid w:val="00884A9C"/>
    <w:rsid w:val="00885934"/>
    <w:rsid w:val="00885D00"/>
    <w:rsid w:val="00885D11"/>
    <w:rsid w:val="00885DF3"/>
    <w:rsid w:val="008862AA"/>
    <w:rsid w:val="00887FAF"/>
    <w:rsid w:val="0089062F"/>
    <w:rsid w:val="00890EB9"/>
    <w:rsid w:val="008915A4"/>
    <w:rsid w:val="0089179E"/>
    <w:rsid w:val="00892BCD"/>
    <w:rsid w:val="00892F07"/>
    <w:rsid w:val="00893030"/>
    <w:rsid w:val="00893037"/>
    <w:rsid w:val="00893AEE"/>
    <w:rsid w:val="008949B0"/>
    <w:rsid w:val="008949DA"/>
    <w:rsid w:val="008950BA"/>
    <w:rsid w:val="008956B1"/>
    <w:rsid w:val="00897697"/>
    <w:rsid w:val="008A0452"/>
    <w:rsid w:val="008A04D1"/>
    <w:rsid w:val="008A11C5"/>
    <w:rsid w:val="008A1482"/>
    <w:rsid w:val="008A14EC"/>
    <w:rsid w:val="008A1C1E"/>
    <w:rsid w:val="008A24E5"/>
    <w:rsid w:val="008A2E8C"/>
    <w:rsid w:val="008A32C2"/>
    <w:rsid w:val="008A347C"/>
    <w:rsid w:val="008A4733"/>
    <w:rsid w:val="008A4BD6"/>
    <w:rsid w:val="008A5DFF"/>
    <w:rsid w:val="008A5F4A"/>
    <w:rsid w:val="008A68C9"/>
    <w:rsid w:val="008A71DF"/>
    <w:rsid w:val="008B06E4"/>
    <w:rsid w:val="008B0D78"/>
    <w:rsid w:val="008B0E75"/>
    <w:rsid w:val="008B2008"/>
    <w:rsid w:val="008B2B53"/>
    <w:rsid w:val="008B4B9F"/>
    <w:rsid w:val="008B4E3A"/>
    <w:rsid w:val="008B5413"/>
    <w:rsid w:val="008B6BF3"/>
    <w:rsid w:val="008B6F66"/>
    <w:rsid w:val="008B79A1"/>
    <w:rsid w:val="008B7B78"/>
    <w:rsid w:val="008C09A4"/>
    <w:rsid w:val="008C15DB"/>
    <w:rsid w:val="008C174E"/>
    <w:rsid w:val="008C2532"/>
    <w:rsid w:val="008C2597"/>
    <w:rsid w:val="008C2B06"/>
    <w:rsid w:val="008C48E8"/>
    <w:rsid w:val="008C567B"/>
    <w:rsid w:val="008C6BFC"/>
    <w:rsid w:val="008C6EAA"/>
    <w:rsid w:val="008C6EC0"/>
    <w:rsid w:val="008C7E14"/>
    <w:rsid w:val="008D1090"/>
    <w:rsid w:val="008D1360"/>
    <w:rsid w:val="008D13F9"/>
    <w:rsid w:val="008D1782"/>
    <w:rsid w:val="008D1D59"/>
    <w:rsid w:val="008D1F05"/>
    <w:rsid w:val="008D2429"/>
    <w:rsid w:val="008D2A64"/>
    <w:rsid w:val="008D2F4A"/>
    <w:rsid w:val="008D3A23"/>
    <w:rsid w:val="008D3A86"/>
    <w:rsid w:val="008D3EB8"/>
    <w:rsid w:val="008D53EC"/>
    <w:rsid w:val="008D565A"/>
    <w:rsid w:val="008D5D8E"/>
    <w:rsid w:val="008D7C49"/>
    <w:rsid w:val="008D7D65"/>
    <w:rsid w:val="008D7F01"/>
    <w:rsid w:val="008D7FCE"/>
    <w:rsid w:val="008E01D5"/>
    <w:rsid w:val="008E0791"/>
    <w:rsid w:val="008E0802"/>
    <w:rsid w:val="008E0D9A"/>
    <w:rsid w:val="008E0E76"/>
    <w:rsid w:val="008E2C00"/>
    <w:rsid w:val="008E34E7"/>
    <w:rsid w:val="008E4AAA"/>
    <w:rsid w:val="008E4C87"/>
    <w:rsid w:val="008E55FA"/>
    <w:rsid w:val="008E575C"/>
    <w:rsid w:val="008E598F"/>
    <w:rsid w:val="008E5CAD"/>
    <w:rsid w:val="008E6832"/>
    <w:rsid w:val="008E6B26"/>
    <w:rsid w:val="008E6DC4"/>
    <w:rsid w:val="008E6DCF"/>
    <w:rsid w:val="008E75B7"/>
    <w:rsid w:val="008F0DC4"/>
    <w:rsid w:val="008F1184"/>
    <w:rsid w:val="008F15A0"/>
    <w:rsid w:val="008F205D"/>
    <w:rsid w:val="008F338D"/>
    <w:rsid w:val="008F3E31"/>
    <w:rsid w:val="008F3EB8"/>
    <w:rsid w:val="008F4B18"/>
    <w:rsid w:val="008F4BED"/>
    <w:rsid w:val="008F5021"/>
    <w:rsid w:val="008F5E73"/>
    <w:rsid w:val="008F6CAD"/>
    <w:rsid w:val="008F7A80"/>
    <w:rsid w:val="0090157C"/>
    <w:rsid w:val="009017A8"/>
    <w:rsid w:val="00901B4C"/>
    <w:rsid w:val="00902325"/>
    <w:rsid w:val="0090350F"/>
    <w:rsid w:val="00903868"/>
    <w:rsid w:val="00903CFF"/>
    <w:rsid w:val="00903D65"/>
    <w:rsid w:val="0090454E"/>
    <w:rsid w:val="009051CA"/>
    <w:rsid w:val="009055DF"/>
    <w:rsid w:val="00906173"/>
    <w:rsid w:val="00906A2F"/>
    <w:rsid w:val="00906B9C"/>
    <w:rsid w:val="00907021"/>
    <w:rsid w:val="009076C3"/>
    <w:rsid w:val="009076F9"/>
    <w:rsid w:val="00907AE2"/>
    <w:rsid w:val="00907C5A"/>
    <w:rsid w:val="00910327"/>
    <w:rsid w:val="00911C51"/>
    <w:rsid w:val="00911CC5"/>
    <w:rsid w:val="009124A7"/>
    <w:rsid w:val="009125A2"/>
    <w:rsid w:val="00913981"/>
    <w:rsid w:val="00913C8E"/>
    <w:rsid w:val="009149A8"/>
    <w:rsid w:val="009152FA"/>
    <w:rsid w:val="00915E4E"/>
    <w:rsid w:val="00916D72"/>
    <w:rsid w:val="00916F1A"/>
    <w:rsid w:val="009174C3"/>
    <w:rsid w:val="00917664"/>
    <w:rsid w:val="009215A3"/>
    <w:rsid w:val="00921C2F"/>
    <w:rsid w:val="00921FB0"/>
    <w:rsid w:val="00922A14"/>
    <w:rsid w:val="009230BC"/>
    <w:rsid w:val="00923307"/>
    <w:rsid w:val="00923600"/>
    <w:rsid w:val="00924A3F"/>
    <w:rsid w:val="00924FAE"/>
    <w:rsid w:val="0092525C"/>
    <w:rsid w:val="00925423"/>
    <w:rsid w:val="00925500"/>
    <w:rsid w:val="00925D1D"/>
    <w:rsid w:val="00927954"/>
    <w:rsid w:val="00927D10"/>
    <w:rsid w:val="009300BB"/>
    <w:rsid w:val="00930572"/>
    <w:rsid w:val="00930AE6"/>
    <w:rsid w:val="00930E32"/>
    <w:rsid w:val="00931384"/>
    <w:rsid w:val="00931E79"/>
    <w:rsid w:val="00931F65"/>
    <w:rsid w:val="0093267B"/>
    <w:rsid w:val="00932972"/>
    <w:rsid w:val="00933295"/>
    <w:rsid w:val="009335E5"/>
    <w:rsid w:val="0093376C"/>
    <w:rsid w:val="00933D05"/>
    <w:rsid w:val="009343C0"/>
    <w:rsid w:val="009345AC"/>
    <w:rsid w:val="00934C7D"/>
    <w:rsid w:val="00934DCA"/>
    <w:rsid w:val="009355EF"/>
    <w:rsid w:val="00935E0C"/>
    <w:rsid w:val="00936312"/>
    <w:rsid w:val="009364D4"/>
    <w:rsid w:val="0094032D"/>
    <w:rsid w:val="009403E0"/>
    <w:rsid w:val="009407D1"/>
    <w:rsid w:val="00940DFD"/>
    <w:rsid w:val="00940EC4"/>
    <w:rsid w:val="009422FC"/>
    <w:rsid w:val="009428BE"/>
    <w:rsid w:val="00942B56"/>
    <w:rsid w:val="009435F2"/>
    <w:rsid w:val="00943799"/>
    <w:rsid w:val="00943A0E"/>
    <w:rsid w:val="009449DD"/>
    <w:rsid w:val="00945404"/>
    <w:rsid w:val="009455AD"/>
    <w:rsid w:val="00945639"/>
    <w:rsid w:val="00945DBF"/>
    <w:rsid w:val="00946464"/>
    <w:rsid w:val="00946AE8"/>
    <w:rsid w:val="00946BE9"/>
    <w:rsid w:val="00947041"/>
    <w:rsid w:val="00947B34"/>
    <w:rsid w:val="00950554"/>
    <w:rsid w:val="00950DAF"/>
    <w:rsid w:val="00950E22"/>
    <w:rsid w:val="0095177C"/>
    <w:rsid w:val="00952133"/>
    <w:rsid w:val="0095244B"/>
    <w:rsid w:val="009530C8"/>
    <w:rsid w:val="009537CE"/>
    <w:rsid w:val="00953A5D"/>
    <w:rsid w:val="009542F0"/>
    <w:rsid w:val="00954B59"/>
    <w:rsid w:val="009552E8"/>
    <w:rsid w:val="009553BD"/>
    <w:rsid w:val="00955557"/>
    <w:rsid w:val="00956531"/>
    <w:rsid w:val="0095654A"/>
    <w:rsid w:val="00956B5C"/>
    <w:rsid w:val="0095745C"/>
    <w:rsid w:val="00957C1A"/>
    <w:rsid w:val="00960E1C"/>
    <w:rsid w:val="00961153"/>
    <w:rsid w:val="009618B8"/>
    <w:rsid w:val="00962057"/>
    <w:rsid w:val="009620B1"/>
    <w:rsid w:val="0096358E"/>
    <w:rsid w:val="0096365B"/>
    <w:rsid w:val="00963975"/>
    <w:rsid w:val="00963B41"/>
    <w:rsid w:val="009642F7"/>
    <w:rsid w:val="009643DC"/>
    <w:rsid w:val="009650EF"/>
    <w:rsid w:val="0096579A"/>
    <w:rsid w:val="009657E8"/>
    <w:rsid w:val="00965C12"/>
    <w:rsid w:val="00965D9F"/>
    <w:rsid w:val="0096621E"/>
    <w:rsid w:val="00966A69"/>
    <w:rsid w:val="00966A7E"/>
    <w:rsid w:val="00966BB6"/>
    <w:rsid w:val="00966DCF"/>
    <w:rsid w:val="00967E6D"/>
    <w:rsid w:val="0097014F"/>
    <w:rsid w:val="0097077E"/>
    <w:rsid w:val="00970F11"/>
    <w:rsid w:val="009710B8"/>
    <w:rsid w:val="0097190E"/>
    <w:rsid w:val="00971FC0"/>
    <w:rsid w:val="009728F7"/>
    <w:rsid w:val="0097291D"/>
    <w:rsid w:val="00972A55"/>
    <w:rsid w:val="00972BC9"/>
    <w:rsid w:val="0097342D"/>
    <w:rsid w:val="00973839"/>
    <w:rsid w:val="00973AB7"/>
    <w:rsid w:val="00973EF1"/>
    <w:rsid w:val="00974090"/>
    <w:rsid w:val="00974252"/>
    <w:rsid w:val="00974344"/>
    <w:rsid w:val="00974D9D"/>
    <w:rsid w:val="009754AC"/>
    <w:rsid w:val="00975BDC"/>
    <w:rsid w:val="0097687E"/>
    <w:rsid w:val="00976CD5"/>
    <w:rsid w:val="00977C3A"/>
    <w:rsid w:val="00977E3E"/>
    <w:rsid w:val="009804B2"/>
    <w:rsid w:val="00983125"/>
    <w:rsid w:val="00984931"/>
    <w:rsid w:val="009860A7"/>
    <w:rsid w:val="00986C86"/>
    <w:rsid w:val="00986F57"/>
    <w:rsid w:val="00990284"/>
    <w:rsid w:val="00990CDE"/>
    <w:rsid w:val="00992474"/>
    <w:rsid w:val="0099428A"/>
    <w:rsid w:val="009945B4"/>
    <w:rsid w:val="00994823"/>
    <w:rsid w:val="00994909"/>
    <w:rsid w:val="00994E28"/>
    <w:rsid w:val="00995A6C"/>
    <w:rsid w:val="009960EB"/>
    <w:rsid w:val="00996373"/>
    <w:rsid w:val="00996512"/>
    <w:rsid w:val="009965D4"/>
    <w:rsid w:val="00996EFE"/>
    <w:rsid w:val="009974A2"/>
    <w:rsid w:val="00997B1E"/>
    <w:rsid w:val="00997BF7"/>
    <w:rsid w:val="00997C73"/>
    <w:rsid w:val="009A0ACF"/>
    <w:rsid w:val="009A0B9E"/>
    <w:rsid w:val="009A10F0"/>
    <w:rsid w:val="009A1779"/>
    <w:rsid w:val="009A230B"/>
    <w:rsid w:val="009A2BA2"/>
    <w:rsid w:val="009A3CBF"/>
    <w:rsid w:val="009A4095"/>
    <w:rsid w:val="009A533B"/>
    <w:rsid w:val="009A5C63"/>
    <w:rsid w:val="009A75A5"/>
    <w:rsid w:val="009A7CED"/>
    <w:rsid w:val="009A7D5C"/>
    <w:rsid w:val="009B0237"/>
    <w:rsid w:val="009B0987"/>
    <w:rsid w:val="009B0A7D"/>
    <w:rsid w:val="009B1344"/>
    <w:rsid w:val="009B16C1"/>
    <w:rsid w:val="009B24AA"/>
    <w:rsid w:val="009B2530"/>
    <w:rsid w:val="009B2B53"/>
    <w:rsid w:val="009B367C"/>
    <w:rsid w:val="009B41D7"/>
    <w:rsid w:val="009B4443"/>
    <w:rsid w:val="009B5381"/>
    <w:rsid w:val="009B5FEC"/>
    <w:rsid w:val="009B61C8"/>
    <w:rsid w:val="009B6296"/>
    <w:rsid w:val="009B70EC"/>
    <w:rsid w:val="009B72DB"/>
    <w:rsid w:val="009B74F0"/>
    <w:rsid w:val="009B7AE4"/>
    <w:rsid w:val="009B7BD4"/>
    <w:rsid w:val="009C0062"/>
    <w:rsid w:val="009C06A2"/>
    <w:rsid w:val="009C06CB"/>
    <w:rsid w:val="009C113A"/>
    <w:rsid w:val="009C1C49"/>
    <w:rsid w:val="009C1EAD"/>
    <w:rsid w:val="009C235A"/>
    <w:rsid w:val="009C27A0"/>
    <w:rsid w:val="009C2924"/>
    <w:rsid w:val="009C3357"/>
    <w:rsid w:val="009C415C"/>
    <w:rsid w:val="009C4563"/>
    <w:rsid w:val="009C4602"/>
    <w:rsid w:val="009C463C"/>
    <w:rsid w:val="009C47BA"/>
    <w:rsid w:val="009C4F0D"/>
    <w:rsid w:val="009C5066"/>
    <w:rsid w:val="009C5198"/>
    <w:rsid w:val="009C56F5"/>
    <w:rsid w:val="009C5EEB"/>
    <w:rsid w:val="009C6C8A"/>
    <w:rsid w:val="009C73FB"/>
    <w:rsid w:val="009C7547"/>
    <w:rsid w:val="009D05F7"/>
    <w:rsid w:val="009D0D38"/>
    <w:rsid w:val="009D1617"/>
    <w:rsid w:val="009D1A48"/>
    <w:rsid w:val="009D1A99"/>
    <w:rsid w:val="009D22CF"/>
    <w:rsid w:val="009D3058"/>
    <w:rsid w:val="009D35EB"/>
    <w:rsid w:val="009D36C3"/>
    <w:rsid w:val="009D412B"/>
    <w:rsid w:val="009D4398"/>
    <w:rsid w:val="009D5368"/>
    <w:rsid w:val="009D66A4"/>
    <w:rsid w:val="009D6E92"/>
    <w:rsid w:val="009D7823"/>
    <w:rsid w:val="009D7980"/>
    <w:rsid w:val="009E03B4"/>
    <w:rsid w:val="009E0B4B"/>
    <w:rsid w:val="009E0DE1"/>
    <w:rsid w:val="009E12E4"/>
    <w:rsid w:val="009E1A2A"/>
    <w:rsid w:val="009E215B"/>
    <w:rsid w:val="009E3431"/>
    <w:rsid w:val="009E36ED"/>
    <w:rsid w:val="009E41F0"/>
    <w:rsid w:val="009E45BB"/>
    <w:rsid w:val="009E525D"/>
    <w:rsid w:val="009E5A82"/>
    <w:rsid w:val="009E5BA6"/>
    <w:rsid w:val="009E5E8D"/>
    <w:rsid w:val="009E5FD7"/>
    <w:rsid w:val="009E6BC3"/>
    <w:rsid w:val="009E6F36"/>
    <w:rsid w:val="009E71DC"/>
    <w:rsid w:val="009F058D"/>
    <w:rsid w:val="009F06A8"/>
    <w:rsid w:val="009F0F3A"/>
    <w:rsid w:val="009F142D"/>
    <w:rsid w:val="009F147E"/>
    <w:rsid w:val="009F2B87"/>
    <w:rsid w:val="009F3015"/>
    <w:rsid w:val="009F3098"/>
    <w:rsid w:val="009F41ED"/>
    <w:rsid w:val="009F4FD6"/>
    <w:rsid w:val="009F5013"/>
    <w:rsid w:val="009F516B"/>
    <w:rsid w:val="009F5939"/>
    <w:rsid w:val="009F627C"/>
    <w:rsid w:val="009F6357"/>
    <w:rsid w:val="009F6F2A"/>
    <w:rsid w:val="009F7630"/>
    <w:rsid w:val="009F7BA2"/>
    <w:rsid w:val="00A004B0"/>
    <w:rsid w:val="00A00611"/>
    <w:rsid w:val="00A009EB"/>
    <w:rsid w:val="00A01118"/>
    <w:rsid w:val="00A01404"/>
    <w:rsid w:val="00A01FD3"/>
    <w:rsid w:val="00A023C4"/>
    <w:rsid w:val="00A027AF"/>
    <w:rsid w:val="00A02B3A"/>
    <w:rsid w:val="00A03558"/>
    <w:rsid w:val="00A0399C"/>
    <w:rsid w:val="00A03A3E"/>
    <w:rsid w:val="00A04408"/>
    <w:rsid w:val="00A050A5"/>
    <w:rsid w:val="00A050BB"/>
    <w:rsid w:val="00A060A3"/>
    <w:rsid w:val="00A065C2"/>
    <w:rsid w:val="00A07DD7"/>
    <w:rsid w:val="00A11FDE"/>
    <w:rsid w:val="00A1238F"/>
    <w:rsid w:val="00A1277D"/>
    <w:rsid w:val="00A137C7"/>
    <w:rsid w:val="00A13958"/>
    <w:rsid w:val="00A14279"/>
    <w:rsid w:val="00A1465C"/>
    <w:rsid w:val="00A147F9"/>
    <w:rsid w:val="00A14A2F"/>
    <w:rsid w:val="00A14C02"/>
    <w:rsid w:val="00A14FFA"/>
    <w:rsid w:val="00A14FFB"/>
    <w:rsid w:val="00A15DBB"/>
    <w:rsid w:val="00A15F46"/>
    <w:rsid w:val="00A16527"/>
    <w:rsid w:val="00A1751B"/>
    <w:rsid w:val="00A17E81"/>
    <w:rsid w:val="00A17F97"/>
    <w:rsid w:val="00A2029A"/>
    <w:rsid w:val="00A203B2"/>
    <w:rsid w:val="00A20D1C"/>
    <w:rsid w:val="00A20EE7"/>
    <w:rsid w:val="00A20F1E"/>
    <w:rsid w:val="00A2183D"/>
    <w:rsid w:val="00A21BB2"/>
    <w:rsid w:val="00A21CA3"/>
    <w:rsid w:val="00A228F8"/>
    <w:rsid w:val="00A22BAB"/>
    <w:rsid w:val="00A23374"/>
    <w:rsid w:val="00A23986"/>
    <w:rsid w:val="00A23DEB"/>
    <w:rsid w:val="00A23E2E"/>
    <w:rsid w:val="00A24F1F"/>
    <w:rsid w:val="00A2580D"/>
    <w:rsid w:val="00A259B1"/>
    <w:rsid w:val="00A25C2F"/>
    <w:rsid w:val="00A25F36"/>
    <w:rsid w:val="00A26285"/>
    <w:rsid w:val="00A266B2"/>
    <w:rsid w:val="00A27821"/>
    <w:rsid w:val="00A2796E"/>
    <w:rsid w:val="00A27BA2"/>
    <w:rsid w:val="00A30CA3"/>
    <w:rsid w:val="00A30D33"/>
    <w:rsid w:val="00A30D95"/>
    <w:rsid w:val="00A3197B"/>
    <w:rsid w:val="00A31A47"/>
    <w:rsid w:val="00A31A5C"/>
    <w:rsid w:val="00A3240E"/>
    <w:rsid w:val="00A33198"/>
    <w:rsid w:val="00A35819"/>
    <w:rsid w:val="00A3626F"/>
    <w:rsid w:val="00A36692"/>
    <w:rsid w:val="00A37271"/>
    <w:rsid w:val="00A3775C"/>
    <w:rsid w:val="00A3776F"/>
    <w:rsid w:val="00A377B8"/>
    <w:rsid w:val="00A37874"/>
    <w:rsid w:val="00A40041"/>
    <w:rsid w:val="00A40307"/>
    <w:rsid w:val="00A4086D"/>
    <w:rsid w:val="00A40FE7"/>
    <w:rsid w:val="00A412B3"/>
    <w:rsid w:val="00A4279D"/>
    <w:rsid w:val="00A42DEF"/>
    <w:rsid w:val="00A42FEC"/>
    <w:rsid w:val="00A43191"/>
    <w:rsid w:val="00A43EBA"/>
    <w:rsid w:val="00A43EC0"/>
    <w:rsid w:val="00A44782"/>
    <w:rsid w:val="00A452B7"/>
    <w:rsid w:val="00A45716"/>
    <w:rsid w:val="00A45833"/>
    <w:rsid w:val="00A45B26"/>
    <w:rsid w:val="00A46051"/>
    <w:rsid w:val="00A46C98"/>
    <w:rsid w:val="00A503A3"/>
    <w:rsid w:val="00A50C2F"/>
    <w:rsid w:val="00A50F4C"/>
    <w:rsid w:val="00A515DF"/>
    <w:rsid w:val="00A5170C"/>
    <w:rsid w:val="00A5192F"/>
    <w:rsid w:val="00A5312F"/>
    <w:rsid w:val="00A53C06"/>
    <w:rsid w:val="00A53DF2"/>
    <w:rsid w:val="00A558A2"/>
    <w:rsid w:val="00A56A12"/>
    <w:rsid w:val="00A56A31"/>
    <w:rsid w:val="00A56A76"/>
    <w:rsid w:val="00A56C23"/>
    <w:rsid w:val="00A575DF"/>
    <w:rsid w:val="00A57A00"/>
    <w:rsid w:val="00A57B0D"/>
    <w:rsid w:val="00A604D2"/>
    <w:rsid w:val="00A60A22"/>
    <w:rsid w:val="00A60AE2"/>
    <w:rsid w:val="00A610CD"/>
    <w:rsid w:val="00A612ED"/>
    <w:rsid w:val="00A63A28"/>
    <w:rsid w:val="00A64405"/>
    <w:rsid w:val="00A648E1"/>
    <w:rsid w:val="00A66667"/>
    <w:rsid w:val="00A672F5"/>
    <w:rsid w:val="00A6797D"/>
    <w:rsid w:val="00A67A6F"/>
    <w:rsid w:val="00A67D39"/>
    <w:rsid w:val="00A67F3C"/>
    <w:rsid w:val="00A710D7"/>
    <w:rsid w:val="00A71436"/>
    <w:rsid w:val="00A72C30"/>
    <w:rsid w:val="00A72F45"/>
    <w:rsid w:val="00A7372C"/>
    <w:rsid w:val="00A741F8"/>
    <w:rsid w:val="00A74539"/>
    <w:rsid w:val="00A75460"/>
    <w:rsid w:val="00A754E2"/>
    <w:rsid w:val="00A757E3"/>
    <w:rsid w:val="00A75C3C"/>
    <w:rsid w:val="00A7618C"/>
    <w:rsid w:val="00A7662A"/>
    <w:rsid w:val="00A772C5"/>
    <w:rsid w:val="00A7770D"/>
    <w:rsid w:val="00A77F66"/>
    <w:rsid w:val="00A80560"/>
    <w:rsid w:val="00A8076C"/>
    <w:rsid w:val="00A80CA6"/>
    <w:rsid w:val="00A80EA3"/>
    <w:rsid w:val="00A8145B"/>
    <w:rsid w:val="00A81E4D"/>
    <w:rsid w:val="00A828ED"/>
    <w:rsid w:val="00A82EC1"/>
    <w:rsid w:val="00A830FE"/>
    <w:rsid w:val="00A8361C"/>
    <w:rsid w:val="00A85885"/>
    <w:rsid w:val="00A858B0"/>
    <w:rsid w:val="00A85D24"/>
    <w:rsid w:val="00A85DD1"/>
    <w:rsid w:val="00A861E1"/>
    <w:rsid w:val="00A865D6"/>
    <w:rsid w:val="00A86BAB"/>
    <w:rsid w:val="00A9052D"/>
    <w:rsid w:val="00A906BA"/>
    <w:rsid w:val="00A90B47"/>
    <w:rsid w:val="00A90DD5"/>
    <w:rsid w:val="00A92442"/>
    <w:rsid w:val="00A92CF8"/>
    <w:rsid w:val="00A92E66"/>
    <w:rsid w:val="00A935FF"/>
    <w:rsid w:val="00A9400E"/>
    <w:rsid w:val="00A943D2"/>
    <w:rsid w:val="00A94704"/>
    <w:rsid w:val="00A96111"/>
    <w:rsid w:val="00A96518"/>
    <w:rsid w:val="00A96781"/>
    <w:rsid w:val="00A97281"/>
    <w:rsid w:val="00AA02D5"/>
    <w:rsid w:val="00AA091E"/>
    <w:rsid w:val="00AA0949"/>
    <w:rsid w:val="00AA0EFB"/>
    <w:rsid w:val="00AA0FCA"/>
    <w:rsid w:val="00AA150F"/>
    <w:rsid w:val="00AA1663"/>
    <w:rsid w:val="00AA1F06"/>
    <w:rsid w:val="00AA2048"/>
    <w:rsid w:val="00AA2221"/>
    <w:rsid w:val="00AA3075"/>
    <w:rsid w:val="00AA3A38"/>
    <w:rsid w:val="00AA4804"/>
    <w:rsid w:val="00AA4A19"/>
    <w:rsid w:val="00AA4C61"/>
    <w:rsid w:val="00AA4E66"/>
    <w:rsid w:val="00AA57EB"/>
    <w:rsid w:val="00AA5ECB"/>
    <w:rsid w:val="00AA5F6A"/>
    <w:rsid w:val="00AA60DA"/>
    <w:rsid w:val="00AA6414"/>
    <w:rsid w:val="00AA6479"/>
    <w:rsid w:val="00AA7172"/>
    <w:rsid w:val="00AA7FE7"/>
    <w:rsid w:val="00AB01E6"/>
    <w:rsid w:val="00AB057A"/>
    <w:rsid w:val="00AB0896"/>
    <w:rsid w:val="00AB11D5"/>
    <w:rsid w:val="00AB12C0"/>
    <w:rsid w:val="00AB169C"/>
    <w:rsid w:val="00AB1A9C"/>
    <w:rsid w:val="00AB1BE0"/>
    <w:rsid w:val="00AB1F3F"/>
    <w:rsid w:val="00AB2223"/>
    <w:rsid w:val="00AB2BD2"/>
    <w:rsid w:val="00AB2E2C"/>
    <w:rsid w:val="00AB4277"/>
    <w:rsid w:val="00AB6262"/>
    <w:rsid w:val="00AB7698"/>
    <w:rsid w:val="00AB78DA"/>
    <w:rsid w:val="00AC0ACD"/>
    <w:rsid w:val="00AC0AFB"/>
    <w:rsid w:val="00AC1850"/>
    <w:rsid w:val="00AC20A6"/>
    <w:rsid w:val="00AC22E8"/>
    <w:rsid w:val="00AC2C77"/>
    <w:rsid w:val="00AC2CFC"/>
    <w:rsid w:val="00AC35CB"/>
    <w:rsid w:val="00AC3D8D"/>
    <w:rsid w:val="00AC4034"/>
    <w:rsid w:val="00AC41E8"/>
    <w:rsid w:val="00AC41EA"/>
    <w:rsid w:val="00AC50EC"/>
    <w:rsid w:val="00AC601A"/>
    <w:rsid w:val="00AC67EB"/>
    <w:rsid w:val="00AC6B12"/>
    <w:rsid w:val="00AC715D"/>
    <w:rsid w:val="00AC74EA"/>
    <w:rsid w:val="00AC75B2"/>
    <w:rsid w:val="00AC783B"/>
    <w:rsid w:val="00AD00CC"/>
    <w:rsid w:val="00AD0E09"/>
    <w:rsid w:val="00AD1483"/>
    <w:rsid w:val="00AD1CD5"/>
    <w:rsid w:val="00AD1D6F"/>
    <w:rsid w:val="00AD1F66"/>
    <w:rsid w:val="00AD2158"/>
    <w:rsid w:val="00AD3D9B"/>
    <w:rsid w:val="00AD42B2"/>
    <w:rsid w:val="00AD4F5D"/>
    <w:rsid w:val="00AD6641"/>
    <w:rsid w:val="00AD674F"/>
    <w:rsid w:val="00AD7ACB"/>
    <w:rsid w:val="00AD7B23"/>
    <w:rsid w:val="00AD7DAC"/>
    <w:rsid w:val="00AE0ACD"/>
    <w:rsid w:val="00AE30FF"/>
    <w:rsid w:val="00AE325C"/>
    <w:rsid w:val="00AE3919"/>
    <w:rsid w:val="00AE3D11"/>
    <w:rsid w:val="00AE44C2"/>
    <w:rsid w:val="00AE47AB"/>
    <w:rsid w:val="00AE4824"/>
    <w:rsid w:val="00AE49A3"/>
    <w:rsid w:val="00AE5112"/>
    <w:rsid w:val="00AE5B86"/>
    <w:rsid w:val="00AE6166"/>
    <w:rsid w:val="00AE661C"/>
    <w:rsid w:val="00AE6DBC"/>
    <w:rsid w:val="00AE769A"/>
    <w:rsid w:val="00AE7DE0"/>
    <w:rsid w:val="00AF00DC"/>
    <w:rsid w:val="00AF14C4"/>
    <w:rsid w:val="00AF170F"/>
    <w:rsid w:val="00AF24FD"/>
    <w:rsid w:val="00AF3001"/>
    <w:rsid w:val="00AF34C4"/>
    <w:rsid w:val="00AF42D8"/>
    <w:rsid w:val="00AF581C"/>
    <w:rsid w:val="00AF6689"/>
    <w:rsid w:val="00AF6E52"/>
    <w:rsid w:val="00AF6ED3"/>
    <w:rsid w:val="00AF7034"/>
    <w:rsid w:val="00B005D8"/>
    <w:rsid w:val="00B00E3E"/>
    <w:rsid w:val="00B00F27"/>
    <w:rsid w:val="00B0171B"/>
    <w:rsid w:val="00B02106"/>
    <w:rsid w:val="00B03988"/>
    <w:rsid w:val="00B0441F"/>
    <w:rsid w:val="00B0503D"/>
    <w:rsid w:val="00B05846"/>
    <w:rsid w:val="00B059BD"/>
    <w:rsid w:val="00B05D1C"/>
    <w:rsid w:val="00B0718E"/>
    <w:rsid w:val="00B07419"/>
    <w:rsid w:val="00B0791A"/>
    <w:rsid w:val="00B105F4"/>
    <w:rsid w:val="00B10BFE"/>
    <w:rsid w:val="00B11CDD"/>
    <w:rsid w:val="00B123F4"/>
    <w:rsid w:val="00B12B1B"/>
    <w:rsid w:val="00B12C3D"/>
    <w:rsid w:val="00B130F5"/>
    <w:rsid w:val="00B135B5"/>
    <w:rsid w:val="00B1396D"/>
    <w:rsid w:val="00B13EA6"/>
    <w:rsid w:val="00B13F07"/>
    <w:rsid w:val="00B13FDB"/>
    <w:rsid w:val="00B14110"/>
    <w:rsid w:val="00B15B45"/>
    <w:rsid w:val="00B15D19"/>
    <w:rsid w:val="00B17B52"/>
    <w:rsid w:val="00B17CB0"/>
    <w:rsid w:val="00B17EB0"/>
    <w:rsid w:val="00B201C2"/>
    <w:rsid w:val="00B20472"/>
    <w:rsid w:val="00B2114D"/>
    <w:rsid w:val="00B21457"/>
    <w:rsid w:val="00B21944"/>
    <w:rsid w:val="00B21A83"/>
    <w:rsid w:val="00B21BF1"/>
    <w:rsid w:val="00B23050"/>
    <w:rsid w:val="00B2393D"/>
    <w:rsid w:val="00B23C35"/>
    <w:rsid w:val="00B24259"/>
    <w:rsid w:val="00B2444F"/>
    <w:rsid w:val="00B24703"/>
    <w:rsid w:val="00B248E1"/>
    <w:rsid w:val="00B24987"/>
    <w:rsid w:val="00B24AE3"/>
    <w:rsid w:val="00B24D03"/>
    <w:rsid w:val="00B25647"/>
    <w:rsid w:val="00B26120"/>
    <w:rsid w:val="00B26806"/>
    <w:rsid w:val="00B26B55"/>
    <w:rsid w:val="00B26C44"/>
    <w:rsid w:val="00B26EB8"/>
    <w:rsid w:val="00B27324"/>
    <w:rsid w:val="00B3036C"/>
    <w:rsid w:val="00B30AD5"/>
    <w:rsid w:val="00B30FC4"/>
    <w:rsid w:val="00B3100A"/>
    <w:rsid w:val="00B328D9"/>
    <w:rsid w:val="00B32915"/>
    <w:rsid w:val="00B32B56"/>
    <w:rsid w:val="00B3364C"/>
    <w:rsid w:val="00B33CEB"/>
    <w:rsid w:val="00B343FA"/>
    <w:rsid w:val="00B35103"/>
    <w:rsid w:val="00B35176"/>
    <w:rsid w:val="00B3530C"/>
    <w:rsid w:val="00B35323"/>
    <w:rsid w:val="00B354A1"/>
    <w:rsid w:val="00B35B96"/>
    <w:rsid w:val="00B36048"/>
    <w:rsid w:val="00B37225"/>
    <w:rsid w:val="00B37429"/>
    <w:rsid w:val="00B40EB3"/>
    <w:rsid w:val="00B40ECA"/>
    <w:rsid w:val="00B41198"/>
    <w:rsid w:val="00B413A6"/>
    <w:rsid w:val="00B41B9A"/>
    <w:rsid w:val="00B427D5"/>
    <w:rsid w:val="00B43723"/>
    <w:rsid w:val="00B43F18"/>
    <w:rsid w:val="00B43F9E"/>
    <w:rsid w:val="00B44136"/>
    <w:rsid w:val="00B44744"/>
    <w:rsid w:val="00B44D23"/>
    <w:rsid w:val="00B44F7E"/>
    <w:rsid w:val="00B4524C"/>
    <w:rsid w:val="00B4580D"/>
    <w:rsid w:val="00B458FC"/>
    <w:rsid w:val="00B45E42"/>
    <w:rsid w:val="00B50C44"/>
    <w:rsid w:val="00B51042"/>
    <w:rsid w:val="00B51351"/>
    <w:rsid w:val="00B51BBD"/>
    <w:rsid w:val="00B53C31"/>
    <w:rsid w:val="00B54140"/>
    <w:rsid w:val="00B54203"/>
    <w:rsid w:val="00B5472E"/>
    <w:rsid w:val="00B55204"/>
    <w:rsid w:val="00B55561"/>
    <w:rsid w:val="00B55CBF"/>
    <w:rsid w:val="00B55E2A"/>
    <w:rsid w:val="00B563CB"/>
    <w:rsid w:val="00B56AB4"/>
    <w:rsid w:val="00B56BCA"/>
    <w:rsid w:val="00B57DCF"/>
    <w:rsid w:val="00B6064A"/>
    <w:rsid w:val="00B6067F"/>
    <w:rsid w:val="00B6161D"/>
    <w:rsid w:val="00B619AD"/>
    <w:rsid w:val="00B61AFD"/>
    <w:rsid w:val="00B61EFB"/>
    <w:rsid w:val="00B61FC7"/>
    <w:rsid w:val="00B62A70"/>
    <w:rsid w:val="00B62B19"/>
    <w:rsid w:val="00B640C6"/>
    <w:rsid w:val="00B647B7"/>
    <w:rsid w:val="00B64C75"/>
    <w:rsid w:val="00B64CE7"/>
    <w:rsid w:val="00B65495"/>
    <w:rsid w:val="00B65539"/>
    <w:rsid w:val="00B65846"/>
    <w:rsid w:val="00B6603E"/>
    <w:rsid w:val="00B66854"/>
    <w:rsid w:val="00B66D25"/>
    <w:rsid w:val="00B675BE"/>
    <w:rsid w:val="00B678CC"/>
    <w:rsid w:val="00B70168"/>
    <w:rsid w:val="00B705C8"/>
    <w:rsid w:val="00B708E5"/>
    <w:rsid w:val="00B71B39"/>
    <w:rsid w:val="00B72666"/>
    <w:rsid w:val="00B72ECA"/>
    <w:rsid w:val="00B73010"/>
    <w:rsid w:val="00B73E03"/>
    <w:rsid w:val="00B75EE7"/>
    <w:rsid w:val="00B76764"/>
    <w:rsid w:val="00B77CA5"/>
    <w:rsid w:val="00B8009C"/>
    <w:rsid w:val="00B8059E"/>
    <w:rsid w:val="00B810C7"/>
    <w:rsid w:val="00B8128E"/>
    <w:rsid w:val="00B814B1"/>
    <w:rsid w:val="00B81CE0"/>
    <w:rsid w:val="00B820FE"/>
    <w:rsid w:val="00B821C2"/>
    <w:rsid w:val="00B82511"/>
    <w:rsid w:val="00B82782"/>
    <w:rsid w:val="00B8393B"/>
    <w:rsid w:val="00B83EE3"/>
    <w:rsid w:val="00B851BE"/>
    <w:rsid w:val="00B8525C"/>
    <w:rsid w:val="00B85B9F"/>
    <w:rsid w:val="00B85D04"/>
    <w:rsid w:val="00B864D4"/>
    <w:rsid w:val="00B87347"/>
    <w:rsid w:val="00B878FB"/>
    <w:rsid w:val="00B914FD"/>
    <w:rsid w:val="00B92450"/>
    <w:rsid w:val="00B928F3"/>
    <w:rsid w:val="00B92E9E"/>
    <w:rsid w:val="00B93273"/>
    <w:rsid w:val="00B9394E"/>
    <w:rsid w:val="00B93DE8"/>
    <w:rsid w:val="00B946C1"/>
    <w:rsid w:val="00B947C5"/>
    <w:rsid w:val="00B947E5"/>
    <w:rsid w:val="00B94E6C"/>
    <w:rsid w:val="00B97311"/>
    <w:rsid w:val="00BA029E"/>
    <w:rsid w:val="00BA0A62"/>
    <w:rsid w:val="00BA1976"/>
    <w:rsid w:val="00BA1D46"/>
    <w:rsid w:val="00BA2019"/>
    <w:rsid w:val="00BA2BA4"/>
    <w:rsid w:val="00BA2C20"/>
    <w:rsid w:val="00BA349D"/>
    <w:rsid w:val="00BA46C0"/>
    <w:rsid w:val="00BA4CF9"/>
    <w:rsid w:val="00BA561E"/>
    <w:rsid w:val="00BA6CE7"/>
    <w:rsid w:val="00BA6E83"/>
    <w:rsid w:val="00BA7C4B"/>
    <w:rsid w:val="00BB0232"/>
    <w:rsid w:val="00BB0B01"/>
    <w:rsid w:val="00BB2248"/>
    <w:rsid w:val="00BB22E6"/>
    <w:rsid w:val="00BB2E76"/>
    <w:rsid w:val="00BB3DA5"/>
    <w:rsid w:val="00BB4022"/>
    <w:rsid w:val="00BB4E12"/>
    <w:rsid w:val="00BB4FE4"/>
    <w:rsid w:val="00BB55B4"/>
    <w:rsid w:val="00BB5A6C"/>
    <w:rsid w:val="00BB63C0"/>
    <w:rsid w:val="00BB6826"/>
    <w:rsid w:val="00BB70F7"/>
    <w:rsid w:val="00BB76B5"/>
    <w:rsid w:val="00BC0762"/>
    <w:rsid w:val="00BC08F5"/>
    <w:rsid w:val="00BC137E"/>
    <w:rsid w:val="00BC1710"/>
    <w:rsid w:val="00BC1D8D"/>
    <w:rsid w:val="00BC208D"/>
    <w:rsid w:val="00BC2147"/>
    <w:rsid w:val="00BC2D6F"/>
    <w:rsid w:val="00BC2F45"/>
    <w:rsid w:val="00BC35AA"/>
    <w:rsid w:val="00BC3DE3"/>
    <w:rsid w:val="00BC40E0"/>
    <w:rsid w:val="00BC44A3"/>
    <w:rsid w:val="00BC4760"/>
    <w:rsid w:val="00BC47EB"/>
    <w:rsid w:val="00BC6070"/>
    <w:rsid w:val="00BC63DB"/>
    <w:rsid w:val="00BC640F"/>
    <w:rsid w:val="00BC6EF3"/>
    <w:rsid w:val="00BC758E"/>
    <w:rsid w:val="00BC77EE"/>
    <w:rsid w:val="00BC7BB9"/>
    <w:rsid w:val="00BD0530"/>
    <w:rsid w:val="00BD0F22"/>
    <w:rsid w:val="00BD26B5"/>
    <w:rsid w:val="00BD3607"/>
    <w:rsid w:val="00BD3F12"/>
    <w:rsid w:val="00BD4E4D"/>
    <w:rsid w:val="00BD508E"/>
    <w:rsid w:val="00BD5165"/>
    <w:rsid w:val="00BD53E5"/>
    <w:rsid w:val="00BD597B"/>
    <w:rsid w:val="00BD59CC"/>
    <w:rsid w:val="00BD5E91"/>
    <w:rsid w:val="00BD5F53"/>
    <w:rsid w:val="00BD6B32"/>
    <w:rsid w:val="00BD6D53"/>
    <w:rsid w:val="00BD7498"/>
    <w:rsid w:val="00BD79B8"/>
    <w:rsid w:val="00BD7BF3"/>
    <w:rsid w:val="00BE054A"/>
    <w:rsid w:val="00BE0A70"/>
    <w:rsid w:val="00BE0C17"/>
    <w:rsid w:val="00BE120A"/>
    <w:rsid w:val="00BE1505"/>
    <w:rsid w:val="00BE18FB"/>
    <w:rsid w:val="00BE25D3"/>
    <w:rsid w:val="00BE2868"/>
    <w:rsid w:val="00BE3CF0"/>
    <w:rsid w:val="00BE4358"/>
    <w:rsid w:val="00BE4368"/>
    <w:rsid w:val="00BE461F"/>
    <w:rsid w:val="00BE5035"/>
    <w:rsid w:val="00BE5037"/>
    <w:rsid w:val="00BE509C"/>
    <w:rsid w:val="00BE5F45"/>
    <w:rsid w:val="00BE67E5"/>
    <w:rsid w:val="00BE7586"/>
    <w:rsid w:val="00BE7792"/>
    <w:rsid w:val="00BE7D45"/>
    <w:rsid w:val="00BF01CC"/>
    <w:rsid w:val="00BF054C"/>
    <w:rsid w:val="00BF07F2"/>
    <w:rsid w:val="00BF096A"/>
    <w:rsid w:val="00BF0A31"/>
    <w:rsid w:val="00BF0D50"/>
    <w:rsid w:val="00BF106E"/>
    <w:rsid w:val="00BF2020"/>
    <w:rsid w:val="00BF2828"/>
    <w:rsid w:val="00BF2847"/>
    <w:rsid w:val="00BF3380"/>
    <w:rsid w:val="00BF4273"/>
    <w:rsid w:val="00BF4434"/>
    <w:rsid w:val="00BF462B"/>
    <w:rsid w:val="00BF4640"/>
    <w:rsid w:val="00BF47F2"/>
    <w:rsid w:val="00BF4DEA"/>
    <w:rsid w:val="00BF52C4"/>
    <w:rsid w:val="00BF5391"/>
    <w:rsid w:val="00BF54CE"/>
    <w:rsid w:val="00BF5FA2"/>
    <w:rsid w:val="00BF6CE5"/>
    <w:rsid w:val="00C008EF"/>
    <w:rsid w:val="00C008F7"/>
    <w:rsid w:val="00C01670"/>
    <w:rsid w:val="00C017C2"/>
    <w:rsid w:val="00C0239B"/>
    <w:rsid w:val="00C025BF"/>
    <w:rsid w:val="00C02BF2"/>
    <w:rsid w:val="00C02F83"/>
    <w:rsid w:val="00C03392"/>
    <w:rsid w:val="00C0345F"/>
    <w:rsid w:val="00C03F34"/>
    <w:rsid w:val="00C0417F"/>
    <w:rsid w:val="00C047CD"/>
    <w:rsid w:val="00C055B9"/>
    <w:rsid w:val="00C055F7"/>
    <w:rsid w:val="00C057F6"/>
    <w:rsid w:val="00C060AF"/>
    <w:rsid w:val="00C063CF"/>
    <w:rsid w:val="00C068B7"/>
    <w:rsid w:val="00C06CB8"/>
    <w:rsid w:val="00C07D3F"/>
    <w:rsid w:val="00C10FF0"/>
    <w:rsid w:val="00C1204A"/>
    <w:rsid w:val="00C12447"/>
    <w:rsid w:val="00C127B2"/>
    <w:rsid w:val="00C129B3"/>
    <w:rsid w:val="00C12A81"/>
    <w:rsid w:val="00C12BE9"/>
    <w:rsid w:val="00C1305E"/>
    <w:rsid w:val="00C13DDA"/>
    <w:rsid w:val="00C13E84"/>
    <w:rsid w:val="00C14591"/>
    <w:rsid w:val="00C16659"/>
    <w:rsid w:val="00C16C95"/>
    <w:rsid w:val="00C16DB1"/>
    <w:rsid w:val="00C17BAF"/>
    <w:rsid w:val="00C23315"/>
    <w:rsid w:val="00C23381"/>
    <w:rsid w:val="00C23DAD"/>
    <w:rsid w:val="00C23FE1"/>
    <w:rsid w:val="00C240CE"/>
    <w:rsid w:val="00C24D0D"/>
    <w:rsid w:val="00C24D79"/>
    <w:rsid w:val="00C25040"/>
    <w:rsid w:val="00C25FDF"/>
    <w:rsid w:val="00C2655F"/>
    <w:rsid w:val="00C274BA"/>
    <w:rsid w:val="00C277DE"/>
    <w:rsid w:val="00C27893"/>
    <w:rsid w:val="00C27C78"/>
    <w:rsid w:val="00C27E36"/>
    <w:rsid w:val="00C300AE"/>
    <w:rsid w:val="00C304CC"/>
    <w:rsid w:val="00C304CF"/>
    <w:rsid w:val="00C305D7"/>
    <w:rsid w:val="00C30F16"/>
    <w:rsid w:val="00C31643"/>
    <w:rsid w:val="00C321B9"/>
    <w:rsid w:val="00C321C9"/>
    <w:rsid w:val="00C32C13"/>
    <w:rsid w:val="00C33552"/>
    <w:rsid w:val="00C33CBE"/>
    <w:rsid w:val="00C346F6"/>
    <w:rsid w:val="00C348E0"/>
    <w:rsid w:val="00C35CE9"/>
    <w:rsid w:val="00C3720A"/>
    <w:rsid w:val="00C37371"/>
    <w:rsid w:val="00C374B0"/>
    <w:rsid w:val="00C3766B"/>
    <w:rsid w:val="00C40325"/>
    <w:rsid w:val="00C406BB"/>
    <w:rsid w:val="00C40910"/>
    <w:rsid w:val="00C4173A"/>
    <w:rsid w:val="00C4257E"/>
    <w:rsid w:val="00C43BE4"/>
    <w:rsid w:val="00C44156"/>
    <w:rsid w:val="00C442B5"/>
    <w:rsid w:val="00C4468A"/>
    <w:rsid w:val="00C4481D"/>
    <w:rsid w:val="00C45842"/>
    <w:rsid w:val="00C45E86"/>
    <w:rsid w:val="00C465FE"/>
    <w:rsid w:val="00C46880"/>
    <w:rsid w:val="00C4749C"/>
    <w:rsid w:val="00C476D9"/>
    <w:rsid w:val="00C47D87"/>
    <w:rsid w:val="00C47F5F"/>
    <w:rsid w:val="00C5055E"/>
    <w:rsid w:val="00C5068F"/>
    <w:rsid w:val="00C51B60"/>
    <w:rsid w:val="00C51D21"/>
    <w:rsid w:val="00C53A6D"/>
    <w:rsid w:val="00C5418B"/>
    <w:rsid w:val="00C541D0"/>
    <w:rsid w:val="00C54F68"/>
    <w:rsid w:val="00C55089"/>
    <w:rsid w:val="00C563D4"/>
    <w:rsid w:val="00C56554"/>
    <w:rsid w:val="00C56634"/>
    <w:rsid w:val="00C57C82"/>
    <w:rsid w:val="00C60294"/>
    <w:rsid w:val="00C61C69"/>
    <w:rsid w:val="00C61D41"/>
    <w:rsid w:val="00C62800"/>
    <w:rsid w:val="00C62CF3"/>
    <w:rsid w:val="00C63766"/>
    <w:rsid w:val="00C63A7D"/>
    <w:rsid w:val="00C63A90"/>
    <w:rsid w:val="00C6425A"/>
    <w:rsid w:val="00C643C5"/>
    <w:rsid w:val="00C64617"/>
    <w:rsid w:val="00C65235"/>
    <w:rsid w:val="00C65662"/>
    <w:rsid w:val="00C65F2B"/>
    <w:rsid w:val="00C6656C"/>
    <w:rsid w:val="00C66D54"/>
    <w:rsid w:val="00C6716E"/>
    <w:rsid w:val="00C672B9"/>
    <w:rsid w:val="00C677E4"/>
    <w:rsid w:val="00C67942"/>
    <w:rsid w:val="00C67A5D"/>
    <w:rsid w:val="00C70370"/>
    <w:rsid w:val="00C70A6A"/>
    <w:rsid w:val="00C71925"/>
    <w:rsid w:val="00C71A97"/>
    <w:rsid w:val="00C72790"/>
    <w:rsid w:val="00C72965"/>
    <w:rsid w:val="00C73DF5"/>
    <w:rsid w:val="00C74A5F"/>
    <w:rsid w:val="00C74ED2"/>
    <w:rsid w:val="00C75E03"/>
    <w:rsid w:val="00C76547"/>
    <w:rsid w:val="00C76973"/>
    <w:rsid w:val="00C76FCC"/>
    <w:rsid w:val="00C77834"/>
    <w:rsid w:val="00C778F9"/>
    <w:rsid w:val="00C77AC1"/>
    <w:rsid w:val="00C80B4A"/>
    <w:rsid w:val="00C80C01"/>
    <w:rsid w:val="00C814B6"/>
    <w:rsid w:val="00C81C6D"/>
    <w:rsid w:val="00C831A0"/>
    <w:rsid w:val="00C842CF"/>
    <w:rsid w:val="00C84740"/>
    <w:rsid w:val="00C84993"/>
    <w:rsid w:val="00C84B31"/>
    <w:rsid w:val="00C851EB"/>
    <w:rsid w:val="00C85AD9"/>
    <w:rsid w:val="00C85AFE"/>
    <w:rsid w:val="00C85FDC"/>
    <w:rsid w:val="00C867C2"/>
    <w:rsid w:val="00C86BEF"/>
    <w:rsid w:val="00C86F90"/>
    <w:rsid w:val="00C86F9B"/>
    <w:rsid w:val="00C877BE"/>
    <w:rsid w:val="00C8781B"/>
    <w:rsid w:val="00C87ABA"/>
    <w:rsid w:val="00C87E22"/>
    <w:rsid w:val="00C90175"/>
    <w:rsid w:val="00C919DF"/>
    <w:rsid w:val="00C9234A"/>
    <w:rsid w:val="00C92946"/>
    <w:rsid w:val="00C92B67"/>
    <w:rsid w:val="00C930ED"/>
    <w:rsid w:val="00C9339C"/>
    <w:rsid w:val="00C93801"/>
    <w:rsid w:val="00C93AAD"/>
    <w:rsid w:val="00C94ACE"/>
    <w:rsid w:val="00C95CC8"/>
    <w:rsid w:val="00C9671C"/>
    <w:rsid w:val="00C96A38"/>
    <w:rsid w:val="00C96BFD"/>
    <w:rsid w:val="00C972D8"/>
    <w:rsid w:val="00C97A3E"/>
    <w:rsid w:val="00CA0357"/>
    <w:rsid w:val="00CA036D"/>
    <w:rsid w:val="00CA0991"/>
    <w:rsid w:val="00CA13F1"/>
    <w:rsid w:val="00CA1A3B"/>
    <w:rsid w:val="00CA1AA7"/>
    <w:rsid w:val="00CA2295"/>
    <w:rsid w:val="00CA27F8"/>
    <w:rsid w:val="00CA2850"/>
    <w:rsid w:val="00CA333D"/>
    <w:rsid w:val="00CA388F"/>
    <w:rsid w:val="00CA441B"/>
    <w:rsid w:val="00CA452B"/>
    <w:rsid w:val="00CA55A6"/>
    <w:rsid w:val="00CA5E5B"/>
    <w:rsid w:val="00CA5FB7"/>
    <w:rsid w:val="00CA6534"/>
    <w:rsid w:val="00CA735E"/>
    <w:rsid w:val="00CB0102"/>
    <w:rsid w:val="00CB027B"/>
    <w:rsid w:val="00CB0445"/>
    <w:rsid w:val="00CB0B9B"/>
    <w:rsid w:val="00CB177E"/>
    <w:rsid w:val="00CB1C69"/>
    <w:rsid w:val="00CB2755"/>
    <w:rsid w:val="00CB27C3"/>
    <w:rsid w:val="00CB27CA"/>
    <w:rsid w:val="00CB2CFA"/>
    <w:rsid w:val="00CB308F"/>
    <w:rsid w:val="00CB32A7"/>
    <w:rsid w:val="00CB461D"/>
    <w:rsid w:val="00CB54EC"/>
    <w:rsid w:val="00CB55E9"/>
    <w:rsid w:val="00CB5E88"/>
    <w:rsid w:val="00CB75C2"/>
    <w:rsid w:val="00CB7E72"/>
    <w:rsid w:val="00CC089E"/>
    <w:rsid w:val="00CC0B55"/>
    <w:rsid w:val="00CC154A"/>
    <w:rsid w:val="00CC2326"/>
    <w:rsid w:val="00CC28EF"/>
    <w:rsid w:val="00CC37EF"/>
    <w:rsid w:val="00CC3CA8"/>
    <w:rsid w:val="00CC3DC5"/>
    <w:rsid w:val="00CC3F4A"/>
    <w:rsid w:val="00CC43E8"/>
    <w:rsid w:val="00CC4C22"/>
    <w:rsid w:val="00CC5BC3"/>
    <w:rsid w:val="00CC5D0E"/>
    <w:rsid w:val="00CC6B79"/>
    <w:rsid w:val="00CC6BAB"/>
    <w:rsid w:val="00CC70EC"/>
    <w:rsid w:val="00CC7237"/>
    <w:rsid w:val="00CD0E3C"/>
    <w:rsid w:val="00CD161E"/>
    <w:rsid w:val="00CD196C"/>
    <w:rsid w:val="00CD1EB8"/>
    <w:rsid w:val="00CD27EC"/>
    <w:rsid w:val="00CD297F"/>
    <w:rsid w:val="00CD2990"/>
    <w:rsid w:val="00CD2DAB"/>
    <w:rsid w:val="00CD2E2F"/>
    <w:rsid w:val="00CD34C6"/>
    <w:rsid w:val="00CD46BF"/>
    <w:rsid w:val="00CD47B3"/>
    <w:rsid w:val="00CD500E"/>
    <w:rsid w:val="00CD50DF"/>
    <w:rsid w:val="00CD54AC"/>
    <w:rsid w:val="00CD5788"/>
    <w:rsid w:val="00CD69A5"/>
    <w:rsid w:val="00CD6B1B"/>
    <w:rsid w:val="00CD71CF"/>
    <w:rsid w:val="00CD7723"/>
    <w:rsid w:val="00CD7729"/>
    <w:rsid w:val="00CE1C7B"/>
    <w:rsid w:val="00CE1D35"/>
    <w:rsid w:val="00CE1D7D"/>
    <w:rsid w:val="00CE1F49"/>
    <w:rsid w:val="00CE2AE0"/>
    <w:rsid w:val="00CE2F5E"/>
    <w:rsid w:val="00CE48B8"/>
    <w:rsid w:val="00CE48C6"/>
    <w:rsid w:val="00CE57B7"/>
    <w:rsid w:val="00CE59AF"/>
    <w:rsid w:val="00CE5A5B"/>
    <w:rsid w:val="00CE74F4"/>
    <w:rsid w:val="00CE7597"/>
    <w:rsid w:val="00CF0B40"/>
    <w:rsid w:val="00CF0CA1"/>
    <w:rsid w:val="00CF145E"/>
    <w:rsid w:val="00CF296C"/>
    <w:rsid w:val="00CF30B4"/>
    <w:rsid w:val="00CF33A3"/>
    <w:rsid w:val="00CF3CFA"/>
    <w:rsid w:val="00CF4139"/>
    <w:rsid w:val="00CF464D"/>
    <w:rsid w:val="00CF530D"/>
    <w:rsid w:val="00CF5DA0"/>
    <w:rsid w:val="00CF6080"/>
    <w:rsid w:val="00CF685C"/>
    <w:rsid w:val="00CF6E11"/>
    <w:rsid w:val="00CF7666"/>
    <w:rsid w:val="00D00196"/>
    <w:rsid w:val="00D0068B"/>
    <w:rsid w:val="00D00C70"/>
    <w:rsid w:val="00D012D0"/>
    <w:rsid w:val="00D0259A"/>
    <w:rsid w:val="00D025B3"/>
    <w:rsid w:val="00D04180"/>
    <w:rsid w:val="00D0569A"/>
    <w:rsid w:val="00D05B25"/>
    <w:rsid w:val="00D05D17"/>
    <w:rsid w:val="00D05E3A"/>
    <w:rsid w:val="00D06607"/>
    <w:rsid w:val="00D076C6"/>
    <w:rsid w:val="00D079D5"/>
    <w:rsid w:val="00D07D88"/>
    <w:rsid w:val="00D1022F"/>
    <w:rsid w:val="00D10461"/>
    <w:rsid w:val="00D10662"/>
    <w:rsid w:val="00D11BFC"/>
    <w:rsid w:val="00D125E0"/>
    <w:rsid w:val="00D12E99"/>
    <w:rsid w:val="00D1377B"/>
    <w:rsid w:val="00D14078"/>
    <w:rsid w:val="00D14CBC"/>
    <w:rsid w:val="00D14D19"/>
    <w:rsid w:val="00D14DB6"/>
    <w:rsid w:val="00D1518A"/>
    <w:rsid w:val="00D15741"/>
    <w:rsid w:val="00D15DAA"/>
    <w:rsid w:val="00D17C0F"/>
    <w:rsid w:val="00D17CEF"/>
    <w:rsid w:val="00D20061"/>
    <w:rsid w:val="00D2193B"/>
    <w:rsid w:val="00D21CE4"/>
    <w:rsid w:val="00D22652"/>
    <w:rsid w:val="00D22AEB"/>
    <w:rsid w:val="00D22B22"/>
    <w:rsid w:val="00D23F92"/>
    <w:rsid w:val="00D256DB"/>
    <w:rsid w:val="00D25ED5"/>
    <w:rsid w:val="00D265AC"/>
    <w:rsid w:val="00D2679C"/>
    <w:rsid w:val="00D279DE"/>
    <w:rsid w:val="00D27DA2"/>
    <w:rsid w:val="00D30426"/>
    <w:rsid w:val="00D30F9A"/>
    <w:rsid w:val="00D3149A"/>
    <w:rsid w:val="00D31C07"/>
    <w:rsid w:val="00D31FB0"/>
    <w:rsid w:val="00D32198"/>
    <w:rsid w:val="00D32486"/>
    <w:rsid w:val="00D32D5E"/>
    <w:rsid w:val="00D333F0"/>
    <w:rsid w:val="00D33B22"/>
    <w:rsid w:val="00D34C92"/>
    <w:rsid w:val="00D34CBA"/>
    <w:rsid w:val="00D35148"/>
    <w:rsid w:val="00D35EC0"/>
    <w:rsid w:val="00D365A1"/>
    <w:rsid w:val="00D36903"/>
    <w:rsid w:val="00D36B4E"/>
    <w:rsid w:val="00D37FD0"/>
    <w:rsid w:val="00D40076"/>
    <w:rsid w:val="00D402E5"/>
    <w:rsid w:val="00D41363"/>
    <w:rsid w:val="00D41503"/>
    <w:rsid w:val="00D41C5F"/>
    <w:rsid w:val="00D426A5"/>
    <w:rsid w:val="00D434A8"/>
    <w:rsid w:val="00D435CE"/>
    <w:rsid w:val="00D43DC5"/>
    <w:rsid w:val="00D4472E"/>
    <w:rsid w:val="00D44BFD"/>
    <w:rsid w:val="00D45798"/>
    <w:rsid w:val="00D45F1C"/>
    <w:rsid w:val="00D4633C"/>
    <w:rsid w:val="00D46792"/>
    <w:rsid w:val="00D475A0"/>
    <w:rsid w:val="00D47CCA"/>
    <w:rsid w:val="00D50046"/>
    <w:rsid w:val="00D5070E"/>
    <w:rsid w:val="00D510E5"/>
    <w:rsid w:val="00D5244D"/>
    <w:rsid w:val="00D5267A"/>
    <w:rsid w:val="00D52F7B"/>
    <w:rsid w:val="00D53289"/>
    <w:rsid w:val="00D53431"/>
    <w:rsid w:val="00D539EA"/>
    <w:rsid w:val="00D5520E"/>
    <w:rsid w:val="00D55885"/>
    <w:rsid w:val="00D55DAB"/>
    <w:rsid w:val="00D577B9"/>
    <w:rsid w:val="00D60102"/>
    <w:rsid w:val="00D60616"/>
    <w:rsid w:val="00D60C8E"/>
    <w:rsid w:val="00D60CDD"/>
    <w:rsid w:val="00D61436"/>
    <w:rsid w:val="00D61B90"/>
    <w:rsid w:val="00D6202F"/>
    <w:rsid w:val="00D6257D"/>
    <w:rsid w:val="00D62B65"/>
    <w:rsid w:val="00D62C51"/>
    <w:rsid w:val="00D62F3C"/>
    <w:rsid w:val="00D636DD"/>
    <w:rsid w:val="00D63F8C"/>
    <w:rsid w:val="00D642FA"/>
    <w:rsid w:val="00D6479E"/>
    <w:rsid w:val="00D6482E"/>
    <w:rsid w:val="00D64DC6"/>
    <w:rsid w:val="00D64DDF"/>
    <w:rsid w:val="00D655D7"/>
    <w:rsid w:val="00D670AB"/>
    <w:rsid w:val="00D67409"/>
    <w:rsid w:val="00D67483"/>
    <w:rsid w:val="00D67A8F"/>
    <w:rsid w:val="00D7095F"/>
    <w:rsid w:val="00D70E6F"/>
    <w:rsid w:val="00D71732"/>
    <w:rsid w:val="00D71E60"/>
    <w:rsid w:val="00D7381B"/>
    <w:rsid w:val="00D73B2A"/>
    <w:rsid w:val="00D73D01"/>
    <w:rsid w:val="00D73FED"/>
    <w:rsid w:val="00D747B7"/>
    <w:rsid w:val="00D76815"/>
    <w:rsid w:val="00D76AE9"/>
    <w:rsid w:val="00D77A11"/>
    <w:rsid w:val="00D80711"/>
    <w:rsid w:val="00D812A3"/>
    <w:rsid w:val="00D81641"/>
    <w:rsid w:val="00D82210"/>
    <w:rsid w:val="00D8254E"/>
    <w:rsid w:val="00D82C62"/>
    <w:rsid w:val="00D82E3D"/>
    <w:rsid w:val="00D82FA0"/>
    <w:rsid w:val="00D831BA"/>
    <w:rsid w:val="00D831CB"/>
    <w:rsid w:val="00D83D2A"/>
    <w:rsid w:val="00D83FBE"/>
    <w:rsid w:val="00D845F2"/>
    <w:rsid w:val="00D84AEF"/>
    <w:rsid w:val="00D85495"/>
    <w:rsid w:val="00D8574A"/>
    <w:rsid w:val="00D85D03"/>
    <w:rsid w:val="00D86425"/>
    <w:rsid w:val="00D8678B"/>
    <w:rsid w:val="00D920E2"/>
    <w:rsid w:val="00D927DA"/>
    <w:rsid w:val="00D933C0"/>
    <w:rsid w:val="00D93A04"/>
    <w:rsid w:val="00D94BB3"/>
    <w:rsid w:val="00D950E6"/>
    <w:rsid w:val="00D95306"/>
    <w:rsid w:val="00D95498"/>
    <w:rsid w:val="00D957F5"/>
    <w:rsid w:val="00D95E23"/>
    <w:rsid w:val="00D95E93"/>
    <w:rsid w:val="00D9648B"/>
    <w:rsid w:val="00D96C4D"/>
    <w:rsid w:val="00D96CD7"/>
    <w:rsid w:val="00D96FE6"/>
    <w:rsid w:val="00D97F45"/>
    <w:rsid w:val="00DA011C"/>
    <w:rsid w:val="00DA3630"/>
    <w:rsid w:val="00DA3BD8"/>
    <w:rsid w:val="00DA4245"/>
    <w:rsid w:val="00DA5514"/>
    <w:rsid w:val="00DA580C"/>
    <w:rsid w:val="00DA5FAA"/>
    <w:rsid w:val="00DA66C3"/>
    <w:rsid w:val="00DA6A6D"/>
    <w:rsid w:val="00DA6C1D"/>
    <w:rsid w:val="00DA6F7C"/>
    <w:rsid w:val="00DA7BDD"/>
    <w:rsid w:val="00DB00CC"/>
    <w:rsid w:val="00DB060A"/>
    <w:rsid w:val="00DB0BC7"/>
    <w:rsid w:val="00DB0DED"/>
    <w:rsid w:val="00DB1C2C"/>
    <w:rsid w:val="00DB1C89"/>
    <w:rsid w:val="00DB2037"/>
    <w:rsid w:val="00DB241A"/>
    <w:rsid w:val="00DB2CE7"/>
    <w:rsid w:val="00DB36D3"/>
    <w:rsid w:val="00DB38AF"/>
    <w:rsid w:val="00DB38B5"/>
    <w:rsid w:val="00DB437B"/>
    <w:rsid w:val="00DB4C89"/>
    <w:rsid w:val="00DB4CD0"/>
    <w:rsid w:val="00DB55C3"/>
    <w:rsid w:val="00DB6364"/>
    <w:rsid w:val="00DB7098"/>
    <w:rsid w:val="00DB7A88"/>
    <w:rsid w:val="00DB7B1C"/>
    <w:rsid w:val="00DB7DE3"/>
    <w:rsid w:val="00DC004A"/>
    <w:rsid w:val="00DC0059"/>
    <w:rsid w:val="00DC0263"/>
    <w:rsid w:val="00DC116F"/>
    <w:rsid w:val="00DC137E"/>
    <w:rsid w:val="00DC1B4A"/>
    <w:rsid w:val="00DC1E27"/>
    <w:rsid w:val="00DC1F09"/>
    <w:rsid w:val="00DC2340"/>
    <w:rsid w:val="00DC2E13"/>
    <w:rsid w:val="00DC3552"/>
    <w:rsid w:val="00DC3873"/>
    <w:rsid w:val="00DC3EF5"/>
    <w:rsid w:val="00DC4030"/>
    <w:rsid w:val="00DC5472"/>
    <w:rsid w:val="00DC55C4"/>
    <w:rsid w:val="00DC5D1F"/>
    <w:rsid w:val="00DC759F"/>
    <w:rsid w:val="00DC7BD3"/>
    <w:rsid w:val="00DD05DC"/>
    <w:rsid w:val="00DD097E"/>
    <w:rsid w:val="00DD0E99"/>
    <w:rsid w:val="00DD11F8"/>
    <w:rsid w:val="00DD2E83"/>
    <w:rsid w:val="00DD34C3"/>
    <w:rsid w:val="00DD3ACF"/>
    <w:rsid w:val="00DD3BBE"/>
    <w:rsid w:val="00DD3D13"/>
    <w:rsid w:val="00DD3E94"/>
    <w:rsid w:val="00DD43CE"/>
    <w:rsid w:val="00DD5167"/>
    <w:rsid w:val="00DD582A"/>
    <w:rsid w:val="00DD5A4E"/>
    <w:rsid w:val="00DD6AA0"/>
    <w:rsid w:val="00DD72AB"/>
    <w:rsid w:val="00DD7913"/>
    <w:rsid w:val="00DD7C2B"/>
    <w:rsid w:val="00DD7D71"/>
    <w:rsid w:val="00DD7DAD"/>
    <w:rsid w:val="00DE0318"/>
    <w:rsid w:val="00DE03F1"/>
    <w:rsid w:val="00DE08AF"/>
    <w:rsid w:val="00DE0CD7"/>
    <w:rsid w:val="00DE2A7C"/>
    <w:rsid w:val="00DE3267"/>
    <w:rsid w:val="00DE3580"/>
    <w:rsid w:val="00DE41E2"/>
    <w:rsid w:val="00DE4359"/>
    <w:rsid w:val="00DE439F"/>
    <w:rsid w:val="00DE4BC5"/>
    <w:rsid w:val="00DE4F2C"/>
    <w:rsid w:val="00DE51AF"/>
    <w:rsid w:val="00DE5406"/>
    <w:rsid w:val="00DE54C8"/>
    <w:rsid w:val="00DE57BF"/>
    <w:rsid w:val="00DE6849"/>
    <w:rsid w:val="00DE6BCB"/>
    <w:rsid w:val="00DE73BD"/>
    <w:rsid w:val="00DF01B4"/>
    <w:rsid w:val="00DF0714"/>
    <w:rsid w:val="00DF1A46"/>
    <w:rsid w:val="00DF1D3F"/>
    <w:rsid w:val="00DF2010"/>
    <w:rsid w:val="00DF2117"/>
    <w:rsid w:val="00DF21DA"/>
    <w:rsid w:val="00DF2328"/>
    <w:rsid w:val="00DF24BA"/>
    <w:rsid w:val="00DF2A80"/>
    <w:rsid w:val="00DF2CDC"/>
    <w:rsid w:val="00DF2FBB"/>
    <w:rsid w:val="00DF3B64"/>
    <w:rsid w:val="00DF4860"/>
    <w:rsid w:val="00DF49CB"/>
    <w:rsid w:val="00DF4D0C"/>
    <w:rsid w:val="00DF53B5"/>
    <w:rsid w:val="00DF6B7B"/>
    <w:rsid w:val="00DF6CDD"/>
    <w:rsid w:val="00DF6E25"/>
    <w:rsid w:val="00DF77EC"/>
    <w:rsid w:val="00DF7B92"/>
    <w:rsid w:val="00E00C4F"/>
    <w:rsid w:val="00E01EDA"/>
    <w:rsid w:val="00E01EDF"/>
    <w:rsid w:val="00E01F82"/>
    <w:rsid w:val="00E02132"/>
    <w:rsid w:val="00E0265A"/>
    <w:rsid w:val="00E02B34"/>
    <w:rsid w:val="00E03533"/>
    <w:rsid w:val="00E03C80"/>
    <w:rsid w:val="00E042DC"/>
    <w:rsid w:val="00E0577A"/>
    <w:rsid w:val="00E059B7"/>
    <w:rsid w:val="00E059FF"/>
    <w:rsid w:val="00E07FCB"/>
    <w:rsid w:val="00E10E78"/>
    <w:rsid w:val="00E1159F"/>
    <w:rsid w:val="00E11A50"/>
    <w:rsid w:val="00E12025"/>
    <w:rsid w:val="00E1222E"/>
    <w:rsid w:val="00E1328B"/>
    <w:rsid w:val="00E14437"/>
    <w:rsid w:val="00E145B8"/>
    <w:rsid w:val="00E149D9"/>
    <w:rsid w:val="00E14DC6"/>
    <w:rsid w:val="00E151E4"/>
    <w:rsid w:val="00E16635"/>
    <w:rsid w:val="00E16653"/>
    <w:rsid w:val="00E16913"/>
    <w:rsid w:val="00E1733C"/>
    <w:rsid w:val="00E1749C"/>
    <w:rsid w:val="00E17FA3"/>
    <w:rsid w:val="00E2010F"/>
    <w:rsid w:val="00E20320"/>
    <w:rsid w:val="00E20794"/>
    <w:rsid w:val="00E20AD8"/>
    <w:rsid w:val="00E215BE"/>
    <w:rsid w:val="00E21625"/>
    <w:rsid w:val="00E218CE"/>
    <w:rsid w:val="00E218E8"/>
    <w:rsid w:val="00E22016"/>
    <w:rsid w:val="00E22203"/>
    <w:rsid w:val="00E224CC"/>
    <w:rsid w:val="00E238C6"/>
    <w:rsid w:val="00E23C5D"/>
    <w:rsid w:val="00E24578"/>
    <w:rsid w:val="00E245ED"/>
    <w:rsid w:val="00E24E6C"/>
    <w:rsid w:val="00E25257"/>
    <w:rsid w:val="00E2588C"/>
    <w:rsid w:val="00E27007"/>
    <w:rsid w:val="00E27296"/>
    <w:rsid w:val="00E27EFB"/>
    <w:rsid w:val="00E30C3B"/>
    <w:rsid w:val="00E31679"/>
    <w:rsid w:val="00E32CF9"/>
    <w:rsid w:val="00E32EC9"/>
    <w:rsid w:val="00E332EF"/>
    <w:rsid w:val="00E33E7A"/>
    <w:rsid w:val="00E33EC8"/>
    <w:rsid w:val="00E349C1"/>
    <w:rsid w:val="00E34A43"/>
    <w:rsid w:val="00E3594F"/>
    <w:rsid w:val="00E3633A"/>
    <w:rsid w:val="00E364E5"/>
    <w:rsid w:val="00E367A6"/>
    <w:rsid w:val="00E36CC4"/>
    <w:rsid w:val="00E36EF5"/>
    <w:rsid w:val="00E376A1"/>
    <w:rsid w:val="00E37746"/>
    <w:rsid w:val="00E37807"/>
    <w:rsid w:val="00E37A69"/>
    <w:rsid w:val="00E37CB7"/>
    <w:rsid w:val="00E402FA"/>
    <w:rsid w:val="00E405F6"/>
    <w:rsid w:val="00E4285F"/>
    <w:rsid w:val="00E4325F"/>
    <w:rsid w:val="00E43294"/>
    <w:rsid w:val="00E434E9"/>
    <w:rsid w:val="00E435DF"/>
    <w:rsid w:val="00E43DB6"/>
    <w:rsid w:val="00E441DD"/>
    <w:rsid w:val="00E444CA"/>
    <w:rsid w:val="00E448EC"/>
    <w:rsid w:val="00E44DF4"/>
    <w:rsid w:val="00E4519D"/>
    <w:rsid w:val="00E457A6"/>
    <w:rsid w:val="00E45A0A"/>
    <w:rsid w:val="00E463F6"/>
    <w:rsid w:val="00E468AF"/>
    <w:rsid w:val="00E47020"/>
    <w:rsid w:val="00E4703D"/>
    <w:rsid w:val="00E50870"/>
    <w:rsid w:val="00E50BF5"/>
    <w:rsid w:val="00E50E7D"/>
    <w:rsid w:val="00E50F5B"/>
    <w:rsid w:val="00E5111F"/>
    <w:rsid w:val="00E511DB"/>
    <w:rsid w:val="00E512C3"/>
    <w:rsid w:val="00E5174B"/>
    <w:rsid w:val="00E51E71"/>
    <w:rsid w:val="00E51ECB"/>
    <w:rsid w:val="00E51F0D"/>
    <w:rsid w:val="00E52DEB"/>
    <w:rsid w:val="00E53ADA"/>
    <w:rsid w:val="00E549A6"/>
    <w:rsid w:val="00E54CC4"/>
    <w:rsid w:val="00E556E5"/>
    <w:rsid w:val="00E55A78"/>
    <w:rsid w:val="00E60CDF"/>
    <w:rsid w:val="00E60EEF"/>
    <w:rsid w:val="00E616F3"/>
    <w:rsid w:val="00E617FF"/>
    <w:rsid w:val="00E61F42"/>
    <w:rsid w:val="00E6258E"/>
    <w:rsid w:val="00E62AE0"/>
    <w:rsid w:val="00E62CA3"/>
    <w:rsid w:val="00E62CB7"/>
    <w:rsid w:val="00E6310C"/>
    <w:rsid w:val="00E631B0"/>
    <w:rsid w:val="00E63D1B"/>
    <w:rsid w:val="00E640ED"/>
    <w:rsid w:val="00E649FC"/>
    <w:rsid w:val="00E65DF1"/>
    <w:rsid w:val="00E661DE"/>
    <w:rsid w:val="00E66CA6"/>
    <w:rsid w:val="00E66D35"/>
    <w:rsid w:val="00E7080C"/>
    <w:rsid w:val="00E708F9"/>
    <w:rsid w:val="00E70A37"/>
    <w:rsid w:val="00E71961"/>
    <w:rsid w:val="00E720ED"/>
    <w:rsid w:val="00E73466"/>
    <w:rsid w:val="00E736D3"/>
    <w:rsid w:val="00E752C6"/>
    <w:rsid w:val="00E7544F"/>
    <w:rsid w:val="00E7557F"/>
    <w:rsid w:val="00E75753"/>
    <w:rsid w:val="00E75E6E"/>
    <w:rsid w:val="00E75F6C"/>
    <w:rsid w:val="00E775B0"/>
    <w:rsid w:val="00E77644"/>
    <w:rsid w:val="00E7770E"/>
    <w:rsid w:val="00E77FAA"/>
    <w:rsid w:val="00E80090"/>
    <w:rsid w:val="00E803F5"/>
    <w:rsid w:val="00E807AD"/>
    <w:rsid w:val="00E80FCB"/>
    <w:rsid w:val="00E811CE"/>
    <w:rsid w:val="00E82B7D"/>
    <w:rsid w:val="00E82EF7"/>
    <w:rsid w:val="00E83B7B"/>
    <w:rsid w:val="00E84C85"/>
    <w:rsid w:val="00E85915"/>
    <w:rsid w:val="00E85B14"/>
    <w:rsid w:val="00E86219"/>
    <w:rsid w:val="00E87247"/>
    <w:rsid w:val="00E8725A"/>
    <w:rsid w:val="00E90131"/>
    <w:rsid w:val="00E90B2F"/>
    <w:rsid w:val="00E90BC7"/>
    <w:rsid w:val="00E90F78"/>
    <w:rsid w:val="00E90F9C"/>
    <w:rsid w:val="00E91098"/>
    <w:rsid w:val="00E91754"/>
    <w:rsid w:val="00E91F92"/>
    <w:rsid w:val="00E928A9"/>
    <w:rsid w:val="00E92C62"/>
    <w:rsid w:val="00E93D9F"/>
    <w:rsid w:val="00E93F39"/>
    <w:rsid w:val="00E94F81"/>
    <w:rsid w:val="00E95230"/>
    <w:rsid w:val="00E95CD5"/>
    <w:rsid w:val="00E95D74"/>
    <w:rsid w:val="00E9628E"/>
    <w:rsid w:val="00E969D7"/>
    <w:rsid w:val="00E96C13"/>
    <w:rsid w:val="00E96DD4"/>
    <w:rsid w:val="00E97199"/>
    <w:rsid w:val="00E9719C"/>
    <w:rsid w:val="00E9740C"/>
    <w:rsid w:val="00E97C0D"/>
    <w:rsid w:val="00EA0D20"/>
    <w:rsid w:val="00EA147D"/>
    <w:rsid w:val="00EA22E9"/>
    <w:rsid w:val="00EA23E9"/>
    <w:rsid w:val="00EA279E"/>
    <w:rsid w:val="00EA3284"/>
    <w:rsid w:val="00EA3466"/>
    <w:rsid w:val="00EA3524"/>
    <w:rsid w:val="00EA53E3"/>
    <w:rsid w:val="00EA5CDD"/>
    <w:rsid w:val="00EA6D1A"/>
    <w:rsid w:val="00EA6DA7"/>
    <w:rsid w:val="00EA75BC"/>
    <w:rsid w:val="00EA791E"/>
    <w:rsid w:val="00EA7BE9"/>
    <w:rsid w:val="00EB0304"/>
    <w:rsid w:val="00EB05EB"/>
    <w:rsid w:val="00EB1289"/>
    <w:rsid w:val="00EB21E8"/>
    <w:rsid w:val="00EB282B"/>
    <w:rsid w:val="00EB343E"/>
    <w:rsid w:val="00EB38B9"/>
    <w:rsid w:val="00EB3D4C"/>
    <w:rsid w:val="00EB44AA"/>
    <w:rsid w:val="00EB4659"/>
    <w:rsid w:val="00EB479D"/>
    <w:rsid w:val="00EB5508"/>
    <w:rsid w:val="00EB5C07"/>
    <w:rsid w:val="00EB5D43"/>
    <w:rsid w:val="00EB62FA"/>
    <w:rsid w:val="00EB65F7"/>
    <w:rsid w:val="00EB6F77"/>
    <w:rsid w:val="00EB7136"/>
    <w:rsid w:val="00EB7140"/>
    <w:rsid w:val="00EB71FD"/>
    <w:rsid w:val="00EC042F"/>
    <w:rsid w:val="00EC0476"/>
    <w:rsid w:val="00EC0FBC"/>
    <w:rsid w:val="00EC213B"/>
    <w:rsid w:val="00EC21BC"/>
    <w:rsid w:val="00EC2B2A"/>
    <w:rsid w:val="00EC2DFF"/>
    <w:rsid w:val="00EC353F"/>
    <w:rsid w:val="00EC38CB"/>
    <w:rsid w:val="00EC3B88"/>
    <w:rsid w:val="00EC3E6A"/>
    <w:rsid w:val="00EC3E98"/>
    <w:rsid w:val="00EC3EEC"/>
    <w:rsid w:val="00EC3FFA"/>
    <w:rsid w:val="00EC4352"/>
    <w:rsid w:val="00EC4444"/>
    <w:rsid w:val="00EC45B4"/>
    <w:rsid w:val="00EC46F3"/>
    <w:rsid w:val="00EC4B90"/>
    <w:rsid w:val="00EC501F"/>
    <w:rsid w:val="00EC508B"/>
    <w:rsid w:val="00EC56AB"/>
    <w:rsid w:val="00EC62FD"/>
    <w:rsid w:val="00EC6423"/>
    <w:rsid w:val="00EC6569"/>
    <w:rsid w:val="00EC70B9"/>
    <w:rsid w:val="00EC7171"/>
    <w:rsid w:val="00EC71B7"/>
    <w:rsid w:val="00EC73B2"/>
    <w:rsid w:val="00EC7BD5"/>
    <w:rsid w:val="00ED031D"/>
    <w:rsid w:val="00ED070E"/>
    <w:rsid w:val="00ED0A14"/>
    <w:rsid w:val="00ED0F94"/>
    <w:rsid w:val="00ED10AB"/>
    <w:rsid w:val="00ED114A"/>
    <w:rsid w:val="00ED1EEC"/>
    <w:rsid w:val="00ED219D"/>
    <w:rsid w:val="00ED229F"/>
    <w:rsid w:val="00ED2A2F"/>
    <w:rsid w:val="00ED2FC4"/>
    <w:rsid w:val="00ED34B8"/>
    <w:rsid w:val="00ED38FF"/>
    <w:rsid w:val="00ED3FF9"/>
    <w:rsid w:val="00ED4391"/>
    <w:rsid w:val="00ED46A9"/>
    <w:rsid w:val="00ED4BCD"/>
    <w:rsid w:val="00ED5110"/>
    <w:rsid w:val="00ED5C5C"/>
    <w:rsid w:val="00ED60F3"/>
    <w:rsid w:val="00ED652B"/>
    <w:rsid w:val="00ED659F"/>
    <w:rsid w:val="00ED675E"/>
    <w:rsid w:val="00ED6B8D"/>
    <w:rsid w:val="00ED708E"/>
    <w:rsid w:val="00EE04DA"/>
    <w:rsid w:val="00EE07B2"/>
    <w:rsid w:val="00EE284D"/>
    <w:rsid w:val="00EE3037"/>
    <w:rsid w:val="00EE39B9"/>
    <w:rsid w:val="00EE4A29"/>
    <w:rsid w:val="00EE503A"/>
    <w:rsid w:val="00EE5106"/>
    <w:rsid w:val="00EE5260"/>
    <w:rsid w:val="00EE5305"/>
    <w:rsid w:val="00EE58CA"/>
    <w:rsid w:val="00EE6FF9"/>
    <w:rsid w:val="00EE788D"/>
    <w:rsid w:val="00EE7A2B"/>
    <w:rsid w:val="00EF0D6B"/>
    <w:rsid w:val="00EF0E76"/>
    <w:rsid w:val="00EF0E8E"/>
    <w:rsid w:val="00EF11A8"/>
    <w:rsid w:val="00EF27EC"/>
    <w:rsid w:val="00EF2ECC"/>
    <w:rsid w:val="00EF36F6"/>
    <w:rsid w:val="00EF3D7A"/>
    <w:rsid w:val="00EF4726"/>
    <w:rsid w:val="00EF4A0D"/>
    <w:rsid w:val="00EF53D3"/>
    <w:rsid w:val="00EF6CDC"/>
    <w:rsid w:val="00EF70B7"/>
    <w:rsid w:val="00EF7102"/>
    <w:rsid w:val="00EF78EB"/>
    <w:rsid w:val="00F000DB"/>
    <w:rsid w:val="00F002BB"/>
    <w:rsid w:val="00F00620"/>
    <w:rsid w:val="00F00BA3"/>
    <w:rsid w:val="00F00DA7"/>
    <w:rsid w:val="00F00FE3"/>
    <w:rsid w:val="00F0156F"/>
    <w:rsid w:val="00F02608"/>
    <w:rsid w:val="00F02783"/>
    <w:rsid w:val="00F02C71"/>
    <w:rsid w:val="00F02D7E"/>
    <w:rsid w:val="00F032A2"/>
    <w:rsid w:val="00F044D0"/>
    <w:rsid w:val="00F04D64"/>
    <w:rsid w:val="00F04FCD"/>
    <w:rsid w:val="00F0580F"/>
    <w:rsid w:val="00F07603"/>
    <w:rsid w:val="00F07631"/>
    <w:rsid w:val="00F077C4"/>
    <w:rsid w:val="00F106FF"/>
    <w:rsid w:val="00F10AE7"/>
    <w:rsid w:val="00F11985"/>
    <w:rsid w:val="00F1200A"/>
    <w:rsid w:val="00F12113"/>
    <w:rsid w:val="00F12547"/>
    <w:rsid w:val="00F12845"/>
    <w:rsid w:val="00F131EA"/>
    <w:rsid w:val="00F13269"/>
    <w:rsid w:val="00F13369"/>
    <w:rsid w:val="00F13E4A"/>
    <w:rsid w:val="00F14FB6"/>
    <w:rsid w:val="00F15B29"/>
    <w:rsid w:val="00F15B47"/>
    <w:rsid w:val="00F16171"/>
    <w:rsid w:val="00F16758"/>
    <w:rsid w:val="00F1725F"/>
    <w:rsid w:val="00F172EF"/>
    <w:rsid w:val="00F17954"/>
    <w:rsid w:val="00F17BF8"/>
    <w:rsid w:val="00F2019C"/>
    <w:rsid w:val="00F20691"/>
    <w:rsid w:val="00F207D8"/>
    <w:rsid w:val="00F21485"/>
    <w:rsid w:val="00F23007"/>
    <w:rsid w:val="00F23739"/>
    <w:rsid w:val="00F23A99"/>
    <w:rsid w:val="00F23CE5"/>
    <w:rsid w:val="00F23F41"/>
    <w:rsid w:val="00F2412F"/>
    <w:rsid w:val="00F2485C"/>
    <w:rsid w:val="00F24C97"/>
    <w:rsid w:val="00F25FE1"/>
    <w:rsid w:val="00F26D82"/>
    <w:rsid w:val="00F26DB2"/>
    <w:rsid w:val="00F26DF8"/>
    <w:rsid w:val="00F27180"/>
    <w:rsid w:val="00F302ED"/>
    <w:rsid w:val="00F308EF"/>
    <w:rsid w:val="00F32B3D"/>
    <w:rsid w:val="00F32D5A"/>
    <w:rsid w:val="00F33340"/>
    <w:rsid w:val="00F33997"/>
    <w:rsid w:val="00F343B4"/>
    <w:rsid w:val="00F34A6A"/>
    <w:rsid w:val="00F34DA2"/>
    <w:rsid w:val="00F35748"/>
    <w:rsid w:val="00F3577F"/>
    <w:rsid w:val="00F35C9E"/>
    <w:rsid w:val="00F370FE"/>
    <w:rsid w:val="00F37F09"/>
    <w:rsid w:val="00F40013"/>
    <w:rsid w:val="00F40B19"/>
    <w:rsid w:val="00F40D1A"/>
    <w:rsid w:val="00F40FEE"/>
    <w:rsid w:val="00F410E4"/>
    <w:rsid w:val="00F41256"/>
    <w:rsid w:val="00F4139B"/>
    <w:rsid w:val="00F4183E"/>
    <w:rsid w:val="00F41FFC"/>
    <w:rsid w:val="00F42FDB"/>
    <w:rsid w:val="00F435C9"/>
    <w:rsid w:val="00F43D15"/>
    <w:rsid w:val="00F44F09"/>
    <w:rsid w:val="00F4505C"/>
    <w:rsid w:val="00F461DF"/>
    <w:rsid w:val="00F472DE"/>
    <w:rsid w:val="00F47738"/>
    <w:rsid w:val="00F478DB"/>
    <w:rsid w:val="00F50734"/>
    <w:rsid w:val="00F50D14"/>
    <w:rsid w:val="00F51441"/>
    <w:rsid w:val="00F51609"/>
    <w:rsid w:val="00F51958"/>
    <w:rsid w:val="00F5224F"/>
    <w:rsid w:val="00F52581"/>
    <w:rsid w:val="00F52F8F"/>
    <w:rsid w:val="00F53D83"/>
    <w:rsid w:val="00F53E50"/>
    <w:rsid w:val="00F53EFC"/>
    <w:rsid w:val="00F53FB2"/>
    <w:rsid w:val="00F545CC"/>
    <w:rsid w:val="00F54BA3"/>
    <w:rsid w:val="00F54EA9"/>
    <w:rsid w:val="00F55A4C"/>
    <w:rsid w:val="00F560E5"/>
    <w:rsid w:val="00F56879"/>
    <w:rsid w:val="00F56900"/>
    <w:rsid w:val="00F56977"/>
    <w:rsid w:val="00F56FF8"/>
    <w:rsid w:val="00F57758"/>
    <w:rsid w:val="00F6042B"/>
    <w:rsid w:val="00F60DEA"/>
    <w:rsid w:val="00F6118C"/>
    <w:rsid w:val="00F611C7"/>
    <w:rsid w:val="00F612AD"/>
    <w:rsid w:val="00F61909"/>
    <w:rsid w:val="00F62026"/>
    <w:rsid w:val="00F62A71"/>
    <w:rsid w:val="00F63123"/>
    <w:rsid w:val="00F63E36"/>
    <w:rsid w:val="00F6431E"/>
    <w:rsid w:val="00F64D53"/>
    <w:rsid w:val="00F651E1"/>
    <w:rsid w:val="00F652EA"/>
    <w:rsid w:val="00F65F8B"/>
    <w:rsid w:val="00F6649B"/>
    <w:rsid w:val="00F667B0"/>
    <w:rsid w:val="00F66E1F"/>
    <w:rsid w:val="00F67567"/>
    <w:rsid w:val="00F7229A"/>
    <w:rsid w:val="00F72C84"/>
    <w:rsid w:val="00F72FFB"/>
    <w:rsid w:val="00F73084"/>
    <w:rsid w:val="00F7387C"/>
    <w:rsid w:val="00F74786"/>
    <w:rsid w:val="00F7491C"/>
    <w:rsid w:val="00F7597A"/>
    <w:rsid w:val="00F76300"/>
    <w:rsid w:val="00F7632F"/>
    <w:rsid w:val="00F7670D"/>
    <w:rsid w:val="00F7688F"/>
    <w:rsid w:val="00F76A46"/>
    <w:rsid w:val="00F77183"/>
    <w:rsid w:val="00F77932"/>
    <w:rsid w:val="00F7799F"/>
    <w:rsid w:val="00F77CE4"/>
    <w:rsid w:val="00F800E1"/>
    <w:rsid w:val="00F8061D"/>
    <w:rsid w:val="00F810E8"/>
    <w:rsid w:val="00F8127D"/>
    <w:rsid w:val="00F81F7A"/>
    <w:rsid w:val="00F8219C"/>
    <w:rsid w:val="00F82C8B"/>
    <w:rsid w:val="00F82DB1"/>
    <w:rsid w:val="00F83090"/>
    <w:rsid w:val="00F83202"/>
    <w:rsid w:val="00F8338D"/>
    <w:rsid w:val="00F83BB8"/>
    <w:rsid w:val="00F84079"/>
    <w:rsid w:val="00F840AD"/>
    <w:rsid w:val="00F8482A"/>
    <w:rsid w:val="00F84F0F"/>
    <w:rsid w:val="00F85D87"/>
    <w:rsid w:val="00F85D93"/>
    <w:rsid w:val="00F86B82"/>
    <w:rsid w:val="00F86E2C"/>
    <w:rsid w:val="00F87071"/>
    <w:rsid w:val="00F87311"/>
    <w:rsid w:val="00F877AE"/>
    <w:rsid w:val="00F87818"/>
    <w:rsid w:val="00F87C24"/>
    <w:rsid w:val="00F87CF8"/>
    <w:rsid w:val="00F90C52"/>
    <w:rsid w:val="00F90E7B"/>
    <w:rsid w:val="00F91C1D"/>
    <w:rsid w:val="00F91C1F"/>
    <w:rsid w:val="00F92705"/>
    <w:rsid w:val="00F93753"/>
    <w:rsid w:val="00F93CC9"/>
    <w:rsid w:val="00F9418D"/>
    <w:rsid w:val="00F94726"/>
    <w:rsid w:val="00F94893"/>
    <w:rsid w:val="00F94E5B"/>
    <w:rsid w:val="00F94F32"/>
    <w:rsid w:val="00F9525B"/>
    <w:rsid w:val="00F9666B"/>
    <w:rsid w:val="00F96D0E"/>
    <w:rsid w:val="00F975A4"/>
    <w:rsid w:val="00F97B01"/>
    <w:rsid w:val="00FA0149"/>
    <w:rsid w:val="00FA01ED"/>
    <w:rsid w:val="00FA14BB"/>
    <w:rsid w:val="00FA191C"/>
    <w:rsid w:val="00FA1C5E"/>
    <w:rsid w:val="00FA1E1A"/>
    <w:rsid w:val="00FA1F6A"/>
    <w:rsid w:val="00FA240A"/>
    <w:rsid w:val="00FA281C"/>
    <w:rsid w:val="00FA2859"/>
    <w:rsid w:val="00FA4217"/>
    <w:rsid w:val="00FA4534"/>
    <w:rsid w:val="00FA53E9"/>
    <w:rsid w:val="00FA5846"/>
    <w:rsid w:val="00FA5DA1"/>
    <w:rsid w:val="00FA5E0C"/>
    <w:rsid w:val="00FA5E7E"/>
    <w:rsid w:val="00FA5F93"/>
    <w:rsid w:val="00FA6DE6"/>
    <w:rsid w:val="00FA6FC7"/>
    <w:rsid w:val="00FA7322"/>
    <w:rsid w:val="00FA74EE"/>
    <w:rsid w:val="00FA780A"/>
    <w:rsid w:val="00FA7887"/>
    <w:rsid w:val="00FB0C0D"/>
    <w:rsid w:val="00FB0DA9"/>
    <w:rsid w:val="00FB138C"/>
    <w:rsid w:val="00FB17B9"/>
    <w:rsid w:val="00FB1801"/>
    <w:rsid w:val="00FB1CDD"/>
    <w:rsid w:val="00FB26EE"/>
    <w:rsid w:val="00FB2F85"/>
    <w:rsid w:val="00FB387E"/>
    <w:rsid w:val="00FB450F"/>
    <w:rsid w:val="00FB53D1"/>
    <w:rsid w:val="00FB5867"/>
    <w:rsid w:val="00FB5A36"/>
    <w:rsid w:val="00FB60B5"/>
    <w:rsid w:val="00FB650D"/>
    <w:rsid w:val="00FB6EBD"/>
    <w:rsid w:val="00FB706E"/>
    <w:rsid w:val="00FB77D3"/>
    <w:rsid w:val="00FB7D4B"/>
    <w:rsid w:val="00FB7E58"/>
    <w:rsid w:val="00FC00B5"/>
    <w:rsid w:val="00FC0596"/>
    <w:rsid w:val="00FC0909"/>
    <w:rsid w:val="00FC1F50"/>
    <w:rsid w:val="00FC2FF8"/>
    <w:rsid w:val="00FC30D3"/>
    <w:rsid w:val="00FC3270"/>
    <w:rsid w:val="00FC3D90"/>
    <w:rsid w:val="00FC447D"/>
    <w:rsid w:val="00FC44CB"/>
    <w:rsid w:val="00FC61B3"/>
    <w:rsid w:val="00FC669D"/>
    <w:rsid w:val="00FC6E90"/>
    <w:rsid w:val="00FC6FA8"/>
    <w:rsid w:val="00FC6FD5"/>
    <w:rsid w:val="00FC723B"/>
    <w:rsid w:val="00FD05BF"/>
    <w:rsid w:val="00FD0D52"/>
    <w:rsid w:val="00FD0DDE"/>
    <w:rsid w:val="00FD1FA9"/>
    <w:rsid w:val="00FD292D"/>
    <w:rsid w:val="00FD4D69"/>
    <w:rsid w:val="00FD4EEC"/>
    <w:rsid w:val="00FD4FD9"/>
    <w:rsid w:val="00FD56F4"/>
    <w:rsid w:val="00FD6420"/>
    <w:rsid w:val="00FD6C0C"/>
    <w:rsid w:val="00FD7090"/>
    <w:rsid w:val="00FD7859"/>
    <w:rsid w:val="00FD7E4F"/>
    <w:rsid w:val="00FE07EA"/>
    <w:rsid w:val="00FE0A83"/>
    <w:rsid w:val="00FE0D90"/>
    <w:rsid w:val="00FE129C"/>
    <w:rsid w:val="00FE1558"/>
    <w:rsid w:val="00FE1BC1"/>
    <w:rsid w:val="00FE2293"/>
    <w:rsid w:val="00FE265E"/>
    <w:rsid w:val="00FE2AC1"/>
    <w:rsid w:val="00FE2CDA"/>
    <w:rsid w:val="00FE31D2"/>
    <w:rsid w:val="00FE36C7"/>
    <w:rsid w:val="00FE5614"/>
    <w:rsid w:val="00FE5706"/>
    <w:rsid w:val="00FE5862"/>
    <w:rsid w:val="00FE634E"/>
    <w:rsid w:val="00FE664B"/>
    <w:rsid w:val="00FE77D1"/>
    <w:rsid w:val="00FE7A00"/>
    <w:rsid w:val="00FE7A73"/>
    <w:rsid w:val="00FE7CF0"/>
    <w:rsid w:val="00FE7D48"/>
    <w:rsid w:val="00FF00C1"/>
    <w:rsid w:val="00FF0488"/>
    <w:rsid w:val="00FF0568"/>
    <w:rsid w:val="00FF0758"/>
    <w:rsid w:val="00FF0E56"/>
    <w:rsid w:val="00FF1860"/>
    <w:rsid w:val="00FF1C2F"/>
    <w:rsid w:val="00FF254C"/>
    <w:rsid w:val="00FF29B1"/>
    <w:rsid w:val="00FF33E3"/>
    <w:rsid w:val="00FF340E"/>
    <w:rsid w:val="00FF3702"/>
    <w:rsid w:val="00FF387A"/>
    <w:rsid w:val="00FF4AB2"/>
    <w:rsid w:val="00FF5343"/>
    <w:rsid w:val="00FF57E5"/>
    <w:rsid w:val="00FF6185"/>
    <w:rsid w:val="00FF63B5"/>
    <w:rsid w:val="00FF65D3"/>
    <w:rsid w:val="00FF7157"/>
    <w:rsid w:val="00FF7563"/>
    <w:rsid w:val="00FF76DD"/>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AA9"/>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1"/>
    <w:qFormat/>
    <w:rsid w:val="00017C01"/>
    <w:pPr>
      <w:keepNext/>
      <w:numPr>
        <w:numId w:val="2"/>
      </w:numPr>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Normal"/>
    <w:link w:val="Heading2Char1"/>
    <w:autoRedefine/>
    <w:qFormat/>
    <w:rsid w:val="00017C01"/>
    <w:pPr>
      <w:keepNext/>
      <w:numPr>
        <w:ilvl w:val="1"/>
        <w:numId w:val="2"/>
      </w:numPr>
      <w:spacing w:after="120"/>
      <w:outlineLvl w:val="1"/>
    </w:pPr>
    <w:rPr>
      <w:rFonts w:eastAsia="Times New Roman" w:cs="Times New Roman"/>
      <w:b/>
      <w:snapToGrid w:val="0"/>
      <w:kern w:val="28"/>
      <w:szCs w:val="20"/>
    </w:rPr>
  </w:style>
  <w:style w:type="paragraph" w:styleId="Heading3">
    <w:name w:val="heading 3"/>
    <w:basedOn w:val="Normal"/>
    <w:next w:val="Normal"/>
    <w:link w:val="Heading3Char1"/>
    <w:qFormat/>
    <w:rsid w:val="00017C01"/>
    <w:pPr>
      <w:keepNext/>
      <w:numPr>
        <w:ilvl w:val="2"/>
        <w:numId w:val="2"/>
      </w:numPr>
      <w:spacing w:after="120"/>
      <w:outlineLvl w:val="2"/>
    </w:pPr>
    <w:rPr>
      <w:rFonts w:eastAsia="Times New Roman" w:cs="Times New Roman"/>
      <w:b/>
      <w:snapToGrid w:val="0"/>
      <w:kern w:val="28"/>
      <w:szCs w:val="20"/>
    </w:rPr>
  </w:style>
  <w:style w:type="paragraph" w:styleId="Heading4">
    <w:name w:val="heading 4"/>
    <w:basedOn w:val="Normal"/>
    <w:next w:val="Normal"/>
    <w:link w:val="Heading4Char1"/>
    <w:qFormat/>
    <w:rsid w:val="00017C01"/>
    <w:pPr>
      <w:keepNext/>
      <w:numPr>
        <w:ilvl w:val="3"/>
        <w:numId w:val="2"/>
      </w:numPr>
      <w:spacing w:after="120"/>
      <w:outlineLvl w:val="3"/>
    </w:pPr>
    <w:rPr>
      <w:rFonts w:eastAsia="Times New Roman" w:cs="Times New Roman"/>
      <w:b/>
      <w:snapToGrid w:val="0"/>
      <w:kern w:val="28"/>
      <w:szCs w:val="20"/>
    </w:rPr>
  </w:style>
  <w:style w:type="paragraph" w:styleId="Heading5">
    <w:name w:val="heading 5"/>
    <w:basedOn w:val="Normal"/>
    <w:next w:val="Normal"/>
    <w:link w:val="Heading5Char1"/>
    <w:qFormat/>
    <w:rsid w:val="00017C01"/>
    <w:pPr>
      <w:keepNext/>
      <w:numPr>
        <w:ilvl w:val="4"/>
        <w:numId w:val="2"/>
      </w:numPr>
      <w:suppressAutoHyphens/>
      <w:spacing w:after="120"/>
      <w:outlineLvl w:val="4"/>
    </w:pPr>
    <w:rPr>
      <w:rFonts w:eastAsia="Times New Roman" w:cs="Times New Roman"/>
      <w:b/>
      <w:snapToGrid w:val="0"/>
      <w:kern w:val="28"/>
      <w:szCs w:val="20"/>
    </w:rPr>
  </w:style>
  <w:style w:type="paragraph" w:styleId="Heading6">
    <w:name w:val="heading 6"/>
    <w:basedOn w:val="Normal"/>
    <w:next w:val="Normal"/>
    <w:link w:val="Heading6Char1"/>
    <w:qFormat/>
    <w:rsid w:val="00017C01"/>
    <w:pPr>
      <w:numPr>
        <w:ilvl w:val="5"/>
        <w:numId w:val="2"/>
      </w:numPr>
      <w:spacing w:after="120"/>
      <w:outlineLvl w:val="5"/>
    </w:pPr>
    <w:rPr>
      <w:rFonts w:eastAsia="Times New Roman" w:cs="Times New Roman"/>
      <w:b/>
      <w:snapToGrid w:val="0"/>
      <w:kern w:val="28"/>
      <w:szCs w:val="20"/>
    </w:rPr>
  </w:style>
  <w:style w:type="paragraph" w:styleId="Heading7">
    <w:name w:val="heading 7"/>
    <w:basedOn w:val="Normal"/>
    <w:next w:val="Normal"/>
    <w:link w:val="Heading7Char1"/>
    <w:qFormat/>
    <w:rsid w:val="00017C01"/>
    <w:pPr>
      <w:numPr>
        <w:ilvl w:val="6"/>
        <w:numId w:val="2"/>
      </w:numPr>
      <w:spacing w:after="120"/>
      <w:outlineLvl w:val="6"/>
    </w:pPr>
    <w:rPr>
      <w:rFonts w:eastAsia="Times New Roman" w:cs="Times New Roman"/>
      <w:b/>
      <w:snapToGrid w:val="0"/>
      <w:kern w:val="28"/>
      <w:szCs w:val="20"/>
    </w:rPr>
  </w:style>
  <w:style w:type="paragraph" w:styleId="Heading8">
    <w:name w:val="heading 8"/>
    <w:basedOn w:val="Normal"/>
    <w:next w:val="Normal"/>
    <w:link w:val="Heading8Char1"/>
    <w:qFormat/>
    <w:rsid w:val="00017C01"/>
    <w:pPr>
      <w:numPr>
        <w:ilvl w:val="7"/>
        <w:numId w:val="2"/>
      </w:numPr>
      <w:tabs>
        <w:tab w:val="left" w:pos="5760"/>
      </w:tabs>
      <w:spacing w:after="120"/>
      <w:outlineLvl w:val="7"/>
    </w:pPr>
    <w:rPr>
      <w:rFonts w:eastAsia="Times New Roman" w:cs="Times New Roman"/>
      <w:b/>
      <w:snapToGrid w:val="0"/>
      <w:kern w:val="28"/>
      <w:szCs w:val="20"/>
    </w:rPr>
  </w:style>
  <w:style w:type="paragraph" w:styleId="Heading9">
    <w:name w:val="heading 9"/>
    <w:basedOn w:val="Normal"/>
    <w:next w:val="Normal"/>
    <w:link w:val="Heading9Char1"/>
    <w:qFormat/>
    <w:rsid w:val="00017C01"/>
    <w:pPr>
      <w:numPr>
        <w:ilvl w:val="8"/>
        <w:numId w:val="2"/>
      </w:numPr>
      <w:tabs>
        <w:tab w:val="clear" w:pos="6120"/>
        <w:tab w:val="left" w:pos="6480"/>
      </w:tabs>
      <w:spacing w:after="120"/>
      <w:ind w:left="6480" w:hanging="720"/>
      <w:outlineLvl w:val="8"/>
    </w:pPr>
    <w:rPr>
      <w:rFonts w:eastAsia="Times New Roman" w:cs="Times New Roman"/>
      <w:b/>
      <w:snapToGrid w:val="0"/>
      <w:kern w:val="28"/>
      <w:szCs w:val="20"/>
    </w:rPr>
  </w:style>
  <w:style w:type="character" w:default="1" w:styleId="DefaultParagraphFont">
    <w:name w:val="Default Paragraph Font"/>
    <w:uiPriority w:val="1"/>
    <w:semiHidden/>
    <w:unhideWhenUsed/>
    <w:rsid w:val="00691A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1AA9"/>
  </w:style>
  <w:style w:type="paragraph" w:customStyle="1" w:styleId="ParaNum">
    <w:name w:val="ParaNum"/>
    <w:basedOn w:val="Normal"/>
    <w:link w:val="ParaNumChar"/>
    <w:rsid w:val="005B29AB"/>
    <w:pPr>
      <w:numPr>
        <w:numId w:val="1"/>
      </w:numPr>
      <w:tabs>
        <w:tab w:val="clear" w:pos="1080"/>
        <w:tab w:val="num" w:pos="1440"/>
      </w:tabs>
      <w:spacing w:after="120"/>
    </w:pPr>
  </w:style>
  <w:style w:type="character" w:customStyle="1" w:styleId="ParaNumChar">
    <w:name w:val="ParaNum Char"/>
    <w:link w:val="ParaNum"/>
    <w:locked/>
    <w:rsid w:val="00C44156"/>
    <w:rPr>
      <w:snapToGrid w:val="0"/>
      <w:kern w:val="28"/>
      <w:sz w:val="22"/>
    </w:rPr>
  </w:style>
  <w:style w:type="character" w:customStyle="1" w:styleId="Heading1Char1">
    <w:name w:val="Heading 1 Char1"/>
    <w:link w:val="Heading1"/>
    <w:locked/>
    <w:rsid w:val="00017C01"/>
    <w:rPr>
      <w:rFonts w:ascii="Times New Roman Bold" w:hAnsi="Times New Roman Bold"/>
      <w:b/>
      <w:caps/>
      <w:snapToGrid w:val="0"/>
      <w:kern w:val="28"/>
      <w:sz w:val="22"/>
    </w:rPr>
  </w:style>
  <w:style w:type="character" w:customStyle="1" w:styleId="Heading2Char1">
    <w:name w:val="Heading 2 Char1"/>
    <w:link w:val="Heading2"/>
    <w:locked/>
    <w:rsid w:val="00017C01"/>
    <w:rPr>
      <w:b/>
      <w:snapToGrid w:val="0"/>
      <w:kern w:val="28"/>
      <w:sz w:val="22"/>
    </w:rPr>
  </w:style>
  <w:style w:type="character" w:customStyle="1" w:styleId="Heading3Char1">
    <w:name w:val="Heading 3 Char1"/>
    <w:link w:val="Heading3"/>
    <w:locked/>
    <w:rsid w:val="00017C01"/>
    <w:rPr>
      <w:b/>
      <w:snapToGrid w:val="0"/>
      <w:kern w:val="28"/>
      <w:sz w:val="22"/>
    </w:rPr>
  </w:style>
  <w:style w:type="character" w:customStyle="1" w:styleId="Heading4Char1">
    <w:name w:val="Heading 4 Char1"/>
    <w:link w:val="Heading4"/>
    <w:locked/>
    <w:rsid w:val="00017C01"/>
    <w:rPr>
      <w:b/>
      <w:snapToGrid w:val="0"/>
      <w:kern w:val="28"/>
      <w:sz w:val="22"/>
    </w:rPr>
  </w:style>
  <w:style w:type="character" w:customStyle="1" w:styleId="Heading5Char1">
    <w:name w:val="Heading 5 Char1"/>
    <w:link w:val="Heading5"/>
    <w:locked/>
    <w:rsid w:val="00017C01"/>
    <w:rPr>
      <w:b/>
      <w:snapToGrid w:val="0"/>
      <w:kern w:val="28"/>
      <w:sz w:val="22"/>
    </w:rPr>
  </w:style>
  <w:style w:type="character" w:customStyle="1" w:styleId="Heading6Char1">
    <w:name w:val="Heading 6 Char1"/>
    <w:link w:val="Heading6"/>
    <w:locked/>
    <w:rsid w:val="00017C01"/>
    <w:rPr>
      <w:b/>
      <w:snapToGrid w:val="0"/>
      <w:kern w:val="28"/>
      <w:sz w:val="22"/>
    </w:rPr>
  </w:style>
  <w:style w:type="character" w:customStyle="1" w:styleId="Heading7Char1">
    <w:name w:val="Heading 7 Char1"/>
    <w:link w:val="Heading7"/>
    <w:locked/>
    <w:rsid w:val="00017C01"/>
    <w:rPr>
      <w:b/>
      <w:snapToGrid w:val="0"/>
      <w:kern w:val="28"/>
      <w:sz w:val="22"/>
    </w:rPr>
  </w:style>
  <w:style w:type="character" w:customStyle="1" w:styleId="Heading8Char1">
    <w:name w:val="Heading 8 Char1"/>
    <w:link w:val="Heading8"/>
    <w:locked/>
    <w:rsid w:val="00017C01"/>
    <w:rPr>
      <w:b/>
      <w:snapToGrid w:val="0"/>
      <w:kern w:val="28"/>
      <w:sz w:val="22"/>
    </w:rPr>
  </w:style>
  <w:style w:type="character" w:customStyle="1" w:styleId="Heading9Char1">
    <w:name w:val="Heading 9 Char1"/>
    <w:link w:val="Heading9"/>
    <w:locked/>
    <w:rsid w:val="00017C01"/>
    <w:rPr>
      <w:b/>
      <w:snapToGrid w:val="0"/>
      <w:kern w:val="28"/>
      <w:sz w:val="22"/>
    </w:rPr>
  </w:style>
  <w:style w:type="paragraph" w:styleId="EndnoteText">
    <w:name w:val="endnote text"/>
    <w:basedOn w:val="Normal"/>
    <w:link w:val="EndnoteTextChar1"/>
    <w:semiHidden/>
    <w:rsid w:val="005B29AB"/>
  </w:style>
  <w:style w:type="character" w:customStyle="1" w:styleId="EndnoteTextChar1">
    <w:name w:val="Endnote Text Char1"/>
    <w:link w:val="EndnoteText"/>
    <w:semiHidden/>
    <w:locked/>
    <w:rsid w:val="00C44156"/>
    <w:rPr>
      <w:snapToGrid w:val="0"/>
      <w:kern w:val="28"/>
    </w:rPr>
  </w:style>
  <w:style w:type="character" w:styleId="EndnoteReference">
    <w:name w:val="endnote reference"/>
    <w:semiHidden/>
    <w:rsid w:val="005B29AB"/>
    <w:rPr>
      <w:vertAlign w:val="superscript"/>
    </w:rPr>
  </w:style>
  <w:style w:type="paragraph" w:styleId="FootnoteText">
    <w:name w:val="footnote text"/>
    <w:aliases w:val="Footnote Text Char1,Footnote Text Char3 Char,Footnote Text Char2 Char Char,Footnote Text Char Char1 Char Char,Footnote Text Char2 Char Char1 Char Char,Footnote Text Char Char1 Char Char Char Char,Footnote Text Char3,Footnote Text Char2,fn"/>
    <w:link w:val="FootnoteTextChar"/>
    <w:uiPriority w:val="99"/>
    <w:rsid w:val="005B29AB"/>
    <w:pPr>
      <w:spacing w:after="120"/>
    </w:pPr>
  </w:style>
  <w:style w:type="character" w:customStyle="1" w:styleId="FootnoteTextChar">
    <w:name w:val="Footnote Text Char"/>
    <w:aliases w:val="Footnote Text Char1 Char,Footnote Text Char3 Char Char,Footnote Text Char2 Char Char Char,Footnote Text Char Char1 Char Char Char,Footnote Text Char2 Char Char1 Char Char Char,Footnote Text Char Char1 Char Char Char Char Char,fn Char2"/>
    <w:link w:val="FootnoteText"/>
    <w:uiPriority w:val="99"/>
    <w:locked/>
    <w:rsid w:val="00C44156"/>
  </w:style>
  <w:style w:type="character" w:styleId="FootnoteReference">
    <w:name w:val="footnote reference"/>
    <w:aliases w:val="o,fr,Appel note de bas de p,Style 12,(NECG) Footnote Reference,Style 124,Style 3,Style 17,FR,Style 13,Style 6,Footnote Reference/,Style 7"/>
    <w:uiPriority w:val="99"/>
    <w:rsid w:val="005B29AB"/>
    <w:rPr>
      <w:rFonts w:ascii="Times New Roman" w:hAnsi="Times New Roman"/>
      <w:dstrike w:val="0"/>
      <w:color w:val="auto"/>
      <w:sz w:val="20"/>
      <w:vertAlign w:val="superscript"/>
    </w:rPr>
  </w:style>
  <w:style w:type="paragraph" w:styleId="TOC1">
    <w:name w:val="toc 1"/>
    <w:basedOn w:val="Normal"/>
    <w:next w:val="Normal"/>
    <w:uiPriority w:val="39"/>
    <w:rsid w:val="005B29AB"/>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5B29AB"/>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5B29AB"/>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5B29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29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29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29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29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29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29AB"/>
    <w:pPr>
      <w:tabs>
        <w:tab w:val="right" w:pos="9360"/>
      </w:tabs>
      <w:suppressAutoHyphens/>
    </w:pPr>
  </w:style>
  <w:style w:type="character" w:customStyle="1" w:styleId="EquationCaption">
    <w:name w:val="_Equation Caption"/>
    <w:rsid w:val="005B29AB"/>
  </w:style>
  <w:style w:type="paragraph" w:styleId="Header">
    <w:name w:val="header"/>
    <w:basedOn w:val="Normal"/>
    <w:link w:val="HeaderChar1"/>
    <w:autoRedefine/>
    <w:rsid w:val="005B29AB"/>
    <w:pPr>
      <w:tabs>
        <w:tab w:val="center" w:pos="4680"/>
        <w:tab w:val="right" w:pos="9360"/>
      </w:tabs>
    </w:pPr>
    <w:rPr>
      <w:b/>
    </w:rPr>
  </w:style>
  <w:style w:type="character" w:customStyle="1" w:styleId="HeaderChar1">
    <w:name w:val="Header Char1"/>
    <w:link w:val="Header"/>
    <w:locked/>
    <w:rsid w:val="008D3EB8"/>
    <w:rPr>
      <w:b/>
      <w:snapToGrid w:val="0"/>
      <w:kern w:val="28"/>
      <w:sz w:val="22"/>
    </w:rPr>
  </w:style>
  <w:style w:type="paragraph" w:styleId="Footer">
    <w:name w:val="footer"/>
    <w:basedOn w:val="Normal"/>
    <w:link w:val="FooterChar1"/>
    <w:rsid w:val="005B29AB"/>
    <w:pPr>
      <w:tabs>
        <w:tab w:val="center" w:pos="4320"/>
        <w:tab w:val="right" w:pos="8640"/>
      </w:tabs>
    </w:pPr>
  </w:style>
  <w:style w:type="character" w:customStyle="1" w:styleId="FooterChar1">
    <w:name w:val="Footer Char1"/>
    <w:link w:val="Footer"/>
    <w:locked/>
    <w:rsid w:val="00C44156"/>
    <w:rPr>
      <w:snapToGrid w:val="0"/>
      <w:kern w:val="28"/>
      <w:sz w:val="22"/>
    </w:rPr>
  </w:style>
  <w:style w:type="character" w:styleId="PageNumber">
    <w:name w:val="page number"/>
    <w:basedOn w:val="DefaultParagraphFont"/>
    <w:rsid w:val="005B29AB"/>
  </w:style>
  <w:style w:type="paragraph" w:styleId="BlockText">
    <w:name w:val="Block Text"/>
    <w:basedOn w:val="Normal"/>
    <w:rsid w:val="005B29AB"/>
    <w:pPr>
      <w:spacing w:after="240"/>
      <w:ind w:left="1440" w:right="1440"/>
    </w:pPr>
  </w:style>
  <w:style w:type="paragraph" w:customStyle="1" w:styleId="Paratitle">
    <w:name w:val="Para title"/>
    <w:basedOn w:val="Normal"/>
    <w:rsid w:val="005B29AB"/>
    <w:pPr>
      <w:tabs>
        <w:tab w:val="center" w:pos="9270"/>
      </w:tabs>
      <w:spacing w:after="240"/>
    </w:pPr>
    <w:rPr>
      <w:spacing w:val="-2"/>
    </w:rPr>
  </w:style>
  <w:style w:type="paragraph" w:customStyle="1" w:styleId="Bullet">
    <w:name w:val="Bullet"/>
    <w:basedOn w:val="Normal"/>
    <w:rsid w:val="005B29AB"/>
    <w:pPr>
      <w:tabs>
        <w:tab w:val="left" w:pos="2160"/>
      </w:tabs>
      <w:spacing w:after="220"/>
      <w:ind w:left="2160" w:hanging="720"/>
    </w:pPr>
  </w:style>
  <w:style w:type="paragraph" w:customStyle="1" w:styleId="TableFormat">
    <w:name w:val="TableFormat"/>
    <w:basedOn w:val="Bullet"/>
    <w:rsid w:val="005B29AB"/>
    <w:pPr>
      <w:tabs>
        <w:tab w:val="clear" w:pos="2160"/>
        <w:tab w:val="left" w:pos="5040"/>
      </w:tabs>
      <w:ind w:left="5040" w:hanging="3600"/>
    </w:pPr>
  </w:style>
  <w:style w:type="paragraph" w:customStyle="1" w:styleId="TOCTitle">
    <w:name w:val="TOC Title"/>
    <w:basedOn w:val="Normal"/>
    <w:rsid w:val="005B29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29AB"/>
    <w:pPr>
      <w:jc w:val="center"/>
    </w:pPr>
    <w:rPr>
      <w:rFonts w:ascii="Times New Roman Bold" w:hAnsi="Times New Roman Bold"/>
      <w:b/>
      <w:bCs/>
      <w:caps/>
    </w:rPr>
  </w:style>
  <w:style w:type="character" w:styleId="Hyperlink">
    <w:name w:val="Hyperlink"/>
    <w:rsid w:val="005B29AB"/>
    <w:rPr>
      <w:color w:val="0000FF"/>
      <w:u w:val="single"/>
    </w:rPr>
  </w:style>
  <w:style w:type="paragraph" w:styleId="BalloonText">
    <w:name w:val="Balloon Text"/>
    <w:basedOn w:val="Normal"/>
    <w:link w:val="BalloonTextChar1"/>
    <w:semiHidden/>
    <w:rsid w:val="00C44156"/>
    <w:rPr>
      <w:rFonts w:ascii="Tahoma" w:hAnsi="Tahoma" w:cs="Tahoma"/>
      <w:snapToGrid w:val="0"/>
      <w:sz w:val="16"/>
      <w:szCs w:val="16"/>
    </w:rPr>
  </w:style>
  <w:style w:type="character" w:customStyle="1" w:styleId="BalloonTextChar1">
    <w:name w:val="Balloon Text Char1"/>
    <w:link w:val="BalloonText"/>
    <w:semiHidden/>
    <w:locked/>
    <w:rsid w:val="00C44156"/>
    <w:rPr>
      <w:rFonts w:ascii="Tahoma" w:hAnsi="Tahoma" w:cs="Tahoma"/>
      <w:kern w:val="28"/>
      <w:sz w:val="16"/>
      <w:szCs w:val="16"/>
      <w:lang w:val="en-US" w:eastAsia="en-US" w:bidi="ar-SA"/>
    </w:rPr>
  </w:style>
  <w:style w:type="paragraph" w:customStyle="1" w:styleId="StyleParaNumTimesNewRoman11pt">
    <w:name w:val="Style ParaNum + Times New Roman 11 pt"/>
    <w:basedOn w:val="ParaNum"/>
    <w:link w:val="StyleParaNumTimesNewRoman11ptChar"/>
    <w:autoRedefine/>
    <w:rsid w:val="00C44156"/>
    <w:pPr>
      <w:numPr>
        <w:numId w:val="0"/>
      </w:numPr>
      <w:tabs>
        <w:tab w:val="num" w:pos="360"/>
        <w:tab w:val="left" w:pos="1440"/>
      </w:tabs>
      <w:ind w:left="360" w:hanging="360"/>
    </w:pPr>
    <w:rPr>
      <w:snapToGrid w:val="0"/>
    </w:rPr>
  </w:style>
  <w:style w:type="character" w:customStyle="1" w:styleId="StyleParaNumTimesNewRoman11ptChar">
    <w:name w:val="Style ParaNum + Times New Roman 11 pt Char"/>
    <w:link w:val="StyleParaNumTimesNewRoman11pt"/>
    <w:locked/>
    <w:rsid w:val="00C44156"/>
    <w:rPr>
      <w:kern w:val="28"/>
      <w:sz w:val="22"/>
      <w:lang w:val="en-US" w:eastAsia="en-US" w:bidi="ar-SA"/>
    </w:rPr>
  </w:style>
  <w:style w:type="character" w:customStyle="1" w:styleId="StyleFootnoteReferenceofrAppelnotedebasdepStyle12NECG">
    <w:name w:val="Style Footnote ReferenceofrAppel note de bas de pStyle 12(NECG..."/>
    <w:rsid w:val="00C44156"/>
    <w:rPr>
      <w:rFonts w:ascii="Times New Roman" w:hAnsi="Times New Roman"/>
      <w:color w:val="000000"/>
      <w:sz w:val="22"/>
      <w:vertAlign w:val="superscript"/>
    </w:rPr>
  </w:style>
  <w:style w:type="paragraph" w:customStyle="1" w:styleId="StyleParaNum">
    <w:name w:val="Style ParaNum +"/>
    <w:basedOn w:val="Normal"/>
    <w:link w:val="StyleParaNumChar"/>
    <w:autoRedefine/>
    <w:rsid w:val="00C44156"/>
    <w:pPr>
      <w:tabs>
        <w:tab w:val="num" w:pos="360"/>
        <w:tab w:val="num" w:pos="1440"/>
      </w:tabs>
      <w:spacing w:after="120"/>
      <w:ind w:left="360" w:hanging="360"/>
    </w:pPr>
    <w:rPr>
      <w:snapToGrid w:val="0"/>
    </w:rPr>
  </w:style>
  <w:style w:type="character" w:customStyle="1" w:styleId="StyleParaNumChar">
    <w:name w:val="Style ParaNum + Char"/>
    <w:link w:val="StyleParaNum"/>
    <w:locked/>
    <w:rsid w:val="00C44156"/>
    <w:rPr>
      <w:sz w:val="22"/>
      <w:lang w:val="en-US" w:eastAsia="en-US" w:bidi="ar-SA"/>
    </w:rPr>
  </w:style>
  <w:style w:type="paragraph" w:styleId="CommentText">
    <w:name w:val="annotation text"/>
    <w:basedOn w:val="Normal"/>
    <w:link w:val="CommentTextChar1"/>
    <w:uiPriority w:val="99"/>
    <w:rsid w:val="00C44156"/>
    <w:rPr>
      <w:snapToGrid w:val="0"/>
    </w:rPr>
  </w:style>
  <w:style w:type="character" w:customStyle="1" w:styleId="CommentTextChar1">
    <w:name w:val="Comment Text Char1"/>
    <w:link w:val="CommentText"/>
    <w:uiPriority w:val="99"/>
    <w:locked/>
    <w:rsid w:val="00C44156"/>
    <w:rPr>
      <w:kern w:val="28"/>
      <w:lang w:val="en-US" w:eastAsia="en-US" w:bidi="ar-SA"/>
    </w:rPr>
  </w:style>
  <w:style w:type="paragraph" w:styleId="CommentSubject">
    <w:name w:val="annotation subject"/>
    <w:basedOn w:val="CommentText"/>
    <w:next w:val="CommentText"/>
    <w:link w:val="CommentSubjectChar1"/>
    <w:semiHidden/>
    <w:rsid w:val="00C44156"/>
    <w:rPr>
      <w:b/>
      <w:bCs/>
    </w:rPr>
  </w:style>
  <w:style w:type="character" w:customStyle="1" w:styleId="CommentSubjectChar1">
    <w:name w:val="Comment Subject Char1"/>
    <w:link w:val="CommentSubject"/>
    <w:semiHidden/>
    <w:locked/>
    <w:rsid w:val="00C44156"/>
    <w:rPr>
      <w:b/>
      <w:bCs/>
      <w:kern w:val="28"/>
      <w:lang w:val="en-US" w:eastAsia="en-US" w:bidi="ar-SA"/>
    </w:rPr>
  </w:style>
  <w:style w:type="paragraph" w:styleId="DocumentMap">
    <w:name w:val="Document Map"/>
    <w:basedOn w:val="Normal"/>
    <w:link w:val="DocumentMapChar1"/>
    <w:semiHidden/>
    <w:rsid w:val="00C44156"/>
    <w:pPr>
      <w:shd w:val="clear" w:color="auto" w:fill="000080"/>
    </w:pPr>
    <w:rPr>
      <w:rFonts w:ascii="Tahoma" w:hAnsi="Tahoma" w:cs="Tahoma"/>
      <w:snapToGrid w:val="0"/>
    </w:rPr>
  </w:style>
  <w:style w:type="character" w:customStyle="1" w:styleId="DocumentMapChar1">
    <w:name w:val="Document Map Char1"/>
    <w:link w:val="DocumentMap"/>
    <w:semiHidden/>
    <w:locked/>
    <w:rsid w:val="00C44156"/>
    <w:rPr>
      <w:rFonts w:ascii="Tahoma" w:hAnsi="Tahoma" w:cs="Tahoma"/>
      <w:kern w:val="28"/>
      <w:lang w:val="en-US" w:eastAsia="en-US" w:bidi="ar-SA"/>
    </w:rPr>
  </w:style>
  <w:style w:type="character" w:customStyle="1" w:styleId="FootnoteTextChar5">
    <w:name w:val="Footnote Text Char5"/>
    <w:aliases w:val="Footnote Text Char2 Char Char1,Footnote Text Char3 Char Char Char1,Footnote Text Char2 Char Char Char Char1,Footnote Text Char Char Char1 Char Char Char Char1,Footnote Text Char1 Char1 Char Char Char Char1,fn Char1,f Char,f Char1"/>
    <w:locked/>
    <w:rsid w:val="00C44156"/>
    <w:rPr>
      <w:lang w:val="en-US" w:eastAsia="en-US"/>
    </w:rPr>
  </w:style>
  <w:style w:type="paragraph" w:customStyle="1" w:styleId="paranum0">
    <w:name w:val="paranum"/>
    <w:basedOn w:val="Normal"/>
    <w:rsid w:val="00C44156"/>
    <w:pPr>
      <w:snapToGrid w:val="0"/>
      <w:spacing w:after="120"/>
      <w:ind w:firstLine="720"/>
    </w:pPr>
    <w:rPr>
      <w:snapToGrid w:val="0"/>
    </w:rPr>
  </w:style>
  <w:style w:type="character" w:customStyle="1" w:styleId="cosearchterm6">
    <w:name w:val="co_searchterm6"/>
    <w:rsid w:val="007D1EC5"/>
    <w:rPr>
      <w:b/>
      <w:bCs/>
      <w:color w:val="252525"/>
    </w:rPr>
  </w:style>
  <w:style w:type="character" w:styleId="CommentReference">
    <w:name w:val="annotation reference"/>
    <w:uiPriority w:val="99"/>
    <w:rsid w:val="00C44156"/>
    <w:rPr>
      <w:sz w:val="16"/>
      <w:szCs w:val="16"/>
    </w:rPr>
  </w:style>
  <w:style w:type="character" w:customStyle="1" w:styleId="Heading1Char">
    <w:name w:val="Heading 1 Char"/>
    <w:basedOn w:val="DefaultParagraphFont"/>
    <w:uiPriority w:val="9"/>
    <w:locked/>
    <w:rsid w:val="00017C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locked/>
    <w:rsid w:val="00017C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locked/>
    <w:rsid w:val="00017C0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uiPriority w:val="9"/>
    <w:locked/>
    <w:rsid w:val="00017C0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uiPriority w:val="9"/>
    <w:semiHidden/>
    <w:locked/>
    <w:rsid w:val="00017C0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uiPriority w:val="9"/>
    <w:semiHidden/>
    <w:locked/>
    <w:rsid w:val="00017C0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uiPriority w:val="9"/>
    <w:semiHidden/>
    <w:locked/>
    <w:rsid w:val="00017C0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uiPriority w:val="9"/>
    <w:semiHidden/>
    <w:locked/>
    <w:rsid w:val="00017C0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uiPriority w:val="9"/>
    <w:semiHidden/>
    <w:locked/>
    <w:rsid w:val="00017C01"/>
    <w:rPr>
      <w:rFonts w:asciiTheme="majorHAnsi" w:eastAsiaTheme="majorEastAsia" w:hAnsiTheme="majorHAnsi" w:cstheme="majorBidi"/>
      <w:i/>
      <w:iCs/>
      <w:color w:val="404040" w:themeColor="text1" w:themeTint="BF"/>
    </w:rPr>
  </w:style>
  <w:style w:type="character" w:customStyle="1" w:styleId="EndnoteTextChar">
    <w:name w:val="Endnote Text Char"/>
    <w:semiHidden/>
    <w:locked/>
    <w:rsid w:val="00C44156"/>
    <w:rPr>
      <w:snapToGrid w:val="0"/>
      <w:kern w:val="28"/>
      <w:lang w:val="en-US" w:eastAsia="en-US" w:bidi="ar-SA"/>
    </w:rPr>
  </w:style>
  <w:style w:type="character" w:customStyle="1" w:styleId="HeaderChar">
    <w:name w:val="Header Char"/>
    <w:semiHidden/>
    <w:locked/>
    <w:rsid w:val="00C44156"/>
    <w:rPr>
      <w:b/>
      <w:snapToGrid w:val="0"/>
      <w:kern w:val="28"/>
      <w:sz w:val="22"/>
      <w:lang w:val="en-US" w:eastAsia="en-US" w:bidi="ar-SA"/>
    </w:rPr>
  </w:style>
  <w:style w:type="character" w:customStyle="1" w:styleId="FooterChar">
    <w:name w:val="Footer Char"/>
    <w:semiHidden/>
    <w:locked/>
    <w:rsid w:val="00C44156"/>
    <w:rPr>
      <w:snapToGrid w:val="0"/>
      <w:kern w:val="28"/>
      <w:sz w:val="22"/>
      <w:lang w:val="en-US" w:eastAsia="en-US" w:bidi="ar-SA"/>
    </w:rPr>
  </w:style>
  <w:style w:type="character" w:customStyle="1" w:styleId="BalloonTextChar">
    <w:name w:val="Balloon Text Char"/>
    <w:semiHidden/>
    <w:locked/>
    <w:rsid w:val="00C44156"/>
    <w:rPr>
      <w:rFonts w:ascii="Tahoma" w:hAnsi="Tahoma" w:cs="Tahoma"/>
      <w:kern w:val="28"/>
      <w:sz w:val="16"/>
      <w:szCs w:val="16"/>
      <w:lang w:val="en-US" w:eastAsia="en-US" w:bidi="ar-SA"/>
    </w:rPr>
  </w:style>
  <w:style w:type="character" w:customStyle="1" w:styleId="CommentTextChar">
    <w:name w:val="Comment Text Char"/>
    <w:uiPriority w:val="99"/>
    <w:semiHidden/>
    <w:locked/>
    <w:rsid w:val="00C44156"/>
    <w:rPr>
      <w:kern w:val="28"/>
      <w:lang w:val="en-US" w:eastAsia="en-US" w:bidi="ar-SA"/>
    </w:rPr>
  </w:style>
  <w:style w:type="character" w:customStyle="1" w:styleId="CommentSubjectChar">
    <w:name w:val="Comment Subject Char"/>
    <w:semiHidden/>
    <w:locked/>
    <w:rsid w:val="00C44156"/>
    <w:rPr>
      <w:b/>
      <w:bCs/>
      <w:kern w:val="28"/>
      <w:lang w:val="en-US" w:eastAsia="en-US" w:bidi="ar-SA"/>
    </w:rPr>
  </w:style>
  <w:style w:type="character" w:customStyle="1" w:styleId="DocumentMapChar">
    <w:name w:val="Document Map Char"/>
    <w:semiHidden/>
    <w:locked/>
    <w:rsid w:val="00C44156"/>
    <w:rPr>
      <w:rFonts w:ascii="Tahoma" w:hAnsi="Tahoma" w:cs="Tahoma"/>
      <w:kern w:val="28"/>
      <w:lang w:val="en-US" w:eastAsia="en-US" w:bidi="ar-SA"/>
    </w:rPr>
  </w:style>
  <w:style w:type="character" w:customStyle="1" w:styleId="footnotetextchar2char1">
    <w:name w:val="footnotetextchar2char1"/>
    <w:basedOn w:val="DefaultParagraphFont"/>
    <w:rsid w:val="00C44156"/>
  </w:style>
  <w:style w:type="character" w:styleId="Emphasis">
    <w:name w:val="Emphasis"/>
    <w:uiPriority w:val="20"/>
    <w:qFormat/>
    <w:rsid w:val="00017C01"/>
    <w:rPr>
      <w:i/>
      <w:iCs/>
    </w:rPr>
  </w:style>
  <w:style w:type="character" w:styleId="FollowedHyperlink">
    <w:name w:val="FollowedHyperlink"/>
    <w:rsid w:val="00C44156"/>
    <w:rPr>
      <w:color w:val="800080"/>
      <w:u w:val="single"/>
    </w:rPr>
  </w:style>
  <w:style w:type="character" w:styleId="Strong">
    <w:name w:val="Strong"/>
    <w:qFormat/>
    <w:rsid w:val="00017C01"/>
    <w:rPr>
      <w:b/>
      <w:bCs/>
    </w:rPr>
  </w:style>
  <w:style w:type="paragraph" w:styleId="NormalWeb">
    <w:name w:val="Normal (Web)"/>
    <w:basedOn w:val="Normal"/>
    <w:uiPriority w:val="99"/>
    <w:rsid w:val="00C44156"/>
    <w:pPr>
      <w:spacing w:before="100" w:beforeAutospacing="1" w:after="100" w:afterAutospacing="1"/>
    </w:pPr>
    <w:rPr>
      <w:snapToGrid w:val="0"/>
    </w:rPr>
  </w:style>
  <w:style w:type="character" w:customStyle="1" w:styleId="FootnoteTextChar3CharCharChar">
    <w:name w:val="Footnote Text Char3 Char Char Char"/>
    <w:aliases w:val="Footnote Text Char2 Char Char Char Char,Footnote Text Char Char Char1 Char Char Char Char,Footnote Text Char1 Char1 Char Char Char Char,Footnote Text Char Char Char2 Char Char Char,fn Char,Footnote Text Char Char"/>
    <w:locked/>
    <w:rsid w:val="00A710D7"/>
    <w:rPr>
      <w:lang w:val="en-US" w:eastAsia="en-US" w:bidi="ar-SA"/>
    </w:rPr>
  </w:style>
  <w:style w:type="paragraph" w:styleId="Revision">
    <w:name w:val="Revision"/>
    <w:hidden/>
    <w:uiPriority w:val="99"/>
    <w:semiHidden/>
    <w:rsid w:val="000641CD"/>
    <w:rPr>
      <w:snapToGrid w:val="0"/>
      <w:kern w:val="28"/>
      <w:sz w:val="22"/>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56329E"/>
    <w:rPr>
      <w:lang w:val="en-US" w:eastAsia="en-US" w:bidi="ar-SA"/>
    </w:rPr>
  </w:style>
  <w:style w:type="character" w:customStyle="1" w:styleId="BalloonTextChar2">
    <w:name w:val="Balloon Text Char2"/>
    <w:semiHidden/>
    <w:locked/>
    <w:rsid w:val="00C43BE4"/>
    <w:rPr>
      <w:rFonts w:ascii="Tahoma" w:hAnsi="Tahoma"/>
      <w:kern w:val="28"/>
      <w:sz w:val="16"/>
      <w:lang w:val="en-US" w:eastAsia="en-US"/>
    </w:rPr>
  </w:style>
  <w:style w:type="character" w:customStyle="1" w:styleId="StyleFootnoteReferenceofrAppelnotedebasdepStyle12NECG1">
    <w:name w:val="Style Footnote ReferenceofrAppel note de bas de pStyle 12(NECG...1"/>
    <w:rsid w:val="00883FEC"/>
    <w:rPr>
      <w:rFonts w:ascii="Times New Roman" w:hAnsi="Times New Roman"/>
      <w:dstrike w:val="0"/>
      <w:color w:val="auto"/>
      <w:kern w:val="0"/>
      <w:sz w:val="22"/>
      <w:vertAlign w:val="superscript"/>
    </w:rPr>
  </w:style>
  <w:style w:type="character" w:customStyle="1" w:styleId="costarpage2">
    <w:name w:val="co_starpage2"/>
    <w:rsid w:val="007D1EC5"/>
  </w:style>
  <w:style w:type="character" w:customStyle="1" w:styleId="documentbody">
    <w:name w:val="documentbody"/>
    <w:basedOn w:val="DefaultParagraphFont"/>
    <w:rsid w:val="007D3E5E"/>
  </w:style>
  <w:style w:type="character" w:customStyle="1" w:styleId="CommentTextChar3">
    <w:name w:val="Comment Text Char3"/>
    <w:locked/>
    <w:rsid w:val="008A1C1E"/>
    <w:rPr>
      <w:kern w:val="28"/>
      <w:lang w:val="en-US" w:eastAsia="en-US"/>
    </w:rPr>
  </w:style>
  <w:style w:type="character" w:customStyle="1" w:styleId="Normal2">
    <w:name w:val="Normal2"/>
    <w:rsid w:val="008A1C1E"/>
    <w:rPr>
      <w:rFonts w:ascii="Times New Roman" w:hAnsi="Times New Roman" w:cs="Times New Roman"/>
      <w:sz w:val="20"/>
      <w:lang w:val="en-US"/>
    </w:rPr>
  </w:style>
  <w:style w:type="character" w:customStyle="1" w:styleId="FootnoteTextChar4">
    <w:name w:val="Footnote Text Char4"/>
    <w:aliases w:val="Footnote Text Char1 Char1,Footnote Text Char3 Char Char1,Footnote Text Char2 Char Char Char1,Footnote Text Char Char1 Char Char Char1,Footnote Text Char2 Char Char1 Char Char Char1,Footnote Text Char Char1 Char Char Char Char Char1"/>
    <w:semiHidden/>
    <w:locked/>
    <w:rsid w:val="00086899"/>
  </w:style>
  <w:style w:type="paragraph" w:styleId="TOCHeading">
    <w:name w:val="TOC Heading"/>
    <w:basedOn w:val="Heading1"/>
    <w:next w:val="Normal"/>
    <w:uiPriority w:val="39"/>
    <w:semiHidden/>
    <w:unhideWhenUsed/>
    <w:qFormat/>
    <w:rsid w:val="00017C01"/>
    <w:pPr>
      <w:keepLines/>
      <w:numPr>
        <w:numId w:val="0"/>
      </w:numPr>
      <w:tabs>
        <w:tab w:val="left" w:pos="720"/>
      </w:tabs>
      <w:suppressAutoHyphens w:val="0"/>
      <w:spacing w:before="480" w:after="0"/>
      <w:outlineLvl w:val="9"/>
    </w:pPr>
    <w:rPr>
      <w:rFonts w:ascii="Cambria" w:eastAsia="MS Gothic" w:hAnsi="Cambria" w:cstheme="minorBidi"/>
      <w:bCs/>
      <w:caps w:val="0"/>
      <w:color w:val="365F91"/>
      <w:kern w:val="0"/>
      <w:sz w:val="28"/>
      <w:szCs w:val="28"/>
      <w:lang w:eastAsia="ja-JP"/>
    </w:rPr>
  </w:style>
  <w:style w:type="character" w:customStyle="1" w:styleId="Heading2Char4">
    <w:name w:val="Heading 2 Char4"/>
    <w:locked/>
    <w:rsid w:val="005C0F80"/>
    <w:rPr>
      <w:b/>
      <w:snapToGrid w:val="0"/>
      <w:kern w:val="28"/>
      <w:sz w:val="22"/>
    </w:rPr>
  </w:style>
  <w:style w:type="paragraph" w:styleId="PlainText">
    <w:name w:val="Plain Text"/>
    <w:basedOn w:val="Normal"/>
    <w:link w:val="PlainTextChar"/>
    <w:rsid w:val="005C0F80"/>
    <w:rPr>
      <w:rFonts w:ascii="Courier New" w:hAnsi="Courier New"/>
    </w:rPr>
  </w:style>
  <w:style w:type="character" w:customStyle="1" w:styleId="PlainTextChar">
    <w:name w:val="Plain Text Char"/>
    <w:link w:val="PlainText"/>
    <w:rsid w:val="005C0F80"/>
    <w:rPr>
      <w:rFonts w:ascii="Courier New" w:hAnsi="Courier New"/>
      <w:snapToGrid w:val="0"/>
      <w:kern w:val="28"/>
    </w:rPr>
  </w:style>
  <w:style w:type="character" w:customStyle="1" w:styleId="searchterm">
    <w:name w:val="searchterm"/>
    <w:rsid w:val="004B33FA"/>
  </w:style>
  <w:style w:type="paragraph" w:styleId="ListParagraph">
    <w:name w:val="List Paragraph"/>
    <w:basedOn w:val="Normal"/>
    <w:uiPriority w:val="34"/>
    <w:qFormat/>
    <w:rsid w:val="00017C01"/>
    <w:pPr>
      <w:ind w:left="720"/>
    </w:pPr>
  </w:style>
  <w:style w:type="paragraph" w:customStyle="1" w:styleId="Default">
    <w:name w:val="Default"/>
    <w:rsid w:val="00415D85"/>
    <w:pPr>
      <w:autoSpaceDE w:val="0"/>
      <w:autoSpaceDN w:val="0"/>
      <w:adjustRightInd w:val="0"/>
    </w:pPr>
    <w:rPr>
      <w:color w:val="000000"/>
      <w:sz w:val="24"/>
      <w:szCs w:val="24"/>
    </w:rPr>
  </w:style>
  <w:style w:type="paragraph" w:customStyle="1" w:styleId="CM30">
    <w:name w:val="CM30"/>
    <w:basedOn w:val="Default"/>
    <w:next w:val="Default"/>
    <w:uiPriority w:val="99"/>
    <w:rsid w:val="00415D85"/>
    <w:rPr>
      <w:color w:val="auto"/>
    </w:rPr>
  </w:style>
  <w:style w:type="character" w:customStyle="1" w:styleId="informationalsmall">
    <w:name w:val="informationalsmall"/>
    <w:basedOn w:val="DefaultParagraphFont"/>
    <w:rsid w:val="00C008EF"/>
  </w:style>
  <w:style w:type="character" w:customStyle="1" w:styleId="listitemlarge">
    <w:name w:val="listitemlarge"/>
    <w:basedOn w:val="DefaultParagraphFont"/>
    <w:rsid w:val="00BE6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AA9"/>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1"/>
    <w:qFormat/>
    <w:rsid w:val="00017C01"/>
    <w:pPr>
      <w:keepNext/>
      <w:numPr>
        <w:numId w:val="2"/>
      </w:numPr>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Normal"/>
    <w:link w:val="Heading2Char1"/>
    <w:autoRedefine/>
    <w:qFormat/>
    <w:rsid w:val="00017C01"/>
    <w:pPr>
      <w:keepNext/>
      <w:numPr>
        <w:ilvl w:val="1"/>
        <w:numId w:val="2"/>
      </w:numPr>
      <w:spacing w:after="120"/>
      <w:outlineLvl w:val="1"/>
    </w:pPr>
    <w:rPr>
      <w:rFonts w:eastAsia="Times New Roman" w:cs="Times New Roman"/>
      <w:b/>
      <w:snapToGrid w:val="0"/>
      <w:kern w:val="28"/>
      <w:szCs w:val="20"/>
    </w:rPr>
  </w:style>
  <w:style w:type="paragraph" w:styleId="Heading3">
    <w:name w:val="heading 3"/>
    <w:basedOn w:val="Normal"/>
    <w:next w:val="Normal"/>
    <w:link w:val="Heading3Char1"/>
    <w:qFormat/>
    <w:rsid w:val="00017C01"/>
    <w:pPr>
      <w:keepNext/>
      <w:numPr>
        <w:ilvl w:val="2"/>
        <w:numId w:val="2"/>
      </w:numPr>
      <w:spacing w:after="120"/>
      <w:outlineLvl w:val="2"/>
    </w:pPr>
    <w:rPr>
      <w:rFonts w:eastAsia="Times New Roman" w:cs="Times New Roman"/>
      <w:b/>
      <w:snapToGrid w:val="0"/>
      <w:kern w:val="28"/>
      <w:szCs w:val="20"/>
    </w:rPr>
  </w:style>
  <w:style w:type="paragraph" w:styleId="Heading4">
    <w:name w:val="heading 4"/>
    <w:basedOn w:val="Normal"/>
    <w:next w:val="Normal"/>
    <w:link w:val="Heading4Char1"/>
    <w:qFormat/>
    <w:rsid w:val="00017C01"/>
    <w:pPr>
      <w:keepNext/>
      <w:numPr>
        <w:ilvl w:val="3"/>
        <w:numId w:val="2"/>
      </w:numPr>
      <w:spacing w:after="120"/>
      <w:outlineLvl w:val="3"/>
    </w:pPr>
    <w:rPr>
      <w:rFonts w:eastAsia="Times New Roman" w:cs="Times New Roman"/>
      <w:b/>
      <w:snapToGrid w:val="0"/>
      <w:kern w:val="28"/>
      <w:szCs w:val="20"/>
    </w:rPr>
  </w:style>
  <w:style w:type="paragraph" w:styleId="Heading5">
    <w:name w:val="heading 5"/>
    <w:basedOn w:val="Normal"/>
    <w:next w:val="Normal"/>
    <w:link w:val="Heading5Char1"/>
    <w:qFormat/>
    <w:rsid w:val="00017C01"/>
    <w:pPr>
      <w:keepNext/>
      <w:numPr>
        <w:ilvl w:val="4"/>
        <w:numId w:val="2"/>
      </w:numPr>
      <w:suppressAutoHyphens/>
      <w:spacing w:after="120"/>
      <w:outlineLvl w:val="4"/>
    </w:pPr>
    <w:rPr>
      <w:rFonts w:eastAsia="Times New Roman" w:cs="Times New Roman"/>
      <w:b/>
      <w:snapToGrid w:val="0"/>
      <w:kern w:val="28"/>
      <w:szCs w:val="20"/>
    </w:rPr>
  </w:style>
  <w:style w:type="paragraph" w:styleId="Heading6">
    <w:name w:val="heading 6"/>
    <w:basedOn w:val="Normal"/>
    <w:next w:val="Normal"/>
    <w:link w:val="Heading6Char1"/>
    <w:qFormat/>
    <w:rsid w:val="00017C01"/>
    <w:pPr>
      <w:numPr>
        <w:ilvl w:val="5"/>
        <w:numId w:val="2"/>
      </w:numPr>
      <w:spacing w:after="120"/>
      <w:outlineLvl w:val="5"/>
    </w:pPr>
    <w:rPr>
      <w:rFonts w:eastAsia="Times New Roman" w:cs="Times New Roman"/>
      <w:b/>
      <w:snapToGrid w:val="0"/>
      <w:kern w:val="28"/>
      <w:szCs w:val="20"/>
    </w:rPr>
  </w:style>
  <w:style w:type="paragraph" w:styleId="Heading7">
    <w:name w:val="heading 7"/>
    <w:basedOn w:val="Normal"/>
    <w:next w:val="Normal"/>
    <w:link w:val="Heading7Char1"/>
    <w:qFormat/>
    <w:rsid w:val="00017C01"/>
    <w:pPr>
      <w:numPr>
        <w:ilvl w:val="6"/>
        <w:numId w:val="2"/>
      </w:numPr>
      <w:spacing w:after="120"/>
      <w:outlineLvl w:val="6"/>
    </w:pPr>
    <w:rPr>
      <w:rFonts w:eastAsia="Times New Roman" w:cs="Times New Roman"/>
      <w:b/>
      <w:snapToGrid w:val="0"/>
      <w:kern w:val="28"/>
      <w:szCs w:val="20"/>
    </w:rPr>
  </w:style>
  <w:style w:type="paragraph" w:styleId="Heading8">
    <w:name w:val="heading 8"/>
    <w:basedOn w:val="Normal"/>
    <w:next w:val="Normal"/>
    <w:link w:val="Heading8Char1"/>
    <w:qFormat/>
    <w:rsid w:val="00017C01"/>
    <w:pPr>
      <w:numPr>
        <w:ilvl w:val="7"/>
        <w:numId w:val="2"/>
      </w:numPr>
      <w:tabs>
        <w:tab w:val="left" w:pos="5760"/>
      </w:tabs>
      <w:spacing w:after="120"/>
      <w:outlineLvl w:val="7"/>
    </w:pPr>
    <w:rPr>
      <w:rFonts w:eastAsia="Times New Roman" w:cs="Times New Roman"/>
      <w:b/>
      <w:snapToGrid w:val="0"/>
      <w:kern w:val="28"/>
      <w:szCs w:val="20"/>
    </w:rPr>
  </w:style>
  <w:style w:type="paragraph" w:styleId="Heading9">
    <w:name w:val="heading 9"/>
    <w:basedOn w:val="Normal"/>
    <w:next w:val="Normal"/>
    <w:link w:val="Heading9Char1"/>
    <w:qFormat/>
    <w:rsid w:val="00017C01"/>
    <w:pPr>
      <w:numPr>
        <w:ilvl w:val="8"/>
        <w:numId w:val="2"/>
      </w:numPr>
      <w:tabs>
        <w:tab w:val="clear" w:pos="6120"/>
        <w:tab w:val="left" w:pos="6480"/>
      </w:tabs>
      <w:spacing w:after="120"/>
      <w:ind w:left="6480" w:hanging="720"/>
      <w:outlineLvl w:val="8"/>
    </w:pPr>
    <w:rPr>
      <w:rFonts w:eastAsia="Times New Roman" w:cs="Times New Roman"/>
      <w:b/>
      <w:snapToGrid w:val="0"/>
      <w:kern w:val="28"/>
      <w:szCs w:val="20"/>
    </w:rPr>
  </w:style>
  <w:style w:type="character" w:default="1" w:styleId="DefaultParagraphFont">
    <w:name w:val="Default Paragraph Font"/>
    <w:uiPriority w:val="1"/>
    <w:semiHidden/>
    <w:unhideWhenUsed/>
    <w:rsid w:val="00691A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1AA9"/>
  </w:style>
  <w:style w:type="paragraph" w:customStyle="1" w:styleId="ParaNum">
    <w:name w:val="ParaNum"/>
    <w:basedOn w:val="Normal"/>
    <w:link w:val="ParaNumChar"/>
    <w:rsid w:val="005B29AB"/>
    <w:pPr>
      <w:numPr>
        <w:numId w:val="1"/>
      </w:numPr>
      <w:tabs>
        <w:tab w:val="clear" w:pos="1080"/>
        <w:tab w:val="num" w:pos="1440"/>
      </w:tabs>
      <w:spacing w:after="120"/>
    </w:pPr>
  </w:style>
  <w:style w:type="character" w:customStyle="1" w:styleId="ParaNumChar">
    <w:name w:val="ParaNum Char"/>
    <w:link w:val="ParaNum"/>
    <w:locked/>
    <w:rsid w:val="00C44156"/>
    <w:rPr>
      <w:snapToGrid w:val="0"/>
      <w:kern w:val="28"/>
      <w:sz w:val="22"/>
    </w:rPr>
  </w:style>
  <w:style w:type="character" w:customStyle="1" w:styleId="Heading1Char1">
    <w:name w:val="Heading 1 Char1"/>
    <w:link w:val="Heading1"/>
    <w:locked/>
    <w:rsid w:val="00017C01"/>
    <w:rPr>
      <w:rFonts w:ascii="Times New Roman Bold" w:hAnsi="Times New Roman Bold"/>
      <w:b/>
      <w:caps/>
      <w:snapToGrid w:val="0"/>
      <w:kern w:val="28"/>
      <w:sz w:val="22"/>
    </w:rPr>
  </w:style>
  <w:style w:type="character" w:customStyle="1" w:styleId="Heading2Char1">
    <w:name w:val="Heading 2 Char1"/>
    <w:link w:val="Heading2"/>
    <w:locked/>
    <w:rsid w:val="00017C01"/>
    <w:rPr>
      <w:b/>
      <w:snapToGrid w:val="0"/>
      <w:kern w:val="28"/>
      <w:sz w:val="22"/>
    </w:rPr>
  </w:style>
  <w:style w:type="character" w:customStyle="1" w:styleId="Heading3Char1">
    <w:name w:val="Heading 3 Char1"/>
    <w:link w:val="Heading3"/>
    <w:locked/>
    <w:rsid w:val="00017C01"/>
    <w:rPr>
      <w:b/>
      <w:snapToGrid w:val="0"/>
      <w:kern w:val="28"/>
      <w:sz w:val="22"/>
    </w:rPr>
  </w:style>
  <w:style w:type="character" w:customStyle="1" w:styleId="Heading4Char1">
    <w:name w:val="Heading 4 Char1"/>
    <w:link w:val="Heading4"/>
    <w:locked/>
    <w:rsid w:val="00017C01"/>
    <w:rPr>
      <w:b/>
      <w:snapToGrid w:val="0"/>
      <w:kern w:val="28"/>
      <w:sz w:val="22"/>
    </w:rPr>
  </w:style>
  <w:style w:type="character" w:customStyle="1" w:styleId="Heading5Char1">
    <w:name w:val="Heading 5 Char1"/>
    <w:link w:val="Heading5"/>
    <w:locked/>
    <w:rsid w:val="00017C01"/>
    <w:rPr>
      <w:b/>
      <w:snapToGrid w:val="0"/>
      <w:kern w:val="28"/>
      <w:sz w:val="22"/>
    </w:rPr>
  </w:style>
  <w:style w:type="character" w:customStyle="1" w:styleId="Heading6Char1">
    <w:name w:val="Heading 6 Char1"/>
    <w:link w:val="Heading6"/>
    <w:locked/>
    <w:rsid w:val="00017C01"/>
    <w:rPr>
      <w:b/>
      <w:snapToGrid w:val="0"/>
      <w:kern w:val="28"/>
      <w:sz w:val="22"/>
    </w:rPr>
  </w:style>
  <w:style w:type="character" w:customStyle="1" w:styleId="Heading7Char1">
    <w:name w:val="Heading 7 Char1"/>
    <w:link w:val="Heading7"/>
    <w:locked/>
    <w:rsid w:val="00017C01"/>
    <w:rPr>
      <w:b/>
      <w:snapToGrid w:val="0"/>
      <w:kern w:val="28"/>
      <w:sz w:val="22"/>
    </w:rPr>
  </w:style>
  <w:style w:type="character" w:customStyle="1" w:styleId="Heading8Char1">
    <w:name w:val="Heading 8 Char1"/>
    <w:link w:val="Heading8"/>
    <w:locked/>
    <w:rsid w:val="00017C01"/>
    <w:rPr>
      <w:b/>
      <w:snapToGrid w:val="0"/>
      <w:kern w:val="28"/>
      <w:sz w:val="22"/>
    </w:rPr>
  </w:style>
  <w:style w:type="character" w:customStyle="1" w:styleId="Heading9Char1">
    <w:name w:val="Heading 9 Char1"/>
    <w:link w:val="Heading9"/>
    <w:locked/>
    <w:rsid w:val="00017C01"/>
    <w:rPr>
      <w:b/>
      <w:snapToGrid w:val="0"/>
      <w:kern w:val="28"/>
      <w:sz w:val="22"/>
    </w:rPr>
  </w:style>
  <w:style w:type="paragraph" w:styleId="EndnoteText">
    <w:name w:val="endnote text"/>
    <w:basedOn w:val="Normal"/>
    <w:link w:val="EndnoteTextChar1"/>
    <w:semiHidden/>
    <w:rsid w:val="005B29AB"/>
  </w:style>
  <w:style w:type="character" w:customStyle="1" w:styleId="EndnoteTextChar1">
    <w:name w:val="Endnote Text Char1"/>
    <w:link w:val="EndnoteText"/>
    <w:semiHidden/>
    <w:locked/>
    <w:rsid w:val="00C44156"/>
    <w:rPr>
      <w:snapToGrid w:val="0"/>
      <w:kern w:val="28"/>
    </w:rPr>
  </w:style>
  <w:style w:type="character" w:styleId="EndnoteReference">
    <w:name w:val="endnote reference"/>
    <w:semiHidden/>
    <w:rsid w:val="005B29AB"/>
    <w:rPr>
      <w:vertAlign w:val="superscript"/>
    </w:rPr>
  </w:style>
  <w:style w:type="paragraph" w:styleId="FootnoteText">
    <w:name w:val="footnote text"/>
    <w:aliases w:val="Footnote Text Char1,Footnote Text Char3 Char,Footnote Text Char2 Char Char,Footnote Text Char Char1 Char Char,Footnote Text Char2 Char Char1 Char Char,Footnote Text Char Char1 Char Char Char Char,Footnote Text Char3,Footnote Text Char2,fn"/>
    <w:link w:val="FootnoteTextChar"/>
    <w:uiPriority w:val="99"/>
    <w:rsid w:val="005B29AB"/>
    <w:pPr>
      <w:spacing w:after="120"/>
    </w:pPr>
  </w:style>
  <w:style w:type="character" w:customStyle="1" w:styleId="FootnoteTextChar">
    <w:name w:val="Footnote Text Char"/>
    <w:aliases w:val="Footnote Text Char1 Char,Footnote Text Char3 Char Char,Footnote Text Char2 Char Char Char,Footnote Text Char Char1 Char Char Char,Footnote Text Char2 Char Char1 Char Char Char,Footnote Text Char Char1 Char Char Char Char Char,fn Char2"/>
    <w:link w:val="FootnoteText"/>
    <w:uiPriority w:val="99"/>
    <w:locked/>
    <w:rsid w:val="00C44156"/>
  </w:style>
  <w:style w:type="character" w:styleId="FootnoteReference">
    <w:name w:val="footnote reference"/>
    <w:aliases w:val="o,fr,Appel note de bas de p,Style 12,(NECG) Footnote Reference,Style 124,Style 3,Style 17,FR,Style 13,Style 6,Footnote Reference/,Style 7"/>
    <w:uiPriority w:val="99"/>
    <w:rsid w:val="005B29AB"/>
    <w:rPr>
      <w:rFonts w:ascii="Times New Roman" w:hAnsi="Times New Roman"/>
      <w:dstrike w:val="0"/>
      <w:color w:val="auto"/>
      <w:sz w:val="20"/>
      <w:vertAlign w:val="superscript"/>
    </w:rPr>
  </w:style>
  <w:style w:type="paragraph" w:styleId="TOC1">
    <w:name w:val="toc 1"/>
    <w:basedOn w:val="Normal"/>
    <w:next w:val="Normal"/>
    <w:uiPriority w:val="39"/>
    <w:rsid w:val="005B29AB"/>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5B29AB"/>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5B29AB"/>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5B29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29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29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29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29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29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29AB"/>
    <w:pPr>
      <w:tabs>
        <w:tab w:val="right" w:pos="9360"/>
      </w:tabs>
      <w:suppressAutoHyphens/>
    </w:pPr>
  </w:style>
  <w:style w:type="character" w:customStyle="1" w:styleId="EquationCaption">
    <w:name w:val="_Equation Caption"/>
    <w:rsid w:val="005B29AB"/>
  </w:style>
  <w:style w:type="paragraph" w:styleId="Header">
    <w:name w:val="header"/>
    <w:basedOn w:val="Normal"/>
    <w:link w:val="HeaderChar1"/>
    <w:autoRedefine/>
    <w:rsid w:val="005B29AB"/>
    <w:pPr>
      <w:tabs>
        <w:tab w:val="center" w:pos="4680"/>
        <w:tab w:val="right" w:pos="9360"/>
      </w:tabs>
    </w:pPr>
    <w:rPr>
      <w:b/>
    </w:rPr>
  </w:style>
  <w:style w:type="character" w:customStyle="1" w:styleId="HeaderChar1">
    <w:name w:val="Header Char1"/>
    <w:link w:val="Header"/>
    <w:locked/>
    <w:rsid w:val="008D3EB8"/>
    <w:rPr>
      <w:b/>
      <w:snapToGrid w:val="0"/>
      <w:kern w:val="28"/>
      <w:sz w:val="22"/>
    </w:rPr>
  </w:style>
  <w:style w:type="paragraph" w:styleId="Footer">
    <w:name w:val="footer"/>
    <w:basedOn w:val="Normal"/>
    <w:link w:val="FooterChar1"/>
    <w:rsid w:val="005B29AB"/>
    <w:pPr>
      <w:tabs>
        <w:tab w:val="center" w:pos="4320"/>
        <w:tab w:val="right" w:pos="8640"/>
      </w:tabs>
    </w:pPr>
  </w:style>
  <w:style w:type="character" w:customStyle="1" w:styleId="FooterChar1">
    <w:name w:val="Footer Char1"/>
    <w:link w:val="Footer"/>
    <w:locked/>
    <w:rsid w:val="00C44156"/>
    <w:rPr>
      <w:snapToGrid w:val="0"/>
      <w:kern w:val="28"/>
      <w:sz w:val="22"/>
    </w:rPr>
  </w:style>
  <w:style w:type="character" w:styleId="PageNumber">
    <w:name w:val="page number"/>
    <w:basedOn w:val="DefaultParagraphFont"/>
    <w:rsid w:val="005B29AB"/>
  </w:style>
  <w:style w:type="paragraph" w:styleId="BlockText">
    <w:name w:val="Block Text"/>
    <w:basedOn w:val="Normal"/>
    <w:rsid w:val="005B29AB"/>
    <w:pPr>
      <w:spacing w:after="240"/>
      <w:ind w:left="1440" w:right="1440"/>
    </w:pPr>
  </w:style>
  <w:style w:type="paragraph" w:customStyle="1" w:styleId="Paratitle">
    <w:name w:val="Para title"/>
    <w:basedOn w:val="Normal"/>
    <w:rsid w:val="005B29AB"/>
    <w:pPr>
      <w:tabs>
        <w:tab w:val="center" w:pos="9270"/>
      </w:tabs>
      <w:spacing w:after="240"/>
    </w:pPr>
    <w:rPr>
      <w:spacing w:val="-2"/>
    </w:rPr>
  </w:style>
  <w:style w:type="paragraph" w:customStyle="1" w:styleId="Bullet">
    <w:name w:val="Bullet"/>
    <w:basedOn w:val="Normal"/>
    <w:rsid w:val="005B29AB"/>
    <w:pPr>
      <w:tabs>
        <w:tab w:val="left" w:pos="2160"/>
      </w:tabs>
      <w:spacing w:after="220"/>
      <w:ind w:left="2160" w:hanging="720"/>
    </w:pPr>
  </w:style>
  <w:style w:type="paragraph" w:customStyle="1" w:styleId="TableFormat">
    <w:name w:val="TableFormat"/>
    <w:basedOn w:val="Bullet"/>
    <w:rsid w:val="005B29AB"/>
    <w:pPr>
      <w:tabs>
        <w:tab w:val="clear" w:pos="2160"/>
        <w:tab w:val="left" w:pos="5040"/>
      </w:tabs>
      <w:ind w:left="5040" w:hanging="3600"/>
    </w:pPr>
  </w:style>
  <w:style w:type="paragraph" w:customStyle="1" w:styleId="TOCTitle">
    <w:name w:val="TOC Title"/>
    <w:basedOn w:val="Normal"/>
    <w:rsid w:val="005B29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29AB"/>
    <w:pPr>
      <w:jc w:val="center"/>
    </w:pPr>
    <w:rPr>
      <w:rFonts w:ascii="Times New Roman Bold" w:hAnsi="Times New Roman Bold"/>
      <w:b/>
      <w:bCs/>
      <w:caps/>
    </w:rPr>
  </w:style>
  <w:style w:type="character" w:styleId="Hyperlink">
    <w:name w:val="Hyperlink"/>
    <w:rsid w:val="005B29AB"/>
    <w:rPr>
      <w:color w:val="0000FF"/>
      <w:u w:val="single"/>
    </w:rPr>
  </w:style>
  <w:style w:type="paragraph" w:styleId="BalloonText">
    <w:name w:val="Balloon Text"/>
    <w:basedOn w:val="Normal"/>
    <w:link w:val="BalloonTextChar1"/>
    <w:semiHidden/>
    <w:rsid w:val="00C44156"/>
    <w:rPr>
      <w:rFonts w:ascii="Tahoma" w:hAnsi="Tahoma" w:cs="Tahoma"/>
      <w:snapToGrid w:val="0"/>
      <w:sz w:val="16"/>
      <w:szCs w:val="16"/>
    </w:rPr>
  </w:style>
  <w:style w:type="character" w:customStyle="1" w:styleId="BalloonTextChar1">
    <w:name w:val="Balloon Text Char1"/>
    <w:link w:val="BalloonText"/>
    <w:semiHidden/>
    <w:locked/>
    <w:rsid w:val="00C44156"/>
    <w:rPr>
      <w:rFonts w:ascii="Tahoma" w:hAnsi="Tahoma" w:cs="Tahoma"/>
      <w:kern w:val="28"/>
      <w:sz w:val="16"/>
      <w:szCs w:val="16"/>
      <w:lang w:val="en-US" w:eastAsia="en-US" w:bidi="ar-SA"/>
    </w:rPr>
  </w:style>
  <w:style w:type="paragraph" w:customStyle="1" w:styleId="StyleParaNumTimesNewRoman11pt">
    <w:name w:val="Style ParaNum + Times New Roman 11 pt"/>
    <w:basedOn w:val="ParaNum"/>
    <w:link w:val="StyleParaNumTimesNewRoman11ptChar"/>
    <w:autoRedefine/>
    <w:rsid w:val="00C44156"/>
    <w:pPr>
      <w:numPr>
        <w:numId w:val="0"/>
      </w:numPr>
      <w:tabs>
        <w:tab w:val="num" w:pos="360"/>
        <w:tab w:val="left" w:pos="1440"/>
      </w:tabs>
      <w:ind w:left="360" w:hanging="360"/>
    </w:pPr>
    <w:rPr>
      <w:snapToGrid w:val="0"/>
    </w:rPr>
  </w:style>
  <w:style w:type="character" w:customStyle="1" w:styleId="StyleParaNumTimesNewRoman11ptChar">
    <w:name w:val="Style ParaNum + Times New Roman 11 pt Char"/>
    <w:link w:val="StyleParaNumTimesNewRoman11pt"/>
    <w:locked/>
    <w:rsid w:val="00C44156"/>
    <w:rPr>
      <w:kern w:val="28"/>
      <w:sz w:val="22"/>
      <w:lang w:val="en-US" w:eastAsia="en-US" w:bidi="ar-SA"/>
    </w:rPr>
  </w:style>
  <w:style w:type="character" w:customStyle="1" w:styleId="StyleFootnoteReferenceofrAppelnotedebasdepStyle12NECG">
    <w:name w:val="Style Footnote ReferenceofrAppel note de bas de pStyle 12(NECG..."/>
    <w:rsid w:val="00C44156"/>
    <w:rPr>
      <w:rFonts w:ascii="Times New Roman" w:hAnsi="Times New Roman"/>
      <w:color w:val="000000"/>
      <w:sz w:val="22"/>
      <w:vertAlign w:val="superscript"/>
    </w:rPr>
  </w:style>
  <w:style w:type="paragraph" w:customStyle="1" w:styleId="StyleParaNum">
    <w:name w:val="Style ParaNum +"/>
    <w:basedOn w:val="Normal"/>
    <w:link w:val="StyleParaNumChar"/>
    <w:autoRedefine/>
    <w:rsid w:val="00C44156"/>
    <w:pPr>
      <w:tabs>
        <w:tab w:val="num" w:pos="360"/>
        <w:tab w:val="num" w:pos="1440"/>
      </w:tabs>
      <w:spacing w:after="120"/>
      <w:ind w:left="360" w:hanging="360"/>
    </w:pPr>
    <w:rPr>
      <w:snapToGrid w:val="0"/>
    </w:rPr>
  </w:style>
  <w:style w:type="character" w:customStyle="1" w:styleId="StyleParaNumChar">
    <w:name w:val="Style ParaNum + Char"/>
    <w:link w:val="StyleParaNum"/>
    <w:locked/>
    <w:rsid w:val="00C44156"/>
    <w:rPr>
      <w:sz w:val="22"/>
      <w:lang w:val="en-US" w:eastAsia="en-US" w:bidi="ar-SA"/>
    </w:rPr>
  </w:style>
  <w:style w:type="paragraph" w:styleId="CommentText">
    <w:name w:val="annotation text"/>
    <w:basedOn w:val="Normal"/>
    <w:link w:val="CommentTextChar1"/>
    <w:uiPriority w:val="99"/>
    <w:rsid w:val="00C44156"/>
    <w:rPr>
      <w:snapToGrid w:val="0"/>
    </w:rPr>
  </w:style>
  <w:style w:type="character" w:customStyle="1" w:styleId="CommentTextChar1">
    <w:name w:val="Comment Text Char1"/>
    <w:link w:val="CommentText"/>
    <w:uiPriority w:val="99"/>
    <w:locked/>
    <w:rsid w:val="00C44156"/>
    <w:rPr>
      <w:kern w:val="28"/>
      <w:lang w:val="en-US" w:eastAsia="en-US" w:bidi="ar-SA"/>
    </w:rPr>
  </w:style>
  <w:style w:type="paragraph" w:styleId="CommentSubject">
    <w:name w:val="annotation subject"/>
    <w:basedOn w:val="CommentText"/>
    <w:next w:val="CommentText"/>
    <w:link w:val="CommentSubjectChar1"/>
    <w:semiHidden/>
    <w:rsid w:val="00C44156"/>
    <w:rPr>
      <w:b/>
      <w:bCs/>
    </w:rPr>
  </w:style>
  <w:style w:type="character" w:customStyle="1" w:styleId="CommentSubjectChar1">
    <w:name w:val="Comment Subject Char1"/>
    <w:link w:val="CommentSubject"/>
    <w:semiHidden/>
    <w:locked/>
    <w:rsid w:val="00C44156"/>
    <w:rPr>
      <w:b/>
      <w:bCs/>
      <w:kern w:val="28"/>
      <w:lang w:val="en-US" w:eastAsia="en-US" w:bidi="ar-SA"/>
    </w:rPr>
  </w:style>
  <w:style w:type="paragraph" w:styleId="DocumentMap">
    <w:name w:val="Document Map"/>
    <w:basedOn w:val="Normal"/>
    <w:link w:val="DocumentMapChar1"/>
    <w:semiHidden/>
    <w:rsid w:val="00C44156"/>
    <w:pPr>
      <w:shd w:val="clear" w:color="auto" w:fill="000080"/>
    </w:pPr>
    <w:rPr>
      <w:rFonts w:ascii="Tahoma" w:hAnsi="Tahoma" w:cs="Tahoma"/>
      <w:snapToGrid w:val="0"/>
    </w:rPr>
  </w:style>
  <w:style w:type="character" w:customStyle="1" w:styleId="DocumentMapChar1">
    <w:name w:val="Document Map Char1"/>
    <w:link w:val="DocumentMap"/>
    <w:semiHidden/>
    <w:locked/>
    <w:rsid w:val="00C44156"/>
    <w:rPr>
      <w:rFonts w:ascii="Tahoma" w:hAnsi="Tahoma" w:cs="Tahoma"/>
      <w:kern w:val="28"/>
      <w:lang w:val="en-US" w:eastAsia="en-US" w:bidi="ar-SA"/>
    </w:rPr>
  </w:style>
  <w:style w:type="character" w:customStyle="1" w:styleId="FootnoteTextChar5">
    <w:name w:val="Footnote Text Char5"/>
    <w:aliases w:val="Footnote Text Char2 Char Char1,Footnote Text Char3 Char Char Char1,Footnote Text Char2 Char Char Char Char1,Footnote Text Char Char Char1 Char Char Char Char1,Footnote Text Char1 Char1 Char Char Char Char1,fn Char1,f Char,f Char1"/>
    <w:locked/>
    <w:rsid w:val="00C44156"/>
    <w:rPr>
      <w:lang w:val="en-US" w:eastAsia="en-US"/>
    </w:rPr>
  </w:style>
  <w:style w:type="paragraph" w:customStyle="1" w:styleId="paranum0">
    <w:name w:val="paranum"/>
    <w:basedOn w:val="Normal"/>
    <w:rsid w:val="00C44156"/>
    <w:pPr>
      <w:snapToGrid w:val="0"/>
      <w:spacing w:after="120"/>
      <w:ind w:firstLine="720"/>
    </w:pPr>
    <w:rPr>
      <w:snapToGrid w:val="0"/>
    </w:rPr>
  </w:style>
  <w:style w:type="character" w:customStyle="1" w:styleId="cosearchterm6">
    <w:name w:val="co_searchterm6"/>
    <w:rsid w:val="007D1EC5"/>
    <w:rPr>
      <w:b/>
      <w:bCs/>
      <w:color w:val="252525"/>
    </w:rPr>
  </w:style>
  <w:style w:type="character" w:styleId="CommentReference">
    <w:name w:val="annotation reference"/>
    <w:uiPriority w:val="99"/>
    <w:rsid w:val="00C44156"/>
    <w:rPr>
      <w:sz w:val="16"/>
      <w:szCs w:val="16"/>
    </w:rPr>
  </w:style>
  <w:style w:type="character" w:customStyle="1" w:styleId="Heading1Char">
    <w:name w:val="Heading 1 Char"/>
    <w:basedOn w:val="DefaultParagraphFont"/>
    <w:uiPriority w:val="9"/>
    <w:locked/>
    <w:rsid w:val="00017C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locked/>
    <w:rsid w:val="00017C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locked/>
    <w:rsid w:val="00017C0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uiPriority w:val="9"/>
    <w:locked/>
    <w:rsid w:val="00017C0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uiPriority w:val="9"/>
    <w:semiHidden/>
    <w:locked/>
    <w:rsid w:val="00017C0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uiPriority w:val="9"/>
    <w:semiHidden/>
    <w:locked/>
    <w:rsid w:val="00017C0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uiPriority w:val="9"/>
    <w:semiHidden/>
    <w:locked/>
    <w:rsid w:val="00017C0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uiPriority w:val="9"/>
    <w:semiHidden/>
    <w:locked/>
    <w:rsid w:val="00017C0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uiPriority w:val="9"/>
    <w:semiHidden/>
    <w:locked/>
    <w:rsid w:val="00017C01"/>
    <w:rPr>
      <w:rFonts w:asciiTheme="majorHAnsi" w:eastAsiaTheme="majorEastAsia" w:hAnsiTheme="majorHAnsi" w:cstheme="majorBidi"/>
      <w:i/>
      <w:iCs/>
      <w:color w:val="404040" w:themeColor="text1" w:themeTint="BF"/>
    </w:rPr>
  </w:style>
  <w:style w:type="character" w:customStyle="1" w:styleId="EndnoteTextChar">
    <w:name w:val="Endnote Text Char"/>
    <w:semiHidden/>
    <w:locked/>
    <w:rsid w:val="00C44156"/>
    <w:rPr>
      <w:snapToGrid w:val="0"/>
      <w:kern w:val="28"/>
      <w:lang w:val="en-US" w:eastAsia="en-US" w:bidi="ar-SA"/>
    </w:rPr>
  </w:style>
  <w:style w:type="character" w:customStyle="1" w:styleId="HeaderChar">
    <w:name w:val="Header Char"/>
    <w:semiHidden/>
    <w:locked/>
    <w:rsid w:val="00C44156"/>
    <w:rPr>
      <w:b/>
      <w:snapToGrid w:val="0"/>
      <w:kern w:val="28"/>
      <w:sz w:val="22"/>
      <w:lang w:val="en-US" w:eastAsia="en-US" w:bidi="ar-SA"/>
    </w:rPr>
  </w:style>
  <w:style w:type="character" w:customStyle="1" w:styleId="FooterChar">
    <w:name w:val="Footer Char"/>
    <w:semiHidden/>
    <w:locked/>
    <w:rsid w:val="00C44156"/>
    <w:rPr>
      <w:snapToGrid w:val="0"/>
      <w:kern w:val="28"/>
      <w:sz w:val="22"/>
      <w:lang w:val="en-US" w:eastAsia="en-US" w:bidi="ar-SA"/>
    </w:rPr>
  </w:style>
  <w:style w:type="character" w:customStyle="1" w:styleId="BalloonTextChar">
    <w:name w:val="Balloon Text Char"/>
    <w:semiHidden/>
    <w:locked/>
    <w:rsid w:val="00C44156"/>
    <w:rPr>
      <w:rFonts w:ascii="Tahoma" w:hAnsi="Tahoma" w:cs="Tahoma"/>
      <w:kern w:val="28"/>
      <w:sz w:val="16"/>
      <w:szCs w:val="16"/>
      <w:lang w:val="en-US" w:eastAsia="en-US" w:bidi="ar-SA"/>
    </w:rPr>
  </w:style>
  <w:style w:type="character" w:customStyle="1" w:styleId="CommentTextChar">
    <w:name w:val="Comment Text Char"/>
    <w:uiPriority w:val="99"/>
    <w:semiHidden/>
    <w:locked/>
    <w:rsid w:val="00C44156"/>
    <w:rPr>
      <w:kern w:val="28"/>
      <w:lang w:val="en-US" w:eastAsia="en-US" w:bidi="ar-SA"/>
    </w:rPr>
  </w:style>
  <w:style w:type="character" w:customStyle="1" w:styleId="CommentSubjectChar">
    <w:name w:val="Comment Subject Char"/>
    <w:semiHidden/>
    <w:locked/>
    <w:rsid w:val="00C44156"/>
    <w:rPr>
      <w:b/>
      <w:bCs/>
      <w:kern w:val="28"/>
      <w:lang w:val="en-US" w:eastAsia="en-US" w:bidi="ar-SA"/>
    </w:rPr>
  </w:style>
  <w:style w:type="character" w:customStyle="1" w:styleId="DocumentMapChar">
    <w:name w:val="Document Map Char"/>
    <w:semiHidden/>
    <w:locked/>
    <w:rsid w:val="00C44156"/>
    <w:rPr>
      <w:rFonts w:ascii="Tahoma" w:hAnsi="Tahoma" w:cs="Tahoma"/>
      <w:kern w:val="28"/>
      <w:lang w:val="en-US" w:eastAsia="en-US" w:bidi="ar-SA"/>
    </w:rPr>
  </w:style>
  <w:style w:type="character" w:customStyle="1" w:styleId="footnotetextchar2char1">
    <w:name w:val="footnotetextchar2char1"/>
    <w:basedOn w:val="DefaultParagraphFont"/>
    <w:rsid w:val="00C44156"/>
  </w:style>
  <w:style w:type="character" w:styleId="Emphasis">
    <w:name w:val="Emphasis"/>
    <w:uiPriority w:val="20"/>
    <w:qFormat/>
    <w:rsid w:val="00017C01"/>
    <w:rPr>
      <w:i/>
      <w:iCs/>
    </w:rPr>
  </w:style>
  <w:style w:type="character" w:styleId="FollowedHyperlink">
    <w:name w:val="FollowedHyperlink"/>
    <w:rsid w:val="00C44156"/>
    <w:rPr>
      <w:color w:val="800080"/>
      <w:u w:val="single"/>
    </w:rPr>
  </w:style>
  <w:style w:type="character" w:styleId="Strong">
    <w:name w:val="Strong"/>
    <w:qFormat/>
    <w:rsid w:val="00017C01"/>
    <w:rPr>
      <w:b/>
      <w:bCs/>
    </w:rPr>
  </w:style>
  <w:style w:type="paragraph" w:styleId="NormalWeb">
    <w:name w:val="Normal (Web)"/>
    <w:basedOn w:val="Normal"/>
    <w:uiPriority w:val="99"/>
    <w:rsid w:val="00C44156"/>
    <w:pPr>
      <w:spacing w:before="100" w:beforeAutospacing="1" w:after="100" w:afterAutospacing="1"/>
    </w:pPr>
    <w:rPr>
      <w:snapToGrid w:val="0"/>
    </w:rPr>
  </w:style>
  <w:style w:type="character" w:customStyle="1" w:styleId="FootnoteTextChar3CharCharChar">
    <w:name w:val="Footnote Text Char3 Char Char Char"/>
    <w:aliases w:val="Footnote Text Char2 Char Char Char Char,Footnote Text Char Char Char1 Char Char Char Char,Footnote Text Char1 Char1 Char Char Char Char,Footnote Text Char Char Char2 Char Char Char,fn Char,Footnote Text Char Char"/>
    <w:locked/>
    <w:rsid w:val="00A710D7"/>
    <w:rPr>
      <w:lang w:val="en-US" w:eastAsia="en-US" w:bidi="ar-SA"/>
    </w:rPr>
  </w:style>
  <w:style w:type="paragraph" w:styleId="Revision">
    <w:name w:val="Revision"/>
    <w:hidden/>
    <w:uiPriority w:val="99"/>
    <w:semiHidden/>
    <w:rsid w:val="000641CD"/>
    <w:rPr>
      <w:snapToGrid w:val="0"/>
      <w:kern w:val="28"/>
      <w:sz w:val="22"/>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56329E"/>
    <w:rPr>
      <w:lang w:val="en-US" w:eastAsia="en-US" w:bidi="ar-SA"/>
    </w:rPr>
  </w:style>
  <w:style w:type="character" w:customStyle="1" w:styleId="BalloonTextChar2">
    <w:name w:val="Balloon Text Char2"/>
    <w:semiHidden/>
    <w:locked/>
    <w:rsid w:val="00C43BE4"/>
    <w:rPr>
      <w:rFonts w:ascii="Tahoma" w:hAnsi="Tahoma"/>
      <w:kern w:val="28"/>
      <w:sz w:val="16"/>
      <w:lang w:val="en-US" w:eastAsia="en-US"/>
    </w:rPr>
  </w:style>
  <w:style w:type="character" w:customStyle="1" w:styleId="StyleFootnoteReferenceofrAppelnotedebasdepStyle12NECG1">
    <w:name w:val="Style Footnote ReferenceofrAppel note de bas de pStyle 12(NECG...1"/>
    <w:rsid w:val="00883FEC"/>
    <w:rPr>
      <w:rFonts w:ascii="Times New Roman" w:hAnsi="Times New Roman"/>
      <w:dstrike w:val="0"/>
      <w:color w:val="auto"/>
      <w:kern w:val="0"/>
      <w:sz w:val="22"/>
      <w:vertAlign w:val="superscript"/>
    </w:rPr>
  </w:style>
  <w:style w:type="character" w:customStyle="1" w:styleId="costarpage2">
    <w:name w:val="co_starpage2"/>
    <w:rsid w:val="007D1EC5"/>
  </w:style>
  <w:style w:type="character" w:customStyle="1" w:styleId="documentbody">
    <w:name w:val="documentbody"/>
    <w:basedOn w:val="DefaultParagraphFont"/>
    <w:rsid w:val="007D3E5E"/>
  </w:style>
  <w:style w:type="character" w:customStyle="1" w:styleId="CommentTextChar3">
    <w:name w:val="Comment Text Char3"/>
    <w:locked/>
    <w:rsid w:val="008A1C1E"/>
    <w:rPr>
      <w:kern w:val="28"/>
      <w:lang w:val="en-US" w:eastAsia="en-US"/>
    </w:rPr>
  </w:style>
  <w:style w:type="character" w:customStyle="1" w:styleId="Normal2">
    <w:name w:val="Normal2"/>
    <w:rsid w:val="008A1C1E"/>
    <w:rPr>
      <w:rFonts w:ascii="Times New Roman" w:hAnsi="Times New Roman" w:cs="Times New Roman"/>
      <w:sz w:val="20"/>
      <w:lang w:val="en-US"/>
    </w:rPr>
  </w:style>
  <w:style w:type="character" w:customStyle="1" w:styleId="FootnoteTextChar4">
    <w:name w:val="Footnote Text Char4"/>
    <w:aliases w:val="Footnote Text Char1 Char1,Footnote Text Char3 Char Char1,Footnote Text Char2 Char Char Char1,Footnote Text Char Char1 Char Char Char1,Footnote Text Char2 Char Char1 Char Char Char1,Footnote Text Char Char1 Char Char Char Char Char1"/>
    <w:semiHidden/>
    <w:locked/>
    <w:rsid w:val="00086899"/>
  </w:style>
  <w:style w:type="paragraph" w:styleId="TOCHeading">
    <w:name w:val="TOC Heading"/>
    <w:basedOn w:val="Heading1"/>
    <w:next w:val="Normal"/>
    <w:uiPriority w:val="39"/>
    <w:semiHidden/>
    <w:unhideWhenUsed/>
    <w:qFormat/>
    <w:rsid w:val="00017C01"/>
    <w:pPr>
      <w:keepLines/>
      <w:numPr>
        <w:numId w:val="0"/>
      </w:numPr>
      <w:tabs>
        <w:tab w:val="left" w:pos="720"/>
      </w:tabs>
      <w:suppressAutoHyphens w:val="0"/>
      <w:spacing w:before="480" w:after="0"/>
      <w:outlineLvl w:val="9"/>
    </w:pPr>
    <w:rPr>
      <w:rFonts w:ascii="Cambria" w:eastAsia="MS Gothic" w:hAnsi="Cambria" w:cstheme="minorBidi"/>
      <w:bCs/>
      <w:caps w:val="0"/>
      <w:color w:val="365F91"/>
      <w:kern w:val="0"/>
      <w:sz w:val="28"/>
      <w:szCs w:val="28"/>
      <w:lang w:eastAsia="ja-JP"/>
    </w:rPr>
  </w:style>
  <w:style w:type="character" w:customStyle="1" w:styleId="Heading2Char4">
    <w:name w:val="Heading 2 Char4"/>
    <w:locked/>
    <w:rsid w:val="005C0F80"/>
    <w:rPr>
      <w:b/>
      <w:snapToGrid w:val="0"/>
      <w:kern w:val="28"/>
      <w:sz w:val="22"/>
    </w:rPr>
  </w:style>
  <w:style w:type="paragraph" w:styleId="PlainText">
    <w:name w:val="Plain Text"/>
    <w:basedOn w:val="Normal"/>
    <w:link w:val="PlainTextChar"/>
    <w:rsid w:val="005C0F80"/>
    <w:rPr>
      <w:rFonts w:ascii="Courier New" w:hAnsi="Courier New"/>
    </w:rPr>
  </w:style>
  <w:style w:type="character" w:customStyle="1" w:styleId="PlainTextChar">
    <w:name w:val="Plain Text Char"/>
    <w:link w:val="PlainText"/>
    <w:rsid w:val="005C0F80"/>
    <w:rPr>
      <w:rFonts w:ascii="Courier New" w:hAnsi="Courier New"/>
      <w:snapToGrid w:val="0"/>
      <w:kern w:val="28"/>
    </w:rPr>
  </w:style>
  <w:style w:type="character" w:customStyle="1" w:styleId="searchterm">
    <w:name w:val="searchterm"/>
    <w:rsid w:val="004B33FA"/>
  </w:style>
  <w:style w:type="paragraph" w:styleId="ListParagraph">
    <w:name w:val="List Paragraph"/>
    <w:basedOn w:val="Normal"/>
    <w:uiPriority w:val="34"/>
    <w:qFormat/>
    <w:rsid w:val="00017C01"/>
    <w:pPr>
      <w:ind w:left="720"/>
    </w:pPr>
  </w:style>
  <w:style w:type="paragraph" w:customStyle="1" w:styleId="Default">
    <w:name w:val="Default"/>
    <w:rsid w:val="00415D85"/>
    <w:pPr>
      <w:autoSpaceDE w:val="0"/>
      <w:autoSpaceDN w:val="0"/>
      <w:adjustRightInd w:val="0"/>
    </w:pPr>
    <w:rPr>
      <w:color w:val="000000"/>
      <w:sz w:val="24"/>
      <w:szCs w:val="24"/>
    </w:rPr>
  </w:style>
  <w:style w:type="paragraph" w:customStyle="1" w:styleId="CM30">
    <w:name w:val="CM30"/>
    <w:basedOn w:val="Default"/>
    <w:next w:val="Default"/>
    <w:uiPriority w:val="99"/>
    <w:rsid w:val="00415D85"/>
    <w:rPr>
      <w:color w:val="auto"/>
    </w:rPr>
  </w:style>
  <w:style w:type="character" w:customStyle="1" w:styleId="informationalsmall">
    <w:name w:val="informationalsmall"/>
    <w:basedOn w:val="DefaultParagraphFont"/>
    <w:rsid w:val="00C008EF"/>
  </w:style>
  <w:style w:type="character" w:customStyle="1" w:styleId="listitemlarge">
    <w:name w:val="listitemlarge"/>
    <w:basedOn w:val="DefaultParagraphFont"/>
    <w:rsid w:val="00BE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99">
      <w:bodyDiv w:val="1"/>
      <w:marLeft w:val="0"/>
      <w:marRight w:val="0"/>
      <w:marTop w:val="0"/>
      <w:marBottom w:val="0"/>
      <w:divBdr>
        <w:top w:val="none" w:sz="0" w:space="0" w:color="auto"/>
        <w:left w:val="none" w:sz="0" w:space="0" w:color="auto"/>
        <w:bottom w:val="none" w:sz="0" w:space="0" w:color="auto"/>
        <w:right w:val="none" w:sz="0" w:space="0" w:color="auto"/>
      </w:divBdr>
    </w:div>
    <w:div w:id="35591071">
      <w:bodyDiv w:val="1"/>
      <w:marLeft w:val="0"/>
      <w:marRight w:val="0"/>
      <w:marTop w:val="0"/>
      <w:marBottom w:val="0"/>
      <w:divBdr>
        <w:top w:val="none" w:sz="0" w:space="0" w:color="auto"/>
        <w:left w:val="none" w:sz="0" w:space="0" w:color="auto"/>
        <w:bottom w:val="none" w:sz="0" w:space="0" w:color="auto"/>
        <w:right w:val="none" w:sz="0" w:space="0" w:color="auto"/>
      </w:divBdr>
    </w:div>
    <w:div w:id="36785062">
      <w:bodyDiv w:val="1"/>
      <w:marLeft w:val="0"/>
      <w:marRight w:val="0"/>
      <w:marTop w:val="0"/>
      <w:marBottom w:val="0"/>
      <w:divBdr>
        <w:top w:val="none" w:sz="0" w:space="0" w:color="auto"/>
        <w:left w:val="none" w:sz="0" w:space="0" w:color="auto"/>
        <w:bottom w:val="none" w:sz="0" w:space="0" w:color="auto"/>
        <w:right w:val="none" w:sz="0" w:space="0" w:color="auto"/>
      </w:divBdr>
    </w:div>
    <w:div w:id="76248312">
      <w:bodyDiv w:val="1"/>
      <w:marLeft w:val="0"/>
      <w:marRight w:val="0"/>
      <w:marTop w:val="0"/>
      <w:marBottom w:val="0"/>
      <w:divBdr>
        <w:top w:val="none" w:sz="0" w:space="0" w:color="auto"/>
        <w:left w:val="none" w:sz="0" w:space="0" w:color="auto"/>
        <w:bottom w:val="none" w:sz="0" w:space="0" w:color="auto"/>
        <w:right w:val="none" w:sz="0" w:space="0" w:color="auto"/>
      </w:divBdr>
    </w:div>
    <w:div w:id="152376160">
      <w:bodyDiv w:val="1"/>
      <w:marLeft w:val="0"/>
      <w:marRight w:val="0"/>
      <w:marTop w:val="0"/>
      <w:marBottom w:val="0"/>
      <w:divBdr>
        <w:top w:val="none" w:sz="0" w:space="0" w:color="auto"/>
        <w:left w:val="none" w:sz="0" w:space="0" w:color="auto"/>
        <w:bottom w:val="none" w:sz="0" w:space="0" w:color="auto"/>
        <w:right w:val="none" w:sz="0" w:space="0" w:color="auto"/>
      </w:divBdr>
    </w:div>
    <w:div w:id="169101749">
      <w:bodyDiv w:val="1"/>
      <w:marLeft w:val="0"/>
      <w:marRight w:val="0"/>
      <w:marTop w:val="0"/>
      <w:marBottom w:val="0"/>
      <w:divBdr>
        <w:top w:val="none" w:sz="0" w:space="0" w:color="auto"/>
        <w:left w:val="none" w:sz="0" w:space="0" w:color="auto"/>
        <w:bottom w:val="none" w:sz="0" w:space="0" w:color="auto"/>
        <w:right w:val="none" w:sz="0" w:space="0" w:color="auto"/>
      </w:divBdr>
    </w:div>
    <w:div w:id="184562585">
      <w:bodyDiv w:val="1"/>
      <w:marLeft w:val="0"/>
      <w:marRight w:val="0"/>
      <w:marTop w:val="0"/>
      <w:marBottom w:val="0"/>
      <w:divBdr>
        <w:top w:val="none" w:sz="0" w:space="0" w:color="auto"/>
        <w:left w:val="none" w:sz="0" w:space="0" w:color="auto"/>
        <w:bottom w:val="none" w:sz="0" w:space="0" w:color="auto"/>
        <w:right w:val="none" w:sz="0" w:space="0" w:color="auto"/>
      </w:divBdr>
    </w:div>
    <w:div w:id="217864654">
      <w:bodyDiv w:val="1"/>
      <w:marLeft w:val="0"/>
      <w:marRight w:val="0"/>
      <w:marTop w:val="0"/>
      <w:marBottom w:val="0"/>
      <w:divBdr>
        <w:top w:val="none" w:sz="0" w:space="0" w:color="auto"/>
        <w:left w:val="none" w:sz="0" w:space="0" w:color="auto"/>
        <w:bottom w:val="none" w:sz="0" w:space="0" w:color="auto"/>
        <w:right w:val="none" w:sz="0" w:space="0" w:color="auto"/>
      </w:divBdr>
    </w:div>
    <w:div w:id="227109679">
      <w:bodyDiv w:val="1"/>
      <w:marLeft w:val="0"/>
      <w:marRight w:val="0"/>
      <w:marTop w:val="0"/>
      <w:marBottom w:val="0"/>
      <w:divBdr>
        <w:top w:val="none" w:sz="0" w:space="0" w:color="auto"/>
        <w:left w:val="none" w:sz="0" w:space="0" w:color="auto"/>
        <w:bottom w:val="none" w:sz="0" w:space="0" w:color="auto"/>
        <w:right w:val="none" w:sz="0" w:space="0" w:color="auto"/>
      </w:divBdr>
    </w:div>
    <w:div w:id="258607999">
      <w:bodyDiv w:val="1"/>
      <w:marLeft w:val="0"/>
      <w:marRight w:val="0"/>
      <w:marTop w:val="0"/>
      <w:marBottom w:val="0"/>
      <w:divBdr>
        <w:top w:val="none" w:sz="0" w:space="0" w:color="auto"/>
        <w:left w:val="none" w:sz="0" w:space="0" w:color="auto"/>
        <w:bottom w:val="none" w:sz="0" w:space="0" w:color="auto"/>
        <w:right w:val="none" w:sz="0" w:space="0" w:color="auto"/>
      </w:divBdr>
    </w:div>
    <w:div w:id="259728799">
      <w:bodyDiv w:val="1"/>
      <w:marLeft w:val="0"/>
      <w:marRight w:val="0"/>
      <w:marTop w:val="0"/>
      <w:marBottom w:val="0"/>
      <w:divBdr>
        <w:top w:val="none" w:sz="0" w:space="0" w:color="auto"/>
        <w:left w:val="none" w:sz="0" w:space="0" w:color="auto"/>
        <w:bottom w:val="none" w:sz="0" w:space="0" w:color="auto"/>
        <w:right w:val="none" w:sz="0" w:space="0" w:color="auto"/>
      </w:divBdr>
    </w:div>
    <w:div w:id="332608423">
      <w:bodyDiv w:val="1"/>
      <w:marLeft w:val="0"/>
      <w:marRight w:val="0"/>
      <w:marTop w:val="0"/>
      <w:marBottom w:val="0"/>
      <w:divBdr>
        <w:top w:val="none" w:sz="0" w:space="0" w:color="auto"/>
        <w:left w:val="none" w:sz="0" w:space="0" w:color="auto"/>
        <w:bottom w:val="none" w:sz="0" w:space="0" w:color="auto"/>
        <w:right w:val="none" w:sz="0" w:space="0" w:color="auto"/>
      </w:divBdr>
    </w:div>
    <w:div w:id="335694339">
      <w:bodyDiv w:val="1"/>
      <w:marLeft w:val="0"/>
      <w:marRight w:val="0"/>
      <w:marTop w:val="0"/>
      <w:marBottom w:val="0"/>
      <w:divBdr>
        <w:top w:val="none" w:sz="0" w:space="0" w:color="auto"/>
        <w:left w:val="none" w:sz="0" w:space="0" w:color="auto"/>
        <w:bottom w:val="none" w:sz="0" w:space="0" w:color="auto"/>
        <w:right w:val="none" w:sz="0" w:space="0" w:color="auto"/>
      </w:divBdr>
    </w:div>
    <w:div w:id="371392860">
      <w:bodyDiv w:val="1"/>
      <w:marLeft w:val="0"/>
      <w:marRight w:val="0"/>
      <w:marTop w:val="0"/>
      <w:marBottom w:val="0"/>
      <w:divBdr>
        <w:top w:val="none" w:sz="0" w:space="0" w:color="auto"/>
        <w:left w:val="none" w:sz="0" w:space="0" w:color="auto"/>
        <w:bottom w:val="none" w:sz="0" w:space="0" w:color="auto"/>
        <w:right w:val="none" w:sz="0" w:space="0" w:color="auto"/>
      </w:divBdr>
    </w:div>
    <w:div w:id="375736425">
      <w:bodyDiv w:val="1"/>
      <w:marLeft w:val="0"/>
      <w:marRight w:val="0"/>
      <w:marTop w:val="0"/>
      <w:marBottom w:val="0"/>
      <w:divBdr>
        <w:top w:val="none" w:sz="0" w:space="0" w:color="auto"/>
        <w:left w:val="none" w:sz="0" w:space="0" w:color="auto"/>
        <w:bottom w:val="none" w:sz="0" w:space="0" w:color="auto"/>
        <w:right w:val="none" w:sz="0" w:space="0" w:color="auto"/>
      </w:divBdr>
      <w:divsChild>
        <w:div w:id="74206004">
          <w:marLeft w:val="1008"/>
          <w:marRight w:val="0"/>
          <w:marTop w:val="58"/>
          <w:marBottom w:val="120"/>
          <w:divBdr>
            <w:top w:val="none" w:sz="0" w:space="0" w:color="auto"/>
            <w:left w:val="none" w:sz="0" w:space="0" w:color="auto"/>
            <w:bottom w:val="none" w:sz="0" w:space="0" w:color="auto"/>
            <w:right w:val="none" w:sz="0" w:space="0" w:color="auto"/>
          </w:divBdr>
        </w:div>
        <w:div w:id="139151433">
          <w:marLeft w:val="1008"/>
          <w:marRight w:val="0"/>
          <w:marTop w:val="58"/>
          <w:marBottom w:val="120"/>
          <w:divBdr>
            <w:top w:val="none" w:sz="0" w:space="0" w:color="auto"/>
            <w:left w:val="none" w:sz="0" w:space="0" w:color="auto"/>
            <w:bottom w:val="none" w:sz="0" w:space="0" w:color="auto"/>
            <w:right w:val="none" w:sz="0" w:space="0" w:color="auto"/>
          </w:divBdr>
        </w:div>
        <w:div w:id="573902373">
          <w:marLeft w:val="1008"/>
          <w:marRight w:val="0"/>
          <w:marTop w:val="58"/>
          <w:marBottom w:val="120"/>
          <w:divBdr>
            <w:top w:val="none" w:sz="0" w:space="0" w:color="auto"/>
            <w:left w:val="none" w:sz="0" w:space="0" w:color="auto"/>
            <w:bottom w:val="none" w:sz="0" w:space="0" w:color="auto"/>
            <w:right w:val="none" w:sz="0" w:space="0" w:color="auto"/>
          </w:divBdr>
        </w:div>
        <w:div w:id="1230384252">
          <w:marLeft w:val="1008"/>
          <w:marRight w:val="0"/>
          <w:marTop w:val="58"/>
          <w:marBottom w:val="120"/>
          <w:divBdr>
            <w:top w:val="none" w:sz="0" w:space="0" w:color="auto"/>
            <w:left w:val="none" w:sz="0" w:space="0" w:color="auto"/>
            <w:bottom w:val="none" w:sz="0" w:space="0" w:color="auto"/>
            <w:right w:val="none" w:sz="0" w:space="0" w:color="auto"/>
          </w:divBdr>
        </w:div>
        <w:div w:id="1489059054">
          <w:marLeft w:val="1008"/>
          <w:marRight w:val="0"/>
          <w:marTop w:val="58"/>
          <w:marBottom w:val="120"/>
          <w:divBdr>
            <w:top w:val="none" w:sz="0" w:space="0" w:color="auto"/>
            <w:left w:val="none" w:sz="0" w:space="0" w:color="auto"/>
            <w:bottom w:val="none" w:sz="0" w:space="0" w:color="auto"/>
            <w:right w:val="none" w:sz="0" w:space="0" w:color="auto"/>
          </w:divBdr>
        </w:div>
        <w:div w:id="2098987454">
          <w:marLeft w:val="1008"/>
          <w:marRight w:val="0"/>
          <w:marTop w:val="58"/>
          <w:marBottom w:val="120"/>
          <w:divBdr>
            <w:top w:val="none" w:sz="0" w:space="0" w:color="auto"/>
            <w:left w:val="none" w:sz="0" w:space="0" w:color="auto"/>
            <w:bottom w:val="none" w:sz="0" w:space="0" w:color="auto"/>
            <w:right w:val="none" w:sz="0" w:space="0" w:color="auto"/>
          </w:divBdr>
        </w:div>
      </w:divsChild>
    </w:div>
    <w:div w:id="393282879">
      <w:bodyDiv w:val="1"/>
      <w:marLeft w:val="0"/>
      <w:marRight w:val="0"/>
      <w:marTop w:val="0"/>
      <w:marBottom w:val="0"/>
      <w:divBdr>
        <w:top w:val="none" w:sz="0" w:space="0" w:color="auto"/>
        <w:left w:val="none" w:sz="0" w:space="0" w:color="auto"/>
        <w:bottom w:val="none" w:sz="0" w:space="0" w:color="auto"/>
        <w:right w:val="none" w:sz="0" w:space="0" w:color="auto"/>
      </w:divBdr>
    </w:div>
    <w:div w:id="409355143">
      <w:bodyDiv w:val="1"/>
      <w:marLeft w:val="0"/>
      <w:marRight w:val="0"/>
      <w:marTop w:val="0"/>
      <w:marBottom w:val="0"/>
      <w:divBdr>
        <w:top w:val="none" w:sz="0" w:space="0" w:color="auto"/>
        <w:left w:val="none" w:sz="0" w:space="0" w:color="auto"/>
        <w:bottom w:val="none" w:sz="0" w:space="0" w:color="auto"/>
        <w:right w:val="none" w:sz="0" w:space="0" w:color="auto"/>
      </w:divBdr>
    </w:div>
    <w:div w:id="466513382">
      <w:bodyDiv w:val="1"/>
      <w:marLeft w:val="0"/>
      <w:marRight w:val="0"/>
      <w:marTop w:val="0"/>
      <w:marBottom w:val="0"/>
      <w:divBdr>
        <w:top w:val="none" w:sz="0" w:space="0" w:color="auto"/>
        <w:left w:val="none" w:sz="0" w:space="0" w:color="auto"/>
        <w:bottom w:val="none" w:sz="0" w:space="0" w:color="auto"/>
        <w:right w:val="none" w:sz="0" w:space="0" w:color="auto"/>
      </w:divBdr>
    </w:div>
    <w:div w:id="467166787">
      <w:bodyDiv w:val="1"/>
      <w:marLeft w:val="0"/>
      <w:marRight w:val="0"/>
      <w:marTop w:val="0"/>
      <w:marBottom w:val="0"/>
      <w:divBdr>
        <w:top w:val="none" w:sz="0" w:space="0" w:color="auto"/>
        <w:left w:val="none" w:sz="0" w:space="0" w:color="auto"/>
        <w:bottom w:val="none" w:sz="0" w:space="0" w:color="auto"/>
        <w:right w:val="none" w:sz="0" w:space="0" w:color="auto"/>
      </w:divBdr>
    </w:div>
    <w:div w:id="487869949">
      <w:bodyDiv w:val="1"/>
      <w:marLeft w:val="0"/>
      <w:marRight w:val="0"/>
      <w:marTop w:val="0"/>
      <w:marBottom w:val="0"/>
      <w:divBdr>
        <w:top w:val="none" w:sz="0" w:space="0" w:color="auto"/>
        <w:left w:val="none" w:sz="0" w:space="0" w:color="auto"/>
        <w:bottom w:val="none" w:sz="0" w:space="0" w:color="auto"/>
        <w:right w:val="none" w:sz="0" w:space="0" w:color="auto"/>
      </w:divBdr>
    </w:div>
    <w:div w:id="526794511">
      <w:bodyDiv w:val="1"/>
      <w:marLeft w:val="0"/>
      <w:marRight w:val="0"/>
      <w:marTop w:val="0"/>
      <w:marBottom w:val="0"/>
      <w:divBdr>
        <w:top w:val="none" w:sz="0" w:space="0" w:color="auto"/>
        <w:left w:val="none" w:sz="0" w:space="0" w:color="auto"/>
        <w:bottom w:val="none" w:sz="0" w:space="0" w:color="auto"/>
        <w:right w:val="none" w:sz="0" w:space="0" w:color="auto"/>
      </w:divBdr>
    </w:div>
    <w:div w:id="548885275">
      <w:bodyDiv w:val="1"/>
      <w:marLeft w:val="0"/>
      <w:marRight w:val="0"/>
      <w:marTop w:val="0"/>
      <w:marBottom w:val="0"/>
      <w:divBdr>
        <w:top w:val="none" w:sz="0" w:space="0" w:color="auto"/>
        <w:left w:val="none" w:sz="0" w:space="0" w:color="auto"/>
        <w:bottom w:val="none" w:sz="0" w:space="0" w:color="auto"/>
        <w:right w:val="none" w:sz="0" w:space="0" w:color="auto"/>
      </w:divBdr>
    </w:div>
    <w:div w:id="572156689">
      <w:bodyDiv w:val="1"/>
      <w:marLeft w:val="0"/>
      <w:marRight w:val="0"/>
      <w:marTop w:val="0"/>
      <w:marBottom w:val="0"/>
      <w:divBdr>
        <w:top w:val="none" w:sz="0" w:space="0" w:color="auto"/>
        <w:left w:val="none" w:sz="0" w:space="0" w:color="auto"/>
        <w:bottom w:val="none" w:sz="0" w:space="0" w:color="auto"/>
        <w:right w:val="none" w:sz="0" w:space="0" w:color="auto"/>
      </w:divBdr>
    </w:div>
    <w:div w:id="576016715">
      <w:bodyDiv w:val="1"/>
      <w:marLeft w:val="0"/>
      <w:marRight w:val="0"/>
      <w:marTop w:val="0"/>
      <w:marBottom w:val="0"/>
      <w:divBdr>
        <w:top w:val="none" w:sz="0" w:space="0" w:color="auto"/>
        <w:left w:val="none" w:sz="0" w:space="0" w:color="auto"/>
        <w:bottom w:val="none" w:sz="0" w:space="0" w:color="auto"/>
        <w:right w:val="none" w:sz="0" w:space="0" w:color="auto"/>
      </w:divBdr>
    </w:div>
    <w:div w:id="578175078">
      <w:bodyDiv w:val="1"/>
      <w:marLeft w:val="0"/>
      <w:marRight w:val="0"/>
      <w:marTop w:val="0"/>
      <w:marBottom w:val="0"/>
      <w:divBdr>
        <w:top w:val="none" w:sz="0" w:space="0" w:color="auto"/>
        <w:left w:val="none" w:sz="0" w:space="0" w:color="auto"/>
        <w:bottom w:val="none" w:sz="0" w:space="0" w:color="auto"/>
        <w:right w:val="none" w:sz="0" w:space="0" w:color="auto"/>
      </w:divBdr>
    </w:div>
    <w:div w:id="612522739">
      <w:bodyDiv w:val="1"/>
      <w:marLeft w:val="0"/>
      <w:marRight w:val="0"/>
      <w:marTop w:val="0"/>
      <w:marBottom w:val="0"/>
      <w:divBdr>
        <w:top w:val="none" w:sz="0" w:space="0" w:color="auto"/>
        <w:left w:val="none" w:sz="0" w:space="0" w:color="auto"/>
        <w:bottom w:val="none" w:sz="0" w:space="0" w:color="auto"/>
        <w:right w:val="none" w:sz="0" w:space="0" w:color="auto"/>
      </w:divBdr>
    </w:div>
    <w:div w:id="616790908">
      <w:bodyDiv w:val="1"/>
      <w:marLeft w:val="0"/>
      <w:marRight w:val="0"/>
      <w:marTop w:val="0"/>
      <w:marBottom w:val="0"/>
      <w:divBdr>
        <w:top w:val="none" w:sz="0" w:space="0" w:color="auto"/>
        <w:left w:val="none" w:sz="0" w:space="0" w:color="auto"/>
        <w:bottom w:val="none" w:sz="0" w:space="0" w:color="auto"/>
        <w:right w:val="none" w:sz="0" w:space="0" w:color="auto"/>
      </w:divBdr>
    </w:div>
    <w:div w:id="626547018">
      <w:bodyDiv w:val="1"/>
      <w:marLeft w:val="0"/>
      <w:marRight w:val="0"/>
      <w:marTop w:val="0"/>
      <w:marBottom w:val="0"/>
      <w:divBdr>
        <w:top w:val="none" w:sz="0" w:space="0" w:color="auto"/>
        <w:left w:val="none" w:sz="0" w:space="0" w:color="auto"/>
        <w:bottom w:val="none" w:sz="0" w:space="0" w:color="auto"/>
        <w:right w:val="none" w:sz="0" w:space="0" w:color="auto"/>
      </w:divBdr>
    </w:div>
    <w:div w:id="642779188">
      <w:bodyDiv w:val="1"/>
      <w:marLeft w:val="0"/>
      <w:marRight w:val="0"/>
      <w:marTop w:val="0"/>
      <w:marBottom w:val="0"/>
      <w:divBdr>
        <w:top w:val="none" w:sz="0" w:space="0" w:color="auto"/>
        <w:left w:val="none" w:sz="0" w:space="0" w:color="auto"/>
        <w:bottom w:val="none" w:sz="0" w:space="0" w:color="auto"/>
        <w:right w:val="none" w:sz="0" w:space="0" w:color="auto"/>
      </w:divBdr>
    </w:div>
    <w:div w:id="643893168">
      <w:bodyDiv w:val="1"/>
      <w:marLeft w:val="0"/>
      <w:marRight w:val="0"/>
      <w:marTop w:val="0"/>
      <w:marBottom w:val="0"/>
      <w:divBdr>
        <w:top w:val="none" w:sz="0" w:space="0" w:color="auto"/>
        <w:left w:val="none" w:sz="0" w:space="0" w:color="auto"/>
        <w:bottom w:val="none" w:sz="0" w:space="0" w:color="auto"/>
        <w:right w:val="none" w:sz="0" w:space="0" w:color="auto"/>
      </w:divBdr>
    </w:div>
    <w:div w:id="673386450">
      <w:bodyDiv w:val="1"/>
      <w:marLeft w:val="0"/>
      <w:marRight w:val="0"/>
      <w:marTop w:val="0"/>
      <w:marBottom w:val="0"/>
      <w:divBdr>
        <w:top w:val="none" w:sz="0" w:space="0" w:color="auto"/>
        <w:left w:val="none" w:sz="0" w:space="0" w:color="auto"/>
        <w:bottom w:val="none" w:sz="0" w:space="0" w:color="auto"/>
        <w:right w:val="none" w:sz="0" w:space="0" w:color="auto"/>
      </w:divBdr>
    </w:div>
    <w:div w:id="678045957">
      <w:bodyDiv w:val="1"/>
      <w:marLeft w:val="0"/>
      <w:marRight w:val="0"/>
      <w:marTop w:val="0"/>
      <w:marBottom w:val="0"/>
      <w:divBdr>
        <w:top w:val="none" w:sz="0" w:space="0" w:color="auto"/>
        <w:left w:val="none" w:sz="0" w:space="0" w:color="auto"/>
        <w:bottom w:val="none" w:sz="0" w:space="0" w:color="auto"/>
        <w:right w:val="none" w:sz="0" w:space="0" w:color="auto"/>
      </w:divBdr>
    </w:div>
    <w:div w:id="807090569">
      <w:bodyDiv w:val="1"/>
      <w:marLeft w:val="0"/>
      <w:marRight w:val="0"/>
      <w:marTop w:val="0"/>
      <w:marBottom w:val="0"/>
      <w:divBdr>
        <w:top w:val="none" w:sz="0" w:space="0" w:color="auto"/>
        <w:left w:val="none" w:sz="0" w:space="0" w:color="auto"/>
        <w:bottom w:val="none" w:sz="0" w:space="0" w:color="auto"/>
        <w:right w:val="none" w:sz="0" w:space="0" w:color="auto"/>
      </w:divBdr>
    </w:div>
    <w:div w:id="820656400">
      <w:bodyDiv w:val="1"/>
      <w:marLeft w:val="0"/>
      <w:marRight w:val="0"/>
      <w:marTop w:val="0"/>
      <w:marBottom w:val="0"/>
      <w:divBdr>
        <w:top w:val="none" w:sz="0" w:space="0" w:color="auto"/>
        <w:left w:val="none" w:sz="0" w:space="0" w:color="auto"/>
        <w:bottom w:val="none" w:sz="0" w:space="0" w:color="auto"/>
        <w:right w:val="none" w:sz="0" w:space="0" w:color="auto"/>
      </w:divBdr>
      <w:divsChild>
        <w:div w:id="901864352">
          <w:marLeft w:val="547"/>
          <w:marRight w:val="0"/>
          <w:marTop w:val="58"/>
          <w:marBottom w:val="240"/>
          <w:divBdr>
            <w:top w:val="none" w:sz="0" w:space="0" w:color="auto"/>
            <w:left w:val="none" w:sz="0" w:space="0" w:color="auto"/>
            <w:bottom w:val="none" w:sz="0" w:space="0" w:color="auto"/>
            <w:right w:val="none" w:sz="0" w:space="0" w:color="auto"/>
          </w:divBdr>
        </w:div>
      </w:divsChild>
    </w:div>
    <w:div w:id="885262891">
      <w:bodyDiv w:val="1"/>
      <w:marLeft w:val="0"/>
      <w:marRight w:val="0"/>
      <w:marTop w:val="0"/>
      <w:marBottom w:val="0"/>
      <w:divBdr>
        <w:top w:val="none" w:sz="0" w:space="0" w:color="auto"/>
        <w:left w:val="none" w:sz="0" w:space="0" w:color="auto"/>
        <w:bottom w:val="none" w:sz="0" w:space="0" w:color="auto"/>
        <w:right w:val="none" w:sz="0" w:space="0" w:color="auto"/>
      </w:divBdr>
    </w:div>
    <w:div w:id="888952464">
      <w:bodyDiv w:val="1"/>
      <w:marLeft w:val="0"/>
      <w:marRight w:val="0"/>
      <w:marTop w:val="0"/>
      <w:marBottom w:val="0"/>
      <w:divBdr>
        <w:top w:val="none" w:sz="0" w:space="0" w:color="auto"/>
        <w:left w:val="none" w:sz="0" w:space="0" w:color="auto"/>
        <w:bottom w:val="none" w:sz="0" w:space="0" w:color="auto"/>
        <w:right w:val="none" w:sz="0" w:space="0" w:color="auto"/>
      </w:divBdr>
    </w:div>
    <w:div w:id="940258188">
      <w:bodyDiv w:val="1"/>
      <w:marLeft w:val="0"/>
      <w:marRight w:val="0"/>
      <w:marTop w:val="0"/>
      <w:marBottom w:val="0"/>
      <w:divBdr>
        <w:top w:val="none" w:sz="0" w:space="0" w:color="auto"/>
        <w:left w:val="none" w:sz="0" w:space="0" w:color="auto"/>
        <w:bottom w:val="none" w:sz="0" w:space="0" w:color="auto"/>
        <w:right w:val="none" w:sz="0" w:space="0" w:color="auto"/>
      </w:divBdr>
      <w:divsChild>
        <w:div w:id="79255219">
          <w:marLeft w:val="1008"/>
          <w:marRight w:val="0"/>
          <w:marTop w:val="58"/>
          <w:marBottom w:val="0"/>
          <w:divBdr>
            <w:top w:val="none" w:sz="0" w:space="0" w:color="auto"/>
            <w:left w:val="none" w:sz="0" w:space="0" w:color="auto"/>
            <w:bottom w:val="none" w:sz="0" w:space="0" w:color="auto"/>
            <w:right w:val="none" w:sz="0" w:space="0" w:color="auto"/>
          </w:divBdr>
        </w:div>
        <w:div w:id="241834650">
          <w:marLeft w:val="1008"/>
          <w:marRight w:val="0"/>
          <w:marTop w:val="58"/>
          <w:marBottom w:val="0"/>
          <w:divBdr>
            <w:top w:val="none" w:sz="0" w:space="0" w:color="auto"/>
            <w:left w:val="none" w:sz="0" w:space="0" w:color="auto"/>
            <w:bottom w:val="none" w:sz="0" w:space="0" w:color="auto"/>
            <w:right w:val="none" w:sz="0" w:space="0" w:color="auto"/>
          </w:divBdr>
        </w:div>
        <w:div w:id="318653309">
          <w:marLeft w:val="1008"/>
          <w:marRight w:val="0"/>
          <w:marTop w:val="58"/>
          <w:marBottom w:val="120"/>
          <w:divBdr>
            <w:top w:val="none" w:sz="0" w:space="0" w:color="auto"/>
            <w:left w:val="none" w:sz="0" w:space="0" w:color="auto"/>
            <w:bottom w:val="none" w:sz="0" w:space="0" w:color="auto"/>
            <w:right w:val="none" w:sz="0" w:space="0" w:color="auto"/>
          </w:divBdr>
        </w:div>
        <w:div w:id="404423039">
          <w:marLeft w:val="1008"/>
          <w:marRight w:val="0"/>
          <w:marTop w:val="58"/>
          <w:marBottom w:val="0"/>
          <w:divBdr>
            <w:top w:val="none" w:sz="0" w:space="0" w:color="auto"/>
            <w:left w:val="none" w:sz="0" w:space="0" w:color="auto"/>
            <w:bottom w:val="none" w:sz="0" w:space="0" w:color="auto"/>
            <w:right w:val="none" w:sz="0" w:space="0" w:color="auto"/>
          </w:divBdr>
        </w:div>
        <w:div w:id="480124894">
          <w:marLeft w:val="1008"/>
          <w:marRight w:val="0"/>
          <w:marTop w:val="58"/>
          <w:marBottom w:val="0"/>
          <w:divBdr>
            <w:top w:val="none" w:sz="0" w:space="0" w:color="auto"/>
            <w:left w:val="none" w:sz="0" w:space="0" w:color="auto"/>
            <w:bottom w:val="none" w:sz="0" w:space="0" w:color="auto"/>
            <w:right w:val="none" w:sz="0" w:space="0" w:color="auto"/>
          </w:divBdr>
        </w:div>
        <w:div w:id="593051803">
          <w:marLeft w:val="547"/>
          <w:marRight w:val="0"/>
          <w:marTop w:val="58"/>
          <w:marBottom w:val="0"/>
          <w:divBdr>
            <w:top w:val="none" w:sz="0" w:space="0" w:color="auto"/>
            <w:left w:val="none" w:sz="0" w:space="0" w:color="auto"/>
            <w:bottom w:val="none" w:sz="0" w:space="0" w:color="auto"/>
            <w:right w:val="none" w:sz="0" w:space="0" w:color="auto"/>
          </w:divBdr>
        </w:div>
        <w:div w:id="1057626770">
          <w:marLeft w:val="1008"/>
          <w:marRight w:val="0"/>
          <w:marTop w:val="58"/>
          <w:marBottom w:val="120"/>
          <w:divBdr>
            <w:top w:val="none" w:sz="0" w:space="0" w:color="auto"/>
            <w:left w:val="none" w:sz="0" w:space="0" w:color="auto"/>
            <w:bottom w:val="none" w:sz="0" w:space="0" w:color="auto"/>
            <w:right w:val="none" w:sz="0" w:space="0" w:color="auto"/>
          </w:divBdr>
        </w:div>
        <w:div w:id="1158614760">
          <w:marLeft w:val="1008"/>
          <w:marRight w:val="0"/>
          <w:marTop w:val="58"/>
          <w:marBottom w:val="0"/>
          <w:divBdr>
            <w:top w:val="none" w:sz="0" w:space="0" w:color="auto"/>
            <w:left w:val="none" w:sz="0" w:space="0" w:color="auto"/>
            <w:bottom w:val="none" w:sz="0" w:space="0" w:color="auto"/>
            <w:right w:val="none" w:sz="0" w:space="0" w:color="auto"/>
          </w:divBdr>
        </w:div>
        <w:div w:id="1266957918">
          <w:marLeft w:val="1008"/>
          <w:marRight w:val="0"/>
          <w:marTop w:val="58"/>
          <w:marBottom w:val="120"/>
          <w:divBdr>
            <w:top w:val="none" w:sz="0" w:space="0" w:color="auto"/>
            <w:left w:val="none" w:sz="0" w:space="0" w:color="auto"/>
            <w:bottom w:val="none" w:sz="0" w:space="0" w:color="auto"/>
            <w:right w:val="none" w:sz="0" w:space="0" w:color="auto"/>
          </w:divBdr>
        </w:div>
        <w:div w:id="1352877036">
          <w:marLeft w:val="1008"/>
          <w:marRight w:val="0"/>
          <w:marTop w:val="58"/>
          <w:marBottom w:val="0"/>
          <w:divBdr>
            <w:top w:val="none" w:sz="0" w:space="0" w:color="auto"/>
            <w:left w:val="none" w:sz="0" w:space="0" w:color="auto"/>
            <w:bottom w:val="none" w:sz="0" w:space="0" w:color="auto"/>
            <w:right w:val="none" w:sz="0" w:space="0" w:color="auto"/>
          </w:divBdr>
        </w:div>
        <w:div w:id="1441031005">
          <w:marLeft w:val="547"/>
          <w:marRight w:val="0"/>
          <w:marTop w:val="58"/>
          <w:marBottom w:val="0"/>
          <w:divBdr>
            <w:top w:val="none" w:sz="0" w:space="0" w:color="auto"/>
            <w:left w:val="none" w:sz="0" w:space="0" w:color="auto"/>
            <w:bottom w:val="none" w:sz="0" w:space="0" w:color="auto"/>
            <w:right w:val="none" w:sz="0" w:space="0" w:color="auto"/>
          </w:divBdr>
        </w:div>
        <w:div w:id="1457721396">
          <w:marLeft w:val="1008"/>
          <w:marRight w:val="0"/>
          <w:marTop w:val="58"/>
          <w:marBottom w:val="0"/>
          <w:divBdr>
            <w:top w:val="none" w:sz="0" w:space="0" w:color="auto"/>
            <w:left w:val="none" w:sz="0" w:space="0" w:color="auto"/>
            <w:bottom w:val="none" w:sz="0" w:space="0" w:color="auto"/>
            <w:right w:val="none" w:sz="0" w:space="0" w:color="auto"/>
          </w:divBdr>
        </w:div>
        <w:div w:id="1492058649">
          <w:marLeft w:val="1008"/>
          <w:marRight w:val="0"/>
          <w:marTop w:val="58"/>
          <w:marBottom w:val="120"/>
          <w:divBdr>
            <w:top w:val="none" w:sz="0" w:space="0" w:color="auto"/>
            <w:left w:val="none" w:sz="0" w:space="0" w:color="auto"/>
            <w:bottom w:val="none" w:sz="0" w:space="0" w:color="auto"/>
            <w:right w:val="none" w:sz="0" w:space="0" w:color="auto"/>
          </w:divBdr>
        </w:div>
        <w:div w:id="1649019918">
          <w:marLeft w:val="1008"/>
          <w:marRight w:val="0"/>
          <w:marTop w:val="58"/>
          <w:marBottom w:val="0"/>
          <w:divBdr>
            <w:top w:val="none" w:sz="0" w:space="0" w:color="auto"/>
            <w:left w:val="none" w:sz="0" w:space="0" w:color="auto"/>
            <w:bottom w:val="none" w:sz="0" w:space="0" w:color="auto"/>
            <w:right w:val="none" w:sz="0" w:space="0" w:color="auto"/>
          </w:divBdr>
        </w:div>
        <w:div w:id="1662076180">
          <w:marLeft w:val="547"/>
          <w:marRight w:val="0"/>
          <w:marTop w:val="58"/>
          <w:marBottom w:val="0"/>
          <w:divBdr>
            <w:top w:val="none" w:sz="0" w:space="0" w:color="auto"/>
            <w:left w:val="none" w:sz="0" w:space="0" w:color="auto"/>
            <w:bottom w:val="none" w:sz="0" w:space="0" w:color="auto"/>
            <w:right w:val="none" w:sz="0" w:space="0" w:color="auto"/>
          </w:divBdr>
        </w:div>
        <w:div w:id="1827162656">
          <w:marLeft w:val="1008"/>
          <w:marRight w:val="0"/>
          <w:marTop w:val="58"/>
          <w:marBottom w:val="120"/>
          <w:divBdr>
            <w:top w:val="none" w:sz="0" w:space="0" w:color="auto"/>
            <w:left w:val="none" w:sz="0" w:space="0" w:color="auto"/>
            <w:bottom w:val="none" w:sz="0" w:space="0" w:color="auto"/>
            <w:right w:val="none" w:sz="0" w:space="0" w:color="auto"/>
          </w:divBdr>
        </w:div>
        <w:div w:id="1877425818">
          <w:marLeft w:val="547"/>
          <w:marRight w:val="0"/>
          <w:marTop w:val="58"/>
          <w:marBottom w:val="0"/>
          <w:divBdr>
            <w:top w:val="none" w:sz="0" w:space="0" w:color="auto"/>
            <w:left w:val="none" w:sz="0" w:space="0" w:color="auto"/>
            <w:bottom w:val="none" w:sz="0" w:space="0" w:color="auto"/>
            <w:right w:val="none" w:sz="0" w:space="0" w:color="auto"/>
          </w:divBdr>
        </w:div>
        <w:div w:id="1931889530">
          <w:marLeft w:val="1008"/>
          <w:marRight w:val="0"/>
          <w:marTop w:val="58"/>
          <w:marBottom w:val="0"/>
          <w:divBdr>
            <w:top w:val="none" w:sz="0" w:space="0" w:color="auto"/>
            <w:left w:val="none" w:sz="0" w:space="0" w:color="auto"/>
            <w:bottom w:val="none" w:sz="0" w:space="0" w:color="auto"/>
            <w:right w:val="none" w:sz="0" w:space="0" w:color="auto"/>
          </w:divBdr>
        </w:div>
        <w:div w:id="2058973515">
          <w:marLeft w:val="547"/>
          <w:marRight w:val="0"/>
          <w:marTop w:val="58"/>
          <w:marBottom w:val="0"/>
          <w:divBdr>
            <w:top w:val="none" w:sz="0" w:space="0" w:color="auto"/>
            <w:left w:val="none" w:sz="0" w:space="0" w:color="auto"/>
            <w:bottom w:val="none" w:sz="0" w:space="0" w:color="auto"/>
            <w:right w:val="none" w:sz="0" w:space="0" w:color="auto"/>
          </w:divBdr>
        </w:div>
        <w:div w:id="2133202982">
          <w:marLeft w:val="1008"/>
          <w:marRight w:val="0"/>
          <w:marTop w:val="58"/>
          <w:marBottom w:val="0"/>
          <w:divBdr>
            <w:top w:val="none" w:sz="0" w:space="0" w:color="auto"/>
            <w:left w:val="none" w:sz="0" w:space="0" w:color="auto"/>
            <w:bottom w:val="none" w:sz="0" w:space="0" w:color="auto"/>
            <w:right w:val="none" w:sz="0" w:space="0" w:color="auto"/>
          </w:divBdr>
        </w:div>
      </w:divsChild>
    </w:div>
    <w:div w:id="982349007">
      <w:bodyDiv w:val="1"/>
      <w:marLeft w:val="0"/>
      <w:marRight w:val="0"/>
      <w:marTop w:val="0"/>
      <w:marBottom w:val="0"/>
      <w:divBdr>
        <w:top w:val="none" w:sz="0" w:space="0" w:color="auto"/>
        <w:left w:val="none" w:sz="0" w:space="0" w:color="auto"/>
        <w:bottom w:val="none" w:sz="0" w:space="0" w:color="auto"/>
        <w:right w:val="none" w:sz="0" w:space="0" w:color="auto"/>
      </w:divBdr>
      <w:divsChild>
        <w:div w:id="1793016211">
          <w:marLeft w:val="0"/>
          <w:marRight w:val="0"/>
          <w:marTop w:val="0"/>
          <w:marBottom w:val="0"/>
          <w:divBdr>
            <w:top w:val="none" w:sz="0" w:space="0" w:color="auto"/>
            <w:left w:val="single" w:sz="6" w:space="0" w:color="BBBBBB"/>
            <w:bottom w:val="single" w:sz="6" w:space="0" w:color="BBBBBB"/>
            <w:right w:val="single" w:sz="6" w:space="0" w:color="BBBBBB"/>
          </w:divBdr>
          <w:divsChild>
            <w:div w:id="189687805">
              <w:marLeft w:val="0"/>
              <w:marRight w:val="0"/>
              <w:marTop w:val="0"/>
              <w:marBottom w:val="0"/>
              <w:divBdr>
                <w:top w:val="none" w:sz="0" w:space="0" w:color="auto"/>
                <w:left w:val="none" w:sz="0" w:space="0" w:color="auto"/>
                <w:bottom w:val="none" w:sz="0" w:space="0" w:color="auto"/>
                <w:right w:val="none" w:sz="0" w:space="0" w:color="auto"/>
              </w:divBdr>
              <w:divsChild>
                <w:div w:id="1021512441">
                  <w:marLeft w:val="0"/>
                  <w:marRight w:val="0"/>
                  <w:marTop w:val="0"/>
                  <w:marBottom w:val="0"/>
                  <w:divBdr>
                    <w:top w:val="none" w:sz="0" w:space="0" w:color="auto"/>
                    <w:left w:val="none" w:sz="0" w:space="0" w:color="auto"/>
                    <w:bottom w:val="none" w:sz="0" w:space="0" w:color="auto"/>
                    <w:right w:val="none" w:sz="0" w:space="0" w:color="auto"/>
                  </w:divBdr>
                  <w:divsChild>
                    <w:div w:id="996037926">
                      <w:marLeft w:val="0"/>
                      <w:marRight w:val="0"/>
                      <w:marTop w:val="0"/>
                      <w:marBottom w:val="0"/>
                      <w:divBdr>
                        <w:top w:val="none" w:sz="0" w:space="0" w:color="auto"/>
                        <w:left w:val="none" w:sz="0" w:space="0" w:color="auto"/>
                        <w:bottom w:val="none" w:sz="0" w:space="0" w:color="auto"/>
                        <w:right w:val="none" w:sz="0" w:space="0" w:color="auto"/>
                      </w:divBdr>
                      <w:divsChild>
                        <w:div w:id="606810304">
                          <w:marLeft w:val="0"/>
                          <w:marRight w:val="0"/>
                          <w:marTop w:val="0"/>
                          <w:marBottom w:val="0"/>
                          <w:divBdr>
                            <w:top w:val="none" w:sz="0" w:space="0" w:color="auto"/>
                            <w:left w:val="none" w:sz="0" w:space="0" w:color="auto"/>
                            <w:bottom w:val="none" w:sz="0" w:space="0" w:color="auto"/>
                            <w:right w:val="none" w:sz="0" w:space="0" w:color="auto"/>
                          </w:divBdr>
                          <w:divsChild>
                            <w:div w:id="1496609664">
                              <w:marLeft w:val="0"/>
                              <w:marRight w:val="0"/>
                              <w:marTop w:val="0"/>
                              <w:marBottom w:val="0"/>
                              <w:divBdr>
                                <w:top w:val="none" w:sz="0" w:space="0" w:color="auto"/>
                                <w:left w:val="none" w:sz="0" w:space="0" w:color="auto"/>
                                <w:bottom w:val="none" w:sz="0" w:space="0" w:color="auto"/>
                                <w:right w:val="none" w:sz="0" w:space="0" w:color="auto"/>
                              </w:divBdr>
                              <w:divsChild>
                                <w:div w:id="2061050351">
                                  <w:marLeft w:val="0"/>
                                  <w:marRight w:val="0"/>
                                  <w:marTop w:val="0"/>
                                  <w:marBottom w:val="0"/>
                                  <w:divBdr>
                                    <w:top w:val="none" w:sz="0" w:space="0" w:color="auto"/>
                                    <w:left w:val="none" w:sz="0" w:space="0" w:color="auto"/>
                                    <w:bottom w:val="none" w:sz="0" w:space="0" w:color="auto"/>
                                    <w:right w:val="none" w:sz="0" w:space="0" w:color="auto"/>
                                  </w:divBdr>
                                  <w:divsChild>
                                    <w:div w:id="967248987">
                                      <w:marLeft w:val="0"/>
                                      <w:marRight w:val="0"/>
                                      <w:marTop w:val="0"/>
                                      <w:marBottom w:val="0"/>
                                      <w:divBdr>
                                        <w:top w:val="none" w:sz="0" w:space="0" w:color="auto"/>
                                        <w:left w:val="none" w:sz="0" w:space="0" w:color="auto"/>
                                        <w:bottom w:val="none" w:sz="0" w:space="0" w:color="auto"/>
                                        <w:right w:val="none" w:sz="0" w:space="0" w:color="auto"/>
                                      </w:divBdr>
                                      <w:divsChild>
                                        <w:div w:id="902565704">
                                          <w:marLeft w:val="1200"/>
                                          <w:marRight w:val="1200"/>
                                          <w:marTop w:val="0"/>
                                          <w:marBottom w:val="0"/>
                                          <w:divBdr>
                                            <w:top w:val="none" w:sz="0" w:space="0" w:color="auto"/>
                                            <w:left w:val="none" w:sz="0" w:space="0" w:color="auto"/>
                                            <w:bottom w:val="none" w:sz="0" w:space="0" w:color="auto"/>
                                            <w:right w:val="none" w:sz="0" w:space="0" w:color="auto"/>
                                          </w:divBdr>
                                          <w:divsChild>
                                            <w:div w:id="261497403">
                                              <w:marLeft w:val="0"/>
                                              <w:marRight w:val="0"/>
                                              <w:marTop w:val="0"/>
                                              <w:marBottom w:val="0"/>
                                              <w:divBdr>
                                                <w:top w:val="none" w:sz="0" w:space="0" w:color="auto"/>
                                                <w:left w:val="none" w:sz="0" w:space="0" w:color="auto"/>
                                                <w:bottom w:val="none" w:sz="0" w:space="0" w:color="auto"/>
                                                <w:right w:val="none" w:sz="0" w:space="0" w:color="auto"/>
                                              </w:divBdr>
                                              <w:divsChild>
                                                <w:div w:id="164825613">
                                                  <w:marLeft w:val="0"/>
                                                  <w:marRight w:val="0"/>
                                                  <w:marTop w:val="240"/>
                                                  <w:marBottom w:val="0"/>
                                                  <w:divBdr>
                                                    <w:top w:val="none" w:sz="0" w:space="0" w:color="auto"/>
                                                    <w:left w:val="none" w:sz="0" w:space="0" w:color="auto"/>
                                                    <w:bottom w:val="none" w:sz="0" w:space="0" w:color="auto"/>
                                                    <w:right w:val="none" w:sz="0" w:space="0" w:color="auto"/>
                                                  </w:divBdr>
                                                  <w:divsChild>
                                                    <w:div w:id="504324152">
                                                      <w:marLeft w:val="0"/>
                                                      <w:marRight w:val="0"/>
                                                      <w:marTop w:val="0"/>
                                                      <w:marBottom w:val="0"/>
                                                      <w:divBdr>
                                                        <w:top w:val="none" w:sz="0" w:space="0" w:color="auto"/>
                                                        <w:left w:val="none" w:sz="0" w:space="0" w:color="auto"/>
                                                        <w:bottom w:val="none" w:sz="0" w:space="0" w:color="auto"/>
                                                        <w:right w:val="none" w:sz="0" w:space="0" w:color="auto"/>
                                                      </w:divBdr>
                                                      <w:divsChild>
                                                        <w:div w:id="1275357996">
                                                          <w:marLeft w:val="1275"/>
                                                          <w:marRight w:val="0"/>
                                                          <w:marTop w:val="0"/>
                                                          <w:marBottom w:val="0"/>
                                                          <w:divBdr>
                                                            <w:top w:val="none" w:sz="0" w:space="0" w:color="auto"/>
                                                            <w:left w:val="none" w:sz="0" w:space="0" w:color="auto"/>
                                                            <w:bottom w:val="none" w:sz="0" w:space="0" w:color="auto"/>
                                                            <w:right w:val="none" w:sz="0" w:space="0" w:color="auto"/>
                                                          </w:divBdr>
                                                          <w:divsChild>
                                                            <w:div w:id="338310954">
                                                              <w:marLeft w:val="0"/>
                                                              <w:marRight w:val="0"/>
                                                              <w:marTop w:val="0"/>
                                                              <w:marBottom w:val="0"/>
                                                              <w:divBdr>
                                                                <w:top w:val="none" w:sz="0" w:space="0" w:color="auto"/>
                                                                <w:left w:val="none" w:sz="0" w:space="0" w:color="auto"/>
                                                                <w:bottom w:val="none" w:sz="0" w:space="0" w:color="auto"/>
                                                                <w:right w:val="none" w:sz="0" w:space="0" w:color="auto"/>
                                                              </w:divBdr>
                                                              <w:divsChild>
                                                                <w:div w:id="8610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6957">
                                                          <w:marLeft w:val="0"/>
                                                          <w:marRight w:val="0"/>
                                                          <w:marTop w:val="0"/>
                                                          <w:marBottom w:val="0"/>
                                                          <w:divBdr>
                                                            <w:top w:val="none" w:sz="0" w:space="0" w:color="auto"/>
                                                            <w:left w:val="none" w:sz="0" w:space="0" w:color="auto"/>
                                                            <w:bottom w:val="none" w:sz="0" w:space="0" w:color="auto"/>
                                                            <w:right w:val="none" w:sz="0" w:space="0" w:color="auto"/>
                                                          </w:divBdr>
                                                        </w:div>
                                                      </w:divsChild>
                                                    </w:div>
                                                    <w:div w:id="646785996">
                                                      <w:marLeft w:val="0"/>
                                                      <w:marRight w:val="0"/>
                                                      <w:marTop w:val="0"/>
                                                      <w:marBottom w:val="0"/>
                                                      <w:divBdr>
                                                        <w:top w:val="none" w:sz="0" w:space="0" w:color="auto"/>
                                                        <w:left w:val="none" w:sz="0" w:space="0" w:color="auto"/>
                                                        <w:bottom w:val="none" w:sz="0" w:space="0" w:color="auto"/>
                                                        <w:right w:val="none" w:sz="0" w:space="0" w:color="auto"/>
                                                      </w:divBdr>
                                                      <w:divsChild>
                                                        <w:div w:id="339741443">
                                                          <w:marLeft w:val="0"/>
                                                          <w:marRight w:val="0"/>
                                                          <w:marTop w:val="0"/>
                                                          <w:marBottom w:val="0"/>
                                                          <w:divBdr>
                                                            <w:top w:val="none" w:sz="0" w:space="0" w:color="auto"/>
                                                            <w:left w:val="none" w:sz="0" w:space="0" w:color="auto"/>
                                                            <w:bottom w:val="none" w:sz="0" w:space="0" w:color="auto"/>
                                                            <w:right w:val="none" w:sz="0" w:space="0" w:color="auto"/>
                                                          </w:divBdr>
                                                        </w:div>
                                                        <w:div w:id="1866361691">
                                                          <w:marLeft w:val="1275"/>
                                                          <w:marRight w:val="0"/>
                                                          <w:marTop w:val="0"/>
                                                          <w:marBottom w:val="0"/>
                                                          <w:divBdr>
                                                            <w:top w:val="none" w:sz="0" w:space="0" w:color="auto"/>
                                                            <w:left w:val="none" w:sz="0" w:space="0" w:color="auto"/>
                                                            <w:bottom w:val="none" w:sz="0" w:space="0" w:color="auto"/>
                                                            <w:right w:val="none" w:sz="0" w:space="0" w:color="auto"/>
                                                          </w:divBdr>
                                                          <w:divsChild>
                                                            <w:div w:id="1295477253">
                                                              <w:marLeft w:val="0"/>
                                                              <w:marRight w:val="0"/>
                                                              <w:marTop w:val="0"/>
                                                              <w:marBottom w:val="0"/>
                                                              <w:divBdr>
                                                                <w:top w:val="none" w:sz="0" w:space="0" w:color="auto"/>
                                                                <w:left w:val="none" w:sz="0" w:space="0" w:color="auto"/>
                                                                <w:bottom w:val="none" w:sz="0" w:space="0" w:color="auto"/>
                                                                <w:right w:val="none" w:sz="0" w:space="0" w:color="auto"/>
                                                              </w:divBdr>
                                                              <w:divsChild>
                                                                <w:div w:id="20852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3501">
                                                      <w:marLeft w:val="0"/>
                                                      <w:marRight w:val="0"/>
                                                      <w:marTop w:val="0"/>
                                                      <w:marBottom w:val="0"/>
                                                      <w:divBdr>
                                                        <w:top w:val="none" w:sz="0" w:space="0" w:color="auto"/>
                                                        <w:left w:val="none" w:sz="0" w:space="0" w:color="auto"/>
                                                        <w:bottom w:val="none" w:sz="0" w:space="0" w:color="auto"/>
                                                        <w:right w:val="none" w:sz="0" w:space="0" w:color="auto"/>
                                                      </w:divBdr>
                                                      <w:divsChild>
                                                        <w:div w:id="652179058">
                                                          <w:marLeft w:val="0"/>
                                                          <w:marRight w:val="0"/>
                                                          <w:marTop w:val="0"/>
                                                          <w:marBottom w:val="0"/>
                                                          <w:divBdr>
                                                            <w:top w:val="none" w:sz="0" w:space="0" w:color="auto"/>
                                                            <w:left w:val="none" w:sz="0" w:space="0" w:color="auto"/>
                                                            <w:bottom w:val="none" w:sz="0" w:space="0" w:color="auto"/>
                                                            <w:right w:val="none" w:sz="0" w:space="0" w:color="auto"/>
                                                          </w:divBdr>
                                                        </w:div>
                                                        <w:div w:id="838622396">
                                                          <w:marLeft w:val="1275"/>
                                                          <w:marRight w:val="0"/>
                                                          <w:marTop w:val="0"/>
                                                          <w:marBottom w:val="0"/>
                                                          <w:divBdr>
                                                            <w:top w:val="none" w:sz="0" w:space="0" w:color="auto"/>
                                                            <w:left w:val="none" w:sz="0" w:space="0" w:color="auto"/>
                                                            <w:bottom w:val="none" w:sz="0" w:space="0" w:color="auto"/>
                                                            <w:right w:val="none" w:sz="0" w:space="0" w:color="auto"/>
                                                          </w:divBdr>
                                                          <w:divsChild>
                                                            <w:div w:id="1569608050">
                                                              <w:marLeft w:val="0"/>
                                                              <w:marRight w:val="0"/>
                                                              <w:marTop w:val="0"/>
                                                              <w:marBottom w:val="0"/>
                                                              <w:divBdr>
                                                                <w:top w:val="none" w:sz="0" w:space="0" w:color="auto"/>
                                                                <w:left w:val="none" w:sz="0" w:space="0" w:color="auto"/>
                                                                <w:bottom w:val="none" w:sz="0" w:space="0" w:color="auto"/>
                                                                <w:right w:val="none" w:sz="0" w:space="0" w:color="auto"/>
                                                              </w:divBdr>
                                                              <w:divsChild>
                                                                <w:div w:id="28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5904">
                                                      <w:marLeft w:val="0"/>
                                                      <w:marRight w:val="0"/>
                                                      <w:marTop w:val="0"/>
                                                      <w:marBottom w:val="0"/>
                                                      <w:divBdr>
                                                        <w:top w:val="none" w:sz="0" w:space="0" w:color="auto"/>
                                                        <w:left w:val="none" w:sz="0" w:space="0" w:color="auto"/>
                                                        <w:bottom w:val="none" w:sz="0" w:space="0" w:color="auto"/>
                                                        <w:right w:val="none" w:sz="0" w:space="0" w:color="auto"/>
                                                      </w:divBdr>
                                                      <w:divsChild>
                                                        <w:div w:id="1168903463">
                                                          <w:marLeft w:val="1275"/>
                                                          <w:marRight w:val="0"/>
                                                          <w:marTop w:val="0"/>
                                                          <w:marBottom w:val="0"/>
                                                          <w:divBdr>
                                                            <w:top w:val="none" w:sz="0" w:space="0" w:color="auto"/>
                                                            <w:left w:val="none" w:sz="0" w:space="0" w:color="auto"/>
                                                            <w:bottom w:val="none" w:sz="0" w:space="0" w:color="auto"/>
                                                            <w:right w:val="none" w:sz="0" w:space="0" w:color="auto"/>
                                                          </w:divBdr>
                                                          <w:divsChild>
                                                            <w:div w:id="1774322446">
                                                              <w:marLeft w:val="0"/>
                                                              <w:marRight w:val="0"/>
                                                              <w:marTop w:val="0"/>
                                                              <w:marBottom w:val="0"/>
                                                              <w:divBdr>
                                                                <w:top w:val="none" w:sz="0" w:space="0" w:color="auto"/>
                                                                <w:left w:val="none" w:sz="0" w:space="0" w:color="auto"/>
                                                                <w:bottom w:val="none" w:sz="0" w:space="0" w:color="auto"/>
                                                                <w:right w:val="none" w:sz="0" w:space="0" w:color="auto"/>
                                                              </w:divBdr>
                                                              <w:divsChild>
                                                                <w:div w:id="18435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385">
                                                          <w:marLeft w:val="0"/>
                                                          <w:marRight w:val="0"/>
                                                          <w:marTop w:val="0"/>
                                                          <w:marBottom w:val="0"/>
                                                          <w:divBdr>
                                                            <w:top w:val="none" w:sz="0" w:space="0" w:color="auto"/>
                                                            <w:left w:val="none" w:sz="0" w:space="0" w:color="auto"/>
                                                            <w:bottom w:val="none" w:sz="0" w:space="0" w:color="auto"/>
                                                            <w:right w:val="none" w:sz="0" w:space="0" w:color="auto"/>
                                                          </w:divBdr>
                                                        </w:div>
                                                      </w:divsChild>
                                                    </w:div>
                                                    <w:div w:id="992683708">
                                                      <w:marLeft w:val="0"/>
                                                      <w:marRight w:val="0"/>
                                                      <w:marTop w:val="0"/>
                                                      <w:marBottom w:val="0"/>
                                                      <w:divBdr>
                                                        <w:top w:val="none" w:sz="0" w:space="0" w:color="auto"/>
                                                        <w:left w:val="none" w:sz="0" w:space="0" w:color="auto"/>
                                                        <w:bottom w:val="none" w:sz="0" w:space="0" w:color="auto"/>
                                                        <w:right w:val="none" w:sz="0" w:space="0" w:color="auto"/>
                                                      </w:divBdr>
                                                      <w:divsChild>
                                                        <w:div w:id="435566848">
                                                          <w:marLeft w:val="1275"/>
                                                          <w:marRight w:val="0"/>
                                                          <w:marTop w:val="0"/>
                                                          <w:marBottom w:val="0"/>
                                                          <w:divBdr>
                                                            <w:top w:val="none" w:sz="0" w:space="0" w:color="auto"/>
                                                            <w:left w:val="none" w:sz="0" w:space="0" w:color="auto"/>
                                                            <w:bottom w:val="none" w:sz="0" w:space="0" w:color="auto"/>
                                                            <w:right w:val="none" w:sz="0" w:space="0" w:color="auto"/>
                                                          </w:divBdr>
                                                          <w:divsChild>
                                                            <w:div w:id="457534792">
                                                              <w:marLeft w:val="0"/>
                                                              <w:marRight w:val="0"/>
                                                              <w:marTop w:val="0"/>
                                                              <w:marBottom w:val="0"/>
                                                              <w:divBdr>
                                                                <w:top w:val="none" w:sz="0" w:space="0" w:color="auto"/>
                                                                <w:left w:val="none" w:sz="0" w:space="0" w:color="auto"/>
                                                                <w:bottom w:val="none" w:sz="0" w:space="0" w:color="auto"/>
                                                                <w:right w:val="none" w:sz="0" w:space="0" w:color="auto"/>
                                                              </w:divBdr>
                                                              <w:divsChild>
                                                                <w:div w:id="1099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8977">
                                                      <w:marLeft w:val="0"/>
                                                      <w:marRight w:val="0"/>
                                                      <w:marTop w:val="0"/>
                                                      <w:marBottom w:val="0"/>
                                                      <w:divBdr>
                                                        <w:top w:val="none" w:sz="0" w:space="0" w:color="auto"/>
                                                        <w:left w:val="none" w:sz="0" w:space="0" w:color="auto"/>
                                                        <w:bottom w:val="none" w:sz="0" w:space="0" w:color="auto"/>
                                                        <w:right w:val="none" w:sz="0" w:space="0" w:color="auto"/>
                                                      </w:divBdr>
                                                      <w:divsChild>
                                                        <w:div w:id="846560063">
                                                          <w:marLeft w:val="1275"/>
                                                          <w:marRight w:val="0"/>
                                                          <w:marTop w:val="0"/>
                                                          <w:marBottom w:val="0"/>
                                                          <w:divBdr>
                                                            <w:top w:val="none" w:sz="0" w:space="0" w:color="auto"/>
                                                            <w:left w:val="none" w:sz="0" w:space="0" w:color="auto"/>
                                                            <w:bottom w:val="none" w:sz="0" w:space="0" w:color="auto"/>
                                                            <w:right w:val="none" w:sz="0" w:space="0" w:color="auto"/>
                                                          </w:divBdr>
                                                          <w:divsChild>
                                                            <w:div w:id="1644657787">
                                                              <w:marLeft w:val="0"/>
                                                              <w:marRight w:val="0"/>
                                                              <w:marTop w:val="0"/>
                                                              <w:marBottom w:val="0"/>
                                                              <w:divBdr>
                                                                <w:top w:val="none" w:sz="0" w:space="0" w:color="auto"/>
                                                                <w:left w:val="none" w:sz="0" w:space="0" w:color="auto"/>
                                                                <w:bottom w:val="none" w:sz="0" w:space="0" w:color="auto"/>
                                                                <w:right w:val="none" w:sz="0" w:space="0" w:color="auto"/>
                                                              </w:divBdr>
                                                              <w:divsChild>
                                                                <w:div w:id="9805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4379">
                                                          <w:marLeft w:val="0"/>
                                                          <w:marRight w:val="0"/>
                                                          <w:marTop w:val="0"/>
                                                          <w:marBottom w:val="0"/>
                                                          <w:divBdr>
                                                            <w:top w:val="none" w:sz="0" w:space="0" w:color="auto"/>
                                                            <w:left w:val="none" w:sz="0" w:space="0" w:color="auto"/>
                                                            <w:bottom w:val="none" w:sz="0" w:space="0" w:color="auto"/>
                                                            <w:right w:val="none" w:sz="0" w:space="0" w:color="auto"/>
                                                          </w:divBdr>
                                                        </w:div>
                                                      </w:divsChild>
                                                    </w:div>
                                                    <w:div w:id="1184170335">
                                                      <w:marLeft w:val="0"/>
                                                      <w:marRight w:val="0"/>
                                                      <w:marTop w:val="0"/>
                                                      <w:marBottom w:val="0"/>
                                                      <w:divBdr>
                                                        <w:top w:val="none" w:sz="0" w:space="0" w:color="auto"/>
                                                        <w:left w:val="none" w:sz="0" w:space="0" w:color="auto"/>
                                                        <w:bottom w:val="none" w:sz="0" w:space="0" w:color="auto"/>
                                                        <w:right w:val="none" w:sz="0" w:space="0" w:color="auto"/>
                                                      </w:divBdr>
                                                      <w:divsChild>
                                                        <w:div w:id="545915656">
                                                          <w:marLeft w:val="1275"/>
                                                          <w:marRight w:val="0"/>
                                                          <w:marTop w:val="0"/>
                                                          <w:marBottom w:val="0"/>
                                                          <w:divBdr>
                                                            <w:top w:val="none" w:sz="0" w:space="0" w:color="auto"/>
                                                            <w:left w:val="none" w:sz="0" w:space="0" w:color="auto"/>
                                                            <w:bottom w:val="none" w:sz="0" w:space="0" w:color="auto"/>
                                                            <w:right w:val="none" w:sz="0" w:space="0" w:color="auto"/>
                                                          </w:divBdr>
                                                          <w:divsChild>
                                                            <w:div w:id="488057132">
                                                              <w:marLeft w:val="0"/>
                                                              <w:marRight w:val="0"/>
                                                              <w:marTop w:val="0"/>
                                                              <w:marBottom w:val="0"/>
                                                              <w:divBdr>
                                                                <w:top w:val="none" w:sz="0" w:space="0" w:color="auto"/>
                                                                <w:left w:val="none" w:sz="0" w:space="0" w:color="auto"/>
                                                                <w:bottom w:val="none" w:sz="0" w:space="0" w:color="auto"/>
                                                                <w:right w:val="none" w:sz="0" w:space="0" w:color="auto"/>
                                                              </w:divBdr>
                                                              <w:divsChild>
                                                                <w:div w:id="19099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0394">
                                                          <w:marLeft w:val="0"/>
                                                          <w:marRight w:val="0"/>
                                                          <w:marTop w:val="0"/>
                                                          <w:marBottom w:val="0"/>
                                                          <w:divBdr>
                                                            <w:top w:val="none" w:sz="0" w:space="0" w:color="auto"/>
                                                            <w:left w:val="none" w:sz="0" w:space="0" w:color="auto"/>
                                                            <w:bottom w:val="none" w:sz="0" w:space="0" w:color="auto"/>
                                                            <w:right w:val="none" w:sz="0" w:space="0" w:color="auto"/>
                                                          </w:divBdr>
                                                        </w:div>
                                                      </w:divsChild>
                                                    </w:div>
                                                    <w:div w:id="1275819601">
                                                      <w:marLeft w:val="0"/>
                                                      <w:marRight w:val="0"/>
                                                      <w:marTop w:val="0"/>
                                                      <w:marBottom w:val="0"/>
                                                      <w:divBdr>
                                                        <w:top w:val="none" w:sz="0" w:space="0" w:color="auto"/>
                                                        <w:left w:val="none" w:sz="0" w:space="0" w:color="auto"/>
                                                        <w:bottom w:val="none" w:sz="0" w:space="0" w:color="auto"/>
                                                        <w:right w:val="none" w:sz="0" w:space="0" w:color="auto"/>
                                                      </w:divBdr>
                                                      <w:divsChild>
                                                        <w:div w:id="244187752">
                                                          <w:marLeft w:val="1275"/>
                                                          <w:marRight w:val="0"/>
                                                          <w:marTop w:val="0"/>
                                                          <w:marBottom w:val="0"/>
                                                          <w:divBdr>
                                                            <w:top w:val="none" w:sz="0" w:space="0" w:color="auto"/>
                                                            <w:left w:val="none" w:sz="0" w:space="0" w:color="auto"/>
                                                            <w:bottom w:val="none" w:sz="0" w:space="0" w:color="auto"/>
                                                            <w:right w:val="none" w:sz="0" w:space="0" w:color="auto"/>
                                                          </w:divBdr>
                                                          <w:divsChild>
                                                            <w:div w:id="2018385859">
                                                              <w:marLeft w:val="0"/>
                                                              <w:marRight w:val="0"/>
                                                              <w:marTop w:val="0"/>
                                                              <w:marBottom w:val="0"/>
                                                              <w:divBdr>
                                                                <w:top w:val="none" w:sz="0" w:space="0" w:color="auto"/>
                                                                <w:left w:val="none" w:sz="0" w:space="0" w:color="auto"/>
                                                                <w:bottom w:val="none" w:sz="0" w:space="0" w:color="auto"/>
                                                                <w:right w:val="none" w:sz="0" w:space="0" w:color="auto"/>
                                                              </w:divBdr>
                                                              <w:divsChild>
                                                                <w:div w:id="11412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9785">
                                                          <w:marLeft w:val="0"/>
                                                          <w:marRight w:val="0"/>
                                                          <w:marTop w:val="0"/>
                                                          <w:marBottom w:val="0"/>
                                                          <w:divBdr>
                                                            <w:top w:val="none" w:sz="0" w:space="0" w:color="auto"/>
                                                            <w:left w:val="none" w:sz="0" w:space="0" w:color="auto"/>
                                                            <w:bottom w:val="none" w:sz="0" w:space="0" w:color="auto"/>
                                                            <w:right w:val="none" w:sz="0" w:space="0" w:color="auto"/>
                                                          </w:divBdr>
                                                        </w:div>
                                                      </w:divsChild>
                                                    </w:div>
                                                    <w:div w:id="1645501236">
                                                      <w:marLeft w:val="0"/>
                                                      <w:marRight w:val="0"/>
                                                      <w:marTop w:val="0"/>
                                                      <w:marBottom w:val="0"/>
                                                      <w:divBdr>
                                                        <w:top w:val="none" w:sz="0" w:space="0" w:color="auto"/>
                                                        <w:left w:val="none" w:sz="0" w:space="0" w:color="auto"/>
                                                        <w:bottom w:val="none" w:sz="0" w:space="0" w:color="auto"/>
                                                        <w:right w:val="none" w:sz="0" w:space="0" w:color="auto"/>
                                                      </w:divBdr>
                                                      <w:divsChild>
                                                        <w:div w:id="1068040475">
                                                          <w:marLeft w:val="1275"/>
                                                          <w:marRight w:val="0"/>
                                                          <w:marTop w:val="0"/>
                                                          <w:marBottom w:val="0"/>
                                                          <w:divBdr>
                                                            <w:top w:val="none" w:sz="0" w:space="0" w:color="auto"/>
                                                            <w:left w:val="none" w:sz="0" w:space="0" w:color="auto"/>
                                                            <w:bottom w:val="none" w:sz="0" w:space="0" w:color="auto"/>
                                                            <w:right w:val="none" w:sz="0" w:space="0" w:color="auto"/>
                                                          </w:divBdr>
                                                          <w:divsChild>
                                                            <w:div w:id="887450907">
                                                              <w:marLeft w:val="0"/>
                                                              <w:marRight w:val="0"/>
                                                              <w:marTop w:val="0"/>
                                                              <w:marBottom w:val="0"/>
                                                              <w:divBdr>
                                                                <w:top w:val="none" w:sz="0" w:space="0" w:color="auto"/>
                                                                <w:left w:val="none" w:sz="0" w:space="0" w:color="auto"/>
                                                                <w:bottom w:val="none" w:sz="0" w:space="0" w:color="auto"/>
                                                                <w:right w:val="none" w:sz="0" w:space="0" w:color="auto"/>
                                                              </w:divBdr>
                                                              <w:divsChild>
                                                                <w:div w:id="12409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9106">
                                                          <w:marLeft w:val="0"/>
                                                          <w:marRight w:val="0"/>
                                                          <w:marTop w:val="0"/>
                                                          <w:marBottom w:val="0"/>
                                                          <w:divBdr>
                                                            <w:top w:val="none" w:sz="0" w:space="0" w:color="auto"/>
                                                            <w:left w:val="none" w:sz="0" w:space="0" w:color="auto"/>
                                                            <w:bottom w:val="none" w:sz="0" w:space="0" w:color="auto"/>
                                                            <w:right w:val="none" w:sz="0" w:space="0" w:color="auto"/>
                                                          </w:divBdr>
                                                        </w:div>
                                                      </w:divsChild>
                                                    </w:div>
                                                    <w:div w:id="1691955889">
                                                      <w:marLeft w:val="0"/>
                                                      <w:marRight w:val="0"/>
                                                      <w:marTop w:val="0"/>
                                                      <w:marBottom w:val="0"/>
                                                      <w:divBdr>
                                                        <w:top w:val="none" w:sz="0" w:space="0" w:color="auto"/>
                                                        <w:left w:val="none" w:sz="0" w:space="0" w:color="auto"/>
                                                        <w:bottom w:val="none" w:sz="0" w:space="0" w:color="auto"/>
                                                        <w:right w:val="none" w:sz="0" w:space="0" w:color="auto"/>
                                                      </w:divBdr>
                                                      <w:divsChild>
                                                        <w:div w:id="230045521">
                                                          <w:marLeft w:val="0"/>
                                                          <w:marRight w:val="0"/>
                                                          <w:marTop w:val="0"/>
                                                          <w:marBottom w:val="0"/>
                                                          <w:divBdr>
                                                            <w:top w:val="none" w:sz="0" w:space="0" w:color="auto"/>
                                                            <w:left w:val="none" w:sz="0" w:space="0" w:color="auto"/>
                                                            <w:bottom w:val="none" w:sz="0" w:space="0" w:color="auto"/>
                                                            <w:right w:val="none" w:sz="0" w:space="0" w:color="auto"/>
                                                          </w:divBdr>
                                                        </w:div>
                                                        <w:div w:id="1447311286">
                                                          <w:marLeft w:val="1275"/>
                                                          <w:marRight w:val="0"/>
                                                          <w:marTop w:val="0"/>
                                                          <w:marBottom w:val="0"/>
                                                          <w:divBdr>
                                                            <w:top w:val="none" w:sz="0" w:space="0" w:color="auto"/>
                                                            <w:left w:val="none" w:sz="0" w:space="0" w:color="auto"/>
                                                            <w:bottom w:val="none" w:sz="0" w:space="0" w:color="auto"/>
                                                            <w:right w:val="none" w:sz="0" w:space="0" w:color="auto"/>
                                                          </w:divBdr>
                                                          <w:divsChild>
                                                            <w:div w:id="404648863">
                                                              <w:marLeft w:val="0"/>
                                                              <w:marRight w:val="0"/>
                                                              <w:marTop w:val="0"/>
                                                              <w:marBottom w:val="0"/>
                                                              <w:divBdr>
                                                                <w:top w:val="none" w:sz="0" w:space="0" w:color="auto"/>
                                                                <w:left w:val="none" w:sz="0" w:space="0" w:color="auto"/>
                                                                <w:bottom w:val="none" w:sz="0" w:space="0" w:color="auto"/>
                                                                <w:right w:val="none" w:sz="0" w:space="0" w:color="auto"/>
                                                              </w:divBdr>
                                                              <w:divsChild>
                                                                <w:div w:id="813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4331">
                                                      <w:marLeft w:val="0"/>
                                                      <w:marRight w:val="0"/>
                                                      <w:marTop w:val="0"/>
                                                      <w:marBottom w:val="0"/>
                                                      <w:divBdr>
                                                        <w:top w:val="none" w:sz="0" w:space="0" w:color="auto"/>
                                                        <w:left w:val="none" w:sz="0" w:space="0" w:color="auto"/>
                                                        <w:bottom w:val="none" w:sz="0" w:space="0" w:color="auto"/>
                                                        <w:right w:val="none" w:sz="0" w:space="0" w:color="auto"/>
                                                      </w:divBdr>
                                                      <w:divsChild>
                                                        <w:div w:id="1264455724">
                                                          <w:marLeft w:val="0"/>
                                                          <w:marRight w:val="0"/>
                                                          <w:marTop w:val="0"/>
                                                          <w:marBottom w:val="0"/>
                                                          <w:divBdr>
                                                            <w:top w:val="none" w:sz="0" w:space="0" w:color="auto"/>
                                                            <w:left w:val="none" w:sz="0" w:space="0" w:color="auto"/>
                                                            <w:bottom w:val="none" w:sz="0" w:space="0" w:color="auto"/>
                                                            <w:right w:val="none" w:sz="0" w:space="0" w:color="auto"/>
                                                          </w:divBdr>
                                                        </w:div>
                                                        <w:div w:id="1617516023">
                                                          <w:marLeft w:val="1275"/>
                                                          <w:marRight w:val="0"/>
                                                          <w:marTop w:val="0"/>
                                                          <w:marBottom w:val="0"/>
                                                          <w:divBdr>
                                                            <w:top w:val="none" w:sz="0" w:space="0" w:color="auto"/>
                                                            <w:left w:val="none" w:sz="0" w:space="0" w:color="auto"/>
                                                            <w:bottom w:val="none" w:sz="0" w:space="0" w:color="auto"/>
                                                            <w:right w:val="none" w:sz="0" w:space="0" w:color="auto"/>
                                                          </w:divBdr>
                                                          <w:divsChild>
                                                            <w:div w:id="1527057061">
                                                              <w:marLeft w:val="0"/>
                                                              <w:marRight w:val="0"/>
                                                              <w:marTop w:val="0"/>
                                                              <w:marBottom w:val="0"/>
                                                              <w:divBdr>
                                                                <w:top w:val="none" w:sz="0" w:space="0" w:color="auto"/>
                                                                <w:left w:val="none" w:sz="0" w:space="0" w:color="auto"/>
                                                                <w:bottom w:val="none" w:sz="0" w:space="0" w:color="auto"/>
                                                                <w:right w:val="none" w:sz="0" w:space="0" w:color="auto"/>
                                                              </w:divBdr>
                                                              <w:divsChild>
                                                                <w:div w:id="18092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738363">
      <w:bodyDiv w:val="1"/>
      <w:marLeft w:val="0"/>
      <w:marRight w:val="0"/>
      <w:marTop w:val="0"/>
      <w:marBottom w:val="0"/>
      <w:divBdr>
        <w:top w:val="none" w:sz="0" w:space="0" w:color="auto"/>
        <w:left w:val="none" w:sz="0" w:space="0" w:color="auto"/>
        <w:bottom w:val="none" w:sz="0" w:space="0" w:color="auto"/>
        <w:right w:val="none" w:sz="0" w:space="0" w:color="auto"/>
      </w:divBdr>
    </w:div>
    <w:div w:id="1029993528">
      <w:bodyDiv w:val="1"/>
      <w:marLeft w:val="0"/>
      <w:marRight w:val="0"/>
      <w:marTop w:val="0"/>
      <w:marBottom w:val="0"/>
      <w:divBdr>
        <w:top w:val="none" w:sz="0" w:space="0" w:color="auto"/>
        <w:left w:val="none" w:sz="0" w:space="0" w:color="auto"/>
        <w:bottom w:val="none" w:sz="0" w:space="0" w:color="auto"/>
        <w:right w:val="none" w:sz="0" w:space="0" w:color="auto"/>
      </w:divBdr>
    </w:div>
    <w:div w:id="1064644354">
      <w:bodyDiv w:val="1"/>
      <w:marLeft w:val="0"/>
      <w:marRight w:val="0"/>
      <w:marTop w:val="0"/>
      <w:marBottom w:val="0"/>
      <w:divBdr>
        <w:top w:val="none" w:sz="0" w:space="0" w:color="auto"/>
        <w:left w:val="none" w:sz="0" w:space="0" w:color="auto"/>
        <w:bottom w:val="none" w:sz="0" w:space="0" w:color="auto"/>
        <w:right w:val="none" w:sz="0" w:space="0" w:color="auto"/>
      </w:divBdr>
    </w:div>
    <w:div w:id="1091007865">
      <w:bodyDiv w:val="1"/>
      <w:marLeft w:val="0"/>
      <w:marRight w:val="0"/>
      <w:marTop w:val="0"/>
      <w:marBottom w:val="0"/>
      <w:divBdr>
        <w:top w:val="none" w:sz="0" w:space="0" w:color="auto"/>
        <w:left w:val="none" w:sz="0" w:space="0" w:color="auto"/>
        <w:bottom w:val="none" w:sz="0" w:space="0" w:color="auto"/>
        <w:right w:val="none" w:sz="0" w:space="0" w:color="auto"/>
      </w:divBdr>
    </w:div>
    <w:div w:id="1100103006">
      <w:bodyDiv w:val="1"/>
      <w:marLeft w:val="0"/>
      <w:marRight w:val="0"/>
      <w:marTop w:val="0"/>
      <w:marBottom w:val="0"/>
      <w:divBdr>
        <w:top w:val="none" w:sz="0" w:space="0" w:color="auto"/>
        <w:left w:val="none" w:sz="0" w:space="0" w:color="auto"/>
        <w:bottom w:val="none" w:sz="0" w:space="0" w:color="auto"/>
        <w:right w:val="none" w:sz="0" w:space="0" w:color="auto"/>
      </w:divBdr>
    </w:div>
    <w:div w:id="1110658959">
      <w:bodyDiv w:val="1"/>
      <w:marLeft w:val="0"/>
      <w:marRight w:val="0"/>
      <w:marTop w:val="0"/>
      <w:marBottom w:val="0"/>
      <w:divBdr>
        <w:top w:val="none" w:sz="0" w:space="0" w:color="auto"/>
        <w:left w:val="none" w:sz="0" w:space="0" w:color="auto"/>
        <w:bottom w:val="none" w:sz="0" w:space="0" w:color="auto"/>
        <w:right w:val="none" w:sz="0" w:space="0" w:color="auto"/>
      </w:divBdr>
    </w:div>
    <w:div w:id="1251236452">
      <w:bodyDiv w:val="1"/>
      <w:marLeft w:val="0"/>
      <w:marRight w:val="0"/>
      <w:marTop w:val="0"/>
      <w:marBottom w:val="0"/>
      <w:divBdr>
        <w:top w:val="none" w:sz="0" w:space="0" w:color="auto"/>
        <w:left w:val="none" w:sz="0" w:space="0" w:color="auto"/>
        <w:bottom w:val="none" w:sz="0" w:space="0" w:color="auto"/>
        <w:right w:val="none" w:sz="0" w:space="0" w:color="auto"/>
      </w:divBdr>
    </w:div>
    <w:div w:id="1275988675">
      <w:bodyDiv w:val="1"/>
      <w:marLeft w:val="0"/>
      <w:marRight w:val="0"/>
      <w:marTop w:val="0"/>
      <w:marBottom w:val="0"/>
      <w:divBdr>
        <w:top w:val="none" w:sz="0" w:space="0" w:color="auto"/>
        <w:left w:val="none" w:sz="0" w:space="0" w:color="auto"/>
        <w:bottom w:val="none" w:sz="0" w:space="0" w:color="auto"/>
        <w:right w:val="none" w:sz="0" w:space="0" w:color="auto"/>
      </w:divBdr>
    </w:div>
    <w:div w:id="1293629323">
      <w:bodyDiv w:val="1"/>
      <w:marLeft w:val="0"/>
      <w:marRight w:val="0"/>
      <w:marTop w:val="0"/>
      <w:marBottom w:val="0"/>
      <w:divBdr>
        <w:top w:val="none" w:sz="0" w:space="0" w:color="auto"/>
        <w:left w:val="none" w:sz="0" w:space="0" w:color="auto"/>
        <w:bottom w:val="none" w:sz="0" w:space="0" w:color="auto"/>
        <w:right w:val="none" w:sz="0" w:space="0" w:color="auto"/>
      </w:divBdr>
    </w:div>
    <w:div w:id="1298413827">
      <w:bodyDiv w:val="1"/>
      <w:marLeft w:val="0"/>
      <w:marRight w:val="0"/>
      <w:marTop w:val="0"/>
      <w:marBottom w:val="0"/>
      <w:divBdr>
        <w:top w:val="none" w:sz="0" w:space="0" w:color="auto"/>
        <w:left w:val="none" w:sz="0" w:space="0" w:color="auto"/>
        <w:bottom w:val="none" w:sz="0" w:space="0" w:color="auto"/>
        <w:right w:val="none" w:sz="0" w:space="0" w:color="auto"/>
      </w:divBdr>
    </w:div>
    <w:div w:id="1317030117">
      <w:bodyDiv w:val="1"/>
      <w:marLeft w:val="0"/>
      <w:marRight w:val="0"/>
      <w:marTop w:val="0"/>
      <w:marBottom w:val="0"/>
      <w:divBdr>
        <w:top w:val="none" w:sz="0" w:space="0" w:color="auto"/>
        <w:left w:val="none" w:sz="0" w:space="0" w:color="auto"/>
        <w:bottom w:val="none" w:sz="0" w:space="0" w:color="auto"/>
        <w:right w:val="none" w:sz="0" w:space="0" w:color="auto"/>
      </w:divBdr>
    </w:div>
    <w:div w:id="1337031004">
      <w:bodyDiv w:val="1"/>
      <w:marLeft w:val="0"/>
      <w:marRight w:val="0"/>
      <w:marTop w:val="0"/>
      <w:marBottom w:val="0"/>
      <w:divBdr>
        <w:top w:val="none" w:sz="0" w:space="0" w:color="auto"/>
        <w:left w:val="none" w:sz="0" w:space="0" w:color="auto"/>
        <w:bottom w:val="none" w:sz="0" w:space="0" w:color="auto"/>
        <w:right w:val="none" w:sz="0" w:space="0" w:color="auto"/>
      </w:divBdr>
    </w:div>
    <w:div w:id="1343897773">
      <w:bodyDiv w:val="1"/>
      <w:marLeft w:val="0"/>
      <w:marRight w:val="0"/>
      <w:marTop w:val="0"/>
      <w:marBottom w:val="0"/>
      <w:divBdr>
        <w:top w:val="none" w:sz="0" w:space="0" w:color="auto"/>
        <w:left w:val="none" w:sz="0" w:space="0" w:color="auto"/>
        <w:bottom w:val="none" w:sz="0" w:space="0" w:color="auto"/>
        <w:right w:val="none" w:sz="0" w:space="0" w:color="auto"/>
      </w:divBdr>
    </w:div>
    <w:div w:id="1380783857">
      <w:bodyDiv w:val="1"/>
      <w:marLeft w:val="0"/>
      <w:marRight w:val="0"/>
      <w:marTop w:val="0"/>
      <w:marBottom w:val="0"/>
      <w:divBdr>
        <w:top w:val="none" w:sz="0" w:space="0" w:color="auto"/>
        <w:left w:val="none" w:sz="0" w:space="0" w:color="auto"/>
        <w:bottom w:val="none" w:sz="0" w:space="0" w:color="auto"/>
        <w:right w:val="none" w:sz="0" w:space="0" w:color="auto"/>
      </w:divBdr>
    </w:div>
    <w:div w:id="1385448164">
      <w:bodyDiv w:val="1"/>
      <w:marLeft w:val="0"/>
      <w:marRight w:val="0"/>
      <w:marTop w:val="0"/>
      <w:marBottom w:val="0"/>
      <w:divBdr>
        <w:top w:val="none" w:sz="0" w:space="0" w:color="auto"/>
        <w:left w:val="none" w:sz="0" w:space="0" w:color="auto"/>
        <w:bottom w:val="none" w:sz="0" w:space="0" w:color="auto"/>
        <w:right w:val="none" w:sz="0" w:space="0" w:color="auto"/>
      </w:divBdr>
    </w:div>
    <w:div w:id="1429616627">
      <w:bodyDiv w:val="1"/>
      <w:marLeft w:val="0"/>
      <w:marRight w:val="0"/>
      <w:marTop w:val="0"/>
      <w:marBottom w:val="0"/>
      <w:divBdr>
        <w:top w:val="none" w:sz="0" w:space="0" w:color="auto"/>
        <w:left w:val="none" w:sz="0" w:space="0" w:color="auto"/>
        <w:bottom w:val="none" w:sz="0" w:space="0" w:color="auto"/>
        <w:right w:val="none" w:sz="0" w:space="0" w:color="auto"/>
      </w:divBdr>
    </w:div>
    <w:div w:id="1468932217">
      <w:bodyDiv w:val="1"/>
      <w:marLeft w:val="0"/>
      <w:marRight w:val="0"/>
      <w:marTop w:val="0"/>
      <w:marBottom w:val="0"/>
      <w:divBdr>
        <w:top w:val="none" w:sz="0" w:space="0" w:color="auto"/>
        <w:left w:val="none" w:sz="0" w:space="0" w:color="auto"/>
        <w:bottom w:val="none" w:sz="0" w:space="0" w:color="auto"/>
        <w:right w:val="none" w:sz="0" w:space="0" w:color="auto"/>
      </w:divBdr>
      <w:divsChild>
        <w:div w:id="203299822">
          <w:marLeft w:val="1008"/>
          <w:marRight w:val="0"/>
          <w:marTop w:val="58"/>
          <w:marBottom w:val="120"/>
          <w:divBdr>
            <w:top w:val="none" w:sz="0" w:space="0" w:color="auto"/>
            <w:left w:val="none" w:sz="0" w:space="0" w:color="auto"/>
            <w:bottom w:val="none" w:sz="0" w:space="0" w:color="auto"/>
            <w:right w:val="none" w:sz="0" w:space="0" w:color="auto"/>
          </w:divBdr>
        </w:div>
        <w:div w:id="1484547685">
          <w:marLeft w:val="1008"/>
          <w:marRight w:val="0"/>
          <w:marTop w:val="58"/>
          <w:marBottom w:val="0"/>
          <w:divBdr>
            <w:top w:val="none" w:sz="0" w:space="0" w:color="auto"/>
            <w:left w:val="none" w:sz="0" w:space="0" w:color="auto"/>
            <w:bottom w:val="none" w:sz="0" w:space="0" w:color="auto"/>
            <w:right w:val="none" w:sz="0" w:space="0" w:color="auto"/>
          </w:divBdr>
        </w:div>
      </w:divsChild>
    </w:div>
    <w:div w:id="1502617818">
      <w:bodyDiv w:val="1"/>
      <w:marLeft w:val="0"/>
      <w:marRight w:val="0"/>
      <w:marTop w:val="0"/>
      <w:marBottom w:val="0"/>
      <w:divBdr>
        <w:top w:val="none" w:sz="0" w:space="0" w:color="auto"/>
        <w:left w:val="none" w:sz="0" w:space="0" w:color="auto"/>
        <w:bottom w:val="none" w:sz="0" w:space="0" w:color="auto"/>
        <w:right w:val="none" w:sz="0" w:space="0" w:color="auto"/>
      </w:divBdr>
    </w:div>
    <w:div w:id="1556119457">
      <w:bodyDiv w:val="1"/>
      <w:marLeft w:val="0"/>
      <w:marRight w:val="0"/>
      <w:marTop w:val="0"/>
      <w:marBottom w:val="0"/>
      <w:divBdr>
        <w:top w:val="none" w:sz="0" w:space="0" w:color="auto"/>
        <w:left w:val="none" w:sz="0" w:space="0" w:color="auto"/>
        <w:bottom w:val="none" w:sz="0" w:space="0" w:color="auto"/>
        <w:right w:val="none" w:sz="0" w:space="0" w:color="auto"/>
      </w:divBdr>
    </w:div>
    <w:div w:id="1579098608">
      <w:bodyDiv w:val="1"/>
      <w:marLeft w:val="0"/>
      <w:marRight w:val="0"/>
      <w:marTop w:val="0"/>
      <w:marBottom w:val="0"/>
      <w:divBdr>
        <w:top w:val="none" w:sz="0" w:space="0" w:color="auto"/>
        <w:left w:val="none" w:sz="0" w:space="0" w:color="auto"/>
        <w:bottom w:val="none" w:sz="0" w:space="0" w:color="auto"/>
        <w:right w:val="none" w:sz="0" w:space="0" w:color="auto"/>
      </w:divBdr>
    </w:div>
    <w:div w:id="1614364621">
      <w:bodyDiv w:val="1"/>
      <w:marLeft w:val="0"/>
      <w:marRight w:val="0"/>
      <w:marTop w:val="0"/>
      <w:marBottom w:val="0"/>
      <w:divBdr>
        <w:top w:val="none" w:sz="0" w:space="0" w:color="auto"/>
        <w:left w:val="none" w:sz="0" w:space="0" w:color="auto"/>
        <w:bottom w:val="none" w:sz="0" w:space="0" w:color="auto"/>
        <w:right w:val="none" w:sz="0" w:space="0" w:color="auto"/>
      </w:divBdr>
    </w:div>
    <w:div w:id="1634211308">
      <w:bodyDiv w:val="1"/>
      <w:marLeft w:val="0"/>
      <w:marRight w:val="0"/>
      <w:marTop w:val="0"/>
      <w:marBottom w:val="0"/>
      <w:divBdr>
        <w:top w:val="none" w:sz="0" w:space="0" w:color="auto"/>
        <w:left w:val="none" w:sz="0" w:space="0" w:color="auto"/>
        <w:bottom w:val="none" w:sz="0" w:space="0" w:color="auto"/>
        <w:right w:val="none" w:sz="0" w:space="0" w:color="auto"/>
      </w:divBdr>
    </w:div>
    <w:div w:id="1660964040">
      <w:bodyDiv w:val="1"/>
      <w:marLeft w:val="0"/>
      <w:marRight w:val="0"/>
      <w:marTop w:val="0"/>
      <w:marBottom w:val="0"/>
      <w:divBdr>
        <w:top w:val="none" w:sz="0" w:space="0" w:color="auto"/>
        <w:left w:val="none" w:sz="0" w:space="0" w:color="auto"/>
        <w:bottom w:val="none" w:sz="0" w:space="0" w:color="auto"/>
        <w:right w:val="none" w:sz="0" w:space="0" w:color="auto"/>
      </w:divBdr>
    </w:div>
    <w:div w:id="1738628054">
      <w:bodyDiv w:val="1"/>
      <w:marLeft w:val="0"/>
      <w:marRight w:val="0"/>
      <w:marTop w:val="0"/>
      <w:marBottom w:val="0"/>
      <w:divBdr>
        <w:top w:val="none" w:sz="0" w:space="0" w:color="auto"/>
        <w:left w:val="none" w:sz="0" w:space="0" w:color="auto"/>
        <w:bottom w:val="none" w:sz="0" w:space="0" w:color="auto"/>
        <w:right w:val="none" w:sz="0" w:space="0" w:color="auto"/>
      </w:divBdr>
    </w:div>
    <w:div w:id="1744372202">
      <w:bodyDiv w:val="1"/>
      <w:marLeft w:val="0"/>
      <w:marRight w:val="0"/>
      <w:marTop w:val="0"/>
      <w:marBottom w:val="0"/>
      <w:divBdr>
        <w:top w:val="none" w:sz="0" w:space="0" w:color="auto"/>
        <w:left w:val="none" w:sz="0" w:space="0" w:color="auto"/>
        <w:bottom w:val="none" w:sz="0" w:space="0" w:color="auto"/>
        <w:right w:val="none" w:sz="0" w:space="0" w:color="auto"/>
      </w:divBdr>
    </w:div>
    <w:div w:id="1751929876">
      <w:bodyDiv w:val="1"/>
      <w:marLeft w:val="0"/>
      <w:marRight w:val="0"/>
      <w:marTop w:val="0"/>
      <w:marBottom w:val="0"/>
      <w:divBdr>
        <w:top w:val="none" w:sz="0" w:space="0" w:color="auto"/>
        <w:left w:val="none" w:sz="0" w:space="0" w:color="auto"/>
        <w:bottom w:val="none" w:sz="0" w:space="0" w:color="auto"/>
        <w:right w:val="none" w:sz="0" w:space="0" w:color="auto"/>
      </w:divBdr>
    </w:div>
    <w:div w:id="1869369663">
      <w:bodyDiv w:val="1"/>
      <w:marLeft w:val="0"/>
      <w:marRight w:val="0"/>
      <w:marTop w:val="0"/>
      <w:marBottom w:val="0"/>
      <w:divBdr>
        <w:top w:val="none" w:sz="0" w:space="0" w:color="auto"/>
        <w:left w:val="none" w:sz="0" w:space="0" w:color="auto"/>
        <w:bottom w:val="none" w:sz="0" w:space="0" w:color="auto"/>
        <w:right w:val="none" w:sz="0" w:space="0" w:color="auto"/>
      </w:divBdr>
    </w:div>
    <w:div w:id="1873498948">
      <w:bodyDiv w:val="1"/>
      <w:marLeft w:val="0"/>
      <w:marRight w:val="0"/>
      <w:marTop w:val="0"/>
      <w:marBottom w:val="0"/>
      <w:divBdr>
        <w:top w:val="none" w:sz="0" w:space="0" w:color="auto"/>
        <w:left w:val="none" w:sz="0" w:space="0" w:color="auto"/>
        <w:bottom w:val="none" w:sz="0" w:space="0" w:color="auto"/>
        <w:right w:val="none" w:sz="0" w:space="0" w:color="auto"/>
      </w:divBdr>
    </w:div>
    <w:div w:id="1964070655">
      <w:bodyDiv w:val="1"/>
      <w:marLeft w:val="0"/>
      <w:marRight w:val="0"/>
      <w:marTop w:val="0"/>
      <w:marBottom w:val="0"/>
      <w:divBdr>
        <w:top w:val="none" w:sz="0" w:space="0" w:color="auto"/>
        <w:left w:val="none" w:sz="0" w:space="0" w:color="auto"/>
        <w:bottom w:val="none" w:sz="0" w:space="0" w:color="auto"/>
        <w:right w:val="none" w:sz="0" w:space="0" w:color="auto"/>
      </w:divBdr>
    </w:div>
    <w:div w:id="2036997577">
      <w:bodyDiv w:val="1"/>
      <w:marLeft w:val="0"/>
      <w:marRight w:val="0"/>
      <w:marTop w:val="0"/>
      <w:marBottom w:val="0"/>
      <w:divBdr>
        <w:top w:val="none" w:sz="0" w:space="0" w:color="auto"/>
        <w:left w:val="none" w:sz="0" w:space="0" w:color="auto"/>
        <w:bottom w:val="none" w:sz="0" w:space="0" w:color="auto"/>
        <w:right w:val="none" w:sz="0" w:space="0" w:color="auto"/>
      </w:divBdr>
    </w:div>
    <w:div w:id="2040473338">
      <w:bodyDiv w:val="1"/>
      <w:marLeft w:val="0"/>
      <w:marRight w:val="0"/>
      <w:marTop w:val="0"/>
      <w:marBottom w:val="0"/>
      <w:divBdr>
        <w:top w:val="none" w:sz="0" w:space="0" w:color="auto"/>
        <w:left w:val="none" w:sz="0" w:space="0" w:color="auto"/>
        <w:bottom w:val="none" w:sz="0" w:space="0" w:color="auto"/>
        <w:right w:val="none" w:sz="0" w:space="0" w:color="auto"/>
      </w:divBdr>
      <w:divsChild>
        <w:div w:id="386955159">
          <w:marLeft w:val="0"/>
          <w:marRight w:val="0"/>
          <w:marTop w:val="0"/>
          <w:marBottom w:val="0"/>
          <w:divBdr>
            <w:top w:val="none" w:sz="0" w:space="0" w:color="auto"/>
            <w:left w:val="single" w:sz="6" w:space="0" w:color="BBBBBB"/>
            <w:bottom w:val="single" w:sz="6" w:space="0" w:color="BBBBBB"/>
            <w:right w:val="single" w:sz="6" w:space="0" w:color="BBBBBB"/>
          </w:divBdr>
          <w:divsChild>
            <w:div w:id="663508038">
              <w:marLeft w:val="0"/>
              <w:marRight w:val="0"/>
              <w:marTop w:val="0"/>
              <w:marBottom w:val="0"/>
              <w:divBdr>
                <w:top w:val="none" w:sz="0" w:space="0" w:color="auto"/>
                <w:left w:val="none" w:sz="0" w:space="0" w:color="auto"/>
                <w:bottom w:val="none" w:sz="0" w:space="0" w:color="auto"/>
                <w:right w:val="none" w:sz="0" w:space="0" w:color="auto"/>
              </w:divBdr>
              <w:divsChild>
                <w:div w:id="1803231318">
                  <w:marLeft w:val="0"/>
                  <w:marRight w:val="0"/>
                  <w:marTop w:val="0"/>
                  <w:marBottom w:val="0"/>
                  <w:divBdr>
                    <w:top w:val="none" w:sz="0" w:space="0" w:color="auto"/>
                    <w:left w:val="none" w:sz="0" w:space="0" w:color="auto"/>
                    <w:bottom w:val="none" w:sz="0" w:space="0" w:color="auto"/>
                    <w:right w:val="none" w:sz="0" w:space="0" w:color="auto"/>
                  </w:divBdr>
                  <w:divsChild>
                    <w:div w:id="1811361484">
                      <w:marLeft w:val="0"/>
                      <w:marRight w:val="0"/>
                      <w:marTop w:val="0"/>
                      <w:marBottom w:val="0"/>
                      <w:divBdr>
                        <w:top w:val="none" w:sz="0" w:space="0" w:color="auto"/>
                        <w:left w:val="none" w:sz="0" w:space="0" w:color="auto"/>
                        <w:bottom w:val="none" w:sz="0" w:space="0" w:color="auto"/>
                        <w:right w:val="none" w:sz="0" w:space="0" w:color="auto"/>
                      </w:divBdr>
                      <w:divsChild>
                        <w:div w:id="1285651758">
                          <w:marLeft w:val="0"/>
                          <w:marRight w:val="0"/>
                          <w:marTop w:val="0"/>
                          <w:marBottom w:val="0"/>
                          <w:divBdr>
                            <w:top w:val="none" w:sz="0" w:space="0" w:color="auto"/>
                            <w:left w:val="none" w:sz="0" w:space="0" w:color="auto"/>
                            <w:bottom w:val="none" w:sz="0" w:space="0" w:color="auto"/>
                            <w:right w:val="none" w:sz="0" w:space="0" w:color="auto"/>
                          </w:divBdr>
                          <w:divsChild>
                            <w:div w:id="555121064">
                              <w:marLeft w:val="0"/>
                              <w:marRight w:val="0"/>
                              <w:marTop w:val="0"/>
                              <w:marBottom w:val="0"/>
                              <w:divBdr>
                                <w:top w:val="none" w:sz="0" w:space="0" w:color="auto"/>
                                <w:left w:val="none" w:sz="0" w:space="0" w:color="auto"/>
                                <w:bottom w:val="none" w:sz="0" w:space="0" w:color="auto"/>
                                <w:right w:val="none" w:sz="0" w:space="0" w:color="auto"/>
                              </w:divBdr>
                              <w:divsChild>
                                <w:div w:id="432751775">
                                  <w:marLeft w:val="0"/>
                                  <w:marRight w:val="0"/>
                                  <w:marTop w:val="0"/>
                                  <w:marBottom w:val="0"/>
                                  <w:divBdr>
                                    <w:top w:val="none" w:sz="0" w:space="0" w:color="auto"/>
                                    <w:left w:val="none" w:sz="0" w:space="0" w:color="auto"/>
                                    <w:bottom w:val="none" w:sz="0" w:space="0" w:color="auto"/>
                                    <w:right w:val="none" w:sz="0" w:space="0" w:color="auto"/>
                                  </w:divBdr>
                                  <w:divsChild>
                                    <w:div w:id="538207717">
                                      <w:marLeft w:val="0"/>
                                      <w:marRight w:val="0"/>
                                      <w:marTop w:val="0"/>
                                      <w:marBottom w:val="0"/>
                                      <w:divBdr>
                                        <w:top w:val="none" w:sz="0" w:space="0" w:color="auto"/>
                                        <w:left w:val="none" w:sz="0" w:space="0" w:color="auto"/>
                                        <w:bottom w:val="none" w:sz="0" w:space="0" w:color="auto"/>
                                        <w:right w:val="none" w:sz="0" w:space="0" w:color="auto"/>
                                      </w:divBdr>
                                      <w:divsChild>
                                        <w:div w:id="720979910">
                                          <w:marLeft w:val="1200"/>
                                          <w:marRight w:val="1200"/>
                                          <w:marTop w:val="0"/>
                                          <w:marBottom w:val="0"/>
                                          <w:divBdr>
                                            <w:top w:val="none" w:sz="0" w:space="0" w:color="auto"/>
                                            <w:left w:val="none" w:sz="0" w:space="0" w:color="auto"/>
                                            <w:bottom w:val="none" w:sz="0" w:space="0" w:color="auto"/>
                                            <w:right w:val="none" w:sz="0" w:space="0" w:color="auto"/>
                                          </w:divBdr>
                                          <w:divsChild>
                                            <w:div w:id="934704754">
                                              <w:marLeft w:val="0"/>
                                              <w:marRight w:val="0"/>
                                              <w:marTop w:val="0"/>
                                              <w:marBottom w:val="0"/>
                                              <w:divBdr>
                                                <w:top w:val="none" w:sz="0" w:space="0" w:color="auto"/>
                                                <w:left w:val="none" w:sz="0" w:space="0" w:color="auto"/>
                                                <w:bottom w:val="none" w:sz="0" w:space="0" w:color="auto"/>
                                                <w:right w:val="none" w:sz="0" w:space="0" w:color="auto"/>
                                              </w:divBdr>
                                              <w:divsChild>
                                                <w:div w:id="588127225">
                                                  <w:marLeft w:val="0"/>
                                                  <w:marRight w:val="0"/>
                                                  <w:marTop w:val="0"/>
                                                  <w:marBottom w:val="0"/>
                                                  <w:divBdr>
                                                    <w:top w:val="none" w:sz="0" w:space="0" w:color="auto"/>
                                                    <w:left w:val="none" w:sz="0" w:space="0" w:color="auto"/>
                                                    <w:bottom w:val="none" w:sz="0" w:space="0" w:color="auto"/>
                                                    <w:right w:val="none" w:sz="0" w:space="0" w:color="auto"/>
                                                  </w:divBdr>
                                                  <w:divsChild>
                                                    <w:div w:id="214434493">
                                                      <w:marLeft w:val="0"/>
                                                      <w:marRight w:val="0"/>
                                                      <w:marTop w:val="0"/>
                                                      <w:marBottom w:val="0"/>
                                                      <w:divBdr>
                                                        <w:top w:val="none" w:sz="0" w:space="0" w:color="auto"/>
                                                        <w:left w:val="none" w:sz="0" w:space="0" w:color="auto"/>
                                                        <w:bottom w:val="none" w:sz="0" w:space="0" w:color="auto"/>
                                                        <w:right w:val="none" w:sz="0" w:space="0" w:color="auto"/>
                                                      </w:divBdr>
                                                      <w:divsChild>
                                                        <w:div w:id="6605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715302">
      <w:bodyDiv w:val="1"/>
      <w:marLeft w:val="0"/>
      <w:marRight w:val="0"/>
      <w:marTop w:val="0"/>
      <w:marBottom w:val="0"/>
      <w:divBdr>
        <w:top w:val="none" w:sz="0" w:space="0" w:color="auto"/>
        <w:left w:val="none" w:sz="0" w:space="0" w:color="auto"/>
        <w:bottom w:val="none" w:sz="0" w:space="0" w:color="auto"/>
        <w:right w:val="none" w:sz="0" w:space="0" w:color="auto"/>
      </w:divBdr>
    </w:div>
    <w:div w:id="2066878073">
      <w:bodyDiv w:val="1"/>
      <w:marLeft w:val="0"/>
      <w:marRight w:val="0"/>
      <w:marTop w:val="0"/>
      <w:marBottom w:val="0"/>
      <w:divBdr>
        <w:top w:val="none" w:sz="0" w:space="0" w:color="auto"/>
        <w:left w:val="none" w:sz="0" w:space="0" w:color="auto"/>
        <w:bottom w:val="none" w:sz="0" w:space="0" w:color="auto"/>
        <w:right w:val="none" w:sz="0" w:space="0" w:color="auto"/>
      </w:divBdr>
    </w:div>
    <w:div w:id="2085296801">
      <w:bodyDiv w:val="1"/>
      <w:marLeft w:val="0"/>
      <w:marRight w:val="0"/>
      <w:marTop w:val="0"/>
      <w:marBottom w:val="0"/>
      <w:divBdr>
        <w:top w:val="none" w:sz="0" w:space="0" w:color="auto"/>
        <w:left w:val="none" w:sz="0" w:space="0" w:color="auto"/>
        <w:bottom w:val="none" w:sz="0" w:space="0" w:color="auto"/>
        <w:right w:val="none" w:sz="0" w:space="0" w:color="auto"/>
      </w:divBdr>
    </w:div>
    <w:div w:id="20921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ec.gov/Archives/edgar/data/879585/000104746913002987/a2213629z10-k.htm" TargetMode="External"/><Relationship Id="rId2" Type="http://schemas.openxmlformats.org/officeDocument/2006/relationships/hyperlink" Target="http://www.sec.gov/Archives/edgar/data/732717/000073271713000017/ex13.htm" TargetMode="External"/><Relationship Id="rId1" Type="http://schemas.openxmlformats.org/officeDocument/2006/relationships/hyperlink" Target="http://www.sec.gov/Archives/edgar/data/732717/000073271713000017/ye12_10k.htm" TargetMode="External"/><Relationship Id="rId4" Type="http://schemas.openxmlformats.org/officeDocument/2006/relationships/hyperlink" Target="http://www.ntia.doc.gov/category/aws-1710-1755-mhz-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12584</Words>
  <Characters>70777</Characters>
  <Application>Microsoft Office Word</Application>
  <DocSecurity>0</DocSecurity>
  <Lines>1020</Lines>
  <Paragraphs>228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83571</CharactersWithSpaces>
  <SharedDoc>false</SharedDoc>
  <HyperlinkBase> </HyperlinkBase>
  <HLinks>
    <vt:vector size="30" baseType="variant">
      <vt:variant>
        <vt:i4>7208982</vt:i4>
      </vt:variant>
      <vt:variant>
        <vt:i4>12</vt:i4>
      </vt:variant>
      <vt:variant>
        <vt:i4>0</vt:i4>
      </vt:variant>
      <vt:variant>
        <vt:i4>5</vt:i4>
      </vt:variant>
      <vt:variant>
        <vt:lpwstr>http://web2.westlaw.com/find/default.wl?mt=12&amp;db=0004493&amp;tc=-1&amp;rp=%2ffind%2fdefault.wl&amp;findtype=Y&amp;ordoc=2025471271&amp;serialnum=2000526112&amp;vr=2.0&amp;fn=_top&amp;sv=Split&amp;tf=-1&amp;pbc=F931ECE8&amp;rs=WLW12.04</vt:lpwstr>
      </vt:variant>
      <vt:variant>
        <vt:lpwstr/>
      </vt:variant>
      <vt:variant>
        <vt:i4>2228311</vt:i4>
      </vt:variant>
      <vt:variant>
        <vt:i4>9</vt:i4>
      </vt:variant>
      <vt:variant>
        <vt:i4>0</vt:i4>
      </vt:variant>
      <vt:variant>
        <vt:i4>5</vt:i4>
      </vt:variant>
      <vt:variant>
        <vt:lpwstr>http://web2.westlaw.com/find/default.wl?tf=-1&amp;rs=WLW10.05&amp;referencepositiontype=S&amp;serialnum=1997265080&amp;fn=_top&amp;sv=Split&amp;referenceposition=23896&amp;pbc=66821A55&amp;tc=-1&amp;ordoc=2017442660&amp;findtype=Y&amp;db=4493&amp;vr=2.0&amp;rp=%2ffind%2fdefault.wl&amp;mt=7</vt:lpwstr>
      </vt:variant>
      <vt:variant>
        <vt:lpwstr/>
      </vt:variant>
      <vt:variant>
        <vt:i4>5373994</vt:i4>
      </vt:variant>
      <vt:variant>
        <vt:i4>6</vt:i4>
      </vt:variant>
      <vt:variant>
        <vt:i4>0</vt:i4>
      </vt:variant>
      <vt:variant>
        <vt:i4>5</vt:i4>
      </vt:variant>
      <vt:variant>
        <vt:lpwstr>http://web2.westlaw.com/find/default.wl?tf=-1&amp;rs=WLW10.05&amp;referencepositiontype=T&amp;referenceposition=SP%3b6ad60000aeea7&amp;fn=_top&amp;sv=Split&amp;docname=47USCAS310&amp;tc=-1&amp;pbc=66821A55&amp;ordoc=2017442660&amp;findtype=L&amp;db=1000546&amp;vr=2.0&amp;rp=%2ffind%2fdefault.wl&amp;mt=7</vt:lpwstr>
      </vt:variant>
      <vt:variant>
        <vt:lpwstr/>
      </vt:variant>
      <vt:variant>
        <vt:i4>5373994</vt:i4>
      </vt:variant>
      <vt:variant>
        <vt:i4>3</vt:i4>
      </vt:variant>
      <vt:variant>
        <vt:i4>0</vt:i4>
      </vt:variant>
      <vt:variant>
        <vt:i4>5</vt:i4>
      </vt:variant>
      <vt:variant>
        <vt:lpwstr>http://web2.westlaw.com/find/default.wl?tf=-1&amp;rs=WLW10.05&amp;referencepositiontype=T&amp;referenceposition=SP%3b6ad60000aeea7&amp;fn=_top&amp;sv=Split&amp;docname=47USCAS310&amp;tc=-1&amp;pbc=66821A55&amp;ordoc=2017442660&amp;findtype=L&amp;db=1000546&amp;vr=2.0&amp;rp=%2ffind%2fdefault.wl&amp;mt=7</vt:lpwstr>
      </vt:variant>
      <vt:variant>
        <vt:lpwstr/>
      </vt:variant>
      <vt:variant>
        <vt:i4>2490473</vt:i4>
      </vt:variant>
      <vt:variant>
        <vt:i4>0</vt:i4>
      </vt:variant>
      <vt:variant>
        <vt:i4>0</vt:i4>
      </vt:variant>
      <vt:variant>
        <vt:i4>5</vt:i4>
      </vt:variant>
      <vt:variant>
        <vt:lpwstr>http://www.westlaw.com/Find/Default.wl?rs=dfa1.0&amp;vr=2.0&amp;DB=1016&amp;FindType=Y&amp;SerialNum=2010660902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2013-09-20T16:40:00Z</cp:lastPrinted>
  <dcterms:created xsi:type="dcterms:W3CDTF">2013-09-20T17:55:00Z</dcterms:created>
  <dcterms:modified xsi:type="dcterms:W3CDTF">2013-09-20T17:55:00Z</dcterms:modified>
  <cp:category> </cp:category>
  <cp:contentStatus> </cp:contentStatus>
</cp:coreProperties>
</file>