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EF" w:rsidRPr="005027E7" w:rsidRDefault="001D66EF" w:rsidP="008229AA">
      <w:pPr>
        <w:ind w:right="-180"/>
        <w:jc w:val="center"/>
        <w:rPr>
          <w:b/>
          <w:sz w:val="22"/>
          <w:szCs w:val="22"/>
        </w:rPr>
      </w:pPr>
      <w:bookmarkStart w:id="0" w:name="_GoBack"/>
      <w:bookmarkEnd w:id="0"/>
    </w:p>
    <w:p w:rsidR="00CB5D98" w:rsidRPr="005027E7" w:rsidRDefault="00CB5D98" w:rsidP="00CB5D98">
      <w:pPr>
        <w:pStyle w:val="Heading1"/>
        <w:rPr>
          <w:szCs w:val="22"/>
        </w:rPr>
      </w:pPr>
      <w:bookmarkStart w:id="1" w:name="OLE_LINK1"/>
      <w:bookmarkStart w:id="2" w:name="OLE_LINK2"/>
      <w:r w:rsidRPr="005027E7">
        <w:rPr>
          <w:szCs w:val="22"/>
        </w:rPr>
        <w:t>Before the</w:t>
      </w:r>
    </w:p>
    <w:p w:rsidR="00CB5D98" w:rsidRPr="005027E7" w:rsidRDefault="00CB5D98" w:rsidP="00CB5D98">
      <w:pPr>
        <w:pStyle w:val="Heading1"/>
        <w:rPr>
          <w:szCs w:val="22"/>
        </w:rPr>
      </w:pPr>
      <w:r w:rsidRPr="005027E7">
        <w:rPr>
          <w:szCs w:val="22"/>
        </w:rPr>
        <w:t>Federal Communications Commission</w:t>
      </w:r>
    </w:p>
    <w:p w:rsidR="00CB5D98" w:rsidRPr="005027E7" w:rsidRDefault="00CB5D98" w:rsidP="00CB5D98">
      <w:pPr>
        <w:pStyle w:val="Heading1"/>
        <w:rPr>
          <w:szCs w:val="22"/>
        </w:rPr>
      </w:pPr>
      <w:r w:rsidRPr="005027E7">
        <w:rPr>
          <w:szCs w:val="22"/>
        </w:rPr>
        <w:t>Washington, D.C. 20554</w:t>
      </w:r>
    </w:p>
    <w:p w:rsidR="00CB5D98" w:rsidRPr="00DA75D4" w:rsidRDefault="00CB5D98" w:rsidP="00CB5D98">
      <w:pPr>
        <w:jc w:val="right"/>
        <w:rPr>
          <w:b/>
          <w:sz w:val="22"/>
          <w:szCs w:val="22"/>
        </w:rPr>
      </w:pPr>
    </w:p>
    <w:tbl>
      <w:tblPr>
        <w:tblW w:w="9450" w:type="dxa"/>
        <w:tblInd w:w="108" w:type="dxa"/>
        <w:tblLayout w:type="fixed"/>
        <w:tblLook w:val="0000" w:firstRow="0" w:lastRow="0" w:firstColumn="0" w:lastColumn="0" w:noHBand="0" w:noVBand="0"/>
      </w:tblPr>
      <w:tblGrid>
        <w:gridCol w:w="4500"/>
        <w:gridCol w:w="270"/>
        <w:gridCol w:w="4680"/>
      </w:tblGrid>
      <w:tr w:rsidR="00CB5D98" w:rsidRPr="008A3FFD" w:rsidTr="00EE63CB">
        <w:trPr>
          <w:trHeight w:val="1332"/>
        </w:trPr>
        <w:tc>
          <w:tcPr>
            <w:tcW w:w="4500" w:type="dxa"/>
          </w:tcPr>
          <w:p w:rsidR="00CB5D98" w:rsidRPr="005027E7" w:rsidRDefault="00CB5D98" w:rsidP="00EE63CB">
            <w:pPr>
              <w:rPr>
                <w:sz w:val="22"/>
                <w:szCs w:val="22"/>
              </w:rPr>
            </w:pPr>
            <w:r w:rsidRPr="005027E7">
              <w:rPr>
                <w:spacing w:val="-2"/>
                <w:sz w:val="22"/>
                <w:szCs w:val="22"/>
              </w:rPr>
              <w:t>In the Matter of</w:t>
            </w:r>
            <w:r w:rsidRPr="005027E7">
              <w:rPr>
                <w:sz w:val="22"/>
                <w:szCs w:val="22"/>
              </w:rPr>
              <w:t xml:space="preserve"> </w:t>
            </w:r>
          </w:p>
          <w:p w:rsidR="00CB5D98" w:rsidRPr="008A3FFD" w:rsidRDefault="00CB5D98" w:rsidP="00EE63CB">
            <w:pPr>
              <w:rPr>
                <w:sz w:val="22"/>
                <w:szCs w:val="22"/>
              </w:rPr>
            </w:pPr>
          </w:p>
          <w:p w:rsidR="00CB5D98" w:rsidRPr="008A3FFD" w:rsidRDefault="00CB5D98" w:rsidP="00EE63CB">
            <w:pPr>
              <w:rPr>
                <w:color w:val="151414"/>
                <w:sz w:val="22"/>
                <w:szCs w:val="22"/>
              </w:rPr>
            </w:pPr>
            <w:r w:rsidRPr="008A3FFD">
              <w:rPr>
                <w:sz w:val="22"/>
                <w:szCs w:val="22"/>
              </w:rPr>
              <w:t>Open Access Acquisition LLC</w:t>
            </w:r>
            <w:r w:rsidRPr="008A3FFD">
              <w:rPr>
                <w:color w:val="151414"/>
                <w:sz w:val="22"/>
                <w:szCs w:val="22"/>
              </w:rPr>
              <w:t xml:space="preserve"> </w:t>
            </w:r>
          </w:p>
          <w:p w:rsidR="00CB5D98" w:rsidRPr="008A3FFD" w:rsidRDefault="00CB5D98" w:rsidP="00EE63CB">
            <w:pPr>
              <w:rPr>
                <w:spacing w:val="-2"/>
                <w:sz w:val="22"/>
                <w:szCs w:val="22"/>
              </w:rPr>
            </w:pPr>
          </w:p>
        </w:tc>
        <w:tc>
          <w:tcPr>
            <w:tcW w:w="270" w:type="dxa"/>
          </w:tcPr>
          <w:p w:rsidR="00CB5D98" w:rsidRPr="008A3FFD" w:rsidRDefault="00CB5D98" w:rsidP="00EE63CB">
            <w:pPr>
              <w:tabs>
                <w:tab w:val="center" w:pos="4680"/>
              </w:tabs>
              <w:suppressAutoHyphens/>
              <w:spacing w:line="240" w:lineRule="atLeast"/>
              <w:jc w:val="both"/>
              <w:outlineLvl w:val="0"/>
              <w:rPr>
                <w:sz w:val="22"/>
                <w:szCs w:val="22"/>
              </w:rPr>
            </w:pPr>
            <w:r w:rsidRPr="008A3FFD">
              <w:rPr>
                <w:sz w:val="22"/>
                <w:szCs w:val="22"/>
              </w:rPr>
              <w:t>)</w:t>
            </w:r>
          </w:p>
          <w:p w:rsidR="00CB5D98" w:rsidRPr="008A3FFD" w:rsidRDefault="00CB5D98" w:rsidP="00EE63CB">
            <w:pPr>
              <w:tabs>
                <w:tab w:val="center" w:pos="4680"/>
              </w:tabs>
              <w:suppressAutoHyphens/>
              <w:spacing w:line="240" w:lineRule="atLeast"/>
              <w:jc w:val="both"/>
              <w:outlineLvl w:val="0"/>
              <w:rPr>
                <w:sz w:val="22"/>
                <w:szCs w:val="22"/>
              </w:rPr>
            </w:pPr>
            <w:r w:rsidRPr="008A3FFD">
              <w:rPr>
                <w:sz w:val="22"/>
                <w:szCs w:val="22"/>
              </w:rPr>
              <w:t>)</w:t>
            </w:r>
          </w:p>
          <w:p w:rsidR="00CB5D98" w:rsidRPr="008A3FFD" w:rsidRDefault="00CB5D98" w:rsidP="00EE63CB">
            <w:pPr>
              <w:tabs>
                <w:tab w:val="center" w:pos="4680"/>
              </w:tabs>
              <w:suppressAutoHyphens/>
              <w:spacing w:line="240" w:lineRule="atLeast"/>
              <w:jc w:val="both"/>
              <w:outlineLvl w:val="0"/>
              <w:rPr>
                <w:sz w:val="22"/>
                <w:szCs w:val="22"/>
              </w:rPr>
            </w:pPr>
            <w:r w:rsidRPr="008A3FFD">
              <w:rPr>
                <w:sz w:val="22"/>
                <w:szCs w:val="22"/>
              </w:rPr>
              <w:t>)</w:t>
            </w:r>
          </w:p>
          <w:p w:rsidR="00CB5D98" w:rsidRPr="008A3FFD" w:rsidRDefault="00CB5D98" w:rsidP="00EE63CB">
            <w:pPr>
              <w:tabs>
                <w:tab w:val="center" w:pos="4680"/>
              </w:tabs>
              <w:suppressAutoHyphens/>
              <w:spacing w:line="240" w:lineRule="atLeast"/>
              <w:jc w:val="both"/>
              <w:outlineLvl w:val="0"/>
              <w:rPr>
                <w:sz w:val="22"/>
                <w:szCs w:val="22"/>
              </w:rPr>
            </w:pPr>
            <w:r w:rsidRPr="008A3FFD">
              <w:rPr>
                <w:sz w:val="22"/>
                <w:szCs w:val="22"/>
              </w:rPr>
              <w:t>)</w:t>
            </w:r>
          </w:p>
          <w:p w:rsidR="00CB5D98" w:rsidRPr="008A3FFD" w:rsidRDefault="00CB5D98" w:rsidP="00EE63CB">
            <w:pPr>
              <w:tabs>
                <w:tab w:val="center" w:pos="4680"/>
              </w:tabs>
              <w:suppressAutoHyphens/>
              <w:spacing w:line="240" w:lineRule="atLeast"/>
              <w:jc w:val="both"/>
              <w:outlineLvl w:val="0"/>
              <w:rPr>
                <w:sz w:val="22"/>
                <w:szCs w:val="22"/>
              </w:rPr>
            </w:pPr>
            <w:r w:rsidRPr="008A3FFD">
              <w:rPr>
                <w:sz w:val="22"/>
                <w:szCs w:val="22"/>
              </w:rPr>
              <w:t>)</w:t>
            </w:r>
          </w:p>
        </w:tc>
        <w:tc>
          <w:tcPr>
            <w:tcW w:w="4680" w:type="dxa"/>
          </w:tcPr>
          <w:p w:rsidR="00CB5D98" w:rsidRPr="008A3FFD" w:rsidRDefault="00CB5D98" w:rsidP="00EE63CB">
            <w:pPr>
              <w:ind w:left="-108" w:firstLine="108"/>
              <w:rPr>
                <w:spacing w:val="-2"/>
                <w:sz w:val="22"/>
                <w:szCs w:val="22"/>
              </w:rPr>
            </w:pPr>
            <w:r w:rsidRPr="008A3FFD">
              <w:rPr>
                <w:spacing w:val="-2"/>
                <w:sz w:val="22"/>
                <w:szCs w:val="22"/>
              </w:rPr>
              <w:t xml:space="preserve">     File No.</w:t>
            </w:r>
            <w:r>
              <w:rPr>
                <w:spacing w:val="-2"/>
                <w:sz w:val="22"/>
                <w:szCs w:val="22"/>
              </w:rPr>
              <w:t>:</w:t>
            </w:r>
            <w:r w:rsidRPr="008A3FFD">
              <w:rPr>
                <w:spacing w:val="-2"/>
                <w:sz w:val="22"/>
                <w:szCs w:val="22"/>
              </w:rPr>
              <w:t xml:space="preserve"> </w:t>
            </w:r>
            <w:r>
              <w:rPr>
                <w:spacing w:val="-2"/>
                <w:sz w:val="22"/>
                <w:szCs w:val="22"/>
              </w:rPr>
              <w:t xml:space="preserve"> </w:t>
            </w:r>
            <w:r w:rsidRPr="008A3FFD">
              <w:rPr>
                <w:spacing w:val="-2"/>
                <w:sz w:val="22"/>
                <w:szCs w:val="22"/>
              </w:rPr>
              <w:t>EB-11-IH-1314</w:t>
            </w:r>
          </w:p>
          <w:p w:rsidR="00CB5D98" w:rsidRPr="008A3FFD" w:rsidRDefault="00CB5D98" w:rsidP="00EE63CB">
            <w:pPr>
              <w:tabs>
                <w:tab w:val="left" w:pos="252"/>
              </w:tabs>
              <w:ind w:firstLine="252"/>
              <w:jc w:val="right"/>
              <w:rPr>
                <w:color w:val="151414"/>
                <w:sz w:val="22"/>
                <w:szCs w:val="22"/>
              </w:rPr>
            </w:pPr>
          </w:p>
          <w:p w:rsidR="00CB5D98" w:rsidRPr="008A3FFD" w:rsidRDefault="00CB5D98" w:rsidP="00EE63CB">
            <w:pPr>
              <w:tabs>
                <w:tab w:val="left" w:pos="252"/>
              </w:tabs>
              <w:ind w:firstLine="252"/>
              <w:rPr>
                <w:color w:val="151414"/>
                <w:sz w:val="22"/>
                <w:szCs w:val="22"/>
              </w:rPr>
            </w:pPr>
            <w:r w:rsidRPr="008A3FFD">
              <w:rPr>
                <w:color w:val="151414"/>
                <w:sz w:val="22"/>
                <w:szCs w:val="22"/>
              </w:rPr>
              <w:t xml:space="preserve">Acct. No.:  </w:t>
            </w:r>
            <w:r w:rsidRPr="00F90C56">
              <w:rPr>
                <w:sz w:val="22"/>
                <w:szCs w:val="22"/>
              </w:rPr>
              <w:t>201332080027</w:t>
            </w:r>
          </w:p>
          <w:p w:rsidR="00CB5D98" w:rsidRPr="008A3FFD" w:rsidRDefault="00CB5D98" w:rsidP="00EE63CB">
            <w:pPr>
              <w:tabs>
                <w:tab w:val="left" w:pos="252"/>
              </w:tabs>
              <w:ind w:firstLine="252"/>
              <w:rPr>
                <w:sz w:val="22"/>
                <w:szCs w:val="22"/>
              </w:rPr>
            </w:pPr>
          </w:p>
          <w:p w:rsidR="00CB5D98" w:rsidRPr="008A3FFD" w:rsidRDefault="00CB5D98" w:rsidP="00EE63CB">
            <w:pPr>
              <w:tabs>
                <w:tab w:val="left" w:pos="252"/>
              </w:tabs>
              <w:ind w:right="-180" w:firstLine="252"/>
              <w:rPr>
                <w:spacing w:val="-2"/>
                <w:sz w:val="22"/>
                <w:szCs w:val="22"/>
              </w:rPr>
            </w:pPr>
            <w:r w:rsidRPr="008A3FFD">
              <w:rPr>
                <w:sz w:val="22"/>
                <w:szCs w:val="22"/>
              </w:rPr>
              <w:t>FRN:  0021932637</w:t>
            </w:r>
          </w:p>
        </w:tc>
      </w:tr>
    </w:tbl>
    <w:p w:rsidR="00CB5D98" w:rsidRPr="008A3FFD" w:rsidRDefault="00CB5D98" w:rsidP="00CB5D98">
      <w:pPr>
        <w:pStyle w:val="Heading1"/>
        <w:spacing w:before="240" w:line="228" w:lineRule="auto"/>
        <w:rPr>
          <w:szCs w:val="22"/>
        </w:rPr>
      </w:pPr>
      <w:r w:rsidRPr="0070139F">
        <w:rPr>
          <w:szCs w:val="22"/>
        </w:rPr>
        <w:fldChar w:fldCharType="begin"/>
      </w:r>
      <w:r w:rsidRPr="008A3FFD">
        <w:rPr>
          <w:szCs w:val="22"/>
        </w:rPr>
        <w:instrText xml:space="preserve"> AUTOTEXTLIST  \* MERGEFORMAT </w:instrText>
      </w:r>
      <w:r w:rsidRPr="0070139F">
        <w:rPr>
          <w:szCs w:val="22"/>
        </w:rPr>
        <w:fldChar w:fldCharType="separate"/>
      </w:r>
      <w:r w:rsidRPr="008A3FFD">
        <w:rPr>
          <w:szCs w:val="22"/>
        </w:rPr>
        <w:t>ORDER</w:t>
      </w:r>
      <w:r w:rsidRPr="0070139F">
        <w:rPr>
          <w:szCs w:val="22"/>
        </w:rPr>
        <w:fldChar w:fldCharType="end"/>
      </w:r>
    </w:p>
    <w:p w:rsidR="00CB5D98" w:rsidRPr="008A3FFD" w:rsidRDefault="00CB5D98" w:rsidP="00CB5D98">
      <w:pPr>
        <w:rPr>
          <w:sz w:val="22"/>
          <w:szCs w:val="22"/>
        </w:rPr>
      </w:pPr>
    </w:p>
    <w:bookmarkEnd w:id="1"/>
    <w:bookmarkEnd w:id="2"/>
    <w:p w:rsidR="00CB5D98" w:rsidRPr="008A3FFD" w:rsidRDefault="006C0BC7" w:rsidP="00CB5D98">
      <w:pPr>
        <w:tabs>
          <w:tab w:val="left" w:pos="720"/>
          <w:tab w:val="left" w:pos="5400"/>
        </w:tabs>
        <w:suppressAutoHyphens/>
        <w:spacing w:line="227" w:lineRule="auto"/>
        <w:rPr>
          <w:spacing w:val="-2"/>
          <w:sz w:val="22"/>
          <w:szCs w:val="22"/>
        </w:rPr>
      </w:pPr>
      <w:r>
        <w:rPr>
          <w:b/>
          <w:spacing w:val="-2"/>
          <w:sz w:val="22"/>
          <w:szCs w:val="22"/>
        </w:rPr>
        <w:t>Adopted:  September 30</w:t>
      </w:r>
      <w:r w:rsidR="00CB5D98" w:rsidRPr="008A3FFD">
        <w:rPr>
          <w:b/>
          <w:spacing w:val="-2"/>
          <w:sz w:val="22"/>
          <w:szCs w:val="22"/>
        </w:rPr>
        <w:t xml:space="preserve">, 2013 </w:t>
      </w:r>
      <w:r w:rsidR="00CB5D98" w:rsidRPr="008A3FFD">
        <w:rPr>
          <w:b/>
          <w:spacing w:val="-2"/>
          <w:sz w:val="22"/>
          <w:szCs w:val="22"/>
        </w:rPr>
        <w:tab/>
        <w:t xml:space="preserve">                     Released:  </w:t>
      </w:r>
      <w:r>
        <w:rPr>
          <w:b/>
          <w:spacing w:val="-2"/>
          <w:sz w:val="22"/>
          <w:szCs w:val="22"/>
        </w:rPr>
        <w:t>September 30</w:t>
      </w:r>
      <w:r w:rsidR="00CB5D98" w:rsidRPr="008A3FFD">
        <w:rPr>
          <w:b/>
          <w:spacing w:val="-2"/>
          <w:sz w:val="22"/>
          <w:szCs w:val="22"/>
        </w:rPr>
        <w:t xml:space="preserve">, 2013 </w:t>
      </w:r>
    </w:p>
    <w:p w:rsidR="00CB5D98" w:rsidRPr="008A3FFD" w:rsidRDefault="00CB5D98" w:rsidP="00CB5D98">
      <w:pPr>
        <w:rPr>
          <w:sz w:val="22"/>
          <w:szCs w:val="22"/>
        </w:rPr>
      </w:pPr>
    </w:p>
    <w:p w:rsidR="00CB5D98" w:rsidRPr="008A3FFD" w:rsidRDefault="00CB5D98" w:rsidP="00CB5D98">
      <w:pPr>
        <w:rPr>
          <w:sz w:val="22"/>
          <w:szCs w:val="22"/>
        </w:rPr>
      </w:pPr>
      <w:r w:rsidRPr="008A3FFD">
        <w:rPr>
          <w:sz w:val="22"/>
          <w:szCs w:val="22"/>
        </w:rPr>
        <w:t>By the Acting Chief, Enforcement Bureau:</w:t>
      </w:r>
    </w:p>
    <w:p w:rsidR="00CB5D98" w:rsidRPr="008A3FFD" w:rsidRDefault="00CB5D98" w:rsidP="00CB5D98">
      <w:pPr>
        <w:rPr>
          <w:sz w:val="22"/>
          <w:szCs w:val="22"/>
        </w:rPr>
      </w:pPr>
    </w:p>
    <w:p w:rsidR="00CB5D98" w:rsidRPr="008A3FFD" w:rsidRDefault="00CB5D98" w:rsidP="00CB5D98">
      <w:pPr>
        <w:pStyle w:val="Paranum0"/>
        <w:tabs>
          <w:tab w:val="clear" w:pos="1080"/>
          <w:tab w:val="num" w:pos="1440"/>
        </w:tabs>
        <w:jc w:val="left"/>
        <w:rPr>
          <w:b/>
          <w:szCs w:val="22"/>
        </w:rPr>
      </w:pPr>
      <w:r w:rsidRPr="008A3FFD">
        <w:rPr>
          <w:szCs w:val="22"/>
        </w:rPr>
        <w:t xml:space="preserve">In this Order, we adopt </w:t>
      </w:r>
      <w:r>
        <w:rPr>
          <w:szCs w:val="22"/>
        </w:rPr>
        <w:t>the attached</w:t>
      </w:r>
      <w:r w:rsidRPr="008A3FFD">
        <w:rPr>
          <w:szCs w:val="22"/>
        </w:rPr>
        <w:t xml:space="preserve"> Consent Decree entered into between the Enforcement Bureau (Bureau) of the Federal Communications Commission </w:t>
      </w:r>
      <w:r>
        <w:rPr>
          <w:szCs w:val="22"/>
        </w:rPr>
        <w:t xml:space="preserve">(Commission) </w:t>
      </w:r>
      <w:r w:rsidRPr="008A3FFD">
        <w:rPr>
          <w:szCs w:val="22"/>
        </w:rPr>
        <w:t>and Open Access Acquisition LLC</w:t>
      </w:r>
      <w:r w:rsidRPr="008A3FFD">
        <w:rPr>
          <w:color w:val="151414"/>
          <w:szCs w:val="22"/>
        </w:rPr>
        <w:t xml:space="preserve"> (</w:t>
      </w:r>
      <w:r w:rsidRPr="008A3FFD">
        <w:rPr>
          <w:szCs w:val="22"/>
        </w:rPr>
        <w:t>Open Access</w:t>
      </w:r>
      <w:r w:rsidRPr="008A3FFD">
        <w:rPr>
          <w:color w:val="151414"/>
          <w:szCs w:val="22"/>
        </w:rPr>
        <w:t>)</w:t>
      </w:r>
      <w:r w:rsidRPr="008A3FFD">
        <w:rPr>
          <w:szCs w:val="22"/>
        </w:rPr>
        <w:t xml:space="preserve">.  The Consent Decree resolves and terminates </w:t>
      </w:r>
      <w:r>
        <w:rPr>
          <w:szCs w:val="22"/>
        </w:rPr>
        <w:t>the Bureau’s</w:t>
      </w:r>
      <w:r w:rsidRPr="008A3FFD">
        <w:rPr>
          <w:szCs w:val="22"/>
        </w:rPr>
        <w:t xml:space="preserve"> investigation into Open Access</w:t>
      </w:r>
      <w:r>
        <w:rPr>
          <w:szCs w:val="22"/>
        </w:rPr>
        <w:t>’s possible</w:t>
      </w:r>
      <w:r w:rsidRPr="0070139F">
        <w:rPr>
          <w:szCs w:val="22"/>
        </w:rPr>
        <w:t xml:space="preserve"> violat</w:t>
      </w:r>
      <w:r>
        <w:rPr>
          <w:szCs w:val="22"/>
        </w:rPr>
        <w:t>ions of</w:t>
      </w:r>
      <w:r w:rsidRPr="0070139F">
        <w:rPr>
          <w:szCs w:val="22"/>
        </w:rPr>
        <w:t xml:space="preserve"> Section</w:t>
      </w:r>
      <w:r w:rsidRPr="005F1C61">
        <w:rPr>
          <w:szCs w:val="22"/>
        </w:rPr>
        <w:t>s</w:t>
      </w:r>
      <w:r w:rsidRPr="00DA75D4">
        <w:rPr>
          <w:szCs w:val="22"/>
        </w:rPr>
        <w:t xml:space="preserve"> </w:t>
      </w:r>
      <w:r>
        <w:rPr>
          <w:szCs w:val="22"/>
        </w:rPr>
        <w:t xml:space="preserve">9, </w:t>
      </w:r>
      <w:r w:rsidRPr="008A3FFD">
        <w:rPr>
          <w:szCs w:val="22"/>
        </w:rPr>
        <w:t>251</w:t>
      </w:r>
      <w:r>
        <w:rPr>
          <w:szCs w:val="22"/>
        </w:rPr>
        <w:t xml:space="preserve">, </w:t>
      </w:r>
      <w:r w:rsidRPr="008A3FFD">
        <w:rPr>
          <w:szCs w:val="22"/>
        </w:rPr>
        <w:t xml:space="preserve">and </w:t>
      </w:r>
      <w:r w:rsidRPr="0070139F">
        <w:rPr>
          <w:szCs w:val="22"/>
        </w:rPr>
        <w:t>254 of the Communications Act of 1934, as amended (Act),</w:t>
      </w:r>
      <w:r w:rsidRPr="0070139F">
        <w:rPr>
          <w:rStyle w:val="FootnoteReference"/>
          <w:sz w:val="22"/>
          <w:szCs w:val="22"/>
        </w:rPr>
        <w:footnoteReference w:id="1"/>
      </w:r>
      <w:r w:rsidRPr="005F1C61">
        <w:rPr>
          <w:szCs w:val="22"/>
        </w:rPr>
        <w:t xml:space="preserve"> </w:t>
      </w:r>
      <w:r w:rsidRPr="00DA75D4">
        <w:rPr>
          <w:szCs w:val="22"/>
        </w:rPr>
        <w:t>and Sections 1.1154, 1.1157, 52.17, 52.32, 54.706, 54.711, 64.604, and  64.1195 of the Commission’s rules</w:t>
      </w:r>
      <w:r w:rsidRPr="00DA75D4">
        <w:rPr>
          <w:rStyle w:val="FootnoteReference"/>
          <w:sz w:val="22"/>
          <w:szCs w:val="22"/>
        </w:rPr>
        <w:footnoteReference w:id="2"/>
      </w:r>
      <w:r w:rsidRPr="00DA75D4">
        <w:rPr>
          <w:szCs w:val="22"/>
        </w:rPr>
        <w:t xml:space="preserve"> concerning various regulatory fees and reporting obligations, as well as required contributions to the Universal Service Fund, the Telecommunications Relay Service Fund, and North American Numbering Plan and Local Number Portability administration.</w:t>
      </w:r>
    </w:p>
    <w:p w:rsidR="00CB5D98" w:rsidRPr="005027E7" w:rsidRDefault="00CB5D98" w:rsidP="00CB5D98">
      <w:pPr>
        <w:pStyle w:val="Paranum0"/>
        <w:tabs>
          <w:tab w:val="clear" w:pos="1080"/>
          <w:tab w:val="num" w:pos="1440"/>
        </w:tabs>
        <w:jc w:val="left"/>
        <w:rPr>
          <w:szCs w:val="22"/>
        </w:rPr>
      </w:pPr>
      <w:r>
        <w:rPr>
          <w:szCs w:val="22"/>
        </w:rPr>
        <w:t xml:space="preserve">The Bureau and Open Access have negotiated the Consent Decree that resolves this matter.  </w:t>
      </w:r>
      <w:r w:rsidRPr="008A3FFD">
        <w:rPr>
          <w:szCs w:val="22"/>
        </w:rPr>
        <w:t>A copy of the Consent Decree</w:t>
      </w:r>
      <w:r w:rsidRPr="008A3FFD">
        <w:rPr>
          <w:color w:val="151414"/>
          <w:szCs w:val="22"/>
        </w:rPr>
        <w:t xml:space="preserve"> </w:t>
      </w:r>
      <w:r w:rsidRPr="005027E7">
        <w:rPr>
          <w:szCs w:val="22"/>
        </w:rPr>
        <w:t>is attached hereto and incorporated by reference.</w:t>
      </w:r>
    </w:p>
    <w:p w:rsidR="00CB5D98" w:rsidRPr="008A3FFD" w:rsidRDefault="00CB5D98" w:rsidP="00CB5D98">
      <w:pPr>
        <w:pStyle w:val="Paranum0"/>
        <w:tabs>
          <w:tab w:val="clear" w:pos="1080"/>
          <w:tab w:val="num" w:pos="1440"/>
        </w:tabs>
        <w:jc w:val="left"/>
        <w:rPr>
          <w:szCs w:val="22"/>
        </w:rPr>
      </w:pPr>
      <w:r w:rsidRPr="008A3FFD">
        <w:rPr>
          <w:szCs w:val="22"/>
        </w:rPr>
        <w:t xml:space="preserve">After reviewing the terms of the Consent Decree </w:t>
      </w:r>
      <w:r>
        <w:rPr>
          <w:szCs w:val="22"/>
        </w:rPr>
        <w:t xml:space="preserve">and </w:t>
      </w:r>
      <w:r w:rsidRPr="008A3FFD">
        <w:rPr>
          <w:szCs w:val="22"/>
        </w:rPr>
        <w:t>evaluating the facts before us</w:t>
      </w:r>
      <w:r>
        <w:rPr>
          <w:szCs w:val="22"/>
        </w:rPr>
        <w:t xml:space="preserve">, </w:t>
      </w:r>
      <w:r w:rsidRPr="008A3FFD">
        <w:rPr>
          <w:szCs w:val="22"/>
        </w:rPr>
        <w:t>we find that the public interest would be served by adopting the Consent Decree and terminating the investigation.</w:t>
      </w:r>
    </w:p>
    <w:p w:rsidR="00CB5D98" w:rsidRPr="008A3FFD" w:rsidRDefault="00CB5D98" w:rsidP="00CB5D98">
      <w:pPr>
        <w:pStyle w:val="Paranum0"/>
        <w:tabs>
          <w:tab w:val="clear" w:pos="1080"/>
          <w:tab w:val="num" w:pos="1440"/>
        </w:tabs>
        <w:jc w:val="left"/>
        <w:rPr>
          <w:szCs w:val="22"/>
        </w:rPr>
      </w:pPr>
      <w:r w:rsidRPr="008A3FFD">
        <w:rPr>
          <w:szCs w:val="22"/>
        </w:rPr>
        <w:t xml:space="preserve">In the absence of material new evidence relating to this matter, we conclude that </w:t>
      </w:r>
      <w:r>
        <w:rPr>
          <w:szCs w:val="22"/>
        </w:rPr>
        <w:t xml:space="preserve">the </w:t>
      </w:r>
      <w:r w:rsidRPr="005027E7">
        <w:rPr>
          <w:szCs w:val="22"/>
        </w:rPr>
        <w:t>investigation raises no substantial or material questions of fact as to whether Open Access possesses the basic qualifications, including those related to character, to hold or obtain any Commission license or authority.</w:t>
      </w:r>
    </w:p>
    <w:p w:rsidR="00CB5D98" w:rsidRDefault="00CB5D98" w:rsidP="00CB5D98">
      <w:pPr>
        <w:pStyle w:val="Paranum0"/>
        <w:tabs>
          <w:tab w:val="clear" w:pos="1080"/>
          <w:tab w:val="num" w:pos="1440"/>
        </w:tabs>
        <w:jc w:val="left"/>
        <w:rPr>
          <w:szCs w:val="22"/>
        </w:rPr>
      </w:pPr>
      <w:r w:rsidRPr="008A3FFD">
        <w:rPr>
          <w:szCs w:val="22"/>
        </w:rPr>
        <w:t xml:space="preserve">Accordingly, </w:t>
      </w:r>
      <w:r w:rsidRPr="008A3FFD">
        <w:rPr>
          <w:b/>
          <w:szCs w:val="22"/>
        </w:rPr>
        <w:t>IT IS ORDERED</w:t>
      </w:r>
      <w:r w:rsidRPr="008A3FFD">
        <w:rPr>
          <w:szCs w:val="22"/>
        </w:rPr>
        <w:t xml:space="preserve"> that, pursuant to Sections 4(i)</w:t>
      </w:r>
      <w:r>
        <w:rPr>
          <w:szCs w:val="22"/>
        </w:rPr>
        <w:t xml:space="preserve">, 4 (j), and 503(b) </w:t>
      </w:r>
      <w:r w:rsidRPr="005027E7">
        <w:rPr>
          <w:szCs w:val="22"/>
        </w:rPr>
        <w:t xml:space="preserve">of the </w:t>
      </w:r>
      <w:r>
        <w:rPr>
          <w:szCs w:val="22"/>
        </w:rPr>
        <w:t xml:space="preserve">Communications </w:t>
      </w:r>
      <w:r w:rsidRPr="005027E7">
        <w:rPr>
          <w:szCs w:val="22"/>
        </w:rPr>
        <w:t>Act</w:t>
      </w:r>
      <w:r>
        <w:rPr>
          <w:szCs w:val="22"/>
        </w:rPr>
        <w:t xml:space="preserve"> of 1934, as amended</w:t>
      </w:r>
      <w:r w:rsidRPr="005027E7">
        <w:rPr>
          <w:rStyle w:val="FootnoteReference"/>
          <w:sz w:val="22"/>
          <w:szCs w:val="22"/>
        </w:rPr>
        <w:footnoteReference w:id="3"/>
      </w:r>
      <w:r w:rsidRPr="005027E7">
        <w:rPr>
          <w:szCs w:val="22"/>
        </w:rPr>
        <w:t xml:space="preserve"> and Sections 0.111 and 0.311 of the </w:t>
      </w:r>
      <w:r>
        <w:rPr>
          <w:szCs w:val="22"/>
        </w:rPr>
        <w:t>Commission’s rules</w:t>
      </w:r>
      <w:r w:rsidRPr="005027E7">
        <w:rPr>
          <w:szCs w:val="22"/>
        </w:rPr>
        <w:t>,</w:t>
      </w:r>
      <w:r w:rsidRPr="005027E7">
        <w:rPr>
          <w:rStyle w:val="FootnoteReference"/>
          <w:sz w:val="22"/>
          <w:szCs w:val="22"/>
        </w:rPr>
        <w:footnoteReference w:id="4"/>
      </w:r>
      <w:r w:rsidRPr="005027E7">
        <w:rPr>
          <w:szCs w:val="22"/>
        </w:rPr>
        <w:t xml:space="preserve"> the Consent Decree attached to this Order </w:t>
      </w:r>
      <w:r w:rsidRPr="005027E7">
        <w:rPr>
          <w:b/>
          <w:szCs w:val="22"/>
        </w:rPr>
        <w:t>IS ADOPTED</w:t>
      </w:r>
      <w:r w:rsidRPr="005027E7">
        <w:rPr>
          <w:szCs w:val="22"/>
        </w:rPr>
        <w:t>.</w:t>
      </w:r>
    </w:p>
    <w:p w:rsidR="00CB5D98" w:rsidRPr="005027E7" w:rsidRDefault="00CB5D98" w:rsidP="00CB5D98">
      <w:pPr>
        <w:pStyle w:val="Paranum0"/>
        <w:numPr>
          <w:ilvl w:val="0"/>
          <w:numId w:val="0"/>
        </w:numPr>
        <w:tabs>
          <w:tab w:val="clear" w:pos="1440"/>
        </w:tabs>
        <w:jc w:val="left"/>
        <w:rPr>
          <w:szCs w:val="22"/>
        </w:rPr>
      </w:pPr>
    </w:p>
    <w:p w:rsidR="00CB5D98" w:rsidRPr="008A3FFD" w:rsidRDefault="00CB5D98" w:rsidP="00CB5D98">
      <w:pPr>
        <w:pStyle w:val="Paranum0"/>
        <w:tabs>
          <w:tab w:val="clear" w:pos="1080"/>
          <w:tab w:val="num" w:pos="1440"/>
        </w:tabs>
        <w:jc w:val="left"/>
        <w:rPr>
          <w:szCs w:val="22"/>
        </w:rPr>
      </w:pPr>
      <w:r w:rsidRPr="008A3FFD">
        <w:rPr>
          <w:b/>
          <w:szCs w:val="22"/>
        </w:rPr>
        <w:lastRenderedPageBreak/>
        <w:t xml:space="preserve">IT IS FURTHER ORDERED </w:t>
      </w:r>
      <w:r w:rsidRPr="008A3FFD">
        <w:rPr>
          <w:szCs w:val="22"/>
        </w:rPr>
        <w:t>that the above-captioned investigation</w:t>
      </w:r>
      <w:r w:rsidRPr="008A3FFD">
        <w:rPr>
          <w:b/>
          <w:szCs w:val="22"/>
        </w:rPr>
        <w:t xml:space="preserve"> IS TERMINATED</w:t>
      </w:r>
      <w:r w:rsidRPr="008A3FFD">
        <w:rPr>
          <w:szCs w:val="22"/>
        </w:rPr>
        <w:t>.</w:t>
      </w:r>
    </w:p>
    <w:p w:rsidR="00CB5D98" w:rsidRPr="008A3FFD" w:rsidRDefault="00CB5D98" w:rsidP="00CB5D98">
      <w:pPr>
        <w:pStyle w:val="Paranum0"/>
        <w:tabs>
          <w:tab w:val="clear" w:pos="1080"/>
          <w:tab w:val="num" w:pos="1440"/>
        </w:tabs>
        <w:jc w:val="left"/>
        <w:rPr>
          <w:szCs w:val="22"/>
        </w:rPr>
      </w:pPr>
      <w:r w:rsidRPr="008A3FFD">
        <w:rPr>
          <w:b/>
          <w:szCs w:val="22"/>
        </w:rPr>
        <w:t xml:space="preserve">IT IS FURTHER ORDERED </w:t>
      </w:r>
      <w:r w:rsidRPr="008A3FFD">
        <w:rPr>
          <w:szCs w:val="22"/>
        </w:rPr>
        <w:t xml:space="preserve">that a copy of this Order and Consent Decree shall be sent by first class mail and certified mail, return receipt requested, to Mr. </w:t>
      </w:r>
      <w:r w:rsidRPr="0070139F">
        <w:rPr>
          <w:szCs w:val="22"/>
        </w:rPr>
        <w:t xml:space="preserve">Douglas D. Orvis II, Attorney for </w:t>
      </w:r>
      <w:r w:rsidRPr="008A3FFD">
        <w:rPr>
          <w:szCs w:val="22"/>
        </w:rPr>
        <w:t>Open Access Acquisition LLC</w:t>
      </w:r>
      <w:r w:rsidRPr="0070139F">
        <w:rPr>
          <w:szCs w:val="22"/>
        </w:rPr>
        <w:t>, Bingham McCutchen LLP</w:t>
      </w:r>
      <w:r w:rsidRPr="00DA75D4">
        <w:rPr>
          <w:szCs w:val="22"/>
        </w:rPr>
        <w:t>, 2020 K Street, NW, Washington, DC 20006-1806.</w:t>
      </w:r>
    </w:p>
    <w:p w:rsidR="00CB5D98" w:rsidRPr="008A3FFD" w:rsidRDefault="00CB5D98" w:rsidP="00CB5D98">
      <w:pPr>
        <w:pStyle w:val="Paranum0"/>
        <w:numPr>
          <w:ilvl w:val="0"/>
          <w:numId w:val="0"/>
        </w:numPr>
        <w:tabs>
          <w:tab w:val="clear" w:pos="1440"/>
        </w:tabs>
        <w:ind w:left="720"/>
        <w:jc w:val="left"/>
        <w:rPr>
          <w:szCs w:val="22"/>
        </w:rPr>
      </w:pPr>
    </w:p>
    <w:p w:rsidR="00CB5D98" w:rsidRPr="008A3FFD" w:rsidRDefault="00CB5D98" w:rsidP="00CB5D98">
      <w:pPr>
        <w:tabs>
          <w:tab w:val="left" w:pos="0"/>
        </w:tabs>
        <w:suppressAutoHyphens/>
        <w:spacing w:line="240" w:lineRule="atLeast"/>
        <w:jc w:val="both"/>
        <w:rPr>
          <w:sz w:val="22"/>
          <w:szCs w:val="22"/>
        </w:rPr>
      </w:pPr>
      <w:r w:rsidRPr="008A3FFD">
        <w:rPr>
          <w:sz w:val="22"/>
          <w:szCs w:val="22"/>
        </w:rPr>
        <w:tab/>
      </w:r>
      <w:r w:rsidRPr="008A3FFD">
        <w:rPr>
          <w:sz w:val="22"/>
          <w:szCs w:val="22"/>
        </w:rPr>
        <w:tab/>
      </w:r>
      <w:r w:rsidRPr="008A3FFD">
        <w:rPr>
          <w:sz w:val="22"/>
          <w:szCs w:val="22"/>
        </w:rPr>
        <w:tab/>
      </w:r>
      <w:r w:rsidRPr="008A3FFD">
        <w:rPr>
          <w:sz w:val="22"/>
          <w:szCs w:val="22"/>
        </w:rPr>
        <w:tab/>
      </w:r>
      <w:r w:rsidRPr="008A3FFD">
        <w:rPr>
          <w:sz w:val="22"/>
          <w:szCs w:val="22"/>
        </w:rPr>
        <w:tab/>
      </w:r>
      <w:r w:rsidRPr="008A3FFD">
        <w:rPr>
          <w:sz w:val="22"/>
          <w:szCs w:val="22"/>
        </w:rPr>
        <w:tab/>
      </w:r>
    </w:p>
    <w:p w:rsidR="00CB5D98" w:rsidRPr="008A3FFD" w:rsidRDefault="00CB5D98" w:rsidP="00CB5D98">
      <w:pPr>
        <w:tabs>
          <w:tab w:val="left" w:pos="0"/>
        </w:tabs>
        <w:suppressAutoHyphens/>
        <w:spacing w:line="240" w:lineRule="atLeast"/>
        <w:jc w:val="both"/>
        <w:rPr>
          <w:spacing w:val="-2"/>
          <w:sz w:val="22"/>
          <w:szCs w:val="22"/>
        </w:rPr>
      </w:pPr>
      <w:r w:rsidRPr="008A3FFD">
        <w:rPr>
          <w:sz w:val="22"/>
          <w:szCs w:val="22"/>
        </w:rPr>
        <w:tab/>
      </w:r>
      <w:r w:rsidRPr="008A3FFD">
        <w:rPr>
          <w:sz w:val="22"/>
          <w:szCs w:val="22"/>
        </w:rPr>
        <w:tab/>
      </w:r>
      <w:r w:rsidRPr="008A3FFD">
        <w:rPr>
          <w:sz w:val="22"/>
          <w:szCs w:val="22"/>
        </w:rPr>
        <w:tab/>
      </w:r>
      <w:r w:rsidRPr="008A3FFD">
        <w:rPr>
          <w:sz w:val="22"/>
          <w:szCs w:val="22"/>
        </w:rPr>
        <w:tab/>
      </w:r>
      <w:r w:rsidRPr="008A3FFD">
        <w:rPr>
          <w:sz w:val="22"/>
          <w:szCs w:val="22"/>
        </w:rPr>
        <w:tab/>
      </w:r>
      <w:r w:rsidRPr="008A3FFD">
        <w:rPr>
          <w:sz w:val="22"/>
          <w:szCs w:val="22"/>
        </w:rPr>
        <w:tab/>
      </w:r>
      <w:r w:rsidRPr="008A3FFD">
        <w:rPr>
          <w:spacing w:val="-2"/>
          <w:sz w:val="22"/>
          <w:szCs w:val="22"/>
        </w:rPr>
        <w:t>FEDERAL COMMUNICATIONS COMMISSION</w:t>
      </w:r>
    </w:p>
    <w:p w:rsidR="00CB5D98" w:rsidRPr="008A3FFD" w:rsidRDefault="00CB5D98" w:rsidP="00CB5D98">
      <w:pPr>
        <w:tabs>
          <w:tab w:val="left" w:pos="0"/>
        </w:tabs>
        <w:suppressAutoHyphens/>
        <w:spacing w:line="240" w:lineRule="atLeast"/>
        <w:jc w:val="both"/>
        <w:rPr>
          <w:spacing w:val="-2"/>
          <w:sz w:val="22"/>
          <w:szCs w:val="22"/>
        </w:rPr>
      </w:pP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r>
    </w:p>
    <w:p w:rsidR="00CB5D98" w:rsidRPr="008A3FFD" w:rsidRDefault="00CB5D98" w:rsidP="00CB5D98">
      <w:pPr>
        <w:tabs>
          <w:tab w:val="left" w:pos="0"/>
        </w:tabs>
        <w:suppressAutoHyphens/>
        <w:spacing w:line="240" w:lineRule="atLeast"/>
        <w:jc w:val="both"/>
        <w:rPr>
          <w:spacing w:val="-2"/>
          <w:sz w:val="22"/>
          <w:szCs w:val="22"/>
        </w:rPr>
      </w:pPr>
    </w:p>
    <w:p w:rsidR="00CB5D98" w:rsidRPr="008A3FFD" w:rsidRDefault="00CB5D98" w:rsidP="00CB5D98">
      <w:pPr>
        <w:tabs>
          <w:tab w:val="left" w:pos="0"/>
        </w:tabs>
        <w:suppressAutoHyphens/>
        <w:spacing w:line="240" w:lineRule="atLeast"/>
        <w:jc w:val="both"/>
        <w:rPr>
          <w:spacing w:val="-2"/>
          <w:sz w:val="22"/>
          <w:szCs w:val="22"/>
        </w:rPr>
      </w:pPr>
    </w:p>
    <w:p w:rsidR="00CB5D98" w:rsidRPr="008A3FFD" w:rsidRDefault="00CB5D98" w:rsidP="00CB5D98">
      <w:pPr>
        <w:tabs>
          <w:tab w:val="left" w:pos="0"/>
        </w:tabs>
        <w:suppressAutoHyphens/>
        <w:spacing w:line="240" w:lineRule="atLeast"/>
        <w:jc w:val="both"/>
        <w:rPr>
          <w:spacing w:val="-2"/>
          <w:sz w:val="22"/>
          <w:szCs w:val="22"/>
        </w:rPr>
      </w:pP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r>
    </w:p>
    <w:p w:rsidR="00CB5D98" w:rsidRPr="008A3FFD" w:rsidRDefault="00CB5D98" w:rsidP="00CB5D98">
      <w:pPr>
        <w:tabs>
          <w:tab w:val="left" w:pos="0"/>
        </w:tabs>
        <w:suppressAutoHyphens/>
        <w:spacing w:line="240" w:lineRule="atLeast"/>
        <w:jc w:val="both"/>
        <w:rPr>
          <w:spacing w:val="-2"/>
          <w:sz w:val="22"/>
          <w:szCs w:val="22"/>
        </w:rPr>
      </w:pP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t>Robert H. Ratcliffe</w:t>
      </w:r>
    </w:p>
    <w:p w:rsidR="00CB5D98" w:rsidRPr="008A3FFD" w:rsidRDefault="00CB5D98" w:rsidP="00CB5D98">
      <w:pPr>
        <w:tabs>
          <w:tab w:val="left" w:pos="0"/>
        </w:tabs>
        <w:suppressAutoHyphens/>
        <w:spacing w:line="240" w:lineRule="atLeast"/>
        <w:jc w:val="both"/>
        <w:rPr>
          <w:spacing w:val="-2"/>
          <w:sz w:val="22"/>
          <w:szCs w:val="22"/>
        </w:rPr>
      </w:pP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t>Acting Chief</w:t>
      </w:r>
    </w:p>
    <w:p w:rsidR="00CB5D98" w:rsidRPr="008A3FFD" w:rsidRDefault="00CB5D98" w:rsidP="00CB5D98">
      <w:pPr>
        <w:tabs>
          <w:tab w:val="left" w:pos="0"/>
        </w:tabs>
        <w:suppressAutoHyphens/>
        <w:spacing w:line="240" w:lineRule="atLeast"/>
        <w:ind w:right="3240"/>
        <w:jc w:val="both"/>
        <w:rPr>
          <w:spacing w:val="-2"/>
          <w:sz w:val="22"/>
          <w:szCs w:val="22"/>
        </w:rPr>
      </w:pP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r>
      <w:r w:rsidRPr="008A3FFD">
        <w:rPr>
          <w:spacing w:val="-2"/>
          <w:sz w:val="22"/>
          <w:szCs w:val="22"/>
        </w:rPr>
        <w:tab/>
        <w:t>Enforcement Bureau</w:t>
      </w:r>
    </w:p>
    <w:p w:rsidR="00CB5D98" w:rsidRPr="00DA75D4" w:rsidRDefault="00CB5D98" w:rsidP="00CB5D98">
      <w:pPr>
        <w:rPr>
          <w:sz w:val="22"/>
          <w:szCs w:val="22"/>
        </w:rPr>
      </w:pPr>
    </w:p>
    <w:p w:rsidR="00CB5D98" w:rsidRPr="005027E7" w:rsidRDefault="00CB5D98" w:rsidP="00CB5D98">
      <w:pPr>
        <w:ind w:right="-180"/>
        <w:jc w:val="center"/>
        <w:rPr>
          <w:b/>
          <w:sz w:val="22"/>
          <w:szCs w:val="22"/>
        </w:rPr>
      </w:pPr>
    </w:p>
    <w:p w:rsidR="00CB5D98" w:rsidRPr="005027E7" w:rsidRDefault="00CB5D98" w:rsidP="00CB5D98">
      <w:pPr>
        <w:ind w:right="-180"/>
        <w:jc w:val="center"/>
        <w:rPr>
          <w:sz w:val="22"/>
          <w:szCs w:val="22"/>
        </w:rPr>
      </w:pPr>
    </w:p>
    <w:p w:rsidR="001D66EF" w:rsidRPr="008A3FFD" w:rsidRDefault="001D66EF" w:rsidP="008229AA">
      <w:pPr>
        <w:ind w:right="-180"/>
        <w:jc w:val="center"/>
        <w:rPr>
          <w:b/>
          <w:sz w:val="22"/>
          <w:szCs w:val="22"/>
        </w:rPr>
        <w:sectPr w:rsidR="001D66EF" w:rsidRPr="008A3FFD" w:rsidSect="001D66E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1440" w:bottom="1440" w:left="1440" w:header="720" w:footer="720" w:gutter="0"/>
          <w:pgNumType w:start="1"/>
          <w:cols w:space="720"/>
          <w:titlePg/>
        </w:sectPr>
      </w:pPr>
    </w:p>
    <w:p w:rsidR="001D66EF" w:rsidRPr="008A3FFD" w:rsidRDefault="001D66EF" w:rsidP="008229AA">
      <w:pPr>
        <w:ind w:right="-180"/>
        <w:jc w:val="center"/>
        <w:rPr>
          <w:b/>
          <w:sz w:val="22"/>
          <w:szCs w:val="22"/>
        </w:rPr>
      </w:pPr>
      <w:r w:rsidRPr="008A3FFD">
        <w:rPr>
          <w:b/>
          <w:sz w:val="22"/>
          <w:szCs w:val="22"/>
        </w:rPr>
        <w:t>Before the</w:t>
      </w:r>
    </w:p>
    <w:p w:rsidR="00176171" w:rsidRPr="008A3FFD" w:rsidRDefault="00176171" w:rsidP="008229AA">
      <w:pPr>
        <w:ind w:right="-180"/>
        <w:jc w:val="center"/>
        <w:rPr>
          <w:b/>
          <w:sz w:val="22"/>
          <w:szCs w:val="22"/>
        </w:rPr>
      </w:pPr>
      <w:r w:rsidRPr="008A3FFD">
        <w:rPr>
          <w:b/>
          <w:sz w:val="22"/>
          <w:szCs w:val="22"/>
        </w:rPr>
        <w:t>Federal Communications Commission</w:t>
      </w:r>
    </w:p>
    <w:p w:rsidR="00176171" w:rsidRPr="008A3FFD" w:rsidRDefault="00176171" w:rsidP="008229AA">
      <w:pPr>
        <w:ind w:right="-180"/>
        <w:jc w:val="center"/>
        <w:rPr>
          <w:b/>
          <w:sz w:val="22"/>
          <w:szCs w:val="22"/>
        </w:rPr>
      </w:pPr>
      <w:r w:rsidRPr="008A3FFD">
        <w:rPr>
          <w:b/>
          <w:sz w:val="22"/>
          <w:szCs w:val="22"/>
        </w:rPr>
        <w:t>Washington, D.C. 20554</w:t>
      </w:r>
    </w:p>
    <w:p w:rsidR="00176171" w:rsidRPr="008A3FFD" w:rsidRDefault="00176171" w:rsidP="008229AA">
      <w:pPr>
        <w:tabs>
          <w:tab w:val="left" w:pos="-720"/>
        </w:tabs>
        <w:suppressAutoHyphens/>
        <w:spacing w:line="227" w:lineRule="auto"/>
        <w:ind w:right="-180"/>
        <w:jc w:val="both"/>
        <w:rPr>
          <w:spacing w:val="-2"/>
          <w:sz w:val="22"/>
          <w:szCs w:val="22"/>
        </w:rPr>
      </w:pPr>
    </w:p>
    <w:tbl>
      <w:tblPr>
        <w:tblW w:w="9450" w:type="dxa"/>
        <w:tblInd w:w="108" w:type="dxa"/>
        <w:tblLayout w:type="fixed"/>
        <w:tblLook w:val="0000" w:firstRow="0" w:lastRow="0" w:firstColumn="0" w:lastColumn="0" w:noHBand="0" w:noVBand="0"/>
      </w:tblPr>
      <w:tblGrid>
        <w:gridCol w:w="4500"/>
        <w:gridCol w:w="270"/>
        <w:gridCol w:w="4680"/>
      </w:tblGrid>
      <w:tr w:rsidR="00176171" w:rsidRPr="008A3FFD">
        <w:trPr>
          <w:trHeight w:val="1296"/>
        </w:trPr>
        <w:tc>
          <w:tcPr>
            <w:tcW w:w="4500" w:type="dxa"/>
          </w:tcPr>
          <w:p w:rsidR="00176171" w:rsidRPr="008A3FFD" w:rsidRDefault="00176171" w:rsidP="008229AA">
            <w:pPr>
              <w:ind w:right="-180"/>
              <w:rPr>
                <w:sz w:val="22"/>
                <w:szCs w:val="22"/>
              </w:rPr>
            </w:pPr>
            <w:r w:rsidRPr="008A3FFD">
              <w:rPr>
                <w:spacing w:val="-2"/>
                <w:sz w:val="22"/>
                <w:szCs w:val="22"/>
              </w:rPr>
              <w:t>In the Matter of</w:t>
            </w:r>
            <w:r w:rsidRPr="008A3FFD">
              <w:rPr>
                <w:sz w:val="22"/>
                <w:szCs w:val="22"/>
              </w:rPr>
              <w:t xml:space="preserve"> </w:t>
            </w:r>
          </w:p>
          <w:p w:rsidR="00176171" w:rsidRPr="008A3FFD" w:rsidRDefault="00176171" w:rsidP="008229AA">
            <w:pPr>
              <w:ind w:right="-180"/>
              <w:rPr>
                <w:sz w:val="22"/>
                <w:szCs w:val="22"/>
              </w:rPr>
            </w:pPr>
          </w:p>
          <w:p w:rsidR="00176171" w:rsidRPr="008A3FFD" w:rsidRDefault="00E6164B" w:rsidP="008229AA">
            <w:pPr>
              <w:ind w:right="-180"/>
              <w:rPr>
                <w:color w:val="151414"/>
                <w:sz w:val="22"/>
                <w:szCs w:val="22"/>
              </w:rPr>
            </w:pPr>
            <w:r w:rsidRPr="008A3FFD">
              <w:rPr>
                <w:sz w:val="22"/>
                <w:szCs w:val="22"/>
              </w:rPr>
              <w:t>Open Access Acquisition LLC</w:t>
            </w:r>
          </w:p>
          <w:p w:rsidR="00176171" w:rsidRPr="008A3FFD" w:rsidRDefault="00176171" w:rsidP="008229AA">
            <w:pPr>
              <w:ind w:right="-180"/>
              <w:rPr>
                <w:spacing w:val="-2"/>
                <w:sz w:val="22"/>
                <w:szCs w:val="22"/>
              </w:rPr>
            </w:pPr>
          </w:p>
        </w:tc>
        <w:tc>
          <w:tcPr>
            <w:tcW w:w="270" w:type="dxa"/>
          </w:tcPr>
          <w:p w:rsidR="00176171" w:rsidRPr="008A3FFD" w:rsidRDefault="00176171" w:rsidP="008229AA">
            <w:pPr>
              <w:tabs>
                <w:tab w:val="center" w:pos="4680"/>
              </w:tabs>
              <w:suppressAutoHyphens/>
              <w:spacing w:line="240" w:lineRule="atLeast"/>
              <w:ind w:right="-180"/>
              <w:jc w:val="both"/>
              <w:outlineLvl w:val="0"/>
              <w:rPr>
                <w:sz w:val="22"/>
                <w:szCs w:val="22"/>
              </w:rPr>
            </w:pPr>
            <w:r w:rsidRPr="008A3FFD">
              <w:rPr>
                <w:sz w:val="22"/>
                <w:szCs w:val="22"/>
              </w:rPr>
              <w:t>)</w:t>
            </w:r>
          </w:p>
          <w:p w:rsidR="00176171" w:rsidRPr="008A3FFD" w:rsidRDefault="00176171" w:rsidP="008229AA">
            <w:pPr>
              <w:tabs>
                <w:tab w:val="center" w:pos="4680"/>
              </w:tabs>
              <w:suppressAutoHyphens/>
              <w:spacing w:line="240" w:lineRule="atLeast"/>
              <w:ind w:right="-180"/>
              <w:jc w:val="both"/>
              <w:outlineLvl w:val="0"/>
              <w:rPr>
                <w:sz w:val="22"/>
                <w:szCs w:val="22"/>
              </w:rPr>
            </w:pPr>
            <w:r w:rsidRPr="008A3FFD">
              <w:rPr>
                <w:sz w:val="22"/>
                <w:szCs w:val="22"/>
              </w:rPr>
              <w:t>)</w:t>
            </w:r>
          </w:p>
          <w:p w:rsidR="00176171" w:rsidRPr="008A3FFD" w:rsidRDefault="00176171" w:rsidP="008229AA">
            <w:pPr>
              <w:tabs>
                <w:tab w:val="center" w:pos="4680"/>
              </w:tabs>
              <w:suppressAutoHyphens/>
              <w:spacing w:line="240" w:lineRule="atLeast"/>
              <w:ind w:right="-180"/>
              <w:jc w:val="both"/>
              <w:outlineLvl w:val="0"/>
              <w:rPr>
                <w:sz w:val="22"/>
                <w:szCs w:val="22"/>
              </w:rPr>
            </w:pPr>
            <w:r w:rsidRPr="008A3FFD">
              <w:rPr>
                <w:sz w:val="22"/>
                <w:szCs w:val="22"/>
              </w:rPr>
              <w:t>)</w:t>
            </w:r>
          </w:p>
          <w:p w:rsidR="00176171" w:rsidRPr="008A3FFD" w:rsidRDefault="00176171" w:rsidP="008229AA">
            <w:pPr>
              <w:tabs>
                <w:tab w:val="center" w:pos="4680"/>
              </w:tabs>
              <w:suppressAutoHyphens/>
              <w:spacing w:line="240" w:lineRule="atLeast"/>
              <w:ind w:right="-180"/>
              <w:jc w:val="both"/>
              <w:outlineLvl w:val="0"/>
              <w:rPr>
                <w:sz w:val="22"/>
                <w:szCs w:val="22"/>
              </w:rPr>
            </w:pPr>
            <w:r w:rsidRPr="008A3FFD">
              <w:rPr>
                <w:sz w:val="22"/>
                <w:szCs w:val="22"/>
              </w:rPr>
              <w:t>)</w:t>
            </w:r>
          </w:p>
          <w:p w:rsidR="00176171" w:rsidRPr="008A3FFD" w:rsidRDefault="00176171" w:rsidP="008229AA">
            <w:pPr>
              <w:tabs>
                <w:tab w:val="center" w:pos="4680"/>
              </w:tabs>
              <w:suppressAutoHyphens/>
              <w:spacing w:line="240" w:lineRule="atLeast"/>
              <w:ind w:right="-180"/>
              <w:jc w:val="both"/>
              <w:outlineLvl w:val="0"/>
              <w:rPr>
                <w:sz w:val="22"/>
                <w:szCs w:val="22"/>
              </w:rPr>
            </w:pPr>
            <w:r w:rsidRPr="008A3FFD">
              <w:rPr>
                <w:sz w:val="22"/>
                <w:szCs w:val="22"/>
              </w:rPr>
              <w:t>)</w:t>
            </w:r>
          </w:p>
        </w:tc>
        <w:tc>
          <w:tcPr>
            <w:tcW w:w="4680" w:type="dxa"/>
          </w:tcPr>
          <w:p w:rsidR="00176171" w:rsidRPr="008A3FFD" w:rsidRDefault="00176171" w:rsidP="008229AA">
            <w:pPr>
              <w:tabs>
                <w:tab w:val="left" w:pos="252"/>
              </w:tabs>
              <w:ind w:right="-180" w:firstLine="252"/>
              <w:rPr>
                <w:sz w:val="22"/>
                <w:szCs w:val="22"/>
              </w:rPr>
            </w:pPr>
            <w:r w:rsidRPr="008A3FFD">
              <w:rPr>
                <w:sz w:val="22"/>
                <w:szCs w:val="22"/>
              </w:rPr>
              <w:t xml:space="preserve">File No.:  </w:t>
            </w:r>
            <w:r w:rsidR="00E6164B" w:rsidRPr="008A3FFD">
              <w:rPr>
                <w:spacing w:val="-2"/>
                <w:sz w:val="22"/>
                <w:szCs w:val="22"/>
              </w:rPr>
              <w:t>EB-11-IH-1314</w:t>
            </w:r>
          </w:p>
          <w:p w:rsidR="00176171" w:rsidRPr="008A3FFD" w:rsidRDefault="00176171" w:rsidP="008229AA">
            <w:pPr>
              <w:tabs>
                <w:tab w:val="left" w:pos="252"/>
              </w:tabs>
              <w:ind w:right="-180"/>
              <w:rPr>
                <w:sz w:val="22"/>
                <w:szCs w:val="22"/>
              </w:rPr>
            </w:pPr>
          </w:p>
          <w:p w:rsidR="00176171" w:rsidRPr="005027E7" w:rsidRDefault="00176171" w:rsidP="008229AA">
            <w:pPr>
              <w:tabs>
                <w:tab w:val="left" w:pos="252"/>
              </w:tabs>
              <w:ind w:right="-180" w:firstLine="252"/>
              <w:rPr>
                <w:sz w:val="22"/>
                <w:szCs w:val="22"/>
              </w:rPr>
            </w:pPr>
            <w:r w:rsidRPr="008A3FFD">
              <w:rPr>
                <w:sz w:val="22"/>
                <w:szCs w:val="22"/>
              </w:rPr>
              <w:t xml:space="preserve">Acct. No.:  </w:t>
            </w:r>
            <w:r w:rsidR="002371ED" w:rsidRPr="00F90C56">
              <w:rPr>
                <w:sz w:val="22"/>
                <w:szCs w:val="22"/>
              </w:rPr>
              <w:t>201332080027</w:t>
            </w:r>
          </w:p>
          <w:p w:rsidR="00176171" w:rsidRPr="005027E7" w:rsidRDefault="00176171" w:rsidP="008229AA">
            <w:pPr>
              <w:tabs>
                <w:tab w:val="left" w:pos="252"/>
              </w:tabs>
              <w:ind w:right="-180" w:firstLine="252"/>
              <w:rPr>
                <w:sz w:val="22"/>
                <w:szCs w:val="22"/>
              </w:rPr>
            </w:pPr>
          </w:p>
          <w:p w:rsidR="00176171" w:rsidRPr="005027E7" w:rsidRDefault="00176171" w:rsidP="008229AA">
            <w:pPr>
              <w:tabs>
                <w:tab w:val="left" w:pos="252"/>
              </w:tabs>
              <w:ind w:right="-180" w:firstLine="252"/>
              <w:rPr>
                <w:spacing w:val="-2"/>
                <w:sz w:val="22"/>
                <w:szCs w:val="22"/>
              </w:rPr>
            </w:pPr>
            <w:r w:rsidRPr="005027E7">
              <w:rPr>
                <w:sz w:val="22"/>
                <w:szCs w:val="22"/>
              </w:rPr>
              <w:t xml:space="preserve">FRN:  </w:t>
            </w:r>
            <w:r w:rsidR="00E6164B" w:rsidRPr="005027E7">
              <w:rPr>
                <w:sz w:val="22"/>
                <w:szCs w:val="22"/>
              </w:rPr>
              <w:t>0021932637</w:t>
            </w:r>
          </w:p>
        </w:tc>
      </w:tr>
    </w:tbl>
    <w:p w:rsidR="00176171" w:rsidRPr="005027E7" w:rsidRDefault="00176171" w:rsidP="00165451">
      <w:pPr>
        <w:keepNext/>
        <w:spacing w:before="240"/>
        <w:ind w:right="-180"/>
        <w:jc w:val="center"/>
        <w:rPr>
          <w:b/>
          <w:sz w:val="22"/>
          <w:szCs w:val="22"/>
        </w:rPr>
      </w:pPr>
      <w:r w:rsidRPr="005027E7">
        <w:rPr>
          <w:b/>
          <w:sz w:val="22"/>
          <w:szCs w:val="22"/>
        </w:rPr>
        <w:t>CONSENT DECREE</w:t>
      </w:r>
    </w:p>
    <w:p w:rsidR="00176171" w:rsidRPr="005027E7" w:rsidRDefault="00176171" w:rsidP="008229AA">
      <w:pPr>
        <w:pStyle w:val="par1"/>
        <w:numPr>
          <w:ilvl w:val="0"/>
          <w:numId w:val="0"/>
        </w:numPr>
        <w:ind w:right="-180"/>
        <w:rPr>
          <w:b/>
          <w:szCs w:val="22"/>
        </w:rPr>
      </w:pPr>
    </w:p>
    <w:p w:rsidR="00176171" w:rsidRPr="008A3FFD" w:rsidRDefault="004678A3" w:rsidP="008229AA">
      <w:pPr>
        <w:pStyle w:val="par1"/>
        <w:ind w:right="-180"/>
        <w:rPr>
          <w:b/>
          <w:szCs w:val="22"/>
        </w:rPr>
      </w:pPr>
      <w:r w:rsidRPr="005027E7">
        <w:rPr>
          <w:szCs w:val="22"/>
        </w:rPr>
        <w:t xml:space="preserve">The Enforcement Bureau of the Federal Communications Commission and </w:t>
      </w:r>
      <w:r w:rsidR="00FC2416" w:rsidRPr="005027E7">
        <w:rPr>
          <w:szCs w:val="22"/>
        </w:rPr>
        <w:t>Open Access Acquisition</w:t>
      </w:r>
      <w:r w:rsidR="00FC2416" w:rsidRPr="008A3FFD">
        <w:rPr>
          <w:szCs w:val="22"/>
        </w:rPr>
        <w:t xml:space="preserve"> LLC</w:t>
      </w:r>
      <w:r w:rsidRPr="008A3FFD">
        <w:rPr>
          <w:szCs w:val="22"/>
        </w:rPr>
        <w:t xml:space="preserve">, by their authorized representatives, hereby enter into this Consent Decree for the purpose of terminating the Enforcement Bureau’s investigation into whether </w:t>
      </w:r>
      <w:r w:rsidR="007E7D8F" w:rsidRPr="008A3FFD">
        <w:rPr>
          <w:szCs w:val="22"/>
        </w:rPr>
        <w:t xml:space="preserve">Open Access violated </w:t>
      </w:r>
      <w:r w:rsidR="000B36AB" w:rsidRPr="0070139F">
        <w:rPr>
          <w:szCs w:val="22"/>
        </w:rPr>
        <w:t xml:space="preserve">Sections </w:t>
      </w:r>
      <w:r w:rsidR="008F44D8">
        <w:rPr>
          <w:szCs w:val="22"/>
        </w:rPr>
        <w:t xml:space="preserve">9, </w:t>
      </w:r>
      <w:r w:rsidR="000B36AB" w:rsidRPr="0070139F">
        <w:rPr>
          <w:szCs w:val="22"/>
        </w:rPr>
        <w:t>251and 254 of the Communications Act of 1934, as amended (Act),</w:t>
      </w:r>
      <w:r w:rsidR="000B36AB" w:rsidRPr="005F1C61">
        <w:rPr>
          <w:rStyle w:val="FootnoteReference"/>
          <w:sz w:val="22"/>
          <w:szCs w:val="22"/>
        </w:rPr>
        <w:footnoteReference w:id="5"/>
      </w:r>
      <w:r w:rsidR="000B36AB" w:rsidRPr="00DA75D4">
        <w:rPr>
          <w:szCs w:val="22"/>
        </w:rPr>
        <w:t xml:space="preserve"> and Sections 1.1154, 1.1157, 52.17, 52.32, 54.706, 54.711, 64.604, and  64.1195 of the Commission’s rules</w:t>
      </w:r>
      <w:r w:rsidR="000B36AB" w:rsidRPr="00DA75D4">
        <w:rPr>
          <w:rStyle w:val="FootnoteReference"/>
          <w:sz w:val="22"/>
          <w:szCs w:val="22"/>
        </w:rPr>
        <w:footnoteReference w:id="6"/>
      </w:r>
      <w:r w:rsidR="000B36AB" w:rsidRPr="00DA75D4">
        <w:rPr>
          <w:szCs w:val="22"/>
        </w:rPr>
        <w:t xml:space="preserve"> concerning various regulatory fees and reporting obligations, as well as required contributions to the Universal Service Fund, the Telecommunications Relay Service Fund, and North American Numbering Plan and Local Number Portability </w:t>
      </w:r>
      <w:r w:rsidR="00263F94">
        <w:rPr>
          <w:szCs w:val="22"/>
        </w:rPr>
        <w:t>administration.</w:t>
      </w:r>
      <w:r w:rsidR="000B36AB" w:rsidRPr="00DA75D4">
        <w:rPr>
          <w:szCs w:val="22"/>
        </w:rPr>
        <w:t xml:space="preserve"> </w:t>
      </w:r>
    </w:p>
    <w:p w:rsidR="00176171" w:rsidRPr="008A3FFD" w:rsidRDefault="00176171" w:rsidP="008229AA">
      <w:pPr>
        <w:pStyle w:val="par1"/>
        <w:numPr>
          <w:ilvl w:val="0"/>
          <w:numId w:val="0"/>
        </w:numPr>
        <w:ind w:right="-180"/>
        <w:rPr>
          <w:szCs w:val="22"/>
        </w:rPr>
      </w:pPr>
    </w:p>
    <w:p w:rsidR="00176171" w:rsidRPr="008A3FFD" w:rsidRDefault="00176171" w:rsidP="008229AA">
      <w:pPr>
        <w:tabs>
          <w:tab w:val="left" w:pos="720"/>
          <w:tab w:val="num" w:pos="1440"/>
        </w:tabs>
        <w:ind w:right="-180"/>
        <w:rPr>
          <w:b/>
          <w:sz w:val="22"/>
          <w:szCs w:val="22"/>
        </w:rPr>
      </w:pPr>
      <w:r w:rsidRPr="008A3FFD">
        <w:rPr>
          <w:b/>
          <w:sz w:val="22"/>
          <w:szCs w:val="22"/>
        </w:rPr>
        <w:t>I.</w:t>
      </w:r>
      <w:r w:rsidRPr="008A3FFD">
        <w:rPr>
          <w:b/>
          <w:sz w:val="22"/>
          <w:szCs w:val="22"/>
        </w:rPr>
        <w:tab/>
        <w:t>DEFINITIONS</w:t>
      </w:r>
    </w:p>
    <w:p w:rsidR="00176171" w:rsidRPr="008A3FFD" w:rsidRDefault="00176171" w:rsidP="008229AA">
      <w:pPr>
        <w:tabs>
          <w:tab w:val="num" w:pos="1440"/>
        </w:tabs>
        <w:ind w:right="-180"/>
        <w:rPr>
          <w:b/>
          <w:sz w:val="22"/>
          <w:szCs w:val="22"/>
        </w:rPr>
      </w:pPr>
    </w:p>
    <w:p w:rsidR="00176171" w:rsidRPr="008A3FFD" w:rsidRDefault="00176171" w:rsidP="008229AA">
      <w:pPr>
        <w:pStyle w:val="par1"/>
        <w:spacing w:after="240"/>
        <w:ind w:right="-180"/>
        <w:rPr>
          <w:szCs w:val="22"/>
        </w:rPr>
      </w:pPr>
      <w:r w:rsidRPr="008A3FFD">
        <w:rPr>
          <w:szCs w:val="22"/>
        </w:rPr>
        <w:t>For the purposes of this Consent Decree, the following definitions shall apply:</w:t>
      </w:r>
    </w:p>
    <w:p w:rsidR="00176171" w:rsidRPr="008A3FFD" w:rsidRDefault="00176171" w:rsidP="008229AA">
      <w:pPr>
        <w:numPr>
          <w:ilvl w:val="0"/>
          <w:numId w:val="3"/>
        </w:numPr>
        <w:tabs>
          <w:tab w:val="left" w:pos="2160"/>
        </w:tabs>
        <w:ind w:left="2160" w:right="-180" w:hanging="720"/>
        <w:rPr>
          <w:sz w:val="22"/>
          <w:szCs w:val="22"/>
        </w:rPr>
      </w:pPr>
      <w:r w:rsidRPr="008A3FFD">
        <w:rPr>
          <w:sz w:val="22"/>
          <w:szCs w:val="22"/>
        </w:rPr>
        <w:t>“Act”</w:t>
      </w:r>
      <w:r w:rsidRPr="008A3FFD">
        <w:rPr>
          <w:rStyle w:val="ParanumChar0"/>
          <w:szCs w:val="22"/>
        </w:rPr>
        <w:t xml:space="preserve"> </w:t>
      </w:r>
      <w:r w:rsidRPr="008A3FFD">
        <w:rPr>
          <w:sz w:val="22"/>
          <w:szCs w:val="22"/>
        </w:rPr>
        <w:t>means the Communications Act of 1934, as amended, 47 U.S.C. § 151</w:t>
      </w:r>
      <w:r w:rsidRPr="008A3FFD">
        <w:rPr>
          <w:i/>
          <w:sz w:val="22"/>
          <w:szCs w:val="22"/>
        </w:rPr>
        <w:t xml:space="preserve"> </w:t>
      </w:r>
      <w:r w:rsidRPr="008A3FFD">
        <w:rPr>
          <w:sz w:val="22"/>
          <w:szCs w:val="22"/>
        </w:rPr>
        <w:t>et seq.</w:t>
      </w:r>
    </w:p>
    <w:p w:rsidR="00176171" w:rsidRPr="008A3FFD" w:rsidRDefault="00176171" w:rsidP="008229AA">
      <w:pPr>
        <w:tabs>
          <w:tab w:val="left" w:pos="2160"/>
        </w:tabs>
        <w:ind w:left="1440" w:right="-180"/>
        <w:rPr>
          <w:sz w:val="22"/>
          <w:szCs w:val="22"/>
        </w:rPr>
      </w:pPr>
    </w:p>
    <w:p w:rsidR="00176171" w:rsidRPr="008A3FFD" w:rsidRDefault="00176171" w:rsidP="008229AA">
      <w:pPr>
        <w:numPr>
          <w:ilvl w:val="0"/>
          <w:numId w:val="3"/>
        </w:numPr>
        <w:tabs>
          <w:tab w:val="clear" w:pos="1872"/>
          <w:tab w:val="left" w:pos="1890"/>
        </w:tabs>
        <w:ind w:left="1890" w:right="-180" w:hanging="450"/>
        <w:rPr>
          <w:sz w:val="22"/>
          <w:szCs w:val="22"/>
        </w:rPr>
      </w:pPr>
      <w:r w:rsidRPr="008A3FFD">
        <w:rPr>
          <w:sz w:val="22"/>
          <w:szCs w:val="22"/>
        </w:rPr>
        <w:t>“Adopting Order” means an Order of the Bureau adopting the terms of this Consent Decree without change, addition, deletion, or modification.</w:t>
      </w:r>
    </w:p>
    <w:p w:rsidR="00176171" w:rsidRPr="008A3FFD" w:rsidRDefault="00176171" w:rsidP="008229AA">
      <w:pPr>
        <w:tabs>
          <w:tab w:val="left" w:pos="1890"/>
        </w:tabs>
        <w:ind w:left="1890" w:right="-180" w:hanging="450"/>
        <w:rPr>
          <w:sz w:val="22"/>
          <w:szCs w:val="22"/>
        </w:rPr>
      </w:pPr>
    </w:p>
    <w:p w:rsidR="00176171" w:rsidRPr="008A3FFD" w:rsidRDefault="00176171" w:rsidP="008229AA">
      <w:pPr>
        <w:numPr>
          <w:ilvl w:val="0"/>
          <w:numId w:val="3"/>
        </w:numPr>
        <w:tabs>
          <w:tab w:val="clear" w:pos="1872"/>
          <w:tab w:val="left" w:pos="1890"/>
        </w:tabs>
        <w:ind w:left="1890" w:right="-180" w:hanging="450"/>
        <w:rPr>
          <w:sz w:val="22"/>
          <w:szCs w:val="22"/>
        </w:rPr>
      </w:pPr>
      <w:r w:rsidRPr="008A3FFD">
        <w:rPr>
          <w:sz w:val="22"/>
          <w:szCs w:val="22"/>
        </w:rPr>
        <w:t>“Bureau” means the Enforcement Bureau of the Federal Communications Commission.</w:t>
      </w:r>
    </w:p>
    <w:p w:rsidR="00176171" w:rsidRPr="008A3FFD" w:rsidRDefault="00176171" w:rsidP="008229AA">
      <w:pPr>
        <w:tabs>
          <w:tab w:val="left" w:pos="1890"/>
        </w:tabs>
        <w:ind w:left="1890" w:right="-180" w:hanging="450"/>
        <w:rPr>
          <w:sz w:val="22"/>
          <w:szCs w:val="22"/>
        </w:rPr>
      </w:pPr>
    </w:p>
    <w:p w:rsidR="00176171" w:rsidRPr="008A3FFD" w:rsidRDefault="00176171" w:rsidP="008229AA">
      <w:pPr>
        <w:numPr>
          <w:ilvl w:val="0"/>
          <w:numId w:val="3"/>
        </w:numPr>
        <w:tabs>
          <w:tab w:val="clear" w:pos="1872"/>
          <w:tab w:val="left" w:pos="1890"/>
        </w:tabs>
        <w:ind w:left="1890" w:right="-180" w:hanging="450"/>
        <w:rPr>
          <w:sz w:val="22"/>
          <w:szCs w:val="22"/>
        </w:rPr>
      </w:pPr>
      <w:r w:rsidRPr="008A3FFD">
        <w:rPr>
          <w:sz w:val="22"/>
          <w:szCs w:val="22"/>
        </w:rPr>
        <w:t xml:space="preserve">“Commission” and “FCC” mean the Federal Communications Commission and all of its bureaus and offices.  </w:t>
      </w:r>
    </w:p>
    <w:p w:rsidR="00176171" w:rsidRPr="008A3FFD" w:rsidRDefault="00176171" w:rsidP="008229AA">
      <w:pPr>
        <w:tabs>
          <w:tab w:val="left" w:pos="1890"/>
        </w:tabs>
        <w:ind w:left="1890" w:right="-180" w:hanging="450"/>
        <w:rPr>
          <w:sz w:val="22"/>
          <w:szCs w:val="22"/>
        </w:rPr>
      </w:pPr>
    </w:p>
    <w:p w:rsidR="00176171" w:rsidRPr="008A3FFD" w:rsidRDefault="00176171" w:rsidP="008229AA">
      <w:pPr>
        <w:numPr>
          <w:ilvl w:val="0"/>
          <w:numId w:val="3"/>
        </w:numPr>
        <w:tabs>
          <w:tab w:val="clear" w:pos="1872"/>
          <w:tab w:val="left" w:pos="1890"/>
        </w:tabs>
        <w:ind w:left="1890" w:right="-180" w:hanging="450"/>
        <w:rPr>
          <w:sz w:val="22"/>
          <w:szCs w:val="22"/>
        </w:rPr>
      </w:pPr>
      <w:r w:rsidRPr="008A3FFD">
        <w:rPr>
          <w:sz w:val="22"/>
          <w:szCs w:val="22"/>
        </w:rPr>
        <w:t xml:space="preserve">“Communications Laws” means collectively, the Act, the Rules, and the published and promulgated orders and decisions of the Commission to which </w:t>
      </w:r>
      <w:r w:rsidR="00FC2416" w:rsidRPr="008A3FFD">
        <w:rPr>
          <w:sz w:val="22"/>
          <w:szCs w:val="22"/>
        </w:rPr>
        <w:t>Open Access</w:t>
      </w:r>
      <w:r w:rsidR="00693E4A" w:rsidRPr="00DA75D4">
        <w:rPr>
          <w:sz w:val="22"/>
          <w:szCs w:val="22"/>
        </w:rPr>
        <w:t xml:space="preserve"> </w:t>
      </w:r>
      <w:r w:rsidRPr="005027E7">
        <w:rPr>
          <w:sz w:val="22"/>
          <w:szCs w:val="22"/>
        </w:rPr>
        <w:t>is subject by virtue of its business activities</w:t>
      </w:r>
      <w:r w:rsidR="00B52710" w:rsidRPr="005027E7">
        <w:rPr>
          <w:sz w:val="22"/>
          <w:szCs w:val="22"/>
        </w:rPr>
        <w:t>, including but not limited to the Federal Regulatory Reporting and Contribution</w:t>
      </w:r>
      <w:r w:rsidR="00B52710" w:rsidRPr="008A3FFD">
        <w:rPr>
          <w:sz w:val="22"/>
          <w:szCs w:val="22"/>
        </w:rPr>
        <w:t xml:space="preserve"> Rules.</w:t>
      </w:r>
    </w:p>
    <w:p w:rsidR="005027E7" w:rsidRPr="008A3FFD" w:rsidRDefault="005027E7" w:rsidP="00DA75D4">
      <w:pPr>
        <w:pStyle w:val="ListParagraph"/>
        <w:rPr>
          <w:sz w:val="22"/>
          <w:szCs w:val="22"/>
        </w:rPr>
      </w:pPr>
    </w:p>
    <w:p w:rsidR="005027E7" w:rsidRPr="005027E7" w:rsidRDefault="00263F94" w:rsidP="008229AA">
      <w:pPr>
        <w:numPr>
          <w:ilvl w:val="0"/>
          <w:numId w:val="3"/>
        </w:numPr>
        <w:tabs>
          <w:tab w:val="clear" w:pos="1872"/>
          <w:tab w:val="left" w:pos="1890"/>
        </w:tabs>
        <w:ind w:left="1890" w:right="-180" w:hanging="450"/>
        <w:rPr>
          <w:sz w:val="22"/>
          <w:szCs w:val="22"/>
        </w:rPr>
      </w:pPr>
      <w:r>
        <w:rPr>
          <w:sz w:val="22"/>
          <w:szCs w:val="22"/>
        </w:rPr>
        <w:t>“</w:t>
      </w:r>
      <w:r w:rsidR="005027E7" w:rsidRPr="008A3FFD">
        <w:rPr>
          <w:sz w:val="22"/>
          <w:szCs w:val="22"/>
        </w:rPr>
        <w:t xml:space="preserve">Compliance Plan” means the compliance obligations, programs, and procedures described in this Consent Decree at paragraph </w:t>
      </w:r>
      <w:r w:rsidR="005027E7" w:rsidRPr="0048774A">
        <w:rPr>
          <w:sz w:val="22"/>
          <w:szCs w:val="22"/>
        </w:rPr>
        <w:fldChar w:fldCharType="begin"/>
      </w:r>
      <w:r w:rsidR="005027E7" w:rsidRPr="0048774A">
        <w:rPr>
          <w:sz w:val="22"/>
          <w:szCs w:val="22"/>
        </w:rPr>
        <w:instrText xml:space="preserve"> REF _Ref358627064 \r \h  \* MERGEFORMAT </w:instrText>
      </w:r>
      <w:r w:rsidR="005027E7" w:rsidRPr="0048774A">
        <w:rPr>
          <w:sz w:val="22"/>
          <w:szCs w:val="22"/>
        </w:rPr>
      </w:r>
      <w:r w:rsidR="005027E7" w:rsidRPr="0048774A">
        <w:rPr>
          <w:sz w:val="22"/>
          <w:szCs w:val="22"/>
        </w:rPr>
        <w:fldChar w:fldCharType="separate"/>
      </w:r>
      <w:r w:rsidR="003306FB">
        <w:rPr>
          <w:sz w:val="22"/>
          <w:szCs w:val="22"/>
        </w:rPr>
        <w:t>13</w:t>
      </w:r>
      <w:r w:rsidR="005027E7" w:rsidRPr="0048774A">
        <w:rPr>
          <w:sz w:val="22"/>
          <w:szCs w:val="22"/>
        </w:rPr>
        <w:fldChar w:fldCharType="end"/>
      </w:r>
      <w:r w:rsidR="005027E7" w:rsidRPr="005027E7">
        <w:rPr>
          <w:sz w:val="22"/>
          <w:szCs w:val="22"/>
        </w:rPr>
        <w:t>.</w:t>
      </w:r>
    </w:p>
    <w:p w:rsidR="00176171" w:rsidRPr="005027E7" w:rsidRDefault="00176171" w:rsidP="008229AA">
      <w:pPr>
        <w:ind w:right="-180"/>
        <w:rPr>
          <w:sz w:val="22"/>
          <w:szCs w:val="22"/>
        </w:rPr>
      </w:pPr>
    </w:p>
    <w:p w:rsidR="00176171" w:rsidRPr="005027E7" w:rsidRDefault="00176171" w:rsidP="008229AA">
      <w:pPr>
        <w:numPr>
          <w:ilvl w:val="0"/>
          <w:numId w:val="3"/>
        </w:numPr>
        <w:tabs>
          <w:tab w:val="clear" w:pos="1872"/>
          <w:tab w:val="left" w:pos="1890"/>
        </w:tabs>
        <w:ind w:left="1890" w:right="-180" w:hanging="450"/>
        <w:rPr>
          <w:sz w:val="22"/>
          <w:szCs w:val="22"/>
        </w:rPr>
      </w:pPr>
      <w:r w:rsidRPr="005027E7">
        <w:rPr>
          <w:sz w:val="22"/>
          <w:szCs w:val="22"/>
        </w:rPr>
        <w:t xml:space="preserve">“Covered Employees” means all employees and agents of </w:t>
      </w:r>
      <w:r w:rsidR="00FC2416" w:rsidRPr="005027E7">
        <w:rPr>
          <w:sz w:val="22"/>
          <w:szCs w:val="22"/>
        </w:rPr>
        <w:t>Open Access</w:t>
      </w:r>
      <w:r w:rsidR="00693E4A" w:rsidRPr="00DA75D4">
        <w:rPr>
          <w:sz w:val="22"/>
          <w:szCs w:val="22"/>
        </w:rPr>
        <w:t xml:space="preserve"> </w:t>
      </w:r>
      <w:r w:rsidRPr="005027E7">
        <w:rPr>
          <w:sz w:val="22"/>
          <w:szCs w:val="22"/>
        </w:rPr>
        <w:t xml:space="preserve">who perform, or supervise, oversee, or manage the performance of duties that relate to </w:t>
      </w:r>
      <w:r w:rsidR="00FC2416" w:rsidRPr="005027E7">
        <w:rPr>
          <w:sz w:val="22"/>
          <w:szCs w:val="22"/>
        </w:rPr>
        <w:t>Open Access</w:t>
      </w:r>
      <w:r w:rsidR="00A6638B" w:rsidRPr="00DA75D4">
        <w:rPr>
          <w:sz w:val="22"/>
          <w:szCs w:val="22"/>
        </w:rPr>
        <w:t>’s</w:t>
      </w:r>
      <w:r w:rsidR="0045173D" w:rsidRPr="00DA75D4">
        <w:rPr>
          <w:sz w:val="22"/>
          <w:szCs w:val="22"/>
        </w:rPr>
        <w:t xml:space="preserve"> </w:t>
      </w:r>
      <w:r w:rsidRPr="005027E7">
        <w:rPr>
          <w:sz w:val="22"/>
          <w:szCs w:val="22"/>
        </w:rPr>
        <w:t xml:space="preserve">responsibilities under </w:t>
      </w:r>
      <w:r w:rsidR="002A0049">
        <w:rPr>
          <w:sz w:val="22"/>
          <w:szCs w:val="22"/>
        </w:rPr>
        <w:t xml:space="preserve">the Communications Laws, including </w:t>
      </w:r>
      <w:r w:rsidR="00A6638B" w:rsidRPr="005027E7">
        <w:rPr>
          <w:sz w:val="22"/>
          <w:szCs w:val="22"/>
        </w:rPr>
        <w:t xml:space="preserve">the </w:t>
      </w:r>
      <w:r w:rsidR="0044489C" w:rsidRPr="005027E7">
        <w:rPr>
          <w:sz w:val="22"/>
          <w:szCs w:val="22"/>
        </w:rPr>
        <w:t xml:space="preserve">Federal Regulatory Reporting and Contribution </w:t>
      </w:r>
      <w:r w:rsidRPr="005027E7">
        <w:rPr>
          <w:sz w:val="22"/>
          <w:szCs w:val="22"/>
        </w:rPr>
        <w:t>Rules.</w:t>
      </w:r>
    </w:p>
    <w:p w:rsidR="00176171" w:rsidRPr="005027E7" w:rsidRDefault="00176171" w:rsidP="008229AA">
      <w:pPr>
        <w:tabs>
          <w:tab w:val="left" w:pos="2160"/>
        </w:tabs>
        <w:ind w:right="-180"/>
        <w:rPr>
          <w:sz w:val="22"/>
          <w:szCs w:val="22"/>
        </w:rPr>
      </w:pPr>
    </w:p>
    <w:p w:rsidR="00176171" w:rsidRPr="008A3FFD" w:rsidRDefault="00176171" w:rsidP="008229AA">
      <w:pPr>
        <w:numPr>
          <w:ilvl w:val="0"/>
          <w:numId w:val="3"/>
        </w:numPr>
        <w:tabs>
          <w:tab w:val="clear" w:pos="1872"/>
          <w:tab w:val="left" w:pos="1890"/>
        </w:tabs>
        <w:ind w:left="1890" w:right="-180" w:hanging="450"/>
        <w:rPr>
          <w:sz w:val="22"/>
          <w:szCs w:val="22"/>
        </w:rPr>
      </w:pPr>
      <w:r w:rsidRPr="008A3FFD">
        <w:rPr>
          <w:sz w:val="22"/>
          <w:szCs w:val="22"/>
        </w:rPr>
        <w:t xml:space="preserve">“Effective Date” means the date on which the </w:t>
      </w:r>
      <w:r w:rsidR="002A0049">
        <w:rPr>
          <w:sz w:val="22"/>
          <w:szCs w:val="22"/>
        </w:rPr>
        <w:t>Bureau</w:t>
      </w:r>
      <w:r w:rsidR="002A0049" w:rsidRPr="008A3FFD">
        <w:rPr>
          <w:sz w:val="22"/>
          <w:szCs w:val="22"/>
        </w:rPr>
        <w:t xml:space="preserve"> </w:t>
      </w:r>
      <w:r w:rsidRPr="008A3FFD">
        <w:rPr>
          <w:sz w:val="22"/>
          <w:szCs w:val="22"/>
        </w:rPr>
        <w:t>releases the Adopting Order.</w:t>
      </w:r>
    </w:p>
    <w:p w:rsidR="00176171" w:rsidRPr="008A3FFD" w:rsidRDefault="00176171" w:rsidP="008229AA">
      <w:pPr>
        <w:tabs>
          <w:tab w:val="left" w:pos="2160"/>
        </w:tabs>
        <w:ind w:right="-180"/>
        <w:rPr>
          <w:color w:val="000000"/>
          <w:sz w:val="22"/>
          <w:szCs w:val="22"/>
        </w:rPr>
      </w:pPr>
    </w:p>
    <w:p w:rsidR="00B52710" w:rsidRPr="005027E7" w:rsidRDefault="00B52710" w:rsidP="00B52710">
      <w:pPr>
        <w:numPr>
          <w:ilvl w:val="0"/>
          <w:numId w:val="3"/>
        </w:numPr>
        <w:tabs>
          <w:tab w:val="left" w:pos="2160"/>
        </w:tabs>
        <w:ind w:right="-180"/>
        <w:rPr>
          <w:sz w:val="22"/>
          <w:szCs w:val="22"/>
        </w:rPr>
      </w:pPr>
      <w:r w:rsidRPr="008A3FFD">
        <w:rPr>
          <w:sz w:val="22"/>
          <w:szCs w:val="22"/>
        </w:rPr>
        <w:t xml:space="preserve">“Federal Regulatory Reporting and Contribution Rules” means Sections </w:t>
      </w:r>
      <w:r w:rsidR="008F44D8">
        <w:rPr>
          <w:sz w:val="22"/>
          <w:szCs w:val="22"/>
        </w:rPr>
        <w:t xml:space="preserve">9, </w:t>
      </w:r>
      <w:r w:rsidRPr="008A3FFD">
        <w:rPr>
          <w:sz w:val="22"/>
          <w:szCs w:val="22"/>
        </w:rPr>
        <w:t>251</w:t>
      </w:r>
      <w:r w:rsidR="00A51378">
        <w:rPr>
          <w:sz w:val="22"/>
          <w:szCs w:val="22"/>
        </w:rPr>
        <w:t xml:space="preserve"> </w:t>
      </w:r>
      <w:r w:rsidRPr="008A3FFD">
        <w:rPr>
          <w:sz w:val="22"/>
          <w:szCs w:val="22"/>
        </w:rPr>
        <w:t>and 254</w:t>
      </w:r>
      <w:r w:rsidRPr="005027E7">
        <w:rPr>
          <w:sz w:val="22"/>
          <w:szCs w:val="22"/>
        </w:rPr>
        <w:t xml:space="preserve"> of the Act,</w:t>
      </w:r>
      <w:r w:rsidRPr="00DA75D4">
        <w:rPr>
          <w:rStyle w:val="FootnoteReference"/>
          <w:sz w:val="22"/>
          <w:szCs w:val="22"/>
        </w:rPr>
        <w:footnoteReference w:id="7"/>
      </w:r>
      <w:r w:rsidRPr="005027E7">
        <w:rPr>
          <w:sz w:val="22"/>
          <w:szCs w:val="22"/>
        </w:rPr>
        <w:t xml:space="preserve"> Sections </w:t>
      </w:r>
      <w:r w:rsidRPr="00DA75D4">
        <w:rPr>
          <w:sz w:val="22"/>
          <w:szCs w:val="22"/>
        </w:rPr>
        <w:t>1.1154, 1.1157, 52.17, 52.32, 54.706, 54.711, 64.604, and 64.1195 of the Rules,</w:t>
      </w:r>
      <w:r w:rsidRPr="00DA75D4">
        <w:rPr>
          <w:rStyle w:val="FootnoteReference"/>
          <w:sz w:val="22"/>
          <w:szCs w:val="22"/>
        </w:rPr>
        <w:footnoteReference w:id="8"/>
      </w:r>
      <w:r w:rsidRPr="005027E7">
        <w:rPr>
          <w:sz w:val="22"/>
          <w:szCs w:val="22"/>
        </w:rPr>
        <w:t xml:space="preserve"> and </w:t>
      </w:r>
      <w:r w:rsidR="002A0049">
        <w:rPr>
          <w:sz w:val="22"/>
          <w:szCs w:val="22"/>
        </w:rPr>
        <w:t>other provisions of the Act, the Rules, and Commission orders governing related federal regulatory reporting and contribution obligations</w:t>
      </w:r>
      <w:r w:rsidRPr="005027E7">
        <w:rPr>
          <w:sz w:val="22"/>
          <w:szCs w:val="22"/>
        </w:rPr>
        <w:t>.</w:t>
      </w:r>
      <w:r w:rsidRPr="00DA75D4">
        <w:rPr>
          <w:sz w:val="22"/>
          <w:szCs w:val="22"/>
        </w:rPr>
        <w:t xml:space="preserve"> </w:t>
      </w:r>
    </w:p>
    <w:p w:rsidR="00B52710" w:rsidRPr="005027E7" w:rsidRDefault="00B52710" w:rsidP="00B74F43">
      <w:pPr>
        <w:ind w:left="1890" w:right="-180"/>
        <w:rPr>
          <w:sz w:val="22"/>
          <w:szCs w:val="22"/>
        </w:rPr>
      </w:pPr>
      <w:r w:rsidRPr="005027E7">
        <w:rPr>
          <w:color w:val="000000"/>
          <w:sz w:val="22"/>
          <w:szCs w:val="22"/>
        </w:rPr>
        <w:t xml:space="preserve"> </w:t>
      </w:r>
    </w:p>
    <w:p w:rsidR="00176171" w:rsidRPr="008A3FFD" w:rsidRDefault="00176171" w:rsidP="00B52710">
      <w:pPr>
        <w:numPr>
          <w:ilvl w:val="0"/>
          <w:numId w:val="3"/>
        </w:numPr>
        <w:tabs>
          <w:tab w:val="clear" w:pos="1872"/>
          <w:tab w:val="left" w:pos="1890"/>
        </w:tabs>
        <w:ind w:left="1890" w:right="-180" w:hanging="450"/>
        <w:rPr>
          <w:sz w:val="22"/>
          <w:szCs w:val="22"/>
        </w:rPr>
      </w:pPr>
      <w:r w:rsidRPr="005027E7">
        <w:rPr>
          <w:color w:val="000000"/>
          <w:sz w:val="22"/>
          <w:szCs w:val="22"/>
        </w:rPr>
        <w:t xml:space="preserve">“Investigation” means the investigation </w:t>
      </w:r>
      <w:r w:rsidR="002A0049">
        <w:rPr>
          <w:color w:val="000000"/>
          <w:sz w:val="22"/>
          <w:szCs w:val="22"/>
        </w:rPr>
        <w:t>initiated</w:t>
      </w:r>
      <w:r w:rsidR="002A0049" w:rsidRPr="005027E7">
        <w:rPr>
          <w:color w:val="000000"/>
          <w:sz w:val="22"/>
          <w:szCs w:val="22"/>
        </w:rPr>
        <w:t xml:space="preserve"> </w:t>
      </w:r>
      <w:r w:rsidRPr="005027E7">
        <w:rPr>
          <w:color w:val="000000"/>
          <w:sz w:val="22"/>
          <w:szCs w:val="22"/>
        </w:rPr>
        <w:t xml:space="preserve">by the Bureau </w:t>
      </w:r>
      <w:r w:rsidR="0059779D" w:rsidRPr="005027E7">
        <w:rPr>
          <w:color w:val="000000"/>
          <w:sz w:val="22"/>
          <w:szCs w:val="22"/>
        </w:rPr>
        <w:t xml:space="preserve">in File No. </w:t>
      </w:r>
      <w:r w:rsidR="00E94177" w:rsidRPr="008A3FFD">
        <w:rPr>
          <w:spacing w:val="-2"/>
          <w:sz w:val="22"/>
          <w:szCs w:val="22"/>
        </w:rPr>
        <w:t>EB</w:t>
      </w:r>
      <w:r w:rsidR="003B4F66" w:rsidRPr="008A3FFD">
        <w:rPr>
          <w:spacing w:val="-2"/>
          <w:sz w:val="22"/>
          <w:szCs w:val="22"/>
        </w:rPr>
        <w:noBreakHyphen/>
      </w:r>
      <w:r w:rsidR="00E94177" w:rsidRPr="008A3FFD">
        <w:rPr>
          <w:spacing w:val="-2"/>
          <w:sz w:val="22"/>
          <w:szCs w:val="22"/>
        </w:rPr>
        <w:t>11</w:t>
      </w:r>
      <w:r w:rsidR="003B4F66" w:rsidRPr="008A3FFD">
        <w:rPr>
          <w:spacing w:val="-2"/>
          <w:sz w:val="22"/>
          <w:szCs w:val="22"/>
        </w:rPr>
        <w:noBreakHyphen/>
      </w:r>
      <w:r w:rsidR="00E94177" w:rsidRPr="008A3FFD">
        <w:rPr>
          <w:spacing w:val="-2"/>
          <w:sz w:val="22"/>
          <w:szCs w:val="22"/>
        </w:rPr>
        <w:t>IH</w:t>
      </w:r>
      <w:r w:rsidR="003B4F66" w:rsidRPr="008A3FFD">
        <w:rPr>
          <w:spacing w:val="-2"/>
          <w:sz w:val="22"/>
          <w:szCs w:val="22"/>
        </w:rPr>
        <w:noBreakHyphen/>
      </w:r>
      <w:r w:rsidR="00E94177" w:rsidRPr="008A3FFD">
        <w:rPr>
          <w:spacing w:val="-2"/>
          <w:sz w:val="22"/>
          <w:szCs w:val="22"/>
        </w:rPr>
        <w:t>1314</w:t>
      </w:r>
      <w:r w:rsidR="0059779D" w:rsidRPr="008A3FFD">
        <w:rPr>
          <w:color w:val="151414"/>
          <w:sz w:val="22"/>
          <w:szCs w:val="22"/>
        </w:rPr>
        <w:t xml:space="preserve"> </w:t>
      </w:r>
      <w:r w:rsidRPr="008A3FFD">
        <w:rPr>
          <w:color w:val="000000"/>
          <w:sz w:val="22"/>
          <w:szCs w:val="22"/>
        </w:rPr>
        <w:t xml:space="preserve">regarding </w:t>
      </w:r>
      <w:r w:rsidR="002A0049" w:rsidRPr="009B4E30">
        <w:rPr>
          <w:sz w:val="22"/>
          <w:szCs w:val="22"/>
        </w:rPr>
        <w:t>possible violations of</w:t>
      </w:r>
      <w:r w:rsidR="002A0049" w:rsidRPr="002A0049">
        <w:rPr>
          <w:sz w:val="22"/>
        </w:rPr>
        <w:t xml:space="preserve"> </w:t>
      </w:r>
      <w:r w:rsidR="0059779D" w:rsidRPr="008A3FFD">
        <w:rPr>
          <w:color w:val="000000"/>
          <w:sz w:val="22"/>
          <w:szCs w:val="22"/>
        </w:rPr>
        <w:t xml:space="preserve">the </w:t>
      </w:r>
      <w:r w:rsidR="0044489C" w:rsidRPr="008A3FFD">
        <w:rPr>
          <w:sz w:val="22"/>
          <w:szCs w:val="22"/>
        </w:rPr>
        <w:t xml:space="preserve">Federal Regulatory Reporting and Contribution </w:t>
      </w:r>
      <w:r w:rsidR="0059779D" w:rsidRPr="008A3FFD">
        <w:rPr>
          <w:sz w:val="22"/>
          <w:szCs w:val="22"/>
        </w:rPr>
        <w:t>Rules.</w:t>
      </w:r>
    </w:p>
    <w:p w:rsidR="0044489C" w:rsidRPr="008A3FFD" w:rsidRDefault="0044489C" w:rsidP="0044489C">
      <w:pPr>
        <w:pStyle w:val="ListParagraph"/>
        <w:rPr>
          <w:sz w:val="22"/>
          <w:szCs w:val="22"/>
        </w:rPr>
      </w:pPr>
    </w:p>
    <w:p w:rsidR="0044489C" w:rsidRPr="008A3FFD" w:rsidRDefault="0044489C" w:rsidP="008229AA">
      <w:pPr>
        <w:numPr>
          <w:ilvl w:val="0"/>
          <w:numId w:val="3"/>
        </w:numPr>
        <w:tabs>
          <w:tab w:val="clear" w:pos="1872"/>
          <w:tab w:val="left" w:pos="1890"/>
        </w:tabs>
        <w:ind w:left="1890" w:right="-180" w:hanging="450"/>
        <w:rPr>
          <w:sz w:val="22"/>
          <w:szCs w:val="22"/>
        </w:rPr>
      </w:pPr>
      <w:r w:rsidRPr="008A3FFD">
        <w:rPr>
          <w:sz w:val="22"/>
          <w:szCs w:val="22"/>
        </w:rPr>
        <w:t>“LNP” means Local Number Portability.</w:t>
      </w:r>
    </w:p>
    <w:p w:rsidR="0044489C" w:rsidRPr="008A3FFD" w:rsidRDefault="0044489C" w:rsidP="0044489C">
      <w:pPr>
        <w:pStyle w:val="ListParagraph"/>
        <w:rPr>
          <w:sz w:val="22"/>
          <w:szCs w:val="22"/>
        </w:rPr>
      </w:pPr>
    </w:p>
    <w:p w:rsidR="0044489C" w:rsidRPr="008A3FFD" w:rsidRDefault="0044489C" w:rsidP="008229AA">
      <w:pPr>
        <w:numPr>
          <w:ilvl w:val="0"/>
          <w:numId w:val="3"/>
        </w:numPr>
        <w:tabs>
          <w:tab w:val="clear" w:pos="1872"/>
          <w:tab w:val="left" w:pos="1890"/>
        </w:tabs>
        <w:ind w:left="1890" w:right="-180" w:hanging="450"/>
        <w:rPr>
          <w:sz w:val="22"/>
          <w:szCs w:val="22"/>
        </w:rPr>
      </w:pPr>
      <w:r w:rsidRPr="008A3FFD">
        <w:rPr>
          <w:sz w:val="22"/>
          <w:szCs w:val="22"/>
        </w:rPr>
        <w:t>“NANP” means the North American Numbering Plan.</w:t>
      </w:r>
    </w:p>
    <w:p w:rsidR="0044489C" w:rsidRPr="008A3FFD" w:rsidRDefault="0044489C" w:rsidP="0044489C">
      <w:pPr>
        <w:pStyle w:val="ListParagraph"/>
        <w:rPr>
          <w:sz w:val="22"/>
          <w:szCs w:val="22"/>
        </w:rPr>
      </w:pPr>
    </w:p>
    <w:p w:rsidR="0044489C" w:rsidRPr="005027E7" w:rsidRDefault="0044489C" w:rsidP="0044489C">
      <w:pPr>
        <w:numPr>
          <w:ilvl w:val="0"/>
          <w:numId w:val="3"/>
        </w:numPr>
        <w:tabs>
          <w:tab w:val="left" w:pos="2160"/>
        </w:tabs>
        <w:ind w:right="-180"/>
        <w:rPr>
          <w:sz w:val="22"/>
          <w:szCs w:val="22"/>
        </w:rPr>
      </w:pPr>
      <w:r w:rsidRPr="008A3FFD">
        <w:rPr>
          <w:sz w:val="22"/>
          <w:szCs w:val="22"/>
        </w:rPr>
        <w:t>“Open Access”</w:t>
      </w:r>
      <w:r w:rsidRPr="008A3FFD" w:rsidDel="00693E4A">
        <w:rPr>
          <w:sz w:val="22"/>
          <w:szCs w:val="22"/>
        </w:rPr>
        <w:t xml:space="preserve"> </w:t>
      </w:r>
      <w:r w:rsidRPr="008A3FFD">
        <w:rPr>
          <w:sz w:val="22"/>
          <w:szCs w:val="22"/>
        </w:rPr>
        <w:t xml:space="preserve">or the “Company” means Open Access Acquisition LLC </w:t>
      </w:r>
      <w:r w:rsidRPr="005027E7">
        <w:rPr>
          <w:bCs/>
          <w:sz w:val="22"/>
          <w:szCs w:val="22"/>
        </w:rPr>
        <w:t>and its predecessors-in-interest and successors-in-interest</w:t>
      </w:r>
      <w:r w:rsidRPr="005027E7">
        <w:rPr>
          <w:sz w:val="22"/>
          <w:szCs w:val="22"/>
        </w:rPr>
        <w:t>.</w:t>
      </w:r>
    </w:p>
    <w:p w:rsidR="00176171" w:rsidRPr="005027E7" w:rsidRDefault="00176171" w:rsidP="008229AA">
      <w:pPr>
        <w:tabs>
          <w:tab w:val="left" w:pos="2160"/>
        </w:tabs>
        <w:ind w:right="-180"/>
        <w:rPr>
          <w:sz w:val="22"/>
          <w:szCs w:val="22"/>
        </w:rPr>
      </w:pPr>
    </w:p>
    <w:p w:rsidR="00176171" w:rsidRPr="008A3FFD" w:rsidRDefault="00176171" w:rsidP="008229AA">
      <w:pPr>
        <w:numPr>
          <w:ilvl w:val="0"/>
          <w:numId w:val="3"/>
        </w:numPr>
        <w:tabs>
          <w:tab w:val="left" w:pos="1440"/>
        </w:tabs>
        <w:ind w:right="-180"/>
        <w:rPr>
          <w:sz w:val="22"/>
          <w:szCs w:val="22"/>
        </w:rPr>
      </w:pPr>
      <w:r w:rsidRPr="008A3FFD">
        <w:rPr>
          <w:sz w:val="22"/>
          <w:szCs w:val="22"/>
        </w:rPr>
        <w:t xml:space="preserve">“Operating Procedures” means the standard, internal operating procedures and compliance policies established by </w:t>
      </w:r>
      <w:r w:rsidR="00E94177" w:rsidRPr="008A3FFD">
        <w:rPr>
          <w:sz w:val="22"/>
          <w:szCs w:val="22"/>
        </w:rPr>
        <w:t>Open Access</w:t>
      </w:r>
      <w:r w:rsidR="00693E4A" w:rsidRPr="008A3FFD" w:rsidDel="00693E4A">
        <w:rPr>
          <w:sz w:val="22"/>
          <w:szCs w:val="22"/>
        </w:rPr>
        <w:t xml:space="preserve"> </w:t>
      </w:r>
      <w:r w:rsidRPr="008A3FFD">
        <w:rPr>
          <w:sz w:val="22"/>
          <w:szCs w:val="22"/>
        </w:rPr>
        <w:t>to implement the Compliance Plan.</w:t>
      </w:r>
    </w:p>
    <w:p w:rsidR="00176171" w:rsidRPr="008A3FFD" w:rsidRDefault="00176171" w:rsidP="008229AA">
      <w:pPr>
        <w:tabs>
          <w:tab w:val="left" w:pos="2160"/>
        </w:tabs>
        <w:ind w:right="-180"/>
        <w:rPr>
          <w:sz w:val="22"/>
          <w:szCs w:val="22"/>
        </w:rPr>
      </w:pPr>
    </w:p>
    <w:p w:rsidR="00176171" w:rsidRPr="005027E7" w:rsidRDefault="00176171" w:rsidP="008229AA">
      <w:pPr>
        <w:numPr>
          <w:ilvl w:val="0"/>
          <w:numId w:val="3"/>
        </w:numPr>
        <w:tabs>
          <w:tab w:val="left" w:pos="2160"/>
        </w:tabs>
        <w:ind w:left="2160" w:right="-180" w:hanging="720"/>
        <w:rPr>
          <w:sz w:val="22"/>
          <w:szCs w:val="22"/>
        </w:rPr>
      </w:pPr>
      <w:r w:rsidRPr="008A3FFD">
        <w:rPr>
          <w:sz w:val="22"/>
          <w:szCs w:val="22"/>
        </w:rPr>
        <w:t xml:space="preserve">“Parties” means </w:t>
      </w:r>
      <w:r w:rsidR="00E94177" w:rsidRPr="008A3FFD">
        <w:rPr>
          <w:sz w:val="22"/>
          <w:szCs w:val="22"/>
        </w:rPr>
        <w:t>Open Access</w:t>
      </w:r>
      <w:r w:rsidR="00B16C7D" w:rsidRPr="00DA75D4">
        <w:rPr>
          <w:sz w:val="22"/>
          <w:szCs w:val="22"/>
        </w:rPr>
        <w:t xml:space="preserve"> </w:t>
      </w:r>
      <w:r w:rsidRPr="005027E7">
        <w:rPr>
          <w:sz w:val="22"/>
          <w:szCs w:val="22"/>
        </w:rPr>
        <w:t>and the Bureau, each of which is a “Party.”</w:t>
      </w:r>
    </w:p>
    <w:p w:rsidR="00176171" w:rsidRPr="005027E7" w:rsidRDefault="00176171" w:rsidP="008229AA">
      <w:pPr>
        <w:tabs>
          <w:tab w:val="left" w:pos="2160"/>
        </w:tabs>
        <w:ind w:right="-180"/>
        <w:rPr>
          <w:sz w:val="22"/>
          <w:szCs w:val="22"/>
        </w:rPr>
      </w:pPr>
    </w:p>
    <w:p w:rsidR="00176171" w:rsidRPr="005027E7" w:rsidRDefault="00176171" w:rsidP="008229AA">
      <w:pPr>
        <w:numPr>
          <w:ilvl w:val="0"/>
          <w:numId w:val="3"/>
        </w:numPr>
        <w:tabs>
          <w:tab w:val="clear" w:pos="1872"/>
          <w:tab w:val="left" w:pos="1890"/>
          <w:tab w:val="left" w:pos="2160"/>
        </w:tabs>
        <w:ind w:left="1890" w:right="-180" w:hanging="450"/>
        <w:rPr>
          <w:sz w:val="22"/>
          <w:szCs w:val="22"/>
        </w:rPr>
      </w:pPr>
      <w:r w:rsidRPr="005027E7">
        <w:rPr>
          <w:sz w:val="22"/>
          <w:szCs w:val="22"/>
        </w:rPr>
        <w:t>“Rules” means the Commission’s regulations found in Title 47 of the Code of Federal Regulations.</w:t>
      </w:r>
    </w:p>
    <w:p w:rsidR="005027E7" w:rsidRPr="005027E7" w:rsidRDefault="005027E7" w:rsidP="00DA75D4">
      <w:pPr>
        <w:pStyle w:val="ListParagraph"/>
        <w:rPr>
          <w:sz w:val="22"/>
          <w:szCs w:val="22"/>
        </w:rPr>
      </w:pPr>
    </w:p>
    <w:p w:rsidR="005027E7" w:rsidRPr="005027E7" w:rsidRDefault="005027E7" w:rsidP="008229AA">
      <w:pPr>
        <w:numPr>
          <w:ilvl w:val="0"/>
          <w:numId w:val="3"/>
        </w:numPr>
        <w:tabs>
          <w:tab w:val="clear" w:pos="1872"/>
          <w:tab w:val="left" w:pos="1890"/>
          <w:tab w:val="left" w:pos="2160"/>
        </w:tabs>
        <w:ind w:left="1890" w:right="-180" w:hanging="450"/>
        <w:rPr>
          <w:sz w:val="22"/>
          <w:szCs w:val="22"/>
        </w:rPr>
      </w:pPr>
      <w:r w:rsidRPr="00DA75D4">
        <w:rPr>
          <w:sz w:val="22"/>
          <w:szCs w:val="22"/>
        </w:rPr>
        <w:t>“Telecommunications” or “Telecommunications Service” have the meanings set forth in Sections 3(50) and 3(53) of the Act, 47 U.S.C. §§ 153(50), 153(53).</w:t>
      </w:r>
    </w:p>
    <w:p w:rsidR="006C7F5C" w:rsidRPr="005027E7" w:rsidRDefault="006C7F5C" w:rsidP="006C7F5C">
      <w:pPr>
        <w:pStyle w:val="ListParagraph"/>
        <w:rPr>
          <w:sz w:val="22"/>
          <w:szCs w:val="22"/>
        </w:rPr>
      </w:pPr>
    </w:p>
    <w:p w:rsidR="006C7F5C" w:rsidRDefault="006C7F5C" w:rsidP="008229AA">
      <w:pPr>
        <w:numPr>
          <w:ilvl w:val="0"/>
          <w:numId w:val="3"/>
        </w:numPr>
        <w:tabs>
          <w:tab w:val="clear" w:pos="1872"/>
          <w:tab w:val="left" w:pos="1890"/>
          <w:tab w:val="left" w:pos="2160"/>
        </w:tabs>
        <w:ind w:left="1890" w:right="-180" w:hanging="450"/>
        <w:rPr>
          <w:sz w:val="22"/>
          <w:szCs w:val="22"/>
        </w:rPr>
      </w:pPr>
      <w:r w:rsidRPr="005027E7">
        <w:rPr>
          <w:sz w:val="22"/>
          <w:szCs w:val="22"/>
        </w:rPr>
        <w:t>“TRS” means Telecommunications Relay Services.</w:t>
      </w:r>
    </w:p>
    <w:p w:rsidR="00263F94" w:rsidRPr="005027E7" w:rsidRDefault="00263F94" w:rsidP="00263F94">
      <w:pPr>
        <w:tabs>
          <w:tab w:val="left" w:pos="2160"/>
        </w:tabs>
        <w:ind w:right="-180"/>
        <w:rPr>
          <w:sz w:val="22"/>
          <w:szCs w:val="22"/>
        </w:rPr>
      </w:pPr>
    </w:p>
    <w:p w:rsidR="006C7F5C" w:rsidRPr="005027E7" w:rsidRDefault="006C7F5C" w:rsidP="008229AA">
      <w:pPr>
        <w:numPr>
          <w:ilvl w:val="0"/>
          <w:numId w:val="3"/>
        </w:numPr>
        <w:tabs>
          <w:tab w:val="clear" w:pos="1872"/>
          <w:tab w:val="left" w:pos="1890"/>
          <w:tab w:val="left" w:pos="2160"/>
        </w:tabs>
        <w:ind w:left="1890" w:right="-180" w:hanging="450"/>
        <w:rPr>
          <w:sz w:val="22"/>
          <w:szCs w:val="22"/>
        </w:rPr>
      </w:pPr>
      <w:r w:rsidRPr="005027E7">
        <w:rPr>
          <w:sz w:val="22"/>
          <w:szCs w:val="22"/>
        </w:rPr>
        <w:t>“USF” means the Universal Service Fund.</w:t>
      </w:r>
    </w:p>
    <w:p w:rsidR="00176171" w:rsidRPr="008A3FFD" w:rsidRDefault="00176171" w:rsidP="008229AA">
      <w:pPr>
        <w:tabs>
          <w:tab w:val="left" w:pos="2160"/>
        </w:tabs>
        <w:ind w:right="-180"/>
        <w:rPr>
          <w:sz w:val="22"/>
          <w:szCs w:val="22"/>
        </w:rPr>
      </w:pPr>
    </w:p>
    <w:p w:rsidR="00176171" w:rsidRPr="008A3FFD" w:rsidRDefault="00176171" w:rsidP="008229AA">
      <w:pPr>
        <w:keepNext/>
        <w:tabs>
          <w:tab w:val="left" w:pos="720"/>
        </w:tabs>
        <w:ind w:right="-180"/>
        <w:rPr>
          <w:b/>
          <w:sz w:val="22"/>
          <w:szCs w:val="22"/>
        </w:rPr>
      </w:pPr>
      <w:r w:rsidRPr="008A3FFD">
        <w:rPr>
          <w:b/>
          <w:sz w:val="22"/>
          <w:szCs w:val="22"/>
        </w:rPr>
        <w:t>II.</w:t>
      </w:r>
      <w:r w:rsidRPr="008A3FFD">
        <w:rPr>
          <w:b/>
          <w:sz w:val="22"/>
          <w:szCs w:val="22"/>
        </w:rPr>
        <w:tab/>
        <w:t>BACKGROUND</w:t>
      </w:r>
    </w:p>
    <w:p w:rsidR="00176171" w:rsidRPr="008A3FFD" w:rsidRDefault="00176171" w:rsidP="008229AA">
      <w:pPr>
        <w:keepNext/>
        <w:tabs>
          <w:tab w:val="left" w:pos="720"/>
        </w:tabs>
        <w:ind w:right="-180"/>
        <w:rPr>
          <w:b/>
          <w:sz w:val="22"/>
          <w:szCs w:val="22"/>
        </w:rPr>
      </w:pPr>
    </w:p>
    <w:p w:rsidR="00290CEE" w:rsidRPr="005027E7" w:rsidRDefault="00290CEE" w:rsidP="00165451">
      <w:pPr>
        <w:pStyle w:val="par1"/>
        <w:rPr>
          <w:szCs w:val="22"/>
        </w:rPr>
      </w:pPr>
      <w:bookmarkStart w:id="3" w:name="_Ref132103165"/>
      <w:r w:rsidRPr="0070139F">
        <w:rPr>
          <w:szCs w:val="22"/>
        </w:rPr>
        <w:t>Pursuant to Section 254(d) of the Act and Sections 54.706 and 54.711 of the Rules, telecommunications service providers that provide interstate telecommunications services are required to file annual and quarterly Telecommunications Reporting Worksheets (FCC Form 499-A and FCC Form 499-Q) and contribute to the federal USF.</w:t>
      </w:r>
      <w:r w:rsidRPr="005027E7">
        <w:rPr>
          <w:rStyle w:val="FootnoteReference"/>
          <w:sz w:val="22"/>
          <w:szCs w:val="22"/>
        </w:rPr>
        <w:footnoteReference w:id="9"/>
      </w:r>
      <w:r w:rsidRPr="005027E7">
        <w:rPr>
          <w:szCs w:val="22"/>
        </w:rPr>
        <w:t xml:space="preserve">  Pursuant to Section 64.1195 of Rules, interstate telecommunications carriers are required to file registration information on FCC Form 499-A.</w:t>
      </w:r>
      <w:r w:rsidRPr="005027E7">
        <w:rPr>
          <w:rStyle w:val="FootnoteReference"/>
          <w:sz w:val="22"/>
          <w:szCs w:val="22"/>
        </w:rPr>
        <w:footnoteReference w:id="10"/>
      </w:r>
      <w:r w:rsidR="009125D0" w:rsidRPr="005027E7">
        <w:rPr>
          <w:szCs w:val="22"/>
        </w:rPr>
        <w:t xml:space="preserve"> </w:t>
      </w:r>
      <w:r w:rsidR="0064418C" w:rsidRPr="005027E7">
        <w:rPr>
          <w:szCs w:val="22"/>
        </w:rPr>
        <w:t xml:space="preserve"> </w:t>
      </w:r>
      <w:r w:rsidR="009125D0" w:rsidRPr="005027E7">
        <w:rPr>
          <w:szCs w:val="22"/>
        </w:rPr>
        <w:t xml:space="preserve">Pursuant to Section 225(b)(1) of the Act and Section 64.604 of the Rules, providers of interstate </w:t>
      </w:r>
      <w:r w:rsidR="0064418C" w:rsidRPr="005027E7">
        <w:rPr>
          <w:szCs w:val="22"/>
        </w:rPr>
        <w:t>t</w:t>
      </w:r>
      <w:r w:rsidR="009125D0" w:rsidRPr="005027E7">
        <w:rPr>
          <w:szCs w:val="22"/>
        </w:rPr>
        <w:t>elecommunications services are required to contribute to the TRS Fund.</w:t>
      </w:r>
      <w:r w:rsidR="009125D0" w:rsidRPr="005027E7">
        <w:rPr>
          <w:rStyle w:val="FootnoteReference"/>
          <w:sz w:val="22"/>
          <w:szCs w:val="22"/>
        </w:rPr>
        <w:footnoteReference w:id="11"/>
      </w:r>
      <w:r w:rsidR="0064418C" w:rsidRPr="005027E7">
        <w:rPr>
          <w:szCs w:val="22"/>
        </w:rPr>
        <w:t xml:space="preserve">  </w:t>
      </w:r>
      <w:r w:rsidRPr="005027E7">
        <w:rPr>
          <w:szCs w:val="22"/>
        </w:rPr>
        <w:t>Pursuant to Section 251(e)</w:t>
      </w:r>
      <w:r w:rsidR="003B4F66" w:rsidRPr="005027E7">
        <w:rPr>
          <w:szCs w:val="22"/>
        </w:rPr>
        <w:t xml:space="preserve">(2) </w:t>
      </w:r>
      <w:r w:rsidRPr="005027E7">
        <w:rPr>
          <w:szCs w:val="22"/>
        </w:rPr>
        <w:t xml:space="preserve"> of the Act and Sections 52</w:t>
      </w:r>
      <w:r w:rsidRPr="00CE40F7">
        <w:rPr>
          <w:szCs w:val="22"/>
        </w:rPr>
        <w:t>.17 and 52.32 of the Rules, telecommunications service providers are required to contribute to the costs of establishing numbering administration and local number portability.</w:t>
      </w:r>
      <w:r w:rsidRPr="005027E7">
        <w:rPr>
          <w:rStyle w:val="FootnoteReference"/>
          <w:sz w:val="22"/>
          <w:szCs w:val="22"/>
        </w:rPr>
        <w:footnoteReference w:id="12"/>
      </w:r>
      <w:r w:rsidR="003B4F66" w:rsidRPr="005027E7">
        <w:rPr>
          <w:szCs w:val="22"/>
        </w:rPr>
        <w:t xml:space="preserve"> P</w:t>
      </w:r>
      <w:r w:rsidRPr="005027E7">
        <w:rPr>
          <w:szCs w:val="22"/>
        </w:rPr>
        <w:t>ursuant to Section 9(a)(1) of the Act and Sections 1.</w:t>
      </w:r>
      <w:r w:rsidRPr="00CE40F7">
        <w:rPr>
          <w:szCs w:val="22"/>
        </w:rPr>
        <w:t>1154 and 1.1157 of the Rules, interstate telecommunications carriers are required to pay regulatory fees.</w:t>
      </w:r>
      <w:r w:rsidRPr="005027E7">
        <w:rPr>
          <w:rStyle w:val="FootnoteReference"/>
          <w:sz w:val="22"/>
          <w:szCs w:val="22"/>
        </w:rPr>
        <w:footnoteReference w:id="13"/>
      </w:r>
      <w:r w:rsidRPr="005027E7">
        <w:rPr>
          <w:szCs w:val="22"/>
        </w:rPr>
        <w:t xml:space="preserve"> </w:t>
      </w:r>
    </w:p>
    <w:p w:rsidR="00290CEE" w:rsidRPr="00CE40F7" w:rsidRDefault="00290CEE" w:rsidP="00290CEE">
      <w:pPr>
        <w:pStyle w:val="par1"/>
        <w:numPr>
          <w:ilvl w:val="0"/>
          <w:numId w:val="0"/>
        </w:numPr>
        <w:rPr>
          <w:szCs w:val="22"/>
        </w:rPr>
      </w:pPr>
    </w:p>
    <w:p w:rsidR="005027E7" w:rsidRDefault="005027E7" w:rsidP="005027E7">
      <w:pPr>
        <w:pStyle w:val="par1"/>
        <w:ind w:right="-180"/>
        <w:rPr>
          <w:szCs w:val="22"/>
        </w:rPr>
      </w:pPr>
      <w:r w:rsidRPr="005027E7">
        <w:rPr>
          <w:szCs w:val="22"/>
        </w:rPr>
        <w:t>Open Access’s predecessor, Open Access, Inc., began providing telecommunications services in 2002.</w:t>
      </w:r>
      <w:r w:rsidRPr="005027E7">
        <w:rPr>
          <w:rStyle w:val="FootnoteReference"/>
          <w:sz w:val="22"/>
          <w:szCs w:val="22"/>
        </w:rPr>
        <w:footnoteReference w:id="14"/>
      </w:r>
      <w:r w:rsidRPr="005027E7">
        <w:rPr>
          <w:szCs w:val="22"/>
        </w:rPr>
        <w:t xml:space="preserve">  On March 31, 2011, Open Access, Inc. merged with and into Open Access with Open Access as the surviving entity.</w:t>
      </w:r>
      <w:r w:rsidRPr="005027E7">
        <w:rPr>
          <w:rStyle w:val="FootnoteReference"/>
          <w:sz w:val="22"/>
          <w:szCs w:val="22"/>
        </w:rPr>
        <w:footnoteReference w:id="15"/>
      </w:r>
      <w:r w:rsidRPr="005027E7">
        <w:rPr>
          <w:szCs w:val="22"/>
        </w:rPr>
        <w:t xml:space="preserve">  </w:t>
      </w:r>
    </w:p>
    <w:p w:rsidR="005027E7" w:rsidRPr="00583144" w:rsidRDefault="005027E7" w:rsidP="00DA75D4">
      <w:pPr>
        <w:pStyle w:val="par1"/>
        <w:numPr>
          <w:ilvl w:val="0"/>
          <w:numId w:val="0"/>
        </w:numPr>
        <w:ind w:right="-180" w:firstLine="720"/>
        <w:rPr>
          <w:szCs w:val="22"/>
        </w:rPr>
      </w:pPr>
    </w:p>
    <w:p w:rsidR="00E42606" w:rsidRPr="00CE40F7" w:rsidRDefault="006C7F5C" w:rsidP="008229AA">
      <w:pPr>
        <w:pStyle w:val="par1"/>
        <w:ind w:right="-180"/>
        <w:rPr>
          <w:szCs w:val="22"/>
        </w:rPr>
      </w:pPr>
      <w:r w:rsidRPr="005027E7">
        <w:rPr>
          <w:szCs w:val="22"/>
        </w:rPr>
        <w:t xml:space="preserve">Open Access </w:t>
      </w:r>
      <w:r w:rsidR="00787504">
        <w:rPr>
          <w:szCs w:val="22"/>
        </w:rPr>
        <w:t xml:space="preserve">is a Delaware corporation that </w:t>
      </w:r>
      <w:r w:rsidRPr="005027E7">
        <w:rPr>
          <w:szCs w:val="22"/>
        </w:rPr>
        <w:t>provides Ethernet, SONET, wavelength, private network, Internet access</w:t>
      </w:r>
      <w:r w:rsidRPr="00CE40F7">
        <w:rPr>
          <w:szCs w:val="22"/>
        </w:rPr>
        <w:t>, dark fiber</w:t>
      </w:r>
      <w:r w:rsidR="009C48E1" w:rsidRPr="00CE40F7">
        <w:rPr>
          <w:szCs w:val="22"/>
        </w:rPr>
        <w:t>,</w:t>
      </w:r>
      <w:r w:rsidRPr="00CE40F7">
        <w:rPr>
          <w:szCs w:val="22"/>
        </w:rPr>
        <w:t xml:space="preserve"> and collocation services to carriers, governmental entities, and private business customers in </w:t>
      </w:r>
      <w:r w:rsidR="009C48E1" w:rsidRPr="00CE40F7">
        <w:rPr>
          <w:szCs w:val="22"/>
        </w:rPr>
        <w:t xml:space="preserve">twenty-three states and </w:t>
      </w:r>
      <w:r w:rsidRPr="00CE40F7">
        <w:rPr>
          <w:szCs w:val="22"/>
        </w:rPr>
        <w:t>the District of Columbia</w:t>
      </w:r>
      <w:r w:rsidR="001D60B4" w:rsidRPr="00CE40F7">
        <w:rPr>
          <w:szCs w:val="22"/>
        </w:rPr>
        <w:t>.</w:t>
      </w:r>
      <w:r w:rsidR="001D60B4" w:rsidRPr="00DA75D4">
        <w:rPr>
          <w:rStyle w:val="FootnoteReference"/>
          <w:sz w:val="22"/>
          <w:szCs w:val="22"/>
        </w:rPr>
        <w:footnoteReference w:id="16"/>
      </w:r>
      <w:r w:rsidR="001D60B4" w:rsidRPr="005027E7">
        <w:rPr>
          <w:szCs w:val="22"/>
        </w:rPr>
        <w:t xml:space="preserve"> </w:t>
      </w:r>
      <w:r w:rsidR="00176171" w:rsidRPr="005027E7">
        <w:rPr>
          <w:szCs w:val="22"/>
        </w:rPr>
        <w:t xml:space="preserve"> </w:t>
      </w:r>
      <w:r w:rsidR="001D60B4" w:rsidRPr="005027E7">
        <w:rPr>
          <w:szCs w:val="22"/>
        </w:rPr>
        <w:t>Open Access is subject to the requirements discussed in paragraph 3</w:t>
      </w:r>
      <w:r w:rsidR="009C48E1" w:rsidRPr="00CE40F7">
        <w:rPr>
          <w:szCs w:val="22"/>
        </w:rPr>
        <w:t>,</w:t>
      </w:r>
      <w:r w:rsidR="001D60B4" w:rsidRPr="00CE40F7">
        <w:rPr>
          <w:szCs w:val="22"/>
        </w:rPr>
        <w:t xml:space="preserve"> above.</w:t>
      </w:r>
      <w:r w:rsidR="00176171" w:rsidRPr="00CE40F7">
        <w:rPr>
          <w:szCs w:val="22"/>
        </w:rPr>
        <w:t xml:space="preserve"> </w:t>
      </w:r>
      <w:bookmarkEnd w:id="3"/>
    </w:p>
    <w:p w:rsidR="00E42606" w:rsidRPr="00DA75D4" w:rsidRDefault="00E42606" w:rsidP="00E42606">
      <w:pPr>
        <w:pStyle w:val="ListParagraph"/>
        <w:rPr>
          <w:sz w:val="22"/>
          <w:szCs w:val="22"/>
        </w:rPr>
      </w:pPr>
    </w:p>
    <w:p w:rsidR="00176171" w:rsidRPr="005027E7" w:rsidRDefault="00E42606" w:rsidP="00E42606">
      <w:pPr>
        <w:pStyle w:val="par1"/>
        <w:ind w:right="-180"/>
        <w:rPr>
          <w:szCs w:val="22"/>
        </w:rPr>
      </w:pPr>
      <w:r w:rsidRPr="005027E7">
        <w:rPr>
          <w:szCs w:val="22"/>
        </w:rPr>
        <w:t>In September 2011, Open Access voluntarily disclosed to</w:t>
      </w:r>
      <w:r w:rsidR="00CE40F7">
        <w:rPr>
          <w:szCs w:val="22"/>
        </w:rPr>
        <w:t xml:space="preserve"> the</w:t>
      </w:r>
      <w:r w:rsidRPr="005027E7">
        <w:rPr>
          <w:szCs w:val="22"/>
        </w:rPr>
        <w:t xml:space="preserve"> Bureau potential violations of the Act and the Rules involving federal regulatory reporting and contributions.  </w:t>
      </w:r>
      <w:r w:rsidR="004678A3" w:rsidRPr="005027E7">
        <w:rPr>
          <w:szCs w:val="22"/>
        </w:rPr>
        <w:t xml:space="preserve">On </w:t>
      </w:r>
      <w:r w:rsidRPr="005027E7">
        <w:rPr>
          <w:szCs w:val="22"/>
        </w:rPr>
        <w:t>June 22, 2012</w:t>
      </w:r>
      <w:r w:rsidR="00176171" w:rsidRPr="005027E7">
        <w:rPr>
          <w:szCs w:val="22"/>
        </w:rPr>
        <w:t xml:space="preserve">, the Bureau </w:t>
      </w:r>
      <w:r w:rsidR="002A0049">
        <w:rPr>
          <w:szCs w:val="22"/>
        </w:rPr>
        <w:t>issued</w:t>
      </w:r>
      <w:r w:rsidR="002A0049" w:rsidRPr="005027E7">
        <w:rPr>
          <w:szCs w:val="22"/>
        </w:rPr>
        <w:t xml:space="preserve"> </w:t>
      </w:r>
      <w:r w:rsidR="00176171" w:rsidRPr="005027E7">
        <w:rPr>
          <w:szCs w:val="22"/>
        </w:rPr>
        <w:t xml:space="preserve">a Letter of Inquiry (LOI) to </w:t>
      </w:r>
      <w:r w:rsidR="005A74C3" w:rsidRPr="005027E7">
        <w:rPr>
          <w:szCs w:val="22"/>
        </w:rPr>
        <w:t>the Company</w:t>
      </w:r>
      <w:r w:rsidR="00E704F5" w:rsidRPr="005027E7">
        <w:rPr>
          <w:szCs w:val="22"/>
        </w:rPr>
        <w:t xml:space="preserve"> </w:t>
      </w:r>
      <w:r w:rsidR="00176171" w:rsidRPr="005027E7">
        <w:rPr>
          <w:szCs w:val="22"/>
        </w:rPr>
        <w:t xml:space="preserve">regarding its </w:t>
      </w:r>
      <w:r w:rsidR="005A74C3" w:rsidRPr="005027E7">
        <w:rPr>
          <w:szCs w:val="22"/>
        </w:rPr>
        <w:t>compliance with its federal regulatory reporting and contribution</w:t>
      </w:r>
      <w:r w:rsidR="002A18BD" w:rsidRPr="005027E7">
        <w:rPr>
          <w:szCs w:val="22"/>
        </w:rPr>
        <w:t xml:space="preserve"> obligation</w:t>
      </w:r>
      <w:r w:rsidR="005A74C3" w:rsidRPr="005027E7">
        <w:rPr>
          <w:szCs w:val="22"/>
        </w:rPr>
        <w:t>s</w:t>
      </w:r>
      <w:r w:rsidR="00D30D91" w:rsidRPr="005027E7">
        <w:rPr>
          <w:szCs w:val="22"/>
        </w:rPr>
        <w:t>.</w:t>
      </w:r>
      <w:r w:rsidR="00E704F5" w:rsidRPr="00DA75D4">
        <w:rPr>
          <w:rStyle w:val="FootnoteReference"/>
          <w:sz w:val="22"/>
          <w:szCs w:val="22"/>
        </w:rPr>
        <w:footnoteReference w:id="17"/>
      </w:r>
      <w:r w:rsidR="00176171" w:rsidRPr="005027E7">
        <w:rPr>
          <w:szCs w:val="22"/>
        </w:rPr>
        <w:t xml:space="preserve">  </w:t>
      </w:r>
      <w:r w:rsidR="00E90E3D" w:rsidRPr="005027E7">
        <w:rPr>
          <w:szCs w:val="22"/>
        </w:rPr>
        <w:t xml:space="preserve">On </w:t>
      </w:r>
      <w:r w:rsidR="00383357" w:rsidRPr="005027E7">
        <w:rPr>
          <w:szCs w:val="22"/>
        </w:rPr>
        <w:t>August 22</w:t>
      </w:r>
      <w:r w:rsidR="00E90E3D" w:rsidRPr="00CE40F7">
        <w:rPr>
          <w:szCs w:val="22"/>
        </w:rPr>
        <w:t>, 201</w:t>
      </w:r>
      <w:r w:rsidR="00383357" w:rsidRPr="00CE40F7">
        <w:rPr>
          <w:szCs w:val="22"/>
        </w:rPr>
        <w:t>2</w:t>
      </w:r>
      <w:r w:rsidR="00E90E3D" w:rsidRPr="00CE40F7">
        <w:rPr>
          <w:szCs w:val="22"/>
        </w:rPr>
        <w:t xml:space="preserve">, </w:t>
      </w:r>
      <w:r w:rsidR="00383357" w:rsidRPr="00CE40F7">
        <w:rPr>
          <w:szCs w:val="22"/>
        </w:rPr>
        <w:t>the Company</w:t>
      </w:r>
      <w:r w:rsidR="00E90E3D" w:rsidRPr="00CE40F7">
        <w:rPr>
          <w:szCs w:val="22"/>
        </w:rPr>
        <w:t xml:space="preserve"> filed its response</w:t>
      </w:r>
      <w:r w:rsidR="00CE40F7">
        <w:rPr>
          <w:szCs w:val="22"/>
        </w:rPr>
        <w:t xml:space="preserve"> to the Bureau’s LOI</w:t>
      </w:r>
      <w:r w:rsidR="00E90E3D" w:rsidRPr="00CE40F7">
        <w:rPr>
          <w:szCs w:val="22"/>
        </w:rPr>
        <w:t>.</w:t>
      </w:r>
      <w:r w:rsidR="00E90E3D" w:rsidRPr="00DA75D4">
        <w:rPr>
          <w:rStyle w:val="FootnoteReference"/>
          <w:sz w:val="22"/>
          <w:szCs w:val="22"/>
        </w:rPr>
        <w:footnoteReference w:id="18"/>
      </w:r>
    </w:p>
    <w:p w:rsidR="00383357" w:rsidRPr="00DA75D4" w:rsidRDefault="00383357" w:rsidP="00383357">
      <w:pPr>
        <w:pStyle w:val="ListParagraph"/>
        <w:rPr>
          <w:sz w:val="22"/>
          <w:szCs w:val="22"/>
        </w:rPr>
      </w:pPr>
    </w:p>
    <w:p w:rsidR="00383357" w:rsidRPr="005027E7" w:rsidRDefault="00383357" w:rsidP="00E42606">
      <w:pPr>
        <w:pStyle w:val="par1"/>
        <w:ind w:right="-180"/>
        <w:rPr>
          <w:szCs w:val="22"/>
        </w:rPr>
      </w:pPr>
      <w:r w:rsidRPr="005027E7">
        <w:rPr>
          <w:szCs w:val="22"/>
        </w:rPr>
        <w:t>As of the Effective Date, Open Access has paid all invoiced amounts for the USF, TRS Fund, cost recovery mechanisms for NANP and LNP administration, and regulatory fees a</w:t>
      </w:r>
      <w:r w:rsidR="003B4F66" w:rsidRPr="005027E7">
        <w:rPr>
          <w:szCs w:val="22"/>
        </w:rPr>
        <w:t xml:space="preserve">nd has </w:t>
      </w:r>
      <w:r w:rsidRPr="005027E7">
        <w:rPr>
          <w:szCs w:val="22"/>
        </w:rPr>
        <w:t>complied with the regulatory reporting obligations discussed above.</w:t>
      </w:r>
    </w:p>
    <w:p w:rsidR="00D65C47" w:rsidRPr="005027E7" w:rsidRDefault="00D65C47" w:rsidP="008229AA">
      <w:pPr>
        <w:pStyle w:val="par1"/>
        <w:numPr>
          <w:ilvl w:val="0"/>
          <w:numId w:val="0"/>
        </w:numPr>
        <w:ind w:right="-180"/>
        <w:rPr>
          <w:szCs w:val="22"/>
        </w:rPr>
      </w:pPr>
    </w:p>
    <w:p w:rsidR="00176171" w:rsidRPr="00CE40F7" w:rsidRDefault="00176171" w:rsidP="008229AA">
      <w:pPr>
        <w:keepNext/>
        <w:numPr>
          <w:ilvl w:val="0"/>
          <w:numId w:val="6"/>
        </w:numPr>
        <w:tabs>
          <w:tab w:val="left" w:pos="0"/>
        </w:tabs>
        <w:ind w:right="-180"/>
        <w:rPr>
          <w:b/>
          <w:sz w:val="22"/>
          <w:szCs w:val="22"/>
        </w:rPr>
      </w:pPr>
      <w:r w:rsidRPr="00CE40F7">
        <w:rPr>
          <w:b/>
          <w:sz w:val="22"/>
          <w:szCs w:val="22"/>
        </w:rPr>
        <w:t>TERMS OF AGREEMENT</w:t>
      </w:r>
    </w:p>
    <w:p w:rsidR="00176171" w:rsidRPr="00CE40F7" w:rsidRDefault="00176171" w:rsidP="008229AA">
      <w:pPr>
        <w:keepNext/>
        <w:tabs>
          <w:tab w:val="left" w:pos="0"/>
        </w:tabs>
        <w:ind w:left="360" w:right="-180"/>
        <w:rPr>
          <w:b/>
          <w:sz w:val="22"/>
          <w:szCs w:val="22"/>
        </w:rPr>
      </w:pPr>
    </w:p>
    <w:p w:rsidR="00176171" w:rsidRPr="008A3FFD" w:rsidRDefault="00176171" w:rsidP="008229AA">
      <w:pPr>
        <w:pStyle w:val="par1"/>
        <w:ind w:right="-180"/>
        <w:rPr>
          <w:b/>
          <w:szCs w:val="22"/>
          <w:u w:val="single"/>
        </w:rPr>
      </w:pPr>
      <w:r w:rsidRPr="00CE40F7">
        <w:rPr>
          <w:b/>
          <w:szCs w:val="22"/>
          <w:u w:val="single"/>
        </w:rPr>
        <w:t>Adopting Order</w:t>
      </w:r>
      <w:r w:rsidRPr="00CE40F7">
        <w:rPr>
          <w:b/>
          <w:szCs w:val="22"/>
        </w:rPr>
        <w:t xml:space="preserve">. </w:t>
      </w:r>
      <w:r w:rsidRPr="008A3FFD">
        <w:rPr>
          <w:szCs w:val="22"/>
        </w:rPr>
        <w:t xml:space="preserve"> The Parties agree that the provisions of this Consent Decree shall be subject to final approval by the Bureau by incorporation of such provisions by reference in the Adopting Order.</w:t>
      </w:r>
      <w:r w:rsidRPr="008A3FFD">
        <w:rPr>
          <w:b/>
          <w:szCs w:val="22"/>
          <w:u w:val="single"/>
        </w:rPr>
        <w:t xml:space="preserve"> </w:t>
      </w:r>
    </w:p>
    <w:p w:rsidR="00176171" w:rsidRPr="008A3FFD" w:rsidRDefault="00176171" w:rsidP="008229AA">
      <w:pPr>
        <w:pStyle w:val="par1"/>
        <w:numPr>
          <w:ilvl w:val="0"/>
          <w:numId w:val="0"/>
        </w:numPr>
        <w:tabs>
          <w:tab w:val="num" w:pos="1440"/>
        </w:tabs>
        <w:ind w:right="-180" w:firstLine="720"/>
        <w:rPr>
          <w:b/>
          <w:szCs w:val="22"/>
          <w:u w:val="single"/>
        </w:rPr>
      </w:pPr>
    </w:p>
    <w:p w:rsidR="00176171" w:rsidRPr="008A3FFD" w:rsidRDefault="00176171" w:rsidP="008229AA">
      <w:pPr>
        <w:pStyle w:val="par1"/>
        <w:ind w:right="-180"/>
        <w:rPr>
          <w:szCs w:val="22"/>
        </w:rPr>
      </w:pPr>
      <w:r w:rsidRPr="008A3FFD">
        <w:rPr>
          <w:b/>
          <w:szCs w:val="22"/>
          <w:u w:val="single"/>
        </w:rPr>
        <w:t>Jurisdiction</w:t>
      </w:r>
      <w:r w:rsidRPr="008A3FFD">
        <w:rPr>
          <w:b/>
          <w:szCs w:val="22"/>
        </w:rPr>
        <w:t>.</w:t>
      </w:r>
      <w:r w:rsidRPr="008A3FFD">
        <w:rPr>
          <w:szCs w:val="22"/>
        </w:rPr>
        <w:t xml:space="preserve">  </w:t>
      </w:r>
      <w:r w:rsidR="00383357" w:rsidRPr="008A3FFD">
        <w:rPr>
          <w:szCs w:val="22"/>
        </w:rPr>
        <w:t>Open Access</w:t>
      </w:r>
      <w:r w:rsidR="00AE306C" w:rsidRPr="008A3FFD">
        <w:rPr>
          <w:szCs w:val="22"/>
        </w:rPr>
        <w:t xml:space="preserve"> </w:t>
      </w:r>
      <w:r w:rsidRPr="008A3FFD">
        <w:rPr>
          <w:szCs w:val="22"/>
        </w:rPr>
        <w:t>agrees that the Bureau has jurisdiction over it and the matters contained in this Consent Decree and that the Bureau has the authority to enter into and adopt this Consent Decree.</w:t>
      </w:r>
    </w:p>
    <w:p w:rsidR="00176171" w:rsidRPr="008A3FFD" w:rsidRDefault="00176171" w:rsidP="008229AA">
      <w:pPr>
        <w:pStyle w:val="par1"/>
        <w:numPr>
          <w:ilvl w:val="0"/>
          <w:numId w:val="0"/>
        </w:numPr>
        <w:tabs>
          <w:tab w:val="num" w:pos="1440"/>
        </w:tabs>
        <w:ind w:right="-180" w:firstLine="720"/>
        <w:rPr>
          <w:szCs w:val="22"/>
        </w:rPr>
      </w:pPr>
    </w:p>
    <w:p w:rsidR="00176171" w:rsidRPr="008A3FFD" w:rsidRDefault="00176171" w:rsidP="008229AA">
      <w:pPr>
        <w:pStyle w:val="par1"/>
        <w:ind w:right="-180"/>
        <w:rPr>
          <w:szCs w:val="22"/>
        </w:rPr>
      </w:pPr>
      <w:r w:rsidRPr="008A3FFD">
        <w:rPr>
          <w:b/>
          <w:szCs w:val="22"/>
          <w:u w:val="single"/>
        </w:rPr>
        <w:t>Effective Date; Violations</w:t>
      </w:r>
      <w:r w:rsidRPr="008A3FFD">
        <w:rPr>
          <w:b/>
          <w:szCs w:val="22"/>
        </w:rPr>
        <w:t>.</w:t>
      </w:r>
      <w:r w:rsidRPr="008A3FFD">
        <w:rPr>
          <w:szCs w:val="22"/>
        </w:rPr>
        <w:t xml:space="preserve">  The Parties agree that this Consent Decree shall become effective on the Effective Date</w:t>
      </w:r>
      <w:r w:rsidR="002120DB" w:rsidRPr="008A3FFD">
        <w:rPr>
          <w:szCs w:val="22"/>
        </w:rPr>
        <w:t xml:space="preserve"> as defined herein</w:t>
      </w:r>
      <w:r w:rsidRPr="008A3FFD">
        <w:rPr>
          <w:szCs w:val="22"/>
        </w:rPr>
        <w:t xml:space="preserve">.  </w:t>
      </w:r>
      <w:r w:rsidR="002120DB" w:rsidRPr="008A3FFD">
        <w:rPr>
          <w:szCs w:val="22"/>
        </w:rPr>
        <w:t>As of the Effective Date,</w:t>
      </w:r>
      <w:r w:rsidRPr="008A3FFD">
        <w:rPr>
          <w:szCs w:val="22"/>
        </w:rPr>
        <w:t xml:space="preserve"> the Adopting Order and this Consent Decree shall have the same force and effect as any other </w:t>
      </w:r>
      <w:r w:rsidR="00602D62">
        <w:rPr>
          <w:szCs w:val="22"/>
        </w:rPr>
        <w:t>o</w:t>
      </w:r>
      <w:r w:rsidRPr="008A3FFD">
        <w:rPr>
          <w:szCs w:val="22"/>
        </w:rPr>
        <w:t xml:space="preserve">rder of the Commission.  Any violation of the Adopting </w:t>
      </w:r>
      <w:r w:rsidR="00602D62">
        <w:rPr>
          <w:szCs w:val="22"/>
        </w:rPr>
        <w:t>O</w:t>
      </w:r>
      <w:r w:rsidR="0084286C" w:rsidRPr="008A3FFD">
        <w:rPr>
          <w:szCs w:val="22"/>
        </w:rPr>
        <w:t xml:space="preserve">rder </w:t>
      </w:r>
      <w:r w:rsidRPr="008A3FFD">
        <w:rPr>
          <w:szCs w:val="22"/>
        </w:rPr>
        <w:t xml:space="preserve">or of the terms of this Consent Decree shall constitute a separate violation of a </w:t>
      </w:r>
      <w:r w:rsidRPr="008A3FFD">
        <w:rPr>
          <w:rStyle w:val="bold1"/>
          <w:b w:val="0"/>
          <w:szCs w:val="22"/>
        </w:rPr>
        <w:t xml:space="preserve">Commission </w:t>
      </w:r>
      <w:r w:rsidR="0084286C">
        <w:rPr>
          <w:rStyle w:val="bold1"/>
          <w:b w:val="0"/>
          <w:szCs w:val="22"/>
        </w:rPr>
        <w:t>o</w:t>
      </w:r>
      <w:r w:rsidR="0084286C" w:rsidRPr="008A3FFD">
        <w:rPr>
          <w:szCs w:val="22"/>
        </w:rPr>
        <w:t>rder</w:t>
      </w:r>
      <w:r w:rsidRPr="008A3FFD">
        <w:rPr>
          <w:szCs w:val="22"/>
        </w:rPr>
        <w:t xml:space="preserve">, entitling the </w:t>
      </w:r>
      <w:r w:rsidR="0084286C">
        <w:rPr>
          <w:szCs w:val="22"/>
        </w:rPr>
        <w:t>Commission</w:t>
      </w:r>
      <w:r w:rsidR="0084286C" w:rsidRPr="008A3FFD">
        <w:rPr>
          <w:b/>
          <w:bCs/>
          <w:szCs w:val="22"/>
        </w:rPr>
        <w:t xml:space="preserve"> </w:t>
      </w:r>
      <w:r w:rsidRPr="008A3FFD">
        <w:rPr>
          <w:szCs w:val="22"/>
        </w:rPr>
        <w:t xml:space="preserve">to exercise any rights and remedies attendant to the enforcement of a Commission </w:t>
      </w:r>
      <w:r w:rsidR="0084286C">
        <w:rPr>
          <w:szCs w:val="22"/>
        </w:rPr>
        <w:t>o</w:t>
      </w:r>
      <w:r w:rsidR="0084286C" w:rsidRPr="008A3FFD">
        <w:rPr>
          <w:szCs w:val="22"/>
        </w:rPr>
        <w:t>rder</w:t>
      </w:r>
      <w:r w:rsidRPr="008A3FFD">
        <w:rPr>
          <w:szCs w:val="22"/>
        </w:rPr>
        <w:t xml:space="preserve">.  </w:t>
      </w:r>
    </w:p>
    <w:p w:rsidR="00176171" w:rsidRPr="008A3FFD" w:rsidRDefault="00176171" w:rsidP="008229AA">
      <w:pPr>
        <w:pStyle w:val="par1"/>
        <w:numPr>
          <w:ilvl w:val="0"/>
          <w:numId w:val="0"/>
        </w:numPr>
        <w:tabs>
          <w:tab w:val="num" w:pos="1800"/>
        </w:tabs>
        <w:ind w:right="-180" w:firstLine="720"/>
        <w:rPr>
          <w:szCs w:val="22"/>
        </w:rPr>
      </w:pPr>
    </w:p>
    <w:p w:rsidR="00176171" w:rsidRPr="008A3FFD" w:rsidRDefault="00176171" w:rsidP="008229AA">
      <w:pPr>
        <w:pStyle w:val="par1"/>
        <w:ind w:right="-180"/>
        <w:rPr>
          <w:szCs w:val="22"/>
        </w:rPr>
      </w:pPr>
      <w:r w:rsidRPr="008A3FFD">
        <w:rPr>
          <w:b/>
          <w:szCs w:val="22"/>
          <w:u w:val="single"/>
        </w:rPr>
        <w:t>Termination of Investigation</w:t>
      </w:r>
      <w:r w:rsidRPr="008A3FFD">
        <w:rPr>
          <w:b/>
          <w:szCs w:val="22"/>
        </w:rPr>
        <w:t xml:space="preserve">.  </w:t>
      </w:r>
      <w:r w:rsidRPr="008A3FFD">
        <w:rPr>
          <w:szCs w:val="22"/>
        </w:rPr>
        <w:t>In express reliance on the covenants and representations in this Consent Decree and to avoid further expenditure of public resources, the Bureau</w:t>
      </w:r>
      <w:r w:rsidRPr="008A3FFD">
        <w:rPr>
          <w:rStyle w:val="bold1"/>
          <w:szCs w:val="22"/>
        </w:rPr>
        <w:t xml:space="preserve"> </w:t>
      </w:r>
      <w:r w:rsidRPr="008A3FFD">
        <w:rPr>
          <w:szCs w:val="22"/>
        </w:rPr>
        <w:t xml:space="preserve">agrees to terminate </w:t>
      </w:r>
      <w:r w:rsidR="002120DB" w:rsidRPr="008A3FFD">
        <w:rPr>
          <w:szCs w:val="22"/>
        </w:rPr>
        <w:t xml:space="preserve">the </w:t>
      </w:r>
      <w:r w:rsidRPr="008A3FFD">
        <w:rPr>
          <w:szCs w:val="22"/>
        </w:rPr>
        <w:t xml:space="preserve">Investigation.  In consideration for termination of </w:t>
      </w:r>
      <w:r w:rsidR="002A0049">
        <w:rPr>
          <w:szCs w:val="22"/>
        </w:rPr>
        <w:t>the</w:t>
      </w:r>
      <w:r w:rsidR="002A0049" w:rsidRPr="008A3FFD">
        <w:rPr>
          <w:szCs w:val="22"/>
        </w:rPr>
        <w:t xml:space="preserve"> </w:t>
      </w:r>
      <w:r w:rsidRPr="008A3FFD">
        <w:rPr>
          <w:szCs w:val="22"/>
        </w:rPr>
        <w:t xml:space="preserve">Investigation, </w:t>
      </w:r>
      <w:r w:rsidR="00383357" w:rsidRPr="008A3FFD">
        <w:rPr>
          <w:szCs w:val="22"/>
        </w:rPr>
        <w:t>Open Access</w:t>
      </w:r>
      <w:r w:rsidR="00AE306C" w:rsidRPr="008A3FFD">
        <w:rPr>
          <w:szCs w:val="22"/>
        </w:rPr>
        <w:t xml:space="preserve"> </w:t>
      </w:r>
      <w:r w:rsidRPr="008A3FFD">
        <w:rPr>
          <w:szCs w:val="22"/>
        </w:rPr>
        <w:t xml:space="preserve">agrees to the terms, conditions, and procedures contained herein.  The Bureau further agrees that in the absence of new material evidence, the Bureau will not use the facts developed in this Investigation through the Effective Date, or the existence of this Consent Decree, to institute, on its own motion, any new proceeding, formal or informal, or take any action on its own motion against </w:t>
      </w:r>
      <w:r w:rsidR="00383357" w:rsidRPr="008A3FFD">
        <w:rPr>
          <w:szCs w:val="22"/>
        </w:rPr>
        <w:t>Open Access</w:t>
      </w:r>
      <w:r w:rsidR="00AE306C" w:rsidRPr="008A3FFD" w:rsidDel="00AE306C">
        <w:rPr>
          <w:szCs w:val="22"/>
        </w:rPr>
        <w:t xml:space="preserve"> </w:t>
      </w:r>
      <w:r w:rsidRPr="008A3FFD">
        <w:rPr>
          <w:szCs w:val="22"/>
        </w:rPr>
        <w:t>concerning the matter</w:t>
      </w:r>
      <w:r w:rsidR="00F6478C" w:rsidRPr="008A3FFD">
        <w:rPr>
          <w:szCs w:val="22"/>
        </w:rPr>
        <w:t>s</w:t>
      </w:r>
      <w:r w:rsidRPr="008A3FFD">
        <w:rPr>
          <w:szCs w:val="22"/>
        </w:rPr>
        <w:t xml:space="preserve"> </w:t>
      </w:r>
      <w:r w:rsidR="00D65C47" w:rsidRPr="008A3FFD">
        <w:rPr>
          <w:szCs w:val="22"/>
        </w:rPr>
        <w:t xml:space="preserve">that </w:t>
      </w:r>
      <w:r w:rsidR="00F6478C" w:rsidRPr="008A3FFD">
        <w:rPr>
          <w:szCs w:val="22"/>
        </w:rPr>
        <w:t xml:space="preserve">were </w:t>
      </w:r>
      <w:r w:rsidRPr="008A3FFD">
        <w:rPr>
          <w:szCs w:val="22"/>
        </w:rPr>
        <w:t xml:space="preserve">the subject of the Investigation.  </w:t>
      </w:r>
      <w:r w:rsidR="004678A3" w:rsidRPr="008A3FFD">
        <w:rPr>
          <w:szCs w:val="22"/>
        </w:rPr>
        <w:t xml:space="preserve">The Bureau also agrees that in the absence of new material evidence it will not use the facts developed in this Investigation through the Effective Date, or the existence of this Consent Decree, to institute on its own motion any proceeding, formal or informal, or take any action on its own motion against </w:t>
      </w:r>
      <w:r w:rsidR="001B3768" w:rsidRPr="008A3FFD">
        <w:rPr>
          <w:szCs w:val="22"/>
        </w:rPr>
        <w:t>Open Access</w:t>
      </w:r>
      <w:r w:rsidR="004678A3" w:rsidRPr="008A3FFD" w:rsidDel="00AE306C">
        <w:rPr>
          <w:szCs w:val="22"/>
        </w:rPr>
        <w:t xml:space="preserve"> </w:t>
      </w:r>
      <w:r w:rsidR="004678A3" w:rsidRPr="008A3FFD">
        <w:rPr>
          <w:szCs w:val="22"/>
        </w:rPr>
        <w:t xml:space="preserve">with respect to </w:t>
      </w:r>
      <w:r w:rsidR="001B3768" w:rsidRPr="008A3FFD">
        <w:rPr>
          <w:szCs w:val="22"/>
        </w:rPr>
        <w:t>Open Access</w:t>
      </w:r>
      <w:r w:rsidR="004678A3" w:rsidRPr="008A3FFD">
        <w:rPr>
          <w:szCs w:val="22"/>
        </w:rPr>
        <w:t xml:space="preserve">’s basic qualifications, including its character qualifications, to be a Commission licensee or hold Commission </w:t>
      </w:r>
      <w:r w:rsidR="00F6478C" w:rsidRPr="008A3FFD">
        <w:rPr>
          <w:szCs w:val="22"/>
        </w:rPr>
        <w:t xml:space="preserve">licenses or </w:t>
      </w:r>
      <w:r w:rsidR="004678A3" w:rsidRPr="008A3FFD">
        <w:rPr>
          <w:szCs w:val="22"/>
        </w:rPr>
        <w:t>authori</w:t>
      </w:r>
      <w:r w:rsidR="002120DB" w:rsidRPr="008A3FFD">
        <w:rPr>
          <w:szCs w:val="22"/>
        </w:rPr>
        <w:t>zations</w:t>
      </w:r>
      <w:r w:rsidR="004678A3" w:rsidRPr="008A3FFD">
        <w:rPr>
          <w:szCs w:val="22"/>
        </w:rPr>
        <w:t xml:space="preserve">.  </w:t>
      </w:r>
    </w:p>
    <w:p w:rsidR="00176171" w:rsidRPr="008A3FFD" w:rsidRDefault="00176171" w:rsidP="008229AA">
      <w:pPr>
        <w:pStyle w:val="ParaNum"/>
        <w:widowControl/>
        <w:numPr>
          <w:ilvl w:val="0"/>
          <w:numId w:val="0"/>
        </w:numPr>
        <w:spacing w:after="0"/>
        <w:ind w:right="-180"/>
        <w:rPr>
          <w:szCs w:val="22"/>
        </w:rPr>
      </w:pPr>
    </w:p>
    <w:p w:rsidR="00176171" w:rsidRPr="008A3FFD" w:rsidRDefault="00176171" w:rsidP="008229AA">
      <w:pPr>
        <w:pStyle w:val="par1"/>
        <w:ind w:right="-180"/>
        <w:rPr>
          <w:szCs w:val="22"/>
        </w:rPr>
      </w:pPr>
      <w:r w:rsidRPr="008A3FFD">
        <w:rPr>
          <w:b/>
          <w:szCs w:val="22"/>
          <w:u w:val="single"/>
        </w:rPr>
        <w:t>Compliance Officer</w:t>
      </w:r>
      <w:r w:rsidRPr="008A3FFD">
        <w:rPr>
          <w:b/>
          <w:szCs w:val="22"/>
        </w:rPr>
        <w:t xml:space="preserve">.  </w:t>
      </w:r>
      <w:r w:rsidRPr="008A3FFD">
        <w:rPr>
          <w:szCs w:val="22"/>
        </w:rPr>
        <w:t>Within thirty (30) calendar days after the Effective Date</w:t>
      </w:r>
      <w:r w:rsidR="00B97B80" w:rsidRPr="008A3FFD">
        <w:rPr>
          <w:szCs w:val="22"/>
        </w:rPr>
        <w:t>,</w:t>
      </w:r>
      <w:r w:rsidR="00AE306C" w:rsidRPr="008A3FFD">
        <w:rPr>
          <w:szCs w:val="22"/>
        </w:rPr>
        <w:t xml:space="preserve"> </w:t>
      </w:r>
      <w:r w:rsidR="00D82C38" w:rsidRPr="008A3FFD">
        <w:rPr>
          <w:szCs w:val="22"/>
        </w:rPr>
        <w:t>Open Access</w:t>
      </w:r>
      <w:r w:rsidR="00D82C38" w:rsidRPr="008A3FFD" w:rsidDel="00AE306C">
        <w:rPr>
          <w:szCs w:val="22"/>
        </w:rPr>
        <w:t xml:space="preserve"> </w:t>
      </w:r>
      <w:r w:rsidRPr="008A3FFD">
        <w:rPr>
          <w:szCs w:val="22"/>
        </w:rPr>
        <w:t>shall designate a senior corporate manager with the requisite corporate and organizational authority to serve as a Compliance Officer and to discharge the duties set forth below.  The person designated as the Compliance Officer</w:t>
      </w:r>
      <w:r w:rsidRPr="008A3FFD">
        <w:rPr>
          <w:b/>
          <w:szCs w:val="22"/>
        </w:rPr>
        <w:t xml:space="preserve"> </w:t>
      </w:r>
      <w:r w:rsidRPr="008A3FFD">
        <w:rPr>
          <w:szCs w:val="22"/>
        </w:rPr>
        <w:t>shall be responsible</w:t>
      </w:r>
      <w:r w:rsidRPr="008A3FFD">
        <w:rPr>
          <w:b/>
          <w:szCs w:val="22"/>
        </w:rPr>
        <w:t xml:space="preserve"> </w:t>
      </w:r>
      <w:r w:rsidRPr="008A3FFD">
        <w:rPr>
          <w:szCs w:val="22"/>
        </w:rPr>
        <w:t xml:space="preserve">for developing, implementing, and administering the Compliance Plan and ensuring that </w:t>
      </w:r>
      <w:r w:rsidR="00D82C38" w:rsidRPr="008A3FFD">
        <w:rPr>
          <w:szCs w:val="22"/>
        </w:rPr>
        <w:t>Open Access</w:t>
      </w:r>
      <w:r w:rsidR="00D82C38" w:rsidRPr="008A3FFD" w:rsidDel="00AE306C">
        <w:rPr>
          <w:szCs w:val="22"/>
        </w:rPr>
        <w:t xml:space="preserve"> </w:t>
      </w:r>
      <w:r w:rsidRPr="008A3FFD">
        <w:rPr>
          <w:szCs w:val="22"/>
        </w:rPr>
        <w:t xml:space="preserve">complies with the terms and conditions of the Compliance Plan and this Consent Decree.  In addition to the general knowledge of the Communications Laws necessary to discharge his/her duties under this Consent Decree, the Compliance Officer shall have specific knowledge of the </w:t>
      </w:r>
      <w:r w:rsidR="00D82C38" w:rsidRPr="008A3FFD">
        <w:rPr>
          <w:szCs w:val="22"/>
        </w:rPr>
        <w:t xml:space="preserve">Federal Regulatory Reporting and Contribution Rules </w:t>
      </w:r>
      <w:r w:rsidRPr="008A3FFD">
        <w:rPr>
          <w:szCs w:val="22"/>
        </w:rPr>
        <w:t>prior to assuming his/her duties.</w:t>
      </w:r>
    </w:p>
    <w:p w:rsidR="00176171" w:rsidRPr="008A3FFD" w:rsidRDefault="00176171" w:rsidP="008229AA">
      <w:pPr>
        <w:tabs>
          <w:tab w:val="left" w:pos="1800"/>
        </w:tabs>
        <w:ind w:right="-180"/>
        <w:rPr>
          <w:sz w:val="22"/>
          <w:szCs w:val="22"/>
        </w:rPr>
      </w:pPr>
    </w:p>
    <w:p w:rsidR="00176171" w:rsidRPr="008A3FFD" w:rsidRDefault="00176171" w:rsidP="008229AA">
      <w:pPr>
        <w:pStyle w:val="par1"/>
        <w:ind w:right="-180"/>
        <w:rPr>
          <w:szCs w:val="22"/>
        </w:rPr>
      </w:pPr>
      <w:bookmarkStart w:id="4" w:name="_Ref358627064"/>
      <w:r w:rsidRPr="008A3FFD">
        <w:rPr>
          <w:b/>
          <w:szCs w:val="22"/>
          <w:u w:val="single"/>
        </w:rPr>
        <w:t>Compliance Plan</w:t>
      </w:r>
      <w:r w:rsidRPr="008A3FFD">
        <w:rPr>
          <w:b/>
          <w:szCs w:val="22"/>
        </w:rPr>
        <w:t>.</w:t>
      </w:r>
      <w:r w:rsidRPr="008A3FFD">
        <w:rPr>
          <w:szCs w:val="22"/>
        </w:rPr>
        <w:t xml:space="preserve">  For purposes of settling the matters set forth herein, </w:t>
      </w:r>
      <w:r w:rsidR="00D82C38" w:rsidRPr="008A3FFD">
        <w:rPr>
          <w:szCs w:val="22"/>
        </w:rPr>
        <w:t>Open Access</w:t>
      </w:r>
      <w:r w:rsidR="00AE306C" w:rsidRPr="008A3FFD" w:rsidDel="00AE306C">
        <w:rPr>
          <w:szCs w:val="22"/>
        </w:rPr>
        <w:t xml:space="preserve"> </w:t>
      </w:r>
      <w:r w:rsidRPr="008A3FFD">
        <w:rPr>
          <w:szCs w:val="22"/>
        </w:rPr>
        <w:t xml:space="preserve">agrees that it shall within sixty (60) calendar days after the Effective Date, develop and implement a Compliance Plan designed to ensure </w:t>
      </w:r>
      <w:r w:rsidR="00F6478C" w:rsidRPr="008A3FFD">
        <w:rPr>
          <w:szCs w:val="22"/>
        </w:rPr>
        <w:t xml:space="preserve">Open Access’s </w:t>
      </w:r>
      <w:r w:rsidRPr="008A3FFD">
        <w:rPr>
          <w:szCs w:val="22"/>
        </w:rPr>
        <w:t xml:space="preserve">future compliance with the </w:t>
      </w:r>
      <w:r w:rsidR="002A0049" w:rsidRPr="009B4E30">
        <w:rPr>
          <w:szCs w:val="22"/>
        </w:rPr>
        <w:t>Communications Laws</w:t>
      </w:r>
      <w:r w:rsidRPr="008A3FFD">
        <w:rPr>
          <w:szCs w:val="22"/>
        </w:rPr>
        <w:t xml:space="preserve">, and with the terms and conditions of this Consent Decree.  </w:t>
      </w:r>
      <w:r w:rsidR="00B97B80" w:rsidRPr="008A3FFD">
        <w:rPr>
          <w:szCs w:val="22"/>
        </w:rPr>
        <w:t xml:space="preserve">With respect to the </w:t>
      </w:r>
      <w:r w:rsidR="00D82C38" w:rsidRPr="008A3FFD">
        <w:rPr>
          <w:szCs w:val="22"/>
        </w:rPr>
        <w:t xml:space="preserve">Federal Regulatory Reporting and Contribution </w:t>
      </w:r>
      <w:r w:rsidR="00B97B80" w:rsidRPr="008A3FFD">
        <w:rPr>
          <w:szCs w:val="22"/>
        </w:rPr>
        <w:t xml:space="preserve">Rules, </w:t>
      </w:r>
      <w:r w:rsidR="0084286C">
        <w:rPr>
          <w:szCs w:val="22"/>
        </w:rPr>
        <w:t>Open Access</w:t>
      </w:r>
      <w:r w:rsidRPr="008A3FFD">
        <w:rPr>
          <w:szCs w:val="22"/>
        </w:rPr>
        <w:t xml:space="preserve"> shall</w:t>
      </w:r>
      <w:r w:rsidR="00AF7595" w:rsidRPr="008A3FFD">
        <w:rPr>
          <w:szCs w:val="22"/>
        </w:rPr>
        <w:t xml:space="preserve"> implement the following procedures</w:t>
      </w:r>
      <w:r w:rsidRPr="008A3FFD">
        <w:rPr>
          <w:szCs w:val="22"/>
        </w:rPr>
        <w:t>:</w:t>
      </w:r>
      <w:bookmarkEnd w:id="4"/>
    </w:p>
    <w:p w:rsidR="00176171" w:rsidRPr="008A3FFD" w:rsidRDefault="00176171" w:rsidP="008229AA">
      <w:pPr>
        <w:pStyle w:val="par1"/>
        <w:numPr>
          <w:ilvl w:val="0"/>
          <w:numId w:val="0"/>
        </w:numPr>
        <w:ind w:right="-180"/>
        <w:rPr>
          <w:szCs w:val="22"/>
        </w:rPr>
      </w:pPr>
    </w:p>
    <w:p w:rsidR="00176171" w:rsidRPr="008A3FFD" w:rsidRDefault="00176171" w:rsidP="008229AA">
      <w:pPr>
        <w:numPr>
          <w:ilvl w:val="1"/>
          <w:numId w:val="6"/>
        </w:numPr>
        <w:tabs>
          <w:tab w:val="left" w:pos="1800"/>
        </w:tabs>
        <w:ind w:right="-180"/>
        <w:rPr>
          <w:sz w:val="22"/>
          <w:szCs w:val="22"/>
        </w:rPr>
      </w:pPr>
      <w:r w:rsidRPr="008A3FFD">
        <w:rPr>
          <w:b/>
          <w:sz w:val="22"/>
          <w:szCs w:val="22"/>
          <w:u w:val="single"/>
        </w:rPr>
        <w:t>Operating Procedures</w:t>
      </w:r>
      <w:r w:rsidRPr="008A3FFD">
        <w:rPr>
          <w:b/>
          <w:sz w:val="22"/>
          <w:szCs w:val="22"/>
        </w:rPr>
        <w:t>.</w:t>
      </w:r>
      <w:r w:rsidRPr="008A3FFD">
        <w:rPr>
          <w:sz w:val="22"/>
          <w:szCs w:val="22"/>
        </w:rPr>
        <w:t xml:space="preserve">  Within sixty (60) calendar days after the Effective Date, </w:t>
      </w:r>
      <w:r w:rsidR="00D82C38" w:rsidRPr="008A3FFD">
        <w:rPr>
          <w:sz w:val="22"/>
          <w:szCs w:val="22"/>
        </w:rPr>
        <w:t>Open Access</w:t>
      </w:r>
      <w:r w:rsidR="00AE306C" w:rsidRPr="008A3FFD">
        <w:rPr>
          <w:sz w:val="22"/>
          <w:szCs w:val="22"/>
        </w:rPr>
        <w:t xml:space="preserve"> </w:t>
      </w:r>
      <w:r w:rsidRPr="008A3FFD">
        <w:rPr>
          <w:sz w:val="22"/>
          <w:szCs w:val="22"/>
        </w:rPr>
        <w:t xml:space="preserve">shall establish Operating Procedures that all Covered Employees </w:t>
      </w:r>
      <w:r w:rsidR="0084286C">
        <w:rPr>
          <w:sz w:val="22"/>
          <w:szCs w:val="22"/>
        </w:rPr>
        <w:t>must</w:t>
      </w:r>
      <w:r w:rsidR="0084286C" w:rsidRPr="008A3FFD">
        <w:rPr>
          <w:sz w:val="22"/>
          <w:szCs w:val="22"/>
        </w:rPr>
        <w:t xml:space="preserve"> </w:t>
      </w:r>
      <w:r w:rsidRPr="008A3FFD">
        <w:rPr>
          <w:sz w:val="22"/>
          <w:szCs w:val="22"/>
        </w:rPr>
        <w:t xml:space="preserve">follow to help ensure </w:t>
      </w:r>
      <w:r w:rsidR="00D82C38" w:rsidRPr="008A3FFD">
        <w:rPr>
          <w:sz w:val="22"/>
          <w:szCs w:val="22"/>
        </w:rPr>
        <w:t>Open Access</w:t>
      </w:r>
      <w:r w:rsidR="00AE306C" w:rsidRPr="008A3FFD">
        <w:rPr>
          <w:sz w:val="22"/>
          <w:szCs w:val="22"/>
        </w:rPr>
        <w:t xml:space="preserve">’s </w:t>
      </w:r>
      <w:r w:rsidRPr="008A3FFD">
        <w:rPr>
          <w:sz w:val="22"/>
          <w:szCs w:val="22"/>
        </w:rPr>
        <w:t xml:space="preserve">compliance with the </w:t>
      </w:r>
      <w:r w:rsidR="00D82C38" w:rsidRPr="008A3FFD">
        <w:rPr>
          <w:sz w:val="22"/>
          <w:szCs w:val="22"/>
        </w:rPr>
        <w:t>Federal Regulatory Reporting and Contribution</w:t>
      </w:r>
      <w:r w:rsidRPr="008A3FFD">
        <w:rPr>
          <w:sz w:val="22"/>
          <w:szCs w:val="22"/>
        </w:rPr>
        <w:t xml:space="preserve"> Rules.  </w:t>
      </w:r>
      <w:r w:rsidR="00D82C38" w:rsidRPr="008A3FFD">
        <w:rPr>
          <w:sz w:val="22"/>
          <w:szCs w:val="22"/>
        </w:rPr>
        <w:t>Open Access</w:t>
      </w:r>
      <w:r w:rsidR="00AE306C" w:rsidRPr="008A3FFD">
        <w:rPr>
          <w:sz w:val="22"/>
          <w:szCs w:val="22"/>
        </w:rPr>
        <w:t xml:space="preserve">’s </w:t>
      </w:r>
      <w:r w:rsidRPr="008A3FFD">
        <w:rPr>
          <w:sz w:val="22"/>
          <w:szCs w:val="22"/>
        </w:rPr>
        <w:t xml:space="preserve">Operating Procedures shall include internal procedures and policies specifically designed to ensure that </w:t>
      </w:r>
      <w:r w:rsidR="00D82C38" w:rsidRPr="008A3FFD">
        <w:rPr>
          <w:sz w:val="22"/>
          <w:szCs w:val="22"/>
        </w:rPr>
        <w:t>Open Access</w:t>
      </w:r>
      <w:r w:rsidR="00AE306C" w:rsidRPr="008A3FFD" w:rsidDel="00AE306C">
        <w:rPr>
          <w:sz w:val="22"/>
          <w:szCs w:val="22"/>
        </w:rPr>
        <w:t xml:space="preserve"> </w:t>
      </w:r>
      <w:r w:rsidRPr="008A3FFD">
        <w:rPr>
          <w:sz w:val="22"/>
          <w:szCs w:val="22"/>
        </w:rPr>
        <w:t xml:space="preserve">complies with the </w:t>
      </w:r>
      <w:r w:rsidR="00D82C38" w:rsidRPr="008A3FFD">
        <w:rPr>
          <w:sz w:val="22"/>
          <w:szCs w:val="22"/>
        </w:rPr>
        <w:t>Federal Regulatory Reporting and Contribution</w:t>
      </w:r>
      <w:r w:rsidRPr="008A3FFD">
        <w:rPr>
          <w:sz w:val="22"/>
          <w:szCs w:val="22"/>
        </w:rPr>
        <w:t xml:space="preserve"> Rules.  </w:t>
      </w:r>
      <w:r w:rsidR="00D82C38" w:rsidRPr="008A3FFD">
        <w:rPr>
          <w:sz w:val="22"/>
          <w:szCs w:val="22"/>
        </w:rPr>
        <w:t>Open Access</w:t>
      </w:r>
      <w:r w:rsidR="00AE306C" w:rsidRPr="008A3FFD">
        <w:rPr>
          <w:sz w:val="22"/>
          <w:szCs w:val="22"/>
        </w:rPr>
        <w:t xml:space="preserve"> </w:t>
      </w:r>
      <w:r w:rsidRPr="008A3FFD">
        <w:rPr>
          <w:sz w:val="22"/>
          <w:szCs w:val="22"/>
        </w:rPr>
        <w:t xml:space="preserve">shall also develop a Compliance Checklist that describes the steps a Covered Employee must follow to ensure compliance with the </w:t>
      </w:r>
      <w:r w:rsidR="00D82C38" w:rsidRPr="008A3FFD">
        <w:rPr>
          <w:sz w:val="22"/>
          <w:szCs w:val="22"/>
        </w:rPr>
        <w:t>Federal Regulatory Reporting and Contribution</w:t>
      </w:r>
      <w:r w:rsidRPr="008A3FFD">
        <w:rPr>
          <w:sz w:val="22"/>
          <w:szCs w:val="22"/>
        </w:rPr>
        <w:t xml:space="preserve"> Rules.</w:t>
      </w:r>
    </w:p>
    <w:p w:rsidR="00176171" w:rsidRPr="008A3FFD" w:rsidRDefault="00176171" w:rsidP="008229AA">
      <w:pPr>
        <w:tabs>
          <w:tab w:val="left" w:pos="1800"/>
        </w:tabs>
        <w:ind w:right="-180"/>
        <w:rPr>
          <w:sz w:val="22"/>
          <w:szCs w:val="22"/>
        </w:rPr>
      </w:pPr>
    </w:p>
    <w:p w:rsidR="00176171" w:rsidRPr="008A3FFD" w:rsidRDefault="00176171" w:rsidP="008229AA">
      <w:pPr>
        <w:numPr>
          <w:ilvl w:val="1"/>
          <w:numId w:val="6"/>
        </w:numPr>
        <w:tabs>
          <w:tab w:val="left" w:pos="1800"/>
        </w:tabs>
        <w:ind w:right="-180"/>
        <w:rPr>
          <w:sz w:val="22"/>
          <w:szCs w:val="22"/>
        </w:rPr>
      </w:pPr>
      <w:r w:rsidRPr="008A3FFD">
        <w:rPr>
          <w:b/>
          <w:sz w:val="22"/>
          <w:szCs w:val="22"/>
          <w:u w:val="single"/>
        </w:rPr>
        <w:t>Compliance Manual</w:t>
      </w:r>
      <w:r w:rsidRPr="008A3FFD">
        <w:rPr>
          <w:b/>
          <w:sz w:val="22"/>
          <w:szCs w:val="22"/>
        </w:rPr>
        <w:t xml:space="preserve">.  </w:t>
      </w:r>
      <w:r w:rsidRPr="008A3FFD">
        <w:rPr>
          <w:sz w:val="22"/>
          <w:szCs w:val="22"/>
        </w:rPr>
        <w:t xml:space="preserve">Within sixty (60) calendar days after the Effective Date, the Compliance Officer shall develop and distribute a Compliance Manual to all Covered Employees.  </w:t>
      </w:r>
      <w:r w:rsidR="004678A3" w:rsidRPr="008A3FFD">
        <w:rPr>
          <w:sz w:val="22"/>
          <w:szCs w:val="22"/>
        </w:rPr>
        <w:t xml:space="preserve">The Compliance Manual shall explain the </w:t>
      </w:r>
      <w:r w:rsidR="00D82C38" w:rsidRPr="008A3FFD">
        <w:rPr>
          <w:sz w:val="22"/>
          <w:szCs w:val="22"/>
        </w:rPr>
        <w:t>Federal Regulatory Reporting and Contribution</w:t>
      </w:r>
      <w:r w:rsidR="004678A3" w:rsidRPr="008A3FFD">
        <w:rPr>
          <w:sz w:val="22"/>
          <w:szCs w:val="22"/>
        </w:rPr>
        <w:t xml:space="preserve"> Rules</w:t>
      </w:r>
      <w:r w:rsidR="00B97B80" w:rsidRPr="008A3FFD">
        <w:rPr>
          <w:sz w:val="22"/>
          <w:szCs w:val="22"/>
        </w:rPr>
        <w:t xml:space="preserve"> and </w:t>
      </w:r>
      <w:r w:rsidRPr="008A3FFD">
        <w:rPr>
          <w:sz w:val="22"/>
          <w:szCs w:val="22"/>
        </w:rPr>
        <w:t xml:space="preserve">set forth the Operating Procedures that Covered Employees shall follow to help ensure </w:t>
      </w:r>
      <w:r w:rsidR="00D82C38" w:rsidRPr="008A3FFD">
        <w:rPr>
          <w:sz w:val="22"/>
          <w:szCs w:val="22"/>
        </w:rPr>
        <w:t>Open Access</w:t>
      </w:r>
      <w:r w:rsidR="00B6072B" w:rsidRPr="008A3FFD">
        <w:rPr>
          <w:sz w:val="22"/>
          <w:szCs w:val="22"/>
        </w:rPr>
        <w:t xml:space="preserve">’s </w:t>
      </w:r>
      <w:r w:rsidRPr="008A3FFD">
        <w:rPr>
          <w:sz w:val="22"/>
          <w:szCs w:val="22"/>
        </w:rPr>
        <w:t xml:space="preserve">compliance with the </w:t>
      </w:r>
      <w:r w:rsidR="00D82C38" w:rsidRPr="008A3FFD">
        <w:rPr>
          <w:sz w:val="22"/>
          <w:szCs w:val="22"/>
        </w:rPr>
        <w:t>Federal Regulatory Reporting and Contribution</w:t>
      </w:r>
      <w:r w:rsidRPr="008A3FFD">
        <w:rPr>
          <w:sz w:val="22"/>
          <w:szCs w:val="22"/>
        </w:rPr>
        <w:t xml:space="preserve"> Rules.  </w:t>
      </w:r>
      <w:r w:rsidR="00D82C38" w:rsidRPr="008A3FFD">
        <w:rPr>
          <w:sz w:val="22"/>
          <w:szCs w:val="22"/>
        </w:rPr>
        <w:t>Open Access</w:t>
      </w:r>
      <w:r w:rsidR="00D82C38" w:rsidRPr="008A3FFD" w:rsidDel="00AE306C">
        <w:rPr>
          <w:sz w:val="22"/>
          <w:szCs w:val="22"/>
        </w:rPr>
        <w:t xml:space="preserve"> </w:t>
      </w:r>
      <w:r w:rsidRPr="008A3FFD">
        <w:rPr>
          <w:sz w:val="22"/>
          <w:szCs w:val="22"/>
        </w:rPr>
        <w:t xml:space="preserve">shall periodically review and revise the Compliance Manual as necessary to ensure that the information set forth therein remains current and accurate.  </w:t>
      </w:r>
      <w:r w:rsidR="00D82C38" w:rsidRPr="008A3FFD">
        <w:rPr>
          <w:sz w:val="22"/>
          <w:szCs w:val="22"/>
        </w:rPr>
        <w:t>Open Access</w:t>
      </w:r>
      <w:r w:rsidR="00D82C38" w:rsidRPr="008A3FFD" w:rsidDel="00AE306C">
        <w:rPr>
          <w:sz w:val="22"/>
          <w:szCs w:val="22"/>
        </w:rPr>
        <w:t xml:space="preserve"> </w:t>
      </w:r>
      <w:r w:rsidRPr="008A3FFD">
        <w:rPr>
          <w:sz w:val="22"/>
          <w:szCs w:val="22"/>
        </w:rPr>
        <w:t xml:space="preserve">shall distribute any revisions to the Compliance Manual promptly to Covered Employees.  </w:t>
      </w:r>
    </w:p>
    <w:p w:rsidR="00176171" w:rsidRPr="008A3FFD" w:rsidRDefault="00176171" w:rsidP="008229AA">
      <w:pPr>
        <w:tabs>
          <w:tab w:val="left" w:pos="1800"/>
        </w:tabs>
        <w:ind w:left="1080" w:right="-180"/>
        <w:rPr>
          <w:sz w:val="22"/>
          <w:szCs w:val="22"/>
        </w:rPr>
      </w:pPr>
    </w:p>
    <w:p w:rsidR="00176171" w:rsidRPr="008A3FFD" w:rsidRDefault="00176171" w:rsidP="008229AA">
      <w:pPr>
        <w:numPr>
          <w:ilvl w:val="1"/>
          <w:numId w:val="6"/>
        </w:numPr>
        <w:tabs>
          <w:tab w:val="left" w:pos="1800"/>
        </w:tabs>
        <w:ind w:right="-180"/>
        <w:rPr>
          <w:sz w:val="22"/>
          <w:szCs w:val="22"/>
        </w:rPr>
      </w:pPr>
      <w:r w:rsidRPr="008A3FFD">
        <w:rPr>
          <w:b/>
          <w:sz w:val="22"/>
          <w:szCs w:val="22"/>
          <w:u w:val="single"/>
        </w:rPr>
        <w:t>Compliance Training Program</w:t>
      </w:r>
      <w:r w:rsidRPr="008A3FFD">
        <w:rPr>
          <w:b/>
          <w:sz w:val="22"/>
          <w:szCs w:val="22"/>
        </w:rPr>
        <w:t xml:space="preserve">.  </w:t>
      </w:r>
      <w:r w:rsidR="00D82C38" w:rsidRPr="008A3FFD">
        <w:rPr>
          <w:sz w:val="22"/>
          <w:szCs w:val="22"/>
        </w:rPr>
        <w:t>Open Access</w:t>
      </w:r>
      <w:r w:rsidR="00D82C38" w:rsidRPr="008A3FFD" w:rsidDel="00AE306C">
        <w:rPr>
          <w:sz w:val="22"/>
          <w:szCs w:val="22"/>
        </w:rPr>
        <w:t xml:space="preserve"> </w:t>
      </w:r>
      <w:r w:rsidRPr="008A3FFD">
        <w:rPr>
          <w:sz w:val="22"/>
          <w:szCs w:val="22"/>
        </w:rPr>
        <w:t>shall</w:t>
      </w:r>
      <w:r w:rsidRPr="008A3FFD">
        <w:rPr>
          <w:b/>
          <w:sz w:val="22"/>
          <w:szCs w:val="22"/>
        </w:rPr>
        <w:t xml:space="preserve"> </w:t>
      </w:r>
      <w:r w:rsidRPr="008A3FFD">
        <w:rPr>
          <w:sz w:val="22"/>
          <w:szCs w:val="22"/>
        </w:rPr>
        <w:t xml:space="preserve">establish and implement a Compliance Training Program on compliance with the </w:t>
      </w:r>
      <w:r w:rsidR="00D82C38" w:rsidRPr="008A3FFD">
        <w:rPr>
          <w:sz w:val="22"/>
          <w:szCs w:val="22"/>
        </w:rPr>
        <w:t xml:space="preserve">Federal Regulatory Reporting and Contribution </w:t>
      </w:r>
      <w:r w:rsidRPr="008A3FFD">
        <w:rPr>
          <w:sz w:val="22"/>
          <w:szCs w:val="22"/>
        </w:rPr>
        <w:t xml:space="preserve">Rules and the Operating Procedures.  As part of the Compliance Training Program, Covered Employees shall be advised of </w:t>
      </w:r>
      <w:r w:rsidR="00D82C38" w:rsidRPr="008A3FFD">
        <w:rPr>
          <w:sz w:val="22"/>
          <w:szCs w:val="22"/>
        </w:rPr>
        <w:t>Open Access</w:t>
      </w:r>
      <w:r w:rsidR="00B6072B" w:rsidRPr="008A3FFD">
        <w:rPr>
          <w:sz w:val="22"/>
          <w:szCs w:val="22"/>
        </w:rPr>
        <w:t xml:space="preserve">’s </w:t>
      </w:r>
      <w:r w:rsidRPr="008A3FFD">
        <w:rPr>
          <w:sz w:val="22"/>
          <w:szCs w:val="22"/>
        </w:rPr>
        <w:t xml:space="preserve">obligation to report any noncompliance with the </w:t>
      </w:r>
      <w:r w:rsidR="00D82C38" w:rsidRPr="008A3FFD">
        <w:rPr>
          <w:sz w:val="22"/>
          <w:szCs w:val="22"/>
        </w:rPr>
        <w:t xml:space="preserve">Federal Regulatory Reporting and Contribution </w:t>
      </w:r>
      <w:r w:rsidRPr="008A3FFD">
        <w:rPr>
          <w:sz w:val="22"/>
          <w:szCs w:val="22"/>
        </w:rPr>
        <w:t xml:space="preserve">Rules under </w:t>
      </w:r>
      <w:r w:rsidRPr="0048774A">
        <w:rPr>
          <w:sz w:val="22"/>
          <w:szCs w:val="22"/>
        </w:rPr>
        <w:t xml:space="preserve">paragraph </w:t>
      </w:r>
      <w:r w:rsidR="00D82C38" w:rsidRPr="0048774A">
        <w:rPr>
          <w:sz w:val="22"/>
          <w:szCs w:val="22"/>
        </w:rPr>
        <w:t>1</w:t>
      </w:r>
      <w:r w:rsidR="001D07C6" w:rsidRPr="0048774A">
        <w:rPr>
          <w:sz w:val="22"/>
          <w:szCs w:val="22"/>
        </w:rPr>
        <w:t>4</w:t>
      </w:r>
      <w:r w:rsidR="00D65C47" w:rsidRPr="008A3FFD">
        <w:rPr>
          <w:sz w:val="22"/>
          <w:szCs w:val="22"/>
        </w:rPr>
        <w:t xml:space="preserve"> of</w:t>
      </w:r>
      <w:r w:rsidRPr="008A3FFD">
        <w:rPr>
          <w:sz w:val="22"/>
          <w:szCs w:val="22"/>
        </w:rPr>
        <w:t xml:space="preserve"> this Consent Decree and shall be instructed on how to disclose noncompliance to the Compliance Officer.  All Covered Employees shall be trained pursuant to the Compliance Training Program within </w:t>
      </w:r>
      <w:r w:rsidR="00B97B80" w:rsidRPr="008A3FFD">
        <w:rPr>
          <w:sz w:val="22"/>
          <w:szCs w:val="22"/>
        </w:rPr>
        <w:t xml:space="preserve">sixty </w:t>
      </w:r>
      <w:r w:rsidR="00AF7595" w:rsidRPr="008A3FFD">
        <w:rPr>
          <w:sz w:val="22"/>
          <w:szCs w:val="22"/>
        </w:rPr>
        <w:t>(</w:t>
      </w:r>
      <w:r w:rsidR="00B97B80" w:rsidRPr="008A3FFD">
        <w:rPr>
          <w:sz w:val="22"/>
          <w:szCs w:val="22"/>
        </w:rPr>
        <w:t>6</w:t>
      </w:r>
      <w:r w:rsidR="00AF7595" w:rsidRPr="008A3FFD">
        <w:rPr>
          <w:sz w:val="22"/>
          <w:szCs w:val="22"/>
        </w:rPr>
        <w:t>0)</w:t>
      </w:r>
      <w:r w:rsidRPr="008A3FFD">
        <w:rPr>
          <w:sz w:val="22"/>
          <w:szCs w:val="22"/>
        </w:rPr>
        <w:t xml:space="preserve"> calendar days after the Effective Date</w:t>
      </w:r>
      <w:r w:rsidR="00AF7595" w:rsidRPr="008A3FFD">
        <w:rPr>
          <w:sz w:val="22"/>
          <w:szCs w:val="22"/>
        </w:rPr>
        <w:t>.</w:t>
      </w:r>
      <w:r w:rsidR="00B97B80" w:rsidRPr="008A3FFD">
        <w:rPr>
          <w:sz w:val="22"/>
          <w:szCs w:val="22"/>
        </w:rPr>
        <w:t xml:space="preserve"> </w:t>
      </w:r>
      <w:r w:rsidRPr="008A3FFD">
        <w:rPr>
          <w:sz w:val="22"/>
          <w:szCs w:val="22"/>
        </w:rPr>
        <w:t xml:space="preserve"> </w:t>
      </w:r>
      <w:r w:rsidR="00AF7595" w:rsidRPr="008A3FFD">
        <w:rPr>
          <w:sz w:val="22"/>
          <w:szCs w:val="22"/>
        </w:rPr>
        <w:t xml:space="preserve">Any </w:t>
      </w:r>
      <w:r w:rsidRPr="008A3FFD">
        <w:rPr>
          <w:sz w:val="22"/>
          <w:szCs w:val="22"/>
        </w:rPr>
        <w:t xml:space="preserve">person who becomes a Covered Employee at any time after the </w:t>
      </w:r>
      <w:r w:rsidR="00AF7595" w:rsidRPr="008A3FFD">
        <w:rPr>
          <w:sz w:val="22"/>
          <w:szCs w:val="22"/>
        </w:rPr>
        <w:t>Initial Training Program</w:t>
      </w:r>
      <w:r w:rsidRPr="008A3FFD">
        <w:rPr>
          <w:sz w:val="22"/>
          <w:szCs w:val="22"/>
        </w:rPr>
        <w:t xml:space="preserve"> shall be trained within thirty (30) calendar days after the date such person becomes a Covered Employee.  </w:t>
      </w:r>
      <w:r w:rsidR="00D82C38" w:rsidRPr="008A3FFD">
        <w:rPr>
          <w:sz w:val="22"/>
          <w:szCs w:val="22"/>
        </w:rPr>
        <w:t>Open Access</w:t>
      </w:r>
      <w:r w:rsidR="00D82C38" w:rsidRPr="008A3FFD" w:rsidDel="00AE306C">
        <w:rPr>
          <w:sz w:val="22"/>
          <w:szCs w:val="22"/>
        </w:rPr>
        <w:t xml:space="preserve"> </w:t>
      </w:r>
      <w:r w:rsidRPr="008A3FFD">
        <w:rPr>
          <w:sz w:val="22"/>
          <w:szCs w:val="22"/>
        </w:rPr>
        <w:t xml:space="preserve">shall </w:t>
      </w:r>
      <w:r w:rsidR="00E10B64">
        <w:rPr>
          <w:sz w:val="22"/>
          <w:szCs w:val="22"/>
        </w:rPr>
        <w:t>conduct</w:t>
      </w:r>
      <w:r w:rsidR="00E10B64" w:rsidRPr="008A3FFD">
        <w:rPr>
          <w:sz w:val="22"/>
          <w:szCs w:val="22"/>
        </w:rPr>
        <w:t xml:space="preserve"> </w:t>
      </w:r>
      <w:r w:rsidRPr="008A3FFD">
        <w:rPr>
          <w:sz w:val="22"/>
          <w:szCs w:val="22"/>
        </w:rPr>
        <w:t>the compliance training on an annual basis, and shall periodically review and revise the Compliance Training Program as necessary to ensure that it remains current and complete and to enhance its effectiveness.</w:t>
      </w:r>
    </w:p>
    <w:p w:rsidR="00176171" w:rsidRPr="008A3FFD" w:rsidRDefault="00176171" w:rsidP="008229AA">
      <w:pPr>
        <w:pStyle w:val="par1"/>
        <w:numPr>
          <w:ilvl w:val="0"/>
          <w:numId w:val="0"/>
        </w:numPr>
        <w:tabs>
          <w:tab w:val="num" w:pos="1440"/>
        </w:tabs>
        <w:ind w:right="-180"/>
        <w:rPr>
          <w:szCs w:val="22"/>
        </w:rPr>
      </w:pPr>
    </w:p>
    <w:p w:rsidR="00176171" w:rsidRPr="008A3FFD" w:rsidRDefault="00176171" w:rsidP="008229AA">
      <w:pPr>
        <w:pStyle w:val="par1"/>
        <w:ind w:right="-180"/>
        <w:rPr>
          <w:szCs w:val="22"/>
        </w:rPr>
      </w:pPr>
      <w:r w:rsidRPr="008A3FFD">
        <w:rPr>
          <w:rStyle w:val="underline"/>
          <w:b/>
          <w:bCs/>
          <w:szCs w:val="22"/>
          <w:u w:val="single"/>
        </w:rPr>
        <w:t>Reporting</w:t>
      </w:r>
      <w:r w:rsidRPr="008A3FFD">
        <w:rPr>
          <w:b/>
          <w:szCs w:val="22"/>
          <w:u w:val="single"/>
        </w:rPr>
        <w:t xml:space="preserve"> Noncompliance</w:t>
      </w:r>
      <w:r w:rsidR="003B4F66" w:rsidRPr="008A3FFD">
        <w:rPr>
          <w:b/>
          <w:szCs w:val="22"/>
        </w:rPr>
        <w:t>.</w:t>
      </w:r>
      <w:r w:rsidRPr="008A3FFD">
        <w:rPr>
          <w:szCs w:val="22"/>
        </w:rPr>
        <w:t xml:space="preserve">  </w:t>
      </w:r>
      <w:r w:rsidR="00D82C38" w:rsidRPr="008A3FFD">
        <w:rPr>
          <w:szCs w:val="22"/>
        </w:rPr>
        <w:t>Open Access</w:t>
      </w:r>
      <w:r w:rsidR="00D82C38" w:rsidRPr="008A3FFD" w:rsidDel="00AE306C">
        <w:rPr>
          <w:szCs w:val="22"/>
        </w:rPr>
        <w:t xml:space="preserve"> </w:t>
      </w:r>
      <w:r w:rsidRPr="008A3FFD">
        <w:rPr>
          <w:szCs w:val="22"/>
        </w:rPr>
        <w:t xml:space="preserve">shall report any noncompliance with the </w:t>
      </w:r>
      <w:r w:rsidR="00D82C38" w:rsidRPr="008A3FFD">
        <w:rPr>
          <w:szCs w:val="22"/>
        </w:rPr>
        <w:t>Federal Regulatory Reporting and Contribution</w:t>
      </w:r>
      <w:r w:rsidRPr="008A3FFD">
        <w:rPr>
          <w:szCs w:val="22"/>
        </w:rPr>
        <w:t xml:space="preserve"> Rules</w:t>
      </w:r>
      <w:r w:rsidR="00024555" w:rsidRPr="008A3FFD">
        <w:rPr>
          <w:szCs w:val="22"/>
        </w:rPr>
        <w:t xml:space="preserve"> </w:t>
      </w:r>
      <w:r w:rsidRPr="008A3FFD">
        <w:rPr>
          <w:szCs w:val="22"/>
        </w:rPr>
        <w:t xml:space="preserve">and </w:t>
      </w:r>
      <w:r w:rsidR="00E10B64">
        <w:rPr>
          <w:szCs w:val="22"/>
        </w:rPr>
        <w:t xml:space="preserve">with </w:t>
      </w:r>
      <w:r w:rsidRPr="008A3FFD">
        <w:rPr>
          <w:szCs w:val="22"/>
        </w:rPr>
        <w:t xml:space="preserve">the terms and conditions of this Consent Decree within fifteen (15) calendar days after discovery of such noncompliance.  Such reports shall include a detailed explanation of (i) each instance of noncompliance; (ii) the steps that </w:t>
      </w:r>
      <w:r w:rsidR="00D82C38" w:rsidRPr="008A3FFD">
        <w:rPr>
          <w:szCs w:val="22"/>
        </w:rPr>
        <w:t>Open Access</w:t>
      </w:r>
      <w:r w:rsidR="00D82C38" w:rsidRPr="008A3FFD" w:rsidDel="00AE306C">
        <w:rPr>
          <w:szCs w:val="22"/>
        </w:rPr>
        <w:t xml:space="preserve"> </w:t>
      </w:r>
      <w:r w:rsidRPr="008A3FFD">
        <w:rPr>
          <w:szCs w:val="22"/>
        </w:rPr>
        <w:t xml:space="preserve">has taken or will take to remedy such noncompliance; (iii) the schedule on which such remedial actions will be taken; and (iv) the steps that </w:t>
      </w:r>
      <w:r w:rsidR="00D82C38" w:rsidRPr="008A3FFD">
        <w:rPr>
          <w:szCs w:val="22"/>
        </w:rPr>
        <w:t>Open Access</w:t>
      </w:r>
      <w:r w:rsidR="00D82C38" w:rsidRPr="008A3FFD" w:rsidDel="00AE306C">
        <w:rPr>
          <w:szCs w:val="22"/>
        </w:rPr>
        <w:t xml:space="preserve"> </w:t>
      </w:r>
      <w:r w:rsidRPr="008A3FFD">
        <w:rPr>
          <w:szCs w:val="22"/>
        </w:rPr>
        <w:t>has taken or will take to prevent the recurrence of any such noncompliance.  All reports of noncompliance shall be submitted to the Chief, Investigations and Hearings Division, Enforcement Bureau, Federal Communications Commission, Room 4-C330, 445 12th Street, S</w:t>
      </w:r>
      <w:r w:rsidR="00E10B64">
        <w:rPr>
          <w:szCs w:val="22"/>
        </w:rPr>
        <w:t>.</w:t>
      </w:r>
      <w:r w:rsidRPr="008A3FFD">
        <w:rPr>
          <w:szCs w:val="22"/>
        </w:rPr>
        <w:t>W</w:t>
      </w:r>
      <w:r w:rsidR="00E10B64">
        <w:rPr>
          <w:szCs w:val="22"/>
        </w:rPr>
        <w:t>.</w:t>
      </w:r>
      <w:r w:rsidRPr="008A3FFD">
        <w:rPr>
          <w:szCs w:val="22"/>
        </w:rPr>
        <w:t>, Washington, D</w:t>
      </w:r>
      <w:r w:rsidR="00E10B64">
        <w:rPr>
          <w:szCs w:val="22"/>
        </w:rPr>
        <w:t>.</w:t>
      </w:r>
      <w:r w:rsidRPr="008A3FFD">
        <w:rPr>
          <w:szCs w:val="22"/>
        </w:rPr>
        <w:t>C</w:t>
      </w:r>
      <w:r w:rsidR="00E10B64">
        <w:rPr>
          <w:szCs w:val="22"/>
        </w:rPr>
        <w:t>.</w:t>
      </w:r>
      <w:r w:rsidRPr="008A3FFD">
        <w:rPr>
          <w:szCs w:val="22"/>
        </w:rPr>
        <w:t xml:space="preserve"> 20554, with a copy submitted electronically to Theresa Z. Cavanaugh at Terry.Cavanaugh@fcc.gov, </w:t>
      </w:r>
      <w:r w:rsidR="00D82C38" w:rsidRPr="008A3FFD">
        <w:rPr>
          <w:szCs w:val="22"/>
        </w:rPr>
        <w:t>Pamela S. Kane at</w:t>
      </w:r>
      <w:r w:rsidR="00602D62">
        <w:t xml:space="preserve"> Pamela.Kane@fcc.gov</w:t>
      </w:r>
      <w:r w:rsidR="00D82C38" w:rsidRPr="005027E7">
        <w:rPr>
          <w:szCs w:val="22"/>
        </w:rPr>
        <w:t xml:space="preserve">, </w:t>
      </w:r>
      <w:r w:rsidRPr="005027E7">
        <w:rPr>
          <w:rFonts w:eastAsia="MS Mincho"/>
          <w:szCs w:val="22"/>
        </w:rPr>
        <w:t>William A. Kehoe at William.Kehoe</w:t>
      </w:r>
      <w:r w:rsidRPr="00CE40F7">
        <w:rPr>
          <w:rFonts w:eastAsia="MS Mincho"/>
          <w:kern w:val="28"/>
          <w:szCs w:val="22"/>
        </w:rPr>
        <w:t>@fcc.gov,</w:t>
      </w:r>
      <w:r w:rsidRPr="00CE40F7">
        <w:rPr>
          <w:szCs w:val="22"/>
        </w:rPr>
        <w:t xml:space="preserve"> and </w:t>
      </w:r>
      <w:r w:rsidR="000B061D" w:rsidRPr="00CE40F7">
        <w:rPr>
          <w:szCs w:val="22"/>
        </w:rPr>
        <w:t>David M. Janas</w:t>
      </w:r>
      <w:r w:rsidRPr="00CE40F7">
        <w:rPr>
          <w:szCs w:val="22"/>
        </w:rPr>
        <w:t xml:space="preserve"> at </w:t>
      </w:r>
      <w:r w:rsidR="000B061D" w:rsidRPr="008A3FFD">
        <w:rPr>
          <w:szCs w:val="22"/>
        </w:rPr>
        <w:t>David</w:t>
      </w:r>
      <w:r w:rsidRPr="008A3FFD">
        <w:rPr>
          <w:szCs w:val="22"/>
        </w:rPr>
        <w:t>.</w:t>
      </w:r>
      <w:r w:rsidR="000B061D" w:rsidRPr="008A3FFD">
        <w:rPr>
          <w:szCs w:val="22"/>
        </w:rPr>
        <w:t>Janas</w:t>
      </w:r>
      <w:r w:rsidRPr="008A3FFD">
        <w:rPr>
          <w:szCs w:val="22"/>
        </w:rPr>
        <w:t xml:space="preserve">@fcc.gov.   </w:t>
      </w:r>
    </w:p>
    <w:p w:rsidR="00176171" w:rsidRPr="008A3FFD" w:rsidRDefault="00176171" w:rsidP="008229AA">
      <w:pPr>
        <w:pStyle w:val="par1"/>
        <w:numPr>
          <w:ilvl w:val="0"/>
          <w:numId w:val="0"/>
        </w:numPr>
        <w:ind w:right="-180"/>
        <w:rPr>
          <w:szCs w:val="22"/>
        </w:rPr>
      </w:pPr>
    </w:p>
    <w:p w:rsidR="00176171" w:rsidRPr="008A3FFD" w:rsidRDefault="00176171" w:rsidP="008229AA">
      <w:pPr>
        <w:pStyle w:val="par1"/>
        <w:ind w:right="-180"/>
        <w:rPr>
          <w:szCs w:val="22"/>
        </w:rPr>
      </w:pPr>
      <w:r w:rsidRPr="008A3FFD">
        <w:rPr>
          <w:b/>
          <w:szCs w:val="22"/>
          <w:u w:val="single"/>
        </w:rPr>
        <w:t>Compliance Reports</w:t>
      </w:r>
      <w:r w:rsidRPr="008A3FFD">
        <w:rPr>
          <w:b/>
          <w:szCs w:val="22"/>
        </w:rPr>
        <w:t>.</w:t>
      </w:r>
      <w:r w:rsidRPr="008A3FFD">
        <w:rPr>
          <w:szCs w:val="22"/>
        </w:rPr>
        <w:t xml:space="preserve">  </w:t>
      </w:r>
      <w:r w:rsidR="000B061D" w:rsidRPr="008A3FFD">
        <w:rPr>
          <w:szCs w:val="22"/>
        </w:rPr>
        <w:t xml:space="preserve">Open Access </w:t>
      </w:r>
      <w:r w:rsidRPr="008A3FFD">
        <w:rPr>
          <w:szCs w:val="22"/>
        </w:rPr>
        <w:t>shall file Compliance Reports with the Commission ninety (90) calendar days after the Effective Date, twelve (12) months after the Effective Date,</w:t>
      </w:r>
      <w:r w:rsidR="00E62AF2" w:rsidRPr="008A3FFD">
        <w:rPr>
          <w:szCs w:val="22"/>
        </w:rPr>
        <w:t xml:space="preserve"> </w:t>
      </w:r>
      <w:r w:rsidRPr="008A3FFD">
        <w:rPr>
          <w:szCs w:val="22"/>
        </w:rPr>
        <w:t>twenty-four (24) months</w:t>
      </w:r>
      <w:r w:rsidR="002A18BD" w:rsidRPr="008A3FFD">
        <w:rPr>
          <w:szCs w:val="22"/>
        </w:rPr>
        <w:t xml:space="preserve"> after the Effective Date</w:t>
      </w:r>
      <w:r w:rsidR="000B061D" w:rsidRPr="008A3FFD">
        <w:rPr>
          <w:szCs w:val="22"/>
        </w:rPr>
        <w:t>, and thirty-six (36) months</w:t>
      </w:r>
      <w:r w:rsidRPr="008A3FFD">
        <w:rPr>
          <w:szCs w:val="22"/>
        </w:rPr>
        <w:t xml:space="preserve"> after the Effective Date.  </w:t>
      </w:r>
    </w:p>
    <w:p w:rsidR="00176171" w:rsidRPr="008A3FFD" w:rsidRDefault="00176171" w:rsidP="008229AA">
      <w:pPr>
        <w:pStyle w:val="par1"/>
        <w:numPr>
          <w:ilvl w:val="0"/>
          <w:numId w:val="0"/>
        </w:numPr>
        <w:ind w:right="-180"/>
        <w:rPr>
          <w:szCs w:val="22"/>
        </w:rPr>
      </w:pPr>
    </w:p>
    <w:p w:rsidR="00176171" w:rsidRPr="008A3FFD" w:rsidRDefault="00176171" w:rsidP="008229AA">
      <w:pPr>
        <w:numPr>
          <w:ilvl w:val="0"/>
          <w:numId w:val="7"/>
        </w:numPr>
        <w:tabs>
          <w:tab w:val="left" w:pos="1800"/>
        </w:tabs>
        <w:ind w:right="-180"/>
        <w:rPr>
          <w:sz w:val="22"/>
          <w:szCs w:val="22"/>
        </w:rPr>
      </w:pPr>
      <w:r w:rsidRPr="008A3FFD">
        <w:rPr>
          <w:sz w:val="22"/>
          <w:szCs w:val="22"/>
        </w:rPr>
        <w:t xml:space="preserve">Each Compliance Report shall include a detailed description of </w:t>
      </w:r>
      <w:r w:rsidR="000B061D" w:rsidRPr="00DA75D4">
        <w:rPr>
          <w:sz w:val="22"/>
          <w:szCs w:val="22"/>
        </w:rPr>
        <w:t>Open Access</w:t>
      </w:r>
      <w:r w:rsidR="00B6072B" w:rsidRPr="005027E7">
        <w:rPr>
          <w:sz w:val="22"/>
          <w:szCs w:val="22"/>
        </w:rPr>
        <w:t xml:space="preserve">’s </w:t>
      </w:r>
      <w:r w:rsidRPr="005027E7">
        <w:rPr>
          <w:sz w:val="22"/>
          <w:szCs w:val="22"/>
        </w:rPr>
        <w:t>efforts during the relevant period to comply with the terms and conditions of this Consent Decree</w:t>
      </w:r>
      <w:r w:rsidR="008B4588" w:rsidRPr="005027E7">
        <w:rPr>
          <w:sz w:val="22"/>
          <w:szCs w:val="22"/>
        </w:rPr>
        <w:t xml:space="preserve"> and</w:t>
      </w:r>
      <w:r w:rsidRPr="005027E7">
        <w:rPr>
          <w:sz w:val="22"/>
          <w:szCs w:val="22"/>
        </w:rPr>
        <w:t xml:space="preserve"> the </w:t>
      </w:r>
      <w:r w:rsidR="000B061D" w:rsidRPr="005027E7">
        <w:rPr>
          <w:sz w:val="22"/>
          <w:szCs w:val="22"/>
        </w:rPr>
        <w:t>Federal Regulatory Reporting and Contribution</w:t>
      </w:r>
      <w:r w:rsidR="000B061D" w:rsidRPr="00DA75D4">
        <w:rPr>
          <w:sz w:val="22"/>
          <w:szCs w:val="22"/>
        </w:rPr>
        <w:t xml:space="preserve"> </w:t>
      </w:r>
      <w:r w:rsidRPr="005027E7">
        <w:rPr>
          <w:sz w:val="22"/>
          <w:szCs w:val="22"/>
        </w:rPr>
        <w:t>Rules.  In addition, each Compliance Report shall include a certification by the Compliance Officer, as an agent of and on behalf of</w:t>
      </w:r>
      <w:r w:rsidR="00B6072B" w:rsidRPr="005027E7">
        <w:rPr>
          <w:sz w:val="22"/>
          <w:szCs w:val="22"/>
        </w:rPr>
        <w:t xml:space="preserve"> </w:t>
      </w:r>
      <w:r w:rsidR="000B061D" w:rsidRPr="005027E7">
        <w:rPr>
          <w:sz w:val="22"/>
          <w:szCs w:val="22"/>
        </w:rPr>
        <w:t>Open Access</w:t>
      </w:r>
      <w:r w:rsidRPr="005027E7">
        <w:rPr>
          <w:sz w:val="22"/>
          <w:szCs w:val="22"/>
        </w:rPr>
        <w:t xml:space="preserve">, stating that the Compliance Officer has personal knowledge that </w:t>
      </w:r>
      <w:r w:rsidR="000B061D" w:rsidRPr="005027E7">
        <w:rPr>
          <w:sz w:val="22"/>
          <w:szCs w:val="22"/>
        </w:rPr>
        <w:t>Open Access</w:t>
      </w:r>
      <w:r w:rsidR="00B6072B" w:rsidRPr="005027E7">
        <w:rPr>
          <w:sz w:val="22"/>
          <w:szCs w:val="22"/>
        </w:rPr>
        <w:t xml:space="preserve"> </w:t>
      </w:r>
      <w:r w:rsidRPr="005027E7">
        <w:rPr>
          <w:sz w:val="22"/>
          <w:szCs w:val="22"/>
        </w:rPr>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sidR="000B061D" w:rsidRPr="0048774A">
        <w:rPr>
          <w:sz w:val="22"/>
          <w:szCs w:val="22"/>
        </w:rPr>
        <w:t>1</w:t>
      </w:r>
      <w:r w:rsidR="001D07C6" w:rsidRPr="0048774A">
        <w:rPr>
          <w:sz w:val="22"/>
          <w:szCs w:val="22"/>
        </w:rPr>
        <w:t>4</w:t>
      </w:r>
      <w:r w:rsidR="001A3AD5" w:rsidRPr="00CE40F7">
        <w:rPr>
          <w:sz w:val="22"/>
          <w:szCs w:val="22"/>
        </w:rPr>
        <w:t xml:space="preserve"> </w:t>
      </w:r>
      <w:r w:rsidRPr="00CE40F7">
        <w:rPr>
          <w:sz w:val="22"/>
          <w:szCs w:val="22"/>
        </w:rPr>
        <w:t>of this Consent Decree.</w:t>
      </w:r>
    </w:p>
    <w:p w:rsidR="00176171" w:rsidRPr="008A3FFD" w:rsidRDefault="00176171" w:rsidP="008229AA">
      <w:pPr>
        <w:pStyle w:val="par1"/>
        <w:numPr>
          <w:ilvl w:val="0"/>
          <w:numId w:val="0"/>
        </w:numPr>
        <w:ind w:left="1440" w:right="-180"/>
        <w:rPr>
          <w:szCs w:val="22"/>
        </w:rPr>
      </w:pPr>
    </w:p>
    <w:p w:rsidR="00176171" w:rsidRPr="005027E7" w:rsidRDefault="00176171" w:rsidP="008229AA">
      <w:pPr>
        <w:numPr>
          <w:ilvl w:val="0"/>
          <w:numId w:val="7"/>
        </w:numPr>
        <w:tabs>
          <w:tab w:val="left" w:pos="1800"/>
        </w:tabs>
        <w:ind w:right="-180"/>
        <w:rPr>
          <w:sz w:val="22"/>
          <w:szCs w:val="22"/>
        </w:rPr>
      </w:pPr>
      <w:r w:rsidRPr="008A3FFD">
        <w:rPr>
          <w:sz w:val="22"/>
          <w:szCs w:val="22"/>
        </w:rPr>
        <w:t>The Compliance Officer’s certification shall be accompanied by a statement explaining the basis for such certification and shall comply with Section 1.16 of the Rules</w:t>
      </w:r>
      <w:r w:rsidRPr="005027E7">
        <w:rPr>
          <w:sz w:val="22"/>
          <w:szCs w:val="22"/>
        </w:rPr>
        <w:t xml:space="preserve"> and be subscribed to as true under penalty of perjury in substantially the form set forth </w:t>
      </w:r>
      <w:r w:rsidR="007A3862">
        <w:rPr>
          <w:sz w:val="22"/>
          <w:szCs w:val="22"/>
        </w:rPr>
        <w:t>therein</w:t>
      </w:r>
      <w:r w:rsidRPr="005027E7">
        <w:rPr>
          <w:sz w:val="22"/>
          <w:szCs w:val="22"/>
        </w:rPr>
        <w:t>.</w:t>
      </w:r>
      <w:r w:rsidR="007A3862" w:rsidRPr="007A3862">
        <w:rPr>
          <w:rStyle w:val="FootnoteReference"/>
          <w:sz w:val="22"/>
          <w:szCs w:val="22"/>
        </w:rPr>
        <w:t xml:space="preserve"> </w:t>
      </w:r>
      <w:r w:rsidR="007A3862" w:rsidRPr="005027E7">
        <w:rPr>
          <w:rStyle w:val="FootnoteReference"/>
          <w:sz w:val="22"/>
          <w:szCs w:val="22"/>
        </w:rPr>
        <w:footnoteReference w:id="19"/>
      </w:r>
      <w:r w:rsidRPr="005027E7">
        <w:rPr>
          <w:sz w:val="22"/>
          <w:szCs w:val="22"/>
        </w:rPr>
        <w:t xml:space="preserve"> </w:t>
      </w:r>
    </w:p>
    <w:p w:rsidR="00176171" w:rsidRPr="005027E7" w:rsidRDefault="00176171" w:rsidP="008229AA">
      <w:pPr>
        <w:pStyle w:val="par1"/>
        <w:numPr>
          <w:ilvl w:val="0"/>
          <w:numId w:val="0"/>
        </w:numPr>
        <w:ind w:right="-180"/>
        <w:rPr>
          <w:szCs w:val="22"/>
        </w:rPr>
      </w:pPr>
    </w:p>
    <w:p w:rsidR="00176171" w:rsidRPr="005027E7" w:rsidRDefault="004678A3" w:rsidP="008229AA">
      <w:pPr>
        <w:numPr>
          <w:ilvl w:val="0"/>
          <w:numId w:val="7"/>
        </w:numPr>
        <w:tabs>
          <w:tab w:val="left" w:pos="1800"/>
        </w:tabs>
        <w:ind w:right="-180"/>
        <w:rPr>
          <w:sz w:val="22"/>
          <w:szCs w:val="22"/>
        </w:rPr>
      </w:pPr>
      <w:r w:rsidRPr="005027E7">
        <w:rPr>
          <w:sz w:val="22"/>
          <w:szCs w:val="22"/>
        </w:rPr>
        <w:t xml:space="preserve">If the Compliance Officer cannot provide the requisite certification, the Compliance Officer, as an agent of and on behalf of </w:t>
      </w:r>
      <w:r w:rsidR="000B061D" w:rsidRPr="00DA75D4">
        <w:rPr>
          <w:sz w:val="22"/>
          <w:szCs w:val="22"/>
        </w:rPr>
        <w:t>Open Access</w:t>
      </w:r>
      <w:r w:rsidRPr="005027E7">
        <w:rPr>
          <w:sz w:val="22"/>
          <w:szCs w:val="22"/>
        </w:rPr>
        <w:t xml:space="preserve">, shall provide the Commission with a detailed explanation of the reason(s) why and describe fully (i) each instance of noncompliance; (ii) the steps that </w:t>
      </w:r>
      <w:r w:rsidR="000B061D" w:rsidRPr="00DA75D4">
        <w:rPr>
          <w:sz w:val="22"/>
          <w:szCs w:val="22"/>
        </w:rPr>
        <w:t>Open Access</w:t>
      </w:r>
      <w:r w:rsidRPr="005027E7" w:rsidDel="00B6072B">
        <w:rPr>
          <w:sz w:val="22"/>
          <w:szCs w:val="22"/>
        </w:rPr>
        <w:t xml:space="preserve"> </w:t>
      </w:r>
      <w:r w:rsidRPr="005027E7">
        <w:rPr>
          <w:sz w:val="22"/>
          <w:szCs w:val="22"/>
        </w:rPr>
        <w:t xml:space="preserve">has taken or will take to remedy such noncompliance, including the schedule on which proposed remedial actions will be taken; and (iii) the steps that </w:t>
      </w:r>
      <w:r w:rsidR="000B061D" w:rsidRPr="00DA75D4">
        <w:rPr>
          <w:sz w:val="22"/>
          <w:szCs w:val="22"/>
        </w:rPr>
        <w:t>Open Access</w:t>
      </w:r>
      <w:r w:rsidR="000B061D" w:rsidRPr="005027E7">
        <w:rPr>
          <w:sz w:val="22"/>
          <w:szCs w:val="22"/>
        </w:rPr>
        <w:t xml:space="preserve"> </w:t>
      </w:r>
      <w:r w:rsidRPr="005027E7">
        <w:rPr>
          <w:sz w:val="22"/>
          <w:szCs w:val="22"/>
        </w:rPr>
        <w:t>has taken or will take to prevent the recurrence of any such noncompliance, including the schedule on which such preventive action will be taken.</w:t>
      </w:r>
    </w:p>
    <w:p w:rsidR="00176171" w:rsidRPr="005027E7" w:rsidRDefault="00176171" w:rsidP="008229AA">
      <w:pPr>
        <w:tabs>
          <w:tab w:val="left" w:pos="1440"/>
          <w:tab w:val="left" w:pos="1800"/>
        </w:tabs>
        <w:ind w:right="-180"/>
        <w:rPr>
          <w:sz w:val="22"/>
          <w:szCs w:val="22"/>
        </w:rPr>
      </w:pPr>
    </w:p>
    <w:p w:rsidR="00176171" w:rsidRPr="005027E7" w:rsidRDefault="00176171" w:rsidP="008229AA">
      <w:pPr>
        <w:numPr>
          <w:ilvl w:val="0"/>
          <w:numId w:val="7"/>
        </w:numPr>
        <w:tabs>
          <w:tab w:val="left" w:pos="1800"/>
        </w:tabs>
        <w:ind w:right="-180"/>
        <w:rPr>
          <w:sz w:val="22"/>
          <w:szCs w:val="22"/>
        </w:rPr>
      </w:pPr>
      <w:r w:rsidRPr="005027E7">
        <w:rPr>
          <w:sz w:val="22"/>
          <w:szCs w:val="22"/>
        </w:rPr>
        <w:t>All Compliance Reports shall be submitted to the Chief, Investigations &amp; Hearings Division, Enforcement Bureau, Federal Communications Commission, Room 4</w:t>
      </w:r>
      <w:r w:rsidRPr="005027E7">
        <w:rPr>
          <w:sz w:val="22"/>
          <w:szCs w:val="22"/>
        </w:rPr>
        <w:noBreakHyphen/>
        <w:t>C330, 445 12th Street, SW, Washington, DC 20554, with a copy submitted electronically to Theresa Z. Cavanaugh at Terry.</w:t>
      </w:r>
      <w:hyperlink r:id="rId14" w:history="1">
        <w:r w:rsidR="00602D62" w:rsidRPr="00602D62">
          <w:rPr>
            <w:rStyle w:val="Hyperlink"/>
            <w:color w:val="auto"/>
            <w:sz w:val="22"/>
            <w:szCs w:val="22"/>
            <w:u w:val="none"/>
          </w:rPr>
          <w:t>Cavanaugh@fcc.gov</w:t>
        </w:r>
      </w:hyperlink>
      <w:r w:rsidRPr="005027E7">
        <w:rPr>
          <w:sz w:val="22"/>
          <w:szCs w:val="22"/>
        </w:rPr>
        <w:t xml:space="preserve">, </w:t>
      </w:r>
      <w:r w:rsidR="000B061D" w:rsidRPr="005027E7">
        <w:rPr>
          <w:sz w:val="22"/>
          <w:szCs w:val="22"/>
        </w:rPr>
        <w:t xml:space="preserve">Pamela S. Kane at </w:t>
      </w:r>
      <w:r w:rsidR="00602D62" w:rsidRPr="00602D62">
        <w:rPr>
          <w:sz w:val="22"/>
          <w:szCs w:val="22"/>
        </w:rPr>
        <w:t>Pamela.Kane@fcc.gov</w:t>
      </w:r>
      <w:r w:rsidR="000B061D" w:rsidRPr="005027E7">
        <w:rPr>
          <w:sz w:val="22"/>
          <w:szCs w:val="22"/>
        </w:rPr>
        <w:t>, William A. Kehoe at William.Kehoe@fcc.gov, and David M. Janas at David.Janas@fcc.gov</w:t>
      </w:r>
      <w:r w:rsidRPr="005027E7">
        <w:rPr>
          <w:sz w:val="22"/>
          <w:szCs w:val="22"/>
        </w:rPr>
        <w:t>.</w:t>
      </w:r>
    </w:p>
    <w:p w:rsidR="00176171" w:rsidRPr="005027E7" w:rsidRDefault="00176171" w:rsidP="008229AA">
      <w:pPr>
        <w:tabs>
          <w:tab w:val="left" w:pos="1440"/>
          <w:tab w:val="left" w:pos="1800"/>
        </w:tabs>
        <w:ind w:left="1080" w:right="-180"/>
        <w:rPr>
          <w:sz w:val="22"/>
          <w:szCs w:val="22"/>
        </w:rPr>
      </w:pPr>
    </w:p>
    <w:p w:rsidR="008B4588" w:rsidRPr="008A3FFD" w:rsidRDefault="008B4588" w:rsidP="008229AA">
      <w:pPr>
        <w:pStyle w:val="par1"/>
        <w:tabs>
          <w:tab w:val="clear" w:pos="1440"/>
        </w:tabs>
        <w:ind w:right="-180"/>
        <w:rPr>
          <w:szCs w:val="22"/>
        </w:rPr>
      </w:pPr>
      <w:r w:rsidRPr="005027E7">
        <w:rPr>
          <w:b/>
          <w:szCs w:val="22"/>
          <w:u w:val="single"/>
        </w:rPr>
        <w:t>Termination Date</w:t>
      </w:r>
      <w:r w:rsidR="003B4F66" w:rsidRPr="005027E7">
        <w:rPr>
          <w:b/>
          <w:szCs w:val="22"/>
        </w:rPr>
        <w:t>.</w:t>
      </w:r>
      <w:r w:rsidRPr="005027E7">
        <w:rPr>
          <w:szCs w:val="22"/>
        </w:rPr>
        <w:t xml:space="preserve">  Unless stated otherwise, the </w:t>
      </w:r>
      <w:r w:rsidR="00B715DF" w:rsidRPr="005027E7">
        <w:rPr>
          <w:szCs w:val="22"/>
        </w:rPr>
        <w:t xml:space="preserve">obligations </w:t>
      </w:r>
      <w:r w:rsidRPr="00CE40F7">
        <w:rPr>
          <w:szCs w:val="22"/>
        </w:rPr>
        <w:t xml:space="preserve">set </w:t>
      </w:r>
      <w:r w:rsidRPr="0048774A">
        <w:rPr>
          <w:szCs w:val="22"/>
        </w:rPr>
        <w:t xml:space="preserve">forth in </w:t>
      </w:r>
      <w:r w:rsidR="002934E0" w:rsidRPr="0048774A">
        <w:rPr>
          <w:szCs w:val="22"/>
        </w:rPr>
        <w:t xml:space="preserve">paragraphs </w:t>
      </w:r>
      <w:r w:rsidR="000B061D" w:rsidRPr="0048774A">
        <w:rPr>
          <w:szCs w:val="22"/>
        </w:rPr>
        <w:t>1</w:t>
      </w:r>
      <w:r w:rsidR="001D07C6" w:rsidRPr="0048774A">
        <w:rPr>
          <w:szCs w:val="22"/>
        </w:rPr>
        <w:t>3</w:t>
      </w:r>
      <w:r w:rsidR="007E7C3F" w:rsidRPr="0048774A">
        <w:rPr>
          <w:szCs w:val="22"/>
        </w:rPr>
        <w:t xml:space="preserve"> </w:t>
      </w:r>
      <w:r w:rsidRPr="0048774A">
        <w:rPr>
          <w:szCs w:val="22"/>
        </w:rPr>
        <w:t xml:space="preserve">through </w:t>
      </w:r>
      <w:r w:rsidR="000B061D" w:rsidRPr="0048774A">
        <w:rPr>
          <w:szCs w:val="22"/>
        </w:rPr>
        <w:t>1</w:t>
      </w:r>
      <w:r w:rsidR="001D07C6" w:rsidRPr="0048774A">
        <w:rPr>
          <w:szCs w:val="22"/>
        </w:rPr>
        <w:t>5</w:t>
      </w:r>
      <w:r w:rsidR="002934E0" w:rsidRPr="0048774A">
        <w:rPr>
          <w:szCs w:val="22"/>
        </w:rPr>
        <w:t xml:space="preserve"> of</w:t>
      </w:r>
      <w:r w:rsidRPr="0048774A">
        <w:rPr>
          <w:szCs w:val="22"/>
        </w:rPr>
        <w:t xml:space="preserve"> this Consent Decree shall expire </w:t>
      </w:r>
      <w:r w:rsidR="000B061D" w:rsidRPr="0048774A">
        <w:rPr>
          <w:szCs w:val="22"/>
        </w:rPr>
        <w:t>thirty-six</w:t>
      </w:r>
      <w:r w:rsidR="00E62AF2" w:rsidRPr="0048774A">
        <w:rPr>
          <w:szCs w:val="22"/>
        </w:rPr>
        <w:t xml:space="preserve"> (</w:t>
      </w:r>
      <w:r w:rsidR="000B061D" w:rsidRPr="0048774A">
        <w:rPr>
          <w:szCs w:val="22"/>
        </w:rPr>
        <w:t>36</w:t>
      </w:r>
      <w:r w:rsidR="00E62AF2" w:rsidRPr="0048774A">
        <w:rPr>
          <w:szCs w:val="22"/>
        </w:rPr>
        <w:t xml:space="preserve">) months </w:t>
      </w:r>
      <w:r w:rsidRPr="0048774A">
        <w:rPr>
          <w:szCs w:val="22"/>
        </w:rPr>
        <w:t>after the Effect</w:t>
      </w:r>
      <w:r w:rsidRPr="008A3FFD">
        <w:rPr>
          <w:szCs w:val="22"/>
        </w:rPr>
        <w:t>ive Date.</w:t>
      </w:r>
    </w:p>
    <w:p w:rsidR="001D07C6" w:rsidRPr="008A3FFD" w:rsidRDefault="001D07C6" w:rsidP="00B74F43">
      <w:pPr>
        <w:pStyle w:val="par1"/>
        <w:numPr>
          <w:ilvl w:val="0"/>
          <w:numId w:val="0"/>
        </w:numPr>
        <w:ind w:left="720" w:right="-180"/>
        <w:rPr>
          <w:szCs w:val="22"/>
        </w:rPr>
      </w:pPr>
    </w:p>
    <w:p w:rsidR="001D07C6" w:rsidRPr="0070139F" w:rsidRDefault="001D07C6" w:rsidP="001D07C6">
      <w:pPr>
        <w:pStyle w:val="par1"/>
        <w:rPr>
          <w:szCs w:val="22"/>
        </w:rPr>
      </w:pPr>
      <w:r w:rsidRPr="0070139F">
        <w:rPr>
          <w:b/>
          <w:szCs w:val="22"/>
          <w:u w:val="single"/>
        </w:rPr>
        <w:t>Section 208 Complaints; Subsequent Investigations</w:t>
      </w:r>
      <w:r w:rsidRPr="005F1C61">
        <w:rPr>
          <w:b/>
          <w:szCs w:val="22"/>
        </w:rPr>
        <w:t xml:space="preserve">.  </w:t>
      </w:r>
      <w:r w:rsidRPr="00DA75D4">
        <w:rPr>
          <w:szCs w:val="22"/>
        </w:rPr>
        <w:t>Nothing in this Consent Decree shall prevent the Commission or its delegated authority from adjudicating complaints filed pursuant to Section 208 of the Act</w:t>
      </w:r>
      <w:r w:rsidRPr="005027E7">
        <w:rPr>
          <w:rStyle w:val="FootnoteReference"/>
          <w:sz w:val="22"/>
          <w:szCs w:val="22"/>
        </w:rPr>
        <w:footnoteReference w:id="20"/>
      </w:r>
      <w:r w:rsidRPr="005027E7">
        <w:rPr>
          <w:szCs w:val="22"/>
        </w:rPr>
        <w:t xml:space="preserve"> against Open Access</w:t>
      </w:r>
      <w:r w:rsidRPr="00CE40F7">
        <w:rPr>
          <w:szCs w:val="22"/>
        </w:rPr>
        <w:t xml:space="preserve"> 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Pr="008A3FFD">
        <w:rPr>
          <w:szCs w:val="22"/>
        </w:rPr>
        <w:t>Open Access with the Communications Laws.</w:t>
      </w:r>
    </w:p>
    <w:p w:rsidR="00176171" w:rsidRPr="008A3FFD" w:rsidRDefault="00176171" w:rsidP="008229AA">
      <w:pPr>
        <w:pStyle w:val="par1"/>
        <w:spacing w:before="240"/>
        <w:ind w:right="-180"/>
        <w:rPr>
          <w:rFonts w:eastAsia="MS Mincho"/>
          <w:szCs w:val="22"/>
        </w:rPr>
      </w:pPr>
      <w:r w:rsidRPr="008A3FFD">
        <w:rPr>
          <w:b/>
          <w:szCs w:val="22"/>
          <w:u w:val="single"/>
        </w:rPr>
        <w:t>Voluntary Contribution</w:t>
      </w:r>
      <w:r w:rsidRPr="008A3FFD">
        <w:rPr>
          <w:b/>
          <w:szCs w:val="22"/>
        </w:rPr>
        <w:t xml:space="preserve">. </w:t>
      </w:r>
      <w:r w:rsidRPr="008A3FFD">
        <w:rPr>
          <w:szCs w:val="22"/>
        </w:rPr>
        <w:t xml:space="preserve"> </w:t>
      </w:r>
      <w:r w:rsidR="000B061D" w:rsidRPr="008A3FFD">
        <w:rPr>
          <w:szCs w:val="22"/>
        </w:rPr>
        <w:t>Open Access</w:t>
      </w:r>
      <w:r w:rsidR="00B6072B" w:rsidRPr="008A3FFD">
        <w:rPr>
          <w:szCs w:val="22"/>
        </w:rPr>
        <w:t xml:space="preserve"> </w:t>
      </w:r>
      <w:r w:rsidRPr="008A3FFD">
        <w:rPr>
          <w:rFonts w:eastAsia="MS Mincho"/>
          <w:szCs w:val="22"/>
        </w:rPr>
        <w:t xml:space="preserve">agrees that it will make a voluntary contribution to the United States Treasury in the amount of </w:t>
      </w:r>
      <w:r w:rsidR="000B061D" w:rsidRPr="008A3FFD">
        <w:rPr>
          <w:rFonts w:eastAsia="MS Mincho"/>
          <w:szCs w:val="22"/>
        </w:rPr>
        <w:t>one million three hundred thousand</w:t>
      </w:r>
      <w:r w:rsidRPr="008A3FFD">
        <w:rPr>
          <w:rFonts w:eastAsia="MS Mincho"/>
          <w:szCs w:val="22"/>
        </w:rPr>
        <w:t xml:space="preserve"> dollars </w:t>
      </w:r>
      <w:r w:rsidR="00B6072B" w:rsidRPr="008A3FFD">
        <w:rPr>
          <w:rFonts w:eastAsia="MS Mincho"/>
          <w:szCs w:val="22"/>
        </w:rPr>
        <w:t>($</w:t>
      </w:r>
      <w:r w:rsidR="000B061D" w:rsidRPr="008A3FFD">
        <w:rPr>
          <w:rFonts w:eastAsia="MS Mincho"/>
          <w:szCs w:val="22"/>
        </w:rPr>
        <w:t>1,300</w:t>
      </w:r>
      <w:r w:rsidR="00B6072B" w:rsidRPr="008A3FFD">
        <w:rPr>
          <w:rFonts w:eastAsia="MS Mincho"/>
          <w:szCs w:val="22"/>
        </w:rPr>
        <w:t>,000</w:t>
      </w:r>
      <w:r w:rsidRPr="008A3FFD">
        <w:rPr>
          <w:rFonts w:eastAsia="MS Mincho"/>
          <w:szCs w:val="22"/>
        </w:rPr>
        <w:t>)</w:t>
      </w:r>
      <w:r w:rsidR="009703AC" w:rsidRPr="008A3FFD">
        <w:rPr>
          <w:rFonts w:eastAsia="MS Mincho"/>
          <w:szCs w:val="22"/>
        </w:rPr>
        <w:t xml:space="preserve"> </w:t>
      </w:r>
      <w:r w:rsidR="009703AC" w:rsidRPr="008A3FFD">
        <w:rPr>
          <w:szCs w:val="22"/>
        </w:rPr>
        <w:t>within thirty (30) calendar days after the Effective Date</w:t>
      </w:r>
      <w:r w:rsidRPr="008A3FFD">
        <w:rPr>
          <w:rFonts w:eastAsia="MS Mincho"/>
          <w:szCs w:val="22"/>
        </w:rPr>
        <w:t xml:space="preserve"> </w:t>
      </w:r>
      <w:r w:rsidRPr="008A3FFD">
        <w:rPr>
          <w:szCs w:val="22"/>
        </w:rPr>
        <w:t xml:space="preserve">(Voluntary Contribution). </w:t>
      </w:r>
      <w:r w:rsidR="006566FD" w:rsidRPr="008A3FFD">
        <w:rPr>
          <w:szCs w:val="22"/>
        </w:rPr>
        <w:t xml:space="preserve"> </w:t>
      </w:r>
      <w:r w:rsidR="000B061D" w:rsidRPr="008A3FFD">
        <w:rPr>
          <w:szCs w:val="22"/>
        </w:rPr>
        <w:t>Open Access</w:t>
      </w:r>
      <w:r w:rsidR="000B061D" w:rsidRPr="008A3FFD">
        <w:rPr>
          <w:rFonts w:eastAsia="MS Mincho"/>
          <w:szCs w:val="22"/>
        </w:rPr>
        <w:t xml:space="preserve"> </w:t>
      </w:r>
      <w:r w:rsidRPr="008A3FFD">
        <w:rPr>
          <w:rFonts w:eastAsia="MS Mincho"/>
          <w:szCs w:val="22"/>
        </w:rPr>
        <w:t xml:space="preserve">shall send electronic notification of payment to </w:t>
      </w:r>
      <w:r w:rsidRPr="008A3FFD">
        <w:rPr>
          <w:szCs w:val="22"/>
        </w:rPr>
        <w:t>Theresa Z. Cavanaugh at Terry.Cavanaugh@fcc.gov</w:t>
      </w:r>
      <w:r w:rsidR="00FA6D24">
        <w:rPr>
          <w:szCs w:val="22"/>
        </w:rPr>
        <w:t>,</w:t>
      </w:r>
      <w:r w:rsidR="00FA6D24" w:rsidRPr="00FA6D24">
        <w:rPr>
          <w:szCs w:val="22"/>
        </w:rPr>
        <w:t xml:space="preserve"> </w:t>
      </w:r>
      <w:r w:rsidR="00FA6D24" w:rsidRPr="005027E7">
        <w:rPr>
          <w:szCs w:val="22"/>
        </w:rPr>
        <w:t xml:space="preserve">Pamela S. Kane at </w:t>
      </w:r>
      <w:r w:rsidR="00FA6D24" w:rsidRPr="00602D62">
        <w:rPr>
          <w:szCs w:val="22"/>
        </w:rPr>
        <w:t>Pamela.Kane@fcc.gov</w:t>
      </w:r>
      <w:r w:rsidR="00FA6D24" w:rsidRPr="005027E7">
        <w:rPr>
          <w:szCs w:val="22"/>
        </w:rPr>
        <w:t xml:space="preserve">, </w:t>
      </w:r>
      <w:r w:rsidR="000B061D" w:rsidRPr="005027E7">
        <w:rPr>
          <w:rFonts w:eastAsia="MS Mincho"/>
          <w:szCs w:val="22"/>
        </w:rPr>
        <w:t>William A. Kehoe at William.Kehoe</w:t>
      </w:r>
      <w:r w:rsidR="000B061D" w:rsidRPr="00CE40F7">
        <w:rPr>
          <w:rFonts w:eastAsia="MS Mincho"/>
          <w:kern w:val="28"/>
          <w:szCs w:val="22"/>
        </w:rPr>
        <w:t>@fcc.gov,</w:t>
      </w:r>
      <w:r w:rsidR="000B061D" w:rsidRPr="00CE40F7">
        <w:rPr>
          <w:szCs w:val="22"/>
        </w:rPr>
        <w:t xml:space="preserve"> and David M. Janas at </w:t>
      </w:r>
      <w:r w:rsidR="000B061D" w:rsidRPr="008A3FFD">
        <w:rPr>
          <w:szCs w:val="22"/>
        </w:rPr>
        <w:t>David.Janas@fcc.gov</w:t>
      </w:r>
      <w:r w:rsidRPr="008A3FFD">
        <w:rPr>
          <w:szCs w:val="22"/>
        </w:rPr>
        <w:t xml:space="preserve"> on the date</w:t>
      </w:r>
      <w:r w:rsidR="0017513A" w:rsidRPr="008A3FFD">
        <w:rPr>
          <w:szCs w:val="22"/>
        </w:rPr>
        <w:t xml:space="preserve"> </w:t>
      </w:r>
      <w:r w:rsidR="009703AC" w:rsidRPr="008A3FFD">
        <w:rPr>
          <w:szCs w:val="22"/>
        </w:rPr>
        <w:t xml:space="preserve">said </w:t>
      </w:r>
      <w:r w:rsidR="0017513A" w:rsidRPr="008A3FFD">
        <w:rPr>
          <w:szCs w:val="22"/>
        </w:rPr>
        <w:t>payment is</w:t>
      </w:r>
      <w:r w:rsidRPr="008A3FFD">
        <w:rPr>
          <w:szCs w:val="22"/>
        </w:rPr>
        <w:t xml:space="preserve"> made.</w:t>
      </w:r>
      <w:r w:rsidRPr="008A3FFD">
        <w:rPr>
          <w:rFonts w:eastAsia="MS Mincho"/>
          <w:szCs w:val="22"/>
        </w:rPr>
        <w:t xml:space="preserve">  </w:t>
      </w:r>
      <w:r w:rsidR="009703AC" w:rsidRPr="008A3FFD">
        <w:rPr>
          <w:rFonts w:eastAsia="MS Mincho"/>
          <w:szCs w:val="22"/>
        </w:rPr>
        <w:t>The p</w:t>
      </w:r>
      <w:r w:rsidRPr="008A3FFD">
        <w:rPr>
          <w:rFonts w:eastAsia="MS Mincho"/>
          <w:szCs w:val="22"/>
        </w:rPr>
        <w:t xml:space="preserve">ayment must be made by check or similar instrument, wire transfer, or credit card, and must include the </w:t>
      </w:r>
      <w:r w:rsidR="008B4588" w:rsidRPr="008A3FFD">
        <w:rPr>
          <w:rFonts w:eastAsia="MS Mincho"/>
          <w:szCs w:val="22"/>
        </w:rPr>
        <w:t>Account N</w:t>
      </w:r>
      <w:r w:rsidRPr="008A3FFD">
        <w:rPr>
          <w:rFonts w:eastAsia="MS Mincho"/>
          <w:szCs w:val="22"/>
        </w:rPr>
        <w:t>umber and FRN referenced above.  Regardless of the form of payment, a completed FCC Form 159 (Remittance Advice) must be submitted.</w:t>
      </w:r>
      <w:r w:rsidRPr="005027E7">
        <w:rPr>
          <w:rStyle w:val="FootnoteReference"/>
          <w:rFonts w:eastAsia="MS Mincho"/>
          <w:sz w:val="22"/>
          <w:szCs w:val="22"/>
        </w:rPr>
        <w:footnoteReference w:id="21"/>
      </w:r>
      <w:r w:rsidRPr="005027E7">
        <w:rPr>
          <w:rFonts w:eastAsia="MS Mincho"/>
          <w:szCs w:val="22"/>
        </w:rPr>
        <w:t xml:space="preserve">  When completing the FCC Form 159, enter the Account Number in block number 23A (call sign/other ID) and enter the letters “FORF” in block number 24A (payment type code).  </w:t>
      </w:r>
      <w:r w:rsidRPr="00CE40F7">
        <w:rPr>
          <w:color w:val="000000"/>
          <w:szCs w:val="22"/>
        </w:rPr>
        <w:t xml:space="preserve">Below are additional instructions </w:t>
      </w:r>
      <w:r w:rsidR="008A3FFD">
        <w:rPr>
          <w:color w:val="000000"/>
          <w:szCs w:val="22"/>
        </w:rPr>
        <w:t xml:space="preserve">regarding </w:t>
      </w:r>
      <w:r w:rsidR="00B715DF" w:rsidRPr="00CE40F7">
        <w:rPr>
          <w:color w:val="000000"/>
          <w:szCs w:val="22"/>
        </w:rPr>
        <w:t xml:space="preserve"> </w:t>
      </w:r>
      <w:r w:rsidRPr="00CE40F7">
        <w:rPr>
          <w:color w:val="000000"/>
          <w:szCs w:val="22"/>
        </w:rPr>
        <w:t>the form of payment</w:t>
      </w:r>
      <w:r w:rsidRPr="008A3FFD">
        <w:rPr>
          <w:color w:val="000000"/>
          <w:szCs w:val="22"/>
        </w:rPr>
        <w:t>:</w:t>
      </w:r>
    </w:p>
    <w:p w:rsidR="00176171" w:rsidRPr="008A3FFD" w:rsidRDefault="00176171" w:rsidP="008229AA">
      <w:pPr>
        <w:pStyle w:val="ParaNum"/>
        <w:numPr>
          <w:ilvl w:val="0"/>
          <w:numId w:val="9"/>
        </w:numPr>
        <w:spacing w:before="120"/>
        <w:ind w:right="-180"/>
        <w:rPr>
          <w:rFonts w:eastAsia="MS Mincho"/>
          <w:szCs w:val="22"/>
        </w:rPr>
      </w:pPr>
      <w:bookmarkStart w:id="5" w:name="_DV_M87"/>
      <w:bookmarkStart w:id="6" w:name="_DV_M89"/>
      <w:bookmarkEnd w:id="5"/>
      <w:bookmarkEnd w:id="6"/>
      <w:r w:rsidRPr="008A3FFD">
        <w:rPr>
          <w:rFonts w:eastAsia="MS Mincho"/>
          <w:szCs w:val="22"/>
        </w:rPr>
        <w:t xml:space="preserve">Payment by </w:t>
      </w:r>
      <w:r w:rsidRPr="008A3FFD">
        <w:rPr>
          <w:szCs w:val="22"/>
        </w:rPr>
        <w:t>check</w:t>
      </w:r>
      <w:r w:rsidRPr="008A3FFD">
        <w:rPr>
          <w:rFonts w:eastAsia="MS Mincho"/>
          <w:szCs w:val="22"/>
        </w:rPr>
        <w:t xml:space="preserve"> or money order must be made payable to the order of the Federal Communications Commission.  Such payments (along with the completed Form 159) must be mailed to Federal Communications Commission, P.O. Box 979088, St. Louis, MO 63197</w:t>
      </w:r>
      <w:r w:rsidR="00024555" w:rsidRPr="008A3FFD">
        <w:rPr>
          <w:rFonts w:eastAsia="MS Mincho"/>
          <w:szCs w:val="22"/>
          <w:lang w:val="en-US"/>
        </w:rPr>
        <w:noBreakHyphen/>
      </w:r>
      <w:r w:rsidRPr="008A3FFD">
        <w:rPr>
          <w:rFonts w:eastAsia="MS Mincho"/>
          <w:szCs w:val="22"/>
        </w:rPr>
        <w:t>9000, or sent via overnight mail to U.S. Bank – Government Lockbox #979088, SL</w:t>
      </w:r>
      <w:r w:rsidR="00024555" w:rsidRPr="008A3FFD">
        <w:rPr>
          <w:rFonts w:eastAsia="MS Mincho"/>
          <w:szCs w:val="22"/>
          <w:lang w:val="en-US"/>
        </w:rPr>
        <w:noBreakHyphen/>
      </w:r>
      <w:r w:rsidRPr="008A3FFD">
        <w:rPr>
          <w:rFonts w:eastAsia="MS Mincho"/>
          <w:szCs w:val="22"/>
        </w:rPr>
        <w:t>MO-C2-GL, 1005 Convention Plaza, St. Louis, MO 63101.</w:t>
      </w:r>
    </w:p>
    <w:p w:rsidR="00176171" w:rsidRPr="008A3FFD" w:rsidRDefault="00176171" w:rsidP="008229AA">
      <w:pPr>
        <w:pStyle w:val="ParaNum"/>
        <w:numPr>
          <w:ilvl w:val="0"/>
          <w:numId w:val="9"/>
        </w:numPr>
        <w:spacing w:before="120"/>
        <w:ind w:right="-180"/>
        <w:rPr>
          <w:rFonts w:eastAsia="MS Mincho"/>
          <w:szCs w:val="22"/>
        </w:rPr>
      </w:pPr>
      <w:r w:rsidRPr="008A3FFD">
        <w:rPr>
          <w:rFonts w:eastAsia="MS Mincho"/>
          <w:szCs w:val="22"/>
        </w:rPr>
        <w:t xml:space="preserve">Payment by wire transfer must </w:t>
      </w:r>
      <w:r w:rsidRPr="008A3FFD">
        <w:rPr>
          <w:szCs w:val="22"/>
        </w:rPr>
        <w:t>be</w:t>
      </w:r>
      <w:r w:rsidRPr="008A3FFD">
        <w:rPr>
          <w:rFonts w:eastAsia="MS Mincho"/>
          <w:szCs w:val="22"/>
        </w:rPr>
        <w:t xml:space="preserv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176171" w:rsidRPr="008A3FFD" w:rsidRDefault="00176171" w:rsidP="008229AA">
      <w:pPr>
        <w:pStyle w:val="ParaNum"/>
        <w:numPr>
          <w:ilvl w:val="0"/>
          <w:numId w:val="9"/>
        </w:numPr>
        <w:spacing w:before="120"/>
        <w:ind w:right="-180"/>
        <w:rPr>
          <w:rFonts w:eastAsia="MS Mincho"/>
          <w:szCs w:val="22"/>
        </w:rPr>
      </w:pPr>
      <w:r w:rsidRPr="008A3FFD">
        <w:rPr>
          <w:rFonts w:eastAsia="MS Mincho"/>
          <w:szCs w:val="22"/>
        </w:rPr>
        <w:t xml:space="preserve">Payment by credit card must be made by providing the required credit card information on FCC Form 159 and signing and dating the Form 159 to authorize the credit card payment.  The completed </w:t>
      </w:r>
      <w:r w:rsidRPr="008A3FFD">
        <w:rPr>
          <w:szCs w:val="22"/>
        </w:rPr>
        <w:t>Form</w:t>
      </w:r>
      <w:r w:rsidRPr="008A3FFD">
        <w:rPr>
          <w:rFonts w:eastAsia="MS Mincho"/>
          <w:szCs w:val="22"/>
        </w:rPr>
        <w:t xml:space="preserve"> 159 must then be mailed to Federal Communications Commission, P.O. Box 979088, St. Louis, MO 63197-9000, or sent via overnight mail to U.S. Bank – Government Lockbox #979088, SL-MO-C2-GL, 1005 Convention Plaza, St. Louis, MO 63101. </w:t>
      </w:r>
      <w:r w:rsidR="008A3FFD">
        <w:rPr>
          <w:rFonts w:eastAsia="MS Mincho"/>
          <w:szCs w:val="22"/>
          <w:lang w:val="en-US"/>
        </w:rPr>
        <w:t xml:space="preserve">  </w:t>
      </w:r>
    </w:p>
    <w:p w:rsidR="00176171" w:rsidRPr="008A3FFD" w:rsidRDefault="00F31DB6" w:rsidP="008229AA">
      <w:pPr>
        <w:pStyle w:val="ParaNum"/>
        <w:numPr>
          <w:ilvl w:val="0"/>
          <w:numId w:val="0"/>
        </w:numPr>
        <w:ind w:right="-180"/>
        <w:rPr>
          <w:rFonts w:eastAsia="MS Mincho"/>
          <w:color w:val="000000"/>
          <w:szCs w:val="22"/>
          <w:lang w:eastAsia="ja-JP"/>
        </w:rPr>
      </w:pPr>
      <w:r w:rsidRPr="008A3FFD">
        <w:rPr>
          <w:rFonts w:eastAsia="MS Mincho"/>
          <w:szCs w:val="22"/>
          <w:lang w:val="en-US"/>
        </w:rPr>
        <w:t xml:space="preserve">Questions </w:t>
      </w:r>
      <w:r w:rsidR="00176171" w:rsidRPr="008A3FFD">
        <w:rPr>
          <w:rFonts w:eastAsia="MS Mincho"/>
          <w:szCs w:val="22"/>
        </w:rPr>
        <w:t xml:space="preserve">regarding payment </w:t>
      </w:r>
      <w:r w:rsidRPr="008A3FFD">
        <w:rPr>
          <w:rFonts w:eastAsia="MS Mincho"/>
          <w:szCs w:val="22"/>
        </w:rPr>
        <w:t>procedure should</w:t>
      </w:r>
      <w:r w:rsidRPr="008A3FFD">
        <w:rPr>
          <w:rFonts w:eastAsia="MS Mincho"/>
          <w:szCs w:val="22"/>
          <w:lang w:val="en-US"/>
        </w:rPr>
        <w:t xml:space="preserve"> be addressed to </w:t>
      </w:r>
      <w:r w:rsidR="00176171" w:rsidRPr="008A3FFD">
        <w:rPr>
          <w:rFonts w:eastAsia="MS Mincho"/>
          <w:szCs w:val="22"/>
        </w:rPr>
        <w:t>the Financial Operations Group Help Desk by phone, 1-877-480-3201, or by e</w:t>
      </w:r>
      <w:r w:rsidRPr="008A3FFD">
        <w:rPr>
          <w:rFonts w:eastAsia="MS Mincho"/>
          <w:szCs w:val="22"/>
        </w:rPr>
        <w:t>−</w:t>
      </w:r>
      <w:r w:rsidR="00176171" w:rsidRPr="008A3FFD">
        <w:rPr>
          <w:rFonts w:eastAsia="MS Mincho"/>
          <w:szCs w:val="22"/>
        </w:rPr>
        <w:t>mail, ARINQUIRIES@fcc.gov. </w:t>
      </w:r>
    </w:p>
    <w:p w:rsidR="00176171" w:rsidRPr="005027E7" w:rsidRDefault="00176171" w:rsidP="008229AA">
      <w:pPr>
        <w:pStyle w:val="par1"/>
        <w:spacing w:before="240"/>
        <w:ind w:right="-180"/>
        <w:rPr>
          <w:szCs w:val="22"/>
        </w:rPr>
      </w:pPr>
      <w:r w:rsidRPr="008A3FFD">
        <w:rPr>
          <w:b/>
          <w:szCs w:val="22"/>
          <w:u w:val="single"/>
        </w:rPr>
        <w:t>Waivers</w:t>
      </w:r>
      <w:r w:rsidRPr="008A3FFD">
        <w:rPr>
          <w:b/>
          <w:szCs w:val="22"/>
        </w:rPr>
        <w:t xml:space="preserve">. </w:t>
      </w:r>
      <w:r w:rsidRPr="008A3FFD">
        <w:rPr>
          <w:szCs w:val="22"/>
        </w:rPr>
        <w:t xml:space="preserve"> </w:t>
      </w:r>
      <w:r w:rsidR="000B061D" w:rsidRPr="008A3FFD">
        <w:rPr>
          <w:szCs w:val="22"/>
        </w:rPr>
        <w:t xml:space="preserve">Open Access </w:t>
      </w:r>
      <w:r w:rsidRPr="008A3FFD">
        <w:rPr>
          <w:szCs w:val="22"/>
        </w:rPr>
        <w:t xml:space="preserve">waives any and all rights it may have to seek administrative or judicial reconsideration, review, appeal or stay, or to otherwise challenge or contest the validity of this Consent Decree and the Adopting Order, provided the Bureau issues the Adopting Order as defined </w:t>
      </w:r>
      <w:r w:rsidR="007A3862">
        <w:rPr>
          <w:szCs w:val="22"/>
        </w:rPr>
        <w:t>herein</w:t>
      </w:r>
      <w:r w:rsidRPr="008A3FFD">
        <w:rPr>
          <w:szCs w:val="22"/>
        </w:rPr>
        <w:t xml:space="preserve">.  </w:t>
      </w:r>
      <w:r w:rsidR="000B061D" w:rsidRPr="008A3FFD">
        <w:rPr>
          <w:szCs w:val="22"/>
        </w:rPr>
        <w:t xml:space="preserve">Open Access </w:t>
      </w:r>
      <w:r w:rsidRPr="008A3FFD">
        <w:rPr>
          <w:szCs w:val="22"/>
        </w:rPr>
        <w:t xml:space="preserve">shall retain the right to challenge Commission interpretation of the Consent Decree or any terms contained herein.  If either Party (or the United States on behalf of the Commission) brings a judicial action to enforce the terms of the Adopting Order, </w:t>
      </w:r>
      <w:r w:rsidR="00D65C47" w:rsidRPr="008A3FFD">
        <w:rPr>
          <w:szCs w:val="22"/>
        </w:rPr>
        <w:t xml:space="preserve">neither </w:t>
      </w:r>
      <w:r w:rsidR="000B061D" w:rsidRPr="008A3FFD">
        <w:rPr>
          <w:szCs w:val="22"/>
        </w:rPr>
        <w:t xml:space="preserve">Open Access </w:t>
      </w:r>
      <w:r w:rsidRPr="008A3FFD">
        <w:rPr>
          <w:szCs w:val="22"/>
        </w:rPr>
        <w:t xml:space="preserve">nor the Commission shall contest the validity of the Consent Decree or the Adopting Order, and </w:t>
      </w:r>
      <w:r w:rsidR="000B061D" w:rsidRPr="008A3FFD">
        <w:rPr>
          <w:szCs w:val="22"/>
        </w:rPr>
        <w:t xml:space="preserve">Open Access </w:t>
      </w:r>
      <w:r w:rsidRPr="008A3FFD">
        <w:rPr>
          <w:szCs w:val="22"/>
        </w:rPr>
        <w:t xml:space="preserve">shall waive any statutory right to a trial </w:t>
      </w:r>
      <w:r w:rsidRPr="008A3FFD">
        <w:rPr>
          <w:i/>
          <w:szCs w:val="22"/>
        </w:rPr>
        <w:t>de novo</w:t>
      </w:r>
      <w:r w:rsidRPr="008A3FFD">
        <w:rPr>
          <w:szCs w:val="22"/>
        </w:rPr>
        <w:t xml:space="preserve">.  </w:t>
      </w:r>
      <w:r w:rsidR="000B061D" w:rsidRPr="008A3FFD">
        <w:rPr>
          <w:szCs w:val="22"/>
        </w:rPr>
        <w:t xml:space="preserve">Open Access </w:t>
      </w:r>
      <w:r w:rsidRPr="008A3FFD">
        <w:rPr>
          <w:szCs w:val="22"/>
        </w:rPr>
        <w:t>hereby agrees to waive any claims it may otherwise have under the Equal Access to Justice Act,</w:t>
      </w:r>
      <w:r w:rsidRPr="005027E7">
        <w:rPr>
          <w:rStyle w:val="FootnoteReference"/>
          <w:sz w:val="22"/>
          <w:szCs w:val="22"/>
        </w:rPr>
        <w:footnoteReference w:id="22"/>
      </w:r>
      <w:r w:rsidRPr="005027E7">
        <w:rPr>
          <w:szCs w:val="22"/>
        </w:rPr>
        <w:t xml:space="preserve"> relating to the matters addressed in this Consent Decree.</w:t>
      </w:r>
    </w:p>
    <w:p w:rsidR="00176171" w:rsidRPr="00CE40F7" w:rsidRDefault="00176171" w:rsidP="008229AA">
      <w:pPr>
        <w:pStyle w:val="par1"/>
        <w:numPr>
          <w:ilvl w:val="0"/>
          <w:numId w:val="0"/>
        </w:numPr>
        <w:tabs>
          <w:tab w:val="num" w:pos="1440"/>
        </w:tabs>
        <w:ind w:right="-180" w:firstLine="720"/>
        <w:rPr>
          <w:szCs w:val="22"/>
        </w:rPr>
      </w:pPr>
    </w:p>
    <w:p w:rsidR="00176171" w:rsidRPr="008A3FFD" w:rsidRDefault="00176171" w:rsidP="008229AA">
      <w:pPr>
        <w:pStyle w:val="par1"/>
        <w:ind w:right="-180"/>
        <w:rPr>
          <w:szCs w:val="22"/>
        </w:rPr>
      </w:pPr>
      <w:r w:rsidRPr="00CE40F7">
        <w:rPr>
          <w:b/>
          <w:szCs w:val="22"/>
          <w:u w:val="single"/>
        </w:rPr>
        <w:t>Invalidity</w:t>
      </w:r>
      <w:r w:rsidRPr="00CE40F7">
        <w:rPr>
          <w:b/>
          <w:szCs w:val="22"/>
        </w:rPr>
        <w:t xml:space="preserve">. </w:t>
      </w:r>
      <w:r w:rsidRPr="00CE40F7">
        <w:rPr>
          <w:szCs w:val="22"/>
        </w:rPr>
        <w:t xml:space="preserve"> In the event that this Consent Decree in its entirety is rendered invalid by any court of competent jurisdiction, it shall become null and void and may not be used in any manner in any legal proceeding.</w:t>
      </w:r>
    </w:p>
    <w:p w:rsidR="00176171" w:rsidRPr="008A3FFD" w:rsidRDefault="00176171" w:rsidP="008229AA">
      <w:pPr>
        <w:pStyle w:val="par1"/>
        <w:numPr>
          <w:ilvl w:val="0"/>
          <w:numId w:val="0"/>
        </w:numPr>
        <w:tabs>
          <w:tab w:val="num" w:pos="1440"/>
        </w:tabs>
        <w:ind w:right="-180" w:firstLine="720"/>
        <w:rPr>
          <w:szCs w:val="22"/>
        </w:rPr>
      </w:pPr>
    </w:p>
    <w:p w:rsidR="00176171" w:rsidRPr="008A3FFD" w:rsidRDefault="00176171" w:rsidP="008229AA">
      <w:pPr>
        <w:pStyle w:val="par1"/>
        <w:ind w:right="-180"/>
        <w:rPr>
          <w:szCs w:val="22"/>
        </w:rPr>
      </w:pPr>
      <w:r w:rsidRPr="008A3FFD">
        <w:rPr>
          <w:b/>
          <w:szCs w:val="22"/>
          <w:u w:val="single"/>
        </w:rPr>
        <w:t>Subsequent Rule or Order</w:t>
      </w:r>
      <w:r w:rsidRPr="008A3FFD">
        <w:rPr>
          <w:b/>
          <w:szCs w:val="22"/>
        </w:rPr>
        <w:t>.</w:t>
      </w:r>
      <w:r w:rsidRPr="008A3FFD">
        <w:rPr>
          <w:szCs w:val="22"/>
        </w:rPr>
        <w:t xml:space="preserve">  The Parties agree that if any provision of the Consent Decree conflicts with any subsequent </w:t>
      </w:r>
      <w:r w:rsidR="00004AAC" w:rsidRPr="008A3FFD">
        <w:rPr>
          <w:szCs w:val="22"/>
        </w:rPr>
        <w:t>R</w:t>
      </w:r>
      <w:r w:rsidRPr="008A3FFD">
        <w:rPr>
          <w:szCs w:val="22"/>
        </w:rPr>
        <w:t xml:space="preserve">ule or order adopted by the Commission (except an order specifically intended to revise the terms of this Consent Decree to which </w:t>
      </w:r>
      <w:r w:rsidR="008220E9" w:rsidRPr="008A3FFD">
        <w:rPr>
          <w:szCs w:val="22"/>
        </w:rPr>
        <w:t xml:space="preserve">Open Access </w:t>
      </w:r>
      <w:r w:rsidRPr="008A3FFD">
        <w:rPr>
          <w:szCs w:val="22"/>
        </w:rPr>
        <w:t xml:space="preserve">does not expressly consent) that provision will be superseded by such </w:t>
      </w:r>
      <w:r w:rsidR="00004AAC" w:rsidRPr="008A3FFD">
        <w:rPr>
          <w:szCs w:val="22"/>
        </w:rPr>
        <w:t>R</w:t>
      </w:r>
      <w:r w:rsidRPr="008A3FFD">
        <w:rPr>
          <w:szCs w:val="22"/>
        </w:rPr>
        <w:t xml:space="preserve">ule or </w:t>
      </w:r>
      <w:r w:rsidR="00004AAC" w:rsidRPr="008A3FFD">
        <w:rPr>
          <w:szCs w:val="22"/>
        </w:rPr>
        <w:t xml:space="preserve">Commission </w:t>
      </w:r>
      <w:r w:rsidRPr="008A3FFD">
        <w:rPr>
          <w:szCs w:val="22"/>
        </w:rPr>
        <w:t>order.</w:t>
      </w:r>
    </w:p>
    <w:p w:rsidR="00176171" w:rsidRPr="008A3FFD" w:rsidRDefault="00176171" w:rsidP="008229AA">
      <w:pPr>
        <w:pStyle w:val="par1"/>
        <w:numPr>
          <w:ilvl w:val="0"/>
          <w:numId w:val="0"/>
        </w:numPr>
        <w:tabs>
          <w:tab w:val="num" w:pos="1440"/>
        </w:tabs>
        <w:ind w:right="-180" w:firstLine="720"/>
        <w:rPr>
          <w:szCs w:val="22"/>
        </w:rPr>
      </w:pPr>
    </w:p>
    <w:p w:rsidR="00176171" w:rsidRPr="008A3FFD" w:rsidRDefault="00176171" w:rsidP="008229AA">
      <w:pPr>
        <w:pStyle w:val="par1"/>
        <w:ind w:right="-180"/>
        <w:rPr>
          <w:szCs w:val="22"/>
        </w:rPr>
      </w:pPr>
      <w:r w:rsidRPr="008A3FFD">
        <w:rPr>
          <w:b/>
          <w:szCs w:val="22"/>
          <w:u w:val="single"/>
        </w:rPr>
        <w:t>Successors and Assigns</w:t>
      </w:r>
      <w:r w:rsidRPr="008A3FFD">
        <w:rPr>
          <w:b/>
          <w:szCs w:val="22"/>
        </w:rPr>
        <w:t>.</w:t>
      </w:r>
      <w:r w:rsidRPr="008A3FFD">
        <w:rPr>
          <w:szCs w:val="22"/>
        </w:rPr>
        <w:t xml:space="preserve">  </w:t>
      </w:r>
      <w:r w:rsidR="008220E9" w:rsidRPr="008A3FFD">
        <w:rPr>
          <w:szCs w:val="22"/>
        </w:rPr>
        <w:t xml:space="preserve">Open Access </w:t>
      </w:r>
      <w:r w:rsidRPr="008A3FFD">
        <w:rPr>
          <w:szCs w:val="22"/>
        </w:rPr>
        <w:t>agrees that the provisions of this Consent Decree shall be binding on its successors, assigns, and transferees.</w:t>
      </w:r>
      <w:r w:rsidRPr="008A3FFD">
        <w:rPr>
          <w:szCs w:val="22"/>
          <w:u w:val="single"/>
        </w:rPr>
        <w:t xml:space="preserve">  </w:t>
      </w:r>
    </w:p>
    <w:p w:rsidR="00176171" w:rsidRPr="008A3FFD" w:rsidRDefault="00176171" w:rsidP="008229AA">
      <w:pPr>
        <w:pStyle w:val="par1"/>
        <w:numPr>
          <w:ilvl w:val="0"/>
          <w:numId w:val="0"/>
        </w:numPr>
        <w:tabs>
          <w:tab w:val="num" w:pos="1440"/>
        </w:tabs>
        <w:ind w:right="-180" w:firstLine="720"/>
        <w:rPr>
          <w:szCs w:val="22"/>
        </w:rPr>
      </w:pPr>
    </w:p>
    <w:p w:rsidR="00176171" w:rsidRPr="008A3FFD" w:rsidRDefault="00176171" w:rsidP="008229AA">
      <w:pPr>
        <w:pStyle w:val="par1"/>
        <w:ind w:right="-180"/>
        <w:rPr>
          <w:color w:val="000000"/>
          <w:szCs w:val="22"/>
        </w:rPr>
      </w:pPr>
      <w:r w:rsidRPr="008A3FFD">
        <w:rPr>
          <w:b/>
          <w:szCs w:val="22"/>
          <w:u w:val="single"/>
        </w:rPr>
        <w:t>Final Settlement</w:t>
      </w:r>
      <w:r w:rsidRPr="008A3FFD">
        <w:rPr>
          <w:b/>
          <w:szCs w:val="22"/>
        </w:rPr>
        <w:t>.</w:t>
      </w:r>
      <w:r w:rsidRPr="008A3FFD">
        <w:rPr>
          <w:szCs w:val="22"/>
        </w:rPr>
        <w:t xml:space="preserve">  The Parties agree and acknowledge that this Consent Decree shall constitute a final settlement between the </w:t>
      </w:r>
      <w:r w:rsidR="00F31DB6" w:rsidRPr="008A3FFD">
        <w:rPr>
          <w:szCs w:val="22"/>
        </w:rPr>
        <w:t xml:space="preserve">Parties with respect to the Investigation. </w:t>
      </w:r>
      <w:r w:rsidRPr="008A3FFD">
        <w:rPr>
          <w:szCs w:val="22"/>
        </w:rPr>
        <w:t xml:space="preserve"> The Parties further agree that this Consent Decree does not constitute either an adjudication on the merits or a factual or legal finding or determination regarding any compliance or noncompliance with the Communications Laws</w:t>
      </w:r>
      <w:r w:rsidRPr="008A3FFD">
        <w:rPr>
          <w:color w:val="000000"/>
          <w:szCs w:val="22"/>
        </w:rPr>
        <w:t>.</w:t>
      </w:r>
    </w:p>
    <w:p w:rsidR="00176171" w:rsidRPr="008A3FFD" w:rsidRDefault="00176171" w:rsidP="008229AA">
      <w:pPr>
        <w:pStyle w:val="par1"/>
        <w:numPr>
          <w:ilvl w:val="0"/>
          <w:numId w:val="0"/>
        </w:numPr>
        <w:ind w:right="-180"/>
        <w:rPr>
          <w:b/>
          <w:szCs w:val="22"/>
          <w:u w:val="single"/>
        </w:rPr>
      </w:pPr>
    </w:p>
    <w:p w:rsidR="00176171" w:rsidRPr="008A3FFD" w:rsidRDefault="00176171" w:rsidP="008229AA">
      <w:pPr>
        <w:pStyle w:val="par1"/>
        <w:ind w:right="-180"/>
        <w:rPr>
          <w:szCs w:val="22"/>
        </w:rPr>
      </w:pPr>
      <w:r w:rsidRPr="008A3FFD">
        <w:rPr>
          <w:b/>
          <w:szCs w:val="22"/>
          <w:u w:val="single"/>
        </w:rPr>
        <w:t>Modifications</w:t>
      </w:r>
      <w:r w:rsidRPr="008A3FFD">
        <w:rPr>
          <w:b/>
          <w:szCs w:val="22"/>
        </w:rPr>
        <w:t>.</w:t>
      </w:r>
      <w:r w:rsidRPr="008A3FFD">
        <w:rPr>
          <w:szCs w:val="22"/>
        </w:rPr>
        <w:t xml:space="preserve">  This Consent Decree cannot be modified without the advance written consent of both Parties.</w:t>
      </w:r>
    </w:p>
    <w:p w:rsidR="00176171" w:rsidRPr="008A3FFD" w:rsidRDefault="00176171" w:rsidP="008229AA">
      <w:pPr>
        <w:pStyle w:val="par1"/>
        <w:numPr>
          <w:ilvl w:val="0"/>
          <w:numId w:val="0"/>
        </w:numPr>
        <w:ind w:right="-180" w:firstLine="720"/>
        <w:rPr>
          <w:szCs w:val="22"/>
        </w:rPr>
      </w:pPr>
    </w:p>
    <w:p w:rsidR="00176171" w:rsidRPr="008A3FFD" w:rsidRDefault="00176171" w:rsidP="008229AA">
      <w:pPr>
        <w:pStyle w:val="par1"/>
        <w:ind w:right="-180"/>
        <w:rPr>
          <w:szCs w:val="22"/>
        </w:rPr>
      </w:pPr>
      <w:r w:rsidRPr="008A3FFD">
        <w:rPr>
          <w:b/>
          <w:szCs w:val="22"/>
          <w:u w:val="single"/>
        </w:rPr>
        <w:t>Paragraph Headings</w:t>
      </w:r>
      <w:r w:rsidRPr="008A3FFD">
        <w:rPr>
          <w:b/>
          <w:szCs w:val="22"/>
        </w:rPr>
        <w:t>.</w:t>
      </w:r>
      <w:r w:rsidRPr="008A3FFD">
        <w:rPr>
          <w:szCs w:val="22"/>
        </w:rPr>
        <w:t xml:space="preserve">  The headings of the </w:t>
      </w:r>
      <w:r w:rsidR="00004AAC" w:rsidRPr="008A3FFD">
        <w:rPr>
          <w:szCs w:val="22"/>
        </w:rPr>
        <w:t>p</w:t>
      </w:r>
      <w:r w:rsidRPr="008A3FFD">
        <w:rPr>
          <w:szCs w:val="22"/>
        </w:rPr>
        <w:t>aragraphs in this Consent Decree are inserted for convenience only and are not intended to affect the meaning or interpretation of this Consent Decree.</w:t>
      </w:r>
    </w:p>
    <w:p w:rsidR="00176171" w:rsidRPr="008A3FFD" w:rsidRDefault="00176171" w:rsidP="008229AA">
      <w:pPr>
        <w:pStyle w:val="par1"/>
        <w:numPr>
          <w:ilvl w:val="0"/>
          <w:numId w:val="0"/>
        </w:numPr>
        <w:ind w:right="-180" w:firstLine="720"/>
        <w:rPr>
          <w:color w:val="000000"/>
          <w:szCs w:val="22"/>
        </w:rPr>
      </w:pPr>
    </w:p>
    <w:p w:rsidR="00616340" w:rsidRPr="008A3FFD" w:rsidRDefault="00176171" w:rsidP="008220E9">
      <w:pPr>
        <w:pStyle w:val="par1"/>
        <w:ind w:right="-180"/>
        <w:rPr>
          <w:szCs w:val="22"/>
        </w:rPr>
      </w:pPr>
      <w:r w:rsidRPr="008A3FFD">
        <w:rPr>
          <w:b/>
          <w:szCs w:val="22"/>
          <w:u w:val="single"/>
        </w:rPr>
        <w:t>Authorized Representative</w:t>
      </w:r>
      <w:r w:rsidRPr="008A3FFD">
        <w:rPr>
          <w:b/>
          <w:szCs w:val="22"/>
        </w:rPr>
        <w:t>.</w:t>
      </w:r>
      <w:r w:rsidRPr="008A3FFD">
        <w:rPr>
          <w:szCs w:val="22"/>
        </w:rPr>
        <w:t xml:space="preserve">  </w:t>
      </w:r>
      <w:r w:rsidR="009703AC" w:rsidRPr="008A3FFD">
        <w:rPr>
          <w:szCs w:val="22"/>
        </w:rPr>
        <w:t xml:space="preserve">The individual signing this Consent Decree on behalf of </w:t>
      </w:r>
      <w:r w:rsidR="008220E9" w:rsidRPr="008A3FFD">
        <w:rPr>
          <w:szCs w:val="22"/>
        </w:rPr>
        <w:t xml:space="preserve">Open Access </w:t>
      </w:r>
      <w:r w:rsidR="009703AC" w:rsidRPr="008A3FFD">
        <w:rPr>
          <w:szCs w:val="22"/>
        </w:rPr>
        <w:t>represents and warrants that he</w:t>
      </w:r>
      <w:r w:rsidR="00F80B90" w:rsidRPr="008A3FFD">
        <w:rPr>
          <w:szCs w:val="22"/>
        </w:rPr>
        <w:t xml:space="preserve"> is authorized</w:t>
      </w:r>
      <w:r w:rsidR="001F250C">
        <w:rPr>
          <w:szCs w:val="22"/>
        </w:rPr>
        <w:t xml:space="preserve"> by Open Access</w:t>
      </w:r>
      <w:r w:rsidR="00F80B90" w:rsidRPr="008A3FFD">
        <w:rPr>
          <w:szCs w:val="22"/>
        </w:rPr>
        <w:t xml:space="preserve"> to execute this Consent Decree and to bind </w:t>
      </w:r>
      <w:r w:rsidR="008220E9" w:rsidRPr="008A3FFD">
        <w:rPr>
          <w:szCs w:val="22"/>
        </w:rPr>
        <w:t xml:space="preserve">Open Access </w:t>
      </w:r>
      <w:r w:rsidR="00F80B90" w:rsidRPr="008A3FFD">
        <w:rPr>
          <w:szCs w:val="22"/>
        </w:rPr>
        <w:t>to the obligations set forth herein</w:t>
      </w:r>
      <w:r w:rsidRPr="008A3FFD">
        <w:rPr>
          <w:szCs w:val="22"/>
        </w:rPr>
        <w:t>.</w:t>
      </w:r>
      <w:r w:rsidR="00F31DB6" w:rsidRPr="008A3FFD">
        <w:rPr>
          <w:szCs w:val="22"/>
        </w:rPr>
        <w:t xml:space="preserve">  The FCC signatory represents that he is signing this Consent Decree in his official capacity and that he is authorized to execute this Consent Decree.</w:t>
      </w:r>
    </w:p>
    <w:p w:rsidR="00616340" w:rsidRPr="008A3FFD" w:rsidRDefault="00616340" w:rsidP="008229AA">
      <w:pPr>
        <w:pStyle w:val="par1"/>
        <w:numPr>
          <w:ilvl w:val="0"/>
          <w:numId w:val="0"/>
        </w:numPr>
        <w:ind w:right="-180"/>
        <w:rPr>
          <w:szCs w:val="22"/>
        </w:rPr>
      </w:pPr>
    </w:p>
    <w:p w:rsidR="00176171" w:rsidRPr="008A3FFD" w:rsidRDefault="00176171" w:rsidP="008229AA">
      <w:pPr>
        <w:pStyle w:val="par1"/>
        <w:ind w:right="-180"/>
        <w:rPr>
          <w:szCs w:val="22"/>
        </w:rPr>
      </w:pPr>
      <w:r w:rsidRPr="008A3FFD">
        <w:rPr>
          <w:b/>
          <w:szCs w:val="22"/>
          <w:u w:val="single"/>
        </w:rPr>
        <w:t>Counterparts</w:t>
      </w:r>
      <w:r w:rsidRPr="008A3FFD">
        <w:rPr>
          <w:b/>
          <w:szCs w:val="22"/>
        </w:rPr>
        <w:t>.</w:t>
      </w:r>
      <w:r w:rsidRPr="008A3FFD">
        <w:rPr>
          <w:szCs w:val="22"/>
        </w:rPr>
        <w:t xml:space="preserve">  This Consent Decree may be signed in </w:t>
      </w:r>
      <w:r w:rsidR="001F250C" w:rsidRPr="009B4E30">
        <w:rPr>
          <w:szCs w:val="22"/>
        </w:rPr>
        <w:t xml:space="preserve">any number of </w:t>
      </w:r>
      <w:r w:rsidRPr="008A3FFD">
        <w:rPr>
          <w:szCs w:val="22"/>
        </w:rPr>
        <w:t>counterpart</w:t>
      </w:r>
      <w:r w:rsidR="00263F94">
        <w:rPr>
          <w:szCs w:val="22"/>
        </w:rPr>
        <w:t>s</w:t>
      </w:r>
      <w:r w:rsidRPr="008A3FFD">
        <w:rPr>
          <w:szCs w:val="22"/>
        </w:rPr>
        <w:t xml:space="preserve"> (including by facsimile)</w:t>
      </w:r>
      <w:r w:rsidR="001F250C">
        <w:rPr>
          <w:szCs w:val="22"/>
        </w:rPr>
        <w:t xml:space="preserve">, each of which, </w:t>
      </w:r>
      <w:r w:rsidRPr="008A3FFD">
        <w:rPr>
          <w:szCs w:val="22"/>
        </w:rPr>
        <w:t xml:space="preserve">when executed and delivered, shall be an original, and all of </w:t>
      </w:r>
      <w:r w:rsidR="001F250C">
        <w:rPr>
          <w:szCs w:val="22"/>
        </w:rPr>
        <w:t>which</w:t>
      </w:r>
      <w:r w:rsidR="001F250C" w:rsidRPr="008A3FFD">
        <w:rPr>
          <w:szCs w:val="22"/>
        </w:rPr>
        <w:t xml:space="preserve"> </w:t>
      </w:r>
      <w:r w:rsidRPr="008A3FFD">
        <w:rPr>
          <w:szCs w:val="22"/>
        </w:rPr>
        <w:t>counterparts together shall constitute one and the same fully executed instrument.</w:t>
      </w:r>
    </w:p>
    <w:p w:rsidR="00176171" w:rsidRPr="008A3FFD" w:rsidRDefault="00176171">
      <w:pPr>
        <w:pStyle w:val="par1"/>
        <w:numPr>
          <w:ilvl w:val="0"/>
          <w:numId w:val="0"/>
        </w:numPr>
        <w:rPr>
          <w:szCs w:val="22"/>
        </w:rPr>
      </w:pPr>
    </w:p>
    <w:tbl>
      <w:tblPr>
        <w:tblW w:w="0" w:type="auto"/>
        <w:tblLook w:val="0000" w:firstRow="0" w:lastRow="0" w:firstColumn="0" w:lastColumn="0" w:noHBand="0" w:noVBand="0"/>
      </w:tblPr>
      <w:tblGrid>
        <w:gridCol w:w="4788"/>
        <w:gridCol w:w="4788"/>
      </w:tblGrid>
      <w:tr w:rsidR="00176171" w:rsidRPr="008A3FFD">
        <w:tc>
          <w:tcPr>
            <w:tcW w:w="4788" w:type="dxa"/>
          </w:tcPr>
          <w:p w:rsidR="00176171" w:rsidRPr="008A3FFD" w:rsidRDefault="00176171">
            <w:pPr>
              <w:keepNext/>
              <w:rPr>
                <w:sz w:val="22"/>
                <w:szCs w:val="22"/>
              </w:rPr>
            </w:pPr>
          </w:p>
          <w:p w:rsidR="00176171" w:rsidRPr="008A3FFD" w:rsidRDefault="00176171">
            <w:pPr>
              <w:keepNext/>
              <w:rPr>
                <w:sz w:val="22"/>
                <w:szCs w:val="22"/>
              </w:rPr>
            </w:pPr>
          </w:p>
          <w:p w:rsidR="00D10DC3" w:rsidRPr="008A3FFD" w:rsidRDefault="00D10DC3">
            <w:pPr>
              <w:keepNext/>
              <w:rPr>
                <w:sz w:val="22"/>
                <w:szCs w:val="22"/>
              </w:rPr>
            </w:pPr>
          </w:p>
          <w:p w:rsidR="00176171" w:rsidRPr="008A3FFD" w:rsidRDefault="00176171">
            <w:pPr>
              <w:keepNext/>
              <w:rPr>
                <w:sz w:val="22"/>
                <w:szCs w:val="22"/>
              </w:rPr>
            </w:pPr>
            <w:r w:rsidRPr="008A3FFD">
              <w:rPr>
                <w:sz w:val="22"/>
                <w:szCs w:val="22"/>
              </w:rPr>
              <w:t>________________________________</w:t>
            </w:r>
          </w:p>
          <w:p w:rsidR="00D65C47" w:rsidRPr="008A3FFD" w:rsidRDefault="0017513A" w:rsidP="007C43A8">
            <w:pPr>
              <w:keepNext/>
              <w:rPr>
                <w:sz w:val="22"/>
                <w:szCs w:val="22"/>
              </w:rPr>
            </w:pPr>
            <w:r w:rsidRPr="008A3FFD">
              <w:rPr>
                <w:sz w:val="22"/>
                <w:szCs w:val="22"/>
              </w:rPr>
              <w:t>Robert H. Ratcliffe</w:t>
            </w:r>
          </w:p>
          <w:p w:rsidR="00176171" w:rsidRPr="008A3FFD" w:rsidRDefault="0017513A" w:rsidP="007C43A8">
            <w:pPr>
              <w:keepNext/>
              <w:rPr>
                <w:sz w:val="22"/>
                <w:szCs w:val="22"/>
              </w:rPr>
            </w:pPr>
            <w:r w:rsidRPr="008A3FFD">
              <w:rPr>
                <w:sz w:val="22"/>
                <w:szCs w:val="22"/>
              </w:rPr>
              <w:t xml:space="preserve">Acting </w:t>
            </w:r>
            <w:r w:rsidR="00176171" w:rsidRPr="008A3FFD">
              <w:rPr>
                <w:sz w:val="22"/>
                <w:szCs w:val="22"/>
              </w:rPr>
              <w:t>Chief</w:t>
            </w:r>
          </w:p>
          <w:p w:rsidR="00176171" w:rsidRPr="008A3FFD" w:rsidRDefault="00176171" w:rsidP="007C43A8">
            <w:pPr>
              <w:keepNext/>
              <w:rPr>
                <w:sz w:val="22"/>
                <w:szCs w:val="22"/>
              </w:rPr>
            </w:pPr>
            <w:r w:rsidRPr="008A3FFD">
              <w:rPr>
                <w:sz w:val="22"/>
                <w:szCs w:val="22"/>
              </w:rPr>
              <w:t xml:space="preserve">Enforcement Bureau </w:t>
            </w:r>
          </w:p>
          <w:p w:rsidR="00176171" w:rsidRPr="008A3FFD" w:rsidRDefault="00176171" w:rsidP="007C43A8">
            <w:pPr>
              <w:keepNext/>
              <w:rPr>
                <w:sz w:val="22"/>
                <w:szCs w:val="22"/>
              </w:rPr>
            </w:pPr>
          </w:p>
          <w:p w:rsidR="00176171" w:rsidRPr="008A3FFD" w:rsidRDefault="00176171" w:rsidP="007C43A8">
            <w:pPr>
              <w:keepNext/>
              <w:rPr>
                <w:sz w:val="22"/>
                <w:szCs w:val="22"/>
              </w:rPr>
            </w:pPr>
            <w:r w:rsidRPr="008A3FFD">
              <w:rPr>
                <w:sz w:val="22"/>
                <w:szCs w:val="22"/>
              </w:rPr>
              <w:t>________________________________</w:t>
            </w:r>
          </w:p>
          <w:p w:rsidR="00176171" w:rsidRPr="008A3FFD" w:rsidRDefault="00176171" w:rsidP="007C43A8">
            <w:pPr>
              <w:keepNext/>
              <w:rPr>
                <w:sz w:val="22"/>
                <w:szCs w:val="22"/>
              </w:rPr>
            </w:pPr>
            <w:r w:rsidRPr="008A3FFD">
              <w:rPr>
                <w:sz w:val="22"/>
                <w:szCs w:val="22"/>
              </w:rPr>
              <w:t>Date</w:t>
            </w:r>
          </w:p>
          <w:p w:rsidR="00176171" w:rsidRPr="008A3FFD" w:rsidRDefault="00176171" w:rsidP="007C43A8">
            <w:pPr>
              <w:keepNext/>
              <w:rPr>
                <w:b/>
                <w:sz w:val="22"/>
                <w:szCs w:val="22"/>
              </w:rPr>
            </w:pPr>
          </w:p>
          <w:p w:rsidR="00176171" w:rsidRDefault="00176171" w:rsidP="007C43A8">
            <w:pPr>
              <w:keepNext/>
              <w:rPr>
                <w:b/>
                <w:sz w:val="22"/>
                <w:szCs w:val="22"/>
              </w:rPr>
            </w:pPr>
          </w:p>
          <w:p w:rsidR="007C43A8" w:rsidRPr="008A3FFD" w:rsidRDefault="007C43A8" w:rsidP="007C43A8">
            <w:pPr>
              <w:keepNext/>
              <w:rPr>
                <w:b/>
                <w:sz w:val="22"/>
                <w:szCs w:val="22"/>
              </w:rPr>
            </w:pPr>
            <w:r>
              <w:rPr>
                <w:b/>
                <w:sz w:val="22"/>
                <w:szCs w:val="22"/>
              </w:rPr>
              <w:t>________________________________</w:t>
            </w:r>
          </w:p>
          <w:p w:rsidR="007C43A8" w:rsidRPr="007C43A8" w:rsidRDefault="007C43A8" w:rsidP="007C43A8">
            <w:pPr>
              <w:keepNext/>
              <w:rPr>
                <w:sz w:val="22"/>
                <w:szCs w:val="22"/>
              </w:rPr>
            </w:pPr>
            <w:r w:rsidRPr="007C43A8">
              <w:rPr>
                <w:sz w:val="22"/>
                <w:szCs w:val="22"/>
              </w:rPr>
              <w:t xml:space="preserve">David L. Mayer </w:t>
            </w:r>
          </w:p>
          <w:p w:rsidR="007C43A8" w:rsidRPr="005027E7" w:rsidRDefault="007C43A8" w:rsidP="007C43A8">
            <w:pPr>
              <w:pStyle w:val="BodyText"/>
              <w:rPr>
                <w:b w:val="0"/>
                <w:sz w:val="22"/>
                <w:szCs w:val="22"/>
                <w:u w:val="none"/>
              </w:rPr>
            </w:pPr>
            <w:r w:rsidRPr="005027E7">
              <w:rPr>
                <w:b w:val="0"/>
                <w:sz w:val="22"/>
                <w:szCs w:val="22"/>
                <w:u w:val="none"/>
              </w:rPr>
              <w:t xml:space="preserve">Executive Vice President, </w:t>
            </w:r>
          </w:p>
          <w:p w:rsidR="007C43A8" w:rsidRPr="005027E7" w:rsidRDefault="007C43A8" w:rsidP="007C43A8">
            <w:pPr>
              <w:pStyle w:val="BodyText"/>
              <w:rPr>
                <w:b w:val="0"/>
                <w:sz w:val="22"/>
                <w:szCs w:val="22"/>
                <w:u w:val="none"/>
              </w:rPr>
            </w:pPr>
            <w:r w:rsidRPr="005027E7">
              <w:rPr>
                <w:b w:val="0"/>
                <w:sz w:val="22"/>
                <w:szCs w:val="22"/>
                <w:u w:val="none"/>
              </w:rPr>
              <w:t>General Counsel, and Secretary</w:t>
            </w:r>
          </w:p>
          <w:p w:rsidR="007C43A8" w:rsidRPr="008A3FFD" w:rsidRDefault="007C43A8" w:rsidP="007C43A8">
            <w:pPr>
              <w:keepNext/>
              <w:rPr>
                <w:sz w:val="22"/>
                <w:szCs w:val="22"/>
              </w:rPr>
            </w:pPr>
            <w:r w:rsidRPr="005027E7">
              <w:rPr>
                <w:sz w:val="22"/>
                <w:szCs w:val="22"/>
              </w:rPr>
              <w:t>Open Access Acquisition LLC</w:t>
            </w:r>
            <w:r w:rsidRPr="008A3FFD">
              <w:rPr>
                <w:sz w:val="22"/>
                <w:szCs w:val="22"/>
              </w:rPr>
              <w:t xml:space="preserve"> </w:t>
            </w:r>
          </w:p>
          <w:p w:rsidR="007C43A8" w:rsidRPr="008A3FFD" w:rsidRDefault="007C43A8" w:rsidP="007C43A8">
            <w:pPr>
              <w:keepNext/>
              <w:rPr>
                <w:sz w:val="22"/>
                <w:szCs w:val="22"/>
              </w:rPr>
            </w:pPr>
          </w:p>
          <w:p w:rsidR="007C43A8" w:rsidRPr="008A3FFD" w:rsidRDefault="007C43A8" w:rsidP="007C43A8">
            <w:pPr>
              <w:keepNext/>
              <w:rPr>
                <w:sz w:val="22"/>
                <w:szCs w:val="22"/>
              </w:rPr>
            </w:pPr>
            <w:r w:rsidRPr="008A3FFD">
              <w:rPr>
                <w:sz w:val="22"/>
                <w:szCs w:val="22"/>
              </w:rPr>
              <w:t>________________________________</w:t>
            </w:r>
          </w:p>
          <w:p w:rsidR="007C43A8" w:rsidRPr="008A3FFD" w:rsidRDefault="007C43A8" w:rsidP="007C43A8">
            <w:pPr>
              <w:keepNext/>
              <w:rPr>
                <w:sz w:val="22"/>
                <w:szCs w:val="22"/>
              </w:rPr>
            </w:pPr>
            <w:r w:rsidRPr="008A3FFD">
              <w:rPr>
                <w:sz w:val="22"/>
                <w:szCs w:val="22"/>
              </w:rPr>
              <w:t>Date</w:t>
            </w:r>
          </w:p>
          <w:p w:rsidR="00176171" w:rsidRPr="005027E7" w:rsidRDefault="00176171" w:rsidP="007C43A8">
            <w:pPr>
              <w:keepNext/>
              <w:rPr>
                <w:sz w:val="22"/>
                <w:szCs w:val="22"/>
              </w:rPr>
            </w:pPr>
          </w:p>
        </w:tc>
        <w:tc>
          <w:tcPr>
            <w:tcW w:w="4788" w:type="dxa"/>
          </w:tcPr>
          <w:p w:rsidR="00176171" w:rsidRPr="005027E7" w:rsidRDefault="00176171">
            <w:pPr>
              <w:keepNext/>
              <w:rPr>
                <w:sz w:val="22"/>
                <w:szCs w:val="22"/>
              </w:rPr>
            </w:pPr>
          </w:p>
          <w:p w:rsidR="00176171" w:rsidRPr="005027E7" w:rsidRDefault="00176171">
            <w:pPr>
              <w:keepNext/>
              <w:rPr>
                <w:b/>
                <w:sz w:val="22"/>
                <w:szCs w:val="22"/>
              </w:rPr>
            </w:pPr>
          </w:p>
        </w:tc>
      </w:tr>
    </w:tbl>
    <w:p w:rsidR="00176171" w:rsidRPr="005027E7" w:rsidRDefault="00176171">
      <w:pPr>
        <w:rPr>
          <w:sz w:val="22"/>
          <w:szCs w:val="22"/>
        </w:rPr>
      </w:pPr>
    </w:p>
    <w:sectPr w:rsidR="00176171" w:rsidRPr="005027E7">
      <w:footnotePr>
        <w:numRestart w:val="eachSect"/>
      </w:foot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1F" w:rsidRDefault="0065271F">
      <w:r>
        <w:separator/>
      </w:r>
    </w:p>
  </w:endnote>
  <w:endnote w:type="continuationSeparator" w:id="0">
    <w:p w:rsidR="0065271F" w:rsidRDefault="0065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D" w:rsidRDefault="004610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E" w:rsidRDefault="006A621E">
    <w:pPr>
      <w:pStyle w:val="Footer"/>
    </w:pPr>
  </w:p>
  <w:p w:rsidR="006A621E" w:rsidRDefault="006A621E">
    <w:pPr>
      <w:pStyle w:val="Footer"/>
      <w:jc w:val="center"/>
    </w:pPr>
    <w:r>
      <w:rPr>
        <w:rStyle w:val="PageNumber"/>
      </w:rPr>
      <w:fldChar w:fldCharType="begin"/>
    </w:r>
    <w:r>
      <w:rPr>
        <w:rStyle w:val="PageNumber"/>
      </w:rPr>
      <w:instrText xml:space="preserve"> PAGE </w:instrText>
    </w:r>
    <w:r>
      <w:rPr>
        <w:rStyle w:val="PageNumber"/>
      </w:rPr>
      <w:fldChar w:fldCharType="separate"/>
    </w:r>
    <w:r w:rsidR="006C0BC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D" w:rsidRDefault="00461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1F" w:rsidRDefault="0065271F">
      <w:r>
        <w:separator/>
      </w:r>
    </w:p>
  </w:footnote>
  <w:footnote w:type="continuationSeparator" w:id="0">
    <w:p w:rsidR="0065271F" w:rsidRDefault="0065271F">
      <w:r>
        <w:continuationSeparator/>
      </w:r>
    </w:p>
  </w:footnote>
  <w:footnote w:id="1">
    <w:p w:rsidR="00CB5D98" w:rsidRPr="008F44D8" w:rsidRDefault="00CB5D98" w:rsidP="00CB5D98">
      <w:pPr>
        <w:pStyle w:val="FootnoteText"/>
        <w:ind w:firstLine="0"/>
        <w:rPr>
          <w:sz w:val="20"/>
          <w:szCs w:val="20"/>
        </w:rPr>
      </w:pPr>
      <w:r w:rsidRPr="008F44D8">
        <w:rPr>
          <w:rStyle w:val="FootnoteReference"/>
          <w:szCs w:val="20"/>
        </w:rPr>
        <w:footnoteRef/>
      </w:r>
      <w:r w:rsidRPr="008F44D8">
        <w:rPr>
          <w:sz w:val="20"/>
          <w:szCs w:val="20"/>
        </w:rPr>
        <w:t xml:space="preserve"> 47 U.S.C. §§ </w:t>
      </w:r>
      <w:r>
        <w:rPr>
          <w:sz w:val="20"/>
          <w:szCs w:val="20"/>
        </w:rPr>
        <w:t xml:space="preserve">9, </w:t>
      </w:r>
      <w:r w:rsidRPr="008F44D8">
        <w:rPr>
          <w:sz w:val="20"/>
          <w:szCs w:val="20"/>
        </w:rPr>
        <w:t>251, 254.</w:t>
      </w:r>
    </w:p>
  </w:footnote>
  <w:footnote w:id="2">
    <w:p w:rsidR="00CB5D98" w:rsidRPr="008F44D8" w:rsidRDefault="00CB5D98" w:rsidP="00CB5D98">
      <w:pPr>
        <w:pStyle w:val="FootnoteText"/>
        <w:ind w:firstLine="0"/>
        <w:rPr>
          <w:sz w:val="20"/>
          <w:szCs w:val="20"/>
        </w:rPr>
      </w:pPr>
      <w:r w:rsidRPr="008F44D8">
        <w:rPr>
          <w:rStyle w:val="FootnoteReference"/>
          <w:szCs w:val="20"/>
        </w:rPr>
        <w:footnoteRef/>
      </w:r>
      <w:r w:rsidRPr="008F44D8">
        <w:rPr>
          <w:sz w:val="20"/>
          <w:szCs w:val="20"/>
        </w:rPr>
        <w:t xml:space="preserve"> 47 C.F.R. §§ 1.1154, 1.1157, 52.17, 52.32, 54.706, 54.711, 64.604, 64.1195.</w:t>
      </w:r>
    </w:p>
  </w:footnote>
  <w:footnote w:id="3">
    <w:p w:rsidR="00CB5D98" w:rsidRPr="008F44D8" w:rsidRDefault="00CB5D98" w:rsidP="00CB5D98">
      <w:pPr>
        <w:pStyle w:val="FootnoteText"/>
        <w:tabs>
          <w:tab w:val="left" w:pos="810"/>
        </w:tabs>
        <w:ind w:firstLine="0"/>
        <w:rPr>
          <w:sz w:val="20"/>
          <w:szCs w:val="20"/>
        </w:rPr>
      </w:pPr>
      <w:r w:rsidRPr="008F44D8">
        <w:rPr>
          <w:rStyle w:val="FootnoteReference"/>
          <w:szCs w:val="20"/>
        </w:rPr>
        <w:footnoteRef/>
      </w:r>
      <w:r w:rsidRPr="008F44D8">
        <w:rPr>
          <w:sz w:val="20"/>
          <w:szCs w:val="20"/>
        </w:rPr>
        <w:t xml:space="preserve"> 47 U.S.C. §§ 154(i)</w:t>
      </w:r>
      <w:r>
        <w:rPr>
          <w:sz w:val="20"/>
          <w:szCs w:val="20"/>
        </w:rPr>
        <w:t>, (j), 503(b)</w:t>
      </w:r>
      <w:r w:rsidRPr="008F44D8">
        <w:rPr>
          <w:sz w:val="20"/>
          <w:szCs w:val="20"/>
        </w:rPr>
        <w:t>.</w:t>
      </w:r>
    </w:p>
  </w:footnote>
  <w:footnote w:id="4">
    <w:p w:rsidR="00CB5D98" w:rsidRPr="008F44D8" w:rsidRDefault="00CB5D98" w:rsidP="00CB5D98">
      <w:pPr>
        <w:pStyle w:val="FootnoteText"/>
        <w:tabs>
          <w:tab w:val="left" w:pos="810"/>
        </w:tabs>
        <w:ind w:firstLine="0"/>
        <w:rPr>
          <w:sz w:val="20"/>
          <w:szCs w:val="20"/>
        </w:rPr>
      </w:pPr>
      <w:r w:rsidRPr="008F44D8">
        <w:rPr>
          <w:rStyle w:val="FootnoteReference"/>
          <w:szCs w:val="20"/>
        </w:rPr>
        <w:footnoteRef/>
      </w:r>
      <w:r w:rsidRPr="008F44D8">
        <w:rPr>
          <w:sz w:val="20"/>
          <w:szCs w:val="20"/>
        </w:rPr>
        <w:t xml:space="preserve"> 47 C.F.R. §§ 0.111, 0.311.</w:t>
      </w:r>
    </w:p>
  </w:footnote>
  <w:footnote w:id="5">
    <w:p w:rsidR="000B36AB" w:rsidRPr="008F44D8" w:rsidRDefault="000B36AB" w:rsidP="000B36AB">
      <w:pPr>
        <w:pStyle w:val="FootnoteText"/>
        <w:ind w:firstLine="0"/>
        <w:rPr>
          <w:sz w:val="20"/>
          <w:szCs w:val="20"/>
        </w:rPr>
      </w:pPr>
      <w:r w:rsidRPr="008F44D8">
        <w:rPr>
          <w:rStyle w:val="FootnoteReference"/>
          <w:szCs w:val="20"/>
        </w:rPr>
        <w:footnoteRef/>
      </w:r>
      <w:r w:rsidRPr="008F44D8">
        <w:rPr>
          <w:sz w:val="20"/>
          <w:szCs w:val="20"/>
        </w:rPr>
        <w:t xml:space="preserve"> 47 U.S.C. §§ </w:t>
      </w:r>
      <w:r w:rsidR="008F44D8">
        <w:rPr>
          <w:sz w:val="20"/>
          <w:szCs w:val="20"/>
        </w:rPr>
        <w:t xml:space="preserve">9, </w:t>
      </w:r>
      <w:r w:rsidRPr="008F44D8">
        <w:rPr>
          <w:sz w:val="20"/>
          <w:szCs w:val="20"/>
        </w:rPr>
        <w:t>251, 254.</w:t>
      </w:r>
    </w:p>
  </w:footnote>
  <w:footnote w:id="6">
    <w:p w:rsidR="000B36AB" w:rsidRPr="008F44D8" w:rsidRDefault="000B36AB" w:rsidP="000B36AB">
      <w:pPr>
        <w:pStyle w:val="FootnoteText"/>
        <w:ind w:firstLine="0"/>
        <w:rPr>
          <w:sz w:val="20"/>
          <w:szCs w:val="20"/>
        </w:rPr>
      </w:pPr>
      <w:r w:rsidRPr="008F44D8">
        <w:rPr>
          <w:rStyle w:val="FootnoteReference"/>
          <w:szCs w:val="20"/>
        </w:rPr>
        <w:footnoteRef/>
      </w:r>
      <w:r w:rsidRPr="008F44D8">
        <w:rPr>
          <w:sz w:val="20"/>
          <w:szCs w:val="20"/>
        </w:rPr>
        <w:t xml:space="preserve"> 47 C.F.R. </w:t>
      </w:r>
      <w:r w:rsidR="00263F94" w:rsidRPr="008F44D8">
        <w:rPr>
          <w:sz w:val="20"/>
          <w:szCs w:val="20"/>
        </w:rPr>
        <w:t>§§</w:t>
      </w:r>
      <w:r w:rsidRPr="008F44D8">
        <w:rPr>
          <w:sz w:val="20"/>
          <w:szCs w:val="20"/>
        </w:rPr>
        <w:t xml:space="preserve"> 1.1154, 1.1157, 52.17, 52.32, 54.706, 54.711, 64.604, 64.1195.</w:t>
      </w:r>
    </w:p>
  </w:footnote>
  <w:footnote w:id="7">
    <w:p w:rsidR="00B52710" w:rsidRPr="008F44D8" w:rsidRDefault="00B52710" w:rsidP="00B52710">
      <w:pPr>
        <w:pStyle w:val="FootnoteText"/>
        <w:ind w:firstLine="0"/>
        <w:rPr>
          <w:sz w:val="20"/>
          <w:szCs w:val="20"/>
        </w:rPr>
      </w:pPr>
      <w:r w:rsidRPr="008F44D8">
        <w:rPr>
          <w:rStyle w:val="FootnoteReference"/>
          <w:szCs w:val="20"/>
        </w:rPr>
        <w:footnoteRef/>
      </w:r>
      <w:r w:rsidRPr="008F44D8">
        <w:rPr>
          <w:sz w:val="20"/>
          <w:szCs w:val="20"/>
        </w:rPr>
        <w:t xml:space="preserve"> 47 U.S.C. §§ </w:t>
      </w:r>
      <w:r w:rsidR="008F44D8">
        <w:rPr>
          <w:sz w:val="20"/>
          <w:szCs w:val="20"/>
        </w:rPr>
        <w:t xml:space="preserve">9, </w:t>
      </w:r>
      <w:r w:rsidR="00A51378" w:rsidRPr="008F44D8">
        <w:rPr>
          <w:sz w:val="20"/>
          <w:szCs w:val="20"/>
        </w:rPr>
        <w:t>251</w:t>
      </w:r>
      <w:r w:rsidRPr="008F44D8">
        <w:rPr>
          <w:sz w:val="20"/>
          <w:szCs w:val="20"/>
        </w:rPr>
        <w:t>, 254.</w:t>
      </w:r>
    </w:p>
  </w:footnote>
  <w:footnote w:id="8">
    <w:p w:rsidR="00B52710" w:rsidRPr="008F44D8" w:rsidRDefault="00B52710" w:rsidP="00B52710">
      <w:pPr>
        <w:pStyle w:val="FootnoteText"/>
        <w:ind w:firstLine="0"/>
        <w:rPr>
          <w:sz w:val="20"/>
          <w:szCs w:val="20"/>
        </w:rPr>
      </w:pPr>
      <w:r w:rsidRPr="008F44D8">
        <w:rPr>
          <w:rStyle w:val="FootnoteReference"/>
          <w:szCs w:val="20"/>
        </w:rPr>
        <w:footnoteRef/>
      </w:r>
      <w:r w:rsidRPr="008F44D8">
        <w:rPr>
          <w:sz w:val="20"/>
          <w:szCs w:val="20"/>
        </w:rPr>
        <w:t xml:space="preserve"> 47 C.F.R. §§ 1.1154, 1.1157, 52.17, 52.32, 54.706, 54.711, 64.604</w:t>
      </w:r>
      <w:r w:rsidR="00A51378" w:rsidRPr="008F44D8">
        <w:rPr>
          <w:sz w:val="20"/>
          <w:szCs w:val="20"/>
        </w:rPr>
        <w:t>,</w:t>
      </w:r>
      <w:r w:rsidRPr="008F44D8">
        <w:rPr>
          <w:sz w:val="20"/>
          <w:szCs w:val="20"/>
        </w:rPr>
        <w:t xml:space="preserve"> 64.1195.</w:t>
      </w:r>
    </w:p>
  </w:footnote>
  <w:footnote w:id="9">
    <w:p w:rsidR="00290CEE" w:rsidRPr="008F44D8" w:rsidRDefault="00290CEE" w:rsidP="00290CEE">
      <w:pPr>
        <w:pStyle w:val="FootnoteText"/>
        <w:tabs>
          <w:tab w:val="left" w:pos="810"/>
        </w:tabs>
        <w:spacing w:after="120"/>
        <w:ind w:firstLine="0"/>
        <w:rPr>
          <w:sz w:val="20"/>
          <w:szCs w:val="20"/>
        </w:rPr>
      </w:pPr>
      <w:r w:rsidRPr="008F44D8">
        <w:rPr>
          <w:rStyle w:val="FootnoteReference"/>
          <w:szCs w:val="20"/>
        </w:rPr>
        <w:footnoteRef/>
      </w:r>
      <w:r w:rsidRPr="008F44D8">
        <w:rPr>
          <w:sz w:val="20"/>
          <w:szCs w:val="20"/>
        </w:rPr>
        <w:t xml:space="preserve"> </w:t>
      </w:r>
      <w:r w:rsidRPr="008F44D8">
        <w:rPr>
          <w:i/>
          <w:sz w:val="20"/>
          <w:szCs w:val="20"/>
        </w:rPr>
        <w:t xml:space="preserve">See </w:t>
      </w:r>
      <w:r w:rsidRPr="008F44D8">
        <w:rPr>
          <w:sz w:val="20"/>
          <w:szCs w:val="20"/>
        </w:rPr>
        <w:t>47 U.S.C. § 254(d); 47 C.F.R. §§ 54.706, 54.711.</w:t>
      </w:r>
    </w:p>
  </w:footnote>
  <w:footnote w:id="10">
    <w:p w:rsidR="00290CEE" w:rsidRPr="008F44D8" w:rsidRDefault="00290CEE" w:rsidP="00290CEE">
      <w:pPr>
        <w:pStyle w:val="FootnoteText"/>
        <w:tabs>
          <w:tab w:val="left" w:pos="810"/>
        </w:tabs>
        <w:spacing w:after="120"/>
        <w:ind w:firstLine="0"/>
        <w:rPr>
          <w:sz w:val="20"/>
          <w:szCs w:val="20"/>
        </w:rPr>
      </w:pPr>
      <w:r w:rsidRPr="008F44D8">
        <w:rPr>
          <w:rStyle w:val="FootnoteReference"/>
          <w:szCs w:val="20"/>
        </w:rPr>
        <w:footnoteRef/>
      </w:r>
      <w:r w:rsidRPr="008F44D8">
        <w:rPr>
          <w:sz w:val="20"/>
          <w:szCs w:val="20"/>
        </w:rPr>
        <w:t xml:space="preserve"> </w:t>
      </w:r>
      <w:r w:rsidRPr="008F44D8">
        <w:rPr>
          <w:i/>
          <w:sz w:val="20"/>
          <w:szCs w:val="20"/>
        </w:rPr>
        <w:t xml:space="preserve">See </w:t>
      </w:r>
      <w:r w:rsidRPr="008F44D8">
        <w:rPr>
          <w:sz w:val="20"/>
          <w:szCs w:val="20"/>
        </w:rPr>
        <w:t>47 C.F.R. § 64.1195.</w:t>
      </w:r>
    </w:p>
  </w:footnote>
  <w:footnote w:id="11">
    <w:p w:rsidR="009125D0" w:rsidRPr="008F44D8" w:rsidRDefault="009125D0" w:rsidP="009125D0">
      <w:pPr>
        <w:pStyle w:val="FootnoteText"/>
        <w:tabs>
          <w:tab w:val="left" w:pos="810"/>
        </w:tabs>
        <w:spacing w:after="120"/>
        <w:ind w:firstLine="0"/>
        <w:rPr>
          <w:sz w:val="20"/>
          <w:szCs w:val="20"/>
        </w:rPr>
      </w:pPr>
      <w:r w:rsidRPr="008F44D8">
        <w:rPr>
          <w:rStyle w:val="FootnoteReference"/>
          <w:szCs w:val="20"/>
        </w:rPr>
        <w:footnoteRef/>
      </w:r>
      <w:r w:rsidRPr="008F44D8">
        <w:rPr>
          <w:sz w:val="20"/>
          <w:szCs w:val="20"/>
        </w:rPr>
        <w:t xml:space="preserve"> </w:t>
      </w:r>
      <w:r w:rsidRPr="008F44D8">
        <w:rPr>
          <w:i/>
          <w:sz w:val="20"/>
          <w:szCs w:val="20"/>
        </w:rPr>
        <w:t xml:space="preserve">See </w:t>
      </w:r>
      <w:r w:rsidRPr="008F44D8">
        <w:rPr>
          <w:sz w:val="20"/>
          <w:szCs w:val="20"/>
        </w:rPr>
        <w:t>47 U.S.C. § 225(b)(1); 47 C.F.R. § 64.604.</w:t>
      </w:r>
    </w:p>
  </w:footnote>
  <w:footnote w:id="12">
    <w:p w:rsidR="00290CEE" w:rsidRPr="008F44D8" w:rsidRDefault="00290CEE" w:rsidP="00290CEE">
      <w:pPr>
        <w:pStyle w:val="FootnoteText"/>
        <w:tabs>
          <w:tab w:val="left" w:pos="810"/>
        </w:tabs>
        <w:spacing w:after="120"/>
        <w:ind w:firstLine="0"/>
        <w:rPr>
          <w:sz w:val="20"/>
          <w:szCs w:val="20"/>
        </w:rPr>
      </w:pPr>
      <w:r w:rsidRPr="008F44D8">
        <w:rPr>
          <w:rStyle w:val="FootnoteReference"/>
          <w:szCs w:val="20"/>
        </w:rPr>
        <w:footnoteRef/>
      </w:r>
      <w:r w:rsidRPr="008F44D8">
        <w:rPr>
          <w:sz w:val="20"/>
          <w:szCs w:val="20"/>
        </w:rPr>
        <w:t xml:space="preserve"> </w:t>
      </w:r>
      <w:r w:rsidRPr="008F44D8">
        <w:rPr>
          <w:i/>
          <w:sz w:val="20"/>
          <w:szCs w:val="20"/>
        </w:rPr>
        <w:t xml:space="preserve">See </w:t>
      </w:r>
      <w:r w:rsidRPr="008F44D8">
        <w:rPr>
          <w:sz w:val="20"/>
          <w:szCs w:val="20"/>
        </w:rPr>
        <w:t>47 U.S.C. § 251(e); 47 C.F.R. §§ 52.17, 52.32.</w:t>
      </w:r>
    </w:p>
  </w:footnote>
  <w:footnote w:id="13">
    <w:p w:rsidR="00290CEE" w:rsidRPr="008F44D8" w:rsidRDefault="00290CEE" w:rsidP="00290CEE">
      <w:pPr>
        <w:pStyle w:val="FootnoteText"/>
        <w:tabs>
          <w:tab w:val="left" w:pos="810"/>
        </w:tabs>
        <w:spacing w:after="120"/>
        <w:ind w:firstLine="0"/>
        <w:rPr>
          <w:sz w:val="20"/>
          <w:szCs w:val="20"/>
        </w:rPr>
      </w:pPr>
      <w:r w:rsidRPr="008F44D8">
        <w:rPr>
          <w:rStyle w:val="FootnoteReference"/>
          <w:szCs w:val="20"/>
        </w:rPr>
        <w:footnoteRef/>
      </w:r>
      <w:r w:rsidRPr="008F44D8">
        <w:rPr>
          <w:sz w:val="20"/>
          <w:szCs w:val="20"/>
        </w:rPr>
        <w:t xml:space="preserve"> </w:t>
      </w:r>
      <w:r w:rsidR="00263F94" w:rsidRPr="008F44D8">
        <w:rPr>
          <w:i/>
          <w:sz w:val="20"/>
          <w:szCs w:val="20"/>
        </w:rPr>
        <w:t xml:space="preserve">See </w:t>
      </w:r>
      <w:r w:rsidRPr="008F44D8">
        <w:rPr>
          <w:sz w:val="20"/>
          <w:szCs w:val="20"/>
        </w:rPr>
        <w:t>47 U.S.C. § 159(a)(1); 47 C.F.R. §§ 1.1154, 1.1157.</w:t>
      </w:r>
    </w:p>
  </w:footnote>
  <w:footnote w:id="14">
    <w:p w:rsidR="005027E7" w:rsidRPr="008F44D8" w:rsidRDefault="005027E7" w:rsidP="005027E7">
      <w:pPr>
        <w:pStyle w:val="FootnoteText"/>
        <w:ind w:firstLine="0"/>
        <w:rPr>
          <w:i/>
          <w:sz w:val="20"/>
          <w:szCs w:val="20"/>
        </w:rPr>
      </w:pPr>
      <w:r w:rsidRPr="008F44D8">
        <w:rPr>
          <w:rStyle w:val="FootnoteReference"/>
          <w:szCs w:val="20"/>
        </w:rPr>
        <w:footnoteRef/>
      </w:r>
      <w:r w:rsidRPr="008F44D8">
        <w:rPr>
          <w:sz w:val="20"/>
          <w:szCs w:val="20"/>
        </w:rPr>
        <w:t xml:space="preserve"> </w:t>
      </w:r>
      <w:r w:rsidR="00CE40F7" w:rsidRPr="008F44D8">
        <w:rPr>
          <w:i/>
          <w:sz w:val="20"/>
          <w:szCs w:val="20"/>
        </w:rPr>
        <w:t>Response of Open Access Acquisition to the Enforcement Bureau’s June 22, 2012 Letter of Inquiry</w:t>
      </w:r>
      <w:r w:rsidR="00CE40F7" w:rsidRPr="008F44D8">
        <w:rPr>
          <w:sz w:val="20"/>
          <w:szCs w:val="20"/>
        </w:rPr>
        <w:t>, dated August 22, 2012, Exhibit 1-A (</w:t>
      </w:r>
      <w:r w:rsidR="00CE40F7" w:rsidRPr="008F44D8">
        <w:rPr>
          <w:i/>
          <w:sz w:val="20"/>
          <w:szCs w:val="20"/>
        </w:rPr>
        <w:t>LOI Response</w:t>
      </w:r>
      <w:r w:rsidR="00CE40F7" w:rsidRPr="008F44D8">
        <w:rPr>
          <w:sz w:val="20"/>
          <w:szCs w:val="20"/>
        </w:rPr>
        <w:t>).</w:t>
      </w:r>
    </w:p>
  </w:footnote>
  <w:footnote w:id="15">
    <w:p w:rsidR="005027E7" w:rsidRPr="008F44D8" w:rsidRDefault="005027E7" w:rsidP="005027E7">
      <w:pPr>
        <w:pStyle w:val="FootnoteText"/>
        <w:ind w:firstLine="0"/>
        <w:rPr>
          <w:sz w:val="20"/>
          <w:szCs w:val="20"/>
        </w:rPr>
      </w:pPr>
      <w:r w:rsidRPr="008F44D8">
        <w:rPr>
          <w:rStyle w:val="FootnoteReference"/>
          <w:szCs w:val="20"/>
        </w:rPr>
        <w:footnoteRef/>
      </w:r>
      <w:r w:rsidRPr="008F44D8">
        <w:rPr>
          <w:sz w:val="20"/>
          <w:szCs w:val="20"/>
        </w:rPr>
        <w:t xml:space="preserve"> </w:t>
      </w:r>
      <w:r w:rsidRPr="008F44D8">
        <w:rPr>
          <w:i/>
          <w:sz w:val="20"/>
          <w:szCs w:val="20"/>
        </w:rPr>
        <w:t>Id.</w:t>
      </w:r>
      <w:r w:rsidRPr="008F44D8">
        <w:rPr>
          <w:sz w:val="20"/>
          <w:szCs w:val="20"/>
        </w:rPr>
        <w:t xml:space="preserve"> at 2.</w:t>
      </w:r>
    </w:p>
  </w:footnote>
  <w:footnote w:id="16">
    <w:p w:rsidR="001D60B4" w:rsidRPr="008F44D8" w:rsidRDefault="001D60B4" w:rsidP="001D60B4">
      <w:pPr>
        <w:pStyle w:val="FootnoteText"/>
        <w:ind w:firstLine="0"/>
        <w:rPr>
          <w:sz w:val="20"/>
          <w:szCs w:val="20"/>
        </w:rPr>
      </w:pPr>
      <w:r w:rsidRPr="008F44D8">
        <w:rPr>
          <w:rStyle w:val="FootnoteReference"/>
          <w:szCs w:val="20"/>
        </w:rPr>
        <w:footnoteRef/>
      </w:r>
      <w:r w:rsidRPr="008F44D8">
        <w:rPr>
          <w:sz w:val="20"/>
          <w:szCs w:val="20"/>
        </w:rPr>
        <w:t xml:space="preserve"> </w:t>
      </w:r>
      <w:r w:rsidR="00CE40F7" w:rsidRPr="008F44D8">
        <w:rPr>
          <w:i/>
          <w:sz w:val="20"/>
          <w:szCs w:val="20"/>
        </w:rPr>
        <w:t xml:space="preserve">Id. </w:t>
      </w:r>
      <w:r w:rsidR="00CE40F7" w:rsidRPr="008F44D8">
        <w:rPr>
          <w:sz w:val="20"/>
          <w:szCs w:val="20"/>
        </w:rPr>
        <w:t>at</w:t>
      </w:r>
      <w:r w:rsidRPr="008F44D8">
        <w:rPr>
          <w:sz w:val="20"/>
          <w:szCs w:val="20"/>
        </w:rPr>
        <w:t xml:space="preserve"> Exhibit 1-A (</w:t>
      </w:r>
      <w:r w:rsidRPr="008F44D8">
        <w:rPr>
          <w:i/>
          <w:sz w:val="20"/>
          <w:szCs w:val="20"/>
        </w:rPr>
        <w:t>LOI Response</w:t>
      </w:r>
      <w:r w:rsidRPr="008F44D8">
        <w:rPr>
          <w:sz w:val="20"/>
          <w:szCs w:val="20"/>
        </w:rPr>
        <w:t>).</w:t>
      </w:r>
    </w:p>
  </w:footnote>
  <w:footnote w:id="17">
    <w:p w:rsidR="006A621E" w:rsidRPr="008F44D8" w:rsidRDefault="006A621E" w:rsidP="00E704F5">
      <w:pPr>
        <w:pStyle w:val="FootnoteText"/>
        <w:ind w:firstLine="0"/>
        <w:rPr>
          <w:sz w:val="20"/>
          <w:szCs w:val="20"/>
        </w:rPr>
      </w:pPr>
      <w:r w:rsidRPr="008F44D8">
        <w:rPr>
          <w:rStyle w:val="FootnoteReference"/>
          <w:szCs w:val="20"/>
        </w:rPr>
        <w:footnoteRef/>
      </w:r>
      <w:r w:rsidRPr="008F44D8">
        <w:rPr>
          <w:sz w:val="20"/>
          <w:szCs w:val="20"/>
        </w:rPr>
        <w:t xml:space="preserve"> </w:t>
      </w:r>
      <w:r w:rsidRPr="008F44D8">
        <w:rPr>
          <w:i/>
          <w:sz w:val="20"/>
          <w:szCs w:val="20"/>
        </w:rPr>
        <w:t xml:space="preserve">See </w:t>
      </w:r>
      <w:r w:rsidRPr="008F44D8">
        <w:rPr>
          <w:sz w:val="20"/>
          <w:szCs w:val="20"/>
        </w:rPr>
        <w:t xml:space="preserve">Letter from Pamela S. Kane, Deputy Div. Chief, Investigations and Hearings Division, FCC Enforcement Bureau, to </w:t>
      </w:r>
      <w:r w:rsidR="005A74C3" w:rsidRPr="008F44D8">
        <w:rPr>
          <w:sz w:val="20"/>
          <w:szCs w:val="20"/>
        </w:rPr>
        <w:t>David L. Mayer</w:t>
      </w:r>
      <w:r w:rsidRPr="008F44D8">
        <w:rPr>
          <w:sz w:val="20"/>
          <w:szCs w:val="20"/>
        </w:rPr>
        <w:t xml:space="preserve">, </w:t>
      </w:r>
      <w:r w:rsidR="005A74C3" w:rsidRPr="008F44D8">
        <w:rPr>
          <w:sz w:val="20"/>
          <w:szCs w:val="20"/>
        </w:rPr>
        <w:t>General Counsel and E</w:t>
      </w:r>
      <w:r w:rsidR="009C48E1" w:rsidRPr="008F44D8">
        <w:rPr>
          <w:sz w:val="20"/>
          <w:szCs w:val="20"/>
        </w:rPr>
        <w:t xml:space="preserve">xec. </w:t>
      </w:r>
      <w:r w:rsidR="005A74C3" w:rsidRPr="008F44D8">
        <w:rPr>
          <w:sz w:val="20"/>
          <w:szCs w:val="20"/>
        </w:rPr>
        <w:t>VP Business Development, Lightower Fiber Networks</w:t>
      </w:r>
      <w:r w:rsidR="009C48E1" w:rsidRPr="008F44D8">
        <w:rPr>
          <w:sz w:val="20"/>
          <w:szCs w:val="20"/>
        </w:rPr>
        <w:t xml:space="preserve"> (</w:t>
      </w:r>
      <w:r w:rsidR="005A74C3" w:rsidRPr="008F44D8">
        <w:rPr>
          <w:sz w:val="20"/>
          <w:szCs w:val="20"/>
        </w:rPr>
        <w:t>June 2, 2012</w:t>
      </w:r>
      <w:r w:rsidR="009C48E1" w:rsidRPr="008F44D8">
        <w:rPr>
          <w:sz w:val="20"/>
          <w:szCs w:val="20"/>
        </w:rPr>
        <w:t>)</w:t>
      </w:r>
      <w:r w:rsidR="00383357" w:rsidRPr="008F44D8">
        <w:rPr>
          <w:sz w:val="20"/>
          <w:szCs w:val="20"/>
        </w:rPr>
        <w:t xml:space="preserve"> (</w:t>
      </w:r>
      <w:r w:rsidR="00383357" w:rsidRPr="008F44D8">
        <w:rPr>
          <w:i/>
          <w:sz w:val="20"/>
          <w:szCs w:val="20"/>
        </w:rPr>
        <w:t>LOI</w:t>
      </w:r>
      <w:r w:rsidR="00383357" w:rsidRPr="008F44D8">
        <w:rPr>
          <w:sz w:val="20"/>
          <w:szCs w:val="20"/>
        </w:rPr>
        <w:t>)</w:t>
      </w:r>
      <w:r w:rsidRPr="008F44D8">
        <w:rPr>
          <w:sz w:val="20"/>
          <w:szCs w:val="20"/>
        </w:rPr>
        <w:t>.</w:t>
      </w:r>
      <w:r w:rsidR="005A74C3" w:rsidRPr="008F44D8">
        <w:rPr>
          <w:sz w:val="20"/>
          <w:szCs w:val="20"/>
        </w:rPr>
        <w:t xml:space="preserve">  Open Access Acquisition LLC and Lightower Fiber Networks are subsidiaries of </w:t>
      </w:r>
      <w:r w:rsidR="00383357" w:rsidRPr="008F44D8">
        <w:rPr>
          <w:sz w:val="20"/>
          <w:szCs w:val="20"/>
        </w:rPr>
        <w:t>Light Tower Holdings LLC.</w:t>
      </w:r>
      <w:r w:rsidR="005A74C3" w:rsidRPr="008F44D8">
        <w:rPr>
          <w:sz w:val="20"/>
          <w:szCs w:val="20"/>
        </w:rPr>
        <w:t xml:space="preserve"> </w:t>
      </w:r>
    </w:p>
  </w:footnote>
  <w:footnote w:id="18">
    <w:p w:rsidR="006A621E" w:rsidRPr="008F44D8" w:rsidRDefault="006A621E" w:rsidP="00E90E3D">
      <w:pPr>
        <w:pStyle w:val="FootnoteText"/>
        <w:ind w:firstLine="0"/>
        <w:rPr>
          <w:sz w:val="20"/>
          <w:szCs w:val="20"/>
        </w:rPr>
      </w:pPr>
      <w:r w:rsidRPr="008F44D8">
        <w:rPr>
          <w:rStyle w:val="FootnoteReference"/>
          <w:szCs w:val="20"/>
        </w:rPr>
        <w:footnoteRef/>
      </w:r>
      <w:r w:rsidRPr="008F44D8">
        <w:rPr>
          <w:sz w:val="20"/>
          <w:szCs w:val="20"/>
        </w:rPr>
        <w:t xml:space="preserve"> </w:t>
      </w:r>
      <w:r w:rsidRPr="008F44D8">
        <w:rPr>
          <w:i/>
          <w:sz w:val="20"/>
          <w:szCs w:val="20"/>
        </w:rPr>
        <w:t xml:space="preserve">See </w:t>
      </w:r>
      <w:r w:rsidR="00263F94" w:rsidRPr="008F44D8">
        <w:rPr>
          <w:i/>
          <w:sz w:val="20"/>
          <w:szCs w:val="20"/>
        </w:rPr>
        <w:t>supra</w:t>
      </w:r>
      <w:r w:rsidR="00383357" w:rsidRPr="008F44D8">
        <w:rPr>
          <w:sz w:val="20"/>
          <w:szCs w:val="20"/>
        </w:rPr>
        <w:t xml:space="preserve"> </w:t>
      </w:r>
      <w:r w:rsidR="00263F94" w:rsidRPr="0048774A">
        <w:rPr>
          <w:sz w:val="20"/>
          <w:szCs w:val="20"/>
        </w:rPr>
        <w:t>note 10</w:t>
      </w:r>
      <w:r w:rsidRPr="0048774A">
        <w:rPr>
          <w:sz w:val="20"/>
          <w:szCs w:val="20"/>
        </w:rPr>
        <w:t>.</w:t>
      </w:r>
    </w:p>
  </w:footnote>
  <w:footnote w:id="19">
    <w:p w:rsidR="007A3862" w:rsidRPr="008F44D8" w:rsidRDefault="007A3862" w:rsidP="007A3862">
      <w:pPr>
        <w:pStyle w:val="FootnoteText"/>
        <w:ind w:firstLine="0"/>
        <w:rPr>
          <w:sz w:val="20"/>
          <w:szCs w:val="20"/>
        </w:rPr>
      </w:pPr>
      <w:r w:rsidRPr="008F44D8">
        <w:rPr>
          <w:rStyle w:val="FootnoteReference"/>
          <w:szCs w:val="20"/>
        </w:rPr>
        <w:footnoteRef/>
      </w:r>
      <w:r w:rsidRPr="008F44D8">
        <w:rPr>
          <w:sz w:val="20"/>
          <w:szCs w:val="20"/>
        </w:rPr>
        <w:t xml:space="preserve"> 47 C.F.R. § 1.16.</w:t>
      </w:r>
    </w:p>
  </w:footnote>
  <w:footnote w:id="20">
    <w:p w:rsidR="001D07C6" w:rsidRPr="008F44D8" w:rsidRDefault="001D07C6" w:rsidP="001D07C6">
      <w:pPr>
        <w:pStyle w:val="FootnoteText"/>
        <w:ind w:firstLine="0"/>
        <w:rPr>
          <w:sz w:val="20"/>
          <w:szCs w:val="20"/>
        </w:rPr>
      </w:pPr>
      <w:r w:rsidRPr="008F44D8">
        <w:rPr>
          <w:rStyle w:val="FootnoteReference"/>
          <w:szCs w:val="20"/>
        </w:rPr>
        <w:footnoteRef/>
      </w:r>
      <w:r w:rsidRPr="008F44D8">
        <w:rPr>
          <w:sz w:val="20"/>
          <w:szCs w:val="20"/>
        </w:rPr>
        <w:t xml:space="preserve"> 47 U.S.C. § 208.</w:t>
      </w:r>
    </w:p>
  </w:footnote>
  <w:footnote w:id="21">
    <w:p w:rsidR="006A621E" w:rsidRPr="008F44D8" w:rsidRDefault="006A621E">
      <w:pPr>
        <w:pStyle w:val="FootnoteText"/>
        <w:ind w:firstLine="0"/>
        <w:rPr>
          <w:sz w:val="20"/>
          <w:szCs w:val="20"/>
        </w:rPr>
      </w:pPr>
      <w:r w:rsidRPr="008F44D8">
        <w:rPr>
          <w:rStyle w:val="FootnoteReference"/>
          <w:szCs w:val="20"/>
        </w:rPr>
        <w:footnoteRef/>
      </w:r>
      <w:r w:rsidRPr="008F44D8">
        <w:rPr>
          <w:sz w:val="20"/>
          <w:szCs w:val="20"/>
        </w:rPr>
        <w:t xml:space="preserve"> </w:t>
      </w:r>
      <w:r w:rsidRPr="008F44D8">
        <w:rPr>
          <w:rFonts w:eastAsia="MS Mincho" w:cs="Arial"/>
          <w:sz w:val="20"/>
          <w:szCs w:val="20"/>
        </w:rPr>
        <w:t>An FCC Form 159 and detailed instructions for completing the form may be obtained at http://www.fcc.gov/Forms/Form159/159.pdf.</w:t>
      </w:r>
    </w:p>
  </w:footnote>
  <w:footnote w:id="22">
    <w:p w:rsidR="006A621E" w:rsidRPr="008F44D8" w:rsidRDefault="006A621E">
      <w:pPr>
        <w:pStyle w:val="FootnoteText"/>
        <w:ind w:firstLine="0"/>
        <w:rPr>
          <w:sz w:val="20"/>
          <w:szCs w:val="20"/>
        </w:rPr>
      </w:pPr>
      <w:r w:rsidRPr="008F44D8">
        <w:rPr>
          <w:rStyle w:val="FootnoteReference"/>
          <w:szCs w:val="20"/>
        </w:rPr>
        <w:footnoteRef/>
      </w:r>
      <w:r w:rsidRPr="008F44D8">
        <w:rPr>
          <w:sz w:val="20"/>
          <w:szCs w:val="20"/>
        </w:rPr>
        <w:t xml:space="preserve"> </w:t>
      </w:r>
      <w:r w:rsidRPr="008F44D8">
        <w:rPr>
          <w:i/>
          <w:sz w:val="20"/>
          <w:szCs w:val="20"/>
        </w:rPr>
        <w:t xml:space="preserve">See </w:t>
      </w:r>
      <w:r w:rsidRPr="008F44D8">
        <w:rPr>
          <w:sz w:val="20"/>
          <w:szCs w:val="20"/>
        </w:rPr>
        <w:t>5 U.S.C. § 504; 47 C.F.R. Part 1, Subpart 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03D" w:rsidRDefault="004610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E" w:rsidRDefault="006A621E">
    <w:pPr>
      <w:pStyle w:val="Header"/>
      <w:widowControl w:val="0"/>
      <w:pBdr>
        <w:bottom w:val="single" w:sz="12" w:space="1" w:color="auto"/>
      </w:pBdr>
      <w:tabs>
        <w:tab w:val="clear" w:pos="4320"/>
        <w:tab w:val="clear" w:pos="8640"/>
        <w:tab w:val="center" w:pos="4680"/>
        <w:tab w:val="right" w:pos="9360"/>
      </w:tabs>
      <w:rPr>
        <w:b/>
      </w:rPr>
    </w:pPr>
    <w:r>
      <w:rPr>
        <w:b/>
      </w:rPr>
      <w:tab/>
    </w:r>
    <w:r>
      <w:rPr>
        <w:b/>
        <w:snapToGrid w:val="0"/>
        <w:kern w:val="28"/>
        <w:szCs w:val="20"/>
      </w:rPr>
      <w:t>Federal</w:t>
    </w:r>
    <w:r>
      <w:rPr>
        <w:b/>
      </w:rPr>
      <w:t xml:space="preserve"> Communications Commission</w:t>
    </w:r>
    <w:r>
      <w:rPr>
        <w:b/>
      </w:rPr>
      <w:tab/>
      <w:t xml:space="preserve">        </w:t>
    </w:r>
    <w:r w:rsidRPr="00502C91">
      <w:rPr>
        <w:b/>
      </w:rPr>
      <w:t>DA 13-</w:t>
    </w:r>
    <w:r w:rsidR="0048774A">
      <w:rPr>
        <w:b/>
      </w:rPr>
      <w:t>1947</w:t>
    </w:r>
  </w:p>
  <w:p w:rsidR="006A621E" w:rsidRPr="003C184F" w:rsidRDefault="006A621E" w:rsidP="00F46940">
    <w:pPr>
      <w:jc w:val="right"/>
      <w:rPr>
        <w:b/>
        <w:sz w:val="22"/>
        <w:szCs w:val="22"/>
      </w:rPr>
    </w:pPr>
  </w:p>
  <w:p w:rsidR="006A621E" w:rsidRDefault="006A6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21E" w:rsidRDefault="006A621E">
    <w:pPr>
      <w:pStyle w:val="Header"/>
      <w:widowControl w:val="0"/>
      <w:pBdr>
        <w:bottom w:val="single" w:sz="12" w:space="1" w:color="auto"/>
      </w:pBdr>
      <w:tabs>
        <w:tab w:val="clear" w:pos="4320"/>
        <w:tab w:val="clear" w:pos="8640"/>
        <w:tab w:val="center" w:pos="4680"/>
        <w:tab w:val="right" w:pos="9360"/>
      </w:tabs>
      <w:rPr>
        <w:b/>
      </w:rPr>
    </w:pPr>
    <w:r>
      <w:rPr>
        <w:b/>
      </w:rPr>
      <w:tab/>
    </w:r>
    <w:r>
      <w:rPr>
        <w:b/>
        <w:snapToGrid w:val="0"/>
        <w:kern w:val="28"/>
        <w:szCs w:val="20"/>
      </w:rPr>
      <w:t>Federal</w:t>
    </w:r>
    <w:r>
      <w:rPr>
        <w:b/>
      </w:rPr>
      <w:t xml:space="preserve"> Communications Commission</w:t>
    </w:r>
    <w:r>
      <w:rPr>
        <w:b/>
      </w:rPr>
      <w:tab/>
      <w:t xml:space="preserve">        </w:t>
    </w:r>
    <w:r w:rsidRPr="00502C91">
      <w:rPr>
        <w:b/>
      </w:rPr>
      <w:t>DA 13-</w:t>
    </w:r>
    <w:r w:rsidR="0048774A">
      <w:rPr>
        <w:b/>
      </w:rPr>
      <w:t>1947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69EEF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907F2C"/>
    <w:multiLevelType w:val="hybridMultilevel"/>
    <w:tmpl w:val="914237D2"/>
    <w:lvl w:ilvl="0" w:tplc="D3CA77E8">
      <w:start w:val="1"/>
      <w:numFmt w:val="lowerLetter"/>
      <w:lvlText w:val="(%1)"/>
      <w:lvlJc w:val="left"/>
      <w:pPr>
        <w:tabs>
          <w:tab w:val="num" w:pos="1872"/>
        </w:tabs>
        <w:ind w:left="1872" w:hanging="432"/>
      </w:pPr>
      <w:rPr>
        <w:rFonts w:ascii="Times New Roman" w:hAnsi="Times New Roman" w:hint="default"/>
        <w:b w:val="0"/>
        <w:bCs w:val="0"/>
        <w:i w:val="0"/>
        <w:iCs w:val="0"/>
        <w:caps w:val="0"/>
        <w:smallCaps w:val="0"/>
        <w:strike w:val="0"/>
        <w:dstrike w:val="0"/>
        <w:color w:val="auto"/>
        <w:spacing w:val="-2"/>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C4046A9C">
      <w:start w:val="1"/>
      <w:numFmt w:val="lowerLetter"/>
      <w:lvlText w:val="%2)"/>
      <w:lvlJc w:val="left"/>
      <w:pPr>
        <w:tabs>
          <w:tab w:val="num" w:pos="1800"/>
        </w:tabs>
        <w:ind w:left="1800" w:hanging="720"/>
      </w:pPr>
      <w:rPr>
        <w:rFonts w:hint="default"/>
      </w:rPr>
    </w:lvl>
    <w:lvl w:ilvl="2" w:tplc="CD22499A">
      <w:start w:val="2"/>
      <w:numFmt w:val="upperLetter"/>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5A1B9F"/>
    <w:multiLevelType w:val="multilevel"/>
    <w:tmpl w:val="B6C2B70A"/>
    <w:name w:val="zzmpDCStandard||DCStandard|2|1|1|1|0|5||1|0|4||1|0|0||1|0|0||1|0|0||1|0|0||1|0|0||1|0|0||1|0|0||"/>
    <w:lvl w:ilvl="0">
      <w:start w:val="1"/>
      <w:numFmt w:val="decimal"/>
      <w:lvlRestart w:val="0"/>
      <w:pStyle w:val="DCStandardL1"/>
      <w:lvlText w:val="%1."/>
      <w:lvlJc w:val="left"/>
      <w:pPr>
        <w:tabs>
          <w:tab w:val="num" w:pos="1440"/>
        </w:tabs>
        <w:ind w:left="0" w:firstLine="720"/>
      </w:pPr>
      <w:rPr>
        <w:rFonts w:ascii="Times New Roman" w:hAnsi="Times New Roman" w:cs="Times New Roman"/>
        <w:b w:val="0"/>
        <w:i w:val="0"/>
        <w:caps w:val="0"/>
        <w:color w:val="auto"/>
        <w:u w:val="none"/>
      </w:rPr>
    </w:lvl>
    <w:lvl w:ilvl="1">
      <w:start w:val="1"/>
      <w:numFmt w:val="lowerLetter"/>
      <w:pStyle w:val="DCStandardL2"/>
      <w:lvlText w:val="(%2)"/>
      <w:lvlJc w:val="left"/>
      <w:pPr>
        <w:tabs>
          <w:tab w:val="num" w:pos="2160"/>
        </w:tabs>
        <w:ind w:left="2160" w:hanging="720"/>
      </w:pPr>
      <w:rPr>
        <w:rFonts w:ascii="Times New Roman" w:hAnsi="Times New Roman" w:cs="Times New Roman"/>
        <w:b w:val="0"/>
        <w:i w:val="0"/>
        <w:caps w:val="0"/>
        <w:color w:val="auto"/>
        <w:u w:val="none"/>
      </w:rPr>
    </w:lvl>
    <w:lvl w:ilvl="2">
      <w:start w:val="1"/>
      <w:numFmt w:val="lowerRoman"/>
      <w:pStyle w:val="DCStandardL3"/>
      <w:lvlText w:val="(%3)"/>
      <w:lvlJc w:val="left"/>
      <w:pPr>
        <w:tabs>
          <w:tab w:val="num" w:pos="2160"/>
        </w:tabs>
        <w:ind w:left="0" w:firstLine="1440"/>
      </w:pPr>
      <w:rPr>
        <w:rFonts w:ascii="Times New Roman" w:hAnsi="Times New Roman" w:cs="Times New Roman"/>
        <w:b/>
        <w:i w:val="0"/>
        <w:caps w:val="0"/>
        <w:color w:val="auto"/>
        <w:u w:val="none"/>
      </w:rPr>
    </w:lvl>
    <w:lvl w:ilvl="3">
      <w:start w:val="1"/>
      <w:numFmt w:val="decimal"/>
      <w:pStyle w:val="DCStandardL4"/>
      <w:lvlText w:val="(%4)"/>
      <w:lvlJc w:val="left"/>
      <w:pPr>
        <w:tabs>
          <w:tab w:val="num" w:pos="2880"/>
        </w:tabs>
        <w:ind w:left="2160" w:firstLine="0"/>
      </w:pPr>
      <w:rPr>
        <w:rFonts w:ascii="Times New Roman" w:hAnsi="Times New Roman" w:cs="Times New Roman"/>
        <w:b/>
        <w:i w:val="0"/>
        <w:caps w:val="0"/>
        <w:color w:val="auto"/>
        <w:u w:val="none"/>
      </w:rPr>
    </w:lvl>
    <w:lvl w:ilvl="4">
      <w:start w:val="1"/>
      <w:numFmt w:val="lowerLetter"/>
      <w:pStyle w:val="DCStandardL5"/>
      <w:lvlText w:val="%5."/>
      <w:lvlJc w:val="left"/>
      <w:pPr>
        <w:tabs>
          <w:tab w:val="num" w:pos="3600"/>
        </w:tabs>
        <w:ind w:left="2880" w:firstLine="0"/>
      </w:pPr>
      <w:rPr>
        <w:rFonts w:ascii="Times New Roman" w:hAnsi="Times New Roman" w:cs="Times New Roman"/>
        <w:b w:val="0"/>
        <w:i w:val="0"/>
        <w:caps w:val="0"/>
        <w:color w:val="auto"/>
        <w:u w:val="none"/>
      </w:rPr>
    </w:lvl>
    <w:lvl w:ilvl="5">
      <w:start w:val="1"/>
      <w:numFmt w:val="lowerRoman"/>
      <w:pStyle w:val="DCStandardL6"/>
      <w:lvlText w:val="%6."/>
      <w:lvlJc w:val="left"/>
      <w:pPr>
        <w:tabs>
          <w:tab w:val="num" w:pos="4320"/>
        </w:tabs>
        <w:ind w:left="3600" w:firstLine="0"/>
      </w:pPr>
      <w:rPr>
        <w:rFonts w:ascii="Times New Roman" w:hAnsi="Times New Roman" w:cs="Times New Roman"/>
        <w:b w:val="0"/>
        <w:i w:val="0"/>
        <w:caps w:val="0"/>
        <w:color w:val="auto"/>
        <w:u w:val="none"/>
      </w:rPr>
    </w:lvl>
    <w:lvl w:ilvl="6">
      <w:start w:val="1"/>
      <w:numFmt w:val="decimal"/>
      <w:pStyle w:val="DCStandardL7"/>
      <w:lvlText w:val="%7)"/>
      <w:lvlJc w:val="left"/>
      <w:pPr>
        <w:tabs>
          <w:tab w:val="num" w:pos="5040"/>
        </w:tabs>
        <w:ind w:left="3600" w:firstLine="720"/>
      </w:pPr>
      <w:rPr>
        <w:rFonts w:ascii="Times New Roman" w:hAnsi="Times New Roman" w:cs="Times New Roman"/>
        <w:b w:val="0"/>
        <w:i w:val="0"/>
        <w:caps w:val="0"/>
        <w:color w:val="auto"/>
        <w:u w:val="none"/>
      </w:rPr>
    </w:lvl>
    <w:lvl w:ilvl="7">
      <w:start w:val="1"/>
      <w:numFmt w:val="lowerLetter"/>
      <w:pStyle w:val="DCStandardL8"/>
      <w:lvlText w:val="%8)"/>
      <w:lvlJc w:val="left"/>
      <w:pPr>
        <w:tabs>
          <w:tab w:val="num" w:pos="5760"/>
        </w:tabs>
        <w:ind w:left="3600" w:firstLine="1440"/>
      </w:pPr>
      <w:rPr>
        <w:rFonts w:ascii="Times New Roman" w:hAnsi="Times New Roman" w:cs="Times New Roman"/>
        <w:b w:val="0"/>
        <w:i w:val="0"/>
        <w:caps w:val="0"/>
        <w:color w:val="auto"/>
        <w:u w:val="none"/>
      </w:rPr>
    </w:lvl>
    <w:lvl w:ilvl="8">
      <w:start w:val="1"/>
      <w:numFmt w:val="lowerRoman"/>
      <w:pStyle w:val="DCStandardL9"/>
      <w:lvlText w:val="%9)"/>
      <w:lvlJc w:val="left"/>
      <w:pPr>
        <w:tabs>
          <w:tab w:val="num" w:pos="6480"/>
        </w:tabs>
        <w:ind w:left="3600" w:firstLine="2160"/>
      </w:pPr>
      <w:rPr>
        <w:rFonts w:ascii="Times New Roman" w:hAnsi="Times New Roman" w:cs="Times New Roman"/>
        <w:b w:val="0"/>
        <w:i w:val="0"/>
        <w:caps w:val="0"/>
        <w:color w:val="auto"/>
        <w:u w:val="none"/>
      </w:rPr>
    </w:lvl>
  </w:abstractNum>
  <w:abstractNum w:abstractNumId="3">
    <w:nsid w:val="2E221358"/>
    <w:multiLevelType w:val="hybridMultilevel"/>
    <w:tmpl w:val="866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009C2"/>
    <w:multiLevelType w:val="hybridMultilevel"/>
    <w:tmpl w:val="1A082BD0"/>
    <w:lvl w:ilvl="0" w:tplc="565A3B30">
      <w:start w:val="3"/>
      <w:numFmt w:val="upperRoman"/>
      <w:lvlText w:val="%1."/>
      <w:lvlJc w:val="left"/>
      <w:pPr>
        <w:tabs>
          <w:tab w:val="num" w:pos="1080"/>
        </w:tabs>
        <w:ind w:left="1080" w:hanging="720"/>
      </w:pPr>
      <w:rPr>
        <w:rFonts w:hint="default"/>
      </w:rPr>
    </w:lvl>
    <w:lvl w:ilvl="1" w:tplc="5952369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C54BBA"/>
    <w:multiLevelType w:val="hybridMultilevel"/>
    <w:tmpl w:val="DB82AF84"/>
    <w:lvl w:ilvl="0" w:tplc="5952369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77423"/>
    <w:multiLevelType w:val="hybridMultilevel"/>
    <w:tmpl w:val="78C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82925"/>
    <w:multiLevelType w:val="singleLevel"/>
    <w:tmpl w:val="C262D04E"/>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abstractNum w:abstractNumId="8">
    <w:nsid w:val="628E1E95"/>
    <w:multiLevelType w:val="singleLevel"/>
    <w:tmpl w:val="1E5AE0FC"/>
    <w:lvl w:ilvl="0">
      <w:start w:val="1"/>
      <w:numFmt w:val="decimal"/>
      <w:pStyle w:val="par1"/>
      <w:lvlText w:val="%1."/>
      <w:lvlJc w:val="left"/>
      <w:pPr>
        <w:tabs>
          <w:tab w:val="num" w:pos="144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nsid w:val="6D2B48D2"/>
    <w:multiLevelType w:val="singleLevel"/>
    <w:tmpl w:val="462A4EC8"/>
    <w:lvl w:ilvl="0">
      <w:start w:val="1"/>
      <w:numFmt w:val="decimal"/>
      <w:pStyle w:val="Paranum0"/>
      <w:lvlText w:val="%1."/>
      <w:lvlJc w:val="left"/>
      <w:pPr>
        <w:tabs>
          <w:tab w:val="num" w:pos="1080"/>
        </w:tabs>
        <w:ind w:left="0" w:firstLine="720"/>
      </w:pPr>
      <w:rPr>
        <w:b w:val="0"/>
        <w:color w:val="auto"/>
      </w:rPr>
    </w:lvl>
  </w:abstractNum>
  <w:abstractNum w:abstractNumId="10">
    <w:nsid w:val="6F8D3302"/>
    <w:multiLevelType w:val="hybridMultilevel"/>
    <w:tmpl w:val="40823CA8"/>
    <w:lvl w:ilvl="0" w:tplc="04090001">
      <w:start w:val="1"/>
      <w:numFmt w:val="bullet"/>
      <w:lvlText w:val=""/>
      <w:lvlJc w:val="left"/>
      <w:pPr>
        <w:tabs>
          <w:tab w:val="num" w:pos="1080"/>
        </w:tabs>
        <w:ind w:left="1080" w:hanging="360"/>
      </w:pPr>
      <w:rPr>
        <w:rFonts w:ascii="Symbol" w:hAnsi="Symbol"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1">
    <w:nsid w:val="7B275228"/>
    <w:multiLevelType w:val="hybridMultilevel"/>
    <w:tmpl w:val="D6B0A896"/>
    <w:lvl w:ilvl="0" w:tplc="67FA3D2E">
      <w:start w:val="1"/>
      <w:numFmt w:val="upperLetter"/>
      <w:lvlText w:val="%1."/>
      <w:lvlJc w:val="left"/>
      <w:pPr>
        <w:tabs>
          <w:tab w:val="num" w:pos="3060"/>
        </w:tabs>
        <w:ind w:left="3060" w:hanging="360"/>
      </w:pPr>
      <w:rPr>
        <w:rFonts w:hint="default"/>
        <w:b/>
      </w:rPr>
    </w:lvl>
    <w:lvl w:ilvl="1" w:tplc="04090001">
      <w:start w:val="1"/>
      <w:numFmt w:val="bullet"/>
      <w:lvlText w:val=""/>
      <w:lvlJc w:val="left"/>
      <w:pPr>
        <w:tabs>
          <w:tab w:val="num" w:pos="3780"/>
        </w:tabs>
        <w:ind w:left="3780" w:hanging="360"/>
      </w:pPr>
      <w:rPr>
        <w:rFonts w:ascii="Symbol" w:hAnsi="Symbol" w:hint="default"/>
        <w:b/>
      </w:rPr>
    </w:lvl>
    <w:lvl w:ilvl="2" w:tplc="10528CBA">
      <w:start w:val="1"/>
      <w:numFmt w:val="decimal"/>
      <w:lvlText w:val="(%3)"/>
      <w:lvlJc w:val="left"/>
      <w:pPr>
        <w:tabs>
          <w:tab w:val="num" w:pos="4680"/>
        </w:tabs>
        <w:ind w:left="4680" w:hanging="360"/>
      </w:pPr>
      <w:rPr>
        <w:rFonts w:hint="default"/>
      </w:r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9"/>
  </w:num>
  <w:num w:numId="2">
    <w:abstractNumId w:val="8"/>
  </w:num>
  <w:num w:numId="3">
    <w:abstractNumId w:val="1"/>
  </w:num>
  <w:num w:numId="4">
    <w:abstractNumId w:val="7"/>
  </w:num>
  <w:num w:numId="5">
    <w:abstractNumId w:val="2"/>
  </w:num>
  <w:num w:numId="6">
    <w:abstractNumId w:val="4"/>
  </w:num>
  <w:num w:numId="7">
    <w:abstractNumId w:val="5"/>
  </w:num>
  <w:num w:numId="8">
    <w:abstractNumId w:val="11"/>
  </w:num>
  <w:num w:numId="9">
    <w:abstractNumId w:val="10"/>
  </w:num>
  <w:num w:numId="10">
    <w:abstractNumId w:val="0"/>
  </w:num>
  <w:num w:numId="11">
    <w:abstractNumId w:val="3"/>
  </w:num>
  <w:num w:numId="12">
    <w:abstractNumId w:val="6"/>
  </w:num>
  <w:num w:numId="13">
    <w:abstractNumId w:val="8"/>
    <w:lvlOverride w:ilvl="0">
      <w:startOverride w:val="1"/>
    </w:lvlOverride>
  </w:num>
  <w:num w:numId="14">
    <w:abstractNumId w:val="9"/>
  </w:num>
  <w:num w:numId="15">
    <w:abstractNumId w:val="9"/>
  </w:num>
  <w:num w:numId="16">
    <w:abstractNumId w:val="8"/>
    <w:lvlOverride w:ilvl="0">
      <w:startOverride w:val="1"/>
    </w:lvlOverride>
  </w:num>
  <w:num w:numId="17">
    <w:abstractNumId w:val="9"/>
  </w:num>
  <w:num w:numId="18">
    <w:abstractNumId w:val="9"/>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15"/>
    <w:rsid w:val="00003C34"/>
    <w:rsid w:val="00004AAC"/>
    <w:rsid w:val="00005253"/>
    <w:rsid w:val="00011F3E"/>
    <w:rsid w:val="00021B6F"/>
    <w:rsid w:val="00024555"/>
    <w:rsid w:val="00066E63"/>
    <w:rsid w:val="0007521B"/>
    <w:rsid w:val="0007670D"/>
    <w:rsid w:val="00081DE8"/>
    <w:rsid w:val="0008675B"/>
    <w:rsid w:val="000A4366"/>
    <w:rsid w:val="000A7FC2"/>
    <w:rsid w:val="000B061D"/>
    <w:rsid w:val="000B36AB"/>
    <w:rsid w:val="000C58F8"/>
    <w:rsid w:val="000D6965"/>
    <w:rsid w:val="000F7AAE"/>
    <w:rsid w:val="00130558"/>
    <w:rsid w:val="00134D22"/>
    <w:rsid w:val="0014751A"/>
    <w:rsid w:val="00164ADC"/>
    <w:rsid w:val="00165451"/>
    <w:rsid w:val="00173BA6"/>
    <w:rsid w:val="0017513A"/>
    <w:rsid w:val="00176171"/>
    <w:rsid w:val="001808D8"/>
    <w:rsid w:val="001923F5"/>
    <w:rsid w:val="00194E37"/>
    <w:rsid w:val="001A3AD5"/>
    <w:rsid w:val="001B3415"/>
    <w:rsid w:val="001B3768"/>
    <w:rsid w:val="001C09D1"/>
    <w:rsid w:val="001C2DF6"/>
    <w:rsid w:val="001D07C6"/>
    <w:rsid w:val="001D403B"/>
    <w:rsid w:val="001D60B4"/>
    <w:rsid w:val="001D66EF"/>
    <w:rsid w:val="001F250C"/>
    <w:rsid w:val="001F47B8"/>
    <w:rsid w:val="0020172B"/>
    <w:rsid w:val="00207845"/>
    <w:rsid w:val="00211A61"/>
    <w:rsid w:val="002120DB"/>
    <w:rsid w:val="0022247D"/>
    <w:rsid w:val="002371ED"/>
    <w:rsid w:val="00240048"/>
    <w:rsid w:val="00243209"/>
    <w:rsid w:val="0025748E"/>
    <w:rsid w:val="002576DA"/>
    <w:rsid w:val="00263F94"/>
    <w:rsid w:val="00264706"/>
    <w:rsid w:val="00274056"/>
    <w:rsid w:val="00274DC1"/>
    <w:rsid w:val="00275F8C"/>
    <w:rsid w:val="00281985"/>
    <w:rsid w:val="0028404F"/>
    <w:rsid w:val="00285133"/>
    <w:rsid w:val="00287A45"/>
    <w:rsid w:val="00290CEE"/>
    <w:rsid w:val="002934E0"/>
    <w:rsid w:val="002972B9"/>
    <w:rsid w:val="002A0049"/>
    <w:rsid w:val="002A18BD"/>
    <w:rsid w:val="002B033D"/>
    <w:rsid w:val="002B50ED"/>
    <w:rsid w:val="002B5BB3"/>
    <w:rsid w:val="002C299C"/>
    <w:rsid w:val="002C3424"/>
    <w:rsid w:val="002E0BBA"/>
    <w:rsid w:val="002E39EB"/>
    <w:rsid w:val="003071D8"/>
    <w:rsid w:val="003237EB"/>
    <w:rsid w:val="003306FB"/>
    <w:rsid w:val="00330ACE"/>
    <w:rsid w:val="003315A8"/>
    <w:rsid w:val="0033773D"/>
    <w:rsid w:val="0035166D"/>
    <w:rsid w:val="00352F33"/>
    <w:rsid w:val="00357504"/>
    <w:rsid w:val="0036030E"/>
    <w:rsid w:val="00367621"/>
    <w:rsid w:val="00381E72"/>
    <w:rsid w:val="00383357"/>
    <w:rsid w:val="00386964"/>
    <w:rsid w:val="00396F79"/>
    <w:rsid w:val="003A01B4"/>
    <w:rsid w:val="003A4053"/>
    <w:rsid w:val="003A58A8"/>
    <w:rsid w:val="003A6F17"/>
    <w:rsid w:val="003B32B0"/>
    <w:rsid w:val="003B3B0B"/>
    <w:rsid w:val="003B4F66"/>
    <w:rsid w:val="003B75BB"/>
    <w:rsid w:val="003C184F"/>
    <w:rsid w:val="003C3CD2"/>
    <w:rsid w:val="003C43CD"/>
    <w:rsid w:val="003D148E"/>
    <w:rsid w:val="003D4321"/>
    <w:rsid w:val="003F752B"/>
    <w:rsid w:val="00403731"/>
    <w:rsid w:val="00404738"/>
    <w:rsid w:val="00405242"/>
    <w:rsid w:val="004121B5"/>
    <w:rsid w:val="00416C1E"/>
    <w:rsid w:val="004327FB"/>
    <w:rsid w:val="0044489C"/>
    <w:rsid w:val="0045173D"/>
    <w:rsid w:val="0045702C"/>
    <w:rsid w:val="00460A5B"/>
    <w:rsid w:val="0046103D"/>
    <w:rsid w:val="004678A3"/>
    <w:rsid w:val="00471003"/>
    <w:rsid w:val="00473241"/>
    <w:rsid w:val="00473434"/>
    <w:rsid w:val="00474251"/>
    <w:rsid w:val="004827C1"/>
    <w:rsid w:val="0048774A"/>
    <w:rsid w:val="004A243B"/>
    <w:rsid w:val="004A6D00"/>
    <w:rsid w:val="004A784F"/>
    <w:rsid w:val="004B4F1E"/>
    <w:rsid w:val="004B514D"/>
    <w:rsid w:val="004D0739"/>
    <w:rsid w:val="004D4A14"/>
    <w:rsid w:val="004E02B5"/>
    <w:rsid w:val="005027E7"/>
    <w:rsid w:val="00502C91"/>
    <w:rsid w:val="0050364B"/>
    <w:rsid w:val="0050389D"/>
    <w:rsid w:val="00524556"/>
    <w:rsid w:val="00534EA7"/>
    <w:rsid w:val="00536BCD"/>
    <w:rsid w:val="0053729A"/>
    <w:rsid w:val="00592E74"/>
    <w:rsid w:val="00596CC7"/>
    <w:rsid w:val="0059779D"/>
    <w:rsid w:val="005A74C3"/>
    <w:rsid w:val="005B2037"/>
    <w:rsid w:val="005B331B"/>
    <w:rsid w:val="005B7BFD"/>
    <w:rsid w:val="005D1DD6"/>
    <w:rsid w:val="005D75FE"/>
    <w:rsid w:val="005E4B50"/>
    <w:rsid w:val="005E6E67"/>
    <w:rsid w:val="005F1C61"/>
    <w:rsid w:val="005F1D42"/>
    <w:rsid w:val="005F4C6E"/>
    <w:rsid w:val="005F686B"/>
    <w:rsid w:val="005F6953"/>
    <w:rsid w:val="005F69F9"/>
    <w:rsid w:val="00602D62"/>
    <w:rsid w:val="006055D2"/>
    <w:rsid w:val="00616340"/>
    <w:rsid w:val="00616F61"/>
    <w:rsid w:val="00633DE5"/>
    <w:rsid w:val="00636F1E"/>
    <w:rsid w:val="00643103"/>
    <w:rsid w:val="0064418C"/>
    <w:rsid w:val="0065271F"/>
    <w:rsid w:val="006566FD"/>
    <w:rsid w:val="00680316"/>
    <w:rsid w:val="00680DF7"/>
    <w:rsid w:val="00683B78"/>
    <w:rsid w:val="00693E4A"/>
    <w:rsid w:val="006A1156"/>
    <w:rsid w:val="006A2336"/>
    <w:rsid w:val="006A621E"/>
    <w:rsid w:val="006A7EFA"/>
    <w:rsid w:val="006B05B7"/>
    <w:rsid w:val="006B4E4E"/>
    <w:rsid w:val="006C0BC7"/>
    <w:rsid w:val="006C7EC3"/>
    <w:rsid w:val="006C7F5C"/>
    <w:rsid w:val="006D09BF"/>
    <w:rsid w:val="006D48BF"/>
    <w:rsid w:val="006E2391"/>
    <w:rsid w:val="006E64B0"/>
    <w:rsid w:val="006F16D8"/>
    <w:rsid w:val="006F7406"/>
    <w:rsid w:val="0070139F"/>
    <w:rsid w:val="0071022B"/>
    <w:rsid w:val="00715E7F"/>
    <w:rsid w:val="00737C48"/>
    <w:rsid w:val="007408BC"/>
    <w:rsid w:val="007429F2"/>
    <w:rsid w:val="0075668B"/>
    <w:rsid w:val="00761648"/>
    <w:rsid w:val="007767E1"/>
    <w:rsid w:val="00787504"/>
    <w:rsid w:val="007A3862"/>
    <w:rsid w:val="007B1483"/>
    <w:rsid w:val="007B4BFC"/>
    <w:rsid w:val="007B4E6A"/>
    <w:rsid w:val="007B6E03"/>
    <w:rsid w:val="007C3740"/>
    <w:rsid w:val="007C43A8"/>
    <w:rsid w:val="007E551E"/>
    <w:rsid w:val="007E7C3F"/>
    <w:rsid w:val="007E7D8F"/>
    <w:rsid w:val="007F4F54"/>
    <w:rsid w:val="00813287"/>
    <w:rsid w:val="00817EDA"/>
    <w:rsid w:val="0082165C"/>
    <w:rsid w:val="008220E9"/>
    <w:rsid w:val="008229AA"/>
    <w:rsid w:val="00827CC1"/>
    <w:rsid w:val="0084286C"/>
    <w:rsid w:val="008434C8"/>
    <w:rsid w:val="00852F4B"/>
    <w:rsid w:val="008608A5"/>
    <w:rsid w:val="00863386"/>
    <w:rsid w:val="00867A5B"/>
    <w:rsid w:val="00874DB1"/>
    <w:rsid w:val="00886B89"/>
    <w:rsid w:val="008A0254"/>
    <w:rsid w:val="008A264F"/>
    <w:rsid w:val="008A3F8F"/>
    <w:rsid w:val="008A3FFD"/>
    <w:rsid w:val="008A73BF"/>
    <w:rsid w:val="008B4588"/>
    <w:rsid w:val="008C4187"/>
    <w:rsid w:val="008C4DD2"/>
    <w:rsid w:val="008C73C6"/>
    <w:rsid w:val="008E3891"/>
    <w:rsid w:val="008F44D8"/>
    <w:rsid w:val="00911775"/>
    <w:rsid w:val="009125D0"/>
    <w:rsid w:val="00916DA5"/>
    <w:rsid w:val="0092458A"/>
    <w:rsid w:val="00934E78"/>
    <w:rsid w:val="00937EB2"/>
    <w:rsid w:val="00941B80"/>
    <w:rsid w:val="00964FB3"/>
    <w:rsid w:val="009703AC"/>
    <w:rsid w:val="009776E0"/>
    <w:rsid w:val="00984819"/>
    <w:rsid w:val="009950E2"/>
    <w:rsid w:val="009A6DB8"/>
    <w:rsid w:val="009B2B4B"/>
    <w:rsid w:val="009B5665"/>
    <w:rsid w:val="009B7B41"/>
    <w:rsid w:val="009C48E1"/>
    <w:rsid w:val="009D2EE3"/>
    <w:rsid w:val="009D6C0D"/>
    <w:rsid w:val="009F4B42"/>
    <w:rsid w:val="009F5FB8"/>
    <w:rsid w:val="009F7C58"/>
    <w:rsid w:val="00A0379C"/>
    <w:rsid w:val="00A113B9"/>
    <w:rsid w:val="00A33DB2"/>
    <w:rsid w:val="00A440AD"/>
    <w:rsid w:val="00A47F68"/>
    <w:rsid w:val="00A51378"/>
    <w:rsid w:val="00A52C32"/>
    <w:rsid w:val="00A56147"/>
    <w:rsid w:val="00A619EC"/>
    <w:rsid w:val="00A6638B"/>
    <w:rsid w:val="00A67D1D"/>
    <w:rsid w:val="00A70026"/>
    <w:rsid w:val="00A73E42"/>
    <w:rsid w:val="00A8111D"/>
    <w:rsid w:val="00A930BB"/>
    <w:rsid w:val="00A96E66"/>
    <w:rsid w:val="00A97F6C"/>
    <w:rsid w:val="00AB2304"/>
    <w:rsid w:val="00AB6821"/>
    <w:rsid w:val="00AC0B1A"/>
    <w:rsid w:val="00AC6BB9"/>
    <w:rsid w:val="00AD2461"/>
    <w:rsid w:val="00AD4E77"/>
    <w:rsid w:val="00AE0E02"/>
    <w:rsid w:val="00AE306C"/>
    <w:rsid w:val="00AE58C1"/>
    <w:rsid w:val="00AF6D3A"/>
    <w:rsid w:val="00AF7595"/>
    <w:rsid w:val="00B0778C"/>
    <w:rsid w:val="00B16C7D"/>
    <w:rsid w:val="00B265D6"/>
    <w:rsid w:val="00B30115"/>
    <w:rsid w:val="00B3239F"/>
    <w:rsid w:val="00B42089"/>
    <w:rsid w:val="00B44117"/>
    <w:rsid w:val="00B52710"/>
    <w:rsid w:val="00B539A8"/>
    <w:rsid w:val="00B6072B"/>
    <w:rsid w:val="00B64009"/>
    <w:rsid w:val="00B715DF"/>
    <w:rsid w:val="00B74F43"/>
    <w:rsid w:val="00B76A8B"/>
    <w:rsid w:val="00B778A1"/>
    <w:rsid w:val="00B90368"/>
    <w:rsid w:val="00B91347"/>
    <w:rsid w:val="00B96DB3"/>
    <w:rsid w:val="00B97B80"/>
    <w:rsid w:val="00BA493D"/>
    <w:rsid w:val="00BA4A0B"/>
    <w:rsid w:val="00BB34A2"/>
    <w:rsid w:val="00BC7248"/>
    <w:rsid w:val="00C03595"/>
    <w:rsid w:val="00C03F58"/>
    <w:rsid w:val="00C04BC9"/>
    <w:rsid w:val="00C2420B"/>
    <w:rsid w:val="00C261AF"/>
    <w:rsid w:val="00C37500"/>
    <w:rsid w:val="00C3760E"/>
    <w:rsid w:val="00C418A3"/>
    <w:rsid w:val="00C57346"/>
    <w:rsid w:val="00C66DCC"/>
    <w:rsid w:val="00C67A02"/>
    <w:rsid w:val="00C7252A"/>
    <w:rsid w:val="00C8686A"/>
    <w:rsid w:val="00CA51D9"/>
    <w:rsid w:val="00CB5D98"/>
    <w:rsid w:val="00CD0A50"/>
    <w:rsid w:val="00CE40F7"/>
    <w:rsid w:val="00CF3C02"/>
    <w:rsid w:val="00CF55D3"/>
    <w:rsid w:val="00CF59CD"/>
    <w:rsid w:val="00D036E0"/>
    <w:rsid w:val="00D10DC3"/>
    <w:rsid w:val="00D27F17"/>
    <w:rsid w:val="00D30D91"/>
    <w:rsid w:val="00D32C41"/>
    <w:rsid w:val="00D34054"/>
    <w:rsid w:val="00D51B27"/>
    <w:rsid w:val="00D53CD8"/>
    <w:rsid w:val="00D55925"/>
    <w:rsid w:val="00D65C47"/>
    <w:rsid w:val="00D67AE5"/>
    <w:rsid w:val="00D80306"/>
    <w:rsid w:val="00D82C38"/>
    <w:rsid w:val="00D87CDF"/>
    <w:rsid w:val="00D9021C"/>
    <w:rsid w:val="00D962A9"/>
    <w:rsid w:val="00DA4E2C"/>
    <w:rsid w:val="00DA75D4"/>
    <w:rsid w:val="00DB1A78"/>
    <w:rsid w:val="00DC235D"/>
    <w:rsid w:val="00DC6A84"/>
    <w:rsid w:val="00DD2B38"/>
    <w:rsid w:val="00DD57A7"/>
    <w:rsid w:val="00DD7BE2"/>
    <w:rsid w:val="00DE1B3B"/>
    <w:rsid w:val="00DE4325"/>
    <w:rsid w:val="00DE589F"/>
    <w:rsid w:val="00E0458E"/>
    <w:rsid w:val="00E0699C"/>
    <w:rsid w:val="00E10B64"/>
    <w:rsid w:val="00E1115E"/>
    <w:rsid w:val="00E3015C"/>
    <w:rsid w:val="00E33FA5"/>
    <w:rsid w:val="00E340B1"/>
    <w:rsid w:val="00E42606"/>
    <w:rsid w:val="00E44300"/>
    <w:rsid w:val="00E52AFB"/>
    <w:rsid w:val="00E61510"/>
    <w:rsid w:val="00E6164B"/>
    <w:rsid w:val="00E62AF2"/>
    <w:rsid w:val="00E65988"/>
    <w:rsid w:val="00E704F5"/>
    <w:rsid w:val="00E90222"/>
    <w:rsid w:val="00E90E3D"/>
    <w:rsid w:val="00E9348D"/>
    <w:rsid w:val="00E94177"/>
    <w:rsid w:val="00E967AF"/>
    <w:rsid w:val="00EA6E09"/>
    <w:rsid w:val="00EC51A6"/>
    <w:rsid w:val="00EC73A1"/>
    <w:rsid w:val="00EE2419"/>
    <w:rsid w:val="00EE2FB8"/>
    <w:rsid w:val="00EE5DC8"/>
    <w:rsid w:val="00EF34BD"/>
    <w:rsid w:val="00EF5112"/>
    <w:rsid w:val="00EF7164"/>
    <w:rsid w:val="00F01082"/>
    <w:rsid w:val="00F07DE0"/>
    <w:rsid w:val="00F20329"/>
    <w:rsid w:val="00F22BD2"/>
    <w:rsid w:val="00F22DA6"/>
    <w:rsid w:val="00F270B2"/>
    <w:rsid w:val="00F31488"/>
    <w:rsid w:val="00F3152A"/>
    <w:rsid w:val="00F31DB6"/>
    <w:rsid w:val="00F46940"/>
    <w:rsid w:val="00F57C84"/>
    <w:rsid w:val="00F62506"/>
    <w:rsid w:val="00F6478C"/>
    <w:rsid w:val="00F75E99"/>
    <w:rsid w:val="00F76800"/>
    <w:rsid w:val="00F770A0"/>
    <w:rsid w:val="00F80B90"/>
    <w:rsid w:val="00F90C56"/>
    <w:rsid w:val="00FA3E0A"/>
    <w:rsid w:val="00FA5F7D"/>
    <w:rsid w:val="00FA6753"/>
    <w:rsid w:val="00FA6D24"/>
    <w:rsid w:val="00FB215E"/>
    <w:rsid w:val="00FB23EA"/>
    <w:rsid w:val="00FC15CE"/>
    <w:rsid w:val="00FC2416"/>
    <w:rsid w:val="00FC4C99"/>
    <w:rsid w:val="00FD62FE"/>
    <w:rsid w:val="00FF0126"/>
    <w:rsid w:val="00FF07B1"/>
    <w:rsid w:val="00FF0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Num"/>
    <w:qFormat/>
    <w:pPr>
      <w:keepNext/>
      <w:widowControl w:val="0"/>
      <w:tabs>
        <w:tab w:val="left" w:pos="2160"/>
      </w:tabs>
      <w:spacing w:after="120"/>
      <w:ind w:left="2160" w:hanging="720"/>
      <w:outlineLvl w:val="2"/>
    </w:pPr>
    <w:rPr>
      <w:b/>
      <w:snapToGrid w:val="0"/>
      <w:kern w:val="28"/>
      <w:sz w:val="22"/>
      <w:szCs w:val="20"/>
    </w:rPr>
  </w:style>
  <w:style w:type="paragraph" w:styleId="Heading4">
    <w:name w:val="heading 4"/>
    <w:basedOn w:val="Normal"/>
    <w:next w:val="ParaNum"/>
    <w:qFormat/>
    <w:pPr>
      <w:keepNext/>
      <w:widowControl w:val="0"/>
      <w:tabs>
        <w:tab w:val="left" w:pos="2880"/>
      </w:tabs>
      <w:spacing w:after="120"/>
      <w:ind w:left="2880" w:hanging="720"/>
      <w:outlineLvl w:val="3"/>
    </w:pPr>
    <w:rPr>
      <w:b/>
      <w:snapToGrid w:val="0"/>
      <w:kern w:val="28"/>
      <w:sz w:val="22"/>
      <w:szCs w:val="20"/>
    </w:rPr>
  </w:style>
  <w:style w:type="paragraph" w:styleId="Heading5">
    <w:name w:val="heading 5"/>
    <w:basedOn w:val="Normal"/>
    <w:next w:val="ParaNum"/>
    <w:qFormat/>
    <w:pPr>
      <w:keepNext/>
      <w:widowControl w:val="0"/>
      <w:tabs>
        <w:tab w:val="left" w:pos="3600"/>
      </w:tabs>
      <w:suppressAutoHyphens/>
      <w:spacing w:after="120"/>
      <w:ind w:left="3600" w:hanging="720"/>
      <w:outlineLvl w:val="4"/>
    </w:pPr>
    <w:rPr>
      <w:b/>
      <w:snapToGrid w:val="0"/>
      <w:kern w:val="28"/>
      <w:sz w:val="22"/>
      <w:szCs w:val="20"/>
    </w:rPr>
  </w:style>
  <w:style w:type="paragraph" w:styleId="Heading6">
    <w:name w:val="heading 6"/>
    <w:basedOn w:val="Normal"/>
    <w:next w:val="ParaNum"/>
    <w:qFormat/>
    <w:pPr>
      <w:widowControl w:val="0"/>
      <w:tabs>
        <w:tab w:val="left" w:pos="4320"/>
      </w:tabs>
      <w:spacing w:after="120"/>
      <w:ind w:left="4320" w:hanging="720"/>
      <w:outlineLvl w:val="5"/>
    </w:pPr>
    <w:rPr>
      <w:b/>
      <w:snapToGrid w:val="0"/>
      <w:kern w:val="28"/>
      <w:sz w:val="22"/>
      <w:szCs w:val="20"/>
    </w:rPr>
  </w:style>
  <w:style w:type="paragraph" w:styleId="Heading7">
    <w:name w:val="heading 7"/>
    <w:basedOn w:val="Normal"/>
    <w:next w:val="ParaNum"/>
    <w:qFormat/>
    <w:pPr>
      <w:widowControl w:val="0"/>
      <w:tabs>
        <w:tab w:val="left" w:pos="5040"/>
      </w:tabs>
      <w:spacing w:after="120"/>
      <w:ind w:left="5040" w:hanging="720"/>
      <w:outlineLvl w:val="6"/>
    </w:pPr>
    <w:rPr>
      <w:b/>
      <w:snapToGrid w:val="0"/>
      <w:kern w:val="28"/>
      <w:sz w:val="22"/>
      <w:szCs w:val="20"/>
    </w:rPr>
  </w:style>
  <w:style w:type="paragraph" w:styleId="Heading8">
    <w:name w:val="heading 8"/>
    <w:basedOn w:val="Normal"/>
    <w:next w:val="ParaNum"/>
    <w:qFormat/>
    <w:pPr>
      <w:widowControl w:val="0"/>
      <w:tabs>
        <w:tab w:val="left" w:pos="5760"/>
      </w:tabs>
      <w:spacing w:after="120"/>
      <w:ind w:left="5760" w:hanging="720"/>
      <w:outlineLvl w:val="7"/>
    </w:pPr>
    <w:rPr>
      <w:b/>
      <w:snapToGrid w:val="0"/>
      <w:kern w:val="28"/>
      <w:sz w:val="22"/>
      <w:szCs w:val="20"/>
    </w:rPr>
  </w:style>
  <w:style w:type="paragraph" w:styleId="Heading9">
    <w:name w:val="heading 9"/>
    <w:basedOn w:val="Normal"/>
    <w:next w:val="ParaNum"/>
    <w:qFormat/>
    <w:pPr>
      <w:widowControl w:val="0"/>
      <w:tabs>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t,f"/>
    <w:basedOn w:val="Normal"/>
    <w:link w:val="FootnoteTextChar2"/>
    <w:rsid w:val="003C43CD"/>
    <w:pPr>
      <w:tabs>
        <w:tab w:val="left" w:pos="720"/>
      </w:tabs>
      <w:suppressAutoHyphens/>
      <w:spacing w:after="200"/>
      <w:ind w:firstLine="360"/>
    </w:pPr>
  </w:style>
  <w:style w:type="character" w:styleId="FootnoteReference">
    <w:name w:val="footnote reference"/>
    <w:aliases w:val="Style 4,Style 12,(NECG) Footnote Reference,Appel note de bas de p,Style 124,fr,o,Style 13,Style 3"/>
    <w:rPr>
      <w:sz w:val="20"/>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rPr>
      <w:noProof w:val="0"/>
      <w:sz w:val="24"/>
      <w:szCs w:val="24"/>
      <w:lang w:val="en-US" w:eastAsia="en-US" w:bidi="ar-SA"/>
    </w:rPr>
  </w:style>
  <w:style w:type="paragraph" w:customStyle="1" w:styleId="par1">
    <w:name w:val="par1"/>
    <w:basedOn w:val="Normal"/>
    <w:link w:val="par1Char"/>
    <w:pPr>
      <w:numPr>
        <w:numId w:val="2"/>
      </w:numPr>
    </w:pP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4"/>
      </w:numPr>
      <w:spacing w:after="120"/>
    </w:pPr>
    <w:rPr>
      <w:snapToGrid w:val="0"/>
      <w:kern w:val="28"/>
      <w:sz w:val="22"/>
      <w:szCs w:val="20"/>
      <w:lang w:val="x-none" w:eastAsia="x-none"/>
    </w:rPr>
  </w:style>
  <w:style w:type="paragraph" w:styleId="BodyText">
    <w:name w:val="Body Text"/>
    <w:basedOn w:val="Normal"/>
    <w:link w:val="BodyTextChar"/>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noProof w:val="0"/>
      <w:lang w:val="en-US" w:eastAsia="en-US" w:bidi="ar-SA"/>
    </w:rPr>
  </w:style>
  <w:style w:type="character" w:customStyle="1" w:styleId="ParanumChar0">
    <w:name w:val="Paranum Char"/>
    <w:rPr>
      <w:noProof w:val="0"/>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Style291">
    <w:name w:val="EmailStyle291"/>
    <w:semiHidden/>
    <w:rPr>
      <w:rFonts w:ascii="Arial" w:hAnsi="Arial" w:cs="Arial"/>
      <w:color w:val="auto"/>
      <w:sz w:val="20"/>
      <w:szCs w:val="20"/>
    </w:r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3C43CD"/>
  </w:style>
  <w:style w:type="character" w:customStyle="1" w:styleId="bestsection1">
    <w:name w:val="bestsection1"/>
    <w:rPr>
      <w:color w:val="FF0000"/>
    </w:rPr>
  </w:style>
  <w:style w:type="character" w:styleId="Strong">
    <w:name w:val="Strong"/>
    <w:qFormat/>
    <w:rPr>
      <w:b/>
      <w:bCs/>
    </w:rPr>
  </w:style>
  <w:style w:type="character" w:customStyle="1" w:styleId="HeaderChar">
    <w:name w:val="Header Char"/>
    <w:link w:val="Header"/>
    <w:locked/>
    <w:rPr>
      <w:sz w:val="22"/>
      <w:szCs w:val="24"/>
      <w:lang w:val="en-US" w:eastAsia="en-US" w:bidi="ar-SA"/>
    </w:rPr>
  </w:style>
  <w:style w:type="character" w:customStyle="1" w:styleId="FooterChar">
    <w:name w:val="Footer Char"/>
    <w:link w:val="Footer"/>
    <w:locked/>
    <w:rPr>
      <w:sz w:val="22"/>
      <w:szCs w:val="24"/>
      <w:lang w:val="en-US" w:eastAsia="en-US" w:bidi="ar-SA"/>
    </w:rPr>
  </w:style>
  <w:style w:type="character" w:customStyle="1" w:styleId="Heading1Char">
    <w:name w:val="Heading 1 Char"/>
    <w:link w:val="Heading1"/>
    <w:locked/>
    <w:rPr>
      <w:b/>
      <w:sz w:val="22"/>
      <w:szCs w:val="24"/>
      <w:lang w:val="en-US" w:eastAsia="en-US" w:bidi="ar-SA"/>
    </w:rPr>
  </w:style>
  <w:style w:type="character" w:customStyle="1" w:styleId="BodyTextChar">
    <w:name w:val="Body Text Char"/>
    <w:link w:val="BodyText"/>
    <w:semiHidden/>
    <w:locked/>
    <w:rPr>
      <w:b/>
      <w:sz w:val="24"/>
      <w:u w:val="single"/>
      <w:lang w:val="en-US" w:eastAsia="en-US" w:bidi="ar-SA"/>
    </w:rPr>
  </w:style>
  <w:style w:type="character" w:customStyle="1" w:styleId="ParaNumChar">
    <w:name w:val="ParaNum Char"/>
    <w:link w:val="ParaNum"/>
    <w:rPr>
      <w:snapToGrid w:val="0"/>
      <w:kern w:val="28"/>
      <w:sz w:val="22"/>
      <w:lang w:val="x-none" w:eastAsia="x-none" w:bidi="ar-SA"/>
    </w:rPr>
  </w:style>
  <w:style w:type="character" w:customStyle="1" w:styleId="Heading2Char">
    <w:name w:val="Heading 2 Char"/>
    <w:link w:val="Heading2"/>
    <w:rPr>
      <w:rFonts w:ascii="Arial" w:hAnsi="Arial" w:cs="Arial"/>
      <w:b/>
      <w:bCs/>
      <w:i/>
      <w:iCs/>
      <w:sz w:val="28"/>
      <w:szCs w:val="28"/>
    </w:rPr>
  </w:style>
  <w:style w:type="paragraph" w:customStyle="1" w:styleId="DCStandardL1">
    <w:name w:val="DCStandard_L1"/>
    <w:basedOn w:val="Normal"/>
    <w:next w:val="BodyText"/>
    <w:pPr>
      <w:numPr>
        <w:numId w:val="5"/>
      </w:numPr>
      <w:spacing w:after="240"/>
      <w:jc w:val="both"/>
      <w:outlineLvl w:val="0"/>
    </w:pPr>
    <w:rPr>
      <w:szCs w:val="20"/>
    </w:rPr>
  </w:style>
  <w:style w:type="paragraph" w:customStyle="1" w:styleId="DCStandardL2">
    <w:name w:val="DCStandard_L2"/>
    <w:basedOn w:val="DCStandardL1"/>
    <w:next w:val="BodyText"/>
    <w:pPr>
      <w:numPr>
        <w:ilvl w:val="1"/>
      </w:numPr>
      <w:outlineLvl w:val="1"/>
    </w:pPr>
  </w:style>
  <w:style w:type="paragraph" w:customStyle="1" w:styleId="DCStandardL3">
    <w:name w:val="DCStandard_L3"/>
    <w:basedOn w:val="DCStandardL2"/>
    <w:next w:val="BodyText"/>
    <w:pPr>
      <w:numPr>
        <w:ilvl w:val="2"/>
      </w:numPr>
      <w:outlineLvl w:val="2"/>
    </w:pPr>
  </w:style>
  <w:style w:type="paragraph" w:customStyle="1" w:styleId="DCStandardL4">
    <w:name w:val="DCStandard_L4"/>
    <w:basedOn w:val="DCStandardL3"/>
    <w:next w:val="BodyText"/>
    <w:pPr>
      <w:numPr>
        <w:ilvl w:val="3"/>
      </w:numPr>
      <w:outlineLvl w:val="3"/>
    </w:pPr>
  </w:style>
  <w:style w:type="paragraph" w:customStyle="1" w:styleId="DCStandardL5">
    <w:name w:val="DCStandard_L5"/>
    <w:basedOn w:val="DCStandardL4"/>
    <w:next w:val="BodyText"/>
    <w:pPr>
      <w:numPr>
        <w:ilvl w:val="4"/>
      </w:numPr>
      <w:outlineLvl w:val="4"/>
    </w:pPr>
  </w:style>
  <w:style w:type="paragraph" w:customStyle="1" w:styleId="DCStandardL6">
    <w:name w:val="DCStandard_L6"/>
    <w:basedOn w:val="DCStandardL5"/>
    <w:next w:val="BodyText"/>
    <w:pPr>
      <w:numPr>
        <w:ilvl w:val="5"/>
      </w:numPr>
      <w:outlineLvl w:val="5"/>
    </w:pPr>
  </w:style>
  <w:style w:type="paragraph" w:customStyle="1" w:styleId="DCStandardL7">
    <w:name w:val="DCStandard_L7"/>
    <w:basedOn w:val="DCStandardL6"/>
    <w:next w:val="BodyText"/>
    <w:pPr>
      <w:numPr>
        <w:ilvl w:val="6"/>
      </w:numPr>
      <w:outlineLvl w:val="6"/>
    </w:pPr>
  </w:style>
  <w:style w:type="paragraph" w:customStyle="1" w:styleId="DCStandardL8">
    <w:name w:val="DCStandard_L8"/>
    <w:basedOn w:val="DCStandardL7"/>
    <w:next w:val="BodyText"/>
    <w:pPr>
      <w:numPr>
        <w:ilvl w:val="7"/>
      </w:numPr>
      <w:outlineLvl w:val="7"/>
    </w:pPr>
  </w:style>
  <w:style w:type="paragraph" w:customStyle="1" w:styleId="DCStandardL9">
    <w:name w:val="DCStandard_L9"/>
    <w:basedOn w:val="DCStandardL8"/>
    <w:next w:val="BodyText"/>
    <w:pPr>
      <w:numPr>
        <w:ilvl w:val="8"/>
      </w:numPr>
      <w:outlineLvl w:val="8"/>
    </w:pPr>
  </w:style>
  <w:style w:type="paragraph" w:styleId="ListParagraph">
    <w:name w:val="List Paragraph"/>
    <w:basedOn w:val="Normal"/>
    <w:uiPriority w:val="34"/>
    <w:qFormat/>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BodyText1">
    <w:name w:val="Body Text1"/>
    <w:rPr>
      <w:rFonts w:ascii="Times New Roman Bold" w:eastAsia="ヒラギノ角ゴ Pro W3" w:hAnsi="Times New Roman Bold"/>
      <w:color w:val="000000"/>
      <w:u w:val="single"/>
    </w:rPr>
  </w:style>
  <w:style w:type="character" w:customStyle="1" w:styleId="bold1">
    <w:name w:val="bold1"/>
    <w:rPr>
      <w:b/>
      <w:bCs/>
    </w:rPr>
  </w:style>
  <w:style w:type="character" w:customStyle="1" w:styleId="underline">
    <w:name w:val="underline"/>
    <w:basedOn w:val="DefaultParagraphFont"/>
  </w:style>
  <w:style w:type="character" w:styleId="Hyperlink">
    <w:name w:val="Hyperlink"/>
    <w:rPr>
      <w:color w:val="0000FF"/>
      <w:u w:val="single"/>
    </w:rPr>
  </w:style>
  <w:style w:type="character" w:customStyle="1" w:styleId="documentbody">
    <w:name w:val="documentbody"/>
  </w:style>
  <w:style w:type="character" w:customStyle="1" w:styleId="searchterm">
    <w:name w:val="searchterm"/>
  </w:style>
  <w:style w:type="paragraph" w:customStyle="1" w:styleId="H5">
    <w:name w:val="H5"/>
    <w:basedOn w:val="Normal"/>
    <w:next w:val="Normal"/>
    <w:pPr>
      <w:keepNext/>
      <w:autoSpaceDE w:val="0"/>
      <w:autoSpaceDN w:val="0"/>
      <w:adjustRightInd w:val="0"/>
      <w:spacing w:before="100" w:after="100"/>
      <w:outlineLvl w:val="5"/>
    </w:pPr>
    <w:rPr>
      <w:b/>
      <w:bCs/>
      <w:sz w:val="20"/>
      <w:szCs w:val="20"/>
    </w:rPr>
  </w:style>
  <w:style w:type="character" w:customStyle="1" w:styleId="par1Char">
    <w:name w:val="par1 Char"/>
    <w:link w:val="par1"/>
    <w:locked/>
    <w:rPr>
      <w:sz w:val="22"/>
      <w:szCs w:val="20"/>
    </w:rPr>
  </w:style>
  <w:style w:type="character" w:customStyle="1" w:styleId="FootnoteTextChar1CharCharCharCharChar1">
    <w:name w:val="Footnote Text Char1 Char Char Char Char Char1"/>
    <w:aliases w:val="Footnote Text Char Char Char Char Char Char Char Char,Footnote Text Char3 Char2"/>
    <w:rPr>
      <w:sz w:val="24"/>
      <w:szCs w:val="24"/>
      <w:lang w:val="en-US" w:eastAsia="en-US" w:bidi="ar-SA"/>
    </w:rPr>
  </w:style>
  <w:style w:type="paragraph" w:customStyle="1" w:styleId="Default">
    <w:name w:val="Default"/>
    <w:pPr>
      <w:autoSpaceDE w:val="0"/>
      <w:autoSpaceDN w:val="0"/>
      <w:adjustRightInd w:val="0"/>
    </w:pPr>
    <w:rPr>
      <w:color w:val="000000"/>
    </w:rPr>
  </w:style>
  <w:style w:type="character" w:styleId="FollowedHyperlink">
    <w:name w:val="FollowedHyperlink"/>
    <w:rPr>
      <w:color w:val="800080"/>
      <w:u w:val="single"/>
    </w:rPr>
  </w:style>
  <w:style w:type="paragraph" w:styleId="Revision">
    <w:name w:val="Revision"/>
    <w:hidden/>
    <w:uiPriority w:val="71"/>
    <w:rsid w:val="001C2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tabs>
        <w:tab w:val="left" w:pos="-720"/>
      </w:tabs>
      <w:suppressAutoHyphens/>
      <w:spacing w:line="227" w:lineRule="auto"/>
      <w:jc w:val="center"/>
      <w:outlineLvl w:val="0"/>
    </w:pPr>
    <w:rPr>
      <w:b/>
      <w:sz w:val="22"/>
    </w:rPr>
  </w:style>
  <w:style w:type="paragraph" w:styleId="Heading2">
    <w:name w:val="heading 2"/>
    <w:basedOn w:val="Normal"/>
    <w:next w:val="Normal"/>
    <w:link w:val="Heading2Char"/>
    <w:qFormat/>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Num"/>
    <w:qFormat/>
    <w:pPr>
      <w:keepNext/>
      <w:widowControl w:val="0"/>
      <w:tabs>
        <w:tab w:val="left" w:pos="2160"/>
      </w:tabs>
      <w:spacing w:after="120"/>
      <w:ind w:left="2160" w:hanging="720"/>
      <w:outlineLvl w:val="2"/>
    </w:pPr>
    <w:rPr>
      <w:b/>
      <w:snapToGrid w:val="0"/>
      <w:kern w:val="28"/>
      <w:sz w:val="22"/>
      <w:szCs w:val="20"/>
    </w:rPr>
  </w:style>
  <w:style w:type="paragraph" w:styleId="Heading4">
    <w:name w:val="heading 4"/>
    <w:basedOn w:val="Normal"/>
    <w:next w:val="ParaNum"/>
    <w:qFormat/>
    <w:pPr>
      <w:keepNext/>
      <w:widowControl w:val="0"/>
      <w:tabs>
        <w:tab w:val="left" w:pos="2880"/>
      </w:tabs>
      <w:spacing w:after="120"/>
      <w:ind w:left="2880" w:hanging="720"/>
      <w:outlineLvl w:val="3"/>
    </w:pPr>
    <w:rPr>
      <w:b/>
      <w:snapToGrid w:val="0"/>
      <w:kern w:val="28"/>
      <w:sz w:val="22"/>
      <w:szCs w:val="20"/>
    </w:rPr>
  </w:style>
  <w:style w:type="paragraph" w:styleId="Heading5">
    <w:name w:val="heading 5"/>
    <w:basedOn w:val="Normal"/>
    <w:next w:val="ParaNum"/>
    <w:qFormat/>
    <w:pPr>
      <w:keepNext/>
      <w:widowControl w:val="0"/>
      <w:tabs>
        <w:tab w:val="left" w:pos="3600"/>
      </w:tabs>
      <w:suppressAutoHyphens/>
      <w:spacing w:after="120"/>
      <w:ind w:left="3600" w:hanging="720"/>
      <w:outlineLvl w:val="4"/>
    </w:pPr>
    <w:rPr>
      <w:b/>
      <w:snapToGrid w:val="0"/>
      <w:kern w:val="28"/>
      <w:sz w:val="22"/>
      <w:szCs w:val="20"/>
    </w:rPr>
  </w:style>
  <w:style w:type="paragraph" w:styleId="Heading6">
    <w:name w:val="heading 6"/>
    <w:basedOn w:val="Normal"/>
    <w:next w:val="ParaNum"/>
    <w:qFormat/>
    <w:pPr>
      <w:widowControl w:val="0"/>
      <w:tabs>
        <w:tab w:val="left" w:pos="4320"/>
      </w:tabs>
      <w:spacing w:after="120"/>
      <w:ind w:left="4320" w:hanging="720"/>
      <w:outlineLvl w:val="5"/>
    </w:pPr>
    <w:rPr>
      <w:b/>
      <w:snapToGrid w:val="0"/>
      <w:kern w:val="28"/>
      <w:sz w:val="22"/>
      <w:szCs w:val="20"/>
    </w:rPr>
  </w:style>
  <w:style w:type="paragraph" w:styleId="Heading7">
    <w:name w:val="heading 7"/>
    <w:basedOn w:val="Normal"/>
    <w:next w:val="ParaNum"/>
    <w:qFormat/>
    <w:pPr>
      <w:widowControl w:val="0"/>
      <w:tabs>
        <w:tab w:val="left" w:pos="5040"/>
      </w:tabs>
      <w:spacing w:after="120"/>
      <w:ind w:left="5040" w:hanging="720"/>
      <w:outlineLvl w:val="6"/>
    </w:pPr>
    <w:rPr>
      <w:b/>
      <w:snapToGrid w:val="0"/>
      <w:kern w:val="28"/>
      <w:sz w:val="22"/>
      <w:szCs w:val="20"/>
    </w:rPr>
  </w:style>
  <w:style w:type="paragraph" w:styleId="Heading8">
    <w:name w:val="heading 8"/>
    <w:basedOn w:val="Normal"/>
    <w:next w:val="ParaNum"/>
    <w:qFormat/>
    <w:pPr>
      <w:widowControl w:val="0"/>
      <w:tabs>
        <w:tab w:val="left" w:pos="5760"/>
      </w:tabs>
      <w:spacing w:after="120"/>
      <w:ind w:left="5760" w:hanging="720"/>
      <w:outlineLvl w:val="7"/>
    </w:pPr>
    <w:rPr>
      <w:b/>
      <w:snapToGrid w:val="0"/>
      <w:kern w:val="28"/>
      <w:sz w:val="22"/>
      <w:szCs w:val="20"/>
    </w:rPr>
  </w:style>
  <w:style w:type="paragraph" w:styleId="Heading9">
    <w:name w:val="heading 9"/>
    <w:basedOn w:val="Normal"/>
    <w:next w:val="ParaNum"/>
    <w:qFormat/>
    <w:pPr>
      <w:widowControl w:val="0"/>
      <w:tabs>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ft,f"/>
    <w:basedOn w:val="Normal"/>
    <w:link w:val="FootnoteTextChar2"/>
    <w:rsid w:val="003C43CD"/>
    <w:pPr>
      <w:tabs>
        <w:tab w:val="left" w:pos="720"/>
      </w:tabs>
      <w:suppressAutoHyphens/>
      <w:spacing w:after="200"/>
      <w:ind w:firstLine="360"/>
    </w:pPr>
  </w:style>
  <w:style w:type="character" w:styleId="FootnoteReference">
    <w:name w:val="footnote reference"/>
    <w:aliases w:val="Style 4,Style 12,(NECG) Footnote Reference,Appel note de bas de p,Style 124,fr,o,Style 13,Style 3"/>
    <w:rPr>
      <w:sz w:val="20"/>
      <w:vertAlign w:val="superscript"/>
    </w:rPr>
  </w:style>
  <w:style w:type="paragraph" w:styleId="Header">
    <w:name w:val="header"/>
    <w:basedOn w:val="Normal"/>
    <w:link w:val="HeaderChar"/>
    <w:pPr>
      <w:tabs>
        <w:tab w:val="center" w:pos="4320"/>
        <w:tab w:val="right" w:pos="8640"/>
      </w:tabs>
    </w:pPr>
    <w:rPr>
      <w:sz w:val="22"/>
    </w:rPr>
  </w:style>
  <w:style w:type="paragraph" w:styleId="Footer">
    <w:name w:val="footer"/>
    <w:basedOn w:val="Normal"/>
    <w:link w:val="FooterChar"/>
    <w:pPr>
      <w:tabs>
        <w:tab w:val="center" w:pos="4320"/>
        <w:tab w:val="right" w:pos="8640"/>
      </w:tabs>
    </w:pPr>
    <w:rPr>
      <w:sz w:val="22"/>
    </w:rPr>
  </w:style>
  <w:style w:type="character" w:styleId="PageNumber">
    <w:name w:val="page number"/>
    <w:basedOn w:val="DefaultParagraphFont"/>
  </w:style>
  <w:style w:type="paragraph" w:customStyle="1" w:styleId="Paranum0">
    <w:name w:val="Paranum"/>
    <w:pPr>
      <w:numPr>
        <w:numId w:val="1"/>
      </w:num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f Ch"/>
    <w:rPr>
      <w:noProof w:val="0"/>
      <w:sz w:val="24"/>
      <w:szCs w:val="24"/>
      <w:lang w:val="en-US" w:eastAsia="en-US" w:bidi="ar-SA"/>
    </w:rPr>
  </w:style>
  <w:style w:type="paragraph" w:customStyle="1" w:styleId="par1">
    <w:name w:val="par1"/>
    <w:basedOn w:val="Normal"/>
    <w:link w:val="par1Char"/>
    <w:pPr>
      <w:numPr>
        <w:numId w:val="2"/>
      </w:numPr>
    </w:pPr>
    <w:rPr>
      <w:sz w:val="22"/>
      <w:szCs w:val="20"/>
    </w:r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pPr>
      <w:widowControl w:val="0"/>
      <w:numPr>
        <w:numId w:val="4"/>
      </w:numPr>
      <w:spacing w:after="120"/>
    </w:pPr>
    <w:rPr>
      <w:snapToGrid w:val="0"/>
      <w:kern w:val="28"/>
      <w:sz w:val="22"/>
      <w:szCs w:val="20"/>
      <w:lang w:val="x-none" w:eastAsia="x-none"/>
    </w:rPr>
  </w:style>
  <w:style w:type="paragraph" w:styleId="BodyText">
    <w:name w:val="Body Text"/>
    <w:basedOn w:val="Normal"/>
    <w:link w:val="BodyTextChar"/>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Pr>
      <w:noProof w:val="0"/>
      <w:lang w:val="en-US" w:eastAsia="en-US" w:bidi="ar-SA"/>
    </w:rPr>
  </w:style>
  <w:style w:type="character" w:customStyle="1" w:styleId="ParanumChar0">
    <w:name w:val="Paranum Char"/>
    <w:rPr>
      <w:noProof w:val="0"/>
      <w:sz w:val="22"/>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Style291">
    <w:name w:val="EmailStyle291"/>
    <w:semiHidden/>
    <w:rPr>
      <w:rFonts w:ascii="Arial" w:hAnsi="Arial" w:cs="Arial"/>
      <w:color w:val="auto"/>
      <w:sz w:val="20"/>
      <w:szCs w:val="20"/>
    </w:rPr>
  </w:style>
  <w:style w:type="character" w:customStyle="1" w:styleId="documentbody1">
    <w:name w:val="documentbody1"/>
    <w:rPr>
      <w:rFonts w:ascii="Verdana" w:hAnsi="Verdana" w:hint="default"/>
      <w:sz w:val="19"/>
      <w:szCs w:val="19"/>
      <w:shd w:val="clear" w:color="auto" w:fill="FFFFFF"/>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3C43CD"/>
  </w:style>
  <w:style w:type="character" w:customStyle="1" w:styleId="bestsection1">
    <w:name w:val="bestsection1"/>
    <w:rPr>
      <w:color w:val="FF0000"/>
    </w:rPr>
  </w:style>
  <w:style w:type="character" w:styleId="Strong">
    <w:name w:val="Strong"/>
    <w:qFormat/>
    <w:rPr>
      <w:b/>
      <w:bCs/>
    </w:rPr>
  </w:style>
  <w:style w:type="character" w:customStyle="1" w:styleId="HeaderChar">
    <w:name w:val="Header Char"/>
    <w:link w:val="Header"/>
    <w:locked/>
    <w:rPr>
      <w:sz w:val="22"/>
      <w:szCs w:val="24"/>
      <w:lang w:val="en-US" w:eastAsia="en-US" w:bidi="ar-SA"/>
    </w:rPr>
  </w:style>
  <w:style w:type="character" w:customStyle="1" w:styleId="FooterChar">
    <w:name w:val="Footer Char"/>
    <w:link w:val="Footer"/>
    <w:locked/>
    <w:rPr>
      <w:sz w:val="22"/>
      <w:szCs w:val="24"/>
      <w:lang w:val="en-US" w:eastAsia="en-US" w:bidi="ar-SA"/>
    </w:rPr>
  </w:style>
  <w:style w:type="character" w:customStyle="1" w:styleId="Heading1Char">
    <w:name w:val="Heading 1 Char"/>
    <w:link w:val="Heading1"/>
    <w:locked/>
    <w:rPr>
      <w:b/>
      <w:sz w:val="22"/>
      <w:szCs w:val="24"/>
      <w:lang w:val="en-US" w:eastAsia="en-US" w:bidi="ar-SA"/>
    </w:rPr>
  </w:style>
  <w:style w:type="character" w:customStyle="1" w:styleId="BodyTextChar">
    <w:name w:val="Body Text Char"/>
    <w:link w:val="BodyText"/>
    <w:semiHidden/>
    <w:locked/>
    <w:rPr>
      <w:b/>
      <w:sz w:val="24"/>
      <w:u w:val="single"/>
      <w:lang w:val="en-US" w:eastAsia="en-US" w:bidi="ar-SA"/>
    </w:rPr>
  </w:style>
  <w:style w:type="character" w:customStyle="1" w:styleId="ParaNumChar">
    <w:name w:val="ParaNum Char"/>
    <w:link w:val="ParaNum"/>
    <w:rPr>
      <w:snapToGrid w:val="0"/>
      <w:kern w:val="28"/>
      <w:sz w:val="22"/>
      <w:lang w:val="x-none" w:eastAsia="x-none" w:bidi="ar-SA"/>
    </w:rPr>
  </w:style>
  <w:style w:type="character" w:customStyle="1" w:styleId="Heading2Char">
    <w:name w:val="Heading 2 Char"/>
    <w:link w:val="Heading2"/>
    <w:rPr>
      <w:rFonts w:ascii="Arial" w:hAnsi="Arial" w:cs="Arial"/>
      <w:b/>
      <w:bCs/>
      <w:i/>
      <w:iCs/>
      <w:sz w:val="28"/>
      <w:szCs w:val="28"/>
    </w:rPr>
  </w:style>
  <w:style w:type="paragraph" w:customStyle="1" w:styleId="DCStandardL1">
    <w:name w:val="DCStandard_L1"/>
    <w:basedOn w:val="Normal"/>
    <w:next w:val="BodyText"/>
    <w:pPr>
      <w:numPr>
        <w:numId w:val="5"/>
      </w:numPr>
      <w:spacing w:after="240"/>
      <w:jc w:val="both"/>
      <w:outlineLvl w:val="0"/>
    </w:pPr>
    <w:rPr>
      <w:szCs w:val="20"/>
    </w:rPr>
  </w:style>
  <w:style w:type="paragraph" w:customStyle="1" w:styleId="DCStandardL2">
    <w:name w:val="DCStandard_L2"/>
    <w:basedOn w:val="DCStandardL1"/>
    <w:next w:val="BodyText"/>
    <w:pPr>
      <w:numPr>
        <w:ilvl w:val="1"/>
      </w:numPr>
      <w:outlineLvl w:val="1"/>
    </w:pPr>
  </w:style>
  <w:style w:type="paragraph" w:customStyle="1" w:styleId="DCStandardL3">
    <w:name w:val="DCStandard_L3"/>
    <w:basedOn w:val="DCStandardL2"/>
    <w:next w:val="BodyText"/>
    <w:pPr>
      <w:numPr>
        <w:ilvl w:val="2"/>
      </w:numPr>
      <w:outlineLvl w:val="2"/>
    </w:pPr>
  </w:style>
  <w:style w:type="paragraph" w:customStyle="1" w:styleId="DCStandardL4">
    <w:name w:val="DCStandard_L4"/>
    <w:basedOn w:val="DCStandardL3"/>
    <w:next w:val="BodyText"/>
    <w:pPr>
      <w:numPr>
        <w:ilvl w:val="3"/>
      </w:numPr>
      <w:outlineLvl w:val="3"/>
    </w:pPr>
  </w:style>
  <w:style w:type="paragraph" w:customStyle="1" w:styleId="DCStandardL5">
    <w:name w:val="DCStandard_L5"/>
    <w:basedOn w:val="DCStandardL4"/>
    <w:next w:val="BodyText"/>
    <w:pPr>
      <w:numPr>
        <w:ilvl w:val="4"/>
      </w:numPr>
      <w:outlineLvl w:val="4"/>
    </w:pPr>
  </w:style>
  <w:style w:type="paragraph" w:customStyle="1" w:styleId="DCStandardL6">
    <w:name w:val="DCStandard_L6"/>
    <w:basedOn w:val="DCStandardL5"/>
    <w:next w:val="BodyText"/>
    <w:pPr>
      <w:numPr>
        <w:ilvl w:val="5"/>
      </w:numPr>
      <w:outlineLvl w:val="5"/>
    </w:pPr>
  </w:style>
  <w:style w:type="paragraph" w:customStyle="1" w:styleId="DCStandardL7">
    <w:name w:val="DCStandard_L7"/>
    <w:basedOn w:val="DCStandardL6"/>
    <w:next w:val="BodyText"/>
    <w:pPr>
      <w:numPr>
        <w:ilvl w:val="6"/>
      </w:numPr>
      <w:outlineLvl w:val="6"/>
    </w:pPr>
  </w:style>
  <w:style w:type="paragraph" w:customStyle="1" w:styleId="DCStandardL8">
    <w:name w:val="DCStandard_L8"/>
    <w:basedOn w:val="DCStandardL7"/>
    <w:next w:val="BodyText"/>
    <w:pPr>
      <w:numPr>
        <w:ilvl w:val="7"/>
      </w:numPr>
      <w:outlineLvl w:val="7"/>
    </w:pPr>
  </w:style>
  <w:style w:type="paragraph" w:customStyle="1" w:styleId="DCStandardL9">
    <w:name w:val="DCStandard_L9"/>
    <w:basedOn w:val="DCStandardL8"/>
    <w:next w:val="BodyText"/>
    <w:pPr>
      <w:numPr>
        <w:ilvl w:val="8"/>
      </w:numPr>
      <w:outlineLvl w:val="8"/>
    </w:pPr>
  </w:style>
  <w:style w:type="paragraph" w:styleId="ListParagraph">
    <w:name w:val="List Paragraph"/>
    <w:basedOn w:val="Normal"/>
    <w:uiPriority w:val="34"/>
    <w:qFormat/>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BodyText1">
    <w:name w:val="Body Text1"/>
    <w:rPr>
      <w:rFonts w:ascii="Times New Roman Bold" w:eastAsia="ヒラギノ角ゴ Pro W3" w:hAnsi="Times New Roman Bold"/>
      <w:color w:val="000000"/>
      <w:u w:val="single"/>
    </w:rPr>
  </w:style>
  <w:style w:type="character" w:customStyle="1" w:styleId="bold1">
    <w:name w:val="bold1"/>
    <w:rPr>
      <w:b/>
      <w:bCs/>
    </w:rPr>
  </w:style>
  <w:style w:type="character" w:customStyle="1" w:styleId="underline">
    <w:name w:val="underline"/>
    <w:basedOn w:val="DefaultParagraphFont"/>
  </w:style>
  <w:style w:type="character" w:styleId="Hyperlink">
    <w:name w:val="Hyperlink"/>
    <w:rPr>
      <w:color w:val="0000FF"/>
      <w:u w:val="single"/>
    </w:rPr>
  </w:style>
  <w:style w:type="character" w:customStyle="1" w:styleId="documentbody">
    <w:name w:val="documentbody"/>
  </w:style>
  <w:style w:type="character" w:customStyle="1" w:styleId="searchterm">
    <w:name w:val="searchterm"/>
  </w:style>
  <w:style w:type="paragraph" w:customStyle="1" w:styleId="H5">
    <w:name w:val="H5"/>
    <w:basedOn w:val="Normal"/>
    <w:next w:val="Normal"/>
    <w:pPr>
      <w:keepNext/>
      <w:autoSpaceDE w:val="0"/>
      <w:autoSpaceDN w:val="0"/>
      <w:adjustRightInd w:val="0"/>
      <w:spacing w:before="100" w:after="100"/>
      <w:outlineLvl w:val="5"/>
    </w:pPr>
    <w:rPr>
      <w:b/>
      <w:bCs/>
      <w:sz w:val="20"/>
      <w:szCs w:val="20"/>
    </w:rPr>
  </w:style>
  <w:style w:type="character" w:customStyle="1" w:styleId="par1Char">
    <w:name w:val="par1 Char"/>
    <w:link w:val="par1"/>
    <w:locked/>
    <w:rPr>
      <w:sz w:val="22"/>
      <w:szCs w:val="20"/>
    </w:rPr>
  </w:style>
  <w:style w:type="character" w:customStyle="1" w:styleId="FootnoteTextChar1CharCharCharCharChar1">
    <w:name w:val="Footnote Text Char1 Char Char Char Char Char1"/>
    <w:aliases w:val="Footnote Text Char Char Char Char Char Char Char Char,Footnote Text Char3 Char2"/>
    <w:rPr>
      <w:sz w:val="24"/>
      <w:szCs w:val="24"/>
      <w:lang w:val="en-US" w:eastAsia="en-US" w:bidi="ar-SA"/>
    </w:rPr>
  </w:style>
  <w:style w:type="paragraph" w:customStyle="1" w:styleId="Default">
    <w:name w:val="Default"/>
    <w:pPr>
      <w:autoSpaceDE w:val="0"/>
      <w:autoSpaceDN w:val="0"/>
      <w:adjustRightInd w:val="0"/>
    </w:pPr>
    <w:rPr>
      <w:color w:val="000000"/>
    </w:rPr>
  </w:style>
  <w:style w:type="character" w:styleId="FollowedHyperlink">
    <w:name w:val="FollowedHyperlink"/>
    <w:rPr>
      <w:color w:val="800080"/>
      <w:u w:val="single"/>
    </w:rPr>
  </w:style>
  <w:style w:type="paragraph" w:styleId="Revision">
    <w:name w:val="Revision"/>
    <w:hidden/>
    <w:uiPriority w:val="71"/>
    <w:rsid w:val="001C2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1138">
      <w:bodyDiv w:val="1"/>
      <w:marLeft w:val="0"/>
      <w:marRight w:val="0"/>
      <w:marTop w:val="0"/>
      <w:marBottom w:val="0"/>
      <w:divBdr>
        <w:top w:val="none" w:sz="0" w:space="0" w:color="auto"/>
        <w:left w:val="none" w:sz="0" w:space="0" w:color="auto"/>
        <w:bottom w:val="none" w:sz="0" w:space="0" w:color="auto"/>
        <w:right w:val="none" w:sz="0" w:space="0" w:color="auto"/>
      </w:divBdr>
    </w:div>
    <w:div w:id="118649392">
      <w:bodyDiv w:val="1"/>
      <w:marLeft w:val="0"/>
      <w:marRight w:val="0"/>
      <w:marTop w:val="0"/>
      <w:marBottom w:val="0"/>
      <w:divBdr>
        <w:top w:val="none" w:sz="0" w:space="0" w:color="auto"/>
        <w:left w:val="none" w:sz="0" w:space="0" w:color="auto"/>
        <w:bottom w:val="none" w:sz="0" w:space="0" w:color="auto"/>
        <w:right w:val="none" w:sz="0" w:space="0" w:color="auto"/>
      </w:divBdr>
    </w:div>
    <w:div w:id="280692469">
      <w:bodyDiv w:val="1"/>
      <w:marLeft w:val="0"/>
      <w:marRight w:val="0"/>
      <w:marTop w:val="0"/>
      <w:marBottom w:val="0"/>
      <w:divBdr>
        <w:top w:val="none" w:sz="0" w:space="0" w:color="auto"/>
        <w:left w:val="none" w:sz="0" w:space="0" w:color="auto"/>
        <w:bottom w:val="none" w:sz="0" w:space="0" w:color="auto"/>
        <w:right w:val="none" w:sz="0" w:space="0" w:color="auto"/>
      </w:divBdr>
    </w:div>
    <w:div w:id="566843855">
      <w:bodyDiv w:val="1"/>
      <w:marLeft w:val="0"/>
      <w:marRight w:val="0"/>
      <w:marTop w:val="0"/>
      <w:marBottom w:val="0"/>
      <w:divBdr>
        <w:top w:val="none" w:sz="0" w:space="0" w:color="auto"/>
        <w:left w:val="none" w:sz="0" w:space="0" w:color="auto"/>
        <w:bottom w:val="none" w:sz="0" w:space="0" w:color="auto"/>
        <w:right w:val="none" w:sz="0" w:space="0" w:color="auto"/>
      </w:divBdr>
    </w:div>
    <w:div w:id="832723834">
      <w:bodyDiv w:val="1"/>
      <w:marLeft w:val="0"/>
      <w:marRight w:val="0"/>
      <w:marTop w:val="0"/>
      <w:marBottom w:val="0"/>
      <w:divBdr>
        <w:top w:val="none" w:sz="0" w:space="0" w:color="auto"/>
        <w:left w:val="none" w:sz="0" w:space="0" w:color="auto"/>
        <w:bottom w:val="none" w:sz="0" w:space="0" w:color="auto"/>
        <w:right w:val="none" w:sz="0" w:space="0" w:color="auto"/>
      </w:divBdr>
    </w:div>
    <w:div w:id="848526422">
      <w:bodyDiv w:val="1"/>
      <w:marLeft w:val="0"/>
      <w:marRight w:val="0"/>
      <w:marTop w:val="0"/>
      <w:marBottom w:val="0"/>
      <w:divBdr>
        <w:top w:val="none" w:sz="0" w:space="0" w:color="auto"/>
        <w:left w:val="none" w:sz="0" w:space="0" w:color="auto"/>
        <w:bottom w:val="none" w:sz="0" w:space="0" w:color="auto"/>
        <w:right w:val="none" w:sz="0" w:space="0" w:color="auto"/>
      </w:divBdr>
    </w:div>
    <w:div w:id="1047756054">
      <w:bodyDiv w:val="1"/>
      <w:marLeft w:val="0"/>
      <w:marRight w:val="0"/>
      <w:marTop w:val="0"/>
      <w:marBottom w:val="0"/>
      <w:divBdr>
        <w:top w:val="none" w:sz="0" w:space="0" w:color="auto"/>
        <w:left w:val="none" w:sz="0" w:space="0" w:color="auto"/>
        <w:bottom w:val="none" w:sz="0" w:space="0" w:color="auto"/>
        <w:right w:val="none" w:sz="0" w:space="0" w:color="auto"/>
      </w:divBdr>
    </w:div>
    <w:div w:id="1290623555">
      <w:bodyDiv w:val="1"/>
      <w:marLeft w:val="0"/>
      <w:marRight w:val="0"/>
      <w:marTop w:val="0"/>
      <w:marBottom w:val="0"/>
      <w:divBdr>
        <w:top w:val="none" w:sz="0" w:space="0" w:color="auto"/>
        <w:left w:val="none" w:sz="0" w:space="0" w:color="auto"/>
        <w:bottom w:val="none" w:sz="0" w:space="0" w:color="auto"/>
        <w:right w:val="none" w:sz="0" w:space="0" w:color="auto"/>
      </w:divBdr>
    </w:div>
    <w:div w:id="1632516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vanaugh@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3633</Words>
  <Characters>20564</Characters>
  <Application>Microsoft Office Word</Application>
  <DocSecurity>0</DocSecurity>
  <Lines>416</Lines>
  <Paragraphs>114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24270</CharactersWithSpaces>
  <SharedDoc>false</SharedDoc>
  <HyperlinkBase> </HyperlinkBase>
  <HLinks>
    <vt:vector size="18" baseType="variant">
      <vt:variant>
        <vt:i4>983144</vt:i4>
      </vt:variant>
      <vt:variant>
        <vt:i4>6</vt:i4>
      </vt:variant>
      <vt:variant>
        <vt:i4>0</vt:i4>
      </vt:variant>
      <vt:variant>
        <vt:i4>5</vt:i4>
      </vt:variant>
      <vt:variant>
        <vt:lpwstr>mailto:William.Kehoe@fcc.gov</vt:lpwstr>
      </vt:variant>
      <vt:variant>
        <vt:lpwstr/>
      </vt:variant>
      <vt:variant>
        <vt:i4>3866718</vt:i4>
      </vt:variant>
      <vt:variant>
        <vt:i4>3</vt:i4>
      </vt:variant>
      <vt:variant>
        <vt:i4>0</vt:i4>
      </vt:variant>
      <vt:variant>
        <vt:i4>5</vt:i4>
      </vt:variant>
      <vt:variant>
        <vt:lpwstr>mailto:Robert.Krinsky@fcc.gov</vt:lpwstr>
      </vt:variant>
      <vt:variant>
        <vt:lpwstr/>
      </vt:variant>
      <vt:variant>
        <vt:i4>3342428</vt:i4>
      </vt:variant>
      <vt:variant>
        <vt:i4>0</vt:i4>
      </vt:variant>
      <vt:variant>
        <vt:i4>0</vt:i4>
      </vt:variant>
      <vt:variant>
        <vt:i4>5</vt:i4>
      </vt:variant>
      <vt:variant>
        <vt:lpwstr>mailto:Cavanaugh@%20fcc.gov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2012-12-04T18:23:00Z</cp:lastPrinted>
  <dcterms:created xsi:type="dcterms:W3CDTF">2013-09-30T14:52:00Z</dcterms:created>
  <dcterms:modified xsi:type="dcterms:W3CDTF">2013-09-30T14:52:00Z</dcterms:modified>
  <cp:category> </cp:category>
  <cp:contentStatus> </cp:contentStatus>
</cp:coreProperties>
</file>