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E14237" w14:textId="77777777" w:rsidR="00DA748A" w:rsidRPr="00E530C8" w:rsidRDefault="00DA748A">
      <w:pPr>
        <w:pStyle w:val="Header"/>
        <w:tabs>
          <w:tab w:val="clear" w:pos="4320"/>
          <w:tab w:val="clear" w:pos="8640"/>
        </w:tabs>
        <w:rPr>
          <w:szCs w:val="22"/>
        </w:rPr>
        <w:sectPr w:rsidR="00DA748A" w:rsidRPr="00E530C8">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14:paraId="3BB62022" w14:textId="1170CFC1" w:rsidR="00DA748A" w:rsidRPr="0002543F" w:rsidRDefault="00DA748A">
      <w:pPr>
        <w:jc w:val="right"/>
        <w:rPr>
          <w:b/>
          <w:szCs w:val="22"/>
        </w:rPr>
      </w:pPr>
      <w:r w:rsidRPr="0002543F">
        <w:rPr>
          <w:b/>
          <w:szCs w:val="22"/>
        </w:rPr>
        <w:lastRenderedPageBreak/>
        <w:t>DA 13-</w:t>
      </w:r>
      <w:r w:rsidR="0002543F" w:rsidRPr="0002543F">
        <w:rPr>
          <w:b/>
          <w:szCs w:val="22"/>
        </w:rPr>
        <w:t>1948</w:t>
      </w:r>
    </w:p>
    <w:p w14:paraId="54FB7E69" w14:textId="6D8ABF45" w:rsidR="00DA748A" w:rsidRPr="00CB3DFA" w:rsidRDefault="00DA748A">
      <w:pPr>
        <w:spacing w:before="60"/>
        <w:jc w:val="right"/>
        <w:rPr>
          <w:b/>
          <w:szCs w:val="22"/>
        </w:rPr>
      </w:pPr>
      <w:r w:rsidRPr="00CB3DFA">
        <w:rPr>
          <w:b/>
          <w:szCs w:val="22"/>
        </w:rPr>
        <w:t xml:space="preserve">September </w:t>
      </w:r>
      <w:r w:rsidR="00611EB9">
        <w:rPr>
          <w:b/>
          <w:szCs w:val="22"/>
        </w:rPr>
        <w:t>20</w:t>
      </w:r>
      <w:r w:rsidRPr="00CB3DFA">
        <w:rPr>
          <w:b/>
          <w:szCs w:val="22"/>
        </w:rPr>
        <w:t>, 2013</w:t>
      </w:r>
    </w:p>
    <w:p w14:paraId="4F2D559D" w14:textId="77777777" w:rsidR="00DA748A" w:rsidRPr="00644B15" w:rsidRDefault="00DA748A">
      <w:pPr>
        <w:jc w:val="right"/>
        <w:rPr>
          <w:szCs w:val="22"/>
        </w:rPr>
      </w:pPr>
    </w:p>
    <w:p w14:paraId="193A4F37" w14:textId="195A8950" w:rsidR="00DA748A" w:rsidRPr="00644B15" w:rsidRDefault="001B2EA8" w:rsidP="002425B8">
      <w:pPr>
        <w:spacing w:after="240"/>
        <w:jc w:val="center"/>
        <w:rPr>
          <w:b/>
          <w:szCs w:val="22"/>
        </w:rPr>
      </w:pPr>
      <w:r w:rsidRPr="00644B15">
        <w:rPr>
          <w:b/>
          <w:szCs w:val="22"/>
        </w:rPr>
        <w:t xml:space="preserve">VERIZON COMMUNICATIONS INC. ON BEHALF OF ITS SUBSIDIARIES HOLDING FCC COMMON CARRIER RADIO LICENSES SEEKS FOREIGN OWNERSHIP </w:t>
      </w:r>
      <w:r w:rsidR="007F0212">
        <w:rPr>
          <w:b/>
          <w:szCs w:val="22"/>
        </w:rPr>
        <w:t>RULING PURSUANT TO SECTION 310(b</w:t>
      </w:r>
      <w:r w:rsidRPr="00644B15">
        <w:rPr>
          <w:b/>
          <w:szCs w:val="22"/>
        </w:rPr>
        <w:t>)(4) OF THE COMMUNICATIONS ACT OF 1934, AS AMENDED</w:t>
      </w:r>
      <w:r w:rsidR="00DA748A" w:rsidRPr="00644B15">
        <w:rPr>
          <w:b/>
          <w:szCs w:val="22"/>
        </w:rPr>
        <w:t xml:space="preserve"> </w:t>
      </w:r>
    </w:p>
    <w:p w14:paraId="6CFDA906" w14:textId="77777777" w:rsidR="00DA748A" w:rsidRPr="00644B15" w:rsidRDefault="00DA748A">
      <w:pPr>
        <w:spacing w:after="240"/>
        <w:jc w:val="center"/>
        <w:rPr>
          <w:b/>
          <w:szCs w:val="22"/>
        </w:rPr>
      </w:pPr>
      <w:r w:rsidRPr="00644B15">
        <w:rPr>
          <w:b/>
          <w:szCs w:val="22"/>
        </w:rPr>
        <w:t>IB Docket No. 13-</w:t>
      </w:r>
      <w:r w:rsidR="00B07899" w:rsidRPr="00B07899">
        <w:rPr>
          <w:b/>
          <w:szCs w:val="22"/>
        </w:rPr>
        <w:t>230</w:t>
      </w:r>
    </w:p>
    <w:p w14:paraId="5A4A4649" w14:textId="77777777" w:rsidR="00DA748A" w:rsidRPr="00644B15" w:rsidRDefault="00DA748A">
      <w:pPr>
        <w:jc w:val="center"/>
        <w:rPr>
          <w:b/>
          <w:szCs w:val="22"/>
        </w:rPr>
      </w:pPr>
      <w:r w:rsidRPr="00644B15">
        <w:rPr>
          <w:b/>
          <w:szCs w:val="22"/>
        </w:rPr>
        <w:t xml:space="preserve">PLEADING CYCLE ESTABLISHED </w:t>
      </w:r>
    </w:p>
    <w:p w14:paraId="6E774924" w14:textId="77777777" w:rsidR="00DA748A" w:rsidRPr="00644B15" w:rsidRDefault="00DA748A">
      <w:pPr>
        <w:jc w:val="center"/>
        <w:rPr>
          <w:b/>
          <w:szCs w:val="22"/>
        </w:rPr>
      </w:pPr>
    </w:p>
    <w:p w14:paraId="713DD61F" w14:textId="013C9C53" w:rsidR="00F012AB" w:rsidRPr="00644B15" w:rsidRDefault="00F012AB" w:rsidP="002425B8">
      <w:pPr>
        <w:rPr>
          <w:szCs w:val="22"/>
        </w:rPr>
      </w:pPr>
      <w:r w:rsidRPr="00644B15">
        <w:rPr>
          <w:b/>
          <w:szCs w:val="22"/>
        </w:rPr>
        <w:t>Comments Due:</w:t>
      </w:r>
      <w:r w:rsidR="00611EB9">
        <w:rPr>
          <w:b/>
          <w:szCs w:val="22"/>
        </w:rPr>
        <w:t xml:space="preserve"> October 18</w:t>
      </w:r>
      <w:r w:rsidR="001B2EA8">
        <w:rPr>
          <w:b/>
          <w:szCs w:val="22"/>
        </w:rPr>
        <w:t>, 20</w:t>
      </w:r>
      <w:r w:rsidR="00CB3DFA">
        <w:rPr>
          <w:b/>
          <w:szCs w:val="22"/>
        </w:rPr>
        <w:t>13</w:t>
      </w:r>
    </w:p>
    <w:p w14:paraId="6C4C60C4" w14:textId="19967D2F" w:rsidR="00F012AB" w:rsidRPr="00644B15" w:rsidRDefault="00F012AB" w:rsidP="002425B8">
      <w:pPr>
        <w:rPr>
          <w:b/>
          <w:szCs w:val="22"/>
        </w:rPr>
      </w:pPr>
      <w:r w:rsidRPr="00644B15">
        <w:rPr>
          <w:b/>
          <w:szCs w:val="22"/>
        </w:rPr>
        <w:t>Replies Due:</w:t>
      </w:r>
      <w:r w:rsidRPr="00644B15">
        <w:rPr>
          <w:szCs w:val="22"/>
        </w:rPr>
        <w:t xml:space="preserve"> </w:t>
      </w:r>
      <w:r w:rsidR="00611EB9">
        <w:rPr>
          <w:b/>
          <w:szCs w:val="22"/>
        </w:rPr>
        <w:t>November 1</w:t>
      </w:r>
      <w:r w:rsidR="00CB3DFA" w:rsidRPr="00CB3DFA">
        <w:rPr>
          <w:b/>
          <w:szCs w:val="22"/>
        </w:rPr>
        <w:t>, 2013</w:t>
      </w:r>
    </w:p>
    <w:p w14:paraId="492922A2" w14:textId="77777777" w:rsidR="00F012AB" w:rsidRPr="00644B15" w:rsidRDefault="00F012AB" w:rsidP="002425B8">
      <w:pPr>
        <w:rPr>
          <w:b/>
          <w:szCs w:val="22"/>
        </w:rPr>
      </w:pPr>
    </w:p>
    <w:p w14:paraId="4A227C30" w14:textId="77777777" w:rsidR="00DA748A" w:rsidRPr="00644B15" w:rsidRDefault="00DA748A" w:rsidP="002425B8">
      <w:pPr>
        <w:rPr>
          <w:szCs w:val="22"/>
        </w:rPr>
      </w:pPr>
      <w:r w:rsidRPr="00644B15">
        <w:rPr>
          <w:szCs w:val="22"/>
        </w:rPr>
        <w:tab/>
      </w:r>
    </w:p>
    <w:p w14:paraId="28032763" w14:textId="77777777" w:rsidR="00F012AB" w:rsidRPr="00644B15" w:rsidRDefault="00F012AB" w:rsidP="002425B8">
      <w:pPr>
        <w:rPr>
          <w:szCs w:val="22"/>
          <w:lang w:val="fr-FR"/>
        </w:rPr>
      </w:pPr>
      <w:r w:rsidRPr="00644B15">
        <w:rPr>
          <w:b/>
          <w:szCs w:val="22"/>
          <w:lang w:val="fr-FR"/>
        </w:rPr>
        <w:t>I.</w:t>
      </w:r>
      <w:r w:rsidRPr="00644B15">
        <w:rPr>
          <w:b/>
          <w:szCs w:val="22"/>
          <w:lang w:val="fr-FR"/>
        </w:rPr>
        <w:tab/>
        <w:t>INTRODUCTION</w:t>
      </w:r>
      <w:r w:rsidR="00DA748A" w:rsidRPr="00644B15">
        <w:rPr>
          <w:szCs w:val="22"/>
          <w:lang w:val="fr-FR"/>
        </w:rPr>
        <w:tab/>
      </w:r>
    </w:p>
    <w:p w14:paraId="1C0AD4AA" w14:textId="77777777" w:rsidR="00F012AB" w:rsidRPr="00644B15" w:rsidRDefault="00F012AB" w:rsidP="002425B8">
      <w:pPr>
        <w:rPr>
          <w:szCs w:val="22"/>
          <w:lang w:val="fr-FR"/>
        </w:rPr>
      </w:pPr>
    </w:p>
    <w:p w14:paraId="668D2D1C" w14:textId="53A77E18" w:rsidR="00DA748A" w:rsidRPr="00644B15" w:rsidRDefault="00DA748A" w:rsidP="00F012AB">
      <w:pPr>
        <w:ind w:firstLine="720"/>
        <w:rPr>
          <w:szCs w:val="22"/>
        </w:rPr>
      </w:pPr>
      <w:r w:rsidRPr="00644B15">
        <w:rPr>
          <w:szCs w:val="22"/>
          <w:lang w:val="fr-FR"/>
        </w:rPr>
        <w:t>Verizon Com</w:t>
      </w:r>
      <w:r w:rsidR="00F012AB" w:rsidRPr="00644B15">
        <w:rPr>
          <w:szCs w:val="22"/>
          <w:lang w:val="fr-FR"/>
        </w:rPr>
        <w:t>m</w:t>
      </w:r>
      <w:r w:rsidRPr="00644B15">
        <w:rPr>
          <w:szCs w:val="22"/>
          <w:lang w:val="fr-FR"/>
        </w:rPr>
        <w:t>unications Inc.</w:t>
      </w:r>
      <w:r w:rsidR="00F012AB" w:rsidRPr="00644B15">
        <w:rPr>
          <w:szCs w:val="22"/>
          <w:lang w:val="fr-FR"/>
        </w:rPr>
        <w:t xml:space="preserve"> </w:t>
      </w:r>
      <w:r w:rsidR="00F012AB" w:rsidRPr="00644B15">
        <w:rPr>
          <w:szCs w:val="22"/>
        </w:rPr>
        <w:t>(“Verizon”)</w:t>
      </w:r>
      <w:r w:rsidRPr="00644B15">
        <w:rPr>
          <w:szCs w:val="22"/>
        </w:rPr>
        <w:t xml:space="preserve">, </w:t>
      </w:r>
      <w:r w:rsidRPr="00E621A7">
        <w:rPr>
          <w:szCs w:val="22"/>
        </w:rPr>
        <w:t xml:space="preserve">on behalf of </w:t>
      </w:r>
      <w:r w:rsidR="009C6BDF" w:rsidRPr="00E621A7">
        <w:rPr>
          <w:szCs w:val="22"/>
        </w:rPr>
        <w:t xml:space="preserve">its </w:t>
      </w:r>
      <w:r w:rsidRPr="00E621A7">
        <w:rPr>
          <w:szCs w:val="22"/>
        </w:rPr>
        <w:t>subsidiaries</w:t>
      </w:r>
      <w:r w:rsidRPr="00644B15">
        <w:rPr>
          <w:szCs w:val="22"/>
        </w:rPr>
        <w:t xml:space="preserve"> holding common carrier radio licenses (“</w:t>
      </w:r>
      <w:r w:rsidR="00F012AB" w:rsidRPr="00644B15">
        <w:rPr>
          <w:szCs w:val="22"/>
        </w:rPr>
        <w:t>Joint Petitioners</w:t>
      </w:r>
      <w:r w:rsidRPr="00644B15">
        <w:rPr>
          <w:szCs w:val="22"/>
        </w:rPr>
        <w:t>”</w:t>
      </w:r>
      <w:r w:rsidR="00F012AB" w:rsidRPr="00644B15">
        <w:rPr>
          <w:szCs w:val="22"/>
        </w:rPr>
        <w:t>)</w:t>
      </w:r>
      <w:r w:rsidRPr="00644B15">
        <w:rPr>
          <w:szCs w:val="22"/>
        </w:rPr>
        <w:t xml:space="preserve">, has </w:t>
      </w:r>
      <w:r w:rsidR="00F012AB" w:rsidRPr="00644B15">
        <w:rPr>
          <w:szCs w:val="22"/>
        </w:rPr>
        <w:t xml:space="preserve">filed a petition for declaratory ruling with </w:t>
      </w:r>
      <w:r w:rsidRPr="00644B15">
        <w:rPr>
          <w:szCs w:val="22"/>
        </w:rPr>
        <w:t xml:space="preserve">the Commission </w:t>
      </w:r>
      <w:r w:rsidR="00F012AB" w:rsidRPr="00644B15">
        <w:rPr>
          <w:szCs w:val="22"/>
        </w:rPr>
        <w:t xml:space="preserve">requesting that the Commission find, </w:t>
      </w:r>
      <w:r w:rsidRPr="00644B15">
        <w:rPr>
          <w:szCs w:val="22"/>
        </w:rPr>
        <w:t>pursuant to section 310(b)(4) of the Communications Act of 1934, as amended,</w:t>
      </w:r>
      <w:r w:rsidRPr="00644B15">
        <w:rPr>
          <w:rStyle w:val="FootnoteReference"/>
          <w:szCs w:val="22"/>
        </w:rPr>
        <w:footnoteReference w:id="1"/>
      </w:r>
      <w:r w:rsidRPr="00644B15">
        <w:rPr>
          <w:szCs w:val="22"/>
        </w:rPr>
        <w:t xml:space="preserve"> that it would not serve the public interest to prohibit a widely dispersed body of shareholders from holding aggregate foreign ownership in Verizon in excess of the 25 percent benchmark in section 310(b)(4), with no </w:t>
      </w:r>
      <w:r w:rsidR="00631EB0">
        <w:rPr>
          <w:szCs w:val="22"/>
        </w:rPr>
        <w:t xml:space="preserve">single </w:t>
      </w:r>
      <w:r w:rsidRPr="00644B15">
        <w:rPr>
          <w:szCs w:val="22"/>
        </w:rPr>
        <w:t>foreign shareholder holding more than a five percent interest.</w:t>
      </w:r>
      <w:r w:rsidRPr="00644B15">
        <w:rPr>
          <w:rStyle w:val="FootnoteReference"/>
          <w:szCs w:val="22"/>
        </w:rPr>
        <w:footnoteReference w:id="2"/>
      </w:r>
      <w:r w:rsidRPr="00644B15">
        <w:rPr>
          <w:szCs w:val="22"/>
        </w:rPr>
        <w:t xml:space="preserve"> </w:t>
      </w:r>
    </w:p>
    <w:p w14:paraId="51088395" w14:textId="77777777" w:rsidR="00DA748A" w:rsidRPr="00644B15" w:rsidRDefault="00DA748A" w:rsidP="002425B8">
      <w:pPr>
        <w:rPr>
          <w:szCs w:val="22"/>
        </w:rPr>
      </w:pPr>
    </w:p>
    <w:p w14:paraId="4EACC0FF" w14:textId="41D6BF39" w:rsidR="00DA748A" w:rsidRPr="00644B15" w:rsidRDefault="00DA748A" w:rsidP="00A91125">
      <w:pPr>
        <w:ind w:firstLine="720"/>
        <w:rPr>
          <w:szCs w:val="22"/>
        </w:rPr>
      </w:pPr>
      <w:r w:rsidRPr="00644B15">
        <w:rPr>
          <w:szCs w:val="22"/>
        </w:rPr>
        <w:t xml:space="preserve">Verizon states that it has filed </w:t>
      </w:r>
      <w:r w:rsidR="00DC2D74" w:rsidRPr="00644B15">
        <w:rPr>
          <w:szCs w:val="22"/>
        </w:rPr>
        <w:t>the</w:t>
      </w:r>
      <w:r w:rsidRPr="00644B15">
        <w:rPr>
          <w:szCs w:val="22"/>
        </w:rPr>
        <w:t xml:space="preserve"> petition </w:t>
      </w:r>
      <w:r w:rsidR="009412C9" w:rsidRPr="00644B15">
        <w:rPr>
          <w:szCs w:val="22"/>
        </w:rPr>
        <w:t xml:space="preserve">for </w:t>
      </w:r>
      <w:r w:rsidRPr="00644B15">
        <w:rPr>
          <w:szCs w:val="22"/>
        </w:rPr>
        <w:t>declaratory ruling in connection with its recently announced, planned acquisition of the non-controlling 45 percent general partnership interest in Cellco Partnership d/b/a Verizon Wireless (“Verizon Wireless”) that is indirectly held by Vodafone Group Plc (“Vodafone”), a public limited company</w:t>
      </w:r>
      <w:r w:rsidR="00631EB0">
        <w:rPr>
          <w:szCs w:val="22"/>
        </w:rPr>
        <w:t xml:space="preserve"> </w:t>
      </w:r>
      <w:r w:rsidR="00631EB0" w:rsidRPr="00644B15">
        <w:rPr>
          <w:szCs w:val="22"/>
        </w:rPr>
        <w:t>organized</w:t>
      </w:r>
      <w:r w:rsidR="00631EB0">
        <w:rPr>
          <w:szCs w:val="22"/>
        </w:rPr>
        <w:t xml:space="preserve"> in England</w:t>
      </w:r>
      <w:r w:rsidRPr="00644B15">
        <w:rPr>
          <w:szCs w:val="22"/>
        </w:rPr>
        <w:t>.</w:t>
      </w:r>
      <w:r w:rsidRPr="00644B15">
        <w:rPr>
          <w:rStyle w:val="FootnoteReference"/>
          <w:szCs w:val="22"/>
        </w:rPr>
        <w:footnoteReference w:id="3"/>
      </w:r>
      <w:r w:rsidRPr="00644B15">
        <w:rPr>
          <w:szCs w:val="22"/>
        </w:rPr>
        <w:t xml:space="preserve">  Verizon is currently the indirect holder </w:t>
      </w:r>
      <w:r w:rsidRPr="00644B15">
        <w:rPr>
          <w:szCs w:val="22"/>
        </w:rPr>
        <w:lastRenderedPageBreak/>
        <w:t>of a controlling 55 percent general partnership interest in Verizon Wireless.</w:t>
      </w:r>
      <w:r w:rsidRPr="00644B15">
        <w:rPr>
          <w:rStyle w:val="FootnoteReference"/>
          <w:szCs w:val="22"/>
        </w:rPr>
        <w:footnoteReference w:id="4"/>
      </w:r>
      <w:r w:rsidRPr="00644B15">
        <w:rPr>
          <w:szCs w:val="22"/>
        </w:rPr>
        <w:t xml:space="preserve">  According to the Petition, part of the consideration for the planned acquisition will be in the form of Verizon stock that will be distributed to Vodafone’s shareholders.  Verizon explains that the share distribution may increase the aggregate percentage of Verizon shares held by non-U.S. investors from the current approximately 8.24 percent to an estimated aggregate 24.3-25.3 percent.</w:t>
      </w:r>
      <w:r w:rsidRPr="00644B15">
        <w:rPr>
          <w:rStyle w:val="FootnoteReference"/>
          <w:szCs w:val="22"/>
        </w:rPr>
        <w:footnoteReference w:id="5"/>
      </w:r>
      <w:r w:rsidRPr="00644B15">
        <w:rPr>
          <w:szCs w:val="22"/>
        </w:rPr>
        <w:t xml:space="preserve">  This range includes both the pre-transaction stock held outside the United States by existing Verizon shareholders, as well as the additional shares that will be distributed to Vodafone’s shareholders once the transaction closes.</w:t>
      </w:r>
      <w:r w:rsidRPr="00644B15">
        <w:rPr>
          <w:rStyle w:val="FootnoteReference"/>
          <w:szCs w:val="22"/>
        </w:rPr>
        <w:footnoteReference w:id="6"/>
      </w:r>
      <w:r w:rsidRPr="00644B15">
        <w:rPr>
          <w:szCs w:val="22"/>
        </w:rPr>
        <w:t xml:space="preserve">  Verizon states that, because it is publicly traded and widely held, the percentage of foreign ownership will necessarily vary somewhat </w:t>
      </w:r>
      <w:r w:rsidR="00631EB0">
        <w:rPr>
          <w:szCs w:val="22"/>
        </w:rPr>
        <w:t>over time as shares are traded o</w:t>
      </w:r>
      <w:r w:rsidRPr="00644B15">
        <w:rPr>
          <w:szCs w:val="22"/>
        </w:rPr>
        <w:t>n the open market.</w:t>
      </w:r>
      <w:r w:rsidRPr="00644B15">
        <w:rPr>
          <w:rStyle w:val="FootnoteReference"/>
          <w:szCs w:val="22"/>
        </w:rPr>
        <w:footnoteReference w:id="7"/>
      </w:r>
    </w:p>
    <w:p w14:paraId="5474D69E" w14:textId="77777777" w:rsidR="00DA748A" w:rsidRPr="00644B15" w:rsidRDefault="00DA748A" w:rsidP="00A91125">
      <w:pPr>
        <w:ind w:firstLine="720"/>
        <w:rPr>
          <w:szCs w:val="22"/>
        </w:rPr>
      </w:pPr>
    </w:p>
    <w:p w14:paraId="215A5F64" w14:textId="757085FC" w:rsidR="00DA748A" w:rsidRPr="00644B15" w:rsidRDefault="00DA748A" w:rsidP="00A91125">
      <w:pPr>
        <w:ind w:firstLine="720"/>
        <w:rPr>
          <w:szCs w:val="22"/>
        </w:rPr>
      </w:pPr>
      <w:r w:rsidRPr="00644B15">
        <w:rPr>
          <w:szCs w:val="22"/>
        </w:rPr>
        <w:t>Verizon is a publicly traded Delaware corporation.  According to the Petition, the Verizon subsidiaries that hold FCC licenses – including the common carrier licenses that are the subject of the Petition</w:t>
      </w:r>
      <w:r w:rsidR="008D2174">
        <w:rPr>
          <w:rStyle w:val="FootnoteReference"/>
          <w:szCs w:val="22"/>
        </w:rPr>
        <w:footnoteReference w:id="8"/>
      </w:r>
      <w:r w:rsidRPr="00644B15">
        <w:rPr>
          <w:szCs w:val="22"/>
        </w:rPr>
        <w:t xml:space="preserve"> – are authorized to provide telecommunications services throughout the United States, including offering wireline and wireless telecommunications services to mass market, business, government, and wholesale customers. </w:t>
      </w:r>
      <w:r w:rsidR="00A256B0">
        <w:rPr>
          <w:szCs w:val="22"/>
        </w:rPr>
        <w:t xml:space="preserve"> </w:t>
      </w:r>
      <w:r w:rsidRPr="00644B15">
        <w:rPr>
          <w:szCs w:val="22"/>
        </w:rPr>
        <w:t>Verizon itself does not hold any FCC licenses or authorizations.</w:t>
      </w:r>
      <w:r w:rsidRPr="00644B15">
        <w:rPr>
          <w:rStyle w:val="FootnoteReference"/>
          <w:szCs w:val="22"/>
        </w:rPr>
        <w:footnoteReference w:id="9"/>
      </w:r>
      <w:r w:rsidRPr="00644B15">
        <w:rPr>
          <w:szCs w:val="22"/>
        </w:rPr>
        <w:t xml:space="preserve">  Verizon’s stock will continue to be publicly traded and widely held after closing, and </w:t>
      </w:r>
      <w:r w:rsidR="00A256B0">
        <w:rPr>
          <w:szCs w:val="22"/>
        </w:rPr>
        <w:t>it states that no non-U.S. person or entity will hold a five percent equity and/or voting interest</w:t>
      </w:r>
      <w:r w:rsidR="00A368FF">
        <w:rPr>
          <w:szCs w:val="22"/>
        </w:rPr>
        <w:t>,</w:t>
      </w:r>
      <w:r w:rsidR="00A256B0">
        <w:rPr>
          <w:szCs w:val="22"/>
        </w:rPr>
        <w:t xml:space="preserve"> or a controlling interest</w:t>
      </w:r>
      <w:r w:rsidR="00A368FF">
        <w:rPr>
          <w:szCs w:val="22"/>
        </w:rPr>
        <w:t>,</w:t>
      </w:r>
      <w:r w:rsidR="00A256B0">
        <w:rPr>
          <w:szCs w:val="22"/>
        </w:rPr>
        <w:t xml:space="preserve"> in the outstanding Verizon shares.</w:t>
      </w:r>
      <w:r w:rsidR="00631EB0">
        <w:rPr>
          <w:rStyle w:val="FootnoteReference"/>
          <w:szCs w:val="22"/>
        </w:rPr>
        <w:footnoteReference w:id="10"/>
      </w:r>
      <w:r w:rsidR="00A256B0">
        <w:rPr>
          <w:szCs w:val="22"/>
        </w:rPr>
        <w:t xml:space="preserve">  Additionally, it states that </w:t>
      </w:r>
      <w:r w:rsidRPr="00644B15">
        <w:rPr>
          <w:szCs w:val="22"/>
        </w:rPr>
        <w:t xml:space="preserve">no </w:t>
      </w:r>
      <w:r w:rsidR="00A368FF">
        <w:rPr>
          <w:szCs w:val="22"/>
        </w:rPr>
        <w:t xml:space="preserve">U.S. </w:t>
      </w:r>
      <w:r w:rsidRPr="00644B15">
        <w:rPr>
          <w:szCs w:val="22"/>
        </w:rPr>
        <w:t>individual o</w:t>
      </w:r>
      <w:r w:rsidR="00A368FF">
        <w:rPr>
          <w:szCs w:val="22"/>
        </w:rPr>
        <w:t>r entity</w:t>
      </w:r>
      <w:r w:rsidRPr="00644B15">
        <w:rPr>
          <w:szCs w:val="22"/>
        </w:rPr>
        <w:t xml:space="preserve"> will hold, directly or indirectly, </w:t>
      </w:r>
      <w:r w:rsidR="00A256B0">
        <w:rPr>
          <w:szCs w:val="22"/>
        </w:rPr>
        <w:t>more than ten</w:t>
      </w:r>
      <w:r w:rsidRPr="00E621A7">
        <w:rPr>
          <w:szCs w:val="22"/>
        </w:rPr>
        <w:t xml:space="preserve"> percent</w:t>
      </w:r>
      <w:r w:rsidRPr="00644B15">
        <w:rPr>
          <w:szCs w:val="22"/>
        </w:rPr>
        <w:t xml:space="preserve"> of the equity and/or voting interests, or a controlling interest, in Verizon.</w:t>
      </w:r>
      <w:r w:rsidRPr="00644B15">
        <w:rPr>
          <w:rStyle w:val="FootnoteReference"/>
          <w:szCs w:val="22"/>
        </w:rPr>
        <w:footnoteReference w:id="11"/>
      </w:r>
      <w:r w:rsidRPr="00644B15">
        <w:rPr>
          <w:szCs w:val="22"/>
        </w:rPr>
        <w:t xml:space="preserve"> </w:t>
      </w:r>
    </w:p>
    <w:p w14:paraId="230A39B3" w14:textId="77777777" w:rsidR="00DA748A" w:rsidRPr="00644B15" w:rsidRDefault="00DA748A" w:rsidP="00A91125">
      <w:pPr>
        <w:ind w:firstLine="720"/>
        <w:rPr>
          <w:szCs w:val="22"/>
        </w:rPr>
      </w:pPr>
    </w:p>
    <w:p w14:paraId="5A544E9C" w14:textId="6672CAD7" w:rsidR="00F012AB" w:rsidRPr="00644B15" w:rsidRDefault="00DA748A" w:rsidP="00F012AB">
      <w:pPr>
        <w:ind w:firstLine="720"/>
        <w:rPr>
          <w:szCs w:val="22"/>
        </w:rPr>
      </w:pPr>
      <w:r w:rsidRPr="00644B15">
        <w:rPr>
          <w:szCs w:val="22"/>
        </w:rPr>
        <w:lastRenderedPageBreak/>
        <w:t>Verizon Wireless is a Delaware general partnership formed by Verizon and Vodafone</w:t>
      </w:r>
      <w:r w:rsidR="00631EB0">
        <w:rPr>
          <w:szCs w:val="22"/>
        </w:rPr>
        <w:t>, and controlled by Verizon</w:t>
      </w:r>
      <w:r w:rsidRPr="00644B15">
        <w:rPr>
          <w:szCs w:val="22"/>
        </w:rPr>
        <w:t>.  Verizon Wireless holds a variety of authorizations and licenses to provide common carrier fixed and mobile services, private radio services, and other services.  After consummation of the proposed transaction, Verizon Wireless will continue to be controlled by Verizon.</w:t>
      </w:r>
      <w:r w:rsidRPr="00644B15">
        <w:rPr>
          <w:rStyle w:val="FootnoteReference"/>
          <w:szCs w:val="22"/>
        </w:rPr>
        <w:footnoteReference w:id="12"/>
      </w:r>
    </w:p>
    <w:p w14:paraId="6F58948E" w14:textId="77777777" w:rsidR="00F012AB" w:rsidRPr="00644B15" w:rsidRDefault="00F012AB" w:rsidP="00F012AB">
      <w:pPr>
        <w:ind w:firstLine="720"/>
        <w:rPr>
          <w:szCs w:val="22"/>
        </w:rPr>
      </w:pPr>
    </w:p>
    <w:p w14:paraId="3447FC47" w14:textId="77777777" w:rsidR="00F012AB" w:rsidRDefault="00F012AB" w:rsidP="00F012AB">
      <w:pPr>
        <w:rPr>
          <w:rStyle w:val="Normal1"/>
          <w:b/>
          <w:sz w:val="22"/>
          <w:szCs w:val="22"/>
        </w:rPr>
      </w:pPr>
      <w:r w:rsidRPr="00F012AB">
        <w:rPr>
          <w:b/>
          <w:sz w:val="24"/>
        </w:rPr>
        <w:t>II</w:t>
      </w:r>
      <w:r>
        <w:rPr>
          <w:sz w:val="24"/>
        </w:rPr>
        <w:t>.</w:t>
      </w:r>
      <w:r>
        <w:rPr>
          <w:sz w:val="24"/>
        </w:rPr>
        <w:tab/>
      </w:r>
      <w:r>
        <w:rPr>
          <w:rStyle w:val="Normal1"/>
          <w:b/>
          <w:i/>
          <w:sz w:val="22"/>
          <w:szCs w:val="22"/>
        </w:rPr>
        <w:t>EX PARTE</w:t>
      </w:r>
      <w:r>
        <w:rPr>
          <w:rStyle w:val="Normal1"/>
          <w:b/>
          <w:sz w:val="22"/>
          <w:szCs w:val="22"/>
        </w:rPr>
        <w:t xml:space="preserve"> STATUS OF THIS PROCEEDING</w:t>
      </w:r>
    </w:p>
    <w:p w14:paraId="48A610D3" w14:textId="77777777" w:rsidR="00F012AB" w:rsidRPr="00F012AB" w:rsidRDefault="00F012AB" w:rsidP="00F012AB">
      <w:pPr>
        <w:rPr>
          <w:rStyle w:val="Normal1"/>
          <w:sz w:val="24"/>
        </w:rPr>
      </w:pPr>
    </w:p>
    <w:p w14:paraId="25E0511C" w14:textId="77777777" w:rsidR="00F012AB" w:rsidRDefault="00F012AB" w:rsidP="00F012AB">
      <w:pPr>
        <w:rPr>
          <w:rStyle w:val="Normal1"/>
          <w:b/>
          <w:sz w:val="22"/>
          <w:szCs w:val="22"/>
        </w:rPr>
      </w:pPr>
      <w:r>
        <w:rPr>
          <w:rStyle w:val="Normal1"/>
          <w:b/>
          <w:sz w:val="22"/>
          <w:szCs w:val="22"/>
        </w:rPr>
        <w:tab/>
      </w:r>
      <w:r>
        <w:rPr>
          <w:rStyle w:val="Normal1"/>
          <w:sz w:val="22"/>
          <w:szCs w:val="22"/>
        </w:rPr>
        <w:t>Pursuant to section 1.1200(a) of the Commission’s rules,</w:t>
      </w:r>
      <w:r>
        <w:rPr>
          <w:rStyle w:val="FootnoteReference"/>
          <w:szCs w:val="22"/>
        </w:rPr>
        <w:footnoteReference w:id="13"/>
      </w:r>
      <w:r>
        <w:rPr>
          <w:rStyle w:val="Normal1"/>
          <w:sz w:val="22"/>
          <w:szCs w:val="22"/>
        </w:rPr>
        <w:t xml:space="preserve"> the Commission may adopt modified or more stringent </w:t>
      </w:r>
      <w:r>
        <w:rPr>
          <w:rStyle w:val="Normal1"/>
          <w:i/>
          <w:sz w:val="22"/>
          <w:szCs w:val="22"/>
        </w:rPr>
        <w:t>ex parte</w:t>
      </w:r>
      <w:r>
        <w:rPr>
          <w:rStyle w:val="Normal1"/>
          <w:sz w:val="22"/>
          <w:szCs w:val="22"/>
        </w:rPr>
        <w:t xml:space="preserve"> procedures in particular proceedings if the public interest so requires.  We announce that this proceeding will be governed by permit-but-disclose </w:t>
      </w:r>
      <w:r>
        <w:rPr>
          <w:rStyle w:val="Normal1"/>
          <w:i/>
          <w:sz w:val="22"/>
          <w:szCs w:val="22"/>
        </w:rPr>
        <w:t>ex parte</w:t>
      </w:r>
      <w:r>
        <w:rPr>
          <w:rStyle w:val="Normal1"/>
          <w:sz w:val="22"/>
          <w:szCs w:val="22"/>
        </w:rPr>
        <w:t xml:space="preserve"> procedures that are applicable to non-restricted proceedings under section 1.1206 of the Commission’s rules.</w:t>
      </w:r>
      <w:r>
        <w:rPr>
          <w:rStyle w:val="FootnoteReference"/>
          <w:szCs w:val="22"/>
        </w:rPr>
        <w:footnoteReference w:id="14"/>
      </w:r>
    </w:p>
    <w:p w14:paraId="29946C93" w14:textId="77777777" w:rsidR="00F012AB" w:rsidRDefault="00F012AB" w:rsidP="00F012AB">
      <w:pPr>
        <w:rPr>
          <w:rStyle w:val="Normal1"/>
          <w:b/>
          <w:sz w:val="22"/>
          <w:szCs w:val="22"/>
        </w:rPr>
      </w:pPr>
    </w:p>
    <w:p w14:paraId="3E160F3B" w14:textId="77777777" w:rsidR="00F012AB" w:rsidRDefault="00F012AB" w:rsidP="00F012AB">
      <w:pPr>
        <w:rPr>
          <w:b/>
          <w:szCs w:val="22"/>
        </w:rPr>
      </w:pPr>
      <w:r>
        <w:rPr>
          <w:rStyle w:val="Normal1"/>
          <w:sz w:val="22"/>
          <w:szCs w:val="22"/>
        </w:rPr>
        <w:tab/>
        <w:t xml:space="preserve">Parties making oral </w:t>
      </w:r>
      <w:r>
        <w:rPr>
          <w:rStyle w:val="Normal1"/>
          <w:i/>
          <w:sz w:val="22"/>
          <w:szCs w:val="22"/>
        </w:rPr>
        <w:t>ex parte</w:t>
      </w:r>
      <w:r>
        <w:rPr>
          <w:rStyle w:val="Normal1"/>
          <w:sz w:val="22"/>
          <w:szCs w:val="22"/>
        </w:rPr>
        <w:t xml:space="preserve"> presentations are directed to the Commission’s </w:t>
      </w:r>
      <w:r>
        <w:rPr>
          <w:rStyle w:val="Normal1"/>
          <w:i/>
          <w:sz w:val="22"/>
          <w:szCs w:val="22"/>
        </w:rPr>
        <w:t>ex parte</w:t>
      </w:r>
      <w:r>
        <w:rPr>
          <w:rStyle w:val="Normal1"/>
          <w:sz w:val="22"/>
          <w:szCs w:val="22"/>
        </w:rPr>
        <w:t xml:space="preserve"> rules.  Parties are reminded that memoranda summarizing the presentation must contain the presentation’s substance and not merely list the subjects discussed.</w:t>
      </w:r>
      <w:r>
        <w:rPr>
          <w:rStyle w:val="FootnoteReference"/>
          <w:szCs w:val="22"/>
        </w:rPr>
        <w:footnoteReference w:id="15"/>
      </w:r>
      <w:r>
        <w:rPr>
          <w:rStyle w:val="Normal1"/>
          <w:sz w:val="22"/>
          <w:szCs w:val="22"/>
        </w:rPr>
        <w:t xml:space="preserve">  More than a one- or two-sentence description of the views and arguments presented is generally required.</w:t>
      </w:r>
      <w:r>
        <w:rPr>
          <w:rStyle w:val="FootnoteReference"/>
          <w:szCs w:val="22"/>
        </w:rPr>
        <w:footnoteReference w:id="16"/>
      </w:r>
      <w:r>
        <w:rPr>
          <w:rStyle w:val="Normal1"/>
          <w:sz w:val="22"/>
          <w:szCs w:val="22"/>
        </w:rPr>
        <w:t xml:space="preserve">  Other rules pertaining to oral and written presentations are set forth in section 1.1206(b) as well.</w:t>
      </w:r>
      <w:r>
        <w:rPr>
          <w:rStyle w:val="FootnoteReference"/>
          <w:szCs w:val="22"/>
        </w:rPr>
        <w:footnoteReference w:id="17"/>
      </w:r>
    </w:p>
    <w:p w14:paraId="6F531D60" w14:textId="77777777" w:rsidR="00F012AB" w:rsidRDefault="00F012AB" w:rsidP="00F012AB">
      <w:pPr>
        <w:rPr>
          <w:b/>
          <w:szCs w:val="22"/>
        </w:rPr>
      </w:pPr>
    </w:p>
    <w:p w14:paraId="629AEEFF" w14:textId="77777777" w:rsidR="00F012AB" w:rsidRDefault="00F012AB" w:rsidP="00F012AB">
      <w:pPr>
        <w:keepNext/>
        <w:spacing w:after="220"/>
        <w:outlineLvl w:val="0"/>
        <w:rPr>
          <w:b/>
          <w:szCs w:val="22"/>
        </w:rPr>
      </w:pPr>
      <w:r>
        <w:rPr>
          <w:b/>
          <w:szCs w:val="22"/>
        </w:rPr>
        <w:t>III.</w:t>
      </w:r>
      <w:r>
        <w:rPr>
          <w:b/>
          <w:szCs w:val="22"/>
        </w:rPr>
        <w:tab/>
        <w:t>GENERAL INFORMATION</w:t>
      </w:r>
    </w:p>
    <w:p w14:paraId="6CCFA80B" w14:textId="77777777" w:rsidR="00F012AB" w:rsidRPr="00223A8B" w:rsidRDefault="00F012AB" w:rsidP="00F012AB">
      <w:pPr>
        <w:ind w:firstLine="720"/>
        <w:rPr>
          <w:szCs w:val="22"/>
        </w:rPr>
      </w:pPr>
      <w:r w:rsidRPr="00223A8B">
        <w:rPr>
          <w:szCs w:val="22"/>
        </w:rPr>
        <w:t xml:space="preserve">The Petition has been found, upon initial review, to be acceptable for filing.  The Commission reserves the right to return the Petition if, upon further examination, it is determined to be defective and not in conformance with the Commission’s rules or policies. </w:t>
      </w:r>
    </w:p>
    <w:p w14:paraId="756E8E0D" w14:textId="77777777" w:rsidR="00F012AB" w:rsidRDefault="00F012AB" w:rsidP="00F012AB">
      <w:pPr>
        <w:rPr>
          <w:szCs w:val="22"/>
        </w:rPr>
      </w:pPr>
    </w:p>
    <w:p w14:paraId="2D4C83D5" w14:textId="77777777" w:rsidR="00F012AB" w:rsidRDefault="00F012AB" w:rsidP="00F012AB">
      <w:pPr>
        <w:rPr>
          <w:szCs w:val="22"/>
        </w:rPr>
      </w:pPr>
      <w:r>
        <w:rPr>
          <w:szCs w:val="22"/>
        </w:rPr>
        <w:tab/>
        <w:t xml:space="preserve">Interested parties </w:t>
      </w:r>
      <w:r w:rsidRPr="00772368">
        <w:rPr>
          <w:szCs w:val="22"/>
        </w:rPr>
        <w:t>must file</w:t>
      </w:r>
      <w:r>
        <w:rPr>
          <w:szCs w:val="22"/>
        </w:rPr>
        <w:t xml:space="preserve"> comments no later than</w:t>
      </w:r>
      <w:r w:rsidR="00CB3DFA">
        <w:rPr>
          <w:szCs w:val="22"/>
        </w:rPr>
        <w:t xml:space="preserve"> October 17, 2013</w:t>
      </w:r>
      <w:r>
        <w:rPr>
          <w:szCs w:val="22"/>
        </w:rPr>
        <w:t xml:space="preserve">.  Persons and entities that file </w:t>
      </w:r>
      <w:r w:rsidRPr="00E621A7">
        <w:rPr>
          <w:szCs w:val="22"/>
        </w:rPr>
        <w:t>comments become parties to the proceeding.  They may participate fully in the proceeding, including seeking access to any confidential information that may be filed under a protective order, seeking reconsideration of decisions, and filing appeals of a final decision to the courts.</w:t>
      </w:r>
      <w:r>
        <w:rPr>
          <w:szCs w:val="22"/>
        </w:rPr>
        <w:t xml:space="preserve">  Replies to such pleadings must be filed no later than</w:t>
      </w:r>
      <w:r w:rsidR="00CB3DFA">
        <w:rPr>
          <w:szCs w:val="22"/>
        </w:rPr>
        <w:t xml:space="preserve"> October 31, 2013</w:t>
      </w:r>
      <w:r>
        <w:rPr>
          <w:szCs w:val="22"/>
        </w:rPr>
        <w:t>.  All filings concerning matters referenced in this Public Notice should refer to IB Docket No. 13-</w:t>
      </w:r>
      <w:r w:rsidR="00B07899" w:rsidRPr="00B07899">
        <w:rPr>
          <w:szCs w:val="22"/>
        </w:rPr>
        <w:t>230</w:t>
      </w:r>
      <w:r>
        <w:rPr>
          <w:b/>
          <w:szCs w:val="22"/>
        </w:rPr>
        <w:t>.</w:t>
      </w:r>
    </w:p>
    <w:p w14:paraId="6B6A46A3" w14:textId="77777777" w:rsidR="00F012AB" w:rsidRDefault="00F012AB" w:rsidP="00F012AB">
      <w:pPr>
        <w:rPr>
          <w:szCs w:val="22"/>
        </w:rPr>
      </w:pPr>
    </w:p>
    <w:p w14:paraId="6724C742" w14:textId="77777777" w:rsidR="00F012AB" w:rsidRPr="00223A8B" w:rsidRDefault="00F012AB" w:rsidP="00F012AB">
      <w:pPr>
        <w:ind w:firstLine="720"/>
        <w:rPr>
          <w:szCs w:val="22"/>
        </w:rPr>
      </w:pPr>
      <w:r w:rsidRPr="00223A8B">
        <w:rPr>
          <w:spacing w:val="-2"/>
          <w:szCs w:val="22"/>
        </w:rPr>
        <w:t xml:space="preserve">To allow the Commission to consider fully all substantive issues regarding the applications in as timely and efficient a manner as possible, </w:t>
      </w:r>
      <w:r w:rsidRPr="00223A8B">
        <w:rPr>
          <w:szCs w:val="22"/>
        </w:rPr>
        <w:t>commenters should raise all issues in their initial filings.  New issues may not be raised in responses or replies.</w:t>
      </w:r>
      <w:r w:rsidRPr="00223A8B">
        <w:rPr>
          <w:rStyle w:val="FootnoteReference"/>
          <w:szCs w:val="22"/>
        </w:rPr>
        <w:footnoteReference w:id="18"/>
      </w:r>
      <w:r w:rsidRPr="00223A8B">
        <w:rPr>
          <w:szCs w:val="22"/>
        </w:rPr>
        <w:t xml:space="preserve">  A party or interested person seeking to raise a new issue after the pleading cycle has closed must show good cause why it was not possible for it to have raised the issue previously.  Submissions after the pleading cycle has closed that seek to raise new issues based on new facts or newly discovered facts should be filed within 15 days after such facts are discovered.  Absent such a showing of good cause, any issues not timely raised may be disregarded by the Commission.</w:t>
      </w:r>
    </w:p>
    <w:p w14:paraId="08FD2C7C" w14:textId="77777777" w:rsidR="00F012AB" w:rsidRDefault="00F012AB" w:rsidP="00F012AB">
      <w:pPr>
        <w:rPr>
          <w:szCs w:val="22"/>
        </w:rPr>
      </w:pPr>
    </w:p>
    <w:p w14:paraId="73A04E09" w14:textId="77777777" w:rsidR="00F012AB" w:rsidRDefault="00F012AB" w:rsidP="00F012AB">
      <w:pPr>
        <w:spacing w:after="220"/>
        <w:ind w:firstLine="720"/>
        <w:rPr>
          <w:szCs w:val="22"/>
        </w:rPr>
      </w:pPr>
      <w:r>
        <w:rPr>
          <w:szCs w:val="22"/>
        </w:rPr>
        <w:t>Under the Commission’s current procedures for the submission of filings and other documents,</w:t>
      </w:r>
      <w:r>
        <w:rPr>
          <w:rStyle w:val="FootnoteReference"/>
          <w:szCs w:val="22"/>
        </w:rPr>
        <w:footnoteReference w:id="19"/>
      </w:r>
      <w:r>
        <w:rPr>
          <w:szCs w:val="22"/>
        </w:rPr>
        <w:t xml:space="preserve"> submissions in this matter may be filed electronically though the Commission’s </w:t>
      </w:r>
      <w:r w:rsidRPr="00772368">
        <w:rPr>
          <w:szCs w:val="22"/>
        </w:rPr>
        <w:t xml:space="preserve">Electronic </w:t>
      </w:r>
      <w:r>
        <w:rPr>
          <w:szCs w:val="22"/>
        </w:rPr>
        <w:t xml:space="preserve">Comment </w:t>
      </w:r>
      <w:r w:rsidRPr="00772368">
        <w:rPr>
          <w:szCs w:val="22"/>
        </w:rPr>
        <w:t>Filing System</w:t>
      </w:r>
      <w:r>
        <w:rPr>
          <w:szCs w:val="22"/>
        </w:rPr>
        <w:t xml:space="preserve"> (</w:t>
      </w:r>
      <w:r w:rsidR="00424076">
        <w:rPr>
          <w:szCs w:val="22"/>
        </w:rPr>
        <w:t>“</w:t>
      </w:r>
      <w:r>
        <w:rPr>
          <w:szCs w:val="22"/>
        </w:rPr>
        <w:t>ECFS</w:t>
      </w:r>
      <w:r w:rsidR="00424076">
        <w:rPr>
          <w:szCs w:val="22"/>
        </w:rPr>
        <w:t>”</w:t>
      </w:r>
      <w:r>
        <w:rPr>
          <w:szCs w:val="22"/>
        </w:rPr>
        <w:t xml:space="preserve">) or by hand delivery to the Commission.  </w:t>
      </w:r>
    </w:p>
    <w:p w14:paraId="67DEA9ED" w14:textId="77777777" w:rsidR="00F012AB" w:rsidRDefault="00F012AB" w:rsidP="00F012AB">
      <w:pPr>
        <w:numPr>
          <w:ilvl w:val="0"/>
          <w:numId w:val="13"/>
        </w:numPr>
        <w:rPr>
          <w:szCs w:val="22"/>
        </w:rPr>
      </w:pPr>
      <w:r>
        <w:rPr>
          <w:b/>
          <w:szCs w:val="22"/>
        </w:rPr>
        <w:t>If filed by ECFS</w:t>
      </w:r>
      <w:r>
        <w:rPr>
          <w:szCs w:val="22"/>
        </w:rPr>
        <w:t>,</w:t>
      </w:r>
      <w:r>
        <w:rPr>
          <w:szCs w:val="22"/>
          <w:vertAlign w:val="superscript"/>
        </w:rPr>
        <w:footnoteReference w:id="20"/>
      </w:r>
      <w:r>
        <w:rPr>
          <w:szCs w:val="22"/>
        </w:rPr>
        <w:t xml:space="preserve"> comments shall be sent as an electronic file via the Internet to http://www.fcc.gov/e-file/ecfs.html.  In completing the transmittal screen, commenters should include their full name, U.S. Postal Service mailing address, and the applicable docket number.  Parties may also submit an electronic comment by Internet e-mail.</w:t>
      </w:r>
    </w:p>
    <w:p w14:paraId="6429D046" w14:textId="77777777" w:rsidR="00F012AB" w:rsidRDefault="00F012AB" w:rsidP="00F012AB">
      <w:pPr>
        <w:autoSpaceDE w:val="0"/>
        <w:autoSpaceDN w:val="0"/>
        <w:adjustRightInd w:val="0"/>
        <w:rPr>
          <w:szCs w:val="22"/>
        </w:rPr>
      </w:pPr>
    </w:p>
    <w:p w14:paraId="3327EBD7" w14:textId="77777777" w:rsidR="00F012AB" w:rsidRDefault="00F012AB" w:rsidP="00F012AB">
      <w:pPr>
        <w:numPr>
          <w:ilvl w:val="0"/>
          <w:numId w:val="13"/>
        </w:numPr>
        <w:autoSpaceDE w:val="0"/>
        <w:autoSpaceDN w:val="0"/>
        <w:adjustRightInd w:val="0"/>
        <w:rPr>
          <w:szCs w:val="22"/>
        </w:rPr>
      </w:pPr>
      <w:r>
        <w:rPr>
          <w:rFonts w:cs="TmsRmn"/>
          <w:b/>
          <w:bCs/>
          <w:color w:val="000000"/>
          <w:szCs w:val="22"/>
        </w:rPr>
        <w:t>If filed by paper</w:t>
      </w:r>
      <w:r>
        <w:rPr>
          <w:rFonts w:cs="TmsRmn"/>
          <w:color w:val="000000"/>
          <w:szCs w:val="22"/>
        </w:rPr>
        <w:t xml:space="preserve">, the original and four copies of each filing must be filed by hand or messenger delivery, by commercial overnight courier, or by first-class or overnight U.S. Postal Service mail.  </w:t>
      </w:r>
      <w:r>
        <w:rPr>
          <w:szCs w:val="22"/>
        </w:rPr>
        <w:t xml:space="preserve">All hand-delivered or messenger-delivered paper filings for the Commission’s Secretary must be delivered to FCC Headquarters at 445 12th St., SW, Room TW-A325, Washington, D.C. 20554.  The filing hours at this location are 8:00 a.m. to 7:00 p.m.  All hand deliveries must be held together with rubber bands or fasteners.  Any envelopes must be disposed of </w:t>
      </w:r>
      <w:r>
        <w:rPr>
          <w:szCs w:val="22"/>
          <w:u w:val="single"/>
        </w:rPr>
        <w:t>before</w:t>
      </w:r>
      <w:r>
        <w:rPr>
          <w:szCs w:val="22"/>
        </w:rPr>
        <w:t xml:space="preserve"> entering the building.  </w:t>
      </w:r>
      <w:r>
        <w:rPr>
          <w:rFonts w:cs="TmsRmn"/>
          <w:color w:val="000000"/>
          <w:szCs w:val="22"/>
        </w:rPr>
        <w:t>Commercial overnight mail (other than U.S. Postal Service Express Mail and Priority Mail) must be sent to 9300 East Hampton Drive, Capitol Heights, MD 20743.  U.S. Postal Service first-class, Express, and Priority mail should be addressed to 445 12th Street, S.W., Washington, D.C. 20554.  All filings must be addressed to the Commission’s Secretary, Office of the Secretary, Federal Communications Commission.</w:t>
      </w:r>
    </w:p>
    <w:p w14:paraId="1D8F6BDA" w14:textId="77777777" w:rsidR="00F012AB" w:rsidRDefault="00F012AB" w:rsidP="00F012AB">
      <w:pPr>
        <w:ind w:firstLine="720"/>
        <w:rPr>
          <w:szCs w:val="22"/>
        </w:rPr>
      </w:pPr>
    </w:p>
    <w:p w14:paraId="22294E62" w14:textId="77777777" w:rsidR="00F012AB" w:rsidRDefault="00F012AB" w:rsidP="00F012AB">
      <w:pPr>
        <w:pStyle w:val="BodyText"/>
        <w:widowControl/>
        <w:spacing w:after="220"/>
        <w:rPr>
          <w:szCs w:val="22"/>
        </w:rPr>
      </w:pPr>
      <w:r>
        <w:rPr>
          <w:color w:val="000000"/>
          <w:szCs w:val="22"/>
        </w:rPr>
        <w:t xml:space="preserve">One copy of each pleading must be delivered electronically, by e-mail or facsimile, or if delivered as paper copy, by hand or messenger delivery, by commercial overnight courier, or by first-class or overnight U.S. Postal Service mail (according to the procedures set forth above for paper filings), to:  (1) the Commission’s duplicating </w:t>
      </w:r>
      <w:r>
        <w:rPr>
          <w:szCs w:val="22"/>
        </w:rPr>
        <w:t xml:space="preserve">contractor, Best Copy and Printing, Inc., at FCC@BCPIWEB.COM or (202) 488-5563 (facsimile); (2) </w:t>
      </w:r>
      <w:r w:rsidRPr="00B25F81">
        <w:rPr>
          <w:szCs w:val="22"/>
        </w:rPr>
        <w:t>James Ball</w:t>
      </w:r>
      <w:r w:rsidRPr="00B25F81">
        <w:rPr>
          <w:rFonts w:cs="TmsRmn"/>
          <w:szCs w:val="22"/>
        </w:rPr>
        <w:t>,</w:t>
      </w:r>
      <w:r w:rsidRPr="00C1666C">
        <w:rPr>
          <w:rFonts w:cs="TmsRmn"/>
          <w:b/>
          <w:szCs w:val="22"/>
        </w:rPr>
        <w:t xml:space="preserve"> </w:t>
      </w:r>
      <w:r>
        <w:rPr>
          <w:szCs w:val="22"/>
        </w:rPr>
        <w:t>International</w:t>
      </w:r>
      <w:r>
        <w:rPr>
          <w:rFonts w:cs="TmsRmn"/>
          <w:szCs w:val="22"/>
        </w:rPr>
        <w:t xml:space="preserve"> Bureau, at james.ball@fcc.gov or (202) 418-2824 (facsimile);</w:t>
      </w:r>
      <w:r>
        <w:rPr>
          <w:szCs w:val="22"/>
        </w:rPr>
        <w:t xml:space="preserve"> </w:t>
      </w:r>
      <w:r>
        <w:rPr>
          <w:color w:val="000000"/>
          <w:szCs w:val="22"/>
        </w:rPr>
        <w:t xml:space="preserve">(2) </w:t>
      </w:r>
      <w:r w:rsidRPr="00B25F81">
        <w:rPr>
          <w:color w:val="000000"/>
          <w:szCs w:val="22"/>
        </w:rPr>
        <w:t>David Krech</w:t>
      </w:r>
      <w:r>
        <w:rPr>
          <w:color w:val="000000"/>
          <w:szCs w:val="22"/>
        </w:rPr>
        <w:t xml:space="preserve">, Policy Division, International Bureau, at david.krech@fcc.gov or (202) 418-2824 (facsimile); </w:t>
      </w:r>
      <w:r w:rsidR="00B25F81">
        <w:rPr>
          <w:color w:val="000000"/>
          <w:szCs w:val="22"/>
        </w:rPr>
        <w:t xml:space="preserve">(3) Francis Gutierrez, Policy Division, International Bureau, at francis.gutierrez@fcc.gov or (202) 418-2824 (facsimile); </w:t>
      </w:r>
      <w:r>
        <w:rPr>
          <w:szCs w:val="22"/>
        </w:rPr>
        <w:t xml:space="preserve">and </w:t>
      </w:r>
      <w:r w:rsidR="00B25F81">
        <w:rPr>
          <w:color w:val="000000"/>
          <w:szCs w:val="22"/>
        </w:rPr>
        <w:t>(4</w:t>
      </w:r>
      <w:r>
        <w:rPr>
          <w:color w:val="000000"/>
          <w:szCs w:val="22"/>
        </w:rPr>
        <w:t xml:space="preserve">) </w:t>
      </w:r>
      <w:r w:rsidRPr="00B25F81">
        <w:rPr>
          <w:color w:val="000000"/>
          <w:szCs w:val="22"/>
        </w:rPr>
        <w:t>Susan O’Connell</w:t>
      </w:r>
      <w:r>
        <w:rPr>
          <w:color w:val="000000"/>
          <w:szCs w:val="22"/>
        </w:rPr>
        <w:t>, Policy Division, International Bureau, at susan.oconnell@fcc.gov or (202) 418-2824 (facsimile)</w:t>
      </w:r>
      <w:r>
        <w:rPr>
          <w:szCs w:val="22"/>
        </w:rPr>
        <w:t xml:space="preserve">.  </w:t>
      </w:r>
      <w:r>
        <w:rPr>
          <w:spacing w:val="-2"/>
          <w:szCs w:val="22"/>
        </w:rPr>
        <w:t xml:space="preserve">Any submission that is e-mailed to Best Copy and Printing, James Ball, David Krech, </w:t>
      </w:r>
      <w:r w:rsidR="00B25F81">
        <w:rPr>
          <w:spacing w:val="-2"/>
          <w:szCs w:val="22"/>
        </w:rPr>
        <w:t xml:space="preserve">Francis Gutierrez, </w:t>
      </w:r>
      <w:r>
        <w:rPr>
          <w:spacing w:val="-2"/>
          <w:szCs w:val="22"/>
        </w:rPr>
        <w:t xml:space="preserve">and Susan O’Connell should include in the subject line of the e-mail:  (1) IB </w:t>
      </w:r>
      <w:r>
        <w:rPr>
          <w:szCs w:val="22"/>
        </w:rPr>
        <w:t>Docket No. 13-</w:t>
      </w:r>
      <w:r w:rsidR="00AC5D92">
        <w:rPr>
          <w:szCs w:val="22"/>
        </w:rPr>
        <w:t>230</w:t>
      </w:r>
      <w:r>
        <w:rPr>
          <w:szCs w:val="22"/>
        </w:rPr>
        <w:t>; (2) the name of the submitting party; and (3) a brief description or title identifying the type of document being submitted (</w:t>
      </w:r>
      <w:r>
        <w:rPr>
          <w:i/>
          <w:szCs w:val="22"/>
        </w:rPr>
        <w:t>e.g</w:t>
      </w:r>
      <w:r>
        <w:rPr>
          <w:szCs w:val="22"/>
        </w:rPr>
        <w:t>., IB Docket No. 13-</w:t>
      </w:r>
      <w:r w:rsidR="00AC5D92">
        <w:rPr>
          <w:szCs w:val="22"/>
        </w:rPr>
        <w:t>230</w:t>
      </w:r>
      <w:r>
        <w:rPr>
          <w:szCs w:val="22"/>
        </w:rPr>
        <w:t>, [name of submitting party], Comments).</w:t>
      </w:r>
    </w:p>
    <w:p w14:paraId="25B0C452" w14:textId="77777777" w:rsidR="00930A00" w:rsidRDefault="00F012AB" w:rsidP="00930A00">
      <w:pPr>
        <w:pStyle w:val="BodyText"/>
        <w:widowControl/>
        <w:spacing w:after="220"/>
      </w:pPr>
      <w:r>
        <w:rPr>
          <w:color w:val="000000"/>
          <w:szCs w:val="22"/>
        </w:rPr>
        <w:t xml:space="preserve">Copies of the Petition and any subsequently-filed documents in this matter may be obtained from Best Copy and Printing, Inc. in person at 445 12th Street, S.W., Room CY-B402, Washington, D.C. 20554, via telephone at (202) 488-5300, via facsimile at (202) 488-5563, or via email at FCC@BCPIWEB.COM.  The Petition and any associated documents are also available for public inspection and copying during normal reference room hours at the following Commission office:  FCC Reference Information Center, 445 12th Street, S.W., Room CY-A257, Washington, D.C. 20554.  </w:t>
      </w:r>
      <w:r>
        <w:rPr>
          <w:szCs w:val="22"/>
        </w:rPr>
        <w:t>In addition, the Petition is available electronically through the International Bureau Filing System (</w:t>
      </w:r>
      <w:r w:rsidR="00424076">
        <w:rPr>
          <w:szCs w:val="22"/>
        </w:rPr>
        <w:t>“</w:t>
      </w:r>
      <w:r>
        <w:rPr>
          <w:szCs w:val="22"/>
        </w:rPr>
        <w:t>IBFS</w:t>
      </w:r>
      <w:r w:rsidR="00424076">
        <w:rPr>
          <w:szCs w:val="22"/>
        </w:rPr>
        <w:t>”</w:t>
      </w:r>
      <w:r>
        <w:rPr>
          <w:szCs w:val="22"/>
        </w:rPr>
        <w:t xml:space="preserve">), which may be accessed on the Commission’s Internet website. </w:t>
      </w:r>
    </w:p>
    <w:p w14:paraId="0968328B" w14:textId="77777777" w:rsidR="00F012AB" w:rsidRDefault="00F012AB" w:rsidP="00F012AB">
      <w:pPr>
        <w:pStyle w:val="BodyText"/>
        <w:widowControl/>
        <w:spacing w:after="220"/>
        <w:rPr>
          <w:color w:val="000000"/>
          <w:szCs w:val="22"/>
        </w:rPr>
      </w:pPr>
      <w:r>
        <w:t>To request materials in accessible formats for people with disabilities (Braille, large print, electronic files, audio format), send an email to fcc504@fcc.gov or call the Consumer and Governmental Affairs Bureau at (202) 418-0530 (voice) or (202) 418-0432 (TTY).  Contact the FCC to request reasonable accommodations for filing comments (accessible format documents, sign language interpreters, CART, etc.) by email:  FCC504@fcc.gov; phone:  (202) 418-0530 or TTY:  (202) 418-0432.</w:t>
      </w:r>
    </w:p>
    <w:p w14:paraId="7D67AD2C" w14:textId="77777777" w:rsidR="00DA748A" w:rsidRDefault="00F012AB" w:rsidP="00AF5B8A">
      <w:pPr>
        <w:spacing w:after="220"/>
        <w:ind w:firstLine="720"/>
        <w:rPr>
          <w:sz w:val="24"/>
        </w:rPr>
      </w:pPr>
      <w:r>
        <w:rPr>
          <w:szCs w:val="22"/>
        </w:rPr>
        <w:t xml:space="preserve">For further information, contact </w:t>
      </w:r>
      <w:r w:rsidRPr="00B25F81">
        <w:rPr>
          <w:szCs w:val="22"/>
        </w:rPr>
        <w:t>David Krech</w:t>
      </w:r>
      <w:r>
        <w:rPr>
          <w:rFonts w:cs="TmsRmn"/>
          <w:szCs w:val="22"/>
        </w:rPr>
        <w:t xml:space="preserve">, Policy </w:t>
      </w:r>
      <w:r>
        <w:rPr>
          <w:szCs w:val="22"/>
        </w:rPr>
        <w:t>Division, International Bureau, at (202) 418-</w:t>
      </w:r>
      <w:r w:rsidRPr="00B25F81">
        <w:rPr>
          <w:szCs w:val="22"/>
        </w:rPr>
        <w:t>7443</w:t>
      </w:r>
      <w:r>
        <w:rPr>
          <w:szCs w:val="22"/>
        </w:rPr>
        <w:t xml:space="preserve">, </w:t>
      </w:r>
      <w:r w:rsidR="00B25F81">
        <w:rPr>
          <w:szCs w:val="22"/>
        </w:rPr>
        <w:t xml:space="preserve">Francis Gutierrez, </w:t>
      </w:r>
      <w:r w:rsidR="00B25F81">
        <w:rPr>
          <w:rFonts w:cs="TmsRmn"/>
          <w:szCs w:val="22"/>
        </w:rPr>
        <w:t xml:space="preserve">Policy </w:t>
      </w:r>
      <w:r w:rsidR="00B25F81">
        <w:rPr>
          <w:szCs w:val="22"/>
        </w:rPr>
        <w:t xml:space="preserve">Division, International Bureau, at (202) 418-7370, </w:t>
      </w:r>
      <w:r>
        <w:rPr>
          <w:szCs w:val="22"/>
        </w:rPr>
        <w:t xml:space="preserve">or </w:t>
      </w:r>
      <w:r w:rsidRPr="00B25F81">
        <w:rPr>
          <w:szCs w:val="22"/>
        </w:rPr>
        <w:t>Susan O’Connell</w:t>
      </w:r>
      <w:r>
        <w:rPr>
          <w:szCs w:val="22"/>
        </w:rPr>
        <w:t>, Policy Division, International Bureau, at (202) 418-</w:t>
      </w:r>
      <w:r w:rsidRPr="00B25F81">
        <w:rPr>
          <w:szCs w:val="22"/>
        </w:rPr>
        <w:t>1484</w:t>
      </w:r>
      <w:r>
        <w:rPr>
          <w:szCs w:val="22"/>
        </w:rPr>
        <w:t>.</w:t>
      </w:r>
      <w:r w:rsidR="00DA748A">
        <w:rPr>
          <w:sz w:val="24"/>
        </w:rPr>
        <w:t xml:space="preserve">   </w:t>
      </w:r>
    </w:p>
    <w:p w14:paraId="0D6B7769" w14:textId="77777777" w:rsidR="00E621A7" w:rsidRDefault="00E621A7" w:rsidP="00AF5B8A">
      <w:pPr>
        <w:spacing w:after="220"/>
        <w:ind w:firstLine="720"/>
        <w:rPr>
          <w:sz w:val="24"/>
        </w:rPr>
      </w:pPr>
    </w:p>
    <w:p w14:paraId="6ED0A586" w14:textId="77777777" w:rsidR="00E621A7" w:rsidRDefault="00E621A7" w:rsidP="00E621A7">
      <w:pPr>
        <w:jc w:val="center"/>
        <w:rPr>
          <w:rStyle w:val="Normal1"/>
          <w:b/>
          <w:sz w:val="22"/>
          <w:szCs w:val="22"/>
        </w:rPr>
      </w:pPr>
      <w:r>
        <w:rPr>
          <w:rStyle w:val="Normal1"/>
          <w:b/>
          <w:sz w:val="22"/>
          <w:szCs w:val="22"/>
        </w:rPr>
        <w:t>-FCC-</w:t>
      </w:r>
    </w:p>
    <w:p w14:paraId="556AF03A" w14:textId="77777777" w:rsidR="00E621A7" w:rsidRDefault="00E621A7" w:rsidP="00AF5B8A">
      <w:pPr>
        <w:spacing w:after="220"/>
        <w:ind w:firstLine="720"/>
        <w:rPr>
          <w:sz w:val="24"/>
        </w:rPr>
      </w:pPr>
    </w:p>
    <w:sectPr w:rsidR="00E621A7" w:rsidSect="00F63FF4">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7A04C8" w14:textId="77777777" w:rsidR="00622C70" w:rsidRDefault="00622C70">
      <w:r>
        <w:separator/>
      </w:r>
    </w:p>
  </w:endnote>
  <w:endnote w:type="continuationSeparator" w:id="0">
    <w:p w14:paraId="17E149C4" w14:textId="77777777" w:rsidR="00622C70" w:rsidRDefault="00622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msRmn">
    <w:altName w:val="Courier New"/>
    <w:panose1 w:val="00000000000000000000"/>
    <w:charset w:val="00"/>
    <w:family w:val="decorative"/>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C32293" w14:textId="77777777" w:rsidR="00E74D3E" w:rsidRDefault="00E74D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4E9681" w14:textId="77777777" w:rsidR="00A256B0" w:rsidRDefault="00A256B0">
    <w:pPr>
      <w:pStyle w:val="Footer"/>
      <w:jc w:val="center"/>
    </w:pPr>
    <w:r>
      <w:fldChar w:fldCharType="begin"/>
    </w:r>
    <w:r>
      <w:instrText xml:space="preserve"> PAGE   \* MERGEFORMAT </w:instrText>
    </w:r>
    <w:r>
      <w:fldChar w:fldCharType="separate"/>
    </w:r>
    <w:r w:rsidR="00A9652A">
      <w:rPr>
        <w:noProof/>
      </w:rPr>
      <w:t>2</w:t>
    </w:r>
    <w:r>
      <w:rPr>
        <w:noProof/>
      </w:rPr>
      <w:fldChar w:fldCharType="end"/>
    </w:r>
  </w:p>
  <w:p w14:paraId="28F0C821" w14:textId="77777777" w:rsidR="00A256B0" w:rsidRDefault="00A256B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E7FD2C" w14:textId="77777777" w:rsidR="00E74D3E" w:rsidRDefault="00E74D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6E6252" w14:textId="77777777" w:rsidR="00622C70" w:rsidRDefault="00622C70">
      <w:r>
        <w:separator/>
      </w:r>
    </w:p>
  </w:footnote>
  <w:footnote w:type="continuationSeparator" w:id="0">
    <w:p w14:paraId="25DED43C" w14:textId="77777777" w:rsidR="00622C70" w:rsidRDefault="00622C70">
      <w:r>
        <w:continuationSeparator/>
      </w:r>
    </w:p>
  </w:footnote>
  <w:footnote w:id="1">
    <w:p w14:paraId="4B68C2C2" w14:textId="77777777" w:rsidR="00A256B0" w:rsidRPr="00644B15" w:rsidRDefault="00A256B0">
      <w:pPr>
        <w:pStyle w:val="FootnoteText"/>
        <w:rPr>
          <w:sz w:val="20"/>
        </w:rPr>
      </w:pPr>
      <w:r w:rsidRPr="00644B15">
        <w:rPr>
          <w:rStyle w:val="FootnoteReference"/>
          <w:sz w:val="20"/>
        </w:rPr>
        <w:footnoteRef/>
      </w:r>
      <w:r w:rsidRPr="00644B15">
        <w:rPr>
          <w:sz w:val="20"/>
        </w:rPr>
        <w:t xml:space="preserve"> 47 U.S.C. § 310(b)(4).  The rules applicable to foreign ownership of common carrier, aeronautical en route and aeronautical fixed radio station licensees and common carrier spectrum lessees are set forth in sections 1.990 through 1.994 of the Commission’s rules, 47 C.F.R. §§ 1.990-1.994.  </w:t>
      </w:r>
      <w:r w:rsidRPr="00644B15">
        <w:rPr>
          <w:i/>
          <w:sz w:val="20"/>
        </w:rPr>
        <w:t>See</w:t>
      </w:r>
      <w:r w:rsidRPr="00644B15">
        <w:rPr>
          <w:sz w:val="20"/>
        </w:rPr>
        <w:t xml:space="preserve"> </w:t>
      </w:r>
      <w:r w:rsidRPr="00644B15">
        <w:rPr>
          <w:i/>
          <w:sz w:val="20"/>
        </w:rPr>
        <w:t>also</w:t>
      </w:r>
      <w:r w:rsidRPr="00644B15">
        <w:rPr>
          <w:sz w:val="20"/>
        </w:rPr>
        <w:t xml:space="preserve"> </w:t>
      </w:r>
      <w:r w:rsidRPr="00644B15">
        <w:rPr>
          <w:i/>
          <w:sz w:val="20"/>
        </w:rPr>
        <w:t>Review of Foreign Ownership Policies for Common Carrier and Aeronautical Radio Licensees under Section 310(b)(4) of the Communications Act of 1934, as Amended</w:t>
      </w:r>
      <w:r w:rsidRPr="00644B15">
        <w:rPr>
          <w:sz w:val="20"/>
        </w:rPr>
        <w:t>, IB Docket No. 11-133, Second Report and Order, FCC 13-50, 28 FCC Rcd 5741 (2013).</w:t>
      </w:r>
    </w:p>
  </w:footnote>
  <w:footnote w:id="2">
    <w:p w14:paraId="0D0473CE" w14:textId="77777777" w:rsidR="00A256B0" w:rsidRPr="00644B15" w:rsidRDefault="00A256B0">
      <w:pPr>
        <w:pStyle w:val="FootnoteText"/>
        <w:rPr>
          <w:sz w:val="20"/>
        </w:rPr>
      </w:pPr>
      <w:r w:rsidRPr="00644B15">
        <w:rPr>
          <w:rStyle w:val="FootnoteReference"/>
          <w:sz w:val="20"/>
        </w:rPr>
        <w:footnoteRef/>
      </w:r>
      <w:r w:rsidRPr="00644B15">
        <w:rPr>
          <w:sz w:val="20"/>
        </w:rPr>
        <w:t xml:space="preserve"> The petition for declaratory ruling has been assigned File No. ISP-PDR-2013090</w:t>
      </w:r>
      <w:r>
        <w:rPr>
          <w:sz w:val="20"/>
        </w:rPr>
        <w:t>6-00005</w:t>
      </w:r>
      <w:r w:rsidRPr="00644B15">
        <w:rPr>
          <w:sz w:val="20"/>
        </w:rPr>
        <w:t xml:space="preserve"> (filed Sept.</w:t>
      </w:r>
      <w:r>
        <w:rPr>
          <w:sz w:val="20"/>
        </w:rPr>
        <w:t xml:space="preserve"> 6</w:t>
      </w:r>
      <w:r w:rsidRPr="00644B15">
        <w:rPr>
          <w:sz w:val="20"/>
        </w:rPr>
        <w:t xml:space="preserve">, 2013) (“Petition”).  </w:t>
      </w:r>
      <w:r w:rsidRPr="00E621A7">
        <w:rPr>
          <w:sz w:val="20"/>
        </w:rPr>
        <w:t>Verizon supplemented its Petition by letter dated September 17, 2013.</w:t>
      </w:r>
      <w:r>
        <w:rPr>
          <w:sz w:val="20"/>
        </w:rPr>
        <w:t xml:space="preserve">  </w:t>
      </w:r>
      <w:r w:rsidRPr="00E621A7">
        <w:rPr>
          <w:i/>
          <w:sz w:val="20"/>
        </w:rPr>
        <w:t>See</w:t>
      </w:r>
      <w:r>
        <w:rPr>
          <w:sz w:val="20"/>
        </w:rPr>
        <w:t xml:space="preserve"> Letter from Katherine R. Saunders, Assistant General Counsel, Verizon, to Marlene H. Dortch, FCC, File No. ISP-PDR-20130906-00005 (filed Sept. 17, 2013) (“Sept. 17 Verizon Letter”).</w:t>
      </w:r>
    </w:p>
  </w:footnote>
  <w:footnote w:id="3">
    <w:p w14:paraId="7EDB6BD1" w14:textId="77777777" w:rsidR="00A256B0" w:rsidRPr="00644B15" w:rsidRDefault="00A256B0">
      <w:pPr>
        <w:pStyle w:val="FootnoteText"/>
        <w:rPr>
          <w:sz w:val="20"/>
        </w:rPr>
      </w:pPr>
      <w:r w:rsidRPr="00644B15">
        <w:rPr>
          <w:rStyle w:val="FootnoteReference"/>
          <w:sz w:val="20"/>
        </w:rPr>
        <w:footnoteRef/>
      </w:r>
      <w:r w:rsidRPr="00644B15">
        <w:rPr>
          <w:sz w:val="20"/>
        </w:rPr>
        <w:t xml:space="preserve"> Petition at 1.</w:t>
      </w:r>
    </w:p>
  </w:footnote>
  <w:footnote w:id="4">
    <w:p w14:paraId="42C423CA" w14:textId="77777777" w:rsidR="00A256B0" w:rsidRPr="00644B15" w:rsidRDefault="00A256B0">
      <w:pPr>
        <w:pStyle w:val="FootnoteText"/>
        <w:rPr>
          <w:sz w:val="20"/>
        </w:rPr>
      </w:pPr>
      <w:r w:rsidRPr="00644B15">
        <w:rPr>
          <w:rStyle w:val="FootnoteReference"/>
          <w:sz w:val="20"/>
        </w:rPr>
        <w:footnoteRef/>
      </w:r>
      <w:r w:rsidRPr="00644B15">
        <w:rPr>
          <w:sz w:val="20"/>
        </w:rPr>
        <w:t xml:space="preserve"> </w:t>
      </w:r>
      <w:r w:rsidRPr="00644B15">
        <w:rPr>
          <w:i/>
          <w:sz w:val="20"/>
        </w:rPr>
        <w:t>Id</w:t>
      </w:r>
      <w:r w:rsidRPr="00644B15">
        <w:rPr>
          <w:sz w:val="20"/>
        </w:rPr>
        <w:t>.  Verizon will acquire Vodafone’s 45 percent interest in Verizon Wireless by acquiring all of the common stock of Vodafone Americas Finance 1 Inc. (</w:t>
      </w:r>
      <w:r>
        <w:rPr>
          <w:sz w:val="20"/>
        </w:rPr>
        <w:t>“</w:t>
      </w:r>
      <w:r w:rsidRPr="00644B15">
        <w:rPr>
          <w:sz w:val="20"/>
        </w:rPr>
        <w:t>VAF1</w:t>
      </w:r>
      <w:r>
        <w:rPr>
          <w:sz w:val="20"/>
        </w:rPr>
        <w:t>”</w:t>
      </w:r>
      <w:r w:rsidRPr="00644B15">
        <w:rPr>
          <w:sz w:val="20"/>
        </w:rPr>
        <w:t xml:space="preserve">), a U.S.-organized subsidiary of Vodafone which indirectly holds, through a series of intermediate U.S.-organized holding companies, all of Vodafone’s minority partnership interest in Verizon Wireless.  Verizon will also acquire the intermediate holding companies in the direct ownership chain between VAF1 and Verizon Wireless, excluding any assets other than the interest in Verizon Wireless and a cash balance at one of the companies.  All other assets in the companies being acquired will be removed in the reorganization to be completed prior to the close of the transaction.  </w:t>
      </w:r>
      <w:r w:rsidRPr="00644B15">
        <w:rPr>
          <w:i/>
          <w:sz w:val="20"/>
        </w:rPr>
        <w:t>Id</w:t>
      </w:r>
      <w:r w:rsidRPr="00644B15">
        <w:rPr>
          <w:sz w:val="20"/>
        </w:rPr>
        <w:t xml:space="preserve">. at 3.  </w:t>
      </w:r>
      <w:r w:rsidRPr="00644B15">
        <w:rPr>
          <w:i/>
          <w:sz w:val="20"/>
        </w:rPr>
        <w:t>See</w:t>
      </w:r>
      <w:r w:rsidRPr="00644B15">
        <w:rPr>
          <w:sz w:val="20"/>
        </w:rPr>
        <w:t xml:space="preserve"> </w:t>
      </w:r>
      <w:r w:rsidRPr="00644B15">
        <w:rPr>
          <w:i/>
          <w:sz w:val="20"/>
        </w:rPr>
        <w:t>also</w:t>
      </w:r>
      <w:r w:rsidRPr="00644B15">
        <w:rPr>
          <w:b/>
          <w:sz w:val="20"/>
        </w:rPr>
        <w:t xml:space="preserve"> </w:t>
      </w:r>
      <w:r w:rsidRPr="00644B15">
        <w:rPr>
          <w:sz w:val="20"/>
        </w:rPr>
        <w:t>http://www.vodafone.com/content/index/media/group_press_releases/2013/vodafone_to_realiseus130billionforits45interestinverizonwireless.html</w:t>
      </w:r>
      <w:r>
        <w:rPr>
          <w:sz w:val="20"/>
        </w:rPr>
        <w:t xml:space="preserve"> (last visited Sept. 17, 2013)</w:t>
      </w:r>
      <w:r w:rsidRPr="00644B15">
        <w:rPr>
          <w:sz w:val="20"/>
        </w:rPr>
        <w:t>.</w:t>
      </w:r>
    </w:p>
  </w:footnote>
  <w:footnote w:id="5">
    <w:p w14:paraId="799DE7C0" w14:textId="65D944F7" w:rsidR="00A256B0" w:rsidRPr="00644B15" w:rsidRDefault="00A256B0">
      <w:pPr>
        <w:pStyle w:val="FootnoteText"/>
        <w:rPr>
          <w:sz w:val="20"/>
        </w:rPr>
      </w:pPr>
      <w:r w:rsidRPr="00644B15">
        <w:rPr>
          <w:rStyle w:val="FootnoteReference"/>
          <w:sz w:val="20"/>
        </w:rPr>
        <w:footnoteRef/>
      </w:r>
      <w:r w:rsidRPr="00644B15">
        <w:rPr>
          <w:sz w:val="20"/>
        </w:rPr>
        <w:t xml:space="preserve"> Petition at 2-3.  The precise amount of stock to be transferred will be based on a pre-closing averaged share price subject to a price collar.  </w:t>
      </w:r>
      <w:r w:rsidRPr="00644B15">
        <w:rPr>
          <w:i/>
          <w:sz w:val="20"/>
        </w:rPr>
        <w:t>Id</w:t>
      </w:r>
      <w:r w:rsidRPr="00644B15">
        <w:rPr>
          <w:sz w:val="20"/>
        </w:rPr>
        <w:t>. at 3, note 2.  Verizon explains that, based on calculations of existing foreign ownership in both Verizon and Vodafone, as discussed in the Petition, an estimated aggregate 24.3-25.3 percent of Verizon shares may be owned by foreign individuals or entities following the transaction, with no foreig</w:t>
      </w:r>
      <w:r w:rsidR="007F0212">
        <w:rPr>
          <w:sz w:val="20"/>
        </w:rPr>
        <w:t>n shareholder owning more than five</w:t>
      </w:r>
      <w:r w:rsidRPr="00644B15">
        <w:rPr>
          <w:sz w:val="20"/>
        </w:rPr>
        <w:t xml:space="preserve"> percent of Verizon stock.  </w:t>
      </w:r>
      <w:r w:rsidRPr="00644B15">
        <w:rPr>
          <w:i/>
          <w:sz w:val="20"/>
        </w:rPr>
        <w:t>Id</w:t>
      </w:r>
      <w:r w:rsidRPr="00644B15">
        <w:rPr>
          <w:sz w:val="20"/>
        </w:rPr>
        <w:t>.</w:t>
      </w:r>
      <w:r w:rsidR="007F0212">
        <w:rPr>
          <w:sz w:val="20"/>
        </w:rPr>
        <w:t xml:space="preserve"> at 3.</w:t>
      </w:r>
      <w:r w:rsidRPr="00644B15">
        <w:rPr>
          <w:sz w:val="20"/>
        </w:rPr>
        <w:t xml:space="preserve">  Post-transaction foreign ownership of Verizon could be reduced should Verizon elect to pay an additional portion of the consideration in cash rather than stock, or if additional non-U.S. stockholders in Vodafone dispose of the Verizon shares they receive due to an inability to invest in U.S. companies or for other reasons.  </w:t>
      </w:r>
      <w:r w:rsidRPr="00644B15">
        <w:rPr>
          <w:i/>
          <w:sz w:val="20"/>
        </w:rPr>
        <w:t>Id</w:t>
      </w:r>
      <w:r w:rsidRPr="00644B15">
        <w:rPr>
          <w:sz w:val="20"/>
        </w:rPr>
        <w:t xml:space="preserve">.; </w:t>
      </w:r>
      <w:r w:rsidRPr="00A256B0">
        <w:rPr>
          <w:i/>
          <w:sz w:val="20"/>
        </w:rPr>
        <w:t>s</w:t>
      </w:r>
      <w:r w:rsidRPr="00644B15">
        <w:rPr>
          <w:i/>
          <w:sz w:val="20"/>
        </w:rPr>
        <w:t>ee</w:t>
      </w:r>
      <w:r w:rsidRPr="00644B15">
        <w:rPr>
          <w:sz w:val="20"/>
        </w:rPr>
        <w:t xml:space="preserve"> </w:t>
      </w:r>
      <w:r w:rsidRPr="00644B15">
        <w:rPr>
          <w:i/>
          <w:sz w:val="20"/>
        </w:rPr>
        <w:t>also</w:t>
      </w:r>
      <w:r w:rsidRPr="00644B15">
        <w:rPr>
          <w:sz w:val="20"/>
        </w:rPr>
        <w:t xml:space="preserve"> </w:t>
      </w:r>
      <w:r w:rsidRPr="00644B15">
        <w:rPr>
          <w:i/>
          <w:sz w:val="20"/>
        </w:rPr>
        <w:t>id</w:t>
      </w:r>
      <w:r w:rsidRPr="00644B15">
        <w:rPr>
          <w:sz w:val="20"/>
        </w:rPr>
        <w:t xml:space="preserve">. at 8, note 10.   </w:t>
      </w:r>
    </w:p>
  </w:footnote>
  <w:footnote w:id="6">
    <w:p w14:paraId="39D0BC1E" w14:textId="77777777" w:rsidR="00A256B0" w:rsidRPr="00644B15" w:rsidRDefault="00A256B0">
      <w:pPr>
        <w:pStyle w:val="FootnoteText"/>
        <w:rPr>
          <w:sz w:val="20"/>
        </w:rPr>
      </w:pPr>
      <w:r w:rsidRPr="00644B15">
        <w:rPr>
          <w:rStyle w:val="FootnoteReference"/>
          <w:sz w:val="20"/>
        </w:rPr>
        <w:footnoteRef/>
      </w:r>
      <w:r w:rsidRPr="00644B15">
        <w:rPr>
          <w:sz w:val="20"/>
        </w:rPr>
        <w:t xml:space="preserve"> </w:t>
      </w:r>
      <w:r w:rsidRPr="00644B15">
        <w:rPr>
          <w:i/>
          <w:sz w:val="20"/>
        </w:rPr>
        <w:t>Id</w:t>
      </w:r>
      <w:r w:rsidRPr="00644B15">
        <w:rPr>
          <w:sz w:val="20"/>
        </w:rPr>
        <w:t>. at 8.</w:t>
      </w:r>
    </w:p>
  </w:footnote>
  <w:footnote w:id="7">
    <w:p w14:paraId="17CD9F0C" w14:textId="77777777" w:rsidR="00A256B0" w:rsidRPr="00644B15" w:rsidRDefault="00A256B0">
      <w:pPr>
        <w:pStyle w:val="FootnoteText"/>
        <w:rPr>
          <w:sz w:val="20"/>
        </w:rPr>
      </w:pPr>
      <w:r w:rsidRPr="00644B15">
        <w:rPr>
          <w:rStyle w:val="FootnoteReference"/>
          <w:sz w:val="20"/>
        </w:rPr>
        <w:footnoteRef/>
      </w:r>
      <w:r w:rsidRPr="00644B15">
        <w:rPr>
          <w:sz w:val="20"/>
        </w:rPr>
        <w:t xml:space="preserve"> </w:t>
      </w:r>
      <w:r w:rsidRPr="00644B15">
        <w:rPr>
          <w:i/>
          <w:sz w:val="20"/>
        </w:rPr>
        <w:t>Id</w:t>
      </w:r>
      <w:r w:rsidRPr="00644B15">
        <w:rPr>
          <w:sz w:val="20"/>
        </w:rPr>
        <w:t>.</w:t>
      </w:r>
    </w:p>
  </w:footnote>
  <w:footnote w:id="8">
    <w:p w14:paraId="465B4229" w14:textId="77777777" w:rsidR="00A256B0" w:rsidRPr="00930A00" w:rsidRDefault="00A256B0">
      <w:pPr>
        <w:pStyle w:val="FootnoteText"/>
        <w:rPr>
          <w:sz w:val="20"/>
        </w:rPr>
      </w:pPr>
      <w:r w:rsidRPr="00930A00">
        <w:rPr>
          <w:rStyle w:val="FootnoteReference"/>
          <w:sz w:val="20"/>
        </w:rPr>
        <w:footnoteRef/>
      </w:r>
      <w:r w:rsidRPr="00930A00">
        <w:rPr>
          <w:sz w:val="20"/>
        </w:rPr>
        <w:t xml:space="preserve"> </w:t>
      </w:r>
      <w:r w:rsidRPr="008D2174">
        <w:rPr>
          <w:i/>
          <w:sz w:val="20"/>
        </w:rPr>
        <w:t xml:space="preserve">See </w:t>
      </w:r>
      <w:r w:rsidRPr="008D2174">
        <w:rPr>
          <w:sz w:val="20"/>
        </w:rPr>
        <w:t>Sept. 17 Verizon Letter at Exhibit 1 (listing entities identified in Appendix A to the Petition that hold common carrier licenses for which a declaratory ruling is sought).</w:t>
      </w:r>
    </w:p>
  </w:footnote>
  <w:footnote w:id="9">
    <w:p w14:paraId="3605FE94" w14:textId="77777777" w:rsidR="00A256B0" w:rsidRPr="00644B15" w:rsidRDefault="00A256B0">
      <w:pPr>
        <w:pStyle w:val="FootnoteText"/>
        <w:rPr>
          <w:sz w:val="20"/>
        </w:rPr>
      </w:pPr>
      <w:r w:rsidRPr="00644B15">
        <w:rPr>
          <w:rStyle w:val="FootnoteReference"/>
          <w:sz w:val="20"/>
        </w:rPr>
        <w:footnoteRef/>
      </w:r>
      <w:r w:rsidRPr="00644B15">
        <w:rPr>
          <w:sz w:val="20"/>
        </w:rPr>
        <w:t xml:space="preserve"> </w:t>
      </w:r>
      <w:r>
        <w:rPr>
          <w:sz w:val="20"/>
        </w:rPr>
        <w:t xml:space="preserve">Petition </w:t>
      </w:r>
      <w:r w:rsidRPr="00644B15">
        <w:rPr>
          <w:sz w:val="20"/>
        </w:rPr>
        <w:t>at 4.</w:t>
      </w:r>
    </w:p>
  </w:footnote>
  <w:footnote w:id="10">
    <w:p w14:paraId="78D11C17" w14:textId="7176E8B5" w:rsidR="00631EB0" w:rsidRPr="00631EB0" w:rsidRDefault="00631EB0">
      <w:pPr>
        <w:pStyle w:val="FootnoteText"/>
        <w:rPr>
          <w:sz w:val="20"/>
        </w:rPr>
      </w:pPr>
      <w:r w:rsidRPr="00631EB0">
        <w:rPr>
          <w:rStyle w:val="FootnoteReference"/>
          <w:sz w:val="20"/>
        </w:rPr>
        <w:footnoteRef/>
      </w:r>
      <w:r w:rsidRPr="00631EB0">
        <w:rPr>
          <w:sz w:val="20"/>
        </w:rPr>
        <w:t xml:space="preserve"> </w:t>
      </w:r>
      <w:r w:rsidRPr="00631EB0">
        <w:rPr>
          <w:i/>
          <w:sz w:val="20"/>
        </w:rPr>
        <w:t>Id</w:t>
      </w:r>
      <w:r w:rsidRPr="00631EB0">
        <w:rPr>
          <w:sz w:val="20"/>
        </w:rPr>
        <w:t xml:space="preserve">. at 8.  </w:t>
      </w:r>
      <w:r w:rsidRPr="00631EB0">
        <w:rPr>
          <w:i/>
          <w:sz w:val="20"/>
        </w:rPr>
        <w:t>See</w:t>
      </w:r>
      <w:r w:rsidRPr="00631EB0">
        <w:rPr>
          <w:sz w:val="20"/>
        </w:rPr>
        <w:t xml:space="preserve"> </w:t>
      </w:r>
      <w:r w:rsidRPr="00631EB0">
        <w:rPr>
          <w:i/>
          <w:sz w:val="20"/>
        </w:rPr>
        <w:t>also</w:t>
      </w:r>
      <w:r w:rsidRPr="00631EB0">
        <w:rPr>
          <w:sz w:val="20"/>
        </w:rPr>
        <w:t xml:space="preserve"> 47 C.F.R. § 1.991(i). </w:t>
      </w:r>
    </w:p>
  </w:footnote>
  <w:footnote w:id="11">
    <w:p w14:paraId="1F044BE2" w14:textId="309EB58C" w:rsidR="00A256B0" w:rsidRPr="00644B15" w:rsidRDefault="00A256B0">
      <w:pPr>
        <w:pStyle w:val="FootnoteText"/>
        <w:rPr>
          <w:sz w:val="20"/>
        </w:rPr>
      </w:pPr>
      <w:r w:rsidRPr="00644B15">
        <w:rPr>
          <w:rStyle w:val="FootnoteReference"/>
          <w:sz w:val="20"/>
        </w:rPr>
        <w:footnoteRef/>
      </w:r>
      <w:r w:rsidRPr="00644B15">
        <w:rPr>
          <w:sz w:val="20"/>
        </w:rPr>
        <w:t xml:space="preserve"> </w:t>
      </w:r>
      <w:r w:rsidRPr="00644B15">
        <w:rPr>
          <w:i/>
          <w:sz w:val="20"/>
        </w:rPr>
        <w:t>Id</w:t>
      </w:r>
      <w:r w:rsidRPr="00644B15">
        <w:rPr>
          <w:sz w:val="20"/>
        </w:rPr>
        <w:t>. at 8, note 11.</w:t>
      </w:r>
      <w:r w:rsidR="00631EB0">
        <w:rPr>
          <w:sz w:val="20"/>
        </w:rPr>
        <w:t xml:space="preserve">  </w:t>
      </w:r>
      <w:r w:rsidR="00631EB0" w:rsidRPr="00631EB0">
        <w:rPr>
          <w:i/>
          <w:sz w:val="20"/>
        </w:rPr>
        <w:t>See</w:t>
      </w:r>
      <w:r w:rsidR="00631EB0">
        <w:rPr>
          <w:sz w:val="20"/>
        </w:rPr>
        <w:t xml:space="preserve"> </w:t>
      </w:r>
      <w:r w:rsidR="00631EB0" w:rsidRPr="00631EB0">
        <w:rPr>
          <w:i/>
          <w:sz w:val="20"/>
        </w:rPr>
        <w:t>also</w:t>
      </w:r>
      <w:r w:rsidR="00631EB0">
        <w:rPr>
          <w:sz w:val="20"/>
        </w:rPr>
        <w:t xml:space="preserve"> </w:t>
      </w:r>
      <w:r w:rsidR="00631EB0" w:rsidRPr="00631EB0">
        <w:rPr>
          <w:sz w:val="20"/>
        </w:rPr>
        <w:t>47 C.F.R. §§</w:t>
      </w:r>
      <w:r w:rsidR="00631EB0">
        <w:rPr>
          <w:sz w:val="20"/>
        </w:rPr>
        <w:t xml:space="preserve"> 1.991(e</w:t>
      </w:r>
      <w:r w:rsidR="00631EB0" w:rsidRPr="00631EB0">
        <w:rPr>
          <w:sz w:val="20"/>
        </w:rPr>
        <w:t>)</w:t>
      </w:r>
      <w:r w:rsidR="00631EB0">
        <w:rPr>
          <w:sz w:val="20"/>
        </w:rPr>
        <w:t>, (f)</w:t>
      </w:r>
      <w:r w:rsidR="00631EB0" w:rsidRPr="00631EB0">
        <w:rPr>
          <w:sz w:val="20"/>
        </w:rPr>
        <w:t>.</w:t>
      </w:r>
    </w:p>
  </w:footnote>
  <w:footnote w:id="12">
    <w:p w14:paraId="02DFE7F6" w14:textId="77777777" w:rsidR="00A256B0" w:rsidRPr="00BE372B" w:rsidRDefault="00A256B0">
      <w:pPr>
        <w:pStyle w:val="FootnoteText"/>
        <w:rPr>
          <w:sz w:val="20"/>
        </w:rPr>
      </w:pPr>
      <w:r w:rsidRPr="00644B15">
        <w:rPr>
          <w:rStyle w:val="FootnoteReference"/>
          <w:sz w:val="20"/>
        </w:rPr>
        <w:footnoteRef/>
      </w:r>
      <w:r w:rsidRPr="00644B15">
        <w:rPr>
          <w:sz w:val="20"/>
        </w:rPr>
        <w:t xml:space="preserve"> </w:t>
      </w:r>
      <w:r w:rsidRPr="00644B15">
        <w:rPr>
          <w:i/>
          <w:sz w:val="20"/>
        </w:rPr>
        <w:t>Id</w:t>
      </w:r>
      <w:r w:rsidRPr="00644B15">
        <w:rPr>
          <w:sz w:val="20"/>
        </w:rPr>
        <w:t xml:space="preserve">. at 5-6.  Verizon states that it is separately submitting applications seeking prior approval, and will later submit notifications for licenses subject to post-closing notification, of the </w:t>
      </w:r>
      <w:r w:rsidRPr="00644B15">
        <w:rPr>
          <w:i/>
          <w:sz w:val="20"/>
        </w:rPr>
        <w:t>pro</w:t>
      </w:r>
      <w:r w:rsidRPr="00644B15">
        <w:rPr>
          <w:sz w:val="20"/>
        </w:rPr>
        <w:t xml:space="preserve"> </w:t>
      </w:r>
      <w:r w:rsidRPr="00644B15">
        <w:rPr>
          <w:i/>
          <w:sz w:val="20"/>
        </w:rPr>
        <w:t>forma</w:t>
      </w:r>
      <w:r w:rsidRPr="00644B15">
        <w:rPr>
          <w:sz w:val="20"/>
        </w:rPr>
        <w:t xml:space="preserve"> transfer of control of licenses held by Verizon Wireless and its subsidiaries and partnerships affected by the proposed transaction. </w:t>
      </w:r>
      <w:r w:rsidRPr="00644B15">
        <w:rPr>
          <w:i/>
          <w:sz w:val="20"/>
        </w:rPr>
        <w:t>Id</w:t>
      </w:r>
      <w:r w:rsidRPr="00644B15">
        <w:rPr>
          <w:sz w:val="20"/>
        </w:rPr>
        <w:t xml:space="preserve">. at 4, note 3.  </w:t>
      </w:r>
      <w:r w:rsidRPr="00644B15">
        <w:rPr>
          <w:i/>
          <w:sz w:val="20"/>
        </w:rPr>
        <w:t>See</w:t>
      </w:r>
      <w:r w:rsidRPr="00644B15">
        <w:rPr>
          <w:sz w:val="20"/>
        </w:rPr>
        <w:t xml:space="preserve"> </w:t>
      </w:r>
      <w:r w:rsidRPr="00644B15">
        <w:rPr>
          <w:i/>
          <w:sz w:val="20"/>
        </w:rPr>
        <w:t>also</w:t>
      </w:r>
      <w:r>
        <w:rPr>
          <w:sz w:val="20"/>
        </w:rPr>
        <w:t xml:space="preserve"> ULS File Nos. 0005919278, 0005919281, 0005919284, 0005919288, 0005919293, 0005919300, 0005919301, 0005919302 (applications for consent to </w:t>
      </w:r>
      <w:r w:rsidRPr="00BE372B">
        <w:rPr>
          <w:i/>
          <w:sz w:val="20"/>
        </w:rPr>
        <w:t>pro</w:t>
      </w:r>
      <w:r>
        <w:rPr>
          <w:sz w:val="20"/>
        </w:rPr>
        <w:t xml:space="preserve"> </w:t>
      </w:r>
      <w:r w:rsidRPr="00BE372B">
        <w:rPr>
          <w:i/>
          <w:sz w:val="20"/>
        </w:rPr>
        <w:t>forma</w:t>
      </w:r>
      <w:r>
        <w:rPr>
          <w:sz w:val="20"/>
        </w:rPr>
        <w:t xml:space="preserve"> transfer of control of private wireless radio licenses); File No. 0048-EX-TU-2013 (application for consent to </w:t>
      </w:r>
      <w:r w:rsidRPr="00BE372B">
        <w:rPr>
          <w:i/>
          <w:sz w:val="20"/>
        </w:rPr>
        <w:t>pro</w:t>
      </w:r>
      <w:r>
        <w:rPr>
          <w:sz w:val="20"/>
        </w:rPr>
        <w:t xml:space="preserve"> </w:t>
      </w:r>
      <w:r w:rsidRPr="00BE372B">
        <w:rPr>
          <w:i/>
          <w:sz w:val="20"/>
        </w:rPr>
        <w:t>forma</w:t>
      </w:r>
      <w:r>
        <w:rPr>
          <w:sz w:val="20"/>
        </w:rPr>
        <w:t xml:space="preserve"> transfer of control of experimental radio license). </w:t>
      </w:r>
    </w:p>
  </w:footnote>
  <w:footnote w:id="13">
    <w:p w14:paraId="62D26716" w14:textId="77777777" w:rsidR="00A256B0" w:rsidRPr="00DC4FE5" w:rsidRDefault="00A256B0" w:rsidP="00F012AB">
      <w:pPr>
        <w:spacing w:after="120"/>
        <w:rPr>
          <w:sz w:val="20"/>
        </w:rPr>
      </w:pPr>
      <w:r w:rsidRPr="00E530C8">
        <w:rPr>
          <w:rStyle w:val="FootnoteReference"/>
          <w:sz w:val="20"/>
        </w:rPr>
        <w:footnoteRef/>
      </w:r>
      <w:r w:rsidRPr="00DC4FE5">
        <w:rPr>
          <w:sz w:val="20"/>
        </w:rPr>
        <w:t xml:space="preserve"> 47 C.F.R. § 1.1200(a).  </w:t>
      </w:r>
    </w:p>
  </w:footnote>
  <w:footnote w:id="14">
    <w:p w14:paraId="3CC9A2F7" w14:textId="77777777" w:rsidR="00A256B0" w:rsidRPr="00644B15" w:rsidRDefault="00A256B0" w:rsidP="00F012AB">
      <w:pPr>
        <w:pStyle w:val="FootnoteText"/>
        <w:rPr>
          <w:sz w:val="20"/>
        </w:rPr>
      </w:pPr>
      <w:r w:rsidRPr="00E530C8">
        <w:rPr>
          <w:rStyle w:val="FootnoteReference"/>
          <w:sz w:val="20"/>
        </w:rPr>
        <w:footnoteRef/>
      </w:r>
      <w:r w:rsidRPr="00644B15">
        <w:rPr>
          <w:sz w:val="20"/>
        </w:rPr>
        <w:t xml:space="preserve"> 47 C.F.R. § 1.1206.</w:t>
      </w:r>
    </w:p>
  </w:footnote>
  <w:footnote w:id="15">
    <w:p w14:paraId="1E7DC4C2" w14:textId="77777777" w:rsidR="00A256B0" w:rsidRPr="00644B15" w:rsidRDefault="00A256B0" w:rsidP="00F012AB">
      <w:pPr>
        <w:pStyle w:val="FootnoteText"/>
        <w:rPr>
          <w:sz w:val="20"/>
        </w:rPr>
      </w:pPr>
      <w:r w:rsidRPr="00E530C8">
        <w:rPr>
          <w:rStyle w:val="FootnoteReference"/>
          <w:sz w:val="20"/>
        </w:rPr>
        <w:footnoteRef/>
      </w:r>
      <w:r w:rsidRPr="00644B15">
        <w:rPr>
          <w:sz w:val="20"/>
        </w:rPr>
        <w:t xml:space="preserve"> </w:t>
      </w:r>
      <w:r w:rsidRPr="00644B15">
        <w:rPr>
          <w:i/>
          <w:sz w:val="20"/>
        </w:rPr>
        <w:t xml:space="preserve">See </w:t>
      </w:r>
      <w:r w:rsidRPr="00644B15">
        <w:rPr>
          <w:sz w:val="20"/>
        </w:rPr>
        <w:t>47 C.F.R. § 1.1206(b)(1).</w:t>
      </w:r>
    </w:p>
  </w:footnote>
  <w:footnote w:id="16">
    <w:p w14:paraId="59F216F3" w14:textId="77777777" w:rsidR="00A256B0" w:rsidRPr="00644B15" w:rsidRDefault="00A256B0" w:rsidP="00F012AB">
      <w:pPr>
        <w:pStyle w:val="FootnoteText"/>
        <w:rPr>
          <w:sz w:val="20"/>
        </w:rPr>
      </w:pPr>
      <w:r w:rsidRPr="00E530C8">
        <w:rPr>
          <w:rStyle w:val="FootnoteReference"/>
          <w:sz w:val="20"/>
        </w:rPr>
        <w:footnoteRef/>
      </w:r>
      <w:r w:rsidRPr="00644B15">
        <w:rPr>
          <w:sz w:val="20"/>
        </w:rPr>
        <w:t xml:space="preserve"> </w:t>
      </w:r>
      <w:r w:rsidRPr="00644B15">
        <w:rPr>
          <w:i/>
          <w:sz w:val="20"/>
        </w:rPr>
        <w:t>See id</w:t>
      </w:r>
      <w:r w:rsidRPr="00644B15">
        <w:rPr>
          <w:sz w:val="20"/>
        </w:rPr>
        <w:t>.</w:t>
      </w:r>
    </w:p>
  </w:footnote>
  <w:footnote w:id="17">
    <w:p w14:paraId="37674544" w14:textId="77777777" w:rsidR="00A256B0" w:rsidRPr="00644B15" w:rsidRDefault="00A256B0" w:rsidP="00F012AB">
      <w:pPr>
        <w:pStyle w:val="FootnoteText"/>
        <w:rPr>
          <w:sz w:val="20"/>
        </w:rPr>
      </w:pPr>
      <w:r w:rsidRPr="00E530C8">
        <w:rPr>
          <w:rStyle w:val="FootnoteReference"/>
          <w:sz w:val="20"/>
        </w:rPr>
        <w:footnoteRef/>
      </w:r>
      <w:r w:rsidRPr="00644B15">
        <w:rPr>
          <w:sz w:val="20"/>
        </w:rPr>
        <w:t xml:space="preserve"> 47 C.F.R. § 1.1206(b).</w:t>
      </w:r>
    </w:p>
  </w:footnote>
  <w:footnote w:id="18">
    <w:p w14:paraId="0FD90524" w14:textId="77777777" w:rsidR="00A256B0" w:rsidRPr="00644B15" w:rsidRDefault="00A256B0" w:rsidP="00F012AB">
      <w:pPr>
        <w:pStyle w:val="FootnoteText"/>
        <w:rPr>
          <w:sz w:val="20"/>
        </w:rPr>
      </w:pPr>
      <w:r w:rsidRPr="00E530C8">
        <w:rPr>
          <w:rStyle w:val="FootnoteReference"/>
          <w:sz w:val="20"/>
        </w:rPr>
        <w:footnoteRef/>
      </w:r>
      <w:r w:rsidRPr="00644B15">
        <w:rPr>
          <w:sz w:val="20"/>
        </w:rPr>
        <w:t xml:space="preserve"> </w:t>
      </w:r>
      <w:r w:rsidRPr="00644B15">
        <w:rPr>
          <w:i/>
          <w:sz w:val="20"/>
        </w:rPr>
        <w:t>See</w:t>
      </w:r>
      <w:r w:rsidRPr="00644B15">
        <w:rPr>
          <w:sz w:val="20"/>
        </w:rPr>
        <w:t xml:space="preserve"> 47 C.F.R. § 1.45(c).</w:t>
      </w:r>
    </w:p>
  </w:footnote>
  <w:footnote w:id="19">
    <w:p w14:paraId="13A6FBD7" w14:textId="77777777" w:rsidR="00A256B0" w:rsidRPr="00644B15" w:rsidRDefault="00A256B0" w:rsidP="00F012AB">
      <w:pPr>
        <w:pStyle w:val="FootnoteText"/>
        <w:rPr>
          <w:sz w:val="20"/>
        </w:rPr>
      </w:pPr>
      <w:r w:rsidRPr="00E530C8">
        <w:rPr>
          <w:rStyle w:val="FootnoteReference"/>
          <w:sz w:val="20"/>
        </w:rPr>
        <w:footnoteRef/>
      </w:r>
      <w:r w:rsidRPr="00644B15">
        <w:rPr>
          <w:sz w:val="20"/>
        </w:rPr>
        <w:t xml:space="preserve"> </w:t>
      </w:r>
      <w:r w:rsidRPr="00644B15">
        <w:rPr>
          <w:i/>
          <w:sz w:val="20"/>
        </w:rPr>
        <w:t xml:space="preserve">See </w:t>
      </w:r>
      <w:bookmarkStart w:id="2" w:name="SR;2766"/>
      <w:bookmarkStart w:id="3" w:name="SearchTerm"/>
      <w:bookmarkEnd w:id="2"/>
      <w:r w:rsidRPr="00AC5D92">
        <w:rPr>
          <w:bCs/>
          <w:i/>
          <w:sz w:val="20"/>
        </w:rPr>
        <w:t>FCC</w:t>
      </w:r>
      <w:r w:rsidRPr="00AC5D92">
        <w:rPr>
          <w:i/>
          <w:sz w:val="20"/>
        </w:rPr>
        <w:t xml:space="preserve"> </w:t>
      </w:r>
      <w:bookmarkStart w:id="4" w:name="SR;2767"/>
      <w:bookmarkEnd w:id="4"/>
      <w:r w:rsidRPr="00AC5D92">
        <w:rPr>
          <w:bCs/>
          <w:i/>
          <w:sz w:val="20"/>
        </w:rPr>
        <w:t>Announces</w:t>
      </w:r>
      <w:r w:rsidRPr="00AC5D92">
        <w:rPr>
          <w:i/>
          <w:sz w:val="20"/>
        </w:rPr>
        <w:t xml:space="preserve"> </w:t>
      </w:r>
      <w:bookmarkStart w:id="5" w:name="SR;2768"/>
      <w:bookmarkEnd w:id="5"/>
      <w:r w:rsidRPr="00AC5D92">
        <w:rPr>
          <w:bCs/>
          <w:i/>
          <w:sz w:val="20"/>
        </w:rPr>
        <w:t>Change</w:t>
      </w:r>
      <w:r w:rsidRPr="00AC5D92">
        <w:rPr>
          <w:i/>
          <w:sz w:val="20"/>
        </w:rPr>
        <w:t xml:space="preserve"> in </w:t>
      </w:r>
      <w:bookmarkStart w:id="6" w:name="SR;2770"/>
      <w:bookmarkEnd w:id="6"/>
      <w:r w:rsidRPr="00AC5D92">
        <w:rPr>
          <w:bCs/>
          <w:i/>
          <w:sz w:val="20"/>
        </w:rPr>
        <w:t>Filing</w:t>
      </w:r>
      <w:r w:rsidRPr="00AC5D92">
        <w:rPr>
          <w:i/>
          <w:sz w:val="20"/>
        </w:rPr>
        <w:t xml:space="preserve"> </w:t>
      </w:r>
      <w:bookmarkStart w:id="7" w:name="SR;2771"/>
      <w:bookmarkEnd w:id="7"/>
      <w:r w:rsidRPr="00AC5D92">
        <w:rPr>
          <w:bCs/>
          <w:i/>
          <w:sz w:val="20"/>
        </w:rPr>
        <w:t>Location</w:t>
      </w:r>
      <w:r w:rsidRPr="00AC5D92">
        <w:rPr>
          <w:i/>
          <w:sz w:val="20"/>
        </w:rPr>
        <w:t xml:space="preserve"> for </w:t>
      </w:r>
      <w:bookmarkStart w:id="8" w:name="SR;2773"/>
      <w:bookmarkEnd w:id="8"/>
      <w:r w:rsidRPr="00AC5D92">
        <w:rPr>
          <w:bCs/>
          <w:i/>
          <w:sz w:val="20"/>
        </w:rPr>
        <w:t>Paper</w:t>
      </w:r>
      <w:r w:rsidRPr="00AC5D92">
        <w:rPr>
          <w:i/>
          <w:sz w:val="20"/>
        </w:rPr>
        <w:t xml:space="preserve"> </w:t>
      </w:r>
      <w:bookmarkStart w:id="9" w:name="SR;2774"/>
      <w:bookmarkEnd w:id="3"/>
      <w:bookmarkEnd w:id="9"/>
      <w:r w:rsidRPr="00AC5D92">
        <w:rPr>
          <w:bCs/>
          <w:i/>
          <w:sz w:val="20"/>
        </w:rPr>
        <w:t>Documents</w:t>
      </w:r>
      <w:r w:rsidRPr="00644B15">
        <w:rPr>
          <w:sz w:val="20"/>
        </w:rPr>
        <w:t xml:space="preserve">, </w:t>
      </w:r>
      <w:r w:rsidRPr="00AC5D92">
        <w:rPr>
          <w:iCs/>
          <w:sz w:val="20"/>
        </w:rPr>
        <w:t>Public Notice</w:t>
      </w:r>
      <w:r w:rsidRPr="00644B15">
        <w:rPr>
          <w:sz w:val="20"/>
        </w:rPr>
        <w:t xml:space="preserve">, 24 FCC Rcd 14312 (2009). </w:t>
      </w:r>
    </w:p>
  </w:footnote>
  <w:footnote w:id="20">
    <w:p w14:paraId="08181EB5" w14:textId="77777777" w:rsidR="00A256B0" w:rsidRPr="00644B15" w:rsidRDefault="00A256B0" w:rsidP="00F012AB">
      <w:pPr>
        <w:pStyle w:val="FootnoteText"/>
        <w:rPr>
          <w:sz w:val="20"/>
        </w:rPr>
      </w:pPr>
      <w:r w:rsidRPr="00E530C8">
        <w:rPr>
          <w:rStyle w:val="FootnoteReference"/>
          <w:sz w:val="20"/>
        </w:rPr>
        <w:footnoteRef/>
      </w:r>
      <w:r w:rsidRPr="00644B15">
        <w:rPr>
          <w:sz w:val="20"/>
        </w:rPr>
        <w:t xml:space="preserve"> </w:t>
      </w:r>
      <w:r w:rsidRPr="00644B15">
        <w:rPr>
          <w:i/>
          <w:sz w:val="20"/>
        </w:rPr>
        <w:t>See</w:t>
      </w:r>
      <w:r w:rsidRPr="00644B15">
        <w:rPr>
          <w:sz w:val="20"/>
        </w:rPr>
        <w:t xml:space="preserve"> </w:t>
      </w:r>
      <w:r w:rsidRPr="00AC5D92">
        <w:rPr>
          <w:i/>
          <w:sz w:val="20"/>
        </w:rPr>
        <w:t>Electronic Filing of Documents in Rulemaking Proceedings</w:t>
      </w:r>
      <w:r w:rsidRPr="00644B15">
        <w:rPr>
          <w:sz w:val="20"/>
        </w:rPr>
        <w:t xml:space="preserve">, GC Docket No. 97-113, </w:t>
      </w:r>
      <w:r w:rsidRPr="00AC5D92">
        <w:rPr>
          <w:sz w:val="20"/>
        </w:rPr>
        <w:t>Report and Order</w:t>
      </w:r>
      <w:r w:rsidRPr="00644B15">
        <w:rPr>
          <w:sz w:val="20"/>
        </w:rPr>
        <w:t>, 13 FCC Rcd 11322 (1998).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F7BA2C" w14:textId="77777777" w:rsidR="00E74D3E" w:rsidRDefault="00E74D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2C9CFE" w14:textId="77777777" w:rsidR="00E74D3E" w:rsidRDefault="00E74D3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474E0E" w14:textId="77777777" w:rsidR="00A256B0" w:rsidRDefault="00A256B0">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59264" behindDoc="0" locked="0" layoutInCell="0" allowOverlap="1" wp14:anchorId="7477DE2E" wp14:editId="3593788F">
          <wp:simplePos x="0" y="0"/>
          <wp:positionH relativeFrom="column">
            <wp:posOffset>30480</wp:posOffset>
          </wp:positionH>
          <wp:positionV relativeFrom="paragraph">
            <wp:posOffset>107950</wp:posOffset>
          </wp:positionV>
          <wp:extent cx="530225" cy="530225"/>
          <wp:effectExtent l="0" t="0" r="3175" b="3175"/>
          <wp:wrapTopAndBottom/>
          <wp:docPr id="4"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192" behindDoc="0" locked="0" layoutInCell="0" allowOverlap="1" wp14:anchorId="7584C483" wp14:editId="0173C922">
              <wp:simplePos x="0" y="0"/>
              <wp:positionH relativeFrom="column">
                <wp:posOffset>604520</wp:posOffset>
              </wp:positionH>
              <wp:positionV relativeFrom="paragraph">
                <wp:posOffset>731520</wp:posOffset>
              </wp:positionV>
              <wp:extent cx="3108960" cy="640080"/>
              <wp:effectExtent l="0" t="0" r="0" b="76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AD2CD9" w14:textId="77777777" w:rsidR="00A256B0" w:rsidRDefault="00A256B0">
                          <w:pPr>
                            <w:rPr>
                              <w:rFonts w:ascii="Arial" w:hAnsi="Arial"/>
                              <w:b/>
                            </w:rPr>
                          </w:pPr>
                          <w:r>
                            <w:rPr>
                              <w:rFonts w:ascii="Arial" w:hAnsi="Arial"/>
                              <w:b/>
                            </w:rPr>
                            <w:t>Federal Communications Commission</w:t>
                          </w:r>
                        </w:p>
                        <w:p w14:paraId="6D9E63A9" w14:textId="77777777" w:rsidR="00A256B0" w:rsidRDefault="00A256B0">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70623AB6" w14:textId="77777777" w:rsidR="00A256B0" w:rsidRDefault="00A256B0">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2"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" o:allowincell="f" stroked="f">
              <v:textbox>
                <w:txbxContent>
                  <w:p w14:paraId="6BAD2CD9" w14:textId="77777777" w:rsidR="00A256B0" w:rsidRDefault="00A256B0">
                    <w:pPr>
                      <w:rPr>
                        <w:rFonts w:ascii="Arial" w:hAnsi="Arial"/>
                        <w:b/>
                      </w:rPr>
                    </w:pPr>
                    <w:r>
                      <w:rPr>
                        <w:rFonts w:ascii="Arial" w:hAnsi="Arial"/>
                        <w:b/>
                      </w:rPr>
                      <w:t>Federal Communications Commission</w:t>
                    </w:r>
                  </w:p>
                  <w:p w14:paraId="6D9E63A9" w14:textId="77777777" w:rsidR="00A256B0" w:rsidRDefault="00A256B0">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70623AB6" w14:textId="77777777" w:rsidR="00A256B0" w:rsidRDefault="00A256B0">
                    <w:pPr>
                      <w:rPr>
                        <w:rFonts w:ascii="Arial" w:hAnsi="Arial"/>
                        <w:sz w:val="24"/>
                      </w:rPr>
                    </w:pPr>
                    <w:r>
                      <w:rPr>
                        <w:rFonts w:ascii="Arial" w:hAnsi="Arial"/>
                        <w:b/>
                      </w:rPr>
                      <w:t>Washington, D.C. 20554</w:t>
                    </w:r>
                  </w:p>
                </w:txbxContent>
              </v:textbox>
            </v:shape>
          </w:pict>
        </mc:Fallback>
      </mc:AlternateContent>
    </w:r>
    <w:r>
      <w:rPr>
        <w:rFonts w:ascii="News Gothic MT" w:hAnsi="News Gothic MT"/>
        <w:b/>
        <w:kern w:val="28"/>
        <w:sz w:val="96"/>
      </w:rPr>
      <w:t>PUBLIC NOTICE</w:t>
    </w:r>
  </w:p>
  <w:p w14:paraId="178A4F39" w14:textId="77777777" w:rsidR="00A256B0" w:rsidRDefault="00A256B0">
    <w:pPr>
      <w:pStyle w:val="Header"/>
      <w:tabs>
        <w:tab w:val="clear" w:pos="4320"/>
        <w:tab w:val="clear" w:pos="8640"/>
        <w:tab w:val="left" w:pos="1080"/>
      </w:tabs>
      <w:spacing w:line="1120" w:lineRule="exact"/>
      <w:ind w:left="720"/>
      <w:rPr>
        <w:rFonts w:ascii="Arial" w:hAnsi="Arial"/>
        <w:b/>
        <w:sz w:val="28"/>
      </w:rPr>
    </w:pPr>
    <w:r>
      <w:rPr>
        <w:noProof/>
      </w:rPr>
      <mc:AlternateContent>
        <mc:Choice Requires="wps">
          <w:drawing>
            <wp:anchor distT="0" distB="0" distL="114300" distR="114300" simplePos="0" relativeHeight="251657216" behindDoc="0" locked="0" layoutInCell="0" allowOverlap="1" wp14:anchorId="51F7D46C" wp14:editId="2B9D207C">
              <wp:simplePos x="0" y="0"/>
              <wp:positionH relativeFrom="column">
                <wp:posOffset>0</wp:posOffset>
              </wp:positionH>
              <wp:positionV relativeFrom="paragraph">
                <wp:posOffset>697865</wp:posOffset>
              </wp:positionV>
              <wp:extent cx="6858000" cy="2540"/>
              <wp:effectExtent l="0" t="0" r="19050" b="3556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RV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R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FWtxFUWAgAAKwQAAA4AAAAAAAAAAAAAAAAALgIAAGRycy9lMm9Eb2MueG1sUEsBAi0AFAAGAAgA&#10;AAAhAPWnG6TdAAAACQEAAA8AAAAAAAAAAAAAAAAAcAQAAGRycy9kb3ducmV2LnhtbFBLBQYAAAAA&#10;BAAEAPMAAAB6BQAAAAA=&#10;" o:allowincell="f"/>
          </w:pict>
        </mc:Fallback>
      </mc:AlternateContent>
    </w:r>
    <w:r>
      <w:rPr>
        <w:noProof/>
      </w:rPr>
      <mc:AlternateContent>
        <mc:Choice Requires="wps">
          <w:drawing>
            <wp:anchor distT="0" distB="0" distL="114300" distR="114300" simplePos="0" relativeHeight="251658240" behindDoc="0" locked="0" layoutInCell="0" allowOverlap="1" wp14:anchorId="45F3ED8B" wp14:editId="39ECC5B0">
              <wp:simplePos x="0" y="0"/>
              <wp:positionH relativeFrom="column">
                <wp:posOffset>4276090</wp:posOffset>
              </wp:positionH>
              <wp:positionV relativeFrom="paragraph">
                <wp:posOffset>130175</wp:posOffset>
              </wp:positionV>
              <wp:extent cx="2640965" cy="548640"/>
              <wp:effectExtent l="0" t="0" r="6985"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EE4320" w14:textId="77777777" w:rsidR="00A256B0" w:rsidRDefault="00A256B0">
                          <w:pPr>
                            <w:spacing w:before="40"/>
                            <w:jc w:val="right"/>
                            <w:rPr>
                              <w:rFonts w:ascii="Arial" w:hAnsi="Arial"/>
                              <w:b/>
                              <w:sz w:val="16"/>
                            </w:rPr>
                          </w:pPr>
                          <w:r>
                            <w:rPr>
                              <w:rFonts w:ascii="Arial" w:hAnsi="Arial"/>
                              <w:b/>
                              <w:sz w:val="16"/>
                            </w:rPr>
                            <w:t>News Media Information 202 / 418-0500</w:t>
                          </w:r>
                        </w:p>
                        <w:p w14:paraId="2D92175D" w14:textId="77777777" w:rsidR="00A256B0" w:rsidRDefault="00A256B0">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14:paraId="5897249F" w14:textId="77777777" w:rsidR="00A256B0" w:rsidRDefault="00A256B0">
                          <w:pPr>
                            <w:jc w:val="right"/>
                            <w:rPr>
                              <w:rFonts w:ascii="Arial" w:hAnsi="Arial"/>
                              <w:b/>
                              <w:sz w:val="16"/>
                            </w:rPr>
                          </w:pPr>
                          <w:r>
                            <w:rPr>
                              <w:rFonts w:ascii="Arial" w:hAnsi="Arial"/>
                              <w:b/>
                              <w:sz w:val="16"/>
                            </w:rPr>
                            <w:t>TTY: 1-888-835-5322</w:t>
                          </w:r>
                        </w:p>
                        <w:p w14:paraId="3964DFCC" w14:textId="77777777" w:rsidR="00A256B0" w:rsidRDefault="00A256B0">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5" o:spid="_x0000_s1027" type="#_x0000_t202" style="position:absolute;left:0;text-align:left;margin-left:336.7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" o:allowincell="f" stroked="f">
              <v:textbox inset=",0,,0">
                <w:txbxContent>
                  <w:p w14:paraId="76EE4320" w14:textId="77777777" w:rsidR="00A256B0" w:rsidRDefault="00A256B0">
                    <w:pPr>
                      <w:spacing w:before="40"/>
                      <w:jc w:val="right"/>
                      <w:rPr>
                        <w:rFonts w:ascii="Arial" w:hAnsi="Arial"/>
                        <w:b/>
                        <w:sz w:val="16"/>
                      </w:rPr>
                    </w:pPr>
                    <w:r>
                      <w:rPr>
                        <w:rFonts w:ascii="Arial" w:hAnsi="Arial"/>
                        <w:b/>
                        <w:sz w:val="16"/>
                      </w:rPr>
                      <w:t>News Media Information 202 / 418-0500</w:t>
                    </w:r>
                  </w:p>
                  <w:p w14:paraId="2D92175D" w14:textId="77777777" w:rsidR="00A256B0" w:rsidRDefault="00A256B0">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14:paraId="5897249F" w14:textId="77777777" w:rsidR="00A256B0" w:rsidRDefault="00A256B0">
                    <w:pPr>
                      <w:jc w:val="right"/>
                      <w:rPr>
                        <w:rFonts w:ascii="Arial" w:hAnsi="Arial"/>
                        <w:b/>
                        <w:sz w:val="16"/>
                      </w:rPr>
                    </w:pPr>
                    <w:r>
                      <w:rPr>
                        <w:rFonts w:ascii="Arial" w:hAnsi="Arial"/>
                        <w:b/>
                        <w:sz w:val="16"/>
                      </w:rPr>
                      <w:t>TTY: 1-888-835-5322</w:t>
                    </w:r>
                  </w:p>
                  <w:p w14:paraId="3964DFCC" w14:textId="77777777" w:rsidR="00A256B0" w:rsidRDefault="00A256B0">
                    <w:pPr>
                      <w:jc w:val="right"/>
                    </w:pPr>
                  </w:p>
                </w:txbxContent>
              </v:textbox>
            </v:shape>
          </w:pict>
        </mc:Fallback>
      </mc:AlternateContent>
    </w:r>
  </w:p>
  <w:p w14:paraId="300DF2E8" w14:textId="77777777" w:rsidR="00A256B0" w:rsidRDefault="00A256B0">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94545"/>
    <w:multiLevelType w:val="hybridMultilevel"/>
    <w:tmpl w:val="6B005A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480"/>
        </w:tabs>
        <w:ind w:left="5760"/>
      </w:pPr>
      <w:rPr>
        <w:b/>
        <w:i w:val="0"/>
        <w:sz w:val="22"/>
      </w:rPr>
    </w:lvl>
  </w:abstractNum>
  <w:abstractNum w:abstractNumId="2">
    <w:nsid w:val="3D0F1B3D"/>
    <w:multiLevelType w:val="singleLevel"/>
    <w:tmpl w:val="0902D07C"/>
    <w:lvl w:ilvl="0">
      <w:start w:val="1"/>
      <w:numFmt w:val="decimal"/>
      <w:pStyle w:val="Paranum"/>
      <w:lvlText w:val="%1."/>
      <w:lvlJc w:val="left"/>
      <w:pPr>
        <w:tabs>
          <w:tab w:val="num" w:pos="1080"/>
        </w:tabs>
        <w:ind w:firstLine="720"/>
      </w:pPr>
      <w:rPr>
        <w:rFonts w:ascii="Times New Roman" w:hAnsi="Times New Roman" w:hint="default"/>
        <w:b w:val="0"/>
        <w:i w:val="0"/>
        <w:caps w:val="0"/>
        <w:strike w:val="0"/>
        <w:dstrike w:val="0"/>
        <w:vanish w:val="0"/>
        <w:sz w:val="22"/>
        <w:u w:val="none"/>
        <w:vertAlign w:val="baseline"/>
      </w:rPr>
    </w:lvl>
  </w:abstractNum>
  <w:abstractNum w:abstractNumId="3">
    <w:nsid w:val="5341241F"/>
    <w:multiLevelType w:val="singleLevel"/>
    <w:tmpl w:val="C0E46C6C"/>
    <w:lvl w:ilvl="0">
      <w:start w:val="1"/>
      <w:numFmt w:val="decimal"/>
      <w:pStyle w:val="NumberedList"/>
      <w:lvlText w:val="%1."/>
      <w:lvlJc w:val="left"/>
      <w:pPr>
        <w:tabs>
          <w:tab w:val="num" w:pos="1080"/>
        </w:tabs>
        <w:ind w:firstLine="720"/>
      </w:pPr>
      <w:rPr>
        <w:rFonts w:ascii="Times New Roman" w:hAnsi="Times New Roman" w:hint="default"/>
        <w:b w:val="0"/>
        <w:i w:val="0"/>
        <w:sz w:val="22"/>
        <w:u w:val="none"/>
      </w:rPr>
    </w:lvl>
  </w:abstractNum>
  <w:abstractNum w:abstractNumId="4">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pPr>
    </w:lvl>
    <w:lvl w:ilvl="7">
      <w:start w:val="1"/>
      <w:numFmt w:val="lowerLetter"/>
      <w:pStyle w:val="Heading7"/>
      <w:lvlText w:val="(%8)"/>
      <w:lvlJc w:val="left"/>
      <w:pPr>
        <w:tabs>
          <w:tab w:val="num" w:pos="5400"/>
        </w:tabs>
        <w:ind w:left="5040"/>
      </w:pPr>
    </w:lvl>
    <w:lvl w:ilvl="8">
      <w:start w:val="1"/>
      <w:numFmt w:val="lowerRoman"/>
      <w:pStyle w:val="Heading9"/>
      <w:lvlText w:val="(%9)"/>
      <w:lvlJc w:val="left"/>
      <w:pPr>
        <w:tabs>
          <w:tab w:val="num" w:pos="6480"/>
        </w:tabs>
        <w:ind w:left="5760"/>
      </w:pPr>
      <w:rPr>
        <w:b/>
        <w:i w:val="0"/>
        <w:sz w:val="22"/>
      </w:rPr>
    </w:lvl>
  </w:abstractNum>
  <w:abstractNum w:abstractNumId="5">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6">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pPr>
    </w:lvl>
    <w:lvl w:ilvl="7">
      <w:start w:val="1"/>
      <w:numFmt w:val="lowerLetter"/>
      <w:pStyle w:val="Heading8"/>
      <w:lvlText w:val="(%8)"/>
      <w:lvlJc w:val="left"/>
      <w:pPr>
        <w:tabs>
          <w:tab w:val="num" w:pos="5400"/>
        </w:tabs>
        <w:ind w:left="5040"/>
      </w:pPr>
      <w:rPr>
        <w:rFonts w:ascii="Times New Roman" w:hAnsi="Times New Roman" w:hint="default"/>
        <w:b/>
        <w:i w:val="0"/>
        <w:sz w:val="22"/>
      </w:rPr>
    </w:lvl>
    <w:lvl w:ilvl="8">
      <w:start w:val="1"/>
      <w:numFmt w:val="lowerRoman"/>
      <w:lvlText w:val="(%9)"/>
      <w:lvlJc w:val="left"/>
      <w:pPr>
        <w:tabs>
          <w:tab w:val="num" w:pos="6480"/>
        </w:tabs>
        <w:ind w:left="5760"/>
      </w:pPr>
      <w:rPr>
        <w:rFonts w:ascii="Times New Roman" w:hAnsi="Times New Roman" w:hint="default"/>
        <w:b/>
        <w:i w:val="0"/>
        <w:sz w:val="22"/>
      </w:rPr>
    </w:lvl>
  </w:abstractNum>
  <w:num w:numId="1">
    <w:abstractNumId w:val="5"/>
  </w:num>
  <w:num w:numId="2">
    <w:abstractNumId w:val="4"/>
  </w:num>
  <w:num w:numId="3">
    <w:abstractNumId w:val="6"/>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3"/>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EAF"/>
    <w:rsid w:val="0002543F"/>
    <w:rsid w:val="0002722E"/>
    <w:rsid w:val="00072E55"/>
    <w:rsid w:val="000810C5"/>
    <w:rsid w:val="000B1B27"/>
    <w:rsid w:val="000B6E5E"/>
    <w:rsid w:val="000D0300"/>
    <w:rsid w:val="000E459B"/>
    <w:rsid w:val="000E4953"/>
    <w:rsid w:val="00106EA7"/>
    <w:rsid w:val="00176A7A"/>
    <w:rsid w:val="001B2EA8"/>
    <w:rsid w:val="001D14DF"/>
    <w:rsid w:val="001D74C5"/>
    <w:rsid w:val="00210E86"/>
    <w:rsid w:val="002425B8"/>
    <w:rsid w:val="002601E9"/>
    <w:rsid w:val="002B3326"/>
    <w:rsid w:val="002D4EAF"/>
    <w:rsid w:val="002E7E73"/>
    <w:rsid w:val="00326888"/>
    <w:rsid w:val="00333B9C"/>
    <w:rsid w:val="00393175"/>
    <w:rsid w:val="003C778C"/>
    <w:rsid w:val="003D717D"/>
    <w:rsid w:val="00424076"/>
    <w:rsid w:val="0049030C"/>
    <w:rsid w:val="004E7E51"/>
    <w:rsid w:val="0050151B"/>
    <w:rsid w:val="00524B17"/>
    <w:rsid w:val="005777DE"/>
    <w:rsid w:val="005D655C"/>
    <w:rsid w:val="005E2CC3"/>
    <w:rsid w:val="00611EB9"/>
    <w:rsid w:val="00622C70"/>
    <w:rsid w:val="00623CAD"/>
    <w:rsid w:val="00631EB0"/>
    <w:rsid w:val="00644B15"/>
    <w:rsid w:val="006976D9"/>
    <w:rsid w:val="006A3BF9"/>
    <w:rsid w:val="0070126D"/>
    <w:rsid w:val="007149CC"/>
    <w:rsid w:val="0072680B"/>
    <w:rsid w:val="00787BFC"/>
    <w:rsid w:val="007B00A6"/>
    <w:rsid w:val="007D2CBD"/>
    <w:rsid w:val="007E5906"/>
    <w:rsid w:val="007F0212"/>
    <w:rsid w:val="00826990"/>
    <w:rsid w:val="008440F0"/>
    <w:rsid w:val="00891F22"/>
    <w:rsid w:val="008B62D0"/>
    <w:rsid w:val="008D2174"/>
    <w:rsid w:val="008F797F"/>
    <w:rsid w:val="00930A00"/>
    <w:rsid w:val="00932ACE"/>
    <w:rsid w:val="009412C9"/>
    <w:rsid w:val="00963DD5"/>
    <w:rsid w:val="009C6BDF"/>
    <w:rsid w:val="009E5F83"/>
    <w:rsid w:val="009F3432"/>
    <w:rsid w:val="00A256B0"/>
    <w:rsid w:val="00A368FF"/>
    <w:rsid w:val="00A91125"/>
    <w:rsid w:val="00A9652A"/>
    <w:rsid w:val="00AC5D92"/>
    <w:rsid w:val="00AF5B8A"/>
    <w:rsid w:val="00AF7030"/>
    <w:rsid w:val="00B07899"/>
    <w:rsid w:val="00B25F81"/>
    <w:rsid w:val="00B70122"/>
    <w:rsid w:val="00B77B39"/>
    <w:rsid w:val="00BE372B"/>
    <w:rsid w:val="00CB3DFA"/>
    <w:rsid w:val="00CD5E50"/>
    <w:rsid w:val="00CF7C42"/>
    <w:rsid w:val="00D029BE"/>
    <w:rsid w:val="00D02FA3"/>
    <w:rsid w:val="00D27295"/>
    <w:rsid w:val="00D81DEA"/>
    <w:rsid w:val="00D8356A"/>
    <w:rsid w:val="00DA748A"/>
    <w:rsid w:val="00DC2D74"/>
    <w:rsid w:val="00DC4FE5"/>
    <w:rsid w:val="00DD4F89"/>
    <w:rsid w:val="00DD5273"/>
    <w:rsid w:val="00DF6EB7"/>
    <w:rsid w:val="00E530C8"/>
    <w:rsid w:val="00E621A7"/>
    <w:rsid w:val="00E74D3E"/>
    <w:rsid w:val="00E8659A"/>
    <w:rsid w:val="00F012AB"/>
    <w:rsid w:val="00F15EC8"/>
    <w:rsid w:val="00F24825"/>
    <w:rsid w:val="00F51147"/>
    <w:rsid w:val="00F63FF4"/>
    <w:rsid w:val="00F66B90"/>
    <w:rsid w:val="00F71FF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4EE5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iPriority="0"/>
    <w:lsdException w:name="annotation tex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iPriority="0"/>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iPriority="0"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F63FF4"/>
    <w:rPr>
      <w:sz w:val="22"/>
    </w:rPr>
  </w:style>
  <w:style w:type="paragraph" w:styleId="Heading1">
    <w:name w:val="heading 1"/>
    <w:basedOn w:val="Normal"/>
    <w:next w:val="Normal"/>
    <w:link w:val="Heading1Char"/>
    <w:uiPriority w:val="99"/>
    <w:qFormat/>
    <w:rsid w:val="00F63FF4"/>
    <w:pPr>
      <w:keepNext/>
      <w:widowControl w:val="0"/>
      <w:numPr>
        <w:numId w:val="2"/>
      </w:numPr>
      <w:suppressAutoHyphens/>
      <w:spacing w:after="220"/>
      <w:jc w:val="both"/>
      <w:outlineLvl w:val="0"/>
    </w:pPr>
    <w:rPr>
      <w:b/>
      <w:caps/>
    </w:rPr>
  </w:style>
  <w:style w:type="paragraph" w:styleId="Heading2">
    <w:name w:val="heading 2"/>
    <w:basedOn w:val="Normal"/>
    <w:next w:val="Normal"/>
    <w:link w:val="Heading2Char"/>
    <w:uiPriority w:val="99"/>
    <w:qFormat/>
    <w:rsid w:val="00F63FF4"/>
    <w:pPr>
      <w:keepNext/>
      <w:widowControl w:val="0"/>
      <w:numPr>
        <w:ilvl w:val="1"/>
        <w:numId w:val="2"/>
      </w:numPr>
      <w:spacing w:after="220"/>
      <w:jc w:val="both"/>
      <w:outlineLvl w:val="1"/>
    </w:pPr>
    <w:rPr>
      <w:b/>
    </w:rPr>
  </w:style>
  <w:style w:type="paragraph" w:styleId="Heading3">
    <w:name w:val="heading 3"/>
    <w:basedOn w:val="Normal"/>
    <w:next w:val="Normal"/>
    <w:link w:val="Heading3Char"/>
    <w:uiPriority w:val="99"/>
    <w:qFormat/>
    <w:rsid w:val="00F63FF4"/>
    <w:pPr>
      <w:keepNext/>
      <w:widowControl w:val="0"/>
      <w:numPr>
        <w:ilvl w:val="2"/>
        <w:numId w:val="2"/>
      </w:numPr>
      <w:spacing w:after="220"/>
      <w:jc w:val="both"/>
      <w:outlineLvl w:val="2"/>
    </w:pPr>
    <w:rPr>
      <w:b/>
    </w:rPr>
  </w:style>
  <w:style w:type="paragraph" w:styleId="Heading4">
    <w:name w:val="heading 4"/>
    <w:basedOn w:val="Normal"/>
    <w:next w:val="Normal"/>
    <w:link w:val="Heading4Char"/>
    <w:uiPriority w:val="99"/>
    <w:qFormat/>
    <w:rsid w:val="00F63FF4"/>
    <w:pPr>
      <w:keepNext/>
      <w:widowControl w:val="0"/>
      <w:numPr>
        <w:ilvl w:val="3"/>
        <w:numId w:val="2"/>
      </w:numPr>
      <w:spacing w:after="220"/>
      <w:jc w:val="both"/>
      <w:outlineLvl w:val="3"/>
    </w:pPr>
    <w:rPr>
      <w:b/>
    </w:rPr>
  </w:style>
  <w:style w:type="paragraph" w:styleId="Heading5">
    <w:name w:val="heading 5"/>
    <w:basedOn w:val="Normal"/>
    <w:next w:val="Normal"/>
    <w:link w:val="Heading5Char"/>
    <w:uiPriority w:val="99"/>
    <w:qFormat/>
    <w:rsid w:val="00F63FF4"/>
    <w:pPr>
      <w:keepNext/>
      <w:widowControl w:val="0"/>
      <w:numPr>
        <w:ilvl w:val="4"/>
        <w:numId w:val="2"/>
      </w:numPr>
      <w:suppressAutoHyphens/>
      <w:spacing w:after="220"/>
      <w:jc w:val="both"/>
      <w:outlineLvl w:val="4"/>
    </w:pPr>
    <w:rPr>
      <w:b/>
    </w:rPr>
  </w:style>
  <w:style w:type="paragraph" w:styleId="Heading6">
    <w:name w:val="heading 6"/>
    <w:basedOn w:val="Normal"/>
    <w:next w:val="Normal"/>
    <w:link w:val="Heading6Char"/>
    <w:uiPriority w:val="99"/>
    <w:qFormat/>
    <w:rsid w:val="00F63FF4"/>
    <w:pPr>
      <w:widowControl w:val="0"/>
      <w:numPr>
        <w:ilvl w:val="5"/>
        <w:numId w:val="2"/>
      </w:numPr>
      <w:spacing w:after="220"/>
      <w:jc w:val="both"/>
      <w:outlineLvl w:val="5"/>
    </w:pPr>
    <w:rPr>
      <w:b/>
    </w:rPr>
  </w:style>
  <w:style w:type="paragraph" w:styleId="Heading7">
    <w:name w:val="heading 7"/>
    <w:basedOn w:val="Normal"/>
    <w:next w:val="Normal"/>
    <w:link w:val="Heading7Char"/>
    <w:uiPriority w:val="99"/>
    <w:qFormat/>
    <w:rsid w:val="00F63FF4"/>
    <w:pPr>
      <w:widowControl w:val="0"/>
      <w:numPr>
        <w:ilvl w:val="7"/>
        <w:numId w:val="2"/>
      </w:numPr>
      <w:spacing w:after="220"/>
      <w:jc w:val="both"/>
      <w:outlineLvl w:val="6"/>
    </w:pPr>
    <w:rPr>
      <w:b/>
    </w:rPr>
  </w:style>
  <w:style w:type="paragraph" w:styleId="Heading8">
    <w:name w:val="heading 8"/>
    <w:basedOn w:val="Normal"/>
    <w:next w:val="Normal"/>
    <w:link w:val="Heading8Char"/>
    <w:uiPriority w:val="99"/>
    <w:qFormat/>
    <w:rsid w:val="00F63FF4"/>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link w:val="Heading9Char"/>
    <w:uiPriority w:val="99"/>
    <w:qFormat/>
    <w:rsid w:val="00F63FF4"/>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libri" w:hAnsi="Calibri" w:cs="Times New Roman"/>
      <w:b/>
      <w:bCs/>
      <w:kern w:val="32"/>
      <w:sz w:val="32"/>
    </w:rPr>
  </w:style>
  <w:style w:type="character" w:customStyle="1" w:styleId="Heading2Char">
    <w:name w:val="Heading 2 Char"/>
    <w:basedOn w:val="DefaultParagraphFont"/>
    <w:link w:val="Heading2"/>
    <w:uiPriority w:val="99"/>
    <w:semiHidden/>
    <w:rPr>
      <w:rFonts w:ascii="Calibri" w:hAnsi="Calibri" w:cs="Times New Roman"/>
      <w:b/>
      <w:bCs/>
      <w:i/>
      <w:iCs/>
      <w:sz w:val="28"/>
    </w:rPr>
  </w:style>
  <w:style w:type="character" w:customStyle="1" w:styleId="Heading3Char">
    <w:name w:val="Heading 3 Char"/>
    <w:basedOn w:val="DefaultParagraphFont"/>
    <w:link w:val="Heading3"/>
    <w:uiPriority w:val="99"/>
    <w:semiHidden/>
    <w:rPr>
      <w:rFonts w:ascii="Calibri" w:hAnsi="Calibri" w:cs="Times New Roman"/>
      <w:b/>
      <w:bCs/>
      <w:sz w:val="26"/>
    </w:rPr>
  </w:style>
  <w:style w:type="character" w:customStyle="1" w:styleId="Heading4Char">
    <w:name w:val="Heading 4 Char"/>
    <w:basedOn w:val="DefaultParagraphFont"/>
    <w:link w:val="Heading4"/>
    <w:uiPriority w:val="99"/>
    <w:semiHidden/>
    <w:rPr>
      <w:rFonts w:ascii="Cambria" w:hAnsi="Cambria" w:cs="Times New Roman"/>
      <w:b/>
      <w:bCs/>
      <w:sz w:val="28"/>
    </w:rPr>
  </w:style>
  <w:style w:type="character" w:customStyle="1" w:styleId="Heading5Char">
    <w:name w:val="Heading 5 Char"/>
    <w:basedOn w:val="DefaultParagraphFont"/>
    <w:link w:val="Heading5"/>
    <w:uiPriority w:val="99"/>
    <w:semiHidden/>
    <w:rPr>
      <w:rFonts w:ascii="Cambria" w:hAnsi="Cambria" w:cs="Times New Roman"/>
      <w:b/>
      <w:bCs/>
      <w:i/>
      <w:iCs/>
      <w:sz w:val="26"/>
    </w:rPr>
  </w:style>
  <w:style w:type="character" w:customStyle="1" w:styleId="Heading6Char">
    <w:name w:val="Heading 6 Char"/>
    <w:basedOn w:val="DefaultParagraphFont"/>
    <w:link w:val="Heading6"/>
    <w:uiPriority w:val="99"/>
    <w:semiHidden/>
    <w:rPr>
      <w:rFonts w:ascii="Cambria" w:hAnsi="Cambria" w:cs="Times New Roman"/>
      <w:b/>
      <w:bCs/>
      <w:sz w:val="22"/>
    </w:rPr>
  </w:style>
  <w:style w:type="character" w:customStyle="1" w:styleId="Heading7Char">
    <w:name w:val="Heading 7 Char"/>
    <w:basedOn w:val="DefaultParagraphFont"/>
    <w:link w:val="Heading7"/>
    <w:uiPriority w:val="99"/>
    <w:semiHidden/>
    <w:rPr>
      <w:rFonts w:ascii="Cambria" w:hAnsi="Cambria" w:cs="Times New Roman"/>
      <w:sz w:val="24"/>
    </w:rPr>
  </w:style>
  <w:style w:type="character" w:customStyle="1" w:styleId="Heading8Char">
    <w:name w:val="Heading 8 Char"/>
    <w:basedOn w:val="DefaultParagraphFont"/>
    <w:link w:val="Heading8"/>
    <w:uiPriority w:val="99"/>
    <w:semiHidden/>
    <w:rPr>
      <w:rFonts w:ascii="Cambria" w:hAnsi="Cambria" w:cs="Times New Roman"/>
      <w:i/>
      <w:iCs/>
      <w:sz w:val="24"/>
    </w:rPr>
  </w:style>
  <w:style w:type="character" w:customStyle="1" w:styleId="Heading9Char">
    <w:name w:val="Heading 9 Char"/>
    <w:basedOn w:val="DefaultParagraphFont"/>
    <w:link w:val="Heading9"/>
    <w:uiPriority w:val="99"/>
    <w:semiHidden/>
    <w:rPr>
      <w:rFonts w:ascii="Calibri" w:hAnsi="Calibri" w:cs="Times New Roman"/>
      <w:sz w:val="22"/>
    </w:rPr>
  </w:style>
  <w:style w:type="paragraph" w:styleId="Header">
    <w:name w:val="header"/>
    <w:basedOn w:val="Normal"/>
    <w:link w:val="HeaderChar"/>
    <w:uiPriority w:val="99"/>
    <w:semiHidden/>
    <w:rsid w:val="00F63FF4"/>
    <w:pPr>
      <w:tabs>
        <w:tab w:val="center" w:pos="4320"/>
        <w:tab w:val="right" w:pos="8640"/>
      </w:tabs>
    </w:pPr>
  </w:style>
  <w:style w:type="character" w:customStyle="1" w:styleId="HeaderChar">
    <w:name w:val="Header Char"/>
    <w:basedOn w:val="DefaultParagraphFont"/>
    <w:link w:val="Header"/>
    <w:uiPriority w:val="99"/>
    <w:semiHidden/>
    <w:rPr>
      <w:rFonts w:cs="Times New Roman"/>
      <w:sz w:val="22"/>
    </w:rPr>
  </w:style>
  <w:style w:type="paragraph" w:styleId="Footer">
    <w:name w:val="footer"/>
    <w:basedOn w:val="Normal"/>
    <w:link w:val="FooterChar"/>
    <w:uiPriority w:val="99"/>
    <w:semiHidden/>
    <w:rsid w:val="00F63FF4"/>
    <w:pPr>
      <w:tabs>
        <w:tab w:val="center" w:pos="4320"/>
        <w:tab w:val="right" w:pos="8640"/>
      </w:tabs>
    </w:pPr>
  </w:style>
  <w:style w:type="character" w:customStyle="1" w:styleId="FooterChar">
    <w:name w:val="Footer Char"/>
    <w:basedOn w:val="DefaultParagraphFont"/>
    <w:link w:val="Footer"/>
    <w:uiPriority w:val="99"/>
    <w:rsid w:val="00F15EC8"/>
    <w:rPr>
      <w:rFonts w:cs="Times New Roman"/>
      <w:sz w:val="22"/>
    </w:rPr>
  </w:style>
  <w:style w:type="character" w:styleId="Hyperlink">
    <w:name w:val="Hyperlink"/>
    <w:basedOn w:val="DefaultParagraphFont"/>
    <w:uiPriority w:val="99"/>
    <w:semiHidden/>
    <w:rsid w:val="00F63FF4"/>
    <w:rPr>
      <w:rFonts w:cs="Times New Roman"/>
      <w:color w:val="0000FF"/>
      <w:u w:val="single"/>
    </w:rPr>
  </w:style>
  <w:style w:type="paragraph" w:styleId="BlockText">
    <w:name w:val="Block Text"/>
    <w:basedOn w:val="Normal"/>
    <w:uiPriority w:val="99"/>
    <w:semiHidden/>
    <w:rsid w:val="00F63FF4"/>
    <w:pPr>
      <w:widowControl w:val="0"/>
      <w:spacing w:after="220"/>
      <w:ind w:left="1440" w:right="1440"/>
      <w:jc w:val="both"/>
    </w:pPr>
  </w:style>
  <w:style w:type="paragraph" w:customStyle="1" w:styleId="Bullet">
    <w:name w:val="Bullet"/>
    <w:basedOn w:val="Normal"/>
    <w:uiPriority w:val="99"/>
    <w:rsid w:val="00F63FF4"/>
    <w:pPr>
      <w:widowControl w:val="0"/>
      <w:numPr>
        <w:numId w:val="1"/>
      </w:numPr>
      <w:tabs>
        <w:tab w:val="clear" w:pos="2520"/>
      </w:tabs>
      <w:spacing w:after="220"/>
      <w:ind w:left="2160" w:hanging="720"/>
      <w:jc w:val="both"/>
    </w:pPr>
  </w:style>
  <w:style w:type="paragraph" w:styleId="Caption">
    <w:name w:val="caption"/>
    <w:basedOn w:val="Normal"/>
    <w:next w:val="Normal"/>
    <w:uiPriority w:val="99"/>
    <w:qFormat/>
    <w:rsid w:val="00F63FF4"/>
    <w:pPr>
      <w:spacing w:before="120" w:after="120"/>
    </w:pPr>
    <w:rPr>
      <w:b/>
    </w:rPr>
  </w:style>
  <w:style w:type="character" w:styleId="FootnoteReference">
    <w:name w:val="footnote reference"/>
    <w:aliases w:val="o,fr,Style 3,Appel note de bas de p,(NECG) Footnote Reference,Style 17,FR,Style 12,Style 124"/>
    <w:basedOn w:val="DefaultParagraphFont"/>
    <w:rsid w:val="00F63FF4"/>
    <w:rPr>
      <w:rFonts w:cs="Times New Roman"/>
      <w:vertAlign w:val="superscript"/>
    </w:rPr>
  </w:style>
  <w:style w:type="paragraph" w:styleId="FootnoteText">
    <w:name w:val="footnote text"/>
    <w:aliases w:val="Footnote Text Char2 Char,Footnote Text Char3 Char Char,Footnote Text Char2 Char Char Char,Footnote Text Char Char Char1 Char Char Char,Footnote Text Char1 Char1 Char Char Char,Footnote Text Char Char Char2 Char Char,fn,f"/>
    <w:basedOn w:val="Normal"/>
    <w:link w:val="FootnoteTextChar"/>
    <w:rsid w:val="00F63FF4"/>
    <w:pPr>
      <w:tabs>
        <w:tab w:val="left" w:pos="720"/>
      </w:tabs>
      <w:spacing w:after="200"/>
    </w:pPr>
  </w:style>
  <w:style w:type="character" w:customStyle="1" w:styleId="FootnoteTextChar">
    <w:name w:val="Footnote Text Char"/>
    <w:aliases w:val="Footnote Text Char2 Char Char1,Footnote Text Char3 Char Char Char1,Footnote Text Char2 Char Char Char Char1,Footnote Text Char Char Char1 Char Char Char Char1,Footnote Text Char1 Char1 Char Char Char Char1,fn Char1,f Char"/>
    <w:basedOn w:val="DefaultParagraphFont"/>
    <w:link w:val="FootnoteText"/>
    <w:uiPriority w:val="99"/>
    <w:semiHidden/>
    <w:rPr>
      <w:rFonts w:cs="Times New Roman"/>
      <w:sz w:val="24"/>
    </w:rPr>
  </w:style>
  <w:style w:type="paragraph" w:customStyle="1" w:styleId="NumberedList">
    <w:name w:val="Numbered List"/>
    <w:basedOn w:val="Normal"/>
    <w:uiPriority w:val="99"/>
    <w:rsid w:val="00F63FF4"/>
    <w:pPr>
      <w:numPr>
        <w:numId w:val="11"/>
      </w:numPr>
      <w:tabs>
        <w:tab w:val="clear" w:pos="1080"/>
      </w:tabs>
      <w:spacing w:after="220"/>
      <w:ind w:firstLine="0"/>
    </w:pPr>
  </w:style>
  <w:style w:type="paragraph" w:customStyle="1" w:styleId="Paranum">
    <w:name w:val="Paranum"/>
    <w:basedOn w:val="Normal"/>
    <w:uiPriority w:val="99"/>
    <w:rsid w:val="00F63FF4"/>
    <w:pPr>
      <w:widowControl w:val="0"/>
      <w:numPr>
        <w:numId w:val="12"/>
      </w:numPr>
      <w:tabs>
        <w:tab w:val="clear" w:pos="1080"/>
      </w:tabs>
      <w:spacing w:after="220"/>
      <w:jc w:val="both"/>
    </w:pPr>
  </w:style>
  <w:style w:type="paragraph" w:customStyle="1" w:styleId="TableFormat">
    <w:name w:val="Table Format"/>
    <w:basedOn w:val="Normal"/>
    <w:uiPriority w:val="99"/>
    <w:rsid w:val="00F63FF4"/>
    <w:pPr>
      <w:widowControl w:val="0"/>
      <w:tabs>
        <w:tab w:val="left" w:pos="5040"/>
      </w:tabs>
      <w:spacing w:after="220"/>
      <w:ind w:left="5040" w:hanging="3600"/>
      <w:jc w:val="both"/>
    </w:pPr>
  </w:style>
  <w:style w:type="paragraph" w:styleId="TOC1">
    <w:name w:val="toc 1"/>
    <w:basedOn w:val="Normal"/>
    <w:next w:val="Normal"/>
    <w:autoRedefine/>
    <w:uiPriority w:val="99"/>
    <w:semiHidden/>
    <w:rsid w:val="00F63FF4"/>
    <w:rPr>
      <w:caps/>
    </w:rPr>
  </w:style>
  <w:style w:type="character" w:styleId="FollowedHyperlink">
    <w:name w:val="FollowedHyperlink"/>
    <w:basedOn w:val="DefaultParagraphFont"/>
    <w:uiPriority w:val="99"/>
    <w:semiHidden/>
    <w:rsid w:val="00F63FF4"/>
    <w:rPr>
      <w:rFonts w:cs="Times New Roman"/>
      <w:color w:val="800080"/>
      <w:u w:val="single"/>
    </w:rPr>
  </w:style>
  <w:style w:type="paragraph" w:styleId="BalloonText">
    <w:name w:val="Balloon Text"/>
    <w:basedOn w:val="Normal"/>
    <w:link w:val="BalloonTextChar"/>
    <w:uiPriority w:val="99"/>
    <w:semiHidden/>
    <w:unhideWhenUsed/>
    <w:rsid w:val="00F012AB"/>
    <w:rPr>
      <w:rFonts w:ascii="Tahoma" w:hAnsi="Tahoma" w:cs="Tahoma"/>
      <w:sz w:val="16"/>
      <w:szCs w:val="16"/>
    </w:rPr>
  </w:style>
  <w:style w:type="character" w:customStyle="1" w:styleId="BalloonTextChar">
    <w:name w:val="Balloon Text Char"/>
    <w:basedOn w:val="DefaultParagraphFont"/>
    <w:link w:val="BalloonText"/>
    <w:uiPriority w:val="99"/>
    <w:semiHidden/>
    <w:rsid w:val="00F012AB"/>
    <w:rPr>
      <w:rFonts w:ascii="Tahoma" w:hAnsi="Tahoma" w:cs="Tahoma"/>
      <w:sz w:val="16"/>
      <w:szCs w:val="16"/>
    </w:rPr>
  </w:style>
  <w:style w:type="character" w:customStyle="1" w:styleId="Normal1">
    <w:name w:val="Normal1"/>
    <w:rsid w:val="00F012AB"/>
    <w:rPr>
      <w:rFonts w:ascii="Times New Roman" w:hAnsi="Times New Roman"/>
      <w:noProof w:val="0"/>
      <w:sz w:val="20"/>
      <w:lang w:val="en-US"/>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rsid w:val="00F012AB"/>
    <w:rPr>
      <w:rFonts w:ascii="Times New Roman" w:eastAsia="Times New Roman" w:hAnsi="Times New Roman" w:cs="Times New Roman"/>
      <w:snapToGrid w:val="0"/>
      <w:sz w:val="20"/>
      <w:szCs w:val="20"/>
    </w:rPr>
  </w:style>
  <w:style w:type="paragraph" w:styleId="BodyText">
    <w:name w:val="Body Text"/>
    <w:aliases w:val="b"/>
    <w:basedOn w:val="Normal"/>
    <w:link w:val="BodyTextChar"/>
    <w:rsid w:val="00F012AB"/>
    <w:pPr>
      <w:widowControl w:val="0"/>
      <w:spacing w:after="240"/>
      <w:ind w:firstLine="720"/>
    </w:pPr>
    <w:rPr>
      <w:snapToGrid w:val="0"/>
    </w:rPr>
  </w:style>
  <w:style w:type="character" w:customStyle="1" w:styleId="BodyTextChar">
    <w:name w:val="Body Text Char"/>
    <w:aliases w:val="b Char"/>
    <w:basedOn w:val="DefaultParagraphFont"/>
    <w:link w:val="BodyText"/>
    <w:rsid w:val="00F012AB"/>
    <w:rPr>
      <w:snapToGrid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iPriority="0"/>
    <w:lsdException w:name="annotation tex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iPriority="0"/>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iPriority="0"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F63FF4"/>
    <w:rPr>
      <w:sz w:val="22"/>
    </w:rPr>
  </w:style>
  <w:style w:type="paragraph" w:styleId="Heading1">
    <w:name w:val="heading 1"/>
    <w:basedOn w:val="Normal"/>
    <w:next w:val="Normal"/>
    <w:link w:val="Heading1Char"/>
    <w:uiPriority w:val="99"/>
    <w:qFormat/>
    <w:rsid w:val="00F63FF4"/>
    <w:pPr>
      <w:keepNext/>
      <w:widowControl w:val="0"/>
      <w:numPr>
        <w:numId w:val="2"/>
      </w:numPr>
      <w:suppressAutoHyphens/>
      <w:spacing w:after="220"/>
      <w:jc w:val="both"/>
      <w:outlineLvl w:val="0"/>
    </w:pPr>
    <w:rPr>
      <w:b/>
      <w:caps/>
    </w:rPr>
  </w:style>
  <w:style w:type="paragraph" w:styleId="Heading2">
    <w:name w:val="heading 2"/>
    <w:basedOn w:val="Normal"/>
    <w:next w:val="Normal"/>
    <w:link w:val="Heading2Char"/>
    <w:uiPriority w:val="99"/>
    <w:qFormat/>
    <w:rsid w:val="00F63FF4"/>
    <w:pPr>
      <w:keepNext/>
      <w:widowControl w:val="0"/>
      <w:numPr>
        <w:ilvl w:val="1"/>
        <w:numId w:val="2"/>
      </w:numPr>
      <w:spacing w:after="220"/>
      <w:jc w:val="both"/>
      <w:outlineLvl w:val="1"/>
    </w:pPr>
    <w:rPr>
      <w:b/>
    </w:rPr>
  </w:style>
  <w:style w:type="paragraph" w:styleId="Heading3">
    <w:name w:val="heading 3"/>
    <w:basedOn w:val="Normal"/>
    <w:next w:val="Normal"/>
    <w:link w:val="Heading3Char"/>
    <w:uiPriority w:val="99"/>
    <w:qFormat/>
    <w:rsid w:val="00F63FF4"/>
    <w:pPr>
      <w:keepNext/>
      <w:widowControl w:val="0"/>
      <w:numPr>
        <w:ilvl w:val="2"/>
        <w:numId w:val="2"/>
      </w:numPr>
      <w:spacing w:after="220"/>
      <w:jc w:val="both"/>
      <w:outlineLvl w:val="2"/>
    </w:pPr>
    <w:rPr>
      <w:b/>
    </w:rPr>
  </w:style>
  <w:style w:type="paragraph" w:styleId="Heading4">
    <w:name w:val="heading 4"/>
    <w:basedOn w:val="Normal"/>
    <w:next w:val="Normal"/>
    <w:link w:val="Heading4Char"/>
    <w:uiPriority w:val="99"/>
    <w:qFormat/>
    <w:rsid w:val="00F63FF4"/>
    <w:pPr>
      <w:keepNext/>
      <w:widowControl w:val="0"/>
      <w:numPr>
        <w:ilvl w:val="3"/>
        <w:numId w:val="2"/>
      </w:numPr>
      <w:spacing w:after="220"/>
      <w:jc w:val="both"/>
      <w:outlineLvl w:val="3"/>
    </w:pPr>
    <w:rPr>
      <w:b/>
    </w:rPr>
  </w:style>
  <w:style w:type="paragraph" w:styleId="Heading5">
    <w:name w:val="heading 5"/>
    <w:basedOn w:val="Normal"/>
    <w:next w:val="Normal"/>
    <w:link w:val="Heading5Char"/>
    <w:uiPriority w:val="99"/>
    <w:qFormat/>
    <w:rsid w:val="00F63FF4"/>
    <w:pPr>
      <w:keepNext/>
      <w:widowControl w:val="0"/>
      <w:numPr>
        <w:ilvl w:val="4"/>
        <w:numId w:val="2"/>
      </w:numPr>
      <w:suppressAutoHyphens/>
      <w:spacing w:after="220"/>
      <w:jc w:val="both"/>
      <w:outlineLvl w:val="4"/>
    </w:pPr>
    <w:rPr>
      <w:b/>
    </w:rPr>
  </w:style>
  <w:style w:type="paragraph" w:styleId="Heading6">
    <w:name w:val="heading 6"/>
    <w:basedOn w:val="Normal"/>
    <w:next w:val="Normal"/>
    <w:link w:val="Heading6Char"/>
    <w:uiPriority w:val="99"/>
    <w:qFormat/>
    <w:rsid w:val="00F63FF4"/>
    <w:pPr>
      <w:widowControl w:val="0"/>
      <w:numPr>
        <w:ilvl w:val="5"/>
        <w:numId w:val="2"/>
      </w:numPr>
      <w:spacing w:after="220"/>
      <w:jc w:val="both"/>
      <w:outlineLvl w:val="5"/>
    </w:pPr>
    <w:rPr>
      <w:b/>
    </w:rPr>
  </w:style>
  <w:style w:type="paragraph" w:styleId="Heading7">
    <w:name w:val="heading 7"/>
    <w:basedOn w:val="Normal"/>
    <w:next w:val="Normal"/>
    <w:link w:val="Heading7Char"/>
    <w:uiPriority w:val="99"/>
    <w:qFormat/>
    <w:rsid w:val="00F63FF4"/>
    <w:pPr>
      <w:widowControl w:val="0"/>
      <w:numPr>
        <w:ilvl w:val="7"/>
        <w:numId w:val="2"/>
      </w:numPr>
      <w:spacing w:after="220"/>
      <w:jc w:val="both"/>
      <w:outlineLvl w:val="6"/>
    </w:pPr>
    <w:rPr>
      <w:b/>
    </w:rPr>
  </w:style>
  <w:style w:type="paragraph" w:styleId="Heading8">
    <w:name w:val="heading 8"/>
    <w:basedOn w:val="Normal"/>
    <w:next w:val="Normal"/>
    <w:link w:val="Heading8Char"/>
    <w:uiPriority w:val="99"/>
    <w:qFormat/>
    <w:rsid w:val="00F63FF4"/>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link w:val="Heading9Char"/>
    <w:uiPriority w:val="99"/>
    <w:qFormat/>
    <w:rsid w:val="00F63FF4"/>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libri" w:hAnsi="Calibri" w:cs="Times New Roman"/>
      <w:b/>
      <w:bCs/>
      <w:kern w:val="32"/>
      <w:sz w:val="32"/>
    </w:rPr>
  </w:style>
  <w:style w:type="character" w:customStyle="1" w:styleId="Heading2Char">
    <w:name w:val="Heading 2 Char"/>
    <w:basedOn w:val="DefaultParagraphFont"/>
    <w:link w:val="Heading2"/>
    <w:uiPriority w:val="99"/>
    <w:semiHidden/>
    <w:rPr>
      <w:rFonts w:ascii="Calibri" w:hAnsi="Calibri" w:cs="Times New Roman"/>
      <w:b/>
      <w:bCs/>
      <w:i/>
      <w:iCs/>
      <w:sz w:val="28"/>
    </w:rPr>
  </w:style>
  <w:style w:type="character" w:customStyle="1" w:styleId="Heading3Char">
    <w:name w:val="Heading 3 Char"/>
    <w:basedOn w:val="DefaultParagraphFont"/>
    <w:link w:val="Heading3"/>
    <w:uiPriority w:val="99"/>
    <w:semiHidden/>
    <w:rPr>
      <w:rFonts w:ascii="Calibri" w:hAnsi="Calibri" w:cs="Times New Roman"/>
      <w:b/>
      <w:bCs/>
      <w:sz w:val="26"/>
    </w:rPr>
  </w:style>
  <w:style w:type="character" w:customStyle="1" w:styleId="Heading4Char">
    <w:name w:val="Heading 4 Char"/>
    <w:basedOn w:val="DefaultParagraphFont"/>
    <w:link w:val="Heading4"/>
    <w:uiPriority w:val="99"/>
    <w:semiHidden/>
    <w:rPr>
      <w:rFonts w:ascii="Cambria" w:hAnsi="Cambria" w:cs="Times New Roman"/>
      <w:b/>
      <w:bCs/>
      <w:sz w:val="28"/>
    </w:rPr>
  </w:style>
  <w:style w:type="character" w:customStyle="1" w:styleId="Heading5Char">
    <w:name w:val="Heading 5 Char"/>
    <w:basedOn w:val="DefaultParagraphFont"/>
    <w:link w:val="Heading5"/>
    <w:uiPriority w:val="99"/>
    <w:semiHidden/>
    <w:rPr>
      <w:rFonts w:ascii="Cambria" w:hAnsi="Cambria" w:cs="Times New Roman"/>
      <w:b/>
      <w:bCs/>
      <w:i/>
      <w:iCs/>
      <w:sz w:val="26"/>
    </w:rPr>
  </w:style>
  <w:style w:type="character" w:customStyle="1" w:styleId="Heading6Char">
    <w:name w:val="Heading 6 Char"/>
    <w:basedOn w:val="DefaultParagraphFont"/>
    <w:link w:val="Heading6"/>
    <w:uiPriority w:val="99"/>
    <w:semiHidden/>
    <w:rPr>
      <w:rFonts w:ascii="Cambria" w:hAnsi="Cambria" w:cs="Times New Roman"/>
      <w:b/>
      <w:bCs/>
      <w:sz w:val="22"/>
    </w:rPr>
  </w:style>
  <w:style w:type="character" w:customStyle="1" w:styleId="Heading7Char">
    <w:name w:val="Heading 7 Char"/>
    <w:basedOn w:val="DefaultParagraphFont"/>
    <w:link w:val="Heading7"/>
    <w:uiPriority w:val="99"/>
    <w:semiHidden/>
    <w:rPr>
      <w:rFonts w:ascii="Cambria" w:hAnsi="Cambria" w:cs="Times New Roman"/>
      <w:sz w:val="24"/>
    </w:rPr>
  </w:style>
  <w:style w:type="character" w:customStyle="1" w:styleId="Heading8Char">
    <w:name w:val="Heading 8 Char"/>
    <w:basedOn w:val="DefaultParagraphFont"/>
    <w:link w:val="Heading8"/>
    <w:uiPriority w:val="99"/>
    <w:semiHidden/>
    <w:rPr>
      <w:rFonts w:ascii="Cambria" w:hAnsi="Cambria" w:cs="Times New Roman"/>
      <w:i/>
      <w:iCs/>
      <w:sz w:val="24"/>
    </w:rPr>
  </w:style>
  <w:style w:type="character" w:customStyle="1" w:styleId="Heading9Char">
    <w:name w:val="Heading 9 Char"/>
    <w:basedOn w:val="DefaultParagraphFont"/>
    <w:link w:val="Heading9"/>
    <w:uiPriority w:val="99"/>
    <w:semiHidden/>
    <w:rPr>
      <w:rFonts w:ascii="Calibri" w:hAnsi="Calibri" w:cs="Times New Roman"/>
      <w:sz w:val="22"/>
    </w:rPr>
  </w:style>
  <w:style w:type="paragraph" w:styleId="Header">
    <w:name w:val="header"/>
    <w:basedOn w:val="Normal"/>
    <w:link w:val="HeaderChar"/>
    <w:uiPriority w:val="99"/>
    <w:semiHidden/>
    <w:rsid w:val="00F63FF4"/>
    <w:pPr>
      <w:tabs>
        <w:tab w:val="center" w:pos="4320"/>
        <w:tab w:val="right" w:pos="8640"/>
      </w:tabs>
    </w:pPr>
  </w:style>
  <w:style w:type="character" w:customStyle="1" w:styleId="HeaderChar">
    <w:name w:val="Header Char"/>
    <w:basedOn w:val="DefaultParagraphFont"/>
    <w:link w:val="Header"/>
    <w:uiPriority w:val="99"/>
    <w:semiHidden/>
    <w:rPr>
      <w:rFonts w:cs="Times New Roman"/>
      <w:sz w:val="22"/>
    </w:rPr>
  </w:style>
  <w:style w:type="paragraph" w:styleId="Footer">
    <w:name w:val="footer"/>
    <w:basedOn w:val="Normal"/>
    <w:link w:val="FooterChar"/>
    <w:uiPriority w:val="99"/>
    <w:semiHidden/>
    <w:rsid w:val="00F63FF4"/>
    <w:pPr>
      <w:tabs>
        <w:tab w:val="center" w:pos="4320"/>
        <w:tab w:val="right" w:pos="8640"/>
      </w:tabs>
    </w:pPr>
  </w:style>
  <w:style w:type="character" w:customStyle="1" w:styleId="FooterChar">
    <w:name w:val="Footer Char"/>
    <w:basedOn w:val="DefaultParagraphFont"/>
    <w:link w:val="Footer"/>
    <w:uiPriority w:val="99"/>
    <w:rsid w:val="00F15EC8"/>
    <w:rPr>
      <w:rFonts w:cs="Times New Roman"/>
      <w:sz w:val="22"/>
    </w:rPr>
  </w:style>
  <w:style w:type="character" w:styleId="Hyperlink">
    <w:name w:val="Hyperlink"/>
    <w:basedOn w:val="DefaultParagraphFont"/>
    <w:uiPriority w:val="99"/>
    <w:semiHidden/>
    <w:rsid w:val="00F63FF4"/>
    <w:rPr>
      <w:rFonts w:cs="Times New Roman"/>
      <w:color w:val="0000FF"/>
      <w:u w:val="single"/>
    </w:rPr>
  </w:style>
  <w:style w:type="paragraph" w:styleId="BlockText">
    <w:name w:val="Block Text"/>
    <w:basedOn w:val="Normal"/>
    <w:uiPriority w:val="99"/>
    <w:semiHidden/>
    <w:rsid w:val="00F63FF4"/>
    <w:pPr>
      <w:widowControl w:val="0"/>
      <w:spacing w:after="220"/>
      <w:ind w:left="1440" w:right="1440"/>
      <w:jc w:val="both"/>
    </w:pPr>
  </w:style>
  <w:style w:type="paragraph" w:customStyle="1" w:styleId="Bullet">
    <w:name w:val="Bullet"/>
    <w:basedOn w:val="Normal"/>
    <w:uiPriority w:val="99"/>
    <w:rsid w:val="00F63FF4"/>
    <w:pPr>
      <w:widowControl w:val="0"/>
      <w:numPr>
        <w:numId w:val="1"/>
      </w:numPr>
      <w:tabs>
        <w:tab w:val="clear" w:pos="2520"/>
      </w:tabs>
      <w:spacing w:after="220"/>
      <w:ind w:left="2160" w:hanging="720"/>
      <w:jc w:val="both"/>
    </w:pPr>
  </w:style>
  <w:style w:type="paragraph" w:styleId="Caption">
    <w:name w:val="caption"/>
    <w:basedOn w:val="Normal"/>
    <w:next w:val="Normal"/>
    <w:uiPriority w:val="99"/>
    <w:qFormat/>
    <w:rsid w:val="00F63FF4"/>
    <w:pPr>
      <w:spacing w:before="120" w:after="120"/>
    </w:pPr>
    <w:rPr>
      <w:b/>
    </w:rPr>
  </w:style>
  <w:style w:type="character" w:styleId="FootnoteReference">
    <w:name w:val="footnote reference"/>
    <w:aliases w:val="o,fr,Style 3,Appel note de bas de p,(NECG) Footnote Reference,Style 17,FR,Style 12,Style 124"/>
    <w:basedOn w:val="DefaultParagraphFont"/>
    <w:rsid w:val="00F63FF4"/>
    <w:rPr>
      <w:rFonts w:cs="Times New Roman"/>
      <w:vertAlign w:val="superscript"/>
    </w:rPr>
  </w:style>
  <w:style w:type="paragraph" w:styleId="FootnoteText">
    <w:name w:val="footnote text"/>
    <w:aliases w:val="Footnote Text Char2 Char,Footnote Text Char3 Char Char,Footnote Text Char2 Char Char Char,Footnote Text Char Char Char1 Char Char Char,Footnote Text Char1 Char1 Char Char Char,Footnote Text Char Char Char2 Char Char,fn,f"/>
    <w:basedOn w:val="Normal"/>
    <w:link w:val="FootnoteTextChar"/>
    <w:rsid w:val="00F63FF4"/>
    <w:pPr>
      <w:tabs>
        <w:tab w:val="left" w:pos="720"/>
      </w:tabs>
      <w:spacing w:after="200"/>
    </w:pPr>
  </w:style>
  <w:style w:type="character" w:customStyle="1" w:styleId="FootnoteTextChar">
    <w:name w:val="Footnote Text Char"/>
    <w:aliases w:val="Footnote Text Char2 Char Char1,Footnote Text Char3 Char Char Char1,Footnote Text Char2 Char Char Char Char1,Footnote Text Char Char Char1 Char Char Char Char1,Footnote Text Char1 Char1 Char Char Char Char1,fn Char1,f Char"/>
    <w:basedOn w:val="DefaultParagraphFont"/>
    <w:link w:val="FootnoteText"/>
    <w:uiPriority w:val="99"/>
    <w:semiHidden/>
    <w:rPr>
      <w:rFonts w:cs="Times New Roman"/>
      <w:sz w:val="24"/>
    </w:rPr>
  </w:style>
  <w:style w:type="paragraph" w:customStyle="1" w:styleId="NumberedList">
    <w:name w:val="Numbered List"/>
    <w:basedOn w:val="Normal"/>
    <w:uiPriority w:val="99"/>
    <w:rsid w:val="00F63FF4"/>
    <w:pPr>
      <w:numPr>
        <w:numId w:val="11"/>
      </w:numPr>
      <w:tabs>
        <w:tab w:val="clear" w:pos="1080"/>
      </w:tabs>
      <w:spacing w:after="220"/>
      <w:ind w:firstLine="0"/>
    </w:pPr>
  </w:style>
  <w:style w:type="paragraph" w:customStyle="1" w:styleId="Paranum">
    <w:name w:val="Paranum"/>
    <w:basedOn w:val="Normal"/>
    <w:uiPriority w:val="99"/>
    <w:rsid w:val="00F63FF4"/>
    <w:pPr>
      <w:widowControl w:val="0"/>
      <w:numPr>
        <w:numId w:val="12"/>
      </w:numPr>
      <w:tabs>
        <w:tab w:val="clear" w:pos="1080"/>
      </w:tabs>
      <w:spacing w:after="220"/>
      <w:jc w:val="both"/>
    </w:pPr>
  </w:style>
  <w:style w:type="paragraph" w:customStyle="1" w:styleId="TableFormat">
    <w:name w:val="Table Format"/>
    <w:basedOn w:val="Normal"/>
    <w:uiPriority w:val="99"/>
    <w:rsid w:val="00F63FF4"/>
    <w:pPr>
      <w:widowControl w:val="0"/>
      <w:tabs>
        <w:tab w:val="left" w:pos="5040"/>
      </w:tabs>
      <w:spacing w:after="220"/>
      <w:ind w:left="5040" w:hanging="3600"/>
      <w:jc w:val="both"/>
    </w:pPr>
  </w:style>
  <w:style w:type="paragraph" w:styleId="TOC1">
    <w:name w:val="toc 1"/>
    <w:basedOn w:val="Normal"/>
    <w:next w:val="Normal"/>
    <w:autoRedefine/>
    <w:uiPriority w:val="99"/>
    <w:semiHidden/>
    <w:rsid w:val="00F63FF4"/>
    <w:rPr>
      <w:caps/>
    </w:rPr>
  </w:style>
  <w:style w:type="character" w:styleId="FollowedHyperlink">
    <w:name w:val="FollowedHyperlink"/>
    <w:basedOn w:val="DefaultParagraphFont"/>
    <w:uiPriority w:val="99"/>
    <w:semiHidden/>
    <w:rsid w:val="00F63FF4"/>
    <w:rPr>
      <w:rFonts w:cs="Times New Roman"/>
      <w:color w:val="800080"/>
      <w:u w:val="single"/>
    </w:rPr>
  </w:style>
  <w:style w:type="paragraph" w:styleId="BalloonText">
    <w:name w:val="Balloon Text"/>
    <w:basedOn w:val="Normal"/>
    <w:link w:val="BalloonTextChar"/>
    <w:uiPriority w:val="99"/>
    <w:semiHidden/>
    <w:unhideWhenUsed/>
    <w:rsid w:val="00F012AB"/>
    <w:rPr>
      <w:rFonts w:ascii="Tahoma" w:hAnsi="Tahoma" w:cs="Tahoma"/>
      <w:sz w:val="16"/>
      <w:szCs w:val="16"/>
    </w:rPr>
  </w:style>
  <w:style w:type="character" w:customStyle="1" w:styleId="BalloonTextChar">
    <w:name w:val="Balloon Text Char"/>
    <w:basedOn w:val="DefaultParagraphFont"/>
    <w:link w:val="BalloonText"/>
    <w:uiPriority w:val="99"/>
    <w:semiHidden/>
    <w:rsid w:val="00F012AB"/>
    <w:rPr>
      <w:rFonts w:ascii="Tahoma" w:hAnsi="Tahoma" w:cs="Tahoma"/>
      <w:sz w:val="16"/>
      <w:szCs w:val="16"/>
    </w:rPr>
  </w:style>
  <w:style w:type="character" w:customStyle="1" w:styleId="Normal1">
    <w:name w:val="Normal1"/>
    <w:rsid w:val="00F012AB"/>
    <w:rPr>
      <w:rFonts w:ascii="Times New Roman" w:hAnsi="Times New Roman"/>
      <w:noProof w:val="0"/>
      <w:sz w:val="20"/>
      <w:lang w:val="en-US"/>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rsid w:val="00F012AB"/>
    <w:rPr>
      <w:rFonts w:ascii="Times New Roman" w:eastAsia="Times New Roman" w:hAnsi="Times New Roman" w:cs="Times New Roman"/>
      <w:snapToGrid w:val="0"/>
      <w:sz w:val="20"/>
      <w:szCs w:val="20"/>
    </w:rPr>
  </w:style>
  <w:style w:type="paragraph" w:styleId="BodyText">
    <w:name w:val="Body Text"/>
    <w:aliases w:val="b"/>
    <w:basedOn w:val="Normal"/>
    <w:link w:val="BodyTextChar"/>
    <w:rsid w:val="00F012AB"/>
    <w:pPr>
      <w:widowControl w:val="0"/>
      <w:spacing w:after="240"/>
      <w:ind w:firstLine="720"/>
    </w:pPr>
    <w:rPr>
      <w:snapToGrid w:val="0"/>
    </w:rPr>
  </w:style>
  <w:style w:type="character" w:customStyle="1" w:styleId="BodyTextChar">
    <w:name w:val="Body Text Char"/>
    <w:aliases w:val="b Char"/>
    <w:basedOn w:val="DefaultParagraphFont"/>
    <w:link w:val="BodyText"/>
    <w:rsid w:val="00F012AB"/>
    <w:rPr>
      <w:snapToGrid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1525</Words>
  <Characters>8815</Characters>
  <Application>Microsoft Office Word</Application>
  <DocSecurity>0</DocSecurity>
  <Lines>138</Lines>
  <Paragraphs>27</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10375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2013-09-18T12:17:00Z</cp:lastPrinted>
  <dcterms:created xsi:type="dcterms:W3CDTF">2013-09-20T20:51:00Z</dcterms:created>
  <dcterms:modified xsi:type="dcterms:W3CDTF">2013-09-20T20:51:00Z</dcterms:modified>
  <cp:category> </cp:category>
  <cp:contentStatus> </cp:contentStatus>
</cp:coreProperties>
</file>