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CD" w:rsidRPr="00A06955" w:rsidRDefault="00BD48CD" w:rsidP="00520596">
      <w:pPr>
        <w:jc w:val="right"/>
        <w:rPr>
          <w:rFonts w:ascii="Times New Roman Bold" w:hAnsi="Times New Roman Bold"/>
          <w:b/>
        </w:rPr>
      </w:pPr>
      <w:bookmarkStart w:id="0" w:name="_GoBack"/>
      <w:bookmarkEnd w:id="0"/>
      <w:r w:rsidRPr="00A06955">
        <w:rPr>
          <w:rFonts w:ascii="Times New Roman Bold" w:hAnsi="Times New Roman Bold"/>
          <w:b/>
        </w:rPr>
        <w:t>DA 13-</w:t>
      </w:r>
      <w:r w:rsidR="00D34DEE">
        <w:rPr>
          <w:rFonts w:ascii="Times New Roman Bold" w:hAnsi="Times New Roman Bold"/>
          <w:b/>
        </w:rPr>
        <w:t>1954</w:t>
      </w:r>
    </w:p>
    <w:p w:rsidR="00BD48CD" w:rsidRPr="00A06955" w:rsidRDefault="00BD48CD" w:rsidP="00520596">
      <w:pPr>
        <w:jc w:val="right"/>
        <w:rPr>
          <w:rFonts w:ascii="Times New Roman Bold" w:hAnsi="Times New Roman Bold"/>
          <w:b/>
        </w:rPr>
      </w:pPr>
      <w:r w:rsidRPr="00A06955">
        <w:rPr>
          <w:rFonts w:ascii="Times New Roman Bold" w:hAnsi="Times New Roman Bold"/>
          <w:b/>
        </w:rPr>
        <w:t xml:space="preserve">Released:  </w:t>
      </w:r>
      <w:r>
        <w:rPr>
          <w:rFonts w:ascii="Times New Roman Bold" w:hAnsi="Times New Roman Bold"/>
          <w:b/>
        </w:rPr>
        <w:t>September</w:t>
      </w:r>
      <w:r w:rsidRPr="00A06955">
        <w:rPr>
          <w:rFonts w:ascii="Times New Roman Bold" w:hAnsi="Times New Roman Bold"/>
          <w:b/>
        </w:rPr>
        <w:t xml:space="preserve"> </w:t>
      </w:r>
      <w:r w:rsidR="008A5D8A" w:rsidRPr="0066110B">
        <w:rPr>
          <w:rFonts w:ascii="Times New Roman Bold" w:hAnsi="Times New Roman Bold"/>
          <w:b/>
        </w:rPr>
        <w:t>23</w:t>
      </w:r>
      <w:r w:rsidRPr="00A06955">
        <w:rPr>
          <w:rFonts w:ascii="Times New Roman Bold" w:hAnsi="Times New Roman Bold"/>
          <w:b/>
        </w:rPr>
        <w:t>, 2013</w:t>
      </w:r>
    </w:p>
    <w:p w:rsidR="00BD48CD" w:rsidRPr="00E50B4A" w:rsidRDefault="00BD48CD" w:rsidP="00520596">
      <w:pPr>
        <w:spacing w:before="60"/>
        <w:jc w:val="right"/>
        <w:rPr>
          <w:rFonts w:ascii="Times New Roman Bold" w:hAnsi="Times New Roman Bold"/>
          <w:b/>
        </w:rPr>
      </w:pPr>
    </w:p>
    <w:p w:rsidR="00BD48CD" w:rsidRPr="00E50B4A" w:rsidRDefault="00BD48CD" w:rsidP="00520596">
      <w:pPr>
        <w:spacing w:before="60"/>
        <w:jc w:val="center"/>
        <w:rPr>
          <w:rFonts w:ascii="Times New Roman Bold" w:hAnsi="Times New Roman Bold"/>
          <w:b/>
        </w:rPr>
      </w:pPr>
      <w:r>
        <w:rPr>
          <w:rFonts w:ascii="Times New Roman Bold" w:hAnsi="Times New Roman Bold"/>
          <w:b/>
        </w:rPr>
        <w:t xml:space="preserve">MEDIA BUREAU SEEKS COMMENT ON CATALOG OF ELIGIBLE EXPENSES AND OTHER ISSUES RELATED TO THE REIMBURSEMENT OF BROADCASTER CHANNEL REASSIGNMENT COSTS </w:t>
      </w:r>
    </w:p>
    <w:p w:rsidR="00BD48CD" w:rsidRPr="00E50B4A" w:rsidRDefault="00BD48CD" w:rsidP="00520596">
      <w:pPr>
        <w:spacing w:before="60"/>
        <w:jc w:val="center"/>
        <w:rPr>
          <w:rFonts w:ascii="Times New Roman Bold" w:hAnsi="Times New Roman Bold"/>
          <w:b/>
        </w:rPr>
      </w:pPr>
    </w:p>
    <w:p w:rsidR="00BD48CD" w:rsidRPr="00E50B4A" w:rsidRDefault="00BD48CD" w:rsidP="00520596">
      <w:pPr>
        <w:spacing w:before="60"/>
        <w:jc w:val="center"/>
        <w:rPr>
          <w:rFonts w:ascii="Times New Roman Bold" w:hAnsi="Times New Roman Bold"/>
          <w:b/>
        </w:rPr>
      </w:pPr>
      <w:r>
        <w:rPr>
          <w:rFonts w:ascii="Times New Roman Bold" w:hAnsi="Times New Roman Bold"/>
          <w:b/>
        </w:rPr>
        <w:t xml:space="preserve">GN </w:t>
      </w:r>
      <w:r w:rsidRPr="00E50B4A">
        <w:rPr>
          <w:rFonts w:ascii="Times New Roman Bold" w:hAnsi="Times New Roman Bold"/>
          <w:b/>
        </w:rPr>
        <w:t xml:space="preserve">Docket No. </w:t>
      </w:r>
      <w:r>
        <w:rPr>
          <w:rFonts w:ascii="Times New Roman Bold" w:hAnsi="Times New Roman Bold"/>
          <w:b/>
        </w:rPr>
        <w:t>12</w:t>
      </w:r>
      <w:r w:rsidRPr="00E50B4A">
        <w:rPr>
          <w:rFonts w:ascii="Times New Roman Bold" w:hAnsi="Times New Roman Bold"/>
          <w:b/>
        </w:rPr>
        <w:t>-</w:t>
      </w:r>
      <w:r>
        <w:rPr>
          <w:rFonts w:ascii="Times New Roman Bold" w:hAnsi="Times New Roman Bold"/>
          <w:b/>
        </w:rPr>
        <w:t>2</w:t>
      </w:r>
      <w:r w:rsidRPr="00E50B4A">
        <w:rPr>
          <w:rFonts w:ascii="Times New Roman Bold" w:hAnsi="Times New Roman Bold"/>
          <w:b/>
        </w:rPr>
        <w:t xml:space="preserve">68 </w:t>
      </w:r>
    </w:p>
    <w:p w:rsidR="00BD48CD" w:rsidRPr="00E50B4A" w:rsidRDefault="00BD48CD" w:rsidP="00520596">
      <w:pPr>
        <w:spacing w:before="60"/>
        <w:rPr>
          <w:rFonts w:ascii="Times New Roman Bold" w:hAnsi="Times New Roman Bold"/>
          <w:b/>
        </w:rPr>
      </w:pPr>
    </w:p>
    <w:p w:rsidR="00BD48CD" w:rsidRPr="00A06955" w:rsidRDefault="00BD48CD" w:rsidP="00520596">
      <w:pPr>
        <w:spacing w:before="60"/>
        <w:rPr>
          <w:rFonts w:ascii="Times New Roman Bold" w:hAnsi="Times New Roman Bold"/>
          <w:b/>
        </w:rPr>
      </w:pPr>
      <w:r w:rsidRPr="00A06955">
        <w:rPr>
          <w:rFonts w:ascii="Times New Roman Bold" w:hAnsi="Times New Roman Bold"/>
          <w:b/>
        </w:rPr>
        <w:t>Comment</w:t>
      </w:r>
      <w:r>
        <w:rPr>
          <w:rFonts w:ascii="Times New Roman Bold" w:hAnsi="Times New Roman Bold"/>
          <w:b/>
        </w:rPr>
        <w:t>s Due:</w:t>
      </w:r>
      <w:r w:rsidRPr="00A06955">
        <w:rPr>
          <w:rFonts w:ascii="Times New Roman Bold" w:hAnsi="Times New Roman Bold"/>
          <w:b/>
        </w:rPr>
        <w:t xml:space="preserve"> </w:t>
      </w:r>
      <w:r>
        <w:rPr>
          <w:rFonts w:ascii="Times New Roman Bold" w:hAnsi="Times New Roman Bold"/>
          <w:b/>
        </w:rPr>
        <w:t xml:space="preserve"> October </w:t>
      </w:r>
      <w:r w:rsidR="008D1032" w:rsidRPr="0066110B">
        <w:rPr>
          <w:rFonts w:ascii="Times New Roman Bold" w:hAnsi="Times New Roman Bold"/>
          <w:b/>
        </w:rPr>
        <w:t>31</w:t>
      </w:r>
      <w:r w:rsidRPr="0066110B">
        <w:rPr>
          <w:rFonts w:ascii="Times New Roman Bold" w:hAnsi="Times New Roman Bold"/>
          <w:b/>
        </w:rPr>
        <w:t>,</w:t>
      </w:r>
      <w:r>
        <w:rPr>
          <w:rFonts w:ascii="Times New Roman Bold" w:hAnsi="Times New Roman Bold"/>
          <w:b/>
        </w:rPr>
        <w:t xml:space="preserve"> 2013 </w:t>
      </w:r>
    </w:p>
    <w:p w:rsidR="00BD48CD" w:rsidRPr="007222F4" w:rsidRDefault="00BD48CD" w:rsidP="00520596">
      <w:pPr>
        <w:spacing w:before="60"/>
        <w:rPr>
          <w:rFonts w:ascii="Times New Roman Bold" w:hAnsi="Times New Roman Bold"/>
        </w:rPr>
      </w:pPr>
      <w:r w:rsidRPr="007222F4">
        <w:rPr>
          <w:rFonts w:ascii="Times New Roman Bold" w:hAnsi="Times New Roman Bold"/>
          <w:b/>
        </w:rPr>
        <w:t>Reply Comment</w:t>
      </w:r>
      <w:r>
        <w:rPr>
          <w:rFonts w:ascii="Times New Roman Bold" w:hAnsi="Times New Roman Bold"/>
          <w:b/>
        </w:rPr>
        <w:t>s Due</w:t>
      </w:r>
      <w:r w:rsidRPr="007222F4">
        <w:rPr>
          <w:rFonts w:ascii="Times New Roman Bold" w:hAnsi="Times New Roman Bold"/>
          <w:b/>
        </w:rPr>
        <w:t xml:space="preserve">: </w:t>
      </w:r>
      <w:r>
        <w:rPr>
          <w:rFonts w:ascii="Times New Roman Bold" w:hAnsi="Times New Roman Bold"/>
          <w:b/>
        </w:rPr>
        <w:t xml:space="preserve"> November </w:t>
      </w:r>
      <w:r w:rsidR="008D1032" w:rsidRPr="0066110B">
        <w:rPr>
          <w:rFonts w:ascii="Times New Roman Bold" w:hAnsi="Times New Roman Bold"/>
          <w:b/>
        </w:rPr>
        <w:t>14</w:t>
      </w:r>
      <w:r w:rsidRPr="0066110B">
        <w:rPr>
          <w:rFonts w:ascii="Times New Roman Bold" w:hAnsi="Times New Roman Bold"/>
          <w:b/>
        </w:rPr>
        <w:t>,</w:t>
      </w:r>
      <w:r>
        <w:rPr>
          <w:rFonts w:ascii="Times New Roman Bold" w:hAnsi="Times New Roman Bold"/>
          <w:b/>
        </w:rPr>
        <w:t xml:space="preserve"> 2013</w:t>
      </w:r>
    </w:p>
    <w:p w:rsidR="00BD48CD" w:rsidRPr="00E50B4A" w:rsidRDefault="00BD48CD" w:rsidP="00520596">
      <w:pPr>
        <w:spacing w:before="60"/>
        <w:rPr>
          <w:rFonts w:ascii="Times New Roman Bold" w:hAnsi="Times New Roman Bold"/>
          <w:sz w:val="24"/>
        </w:rPr>
      </w:pPr>
    </w:p>
    <w:p w:rsidR="00BD48CD" w:rsidRDefault="00BD48CD" w:rsidP="00520596">
      <w:pPr>
        <w:pStyle w:val="Paranum0"/>
        <w:widowControl/>
        <w:ind w:firstLine="720"/>
        <w:jc w:val="left"/>
        <w:rPr>
          <w:szCs w:val="22"/>
        </w:rPr>
      </w:pPr>
      <w:r w:rsidDel="006D0727">
        <w:t>The Spectrum Act</w:t>
      </w:r>
      <w:r w:rsidDel="006D0727">
        <w:rPr>
          <w:rStyle w:val="FootnoteReference"/>
        </w:rPr>
        <w:footnoteReference w:id="2"/>
      </w:r>
      <w:r w:rsidDel="006D0727">
        <w:t xml:space="preserve"> establishes a $1.75 billion TV Broadcaster Relocation Fund (Fund) to be used for reimbursement of eligible relocation costs.</w:t>
      </w:r>
      <w:r w:rsidDel="006D0727">
        <w:rPr>
          <w:rStyle w:val="FootnoteReference"/>
        </w:rPr>
        <w:footnoteReference w:id="3"/>
      </w:r>
      <w:r>
        <w:t xml:space="preserve">  </w:t>
      </w:r>
      <w:r>
        <w:rPr>
          <w:szCs w:val="22"/>
        </w:rPr>
        <w:t xml:space="preserve">In </w:t>
      </w:r>
      <w:r>
        <w:t>t</w:t>
      </w:r>
      <w:r w:rsidRPr="00B1192F">
        <w:rPr>
          <w:szCs w:val="22"/>
        </w:rPr>
        <w:t xml:space="preserve">he </w:t>
      </w:r>
      <w:r w:rsidRPr="00062A94">
        <w:rPr>
          <w:i/>
          <w:szCs w:val="22"/>
        </w:rPr>
        <w:t>Broadcast Television Incentive Auction</w:t>
      </w:r>
      <w:r w:rsidRPr="00EB2C74">
        <w:rPr>
          <w:i/>
          <w:szCs w:val="22"/>
        </w:rPr>
        <w:t xml:space="preserve"> </w:t>
      </w:r>
      <w:r w:rsidRPr="00062A94">
        <w:rPr>
          <w:i/>
          <w:szCs w:val="22"/>
        </w:rPr>
        <w:t>NPRM</w:t>
      </w:r>
      <w:r w:rsidRPr="00B1192F">
        <w:rPr>
          <w:szCs w:val="22"/>
        </w:rPr>
        <w:t xml:space="preserve"> (NPRM), the Commission sought comment on the types of costs broadcasters and MVPDs are likely to incur and how to determine whether such costs are “reasonable” for purposes of reimbursement under the statute.</w:t>
      </w:r>
      <w:r>
        <w:rPr>
          <w:rStyle w:val="FootnoteReference"/>
          <w:szCs w:val="22"/>
        </w:rPr>
        <w:footnoteReference w:id="4"/>
      </w:r>
      <w:r>
        <w:rPr>
          <w:szCs w:val="22"/>
        </w:rPr>
        <w:t xml:space="preserve">  For example, the NPRM sought comment on the types of </w:t>
      </w:r>
      <w:r>
        <w:t>“hard” costs, such as new equipment and tower rigging, and “soft” costs, such as legal and engineering services, that broadcasters and MVPDs might incur.</w:t>
      </w:r>
      <w:r>
        <w:rPr>
          <w:rStyle w:val="FootnoteReference"/>
        </w:rPr>
        <w:footnoteReference w:id="5"/>
      </w:r>
      <w:r>
        <w:t xml:space="preserve">  </w:t>
      </w:r>
      <w:r>
        <w:rPr>
          <w:szCs w:val="22"/>
        </w:rPr>
        <w:t>In this Public Notice, the Media Bureau seeks to develop further the record on these cost issues as well as solicit additional comment on cost mitigation strategies as set out in the NPRM.  The Commission will also hold a public workshop on September 30, 2013 to discuss cost and cost mitigation issues.</w:t>
      </w:r>
      <w:r>
        <w:rPr>
          <w:rStyle w:val="FootnoteReference"/>
          <w:szCs w:val="22"/>
        </w:rPr>
        <w:footnoteReference w:id="6"/>
      </w:r>
    </w:p>
    <w:p w:rsidR="00BD48CD" w:rsidRPr="00B1192F" w:rsidRDefault="00BD48CD" w:rsidP="00520596">
      <w:pPr>
        <w:pStyle w:val="Paranum0"/>
        <w:widowControl/>
        <w:ind w:firstLine="720"/>
        <w:jc w:val="left"/>
      </w:pPr>
      <w:r>
        <w:rPr>
          <w:szCs w:val="22"/>
        </w:rPr>
        <w:lastRenderedPageBreak/>
        <w:t xml:space="preserve">Specifically, we </w:t>
      </w:r>
      <w:r w:rsidRPr="00B1192F">
        <w:rPr>
          <w:szCs w:val="22"/>
        </w:rPr>
        <w:t>invite comment on</w:t>
      </w:r>
      <w:r>
        <w:rPr>
          <w:szCs w:val="22"/>
        </w:rPr>
        <w:t xml:space="preserve"> a preliminary Catalog of Eligible Expenses</w:t>
      </w:r>
      <w:r w:rsidR="00A1108E">
        <w:rPr>
          <w:szCs w:val="22"/>
        </w:rPr>
        <w:t xml:space="preserve"> (included as an Attachment</w:t>
      </w:r>
      <w:r w:rsidR="00B31283">
        <w:rPr>
          <w:szCs w:val="22"/>
        </w:rPr>
        <w:t>)</w:t>
      </w:r>
      <w:r>
        <w:rPr>
          <w:szCs w:val="22"/>
        </w:rPr>
        <w:t>, which contains categories and descriptions of expenses that we believe broadcasters and MVPDs are most likely to incur as a result of broadcaster channel reassignments</w:t>
      </w:r>
      <w:r w:rsidRPr="00B1192F">
        <w:rPr>
          <w:szCs w:val="22"/>
        </w:rPr>
        <w:t>.</w:t>
      </w:r>
      <w:r>
        <w:rPr>
          <w:szCs w:val="22"/>
        </w:rPr>
        <w:t xml:space="preserve"> </w:t>
      </w:r>
      <w:r w:rsidR="00B31283">
        <w:rPr>
          <w:szCs w:val="22"/>
        </w:rPr>
        <w:t xml:space="preserve"> </w:t>
      </w:r>
      <w:r>
        <w:rPr>
          <w:szCs w:val="22"/>
        </w:rPr>
        <w:t>Although t</w:t>
      </w:r>
      <w:r w:rsidRPr="00B1192F">
        <w:rPr>
          <w:szCs w:val="22"/>
        </w:rPr>
        <w:t>he record in this proceeding contain</w:t>
      </w:r>
      <w:r>
        <w:rPr>
          <w:szCs w:val="22"/>
        </w:rPr>
        <w:t>s some comments addressing expense types,</w:t>
      </w:r>
      <w:r>
        <w:rPr>
          <w:rStyle w:val="FootnoteReference"/>
          <w:szCs w:val="22"/>
        </w:rPr>
        <w:footnoteReference w:id="7"/>
      </w:r>
      <w:r w:rsidR="00B31283">
        <w:rPr>
          <w:szCs w:val="22"/>
        </w:rPr>
        <w:t xml:space="preserve"> </w:t>
      </w:r>
      <w:r>
        <w:rPr>
          <w:szCs w:val="22"/>
        </w:rPr>
        <w:t xml:space="preserve">the </w:t>
      </w:r>
      <w:r w:rsidRPr="00B1192F">
        <w:rPr>
          <w:szCs w:val="22"/>
        </w:rPr>
        <w:t xml:space="preserve">Commission </w:t>
      </w:r>
      <w:r>
        <w:rPr>
          <w:szCs w:val="22"/>
        </w:rPr>
        <w:t xml:space="preserve">has </w:t>
      </w:r>
      <w:r w:rsidRPr="00B1192F">
        <w:rPr>
          <w:szCs w:val="22"/>
        </w:rPr>
        <w:t xml:space="preserve">engaged a third-party contractor to help </w:t>
      </w:r>
      <w:r>
        <w:rPr>
          <w:szCs w:val="22"/>
        </w:rPr>
        <w:t xml:space="preserve">further </w:t>
      </w:r>
      <w:r w:rsidRPr="00B1192F">
        <w:rPr>
          <w:szCs w:val="22"/>
        </w:rPr>
        <w:t xml:space="preserve">identify the types of </w:t>
      </w:r>
      <w:r>
        <w:rPr>
          <w:szCs w:val="22"/>
        </w:rPr>
        <w:t>costs broadcasters and MVPDs might</w:t>
      </w:r>
      <w:r w:rsidRPr="00B1192F">
        <w:rPr>
          <w:szCs w:val="22"/>
        </w:rPr>
        <w:t xml:space="preserve"> incur as a result of </w:t>
      </w:r>
      <w:r>
        <w:rPr>
          <w:szCs w:val="22"/>
        </w:rPr>
        <w:t>channel reassignments</w:t>
      </w:r>
      <w:r w:rsidRPr="00B1192F">
        <w:rPr>
          <w:szCs w:val="22"/>
        </w:rPr>
        <w:t xml:space="preserve">.  </w:t>
      </w:r>
      <w:r>
        <w:rPr>
          <w:szCs w:val="22"/>
        </w:rPr>
        <w:t xml:space="preserve">With this input and other research, we have developed a preliminary Catalog of Eligible Expenses, which is attached to this Public Notice.  </w:t>
      </w:r>
      <w:r>
        <w:t>Although</w:t>
      </w:r>
      <w:r>
        <w:rPr>
          <w:szCs w:val="22"/>
        </w:rPr>
        <w:t xml:space="preserve"> the Catalog of Eligible Expenses represents an initial summary of common expenses broadcasters and MVPDs may incur, we encourage commenters to identify any additional expense categories that they believe should be eligible for reimbursement.  </w:t>
      </w:r>
    </w:p>
    <w:p w:rsidR="00BD48CD" w:rsidRDefault="00BD48CD" w:rsidP="00520596">
      <w:pPr>
        <w:pStyle w:val="Paranum0"/>
        <w:widowControl/>
        <w:ind w:firstLine="720"/>
        <w:jc w:val="left"/>
      </w:pPr>
      <w:r>
        <w:t xml:space="preserve">In addition to seeking comment on the kinds of costs broadcasters and MVPDs will incur, we seek comment on the prices associated with the hard and soft costs included in the Catalog of Eligible Expenses.  We are interested both in specific price information, as well as more general information on the costs broadcasters and MVPDs expect to incur.  For example, do broadcasters typically pay list price for equipment or are discounts common, particularly for bulk orders or for station group owners?  If so, what kinds of discounts generally apply?   </w:t>
      </w:r>
    </w:p>
    <w:p w:rsidR="00BD48CD" w:rsidRDefault="00BD48CD" w:rsidP="00520596">
      <w:pPr>
        <w:pStyle w:val="Paranum0"/>
        <w:widowControl/>
        <w:ind w:firstLine="720"/>
        <w:jc w:val="left"/>
      </w:pPr>
      <w:r w:rsidRPr="00B87D6A">
        <w:t xml:space="preserve">Given the Spectrum Act’s $1.75 billion limit on reimbursements, </w:t>
      </w:r>
      <w:r>
        <w:t xml:space="preserve">the NPRM also sought comment on </w:t>
      </w:r>
      <w:r w:rsidRPr="00B87D6A">
        <w:t xml:space="preserve">potential ways to mitigate costs associated with channel </w:t>
      </w:r>
      <w:r>
        <w:t>reassignment, such as through bulk purchasing or services agreements by broadcasters and repurposing equipment that is no longer needed by a broadcaster following relocation to a new channel</w:t>
      </w:r>
      <w:r w:rsidRPr="00B87D6A">
        <w:t>.</w:t>
      </w:r>
      <w:r>
        <w:rPr>
          <w:rStyle w:val="FootnoteReference"/>
        </w:rPr>
        <w:footnoteReference w:id="8"/>
      </w:r>
      <w:r w:rsidRPr="00B87D6A">
        <w:t xml:space="preserve"> </w:t>
      </w:r>
      <w:r>
        <w:t xml:space="preserve"> We received minimal comments on bulk purchasing and, thus, seek specific comment on the viability of having broadcasters organize bulk purchasing or services arrangements to generate costs savings.  Or are the services and equipment necessary to accomplish a channel reassignment too customized to be eligible for discounts or bulk purchasing?  We invite commenters to address these and additional ways that could reduce the costs associated with channel reassignment.  For example, a</w:t>
      </w:r>
      <w:r w:rsidRPr="00B87D6A">
        <w:t xml:space="preserve">re there </w:t>
      </w:r>
      <w:r w:rsidRPr="00F1748A">
        <w:t>ways to encourage manufacturers and service providers to establish prices with built-in discounts that reflect the volume of business that channel re</w:t>
      </w:r>
      <w:r>
        <w:t>assignments</w:t>
      </w:r>
      <w:r w:rsidRPr="00F1748A">
        <w:t xml:space="preserve"> will generate?  </w:t>
      </w:r>
      <w:r>
        <w:t xml:space="preserve">For purposes of reimbursement from the Fund, if </w:t>
      </w:r>
      <w:r w:rsidRPr="00B87D6A">
        <w:t xml:space="preserve">certain types of costs included in </w:t>
      </w:r>
      <w:r>
        <w:t>the Catalog of Eligible Expenses (such as for HVAC systems)</w:t>
      </w:r>
      <w:r w:rsidRPr="00B87D6A">
        <w:t xml:space="preserve"> are already part of a General Services Administration (GSA) Schedule</w:t>
      </w:r>
      <w:r>
        <w:t>,</w:t>
      </w:r>
      <w:r w:rsidRPr="00B87D6A">
        <w:t xml:space="preserve"> should the Commission limit reimbursement to the prices offered by the vendors who sell to federal agencies</w:t>
      </w:r>
      <w:r>
        <w:t>?</w:t>
      </w:r>
      <w:r w:rsidRPr="00B87D6A">
        <w:rPr>
          <w:rStyle w:val="FootnoteReference"/>
        </w:rPr>
        <w:footnoteReference w:id="9"/>
      </w:r>
      <w:r w:rsidRPr="00B87D6A">
        <w:t xml:space="preserve">  </w:t>
      </w:r>
      <w:r>
        <w:t>W</w:t>
      </w:r>
      <w:r w:rsidRPr="00B87D6A">
        <w:t xml:space="preserve">e </w:t>
      </w:r>
      <w:r>
        <w:t xml:space="preserve">also </w:t>
      </w:r>
      <w:r w:rsidRPr="00B87D6A">
        <w:t>seek comment on whether to require entities seeking reimbursement from the Fund to obtain competitive bids for equipment and services that exceed a certain dollar threshold.  If so, what is the appropriate dollar threshold above which competitive bids should be required?  Should the Commission require competitive bids any time a broadcaster requests reimbursement from the Fund for a particular type of equipment or service (such as for the construction of a new tower)?</w:t>
      </w:r>
      <w:r>
        <w:t xml:space="preserve">  Is such a requirement feasible for all stations, including non-commercial stations that may be owned by entities such as state governments which are already subject to certain purchasing rules?  </w:t>
      </w:r>
    </w:p>
    <w:p w:rsidR="00BD48CD" w:rsidRDefault="00BD48CD" w:rsidP="00520596">
      <w:pPr>
        <w:pStyle w:val="Paranum0"/>
        <w:widowControl/>
        <w:ind w:firstLine="720"/>
        <w:jc w:val="left"/>
      </w:pPr>
      <w:r>
        <w:lastRenderedPageBreak/>
        <w:t>Broadcasters may also realize cost savings, and other benefits, associated with tower co-location or sharing a broadband antenna or other facilities.  Should the Commission encourage broadcasters seeking reimbursement from the Fund to pursue tower and antenna sharing arrangements and, if so, how?  Broadcasters may also require interim equipment to continue broadcasting during the post-auction transition.  We invite comment on ways in which broadcasters can incorporate interim equipment into their permanent facilities, thus saving the expense of potentially purchasing the same equipment twice.</w:t>
      </w:r>
      <w:r w:rsidRPr="00B87D6A">
        <w:t xml:space="preserve">  </w:t>
      </w:r>
      <w:r>
        <w:t>Also, are there any circumstances under which the FCC could incentivize cost savings by sharing with broadcasters and MVPDs money saved as a result of cost-saving measures?</w:t>
      </w:r>
      <w:r w:rsidRPr="00B87D6A">
        <w:t xml:space="preserve"> </w:t>
      </w:r>
      <w:r>
        <w:t xml:space="preserve"> </w:t>
      </w:r>
      <w:r w:rsidRPr="003D0122">
        <w:t>We invite comment on any additional cost mitigation and transition coordination strategies that could reduce expenses and facil</w:t>
      </w:r>
      <w:r w:rsidRPr="003E01B2">
        <w:t xml:space="preserve">itate broadcasters’ moves to new channels.  </w:t>
      </w:r>
    </w:p>
    <w:p w:rsidR="00BD48CD" w:rsidRDefault="00BD48CD" w:rsidP="00520596">
      <w:pPr>
        <w:pStyle w:val="Paranum0"/>
        <w:widowControl/>
        <w:ind w:firstLine="720"/>
        <w:jc w:val="center"/>
      </w:pPr>
      <w:r>
        <w:t>***</w:t>
      </w:r>
    </w:p>
    <w:p w:rsidR="00BD48CD" w:rsidRPr="00025758" w:rsidRDefault="00BD48CD" w:rsidP="00520596">
      <w:pPr>
        <w:suppressAutoHyphens w:val="0"/>
        <w:spacing w:after="220"/>
        <w:ind w:firstLine="720"/>
        <w:rPr>
          <w:szCs w:val="22"/>
          <w:lang w:eastAsia="en-US"/>
        </w:rPr>
      </w:pPr>
      <w:r w:rsidRPr="00025758">
        <w:rPr>
          <w:szCs w:val="22"/>
          <w:lang w:eastAsia="en-US"/>
        </w:rPr>
        <w:t xml:space="preserve">Interested parties may file comments and reply comments on or before </w:t>
      </w:r>
      <w:r w:rsidRPr="00025758">
        <w:rPr>
          <w:bCs/>
          <w:szCs w:val="22"/>
          <w:lang w:eastAsia="en-US"/>
        </w:rPr>
        <w:t>the dates indicated on the first page of this document</w:t>
      </w:r>
      <w:r w:rsidRPr="00025758">
        <w:rPr>
          <w:szCs w:val="22"/>
          <w:lang w:eastAsia="en-US"/>
        </w:rPr>
        <w:t xml:space="preserve">.  When filing comments, please reference </w:t>
      </w:r>
      <w:r w:rsidRPr="00025758">
        <w:rPr>
          <w:b/>
          <w:szCs w:val="22"/>
          <w:lang w:eastAsia="en-US"/>
        </w:rPr>
        <w:t>GN Docket No. 12-268</w:t>
      </w:r>
      <w:r w:rsidRPr="00025758">
        <w:rPr>
          <w:szCs w:val="22"/>
          <w:lang w:eastAsia="en-US"/>
        </w:rPr>
        <w:t>.</w:t>
      </w:r>
      <w:r w:rsidRPr="00025758">
        <w:rPr>
          <w:spacing w:val="-2"/>
          <w:szCs w:val="22"/>
          <w:vertAlign w:val="superscript"/>
          <w:lang w:eastAsia="en-US"/>
        </w:rPr>
        <w:footnoteReference w:id="10"/>
      </w:r>
    </w:p>
    <w:p w:rsidR="00BD48CD" w:rsidRPr="00025758" w:rsidRDefault="00BD48CD" w:rsidP="00520596">
      <w:pPr>
        <w:suppressAutoHyphens w:val="0"/>
        <w:spacing w:after="220"/>
        <w:ind w:firstLine="720"/>
        <w:rPr>
          <w:szCs w:val="22"/>
          <w:lang w:eastAsia="en-US"/>
        </w:rPr>
      </w:pPr>
      <w:r w:rsidRPr="00025758">
        <w:rPr>
          <w:szCs w:val="22"/>
          <w:lang w:eastAsia="en-US"/>
        </w:rPr>
        <w:t>Comments may be filed using the Commission’s Electronic Comment Filing System (ECFS) or by filing paper copies.</w:t>
      </w:r>
      <w:r w:rsidRPr="00025758">
        <w:rPr>
          <w:szCs w:val="22"/>
          <w:vertAlign w:val="superscript"/>
          <w:lang w:eastAsia="en-US"/>
        </w:rPr>
        <w:footnoteReference w:id="11"/>
      </w:r>
      <w:r w:rsidRPr="00025758">
        <w:rPr>
          <w:szCs w:val="22"/>
          <w:vertAlign w:val="superscript"/>
          <w:lang w:eastAsia="en-US"/>
        </w:rPr>
        <w:t xml:space="preserve"> </w:t>
      </w:r>
      <w:r w:rsidRPr="00025758">
        <w:rPr>
          <w:szCs w:val="22"/>
          <w:lang w:eastAsia="en-US"/>
        </w:rPr>
        <w:t xml:space="preserve"> Comments filed through the ECFS can be sent as an electronic file via the Internet to http://www.fcc.gov/cgb/ecfs/.  Generally, only one copy of an electronic submission must be filed.  If multiple docket or rulemaking numbers appear in the caption of the proceeding,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numbers.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  Parties who choose to file by paper must file an original and four copies of each filing.  If more than one docket or rulemaking number appears in the caption of this proceeding, commenters must submit two additional copies for each additional docket or rulemaking number.</w:t>
      </w:r>
    </w:p>
    <w:p w:rsidR="00BD48CD" w:rsidRPr="00025758" w:rsidRDefault="00BD48CD" w:rsidP="00520596">
      <w:pPr>
        <w:suppressAutoHyphens w:val="0"/>
        <w:spacing w:after="220"/>
        <w:ind w:firstLine="720"/>
        <w:rPr>
          <w:szCs w:val="22"/>
          <w:lang w:eastAsia="en-US"/>
        </w:rPr>
      </w:pPr>
      <w:r w:rsidRPr="00025758">
        <w:rPr>
          <w:szCs w:val="22"/>
          <w:lang w:eastAsia="en-US"/>
        </w:rPr>
        <w:t xml:space="preserve">Filings can be sent by hand or messenger delivery, by commercial overnight courier, or by first-class or overnight U.S. Postal Service mail (although we continue to experience delays in receiving U.S. Postal Service mail).  Parties are strongly encouraged to file comments electronically using the Commission’s ECFS.  All filings must be addressed to the Commission’s Secretary, Office of the Secretary, Federal Communications Commission, 445 12th Street, S.W., Washington, D.C. 20554.  </w:t>
      </w:r>
    </w:p>
    <w:p w:rsidR="00BD48CD" w:rsidRPr="00025758" w:rsidRDefault="00BD48CD" w:rsidP="00520596">
      <w:pPr>
        <w:numPr>
          <w:ilvl w:val="0"/>
          <w:numId w:val="16"/>
        </w:numPr>
        <w:tabs>
          <w:tab w:val="clear" w:pos="720"/>
          <w:tab w:val="num" w:pos="1350"/>
        </w:tabs>
        <w:suppressAutoHyphens w:val="0"/>
        <w:spacing w:after="220"/>
        <w:ind w:left="1350"/>
        <w:rPr>
          <w:szCs w:val="22"/>
          <w:lang w:eastAsia="en-US"/>
        </w:rPr>
      </w:pPr>
      <w:r w:rsidRPr="00025758">
        <w:rPr>
          <w:szCs w:val="22"/>
          <w:lang w:eastAsia="en-US"/>
        </w:rPr>
        <w:t>Effective December 28, 2009, all hand-delivered or messenger-delivered paper filings for the Commission’s Secretary must be delivered to FCC Headquarters at 445 12</w:t>
      </w:r>
      <w:r w:rsidRPr="00025758">
        <w:rPr>
          <w:szCs w:val="22"/>
          <w:vertAlign w:val="superscript"/>
          <w:lang w:eastAsia="en-US"/>
        </w:rPr>
        <w:t>th</w:t>
      </w:r>
      <w:r w:rsidRPr="00025758">
        <w:rPr>
          <w:szCs w:val="22"/>
          <w:lang w:eastAsia="en-US"/>
        </w:rPr>
        <w:t xml:space="preserve"> St., SW, Room TW-A325, Washington, DC 20554.  All hand deliveries must be held together with rubber bands or fasteners.  Any envelopes must be disposed of </w:t>
      </w:r>
      <w:r w:rsidRPr="00025758">
        <w:rPr>
          <w:szCs w:val="22"/>
          <w:u w:val="single"/>
          <w:lang w:eastAsia="en-US"/>
        </w:rPr>
        <w:t>before</w:t>
      </w:r>
      <w:r w:rsidRPr="00025758">
        <w:rPr>
          <w:szCs w:val="22"/>
          <w:lang w:eastAsia="en-US"/>
        </w:rPr>
        <w:t xml:space="preserve"> entering the building.  The filing hours at this location are 8:00 a.m. to 7:00 p.m.</w:t>
      </w:r>
    </w:p>
    <w:p w:rsidR="00BD48CD" w:rsidRPr="00025758" w:rsidRDefault="00BD48CD" w:rsidP="00520596">
      <w:pPr>
        <w:numPr>
          <w:ilvl w:val="0"/>
          <w:numId w:val="16"/>
        </w:numPr>
        <w:tabs>
          <w:tab w:val="clear" w:pos="720"/>
          <w:tab w:val="num" w:pos="1350"/>
        </w:tabs>
        <w:suppressAutoHyphens w:val="0"/>
        <w:spacing w:after="220"/>
        <w:ind w:left="1350"/>
        <w:rPr>
          <w:szCs w:val="22"/>
          <w:lang w:eastAsia="en-US"/>
        </w:rPr>
      </w:pPr>
      <w:r w:rsidRPr="00025758">
        <w:rPr>
          <w:szCs w:val="22"/>
          <w:lang w:eastAsia="en-US"/>
        </w:rPr>
        <w:t>Commercial overnight mail (other than U.S. Postal Service Express Mail and Priority Mail) must be sent to 9300 East Hampton Drive, Capitol Heights, MD  20743.</w:t>
      </w:r>
    </w:p>
    <w:p w:rsidR="00BD48CD" w:rsidRPr="00025758" w:rsidRDefault="00BD48CD" w:rsidP="00520596">
      <w:pPr>
        <w:numPr>
          <w:ilvl w:val="0"/>
          <w:numId w:val="16"/>
        </w:numPr>
        <w:tabs>
          <w:tab w:val="clear" w:pos="720"/>
          <w:tab w:val="num" w:pos="1350"/>
        </w:tabs>
        <w:suppressAutoHyphens w:val="0"/>
        <w:spacing w:after="220"/>
        <w:ind w:left="1350"/>
        <w:rPr>
          <w:szCs w:val="22"/>
          <w:lang w:eastAsia="en-US"/>
        </w:rPr>
      </w:pPr>
      <w:r w:rsidRPr="00025758">
        <w:rPr>
          <w:szCs w:val="22"/>
          <w:lang w:eastAsia="en-US"/>
        </w:rPr>
        <w:t>U.S. Postal Service first-class, Express, and Priority mail must be addressed to 445 12</w:t>
      </w:r>
      <w:r w:rsidRPr="00025758">
        <w:rPr>
          <w:szCs w:val="22"/>
          <w:vertAlign w:val="superscript"/>
          <w:lang w:eastAsia="en-US"/>
        </w:rPr>
        <w:t>th</w:t>
      </w:r>
      <w:r w:rsidRPr="00025758">
        <w:rPr>
          <w:szCs w:val="22"/>
          <w:lang w:eastAsia="en-US"/>
        </w:rPr>
        <w:t xml:space="preserve"> Street, SW, Washington DC  20554.</w:t>
      </w:r>
    </w:p>
    <w:p w:rsidR="00BD48CD" w:rsidRPr="00025758" w:rsidRDefault="00BD48CD" w:rsidP="00520596">
      <w:pPr>
        <w:suppressAutoHyphens w:val="0"/>
        <w:spacing w:after="220"/>
        <w:ind w:firstLine="720"/>
        <w:rPr>
          <w:szCs w:val="22"/>
          <w:lang w:eastAsia="en-US"/>
        </w:rPr>
      </w:pPr>
      <w:r w:rsidRPr="00025758">
        <w:rPr>
          <w:szCs w:val="22"/>
          <w:lang w:eastAsia="en-US"/>
        </w:rPr>
        <w:t>Parties shall also serve one copy with the Commission’s copy contractor, Best Copy and Printing, Inc. (BCPI), Portals II, 445 12th Street, S.W., Room CY-B402, Washington, D.C. 20554, (202) 488-5300, or via e-mail to fcc@bcpiweb.com.</w:t>
      </w:r>
    </w:p>
    <w:p w:rsidR="00BD48CD" w:rsidRPr="00025758" w:rsidRDefault="00BD48CD" w:rsidP="00520596">
      <w:pPr>
        <w:suppressAutoHyphens w:val="0"/>
        <w:spacing w:after="220"/>
        <w:ind w:firstLine="720"/>
        <w:rPr>
          <w:szCs w:val="22"/>
          <w:lang w:eastAsia="en-US"/>
        </w:rPr>
      </w:pPr>
      <w:r w:rsidRPr="00025758">
        <w:rPr>
          <w:szCs w:val="22"/>
          <w:lang w:eastAsia="en-US"/>
        </w:rPr>
        <w:t>Documents in GN Docket No. 12-268 will be available for public inspection and copying during business hours at the FCC Reference Information Center, Portals II, 445 12</w:t>
      </w:r>
      <w:r w:rsidRPr="00025758">
        <w:rPr>
          <w:szCs w:val="22"/>
          <w:vertAlign w:val="superscript"/>
          <w:lang w:eastAsia="en-US"/>
        </w:rPr>
        <w:t>th</w:t>
      </w:r>
      <w:r w:rsidRPr="00025758">
        <w:rPr>
          <w:szCs w:val="22"/>
          <w:lang w:eastAsia="en-US"/>
        </w:rPr>
        <w:t xml:space="preserve"> St. S.W., Room CY-A257, Washington, DC 20554.  The documents may also be purchased from BCPI, telephone (202) 488-5300, facsimile (202) 488-5563, TTY (202) 488-5562, e-mail fcc@bcpiweb.com.</w:t>
      </w:r>
    </w:p>
    <w:p w:rsidR="00BD48CD" w:rsidRPr="00025758" w:rsidRDefault="00BD48CD" w:rsidP="00520596">
      <w:pPr>
        <w:suppressAutoHyphens w:val="0"/>
        <w:spacing w:after="220"/>
        <w:ind w:firstLine="720"/>
        <w:rPr>
          <w:szCs w:val="22"/>
          <w:lang w:eastAsia="en-US"/>
        </w:rPr>
      </w:pPr>
      <w:r w:rsidRPr="00025758">
        <w:rPr>
          <w:szCs w:val="22"/>
          <w:lang w:eastAsia="en-US"/>
        </w:rPr>
        <w:t>To request materials in accessible formats for people with disabilities (Braille, large print, electronic files, audio format), send an e-mail to fcc504@fcc.gov or call the Consumer &amp; Governmental Affairs Bureau at 202-418-0530 (voice), 202-418-0432 (tty).</w:t>
      </w:r>
    </w:p>
    <w:p w:rsidR="00BD48CD" w:rsidRPr="00C43D83" w:rsidRDefault="00BD48CD" w:rsidP="00520596">
      <w:pPr>
        <w:suppressAutoHyphens w:val="0"/>
        <w:spacing w:after="220"/>
        <w:ind w:firstLine="720"/>
        <w:rPr>
          <w:szCs w:val="22"/>
        </w:rPr>
      </w:pPr>
      <w:r w:rsidRPr="00025758">
        <w:rPr>
          <w:szCs w:val="22"/>
          <w:lang w:eastAsia="en-US"/>
        </w:rPr>
        <w:t xml:space="preserve">This matter shall be treated as a “permit-but-disclose” proceeding in accordance with the </w:t>
      </w:r>
      <w:r w:rsidRPr="00025758">
        <w:rPr>
          <w:i/>
          <w:szCs w:val="22"/>
          <w:lang w:eastAsia="en-US"/>
        </w:rPr>
        <w:t>ex parte</w:t>
      </w:r>
      <w:r w:rsidRPr="00025758">
        <w:rPr>
          <w:szCs w:val="22"/>
          <w:lang w:eastAsia="en-US"/>
        </w:rPr>
        <w:t xml:space="preserve"> rules.</w:t>
      </w:r>
      <w:r w:rsidRPr="00025758">
        <w:rPr>
          <w:szCs w:val="22"/>
          <w:vertAlign w:val="superscript"/>
          <w:lang w:eastAsia="en-US"/>
        </w:rPr>
        <w:footnoteReference w:id="12"/>
      </w:r>
      <w:r w:rsidRPr="00025758">
        <w:rPr>
          <w:szCs w:val="22"/>
          <w:lang w:eastAsia="en-US"/>
        </w:rPr>
        <w:t xml:space="preserve">  Persons making oral </w:t>
      </w:r>
      <w:r w:rsidRPr="00025758">
        <w:rPr>
          <w:i/>
          <w:szCs w:val="22"/>
          <w:lang w:eastAsia="en-US"/>
        </w:rPr>
        <w:t>ex parte</w:t>
      </w:r>
      <w:r w:rsidRPr="00025758">
        <w:rPr>
          <w:szCs w:val="22"/>
          <w:lang w:eastAsia="en-US"/>
        </w:rPr>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generally is required.</w:t>
      </w:r>
      <w:r w:rsidRPr="00025758">
        <w:rPr>
          <w:szCs w:val="22"/>
          <w:vertAlign w:val="superscript"/>
          <w:lang w:eastAsia="en-US"/>
        </w:rPr>
        <w:footnoteReference w:id="13"/>
      </w:r>
      <w:r w:rsidRPr="00025758">
        <w:rPr>
          <w:szCs w:val="22"/>
          <w:lang w:eastAsia="en-US"/>
        </w:rPr>
        <w:t xml:space="preserve">  Other requirements pertaining to oral and written presentations are set forth in section 1.1206(b) of the rules.</w:t>
      </w:r>
      <w:r w:rsidRPr="00025758">
        <w:rPr>
          <w:szCs w:val="22"/>
          <w:vertAlign w:val="superscript"/>
          <w:lang w:eastAsia="en-US"/>
        </w:rPr>
        <w:footnoteReference w:id="14"/>
      </w:r>
    </w:p>
    <w:p w:rsidR="00BD48CD" w:rsidRDefault="00BD48CD" w:rsidP="00520596">
      <w:pPr>
        <w:pStyle w:val="Paranum0"/>
        <w:widowControl/>
        <w:jc w:val="left"/>
      </w:pPr>
      <w:r w:rsidRPr="008B3A7D">
        <w:t xml:space="preserve">For </w:t>
      </w:r>
      <w:r>
        <w:t xml:space="preserve">additional information on this proceeding, </w:t>
      </w:r>
      <w:r w:rsidRPr="008B3A7D">
        <w:t>contact Kim Matthews</w:t>
      </w:r>
      <w:r>
        <w:t xml:space="preserve">, </w:t>
      </w:r>
      <w:hyperlink r:id="rId8" w:history="1">
        <w:r w:rsidRPr="00E16B85">
          <w:rPr>
            <w:rStyle w:val="Hyperlink"/>
          </w:rPr>
          <w:t>Kim.Matthews@fcc.gov</w:t>
        </w:r>
      </w:hyperlink>
      <w:r>
        <w:t xml:space="preserve">, (202-418-2154), Pamela Gallant, </w:t>
      </w:r>
      <w:hyperlink r:id="rId9" w:history="1">
        <w:r w:rsidRPr="00B2656E">
          <w:rPr>
            <w:rStyle w:val="Hyperlink"/>
          </w:rPr>
          <w:t>Pamela.Gallant@fcc.gov</w:t>
        </w:r>
      </w:hyperlink>
      <w:r>
        <w:t xml:space="preserve">, (202- 418-0614), or Mary Margaret Jackson, </w:t>
      </w:r>
      <w:hyperlink r:id="rId10" w:history="1">
        <w:r w:rsidRPr="00B2656E">
          <w:rPr>
            <w:rStyle w:val="Hyperlink"/>
          </w:rPr>
          <w:t>MaryMargaret.Jackson@fcc.gov</w:t>
        </w:r>
      </w:hyperlink>
      <w:r>
        <w:t xml:space="preserve">, (202-418-3641) </w:t>
      </w:r>
      <w:r w:rsidRPr="008B3A7D">
        <w:t>of the Media Bureau</w:t>
      </w:r>
      <w:r>
        <w:t xml:space="preserve">, Policy Division. </w:t>
      </w:r>
      <w:r w:rsidRPr="008B3A7D">
        <w:t xml:space="preserve">Press </w:t>
      </w:r>
      <w:r>
        <w:t xml:space="preserve">contact: </w:t>
      </w:r>
      <w:r w:rsidRPr="008B3A7D">
        <w:t>Janice Wise</w:t>
      </w:r>
      <w:r>
        <w:t>,</w:t>
      </w:r>
      <w:r w:rsidRPr="008B3A7D">
        <w:t xml:space="preserve"> </w:t>
      </w:r>
      <w:hyperlink r:id="rId11" w:history="1">
        <w:r w:rsidRPr="00E16B85">
          <w:rPr>
            <w:rStyle w:val="Hyperlink"/>
          </w:rPr>
          <w:t>Janice.Wise@fcc.gov</w:t>
        </w:r>
      </w:hyperlink>
      <w:r>
        <w:t xml:space="preserve"> (</w:t>
      </w:r>
      <w:r w:rsidRPr="008B3A7D">
        <w:t>202</w:t>
      </w:r>
      <w:r>
        <w:t>-</w:t>
      </w:r>
      <w:r w:rsidRPr="008B3A7D">
        <w:t xml:space="preserve"> 418-8165</w:t>
      </w:r>
      <w:r>
        <w:t>)</w:t>
      </w:r>
      <w:r w:rsidRPr="008B3A7D">
        <w:t>.</w:t>
      </w:r>
    </w:p>
    <w:p w:rsidR="00BD48CD" w:rsidRPr="005F3D8F" w:rsidRDefault="00BD48CD" w:rsidP="00520596">
      <w:pPr>
        <w:pStyle w:val="Paranum0"/>
        <w:widowControl/>
        <w:ind w:left="3600" w:firstLine="720"/>
      </w:pPr>
      <w:r>
        <w:t xml:space="preserve">- </w:t>
      </w:r>
      <w:r w:rsidRPr="005F3D8F">
        <w:t>FCC</w:t>
      </w:r>
      <w:r>
        <w:t xml:space="preserve"> -</w:t>
      </w:r>
    </w:p>
    <w:p w:rsidR="00BD48CD" w:rsidRPr="00682228" w:rsidRDefault="00BD48CD" w:rsidP="00520596"/>
    <w:p w:rsidR="00BD48CD" w:rsidRPr="008B3A7D" w:rsidRDefault="00BD48CD" w:rsidP="00520596">
      <w:pPr>
        <w:tabs>
          <w:tab w:val="num" w:pos="720"/>
        </w:tabs>
      </w:pPr>
    </w:p>
    <w:p w:rsidR="00C634D5" w:rsidRDefault="00C634D5" w:rsidP="00520596">
      <w:pPr>
        <w:sectPr w:rsidR="00C634D5" w:rsidSect="000C2D7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1"/>
          <w:cols w:space="720"/>
          <w:noEndnote/>
          <w:titlePg/>
          <w:docGrid w:linePitch="299"/>
        </w:sectPr>
      </w:pPr>
    </w:p>
    <w:p w:rsidR="00C634D5" w:rsidRPr="00E8191E" w:rsidRDefault="00C634D5" w:rsidP="00520596">
      <w:pPr>
        <w:keepNext/>
        <w:keepLines/>
        <w:suppressAutoHyphens w:val="0"/>
        <w:spacing w:before="480" w:line="276" w:lineRule="auto"/>
        <w:rPr>
          <w:b/>
          <w:bCs/>
          <w:szCs w:val="22"/>
          <w:lang w:eastAsia="ja-JP"/>
        </w:rPr>
      </w:pPr>
      <w:r w:rsidRPr="00E8191E">
        <w:rPr>
          <w:b/>
          <w:bCs/>
          <w:szCs w:val="22"/>
          <w:lang w:eastAsia="ja-JP"/>
        </w:rPr>
        <w:t>Table of Contents</w:t>
      </w:r>
    </w:p>
    <w:p w:rsidR="00C634D5" w:rsidRPr="00C634D5" w:rsidRDefault="00C634D5" w:rsidP="00520596">
      <w:pPr>
        <w:tabs>
          <w:tab w:val="left" w:pos="720"/>
          <w:tab w:val="right" w:leader="dot" w:pos="12950"/>
        </w:tabs>
        <w:suppressAutoHyphens w:val="0"/>
        <w:spacing w:after="100" w:line="276" w:lineRule="auto"/>
        <w:rPr>
          <w:rFonts w:ascii="Calibri" w:eastAsia="Calibri" w:hAnsi="Calibri"/>
          <w:noProof/>
          <w:szCs w:val="22"/>
          <w:lang w:eastAsia="en-US"/>
        </w:rPr>
      </w:pPr>
      <w:r w:rsidRPr="00C634D5">
        <w:rPr>
          <w:rFonts w:eastAsia="Calibri"/>
          <w:b/>
          <w:szCs w:val="22"/>
          <w:lang w:eastAsia="en-US"/>
        </w:rPr>
        <w:fldChar w:fldCharType="begin"/>
      </w:r>
      <w:r w:rsidRPr="00C634D5">
        <w:rPr>
          <w:rFonts w:eastAsia="Calibri"/>
          <w:b/>
          <w:szCs w:val="22"/>
          <w:lang w:eastAsia="en-US"/>
        </w:rPr>
        <w:instrText xml:space="preserve"> TOC \o "1-3" \h \z \u </w:instrText>
      </w:r>
      <w:r w:rsidRPr="00C634D5">
        <w:rPr>
          <w:rFonts w:eastAsia="Calibri"/>
          <w:b/>
          <w:szCs w:val="22"/>
          <w:lang w:eastAsia="en-US"/>
        </w:rPr>
        <w:fldChar w:fldCharType="separate"/>
      </w:r>
      <w:hyperlink w:anchor="_Toc367183353" w:history="1">
        <w:r w:rsidRPr="00C634D5">
          <w:rPr>
            <w:rFonts w:eastAsia="Calibri"/>
            <w:noProof/>
            <w:sz w:val="24"/>
            <w:szCs w:val="22"/>
            <w:lang w:eastAsia="en-US"/>
          </w:rPr>
          <w:t>I.</w:t>
        </w:r>
        <w:r w:rsidRPr="00C634D5">
          <w:rPr>
            <w:rFonts w:ascii="Calibri" w:eastAsia="Calibri" w:hAnsi="Calibri"/>
            <w:noProof/>
            <w:szCs w:val="22"/>
            <w:lang w:eastAsia="en-US"/>
          </w:rPr>
          <w:tab/>
        </w:r>
        <w:r w:rsidRPr="00C634D5">
          <w:rPr>
            <w:rFonts w:eastAsia="Calibri"/>
            <w:noProof/>
            <w:sz w:val="24"/>
            <w:szCs w:val="22"/>
            <w:lang w:eastAsia="en-US"/>
          </w:rPr>
          <w:t>ABOUT THIS CATALOG</w:t>
        </w:r>
        <w:r w:rsidRPr="00C634D5">
          <w:rPr>
            <w:rFonts w:eastAsia="Calibri"/>
            <w:noProof/>
            <w:webHidden/>
            <w:sz w:val="24"/>
            <w:szCs w:val="22"/>
            <w:lang w:eastAsia="en-US"/>
          </w:rPr>
          <w:tab/>
        </w:r>
        <w:r w:rsidRPr="00C634D5">
          <w:rPr>
            <w:rFonts w:eastAsia="Calibri"/>
            <w:noProof/>
            <w:webHidden/>
            <w:sz w:val="24"/>
            <w:szCs w:val="22"/>
            <w:lang w:eastAsia="en-US"/>
          </w:rPr>
          <w:fldChar w:fldCharType="begin"/>
        </w:r>
        <w:r w:rsidRPr="00C634D5">
          <w:rPr>
            <w:rFonts w:eastAsia="Calibri"/>
            <w:noProof/>
            <w:webHidden/>
            <w:sz w:val="24"/>
            <w:szCs w:val="22"/>
            <w:lang w:eastAsia="en-US"/>
          </w:rPr>
          <w:instrText xml:space="preserve"> PAGEREF _Toc367183353 \h </w:instrText>
        </w:r>
        <w:r w:rsidRPr="00C634D5">
          <w:rPr>
            <w:rFonts w:eastAsia="Calibri"/>
            <w:noProof/>
            <w:webHidden/>
            <w:sz w:val="24"/>
            <w:szCs w:val="22"/>
            <w:lang w:eastAsia="en-US"/>
          </w:rPr>
        </w:r>
        <w:r w:rsidRPr="00C634D5">
          <w:rPr>
            <w:rFonts w:eastAsia="Calibri"/>
            <w:noProof/>
            <w:webHidden/>
            <w:sz w:val="24"/>
            <w:szCs w:val="22"/>
            <w:lang w:eastAsia="en-US"/>
          </w:rPr>
          <w:fldChar w:fldCharType="separate"/>
        </w:r>
        <w:r w:rsidR="00F34F37">
          <w:rPr>
            <w:rFonts w:eastAsia="Calibri"/>
            <w:noProof/>
            <w:webHidden/>
            <w:sz w:val="24"/>
            <w:szCs w:val="22"/>
            <w:lang w:eastAsia="en-US"/>
          </w:rPr>
          <w:t>2</w:t>
        </w:r>
        <w:r w:rsidRPr="00C634D5">
          <w:rPr>
            <w:rFonts w:eastAsia="Calibri"/>
            <w:noProof/>
            <w:webHidden/>
            <w:sz w:val="24"/>
            <w:szCs w:val="22"/>
            <w:lang w:eastAsia="en-US"/>
          </w:rPr>
          <w:fldChar w:fldCharType="end"/>
        </w:r>
      </w:hyperlink>
    </w:p>
    <w:p w:rsidR="00C634D5" w:rsidRPr="00C634D5" w:rsidRDefault="007C58AB" w:rsidP="00520596">
      <w:pPr>
        <w:tabs>
          <w:tab w:val="left" w:pos="720"/>
          <w:tab w:val="right" w:leader="dot" w:pos="12950"/>
        </w:tabs>
        <w:suppressAutoHyphens w:val="0"/>
        <w:spacing w:after="100" w:line="276" w:lineRule="auto"/>
        <w:rPr>
          <w:rFonts w:ascii="Calibri" w:eastAsia="Calibri" w:hAnsi="Calibri"/>
          <w:noProof/>
          <w:szCs w:val="22"/>
          <w:lang w:eastAsia="en-US"/>
        </w:rPr>
      </w:pPr>
      <w:hyperlink w:anchor="_Toc367183354" w:history="1">
        <w:r w:rsidR="00C634D5" w:rsidRPr="00C634D5">
          <w:rPr>
            <w:rFonts w:eastAsia="Calibri"/>
            <w:noProof/>
            <w:sz w:val="24"/>
            <w:szCs w:val="22"/>
            <w:lang w:eastAsia="en-US"/>
          </w:rPr>
          <w:t>II.</w:t>
        </w:r>
        <w:r w:rsidR="00C634D5" w:rsidRPr="00C634D5">
          <w:rPr>
            <w:rFonts w:ascii="Calibri" w:eastAsia="Calibri" w:hAnsi="Calibri"/>
            <w:noProof/>
            <w:szCs w:val="22"/>
            <w:lang w:eastAsia="en-US"/>
          </w:rPr>
          <w:tab/>
        </w:r>
        <w:r w:rsidR="00C634D5" w:rsidRPr="00C634D5">
          <w:rPr>
            <w:rFonts w:eastAsia="Calibri"/>
            <w:noProof/>
            <w:sz w:val="24"/>
            <w:szCs w:val="22"/>
            <w:lang w:eastAsia="en-US"/>
          </w:rPr>
          <w:t>BROADCAST COSTS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_Toc367183354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2</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900"/>
          <w:tab w:val="right" w:leader="dot" w:pos="12950"/>
        </w:tabs>
        <w:suppressAutoHyphens w:val="0"/>
        <w:spacing w:after="100" w:line="276" w:lineRule="auto"/>
        <w:ind w:left="240"/>
        <w:rPr>
          <w:rFonts w:ascii="Calibri" w:eastAsia="Calibri" w:hAnsi="Calibri"/>
          <w:noProof/>
          <w:szCs w:val="22"/>
          <w:lang w:eastAsia="en-US"/>
        </w:rPr>
      </w:pPr>
      <w:hyperlink w:anchor="_Toc367183355" w:history="1">
        <w:r w:rsidR="00C634D5" w:rsidRPr="00C634D5">
          <w:rPr>
            <w:rFonts w:eastAsia="Calibri"/>
            <w:noProof/>
            <w:sz w:val="24"/>
            <w:szCs w:val="22"/>
            <w:lang w:eastAsia="en-US"/>
          </w:rPr>
          <w:t>A.</w:t>
        </w:r>
        <w:r w:rsidR="00C634D5" w:rsidRPr="00C634D5">
          <w:rPr>
            <w:rFonts w:ascii="Calibri" w:eastAsia="Calibri" w:hAnsi="Calibri"/>
            <w:noProof/>
            <w:szCs w:val="22"/>
            <w:lang w:eastAsia="en-US"/>
          </w:rPr>
          <w:tab/>
        </w:r>
        <w:r w:rsidR="00C634D5" w:rsidRPr="00C634D5">
          <w:rPr>
            <w:rFonts w:eastAsia="Calibri"/>
            <w:noProof/>
            <w:sz w:val="24"/>
            <w:szCs w:val="22"/>
            <w:lang w:eastAsia="en-US"/>
          </w:rPr>
          <w:t>TRANSMITTERS AND IN-BUILDING EXPENSES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_Toc367183355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2</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1100"/>
          <w:tab w:val="right" w:leader="dot" w:pos="12950"/>
        </w:tabs>
        <w:suppressAutoHyphens w:val="0"/>
        <w:spacing w:after="100" w:line="276" w:lineRule="auto"/>
        <w:ind w:left="480"/>
        <w:rPr>
          <w:rFonts w:ascii="Calibri" w:eastAsia="Calibri" w:hAnsi="Calibri"/>
          <w:noProof/>
          <w:szCs w:val="22"/>
          <w:lang w:eastAsia="en-US"/>
        </w:rPr>
      </w:pPr>
      <w:hyperlink w:anchor="_Toc367183356" w:history="1">
        <w:r w:rsidR="00C634D5" w:rsidRPr="00C634D5">
          <w:rPr>
            <w:rFonts w:eastAsia="Calibri"/>
            <w:noProof/>
            <w:sz w:val="24"/>
            <w:szCs w:val="22"/>
            <w:lang w:eastAsia="en-US"/>
          </w:rPr>
          <w:t>1.</w:t>
        </w:r>
        <w:r w:rsidR="00C634D5" w:rsidRPr="00C634D5">
          <w:rPr>
            <w:rFonts w:ascii="Calibri" w:eastAsia="Calibri" w:hAnsi="Calibri"/>
            <w:noProof/>
            <w:szCs w:val="22"/>
            <w:lang w:eastAsia="en-US"/>
          </w:rPr>
          <w:tab/>
        </w:r>
        <w:r w:rsidR="00C634D5" w:rsidRPr="00C634D5">
          <w:rPr>
            <w:rFonts w:eastAsia="Calibri"/>
            <w:noProof/>
            <w:sz w:val="24"/>
            <w:szCs w:val="22"/>
            <w:lang w:eastAsia="en-US"/>
          </w:rPr>
          <w:t>Retune Existing Transmitter</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_Toc367183356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2</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1100"/>
          <w:tab w:val="right" w:leader="dot" w:pos="12950"/>
        </w:tabs>
        <w:suppressAutoHyphens w:val="0"/>
        <w:spacing w:after="100" w:line="276" w:lineRule="auto"/>
        <w:ind w:left="480"/>
        <w:rPr>
          <w:rFonts w:ascii="Calibri" w:eastAsia="Calibri" w:hAnsi="Calibri"/>
          <w:noProof/>
          <w:szCs w:val="22"/>
          <w:lang w:eastAsia="en-US"/>
        </w:rPr>
      </w:pPr>
      <w:hyperlink w:anchor="_Toc367183357" w:history="1">
        <w:r w:rsidR="00C634D5" w:rsidRPr="00C634D5">
          <w:rPr>
            <w:rFonts w:eastAsia="Calibri"/>
            <w:noProof/>
            <w:sz w:val="24"/>
            <w:szCs w:val="22"/>
            <w:lang w:eastAsia="en-US"/>
          </w:rPr>
          <w:t>2.</w:t>
        </w:r>
        <w:r w:rsidR="00C634D5" w:rsidRPr="00C634D5">
          <w:rPr>
            <w:rFonts w:ascii="Calibri" w:eastAsia="Calibri" w:hAnsi="Calibri"/>
            <w:noProof/>
            <w:szCs w:val="22"/>
            <w:lang w:eastAsia="en-US"/>
          </w:rPr>
          <w:tab/>
        </w:r>
        <w:r w:rsidR="00C634D5" w:rsidRPr="00C634D5">
          <w:rPr>
            <w:rFonts w:eastAsia="Calibri"/>
            <w:noProof/>
            <w:sz w:val="24"/>
            <w:szCs w:val="22"/>
            <w:lang w:eastAsia="en-US"/>
          </w:rPr>
          <w:t>New Transmitters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_Toc367183357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4</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1100"/>
          <w:tab w:val="right" w:leader="dot" w:pos="12950"/>
        </w:tabs>
        <w:suppressAutoHyphens w:val="0"/>
        <w:spacing w:after="100" w:line="276" w:lineRule="auto"/>
        <w:ind w:left="480"/>
        <w:rPr>
          <w:rFonts w:ascii="Calibri" w:eastAsia="Calibri" w:hAnsi="Calibri"/>
          <w:noProof/>
          <w:szCs w:val="22"/>
          <w:lang w:eastAsia="en-US"/>
        </w:rPr>
      </w:pPr>
      <w:hyperlink w:anchor="_Toc367183358" w:history="1">
        <w:r w:rsidR="00C634D5" w:rsidRPr="00C634D5">
          <w:rPr>
            <w:rFonts w:eastAsia="Calibri"/>
            <w:noProof/>
            <w:sz w:val="24"/>
            <w:szCs w:val="22"/>
            <w:lang w:eastAsia="en-US"/>
          </w:rPr>
          <w:t>3.</w:t>
        </w:r>
        <w:r w:rsidR="00C634D5" w:rsidRPr="00C634D5">
          <w:rPr>
            <w:rFonts w:ascii="Calibri" w:eastAsia="Calibri" w:hAnsi="Calibri"/>
            <w:noProof/>
            <w:szCs w:val="22"/>
            <w:lang w:eastAsia="en-US"/>
          </w:rPr>
          <w:tab/>
        </w:r>
        <w:r w:rsidR="00C634D5" w:rsidRPr="00C634D5">
          <w:rPr>
            <w:rFonts w:eastAsia="Calibri"/>
            <w:noProof/>
            <w:sz w:val="24"/>
            <w:szCs w:val="22"/>
            <w:lang w:eastAsia="en-US"/>
          </w:rPr>
          <w:t>Other Transmitter Expenses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_Toc367183358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5</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900"/>
          <w:tab w:val="right" w:leader="dot" w:pos="12950"/>
        </w:tabs>
        <w:suppressAutoHyphens w:val="0"/>
        <w:spacing w:after="100" w:line="276" w:lineRule="auto"/>
        <w:ind w:left="240"/>
        <w:rPr>
          <w:rFonts w:ascii="Calibri" w:eastAsia="Calibri" w:hAnsi="Calibri"/>
          <w:noProof/>
          <w:szCs w:val="22"/>
          <w:lang w:eastAsia="en-US"/>
        </w:rPr>
      </w:pPr>
      <w:hyperlink w:anchor="_Toc367183359" w:history="1">
        <w:r w:rsidR="00C634D5" w:rsidRPr="00C634D5">
          <w:rPr>
            <w:rFonts w:eastAsia="Calibri"/>
            <w:noProof/>
            <w:sz w:val="24"/>
            <w:szCs w:val="22"/>
            <w:lang w:eastAsia="en-US"/>
          </w:rPr>
          <w:t>B.</w:t>
        </w:r>
        <w:r w:rsidR="00C634D5" w:rsidRPr="00C634D5">
          <w:rPr>
            <w:rFonts w:ascii="Calibri" w:eastAsia="Calibri" w:hAnsi="Calibri"/>
            <w:noProof/>
            <w:szCs w:val="22"/>
            <w:lang w:eastAsia="en-US"/>
          </w:rPr>
          <w:tab/>
        </w:r>
        <w:r w:rsidR="00C634D5" w:rsidRPr="00C634D5">
          <w:rPr>
            <w:rFonts w:eastAsia="Calibri"/>
            <w:noProof/>
            <w:sz w:val="24"/>
            <w:szCs w:val="22"/>
            <w:lang w:eastAsia="en-US"/>
          </w:rPr>
          <w:t>ANTENNAS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_Toc367183359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6</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900"/>
          <w:tab w:val="right" w:leader="dot" w:pos="12950"/>
        </w:tabs>
        <w:suppressAutoHyphens w:val="0"/>
        <w:spacing w:after="100" w:line="276" w:lineRule="auto"/>
        <w:ind w:left="240"/>
        <w:rPr>
          <w:rFonts w:ascii="Calibri" w:eastAsia="Calibri" w:hAnsi="Calibri"/>
          <w:noProof/>
          <w:szCs w:val="22"/>
          <w:lang w:eastAsia="en-US"/>
        </w:rPr>
      </w:pPr>
      <w:hyperlink w:anchor="_Toc367183360" w:history="1">
        <w:r w:rsidR="00C634D5" w:rsidRPr="00C634D5">
          <w:rPr>
            <w:rFonts w:eastAsia="Calibri"/>
            <w:noProof/>
            <w:sz w:val="24"/>
            <w:szCs w:val="22"/>
            <w:lang w:eastAsia="en-US"/>
          </w:rPr>
          <w:t>C.</w:t>
        </w:r>
        <w:r w:rsidR="00C634D5" w:rsidRPr="00C634D5">
          <w:rPr>
            <w:rFonts w:ascii="Calibri" w:eastAsia="Calibri" w:hAnsi="Calibri"/>
            <w:noProof/>
            <w:szCs w:val="22"/>
            <w:lang w:eastAsia="en-US"/>
          </w:rPr>
          <w:tab/>
        </w:r>
        <w:r w:rsidR="00C634D5" w:rsidRPr="00C634D5">
          <w:rPr>
            <w:rFonts w:eastAsia="Calibri"/>
            <w:noProof/>
            <w:sz w:val="24"/>
            <w:szCs w:val="22"/>
            <w:lang w:eastAsia="en-US"/>
          </w:rPr>
          <w:t>TRANSMISSION LINES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_Toc367183360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7</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900"/>
          <w:tab w:val="right" w:leader="dot" w:pos="12950"/>
        </w:tabs>
        <w:suppressAutoHyphens w:val="0"/>
        <w:spacing w:after="100" w:line="276" w:lineRule="auto"/>
        <w:ind w:left="240"/>
        <w:rPr>
          <w:rFonts w:ascii="Calibri" w:eastAsia="Calibri" w:hAnsi="Calibri"/>
          <w:noProof/>
          <w:szCs w:val="22"/>
          <w:lang w:eastAsia="en-US"/>
        </w:rPr>
      </w:pPr>
      <w:hyperlink w:anchor="_Toc367183361" w:history="1">
        <w:r w:rsidR="00C634D5" w:rsidRPr="00C634D5">
          <w:rPr>
            <w:rFonts w:eastAsia="Calibri"/>
            <w:noProof/>
            <w:sz w:val="24"/>
            <w:szCs w:val="22"/>
            <w:lang w:eastAsia="en-US"/>
          </w:rPr>
          <w:t>D.</w:t>
        </w:r>
        <w:r w:rsidR="00C634D5" w:rsidRPr="00C634D5">
          <w:rPr>
            <w:rFonts w:ascii="Calibri" w:eastAsia="Calibri" w:hAnsi="Calibri"/>
            <w:noProof/>
            <w:szCs w:val="22"/>
            <w:lang w:eastAsia="en-US"/>
          </w:rPr>
          <w:tab/>
        </w:r>
        <w:r w:rsidR="00C634D5" w:rsidRPr="00C634D5">
          <w:rPr>
            <w:rFonts w:eastAsia="Calibri"/>
            <w:noProof/>
            <w:sz w:val="24"/>
            <w:szCs w:val="22"/>
            <w:lang w:eastAsia="en-US"/>
          </w:rPr>
          <w:t>TOWER EQUIPMENT AND RIGGING</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_Toc367183361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8</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900"/>
          <w:tab w:val="right" w:leader="dot" w:pos="12950"/>
        </w:tabs>
        <w:suppressAutoHyphens w:val="0"/>
        <w:spacing w:after="100" w:line="276" w:lineRule="auto"/>
        <w:ind w:left="240"/>
        <w:rPr>
          <w:rFonts w:ascii="Calibri" w:eastAsia="Calibri" w:hAnsi="Calibri"/>
          <w:noProof/>
          <w:szCs w:val="22"/>
          <w:lang w:eastAsia="en-US"/>
        </w:rPr>
      </w:pPr>
      <w:hyperlink w:anchor="_Toc367183362" w:history="1">
        <w:r w:rsidR="00C634D5" w:rsidRPr="00C634D5">
          <w:rPr>
            <w:rFonts w:eastAsia="Calibri"/>
            <w:noProof/>
            <w:sz w:val="24"/>
            <w:szCs w:val="22"/>
            <w:lang w:eastAsia="en-US"/>
          </w:rPr>
          <w:t>E.</w:t>
        </w:r>
        <w:r w:rsidR="00C634D5" w:rsidRPr="00C634D5">
          <w:rPr>
            <w:rFonts w:ascii="Calibri" w:eastAsia="Calibri" w:hAnsi="Calibri"/>
            <w:noProof/>
            <w:szCs w:val="22"/>
            <w:lang w:eastAsia="en-US"/>
          </w:rPr>
          <w:tab/>
        </w:r>
        <w:r w:rsidR="00C634D5" w:rsidRPr="00C634D5">
          <w:rPr>
            <w:rFonts w:eastAsia="Calibri"/>
            <w:noProof/>
            <w:sz w:val="24"/>
            <w:szCs w:val="22"/>
            <w:lang w:eastAsia="en-US"/>
          </w:rPr>
          <w:t>INTERIM FACILITIES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_Toc367183362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9</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900"/>
          <w:tab w:val="right" w:leader="dot" w:pos="12950"/>
        </w:tabs>
        <w:suppressAutoHyphens w:val="0"/>
        <w:spacing w:after="100" w:line="276" w:lineRule="auto"/>
        <w:ind w:left="240"/>
        <w:rPr>
          <w:rFonts w:ascii="Calibri" w:eastAsia="Calibri" w:hAnsi="Calibri"/>
          <w:noProof/>
          <w:szCs w:val="22"/>
          <w:lang w:eastAsia="en-US"/>
        </w:rPr>
      </w:pPr>
      <w:hyperlink w:anchor="_Toc367183363" w:history="1">
        <w:r w:rsidR="00C634D5" w:rsidRPr="00C634D5">
          <w:rPr>
            <w:rFonts w:eastAsia="Calibri"/>
            <w:noProof/>
            <w:sz w:val="24"/>
            <w:szCs w:val="22"/>
            <w:lang w:eastAsia="en-US"/>
          </w:rPr>
          <w:t>F.</w:t>
        </w:r>
        <w:r w:rsidR="00C634D5" w:rsidRPr="00C634D5">
          <w:rPr>
            <w:rFonts w:ascii="Calibri" w:eastAsia="Calibri" w:hAnsi="Calibri"/>
            <w:noProof/>
            <w:szCs w:val="22"/>
            <w:lang w:eastAsia="en-US"/>
          </w:rPr>
          <w:tab/>
        </w:r>
        <w:r w:rsidR="00C634D5" w:rsidRPr="00C634D5">
          <w:rPr>
            <w:rFonts w:eastAsia="Calibri"/>
            <w:noProof/>
            <w:sz w:val="24"/>
            <w:szCs w:val="22"/>
            <w:lang w:eastAsia="en-US"/>
          </w:rPr>
          <w:t>SPECIAL CASES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_Toc367183363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9</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1100"/>
          <w:tab w:val="right" w:leader="dot" w:pos="12950"/>
        </w:tabs>
        <w:suppressAutoHyphens w:val="0"/>
        <w:spacing w:after="100" w:line="276" w:lineRule="auto"/>
        <w:ind w:left="480"/>
        <w:rPr>
          <w:rFonts w:ascii="Calibri" w:eastAsia="Calibri" w:hAnsi="Calibri"/>
          <w:noProof/>
          <w:szCs w:val="22"/>
          <w:lang w:eastAsia="en-US"/>
        </w:rPr>
      </w:pPr>
      <w:hyperlink w:anchor="_Toc367183364" w:history="1">
        <w:r w:rsidR="00C634D5" w:rsidRPr="00C634D5">
          <w:rPr>
            <w:rFonts w:eastAsia="Calibri"/>
            <w:noProof/>
            <w:sz w:val="24"/>
            <w:szCs w:val="22"/>
            <w:lang w:eastAsia="en-US"/>
          </w:rPr>
          <w:t>1.</w:t>
        </w:r>
        <w:r w:rsidR="00C634D5" w:rsidRPr="00C634D5">
          <w:rPr>
            <w:rFonts w:ascii="Calibri" w:eastAsia="Calibri" w:hAnsi="Calibri"/>
            <w:noProof/>
            <w:szCs w:val="22"/>
            <w:lang w:eastAsia="en-US"/>
          </w:rPr>
          <w:tab/>
        </w:r>
        <w:r w:rsidR="00C634D5" w:rsidRPr="00C634D5">
          <w:rPr>
            <w:rFonts w:eastAsia="Calibri"/>
            <w:noProof/>
            <w:sz w:val="24"/>
            <w:szCs w:val="22"/>
            <w:lang w:eastAsia="en-US"/>
          </w:rPr>
          <w:t>Channel 14</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_Toc367183364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9</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1100"/>
          <w:tab w:val="right" w:leader="dot" w:pos="12950"/>
        </w:tabs>
        <w:suppressAutoHyphens w:val="0"/>
        <w:spacing w:after="100" w:line="276" w:lineRule="auto"/>
        <w:ind w:left="480"/>
        <w:rPr>
          <w:rFonts w:ascii="Calibri" w:eastAsia="Calibri" w:hAnsi="Calibri"/>
          <w:noProof/>
          <w:szCs w:val="22"/>
          <w:lang w:eastAsia="en-US"/>
        </w:rPr>
      </w:pPr>
      <w:hyperlink w:anchor="_Toc367183365" w:history="1">
        <w:r w:rsidR="00C634D5" w:rsidRPr="00C634D5">
          <w:rPr>
            <w:rFonts w:eastAsia="Calibri"/>
            <w:noProof/>
            <w:sz w:val="24"/>
            <w:szCs w:val="22"/>
            <w:lang w:eastAsia="en-US"/>
          </w:rPr>
          <w:t>2.</w:t>
        </w:r>
        <w:r w:rsidR="00C634D5" w:rsidRPr="00C634D5">
          <w:rPr>
            <w:rFonts w:ascii="Calibri" w:eastAsia="Calibri" w:hAnsi="Calibri"/>
            <w:noProof/>
            <w:szCs w:val="22"/>
            <w:lang w:eastAsia="en-US"/>
          </w:rPr>
          <w:tab/>
        </w:r>
        <w:r w:rsidR="00C634D5" w:rsidRPr="00C634D5">
          <w:rPr>
            <w:rFonts w:eastAsia="Calibri"/>
            <w:noProof/>
            <w:sz w:val="24"/>
            <w:szCs w:val="22"/>
            <w:lang w:eastAsia="en-US"/>
          </w:rPr>
          <w:t>Distributed Transmission Services (DTS)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_Toc367183365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10</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1100"/>
          <w:tab w:val="right" w:leader="dot" w:pos="12950"/>
        </w:tabs>
        <w:suppressAutoHyphens w:val="0"/>
        <w:spacing w:after="100" w:line="276" w:lineRule="auto"/>
        <w:ind w:left="480"/>
        <w:rPr>
          <w:rFonts w:ascii="Calibri" w:eastAsia="Calibri" w:hAnsi="Calibri"/>
          <w:noProof/>
          <w:szCs w:val="22"/>
          <w:lang w:eastAsia="en-US"/>
        </w:rPr>
      </w:pPr>
      <w:hyperlink w:anchor="_Toc367183366" w:history="1">
        <w:r w:rsidR="00C634D5" w:rsidRPr="00C634D5">
          <w:rPr>
            <w:rFonts w:eastAsia="Calibri"/>
            <w:noProof/>
            <w:sz w:val="24"/>
            <w:szCs w:val="22"/>
            <w:lang w:eastAsia="en-US"/>
          </w:rPr>
          <w:t>3.</w:t>
        </w:r>
        <w:r w:rsidR="00C634D5" w:rsidRPr="00C634D5">
          <w:rPr>
            <w:rFonts w:ascii="Calibri" w:eastAsia="Calibri" w:hAnsi="Calibri"/>
            <w:noProof/>
            <w:szCs w:val="22"/>
            <w:lang w:eastAsia="en-US"/>
          </w:rPr>
          <w:tab/>
        </w:r>
        <w:r w:rsidR="00C634D5" w:rsidRPr="00C634D5">
          <w:rPr>
            <w:rFonts w:eastAsia="Calibri"/>
            <w:noProof/>
            <w:sz w:val="24"/>
            <w:szCs w:val="22"/>
            <w:lang w:eastAsia="en-US"/>
          </w:rPr>
          <w:t>AM Pattern Disturbance</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_Toc367183366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10</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900"/>
          <w:tab w:val="right" w:leader="dot" w:pos="12950"/>
        </w:tabs>
        <w:suppressAutoHyphens w:val="0"/>
        <w:spacing w:after="100" w:line="276" w:lineRule="auto"/>
        <w:ind w:left="240"/>
        <w:rPr>
          <w:rFonts w:ascii="Calibri" w:eastAsia="Calibri" w:hAnsi="Calibri"/>
          <w:noProof/>
          <w:szCs w:val="22"/>
          <w:lang w:eastAsia="en-US"/>
        </w:rPr>
      </w:pPr>
      <w:hyperlink w:anchor="_Toc367183367" w:history="1">
        <w:r w:rsidR="00C634D5" w:rsidRPr="00C634D5">
          <w:rPr>
            <w:rFonts w:eastAsia="Calibri"/>
            <w:noProof/>
            <w:sz w:val="24"/>
            <w:szCs w:val="22"/>
            <w:lang w:eastAsia="en-US"/>
          </w:rPr>
          <w:t>G.</w:t>
        </w:r>
        <w:r w:rsidR="00C634D5" w:rsidRPr="00C634D5">
          <w:rPr>
            <w:rFonts w:ascii="Calibri" w:eastAsia="Calibri" w:hAnsi="Calibri"/>
            <w:noProof/>
            <w:szCs w:val="22"/>
            <w:lang w:eastAsia="en-US"/>
          </w:rPr>
          <w:tab/>
        </w:r>
        <w:r w:rsidR="00C634D5" w:rsidRPr="00C634D5">
          <w:rPr>
            <w:rFonts w:eastAsia="Calibri"/>
            <w:noProof/>
            <w:sz w:val="24"/>
            <w:szCs w:val="22"/>
            <w:lang w:eastAsia="en-US"/>
          </w:rPr>
          <w:t>MISCELLANEOUS EXPENSES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_Toc367183367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10</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1100"/>
          <w:tab w:val="right" w:leader="dot" w:pos="12950"/>
        </w:tabs>
        <w:suppressAutoHyphens w:val="0"/>
        <w:spacing w:after="100" w:line="276" w:lineRule="auto"/>
        <w:ind w:left="480"/>
        <w:rPr>
          <w:rFonts w:ascii="Calibri" w:eastAsia="Calibri" w:hAnsi="Calibri"/>
          <w:noProof/>
          <w:szCs w:val="22"/>
          <w:lang w:eastAsia="en-US"/>
        </w:rPr>
      </w:pPr>
      <w:hyperlink w:anchor="_Toc367183368" w:history="1">
        <w:r w:rsidR="00C634D5" w:rsidRPr="00C634D5">
          <w:rPr>
            <w:rFonts w:eastAsia="Calibri"/>
            <w:noProof/>
            <w:sz w:val="24"/>
            <w:szCs w:val="22"/>
            <w:lang w:eastAsia="en-US"/>
          </w:rPr>
          <w:t>1.</w:t>
        </w:r>
        <w:r w:rsidR="00C634D5" w:rsidRPr="00C634D5">
          <w:rPr>
            <w:rFonts w:ascii="Calibri" w:eastAsia="Calibri" w:hAnsi="Calibri"/>
            <w:noProof/>
            <w:szCs w:val="22"/>
            <w:lang w:eastAsia="en-US"/>
          </w:rPr>
          <w:tab/>
        </w:r>
        <w:r w:rsidR="00C634D5" w:rsidRPr="00C634D5">
          <w:rPr>
            <w:rFonts w:eastAsia="Calibri"/>
            <w:noProof/>
            <w:sz w:val="24"/>
            <w:szCs w:val="22"/>
            <w:lang w:eastAsia="en-US"/>
          </w:rPr>
          <w:t>DTV Medical Facility Notification</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_Toc367183368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10</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1100"/>
          <w:tab w:val="right" w:leader="dot" w:pos="12950"/>
        </w:tabs>
        <w:suppressAutoHyphens w:val="0"/>
        <w:spacing w:after="100" w:line="276" w:lineRule="auto"/>
        <w:ind w:left="480"/>
        <w:rPr>
          <w:rFonts w:ascii="Calibri" w:eastAsia="Calibri" w:hAnsi="Calibri"/>
          <w:noProof/>
          <w:szCs w:val="22"/>
          <w:lang w:eastAsia="en-US"/>
        </w:rPr>
      </w:pPr>
      <w:hyperlink w:anchor="_Toc367183369" w:history="1">
        <w:r w:rsidR="00C634D5" w:rsidRPr="00C634D5">
          <w:rPr>
            <w:rFonts w:eastAsia="Calibri"/>
            <w:noProof/>
            <w:sz w:val="24"/>
            <w:szCs w:val="22"/>
            <w:lang w:eastAsia="en-US"/>
          </w:rPr>
          <w:t>2.</w:t>
        </w:r>
        <w:r w:rsidR="00C634D5" w:rsidRPr="00C634D5">
          <w:rPr>
            <w:rFonts w:ascii="Calibri" w:eastAsia="Calibri" w:hAnsi="Calibri"/>
            <w:noProof/>
            <w:szCs w:val="22"/>
            <w:lang w:eastAsia="en-US"/>
          </w:rPr>
          <w:tab/>
        </w:r>
        <w:r w:rsidR="00C634D5" w:rsidRPr="00C634D5">
          <w:rPr>
            <w:rFonts w:eastAsia="Calibri"/>
            <w:noProof/>
            <w:sz w:val="24"/>
            <w:szCs w:val="22"/>
            <w:lang w:eastAsia="en-US"/>
          </w:rPr>
          <w:t>Other</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_Toc367183369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11</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900"/>
          <w:tab w:val="right" w:leader="dot" w:pos="12950"/>
        </w:tabs>
        <w:suppressAutoHyphens w:val="0"/>
        <w:spacing w:after="100" w:line="276" w:lineRule="auto"/>
        <w:ind w:left="240"/>
        <w:rPr>
          <w:rFonts w:ascii="Calibri" w:eastAsia="Calibri" w:hAnsi="Calibri"/>
          <w:noProof/>
          <w:szCs w:val="22"/>
          <w:lang w:eastAsia="en-US"/>
        </w:rPr>
      </w:pPr>
      <w:hyperlink w:anchor="_Toc367183370" w:history="1">
        <w:r w:rsidR="00C634D5" w:rsidRPr="00C634D5">
          <w:rPr>
            <w:rFonts w:eastAsia="Calibri"/>
            <w:noProof/>
            <w:sz w:val="24"/>
            <w:szCs w:val="22"/>
            <w:lang w:eastAsia="en-US"/>
          </w:rPr>
          <w:t>H.</w:t>
        </w:r>
        <w:r w:rsidR="00C634D5" w:rsidRPr="00C634D5">
          <w:rPr>
            <w:rFonts w:ascii="Calibri" w:eastAsia="Calibri" w:hAnsi="Calibri"/>
            <w:noProof/>
            <w:szCs w:val="22"/>
            <w:lang w:eastAsia="en-US"/>
          </w:rPr>
          <w:tab/>
        </w:r>
        <w:r w:rsidR="00C634D5" w:rsidRPr="00C634D5">
          <w:rPr>
            <w:rFonts w:eastAsia="Calibri"/>
            <w:noProof/>
            <w:sz w:val="24"/>
            <w:szCs w:val="22"/>
            <w:lang w:eastAsia="en-US"/>
          </w:rPr>
          <w:t>PROFESSIONAL SERVICES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_Toc367183370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11</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720"/>
          <w:tab w:val="right" w:leader="dot" w:pos="12950"/>
        </w:tabs>
        <w:suppressAutoHyphens w:val="0"/>
        <w:spacing w:after="100" w:line="276" w:lineRule="auto"/>
        <w:rPr>
          <w:rFonts w:ascii="Calibri" w:eastAsia="Calibri" w:hAnsi="Calibri"/>
          <w:noProof/>
          <w:szCs w:val="22"/>
          <w:lang w:eastAsia="en-US"/>
        </w:rPr>
      </w:pPr>
      <w:hyperlink w:anchor="_Toc367183371" w:history="1">
        <w:r w:rsidR="00C634D5" w:rsidRPr="00C634D5">
          <w:rPr>
            <w:rFonts w:eastAsia="Calibri"/>
            <w:noProof/>
            <w:sz w:val="24"/>
            <w:szCs w:val="22"/>
            <w:lang w:eastAsia="en-US"/>
          </w:rPr>
          <w:t>III.</w:t>
        </w:r>
        <w:r w:rsidR="00C634D5" w:rsidRPr="00C634D5">
          <w:rPr>
            <w:rFonts w:ascii="Calibri" w:eastAsia="Calibri" w:hAnsi="Calibri"/>
            <w:noProof/>
            <w:szCs w:val="22"/>
            <w:lang w:eastAsia="en-US"/>
          </w:rPr>
          <w:tab/>
        </w:r>
        <w:r w:rsidR="00C634D5" w:rsidRPr="00C634D5">
          <w:rPr>
            <w:rFonts w:eastAsia="Calibri"/>
            <w:noProof/>
            <w:sz w:val="24"/>
            <w:szCs w:val="22"/>
            <w:lang w:eastAsia="en-US"/>
          </w:rPr>
          <w:t>MVPD COSTS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_Toc367183371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12</w:t>
        </w:r>
        <w:r w:rsidR="00C634D5" w:rsidRPr="00C634D5">
          <w:rPr>
            <w:rFonts w:eastAsia="Calibri"/>
            <w:noProof/>
            <w:webHidden/>
            <w:sz w:val="24"/>
            <w:szCs w:val="22"/>
            <w:lang w:eastAsia="en-US"/>
          </w:rPr>
          <w:fldChar w:fldCharType="end"/>
        </w:r>
      </w:hyperlink>
    </w:p>
    <w:p w:rsidR="00C634D5" w:rsidRPr="00C634D5" w:rsidRDefault="007C58AB" w:rsidP="00520596">
      <w:pPr>
        <w:tabs>
          <w:tab w:val="left" w:pos="720"/>
          <w:tab w:val="right" w:leader="dot" w:pos="12950"/>
        </w:tabs>
        <w:suppressAutoHyphens w:val="0"/>
        <w:spacing w:after="100" w:line="276" w:lineRule="auto"/>
        <w:rPr>
          <w:rFonts w:ascii="Calibri" w:eastAsia="Calibri" w:hAnsi="Calibri"/>
          <w:noProof/>
          <w:szCs w:val="22"/>
          <w:lang w:eastAsia="en-US"/>
        </w:rPr>
      </w:pPr>
      <w:hyperlink w:anchor="_Toc367183372" w:history="1">
        <w:r w:rsidR="00C634D5" w:rsidRPr="00C634D5">
          <w:rPr>
            <w:rFonts w:eastAsia="Calibri"/>
            <w:noProof/>
            <w:sz w:val="24"/>
            <w:szCs w:val="22"/>
            <w:lang w:eastAsia="en-US"/>
          </w:rPr>
          <w:t>IV.</w:t>
        </w:r>
        <w:r w:rsidR="00C634D5" w:rsidRPr="00C634D5">
          <w:rPr>
            <w:rFonts w:ascii="Calibri" w:eastAsia="Calibri" w:hAnsi="Calibri"/>
            <w:noProof/>
            <w:szCs w:val="22"/>
            <w:lang w:eastAsia="en-US"/>
          </w:rPr>
          <w:tab/>
        </w:r>
        <w:r w:rsidR="00C634D5" w:rsidRPr="00C634D5">
          <w:rPr>
            <w:rFonts w:eastAsia="Calibri"/>
            <w:noProof/>
            <w:sz w:val="24"/>
            <w:szCs w:val="22"/>
            <w:lang w:eastAsia="en-US"/>
          </w:rPr>
          <w:t>FIGURES</w:t>
        </w:r>
        <w:r w:rsidR="00C634D5" w:rsidRPr="00C634D5">
          <w:rPr>
            <w:rFonts w:eastAsia="Calibri"/>
            <w:noProof/>
            <w:webHidden/>
            <w:sz w:val="24"/>
            <w:szCs w:val="22"/>
            <w:lang w:eastAsia="en-US"/>
          </w:rPr>
          <w:tab/>
        </w:r>
        <w:r w:rsidR="00C634D5" w:rsidRPr="00C634D5">
          <w:rPr>
            <w:rFonts w:eastAsia="Calibri"/>
            <w:noProof/>
            <w:webHidden/>
            <w:sz w:val="24"/>
            <w:szCs w:val="22"/>
            <w:lang w:eastAsia="en-US"/>
          </w:rPr>
          <w:fldChar w:fldCharType="begin"/>
        </w:r>
        <w:r w:rsidR="00C634D5" w:rsidRPr="00C634D5">
          <w:rPr>
            <w:rFonts w:eastAsia="Calibri"/>
            <w:noProof/>
            <w:webHidden/>
            <w:sz w:val="24"/>
            <w:szCs w:val="22"/>
            <w:lang w:eastAsia="en-US"/>
          </w:rPr>
          <w:instrText xml:space="preserve"> PAGEREF _Toc367183372 \h </w:instrText>
        </w:r>
        <w:r w:rsidR="00C634D5" w:rsidRPr="00C634D5">
          <w:rPr>
            <w:rFonts w:eastAsia="Calibri"/>
            <w:noProof/>
            <w:webHidden/>
            <w:sz w:val="24"/>
            <w:szCs w:val="22"/>
            <w:lang w:eastAsia="en-US"/>
          </w:rPr>
        </w:r>
        <w:r w:rsidR="00C634D5" w:rsidRPr="00C634D5">
          <w:rPr>
            <w:rFonts w:eastAsia="Calibri"/>
            <w:noProof/>
            <w:webHidden/>
            <w:sz w:val="24"/>
            <w:szCs w:val="22"/>
            <w:lang w:eastAsia="en-US"/>
          </w:rPr>
          <w:fldChar w:fldCharType="separate"/>
        </w:r>
        <w:r w:rsidR="00F34F37">
          <w:rPr>
            <w:rFonts w:eastAsia="Calibri"/>
            <w:noProof/>
            <w:webHidden/>
            <w:sz w:val="24"/>
            <w:szCs w:val="22"/>
            <w:lang w:eastAsia="en-US"/>
          </w:rPr>
          <w:t>13</w:t>
        </w:r>
        <w:r w:rsidR="00C634D5" w:rsidRPr="00C634D5">
          <w:rPr>
            <w:rFonts w:eastAsia="Calibri"/>
            <w:noProof/>
            <w:webHidden/>
            <w:sz w:val="24"/>
            <w:szCs w:val="22"/>
            <w:lang w:eastAsia="en-US"/>
          </w:rPr>
          <w:fldChar w:fldCharType="end"/>
        </w:r>
      </w:hyperlink>
    </w:p>
    <w:p w:rsidR="00C634D5" w:rsidRPr="00C634D5" w:rsidRDefault="00C634D5" w:rsidP="00520596">
      <w:pPr>
        <w:suppressAutoHyphens w:val="0"/>
        <w:spacing w:after="200" w:line="276" w:lineRule="auto"/>
        <w:rPr>
          <w:rFonts w:eastAsia="Calibri"/>
          <w:b/>
          <w:szCs w:val="22"/>
          <w:lang w:eastAsia="en-US"/>
        </w:rPr>
      </w:pPr>
      <w:r w:rsidRPr="00C634D5">
        <w:rPr>
          <w:rFonts w:eastAsia="Calibri"/>
          <w:b/>
          <w:szCs w:val="22"/>
          <w:lang w:eastAsia="en-US"/>
        </w:rPr>
        <w:fldChar w:fldCharType="end"/>
      </w:r>
    </w:p>
    <w:p w:rsidR="00C634D5" w:rsidRPr="00C634D5" w:rsidRDefault="00C634D5" w:rsidP="00520596">
      <w:pPr>
        <w:keepNext/>
        <w:keepLines/>
        <w:numPr>
          <w:ilvl w:val="0"/>
          <w:numId w:val="3"/>
        </w:numPr>
        <w:tabs>
          <w:tab w:val="clear" w:pos="720"/>
        </w:tabs>
        <w:suppressAutoHyphens w:val="0"/>
        <w:spacing w:before="480" w:line="276" w:lineRule="auto"/>
        <w:ind w:left="0" w:firstLine="0"/>
        <w:outlineLvl w:val="0"/>
        <w:rPr>
          <w:b/>
          <w:bCs/>
          <w:szCs w:val="22"/>
          <w:lang w:eastAsia="en-US"/>
        </w:rPr>
      </w:pPr>
      <w:bookmarkStart w:id="1" w:name="_Toc367183353"/>
      <w:r w:rsidRPr="00C634D5">
        <w:rPr>
          <w:b/>
          <w:bCs/>
          <w:szCs w:val="22"/>
          <w:lang w:eastAsia="en-US"/>
        </w:rPr>
        <w:t>ABOUT THIS CATALOG</w:t>
      </w:r>
      <w:bookmarkEnd w:id="1"/>
    </w:p>
    <w:p w:rsidR="00C634D5" w:rsidRPr="00C634D5" w:rsidRDefault="00C634D5" w:rsidP="00520596">
      <w:pPr>
        <w:suppressAutoHyphens w:val="0"/>
        <w:spacing w:after="200" w:line="276" w:lineRule="auto"/>
        <w:rPr>
          <w:rFonts w:eastAsia="Calibri"/>
          <w:szCs w:val="22"/>
          <w:lang w:eastAsia="en-US"/>
        </w:rPr>
      </w:pPr>
      <w:r w:rsidRPr="00C634D5">
        <w:rPr>
          <w:rFonts w:eastAsia="Calibri"/>
          <w:szCs w:val="22"/>
          <w:lang w:eastAsia="en-US"/>
        </w:rPr>
        <w:t xml:space="preserve">This catalog contains descriptions of the expenses that broadcasters and MVPDs are most likely to incur as a result of broadcaster repacking.  While we believe this list is relatively comprehensive, it may not cover every expense for every situation and is not a limitation on expenses that qualify for reimbursement.  </w:t>
      </w:r>
    </w:p>
    <w:p w:rsidR="00C634D5" w:rsidRPr="00C634D5" w:rsidRDefault="00C634D5" w:rsidP="00520596">
      <w:pPr>
        <w:suppressAutoHyphens w:val="0"/>
        <w:spacing w:after="200" w:line="276" w:lineRule="auto"/>
        <w:rPr>
          <w:rFonts w:eastAsia="Calibri"/>
          <w:szCs w:val="22"/>
          <w:lang w:eastAsia="en-US"/>
        </w:rPr>
      </w:pPr>
      <w:r w:rsidRPr="00C634D5">
        <w:rPr>
          <w:rFonts w:eastAsia="Calibri"/>
          <w:szCs w:val="22"/>
          <w:lang w:eastAsia="en-US"/>
        </w:rPr>
        <w:t xml:space="preserve">Individual broadcasters and MVPDs will incur only some of the expenses listed in this catalog, depending upon the broadcaster’s or MVPD’s existing equipment and the particular repacking changes that entity must make.  Some of the expenses will apply only in limited situations, such as, for example, broadcasters operating on a shared antenna or those that require additional power to support an interim transmitter. </w:t>
      </w:r>
    </w:p>
    <w:p w:rsidR="00C634D5" w:rsidRPr="00C634D5" w:rsidRDefault="00C634D5" w:rsidP="00520596">
      <w:pPr>
        <w:suppressAutoHyphens w:val="0"/>
        <w:spacing w:after="200" w:line="276" w:lineRule="auto"/>
        <w:rPr>
          <w:rFonts w:eastAsia="Calibri"/>
          <w:szCs w:val="22"/>
          <w:lang w:eastAsia="en-US"/>
        </w:rPr>
      </w:pPr>
      <w:r w:rsidRPr="00C634D5">
        <w:rPr>
          <w:rFonts w:eastAsia="Calibri"/>
          <w:szCs w:val="22"/>
          <w:lang w:eastAsia="en-US"/>
        </w:rPr>
        <w:t xml:space="preserve">The information in this catalog was developed primarily by Widelity, Inc., pursuant to a contract with the FCC, and is based on its interviews with industry stakeholders.  </w:t>
      </w:r>
    </w:p>
    <w:p w:rsidR="00C634D5" w:rsidRPr="00C634D5" w:rsidRDefault="00C634D5" w:rsidP="00520596">
      <w:pPr>
        <w:keepNext/>
        <w:keepLines/>
        <w:numPr>
          <w:ilvl w:val="0"/>
          <w:numId w:val="3"/>
        </w:numPr>
        <w:tabs>
          <w:tab w:val="clear" w:pos="720"/>
        </w:tabs>
        <w:suppressAutoHyphens w:val="0"/>
        <w:spacing w:before="480" w:line="276" w:lineRule="auto"/>
        <w:ind w:left="0" w:firstLine="0"/>
        <w:outlineLvl w:val="0"/>
        <w:rPr>
          <w:b/>
          <w:bCs/>
          <w:szCs w:val="22"/>
          <w:lang w:eastAsia="en-US"/>
        </w:rPr>
      </w:pPr>
      <w:bookmarkStart w:id="2" w:name="_Toc367183354"/>
      <w:r w:rsidRPr="00C634D5">
        <w:rPr>
          <w:b/>
          <w:bCs/>
          <w:szCs w:val="22"/>
          <w:lang w:eastAsia="en-US"/>
        </w:rPr>
        <w:t>BROADCAST COSTS</w:t>
      </w:r>
      <w:bookmarkEnd w:id="2"/>
    </w:p>
    <w:p w:rsidR="00C634D5" w:rsidRPr="00C634D5" w:rsidRDefault="00C634D5" w:rsidP="00520596">
      <w:pPr>
        <w:keepNext/>
        <w:keepLines/>
        <w:numPr>
          <w:ilvl w:val="1"/>
          <w:numId w:val="3"/>
        </w:numPr>
        <w:tabs>
          <w:tab w:val="clear" w:pos="1440"/>
        </w:tabs>
        <w:suppressAutoHyphens w:val="0"/>
        <w:spacing w:before="200" w:line="276" w:lineRule="auto"/>
        <w:ind w:left="720" w:firstLine="0"/>
        <w:outlineLvl w:val="1"/>
        <w:rPr>
          <w:b/>
          <w:bCs/>
          <w:szCs w:val="22"/>
          <w:lang w:eastAsia="en-US"/>
        </w:rPr>
      </w:pPr>
      <w:bookmarkStart w:id="3" w:name="_Toc367183355"/>
      <w:r w:rsidRPr="00C634D5">
        <w:rPr>
          <w:b/>
          <w:bCs/>
          <w:szCs w:val="22"/>
          <w:lang w:eastAsia="en-US"/>
        </w:rPr>
        <w:t>TRANSMITTERS AND IN-BUILDING EXPENSES</w:t>
      </w:r>
      <w:bookmarkEnd w:id="3"/>
    </w:p>
    <w:p w:rsidR="00C634D5" w:rsidRPr="00C634D5" w:rsidRDefault="00C634D5" w:rsidP="00520596">
      <w:pPr>
        <w:keepNext/>
        <w:keepLines/>
        <w:numPr>
          <w:ilvl w:val="2"/>
          <w:numId w:val="3"/>
        </w:numPr>
        <w:tabs>
          <w:tab w:val="clear" w:pos="2160"/>
        </w:tabs>
        <w:suppressAutoHyphens w:val="0"/>
        <w:spacing w:before="200" w:line="276" w:lineRule="auto"/>
        <w:ind w:left="1440" w:firstLine="0"/>
        <w:outlineLvl w:val="2"/>
        <w:rPr>
          <w:b/>
          <w:bCs/>
          <w:szCs w:val="22"/>
          <w:lang w:eastAsia="en-US"/>
        </w:rPr>
      </w:pPr>
      <w:bookmarkStart w:id="4" w:name="_Toc367183356"/>
      <w:r w:rsidRPr="00C634D5">
        <w:rPr>
          <w:b/>
          <w:bCs/>
          <w:szCs w:val="22"/>
          <w:lang w:eastAsia="en-US"/>
        </w:rPr>
        <w:t>Retune Existing Transmitter</w:t>
      </w:r>
      <w:bookmarkEnd w:id="4"/>
      <w:r w:rsidRPr="00C634D5">
        <w:rPr>
          <w:b/>
          <w:bCs/>
          <w:szCs w:val="22"/>
          <w:lang w:eastAsia="en-US"/>
        </w:rPr>
        <w:t xml:space="preserve"> </w:t>
      </w:r>
    </w:p>
    <w:p w:rsidR="00C634D5" w:rsidRPr="00C634D5" w:rsidRDefault="00C634D5" w:rsidP="00520596">
      <w:pPr>
        <w:suppressAutoHyphens w:val="0"/>
        <w:spacing w:after="200" w:line="276" w:lineRule="auto"/>
        <w:rPr>
          <w:rFonts w:eastAsia="Calibri"/>
          <w:i/>
          <w:szCs w:val="22"/>
          <w:lang w:eastAsia="en-US"/>
        </w:rPr>
      </w:pPr>
      <w:r w:rsidRPr="00C634D5">
        <w:rPr>
          <w:rFonts w:eastAsia="Calibri"/>
          <w:i/>
          <w:szCs w:val="22"/>
          <w:lang w:eastAsia="en-US"/>
        </w:rPr>
        <w:t xml:space="preserve">Depending on its new channel assignment, a broadcaster may be able to retune its existing transmitter to transmit on the new channel rather than replace it.  Whether retuning is feasible depends on a number of factors, including the type of transmitter, the range of channels (sub-band) for which it and its component parts are designed, and whether replacement parts and manufacturer support are available.  In limited cases, replacement may be the preferred option if the cost of retuning exceeds the cost of a new transmitter.  The transmitter output mask filter is channel-specific and will have to be replaced to accommodate any channel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 xml:space="preserve">UHF – Inductive Output Tube (IOT) Transmitter </w:t>
            </w:r>
            <w:r w:rsidRPr="00C634D5">
              <w:rPr>
                <w:rFonts w:eastAsia="Calibri"/>
                <w:szCs w:val="22"/>
                <w:lang w:eastAsia="en-US"/>
              </w:rPr>
              <w:t>(</w:t>
            </w:r>
            <w:r w:rsidRPr="00C634D5">
              <w:rPr>
                <w:rFonts w:eastAsia="Calibri"/>
                <w:i/>
                <w:szCs w:val="22"/>
                <w:lang w:eastAsia="en-US"/>
              </w:rPr>
              <w:t>price</w:t>
            </w:r>
            <w:r w:rsidRPr="00C634D5">
              <w:rPr>
                <w:rFonts w:eastAsia="Calibri"/>
                <w:szCs w:val="22"/>
                <w:lang w:eastAsia="en-US"/>
              </w:rPr>
              <w:t xml:space="preserve"> </w:t>
            </w:r>
            <w:r w:rsidRPr="00C634D5">
              <w:rPr>
                <w:rFonts w:eastAsia="Calibri"/>
                <w:i/>
                <w:szCs w:val="22"/>
                <w:lang w:eastAsia="en-US"/>
              </w:rPr>
              <w:t>would include banded drivers, RF system, and labor</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Single IOT system (30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Two IOT system (60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Three IOT system (90kW)</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rPr>
          <w:cantSplit/>
        </w:trPr>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 xml:space="preserve">Solid State Transmitter </w:t>
            </w:r>
            <w:r w:rsidRPr="00C634D5">
              <w:rPr>
                <w:rFonts w:eastAsia="Calibri"/>
                <w:szCs w:val="22"/>
                <w:lang w:eastAsia="en-US"/>
              </w:rPr>
              <w:t>(</w:t>
            </w:r>
            <w:r w:rsidRPr="00C634D5">
              <w:rPr>
                <w:rFonts w:eastAsia="Calibri"/>
                <w:i/>
                <w:szCs w:val="22"/>
                <w:lang w:eastAsia="en-US"/>
              </w:rPr>
              <w:t>prices based on specific channel move and would include field engineering and parts to retune the RF system, but would not include the cost of a new mask filter, which is a separate line item below</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b/>
                <w:szCs w:val="22"/>
                <w:lang w:eastAsia="en-US"/>
              </w:rPr>
              <w:t xml:space="preserve">UHF – minor banding issues </w:t>
            </w:r>
            <w:r w:rsidRPr="00C634D5">
              <w:rPr>
                <w:rFonts w:eastAsia="Calibri"/>
                <w:szCs w:val="22"/>
                <w:lang w:eastAsia="en-US"/>
              </w:rPr>
              <w:t>(</w:t>
            </w:r>
            <w:r w:rsidRPr="00C634D5">
              <w:rPr>
                <w:rFonts w:eastAsia="Calibri"/>
                <w:i/>
                <w:szCs w:val="22"/>
                <w:lang w:eastAsia="en-US"/>
              </w:rPr>
              <w:t>price would pertain to a move of 1-3 channels</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1-2.5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2.5-5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5-7.5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7.5-10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10-15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15-20 kW system</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b/>
                <w:szCs w:val="22"/>
                <w:lang w:eastAsia="en-US"/>
              </w:rPr>
              <w:t>UHF – major banding issues</w:t>
            </w:r>
            <w:r w:rsidRPr="00C634D5">
              <w:rPr>
                <w:rFonts w:eastAsia="Calibri"/>
                <w:szCs w:val="22"/>
                <w:lang w:eastAsia="en-US"/>
              </w:rPr>
              <w:t xml:space="preserve"> (</w:t>
            </w:r>
            <w:r w:rsidRPr="00C634D5">
              <w:rPr>
                <w:rFonts w:eastAsia="Calibri"/>
                <w:i/>
                <w:szCs w:val="22"/>
                <w:lang w:eastAsia="en-US"/>
              </w:rPr>
              <w:t>price would pertain to a move of more than approximately 3 channels</w:t>
            </w:r>
            <w:r w:rsidRPr="00C634D5">
              <w:rPr>
                <w:rFonts w:eastAsia="Calibri"/>
                <w:szCs w:val="22"/>
                <w:lang w:eastAsia="en-US"/>
              </w:rPr>
              <w:t>)</w:t>
            </w:r>
            <w:r w:rsidRPr="00C634D5">
              <w:rPr>
                <w:rFonts w:eastAsia="Calibri"/>
                <w:i/>
                <w:szCs w:val="22"/>
                <w:lang w:eastAsia="en-US"/>
              </w:rPr>
              <w:t xml:space="preserve"> </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1-2.5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2.5-5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5-7.5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7.5-10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10-15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15-20 kW system</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b/>
                <w:szCs w:val="22"/>
                <w:lang w:eastAsia="en-US"/>
              </w:rPr>
              <w:t>VHF – minor banding issues</w:t>
            </w:r>
            <w:r w:rsidRPr="00C634D5">
              <w:rPr>
                <w:rFonts w:eastAsia="Calibri"/>
                <w:szCs w:val="22"/>
                <w:lang w:eastAsia="en-US"/>
              </w:rPr>
              <w:t xml:space="preserve"> (</w:t>
            </w:r>
            <w:r w:rsidRPr="00C634D5">
              <w:rPr>
                <w:rFonts w:eastAsia="Calibri"/>
                <w:i/>
                <w:szCs w:val="22"/>
                <w:lang w:eastAsia="en-US"/>
              </w:rPr>
              <w:t>price would pertain to a move of 1-3 channels</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1-2.5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2.5-5 kW system</w:t>
            </w:r>
          </w:p>
        </w:tc>
      </w:tr>
      <w:tr w:rsidR="00C634D5" w:rsidRPr="00C634D5" w:rsidTr="00C54B3E">
        <w:trPr>
          <w:trHeight w:val="64"/>
        </w:trPr>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5-7.5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7.5-10 kW system</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rPr>
          <w:cantSplit/>
        </w:trPr>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b/>
                <w:szCs w:val="22"/>
                <w:lang w:eastAsia="en-US"/>
              </w:rPr>
              <w:t>VHF – major banding issues</w:t>
            </w:r>
            <w:r w:rsidRPr="00C634D5">
              <w:rPr>
                <w:rFonts w:eastAsia="Calibri"/>
                <w:szCs w:val="22"/>
                <w:lang w:eastAsia="en-US"/>
              </w:rPr>
              <w:t xml:space="preserve"> (</w:t>
            </w:r>
            <w:r w:rsidRPr="00C634D5">
              <w:rPr>
                <w:rFonts w:eastAsia="Calibri"/>
                <w:i/>
                <w:szCs w:val="22"/>
                <w:lang w:eastAsia="en-US"/>
              </w:rPr>
              <w:t>price would pertain to a move of more than approximately 3 channels</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1-2.5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2.5-5 kW system</w:t>
            </w:r>
          </w:p>
        </w:tc>
      </w:tr>
      <w:tr w:rsidR="00C634D5" w:rsidRPr="00C634D5" w:rsidTr="00C54B3E">
        <w:trPr>
          <w:trHeight w:val="64"/>
        </w:trPr>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5-7.5 kW system</w:t>
            </w:r>
          </w:p>
        </w:tc>
      </w:tr>
      <w:tr w:rsidR="00C634D5" w:rsidRPr="00C634D5" w:rsidTr="00C54B3E">
        <w:tc>
          <w:tcPr>
            <w:tcW w:w="12978" w:type="dxa"/>
          </w:tcPr>
          <w:p w:rsidR="00C634D5" w:rsidRPr="00C634D5" w:rsidRDefault="00C634D5" w:rsidP="00520596">
            <w:pPr>
              <w:suppressAutoHyphens w:val="0"/>
              <w:ind w:left="720"/>
              <w:rPr>
                <w:rFonts w:eastAsia="Calibri"/>
                <w:sz w:val="24"/>
                <w:szCs w:val="22"/>
                <w:lang w:eastAsia="en-US"/>
              </w:rPr>
            </w:pPr>
            <w:r w:rsidRPr="00C634D5">
              <w:rPr>
                <w:rFonts w:eastAsia="Calibri"/>
                <w:szCs w:val="22"/>
                <w:lang w:eastAsia="en-US"/>
              </w:rPr>
              <w:t>7.5-10 kW system</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i/>
                <w:sz w:val="24"/>
                <w:szCs w:val="22"/>
                <w:lang w:eastAsia="en-US"/>
              </w:rPr>
            </w:pPr>
            <w:r w:rsidRPr="00C634D5">
              <w:rPr>
                <w:rFonts w:eastAsia="Calibri"/>
                <w:b/>
                <w:szCs w:val="22"/>
                <w:lang w:eastAsia="en-US"/>
              </w:rPr>
              <w:t>New Mask Filter</w:t>
            </w:r>
            <w:r w:rsidRPr="00C634D5">
              <w:rPr>
                <w:rFonts w:eastAsia="Calibri"/>
                <w:szCs w:val="22"/>
                <w:lang w:eastAsia="en-US"/>
              </w:rPr>
              <w:t xml:space="preserve"> – </w:t>
            </w:r>
            <w:r w:rsidRPr="00C634D5">
              <w:rPr>
                <w:rFonts w:eastAsia="Calibri"/>
                <w:i/>
                <w:szCs w:val="22"/>
                <w:lang w:eastAsia="en-US"/>
              </w:rPr>
              <w:t>A new mask filter is required for any channel change</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10 kW mask filter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30 kW mask filter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60 kW mask filter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90 kW mask filter</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 xml:space="preserve">New Exciter – </w:t>
            </w:r>
            <w:r w:rsidRPr="00C634D5">
              <w:rPr>
                <w:rFonts w:eastAsia="Calibri"/>
                <w:i/>
                <w:szCs w:val="22"/>
                <w:lang w:eastAsia="en-US"/>
              </w:rPr>
              <w:t>In a few cases, a station may need to purchase a new exciter if the existing exciter cannot be retuned.</w:t>
            </w:r>
            <w:r w:rsidRPr="00C634D5">
              <w:rPr>
                <w:rFonts w:eastAsia="Calibri"/>
                <w:b/>
                <w:szCs w:val="22"/>
                <w:lang w:eastAsia="en-US"/>
              </w:rPr>
              <w:t xml:space="preserve">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frequency agile exciter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Dual exciter system with change over</w:t>
            </w:r>
          </w:p>
        </w:tc>
      </w:tr>
    </w:tbl>
    <w:p w:rsidR="00C634D5" w:rsidRPr="00C634D5" w:rsidRDefault="00C634D5" w:rsidP="00520596">
      <w:pPr>
        <w:keepNext/>
        <w:keepLines/>
        <w:numPr>
          <w:ilvl w:val="2"/>
          <w:numId w:val="3"/>
        </w:numPr>
        <w:tabs>
          <w:tab w:val="clear" w:pos="2160"/>
        </w:tabs>
        <w:suppressAutoHyphens w:val="0"/>
        <w:spacing w:before="200" w:line="276" w:lineRule="auto"/>
        <w:ind w:left="1440" w:firstLine="0"/>
        <w:outlineLvl w:val="2"/>
        <w:rPr>
          <w:b/>
          <w:bCs/>
          <w:szCs w:val="22"/>
          <w:lang w:eastAsia="en-US"/>
        </w:rPr>
      </w:pPr>
      <w:bookmarkStart w:id="5" w:name="_Toc367183357"/>
      <w:r w:rsidRPr="00C634D5">
        <w:rPr>
          <w:b/>
          <w:bCs/>
          <w:szCs w:val="22"/>
          <w:lang w:eastAsia="en-US"/>
        </w:rPr>
        <w:t>New Transmitters</w:t>
      </w:r>
      <w:bookmarkEnd w:id="5"/>
      <w:r w:rsidRPr="00C634D5">
        <w:rPr>
          <w:b/>
          <w:bCs/>
          <w:szCs w:val="22"/>
          <w:lang w:eastAsia="en-US"/>
        </w:rPr>
        <w:t xml:space="preserve"> </w:t>
      </w:r>
    </w:p>
    <w:p w:rsidR="00C634D5" w:rsidRPr="00C634D5" w:rsidRDefault="00C634D5" w:rsidP="00520596">
      <w:pPr>
        <w:suppressAutoHyphens w:val="0"/>
        <w:spacing w:after="200" w:line="276" w:lineRule="auto"/>
        <w:rPr>
          <w:rFonts w:eastAsia="Calibri"/>
          <w:szCs w:val="22"/>
          <w:lang w:eastAsia="en-US"/>
        </w:rPr>
      </w:pPr>
      <w:r w:rsidRPr="00C634D5">
        <w:rPr>
          <w:rFonts w:eastAsia="Calibri"/>
          <w:i/>
          <w:szCs w:val="22"/>
          <w:lang w:eastAsia="en-US"/>
        </w:rPr>
        <w:t xml:space="preserve">If the cost of retuning exceeds the cost of replacement, a new transmitter may be required.  The price of a new transmitter would include installation, mask filter, and proof of performance testing.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UHF –IOT Transmitter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IOT system (30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Two IOT system (60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Three IOT system (90kW)</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UHF – Air Cooled Solid State Transmitter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2.5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4 - 6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10 – 12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15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20 kW</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UHF – Liquid Cooled Solid State Transmitter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6.3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7.7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9.25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10.5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12.3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15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18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20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23.8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29.3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40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50 kW</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High VHF – Air Cooled Solid State Transmitter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2.4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3.3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5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10 – 12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15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20 kW</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bl>
    <w:p w:rsidR="00C634D5" w:rsidRPr="00C634D5" w:rsidRDefault="00C634D5" w:rsidP="00520596">
      <w:pPr>
        <w:keepNext/>
        <w:keepLines/>
        <w:numPr>
          <w:ilvl w:val="2"/>
          <w:numId w:val="3"/>
        </w:numPr>
        <w:tabs>
          <w:tab w:val="clear" w:pos="2160"/>
        </w:tabs>
        <w:suppressAutoHyphens w:val="0"/>
        <w:spacing w:before="200" w:line="276" w:lineRule="auto"/>
        <w:ind w:left="1440" w:firstLine="0"/>
        <w:outlineLvl w:val="2"/>
        <w:rPr>
          <w:b/>
          <w:bCs/>
          <w:szCs w:val="22"/>
          <w:lang w:eastAsia="en-US"/>
        </w:rPr>
      </w:pPr>
      <w:bookmarkStart w:id="6" w:name="_Toc367183358"/>
      <w:r w:rsidRPr="00C634D5">
        <w:rPr>
          <w:b/>
          <w:bCs/>
          <w:szCs w:val="22"/>
          <w:lang w:eastAsia="en-US"/>
        </w:rPr>
        <w:t>Other Transmitter Expenses</w:t>
      </w:r>
      <w:bookmarkEnd w:id="6"/>
    </w:p>
    <w:p w:rsidR="00C634D5" w:rsidRPr="00C634D5" w:rsidRDefault="00C634D5" w:rsidP="00520596">
      <w:pPr>
        <w:suppressAutoHyphens w:val="0"/>
        <w:spacing w:after="200" w:line="276" w:lineRule="auto"/>
        <w:rPr>
          <w:rFonts w:eastAsia="Calibri"/>
          <w:i/>
          <w:szCs w:val="22"/>
          <w:lang w:eastAsia="en-US"/>
        </w:rPr>
      </w:pPr>
      <w:r w:rsidRPr="00C634D5">
        <w:rPr>
          <w:rFonts w:eastAsia="Calibri"/>
          <w:i/>
          <w:szCs w:val="22"/>
          <w:lang w:eastAsia="en-US"/>
        </w:rPr>
        <w:t xml:space="preserve">In only limited situations, these expenses may apply in addition to the expenses in Sections II.A.1 or II.A.2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Combiners for Shared (Panel) Antenna (UHF/VHF)</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New combiner, cost per channel (without antenna)</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Adding a module to existing combiner (without antenna)</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Electrical Service</w:t>
            </w:r>
            <w:r w:rsidRPr="00C634D5">
              <w:rPr>
                <w:rFonts w:eastAsia="Calibri"/>
                <w:szCs w:val="22"/>
                <w:lang w:eastAsia="en-US"/>
              </w:rPr>
              <w:t xml:space="preserve"> (</w:t>
            </w:r>
            <w:r w:rsidRPr="00C634D5">
              <w:rPr>
                <w:rFonts w:eastAsia="Calibri"/>
                <w:i/>
                <w:szCs w:val="22"/>
                <w:lang w:eastAsia="en-US"/>
              </w:rPr>
              <w:t>price would include labor and installation</w:t>
            </w:r>
            <w:r w:rsidRPr="00C634D5">
              <w:rPr>
                <w:rFonts w:eastAsia="Calibri"/>
                <w:szCs w:val="22"/>
                <w:lang w:eastAsia="en-US"/>
              </w:rPr>
              <w:t xml:space="preserve">) – </w:t>
            </w:r>
            <w:r w:rsidRPr="00C634D5">
              <w:rPr>
                <w:rFonts w:eastAsia="Calibri"/>
                <w:i/>
                <w:szCs w:val="22"/>
                <w:lang w:eastAsia="en-US"/>
              </w:rPr>
              <w:t>A station installing new transmitter equipment may have to increase the power supply to the transmitter or perform other electrical work.</w:t>
            </w:r>
            <w:r w:rsidRPr="00C634D5">
              <w:rPr>
                <w:rFonts w:eastAsia="Calibri"/>
                <w:szCs w:val="22"/>
                <w:lang w:eastAsia="en-US"/>
              </w:rPr>
              <w:t xml:space="preserve">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Service entrance 3 phase/800 amp/208 volt</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Switchgear – industrial 800 amp</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Transformer 3 phase/480v – 150 KVA</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Transformer 3 phase/480v – 300 KVA</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Transformer 3 phase/480v – 500 KVA</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 Rigid Conduit and Wiring (Cost per foot)</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3” Rigid Conduit and Wiring (Cost per foot)</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4” Rigid Conduit and Wiring (Cost per foot)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 xml:space="preserve">HVAC Service – Cooling only </w:t>
            </w:r>
            <w:r w:rsidRPr="00C634D5">
              <w:rPr>
                <w:rFonts w:eastAsia="Calibri"/>
                <w:szCs w:val="22"/>
                <w:lang w:eastAsia="en-US"/>
              </w:rPr>
              <w:t>(</w:t>
            </w:r>
            <w:r w:rsidRPr="00C634D5">
              <w:rPr>
                <w:rFonts w:eastAsia="Calibri"/>
                <w:i/>
                <w:szCs w:val="22"/>
                <w:lang w:eastAsia="en-US"/>
              </w:rPr>
              <w:t>price would include labor and installation</w:t>
            </w:r>
            <w:r w:rsidRPr="00C634D5">
              <w:rPr>
                <w:rFonts w:eastAsia="Calibri"/>
                <w:szCs w:val="22"/>
                <w:lang w:eastAsia="en-US"/>
              </w:rPr>
              <w:t xml:space="preserve">) – </w:t>
            </w:r>
            <w:r w:rsidRPr="00C634D5">
              <w:rPr>
                <w:rFonts w:eastAsia="Calibri"/>
                <w:i/>
                <w:szCs w:val="22"/>
                <w:lang w:eastAsia="en-US"/>
              </w:rPr>
              <w:t>A station installing replacement transmitter equipment may need additional cooling capability.</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5 Ton system</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10 Ton system</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15 Ton system</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25 Ton system</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50 Ton system</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caps/>
                <w:sz w:val="24"/>
                <w:szCs w:val="22"/>
                <w:lang w:eastAsia="en-US"/>
              </w:rPr>
            </w:pPr>
            <w:r w:rsidRPr="00C634D5">
              <w:rPr>
                <w:rFonts w:eastAsia="Calibri"/>
                <w:b/>
                <w:szCs w:val="22"/>
                <w:lang w:eastAsia="en-US"/>
              </w:rPr>
              <w:t xml:space="preserve">HVAC Service – Heating and Cooling </w:t>
            </w:r>
            <w:r w:rsidRPr="00C634D5">
              <w:rPr>
                <w:rFonts w:eastAsia="Calibri"/>
                <w:szCs w:val="22"/>
                <w:lang w:eastAsia="en-US"/>
              </w:rPr>
              <w:t>(</w:t>
            </w:r>
            <w:r w:rsidRPr="00C634D5">
              <w:rPr>
                <w:rFonts w:eastAsia="Calibri"/>
                <w:i/>
                <w:szCs w:val="22"/>
                <w:lang w:eastAsia="en-US"/>
              </w:rPr>
              <w:t>price would include labor and installation</w:t>
            </w:r>
            <w:r w:rsidRPr="00C634D5">
              <w:rPr>
                <w:rFonts w:eastAsia="Calibri"/>
                <w:szCs w:val="22"/>
                <w:lang w:eastAsia="en-US"/>
              </w:rPr>
              <w:t xml:space="preserve">) </w:t>
            </w:r>
            <w:r w:rsidRPr="00C634D5">
              <w:rPr>
                <w:rFonts w:eastAsia="Calibri"/>
                <w:b/>
                <w:szCs w:val="22"/>
                <w:lang w:eastAsia="en-US"/>
              </w:rPr>
              <w:t>–</w:t>
            </w:r>
            <w:r w:rsidRPr="00C634D5">
              <w:rPr>
                <w:rFonts w:eastAsia="Calibri"/>
                <w:szCs w:val="22"/>
                <w:lang w:eastAsia="en-US"/>
              </w:rPr>
              <w:t xml:space="preserve"> </w:t>
            </w:r>
            <w:r w:rsidRPr="00C634D5">
              <w:rPr>
                <w:rFonts w:eastAsia="Calibri"/>
                <w:i/>
                <w:szCs w:val="22"/>
                <w:lang w:eastAsia="en-US"/>
              </w:rPr>
              <w:t xml:space="preserve">A station installing replacement transmitter equipment may need additional air-handling capacity that includes both heating and cooling capability.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10 Ton system</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15 Ton system</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20 Ton system</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30 Ton system</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50 Ton system</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i/>
                <w:sz w:val="24"/>
                <w:szCs w:val="22"/>
                <w:lang w:eastAsia="en-US"/>
              </w:rPr>
            </w:pPr>
            <w:r w:rsidRPr="00C634D5">
              <w:rPr>
                <w:rFonts w:eastAsia="Calibri"/>
                <w:b/>
                <w:szCs w:val="22"/>
                <w:lang w:eastAsia="en-US"/>
              </w:rPr>
              <w:t>Transmitter Building Addition –</w:t>
            </w:r>
            <w:r w:rsidRPr="00C634D5">
              <w:rPr>
                <w:rFonts w:eastAsia="Calibri"/>
                <w:i/>
                <w:szCs w:val="22"/>
                <w:lang w:eastAsia="en-US"/>
              </w:rPr>
              <w:t xml:space="preserve"> In limited situations, expansion of the transmitter building may be required to accommodate new equipment.</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Approx. 600-1500 square foot addition (</w:t>
            </w:r>
            <w:r w:rsidRPr="00C634D5">
              <w:rPr>
                <w:rFonts w:eastAsia="Calibri"/>
                <w:i/>
                <w:szCs w:val="22"/>
                <w:lang w:eastAsia="en-US"/>
              </w:rPr>
              <w:t>costs vary with location, site access, and construction type</w:t>
            </w:r>
            <w:r w:rsidRPr="00C634D5">
              <w:rPr>
                <w:rFonts w:eastAsia="Calibri"/>
                <w:szCs w:val="22"/>
                <w:lang w:eastAsia="en-US"/>
              </w:rPr>
              <w:t>)</w:t>
            </w:r>
          </w:p>
        </w:tc>
      </w:tr>
    </w:tbl>
    <w:p w:rsidR="00C634D5" w:rsidRPr="00C634D5" w:rsidRDefault="00C634D5" w:rsidP="00520596">
      <w:pPr>
        <w:keepNext/>
        <w:keepLines/>
        <w:numPr>
          <w:ilvl w:val="1"/>
          <w:numId w:val="3"/>
        </w:numPr>
        <w:tabs>
          <w:tab w:val="clear" w:pos="1440"/>
        </w:tabs>
        <w:suppressAutoHyphens w:val="0"/>
        <w:spacing w:before="200" w:line="276" w:lineRule="auto"/>
        <w:ind w:left="720" w:firstLine="0"/>
        <w:outlineLvl w:val="1"/>
        <w:rPr>
          <w:b/>
          <w:bCs/>
          <w:szCs w:val="22"/>
          <w:lang w:eastAsia="en-US"/>
        </w:rPr>
      </w:pPr>
      <w:bookmarkStart w:id="7" w:name="_Toc367183359"/>
      <w:r w:rsidRPr="00C634D5">
        <w:rPr>
          <w:b/>
          <w:bCs/>
          <w:szCs w:val="22"/>
          <w:lang w:eastAsia="en-US"/>
        </w:rPr>
        <w:t>ANTENNAS</w:t>
      </w:r>
      <w:bookmarkEnd w:id="7"/>
      <w:r w:rsidRPr="00C634D5">
        <w:rPr>
          <w:b/>
          <w:bCs/>
          <w:szCs w:val="22"/>
          <w:lang w:eastAsia="en-US"/>
        </w:rPr>
        <w:t xml:space="preserve"> </w:t>
      </w:r>
    </w:p>
    <w:p w:rsidR="00C634D5" w:rsidRPr="00C634D5" w:rsidRDefault="00C634D5" w:rsidP="00520596">
      <w:pPr>
        <w:suppressAutoHyphens w:val="0"/>
        <w:spacing w:after="200" w:line="276" w:lineRule="auto"/>
        <w:rPr>
          <w:rFonts w:eastAsia="Calibri"/>
          <w:szCs w:val="22"/>
          <w:lang w:eastAsia="en-US"/>
        </w:rPr>
      </w:pPr>
      <w:r w:rsidRPr="00C634D5">
        <w:rPr>
          <w:rFonts w:eastAsia="Calibri"/>
          <w:i/>
          <w:szCs w:val="22"/>
          <w:lang w:eastAsia="en-US"/>
        </w:rPr>
        <w:t xml:space="preserve">Most stations moving to a new channel will require a new antenna.  The price of an antenna would not include installation or removing an existing antenna (for those expenses, see Section II.D, Tower Equipment and Rigging).  In some cases, new transmission lines will also be required (for those expenses, see Section II.C, Transmission 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UHF – High Power</w:t>
            </w:r>
            <w:r w:rsidRPr="00C634D5">
              <w:rPr>
                <w:rFonts w:eastAsia="Calibri"/>
                <w:szCs w:val="22"/>
                <w:lang w:eastAsia="en-US"/>
              </w:rPr>
              <w:t xml:space="preserve"> </w:t>
            </w:r>
            <w:r w:rsidRPr="00C634D5">
              <w:rPr>
                <w:rFonts w:eastAsia="Calibri"/>
                <w:b/>
                <w:szCs w:val="22"/>
                <w:lang w:eastAsia="en-US"/>
              </w:rPr>
              <w:t xml:space="preserve">Top Mount </w:t>
            </w:r>
            <w:r w:rsidRPr="00C634D5">
              <w:rPr>
                <w:rFonts w:eastAsia="Calibri"/>
                <w:szCs w:val="22"/>
                <w:lang w:eastAsia="en-US"/>
              </w:rPr>
              <w:t>(200-1000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 xml:space="preserve">Single station antenna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station antenna – with V polarization or C polarization</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 xml:space="preserve">2 Station broadband panel antenna with combiner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4 Station broadband panel antenna with combiner</w:t>
            </w: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UHF – Lower Power</w:t>
            </w:r>
            <w:r w:rsidRPr="00C634D5">
              <w:rPr>
                <w:rFonts w:eastAsia="Calibri"/>
                <w:szCs w:val="22"/>
                <w:lang w:eastAsia="en-US"/>
              </w:rPr>
              <w:t xml:space="preserve"> </w:t>
            </w:r>
            <w:r w:rsidRPr="00C634D5">
              <w:rPr>
                <w:rFonts w:eastAsia="Calibri"/>
                <w:b/>
                <w:szCs w:val="22"/>
                <w:lang w:eastAsia="en-US"/>
              </w:rPr>
              <w:t xml:space="preserve">Side Mount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station –200-500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station –200-500 kW with V polarization or C polarization</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station antenna – medium power (50-200 kW)</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LPTV/Class A single station antenna – basic</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Hi-VHF</w:t>
            </w:r>
            <w:r w:rsidRPr="00C634D5">
              <w:rPr>
                <w:rFonts w:eastAsia="Calibri"/>
                <w:szCs w:val="22"/>
                <w:lang w:eastAsia="en-US"/>
              </w:rPr>
              <w:t xml:space="preserve">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station antenna – top mount</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station antenna – top mount with V polarization or C polarization</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station antenna – side mount – non-directional</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Single station antenna – side mount – directional</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Shared broadband panel antenna – 5 station with V polarization or C polarization</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Shared broadband panel antenna – 5 station with V polarization or C polarization, including combiner and transmission line</w:t>
            </w: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 xml:space="preserve">Hi-VHF, Low Power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LPTV basic slot antenna – side mount</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LPTV broadband panel (cost per panel)</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Other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Sweep test of existing antenna</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p>
        </w:tc>
      </w:tr>
      <w:tr w:rsidR="00C634D5" w:rsidRPr="00C634D5" w:rsidTr="00C54B3E">
        <w:trPr>
          <w:cantSplit/>
        </w:trPr>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Note:</w:t>
            </w:r>
            <w:r w:rsidRPr="00C634D5">
              <w:rPr>
                <w:rFonts w:eastAsia="Calibri"/>
                <w:szCs w:val="22"/>
                <w:lang w:eastAsia="en-US"/>
              </w:rPr>
              <w:t xml:space="preserve">  For stacked antennas, the cost of the bottom antenna will likely be doubled due to the increased cost of structural components, such as heavier steel and longer structures</w:t>
            </w:r>
          </w:p>
        </w:tc>
      </w:tr>
    </w:tbl>
    <w:p w:rsidR="00C634D5" w:rsidRPr="00C634D5" w:rsidRDefault="00C634D5" w:rsidP="00520596">
      <w:pPr>
        <w:keepNext/>
        <w:keepLines/>
        <w:numPr>
          <w:ilvl w:val="1"/>
          <w:numId w:val="3"/>
        </w:numPr>
        <w:tabs>
          <w:tab w:val="clear" w:pos="1440"/>
        </w:tabs>
        <w:suppressAutoHyphens w:val="0"/>
        <w:spacing w:before="200" w:line="276" w:lineRule="auto"/>
        <w:ind w:left="720" w:firstLine="0"/>
        <w:outlineLvl w:val="1"/>
        <w:rPr>
          <w:b/>
          <w:bCs/>
          <w:szCs w:val="22"/>
          <w:lang w:eastAsia="en-US"/>
        </w:rPr>
      </w:pPr>
      <w:bookmarkStart w:id="8" w:name="_Toc367183360"/>
      <w:r w:rsidRPr="00C634D5">
        <w:rPr>
          <w:b/>
          <w:bCs/>
          <w:szCs w:val="22"/>
          <w:lang w:eastAsia="en-US"/>
        </w:rPr>
        <w:t>TRANSMISSION LINES</w:t>
      </w:r>
      <w:bookmarkEnd w:id="8"/>
      <w:r w:rsidRPr="00C634D5">
        <w:rPr>
          <w:b/>
          <w:bCs/>
          <w:szCs w:val="22"/>
          <w:lang w:eastAsia="en-US"/>
        </w:rPr>
        <w:t xml:space="preserve"> </w:t>
      </w:r>
    </w:p>
    <w:p w:rsidR="00C634D5" w:rsidRPr="00C634D5" w:rsidRDefault="00C634D5" w:rsidP="00520596">
      <w:pPr>
        <w:suppressAutoHyphens w:val="0"/>
        <w:spacing w:after="200" w:line="276" w:lineRule="auto"/>
        <w:rPr>
          <w:rFonts w:eastAsia="Calibri"/>
          <w:szCs w:val="22"/>
          <w:lang w:eastAsia="en-US"/>
        </w:rPr>
      </w:pPr>
      <w:r w:rsidRPr="00C634D5">
        <w:rPr>
          <w:rFonts w:eastAsia="Calibri"/>
          <w:i/>
          <w:szCs w:val="22"/>
          <w:lang w:eastAsia="en-US"/>
        </w:rPr>
        <w:t>In some situations, transmission line can be reused in the event of a channel change (e.g., if the move is to a non-prohibited channel or if the transmission line is broadband capable).  See Figure 1 below.  If new transmission line must be purchased, it is generally priced per foot with the price generally including elbows and hangers, and is based on a length of 1,000 feet.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Flexible Transmission Line</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Line Diameter: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7/8” foam dielectric</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 5/8” foam dielectric</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 1/4” foam dielectric</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7/8” air dielectric</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1 5/8” air dielectric</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2 1/4” air dielectric</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3” air dielectric</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4” air dielectric</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5” air dielectric</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Rigid Transmission Line – copper</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Line Diameter: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3 1/8”</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4 1/16”</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6 1/8”</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7 3/16”</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8 3/16”</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Note:</w:t>
            </w:r>
            <w:r w:rsidRPr="00C634D5">
              <w:rPr>
                <w:rFonts w:eastAsia="Calibri"/>
                <w:szCs w:val="22"/>
                <w:lang w:eastAsia="en-US"/>
              </w:rPr>
              <w:t xml:space="preserve">  Broadband rigid transmission line sections are generally 15% more expensive than other rigid line sections.  </w:t>
            </w:r>
          </w:p>
        </w:tc>
      </w:tr>
    </w:tbl>
    <w:p w:rsidR="00C634D5" w:rsidRPr="00C634D5" w:rsidRDefault="00C634D5" w:rsidP="00520596">
      <w:pPr>
        <w:keepNext/>
        <w:keepLines/>
        <w:suppressAutoHyphens w:val="0"/>
        <w:spacing w:before="200" w:line="276" w:lineRule="auto"/>
        <w:ind w:left="720"/>
        <w:outlineLvl w:val="1"/>
        <w:rPr>
          <w:b/>
          <w:bCs/>
          <w:szCs w:val="22"/>
          <w:lang w:eastAsia="en-US"/>
        </w:rPr>
      </w:pPr>
    </w:p>
    <w:p w:rsidR="00C634D5" w:rsidRPr="00C634D5" w:rsidRDefault="00C634D5" w:rsidP="00520596">
      <w:pPr>
        <w:keepNext/>
        <w:keepLines/>
        <w:numPr>
          <w:ilvl w:val="1"/>
          <w:numId w:val="3"/>
        </w:numPr>
        <w:tabs>
          <w:tab w:val="clear" w:pos="1440"/>
        </w:tabs>
        <w:suppressAutoHyphens w:val="0"/>
        <w:spacing w:before="200" w:line="276" w:lineRule="auto"/>
        <w:ind w:left="720" w:firstLine="0"/>
        <w:outlineLvl w:val="1"/>
        <w:rPr>
          <w:b/>
          <w:bCs/>
          <w:szCs w:val="22"/>
          <w:lang w:eastAsia="en-US"/>
        </w:rPr>
      </w:pPr>
      <w:bookmarkStart w:id="9" w:name="_Toc367183361"/>
      <w:r w:rsidRPr="00C634D5">
        <w:rPr>
          <w:b/>
          <w:bCs/>
          <w:szCs w:val="22"/>
          <w:lang w:eastAsia="en-US"/>
        </w:rPr>
        <w:t>TOWER EQUIPMENT AND RIGGING</w:t>
      </w:r>
      <w:bookmarkEnd w:id="9"/>
    </w:p>
    <w:p w:rsidR="00C634D5" w:rsidRPr="00C634D5" w:rsidRDefault="00C634D5" w:rsidP="00520596">
      <w:pPr>
        <w:suppressAutoHyphens w:val="0"/>
        <w:spacing w:after="200" w:line="276" w:lineRule="auto"/>
        <w:rPr>
          <w:rFonts w:eastAsia="Calibri"/>
          <w:i/>
          <w:szCs w:val="22"/>
          <w:lang w:eastAsia="en-US"/>
        </w:rPr>
      </w:pPr>
      <w:r w:rsidRPr="00C634D5">
        <w:rPr>
          <w:rFonts w:eastAsia="Calibri"/>
          <w:i/>
          <w:szCs w:val="22"/>
          <w:lang w:eastAsia="en-US"/>
        </w:rPr>
        <w:t xml:space="preserve">If replacement or addition of antennas is required, it may be necessary to modify the existing tower or construct a new tower.  In addition to these expenses, a broadcaster replacing or adding an antenna would incur rigging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rPr>
          <w:cantSplit/>
        </w:trPr>
        <w:tc>
          <w:tcPr>
            <w:tcW w:w="12978" w:type="dxa"/>
          </w:tcPr>
          <w:p w:rsidR="00C634D5" w:rsidRPr="00C634D5" w:rsidRDefault="00C634D5" w:rsidP="00520596">
            <w:pPr>
              <w:suppressAutoHyphens w:val="0"/>
              <w:spacing w:after="200" w:line="276" w:lineRule="auto"/>
              <w:rPr>
                <w:rFonts w:eastAsia="Calibri"/>
                <w:i/>
                <w:sz w:val="24"/>
                <w:szCs w:val="22"/>
                <w:lang w:eastAsia="en-US"/>
              </w:rPr>
            </w:pPr>
            <w:r w:rsidRPr="00C634D5">
              <w:rPr>
                <w:rFonts w:eastAsia="Calibri"/>
                <w:b/>
                <w:szCs w:val="22"/>
                <w:lang w:eastAsia="en-US"/>
              </w:rPr>
              <w:t xml:space="preserve">Existing Towers – </w:t>
            </w:r>
            <w:r w:rsidRPr="00C634D5">
              <w:rPr>
                <w:rFonts w:eastAsia="Calibri"/>
                <w:i/>
                <w:szCs w:val="22"/>
                <w:lang w:eastAsia="en-US"/>
              </w:rPr>
              <w:t>Towers without sufficient documentation of the tower specifications may need to be mapped prior to completion of a tower load study</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Tower mapping for an undocumented/poorly documented tower and preparation of documentation necessary for tower load study</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Structural engineering tower load study for documented tower</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Structural engineering tower load study for a documented tower with candelabra</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Minor tower reinforcement/modifications (</w:t>
            </w:r>
            <w:r w:rsidRPr="00C634D5">
              <w:rPr>
                <w:rFonts w:eastAsia="Calibri"/>
                <w:i/>
                <w:szCs w:val="22"/>
                <w:lang w:eastAsia="en-US"/>
              </w:rPr>
              <w:t>see Fig. 2 for sample minor modifications</w:t>
            </w:r>
            <w:r w:rsidRPr="00C634D5">
              <w:rPr>
                <w:rFonts w:eastAsia="Calibri"/>
                <w:szCs w:val="22"/>
                <w:lang w:eastAsia="en-US"/>
              </w:rPr>
              <w:t xml:space="preserve">)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Major tower reinforcement/modifications (</w:t>
            </w:r>
            <w:r w:rsidRPr="00C634D5">
              <w:rPr>
                <w:rFonts w:eastAsia="Calibri"/>
                <w:i/>
                <w:szCs w:val="22"/>
                <w:lang w:eastAsia="en-US"/>
              </w:rPr>
              <w:t>see Fig. 2 for sample major modifications</w:t>
            </w:r>
            <w:r w:rsidRPr="00C634D5">
              <w:rPr>
                <w:rFonts w:eastAsia="Calibri"/>
                <w:szCs w:val="22"/>
                <w:lang w:eastAsia="en-US"/>
              </w:rPr>
              <w:t xml:space="preserve">)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Serious tower reinforcement/modifications (</w:t>
            </w:r>
            <w:r w:rsidRPr="00C634D5">
              <w:rPr>
                <w:rFonts w:eastAsia="Calibri"/>
                <w:i/>
                <w:szCs w:val="22"/>
                <w:lang w:eastAsia="en-US"/>
              </w:rPr>
              <w:t>see Fig. 2 for sample serious modifications</w:t>
            </w:r>
            <w:r w:rsidRPr="00C634D5">
              <w:rPr>
                <w:rFonts w:eastAsia="Calibri"/>
                <w:szCs w:val="22"/>
                <w:lang w:eastAsia="en-US"/>
              </w:rPr>
              <w:t xml:space="preserve">) </w:t>
            </w: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New Towers</w:t>
            </w:r>
            <w:r w:rsidRPr="00C634D5">
              <w:rPr>
                <w:rFonts w:eastAsia="Calibri"/>
                <w:i/>
                <w:szCs w:val="22"/>
                <w:lang w:eastAsia="en-US"/>
              </w:rPr>
              <w:t xml:space="preserve"> – Cost includes constructing a new tower, priced per foot</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New tower between 1000’ and 1500’ without elevator, normal soil conditions</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New tower between 1500’ and 2000’ without elevator, normal soil conditions</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Tower Rigging</w:t>
            </w:r>
            <w:r w:rsidRPr="00C634D5">
              <w:rPr>
                <w:rFonts w:eastAsia="Calibri"/>
                <w:i/>
                <w:szCs w:val="22"/>
                <w:lang w:eastAsia="en-US"/>
              </w:rPr>
              <w:t xml:space="preserve"> </w:t>
            </w:r>
            <w:r w:rsidRPr="00C634D5">
              <w:rPr>
                <w:rFonts w:eastAsia="Calibri"/>
                <w:b/>
                <w:szCs w:val="22"/>
                <w:lang w:eastAsia="en-US"/>
              </w:rPr>
              <w:t>–</w:t>
            </w:r>
            <w:r w:rsidRPr="00C634D5">
              <w:rPr>
                <w:rFonts w:eastAsia="Calibri"/>
                <w:i/>
                <w:szCs w:val="22"/>
                <w:lang w:eastAsia="en-US"/>
              </w:rPr>
              <w:t xml:space="preserve"> Cost includes fees paid to expert tower crews for equipment removal and installation, such as  removing the existing antenna and installing the replacement antenna, and if necessary (and for additional cost), removing the existing transmission line and installing the replacement transmission line.</w:t>
            </w:r>
            <w:r w:rsidRPr="00C634D5">
              <w:rPr>
                <w:rFonts w:eastAsia="Calibri"/>
                <w:szCs w:val="22"/>
                <w:lang w:eastAsia="en-US"/>
              </w:rPr>
              <w:t xml:space="preserve">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Tall Tower (</w:t>
            </w:r>
            <w:r w:rsidRPr="00C634D5">
              <w:rPr>
                <w:rFonts w:eastAsia="Calibri"/>
                <w:i/>
                <w:szCs w:val="22"/>
                <w:lang w:eastAsia="en-US"/>
              </w:rPr>
              <w:t>greater than 500’</w:t>
            </w:r>
            <w:r w:rsidRPr="00C634D5">
              <w:rPr>
                <w:rFonts w:eastAsia="Calibri"/>
                <w:szCs w:val="22"/>
                <w:lang w:eastAsia="en-US"/>
              </w:rPr>
              <w:t xml:space="preserve">)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Short Tower (</w:t>
            </w:r>
            <w:r w:rsidRPr="00C634D5">
              <w:rPr>
                <w:rFonts w:eastAsia="Calibri"/>
                <w:i/>
                <w:szCs w:val="22"/>
                <w:lang w:eastAsia="en-US"/>
              </w:rPr>
              <w:t>less than 500’</w:t>
            </w:r>
            <w:r w:rsidRPr="00C634D5">
              <w:rPr>
                <w:rFonts w:eastAsia="Calibri"/>
                <w:szCs w:val="22"/>
                <w:lang w:eastAsia="en-US"/>
              </w:rPr>
              <w:t xml:space="preserve">) </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Complex Tower (</w:t>
            </w:r>
            <w:r w:rsidRPr="00C634D5">
              <w:rPr>
                <w:rFonts w:eastAsia="Calibri"/>
                <w:i/>
                <w:szCs w:val="22"/>
                <w:lang w:eastAsia="en-US"/>
              </w:rPr>
              <w:t>includes, for example, those with candelabras and/or stacked antennas</w:t>
            </w:r>
            <w:r w:rsidRPr="00C634D5">
              <w:rPr>
                <w:rFonts w:eastAsia="Calibri"/>
                <w:szCs w:val="22"/>
                <w:lang w:eastAsia="en-US"/>
              </w:rPr>
              <w:t>)</w:t>
            </w:r>
          </w:p>
        </w:tc>
      </w:tr>
    </w:tbl>
    <w:p w:rsidR="00C634D5" w:rsidRPr="00C634D5" w:rsidRDefault="00C634D5" w:rsidP="00520596">
      <w:pPr>
        <w:keepNext/>
        <w:keepLines/>
        <w:numPr>
          <w:ilvl w:val="1"/>
          <w:numId w:val="3"/>
        </w:numPr>
        <w:tabs>
          <w:tab w:val="clear" w:pos="1440"/>
        </w:tabs>
        <w:suppressAutoHyphens w:val="0"/>
        <w:spacing w:before="200" w:line="276" w:lineRule="auto"/>
        <w:ind w:left="720" w:firstLine="0"/>
        <w:outlineLvl w:val="1"/>
        <w:rPr>
          <w:b/>
          <w:bCs/>
          <w:szCs w:val="22"/>
          <w:lang w:eastAsia="en-US"/>
        </w:rPr>
      </w:pPr>
      <w:bookmarkStart w:id="10" w:name="_Toc367183362"/>
      <w:r w:rsidRPr="00C634D5">
        <w:rPr>
          <w:b/>
          <w:bCs/>
          <w:szCs w:val="22"/>
          <w:lang w:eastAsia="en-US"/>
        </w:rPr>
        <w:t>INTERIM FACILITIES</w:t>
      </w:r>
      <w:bookmarkEnd w:id="10"/>
    </w:p>
    <w:p w:rsidR="00C634D5" w:rsidRPr="00C634D5" w:rsidRDefault="00C634D5" w:rsidP="00520596">
      <w:pPr>
        <w:suppressAutoHyphens w:val="0"/>
        <w:spacing w:after="200" w:line="276" w:lineRule="auto"/>
        <w:rPr>
          <w:rFonts w:eastAsia="Calibri"/>
          <w:b/>
          <w:szCs w:val="22"/>
          <w:lang w:eastAsia="en-US"/>
        </w:rPr>
      </w:pPr>
      <w:r w:rsidRPr="00C634D5">
        <w:rPr>
          <w:rFonts w:eastAsia="Calibri"/>
          <w:i/>
          <w:szCs w:val="22"/>
          <w:lang w:eastAsia="en-US"/>
        </w:rPr>
        <w:t xml:space="preserve">To avoid prolonged periods off the air while repacking changes are made, stations may need to use interim facilities.  Some stations currently have a licensed auxiliary facility or own backup equipment that may be used for this purpose post-auction while others may need to purchase or rent equipment or facilities.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rPr>
          <w:trHeight w:val="260"/>
        </w:trPr>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Transmitter</w:t>
            </w:r>
          </w:p>
        </w:tc>
      </w:tr>
      <w:tr w:rsidR="00C634D5" w:rsidRPr="00C634D5" w:rsidTr="00C54B3E">
        <w:trPr>
          <w:trHeight w:val="260"/>
        </w:trPr>
        <w:tc>
          <w:tcPr>
            <w:tcW w:w="12978" w:type="dxa"/>
          </w:tcPr>
          <w:p w:rsidR="00C634D5" w:rsidRPr="00C634D5" w:rsidRDefault="00C634D5" w:rsidP="00520596">
            <w:pPr>
              <w:suppressAutoHyphens w:val="0"/>
              <w:spacing w:after="200" w:line="276" w:lineRule="auto"/>
              <w:rPr>
                <w:rFonts w:eastAsia="Calibri"/>
                <w:sz w:val="24"/>
                <w:szCs w:val="22"/>
                <w:lang w:eastAsia="en-US"/>
              </w:rPr>
            </w:pPr>
            <w:r w:rsidRPr="00C634D5">
              <w:rPr>
                <w:rFonts w:eastAsia="Calibri"/>
                <w:i/>
                <w:szCs w:val="22"/>
                <w:lang w:eastAsia="en-US"/>
              </w:rPr>
              <w:t>A station may need a new transmitter for interim use on either its pre- or post-auction channel to permit continued operation during construction of the post-auction facility.  New transmitters are listed in Section I.A.2, Transmitters and In-Building Expenses.</w:t>
            </w: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Antenna</w:t>
            </w:r>
          </w:p>
        </w:tc>
      </w:tr>
      <w:tr w:rsidR="00C634D5" w:rsidRPr="00C634D5" w:rsidTr="00C54B3E">
        <w:tc>
          <w:tcPr>
            <w:tcW w:w="12978" w:type="dxa"/>
          </w:tcPr>
          <w:p w:rsidR="00C634D5" w:rsidRPr="00C634D5" w:rsidRDefault="00C634D5" w:rsidP="00520596">
            <w:pPr>
              <w:suppressAutoHyphens w:val="0"/>
              <w:ind w:left="360"/>
              <w:rPr>
                <w:rFonts w:eastAsia="Calibri"/>
                <w:i/>
                <w:sz w:val="24"/>
                <w:szCs w:val="22"/>
                <w:lang w:eastAsia="en-US"/>
              </w:rPr>
            </w:pPr>
            <w:r w:rsidRPr="00C634D5">
              <w:rPr>
                <w:rFonts w:eastAsia="Calibri"/>
                <w:szCs w:val="22"/>
                <w:lang w:eastAsia="en-US"/>
              </w:rPr>
              <w:t xml:space="preserve">Interim antenna rent and installation – </w:t>
            </w:r>
            <w:r w:rsidRPr="00C634D5">
              <w:rPr>
                <w:rFonts w:eastAsia="Calibri"/>
                <w:i/>
                <w:szCs w:val="22"/>
                <w:lang w:eastAsia="en-US"/>
              </w:rPr>
              <w:t>Cost will depend upon antenna size and height and/or complexity of tower</w:t>
            </w:r>
          </w:p>
        </w:tc>
      </w:tr>
      <w:tr w:rsidR="00C634D5" w:rsidRPr="00C634D5" w:rsidTr="00C54B3E">
        <w:tc>
          <w:tcPr>
            <w:tcW w:w="12978" w:type="dxa"/>
          </w:tcPr>
          <w:p w:rsidR="00C634D5" w:rsidRPr="00C634D5" w:rsidRDefault="00C634D5" w:rsidP="00520596">
            <w:pPr>
              <w:suppressAutoHyphens w:val="0"/>
              <w:rPr>
                <w:rFonts w:eastAsia="Calibri"/>
                <w:i/>
                <w:sz w:val="24"/>
                <w:szCs w:val="22"/>
                <w:lang w:eastAsia="en-US"/>
              </w:rPr>
            </w:pPr>
            <w:r w:rsidRPr="00C634D5">
              <w:rPr>
                <w:rFonts w:eastAsia="Calibri"/>
                <w:b/>
                <w:szCs w:val="22"/>
                <w:lang w:eastAsia="en-US"/>
              </w:rPr>
              <w:t>Tower Equipment and Rigging</w:t>
            </w:r>
            <w:r w:rsidRPr="00C634D5">
              <w:rPr>
                <w:rFonts w:eastAsia="Calibri"/>
                <w:szCs w:val="22"/>
                <w:lang w:eastAsia="en-US"/>
              </w:rPr>
              <w:t xml:space="preserve">  – </w:t>
            </w:r>
            <w:r w:rsidRPr="00C634D5">
              <w:rPr>
                <w:rFonts w:eastAsia="Calibri"/>
                <w:i/>
                <w:szCs w:val="22"/>
                <w:lang w:eastAsia="en-US"/>
              </w:rPr>
              <w:t>Cost will be similar to those described in Section II.D, Tower Equipment and Rigging, above</w:t>
            </w:r>
          </w:p>
        </w:tc>
      </w:tr>
      <w:tr w:rsidR="00C634D5" w:rsidRPr="00C634D5" w:rsidTr="00C54B3E">
        <w:tc>
          <w:tcPr>
            <w:tcW w:w="12978" w:type="dxa"/>
          </w:tcPr>
          <w:p w:rsidR="00C634D5" w:rsidRPr="00C634D5" w:rsidRDefault="00C634D5" w:rsidP="00520596">
            <w:pPr>
              <w:suppressAutoHyphens w:val="0"/>
              <w:rPr>
                <w:rFonts w:eastAsia="Calibri"/>
                <w:i/>
                <w:sz w:val="24"/>
                <w:szCs w:val="22"/>
                <w:lang w:eastAsia="en-US"/>
              </w:rPr>
            </w:pPr>
            <w:r w:rsidRPr="00C634D5">
              <w:rPr>
                <w:rFonts w:eastAsia="Calibri"/>
                <w:b/>
                <w:szCs w:val="22"/>
                <w:lang w:eastAsia="en-US"/>
              </w:rPr>
              <w:t>Interior RF Systems</w:t>
            </w:r>
            <w:r w:rsidRPr="00C634D5">
              <w:rPr>
                <w:rFonts w:eastAsia="Calibri"/>
                <w:szCs w:val="22"/>
                <w:lang w:eastAsia="en-US"/>
              </w:rPr>
              <w:t xml:space="preserve"> – </w:t>
            </w:r>
            <w:r w:rsidRPr="00C634D5">
              <w:rPr>
                <w:rFonts w:eastAsia="Calibri"/>
                <w:i/>
                <w:szCs w:val="22"/>
                <w:lang w:eastAsia="en-US"/>
              </w:rPr>
              <w:t>A station that needs an additional transmitter for interim use may need an additional interior RF system</w:t>
            </w:r>
          </w:p>
        </w:tc>
      </w:tr>
      <w:tr w:rsidR="00C634D5" w:rsidRPr="00C634D5" w:rsidTr="00C54B3E">
        <w:tc>
          <w:tcPr>
            <w:tcW w:w="12978" w:type="dxa"/>
          </w:tcPr>
          <w:p w:rsidR="00C634D5" w:rsidRPr="00C634D5" w:rsidRDefault="00C634D5" w:rsidP="00520596">
            <w:pPr>
              <w:suppressAutoHyphens w:val="0"/>
              <w:ind w:left="360"/>
              <w:rPr>
                <w:rFonts w:eastAsia="Calibri"/>
                <w:b/>
                <w:sz w:val="24"/>
                <w:szCs w:val="22"/>
                <w:lang w:eastAsia="en-US"/>
              </w:rPr>
            </w:pPr>
            <w:r w:rsidRPr="00C634D5">
              <w:rPr>
                <w:rFonts w:eastAsia="Calibri"/>
                <w:szCs w:val="22"/>
                <w:lang w:eastAsia="en-US"/>
              </w:rPr>
              <w:t>UHF inside RF system including switching</w:t>
            </w:r>
          </w:p>
        </w:tc>
      </w:tr>
      <w:tr w:rsidR="00C634D5" w:rsidRPr="00C634D5" w:rsidTr="00C54B3E">
        <w:tc>
          <w:tcPr>
            <w:tcW w:w="12978" w:type="dxa"/>
          </w:tcPr>
          <w:p w:rsidR="00C634D5" w:rsidRPr="00C634D5" w:rsidRDefault="00C634D5" w:rsidP="00520596">
            <w:pPr>
              <w:suppressAutoHyphens w:val="0"/>
              <w:ind w:left="360"/>
              <w:rPr>
                <w:rFonts w:eastAsia="Calibri"/>
                <w:sz w:val="24"/>
                <w:szCs w:val="22"/>
                <w:lang w:eastAsia="en-US"/>
              </w:rPr>
            </w:pPr>
            <w:r w:rsidRPr="00C634D5">
              <w:rPr>
                <w:rFonts w:eastAsia="Calibri"/>
                <w:szCs w:val="22"/>
                <w:lang w:eastAsia="en-US"/>
              </w:rPr>
              <w:t>VHF inside RF system including switching</w:t>
            </w:r>
          </w:p>
        </w:tc>
      </w:tr>
    </w:tbl>
    <w:p w:rsidR="00C634D5" w:rsidRPr="00C634D5" w:rsidRDefault="00C634D5" w:rsidP="00520596">
      <w:pPr>
        <w:keepNext/>
        <w:keepLines/>
        <w:numPr>
          <w:ilvl w:val="1"/>
          <w:numId w:val="3"/>
        </w:numPr>
        <w:tabs>
          <w:tab w:val="clear" w:pos="1440"/>
        </w:tabs>
        <w:suppressAutoHyphens w:val="0"/>
        <w:spacing w:before="200" w:line="276" w:lineRule="auto"/>
        <w:ind w:left="720" w:firstLine="0"/>
        <w:outlineLvl w:val="1"/>
        <w:rPr>
          <w:b/>
          <w:bCs/>
          <w:szCs w:val="22"/>
          <w:lang w:eastAsia="en-US"/>
        </w:rPr>
      </w:pPr>
      <w:bookmarkStart w:id="11" w:name="_Toc367183363"/>
      <w:r w:rsidRPr="00C634D5">
        <w:rPr>
          <w:b/>
          <w:bCs/>
          <w:szCs w:val="22"/>
          <w:lang w:eastAsia="en-US"/>
        </w:rPr>
        <w:t>SPECIAL CASES</w:t>
      </w:r>
      <w:bookmarkEnd w:id="11"/>
    </w:p>
    <w:p w:rsidR="00C634D5" w:rsidRPr="00C634D5" w:rsidRDefault="00C634D5" w:rsidP="00520596">
      <w:pPr>
        <w:keepNext/>
        <w:keepLines/>
        <w:numPr>
          <w:ilvl w:val="2"/>
          <w:numId w:val="3"/>
        </w:numPr>
        <w:tabs>
          <w:tab w:val="clear" w:pos="2160"/>
        </w:tabs>
        <w:suppressAutoHyphens w:val="0"/>
        <w:spacing w:before="200" w:line="276" w:lineRule="auto"/>
        <w:ind w:left="1440" w:firstLine="0"/>
        <w:outlineLvl w:val="2"/>
        <w:rPr>
          <w:b/>
          <w:bCs/>
          <w:szCs w:val="22"/>
          <w:lang w:eastAsia="en-US"/>
        </w:rPr>
      </w:pPr>
      <w:bookmarkStart w:id="12" w:name="_Toc367183364"/>
      <w:r w:rsidRPr="00C634D5">
        <w:rPr>
          <w:b/>
          <w:bCs/>
          <w:szCs w:val="22"/>
          <w:lang w:eastAsia="en-US"/>
        </w:rPr>
        <w:t>Channel 14</w:t>
      </w:r>
      <w:bookmarkEnd w:id="12"/>
    </w:p>
    <w:p w:rsidR="00C634D5" w:rsidRPr="00C634D5" w:rsidRDefault="00C634D5" w:rsidP="00520596">
      <w:pPr>
        <w:suppressAutoHyphens w:val="0"/>
        <w:spacing w:after="200" w:line="276" w:lineRule="auto"/>
        <w:rPr>
          <w:rFonts w:eastAsia="Calibri"/>
          <w:szCs w:val="22"/>
          <w:lang w:eastAsia="en-US"/>
        </w:rPr>
      </w:pPr>
      <w:r w:rsidRPr="00C634D5">
        <w:rPr>
          <w:rFonts w:eastAsia="Calibri"/>
          <w:i/>
          <w:szCs w:val="22"/>
          <w:lang w:eastAsia="en-US"/>
        </w:rPr>
        <w:t xml:space="preserve">Television broadcasters operating on Channel 14 are required to guard against interference with mobile use on frequencies 467-470 MHz.  See 47 C.F.R. § 73.687(d).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RF Consulting Engineer (</w:t>
            </w:r>
            <w:r w:rsidRPr="00C634D5">
              <w:rPr>
                <w:rFonts w:eastAsia="Calibri"/>
                <w:i/>
                <w:szCs w:val="22"/>
                <w:lang w:eastAsia="en-US"/>
              </w:rPr>
              <w:t>to determine correct mask filter to avoid interference</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 xml:space="preserve">Channel 14 Mask Filter </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Additional field engineering time, 10-30 days (</w:t>
            </w:r>
            <w:r w:rsidRPr="00C634D5">
              <w:rPr>
                <w:rFonts w:eastAsia="Calibri"/>
                <w:i/>
                <w:szCs w:val="22"/>
                <w:lang w:eastAsia="en-US"/>
              </w:rPr>
              <w:t>to test for interference after mask filter is installed</w:t>
            </w:r>
            <w:r w:rsidRPr="00C634D5">
              <w:rPr>
                <w:rFonts w:eastAsia="Calibri"/>
                <w:szCs w:val="22"/>
                <w:lang w:eastAsia="en-US"/>
              </w:rPr>
              <w:t>)</w:t>
            </w:r>
          </w:p>
        </w:tc>
      </w:tr>
    </w:tbl>
    <w:p w:rsidR="00C634D5" w:rsidRPr="00C634D5" w:rsidRDefault="00C634D5" w:rsidP="00520596">
      <w:pPr>
        <w:keepNext/>
        <w:keepLines/>
        <w:suppressAutoHyphens w:val="0"/>
        <w:spacing w:before="200" w:line="276" w:lineRule="auto"/>
        <w:outlineLvl w:val="2"/>
        <w:rPr>
          <w:b/>
          <w:bCs/>
          <w:szCs w:val="22"/>
          <w:lang w:eastAsia="en-US"/>
        </w:rPr>
      </w:pPr>
      <w:bookmarkStart w:id="13" w:name="_Toc367183365"/>
    </w:p>
    <w:p w:rsidR="00C634D5" w:rsidRPr="00C634D5" w:rsidRDefault="00C634D5" w:rsidP="00520596">
      <w:pPr>
        <w:suppressAutoHyphens w:val="0"/>
        <w:spacing w:after="200" w:line="276" w:lineRule="auto"/>
        <w:rPr>
          <w:rFonts w:eastAsia="Calibri"/>
          <w:b/>
          <w:bCs/>
          <w:szCs w:val="22"/>
          <w:lang w:eastAsia="en-US"/>
        </w:rPr>
      </w:pPr>
      <w:r w:rsidRPr="00C634D5">
        <w:rPr>
          <w:rFonts w:eastAsia="Calibri"/>
          <w:szCs w:val="22"/>
          <w:lang w:eastAsia="en-US"/>
        </w:rPr>
        <w:br w:type="page"/>
      </w:r>
    </w:p>
    <w:p w:rsidR="00C634D5" w:rsidRPr="00C634D5" w:rsidRDefault="00C634D5" w:rsidP="00520596">
      <w:pPr>
        <w:keepNext/>
        <w:keepLines/>
        <w:numPr>
          <w:ilvl w:val="2"/>
          <w:numId w:val="3"/>
        </w:numPr>
        <w:tabs>
          <w:tab w:val="clear" w:pos="2160"/>
        </w:tabs>
        <w:suppressAutoHyphens w:val="0"/>
        <w:spacing w:before="200" w:line="276" w:lineRule="auto"/>
        <w:ind w:left="1440" w:firstLine="0"/>
        <w:outlineLvl w:val="2"/>
        <w:rPr>
          <w:b/>
          <w:bCs/>
          <w:szCs w:val="22"/>
          <w:lang w:eastAsia="en-US"/>
        </w:rPr>
      </w:pPr>
      <w:r w:rsidRPr="00C634D5">
        <w:rPr>
          <w:b/>
          <w:bCs/>
          <w:szCs w:val="22"/>
          <w:lang w:eastAsia="en-US"/>
        </w:rPr>
        <w:t>Distributed Transmission Services (DTS)</w:t>
      </w:r>
      <w:bookmarkEnd w:id="13"/>
    </w:p>
    <w:p w:rsidR="00C634D5" w:rsidRPr="00C634D5" w:rsidRDefault="00C634D5" w:rsidP="00520596">
      <w:pPr>
        <w:suppressAutoHyphens w:val="0"/>
        <w:spacing w:after="200" w:line="276" w:lineRule="auto"/>
        <w:rPr>
          <w:rFonts w:eastAsia="Calibri"/>
          <w:szCs w:val="22"/>
          <w:lang w:eastAsia="en-US"/>
        </w:rPr>
      </w:pPr>
      <w:r w:rsidRPr="00C634D5">
        <w:rPr>
          <w:rFonts w:eastAsia="Calibri"/>
          <w:i/>
          <w:szCs w:val="22"/>
          <w:lang w:eastAsia="en-US"/>
        </w:rPr>
        <w:t xml:space="preserve">Television stations operating DTS systems will incur engineering costs related to each DTS site (instead of, and not in addition to, the RF engineering category in Section II.H, Professional Services,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spacing w:after="200" w:line="276" w:lineRule="auto"/>
              <w:rPr>
                <w:rFonts w:eastAsia="Calibri"/>
                <w:sz w:val="24"/>
                <w:szCs w:val="22"/>
                <w:lang w:eastAsia="en-US"/>
              </w:rPr>
            </w:pPr>
            <w:r w:rsidRPr="00C634D5">
              <w:rPr>
                <w:rFonts w:eastAsia="Calibri"/>
                <w:b/>
                <w:szCs w:val="22"/>
                <w:lang w:eastAsia="en-US"/>
              </w:rPr>
              <w:t xml:space="preserve">RF Consulting Engineer </w:t>
            </w:r>
            <w:r w:rsidRPr="00C634D5">
              <w:rPr>
                <w:rFonts w:eastAsia="Calibri"/>
                <w:szCs w:val="22"/>
                <w:lang w:eastAsia="en-US"/>
              </w:rPr>
              <w:t>(</w:t>
            </w:r>
            <w:r w:rsidRPr="00C634D5">
              <w:rPr>
                <w:rFonts w:eastAsia="Calibri"/>
                <w:i/>
                <w:szCs w:val="22"/>
                <w:lang w:eastAsia="en-US"/>
              </w:rPr>
              <w:t>priced per DTS site</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 xml:space="preserve">Critical Facility:  “Critical” refers to operations that have signal overlap between adjacent DTS sites which are not terrain-shielded; such facilities will require exact power levels, signal synchronization, and antenna directional and elevation patterns to minimize interference between sites. </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 xml:space="preserve">Terrain-shielded Facility:  “Terrain-shielded” refers to operations that serve regions that are terrain blocked from each other, resulting in less interference as compared to critical facilities.  </w:t>
            </w:r>
          </w:p>
        </w:tc>
      </w:tr>
    </w:tbl>
    <w:p w:rsidR="00C634D5" w:rsidRPr="00C634D5" w:rsidRDefault="00C634D5" w:rsidP="00520596">
      <w:pPr>
        <w:keepNext/>
        <w:keepLines/>
        <w:numPr>
          <w:ilvl w:val="2"/>
          <w:numId w:val="3"/>
        </w:numPr>
        <w:tabs>
          <w:tab w:val="clear" w:pos="2160"/>
        </w:tabs>
        <w:suppressAutoHyphens w:val="0"/>
        <w:spacing w:before="200" w:line="276" w:lineRule="auto"/>
        <w:ind w:left="1440" w:firstLine="0"/>
        <w:outlineLvl w:val="2"/>
        <w:rPr>
          <w:b/>
          <w:bCs/>
          <w:szCs w:val="22"/>
          <w:lang w:eastAsia="en-US"/>
        </w:rPr>
      </w:pPr>
      <w:bookmarkStart w:id="14" w:name="_Toc367183366"/>
      <w:r w:rsidRPr="00C634D5">
        <w:rPr>
          <w:b/>
          <w:bCs/>
          <w:szCs w:val="22"/>
          <w:lang w:eastAsia="en-US"/>
        </w:rPr>
        <w:t>AM Pattern Disturbance</w:t>
      </w:r>
      <w:bookmarkEnd w:id="14"/>
    </w:p>
    <w:p w:rsidR="00C634D5" w:rsidRPr="00C634D5" w:rsidRDefault="00C634D5" w:rsidP="00520596">
      <w:pPr>
        <w:suppressAutoHyphens w:val="0"/>
        <w:spacing w:after="200" w:line="276" w:lineRule="auto"/>
        <w:rPr>
          <w:rFonts w:eastAsia="Calibri"/>
          <w:szCs w:val="22"/>
          <w:lang w:eastAsia="en-US"/>
        </w:rPr>
      </w:pPr>
      <w:r w:rsidRPr="00C634D5">
        <w:rPr>
          <w:rFonts w:eastAsia="Calibri"/>
          <w:i/>
          <w:szCs w:val="22"/>
          <w:lang w:eastAsia="en-US"/>
        </w:rPr>
        <w:t>Stations constructing or making significant modifications to an antenna tower in the immediate vicinity of an AM radio station are required to analyze whether such construction or modification will result in disturbance to the AM station’s radiation pattern.  If it will, the television station must notify the AM station of the disturbance and take measures to correct it.  See 47 C.F.R. § 1.30000 et seq.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Impact study (</w:t>
            </w:r>
            <w:r w:rsidRPr="00C634D5">
              <w:rPr>
                <w:rFonts w:eastAsia="Calibri"/>
                <w:i/>
                <w:szCs w:val="22"/>
                <w:lang w:eastAsia="en-US"/>
              </w:rPr>
              <w:t>to assess</w:t>
            </w:r>
            <w:r w:rsidRPr="00C634D5">
              <w:rPr>
                <w:rFonts w:eastAsia="Calibri"/>
                <w:szCs w:val="22"/>
                <w:lang w:eastAsia="en-US"/>
              </w:rPr>
              <w:t xml:space="preserve"> </w:t>
            </w:r>
            <w:r w:rsidRPr="00C634D5">
              <w:rPr>
                <w:rFonts w:eastAsia="Calibri"/>
                <w:i/>
                <w:szCs w:val="22"/>
                <w:lang w:eastAsia="en-US"/>
              </w:rPr>
              <w:t>the potential impact of tower construction or modification on AM radio stations</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Remedy (</w:t>
            </w:r>
            <w:r w:rsidRPr="00C634D5">
              <w:rPr>
                <w:rFonts w:eastAsia="Calibri"/>
                <w:i/>
                <w:szCs w:val="22"/>
                <w:lang w:eastAsia="en-US"/>
              </w:rPr>
              <w:t>price would include installing detuning apparatus or adjusting existing detuning apparatus necessary to restore proper operation of the directional or non-directional AM antenna and include before and after field measurements</w:t>
            </w:r>
            <w:r w:rsidRPr="00C634D5">
              <w:rPr>
                <w:rFonts w:eastAsia="Calibri"/>
                <w:szCs w:val="22"/>
                <w:lang w:eastAsia="en-US"/>
              </w:rPr>
              <w:t>)</w:t>
            </w:r>
          </w:p>
        </w:tc>
      </w:tr>
    </w:tbl>
    <w:p w:rsidR="00C634D5" w:rsidRPr="00C634D5" w:rsidRDefault="00C634D5" w:rsidP="00520596">
      <w:pPr>
        <w:keepNext/>
        <w:keepLines/>
        <w:numPr>
          <w:ilvl w:val="1"/>
          <w:numId w:val="3"/>
        </w:numPr>
        <w:tabs>
          <w:tab w:val="clear" w:pos="1440"/>
        </w:tabs>
        <w:suppressAutoHyphens w:val="0"/>
        <w:spacing w:before="200" w:line="276" w:lineRule="auto"/>
        <w:ind w:left="720" w:firstLine="0"/>
        <w:outlineLvl w:val="1"/>
        <w:rPr>
          <w:b/>
          <w:bCs/>
          <w:szCs w:val="22"/>
          <w:lang w:eastAsia="en-US"/>
        </w:rPr>
      </w:pPr>
      <w:bookmarkStart w:id="15" w:name="_Toc367183367"/>
      <w:r w:rsidRPr="00C634D5">
        <w:rPr>
          <w:b/>
          <w:bCs/>
          <w:szCs w:val="22"/>
          <w:lang w:eastAsia="en-US"/>
        </w:rPr>
        <w:t>MISCELLANEOUS EXPENSES</w:t>
      </w:r>
      <w:bookmarkEnd w:id="15"/>
    </w:p>
    <w:p w:rsidR="00C634D5" w:rsidRPr="00C634D5" w:rsidRDefault="00C634D5" w:rsidP="00520596">
      <w:pPr>
        <w:keepNext/>
        <w:keepLines/>
        <w:numPr>
          <w:ilvl w:val="2"/>
          <w:numId w:val="3"/>
        </w:numPr>
        <w:tabs>
          <w:tab w:val="clear" w:pos="2160"/>
        </w:tabs>
        <w:suppressAutoHyphens w:val="0"/>
        <w:spacing w:before="200" w:line="276" w:lineRule="auto"/>
        <w:ind w:left="1440" w:firstLine="0"/>
        <w:outlineLvl w:val="2"/>
        <w:rPr>
          <w:b/>
          <w:bCs/>
          <w:szCs w:val="22"/>
          <w:lang w:eastAsia="en-US"/>
        </w:rPr>
      </w:pPr>
      <w:bookmarkStart w:id="16" w:name="_Toc367183368"/>
      <w:r w:rsidRPr="00C634D5">
        <w:rPr>
          <w:b/>
          <w:bCs/>
          <w:szCs w:val="22"/>
          <w:lang w:eastAsia="en-US"/>
        </w:rPr>
        <w:t>DTV Medical Facility Notification</w:t>
      </w:r>
      <w:bookmarkEnd w:id="16"/>
    </w:p>
    <w:p w:rsidR="00C634D5" w:rsidRPr="00C634D5" w:rsidRDefault="00C634D5" w:rsidP="00520596">
      <w:pPr>
        <w:suppressAutoHyphens w:val="0"/>
        <w:spacing w:after="200" w:line="276" w:lineRule="auto"/>
        <w:rPr>
          <w:rFonts w:eastAsia="Calibri"/>
          <w:szCs w:val="22"/>
          <w:lang w:eastAsia="en-US"/>
        </w:rPr>
      </w:pPr>
      <w:r w:rsidRPr="00C634D5">
        <w:rPr>
          <w:rFonts w:eastAsia="Calibri"/>
          <w:i/>
          <w:szCs w:val="22"/>
          <w:lang w:eastAsia="en-US"/>
        </w:rPr>
        <w:t xml:space="preserve">DTV broadcasters are required to notify nearby medical facilities of DTV channel changes pursuant to a condition in their construction permit. </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Markets 1-64</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Markets 65-150</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Markets 151-199</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Markets 200+</w:t>
            </w:r>
          </w:p>
        </w:tc>
      </w:tr>
    </w:tbl>
    <w:p w:rsidR="00C634D5" w:rsidRPr="00C634D5" w:rsidRDefault="00C634D5" w:rsidP="00520596">
      <w:pPr>
        <w:keepNext/>
        <w:keepLines/>
        <w:suppressAutoHyphens w:val="0"/>
        <w:spacing w:before="200" w:line="276" w:lineRule="auto"/>
        <w:outlineLvl w:val="2"/>
        <w:rPr>
          <w:b/>
          <w:bCs/>
          <w:szCs w:val="22"/>
          <w:lang w:eastAsia="en-US"/>
        </w:rPr>
      </w:pPr>
      <w:bookmarkStart w:id="17" w:name="_Toc367183369"/>
    </w:p>
    <w:p w:rsidR="00C634D5" w:rsidRPr="00C634D5" w:rsidRDefault="00C634D5" w:rsidP="00520596">
      <w:pPr>
        <w:suppressAutoHyphens w:val="0"/>
        <w:spacing w:after="200" w:line="276" w:lineRule="auto"/>
        <w:rPr>
          <w:rFonts w:eastAsia="Calibri"/>
          <w:b/>
          <w:bCs/>
          <w:szCs w:val="22"/>
          <w:lang w:eastAsia="en-US"/>
        </w:rPr>
      </w:pPr>
      <w:r w:rsidRPr="00C634D5">
        <w:rPr>
          <w:rFonts w:eastAsia="Calibri"/>
          <w:szCs w:val="22"/>
          <w:lang w:eastAsia="en-US"/>
        </w:rPr>
        <w:br w:type="page"/>
      </w:r>
    </w:p>
    <w:p w:rsidR="00C634D5" w:rsidRPr="00C634D5" w:rsidRDefault="00C634D5" w:rsidP="00520596">
      <w:pPr>
        <w:keepNext/>
        <w:keepLines/>
        <w:numPr>
          <w:ilvl w:val="2"/>
          <w:numId w:val="3"/>
        </w:numPr>
        <w:tabs>
          <w:tab w:val="clear" w:pos="2160"/>
        </w:tabs>
        <w:suppressAutoHyphens w:val="0"/>
        <w:spacing w:before="200" w:line="276" w:lineRule="auto"/>
        <w:ind w:left="1440" w:firstLine="0"/>
        <w:outlineLvl w:val="2"/>
        <w:rPr>
          <w:b/>
          <w:bCs/>
          <w:szCs w:val="22"/>
          <w:lang w:eastAsia="en-US"/>
        </w:rPr>
      </w:pPr>
      <w:r w:rsidRPr="00C634D5">
        <w:rPr>
          <w:b/>
          <w:bCs/>
          <w:szCs w:val="22"/>
          <w:lang w:eastAsia="en-US"/>
        </w:rPr>
        <w:t>Other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Obtain building permits from local zoning authorities (</w:t>
            </w:r>
            <w:r w:rsidRPr="00C634D5">
              <w:rPr>
                <w:rFonts w:eastAsia="Calibri"/>
                <w:i/>
                <w:szCs w:val="22"/>
                <w:lang w:eastAsia="en-US"/>
              </w:rPr>
              <w:t>cost of preparation, submission, and prosecution of necessary forms or applications</w:t>
            </w:r>
            <w:r w:rsidRPr="00C634D5">
              <w:rPr>
                <w:rFonts w:eastAsia="Calibri"/>
                <w:szCs w:val="22"/>
                <w:lang w:eastAsia="en-US"/>
              </w:rPr>
              <w:t>)</w:t>
            </w:r>
          </w:p>
        </w:tc>
      </w:tr>
      <w:tr w:rsidR="00C634D5" w:rsidRPr="00C634D5" w:rsidTr="00C54B3E">
        <w:trPr>
          <w:trHeight w:val="287"/>
        </w:trPr>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Obtain local permits other than for zoning (</w:t>
            </w:r>
            <w:r w:rsidRPr="00C634D5">
              <w:rPr>
                <w:rFonts w:eastAsia="Calibri"/>
                <w:i/>
                <w:szCs w:val="22"/>
                <w:lang w:eastAsia="en-US"/>
              </w:rPr>
              <w:t>cost of preparation, submission, and prosecution of necessary forms or applications</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Coordinate with Bureau of Land Management and National Forest Service  (</w:t>
            </w:r>
            <w:r w:rsidRPr="00C634D5">
              <w:rPr>
                <w:rFonts w:eastAsia="Calibri"/>
                <w:i/>
                <w:szCs w:val="22"/>
                <w:lang w:eastAsia="en-US"/>
              </w:rPr>
              <w:t>This may be necessary for towers located on land managed by these agencies and would include the cost of preparation and submission of relevant forms</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Disposal cost for legacy equipment, if applicable</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 xml:space="preserve">Develop and air announcement of upcoming channel change </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Notify MVPDs of channel change</w:t>
            </w:r>
          </w:p>
        </w:tc>
      </w:tr>
    </w:tbl>
    <w:p w:rsidR="00C634D5" w:rsidRPr="00C634D5" w:rsidRDefault="00C634D5" w:rsidP="00520596">
      <w:pPr>
        <w:keepNext/>
        <w:keepLines/>
        <w:numPr>
          <w:ilvl w:val="1"/>
          <w:numId w:val="3"/>
        </w:numPr>
        <w:tabs>
          <w:tab w:val="clear" w:pos="1440"/>
        </w:tabs>
        <w:suppressAutoHyphens w:val="0"/>
        <w:spacing w:before="200" w:line="276" w:lineRule="auto"/>
        <w:ind w:left="720" w:firstLine="0"/>
        <w:outlineLvl w:val="1"/>
        <w:rPr>
          <w:b/>
          <w:bCs/>
          <w:szCs w:val="22"/>
          <w:lang w:eastAsia="en-US"/>
        </w:rPr>
      </w:pPr>
      <w:bookmarkStart w:id="18" w:name="_Toc367183370"/>
      <w:r w:rsidRPr="00C634D5">
        <w:rPr>
          <w:b/>
          <w:bCs/>
          <w:szCs w:val="22"/>
          <w:lang w:eastAsia="en-US"/>
        </w:rPr>
        <w:t>PROFESSIONAL SERVICES</w:t>
      </w:r>
      <w:bookmarkEnd w:id="18"/>
    </w:p>
    <w:p w:rsidR="00B31283" w:rsidRPr="00C634D5" w:rsidRDefault="00C634D5" w:rsidP="00520596">
      <w:pPr>
        <w:suppressAutoHyphens w:val="0"/>
        <w:spacing w:after="200" w:line="276" w:lineRule="auto"/>
        <w:rPr>
          <w:rFonts w:eastAsia="Calibri"/>
          <w:i/>
          <w:szCs w:val="22"/>
          <w:lang w:eastAsia="en-US"/>
        </w:rPr>
      </w:pPr>
      <w:r w:rsidRPr="00C634D5">
        <w:rPr>
          <w:rFonts w:eastAsia="Calibri"/>
          <w:i/>
          <w:szCs w:val="22"/>
          <w:lang w:eastAsia="en-US"/>
        </w:rPr>
        <w:t xml:space="preserve">Stations without sufficient internal resources, either at the station itself or at an affiliated station or company, may have to obtain professional services from an outside source to complete the station’s channel relocation.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 xml:space="preserve">Consulting Radio Frequency Engineer Fees </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Perform engineering study for new channel assignment and antenna development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Prepare engineering section of Form 301 FCC Construction Permit Application</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Prepare engineering section of Form 302 FCC License to Cover Application</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 xml:space="preserve">Prepare request for Special Temporary Authorization </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 xml:space="preserve">Attorney Fees </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 xml:space="preserve">Prepare and File Form 301  </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 xml:space="preserve">Prepare and File Form 302 </w:t>
            </w: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szCs w:val="22"/>
                <w:lang w:eastAsia="en-US"/>
              </w:rPr>
              <w:t>Prepare and File request for Special Temporary Authorization</w:t>
            </w: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Other Transition-Related Personnel Costs</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Project management of the transition, if needed</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Field Engineering Fees</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Comprehensive coverage verification via field study, if needed</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Change in Structure Height Services:  Modification to Antenna Structure Registration (ASR)</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Provide NEPA Section 106 environmental review, if needed</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ASR modification (towers≥ 450 feet with red lighting)</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ASR modification (other towers)</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 xml:space="preserve">FAA consultant, including cost of preparing FAA Form 7460 (Notice of Proposed Construction), if needed for height increase </w:t>
            </w:r>
          </w:p>
        </w:tc>
      </w:tr>
    </w:tbl>
    <w:p w:rsidR="00C634D5" w:rsidRPr="00C634D5" w:rsidRDefault="00C634D5" w:rsidP="00520596">
      <w:pPr>
        <w:keepNext/>
        <w:keepLines/>
        <w:numPr>
          <w:ilvl w:val="0"/>
          <w:numId w:val="3"/>
        </w:numPr>
        <w:tabs>
          <w:tab w:val="clear" w:pos="720"/>
        </w:tabs>
        <w:suppressAutoHyphens w:val="0"/>
        <w:spacing w:before="480" w:line="276" w:lineRule="auto"/>
        <w:ind w:left="0" w:firstLine="0"/>
        <w:outlineLvl w:val="0"/>
        <w:rPr>
          <w:b/>
          <w:bCs/>
          <w:szCs w:val="22"/>
          <w:lang w:eastAsia="en-US"/>
        </w:rPr>
      </w:pPr>
      <w:bookmarkStart w:id="19" w:name="_Toc367183371"/>
      <w:r w:rsidRPr="00C634D5">
        <w:rPr>
          <w:b/>
          <w:bCs/>
          <w:szCs w:val="22"/>
          <w:lang w:eastAsia="en-US"/>
        </w:rPr>
        <w:t>MVPD COSTS</w:t>
      </w:r>
      <w:bookmarkEnd w:id="19"/>
    </w:p>
    <w:p w:rsidR="00C634D5" w:rsidRPr="00C634D5" w:rsidRDefault="00C634D5" w:rsidP="00520596">
      <w:pPr>
        <w:suppressAutoHyphens w:val="0"/>
        <w:spacing w:after="200" w:line="276" w:lineRule="auto"/>
        <w:rPr>
          <w:rFonts w:eastAsia="Calibri"/>
          <w:i/>
          <w:szCs w:val="22"/>
          <w:lang w:eastAsia="en-US"/>
        </w:rPr>
      </w:pPr>
      <w:r w:rsidRPr="00C634D5">
        <w:rPr>
          <w:rFonts w:eastAsia="Calibri"/>
          <w:i/>
          <w:szCs w:val="22"/>
          <w:lang w:eastAsia="en-US"/>
        </w:rPr>
        <w:t xml:space="preserve">MVPDs that receive signals over-the-air may be required to make changes to their receive facilities in order to continue to receive a television station that is changing channel.  This table lists the kinds of changes an MVPD might have to make to continue to deliver a repacked broadcaster’s signal to its customers once the broadcaster has delivered its signal to the MVPD.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8"/>
      </w:tblGrid>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b/>
                <w:szCs w:val="22"/>
                <w:lang w:eastAsia="en-US"/>
              </w:rPr>
              <w:t>Equipment Costs</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New receive antenna – (</w:t>
            </w:r>
            <w:r w:rsidRPr="00C634D5">
              <w:rPr>
                <w:rFonts w:eastAsia="Calibri"/>
                <w:i/>
                <w:szCs w:val="22"/>
                <w:lang w:eastAsia="en-US"/>
              </w:rPr>
              <w:t>Will be necessary when existing antenna is channel-specific or uses directivity to minimize interference from other stations.  Some UHF and VHF broadband receive antennas should be able to continue receiving stations that are not changing bands</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New receiver or other RF processing equipment (</w:t>
            </w:r>
            <w:r w:rsidRPr="00C634D5">
              <w:rPr>
                <w:rFonts w:eastAsia="Calibri"/>
                <w:i/>
                <w:szCs w:val="22"/>
                <w:lang w:eastAsia="en-US"/>
              </w:rPr>
              <w:t>such as pre-amplifiers</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Coaxial cable (</w:t>
            </w:r>
            <w:r w:rsidRPr="00C634D5">
              <w:rPr>
                <w:rFonts w:eastAsia="Calibri"/>
                <w:i/>
                <w:szCs w:val="22"/>
                <w:lang w:eastAsia="en-US"/>
              </w:rPr>
              <w:t>for MVPDs that install new receive antennas and/or receivers</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Structural or capacity augments for towers (</w:t>
            </w:r>
            <w:r w:rsidRPr="00C634D5">
              <w:rPr>
                <w:rFonts w:eastAsia="Calibri"/>
                <w:i/>
                <w:szCs w:val="22"/>
                <w:lang w:eastAsia="en-US"/>
              </w:rPr>
              <w:t>to meet new tower loading requirements as a result of installation of replacement equipment</w:t>
            </w:r>
            <w:r w:rsidRPr="00C634D5">
              <w:rPr>
                <w:rFonts w:eastAsia="Calibri"/>
                <w:szCs w:val="22"/>
                <w:lang w:eastAsia="en-US"/>
              </w:rPr>
              <w:t>)</w:t>
            </w:r>
          </w:p>
        </w:tc>
      </w:tr>
      <w:tr w:rsidR="00C634D5" w:rsidRPr="00C634D5" w:rsidTr="00C54B3E">
        <w:tc>
          <w:tcPr>
            <w:tcW w:w="12978" w:type="dxa"/>
          </w:tcPr>
          <w:p w:rsidR="00C634D5" w:rsidRPr="00C634D5" w:rsidRDefault="00C634D5" w:rsidP="00520596">
            <w:pPr>
              <w:suppressAutoHyphens w:val="0"/>
              <w:rPr>
                <w:rFonts w:eastAsia="Calibri"/>
                <w:i/>
                <w:sz w:val="24"/>
                <w:szCs w:val="22"/>
                <w:lang w:eastAsia="en-US"/>
              </w:rPr>
            </w:pPr>
            <w:r w:rsidRPr="00C634D5">
              <w:rPr>
                <w:rFonts w:eastAsia="Calibri"/>
                <w:szCs w:val="22"/>
                <w:lang w:eastAsia="en-US"/>
              </w:rPr>
              <w:t>Tower rigging (</w:t>
            </w:r>
            <w:r w:rsidRPr="00C634D5">
              <w:rPr>
                <w:rFonts w:eastAsia="Calibri"/>
                <w:i/>
                <w:szCs w:val="22"/>
                <w:lang w:eastAsia="en-US"/>
              </w:rPr>
              <w:t>price would include removal of existing antenna and transmission line, if necessary, and installation of replacement equipment)</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p>
        </w:tc>
      </w:tr>
      <w:tr w:rsidR="00C634D5" w:rsidRPr="00C634D5" w:rsidTr="00C54B3E">
        <w:tc>
          <w:tcPr>
            <w:tcW w:w="12978" w:type="dxa"/>
          </w:tcPr>
          <w:p w:rsidR="00C634D5" w:rsidRPr="00C634D5" w:rsidRDefault="00C634D5" w:rsidP="00520596">
            <w:pPr>
              <w:suppressAutoHyphens w:val="0"/>
              <w:rPr>
                <w:rFonts w:eastAsia="Calibri"/>
                <w:b/>
                <w:sz w:val="24"/>
                <w:szCs w:val="22"/>
                <w:lang w:eastAsia="en-US"/>
              </w:rPr>
            </w:pPr>
            <w:r w:rsidRPr="00C634D5">
              <w:rPr>
                <w:rFonts w:eastAsia="Calibri"/>
                <w:b/>
                <w:szCs w:val="22"/>
                <w:lang w:eastAsia="en-US"/>
              </w:rPr>
              <w:t>Professional Services</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Structural study of tower capacity (</w:t>
            </w:r>
            <w:r w:rsidRPr="00C634D5">
              <w:rPr>
                <w:rFonts w:eastAsia="Calibri"/>
                <w:i/>
                <w:szCs w:val="22"/>
                <w:lang w:eastAsia="en-US"/>
              </w:rPr>
              <w:t>to determine if additional support is necessary for any replacement equipment</w:t>
            </w:r>
            <w:r w:rsidRPr="00C634D5">
              <w:rPr>
                <w:rFonts w:eastAsia="Calibri"/>
                <w:szCs w:val="22"/>
                <w:lang w:eastAsia="en-US"/>
              </w:rPr>
              <w:t xml:space="preserve">) </w:t>
            </w:r>
          </w:p>
        </w:tc>
      </w:tr>
      <w:tr w:rsidR="00C634D5" w:rsidRPr="00C634D5" w:rsidTr="00C54B3E">
        <w:tc>
          <w:tcPr>
            <w:tcW w:w="12978" w:type="dxa"/>
          </w:tcPr>
          <w:p w:rsidR="00C634D5" w:rsidRPr="00C634D5" w:rsidRDefault="00C634D5" w:rsidP="00520596">
            <w:pPr>
              <w:suppressAutoHyphens w:val="0"/>
              <w:rPr>
                <w:rFonts w:eastAsia="Calibri"/>
                <w:sz w:val="24"/>
                <w:szCs w:val="22"/>
                <w:lang w:eastAsia="en-US"/>
              </w:rPr>
            </w:pPr>
            <w:r w:rsidRPr="00C634D5">
              <w:rPr>
                <w:rFonts w:eastAsia="Calibri"/>
                <w:szCs w:val="22"/>
                <w:lang w:eastAsia="en-US"/>
              </w:rPr>
              <w:t>Engineering study (</w:t>
            </w:r>
            <w:r w:rsidRPr="00C634D5">
              <w:rPr>
                <w:rFonts w:eastAsia="Calibri"/>
                <w:i/>
                <w:szCs w:val="22"/>
                <w:lang w:eastAsia="en-US"/>
              </w:rPr>
              <w:t>to estimate receive strength of new channel assignments, capabilities of current equipment, and determine whether and what replacement equipment may be necessary</w:t>
            </w:r>
            <w:r w:rsidRPr="00C634D5">
              <w:rPr>
                <w:rFonts w:eastAsia="Calibri"/>
                <w:szCs w:val="22"/>
                <w:lang w:eastAsia="en-US"/>
              </w:rPr>
              <w:t>)</w:t>
            </w:r>
          </w:p>
        </w:tc>
      </w:tr>
    </w:tbl>
    <w:p w:rsidR="00C634D5" w:rsidRPr="00C634D5" w:rsidRDefault="00C634D5" w:rsidP="00520596">
      <w:pPr>
        <w:suppressAutoHyphens w:val="0"/>
        <w:spacing w:after="200" w:line="276" w:lineRule="auto"/>
        <w:rPr>
          <w:rFonts w:eastAsia="Calibri"/>
          <w:szCs w:val="22"/>
          <w:lang w:eastAsia="en-US"/>
        </w:rPr>
      </w:pPr>
    </w:p>
    <w:p w:rsidR="00C634D5" w:rsidRPr="00C634D5" w:rsidRDefault="00C634D5" w:rsidP="00520596">
      <w:pPr>
        <w:suppressAutoHyphens w:val="0"/>
        <w:spacing w:after="200" w:line="276" w:lineRule="auto"/>
        <w:rPr>
          <w:rFonts w:eastAsia="Calibri"/>
          <w:szCs w:val="22"/>
          <w:lang w:eastAsia="en-US"/>
        </w:rPr>
      </w:pPr>
      <w:r w:rsidRPr="00C634D5">
        <w:rPr>
          <w:rFonts w:eastAsia="Calibri"/>
          <w:szCs w:val="22"/>
          <w:lang w:eastAsia="en-US"/>
        </w:rPr>
        <w:br w:type="page"/>
      </w:r>
    </w:p>
    <w:p w:rsidR="00C634D5" w:rsidRPr="00C634D5" w:rsidRDefault="00C634D5" w:rsidP="00520596">
      <w:pPr>
        <w:keepNext/>
        <w:keepLines/>
        <w:numPr>
          <w:ilvl w:val="0"/>
          <w:numId w:val="3"/>
        </w:numPr>
        <w:tabs>
          <w:tab w:val="clear" w:pos="720"/>
        </w:tabs>
        <w:suppressAutoHyphens w:val="0"/>
        <w:spacing w:before="480" w:line="276" w:lineRule="auto"/>
        <w:ind w:left="0" w:firstLine="0"/>
        <w:outlineLvl w:val="0"/>
        <w:rPr>
          <w:b/>
          <w:bCs/>
          <w:sz w:val="24"/>
          <w:szCs w:val="28"/>
          <w:lang w:eastAsia="en-US"/>
        </w:rPr>
      </w:pPr>
      <w:bookmarkStart w:id="20" w:name="_Toc367183372"/>
      <w:r w:rsidRPr="00C634D5">
        <w:rPr>
          <w:b/>
          <w:bCs/>
          <w:sz w:val="24"/>
          <w:szCs w:val="28"/>
          <w:lang w:eastAsia="en-US"/>
        </w:rPr>
        <w:t>FIGURES</w:t>
      </w:r>
      <w:bookmarkEnd w:id="20"/>
    </w:p>
    <w:p w:rsidR="00C634D5" w:rsidRPr="00C634D5" w:rsidRDefault="00C634D5" w:rsidP="00520596">
      <w:pPr>
        <w:suppressAutoHyphens w:val="0"/>
        <w:spacing w:after="200" w:line="276" w:lineRule="auto"/>
        <w:rPr>
          <w:rFonts w:eastAsia="Calibri"/>
          <w:sz w:val="24"/>
          <w:szCs w:val="22"/>
          <w:lang w:eastAsia="en-US"/>
        </w:rPr>
      </w:pPr>
    </w:p>
    <w:p w:rsidR="00C634D5" w:rsidRPr="00C634D5" w:rsidRDefault="00C634D5" w:rsidP="00520596">
      <w:pPr>
        <w:suppressAutoHyphens w:val="0"/>
        <w:spacing w:after="200" w:line="276" w:lineRule="auto"/>
        <w:rPr>
          <w:rFonts w:eastAsia="Calibri"/>
          <w:b/>
          <w:szCs w:val="22"/>
          <w:lang w:eastAsia="en-US"/>
        </w:rPr>
      </w:pPr>
      <w:r w:rsidRPr="00C634D5">
        <w:rPr>
          <w:rFonts w:eastAsia="Calibri"/>
          <w:b/>
          <w:szCs w:val="22"/>
          <w:lang w:eastAsia="en-US"/>
        </w:rPr>
        <w:t>Figure 1: Rigid coaxial line section lengths and the channels not supported.</w:t>
      </w:r>
    </w:p>
    <w:p w:rsidR="00C634D5" w:rsidRPr="00C634D5" w:rsidRDefault="00C634D5" w:rsidP="00520596">
      <w:pPr>
        <w:suppressAutoHyphens w:val="0"/>
        <w:spacing w:after="200" w:line="276" w:lineRule="auto"/>
        <w:rPr>
          <w:rFonts w:eastAsia="Calibri"/>
          <w:szCs w:val="22"/>
          <w:lang w:eastAsia="en-US"/>
        </w:rPr>
      </w:pPr>
      <w:r w:rsidRPr="00C634D5">
        <w:rPr>
          <w:rFonts w:eastAsia="Calibri"/>
          <w:color w:val="222222"/>
          <w:szCs w:val="22"/>
          <w:lang w:eastAsia="en-US"/>
        </w:rPr>
        <w:t xml:space="preserve">Transmission line connects the transmitter or combiner output to the antenna, running from the equipment building up the tower to the antenna.  While lines typically come in lengths of about 20 feet, the exact section length is determined by the station’s assigned channel.  After repacking, the transmission line may have to be replaced depending on whether the new channel is allowable for the existing line section length.  This is principally an issue for lines that have been in use to feed a single-station antenna.  Transmission line is usually “broadbanded” for use with shared antennas by making minor, non-repeating changes to the section lengths, designed for the channels involved.  Following is a chart of transmission line section lengths and the channels that are prohibited for each length.  </w:t>
      </w:r>
    </w:p>
    <w:p w:rsidR="00C634D5" w:rsidRPr="00C634D5" w:rsidRDefault="00C634D5" w:rsidP="00520596">
      <w:pPr>
        <w:suppressAutoHyphens w:val="0"/>
        <w:spacing w:after="200" w:line="276" w:lineRule="auto"/>
        <w:rPr>
          <w:rFonts w:eastAsia="Calibri"/>
          <w:color w:val="222222"/>
          <w:szCs w:val="22"/>
          <w:lang w:eastAsia="en-US"/>
        </w:rPr>
      </w:pPr>
    </w:p>
    <w:p w:rsidR="00C634D5" w:rsidRPr="00C634D5" w:rsidRDefault="00C634D5" w:rsidP="00520596">
      <w:pPr>
        <w:suppressAutoHyphens w:val="0"/>
        <w:spacing w:after="200" w:line="276" w:lineRule="auto"/>
        <w:jc w:val="center"/>
        <w:rPr>
          <w:rFonts w:eastAsia="Calibri"/>
          <w:color w:val="222222"/>
          <w:szCs w:val="22"/>
          <w:lang w:eastAsia="en-US"/>
        </w:rPr>
      </w:pPr>
      <w:r>
        <w:rPr>
          <w:rFonts w:eastAsia="Calibri"/>
          <w:noProof/>
          <w:color w:val="222222"/>
          <w:szCs w:val="22"/>
          <w:lang w:eastAsia="en-US"/>
        </w:rPr>
        <w:drawing>
          <wp:inline distT="0" distB="0" distL="0" distR="0" wp14:anchorId="7AE650EF" wp14:editId="70BBD4A9">
            <wp:extent cx="3152775" cy="26574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657475"/>
                    </a:xfrm>
                    <a:prstGeom prst="rect">
                      <a:avLst/>
                    </a:prstGeom>
                    <a:noFill/>
                    <a:ln>
                      <a:noFill/>
                    </a:ln>
                  </pic:spPr>
                </pic:pic>
              </a:graphicData>
            </a:graphic>
          </wp:inline>
        </w:drawing>
      </w:r>
    </w:p>
    <w:p w:rsidR="00C634D5" w:rsidRPr="00C634D5" w:rsidRDefault="00C634D5" w:rsidP="00520596">
      <w:pPr>
        <w:suppressAutoHyphens w:val="0"/>
        <w:spacing w:after="200" w:line="276" w:lineRule="auto"/>
        <w:rPr>
          <w:rFonts w:eastAsia="Calibri"/>
          <w:color w:val="222222"/>
          <w:szCs w:val="22"/>
          <w:lang w:eastAsia="en-US"/>
        </w:rPr>
      </w:pPr>
      <w:r w:rsidRPr="00C634D5">
        <w:rPr>
          <w:rFonts w:eastAsia="Calibri"/>
          <w:color w:val="222222"/>
          <w:szCs w:val="22"/>
          <w:lang w:eastAsia="en-US"/>
        </w:rPr>
        <w:t xml:space="preserve">  </w:t>
      </w:r>
    </w:p>
    <w:p w:rsidR="00C634D5" w:rsidRPr="00C634D5" w:rsidRDefault="00C634D5" w:rsidP="00520596">
      <w:pPr>
        <w:suppressAutoHyphens w:val="0"/>
        <w:spacing w:after="200" w:line="276" w:lineRule="auto"/>
        <w:rPr>
          <w:rFonts w:eastAsia="Calibri"/>
          <w:szCs w:val="22"/>
          <w:lang w:eastAsia="en-US"/>
        </w:rPr>
      </w:pPr>
      <w:r w:rsidRPr="00C634D5">
        <w:rPr>
          <w:rFonts w:eastAsia="Calibri"/>
          <w:szCs w:val="22"/>
          <w:lang w:eastAsia="en-US"/>
        </w:rPr>
        <w:br w:type="page"/>
      </w:r>
    </w:p>
    <w:p w:rsidR="00C634D5" w:rsidRPr="00C634D5" w:rsidRDefault="00C634D5" w:rsidP="00520596">
      <w:pPr>
        <w:suppressAutoHyphens w:val="0"/>
        <w:spacing w:after="200" w:line="276" w:lineRule="auto"/>
        <w:rPr>
          <w:rFonts w:eastAsia="Calibri"/>
          <w:b/>
          <w:szCs w:val="22"/>
          <w:lang w:eastAsia="en-US"/>
        </w:rPr>
      </w:pPr>
      <w:r w:rsidRPr="00C634D5">
        <w:rPr>
          <w:rFonts w:eastAsia="Calibri"/>
          <w:b/>
          <w:szCs w:val="22"/>
          <w:lang w:eastAsia="en-US"/>
        </w:rPr>
        <w:t>Figure 2:  Tower Modifications</w:t>
      </w:r>
    </w:p>
    <w:p w:rsidR="00C634D5" w:rsidRPr="00C634D5" w:rsidRDefault="00C634D5" w:rsidP="00520596">
      <w:pPr>
        <w:suppressAutoHyphens w:val="0"/>
        <w:spacing w:after="200" w:line="276" w:lineRule="auto"/>
        <w:rPr>
          <w:rFonts w:eastAsia="Calibri"/>
          <w:szCs w:val="22"/>
          <w:lang w:eastAsia="en-US"/>
        </w:rPr>
      </w:pPr>
      <w:r w:rsidRPr="00C634D5">
        <w:rPr>
          <w:rFonts w:eastAsia="Calibri"/>
          <w:szCs w:val="22"/>
          <w:lang w:eastAsia="en-US"/>
        </w:rPr>
        <w:t xml:space="preserve">This chart provides representative samples of minor, major, and serious tower modifications.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C634D5" w:rsidRPr="00C634D5" w:rsidTr="00C54B3E">
        <w:trPr>
          <w:trHeight w:val="300"/>
        </w:trPr>
        <w:tc>
          <w:tcPr>
            <w:tcW w:w="13176" w:type="dxa"/>
            <w:gridSpan w:val="3"/>
            <w:noWrap/>
          </w:tcPr>
          <w:p w:rsidR="00C634D5" w:rsidRPr="00C634D5" w:rsidRDefault="00C634D5" w:rsidP="00520596">
            <w:pPr>
              <w:suppressAutoHyphens w:val="0"/>
              <w:jc w:val="center"/>
              <w:rPr>
                <w:rFonts w:eastAsia="Calibri"/>
                <w:b/>
                <w:bCs/>
                <w:color w:val="000000"/>
                <w:sz w:val="20"/>
                <w:lang w:eastAsia="en-US"/>
              </w:rPr>
            </w:pPr>
            <w:r w:rsidRPr="00C634D5">
              <w:rPr>
                <w:rFonts w:eastAsia="Calibri"/>
                <w:b/>
                <w:bCs/>
                <w:color w:val="000000"/>
                <w:sz w:val="20"/>
                <w:lang w:eastAsia="en-US"/>
              </w:rPr>
              <w:t>Tower Modifications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b/>
                <w:bCs/>
                <w:color w:val="000000"/>
                <w:sz w:val="20"/>
                <w:lang w:eastAsia="en-US"/>
              </w:rPr>
            </w:pPr>
            <w:r w:rsidRPr="00C634D5">
              <w:rPr>
                <w:rFonts w:eastAsia="Calibri"/>
                <w:b/>
                <w:bCs/>
                <w:color w:val="000000"/>
                <w:sz w:val="20"/>
                <w:lang w:eastAsia="en-US"/>
              </w:rPr>
              <w:t>Minor</w:t>
            </w:r>
          </w:p>
        </w:tc>
        <w:tc>
          <w:tcPr>
            <w:tcW w:w="4392" w:type="dxa"/>
            <w:noWrap/>
          </w:tcPr>
          <w:p w:rsidR="00C634D5" w:rsidRPr="00C634D5" w:rsidRDefault="00C634D5" w:rsidP="00520596">
            <w:pPr>
              <w:suppressAutoHyphens w:val="0"/>
              <w:rPr>
                <w:rFonts w:eastAsia="Calibri"/>
                <w:b/>
                <w:bCs/>
                <w:color w:val="000000"/>
                <w:sz w:val="20"/>
                <w:lang w:eastAsia="en-US"/>
              </w:rPr>
            </w:pPr>
            <w:r w:rsidRPr="00C634D5">
              <w:rPr>
                <w:rFonts w:eastAsia="Calibri"/>
                <w:b/>
                <w:bCs/>
                <w:color w:val="000000"/>
                <w:sz w:val="20"/>
                <w:lang w:eastAsia="en-US"/>
              </w:rPr>
              <w:t>Major</w:t>
            </w:r>
          </w:p>
        </w:tc>
        <w:tc>
          <w:tcPr>
            <w:tcW w:w="4392" w:type="dxa"/>
            <w:noWrap/>
          </w:tcPr>
          <w:p w:rsidR="00C634D5" w:rsidRPr="00C634D5" w:rsidRDefault="00C634D5" w:rsidP="00520596">
            <w:pPr>
              <w:suppressAutoHyphens w:val="0"/>
              <w:rPr>
                <w:rFonts w:eastAsia="Calibri"/>
                <w:b/>
                <w:bCs/>
                <w:color w:val="000000"/>
                <w:sz w:val="20"/>
                <w:lang w:eastAsia="en-US"/>
              </w:rPr>
            </w:pPr>
            <w:r w:rsidRPr="00C634D5">
              <w:rPr>
                <w:rFonts w:eastAsia="Calibri"/>
                <w:b/>
                <w:bCs/>
                <w:color w:val="000000"/>
                <w:sz w:val="20"/>
                <w:lang w:eastAsia="en-US"/>
              </w:rPr>
              <w:t>Serious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Guy wire retensioning</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Guy wire replacement 2 to 3 levels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Guy wire replacement &gt; 4 levels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Tension Diagonal replacement &lt; 12 bays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Tension Diagonal replacement &gt; 15 bays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Addition of guy levels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Horizontal (struts) reinforcing &lt; 12 levels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Horizontal (struts) reinforcing &gt; 15 bays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New Anchors for new guy levels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Leg reinforcing (addition of redundants)&lt; 12 levels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Horizontal (struts) replacement &gt; 15 bays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Replacement of tower sections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Minor foundation reinforcing at anchors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Leg reinforcing (addition of redundants) &gt; 15 bays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Tension Diagonal replacement &gt; 15 bays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Leg reinforcing (requiring welding)</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Horizontal (struts) reinforcing &gt; 15 bays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Tension/Compression Diagonal replacement</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Horizontal (struts) replacement &gt; 15 bays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Tension/Compression Diagonal -requiring welding</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Leg reinforcing (addition of redundants) &gt; 15 bays</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Minor foundation reinforcing at base and anchors</w:t>
            </w: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Leg reinforcing (requiring welding)</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Tension/Compression Diagonal replacement</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Tension/Compression Diagonal -requiring welding</w:t>
            </w:r>
          </w:p>
        </w:tc>
      </w:tr>
      <w:tr w:rsidR="00C634D5" w:rsidRPr="00C634D5" w:rsidTr="00C54B3E">
        <w:trPr>
          <w:trHeight w:val="300"/>
        </w:trPr>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p>
        </w:tc>
        <w:tc>
          <w:tcPr>
            <w:tcW w:w="4392" w:type="dxa"/>
            <w:noWrap/>
          </w:tcPr>
          <w:p w:rsidR="00C634D5" w:rsidRPr="00C634D5" w:rsidRDefault="00C634D5" w:rsidP="00520596">
            <w:pPr>
              <w:suppressAutoHyphens w:val="0"/>
              <w:rPr>
                <w:rFonts w:eastAsia="Calibri"/>
                <w:color w:val="000000"/>
                <w:sz w:val="20"/>
                <w:lang w:eastAsia="en-US"/>
              </w:rPr>
            </w:pPr>
            <w:r w:rsidRPr="00C634D5">
              <w:rPr>
                <w:rFonts w:eastAsia="Calibri"/>
                <w:color w:val="000000"/>
                <w:sz w:val="20"/>
                <w:lang w:eastAsia="en-US"/>
              </w:rPr>
              <w:t>Foundation reinforcing at base and anchors</w:t>
            </w:r>
          </w:p>
        </w:tc>
      </w:tr>
    </w:tbl>
    <w:p w:rsidR="00C634D5" w:rsidRPr="00C634D5" w:rsidRDefault="00C634D5" w:rsidP="00520596">
      <w:pPr>
        <w:suppressAutoHyphens w:val="0"/>
        <w:spacing w:after="200" w:line="276" w:lineRule="auto"/>
        <w:rPr>
          <w:rFonts w:eastAsia="Calibri"/>
          <w:b/>
          <w:szCs w:val="22"/>
          <w:lang w:eastAsia="en-US"/>
        </w:rPr>
      </w:pPr>
    </w:p>
    <w:p w:rsidR="00C634D5" w:rsidRPr="00C634D5" w:rsidRDefault="00C634D5" w:rsidP="00520596">
      <w:pPr>
        <w:suppressAutoHyphens w:val="0"/>
        <w:spacing w:after="200" w:line="276" w:lineRule="auto"/>
        <w:rPr>
          <w:rFonts w:eastAsia="Calibri"/>
          <w:szCs w:val="22"/>
          <w:lang w:eastAsia="en-US"/>
        </w:rPr>
      </w:pPr>
    </w:p>
    <w:p w:rsidR="00C634D5" w:rsidRPr="00C634D5" w:rsidRDefault="00C634D5" w:rsidP="00520596">
      <w:pPr>
        <w:suppressAutoHyphens w:val="0"/>
        <w:spacing w:after="200" w:line="276" w:lineRule="auto"/>
        <w:rPr>
          <w:rFonts w:eastAsia="Calibri"/>
          <w:szCs w:val="22"/>
          <w:lang w:eastAsia="en-US"/>
        </w:rPr>
      </w:pPr>
    </w:p>
    <w:p w:rsidR="00BD48CD" w:rsidRPr="00930834" w:rsidRDefault="00BD48CD" w:rsidP="00520596"/>
    <w:sectPr w:rsidR="00BD48CD" w:rsidRPr="00930834" w:rsidSect="00F34F37">
      <w:headerReference w:type="default" r:id="rId19"/>
      <w:footerReference w:type="default" r:id="rId20"/>
      <w:headerReference w:type="first" r:id="rId21"/>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CD" w:rsidRDefault="00BD48CD">
      <w:pPr>
        <w:spacing w:line="20" w:lineRule="exact"/>
      </w:pPr>
    </w:p>
  </w:endnote>
  <w:endnote w:type="continuationSeparator" w:id="0">
    <w:p w:rsidR="00BD48CD" w:rsidRDefault="00BD48CD">
      <w:r>
        <w:t xml:space="preserve"> </w:t>
      </w:r>
    </w:p>
  </w:endnote>
  <w:endnote w:type="continuationNotice" w:id="1">
    <w:p w:rsidR="00BD48CD" w:rsidRDefault="00BD48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CD" w:rsidRDefault="00BD48CD">
    <w:pPr>
      <w:pStyle w:val="Footer"/>
      <w:framePr w:wrap="around" w:vAnchor="text" w:hAnchor="margin" w:xAlign="center" w:y="1"/>
    </w:pPr>
    <w:r>
      <w:fldChar w:fldCharType="begin"/>
    </w:r>
    <w:r>
      <w:instrText xml:space="preserve">PAGE  </w:instrText>
    </w:r>
    <w:r>
      <w:fldChar w:fldCharType="end"/>
    </w:r>
  </w:p>
  <w:p w:rsidR="00BD48CD" w:rsidRDefault="00BD4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CD" w:rsidRDefault="008D1032">
    <w:pPr>
      <w:pStyle w:val="Footer"/>
      <w:framePr w:wrap="around" w:vAnchor="text" w:hAnchor="margin" w:xAlign="center" w:y="1"/>
    </w:pPr>
    <w:r>
      <w:fldChar w:fldCharType="begin"/>
    </w:r>
    <w:r>
      <w:instrText xml:space="preserve">PAGE  </w:instrText>
    </w:r>
    <w:r>
      <w:fldChar w:fldCharType="separate"/>
    </w:r>
    <w:r w:rsidR="007C58AB">
      <w:rPr>
        <w:noProof/>
      </w:rPr>
      <w:t>2</w:t>
    </w:r>
    <w:r>
      <w:rPr>
        <w:noProof/>
      </w:rPr>
      <w:fldChar w:fldCharType="end"/>
    </w:r>
  </w:p>
  <w:p w:rsidR="00BD48CD" w:rsidRDefault="00BD48CD">
    <w:pPr>
      <w:spacing w:before="140" w:line="100" w:lineRule="exact"/>
      <w:rPr>
        <w:sz w:val="10"/>
      </w:rPr>
    </w:pPr>
  </w:p>
  <w:p w:rsidR="00BD48CD" w:rsidRDefault="00BD48CD">
    <w:pPr>
      <w:spacing w:line="227" w:lineRule="auto"/>
    </w:pPr>
  </w:p>
  <w:p w:rsidR="00BD48CD" w:rsidRDefault="00BD48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CD" w:rsidRDefault="00BD48CD">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35" w:rsidRDefault="00CC69CA">
    <w:pPr>
      <w:pStyle w:val="Footer"/>
      <w:jc w:val="center"/>
    </w:pPr>
    <w:r>
      <w:fldChar w:fldCharType="begin"/>
    </w:r>
    <w:r>
      <w:instrText xml:space="preserve"> PAGE   \* MERGEFORMAT </w:instrText>
    </w:r>
    <w:r>
      <w:fldChar w:fldCharType="separate"/>
    </w:r>
    <w:r w:rsidR="00A1108E">
      <w:rPr>
        <w:noProof/>
      </w:rPr>
      <w:t>14</w:t>
    </w:r>
    <w:r>
      <w:rPr>
        <w:noProof/>
      </w:rPr>
      <w:fldChar w:fldCharType="end"/>
    </w:r>
  </w:p>
  <w:p w:rsidR="00700035" w:rsidRDefault="007C5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CD" w:rsidRDefault="00BD48CD">
      <w:r>
        <w:separator/>
      </w:r>
    </w:p>
  </w:footnote>
  <w:footnote w:type="continuationSeparator" w:id="0">
    <w:p w:rsidR="00BD48CD" w:rsidRDefault="00BD48CD">
      <w:pPr>
        <w:rPr>
          <w:sz w:val="20"/>
        </w:rPr>
      </w:pPr>
      <w:r>
        <w:rPr>
          <w:sz w:val="20"/>
        </w:rPr>
        <w:t xml:space="preserve">(Continued from previous page)  </w:t>
      </w:r>
      <w:r>
        <w:rPr>
          <w:sz w:val="20"/>
        </w:rPr>
        <w:separator/>
      </w:r>
    </w:p>
  </w:footnote>
  <w:footnote w:type="continuationNotice" w:id="1">
    <w:p w:rsidR="00BD48CD" w:rsidRDefault="00BD48CD">
      <w:pPr>
        <w:rPr>
          <w:sz w:val="20"/>
        </w:rPr>
      </w:pPr>
      <w:r>
        <w:rPr>
          <w:sz w:val="20"/>
        </w:rPr>
        <w:t>(continued….)</w:t>
      </w:r>
    </w:p>
  </w:footnote>
  <w:footnote w:id="2">
    <w:p w:rsidR="00BD48CD" w:rsidRDefault="00BD48CD" w:rsidP="00906821">
      <w:pPr>
        <w:pStyle w:val="FootnoteText"/>
      </w:pPr>
      <w:r>
        <w:rPr>
          <w:rStyle w:val="FootnoteReference"/>
        </w:rPr>
        <w:footnoteRef/>
      </w:r>
      <w:r>
        <w:t xml:space="preserve"> Middle Class Tax Relief and Job Creation Act of 2012, Pub. L. No. 112-96, §§ 6402, 6403, 125 Stat. 156 (2012) (Spectrum Act). </w:t>
      </w:r>
    </w:p>
  </w:footnote>
  <w:footnote w:id="3">
    <w:p w:rsidR="00BD48CD" w:rsidRDefault="00BD48CD" w:rsidP="00906821">
      <w:pPr>
        <w:pStyle w:val="FootnoteText"/>
      </w:pPr>
      <w:r>
        <w:rPr>
          <w:rStyle w:val="FootnoteReference"/>
        </w:rPr>
        <w:footnoteRef/>
      </w:r>
      <w:r>
        <w:t xml:space="preserve"> </w:t>
      </w:r>
      <w:r w:rsidRPr="00DE6BAF">
        <w:rPr>
          <w:i/>
        </w:rPr>
        <w:t>Id</w:t>
      </w:r>
      <w:r>
        <w:t xml:space="preserve">. at § 6403(d)(1); 47 U.S.C. § 309(j)(8)(G)(iii)(I). The Spectrum Act requires that the Commission “reimburse costs reasonably incurred by” broadcast television licensees that are reassigned to new channels as a result of the incentive auction.  Spectrum Act § 6403(b)(4)(A)(i).  In addition, the Spectrum Act requires the Commission to reimburse MVPDs that reasonably incur costs in order to continue to carry the signals of licensees reassigned to new channels as a result of the reverse auction or repacking process.  </w:t>
      </w:r>
      <w:r w:rsidRPr="00F64CF6">
        <w:rPr>
          <w:i/>
        </w:rPr>
        <w:t>Id</w:t>
      </w:r>
      <w:r>
        <w:t>. at § 6403(b)(4)(A)(ii).</w:t>
      </w:r>
    </w:p>
  </w:footnote>
  <w:footnote w:id="4">
    <w:p w:rsidR="00BD48CD" w:rsidRDefault="00BD48CD" w:rsidP="002E266F">
      <w:pPr>
        <w:rPr>
          <w:sz w:val="20"/>
        </w:rPr>
      </w:pPr>
      <w:r>
        <w:rPr>
          <w:rStyle w:val="FootnoteReference"/>
        </w:rPr>
        <w:footnoteRef/>
      </w:r>
      <w:r>
        <w:t xml:space="preserve"> </w:t>
      </w:r>
      <w:r w:rsidRPr="002E266F">
        <w:rPr>
          <w:i/>
          <w:sz w:val="20"/>
        </w:rPr>
        <w:t>Expanding the Economic and Innovation Opportunities of Spectrum Through Incentive Auctions</w:t>
      </w:r>
      <w:r w:rsidRPr="002E266F">
        <w:rPr>
          <w:sz w:val="20"/>
        </w:rPr>
        <w:t xml:space="preserve">, </w:t>
      </w:r>
      <w:r w:rsidRPr="002E266F">
        <w:rPr>
          <w:i/>
          <w:sz w:val="20"/>
        </w:rPr>
        <w:t>Notice of Proposed Rulemaking</w:t>
      </w:r>
      <w:r w:rsidRPr="002E266F">
        <w:rPr>
          <w:sz w:val="20"/>
        </w:rPr>
        <w:t>, 27 FCC Rcd 12357, 12470 ¶343  (2012) (NPRM).</w:t>
      </w:r>
    </w:p>
    <w:p w:rsidR="00BD48CD" w:rsidRDefault="00BD48CD" w:rsidP="002E266F"/>
  </w:footnote>
  <w:footnote w:id="5">
    <w:p w:rsidR="00BD48CD" w:rsidRDefault="00BD48CD">
      <w:pPr>
        <w:pStyle w:val="FootnoteText"/>
      </w:pPr>
      <w:r>
        <w:rPr>
          <w:rStyle w:val="FootnoteReference"/>
        </w:rPr>
        <w:footnoteRef/>
      </w:r>
      <w:r>
        <w:t xml:space="preserve"> NPRM at 12470, ¶343 and 12483,</w:t>
      </w:r>
      <w:r w:rsidR="003F37BC">
        <w:t xml:space="preserve"> </w:t>
      </w:r>
      <w:r>
        <w:t>¶352.</w:t>
      </w:r>
    </w:p>
  </w:footnote>
  <w:footnote w:id="6">
    <w:p w:rsidR="00BD48CD" w:rsidRDefault="00BD48CD">
      <w:pPr>
        <w:pStyle w:val="FootnoteText"/>
      </w:pPr>
      <w:r>
        <w:rPr>
          <w:rStyle w:val="FootnoteReference"/>
        </w:rPr>
        <w:footnoteRef/>
      </w:r>
      <w:r>
        <w:t xml:space="preserve"> </w:t>
      </w:r>
      <w:r w:rsidRPr="00EA5FA8">
        <w:rPr>
          <w:i/>
        </w:rPr>
        <w:t>See</w:t>
      </w:r>
      <w:r w:rsidRPr="00EA5FA8">
        <w:t xml:space="preserve"> FCC Announces Workshop on Issues Surrounding the Reassignment of TV Stations after the Incentive Auction, GN Docket No. 12-286, Public Notice (rel. September 9, 2013).  </w:t>
      </w:r>
    </w:p>
  </w:footnote>
  <w:footnote w:id="7">
    <w:p w:rsidR="00BD48CD" w:rsidRDefault="00BD48CD">
      <w:pPr>
        <w:pStyle w:val="FootnoteText"/>
      </w:pPr>
      <w:r>
        <w:rPr>
          <w:rStyle w:val="FootnoteReference"/>
        </w:rPr>
        <w:footnoteRef/>
      </w:r>
      <w:r>
        <w:t xml:space="preserve"> </w:t>
      </w:r>
      <w:r w:rsidRPr="00784E13">
        <w:rPr>
          <w:i/>
        </w:rPr>
        <w:t>See, e.g.</w:t>
      </w:r>
      <w:r>
        <w:t>, Harris Comments at 20-21; National Association of Broadcasters Comments at Appendix A (providing a non-exhaustive list of potential expenses); National Cable &amp; Telecommunications Association Comments at 19-20.</w:t>
      </w:r>
    </w:p>
  </w:footnote>
  <w:footnote w:id="8">
    <w:p w:rsidR="00BD48CD" w:rsidRDefault="00BD48CD">
      <w:pPr>
        <w:pStyle w:val="FootnoteText"/>
      </w:pPr>
      <w:r>
        <w:rPr>
          <w:rStyle w:val="FootnoteReference"/>
        </w:rPr>
        <w:footnoteRef/>
      </w:r>
      <w:r>
        <w:t xml:space="preserve"> NPRM at 12471, ¶346.</w:t>
      </w:r>
    </w:p>
  </w:footnote>
  <w:footnote w:id="9">
    <w:p w:rsidR="00BD48CD" w:rsidRDefault="00BD48CD">
      <w:pPr>
        <w:pStyle w:val="FootnoteText"/>
      </w:pPr>
      <w:r>
        <w:rPr>
          <w:rStyle w:val="FootnoteReference"/>
        </w:rPr>
        <w:footnoteRef/>
      </w:r>
      <w:r>
        <w:t xml:space="preserve"> </w:t>
      </w:r>
      <w:r w:rsidRPr="00E256EC">
        <w:rPr>
          <w:i/>
        </w:rPr>
        <w:t>See, e.g.</w:t>
      </w:r>
      <w:r>
        <w:t xml:space="preserve">, GSA Schedule List at </w:t>
      </w:r>
      <w:hyperlink r:id="rId1" w:history="1">
        <w:r w:rsidRPr="00F744F9">
          <w:rPr>
            <w:rStyle w:val="Hyperlink"/>
          </w:rPr>
          <w:t>http://www.gsaelibrary.gsa.gov/ElibMain/scheduleList.do</w:t>
        </w:r>
      </w:hyperlink>
      <w:r>
        <w:t xml:space="preserve">.  For example, GSA Schedule Number 51V (“Hardware Superstore”), Category 639 001 (“Domestic Appliances”) includes a list of vendors and their price lists for HVAC equipment purchased by federal agencies (at </w:t>
      </w:r>
      <w:hyperlink r:id="rId2" w:history="1">
        <w:r w:rsidRPr="00F744F9">
          <w:rPr>
            <w:rStyle w:val="Hyperlink"/>
          </w:rPr>
          <w:t>http://www.gsaelibrary.gsa.gov/ElibMain/sinDetails.do?executeQuery=YES&amp;scheduleNumber=51+V&amp;flag=&amp;filter=&amp;specialItemNumber=639+001</w:t>
        </w:r>
      </w:hyperlink>
      <w:r>
        <w:t xml:space="preserve">) (visited September 11, 2013).  </w:t>
      </w:r>
    </w:p>
  </w:footnote>
  <w:footnote w:id="10">
    <w:p w:rsidR="00BD48CD" w:rsidRDefault="00BD48CD" w:rsidP="00025758">
      <w:pPr>
        <w:pStyle w:val="FootnoteText"/>
        <w:spacing w:before="120"/>
      </w:pPr>
      <w:r>
        <w:rPr>
          <w:rStyle w:val="FootnoteReference"/>
        </w:rPr>
        <w:footnoteRef/>
      </w:r>
      <w:r>
        <w:t xml:space="preserve"> </w:t>
      </w:r>
      <w:r w:rsidRPr="0078627B">
        <w:t xml:space="preserve">The </w:t>
      </w:r>
      <w:r w:rsidRPr="00A77484">
        <w:rPr>
          <w:i/>
        </w:rPr>
        <w:t>NPRM</w:t>
      </w:r>
      <w:r w:rsidRPr="0078627B">
        <w:t xml:space="preserve"> in this proceeding included an Initial Regulatory Flexibility Analysis (IRFA) pursuant to 5 U.S.C. § 603, exploring the potential impact of the Commission’s proposal on small entities. </w:t>
      </w:r>
      <w:r w:rsidRPr="00A77484">
        <w:rPr>
          <w:i/>
        </w:rPr>
        <w:t>NPRM</w:t>
      </w:r>
      <w:r>
        <w:t xml:space="preserve">, 27 FCC Rcd at 12523-44. </w:t>
      </w:r>
      <w:r w:rsidRPr="0078627B">
        <w:t xml:space="preserve">The matters discussed in this notice do not modify in any way the IRFA we previously issued.   </w:t>
      </w:r>
    </w:p>
  </w:footnote>
  <w:footnote w:id="11">
    <w:p w:rsidR="00BD48CD" w:rsidRDefault="00BD48CD" w:rsidP="00025758">
      <w:pPr>
        <w:pStyle w:val="FootnoteText"/>
        <w:tabs>
          <w:tab w:val="left" w:pos="450"/>
        </w:tabs>
        <w:spacing w:before="120"/>
      </w:pPr>
      <w:r>
        <w:rPr>
          <w:rStyle w:val="FootnoteReference"/>
        </w:rPr>
        <w:footnoteRef/>
      </w:r>
      <w:r>
        <w:t xml:space="preserve"> </w:t>
      </w:r>
      <w:r>
        <w:rPr>
          <w:i/>
        </w:rPr>
        <w:t xml:space="preserve">See </w:t>
      </w:r>
      <w:r w:rsidRPr="00A77484">
        <w:t>Electronic Filing of Documents in Rulemaking Proceedings</w:t>
      </w:r>
      <w:r>
        <w:t xml:space="preserve">, GC Docket No. 97-113, </w:t>
      </w:r>
      <w:r w:rsidRPr="00A77484">
        <w:rPr>
          <w:i/>
        </w:rPr>
        <w:t>Report and Order</w:t>
      </w:r>
      <w:r>
        <w:t>, 13 FCC Rcd 11322 (1998).</w:t>
      </w:r>
    </w:p>
  </w:footnote>
  <w:footnote w:id="12">
    <w:p w:rsidR="00BD48CD" w:rsidRDefault="00BD48CD" w:rsidP="00025758">
      <w:pPr>
        <w:pStyle w:val="FootnoteText"/>
        <w:spacing w:before="120"/>
      </w:pPr>
      <w:r>
        <w:rPr>
          <w:rStyle w:val="FootnoteReference"/>
        </w:rPr>
        <w:footnoteRef/>
      </w:r>
      <w:r>
        <w:t xml:space="preserve"> </w:t>
      </w:r>
      <w:r w:rsidRPr="00941414">
        <w:rPr>
          <w:i/>
        </w:rPr>
        <w:t>NPRM</w:t>
      </w:r>
      <w:r>
        <w:t xml:space="preserve">, 27 FCC Rcd at 12494-95, ¶¶ 416-417; </w:t>
      </w:r>
      <w:r w:rsidRPr="00A77484">
        <w:rPr>
          <w:i/>
        </w:rPr>
        <w:t>see also</w:t>
      </w:r>
      <w:r>
        <w:t xml:space="preserve">, 47 C.F.R. § 1.1200 </w:t>
      </w:r>
      <w:r>
        <w:rPr>
          <w:i/>
        </w:rPr>
        <w:t xml:space="preserve">et seq. </w:t>
      </w:r>
    </w:p>
  </w:footnote>
  <w:footnote w:id="13">
    <w:p w:rsidR="00BD48CD" w:rsidRDefault="00BD48CD" w:rsidP="00025758">
      <w:pPr>
        <w:pStyle w:val="FootnoteText"/>
        <w:spacing w:before="120"/>
      </w:pPr>
      <w:r>
        <w:rPr>
          <w:rStyle w:val="FootnoteReference"/>
        </w:rPr>
        <w:footnoteRef/>
      </w:r>
      <w:r>
        <w:t xml:space="preserve"> </w:t>
      </w:r>
      <w:r>
        <w:rPr>
          <w:i/>
        </w:rPr>
        <w:t>See</w:t>
      </w:r>
      <w:r>
        <w:t xml:space="preserve"> 47 C.F.R. § 1.1206(b)(2).</w:t>
      </w:r>
    </w:p>
  </w:footnote>
  <w:footnote w:id="14">
    <w:p w:rsidR="00BD48CD" w:rsidRDefault="00BD48CD" w:rsidP="00025758">
      <w:pPr>
        <w:pStyle w:val="FootnoteText"/>
        <w:spacing w:before="120"/>
      </w:pPr>
      <w:r>
        <w:rPr>
          <w:rStyle w:val="FootnoteReference"/>
        </w:rPr>
        <w:footnoteRef/>
      </w:r>
      <w: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24" w:rsidRDefault="00686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24" w:rsidRDefault="00686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CD" w:rsidRDefault="00C634D5">
    <w:pPr>
      <w:pStyle w:val="Header"/>
      <w:tabs>
        <w:tab w:val="left" w:pos="1080"/>
      </w:tabs>
      <w:spacing w:line="1120" w:lineRule="exact"/>
      <w:ind w:left="720"/>
      <w:rPr>
        <w:rFonts w:ascii="Arial" w:hAnsi="Arial"/>
        <w:b w:val="0"/>
        <w:sz w:val="96"/>
        <w:szCs w:val="96"/>
      </w:rPr>
    </w:pPr>
    <w:r>
      <w:rPr>
        <w:noProof/>
        <w:lang w:eastAsia="en-US"/>
      </w:rPr>
      <w:drawing>
        <wp:anchor distT="0" distB="0" distL="114935" distR="114935" simplePos="0" relativeHeight="251660288" behindDoc="0" locked="0" layoutInCell="1" allowOverlap="1" wp14:anchorId="4BDF48FE" wp14:editId="50000A8B">
          <wp:simplePos x="0" y="0"/>
          <wp:positionH relativeFrom="column">
            <wp:posOffset>50165</wp:posOffset>
          </wp:positionH>
          <wp:positionV relativeFrom="paragraph">
            <wp:posOffset>91440</wp:posOffset>
          </wp:positionV>
          <wp:extent cx="529590" cy="52959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D48CD">
      <w:rPr>
        <w:sz w:val="96"/>
        <w:szCs w:val="96"/>
      </w:rPr>
      <w:tab/>
    </w:r>
    <w:r w:rsidR="00BD48CD">
      <w:rPr>
        <w:rFonts w:ascii="Arial" w:hAnsi="Arial"/>
        <w:b w:val="0"/>
        <w:sz w:val="96"/>
        <w:szCs w:val="96"/>
      </w:rPr>
      <w:t>PUBLIC NOTICE</w:t>
    </w:r>
  </w:p>
  <w:p w:rsidR="00BD48CD" w:rsidRDefault="00C634D5">
    <w:pPr>
      <w:pStyle w:val="Header"/>
      <w:tabs>
        <w:tab w:val="left" w:pos="1080"/>
      </w:tabs>
      <w:spacing w:line="1120" w:lineRule="exact"/>
      <w:ind w:left="720"/>
      <w:rPr>
        <w:rFonts w:ascii="Arial" w:hAnsi="Arial"/>
        <w:b w:val="0"/>
        <w:sz w:val="96"/>
        <w:szCs w:val="96"/>
      </w:rPr>
    </w:pPr>
    <w:r>
      <w:rPr>
        <w:noProof/>
        <w:lang w:eastAsia="en-US"/>
      </w:rPr>
      <mc:AlternateContent>
        <mc:Choice Requires="wps">
          <w:drawing>
            <wp:anchor distT="0" distB="0" distL="114935" distR="114935" simplePos="0" relativeHeight="251661312" behindDoc="1" locked="0" layoutInCell="1" allowOverlap="1" wp14:anchorId="2CA16145" wp14:editId="461D67B0">
              <wp:simplePos x="0" y="0"/>
              <wp:positionH relativeFrom="column">
                <wp:posOffset>51435</wp:posOffset>
              </wp:positionH>
              <wp:positionV relativeFrom="paragraph">
                <wp:posOffset>91440</wp:posOffset>
              </wp:positionV>
              <wp:extent cx="3108325" cy="639445"/>
              <wp:effectExtent l="0" t="0" r="0" b="82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8CD" w:rsidRDefault="00BD48CD">
                          <w:pPr>
                            <w:rPr>
                              <w:rFonts w:ascii="Arial" w:hAnsi="Arial"/>
                              <w:b/>
                              <w:szCs w:val="22"/>
                            </w:rPr>
                          </w:pPr>
                          <w:r>
                            <w:rPr>
                              <w:rFonts w:ascii="Arial" w:hAnsi="Arial"/>
                              <w:b/>
                              <w:szCs w:val="22"/>
                            </w:rPr>
                            <w:t>Federal Communications Commission</w:t>
                          </w:r>
                        </w:p>
                        <w:p w:rsidR="00BD48CD" w:rsidRDefault="00BD48CD">
                          <w:pPr>
                            <w:rPr>
                              <w:rFonts w:ascii="Arial" w:hAnsi="Arial"/>
                              <w:b/>
                              <w:szCs w:val="22"/>
                            </w:rPr>
                          </w:pPr>
                          <w:smartTag w:uri="urn:schemas-microsoft-com:office:smarttags" w:element="Street">
                            <w:smartTag w:uri="urn:schemas-microsoft-com:office:smarttags" w:element="address">
                              <w:r>
                                <w:rPr>
                                  <w:rFonts w:ascii="Arial" w:hAnsi="Arial"/>
                                  <w:szCs w:val="22"/>
                                </w:rPr>
                                <w:t>445 12th St., S.W.</w:t>
                              </w:r>
                            </w:smartTag>
                          </w:smartTag>
                        </w:p>
                        <w:p w:rsidR="00BD48CD" w:rsidRDefault="00BD48CD">
                          <w:pPr>
                            <w:rPr>
                              <w:rFonts w:ascii="Arial" w:hAnsi="Arial"/>
                              <w:b/>
                              <w:szCs w:val="22"/>
                            </w:rPr>
                          </w:pPr>
                          <w:smartTag w:uri="urn:schemas-microsoft-com:office:smarttags" w:element="place">
                            <w:smartTag w:uri="urn:schemas-microsoft-com:office:smarttags" w:element="City">
                              <w:r>
                                <w:rPr>
                                  <w:rFonts w:ascii="Arial" w:hAnsi="Arial"/>
                                  <w:szCs w:val="22"/>
                                </w:rPr>
                                <w:t>Washington</w:t>
                              </w:r>
                            </w:smartTag>
                            <w:r>
                              <w:rPr>
                                <w:rFonts w:ascii="Arial" w:hAnsi="Arial"/>
                                <w:szCs w:val="22"/>
                              </w:rPr>
                              <w:t xml:space="preserve">, </w:t>
                            </w:r>
                            <w:smartTag w:uri="urn:schemas-microsoft-com:office:smarttags" w:element="place">
                              <w:r>
                                <w:rPr>
                                  <w:rFonts w:ascii="Arial" w:hAnsi="Arial"/>
                                  <w:szCs w:val="22"/>
                                </w:rPr>
                                <w:t>D.C.</w:t>
                              </w:r>
                            </w:smartTag>
                            <w:r>
                              <w:rPr>
                                <w:rFonts w:ascii="Arial" w:hAnsi="Arial"/>
                                <w:szCs w:val="22"/>
                              </w:rPr>
                              <w:t xml:space="preserve"> </w:t>
                            </w:r>
                            <w:smartTag w:uri="urn:schemas-microsoft-com:office:smarttags" w:element="place">
                              <w:r>
                                <w:rPr>
                                  <w:rFonts w:ascii="Arial" w:hAnsi="Arial"/>
                                  <w:szCs w:val="22"/>
                                </w:rPr>
                                <w:t>20554</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44.75pt;height:50.3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hsegIAAP8EAAAOAAAAZHJzL2Uyb0RvYy54bWysVNuO2yAQfa/Uf0C8Z20nTja24qz20lSV&#10;thdptx9AAMeoGCiQ2NtV/70DjrO7vUhVVT/gAYbDmTkzrC76VqIDt05oVeHsLMWIK6qZULsKf77f&#10;TJYYOU8UI1IrXuEH7vDF+vWrVWdKPtWNloxbBCDKlZ2pcOO9KZPE0Ya3xJ1pwxVs1tq2xMPU7hJm&#10;SQforUymabpIOm2ZsZpy52D1ZtjE64hf15z6j3XtuEeywsDNx9HGcRvGZL0i5c4S0wh6pEH+gUVL&#10;hIJLT1A3xBO0t+IXqFZQq52u/RnVbaLrWlAeY4BosvSnaO4aYniMBZLjzClN7v/B0g+HTxYJVuEZ&#10;Roq0INE97z260j3KQnY640pwujPg5ntYBpVjpM7cavrFIaWvG6J2/NJa3TWcMGAXTybPjg44LoBs&#10;u/eawTVk73UE6mvbhtRBMhCgg0oPJ2UCFQqLsyxdzqZzjCjsLWZFns8DuYSU42ljnX/LdYuCUWEL&#10;ykd0crh1fnAdXcJlTkvBNkLKOLG77bW06ECgSjbxO6K/cJMqOCsdjg2IwwqQhDvCXqAbVX8ssmme&#10;Xk2LyWaxPJ/km3w+Kc7T5STNiqtikeZFfrP5HghmedkIxri6FYqPFZjlf6fwsReG2ok1iLoKF3PI&#10;VIzrj0Gm8ftdkK3w0JBStBVenpxIGYR9oxiETUpPhBzs5CX9KAjkYPzHrMQyCMoPNeD7bQ8ooTa2&#10;mj1AQVgNeoHq8IqA0Wj7DaMOOrLC7uueWI6RfKegqEL7joYdje1oEEXhaIU9RoN57Yc23xsrdg0g&#10;D2Wr9CUUXi1iTTyxAMphAl0WyR9fhNDGz+fR6+ndWv8AAAD//wMAUEsDBBQABgAIAAAAIQAe5CBv&#10;3gAAAAgBAAAPAAAAZHJzL2Rvd25yZXYueG1sTI/NTsMwEITvSLyDtUhcEHVShdCGOBW0cCuH/qjn&#10;bWySiHgdxU6Tvj3LCY47M5r9Jl9NthUX0/vGkYJ4FoEwVDrdUKXgePh4XIDwAUlj68gouBoPq+L2&#10;JsdMu5F25rIPleAS8hkqqEPoMil9WRuLfuY6Q+x9ud5i4LOvpO5x5HLbynkUpdJiQ/yhxs6sa1N+&#10;7werIN30w7ij9cPm+L7Fz66an96uJ6Xu76bXFxDBTOEvDL/4jA4FM53dQNqLVsEi5iDLSQKC7WT5&#10;nII4sxA/xSCLXP4fUPwAAAD//wMAUEsBAi0AFAAGAAgAAAAhALaDOJL+AAAA4QEAABMAAAAAAAAA&#10;AAAAAAAAAAAAAFtDb250ZW50X1R5cGVzXS54bWxQSwECLQAUAAYACAAAACEAOP0h/9YAAACUAQAA&#10;CwAAAAAAAAAAAAAAAAAvAQAAX3JlbHMvLnJlbHNQSwECLQAUAAYACAAAACEAEk1YbHoCAAD/BAAA&#10;DgAAAAAAAAAAAAAAAAAuAgAAZHJzL2Uyb0RvYy54bWxQSwECLQAUAAYACAAAACEAHuQgb94AAAAI&#10;AQAADwAAAAAAAAAAAAAAAADUBAAAZHJzL2Rvd25yZXYueG1sUEsFBgAAAAAEAAQA8wAAAN8FAAAA&#10;AA==&#10;" stroked="f">
              <v:textbox inset="0,0,0,0">
                <w:txbxContent>
                  <w:p w:rsidR="00BD48CD" w:rsidRDefault="00BD48CD">
                    <w:pPr>
                      <w:rPr>
                        <w:rFonts w:ascii="Arial" w:hAnsi="Arial"/>
                        <w:b/>
                        <w:szCs w:val="22"/>
                      </w:rPr>
                    </w:pPr>
                    <w:r>
                      <w:rPr>
                        <w:rFonts w:ascii="Arial" w:hAnsi="Arial"/>
                        <w:b/>
                        <w:szCs w:val="22"/>
                      </w:rPr>
                      <w:t>Federal Communications Commission</w:t>
                    </w:r>
                  </w:p>
                  <w:p w:rsidR="00BD48CD" w:rsidRDefault="00BD48CD">
                    <w:pPr>
                      <w:rPr>
                        <w:rFonts w:ascii="Arial" w:hAnsi="Arial"/>
                        <w:b/>
                        <w:szCs w:val="22"/>
                      </w:rPr>
                    </w:pPr>
                    <w:smartTag w:uri="urn:schemas-microsoft-com:office:smarttags" w:element="Street">
                      <w:smartTag w:uri="urn:schemas-microsoft-com:office:smarttags" w:element="address">
                        <w:r>
                          <w:rPr>
                            <w:rFonts w:ascii="Arial" w:hAnsi="Arial"/>
                            <w:szCs w:val="22"/>
                          </w:rPr>
                          <w:t>445 12th St., S.W.</w:t>
                        </w:r>
                      </w:smartTag>
                    </w:smartTag>
                  </w:p>
                  <w:p w:rsidR="00BD48CD" w:rsidRDefault="00BD48CD">
                    <w:pPr>
                      <w:rPr>
                        <w:rFonts w:ascii="Arial" w:hAnsi="Arial"/>
                        <w:b/>
                        <w:szCs w:val="22"/>
                      </w:rPr>
                    </w:pPr>
                    <w:smartTag w:uri="urn:schemas-microsoft-com:office:smarttags" w:element="place">
                      <w:smartTag w:uri="urn:schemas-microsoft-com:office:smarttags" w:element="City">
                        <w:r>
                          <w:rPr>
                            <w:rFonts w:ascii="Arial" w:hAnsi="Arial"/>
                            <w:szCs w:val="22"/>
                          </w:rPr>
                          <w:t>Washington</w:t>
                        </w:r>
                      </w:smartTag>
                      <w:r>
                        <w:rPr>
                          <w:rFonts w:ascii="Arial" w:hAnsi="Arial"/>
                          <w:szCs w:val="22"/>
                        </w:rPr>
                        <w:t xml:space="preserve">, </w:t>
                      </w:r>
                      <w:smartTag w:uri="urn:schemas-microsoft-com:office:smarttags" w:element="place">
                        <w:r>
                          <w:rPr>
                            <w:rFonts w:ascii="Arial" w:hAnsi="Arial"/>
                            <w:szCs w:val="22"/>
                          </w:rPr>
                          <w:t>D.C.</w:t>
                        </w:r>
                      </w:smartTag>
                      <w:r>
                        <w:rPr>
                          <w:rFonts w:ascii="Arial" w:hAnsi="Arial"/>
                          <w:szCs w:val="22"/>
                        </w:rPr>
                        <w:t xml:space="preserve"> </w:t>
                      </w:r>
                      <w:smartTag w:uri="urn:schemas-microsoft-com:office:smarttags" w:element="place">
                        <w:r>
                          <w:rPr>
                            <w:rFonts w:ascii="Arial" w:hAnsi="Arial"/>
                            <w:szCs w:val="22"/>
                          </w:rPr>
                          <w:t>20554</w:t>
                        </w:r>
                      </w:smartTag>
                    </w:smartTag>
                  </w:p>
                </w:txbxContent>
              </v:textbox>
            </v:shape>
          </w:pict>
        </mc:Fallback>
      </mc:AlternateContent>
    </w:r>
    <w:r>
      <w:rPr>
        <w:noProof/>
        <w:lang w:eastAsia="en-US"/>
      </w:rPr>
      <mc:AlternateContent>
        <mc:Choice Requires="wps">
          <w:drawing>
            <wp:anchor distT="0" distB="0" distL="114935" distR="114935" simplePos="0" relativeHeight="251662336" behindDoc="1" locked="0" layoutInCell="1" allowOverlap="1" wp14:anchorId="711F99AF" wp14:editId="6457CB1A">
              <wp:simplePos x="0" y="0"/>
              <wp:positionH relativeFrom="column">
                <wp:posOffset>2908935</wp:posOffset>
              </wp:positionH>
              <wp:positionV relativeFrom="paragraph">
                <wp:posOffset>91440</wp:posOffset>
              </wp:positionV>
              <wp:extent cx="3053715" cy="6673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8CD" w:rsidRDefault="00BD48CD">
                          <w:pPr>
                            <w:spacing w:before="40"/>
                            <w:jc w:val="right"/>
                            <w:rPr>
                              <w:rFonts w:ascii="Arial" w:hAnsi="Arial"/>
                              <w:sz w:val="16"/>
                            </w:rPr>
                          </w:pPr>
                          <w:r>
                            <w:rPr>
                              <w:rFonts w:ascii="Arial" w:hAnsi="Arial"/>
                              <w:sz w:val="16"/>
                            </w:rPr>
                            <w:tab/>
                          </w:r>
                        </w:p>
                        <w:p w:rsidR="00BD48CD" w:rsidRDefault="00BD48CD">
                          <w:pPr>
                            <w:spacing w:before="40"/>
                            <w:jc w:val="right"/>
                            <w:rPr>
                              <w:rFonts w:ascii="Arial" w:hAnsi="Arial"/>
                              <w:b/>
                              <w:sz w:val="16"/>
                            </w:rPr>
                          </w:pPr>
                          <w:r>
                            <w:rPr>
                              <w:rFonts w:ascii="Arial" w:hAnsi="Arial"/>
                              <w:b/>
                              <w:sz w:val="16"/>
                            </w:rPr>
                            <w:t>News Media Information 202 / 418-0500</w:t>
                          </w:r>
                        </w:p>
                        <w:p w:rsidR="00BD48CD" w:rsidRDefault="00BD48CD">
                          <w:pPr>
                            <w:jc w:val="right"/>
                            <w:rPr>
                              <w:rFonts w:ascii="Arial" w:hAnsi="Arial"/>
                              <w:b/>
                              <w:sz w:val="16"/>
                            </w:rPr>
                          </w:pPr>
                          <w:r>
                            <w:rPr>
                              <w:rFonts w:ascii="Arial" w:hAnsi="Arial"/>
                              <w:b/>
                              <w:sz w:val="16"/>
                            </w:rPr>
                            <w:tab/>
                            <w:t>Internet: http://www.fcc.gov</w:t>
                          </w:r>
                        </w:p>
                        <w:p w:rsidR="00BD48CD" w:rsidRDefault="00BD48CD">
                          <w:pPr>
                            <w:jc w:val="right"/>
                            <w:rPr>
                              <w:rFonts w:ascii="Arial" w:hAnsi="Arial"/>
                              <w:b/>
                              <w:sz w:val="16"/>
                            </w:rPr>
                          </w:pPr>
                          <w:r>
                            <w:rPr>
                              <w:rFonts w:ascii="Arial" w:hAnsi="Arial"/>
                              <w:b/>
                              <w:sz w:val="16"/>
                            </w:rPr>
                            <w:t>TTY: 1-888-835-5322</w:t>
                          </w:r>
                        </w:p>
                        <w:p w:rsidR="00BD48CD" w:rsidRDefault="00BD48CD">
                          <w:pPr>
                            <w:jc w:val="right"/>
                          </w:pPr>
                        </w:p>
                        <w:p w:rsidR="00BD48CD" w:rsidRDefault="00BD48CD">
                          <w:pPr>
                            <w:jc w:val="right"/>
                            <w:rPr>
                              <w:rFonts w:ascii="Arial" w:hAnsi="Arial"/>
                              <w:sz w:val="16"/>
                            </w:rPr>
                          </w:pPr>
                        </w:p>
                        <w:p w:rsidR="00BD48CD" w:rsidRDefault="00BD48CD">
                          <w:pPr>
                            <w:jc w:val="right"/>
                            <w:rPr>
                              <w:rFonts w:ascii="Arial" w:hAnsi="Arial"/>
                              <w:sz w:val="16"/>
                            </w:rPr>
                          </w:pPr>
                          <w:r>
                            <w:rPr>
                              <w:rFonts w:ascii="Arial" w:hAnsi="Arial"/>
                              <w:sz w:val="16"/>
                            </w:rPr>
                            <w:tab/>
                          </w:r>
                        </w:p>
                        <w:p w:rsidR="00BD48CD" w:rsidRDefault="00BD48CD">
                          <w:pPr>
                            <w:jc w:val="right"/>
                            <w:rPr>
                              <w:rFonts w:ascii="Arial" w:hAnsi="Arial"/>
                              <w:sz w:val="16"/>
                            </w:rPr>
                          </w:pPr>
                          <w:r>
                            <w:rPr>
                              <w:rFonts w:ascii="Arial" w:hAnsi="Arial"/>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05pt;margin-top:7.2pt;width:240.45pt;height:52.5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74fgIAAAYF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We&#10;YqRICxTd896jK92jWahOZ1wJTncG3HwPy8ByzNSZW02/OKT0dUPUjl9aq7uGEwbRZeFk8uzogOMC&#10;yLZ7rxlcQ/ZeR6C+tm0oHRQDATqw9HBiJoRCYXGWzmfLbI4Rhb3FYjlbzeMVpBxPG+v8W65bFIwK&#10;W2A+opPDrfMhGlKOLuEyp6VgGyFlnNjd9lpadCCgkk38jugv3KQKzkqHYwPisAJBwh1hL4QbWX8s&#10;smmeXk2LyWaxWk7yTT6fFMt0NUmz4qpYpHmR32y+hwCzvGwEY1zdCsVHBWb53zF87IVBO1GDqKtw&#10;MZ/OB4r+mGQav98l2QoPDSlFW+HVyYmUgdg3ikHapPREyMFOXoYfqww1GP+xKlEGgflBA77f9lFv&#10;USNBIlvNHkAXVgNtQD48JmA02n7DqIPGrLD7uieWYyTfKdBW6OLRsKOxHQ2iKBytsMdoMK/90O17&#10;Y8WuAeRBvUpfgv5qEaXxFMVRtdBsMYfjwxC6+fk8ej09X+sfAAAA//8DAFBLAwQUAAYACAAAACEA&#10;YDikLeAAAAAKAQAADwAAAGRycy9kb3ducmV2LnhtbEyPwU7DMBBE70j8g7VIXBB1UtKqCXEqaOFW&#10;Di1Vz268JBHxOoqdJv17lhMcd+ZpdiZfT7YVF+x940hBPItAIJXONFQpOH6+P65A+KDJ6NYRKrii&#10;h3Vxe5PrzLiR9ng5hEpwCPlMK6hD6DIpfVmj1X7mOiT2vlxvdeCzr6Tp9cjhtpXzKFpKqxviD7Xu&#10;cFNj+X0YrILlth/GPW0etse3nf7oqvnp9XpS6v5uenkGEXAKfzD81ufqUHCnsxvIeNEqSBarmFE2&#10;kgQEA+lTyuPOLMTpAmSRy/8Tih8AAAD//wMAUEsBAi0AFAAGAAgAAAAhALaDOJL+AAAA4QEAABMA&#10;AAAAAAAAAAAAAAAAAAAAAFtDb250ZW50X1R5cGVzXS54bWxQSwECLQAUAAYACAAAACEAOP0h/9YA&#10;AACUAQAACwAAAAAAAAAAAAAAAAAvAQAAX3JlbHMvLnJlbHNQSwECLQAUAAYACAAAACEAiAcO+H4C&#10;AAAGBQAADgAAAAAAAAAAAAAAAAAuAgAAZHJzL2Uyb0RvYy54bWxQSwECLQAUAAYACAAAACEAYDik&#10;LeAAAAAKAQAADwAAAAAAAAAAAAAAAADYBAAAZHJzL2Rvd25yZXYueG1sUEsFBgAAAAAEAAQA8wAA&#10;AOUFAAAAAA==&#10;" stroked="f">
              <v:textbox inset="0,0,0,0">
                <w:txbxContent>
                  <w:p w:rsidR="00BD48CD" w:rsidRDefault="00BD48CD">
                    <w:pPr>
                      <w:spacing w:before="40"/>
                      <w:jc w:val="right"/>
                      <w:rPr>
                        <w:rFonts w:ascii="Arial" w:hAnsi="Arial"/>
                        <w:sz w:val="16"/>
                      </w:rPr>
                    </w:pPr>
                    <w:r>
                      <w:rPr>
                        <w:rFonts w:ascii="Arial" w:hAnsi="Arial"/>
                        <w:sz w:val="16"/>
                      </w:rPr>
                      <w:tab/>
                    </w:r>
                  </w:p>
                  <w:p w:rsidR="00BD48CD" w:rsidRDefault="00BD48CD">
                    <w:pPr>
                      <w:spacing w:before="40"/>
                      <w:jc w:val="right"/>
                      <w:rPr>
                        <w:rFonts w:ascii="Arial" w:hAnsi="Arial"/>
                        <w:b/>
                        <w:sz w:val="16"/>
                      </w:rPr>
                    </w:pPr>
                    <w:r>
                      <w:rPr>
                        <w:rFonts w:ascii="Arial" w:hAnsi="Arial"/>
                        <w:b/>
                        <w:sz w:val="16"/>
                      </w:rPr>
                      <w:t>News Media Information 202 / 418-0500</w:t>
                    </w:r>
                  </w:p>
                  <w:p w:rsidR="00BD48CD" w:rsidRDefault="00BD48CD">
                    <w:pPr>
                      <w:jc w:val="right"/>
                      <w:rPr>
                        <w:rFonts w:ascii="Arial" w:hAnsi="Arial"/>
                        <w:b/>
                        <w:sz w:val="16"/>
                      </w:rPr>
                    </w:pPr>
                    <w:r>
                      <w:rPr>
                        <w:rFonts w:ascii="Arial" w:hAnsi="Arial"/>
                        <w:b/>
                        <w:sz w:val="16"/>
                      </w:rPr>
                      <w:tab/>
                      <w:t>Internet: http://www.fcc.gov</w:t>
                    </w:r>
                  </w:p>
                  <w:p w:rsidR="00BD48CD" w:rsidRDefault="00BD48CD">
                    <w:pPr>
                      <w:jc w:val="right"/>
                      <w:rPr>
                        <w:rFonts w:ascii="Arial" w:hAnsi="Arial"/>
                        <w:b/>
                        <w:sz w:val="16"/>
                      </w:rPr>
                    </w:pPr>
                    <w:r>
                      <w:rPr>
                        <w:rFonts w:ascii="Arial" w:hAnsi="Arial"/>
                        <w:b/>
                        <w:sz w:val="16"/>
                      </w:rPr>
                      <w:t>TTY: 1-888-835-5322</w:t>
                    </w:r>
                  </w:p>
                  <w:p w:rsidR="00BD48CD" w:rsidRDefault="00BD48CD">
                    <w:pPr>
                      <w:jc w:val="right"/>
                    </w:pPr>
                  </w:p>
                  <w:p w:rsidR="00BD48CD" w:rsidRDefault="00BD48CD">
                    <w:pPr>
                      <w:jc w:val="right"/>
                      <w:rPr>
                        <w:rFonts w:ascii="Arial" w:hAnsi="Arial"/>
                        <w:sz w:val="16"/>
                      </w:rPr>
                    </w:pPr>
                  </w:p>
                  <w:p w:rsidR="00BD48CD" w:rsidRDefault="00BD48CD">
                    <w:pPr>
                      <w:jc w:val="right"/>
                      <w:rPr>
                        <w:rFonts w:ascii="Arial" w:hAnsi="Arial"/>
                        <w:sz w:val="16"/>
                      </w:rPr>
                    </w:pPr>
                    <w:r>
                      <w:rPr>
                        <w:rFonts w:ascii="Arial" w:hAnsi="Arial"/>
                        <w:sz w:val="16"/>
                      </w:rPr>
                      <w:tab/>
                    </w:r>
                  </w:p>
                  <w:p w:rsidR="00BD48CD" w:rsidRDefault="00BD48CD">
                    <w:pPr>
                      <w:jc w:val="right"/>
                      <w:rPr>
                        <w:rFonts w:ascii="Arial" w:hAnsi="Arial"/>
                        <w:sz w:val="16"/>
                      </w:rPr>
                    </w:pPr>
                    <w:r>
                      <w:rPr>
                        <w:rFonts w:ascii="Arial" w:hAnsi="Arial"/>
                        <w:sz w:val="16"/>
                      </w:rPr>
                      <w:tab/>
                    </w:r>
                  </w:p>
                </w:txbxContent>
              </v:textbox>
            </v:shape>
          </w:pict>
        </mc:Fallback>
      </mc:AlternateContent>
    </w:r>
  </w:p>
  <w:p w:rsidR="00BD48CD" w:rsidRDefault="00BD48CD">
    <w:pPr>
      <w:pStyle w:val="Header"/>
      <w:rPr>
        <w:rFonts w:ascii="Arial" w:hAnsi="Arial"/>
        <w:b w:val="0"/>
        <w:sz w:val="24"/>
        <w:szCs w:val="24"/>
      </w:rPr>
    </w:pPr>
  </w:p>
  <w:p w:rsidR="00BD48CD" w:rsidRDefault="00C634D5">
    <w:pPr>
      <w:jc w:val="right"/>
      <w:rPr>
        <w:b/>
      </w:rPr>
    </w:pPr>
    <w:r>
      <w:rPr>
        <w:noProof/>
        <w:lang w:eastAsia="en-US"/>
      </w:rPr>
      <mc:AlternateContent>
        <mc:Choice Requires="wps">
          <w:drawing>
            <wp:anchor distT="4294967292" distB="4294967292" distL="114300" distR="114300" simplePos="0" relativeHeight="251663360" behindDoc="1" locked="0" layoutInCell="1" allowOverlap="1" wp14:anchorId="1717A04E" wp14:editId="006D8D7B">
              <wp:simplePos x="0" y="0"/>
              <wp:positionH relativeFrom="column">
                <wp:posOffset>152400</wp:posOffset>
              </wp:positionH>
              <wp:positionV relativeFrom="paragraph">
                <wp:posOffset>82549</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6.5pt" to="4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w+GQIAADYEAAAOAAAAZHJzL2Uyb0RvYy54bWysU02P2jAQvVfqf7ByhyRslkJEWFUJ9EJb&#10;pN3+AGM7xKq/ZHsJqOp/79iQiG0vVVUOxs7MPL+Z97x6OkuBTsw6rlWV5NMsQUwRTbk6Vsm3l+1k&#10;kSDnsaJYaMWq5MJc8rR+/27Vm5LNdKcFZRYBiHJlb6qk896UaepIxyR2U22YgmCrrcQejvaYUot7&#10;QJcinWXZPO21pcZqwpyDr801mKwjftsy4r+2rWMeiSoBbj6uNq6HsKbrFS6PFpuOkxsN/A8sJOYK&#10;Lh2hGuwxerX8DyjJidVOt35KtEx123LCYg/QTZ791s1zhw2LvcBwnBnH5P4fLPly2lvEKWiXIIUl&#10;SLTjiqFZmExvXAkJtdrb0Bs5q2ez0+S7Q0rXHVZHFhm+XAyU5aEifVMSDs4A/qH/rCnk4Fev45jO&#10;rZUBEgaAzlGNy6gGO3tE4OPjsniYZyAaGWIpLodCY53/xLREYVMlAjhHYHzaOR+I4HJICfcoveVC&#10;RLGFQj2wXWaLLFY4LTgN0ZDn7PFQC4tOOPgl/mJbELlPk9yDawWXVbIYk3DZMUw3isZrPObiugcq&#10;QgVwaAzI3XZXd/xYZsvNYrMoJsVsvpkUWdNMPm7rYjLf5h8em4emrpv8Z+CZF2XHKWUqUB2cmhd/&#10;54Tbm7l6bPTqOJT0LXqcHpAd/iPpqGwQ82qLg6aXvR0UB3PG5NtDCu6/P8P+/rmvfwEAAP//AwBQ&#10;SwMEFAAGAAgAAAAhAAIFMIbcAAAACAEAAA8AAABkcnMvZG93bnJldi54bWxMT01Lw0AQvQv9D8sU&#10;erO7baXYmE0RQYReQqugx2128qHZ2ZDdNqm/viMe9DQz7w3vI92OrhVn7EPjScNirkAgFd42VGl4&#10;e32+vQcRoiFrWk+o4YIBttnkJjWJ9QPt8XyIlWARConRUMfYJVKGokZnwtx3SMyVvncm8tlX0vZm&#10;YHHXyqVSa+lMQ+xQmw6faiy+DienIXy853HYlVZ9fw6r3Qvlm0Veaj2bjo8PICKO8e8ZfuJzdMg4&#10;09GfyAbRaljecZXI+Ion85u14uX4C8gslf8LZFcAAAD//wMAUEsBAi0AFAAGAAgAAAAhALaDOJL+&#10;AAAA4QEAABMAAAAAAAAAAAAAAAAAAAAAAFtDb250ZW50X1R5cGVzXS54bWxQSwECLQAUAAYACAAA&#10;ACEAOP0h/9YAAACUAQAACwAAAAAAAAAAAAAAAAAvAQAAX3JlbHMvLnJlbHNQSwECLQAUAAYACAAA&#10;ACEAZ2+8PhkCAAA2BAAADgAAAAAAAAAAAAAAAAAuAgAAZHJzL2Uyb0RvYy54bWxQSwECLQAUAAYA&#10;CAAAACEAAgUwhtwAAAAIAQAADwAAAAAAAAAAAAAAAABzBAAAZHJzL2Rvd25yZXYueG1sUEsFBgAA&#10;AAAEAAQA8wAAAHwFAAAAAA==&#10;" strokeweight=".53mm">
              <v:stroke joinstyle="miter"/>
            </v:line>
          </w:pict>
        </mc:Fallback>
      </mc:AlternateContent>
    </w:r>
  </w:p>
  <w:p w:rsidR="00BD48CD" w:rsidRDefault="00BD48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35" w:rsidRPr="00347D03" w:rsidRDefault="00CC69CA" w:rsidP="00A56503">
    <w:pPr>
      <w:pStyle w:val="Header"/>
      <w:tabs>
        <w:tab w:val="left" w:pos="9540"/>
        <w:tab w:val="left" w:pos="11160"/>
      </w:tabs>
      <w:rPr>
        <w:sz w:val="20"/>
      </w:rPr>
    </w:pPr>
    <w:r>
      <w:rPr>
        <w:sz w:val="20"/>
      </w:rPr>
      <w:tab/>
    </w:r>
    <w:r>
      <w:rPr>
        <w:sz w:val="20"/>
      </w:rPr>
      <w:tab/>
    </w:r>
    <w:r>
      <w:rPr>
        <w:sz w:val="20"/>
      </w:rPr>
      <w:tab/>
    </w:r>
    <w:r>
      <w:rPr>
        <w:sz w:val="20"/>
      </w:rPr>
      <w:tab/>
    </w:r>
  </w:p>
  <w:p w:rsidR="00700035" w:rsidRPr="000824BB" w:rsidRDefault="00CC69CA" w:rsidP="00347D03">
    <w:pPr>
      <w:pStyle w:val="Header"/>
      <w:jc w:val="center"/>
      <w:rPr>
        <w:sz w:val="28"/>
        <w:szCs w:val="28"/>
      </w:rPr>
    </w:pPr>
    <w:r w:rsidRPr="000824BB">
      <w:rPr>
        <w:sz w:val="28"/>
        <w:szCs w:val="28"/>
      </w:rPr>
      <w:t xml:space="preserve">Catalog of </w:t>
    </w:r>
    <w:r>
      <w:rPr>
        <w:sz w:val="28"/>
        <w:szCs w:val="28"/>
      </w:rPr>
      <w:t>Eligible Expenses</w:t>
    </w:r>
  </w:p>
  <w:p w:rsidR="00700035" w:rsidRDefault="007C58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35" w:rsidRPr="00347D03" w:rsidRDefault="00CC69CA" w:rsidP="009D5C78">
    <w:pPr>
      <w:pStyle w:val="Header"/>
      <w:tabs>
        <w:tab w:val="left" w:pos="9540"/>
        <w:tab w:val="left" w:pos="11340"/>
      </w:tabs>
      <w:rPr>
        <w:sz w:val="20"/>
      </w:rPr>
    </w:pPr>
    <w:r>
      <w:rPr>
        <w:sz w:val="20"/>
      </w:rPr>
      <w:tab/>
    </w:r>
    <w:r>
      <w:rPr>
        <w:sz w:val="20"/>
      </w:rPr>
      <w:tab/>
    </w:r>
    <w:r>
      <w:rPr>
        <w:sz w:val="20"/>
      </w:rPr>
      <w:tab/>
    </w:r>
    <w:r>
      <w:rPr>
        <w:sz w:val="20"/>
      </w:rPr>
      <w:tab/>
    </w:r>
  </w:p>
  <w:p w:rsidR="00700035" w:rsidRPr="000824BB" w:rsidRDefault="00944EE9" w:rsidP="007611B9">
    <w:pPr>
      <w:pStyle w:val="Header"/>
      <w:jc w:val="center"/>
      <w:rPr>
        <w:sz w:val="28"/>
        <w:szCs w:val="28"/>
      </w:rPr>
    </w:pPr>
    <w:r>
      <w:rPr>
        <w:sz w:val="28"/>
        <w:szCs w:val="28"/>
      </w:rPr>
      <w:t>Attachment</w:t>
    </w:r>
    <w:r w:rsidR="00B31283">
      <w:rPr>
        <w:sz w:val="28"/>
        <w:szCs w:val="28"/>
      </w:rPr>
      <w:t xml:space="preserve">:  </w:t>
    </w:r>
    <w:r w:rsidR="00CC69CA" w:rsidRPr="000824BB">
      <w:rPr>
        <w:sz w:val="28"/>
        <w:szCs w:val="28"/>
      </w:rPr>
      <w:t xml:space="preserve">Catalog of </w:t>
    </w:r>
    <w:r w:rsidR="00CC69CA">
      <w:rPr>
        <w:sz w:val="28"/>
        <w:szCs w:val="28"/>
      </w:rPr>
      <w:t>Eligible Expenses</w:t>
    </w:r>
  </w:p>
  <w:p w:rsidR="00700035" w:rsidRDefault="007C58AB" w:rsidP="007611B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6">
    <w:nsid w:val="0FEF70C1"/>
    <w:multiLevelType w:val="hybridMultilevel"/>
    <w:tmpl w:val="E51C1A8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46CC6"/>
    <w:multiLevelType w:val="hybridMultilevel"/>
    <w:tmpl w:val="F29C0A92"/>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1">
    <w:nsid w:val="2B2A2951"/>
    <w:multiLevelType w:val="hybridMultilevel"/>
    <w:tmpl w:val="2BEC4DB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50B14DF"/>
    <w:multiLevelType w:val="hybridMultilevel"/>
    <w:tmpl w:val="72AE01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673578"/>
    <w:multiLevelType w:val="hybridMultilevel"/>
    <w:tmpl w:val="E000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6">
    <w:nsid w:val="46FE3126"/>
    <w:multiLevelType w:val="multilevel"/>
    <w:tmpl w:val="974820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55916516"/>
    <w:multiLevelType w:val="hybridMultilevel"/>
    <w:tmpl w:val="4BB6F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677B1D"/>
    <w:multiLevelType w:val="hybridMultilevel"/>
    <w:tmpl w:val="DB168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A68CF9C8"/>
    <w:lvl w:ilvl="0">
      <w:start w:val="1"/>
      <w:numFmt w:val="decimal"/>
      <w:lvlText w:val="%1."/>
      <w:lvlJc w:val="left"/>
      <w:pPr>
        <w:tabs>
          <w:tab w:val="num" w:pos="1080"/>
        </w:tabs>
        <w:ind w:firstLine="720"/>
      </w:pPr>
      <w:rPr>
        <w:rFonts w:cs="Times New Roman"/>
      </w:rPr>
    </w:lvl>
  </w:abstractNum>
  <w:abstractNum w:abstractNumId="22">
    <w:nsid w:val="71BA2D83"/>
    <w:multiLevelType w:val="hybridMultilevel"/>
    <w:tmpl w:val="2DD490C8"/>
    <w:lvl w:ilvl="0" w:tplc="F1B2B9A2">
      <w:start w:val="1"/>
      <w:numFmt w:val="upperLetter"/>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1"/>
  </w:num>
  <w:num w:numId="3">
    <w:abstractNumId w:val="10"/>
  </w:num>
  <w:num w:numId="4">
    <w:abstractNumId w:val="18"/>
  </w:num>
  <w:num w:numId="5">
    <w:abstractNumId w:val="9"/>
  </w:num>
  <w:num w:numId="6">
    <w:abstractNumId w:val="5"/>
  </w:num>
  <w:num w:numId="7">
    <w:abstractNumId w:val="0"/>
  </w:num>
  <w:num w:numId="8">
    <w:abstractNumId w:val="1"/>
  </w:num>
  <w:num w:numId="9">
    <w:abstractNumId w:val="2"/>
  </w:num>
  <w:num w:numId="10">
    <w:abstractNumId w:val="3"/>
  </w:num>
  <w:num w:numId="11">
    <w:abstractNumId w:val="16"/>
  </w:num>
  <w:num w:numId="12">
    <w:abstractNumId w:val="11"/>
  </w:num>
  <w:num w:numId="13">
    <w:abstractNumId w:val="21"/>
    <w:lvlOverride w:ilvl="0">
      <w:startOverride w:val="1"/>
    </w:lvlOverride>
  </w:num>
  <w:num w:numId="14">
    <w:abstractNumId w:val="12"/>
  </w:num>
  <w:num w:numId="15">
    <w:abstractNumId w:val="4"/>
  </w:num>
  <w:num w:numId="16">
    <w:abstractNumId w:val="23"/>
  </w:num>
  <w:num w:numId="17">
    <w:abstractNumId w:val="7"/>
  </w:num>
  <w:num w:numId="18">
    <w:abstractNumId w:val="19"/>
  </w:num>
  <w:num w:numId="19">
    <w:abstractNumId w:val="6"/>
  </w:num>
  <w:num w:numId="20">
    <w:abstractNumId w:val="17"/>
  </w:num>
  <w:num w:numId="21">
    <w:abstractNumId w:val="22"/>
  </w:num>
  <w:num w:numId="22">
    <w:abstractNumId w:val="13"/>
  </w:num>
  <w:num w:numId="23">
    <w:abstractNumId w:val="2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83"/>
    <w:rsid w:val="00002211"/>
    <w:rsid w:val="00005755"/>
    <w:rsid w:val="00005B7A"/>
    <w:rsid w:val="00006245"/>
    <w:rsid w:val="00012386"/>
    <w:rsid w:val="00025758"/>
    <w:rsid w:val="00033628"/>
    <w:rsid w:val="000353FF"/>
    <w:rsid w:val="000404C8"/>
    <w:rsid w:val="000450FA"/>
    <w:rsid w:val="00052392"/>
    <w:rsid w:val="000547AB"/>
    <w:rsid w:val="00062A94"/>
    <w:rsid w:val="0006376E"/>
    <w:rsid w:val="000703D6"/>
    <w:rsid w:val="000821AC"/>
    <w:rsid w:val="00091893"/>
    <w:rsid w:val="00091EEE"/>
    <w:rsid w:val="00094092"/>
    <w:rsid w:val="000A1CEB"/>
    <w:rsid w:val="000A50A9"/>
    <w:rsid w:val="000A5D96"/>
    <w:rsid w:val="000B2F46"/>
    <w:rsid w:val="000B6A87"/>
    <w:rsid w:val="000C2D7F"/>
    <w:rsid w:val="000C3936"/>
    <w:rsid w:val="000C5445"/>
    <w:rsid w:val="000D0693"/>
    <w:rsid w:val="000D7F96"/>
    <w:rsid w:val="000E00DC"/>
    <w:rsid w:val="000E6419"/>
    <w:rsid w:val="000F321A"/>
    <w:rsid w:val="000F6044"/>
    <w:rsid w:val="00101B50"/>
    <w:rsid w:val="00103930"/>
    <w:rsid w:val="00114561"/>
    <w:rsid w:val="00117B42"/>
    <w:rsid w:val="001242BB"/>
    <w:rsid w:val="001268D5"/>
    <w:rsid w:val="001273C2"/>
    <w:rsid w:val="001301C7"/>
    <w:rsid w:val="001303AE"/>
    <w:rsid w:val="0013211E"/>
    <w:rsid w:val="0013225B"/>
    <w:rsid w:val="00132315"/>
    <w:rsid w:val="00145791"/>
    <w:rsid w:val="00151DAB"/>
    <w:rsid w:val="00154C2D"/>
    <w:rsid w:val="00167905"/>
    <w:rsid w:val="00170532"/>
    <w:rsid w:val="00175DDE"/>
    <w:rsid w:val="00177A28"/>
    <w:rsid w:val="00184F98"/>
    <w:rsid w:val="00186356"/>
    <w:rsid w:val="001941B3"/>
    <w:rsid w:val="001B1A07"/>
    <w:rsid w:val="001B39D4"/>
    <w:rsid w:val="001C0747"/>
    <w:rsid w:val="001C1A00"/>
    <w:rsid w:val="001C4311"/>
    <w:rsid w:val="001D1351"/>
    <w:rsid w:val="001F2C3E"/>
    <w:rsid w:val="001F4B81"/>
    <w:rsid w:val="0020045E"/>
    <w:rsid w:val="00202CDA"/>
    <w:rsid w:val="00202E1D"/>
    <w:rsid w:val="00205D66"/>
    <w:rsid w:val="00215DC2"/>
    <w:rsid w:val="002173A2"/>
    <w:rsid w:val="00217AD2"/>
    <w:rsid w:val="00217C18"/>
    <w:rsid w:val="00220375"/>
    <w:rsid w:val="00220A18"/>
    <w:rsid w:val="00222D19"/>
    <w:rsid w:val="0023038F"/>
    <w:rsid w:val="00230901"/>
    <w:rsid w:val="00230C53"/>
    <w:rsid w:val="002358EF"/>
    <w:rsid w:val="00246E00"/>
    <w:rsid w:val="0024737F"/>
    <w:rsid w:val="0025611D"/>
    <w:rsid w:val="00256332"/>
    <w:rsid w:val="002563EE"/>
    <w:rsid w:val="002634D1"/>
    <w:rsid w:val="00264A2E"/>
    <w:rsid w:val="002678C1"/>
    <w:rsid w:val="00286690"/>
    <w:rsid w:val="00294E96"/>
    <w:rsid w:val="00297705"/>
    <w:rsid w:val="002A68A4"/>
    <w:rsid w:val="002B2E8B"/>
    <w:rsid w:val="002B682C"/>
    <w:rsid w:val="002D4FCD"/>
    <w:rsid w:val="002D6D4A"/>
    <w:rsid w:val="002E266F"/>
    <w:rsid w:val="0030747C"/>
    <w:rsid w:val="00312F4A"/>
    <w:rsid w:val="00316678"/>
    <w:rsid w:val="00324987"/>
    <w:rsid w:val="00331232"/>
    <w:rsid w:val="003371FD"/>
    <w:rsid w:val="003420FC"/>
    <w:rsid w:val="00344D25"/>
    <w:rsid w:val="00345259"/>
    <w:rsid w:val="0034565A"/>
    <w:rsid w:val="003556C7"/>
    <w:rsid w:val="0036001F"/>
    <w:rsid w:val="00365244"/>
    <w:rsid w:val="00365289"/>
    <w:rsid w:val="00370DDC"/>
    <w:rsid w:val="00377101"/>
    <w:rsid w:val="00380F8A"/>
    <w:rsid w:val="0038237D"/>
    <w:rsid w:val="0038741E"/>
    <w:rsid w:val="0039181A"/>
    <w:rsid w:val="00391E9D"/>
    <w:rsid w:val="003960FE"/>
    <w:rsid w:val="003967DB"/>
    <w:rsid w:val="003A6941"/>
    <w:rsid w:val="003A75B7"/>
    <w:rsid w:val="003B1B83"/>
    <w:rsid w:val="003B3474"/>
    <w:rsid w:val="003C0BE7"/>
    <w:rsid w:val="003C2F15"/>
    <w:rsid w:val="003C768A"/>
    <w:rsid w:val="003D0122"/>
    <w:rsid w:val="003D4EC7"/>
    <w:rsid w:val="003D53D3"/>
    <w:rsid w:val="003D6094"/>
    <w:rsid w:val="003E01B2"/>
    <w:rsid w:val="003E6DAB"/>
    <w:rsid w:val="003F3420"/>
    <w:rsid w:val="003F37BC"/>
    <w:rsid w:val="003F7576"/>
    <w:rsid w:val="00403528"/>
    <w:rsid w:val="004037FC"/>
    <w:rsid w:val="004041C6"/>
    <w:rsid w:val="00406336"/>
    <w:rsid w:val="004106B9"/>
    <w:rsid w:val="00433F1E"/>
    <w:rsid w:val="004367F0"/>
    <w:rsid w:val="0044287F"/>
    <w:rsid w:val="00443E33"/>
    <w:rsid w:val="00445B1B"/>
    <w:rsid w:val="00446F0D"/>
    <w:rsid w:val="0045084A"/>
    <w:rsid w:val="00465304"/>
    <w:rsid w:val="00465F7F"/>
    <w:rsid w:val="00470893"/>
    <w:rsid w:val="00480200"/>
    <w:rsid w:val="00481FE4"/>
    <w:rsid w:val="00482AFB"/>
    <w:rsid w:val="0048402D"/>
    <w:rsid w:val="00485D64"/>
    <w:rsid w:val="0049035B"/>
    <w:rsid w:val="00493D10"/>
    <w:rsid w:val="0049437A"/>
    <w:rsid w:val="004950CB"/>
    <w:rsid w:val="004B00D1"/>
    <w:rsid w:val="004B3C70"/>
    <w:rsid w:val="004C2EFA"/>
    <w:rsid w:val="004C3884"/>
    <w:rsid w:val="004D3E91"/>
    <w:rsid w:val="004D4A9A"/>
    <w:rsid w:val="004D5636"/>
    <w:rsid w:val="004E09C8"/>
    <w:rsid w:val="004E479D"/>
    <w:rsid w:val="004E6492"/>
    <w:rsid w:val="005034DE"/>
    <w:rsid w:val="00512E45"/>
    <w:rsid w:val="00516C1A"/>
    <w:rsid w:val="00520596"/>
    <w:rsid w:val="00521930"/>
    <w:rsid w:val="00526683"/>
    <w:rsid w:val="00530B00"/>
    <w:rsid w:val="0053548C"/>
    <w:rsid w:val="00543D32"/>
    <w:rsid w:val="0054473E"/>
    <w:rsid w:val="00546CE9"/>
    <w:rsid w:val="005552A8"/>
    <w:rsid w:val="005575C9"/>
    <w:rsid w:val="00571B7E"/>
    <w:rsid w:val="00572154"/>
    <w:rsid w:val="0057229F"/>
    <w:rsid w:val="00576351"/>
    <w:rsid w:val="00577914"/>
    <w:rsid w:val="00581C5C"/>
    <w:rsid w:val="00582770"/>
    <w:rsid w:val="00585C39"/>
    <w:rsid w:val="00591A08"/>
    <w:rsid w:val="00591C2A"/>
    <w:rsid w:val="00592041"/>
    <w:rsid w:val="00592A27"/>
    <w:rsid w:val="005A132E"/>
    <w:rsid w:val="005B30D0"/>
    <w:rsid w:val="005B4B4C"/>
    <w:rsid w:val="005B7ED0"/>
    <w:rsid w:val="005C0093"/>
    <w:rsid w:val="005C73FA"/>
    <w:rsid w:val="005D2A63"/>
    <w:rsid w:val="005D40E4"/>
    <w:rsid w:val="005D463A"/>
    <w:rsid w:val="005D6027"/>
    <w:rsid w:val="005E08C2"/>
    <w:rsid w:val="005E4236"/>
    <w:rsid w:val="005E682C"/>
    <w:rsid w:val="005F0A2C"/>
    <w:rsid w:val="005F217F"/>
    <w:rsid w:val="005F3D8F"/>
    <w:rsid w:val="006018DE"/>
    <w:rsid w:val="006129D5"/>
    <w:rsid w:val="00620BF7"/>
    <w:rsid w:val="00634D52"/>
    <w:rsid w:val="00643840"/>
    <w:rsid w:val="006446AB"/>
    <w:rsid w:val="0065736F"/>
    <w:rsid w:val="0066110B"/>
    <w:rsid w:val="00665D0E"/>
    <w:rsid w:val="00677A95"/>
    <w:rsid w:val="00682228"/>
    <w:rsid w:val="00682C60"/>
    <w:rsid w:val="006860AD"/>
    <w:rsid w:val="00686424"/>
    <w:rsid w:val="00692538"/>
    <w:rsid w:val="006946DF"/>
    <w:rsid w:val="00696116"/>
    <w:rsid w:val="006A0628"/>
    <w:rsid w:val="006A150B"/>
    <w:rsid w:val="006A4B2B"/>
    <w:rsid w:val="006B15A4"/>
    <w:rsid w:val="006B62E0"/>
    <w:rsid w:val="006B72B8"/>
    <w:rsid w:val="006D0727"/>
    <w:rsid w:val="006D2BB9"/>
    <w:rsid w:val="006D7F90"/>
    <w:rsid w:val="006E2334"/>
    <w:rsid w:val="006F4FFF"/>
    <w:rsid w:val="006F7319"/>
    <w:rsid w:val="007024DE"/>
    <w:rsid w:val="00705D7A"/>
    <w:rsid w:val="00716B33"/>
    <w:rsid w:val="007202CF"/>
    <w:rsid w:val="007222F4"/>
    <w:rsid w:val="00722DF4"/>
    <w:rsid w:val="007269C1"/>
    <w:rsid w:val="00735103"/>
    <w:rsid w:val="007503B4"/>
    <w:rsid w:val="00750E22"/>
    <w:rsid w:val="0075140E"/>
    <w:rsid w:val="007538FB"/>
    <w:rsid w:val="007603FB"/>
    <w:rsid w:val="00761807"/>
    <w:rsid w:val="007652ED"/>
    <w:rsid w:val="00770057"/>
    <w:rsid w:val="00780284"/>
    <w:rsid w:val="007823F4"/>
    <w:rsid w:val="007838B7"/>
    <w:rsid w:val="00784E13"/>
    <w:rsid w:val="007854EB"/>
    <w:rsid w:val="0078627B"/>
    <w:rsid w:val="00790E82"/>
    <w:rsid w:val="00796463"/>
    <w:rsid w:val="007A1C22"/>
    <w:rsid w:val="007A24DF"/>
    <w:rsid w:val="007A2ED5"/>
    <w:rsid w:val="007A7102"/>
    <w:rsid w:val="007B66E9"/>
    <w:rsid w:val="007B7127"/>
    <w:rsid w:val="007C021C"/>
    <w:rsid w:val="007C3A80"/>
    <w:rsid w:val="007C3D25"/>
    <w:rsid w:val="007C58AB"/>
    <w:rsid w:val="007C5D9C"/>
    <w:rsid w:val="007D018C"/>
    <w:rsid w:val="007D3B51"/>
    <w:rsid w:val="007D40C1"/>
    <w:rsid w:val="007D54B6"/>
    <w:rsid w:val="007D686F"/>
    <w:rsid w:val="007E5250"/>
    <w:rsid w:val="007E765B"/>
    <w:rsid w:val="007F2ED5"/>
    <w:rsid w:val="007F4C74"/>
    <w:rsid w:val="00803DC1"/>
    <w:rsid w:val="00804132"/>
    <w:rsid w:val="008052AB"/>
    <w:rsid w:val="00805380"/>
    <w:rsid w:val="00807D08"/>
    <w:rsid w:val="0081202A"/>
    <w:rsid w:val="00814ED3"/>
    <w:rsid w:val="0082076C"/>
    <w:rsid w:val="00827988"/>
    <w:rsid w:val="00834DFC"/>
    <w:rsid w:val="008400D1"/>
    <w:rsid w:val="00847C6D"/>
    <w:rsid w:val="00855158"/>
    <w:rsid w:val="00862C37"/>
    <w:rsid w:val="008632AF"/>
    <w:rsid w:val="008645F4"/>
    <w:rsid w:val="0086519D"/>
    <w:rsid w:val="008803E8"/>
    <w:rsid w:val="00880444"/>
    <w:rsid w:val="00880E0C"/>
    <w:rsid w:val="008829F2"/>
    <w:rsid w:val="008847EA"/>
    <w:rsid w:val="00891F40"/>
    <w:rsid w:val="008A264E"/>
    <w:rsid w:val="008A5D8A"/>
    <w:rsid w:val="008A6CAC"/>
    <w:rsid w:val="008B0505"/>
    <w:rsid w:val="008B3A7D"/>
    <w:rsid w:val="008C3873"/>
    <w:rsid w:val="008C4E62"/>
    <w:rsid w:val="008D1032"/>
    <w:rsid w:val="008D1580"/>
    <w:rsid w:val="008D1A91"/>
    <w:rsid w:val="008D6560"/>
    <w:rsid w:val="008E09E3"/>
    <w:rsid w:val="008E0C3C"/>
    <w:rsid w:val="008E240A"/>
    <w:rsid w:val="008E5917"/>
    <w:rsid w:val="008F7AB1"/>
    <w:rsid w:val="00901D32"/>
    <w:rsid w:val="009043FF"/>
    <w:rsid w:val="00904A8C"/>
    <w:rsid w:val="009060C9"/>
    <w:rsid w:val="00906821"/>
    <w:rsid w:val="00920CCF"/>
    <w:rsid w:val="0092606F"/>
    <w:rsid w:val="00926A82"/>
    <w:rsid w:val="00930834"/>
    <w:rsid w:val="00941414"/>
    <w:rsid w:val="00944EE9"/>
    <w:rsid w:val="00953857"/>
    <w:rsid w:val="00956557"/>
    <w:rsid w:val="009715B8"/>
    <w:rsid w:val="009726D7"/>
    <w:rsid w:val="00972F77"/>
    <w:rsid w:val="009731B6"/>
    <w:rsid w:val="00973DCB"/>
    <w:rsid w:val="00975274"/>
    <w:rsid w:val="00986224"/>
    <w:rsid w:val="009911B2"/>
    <w:rsid w:val="00997614"/>
    <w:rsid w:val="009A0307"/>
    <w:rsid w:val="009A1C3A"/>
    <w:rsid w:val="009A54AC"/>
    <w:rsid w:val="009A6548"/>
    <w:rsid w:val="009A6EE0"/>
    <w:rsid w:val="009A76B4"/>
    <w:rsid w:val="009B58CC"/>
    <w:rsid w:val="009B6984"/>
    <w:rsid w:val="009B6A71"/>
    <w:rsid w:val="009B7E2F"/>
    <w:rsid w:val="009C282D"/>
    <w:rsid w:val="009C3C46"/>
    <w:rsid w:val="009C6CD9"/>
    <w:rsid w:val="009D2E55"/>
    <w:rsid w:val="009D42DB"/>
    <w:rsid w:val="009E2EB6"/>
    <w:rsid w:val="009E59DB"/>
    <w:rsid w:val="009F15F3"/>
    <w:rsid w:val="009F4873"/>
    <w:rsid w:val="00A04082"/>
    <w:rsid w:val="00A06955"/>
    <w:rsid w:val="00A106FC"/>
    <w:rsid w:val="00A1108E"/>
    <w:rsid w:val="00A15A9B"/>
    <w:rsid w:val="00A1703F"/>
    <w:rsid w:val="00A17DD7"/>
    <w:rsid w:val="00A213F3"/>
    <w:rsid w:val="00A22D65"/>
    <w:rsid w:val="00A24F84"/>
    <w:rsid w:val="00A26EAD"/>
    <w:rsid w:val="00A30C6A"/>
    <w:rsid w:val="00A427DE"/>
    <w:rsid w:val="00A67255"/>
    <w:rsid w:val="00A77484"/>
    <w:rsid w:val="00A86BCB"/>
    <w:rsid w:val="00A92E0B"/>
    <w:rsid w:val="00A95C61"/>
    <w:rsid w:val="00A9798A"/>
    <w:rsid w:val="00AA0182"/>
    <w:rsid w:val="00AA1B91"/>
    <w:rsid w:val="00AB418F"/>
    <w:rsid w:val="00AB603B"/>
    <w:rsid w:val="00AC26E9"/>
    <w:rsid w:val="00AD0B3B"/>
    <w:rsid w:val="00AD66B0"/>
    <w:rsid w:val="00AE5C6A"/>
    <w:rsid w:val="00AE6A2B"/>
    <w:rsid w:val="00AF1148"/>
    <w:rsid w:val="00B00A2F"/>
    <w:rsid w:val="00B00BB2"/>
    <w:rsid w:val="00B02F48"/>
    <w:rsid w:val="00B03AB1"/>
    <w:rsid w:val="00B0621B"/>
    <w:rsid w:val="00B073E8"/>
    <w:rsid w:val="00B1192F"/>
    <w:rsid w:val="00B1316B"/>
    <w:rsid w:val="00B16278"/>
    <w:rsid w:val="00B1654B"/>
    <w:rsid w:val="00B2168C"/>
    <w:rsid w:val="00B259D4"/>
    <w:rsid w:val="00B2656E"/>
    <w:rsid w:val="00B27B36"/>
    <w:rsid w:val="00B30B57"/>
    <w:rsid w:val="00B31283"/>
    <w:rsid w:val="00B34E01"/>
    <w:rsid w:val="00B367E0"/>
    <w:rsid w:val="00B37391"/>
    <w:rsid w:val="00B40CB7"/>
    <w:rsid w:val="00B51639"/>
    <w:rsid w:val="00B56B4D"/>
    <w:rsid w:val="00B7206F"/>
    <w:rsid w:val="00B8107D"/>
    <w:rsid w:val="00B82BE6"/>
    <w:rsid w:val="00B86CEC"/>
    <w:rsid w:val="00B87544"/>
    <w:rsid w:val="00B8799A"/>
    <w:rsid w:val="00B87D6A"/>
    <w:rsid w:val="00B92444"/>
    <w:rsid w:val="00B93C7E"/>
    <w:rsid w:val="00B94237"/>
    <w:rsid w:val="00B96E96"/>
    <w:rsid w:val="00B96EE3"/>
    <w:rsid w:val="00B96FBE"/>
    <w:rsid w:val="00BA0FD0"/>
    <w:rsid w:val="00BB3F52"/>
    <w:rsid w:val="00BB5E4A"/>
    <w:rsid w:val="00BC5726"/>
    <w:rsid w:val="00BC6383"/>
    <w:rsid w:val="00BD48CD"/>
    <w:rsid w:val="00BE3D97"/>
    <w:rsid w:val="00BE48D9"/>
    <w:rsid w:val="00BF04DB"/>
    <w:rsid w:val="00BF19FB"/>
    <w:rsid w:val="00BF22E6"/>
    <w:rsid w:val="00BF410A"/>
    <w:rsid w:val="00C024E7"/>
    <w:rsid w:val="00C053A0"/>
    <w:rsid w:val="00C1484A"/>
    <w:rsid w:val="00C14C41"/>
    <w:rsid w:val="00C152D5"/>
    <w:rsid w:val="00C213E6"/>
    <w:rsid w:val="00C237A4"/>
    <w:rsid w:val="00C25BAF"/>
    <w:rsid w:val="00C40BDF"/>
    <w:rsid w:val="00C431E3"/>
    <w:rsid w:val="00C43D0F"/>
    <w:rsid w:val="00C43D83"/>
    <w:rsid w:val="00C516F6"/>
    <w:rsid w:val="00C533E7"/>
    <w:rsid w:val="00C6269D"/>
    <w:rsid w:val="00C634D5"/>
    <w:rsid w:val="00C66941"/>
    <w:rsid w:val="00C679F1"/>
    <w:rsid w:val="00C70B95"/>
    <w:rsid w:val="00C74AEB"/>
    <w:rsid w:val="00C7521B"/>
    <w:rsid w:val="00C862EC"/>
    <w:rsid w:val="00C87163"/>
    <w:rsid w:val="00C920ED"/>
    <w:rsid w:val="00C92ACE"/>
    <w:rsid w:val="00CA46E0"/>
    <w:rsid w:val="00CA513D"/>
    <w:rsid w:val="00CB134D"/>
    <w:rsid w:val="00CC4215"/>
    <w:rsid w:val="00CC65A4"/>
    <w:rsid w:val="00CC69CA"/>
    <w:rsid w:val="00CD6757"/>
    <w:rsid w:val="00CD7D95"/>
    <w:rsid w:val="00CE1FD1"/>
    <w:rsid w:val="00CE4C35"/>
    <w:rsid w:val="00CF2D32"/>
    <w:rsid w:val="00CF3F9E"/>
    <w:rsid w:val="00CF5EA8"/>
    <w:rsid w:val="00CF64A3"/>
    <w:rsid w:val="00D11028"/>
    <w:rsid w:val="00D260F4"/>
    <w:rsid w:val="00D2741B"/>
    <w:rsid w:val="00D34DEE"/>
    <w:rsid w:val="00D351C9"/>
    <w:rsid w:val="00D36588"/>
    <w:rsid w:val="00D40DBB"/>
    <w:rsid w:val="00D41A61"/>
    <w:rsid w:val="00D46822"/>
    <w:rsid w:val="00D53F34"/>
    <w:rsid w:val="00D54B24"/>
    <w:rsid w:val="00D55383"/>
    <w:rsid w:val="00D55719"/>
    <w:rsid w:val="00D75DDE"/>
    <w:rsid w:val="00D84F97"/>
    <w:rsid w:val="00D91E3C"/>
    <w:rsid w:val="00D936A1"/>
    <w:rsid w:val="00D97510"/>
    <w:rsid w:val="00DA0FAE"/>
    <w:rsid w:val="00DC2BB6"/>
    <w:rsid w:val="00DC7FFE"/>
    <w:rsid w:val="00DD117F"/>
    <w:rsid w:val="00DD2F54"/>
    <w:rsid w:val="00DD5DB7"/>
    <w:rsid w:val="00DE6BAF"/>
    <w:rsid w:val="00DF1415"/>
    <w:rsid w:val="00DF3119"/>
    <w:rsid w:val="00DF4BB2"/>
    <w:rsid w:val="00DF5E7E"/>
    <w:rsid w:val="00DF7D52"/>
    <w:rsid w:val="00E004CE"/>
    <w:rsid w:val="00E0213B"/>
    <w:rsid w:val="00E1485C"/>
    <w:rsid w:val="00E16693"/>
    <w:rsid w:val="00E16B85"/>
    <w:rsid w:val="00E17175"/>
    <w:rsid w:val="00E256EC"/>
    <w:rsid w:val="00E31B5E"/>
    <w:rsid w:val="00E32115"/>
    <w:rsid w:val="00E3708A"/>
    <w:rsid w:val="00E44EC8"/>
    <w:rsid w:val="00E468CC"/>
    <w:rsid w:val="00E50B4A"/>
    <w:rsid w:val="00E67DA0"/>
    <w:rsid w:val="00E70A18"/>
    <w:rsid w:val="00E77807"/>
    <w:rsid w:val="00E77C4A"/>
    <w:rsid w:val="00E8191E"/>
    <w:rsid w:val="00E84631"/>
    <w:rsid w:val="00E9168B"/>
    <w:rsid w:val="00E91C4B"/>
    <w:rsid w:val="00E9371F"/>
    <w:rsid w:val="00EA5FA8"/>
    <w:rsid w:val="00EA7893"/>
    <w:rsid w:val="00EB1262"/>
    <w:rsid w:val="00EB161E"/>
    <w:rsid w:val="00EB17BD"/>
    <w:rsid w:val="00EB2C74"/>
    <w:rsid w:val="00EB33F2"/>
    <w:rsid w:val="00EB487A"/>
    <w:rsid w:val="00EC198E"/>
    <w:rsid w:val="00EC4B84"/>
    <w:rsid w:val="00ED0A07"/>
    <w:rsid w:val="00ED22F8"/>
    <w:rsid w:val="00ED4641"/>
    <w:rsid w:val="00EE6C25"/>
    <w:rsid w:val="00EE6DCD"/>
    <w:rsid w:val="00EF41CA"/>
    <w:rsid w:val="00EF5D48"/>
    <w:rsid w:val="00EF6B6F"/>
    <w:rsid w:val="00F029AD"/>
    <w:rsid w:val="00F0656F"/>
    <w:rsid w:val="00F10BD1"/>
    <w:rsid w:val="00F10E48"/>
    <w:rsid w:val="00F13357"/>
    <w:rsid w:val="00F1748A"/>
    <w:rsid w:val="00F17490"/>
    <w:rsid w:val="00F21E9C"/>
    <w:rsid w:val="00F27417"/>
    <w:rsid w:val="00F34F37"/>
    <w:rsid w:val="00F43B5C"/>
    <w:rsid w:val="00F43C1F"/>
    <w:rsid w:val="00F554D2"/>
    <w:rsid w:val="00F637C6"/>
    <w:rsid w:val="00F64CF6"/>
    <w:rsid w:val="00F654D1"/>
    <w:rsid w:val="00F676CF"/>
    <w:rsid w:val="00F70015"/>
    <w:rsid w:val="00F731B4"/>
    <w:rsid w:val="00F744F9"/>
    <w:rsid w:val="00F77354"/>
    <w:rsid w:val="00F829B2"/>
    <w:rsid w:val="00F91099"/>
    <w:rsid w:val="00F924FF"/>
    <w:rsid w:val="00F93A36"/>
    <w:rsid w:val="00F95C1D"/>
    <w:rsid w:val="00FB0409"/>
    <w:rsid w:val="00FB08FA"/>
    <w:rsid w:val="00FB0ADC"/>
    <w:rsid w:val="00FB0E8C"/>
    <w:rsid w:val="00FB73E9"/>
    <w:rsid w:val="00FC4187"/>
    <w:rsid w:val="00FE45CC"/>
    <w:rsid w:val="00FE7EB5"/>
    <w:rsid w:val="00FF1E2F"/>
    <w:rsid w:val="00FF4496"/>
    <w:rsid w:val="00FF648A"/>
    <w:rsid w:val="00FF69C8"/>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161E"/>
    <w:pPr>
      <w:suppressAutoHyphens/>
    </w:pPr>
    <w:rPr>
      <w:szCs w:val="20"/>
      <w:lang w:eastAsia="ar-SA"/>
    </w:rPr>
  </w:style>
  <w:style w:type="paragraph" w:styleId="Heading1">
    <w:name w:val="heading 1"/>
    <w:basedOn w:val="Normal"/>
    <w:next w:val="ParaNum"/>
    <w:link w:val="Heading1Char"/>
    <w:uiPriority w:val="99"/>
    <w:qFormat/>
    <w:rsid w:val="00EB161E"/>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EB161E"/>
    <w:pPr>
      <w:keepNext/>
      <w:numPr>
        <w:ilvl w:val="1"/>
        <w:numId w:val="3"/>
      </w:numPr>
      <w:spacing w:after="120"/>
      <w:outlineLvl w:val="1"/>
    </w:pPr>
    <w:rPr>
      <w:b/>
    </w:rPr>
  </w:style>
  <w:style w:type="paragraph" w:styleId="Heading3">
    <w:name w:val="heading 3"/>
    <w:basedOn w:val="Normal"/>
    <w:next w:val="ParaNum"/>
    <w:link w:val="Heading3Char"/>
    <w:uiPriority w:val="99"/>
    <w:qFormat/>
    <w:rsid w:val="00EB161E"/>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EB161E"/>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EB161E"/>
    <w:pPr>
      <w:keepNext/>
      <w:numPr>
        <w:ilvl w:val="4"/>
        <w:numId w:val="3"/>
      </w:numPr>
      <w:tabs>
        <w:tab w:val="left" w:pos="3600"/>
      </w:tabs>
      <w:spacing w:after="120"/>
      <w:outlineLvl w:val="4"/>
    </w:pPr>
    <w:rPr>
      <w:b/>
    </w:rPr>
  </w:style>
  <w:style w:type="paragraph" w:styleId="Heading6">
    <w:name w:val="heading 6"/>
    <w:basedOn w:val="Normal"/>
    <w:next w:val="ParaNum"/>
    <w:link w:val="Heading6Char"/>
    <w:uiPriority w:val="99"/>
    <w:qFormat/>
    <w:rsid w:val="00EB161E"/>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EB161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EB161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EB16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Pr>
      <w:rFonts w:ascii="Cambria" w:hAnsi="Cambria" w:cs="Times New Roman"/>
      <w:lang w:eastAsia="ar-SA" w:bidi="ar-SA"/>
    </w:rPr>
  </w:style>
  <w:style w:type="paragraph" w:customStyle="1" w:styleId="ParaNum">
    <w:name w:val="ParaNum"/>
    <w:basedOn w:val="Normal"/>
    <w:link w:val="ParaNumChar"/>
    <w:uiPriority w:val="99"/>
    <w:rsid w:val="00EB161E"/>
    <w:pPr>
      <w:spacing w:after="120"/>
    </w:pPr>
  </w:style>
  <w:style w:type="paragraph" w:styleId="EndnoteText">
    <w:name w:val="endnote text"/>
    <w:basedOn w:val="Normal"/>
    <w:link w:val="EndnoteTextChar"/>
    <w:uiPriority w:val="99"/>
    <w:semiHidden/>
    <w:rsid w:val="00EB161E"/>
    <w:rPr>
      <w:sz w:val="20"/>
    </w:rPr>
  </w:style>
  <w:style w:type="character" w:customStyle="1" w:styleId="EndnoteTextChar">
    <w:name w:val="Endnote Text Char"/>
    <w:basedOn w:val="DefaultParagraphFont"/>
    <w:link w:val="EndnoteText"/>
    <w:uiPriority w:val="99"/>
    <w:semiHidden/>
    <w:locked/>
    <w:rPr>
      <w:rFonts w:cs="Times New Roman"/>
      <w:sz w:val="20"/>
      <w:szCs w:val="20"/>
      <w:lang w:eastAsia="ar-SA" w:bidi="ar-SA"/>
    </w:rPr>
  </w:style>
  <w:style w:type="character" w:styleId="EndnoteReference">
    <w:name w:val="endnote reference"/>
    <w:basedOn w:val="DefaultParagraphFont"/>
    <w:uiPriority w:val="99"/>
    <w:semiHidden/>
    <w:rsid w:val="00EB161E"/>
    <w:rPr>
      <w:rFonts w:cs="Times New Roman"/>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rsid w:val="00EB161E"/>
    <w:pPr>
      <w:suppressAutoHyphens w:val="0"/>
      <w:spacing w:after="120"/>
    </w:pPr>
    <w:rPr>
      <w:sz w:val="20"/>
      <w:lang w:eastAsia="en-US"/>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basedOn w:val="DefaultParagraphFont"/>
    <w:link w:val="FootnoteText"/>
    <w:uiPriority w:val="99"/>
    <w:locked/>
    <w:rsid w:val="00EB161E"/>
    <w:rPr>
      <w:rFonts w:cs="Times New Roman"/>
      <w:lang w:val="en-US" w:eastAsia="en-US"/>
    </w:rPr>
  </w:style>
  <w:style w:type="character" w:styleId="FootnoteReference">
    <w:name w:val="footnote reference"/>
    <w:aliases w:val="(NECG) Footnote Reference,o,fr,Style 3,Appel note de bas de p,Style 12,Style 124,Style 13,FR,Style 17,Style 6,Footnote Reference/"/>
    <w:basedOn w:val="DefaultParagraphFont"/>
    <w:uiPriority w:val="99"/>
    <w:rsid w:val="00EB161E"/>
    <w:rPr>
      <w:rFonts w:ascii="Times New Roman" w:hAnsi="Times New Roman" w:cs="Times New Roman"/>
      <w:color w:val="auto"/>
      <w:sz w:val="22"/>
      <w:vertAlign w:val="superscript"/>
    </w:rPr>
  </w:style>
  <w:style w:type="paragraph" w:styleId="TOC1">
    <w:name w:val="toc 1"/>
    <w:basedOn w:val="Normal"/>
    <w:next w:val="Normal"/>
    <w:uiPriority w:val="39"/>
    <w:rsid w:val="00EB161E"/>
    <w:pPr>
      <w:tabs>
        <w:tab w:val="left" w:pos="360"/>
        <w:tab w:val="right" w:leader="dot" w:pos="9360"/>
      </w:tabs>
      <w:ind w:left="360" w:right="720" w:hanging="360"/>
    </w:pPr>
    <w:rPr>
      <w:caps/>
      <w:noProof/>
    </w:rPr>
  </w:style>
  <w:style w:type="paragraph" w:styleId="TOC2">
    <w:name w:val="toc 2"/>
    <w:basedOn w:val="Normal"/>
    <w:next w:val="Normal"/>
    <w:uiPriority w:val="39"/>
    <w:rsid w:val="00EB161E"/>
    <w:pPr>
      <w:tabs>
        <w:tab w:val="left" w:pos="720"/>
        <w:tab w:val="right" w:leader="dot" w:pos="9360"/>
      </w:tabs>
      <w:ind w:left="720" w:right="720" w:hanging="360"/>
    </w:pPr>
    <w:rPr>
      <w:noProof/>
    </w:rPr>
  </w:style>
  <w:style w:type="paragraph" w:styleId="TOC3">
    <w:name w:val="toc 3"/>
    <w:basedOn w:val="Normal"/>
    <w:next w:val="Normal"/>
    <w:uiPriority w:val="39"/>
    <w:rsid w:val="00EB161E"/>
    <w:pPr>
      <w:tabs>
        <w:tab w:val="left" w:pos="1080"/>
        <w:tab w:val="right" w:leader="dot" w:pos="9360"/>
      </w:tabs>
      <w:ind w:left="1080" w:right="720" w:hanging="360"/>
    </w:pPr>
    <w:rPr>
      <w:noProof/>
    </w:rPr>
  </w:style>
  <w:style w:type="paragraph" w:styleId="TOC4">
    <w:name w:val="toc 4"/>
    <w:basedOn w:val="Normal"/>
    <w:next w:val="Normal"/>
    <w:autoRedefine/>
    <w:uiPriority w:val="99"/>
    <w:semiHidden/>
    <w:rsid w:val="00EB161E"/>
    <w:pPr>
      <w:tabs>
        <w:tab w:val="left" w:pos="1440"/>
        <w:tab w:val="right" w:leader="dot" w:pos="9360"/>
      </w:tabs>
      <w:ind w:left="1440" w:right="720" w:hanging="360"/>
    </w:pPr>
    <w:rPr>
      <w:noProof/>
    </w:rPr>
  </w:style>
  <w:style w:type="paragraph" w:styleId="TOC5">
    <w:name w:val="toc 5"/>
    <w:basedOn w:val="Normal"/>
    <w:next w:val="Normal"/>
    <w:autoRedefine/>
    <w:uiPriority w:val="99"/>
    <w:semiHidden/>
    <w:rsid w:val="00EB161E"/>
    <w:pPr>
      <w:tabs>
        <w:tab w:val="left" w:pos="1800"/>
        <w:tab w:val="right" w:leader="dot" w:pos="9360"/>
      </w:tabs>
      <w:ind w:left="1800" w:right="720" w:hanging="360"/>
    </w:pPr>
    <w:rPr>
      <w:noProof/>
    </w:rPr>
  </w:style>
  <w:style w:type="paragraph" w:styleId="TOC6">
    <w:name w:val="toc 6"/>
    <w:basedOn w:val="Normal"/>
    <w:next w:val="Normal"/>
    <w:autoRedefine/>
    <w:uiPriority w:val="99"/>
    <w:semiHidden/>
    <w:rsid w:val="00EB161E"/>
    <w:pPr>
      <w:tabs>
        <w:tab w:val="left" w:pos="2160"/>
        <w:tab w:val="right" w:leader="dot" w:pos="9360"/>
      </w:tabs>
      <w:ind w:left="2160" w:hanging="360"/>
    </w:pPr>
    <w:rPr>
      <w:noProof/>
    </w:rPr>
  </w:style>
  <w:style w:type="paragraph" w:styleId="TOC7">
    <w:name w:val="toc 7"/>
    <w:basedOn w:val="Normal"/>
    <w:next w:val="Normal"/>
    <w:autoRedefine/>
    <w:uiPriority w:val="99"/>
    <w:semiHidden/>
    <w:rsid w:val="00EB161E"/>
    <w:pPr>
      <w:tabs>
        <w:tab w:val="left" w:pos="2520"/>
        <w:tab w:val="right" w:leader="dot" w:pos="9360"/>
      </w:tabs>
      <w:ind w:left="2520" w:hanging="360"/>
    </w:pPr>
    <w:rPr>
      <w:noProof/>
    </w:rPr>
  </w:style>
  <w:style w:type="paragraph" w:styleId="TOC8">
    <w:name w:val="toc 8"/>
    <w:basedOn w:val="Normal"/>
    <w:next w:val="Normal"/>
    <w:autoRedefine/>
    <w:uiPriority w:val="99"/>
    <w:semiHidden/>
    <w:rsid w:val="00EB161E"/>
    <w:pPr>
      <w:tabs>
        <w:tab w:val="left" w:pos="2880"/>
        <w:tab w:val="right" w:leader="dot" w:pos="9360"/>
      </w:tabs>
      <w:ind w:left="2880" w:hanging="360"/>
    </w:pPr>
    <w:rPr>
      <w:noProof/>
    </w:rPr>
  </w:style>
  <w:style w:type="paragraph" w:styleId="TOC9">
    <w:name w:val="toc 9"/>
    <w:basedOn w:val="Normal"/>
    <w:next w:val="Normal"/>
    <w:autoRedefine/>
    <w:uiPriority w:val="99"/>
    <w:semiHidden/>
    <w:rsid w:val="00EB161E"/>
    <w:pPr>
      <w:tabs>
        <w:tab w:val="left" w:pos="3240"/>
        <w:tab w:val="right" w:leader="dot" w:pos="9360"/>
      </w:tabs>
      <w:ind w:left="3240" w:hanging="360"/>
    </w:pPr>
    <w:rPr>
      <w:noProof/>
    </w:rPr>
  </w:style>
  <w:style w:type="paragraph" w:styleId="TOAHeading">
    <w:name w:val="toa heading"/>
    <w:basedOn w:val="Normal"/>
    <w:next w:val="Normal"/>
    <w:uiPriority w:val="99"/>
    <w:semiHidden/>
    <w:rsid w:val="00EB161E"/>
    <w:pPr>
      <w:tabs>
        <w:tab w:val="right" w:pos="9360"/>
      </w:tabs>
    </w:pPr>
  </w:style>
  <w:style w:type="character" w:customStyle="1" w:styleId="EquationCaption">
    <w:name w:val="_Equation Caption"/>
    <w:uiPriority w:val="99"/>
    <w:rsid w:val="00EB161E"/>
  </w:style>
  <w:style w:type="paragraph" w:styleId="Header">
    <w:name w:val="header"/>
    <w:basedOn w:val="Normal"/>
    <w:link w:val="HeaderChar"/>
    <w:autoRedefine/>
    <w:uiPriority w:val="99"/>
    <w:rsid w:val="00EB161E"/>
    <w:pPr>
      <w:tabs>
        <w:tab w:val="center" w:pos="4680"/>
        <w:tab w:val="right" w:pos="9360"/>
      </w:tabs>
    </w:pPr>
    <w:rPr>
      <w:b/>
    </w:rPr>
  </w:style>
  <w:style w:type="character" w:customStyle="1" w:styleId="HeaderChar">
    <w:name w:val="Header Char"/>
    <w:basedOn w:val="DefaultParagraphFont"/>
    <w:link w:val="Header"/>
    <w:uiPriority w:val="99"/>
    <w:locked/>
    <w:rPr>
      <w:rFonts w:cs="Times New Roman"/>
      <w:sz w:val="20"/>
      <w:szCs w:val="20"/>
      <w:lang w:eastAsia="ar-SA" w:bidi="ar-SA"/>
    </w:rPr>
  </w:style>
  <w:style w:type="paragraph" w:styleId="Footer">
    <w:name w:val="footer"/>
    <w:basedOn w:val="Normal"/>
    <w:link w:val="FooterChar"/>
    <w:uiPriority w:val="99"/>
    <w:rsid w:val="00EB161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ar-SA" w:bidi="ar-SA"/>
    </w:rPr>
  </w:style>
  <w:style w:type="character" w:styleId="PageNumber">
    <w:name w:val="page number"/>
    <w:basedOn w:val="DefaultParagraphFont"/>
    <w:uiPriority w:val="99"/>
    <w:rsid w:val="00EB161E"/>
    <w:rPr>
      <w:rFonts w:cs="Times New Roman"/>
    </w:rPr>
  </w:style>
  <w:style w:type="paragraph" w:styleId="BlockText">
    <w:name w:val="Block Text"/>
    <w:basedOn w:val="Normal"/>
    <w:uiPriority w:val="99"/>
    <w:rsid w:val="00EB161E"/>
    <w:pPr>
      <w:spacing w:after="240"/>
      <w:ind w:left="1440" w:right="1440"/>
    </w:pPr>
  </w:style>
  <w:style w:type="paragraph" w:customStyle="1" w:styleId="Paratitle">
    <w:name w:val="Para title"/>
    <w:basedOn w:val="Normal"/>
    <w:uiPriority w:val="99"/>
    <w:rsid w:val="00EB161E"/>
    <w:pPr>
      <w:tabs>
        <w:tab w:val="center" w:pos="9270"/>
      </w:tabs>
      <w:spacing w:after="240"/>
    </w:pPr>
    <w:rPr>
      <w:spacing w:val="-2"/>
    </w:rPr>
  </w:style>
  <w:style w:type="paragraph" w:customStyle="1" w:styleId="Bullet">
    <w:name w:val="Bullet"/>
    <w:basedOn w:val="Normal"/>
    <w:uiPriority w:val="99"/>
    <w:rsid w:val="00EB161E"/>
    <w:pPr>
      <w:numPr>
        <w:numId w:val="1"/>
      </w:numPr>
      <w:tabs>
        <w:tab w:val="clear" w:pos="360"/>
        <w:tab w:val="left" w:pos="2160"/>
      </w:tabs>
      <w:spacing w:after="220"/>
      <w:ind w:left="2160" w:hanging="720"/>
    </w:pPr>
  </w:style>
  <w:style w:type="paragraph" w:customStyle="1" w:styleId="TableFormat">
    <w:name w:val="TableFormat"/>
    <w:basedOn w:val="Bullet"/>
    <w:uiPriority w:val="99"/>
    <w:rsid w:val="00EB161E"/>
    <w:pPr>
      <w:numPr>
        <w:numId w:val="0"/>
      </w:numPr>
      <w:tabs>
        <w:tab w:val="clear" w:pos="2160"/>
        <w:tab w:val="left" w:pos="5040"/>
      </w:tabs>
      <w:ind w:left="5040" w:hanging="3600"/>
    </w:pPr>
  </w:style>
  <w:style w:type="paragraph" w:customStyle="1" w:styleId="TOCTitle">
    <w:name w:val="TOC Title"/>
    <w:basedOn w:val="Normal"/>
    <w:uiPriority w:val="99"/>
    <w:rsid w:val="00EB161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EB161E"/>
    <w:pPr>
      <w:jc w:val="center"/>
    </w:pPr>
    <w:rPr>
      <w:rFonts w:ascii="Times New Roman Bold" w:hAnsi="Times New Roman Bold"/>
      <w:b/>
      <w:bCs/>
      <w:caps/>
      <w:szCs w:val="22"/>
    </w:rPr>
  </w:style>
  <w:style w:type="character" w:styleId="Hyperlink">
    <w:name w:val="Hyperlink"/>
    <w:basedOn w:val="DefaultParagraphFont"/>
    <w:uiPriority w:val="99"/>
    <w:rsid w:val="00EB161E"/>
    <w:rPr>
      <w:rFonts w:cs="Times New Roman"/>
      <w:color w:val="0000FF"/>
      <w:u w:val="single"/>
    </w:rPr>
  </w:style>
  <w:style w:type="paragraph" w:styleId="BodyTextIndent">
    <w:name w:val="Body Text Indent"/>
    <w:basedOn w:val="Normal"/>
    <w:link w:val="BodyTextIndentChar"/>
    <w:uiPriority w:val="99"/>
    <w:rsid w:val="00EB161E"/>
    <w:pPr>
      <w:widowControl w:val="0"/>
      <w:ind w:firstLine="720"/>
    </w:pPr>
    <w:rPr>
      <w:kern w:val="1"/>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ar-SA" w:bidi="ar-SA"/>
    </w:rPr>
  </w:style>
  <w:style w:type="character" w:customStyle="1" w:styleId="ptext-1">
    <w:name w:val="ptext-1"/>
    <w:basedOn w:val="DefaultParagraphFont"/>
    <w:uiPriority w:val="99"/>
    <w:rsid w:val="00EB161E"/>
    <w:rPr>
      <w:rFonts w:cs="Times New Roman"/>
    </w:rPr>
  </w:style>
  <w:style w:type="paragraph" w:styleId="PlainText">
    <w:name w:val="Plain Text"/>
    <w:basedOn w:val="Normal"/>
    <w:link w:val="PlainTextChar"/>
    <w:uiPriority w:val="99"/>
    <w:rsid w:val="00EB161E"/>
    <w:pPr>
      <w:suppressAutoHyphens w:val="0"/>
    </w:pPr>
    <w:rPr>
      <w:rFonts w:ascii="Courier New" w:hAnsi="Courier New" w:cs="Courier New"/>
      <w:sz w:val="20"/>
      <w:lang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ar-SA" w:bidi="ar-SA"/>
    </w:rPr>
  </w:style>
  <w:style w:type="paragraph" w:styleId="BalloonText">
    <w:name w:val="Balloon Text"/>
    <w:basedOn w:val="Normal"/>
    <w:link w:val="BalloonTextChar"/>
    <w:uiPriority w:val="99"/>
    <w:semiHidden/>
    <w:rsid w:val="00EB16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character" w:styleId="CommentReference">
    <w:name w:val="annotation reference"/>
    <w:basedOn w:val="DefaultParagraphFont"/>
    <w:uiPriority w:val="99"/>
    <w:semiHidden/>
    <w:rsid w:val="00EB161E"/>
    <w:rPr>
      <w:rFonts w:cs="Times New Roman"/>
      <w:sz w:val="16"/>
    </w:rPr>
  </w:style>
  <w:style w:type="paragraph" w:styleId="CommentText">
    <w:name w:val="annotation text"/>
    <w:basedOn w:val="Normal"/>
    <w:link w:val="CommentTextChar"/>
    <w:uiPriority w:val="99"/>
    <w:semiHidden/>
    <w:rsid w:val="00EB161E"/>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EB161E"/>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ar-SA" w:bidi="ar-SA"/>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uiPriority w:val="99"/>
    <w:rsid w:val="00EB161E"/>
    <w:rPr>
      <w:sz w:val="22"/>
      <w:lang w:val="en-US" w:eastAsia="en-US"/>
    </w:rPr>
  </w:style>
  <w:style w:type="character" w:customStyle="1" w:styleId="informationalsmall4">
    <w:name w:val="informationalsmall4"/>
    <w:uiPriority w:val="99"/>
    <w:rsid w:val="00EB161E"/>
    <w:rPr>
      <w:rFonts w:ascii="Verdana" w:hAnsi="Verdana"/>
      <w:sz w:val="14"/>
    </w:rPr>
  </w:style>
  <w:style w:type="character" w:customStyle="1" w:styleId="ParaNumChar">
    <w:name w:val="ParaNum Char"/>
    <w:link w:val="ParaNum"/>
    <w:uiPriority w:val="99"/>
    <w:locked/>
    <w:rsid w:val="00EB161E"/>
    <w:rPr>
      <w:sz w:val="22"/>
      <w:lang w:val="en-US" w:eastAsia="ar-SA" w:bidi="ar-SA"/>
    </w:rPr>
  </w:style>
  <w:style w:type="character" w:styleId="FollowedHyperlink">
    <w:name w:val="FollowedHyperlink"/>
    <w:basedOn w:val="DefaultParagraphFont"/>
    <w:uiPriority w:val="99"/>
    <w:rsid w:val="00EB161E"/>
    <w:rPr>
      <w:rFonts w:cs="Times New Roman"/>
      <w:color w:val="800080"/>
      <w:u w:val="single"/>
    </w:rPr>
  </w:style>
  <w:style w:type="paragraph" w:customStyle="1" w:styleId="Paranum0">
    <w:name w:val="Paranum"/>
    <w:basedOn w:val="Normal"/>
    <w:uiPriority w:val="99"/>
    <w:rsid w:val="00930834"/>
    <w:pPr>
      <w:widowControl w:val="0"/>
      <w:suppressAutoHyphens w:val="0"/>
      <w:spacing w:after="220"/>
      <w:jc w:val="both"/>
    </w:pPr>
    <w:rPr>
      <w:lang w:eastAsia="en-US"/>
    </w:rPr>
  </w:style>
  <w:style w:type="paragraph" w:styleId="Revision">
    <w:name w:val="Revision"/>
    <w:hidden/>
    <w:uiPriority w:val="99"/>
    <w:semiHidden/>
    <w:rsid w:val="00C533E7"/>
    <w:rPr>
      <w:szCs w:val="20"/>
      <w:lang w:eastAsia="ar-SA"/>
    </w:rPr>
  </w:style>
  <w:style w:type="character" w:styleId="PlaceholderText">
    <w:name w:val="Placeholder Text"/>
    <w:basedOn w:val="DefaultParagraphFont"/>
    <w:uiPriority w:val="99"/>
    <w:semiHidden/>
    <w:rsid w:val="00B1316B"/>
    <w:rPr>
      <w:rFonts w:cs="Times New Roman"/>
      <w:color w:val="808080"/>
    </w:rPr>
  </w:style>
  <w:style w:type="paragraph" w:styleId="TOCHeading">
    <w:name w:val="TOC Heading"/>
    <w:basedOn w:val="Heading1"/>
    <w:next w:val="Normal"/>
    <w:uiPriority w:val="39"/>
    <w:semiHidden/>
    <w:unhideWhenUsed/>
    <w:qFormat/>
    <w:rsid w:val="00C634D5"/>
    <w:pPr>
      <w:numPr>
        <w:numId w:val="0"/>
      </w:numPr>
      <w:tabs>
        <w:tab w:val="left" w:pos="720"/>
      </w:tabs>
      <w:spacing w:before="240" w:after="60"/>
      <w:outlineLvl w:val="9"/>
    </w:pPr>
    <w:rPr>
      <w:rFonts w:asciiTheme="majorHAnsi" w:eastAsiaTheme="majorEastAsia" w:hAnsiTheme="majorHAnsi" w:cstheme="majorBidi"/>
      <w:bCs/>
      <w:caps w:val="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161E"/>
    <w:pPr>
      <w:suppressAutoHyphens/>
    </w:pPr>
    <w:rPr>
      <w:szCs w:val="20"/>
      <w:lang w:eastAsia="ar-SA"/>
    </w:rPr>
  </w:style>
  <w:style w:type="paragraph" w:styleId="Heading1">
    <w:name w:val="heading 1"/>
    <w:basedOn w:val="Normal"/>
    <w:next w:val="ParaNum"/>
    <w:link w:val="Heading1Char"/>
    <w:uiPriority w:val="99"/>
    <w:qFormat/>
    <w:rsid w:val="00EB161E"/>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EB161E"/>
    <w:pPr>
      <w:keepNext/>
      <w:numPr>
        <w:ilvl w:val="1"/>
        <w:numId w:val="3"/>
      </w:numPr>
      <w:spacing w:after="120"/>
      <w:outlineLvl w:val="1"/>
    </w:pPr>
    <w:rPr>
      <w:b/>
    </w:rPr>
  </w:style>
  <w:style w:type="paragraph" w:styleId="Heading3">
    <w:name w:val="heading 3"/>
    <w:basedOn w:val="Normal"/>
    <w:next w:val="ParaNum"/>
    <w:link w:val="Heading3Char"/>
    <w:uiPriority w:val="99"/>
    <w:qFormat/>
    <w:rsid w:val="00EB161E"/>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EB161E"/>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EB161E"/>
    <w:pPr>
      <w:keepNext/>
      <w:numPr>
        <w:ilvl w:val="4"/>
        <w:numId w:val="3"/>
      </w:numPr>
      <w:tabs>
        <w:tab w:val="left" w:pos="3600"/>
      </w:tabs>
      <w:spacing w:after="120"/>
      <w:outlineLvl w:val="4"/>
    </w:pPr>
    <w:rPr>
      <w:b/>
    </w:rPr>
  </w:style>
  <w:style w:type="paragraph" w:styleId="Heading6">
    <w:name w:val="heading 6"/>
    <w:basedOn w:val="Normal"/>
    <w:next w:val="ParaNum"/>
    <w:link w:val="Heading6Char"/>
    <w:uiPriority w:val="99"/>
    <w:qFormat/>
    <w:rsid w:val="00EB161E"/>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EB161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EB161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EB16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Pr>
      <w:rFonts w:ascii="Cambria" w:hAnsi="Cambria" w:cs="Times New Roman"/>
      <w:lang w:eastAsia="ar-SA" w:bidi="ar-SA"/>
    </w:rPr>
  </w:style>
  <w:style w:type="paragraph" w:customStyle="1" w:styleId="ParaNum">
    <w:name w:val="ParaNum"/>
    <w:basedOn w:val="Normal"/>
    <w:link w:val="ParaNumChar"/>
    <w:uiPriority w:val="99"/>
    <w:rsid w:val="00EB161E"/>
    <w:pPr>
      <w:spacing w:after="120"/>
    </w:pPr>
  </w:style>
  <w:style w:type="paragraph" w:styleId="EndnoteText">
    <w:name w:val="endnote text"/>
    <w:basedOn w:val="Normal"/>
    <w:link w:val="EndnoteTextChar"/>
    <w:uiPriority w:val="99"/>
    <w:semiHidden/>
    <w:rsid w:val="00EB161E"/>
    <w:rPr>
      <w:sz w:val="20"/>
    </w:rPr>
  </w:style>
  <w:style w:type="character" w:customStyle="1" w:styleId="EndnoteTextChar">
    <w:name w:val="Endnote Text Char"/>
    <w:basedOn w:val="DefaultParagraphFont"/>
    <w:link w:val="EndnoteText"/>
    <w:uiPriority w:val="99"/>
    <w:semiHidden/>
    <w:locked/>
    <w:rPr>
      <w:rFonts w:cs="Times New Roman"/>
      <w:sz w:val="20"/>
      <w:szCs w:val="20"/>
      <w:lang w:eastAsia="ar-SA" w:bidi="ar-SA"/>
    </w:rPr>
  </w:style>
  <w:style w:type="character" w:styleId="EndnoteReference">
    <w:name w:val="endnote reference"/>
    <w:basedOn w:val="DefaultParagraphFont"/>
    <w:uiPriority w:val="99"/>
    <w:semiHidden/>
    <w:rsid w:val="00EB161E"/>
    <w:rPr>
      <w:rFonts w:cs="Times New Roman"/>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rsid w:val="00EB161E"/>
    <w:pPr>
      <w:suppressAutoHyphens w:val="0"/>
      <w:spacing w:after="120"/>
    </w:pPr>
    <w:rPr>
      <w:sz w:val="20"/>
      <w:lang w:eastAsia="en-US"/>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basedOn w:val="DefaultParagraphFont"/>
    <w:link w:val="FootnoteText"/>
    <w:uiPriority w:val="99"/>
    <w:locked/>
    <w:rsid w:val="00EB161E"/>
    <w:rPr>
      <w:rFonts w:cs="Times New Roman"/>
      <w:lang w:val="en-US" w:eastAsia="en-US"/>
    </w:rPr>
  </w:style>
  <w:style w:type="character" w:styleId="FootnoteReference">
    <w:name w:val="footnote reference"/>
    <w:aliases w:val="(NECG) Footnote Reference,o,fr,Style 3,Appel note de bas de p,Style 12,Style 124,Style 13,FR,Style 17,Style 6,Footnote Reference/"/>
    <w:basedOn w:val="DefaultParagraphFont"/>
    <w:uiPriority w:val="99"/>
    <w:rsid w:val="00EB161E"/>
    <w:rPr>
      <w:rFonts w:ascii="Times New Roman" w:hAnsi="Times New Roman" w:cs="Times New Roman"/>
      <w:color w:val="auto"/>
      <w:sz w:val="22"/>
      <w:vertAlign w:val="superscript"/>
    </w:rPr>
  </w:style>
  <w:style w:type="paragraph" w:styleId="TOC1">
    <w:name w:val="toc 1"/>
    <w:basedOn w:val="Normal"/>
    <w:next w:val="Normal"/>
    <w:uiPriority w:val="39"/>
    <w:rsid w:val="00EB161E"/>
    <w:pPr>
      <w:tabs>
        <w:tab w:val="left" w:pos="360"/>
        <w:tab w:val="right" w:leader="dot" w:pos="9360"/>
      </w:tabs>
      <w:ind w:left="360" w:right="720" w:hanging="360"/>
    </w:pPr>
    <w:rPr>
      <w:caps/>
      <w:noProof/>
    </w:rPr>
  </w:style>
  <w:style w:type="paragraph" w:styleId="TOC2">
    <w:name w:val="toc 2"/>
    <w:basedOn w:val="Normal"/>
    <w:next w:val="Normal"/>
    <w:uiPriority w:val="39"/>
    <w:rsid w:val="00EB161E"/>
    <w:pPr>
      <w:tabs>
        <w:tab w:val="left" w:pos="720"/>
        <w:tab w:val="right" w:leader="dot" w:pos="9360"/>
      </w:tabs>
      <w:ind w:left="720" w:right="720" w:hanging="360"/>
    </w:pPr>
    <w:rPr>
      <w:noProof/>
    </w:rPr>
  </w:style>
  <w:style w:type="paragraph" w:styleId="TOC3">
    <w:name w:val="toc 3"/>
    <w:basedOn w:val="Normal"/>
    <w:next w:val="Normal"/>
    <w:uiPriority w:val="39"/>
    <w:rsid w:val="00EB161E"/>
    <w:pPr>
      <w:tabs>
        <w:tab w:val="left" w:pos="1080"/>
        <w:tab w:val="right" w:leader="dot" w:pos="9360"/>
      </w:tabs>
      <w:ind w:left="1080" w:right="720" w:hanging="360"/>
    </w:pPr>
    <w:rPr>
      <w:noProof/>
    </w:rPr>
  </w:style>
  <w:style w:type="paragraph" w:styleId="TOC4">
    <w:name w:val="toc 4"/>
    <w:basedOn w:val="Normal"/>
    <w:next w:val="Normal"/>
    <w:autoRedefine/>
    <w:uiPriority w:val="99"/>
    <w:semiHidden/>
    <w:rsid w:val="00EB161E"/>
    <w:pPr>
      <w:tabs>
        <w:tab w:val="left" w:pos="1440"/>
        <w:tab w:val="right" w:leader="dot" w:pos="9360"/>
      </w:tabs>
      <w:ind w:left="1440" w:right="720" w:hanging="360"/>
    </w:pPr>
    <w:rPr>
      <w:noProof/>
    </w:rPr>
  </w:style>
  <w:style w:type="paragraph" w:styleId="TOC5">
    <w:name w:val="toc 5"/>
    <w:basedOn w:val="Normal"/>
    <w:next w:val="Normal"/>
    <w:autoRedefine/>
    <w:uiPriority w:val="99"/>
    <w:semiHidden/>
    <w:rsid w:val="00EB161E"/>
    <w:pPr>
      <w:tabs>
        <w:tab w:val="left" w:pos="1800"/>
        <w:tab w:val="right" w:leader="dot" w:pos="9360"/>
      </w:tabs>
      <w:ind w:left="1800" w:right="720" w:hanging="360"/>
    </w:pPr>
    <w:rPr>
      <w:noProof/>
    </w:rPr>
  </w:style>
  <w:style w:type="paragraph" w:styleId="TOC6">
    <w:name w:val="toc 6"/>
    <w:basedOn w:val="Normal"/>
    <w:next w:val="Normal"/>
    <w:autoRedefine/>
    <w:uiPriority w:val="99"/>
    <w:semiHidden/>
    <w:rsid w:val="00EB161E"/>
    <w:pPr>
      <w:tabs>
        <w:tab w:val="left" w:pos="2160"/>
        <w:tab w:val="right" w:leader="dot" w:pos="9360"/>
      </w:tabs>
      <w:ind w:left="2160" w:hanging="360"/>
    </w:pPr>
    <w:rPr>
      <w:noProof/>
    </w:rPr>
  </w:style>
  <w:style w:type="paragraph" w:styleId="TOC7">
    <w:name w:val="toc 7"/>
    <w:basedOn w:val="Normal"/>
    <w:next w:val="Normal"/>
    <w:autoRedefine/>
    <w:uiPriority w:val="99"/>
    <w:semiHidden/>
    <w:rsid w:val="00EB161E"/>
    <w:pPr>
      <w:tabs>
        <w:tab w:val="left" w:pos="2520"/>
        <w:tab w:val="right" w:leader="dot" w:pos="9360"/>
      </w:tabs>
      <w:ind w:left="2520" w:hanging="360"/>
    </w:pPr>
    <w:rPr>
      <w:noProof/>
    </w:rPr>
  </w:style>
  <w:style w:type="paragraph" w:styleId="TOC8">
    <w:name w:val="toc 8"/>
    <w:basedOn w:val="Normal"/>
    <w:next w:val="Normal"/>
    <w:autoRedefine/>
    <w:uiPriority w:val="99"/>
    <w:semiHidden/>
    <w:rsid w:val="00EB161E"/>
    <w:pPr>
      <w:tabs>
        <w:tab w:val="left" w:pos="2880"/>
        <w:tab w:val="right" w:leader="dot" w:pos="9360"/>
      </w:tabs>
      <w:ind w:left="2880" w:hanging="360"/>
    </w:pPr>
    <w:rPr>
      <w:noProof/>
    </w:rPr>
  </w:style>
  <w:style w:type="paragraph" w:styleId="TOC9">
    <w:name w:val="toc 9"/>
    <w:basedOn w:val="Normal"/>
    <w:next w:val="Normal"/>
    <w:autoRedefine/>
    <w:uiPriority w:val="99"/>
    <w:semiHidden/>
    <w:rsid w:val="00EB161E"/>
    <w:pPr>
      <w:tabs>
        <w:tab w:val="left" w:pos="3240"/>
        <w:tab w:val="right" w:leader="dot" w:pos="9360"/>
      </w:tabs>
      <w:ind w:left="3240" w:hanging="360"/>
    </w:pPr>
    <w:rPr>
      <w:noProof/>
    </w:rPr>
  </w:style>
  <w:style w:type="paragraph" w:styleId="TOAHeading">
    <w:name w:val="toa heading"/>
    <w:basedOn w:val="Normal"/>
    <w:next w:val="Normal"/>
    <w:uiPriority w:val="99"/>
    <w:semiHidden/>
    <w:rsid w:val="00EB161E"/>
    <w:pPr>
      <w:tabs>
        <w:tab w:val="right" w:pos="9360"/>
      </w:tabs>
    </w:pPr>
  </w:style>
  <w:style w:type="character" w:customStyle="1" w:styleId="EquationCaption">
    <w:name w:val="_Equation Caption"/>
    <w:uiPriority w:val="99"/>
    <w:rsid w:val="00EB161E"/>
  </w:style>
  <w:style w:type="paragraph" w:styleId="Header">
    <w:name w:val="header"/>
    <w:basedOn w:val="Normal"/>
    <w:link w:val="HeaderChar"/>
    <w:autoRedefine/>
    <w:uiPriority w:val="99"/>
    <w:rsid w:val="00EB161E"/>
    <w:pPr>
      <w:tabs>
        <w:tab w:val="center" w:pos="4680"/>
        <w:tab w:val="right" w:pos="9360"/>
      </w:tabs>
    </w:pPr>
    <w:rPr>
      <w:b/>
    </w:rPr>
  </w:style>
  <w:style w:type="character" w:customStyle="1" w:styleId="HeaderChar">
    <w:name w:val="Header Char"/>
    <w:basedOn w:val="DefaultParagraphFont"/>
    <w:link w:val="Header"/>
    <w:uiPriority w:val="99"/>
    <w:locked/>
    <w:rPr>
      <w:rFonts w:cs="Times New Roman"/>
      <w:sz w:val="20"/>
      <w:szCs w:val="20"/>
      <w:lang w:eastAsia="ar-SA" w:bidi="ar-SA"/>
    </w:rPr>
  </w:style>
  <w:style w:type="paragraph" w:styleId="Footer">
    <w:name w:val="footer"/>
    <w:basedOn w:val="Normal"/>
    <w:link w:val="FooterChar"/>
    <w:uiPriority w:val="99"/>
    <w:rsid w:val="00EB161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ar-SA" w:bidi="ar-SA"/>
    </w:rPr>
  </w:style>
  <w:style w:type="character" w:styleId="PageNumber">
    <w:name w:val="page number"/>
    <w:basedOn w:val="DefaultParagraphFont"/>
    <w:uiPriority w:val="99"/>
    <w:rsid w:val="00EB161E"/>
    <w:rPr>
      <w:rFonts w:cs="Times New Roman"/>
    </w:rPr>
  </w:style>
  <w:style w:type="paragraph" w:styleId="BlockText">
    <w:name w:val="Block Text"/>
    <w:basedOn w:val="Normal"/>
    <w:uiPriority w:val="99"/>
    <w:rsid w:val="00EB161E"/>
    <w:pPr>
      <w:spacing w:after="240"/>
      <w:ind w:left="1440" w:right="1440"/>
    </w:pPr>
  </w:style>
  <w:style w:type="paragraph" w:customStyle="1" w:styleId="Paratitle">
    <w:name w:val="Para title"/>
    <w:basedOn w:val="Normal"/>
    <w:uiPriority w:val="99"/>
    <w:rsid w:val="00EB161E"/>
    <w:pPr>
      <w:tabs>
        <w:tab w:val="center" w:pos="9270"/>
      </w:tabs>
      <w:spacing w:after="240"/>
    </w:pPr>
    <w:rPr>
      <w:spacing w:val="-2"/>
    </w:rPr>
  </w:style>
  <w:style w:type="paragraph" w:customStyle="1" w:styleId="Bullet">
    <w:name w:val="Bullet"/>
    <w:basedOn w:val="Normal"/>
    <w:uiPriority w:val="99"/>
    <w:rsid w:val="00EB161E"/>
    <w:pPr>
      <w:numPr>
        <w:numId w:val="1"/>
      </w:numPr>
      <w:tabs>
        <w:tab w:val="clear" w:pos="360"/>
        <w:tab w:val="left" w:pos="2160"/>
      </w:tabs>
      <w:spacing w:after="220"/>
      <w:ind w:left="2160" w:hanging="720"/>
    </w:pPr>
  </w:style>
  <w:style w:type="paragraph" w:customStyle="1" w:styleId="TableFormat">
    <w:name w:val="TableFormat"/>
    <w:basedOn w:val="Bullet"/>
    <w:uiPriority w:val="99"/>
    <w:rsid w:val="00EB161E"/>
    <w:pPr>
      <w:numPr>
        <w:numId w:val="0"/>
      </w:numPr>
      <w:tabs>
        <w:tab w:val="clear" w:pos="2160"/>
        <w:tab w:val="left" w:pos="5040"/>
      </w:tabs>
      <w:ind w:left="5040" w:hanging="3600"/>
    </w:pPr>
  </w:style>
  <w:style w:type="paragraph" w:customStyle="1" w:styleId="TOCTitle">
    <w:name w:val="TOC Title"/>
    <w:basedOn w:val="Normal"/>
    <w:uiPriority w:val="99"/>
    <w:rsid w:val="00EB161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EB161E"/>
    <w:pPr>
      <w:jc w:val="center"/>
    </w:pPr>
    <w:rPr>
      <w:rFonts w:ascii="Times New Roman Bold" w:hAnsi="Times New Roman Bold"/>
      <w:b/>
      <w:bCs/>
      <w:caps/>
      <w:szCs w:val="22"/>
    </w:rPr>
  </w:style>
  <w:style w:type="character" w:styleId="Hyperlink">
    <w:name w:val="Hyperlink"/>
    <w:basedOn w:val="DefaultParagraphFont"/>
    <w:uiPriority w:val="99"/>
    <w:rsid w:val="00EB161E"/>
    <w:rPr>
      <w:rFonts w:cs="Times New Roman"/>
      <w:color w:val="0000FF"/>
      <w:u w:val="single"/>
    </w:rPr>
  </w:style>
  <w:style w:type="paragraph" w:styleId="BodyTextIndent">
    <w:name w:val="Body Text Indent"/>
    <w:basedOn w:val="Normal"/>
    <w:link w:val="BodyTextIndentChar"/>
    <w:uiPriority w:val="99"/>
    <w:rsid w:val="00EB161E"/>
    <w:pPr>
      <w:widowControl w:val="0"/>
      <w:ind w:firstLine="720"/>
    </w:pPr>
    <w:rPr>
      <w:kern w:val="1"/>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ar-SA" w:bidi="ar-SA"/>
    </w:rPr>
  </w:style>
  <w:style w:type="character" w:customStyle="1" w:styleId="ptext-1">
    <w:name w:val="ptext-1"/>
    <w:basedOn w:val="DefaultParagraphFont"/>
    <w:uiPriority w:val="99"/>
    <w:rsid w:val="00EB161E"/>
    <w:rPr>
      <w:rFonts w:cs="Times New Roman"/>
    </w:rPr>
  </w:style>
  <w:style w:type="paragraph" w:styleId="PlainText">
    <w:name w:val="Plain Text"/>
    <w:basedOn w:val="Normal"/>
    <w:link w:val="PlainTextChar"/>
    <w:uiPriority w:val="99"/>
    <w:rsid w:val="00EB161E"/>
    <w:pPr>
      <w:suppressAutoHyphens w:val="0"/>
    </w:pPr>
    <w:rPr>
      <w:rFonts w:ascii="Courier New" w:hAnsi="Courier New" w:cs="Courier New"/>
      <w:sz w:val="20"/>
      <w:lang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ar-SA" w:bidi="ar-SA"/>
    </w:rPr>
  </w:style>
  <w:style w:type="paragraph" w:styleId="BalloonText">
    <w:name w:val="Balloon Text"/>
    <w:basedOn w:val="Normal"/>
    <w:link w:val="BalloonTextChar"/>
    <w:uiPriority w:val="99"/>
    <w:semiHidden/>
    <w:rsid w:val="00EB16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character" w:styleId="CommentReference">
    <w:name w:val="annotation reference"/>
    <w:basedOn w:val="DefaultParagraphFont"/>
    <w:uiPriority w:val="99"/>
    <w:semiHidden/>
    <w:rsid w:val="00EB161E"/>
    <w:rPr>
      <w:rFonts w:cs="Times New Roman"/>
      <w:sz w:val="16"/>
    </w:rPr>
  </w:style>
  <w:style w:type="paragraph" w:styleId="CommentText">
    <w:name w:val="annotation text"/>
    <w:basedOn w:val="Normal"/>
    <w:link w:val="CommentTextChar"/>
    <w:uiPriority w:val="99"/>
    <w:semiHidden/>
    <w:rsid w:val="00EB161E"/>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EB161E"/>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ar-SA" w:bidi="ar-SA"/>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uiPriority w:val="99"/>
    <w:rsid w:val="00EB161E"/>
    <w:rPr>
      <w:sz w:val="22"/>
      <w:lang w:val="en-US" w:eastAsia="en-US"/>
    </w:rPr>
  </w:style>
  <w:style w:type="character" w:customStyle="1" w:styleId="informationalsmall4">
    <w:name w:val="informationalsmall4"/>
    <w:uiPriority w:val="99"/>
    <w:rsid w:val="00EB161E"/>
    <w:rPr>
      <w:rFonts w:ascii="Verdana" w:hAnsi="Verdana"/>
      <w:sz w:val="14"/>
    </w:rPr>
  </w:style>
  <w:style w:type="character" w:customStyle="1" w:styleId="ParaNumChar">
    <w:name w:val="ParaNum Char"/>
    <w:link w:val="ParaNum"/>
    <w:uiPriority w:val="99"/>
    <w:locked/>
    <w:rsid w:val="00EB161E"/>
    <w:rPr>
      <w:sz w:val="22"/>
      <w:lang w:val="en-US" w:eastAsia="ar-SA" w:bidi="ar-SA"/>
    </w:rPr>
  </w:style>
  <w:style w:type="character" w:styleId="FollowedHyperlink">
    <w:name w:val="FollowedHyperlink"/>
    <w:basedOn w:val="DefaultParagraphFont"/>
    <w:uiPriority w:val="99"/>
    <w:rsid w:val="00EB161E"/>
    <w:rPr>
      <w:rFonts w:cs="Times New Roman"/>
      <w:color w:val="800080"/>
      <w:u w:val="single"/>
    </w:rPr>
  </w:style>
  <w:style w:type="paragraph" w:customStyle="1" w:styleId="Paranum0">
    <w:name w:val="Paranum"/>
    <w:basedOn w:val="Normal"/>
    <w:uiPriority w:val="99"/>
    <w:rsid w:val="00930834"/>
    <w:pPr>
      <w:widowControl w:val="0"/>
      <w:suppressAutoHyphens w:val="0"/>
      <w:spacing w:after="220"/>
      <w:jc w:val="both"/>
    </w:pPr>
    <w:rPr>
      <w:lang w:eastAsia="en-US"/>
    </w:rPr>
  </w:style>
  <w:style w:type="paragraph" w:styleId="Revision">
    <w:name w:val="Revision"/>
    <w:hidden/>
    <w:uiPriority w:val="99"/>
    <w:semiHidden/>
    <w:rsid w:val="00C533E7"/>
    <w:rPr>
      <w:szCs w:val="20"/>
      <w:lang w:eastAsia="ar-SA"/>
    </w:rPr>
  </w:style>
  <w:style w:type="character" w:styleId="PlaceholderText">
    <w:name w:val="Placeholder Text"/>
    <w:basedOn w:val="DefaultParagraphFont"/>
    <w:uiPriority w:val="99"/>
    <w:semiHidden/>
    <w:rsid w:val="00B1316B"/>
    <w:rPr>
      <w:rFonts w:cs="Times New Roman"/>
      <w:color w:val="808080"/>
    </w:rPr>
  </w:style>
  <w:style w:type="paragraph" w:styleId="TOCHeading">
    <w:name w:val="TOC Heading"/>
    <w:basedOn w:val="Heading1"/>
    <w:next w:val="Normal"/>
    <w:uiPriority w:val="39"/>
    <w:semiHidden/>
    <w:unhideWhenUsed/>
    <w:qFormat/>
    <w:rsid w:val="00C634D5"/>
    <w:pPr>
      <w:numPr>
        <w:numId w:val="0"/>
      </w:numPr>
      <w:tabs>
        <w:tab w:val="left" w:pos="720"/>
      </w:tabs>
      <w:spacing w:before="240" w:after="60"/>
      <w:outlineLvl w:val="9"/>
    </w:pPr>
    <w:rPr>
      <w:rFonts w:asciiTheme="majorHAnsi" w:eastAsiaTheme="majorEastAsia" w:hAnsiTheme="majorHAnsi" w:cstheme="majorBidi"/>
      <w:bCs/>
      <w:caps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Matthews@fcc.gov" TargetMode="External"/><Relationship Id="rId13" Type="http://schemas.openxmlformats.org/officeDocument/2006/relationships/header" Target="header2.xm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ice.Wise@fcc.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MaryMargaret.Jackson@fcc.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amela.Gallant@fcc.gov"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saelibrary.gsa.gov/ElibMain/sinDetails.do?executeQuery=YES&amp;scheduleNumber=51+V&amp;flag=&amp;filter=&amp;specialItemNumber=639+001" TargetMode="External"/><Relationship Id="rId1" Type="http://schemas.openxmlformats.org/officeDocument/2006/relationships/hyperlink" Target="http://www.gsaelibrary.gsa.gov/ElibMain/scheduleList.d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4310</Words>
  <Characters>24093</Characters>
  <Application>Microsoft Office Word</Application>
  <DocSecurity>0</DocSecurity>
  <Lines>526</Lines>
  <Paragraphs>324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2013-09-23T18:35:00Z</cp:lastPrinted>
  <dcterms:created xsi:type="dcterms:W3CDTF">2013-09-23T19:26:00Z</dcterms:created>
  <dcterms:modified xsi:type="dcterms:W3CDTF">2013-09-23T19:26:00Z</dcterms:modified>
  <cp:category> </cp:category>
  <cp:contentStatus> </cp:contentStatus>
</cp:coreProperties>
</file>